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790E3"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522E3EA3"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1071FA">
        <w:rPr>
          <w:rFonts w:ascii="Arial" w:hAnsi="Arial" w:cs="Arial"/>
          <w:b/>
          <w:sz w:val="24"/>
          <w:szCs w:val="24"/>
        </w:rPr>
        <w:t>QUINCE DE DICIEMBRE</w:t>
      </w:r>
      <w:r w:rsidR="00E848A0">
        <w:rPr>
          <w:rFonts w:ascii="Arial" w:hAnsi="Arial" w:cs="Arial"/>
          <w:b/>
          <w:sz w:val="24"/>
          <w:szCs w:val="24"/>
        </w:rPr>
        <w:t xml:space="preserve"> </w:t>
      </w:r>
      <w:r>
        <w:rPr>
          <w:rFonts w:ascii="Arial" w:hAnsi="Arial" w:cs="Arial"/>
          <w:b/>
          <w:sz w:val="24"/>
          <w:szCs w:val="24"/>
        </w:rPr>
        <w:t>DE DOS MIL VEINTIUNO (</w:t>
      </w:r>
      <w:r w:rsidR="001071FA">
        <w:rPr>
          <w:rFonts w:ascii="Arial" w:hAnsi="Arial" w:cs="Arial"/>
          <w:b/>
          <w:sz w:val="24"/>
          <w:szCs w:val="24"/>
        </w:rPr>
        <w:t>15/12</w:t>
      </w:r>
      <w:r>
        <w:rPr>
          <w:rFonts w:ascii="Arial" w:hAnsi="Arial" w:cs="Arial"/>
          <w:b/>
          <w:sz w:val="24"/>
          <w:szCs w:val="24"/>
        </w:rPr>
        <w:t xml:space="preserve">/2021). - - - - - - - - - - - - - - - - - - - - - - - - - - - - - - </w:t>
      </w:r>
      <w:r w:rsidR="00950BDF">
        <w:rPr>
          <w:rFonts w:ascii="Arial" w:hAnsi="Arial" w:cs="Arial"/>
          <w:b/>
          <w:sz w:val="24"/>
          <w:szCs w:val="24"/>
        </w:rPr>
        <w:t>- - - -</w:t>
      </w:r>
      <w:r w:rsidR="008C0F2F">
        <w:rPr>
          <w:rFonts w:ascii="Arial" w:hAnsi="Arial" w:cs="Arial"/>
          <w:b/>
          <w:sz w:val="24"/>
          <w:szCs w:val="24"/>
        </w:rPr>
        <w:t xml:space="preserve"> - - - </w:t>
      </w:r>
    </w:p>
    <w:p w14:paraId="5325DBD0" w14:textId="1EE053EC" w:rsidR="002B4CA0" w:rsidRDefault="002B4CA0" w:rsidP="003048E2">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E22EDA">
        <w:rPr>
          <w:rFonts w:ascii="Arial" w:hAnsi="Arial" w:cs="Arial"/>
          <w:sz w:val="24"/>
          <w:szCs w:val="24"/>
        </w:rPr>
        <w:t>111</w:t>
      </w:r>
      <w:r w:rsidR="00D76F88">
        <w:rPr>
          <w:rFonts w:ascii="Arial" w:hAnsi="Arial" w:cs="Arial"/>
          <w:sz w:val="24"/>
          <w:szCs w:val="24"/>
        </w:rPr>
        <w:t>/20</w:t>
      </w:r>
      <w:r w:rsidR="00E22EDA">
        <w:rPr>
          <w:rFonts w:ascii="Arial" w:hAnsi="Arial" w:cs="Arial"/>
          <w:sz w:val="24"/>
          <w:szCs w:val="24"/>
        </w:rPr>
        <w:t>20</w:t>
      </w:r>
      <w:r>
        <w:rPr>
          <w:rFonts w:ascii="Arial" w:hAnsi="Arial" w:cs="Arial"/>
          <w:sz w:val="24"/>
          <w:szCs w:val="24"/>
        </w:rPr>
        <w:t xml:space="preserve">, promovido por </w:t>
      </w:r>
      <w:r w:rsidR="00883355">
        <w:rPr>
          <w:rFonts w:ascii="Arial" w:hAnsi="Arial" w:cs="Arial"/>
          <w:sz w:val="24"/>
          <w:szCs w:val="24"/>
        </w:rPr>
        <w:t>***** ***** *****</w:t>
      </w:r>
      <w:r>
        <w:rPr>
          <w:rFonts w:ascii="Arial" w:hAnsi="Arial" w:cs="Arial"/>
          <w:sz w:val="24"/>
          <w:szCs w:val="24"/>
        </w:rPr>
        <w:t>,</w:t>
      </w:r>
      <w:r w:rsidR="00BF6A86">
        <w:rPr>
          <w:rFonts w:ascii="Arial" w:hAnsi="Arial" w:cs="Arial"/>
          <w:sz w:val="24"/>
          <w:szCs w:val="24"/>
        </w:rPr>
        <w:t xml:space="preserve"> </w:t>
      </w:r>
      <w:r>
        <w:rPr>
          <w:rFonts w:ascii="Arial" w:hAnsi="Arial" w:cs="Arial"/>
          <w:sz w:val="24"/>
          <w:szCs w:val="24"/>
        </w:rPr>
        <w:t>solicitando la nulidad de</w:t>
      </w:r>
      <w:r w:rsidR="00E22EDA">
        <w:rPr>
          <w:rFonts w:ascii="Arial" w:hAnsi="Arial" w:cs="Arial"/>
          <w:sz w:val="24"/>
          <w:szCs w:val="24"/>
        </w:rPr>
        <w:t xml:space="preserve">: mandamiento de ejecución número </w:t>
      </w:r>
      <w:r w:rsidR="00883355">
        <w:rPr>
          <w:rFonts w:ascii="Arial" w:hAnsi="Arial" w:cs="Arial"/>
          <w:sz w:val="24"/>
          <w:szCs w:val="24"/>
        </w:rPr>
        <w:t>**********</w:t>
      </w:r>
      <w:r w:rsidR="00E22EDA">
        <w:rPr>
          <w:rFonts w:ascii="Arial" w:hAnsi="Arial" w:cs="Arial"/>
          <w:sz w:val="24"/>
          <w:szCs w:val="24"/>
        </w:rPr>
        <w:t>,</w:t>
      </w:r>
      <w:r w:rsidR="00F76E58">
        <w:rPr>
          <w:rFonts w:ascii="Arial" w:hAnsi="Arial" w:cs="Arial"/>
          <w:sz w:val="24"/>
          <w:szCs w:val="24"/>
        </w:rPr>
        <w:t xml:space="preserve"> y su notificación, </w:t>
      </w:r>
      <w:r w:rsidR="00075CBE">
        <w:rPr>
          <w:rFonts w:ascii="Arial" w:hAnsi="Arial" w:cs="Arial"/>
          <w:sz w:val="24"/>
          <w:szCs w:val="24"/>
        </w:rPr>
        <w:t xml:space="preserve">ambos </w:t>
      </w:r>
      <w:r w:rsidR="00E22EDA">
        <w:rPr>
          <w:rFonts w:ascii="Arial" w:hAnsi="Arial" w:cs="Arial"/>
          <w:sz w:val="24"/>
          <w:szCs w:val="24"/>
        </w:rPr>
        <w:t>derivado</w:t>
      </w:r>
      <w:r w:rsidR="00F76E58">
        <w:rPr>
          <w:rFonts w:ascii="Arial" w:hAnsi="Arial" w:cs="Arial"/>
          <w:sz w:val="24"/>
          <w:szCs w:val="24"/>
        </w:rPr>
        <w:t>s</w:t>
      </w:r>
      <w:r w:rsidR="006336AC">
        <w:rPr>
          <w:rFonts w:ascii="Arial" w:hAnsi="Arial" w:cs="Arial"/>
          <w:sz w:val="24"/>
          <w:szCs w:val="24"/>
        </w:rPr>
        <w:t xml:space="preserve"> del crédito fiscal número </w:t>
      </w:r>
      <w:r w:rsidR="00883355">
        <w:rPr>
          <w:rFonts w:ascii="Arial" w:hAnsi="Arial" w:cs="Arial"/>
          <w:sz w:val="24"/>
          <w:szCs w:val="24"/>
        </w:rPr>
        <w:t>*****</w:t>
      </w:r>
      <w:r w:rsidR="00E22EDA">
        <w:rPr>
          <w:rFonts w:ascii="Arial" w:hAnsi="Arial" w:cs="Arial"/>
          <w:sz w:val="24"/>
          <w:szCs w:val="24"/>
        </w:rPr>
        <w:t xml:space="preserve"> de </w:t>
      </w:r>
      <w:r w:rsidR="00883355">
        <w:rPr>
          <w:rFonts w:ascii="Arial" w:hAnsi="Arial" w:cs="Arial"/>
          <w:sz w:val="24"/>
          <w:szCs w:val="24"/>
        </w:rPr>
        <w:t>***** de ***** de dos mil diecinueve (**/**/2019)</w:t>
      </w:r>
      <w:r w:rsidR="00F76E58">
        <w:rPr>
          <w:rFonts w:ascii="Arial" w:hAnsi="Arial" w:cs="Arial"/>
          <w:sz w:val="24"/>
          <w:szCs w:val="24"/>
        </w:rPr>
        <w:t xml:space="preserve">; y, acta de requerimiento de pago de fecha </w:t>
      </w:r>
      <w:r w:rsidR="00883355">
        <w:rPr>
          <w:rFonts w:ascii="Arial" w:hAnsi="Arial" w:cs="Arial"/>
          <w:sz w:val="24"/>
          <w:szCs w:val="24"/>
        </w:rPr>
        <w:t>***** de ***** de dos mil diecinueve (**/**/2019)</w:t>
      </w:r>
      <w:r w:rsidR="00F76E58">
        <w:rPr>
          <w:rFonts w:ascii="Arial" w:hAnsi="Arial" w:cs="Arial"/>
          <w:sz w:val="24"/>
          <w:szCs w:val="24"/>
        </w:rPr>
        <w:t xml:space="preserve">, </w:t>
      </w:r>
      <w:r w:rsidR="003048E2">
        <w:rPr>
          <w:rFonts w:ascii="Arial" w:hAnsi="Arial" w:cs="Arial"/>
          <w:sz w:val="24"/>
          <w:szCs w:val="24"/>
        </w:rPr>
        <w:t>actos atribuidos a la Coordinadora de Cobro Coactivo de la Secretaría de Finanzas del Poder Ejecutivo del Estado de Oaxaca</w:t>
      </w:r>
      <w:r>
        <w:rPr>
          <w:rFonts w:ascii="Arial" w:hAnsi="Arial" w:cs="Arial"/>
          <w:sz w:val="24"/>
          <w:szCs w:val="24"/>
        </w:rPr>
        <w:t xml:space="preserve">; y, - - - - - - - - - - - </w:t>
      </w:r>
      <w:r w:rsidR="001071FA">
        <w:rPr>
          <w:rFonts w:ascii="Arial" w:hAnsi="Arial" w:cs="Arial"/>
          <w:sz w:val="24"/>
          <w:szCs w:val="24"/>
        </w:rPr>
        <w:t>- - - - - - - -</w:t>
      </w:r>
      <w:r w:rsidR="003048E2">
        <w:rPr>
          <w:rFonts w:ascii="Arial" w:hAnsi="Arial" w:cs="Arial"/>
          <w:sz w:val="24"/>
          <w:szCs w:val="24"/>
        </w:rPr>
        <w:t xml:space="preserve"> - - - - </w:t>
      </w:r>
    </w:p>
    <w:p w14:paraId="6E6EAA47"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6875F54"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075CBE">
        <w:rPr>
          <w:rFonts w:ascii="Arial" w:hAnsi="Arial" w:cs="Arial"/>
          <w:sz w:val="24"/>
          <w:szCs w:val="24"/>
        </w:rPr>
        <w:t>diecisiete de enero de dos mil veinte (17/0</w:t>
      </w:r>
      <w:r w:rsidR="00E848A0">
        <w:rPr>
          <w:rFonts w:ascii="Arial" w:hAnsi="Arial" w:cs="Arial"/>
          <w:sz w:val="24"/>
          <w:szCs w:val="24"/>
        </w:rPr>
        <w:t>1</w:t>
      </w:r>
      <w:r w:rsidR="00075CBE">
        <w:rPr>
          <w:rFonts w:ascii="Arial" w:hAnsi="Arial" w:cs="Arial"/>
          <w:sz w:val="24"/>
          <w:szCs w:val="24"/>
        </w:rPr>
        <w:t>/2020</w:t>
      </w:r>
      <w:r w:rsidR="00E252E1">
        <w:rPr>
          <w:rFonts w:ascii="Arial" w:hAnsi="Arial" w:cs="Arial"/>
          <w:sz w:val="24"/>
          <w:szCs w:val="24"/>
        </w:rPr>
        <w:t>)</w:t>
      </w:r>
      <w:r w:rsidR="00A03038">
        <w:rPr>
          <w:rFonts w:ascii="Arial" w:hAnsi="Arial" w:cs="Arial"/>
          <w:sz w:val="24"/>
          <w:szCs w:val="24"/>
        </w:rPr>
        <w:t xml:space="preserve">, </w:t>
      </w:r>
      <w:r>
        <w:rPr>
          <w:rFonts w:ascii="Arial" w:hAnsi="Arial" w:cs="Arial"/>
          <w:sz w:val="24"/>
          <w:szCs w:val="24"/>
        </w:rPr>
        <w:t xml:space="preserve">se recibió el escrito de demanda en la Oficialía de Partes de este Tribunal y con </w:t>
      </w:r>
      <w:r w:rsidR="00075CBE">
        <w:rPr>
          <w:rFonts w:ascii="Arial" w:hAnsi="Arial" w:cs="Arial"/>
          <w:sz w:val="24"/>
          <w:szCs w:val="24"/>
        </w:rPr>
        <w:t>fecha veinte del mismo mes y año (20/01/2020</w:t>
      </w:r>
      <w:r w:rsidR="00F50B19">
        <w:rPr>
          <w:rFonts w:ascii="Arial" w:hAnsi="Arial" w:cs="Arial"/>
          <w:sz w:val="24"/>
          <w:szCs w:val="24"/>
        </w:rPr>
        <w:t>)</w:t>
      </w:r>
      <w:r w:rsidR="008C0F2F">
        <w:rPr>
          <w:rFonts w:ascii="Arial" w:hAnsi="Arial" w:cs="Arial"/>
          <w:sz w:val="24"/>
          <w:szCs w:val="24"/>
        </w:rPr>
        <w:t xml:space="preserve"> </w:t>
      </w:r>
      <w:r>
        <w:rPr>
          <w:rFonts w:ascii="Arial" w:hAnsi="Arial" w:cs="Arial"/>
          <w:sz w:val="24"/>
          <w:szCs w:val="24"/>
        </w:rPr>
        <w:t>se tuvo por admitida a trámite, ordenándose emplazar a J</w:t>
      </w:r>
      <w:r w:rsidR="00E252E1">
        <w:rPr>
          <w:rFonts w:ascii="Arial" w:hAnsi="Arial" w:cs="Arial"/>
          <w:sz w:val="24"/>
          <w:szCs w:val="24"/>
        </w:rPr>
        <w:t>uicio a la autoridad demandada</w:t>
      </w:r>
      <w:r w:rsidR="00A03038">
        <w:rPr>
          <w:rFonts w:ascii="Arial" w:hAnsi="Arial" w:cs="Arial"/>
          <w:sz w:val="24"/>
          <w:szCs w:val="24"/>
        </w:rPr>
        <w:t xml:space="preserve">. </w:t>
      </w:r>
      <w:r>
        <w:rPr>
          <w:rFonts w:ascii="Arial" w:hAnsi="Arial" w:cs="Arial"/>
          <w:sz w:val="24"/>
          <w:szCs w:val="24"/>
        </w:rPr>
        <w:t xml:space="preserve">- - - - - - - </w:t>
      </w:r>
      <w:r w:rsidR="00A03038">
        <w:rPr>
          <w:rFonts w:ascii="Arial" w:hAnsi="Arial" w:cs="Arial"/>
          <w:sz w:val="24"/>
          <w:szCs w:val="24"/>
        </w:rPr>
        <w:t xml:space="preserve">- - - - - - </w:t>
      </w:r>
      <w:r w:rsidR="00F50B19">
        <w:rPr>
          <w:rFonts w:ascii="Arial" w:hAnsi="Arial" w:cs="Arial"/>
          <w:sz w:val="24"/>
          <w:szCs w:val="24"/>
        </w:rPr>
        <w:t>- - - - - - - - - - - - - - - - - - - - - - - - - - - - - - - - - -</w:t>
      </w:r>
    </w:p>
    <w:p w14:paraId="3260E4F8" w14:textId="77777777" w:rsidR="000D788F" w:rsidRDefault="002B4CA0" w:rsidP="0055691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29359A">
        <w:rPr>
          <w:rFonts w:ascii="Arial" w:hAnsi="Arial" w:cs="Arial"/>
          <w:sz w:val="24"/>
          <w:szCs w:val="24"/>
        </w:rPr>
        <w:t xml:space="preserve">dieciocho de marzo de dos mil veinte (18/03/2020), </w:t>
      </w:r>
      <w:r>
        <w:rPr>
          <w:rFonts w:ascii="Arial" w:hAnsi="Arial" w:cs="Arial"/>
          <w:sz w:val="24"/>
          <w:szCs w:val="24"/>
        </w:rPr>
        <w:t xml:space="preserve">se tuvo a la demandada </w:t>
      </w:r>
      <w:r w:rsidR="0029359A">
        <w:rPr>
          <w:rFonts w:ascii="Arial" w:hAnsi="Arial" w:cs="Arial"/>
          <w:sz w:val="24"/>
          <w:szCs w:val="24"/>
        </w:rPr>
        <w:t>Coordinadora de Cobro Coactivo de la Secretaría de Finanzas del Poder Ejecutivo del Estado de Oaxaca</w:t>
      </w:r>
      <w:r>
        <w:rPr>
          <w:rFonts w:ascii="Arial" w:hAnsi="Arial" w:cs="Arial"/>
          <w:sz w:val="24"/>
          <w:szCs w:val="24"/>
        </w:rPr>
        <w:t>, contestando</w:t>
      </w:r>
      <w:r w:rsidR="000D788F">
        <w:rPr>
          <w:rFonts w:ascii="Arial" w:hAnsi="Arial" w:cs="Arial"/>
          <w:sz w:val="24"/>
          <w:szCs w:val="24"/>
        </w:rPr>
        <w:t xml:space="preserve"> en tie</w:t>
      </w:r>
      <w:r w:rsidR="0055691E">
        <w:rPr>
          <w:rFonts w:ascii="Arial" w:hAnsi="Arial" w:cs="Arial"/>
          <w:sz w:val="24"/>
          <w:szCs w:val="24"/>
        </w:rPr>
        <w:t>mpo la demanda, por conducto de</w:t>
      </w:r>
      <w:r w:rsidR="008E7E36">
        <w:rPr>
          <w:rFonts w:ascii="Arial" w:hAnsi="Arial" w:cs="Arial"/>
          <w:sz w:val="24"/>
          <w:szCs w:val="24"/>
        </w:rPr>
        <w:t>l</w:t>
      </w:r>
      <w:r w:rsidR="000A64A0">
        <w:rPr>
          <w:rFonts w:ascii="Arial" w:hAnsi="Arial" w:cs="Arial"/>
          <w:sz w:val="24"/>
          <w:szCs w:val="24"/>
        </w:rPr>
        <w:t xml:space="preserve"> Director de lo Contencioso de la</w:t>
      </w:r>
      <w:r w:rsidR="000D788F">
        <w:rPr>
          <w:rFonts w:ascii="Arial" w:hAnsi="Arial" w:cs="Arial"/>
          <w:sz w:val="24"/>
          <w:szCs w:val="24"/>
        </w:rPr>
        <w:t xml:space="preserve"> </w:t>
      </w:r>
      <w:r w:rsidR="000A64A0">
        <w:rPr>
          <w:rFonts w:ascii="Arial" w:hAnsi="Arial" w:cs="Arial"/>
          <w:sz w:val="24"/>
          <w:szCs w:val="24"/>
        </w:rPr>
        <w:t>Procuraduría</w:t>
      </w:r>
      <w:r w:rsidR="0055691E">
        <w:rPr>
          <w:rFonts w:ascii="Arial" w:hAnsi="Arial" w:cs="Arial"/>
          <w:sz w:val="24"/>
          <w:szCs w:val="24"/>
        </w:rPr>
        <w:t xml:space="preserve"> Fiscal dependiente de la Subsecretaría de Ingresos de la Secretaría de Finanzas </w:t>
      </w:r>
      <w:r w:rsidR="000D788F">
        <w:rPr>
          <w:rFonts w:ascii="Arial" w:hAnsi="Arial" w:cs="Arial"/>
          <w:sz w:val="24"/>
          <w:szCs w:val="24"/>
        </w:rPr>
        <w:t>del Poder Ejecutivo del Estado de Oaxaca</w:t>
      </w:r>
      <w:r w:rsidR="00E252E1">
        <w:rPr>
          <w:rFonts w:ascii="Arial" w:hAnsi="Arial" w:cs="Arial"/>
          <w:sz w:val="24"/>
          <w:szCs w:val="24"/>
        </w:rPr>
        <w:t xml:space="preserve">; luego, con fecha </w:t>
      </w:r>
      <w:r w:rsidR="00597BFA">
        <w:rPr>
          <w:rFonts w:ascii="Arial" w:hAnsi="Arial" w:cs="Arial"/>
          <w:sz w:val="24"/>
          <w:szCs w:val="24"/>
        </w:rPr>
        <w:t xml:space="preserve">cuatro de noviembre de dos mil veintiuno (04/11/2021), </w:t>
      </w:r>
      <w:r w:rsidR="00E252E1">
        <w:rPr>
          <w:rFonts w:ascii="Arial" w:hAnsi="Arial" w:cs="Arial"/>
          <w:sz w:val="24"/>
          <w:szCs w:val="24"/>
        </w:rPr>
        <w:t>se señaló fecha y hora para el desahogo de la audiencia final</w:t>
      </w:r>
      <w:r w:rsidR="000D788F">
        <w:rPr>
          <w:rFonts w:ascii="Arial" w:hAnsi="Arial" w:cs="Arial"/>
          <w:sz w:val="24"/>
          <w:szCs w:val="24"/>
        </w:rPr>
        <w:t xml:space="preserve">.- </w:t>
      </w:r>
    </w:p>
    <w:p w14:paraId="4A3CD490"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597BFA">
        <w:rPr>
          <w:rFonts w:ascii="Arial" w:hAnsi="Arial" w:cs="Arial"/>
          <w:sz w:val="24"/>
          <w:szCs w:val="24"/>
        </w:rPr>
        <w:t xml:space="preserve">diecisiete de noviembre de dos mil veintiuno (17/11/2021),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w:t>
      </w:r>
      <w:r w:rsidR="00D77BDB">
        <w:rPr>
          <w:rFonts w:ascii="Arial" w:hAnsi="Arial" w:cs="Arial"/>
          <w:sz w:val="24"/>
          <w:szCs w:val="24"/>
        </w:rPr>
        <w:t>es, se desahogaron pruebas, y</w:t>
      </w:r>
      <w:r>
        <w:rPr>
          <w:rFonts w:ascii="Arial" w:hAnsi="Arial" w:cs="Arial"/>
          <w:sz w:val="24"/>
          <w:szCs w:val="24"/>
        </w:rPr>
        <w:t xml:space="preserve"> </w:t>
      </w:r>
      <w:r w:rsidR="00DF664D">
        <w:rPr>
          <w:rFonts w:ascii="Arial" w:hAnsi="Arial" w:cs="Arial"/>
          <w:sz w:val="24"/>
          <w:szCs w:val="24"/>
        </w:rPr>
        <w:t xml:space="preserve">no </w:t>
      </w:r>
      <w:r>
        <w:rPr>
          <w:rFonts w:ascii="Arial" w:hAnsi="Arial" w:cs="Arial"/>
          <w:sz w:val="24"/>
          <w:szCs w:val="24"/>
        </w:rPr>
        <w:t>se recibió escrito de alegatos</w:t>
      </w:r>
      <w:r w:rsidR="00DF664D">
        <w:rPr>
          <w:rFonts w:ascii="Arial" w:hAnsi="Arial" w:cs="Arial"/>
          <w:sz w:val="24"/>
          <w:szCs w:val="24"/>
        </w:rPr>
        <w:t xml:space="preserve"> de las partes, </w:t>
      </w:r>
      <w:r>
        <w:rPr>
          <w:rFonts w:ascii="Arial" w:hAnsi="Arial" w:cs="Arial"/>
          <w:sz w:val="24"/>
          <w:szCs w:val="24"/>
        </w:rPr>
        <w:t xml:space="preserve">quedando el asunto integrado y en estado de resolución; y, - - - </w:t>
      </w:r>
      <w:r w:rsidR="00597BFA">
        <w:rPr>
          <w:rFonts w:ascii="Arial" w:hAnsi="Arial" w:cs="Arial"/>
          <w:sz w:val="24"/>
          <w:szCs w:val="24"/>
        </w:rPr>
        <w:t xml:space="preserve">- - - - </w:t>
      </w:r>
    </w:p>
    <w:p w14:paraId="1AB36351"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EF5ED7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6BA3122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9FBE649" w14:textId="3AC55824" w:rsidR="007866AF" w:rsidRPr="00A02FBF" w:rsidRDefault="002B4CA0" w:rsidP="00AC1F7A">
      <w:pPr>
        <w:spacing w:line="360" w:lineRule="auto"/>
        <w:ind w:firstLine="708"/>
        <w:jc w:val="both"/>
        <w:rPr>
          <w:rFonts w:ascii="Arial" w:hAnsi="Arial" w:cs="Arial"/>
          <w:sz w:val="24"/>
          <w:szCs w:val="24"/>
        </w:rPr>
      </w:pPr>
      <w:r>
        <w:rPr>
          <w:rFonts w:ascii="Arial" w:hAnsi="Arial" w:cs="Arial"/>
          <w:sz w:val="24"/>
          <w:szCs w:val="24"/>
        </w:rPr>
        <w:t>La</w:t>
      </w:r>
      <w:r w:rsidR="00566E44">
        <w:rPr>
          <w:rFonts w:ascii="Arial" w:hAnsi="Arial" w:cs="Arial"/>
          <w:sz w:val="24"/>
          <w:szCs w:val="24"/>
        </w:rPr>
        <w:t>s</w:t>
      </w:r>
      <w:r w:rsidRPr="00A17FFD">
        <w:rPr>
          <w:rFonts w:ascii="Arial" w:hAnsi="Arial" w:cs="Arial"/>
          <w:sz w:val="24"/>
          <w:szCs w:val="24"/>
        </w:rPr>
        <w:t xml:space="preserve"> prueba</w:t>
      </w:r>
      <w:r w:rsidR="00566E44">
        <w:rPr>
          <w:rFonts w:ascii="Arial" w:hAnsi="Arial" w:cs="Arial"/>
          <w:sz w:val="24"/>
          <w:szCs w:val="24"/>
        </w:rPr>
        <w:t>s</w:t>
      </w:r>
      <w:r w:rsidRPr="00A17FFD">
        <w:rPr>
          <w:rFonts w:ascii="Arial" w:hAnsi="Arial" w:cs="Arial"/>
          <w:sz w:val="24"/>
          <w:szCs w:val="24"/>
        </w:rPr>
        <w:t xml:space="preserve"> </w:t>
      </w:r>
      <w:r w:rsidRPr="00FB58B6">
        <w:rPr>
          <w:rFonts w:ascii="Arial" w:hAnsi="Arial" w:cs="Arial"/>
          <w:b/>
          <w:sz w:val="24"/>
          <w:szCs w:val="24"/>
        </w:rPr>
        <w:t>DOCUMENTAL</w:t>
      </w:r>
      <w:r w:rsidR="00566E44" w:rsidRPr="00FB58B6">
        <w:rPr>
          <w:rFonts w:ascii="Arial" w:hAnsi="Arial" w:cs="Arial"/>
          <w:b/>
          <w:sz w:val="24"/>
          <w:szCs w:val="24"/>
        </w:rPr>
        <w:t>ES</w:t>
      </w:r>
      <w:r w:rsidRPr="00A17FFD">
        <w:rPr>
          <w:rFonts w:ascii="Arial" w:hAnsi="Arial" w:cs="Arial"/>
          <w:sz w:val="24"/>
          <w:szCs w:val="24"/>
        </w:rPr>
        <w:t xml:space="preserve"> ofrecida</w:t>
      </w:r>
      <w:r w:rsidR="00566E44">
        <w:rPr>
          <w:rFonts w:ascii="Arial" w:hAnsi="Arial" w:cs="Arial"/>
          <w:sz w:val="24"/>
          <w:szCs w:val="24"/>
        </w:rPr>
        <w:t>s</w:t>
      </w:r>
      <w:r>
        <w:rPr>
          <w:rFonts w:ascii="Arial" w:hAnsi="Arial" w:cs="Arial"/>
          <w:sz w:val="24"/>
          <w:szCs w:val="24"/>
        </w:rPr>
        <w:t xml:space="preserve"> y admitida</w:t>
      </w:r>
      <w:r w:rsidR="00566E4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8C0F2F">
        <w:rPr>
          <w:rFonts w:ascii="Arial" w:hAnsi="Arial" w:cs="Arial"/>
          <w:sz w:val="24"/>
          <w:szCs w:val="24"/>
        </w:rPr>
        <w:t xml:space="preserve"> </w:t>
      </w:r>
      <w:r w:rsidRPr="00A17FFD">
        <w:rPr>
          <w:rFonts w:ascii="Arial" w:hAnsi="Arial" w:cs="Arial"/>
          <w:sz w:val="24"/>
          <w:szCs w:val="24"/>
        </w:rPr>
        <w:t>l</w:t>
      </w:r>
      <w:r w:rsidR="008C0F2F">
        <w:rPr>
          <w:rFonts w:ascii="Arial" w:hAnsi="Arial" w:cs="Arial"/>
          <w:sz w:val="24"/>
          <w:szCs w:val="24"/>
        </w:rPr>
        <w:t>a parte</w:t>
      </w:r>
      <w:r w:rsidRPr="00A17FFD">
        <w:rPr>
          <w:rFonts w:ascii="Arial" w:hAnsi="Arial" w:cs="Arial"/>
          <w:sz w:val="24"/>
          <w:szCs w:val="24"/>
        </w:rPr>
        <w:t xml:space="preserve"> </w:t>
      </w:r>
      <w:r w:rsidRPr="00A17FFD">
        <w:rPr>
          <w:rFonts w:ascii="Arial" w:hAnsi="Arial" w:cs="Arial"/>
          <w:sz w:val="24"/>
          <w:szCs w:val="24"/>
          <w:u w:val="single"/>
        </w:rPr>
        <w:t>actor</w:t>
      </w:r>
      <w:r w:rsidR="008C0F2F">
        <w:rPr>
          <w:rFonts w:ascii="Arial" w:hAnsi="Arial" w:cs="Arial"/>
          <w:sz w:val="24"/>
          <w:szCs w:val="24"/>
          <w:u w:val="single"/>
        </w:rPr>
        <w:t>a</w:t>
      </w:r>
      <w:r w:rsidRPr="00A17FFD">
        <w:rPr>
          <w:rFonts w:ascii="Arial" w:hAnsi="Arial" w:cs="Arial"/>
          <w:sz w:val="24"/>
          <w:szCs w:val="24"/>
        </w:rPr>
        <w:t xml:space="preserve"> </w:t>
      </w:r>
      <w:r w:rsidR="00883355">
        <w:rPr>
          <w:rFonts w:ascii="Arial" w:hAnsi="Arial" w:cs="Arial"/>
          <w:sz w:val="24"/>
          <w:szCs w:val="24"/>
        </w:rPr>
        <w:t>***** ***** *****</w:t>
      </w:r>
      <w:r w:rsidRPr="002F7C74">
        <w:rPr>
          <w:rFonts w:ascii="Arial" w:hAnsi="Arial" w:cs="Arial"/>
          <w:sz w:val="24"/>
          <w:szCs w:val="24"/>
        </w:rPr>
        <w:t>,</w:t>
      </w:r>
      <w:r w:rsidR="000250B0" w:rsidRPr="000250B0">
        <w:rPr>
          <w:rFonts w:ascii="Arial" w:hAnsi="Arial" w:cs="Arial"/>
          <w:sz w:val="24"/>
          <w:szCs w:val="24"/>
        </w:rPr>
        <w:t xml:space="preserve"> </w:t>
      </w:r>
      <w:r w:rsidRPr="002F7C74">
        <w:rPr>
          <w:rFonts w:ascii="Arial" w:hAnsi="Arial" w:cs="Arial"/>
          <w:sz w:val="24"/>
          <w:szCs w:val="24"/>
        </w:rPr>
        <w:t xml:space="preserve">consiste </w:t>
      </w:r>
      <w:r w:rsidRPr="00FA6C23">
        <w:rPr>
          <w:rFonts w:ascii="Arial" w:hAnsi="Arial" w:cs="Arial"/>
          <w:sz w:val="24"/>
          <w:szCs w:val="24"/>
        </w:rPr>
        <w:t>en</w:t>
      </w:r>
      <w:r w:rsidR="00B16511">
        <w:rPr>
          <w:rFonts w:ascii="Arial" w:hAnsi="Arial" w:cs="Arial"/>
          <w:sz w:val="24"/>
          <w:szCs w:val="24"/>
        </w:rPr>
        <w:t xml:space="preserve">: </w:t>
      </w:r>
      <w:r w:rsidR="00B16511" w:rsidRPr="00B16511">
        <w:rPr>
          <w:rFonts w:ascii="Arial" w:hAnsi="Arial" w:cs="Arial"/>
          <w:b/>
          <w:sz w:val="24"/>
          <w:szCs w:val="24"/>
        </w:rPr>
        <w:t xml:space="preserve">1.- </w:t>
      </w:r>
      <w:r w:rsidR="00A02FBF" w:rsidRPr="009C043A">
        <w:rPr>
          <w:rFonts w:ascii="Arial" w:hAnsi="Arial" w:cs="Arial"/>
          <w:sz w:val="24"/>
          <w:szCs w:val="24"/>
        </w:rPr>
        <w:t>Original</w:t>
      </w:r>
      <w:r w:rsidR="00A02FBF">
        <w:rPr>
          <w:rFonts w:ascii="Arial" w:hAnsi="Arial" w:cs="Arial"/>
          <w:b/>
          <w:sz w:val="24"/>
          <w:szCs w:val="24"/>
        </w:rPr>
        <w:t xml:space="preserve"> </w:t>
      </w:r>
      <w:r w:rsidR="00A02FBF">
        <w:rPr>
          <w:rFonts w:ascii="Arial" w:hAnsi="Arial" w:cs="Arial"/>
          <w:sz w:val="24"/>
          <w:szCs w:val="24"/>
        </w:rPr>
        <w:t xml:space="preserve">de mandamiento de ejecución número </w:t>
      </w:r>
      <w:r w:rsidR="00883355">
        <w:rPr>
          <w:rFonts w:ascii="Arial" w:hAnsi="Arial" w:cs="Arial"/>
          <w:sz w:val="24"/>
          <w:szCs w:val="24"/>
        </w:rPr>
        <w:t>**********</w:t>
      </w:r>
      <w:r w:rsidR="00A02FBF">
        <w:rPr>
          <w:rFonts w:ascii="Arial" w:hAnsi="Arial" w:cs="Arial"/>
          <w:sz w:val="24"/>
          <w:szCs w:val="24"/>
        </w:rPr>
        <w:t xml:space="preserve">, de </w:t>
      </w:r>
      <w:r w:rsidR="00883355">
        <w:rPr>
          <w:rFonts w:ascii="Arial" w:hAnsi="Arial" w:cs="Arial"/>
          <w:sz w:val="24"/>
          <w:szCs w:val="24"/>
        </w:rPr>
        <w:t>***** de ***** de dos mil diecinueve (**/**/2019)</w:t>
      </w:r>
      <w:r w:rsidR="007F207F">
        <w:rPr>
          <w:rFonts w:ascii="Arial" w:hAnsi="Arial" w:cs="Arial"/>
          <w:sz w:val="24"/>
          <w:szCs w:val="24"/>
        </w:rPr>
        <w:t>,</w:t>
      </w:r>
      <w:r w:rsidR="00A02FBF">
        <w:rPr>
          <w:rFonts w:ascii="Arial" w:hAnsi="Arial" w:cs="Arial"/>
          <w:sz w:val="24"/>
          <w:szCs w:val="24"/>
        </w:rPr>
        <w:t xml:space="preserve"> suscrito por la Coordinadora de Cobro Coactivo de la </w:t>
      </w:r>
      <w:r w:rsidR="00A02FBF" w:rsidRPr="00FA6C23">
        <w:rPr>
          <w:rFonts w:ascii="Arial" w:hAnsi="Arial" w:cs="Arial"/>
          <w:sz w:val="24"/>
          <w:szCs w:val="24"/>
        </w:rPr>
        <w:t>Secretaría de Finanzas del Poder Ejecutivo del Estado</w:t>
      </w:r>
      <w:r w:rsidR="00A02FBF">
        <w:rPr>
          <w:rFonts w:ascii="Arial" w:hAnsi="Arial" w:cs="Arial"/>
          <w:sz w:val="24"/>
          <w:szCs w:val="24"/>
        </w:rPr>
        <w:t xml:space="preserve">; </w:t>
      </w:r>
      <w:r w:rsidR="00A02FBF" w:rsidRPr="00E24040">
        <w:rPr>
          <w:rFonts w:ascii="Arial" w:hAnsi="Arial" w:cs="Arial"/>
          <w:b/>
          <w:sz w:val="24"/>
          <w:szCs w:val="24"/>
        </w:rPr>
        <w:t>2.-</w:t>
      </w:r>
      <w:r w:rsidR="00E24040">
        <w:rPr>
          <w:rFonts w:ascii="Arial" w:hAnsi="Arial" w:cs="Arial"/>
          <w:sz w:val="24"/>
          <w:szCs w:val="24"/>
        </w:rPr>
        <w:t xml:space="preserve"> </w:t>
      </w:r>
      <w:r w:rsidR="00A02FBF">
        <w:rPr>
          <w:rFonts w:ascii="Arial" w:hAnsi="Arial" w:cs="Arial"/>
          <w:sz w:val="24"/>
          <w:szCs w:val="24"/>
        </w:rPr>
        <w:t>O</w:t>
      </w:r>
      <w:r w:rsidR="00E24040">
        <w:rPr>
          <w:rFonts w:ascii="Arial" w:hAnsi="Arial" w:cs="Arial"/>
          <w:sz w:val="24"/>
          <w:szCs w:val="24"/>
        </w:rPr>
        <w:t>ri</w:t>
      </w:r>
      <w:r w:rsidR="00A02FBF">
        <w:rPr>
          <w:rFonts w:ascii="Arial" w:hAnsi="Arial" w:cs="Arial"/>
          <w:sz w:val="24"/>
          <w:szCs w:val="24"/>
        </w:rPr>
        <w:t xml:space="preserve">ginal de acta de requerimiento de pago de fecha </w:t>
      </w:r>
      <w:r w:rsidR="00883355">
        <w:rPr>
          <w:rFonts w:ascii="Arial" w:hAnsi="Arial" w:cs="Arial"/>
          <w:sz w:val="24"/>
          <w:szCs w:val="24"/>
        </w:rPr>
        <w:t>***** de ***** de dos mil diecinueve (**/**/2019)</w:t>
      </w:r>
      <w:r w:rsidR="00A02FBF">
        <w:rPr>
          <w:rFonts w:ascii="Arial" w:hAnsi="Arial" w:cs="Arial"/>
          <w:sz w:val="24"/>
          <w:szCs w:val="24"/>
        </w:rPr>
        <w:t xml:space="preserve">, elaborada por CONCEPCIÓN SÁNCHEZ COSTUMBRE, Notificador/Ejecutor adscrito a la </w:t>
      </w:r>
      <w:r w:rsidR="00E24040">
        <w:rPr>
          <w:rFonts w:ascii="Arial" w:hAnsi="Arial" w:cs="Arial"/>
          <w:sz w:val="24"/>
          <w:szCs w:val="24"/>
        </w:rPr>
        <w:t xml:space="preserve">Secretaría de Finanzas del Poder Ejecutivo del Estado de Oaxaca; </w:t>
      </w:r>
      <w:r w:rsidR="00E24040" w:rsidRPr="007F207F">
        <w:rPr>
          <w:rFonts w:ascii="Arial" w:hAnsi="Arial" w:cs="Arial"/>
          <w:b/>
          <w:sz w:val="24"/>
          <w:szCs w:val="24"/>
        </w:rPr>
        <w:t>3.-</w:t>
      </w:r>
      <w:r w:rsidR="00E24040">
        <w:rPr>
          <w:rFonts w:ascii="Arial" w:hAnsi="Arial" w:cs="Arial"/>
          <w:sz w:val="24"/>
          <w:szCs w:val="24"/>
        </w:rPr>
        <w:t xml:space="preserve"> Informe </w:t>
      </w:r>
      <w:r w:rsidR="007F207F">
        <w:rPr>
          <w:rFonts w:ascii="Arial" w:hAnsi="Arial" w:cs="Arial"/>
          <w:sz w:val="24"/>
          <w:szCs w:val="24"/>
        </w:rPr>
        <w:t xml:space="preserve">emitido por el Director de lo Contencioso de la Procuraduría Fiscal dependiente de la Subsecretaría de Ingresos de la Secretaría de Finanzas del Poder Ejecutivo del Estado de Oaxaca con fecha </w:t>
      </w:r>
      <w:r w:rsidR="00883355">
        <w:rPr>
          <w:rFonts w:ascii="Arial" w:hAnsi="Arial" w:cs="Arial"/>
          <w:sz w:val="24"/>
          <w:szCs w:val="24"/>
        </w:rPr>
        <w:t>***** de ***** de dos mil veintiuno (**/**/2021)</w:t>
      </w:r>
      <w:r w:rsidR="007F207F">
        <w:rPr>
          <w:rFonts w:ascii="Arial" w:hAnsi="Arial" w:cs="Arial"/>
          <w:sz w:val="24"/>
          <w:szCs w:val="24"/>
        </w:rPr>
        <w:t>.</w:t>
      </w:r>
    </w:p>
    <w:p w14:paraId="7FBE7E6B" w14:textId="1AA549AF" w:rsidR="007F207F" w:rsidRDefault="002B4CA0" w:rsidP="009763D9">
      <w:pPr>
        <w:spacing w:line="360" w:lineRule="auto"/>
        <w:ind w:firstLine="708"/>
        <w:jc w:val="both"/>
        <w:rPr>
          <w:rFonts w:ascii="Arial" w:hAnsi="Arial" w:cs="Arial"/>
          <w:sz w:val="24"/>
          <w:szCs w:val="24"/>
        </w:rPr>
      </w:pPr>
      <w:r>
        <w:rPr>
          <w:rFonts w:ascii="Arial" w:hAnsi="Arial" w:cs="Arial"/>
          <w:sz w:val="24"/>
          <w:szCs w:val="24"/>
        </w:rPr>
        <w:t xml:space="preserve">Por lo que </w:t>
      </w:r>
      <w:r w:rsidRPr="0045598E">
        <w:rPr>
          <w:rFonts w:ascii="Arial" w:hAnsi="Arial" w:cs="Arial"/>
          <w:sz w:val="24"/>
          <w:szCs w:val="24"/>
        </w:rPr>
        <w:t>respecta a la autoridad</w:t>
      </w:r>
      <w:r w:rsidR="006D6D70" w:rsidRPr="0045598E">
        <w:rPr>
          <w:rFonts w:ascii="Arial" w:hAnsi="Arial" w:cs="Arial"/>
          <w:sz w:val="24"/>
          <w:szCs w:val="24"/>
        </w:rPr>
        <w:t xml:space="preserve"> demandada, se le admitieron las </w:t>
      </w:r>
      <w:r w:rsidR="006D6D70" w:rsidRPr="0045598E">
        <w:rPr>
          <w:rFonts w:ascii="Arial" w:hAnsi="Arial" w:cs="Arial"/>
          <w:b/>
          <w:sz w:val="24"/>
          <w:szCs w:val="24"/>
        </w:rPr>
        <w:t>DOCUMENTALES</w:t>
      </w:r>
      <w:r w:rsidR="006D6D70" w:rsidRPr="0045598E">
        <w:rPr>
          <w:rFonts w:ascii="Arial" w:hAnsi="Arial" w:cs="Arial"/>
          <w:sz w:val="24"/>
          <w:szCs w:val="24"/>
        </w:rPr>
        <w:t xml:space="preserve"> consistentes en</w:t>
      </w:r>
      <w:r w:rsidR="0004487C" w:rsidRPr="0045598E">
        <w:rPr>
          <w:rFonts w:ascii="Arial" w:hAnsi="Arial" w:cs="Arial"/>
          <w:sz w:val="24"/>
          <w:szCs w:val="24"/>
        </w:rPr>
        <w:t xml:space="preserve"> copia</w:t>
      </w:r>
      <w:r w:rsidR="00CC04C2">
        <w:rPr>
          <w:rFonts w:ascii="Arial" w:hAnsi="Arial" w:cs="Arial"/>
          <w:sz w:val="24"/>
          <w:szCs w:val="24"/>
        </w:rPr>
        <w:t>s</w:t>
      </w:r>
      <w:r w:rsidR="0004487C">
        <w:rPr>
          <w:rFonts w:ascii="Arial" w:hAnsi="Arial" w:cs="Arial"/>
          <w:sz w:val="24"/>
          <w:szCs w:val="24"/>
        </w:rPr>
        <w:t xml:space="preserve"> certificada</w:t>
      </w:r>
      <w:r w:rsidR="00CC04C2">
        <w:rPr>
          <w:rFonts w:ascii="Arial" w:hAnsi="Arial" w:cs="Arial"/>
          <w:sz w:val="24"/>
          <w:szCs w:val="24"/>
        </w:rPr>
        <w:t>s</w:t>
      </w:r>
      <w:r w:rsidR="0004487C">
        <w:rPr>
          <w:rFonts w:ascii="Arial" w:hAnsi="Arial" w:cs="Arial"/>
          <w:sz w:val="24"/>
          <w:szCs w:val="24"/>
        </w:rPr>
        <w:t xml:space="preserve">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7F207F">
        <w:rPr>
          <w:rFonts w:ascii="Arial" w:hAnsi="Arial" w:cs="Arial"/>
          <w:sz w:val="24"/>
          <w:szCs w:val="24"/>
        </w:rPr>
        <w:t xml:space="preserve">Cuadernillo compuesto de diez fojas útiles certificadas correspondientes al mandamiento de ejecución número </w:t>
      </w:r>
      <w:r w:rsidR="00883355">
        <w:rPr>
          <w:rFonts w:ascii="Arial" w:hAnsi="Arial" w:cs="Arial"/>
          <w:sz w:val="24"/>
          <w:szCs w:val="24"/>
        </w:rPr>
        <w:t>**********</w:t>
      </w:r>
      <w:r w:rsidR="007F207F">
        <w:rPr>
          <w:rFonts w:ascii="Arial" w:hAnsi="Arial" w:cs="Arial"/>
          <w:sz w:val="24"/>
          <w:szCs w:val="24"/>
        </w:rPr>
        <w:t xml:space="preserve">, de </w:t>
      </w:r>
      <w:r w:rsidR="00883355">
        <w:rPr>
          <w:rFonts w:ascii="Arial" w:hAnsi="Arial" w:cs="Arial"/>
          <w:sz w:val="24"/>
          <w:szCs w:val="24"/>
        </w:rPr>
        <w:t>***** de ***** de dos mil diecinueve (**/**/2019)</w:t>
      </w:r>
      <w:r w:rsidR="007F207F">
        <w:rPr>
          <w:rFonts w:ascii="Arial" w:hAnsi="Arial" w:cs="Arial"/>
          <w:sz w:val="24"/>
          <w:szCs w:val="24"/>
        </w:rPr>
        <w:t>.</w:t>
      </w:r>
    </w:p>
    <w:p w14:paraId="4A04D165" w14:textId="77777777" w:rsidR="00097F06" w:rsidRDefault="00097F06" w:rsidP="00A230DC">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FF7742">
        <w:rPr>
          <w:rFonts w:ascii="Arial" w:hAnsi="Arial" w:cs="Arial"/>
          <w:b/>
          <w:sz w:val="24"/>
          <w:szCs w:val="24"/>
        </w:rPr>
        <w:t>pleno valor probatorio</w:t>
      </w:r>
      <w:r>
        <w:rPr>
          <w:rFonts w:ascii="Arial" w:hAnsi="Arial" w:cs="Arial"/>
          <w:sz w:val="24"/>
          <w:szCs w:val="24"/>
        </w:rPr>
        <w:t xml:space="preserve">, pues </w:t>
      </w:r>
      <w:r w:rsidR="000A6C37">
        <w:rPr>
          <w:rFonts w:ascii="Arial" w:hAnsi="Arial" w:cs="Arial"/>
          <w:sz w:val="24"/>
          <w:szCs w:val="24"/>
        </w:rPr>
        <w:t>los remitidos por el actor son</w:t>
      </w:r>
      <w:r w:rsidR="00673944">
        <w:rPr>
          <w:rFonts w:ascii="Arial" w:hAnsi="Arial" w:cs="Arial"/>
          <w:sz w:val="24"/>
          <w:szCs w:val="24"/>
        </w:rPr>
        <w:t xml:space="preserve"> documento</w:t>
      </w:r>
      <w:r w:rsidR="000A6C37">
        <w:rPr>
          <w:rFonts w:ascii="Arial" w:hAnsi="Arial" w:cs="Arial"/>
          <w:sz w:val="24"/>
          <w:szCs w:val="24"/>
        </w:rPr>
        <w:t>s</w:t>
      </w:r>
      <w:r w:rsidR="00673944">
        <w:rPr>
          <w:rFonts w:ascii="Arial" w:hAnsi="Arial" w:cs="Arial"/>
          <w:sz w:val="24"/>
          <w:szCs w:val="24"/>
        </w:rPr>
        <w:t xml:space="preserve"> público</w:t>
      </w:r>
      <w:r w:rsidR="000A6C37">
        <w:rPr>
          <w:rFonts w:ascii="Arial" w:hAnsi="Arial" w:cs="Arial"/>
          <w:sz w:val="24"/>
          <w:szCs w:val="24"/>
        </w:rPr>
        <w:t>s</w:t>
      </w:r>
      <w:r w:rsidR="00673944">
        <w:rPr>
          <w:rFonts w:ascii="Arial" w:hAnsi="Arial" w:cs="Arial"/>
          <w:sz w:val="24"/>
          <w:szCs w:val="24"/>
        </w:rPr>
        <w:t xml:space="preserve"> </w:t>
      </w:r>
      <w:r w:rsidR="00673944">
        <w:rPr>
          <w:rFonts w:ascii="Arial" w:hAnsi="Arial" w:cs="Arial"/>
          <w:sz w:val="24"/>
          <w:szCs w:val="24"/>
        </w:rPr>
        <w:lastRenderedPageBreak/>
        <w:t>original</w:t>
      </w:r>
      <w:r w:rsidR="000A6C37">
        <w:rPr>
          <w:rFonts w:ascii="Arial" w:hAnsi="Arial" w:cs="Arial"/>
          <w:sz w:val="24"/>
          <w:szCs w:val="24"/>
        </w:rPr>
        <w:t>es</w:t>
      </w:r>
      <w:r w:rsidR="00673944">
        <w:rPr>
          <w:rFonts w:ascii="Arial" w:hAnsi="Arial" w:cs="Arial"/>
          <w:sz w:val="24"/>
          <w:szCs w:val="24"/>
        </w:rPr>
        <w:t xml:space="preserve"> en l</w:t>
      </w:r>
      <w:r w:rsidR="000A6C37">
        <w:rPr>
          <w:rFonts w:ascii="Arial" w:hAnsi="Arial" w:cs="Arial"/>
          <w:sz w:val="24"/>
          <w:szCs w:val="24"/>
        </w:rPr>
        <w:t>os</w:t>
      </w:r>
      <w:r w:rsidR="00673944">
        <w:rPr>
          <w:rFonts w:ascii="Arial" w:hAnsi="Arial" w:cs="Arial"/>
          <w:sz w:val="24"/>
          <w:szCs w:val="24"/>
        </w:rPr>
        <w:t xml:space="preserve"> que se advierte el nombre, firma, cargo y sello de la</w:t>
      </w:r>
      <w:r w:rsidR="000A6C37">
        <w:rPr>
          <w:rFonts w:ascii="Arial" w:hAnsi="Arial" w:cs="Arial"/>
          <w:sz w:val="24"/>
          <w:szCs w:val="24"/>
        </w:rPr>
        <w:t>s</w:t>
      </w:r>
      <w:r w:rsidR="00673944">
        <w:rPr>
          <w:rFonts w:ascii="Arial" w:hAnsi="Arial" w:cs="Arial"/>
          <w:sz w:val="24"/>
          <w:szCs w:val="24"/>
        </w:rPr>
        <w:t xml:space="preserve"> dependencia</w:t>
      </w:r>
      <w:r w:rsidR="000A6C37">
        <w:rPr>
          <w:rFonts w:ascii="Arial" w:hAnsi="Arial" w:cs="Arial"/>
          <w:sz w:val="24"/>
          <w:szCs w:val="24"/>
        </w:rPr>
        <w:t>s</w:t>
      </w:r>
      <w:r w:rsidR="00673944">
        <w:rPr>
          <w:rFonts w:ascii="Arial" w:hAnsi="Arial" w:cs="Arial"/>
          <w:sz w:val="24"/>
          <w:szCs w:val="24"/>
        </w:rPr>
        <w:t xml:space="preserve"> a la</w:t>
      </w:r>
      <w:r w:rsidR="000A6C37">
        <w:rPr>
          <w:rFonts w:ascii="Arial" w:hAnsi="Arial" w:cs="Arial"/>
          <w:sz w:val="24"/>
          <w:szCs w:val="24"/>
        </w:rPr>
        <w:t>s</w:t>
      </w:r>
      <w:r w:rsidR="00673944">
        <w:rPr>
          <w:rFonts w:ascii="Arial" w:hAnsi="Arial" w:cs="Arial"/>
          <w:sz w:val="24"/>
          <w:szCs w:val="24"/>
        </w:rPr>
        <w:t xml:space="preserve"> que pertenece</w:t>
      </w:r>
      <w:r w:rsidR="000A6C37">
        <w:rPr>
          <w:rFonts w:ascii="Arial" w:hAnsi="Arial" w:cs="Arial"/>
          <w:sz w:val="24"/>
          <w:szCs w:val="24"/>
        </w:rPr>
        <w:t>n</w:t>
      </w:r>
      <w:r w:rsidR="00673944">
        <w:rPr>
          <w:rFonts w:ascii="Arial" w:hAnsi="Arial" w:cs="Arial"/>
          <w:sz w:val="24"/>
          <w:szCs w:val="24"/>
        </w:rPr>
        <w:t xml:space="preserve"> la persona</w:t>
      </w:r>
      <w:r w:rsidR="000A6C37">
        <w:rPr>
          <w:rFonts w:ascii="Arial" w:hAnsi="Arial" w:cs="Arial"/>
          <w:sz w:val="24"/>
          <w:szCs w:val="24"/>
        </w:rPr>
        <w:t>s que los emitieron</w:t>
      </w:r>
      <w:r w:rsidR="00673944">
        <w:rPr>
          <w:rFonts w:ascii="Arial" w:hAnsi="Arial" w:cs="Arial"/>
          <w:sz w:val="24"/>
          <w:szCs w:val="24"/>
        </w:rPr>
        <w:t xml:space="preserve">, </w:t>
      </w:r>
      <w:r w:rsidR="00A230DC">
        <w:rPr>
          <w:rFonts w:ascii="Arial" w:hAnsi="Arial" w:cs="Arial"/>
          <w:sz w:val="24"/>
          <w:szCs w:val="24"/>
        </w:rPr>
        <w:t xml:space="preserve">y por lo que respecta a los documentos certificados remitidos por la autoridad demandada, </w:t>
      </w:r>
      <w:r w:rsidR="00545C55">
        <w:rPr>
          <w:rFonts w:ascii="Arial" w:hAnsi="Arial" w:cs="Arial"/>
          <w:sz w:val="24"/>
          <w:szCs w:val="24"/>
        </w:rPr>
        <w:t>est</w:t>
      </w:r>
      <w:r w:rsidR="00A230DC">
        <w:rPr>
          <w:rFonts w:ascii="Arial" w:hAnsi="Arial" w:cs="Arial"/>
          <w:sz w:val="24"/>
          <w:szCs w:val="24"/>
        </w:rPr>
        <w:t>o</w:t>
      </w:r>
      <w:r w:rsidR="00545C55">
        <w:rPr>
          <w:rFonts w:ascii="Arial" w:hAnsi="Arial" w:cs="Arial"/>
          <w:sz w:val="24"/>
          <w:szCs w:val="24"/>
        </w:rPr>
        <w:t>s fueron certificadas</w:t>
      </w:r>
      <w:r w:rsidR="000A6C37">
        <w:rPr>
          <w:rFonts w:ascii="Arial" w:hAnsi="Arial" w:cs="Arial"/>
          <w:sz w:val="24"/>
          <w:szCs w:val="24"/>
        </w:rPr>
        <w:t xml:space="preserve"> una</w:t>
      </w:r>
      <w:r>
        <w:rPr>
          <w:rFonts w:ascii="Arial" w:hAnsi="Arial" w:cs="Arial"/>
          <w:sz w:val="24"/>
          <w:szCs w:val="24"/>
        </w:rPr>
        <w:t xml:space="preserve"> 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0A6C37">
        <w:rPr>
          <w:rFonts w:ascii="Arial" w:hAnsi="Arial" w:cs="Arial"/>
          <w:sz w:val="24"/>
          <w:szCs w:val="24"/>
        </w:rPr>
        <w:t>es</w:t>
      </w:r>
      <w:r w:rsidR="00DC5BA8">
        <w:rPr>
          <w:rFonts w:ascii="Arial" w:hAnsi="Arial" w:cs="Arial"/>
          <w:sz w:val="24"/>
          <w:szCs w:val="24"/>
        </w:rPr>
        <w:t xml:space="preserve">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w:t>
      </w:r>
      <w:r w:rsidR="00DC5BA8">
        <w:rPr>
          <w:rFonts w:ascii="Arial" w:eastAsia="Times New Roman" w:hAnsi="Arial" w:cs="Arial"/>
          <w:sz w:val="24"/>
          <w:szCs w:val="24"/>
          <w:lang w:val="es-ES_tradnl" w:eastAsia="es-ES"/>
        </w:rPr>
        <w:t>actuando en uso de</w:t>
      </w:r>
      <w:r w:rsidR="000A6C37">
        <w:rPr>
          <w:rFonts w:ascii="Arial" w:eastAsia="Times New Roman" w:hAnsi="Arial" w:cs="Arial"/>
          <w:sz w:val="24"/>
          <w:szCs w:val="24"/>
          <w:lang w:val="es-ES_tradnl" w:eastAsia="es-ES"/>
        </w:rPr>
        <w:t xml:space="preserve"> las atribuciones que le otorga</w:t>
      </w:r>
      <w:r w:rsidR="00DC5BA8">
        <w:rPr>
          <w:rFonts w:ascii="Arial" w:eastAsia="Times New Roman" w:hAnsi="Arial" w:cs="Arial"/>
          <w:sz w:val="24"/>
          <w:szCs w:val="24"/>
          <w:lang w:val="es-ES_tradnl" w:eastAsia="es-ES"/>
        </w:rPr>
        <w:t xml:space="preserve"> </w:t>
      </w:r>
      <w:r w:rsidR="000A6C37">
        <w:rPr>
          <w:rFonts w:ascii="Arial" w:eastAsia="Times New Roman" w:hAnsi="Arial" w:cs="Arial"/>
          <w:sz w:val="24"/>
          <w:szCs w:val="24"/>
          <w:lang w:val="es-ES_tradnl" w:eastAsia="es-ES"/>
        </w:rPr>
        <w:t>e</w:t>
      </w:r>
      <w:r w:rsidR="00DC5BA8">
        <w:rPr>
          <w:rFonts w:ascii="Arial" w:eastAsia="Times New Roman" w:hAnsi="Arial" w:cs="Arial"/>
          <w:sz w:val="24"/>
          <w:szCs w:val="24"/>
          <w:lang w:val="es-ES_tradnl" w:eastAsia="es-ES"/>
        </w:rPr>
        <w:t xml:space="preserv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35E1F9B7"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3935BC25"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w:t>
      </w:r>
      <w:r w:rsidR="000C634F">
        <w:rPr>
          <w:rFonts w:ascii="Arial" w:hAnsi="Arial" w:cs="Arial"/>
          <w:sz w:val="24"/>
          <w:szCs w:val="24"/>
        </w:rPr>
        <w:t xml:space="preserve"> DE ACTUACIONES, ofrecida por </w:t>
      </w:r>
      <w:r w:rsidR="00BF7982">
        <w:rPr>
          <w:rFonts w:ascii="Arial" w:hAnsi="Arial" w:cs="Arial"/>
          <w:sz w:val="24"/>
          <w:szCs w:val="24"/>
        </w:rPr>
        <w:t xml:space="preserve">ambas partes, </w:t>
      </w:r>
      <w:r>
        <w:rPr>
          <w:rFonts w:ascii="Arial" w:hAnsi="Arial" w:cs="Arial"/>
          <w:sz w:val="24"/>
          <w:szCs w:val="24"/>
        </w:rPr>
        <w:t xml:space="preserve">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5D7FA909"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BF7982">
        <w:rPr>
          <w:rFonts w:ascii="Arial" w:hAnsi="Arial" w:cs="Arial"/>
          <w:sz w:val="24"/>
          <w:szCs w:val="24"/>
        </w:rPr>
        <w:t xml:space="preserve">por la parte actora y </w:t>
      </w:r>
      <w:r w:rsidR="006C5596">
        <w:rPr>
          <w:rFonts w:ascii="Arial" w:hAnsi="Arial" w:cs="Arial"/>
          <w:sz w:val="24"/>
          <w:szCs w:val="24"/>
        </w:rPr>
        <w:t>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r w:rsidR="005775C3">
        <w:rPr>
          <w:rFonts w:ascii="Arial" w:hAnsi="Arial" w:cs="Arial"/>
          <w:sz w:val="24"/>
          <w:szCs w:val="24"/>
        </w:rPr>
        <w:t>- - - - - - - - - - - - - - - - - - - - - - - - - - - - -</w:t>
      </w:r>
    </w:p>
    <w:p w14:paraId="0584B70F" w14:textId="77777777" w:rsidR="002B4CA0" w:rsidRPr="00586C84"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w:t>
      </w:r>
      <w:r w:rsidRPr="00653BD0">
        <w:rPr>
          <w:rFonts w:ascii="Arial" w:hAnsi="Arial" w:cs="Arial"/>
          <w:sz w:val="24"/>
        </w:rPr>
        <w:lastRenderedPageBreak/>
        <w:t xml:space="preserve">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w:t>
      </w:r>
      <w:r w:rsidRPr="00586C84">
        <w:rPr>
          <w:rFonts w:ascii="Arial" w:hAnsi="Arial" w:cs="Arial"/>
          <w:i/>
          <w:sz w:val="24"/>
        </w:rPr>
        <w:t>su Gaceta</w:t>
      </w:r>
      <w:r w:rsidRPr="00586C84">
        <w:rPr>
          <w:rFonts w:ascii="Arial" w:hAnsi="Arial" w:cs="Arial"/>
          <w:sz w:val="24"/>
        </w:rPr>
        <w:t xml:space="preserve">.- - - - - - - - - - - - - - - - - - - - - - - - - - - - - - - - - - - - - - - </w:t>
      </w:r>
    </w:p>
    <w:p w14:paraId="4F6F666E" w14:textId="7543BAC6" w:rsidR="008C5F5D" w:rsidRDefault="002B4CA0" w:rsidP="009C043A">
      <w:pPr>
        <w:tabs>
          <w:tab w:val="center" w:pos="4574"/>
        </w:tabs>
        <w:spacing w:line="360" w:lineRule="auto"/>
        <w:ind w:firstLine="708"/>
        <w:jc w:val="both"/>
        <w:rPr>
          <w:rFonts w:ascii="Arial" w:hAnsi="Arial" w:cs="Arial"/>
          <w:sz w:val="24"/>
          <w:szCs w:val="24"/>
        </w:rPr>
      </w:pPr>
      <w:proofErr w:type="gramStart"/>
      <w:r w:rsidRPr="00586C84">
        <w:rPr>
          <w:rFonts w:ascii="Arial" w:hAnsi="Arial" w:cs="Arial"/>
          <w:b/>
          <w:sz w:val="24"/>
          <w:szCs w:val="24"/>
        </w:rPr>
        <w:t>CUARTO.-</w:t>
      </w:r>
      <w:proofErr w:type="gramEnd"/>
      <w:r w:rsidRPr="00586C84">
        <w:rPr>
          <w:rFonts w:ascii="Arial" w:hAnsi="Arial" w:cs="Arial"/>
          <w:b/>
          <w:sz w:val="24"/>
          <w:szCs w:val="24"/>
        </w:rPr>
        <w:t xml:space="preserve"> </w:t>
      </w:r>
      <w:r w:rsidR="00055F2D" w:rsidRPr="00586C84">
        <w:rPr>
          <w:rFonts w:ascii="Arial" w:hAnsi="Arial" w:cs="Arial"/>
          <w:b/>
          <w:sz w:val="24"/>
          <w:szCs w:val="24"/>
        </w:rPr>
        <w:t xml:space="preserve">PERSONALIDAD.- </w:t>
      </w:r>
      <w:r w:rsidR="008C5F5D" w:rsidRPr="00586C84">
        <w:rPr>
          <w:rFonts w:ascii="Arial" w:hAnsi="Arial" w:cs="Arial"/>
          <w:sz w:val="24"/>
          <w:szCs w:val="24"/>
        </w:rPr>
        <w:t>La personalidad de</w:t>
      </w:r>
      <w:r w:rsidR="00DD45D5" w:rsidRPr="00586C84">
        <w:rPr>
          <w:rFonts w:ascii="Arial" w:hAnsi="Arial" w:cs="Arial"/>
          <w:sz w:val="24"/>
          <w:szCs w:val="24"/>
        </w:rPr>
        <w:t xml:space="preserve"> </w:t>
      </w:r>
      <w:r w:rsidR="008C5F5D" w:rsidRPr="00586C84">
        <w:rPr>
          <w:rFonts w:ascii="Arial" w:hAnsi="Arial" w:cs="Arial"/>
          <w:sz w:val="24"/>
          <w:szCs w:val="24"/>
        </w:rPr>
        <w:t>l</w:t>
      </w:r>
      <w:r w:rsidR="00DD45D5" w:rsidRPr="00586C84">
        <w:rPr>
          <w:rFonts w:ascii="Arial" w:hAnsi="Arial" w:cs="Arial"/>
          <w:sz w:val="24"/>
          <w:szCs w:val="24"/>
        </w:rPr>
        <w:t>a</w:t>
      </w:r>
      <w:r w:rsidR="008C5F5D" w:rsidRPr="00586C84">
        <w:rPr>
          <w:rFonts w:ascii="Arial" w:hAnsi="Arial" w:cs="Arial"/>
          <w:sz w:val="24"/>
          <w:szCs w:val="24"/>
        </w:rPr>
        <w:t xml:space="preserve"> actor</w:t>
      </w:r>
      <w:r w:rsidR="00DD45D5" w:rsidRPr="00586C84">
        <w:rPr>
          <w:rFonts w:ascii="Arial" w:hAnsi="Arial" w:cs="Arial"/>
          <w:sz w:val="24"/>
          <w:szCs w:val="24"/>
        </w:rPr>
        <w:t>a</w:t>
      </w:r>
      <w:r w:rsidR="008C5F5D" w:rsidRPr="00586C84">
        <w:rPr>
          <w:rFonts w:ascii="Arial" w:hAnsi="Arial" w:cs="Arial"/>
          <w:sz w:val="24"/>
          <w:szCs w:val="24"/>
        </w:rPr>
        <w:t xml:space="preserve"> </w:t>
      </w:r>
      <w:r w:rsidR="00883355">
        <w:rPr>
          <w:rFonts w:ascii="Arial" w:hAnsi="Arial" w:cs="Arial"/>
          <w:sz w:val="24"/>
          <w:szCs w:val="24"/>
        </w:rPr>
        <w:t>***** ***** *****</w:t>
      </w:r>
      <w:r w:rsidR="00BF7982">
        <w:rPr>
          <w:rFonts w:ascii="Arial" w:hAnsi="Arial" w:cs="Arial"/>
          <w:sz w:val="24"/>
          <w:szCs w:val="24"/>
        </w:rPr>
        <w:t xml:space="preserve">, quedó </w:t>
      </w:r>
      <w:r w:rsidR="001D3299">
        <w:rPr>
          <w:rFonts w:ascii="Arial" w:hAnsi="Arial" w:cs="Arial"/>
          <w:sz w:val="24"/>
          <w:szCs w:val="24"/>
        </w:rPr>
        <w:t>justificada</w:t>
      </w:r>
      <w:r w:rsidR="00BF7982">
        <w:rPr>
          <w:rFonts w:ascii="Arial" w:hAnsi="Arial" w:cs="Arial"/>
          <w:sz w:val="24"/>
          <w:szCs w:val="24"/>
        </w:rPr>
        <w:t xml:space="preserve"> en este asunto</w:t>
      </w:r>
      <w:r w:rsidR="001D3299">
        <w:rPr>
          <w:rFonts w:ascii="Arial" w:hAnsi="Arial" w:cs="Arial"/>
          <w:sz w:val="24"/>
          <w:szCs w:val="24"/>
        </w:rPr>
        <w:t>,</w:t>
      </w:r>
      <w:r w:rsidR="00BF7982">
        <w:rPr>
          <w:rFonts w:ascii="Arial" w:hAnsi="Arial" w:cs="Arial"/>
          <w:sz w:val="24"/>
          <w:szCs w:val="24"/>
        </w:rPr>
        <w:t xml:space="preserve"> </w:t>
      </w:r>
      <w:r w:rsidR="00586C84">
        <w:rPr>
          <w:rFonts w:ascii="Arial" w:hAnsi="Arial" w:cs="Arial"/>
          <w:sz w:val="24"/>
          <w:szCs w:val="24"/>
        </w:rPr>
        <w:t>pues su nombre aparece plasmado en el mandamiento de ejecución y acta de requerimiento de pago, de ahí que su interés jurídico y legítimo en este asunto haya quedado acreditado</w:t>
      </w:r>
      <w:r w:rsidR="009C043A">
        <w:rPr>
          <w:rFonts w:ascii="Arial" w:hAnsi="Arial" w:cs="Arial"/>
          <w:sz w:val="24"/>
          <w:szCs w:val="24"/>
        </w:rPr>
        <w:t>,</w:t>
      </w:r>
      <w:r w:rsidR="00586C84">
        <w:rPr>
          <w:rFonts w:ascii="Arial" w:hAnsi="Arial" w:cs="Arial"/>
          <w:sz w:val="24"/>
          <w:szCs w:val="24"/>
        </w:rPr>
        <w:t xml:space="preserve"> </w:t>
      </w:r>
      <w:r w:rsidR="001D3299">
        <w:rPr>
          <w:rFonts w:ascii="Arial" w:hAnsi="Arial" w:cs="Arial"/>
          <w:sz w:val="24"/>
          <w:szCs w:val="24"/>
        </w:rPr>
        <w:t xml:space="preserve">lo anterior de conformidad con lo dispuesto en los </w:t>
      </w:r>
      <w:r w:rsidR="008C5F5D">
        <w:rPr>
          <w:rFonts w:ascii="Arial" w:hAnsi="Arial" w:cs="Arial"/>
          <w:sz w:val="24"/>
          <w:szCs w:val="24"/>
        </w:rPr>
        <w:t>artículos 163 fr</w:t>
      </w:r>
      <w:r w:rsidR="00070476">
        <w:rPr>
          <w:rFonts w:ascii="Arial" w:hAnsi="Arial" w:cs="Arial"/>
          <w:sz w:val="24"/>
          <w:szCs w:val="24"/>
        </w:rPr>
        <w:t xml:space="preserve">acción I, inciso a) y 164, </w:t>
      </w:r>
      <w:r w:rsidR="009C043A">
        <w:rPr>
          <w:rFonts w:ascii="Arial" w:hAnsi="Arial" w:cs="Arial"/>
          <w:sz w:val="24"/>
          <w:szCs w:val="24"/>
        </w:rPr>
        <w:t>ambos</w:t>
      </w:r>
      <w:r w:rsidR="008C5F5D">
        <w:rPr>
          <w:rFonts w:ascii="Arial" w:hAnsi="Arial" w:cs="Arial"/>
          <w:sz w:val="24"/>
          <w:szCs w:val="24"/>
        </w:rPr>
        <w:t xml:space="preserve"> de la Ley de Procedimiento y Justicia Administrativa para el </w:t>
      </w:r>
      <w:r w:rsidR="001D3299">
        <w:rPr>
          <w:rFonts w:ascii="Arial" w:hAnsi="Arial" w:cs="Arial"/>
          <w:sz w:val="24"/>
          <w:szCs w:val="24"/>
        </w:rPr>
        <w:t>Estado</w:t>
      </w:r>
      <w:r w:rsidR="008C5F5D">
        <w:rPr>
          <w:rFonts w:ascii="Arial" w:hAnsi="Arial" w:cs="Arial"/>
          <w:sz w:val="24"/>
          <w:szCs w:val="24"/>
        </w:rPr>
        <w:t>.</w:t>
      </w:r>
    </w:p>
    <w:p w14:paraId="7FB97BB3"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9C043A">
        <w:rPr>
          <w:rFonts w:ascii="Arial" w:hAnsi="Arial" w:cs="Arial"/>
          <w:sz w:val="24"/>
        </w:rPr>
        <w:t xml:space="preserve">Coordinadora de Cobro Coactivo </w:t>
      </w:r>
      <w:r>
        <w:rPr>
          <w:rFonts w:ascii="Arial" w:hAnsi="Arial" w:cs="Arial"/>
          <w:sz w:val="24"/>
          <w:szCs w:val="24"/>
        </w:rPr>
        <w:t xml:space="preserve">de la </w:t>
      </w:r>
      <w:r w:rsidRPr="009C043A">
        <w:rPr>
          <w:rFonts w:ascii="Arial" w:hAnsi="Arial" w:cs="Arial"/>
          <w:sz w:val="24"/>
          <w:szCs w:val="24"/>
        </w:rPr>
        <w:t xml:space="preserve">Secretaría de Finanzas del Poder Ejecutivo del Estado de Oaxaca, </w:t>
      </w:r>
      <w:r w:rsidRPr="009C043A">
        <w:rPr>
          <w:rFonts w:ascii="Arial" w:hAnsi="Arial" w:cs="Arial"/>
          <w:sz w:val="24"/>
        </w:rPr>
        <w:t>se tiene por acreditada su personalidad por disposición expresa del artículo 151 de la Ley de Procedimiento</w:t>
      </w:r>
      <w:r w:rsidRPr="00104EF9">
        <w:rPr>
          <w:rFonts w:ascii="Arial" w:hAnsi="Arial" w:cs="Arial"/>
          <w:sz w:val="24"/>
        </w:rPr>
        <w:t xml:space="preserve"> y Justicia Administrativa del Estado de Oaxaca, toda vez que</w:t>
      </w:r>
      <w:r>
        <w:rPr>
          <w:rFonts w:ascii="Arial" w:hAnsi="Arial" w:cs="Arial"/>
          <w:sz w:val="24"/>
        </w:rPr>
        <w:t xml:space="preserve"> ésta no fue impugnada por la </w:t>
      </w:r>
      <w:r w:rsidR="00566E44">
        <w:rPr>
          <w:rFonts w:ascii="Arial" w:hAnsi="Arial" w:cs="Arial"/>
          <w:sz w:val="24"/>
        </w:rPr>
        <w:t xml:space="preserve">parte </w:t>
      </w:r>
      <w:r>
        <w:rPr>
          <w:rFonts w:ascii="Arial" w:hAnsi="Arial" w:cs="Arial"/>
          <w:sz w:val="24"/>
        </w:rPr>
        <w:t xml:space="preserve">actora. - </w:t>
      </w:r>
    </w:p>
    <w:p w14:paraId="09CB77E5"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w:t>
      </w:r>
      <w:r w:rsidRPr="001368DC">
        <w:rPr>
          <w:rFonts w:ascii="Arial" w:hAnsi="Arial" w:cs="Arial"/>
          <w:sz w:val="24"/>
          <w:szCs w:val="24"/>
        </w:rPr>
        <w:t xml:space="preserve">de actualizarse alguna de las hipótesis normativas, surge un impedimento para resolver el fondo del asunto, que obliga a decretar el sobreseimiento, tal y como </w:t>
      </w:r>
      <w:r w:rsidR="001A29F3">
        <w:rPr>
          <w:rFonts w:ascii="Arial" w:hAnsi="Arial" w:cs="Arial"/>
          <w:sz w:val="24"/>
          <w:szCs w:val="24"/>
        </w:rPr>
        <w:t>se establece en los artículos 161 y 16</w:t>
      </w:r>
      <w:r w:rsidRPr="001368DC">
        <w:rPr>
          <w:rFonts w:ascii="Arial" w:hAnsi="Arial" w:cs="Arial"/>
          <w:sz w:val="24"/>
          <w:szCs w:val="24"/>
        </w:rPr>
        <w:t>2, de la ley de la materia.</w:t>
      </w:r>
      <w:r>
        <w:rPr>
          <w:rFonts w:ascii="Arial" w:hAnsi="Arial" w:cs="Arial"/>
          <w:sz w:val="24"/>
          <w:szCs w:val="24"/>
        </w:rPr>
        <w:t xml:space="preserve"> </w:t>
      </w:r>
    </w:p>
    <w:p w14:paraId="5DC33507" w14:textId="77777777" w:rsidR="001D2A02" w:rsidRDefault="001D2A02" w:rsidP="001D2A02">
      <w:pPr>
        <w:spacing w:line="360" w:lineRule="auto"/>
        <w:ind w:firstLine="708"/>
        <w:jc w:val="both"/>
        <w:rPr>
          <w:rFonts w:ascii="Arial" w:hAnsi="Arial" w:cs="Arial"/>
          <w:sz w:val="24"/>
          <w:szCs w:val="24"/>
        </w:rPr>
      </w:pPr>
      <w:r>
        <w:rPr>
          <w:rFonts w:ascii="Arial" w:hAnsi="Arial" w:cs="Arial"/>
          <w:sz w:val="24"/>
          <w:szCs w:val="24"/>
        </w:rPr>
        <w:t xml:space="preserve">Ahora bien, </w:t>
      </w:r>
      <w:r w:rsidR="00091836">
        <w:rPr>
          <w:rFonts w:ascii="Arial" w:hAnsi="Arial" w:cs="Arial"/>
          <w:sz w:val="24"/>
          <w:szCs w:val="24"/>
        </w:rPr>
        <w:t>los artículos 98, 99, y</w:t>
      </w:r>
      <w:r>
        <w:rPr>
          <w:rFonts w:ascii="Arial" w:hAnsi="Arial" w:cs="Arial"/>
          <w:sz w:val="24"/>
          <w:szCs w:val="24"/>
        </w:rPr>
        <w:t xml:space="preserve"> 133 fracción VIII de la Ley de Procedimiento y Justicia Administrativa para el Estado de Oaxaca</w:t>
      </w:r>
      <w:r w:rsidR="00091836">
        <w:rPr>
          <w:rFonts w:ascii="Arial" w:hAnsi="Arial" w:cs="Arial"/>
          <w:sz w:val="24"/>
          <w:szCs w:val="24"/>
        </w:rPr>
        <w:t>,</w:t>
      </w:r>
      <w:r>
        <w:rPr>
          <w:rFonts w:ascii="Arial" w:hAnsi="Arial" w:cs="Arial"/>
          <w:sz w:val="24"/>
          <w:szCs w:val="24"/>
        </w:rPr>
        <w:t xml:space="preserve"> dispone</w:t>
      </w:r>
      <w:r w:rsidR="00091836">
        <w:rPr>
          <w:rFonts w:ascii="Arial" w:hAnsi="Arial" w:cs="Arial"/>
          <w:sz w:val="24"/>
          <w:szCs w:val="24"/>
        </w:rPr>
        <w:t>n</w:t>
      </w:r>
      <w:r>
        <w:rPr>
          <w:rFonts w:ascii="Arial" w:hAnsi="Arial" w:cs="Arial"/>
          <w:sz w:val="24"/>
          <w:szCs w:val="24"/>
        </w:rPr>
        <w:t xml:space="preserve">: </w:t>
      </w:r>
    </w:p>
    <w:p w14:paraId="24D62729" w14:textId="77777777" w:rsidR="00091836" w:rsidRPr="006336AC" w:rsidRDefault="00091836" w:rsidP="00091836">
      <w:pPr>
        <w:spacing w:line="360" w:lineRule="auto"/>
        <w:ind w:firstLine="708"/>
        <w:jc w:val="both"/>
        <w:rPr>
          <w:rFonts w:ascii="Arial" w:hAnsi="Arial" w:cs="Arial"/>
          <w:i/>
          <w:sz w:val="24"/>
          <w:szCs w:val="24"/>
        </w:rPr>
      </w:pPr>
      <w:r w:rsidRPr="006336AC">
        <w:rPr>
          <w:rFonts w:ascii="Arial" w:hAnsi="Arial" w:cs="Arial"/>
          <w:b/>
          <w:i/>
          <w:sz w:val="24"/>
          <w:szCs w:val="24"/>
        </w:rPr>
        <w:t>“ARTÍCULO 98.-</w:t>
      </w:r>
      <w:r w:rsidRPr="006336AC">
        <w:rPr>
          <w:rFonts w:ascii="Arial" w:hAnsi="Arial" w:cs="Arial"/>
          <w:i/>
          <w:sz w:val="24"/>
          <w:szCs w:val="24"/>
        </w:rPr>
        <w:t xml:space="preserve"> 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w:t>
      </w:r>
    </w:p>
    <w:p w14:paraId="46A90CA9" w14:textId="77777777" w:rsidR="00091836" w:rsidRPr="006336AC" w:rsidRDefault="00091836" w:rsidP="00091836">
      <w:pPr>
        <w:spacing w:line="360" w:lineRule="auto"/>
        <w:ind w:firstLine="708"/>
        <w:jc w:val="both"/>
        <w:rPr>
          <w:rFonts w:ascii="Arial" w:hAnsi="Arial" w:cs="Arial"/>
          <w:i/>
          <w:sz w:val="24"/>
          <w:szCs w:val="24"/>
        </w:rPr>
      </w:pPr>
      <w:r w:rsidRPr="006336AC">
        <w:rPr>
          <w:rFonts w:ascii="Arial" w:hAnsi="Arial" w:cs="Arial"/>
          <w:i/>
          <w:sz w:val="24"/>
          <w:szCs w:val="24"/>
        </w:rPr>
        <w:t>Para poder acudir al Juicio de Amparo, será necesario agotar los medios de impugnación previstos en esta ley.”</w:t>
      </w:r>
    </w:p>
    <w:p w14:paraId="5E579525" w14:textId="77777777" w:rsidR="00091836" w:rsidRPr="006336AC" w:rsidRDefault="00091836" w:rsidP="00091836">
      <w:pPr>
        <w:spacing w:line="360" w:lineRule="auto"/>
        <w:ind w:firstLine="708"/>
        <w:jc w:val="both"/>
        <w:rPr>
          <w:rFonts w:ascii="Arial" w:hAnsi="Arial" w:cs="Arial"/>
          <w:i/>
          <w:sz w:val="24"/>
          <w:szCs w:val="24"/>
        </w:rPr>
      </w:pPr>
      <w:r w:rsidRPr="006336AC">
        <w:rPr>
          <w:rFonts w:ascii="Arial" w:hAnsi="Arial" w:cs="Arial"/>
          <w:b/>
          <w:i/>
          <w:sz w:val="24"/>
          <w:szCs w:val="24"/>
        </w:rPr>
        <w:lastRenderedPageBreak/>
        <w:t>“ARTÍCULO 99.-</w:t>
      </w:r>
      <w:r w:rsidRPr="006336AC">
        <w:rPr>
          <w:rFonts w:ascii="Arial" w:hAnsi="Arial" w:cs="Arial"/>
          <w:i/>
          <w:sz w:val="24"/>
          <w:szCs w:val="24"/>
        </w:rPr>
        <w:t xml:space="preserve"> La oposición a los actos de trámite en un procedimiento administrativo deberá alegarse por los interesados durante dicho procedimiento, para su consideración, en la resolución que ponga fin al mismo. La oposición a tales actos de trámite se hará valer en todo caso al impugnar la resolución definitiva.”</w:t>
      </w:r>
    </w:p>
    <w:p w14:paraId="61019FE7" w14:textId="77777777" w:rsidR="001D2A02" w:rsidRPr="006336AC" w:rsidRDefault="007338C5" w:rsidP="007338C5">
      <w:pPr>
        <w:autoSpaceDE w:val="0"/>
        <w:autoSpaceDN w:val="0"/>
        <w:adjustRightInd w:val="0"/>
        <w:spacing w:after="0" w:line="360" w:lineRule="auto"/>
        <w:ind w:firstLine="708"/>
        <w:jc w:val="both"/>
        <w:rPr>
          <w:rFonts w:ascii="Arial" w:hAnsi="Arial" w:cs="Arial"/>
          <w:i/>
          <w:sz w:val="24"/>
          <w:szCs w:val="24"/>
        </w:rPr>
      </w:pPr>
      <w:r w:rsidRPr="006336AC">
        <w:rPr>
          <w:rFonts w:ascii="Arial" w:hAnsi="Arial" w:cs="Arial"/>
          <w:b/>
          <w:bCs/>
          <w:sz w:val="24"/>
          <w:szCs w:val="24"/>
        </w:rPr>
        <w:t>“</w:t>
      </w:r>
      <w:r w:rsidR="001D2A02" w:rsidRPr="006336AC">
        <w:rPr>
          <w:rFonts w:ascii="Arial" w:hAnsi="Arial" w:cs="Arial"/>
          <w:b/>
          <w:bCs/>
          <w:i/>
          <w:sz w:val="24"/>
          <w:szCs w:val="24"/>
        </w:rPr>
        <w:t xml:space="preserve">ARTÍCULO 133.- </w:t>
      </w:r>
      <w:r w:rsidR="001D2A02" w:rsidRPr="006336AC">
        <w:rPr>
          <w:rFonts w:ascii="Arial" w:hAnsi="Arial" w:cs="Arial"/>
          <w:i/>
          <w:sz w:val="24"/>
          <w:szCs w:val="24"/>
        </w:rPr>
        <w:t>Las Salas Unitarias del Tribunal son competentes para conocer y resolver los juicios que se promuevan en contra de:</w:t>
      </w:r>
    </w:p>
    <w:p w14:paraId="16605D9A" w14:textId="77777777" w:rsidR="007338C5" w:rsidRPr="006336AC" w:rsidRDefault="007338C5" w:rsidP="007338C5">
      <w:pPr>
        <w:autoSpaceDE w:val="0"/>
        <w:autoSpaceDN w:val="0"/>
        <w:adjustRightInd w:val="0"/>
        <w:spacing w:after="0" w:line="360" w:lineRule="auto"/>
        <w:ind w:firstLine="708"/>
        <w:jc w:val="both"/>
        <w:rPr>
          <w:rFonts w:ascii="Arial" w:hAnsi="Arial" w:cs="Arial"/>
          <w:i/>
          <w:sz w:val="24"/>
          <w:szCs w:val="24"/>
        </w:rPr>
      </w:pPr>
      <w:r w:rsidRPr="006336AC">
        <w:rPr>
          <w:rFonts w:ascii="Arial" w:hAnsi="Arial" w:cs="Arial"/>
          <w:i/>
          <w:sz w:val="24"/>
          <w:szCs w:val="24"/>
        </w:rPr>
        <w:t>(…)</w:t>
      </w:r>
    </w:p>
    <w:p w14:paraId="09F39A04" w14:textId="77777777" w:rsidR="007338C5" w:rsidRPr="006336AC" w:rsidRDefault="007338C5" w:rsidP="007338C5">
      <w:pPr>
        <w:autoSpaceDE w:val="0"/>
        <w:autoSpaceDN w:val="0"/>
        <w:adjustRightInd w:val="0"/>
        <w:spacing w:after="0" w:line="360" w:lineRule="auto"/>
        <w:ind w:firstLine="708"/>
        <w:jc w:val="both"/>
        <w:rPr>
          <w:rFonts w:ascii="Arial" w:hAnsi="Arial" w:cs="Arial"/>
          <w:i/>
          <w:sz w:val="24"/>
          <w:szCs w:val="24"/>
        </w:rPr>
      </w:pPr>
      <w:r w:rsidRPr="006336AC">
        <w:rPr>
          <w:rFonts w:ascii="Arial" w:hAnsi="Arial" w:cs="Arial"/>
          <w:b/>
          <w:i/>
          <w:sz w:val="24"/>
          <w:szCs w:val="24"/>
        </w:rPr>
        <w:t>VIII.</w:t>
      </w:r>
      <w:r w:rsidRPr="006336AC">
        <w:rPr>
          <w:rFonts w:ascii="Arial" w:hAnsi="Arial" w:cs="Arial"/>
          <w:i/>
          <w:sz w:val="24"/>
          <w:szCs w:val="24"/>
        </w:rPr>
        <w:t xml:space="preserve"> El procedimiento administrativo de ejecución cuando el afectado en dicho procedimiento opte por no interponer el recurso ordinario ante las autoridades competentes y cuando afirme:</w:t>
      </w:r>
    </w:p>
    <w:p w14:paraId="6168405A" w14:textId="77777777" w:rsidR="007338C5" w:rsidRPr="006336AC" w:rsidRDefault="007338C5" w:rsidP="007338C5">
      <w:pPr>
        <w:autoSpaceDE w:val="0"/>
        <w:autoSpaceDN w:val="0"/>
        <w:adjustRightInd w:val="0"/>
        <w:spacing w:after="0" w:line="360" w:lineRule="auto"/>
        <w:jc w:val="both"/>
        <w:rPr>
          <w:rFonts w:ascii="Arial" w:hAnsi="Arial" w:cs="Arial"/>
          <w:i/>
          <w:sz w:val="24"/>
          <w:szCs w:val="24"/>
        </w:rPr>
      </w:pPr>
      <w:r w:rsidRPr="006336AC">
        <w:rPr>
          <w:rFonts w:ascii="Arial" w:hAnsi="Arial" w:cs="Arial"/>
          <w:i/>
          <w:sz w:val="24"/>
          <w:szCs w:val="24"/>
        </w:rPr>
        <w:t>a) Que el crédito que le exige se ha extinguido legalmente;</w:t>
      </w:r>
    </w:p>
    <w:p w14:paraId="77799FAC" w14:textId="77777777" w:rsidR="007338C5" w:rsidRPr="006336AC" w:rsidRDefault="007338C5" w:rsidP="007338C5">
      <w:pPr>
        <w:autoSpaceDE w:val="0"/>
        <w:autoSpaceDN w:val="0"/>
        <w:adjustRightInd w:val="0"/>
        <w:spacing w:after="0" w:line="360" w:lineRule="auto"/>
        <w:jc w:val="both"/>
        <w:rPr>
          <w:rFonts w:ascii="Arial" w:hAnsi="Arial" w:cs="Arial"/>
          <w:i/>
          <w:sz w:val="24"/>
          <w:szCs w:val="24"/>
        </w:rPr>
      </w:pPr>
      <w:r w:rsidRPr="006336AC">
        <w:rPr>
          <w:rFonts w:ascii="Arial" w:hAnsi="Arial" w:cs="Arial"/>
          <w:i/>
          <w:sz w:val="24"/>
          <w:szCs w:val="24"/>
        </w:rPr>
        <w:t>b) Que el monto del crédito es inferior al exigible;</w:t>
      </w:r>
    </w:p>
    <w:p w14:paraId="0FEF87AB" w14:textId="77777777" w:rsidR="007338C5" w:rsidRPr="006336AC" w:rsidRDefault="007338C5" w:rsidP="007338C5">
      <w:pPr>
        <w:autoSpaceDE w:val="0"/>
        <w:autoSpaceDN w:val="0"/>
        <w:adjustRightInd w:val="0"/>
        <w:spacing w:after="0" w:line="360" w:lineRule="auto"/>
        <w:jc w:val="both"/>
        <w:rPr>
          <w:rFonts w:ascii="Arial" w:hAnsi="Arial" w:cs="Arial"/>
          <w:i/>
          <w:sz w:val="24"/>
          <w:szCs w:val="24"/>
        </w:rPr>
      </w:pPr>
      <w:r w:rsidRPr="006336AC">
        <w:rPr>
          <w:rFonts w:ascii="Arial" w:hAnsi="Arial" w:cs="Arial"/>
          <w:i/>
          <w:sz w:val="24"/>
          <w:szCs w:val="24"/>
        </w:rPr>
        <w:t>c) Que es poseedor, a título de propietario, del bien embargado; y</w:t>
      </w:r>
    </w:p>
    <w:p w14:paraId="73345A19" w14:textId="77777777" w:rsidR="001D2A02" w:rsidRPr="006336AC" w:rsidRDefault="007338C5" w:rsidP="007338C5">
      <w:pPr>
        <w:autoSpaceDE w:val="0"/>
        <w:autoSpaceDN w:val="0"/>
        <w:adjustRightInd w:val="0"/>
        <w:spacing w:after="0" w:line="360" w:lineRule="auto"/>
        <w:jc w:val="both"/>
        <w:rPr>
          <w:rFonts w:ascii="Arial" w:hAnsi="Arial" w:cs="Arial"/>
          <w:i/>
          <w:sz w:val="24"/>
          <w:szCs w:val="24"/>
        </w:rPr>
      </w:pPr>
      <w:r w:rsidRPr="006336AC">
        <w:rPr>
          <w:rFonts w:ascii="Arial" w:hAnsi="Arial" w:cs="Arial"/>
          <w:i/>
          <w:sz w:val="24"/>
          <w:szCs w:val="24"/>
        </w:rPr>
        <w:t>d) Que el procedimiento coactivo no se ajuste a la ley. En este caso, la oposición no se podrá hacer valer, sino contra la resolución que apruebe el remate; salvo que se trate de resoluciones cuya ejecución material sea imposible reparación.”</w:t>
      </w:r>
    </w:p>
    <w:p w14:paraId="3A716D04" w14:textId="77777777" w:rsidR="006D4215" w:rsidRDefault="006D4215" w:rsidP="006D4215">
      <w:pPr>
        <w:spacing w:after="0" w:line="360" w:lineRule="auto"/>
        <w:ind w:firstLine="708"/>
        <w:jc w:val="both"/>
        <w:rPr>
          <w:rFonts w:ascii="Arial" w:hAnsi="Arial" w:cs="Arial"/>
          <w:sz w:val="24"/>
          <w:szCs w:val="24"/>
        </w:rPr>
      </w:pPr>
    </w:p>
    <w:p w14:paraId="2C6FF6B7" w14:textId="77777777" w:rsidR="001D2A02" w:rsidRPr="00B55A05" w:rsidRDefault="007338C5" w:rsidP="001D2A02">
      <w:pPr>
        <w:spacing w:line="360" w:lineRule="auto"/>
        <w:ind w:firstLine="708"/>
        <w:jc w:val="both"/>
        <w:rPr>
          <w:rFonts w:ascii="Arial" w:hAnsi="Arial" w:cs="Arial"/>
          <w:sz w:val="24"/>
          <w:szCs w:val="24"/>
        </w:rPr>
      </w:pPr>
      <w:r>
        <w:rPr>
          <w:rFonts w:ascii="Arial" w:hAnsi="Arial" w:cs="Arial"/>
          <w:sz w:val="24"/>
          <w:szCs w:val="24"/>
        </w:rPr>
        <w:t xml:space="preserve">De lo transcrito se advierte </w:t>
      </w:r>
      <w:r w:rsidR="001D2A02">
        <w:rPr>
          <w:rFonts w:ascii="Arial" w:hAnsi="Arial" w:cs="Arial"/>
          <w:sz w:val="24"/>
          <w:szCs w:val="24"/>
        </w:rPr>
        <w:t xml:space="preserve">que </w:t>
      </w:r>
      <w:r w:rsidR="001D2A02" w:rsidRPr="00B55A05">
        <w:rPr>
          <w:rFonts w:ascii="Arial" w:hAnsi="Arial" w:cs="Arial"/>
          <w:sz w:val="24"/>
          <w:szCs w:val="24"/>
        </w:rPr>
        <w:t>solo pueden ser impugnables mediante el juicio contencioso administrativo</w:t>
      </w:r>
      <w:r w:rsidR="001D2A02">
        <w:rPr>
          <w:rFonts w:ascii="Arial" w:hAnsi="Arial" w:cs="Arial"/>
          <w:sz w:val="24"/>
          <w:szCs w:val="24"/>
        </w:rPr>
        <w:t>,</w:t>
      </w:r>
      <w:r w:rsidR="001D2A02" w:rsidRPr="00B55A05">
        <w:rPr>
          <w:rFonts w:ascii="Arial" w:hAnsi="Arial" w:cs="Arial"/>
          <w:sz w:val="24"/>
          <w:szCs w:val="24"/>
        </w:rPr>
        <w:t xml:space="preserve"> los actos o resoluciones que </w:t>
      </w:r>
      <w:r w:rsidR="001D2A02" w:rsidRPr="000F225A">
        <w:rPr>
          <w:rFonts w:ascii="Arial" w:hAnsi="Arial" w:cs="Arial"/>
          <w:b/>
          <w:sz w:val="24"/>
          <w:szCs w:val="24"/>
        </w:rPr>
        <w:t>determinen poner fin al procedimiento administrativo, a una instancia o resuelvan un expediente o que le causen agravio al particular,</w:t>
      </w:r>
      <w:r w:rsidR="001D2A02" w:rsidRPr="00B55A05">
        <w:rPr>
          <w:rFonts w:ascii="Arial" w:hAnsi="Arial" w:cs="Arial"/>
          <w:b/>
          <w:sz w:val="24"/>
          <w:szCs w:val="24"/>
        </w:rPr>
        <w:t xml:space="preserve"> </w:t>
      </w:r>
      <w:r w:rsidR="001D2A02" w:rsidRPr="00B55A05">
        <w:rPr>
          <w:rFonts w:ascii="Arial" w:hAnsi="Arial" w:cs="Arial"/>
          <w:sz w:val="24"/>
          <w:szCs w:val="24"/>
        </w:rPr>
        <w:t>hipótesis en la que no se encuen</w:t>
      </w:r>
      <w:r w:rsidR="001D2A02">
        <w:rPr>
          <w:rFonts w:ascii="Arial" w:hAnsi="Arial" w:cs="Arial"/>
          <w:sz w:val="24"/>
          <w:szCs w:val="24"/>
        </w:rPr>
        <w:t>tran los actos impugnados por la parte</w:t>
      </w:r>
      <w:r w:rsidR="001D2A02" w:rsidRPr="00B55A05">
        <w:rPr>
          <w:rFonts w:ascii="Arial" w:hAnsi="Arial" w:cs="Arial"/>
          <w:sz w:val="24"/>
          <w:szCs w:val="24"/>
        </w:rPr>
        <w:t xml:space="preserve"> actor</w:t>
      </w:r>
      <w:r w:rsidR="001D2A02">
        <w:rPr>
          <w:rFonts w:ascii="Arial" w:hAnsi="Arial" w:cs="Arial"/>
          <w:sz w:val="24"/>
          <w:szCs w:val="24"/>
        </w:rPr>
        <w:t>a</w:t>
      </w:r>
      <w:r w:rsidR="001D2A02" w:rsidRPr="00B55A05">
        <w:rPr>
          <w:rFonts w:ascii="Arial" w:hAnsi="Arial" w:cs="Arial"/>
          <w:sz w:val="24"/>
          <w:szCs w:val="24"/>
        </w:rPr>
        <w:t xml:space="preserve"> en este asunto, </w:t>
      </w:r>
      <w:r w:rsidR="001D2A02">
        <w:rPr>
          <w:rFonts w:ascii="Arial" w:hAnsi="Arial" w:cs="Arial"/>
          <w:sz w:val="24"/>
          <w:szCs w:val="24"/>
        </w:rPr>
        <w:t xml:space="preserve">toda vez que se encuentra vigente </w:t>
      </w:r>
      <w:r w:rsidR="001D2A02" w:rsidRPr="00B55A05">
        <w:rPr>
          <w:rFonts w:ascii="Arial" w:hAnsi="Arial" w:cs="Arial"/>
          <w:sz w:val="24"/>
          <w:szCs w:val="24"/>
        </w:rPr>
        <w:t xml:space="preserve">la </w:t>
      </w:r>
      <w:r w:rsidR="001D2A02">
        <w:rPr>
          <w:rFonts w:ascii="Arial" w:hAnsi="Arial" w:cs="Arial"/>
          <w:sz w:val="24"/>
          <w:szCs w:val="24"/>
        </w:rPr>
        <w:t>posibilidad d</w:t>
      </w:r>
      <w:r w:rsidR="001D2A02" w:rsidRPr="00B55A05">
        <w:rPr>
          <w:rFonts w:ascii="Arial" w:hAnsi="Arial" w:cs="Arial"/>
          <w:sz w:val="24"/>
          <w:szCs w:val="24"/>
        </w:rPr>
        <w:t xml:space="preserve">e </w:t>
      </w:r>
      <w:r w:rsidR="001D2A02">
        <w:rPr>
          <w:rFonts w:ascii="Arial" w:hAnsi="Arial" w:cs="Arial"/>
          <w:sz w:val="24"/>
          <w:szCs w:val="24"/>
        </w:rPr>
        <w:t xml:space="preserve">que se </w:t>
      </w:r>
      <w:r w:rsidR="001D2A02" w:rsidRPr="00B55A05">
        <w:rPr>
          <w:rFonts w:ascii="Arial" w:hAnsi="Arial" w:cs="Arial"/>
          <w:sz w:val="24"/>
          <w:szCs w:val="24"/>
        </w:rPr>
        <w:t>aperson</w:t>
      </w:r>
      <w:r w:rsidR="001D2A02">
        <w:rPr>
          <w:rFonts w:ascii="Arial" w:hAnsi="Arial" w:cs="Arial"/>
          <w:sz w:val="24"/>
          <w:szCs w:val="24"/>
        </w:rPr>
        <w:t>e a</w:t>
      </w:r>
      <w:r w:rsidR="001D2A02" w:rsidRPr="00B55A05">
        <w:rPr>
          <w:rFonts w:ascii="Arial" w:hAnsi="Arial" w:cs="Arial"/>
          <w:sz w:val="24"/>
          <w:szCs w:val="24"/>
        </w:rPr>
        <w:t xml:space="preserve">l procedimiento administrativo de ejecución </w:t>
      </w:r>
      <w:r w:rsidR="001D2A02">
        <w:rPr>
          <w:rFonts w:ascii="Arial" w:hAnsi="Arial" w:cs="Arial"/>
          <w:sz w:val="24"/>
          <w:szCs w:val="24"/>
        </w:rPr>
        <w:t>impugnado,</w:t>
      </w:r>
      <w:r w:rsidR="001D2A02" w:rsidRPr="00B55A05">
        <w:rPr>
          <w:rFonts w:ascii="Arial" w:hAnsi="Arial" w:cs="Arial"/>
          <w:sz w:val="24"/>
          <w:szCs w:val="24"/>
        </w:rPr>
        <w:t xml:space="preserve"> haciendo valer su </w:t>
      </w:r>
      <w:r w:rsidR="001D2A02" w:rsidRPr="00B55A05">
        <w:rPr>
          <w:rFonts w:ascii="Arial" w:hAnsi="Arial" w:cs="Arial"/>
          <w:b/>
          <w:sz w:val="24"/>
          <w:szCs w:val="24"/>
        </w:rPr>
        <w:t>derecho de audiencia</w:t>
      </w:r>
      <w:r w:rsidR="001D2A02">
        <w:rPr>
          <w:rFonts w:ascii="Arial" w:hAnsi="Arial" w:cs="Arial"/>
          <w:sz w:val="24"/>
          <w:szCs w:val="24"/>
        </w:rPr>
        <w:t xml:space="preserve"> en sede administrativa, pudiendo</w:t>
      </w:r>
      <w:r w:rsidR="001D2A02" w:rsidRPr="00B55A05">
        <w:rPr>
          <w:rFonts w:ascii="Arial" w:hAnsi="Arial" w:cs="Arial"/>
          <w:sz w:val="24"/>
          <w:szCs w:val="24"/>
        </w:rPr>
        <w:t xml:space="preserve"> alegar lo que  a sus derechos convenga.</w:t>
      </w:r>
    </w:p>
    <w:p w14:paraId="5E58902A" w14:textId="77777777" w:rsidR="001D2A02" w:rsidRPr="00B55A05"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T</w:t>
      </w:r>
      <w:r>
        <w:rPr>
          <w:rFonts w:ascii="Arial" w:hAnsi="Arial" w:cs="Arial"/>
          <w:sz w:val="24"/>
          <w:szCs w:val="24"/>
        </w:rPr>
        <w:t>ambién se toma en cuenta, que el mandamiento</w:t>
      </w:r>
      <w:r w:rsidRPr="00B55A05">
        <w:rPr>
          <w:rFonts w:ascii="Arial" w:hAnsi="Arial" w:cs="Arial"/>
          <w:sz w:val="24"/>
          <w:szCs w:val="24"/>
        </w:rPr>
        <w:t xml:space="preserve"> de ejecución impugnado, </w:t>
      </w:r>
      <w:r w:rsidRPr="00B55A05">
        <w:rPr>
          <w:rFonts w:ascii="Arial" w:hAnsi="Arial" w:cs="Arial"/>
          <w:b/>
          <w:sz w:val="24"/>
          <w:szCs w:val="24"/>
        </w:rPr>
        <w:t>no se encuentra dentro de las hipótesis prevista en los incisos a), b) y</w:t>
      </w:r>
      <w:r w:rsidR="00371A85">
        <w:rPr>
          <w:rFonts w:ascii="Arial" w:hAnsi="Arial" w:cs="Arial"/>
          <w:b/>
          <w:sz w:val="24"/>
          <w:szCs w:val="24"/>
        </w:rPr>
        <w:t>/o</w:t>
      </w:r>
      <w:r w:rsidRPr="00B55A05">
        <w:rPr>
          <w:rFonts w:ascii="Arial" w:hAnsi="Arial" w:cs="Arial"/>
          <w:b/>
          <w:sz w:val="24"/>
          <w:szCs w:val="24"/>
        </w:rPr>
        <w:t xml:space="preserve"> c), fracción VIII, del artículo 133 </w:t>
      </w:r>
      <w:r w:rsidRPr="00B55A05">
        <w:rPr>
          <w:rFonts w:ascii="Arial" w:hAnsi="Arial" w:cs="Arial"/>
          <w:sz w:val="24"/>
          <w:szCs w:val="24"/>
        </w:rPr>
        <w:t xml:space="preserve">de la Ley de Procedimiento y Justicia Administrativa para el Estado de Oaxaca, esto es así, en virtud de que no consta en autos que el monto del crédito </w:t>
      </w:r>
      <w:r>
        <w:rPr>
          <w:rFonts w:ascii="Arial" w:hAnsi="Arial" w:cs="Arial"/>
          <w:sz w:val="24"/>
          <w:szCs w:val="24"/>
        </w:rPr>
        <w:t xml:space="preserve">fiscal </w:t>
      </w:r>
      <w:r w:rsidRPr="00B55A05">
        <w:rPr>
          <w:rFonts w:ascii="Arial" w:hAnsi="Arial" w:cs="Arial"/>
          <w:sz w:val="24"/>
          <w:szCs w:val="24"/>
        </w:rPr>
        <w:t>sea inferior al exigido</w:t>
      </w:r>
      <w:r w:rsidR="00371A85">
        <w:rPr>
          <w:rFonts w:ascii="Arial" w:hAnsi="Arial" w:cs="Arial"/>
          <w:sz w:val="24"/>
          <w:szCs w:val="24"/>
        </w:rPr>
        <w:t>,</w:t>
      </w:r>
      <w:r w:rsidRPr="00B55A05">
        <w:rPr>
          <w:rFonts w:ascii="Arial" w:hAnsi="Arial" w:cs="Arial"/>
          <w:sz w:val="24"/>
          <w:szCs w:val="24"/>
        </w:rPr>
        <w:t xml:space="preserve"> o que </w:t>
      </w:r>
      <w:r>
        <w:rPr>
          <w:rFonts w:ascii="Arial" w:eastAsia="Calibri" w:hAnsi="Arial" w:cs="Arial"/>
          <w:sz w:val="24"/>
          <w:szCs w:val="24"/>
          <w:lang w:eastAsia="es-MX"/>
        </w:rPr>
        <w:t xml:space="preserve">el actor </w:t>
      </w:r>
      <w:r w:rsidRPr="00B55A05">
        <w:rPr>
          <w:rFonts w:ascii="Arial" w:eastAsia="Calibri" w:hAnsi="Arial" w:cs="Arial"/>
          <w:sz w:val="24"/>
          <w:szCs w:val="24"/>
          <w:lang w:eastAsia="es-MX"/>
        </w:rPr>
        <w:t>sea poseedor a título de propietario del bien embargado, en caso de que lo hubiera,</w:t>
      </w:r>
      <w:r>
        <w:rPr>
          <w:rFonts w:ascii="Arial" w:eastAsia="Calibri" w:hAnsi="Arial" w:cs="Arial"/>
          <w:sz w:val="24"/>
          <w:szCs w:val="24"/>
          <w:lang w:eastAsia="es-MX"/>
        </w:rPr>
        <w:t xml:space="preserve"> lo cual no se advierte de los hechos planteados por la parte actora, </w:t>
      </w:r>
      <w:r w:rsidRPr="00B55A05">
        <w:rPr>
          <w:rFonts w:ascii="Arial" w:eastAsia="Calibri" w:hAnsi="Arial" w:cs="Arial"/>
          <w:sz w:val="24"/>
          <w:szCs w:val="24"/>
          <w:lang w:eastAsia="es-MX"/>
        </w:rPr>
        <w:t xml:space="preserve">y si bien argumenta que el procedimiento coactivo no </w:t>
      </w:r>
      <w:r>
        <w:rPr>
          <w:rFonts w:ascii="Arial" w:eastAsia="Calibri" w:hAnsi="Arial" w:cs="Arial"/>
          <w:sz w:val="24"/>
          <w:szCs w:val="24"/>
          <w:lang w:eastAsia="es-MX"/>
        </w:rPr>
        <w:t xml:space="preserve">se </w:t>
      </w:r>
      <w:r w:rsidRPr="00B55A05">
        <w:rPr>
          <w:rFonts w:ascii="Arial" w:eastAsia="Calibri" w:hAnsi="Arial" w:cs="Arial"/>
          <w:sz w:val="24"/>
          <w:szCs w:val="24"/>
          <w:lang w:eastAsia="es-MX"/>
        </w:rPr>
        <w:t xml:space="preserve">ajusta a la ley, lo cierto es que en ese supuesto, solo podrá alegar cuando se haya dictado </w:t>
      </w:r>
      <w:r w:rsidRPr="00B55A05">
        <w:rPr>
          <w:rFonts w:ascii="Arial" w:hAnsi="Arial" w:cs="Arial"/>
          <w:b/>
          <w:sz w:val="24"/>
          <w:szCs w:val="24"/>
        </w:rPr>
        <w:t>resolución que apruebe el remate</w:t>
      </w:r>
      <w:r w:rsidRPr="00B55A05">
        <w:rPr>
          <w:rFonts w:ascii="Arial" w:hAnsi="Arial" w:cs="Arial"/>
          <w:sz w:val="24"/>
          <w:szCs w:val="24"/>
        </w:rPr>
        <w:t xml:space="preserve"> de un </w:t>
      </w:r>
      <w:r w:rsidRPr="00B55A05">
        <w:rPr>
          <w:rFonts w:ascii="Arial" w:hAnsi="Arial" w:cs="Arial"/>
          <w:sz w:val="24"/>
          <w:szCs w:val="24"/>
        </w:rPr>
        <w:lastRenderedPageBreak/>
        <w:t>bien embargado, salvo que este sea de imposible reparación</w:t>
      </w:r>
      <w:r>
        <w:rPr>
          <w:rFonts w:ascii="Arial" w:hAnsi="Arial" w:cs="Arial"/>
          <w:sz w:val="24"/>
          <w:szCs w:val="24"/>
        </w:rPr>
        <w:t xml:space="preserve"> como lo dispone el inciso d) de la fracción VIII del artículo 133 de la Ley que rige a este Tribunal</w:t>
      </w:r>
      <w:r w:rsidRPr="00B55A05">
        <w:rPr>
          <w:rFonts w:ascii="Arial" w:hAnsi="Arial" w:cs="Arial"/>
          <w:sz w:val="24"/>
          <w:szCs w:val="24"/>
        </w:rPr>
        <w:t xml:space="preserve">, situación que </w:t>
      </w:r>
      <w:r>
        <w:rPr>
          <w:rFonts w:ascii="Arial" w:hAnsi="Arial" w:cs="Arial"/>
          <w:sz w:val="24"/>
          <w:szCs w:val="24"/>
        </w:rPr>
        <w:t xml:space="preserve">en el presente asunto </w:t>
      </w:r>
      <w:r w:rsidRPr="00B55A05">
        <w:rPr>
          <w:rFonts w:ascii="Arial" w:hAnsi="Arial" w:cs="Arial"/>
          <w:sz w:val="24"/>
          <w:szCs w:val="24"/>
        </w:rPr>
        <w:t>no acontece.</w:t>
      </w:r>
    </w:p>
    <w:p w14:paraId="069F7241" w14:textId="77777777" w:rsidR="001D2A02" w:rsidRPr="00B55A05"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En relatadas consideraciones, toda vez q</w:t>
      </w:r>
      <w:r>
        <w:rPr>
          <w:rFonts w:ascii="Arial" w:hAnsi="Arial" w:cs="Arial"/>
          <w:sz w:val="24"/>
          <w:szCs w:val="24"/>
        </w:rPr>
        <w:t>ue el mandamiento de ejecución c</w:t>
      </w:r>
      <w:r w:rsidRPr="00B55A05">
        <w:rPr>
          <w:rFonts w:ascii="Arial" w:hAnsi="Arial" w:cs="Arial"/>
          <w:sz w:val="24"/>
          <w:szCs w:val="24"/>
        </w:rPr>
        <w:t>arece</w:t>
      </w:r>
      <w:r>
        <w:rPr>
          <w:rFonts w:ascii="Arial" w:hAnsi="Arial" w:cs="Arial"/>
          <w:sz w:val="24"/>
          <w:szCs w:val="24"/>
        </w:rPr>
        <w:t xml:space="preserve">n </w:t>
      </w:r>
      <w:r w:rsidRPr="00B55A05">
        <w:rPr>
          <w:rFonts w:ascii="Arial" w:hAnsi="Arial" w:cs="Arial"/>
          <w:sz w:val="24"/>
          <w:szCs w:val="24"/>
        </w:rPr>
        <w:t xml:space="preserve">de </w:t>
      </w:r>
      <w:r>
        <w:rPr>
          <w:rFonts w:ascii="Arial" w:hAnsi="Arial" w:cs="Arial"/>
          <w:sz w:val="24"/>
          <w:szCs w:val="24"/>
        </w:rPr>
        <w:t xml:space="preserve">definitividad, y en atención a los actos impugnados tampoco se encuentran en </w:t>
      </w:r>
      <w:r w:rsidRPr="00B55A05">
        <w:rPr>
          <w:rFonts w:ascii="Arial" w:hAnsi="Arial" w:cs="Arial"/>
          <w:sz w:val="24"/>
          <w:szCs w:val="24"/>
        </w:rPr>
        <w:t>las hipótesis previstas en los incisos a), b) y</w:t>
      </w:r>
      <w:r w:rsidR="00371A85">
        <w:rPr>
          <w:rFonts w:ascii="Arial" w:hAnsi="Arial" w:cs="Arial"/>
          <w:sz w:val="24"/>
          <w:szCs w:val="24"/>
        </w:rPr>
        <w:t>/o</w:t>
      </w:r>
      <w:r w:rsidRPr="00B55A05">
        <w:rPr>
          <w:rFonts w:ascii="Arial" w:hAnsi="Arial" w:cs="Arial"/>
          <w:sz w:val="24"/>
          <w:szCs w:val="24"/>
        </w:rPr>
        <w:t xml:space="preserve"> c), fracción VIII, del artículo 133</w:t>
      </w:r>
      <w:r w:rsidRPr="00B55A05">
        <w:rPr>
          <w:rFonts w:ascii="Arial" w:hAnsi="Arial" w:cs="Arial"/>
          <w:b/>
          <w:sz w:val="24"/>
          <w:szCs w:val="24"/>
        </w:rPr>
        <w:t xml:space="preserve"> </w:t>
      </w:r>
      <w:r w:rsidRPr="00B55A05">
        <w:rPr>
          <w:rFonts w:ascii="Arial" w:hAnsi="Arial" w:cs="Arial"/>
          <w:sz w:val="24"/>
          <w:szCs w:val="24"/>
        </w:rPr>
        <w:t xml:space="preserve">de la Ley de Procedimiento y Justicia Administrativa para el Estado de Oaxaca, </w:t>
      </w:r>
      <w:r w:rsidRPr="00B55A05">
        <w:rPr>
          <w:rFonts w:ascii="Arial" w:hAnsi="Arial" w:cs="Arial"/>
          <w:b/>
          <w:sz w:val="24"/>
          <w:szCs w:val="24"/>
        </w:rPr>
        <w:t xml:space="preserve">SE </w:t>
      </w:r>
      <w:r w:rsidR="00371A85">
        <w:rPr>
          <w:rFonts w:ascii="Arial" w:hAnsi="Arial" w:cs="Arial"/>
          <w:b/>
          <w:sz w:val="24"/>
          <w:szCs w:val="24"/>
        </w:rPr>
        <w:t>SOBRESEE ESTE JUICIO,</w:t>
      </w:r>
      <w:r>
        <w:rPr>
          <w:rFonts w:ascii="Arial" w:hAnsi="Arial" w:cs="Arial"/>
          <w:b/>
          <w:sz w:val="24"/>
          <w:szCs w:val="24"/>
        </w:rPr>
        <w:t xml:space="preserve"> </w:t>
      </w:r>
      <w:r w:rsidRPr="00D70E4D">
        <w:rPr>
          <w:rFonts w:ascii="Arial" w:hAnsi="Arial" w:cs="Arial"/>
          <w:sz w:val="24"/>
          <w:szCs w:val="24"/>
        </w:rPr>
        <w:t>de conformidad con lo dispuesto</w:t>
      </w:r>
      <w:r w:rsidRPr="00B55A05">
        <w:rPr>
          <w:rFonts w:ascii="Arial" w:hAnsi="Arial" w:cs="Arial"/>
          <w:b/>
          <w:sz w:val="24"/>
          <w:szCs w:val="24"/>
        </w:rPr>
        <w:t xml:space="preserve"> </w:t>
      </w:r>
      <w:r w:rsidR="00AC12CF">
        <w:rPr>
          <w:rFonts w:ascii="Arial" w:hAnsi="Arial" w:cs="Arial"/>
          <w:sz w:val="24"/>
          <w:szCs w:val="24"/>
        </w:rPr>
        <w:t>en el artículo</w:t>
      </w:r>
      <w:r w:rsidRPr="00B55A05">
        <w:rPr>
          <w:rFonts w:ascii="Arial" w:hAnsi="Arial" w:cs="Arial"/>
          <w:sz w:val="24"/>
          <w:szCs w:val="24"/>
        </w:rPr>
        <w:t xml:space="preserve"> </w:t>
      </w:r>
      <w:r w:rsidR="00AC12CF">
        <w:rPr>
          <w:rFonts w:ascii="Arial" w:hAnsi="Arial" w:cs="Arial"/>
          <w:sz w:val="24"/>
          <w:szCs w:val="24"/>
        </w:rPr>
        <w:t xml:space="preserve">162 fracción VI </w:t>
      </w:r>
      <w:r w:rsidRPr="00B55A05">
        <w:rPr>
          <w:rFonts w:ascii="Arial" w:hAnsi="Arial" w:cs="Arial"/>
          <w:sz w:val="24"/>
          <w:szCs w:val="24"/>
        </w:rPr>
        <w:t xml:space="preserve">de la Ley de Procedimiento y Justicia Administrativa para el Estado de Oaxaca. </w:t>
      </w:r>
      <w:r>
        <w:rPr>
          <w:rFonts w:ascii="Arial" w:hAnsi="Arial" w:cs="Arial"/>
          <w:sz w:val="24"/>
          <w:szCs w:val="24"/>
        </w:rPr>
        <w:t>Sirve de apoyo a lo anterior, las jurisprudencias con datos de identificación:</w:t>
      </w:r>
    </w:p>
    <w:p w14:paraId="2DEED6AB" w14:textId="77777777" w:rsidR="001D2A02" w:rsidRPr="00B55A05"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 xml:space="preserve">Semanario Judicial de la Federación y su Gaceta, Tomo XXVI, </w:t>
      </w:r>
      <w:proofErr w:type="gramStart"/>
      <w:r w:rsidRPr="00B55A05">
        <w:rPr>
          <w:rFonts w:ascii="Arial" w:hAnsi="Arial" w:cs="Arial"/>
          <w:sz w:val="24"/>
          <w:szCs w:val="24"/>
        </w:rPr>
        <w:t>Diciembre</w:t>
      </w:r>
      <w:proofErr w:type="gramEnd"/>
      <w:r w:rsidRPr="00B55A05">
        <w:rPr>
          <w:rFonts w:ascii="Arial" w:hAnsi="Arial" w:cs="Arial"/>
          <w:sz w:val="24"/>
          <w:szCs w:val="24"/>
        </w:rPr>
        <w:t xml:space="preserve"> de 2007, Novena Época, pág. 154, registro 170827, Jurisprudencia Administrativa, Segunda Sala, de rubro: “</w:t>
      </w:r>
      <w:r w:rsidRPr="00566974">
        <w:rPr>
          <w:rFonts w:ascii="Arial" w:hAnsi="Arial" w:cs="Arial"/>
          <w:b/>
          <w:i/>
          <w:sz w:val="24"/>
          <w:szCs w:val="24"/>
        </w:rPr>
        <w:t>COMPETENCIA. SU ESTUDIO OFICIOSO RESPECTO DE LA AUTORIDAD DEMANDADA EN EL JUICIO CONTENCIOSO ADMINISTRATIVO, DEBE SER ANALIZADA POR LAS SALAS DEL TRIBUNAL FEDERAL DE JUSTICIA FISCAL Y ADMINISTRATIVA</w:t>
      </w:r>
      <w:r w:rsidRPr="00B55A05">
        <w:rPr>
          <w:rFonts w:ascii="Arial" w:hAnsi="Arial" w:cs="Arial"/>
          <w:i/>
          <w:sz w:val="24"/>
          <w:szCs w:val="24"/>
        </w:rPr>
        <w:t xml:space="preserve">.”; </w:t>
      </w:r>
    </w:p>
    <w:p w14:paraId="3EAE3AA8" w14:textId="77777777" w:rsidR="001D2A02" w:rsidRPr="00B55A05"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Gaceta del Semanario Judicial de la Federación, Libro 31, Junio de 2016, Tomo II, Décima Época, pág. 2363, registro 2011961, Jurisprudencia Administrativa, Plenos de Circuito, de rubro: “</w:t>
      </w:r>
      <w:r w:rsidRPr="00DA7E71">
        <w:rPr>
          <w:rFonts w:ascii="Arial" w:hAnsi="Arial" w:cs="Arial"/>
          <w:b/>
          <w:i/>
          <w:sz w:val="24"/>
          <w:szCs w:val="24"/>
        </w:rPr>
        <w:t>SALA REGIONAL DEL TRIBUNAL FEDERAL DE JUSTICIA FISCAL Y ADMINISTRATIVA. CUANDO ADVIERTA QUE NO LE COMPETE CONOCER DE UN ASUNTO, DEBE SOBRESEER EN EL JUICIO Y NO DECLINAR SU COMPETENCIA A UN DIVERSO ÓRGANO JURISDICCIONAL</w:t>
      </w:r>
      <w:r w:rsidRPr="00B64447">
        <w:rPr>
          <w:rFonts w:ascii="Arial" w:hAnsi="Arial" w:cs="Arial"/>
          <w:i/>
          <w:sz w:val="24"/>
          <w:szCs w:val="24"/>
        </w:rPr>
        <w:t>.”</w:t>
      </w:r>
      <w:r w:rsidRPr="00B55A05">
        <w:rPr>
          <w:rFonts w:ascii="Arial" w:hAnsi="Arial" w:cs="Arial"/>
          <w:sz w:val="24"/>
          <w:szCs w:val="24"/>
        </w:rPr>
        <w:t xml:space="preserve"> la tesis;</w:t>
      </w:r>
    </w:p>
    <w:p w14:paraId="3D0D2562" w14:textId="77777777" w:rsidR="001D2A02" w:rsidRPr="00AC12CF"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 xml:space="preserve">Semanario Judicial de la Federación y su Gaceta, Tomo XVII, </w:t>
      </w:r>
      <w:proofErr w:type="gramStart"/>
      <w:r w:rsidRPr="00B55A05">
        <w:rPr>
          <w:rFonts w:ascii="Arial" w:hAnsi="Arial" w:cs="Arial"/>
          <w:sz w:val="24"/>
          <w:szCs w:val="24"/>
        </w:rPr>
        <w:t>Febrero</w:t>
      </w:r>
      <w:proofErr w:type="gramEnd"/>
      <w:r w:rsidRPr="00B55A05">
        <w:rPr>
          <w:rFonts w:ascii="Arial" w:hAnsi="Arial" w:cs="Arial"/>
          <w:sz w:val="24"/>
          <w:szCs w:val="24"/>
        </w:rPr>
        <w:t xml:space="preserve"> de 2003, Novena Época, pág. 336, registro 184733, Tesis Aislada Administrativa, Segunda Sala, de rubro: “</w:t>
      </w:r>
      <w:r w:rsidRPr="00DA7E71">
        <w:rPr>
          <w:rFonts w:ascii="Arial" w:hAnsi="Arial" w:cs="Arial"/>
          <w:b/>
          <w:i/>
          <w:sz w:val="24"/>
          <w:szCs w:val="24"/>
        </w:rPr>
        <w:t>TRIBUNAL FEDERAL DE JUSTICIA FISCAL Y ADMINISTRATIVA. "RESOLUCIONES ADMINISTRATIVAS DEFINITIVAS". ALCANCE DEL CONCEPTO A QUE SE REFIERE EL ARTÍCULO 11, PRIMER PÁRRAFO, DE LA LEY ORGÁNICA DE DICHO TRIBUNAL</w:t>
      </w:r>
      <w:r w:rsidRPr="00DA7E71">
        <w:rPr>
          <w:rFonts w:ascii="Arial" w:hAnsi="Arial" w:cs="Arial"/>
          <w:b/>
          <w:sz w:val="24"/>
          <w:szCs w:val="24"/>
        </w:rPr>
        <w:t>.”</w:t>
      </w:r>
      <w:r w:rsidR="00AC12CF">
        <w:rPr>
          <w:rFonts w:ascii="Arial" w:hAnsi="Arial" w:cs="Arial"/>
          <w:b/>
          <w:sz w:val="24"/>
          <w:szCs w:val="24"/>
        </w:rPr>
        <w:t xml:space="preserve">; </w:t>
      </w:r>
      <w:r w:rsidR="00AC12CF" w:rsidRPr="00AC12CF">
        <w:rPr>
          <w:rFonts w:ascii="Arial" w:hAnsi="Arial" w:cs="Arial"/>
          <w:sz w:val="24"/>
          <w:szCs w:val="24"/>
        </w:rPr>
        <w:t>la jurisprudencia:</w:t>
      </w:r>
    </w:p>
    <w:p w14:paraId="3C5FFF16" w14:textId="77777777" w:rsidR="001D2A02" w:rsidRPr="00B55A05" w:rsidRDefault="001D2A02" w:rsidP="001D2A02">
      <w:pPr>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XXIX, </w:t>
      </w:r>
      <w:proofErr w:type="gramStart"/>
      <w:r>
        <w:rPr>
          <w:rFonts w:ascii="Arial" w:hAnsi="Arial" w:cs="Arial"/>
          <w:sz w:val="24"/>
          <w:szCs w:val="24"/>
        </w:rPr>
        <w:t>Marzo</w:t>
      </w:r>
      <w:proofErr w:type="gramEnd"/>
      <w:r>
        <w:rPr>
          <w:rFonts w:ascii="Arial" w:hAnsi="Arial" w:cs="Arial"/>
          <w:sz w:val="24"/>
          <w:szCs w:val="24"/>
        </w:rPr>
        <w:t xml:space="preserve"> de 2009, página 451, Jurisprudencia Administrativa, Segunda Sala, Novena Época, registro 167665, de rubro: </w:t>
      </w:r>
      <w:r w:rsidRPr="00250070">
        <w:rPr>
          <w:rFonts w:ascii="Arial" w:hAnsi="Arial" w:cs="Arial"/>
          <w:i/>
          <w:sz w:val="24"/>
          <w:szCs w:val="24"/>
        </w:rPr>
        <w:t>“</w:t>
      </w:r>
      <w:r w:rsidRPr="00DA7E71">
        <w:rPr>
          <w:rFonts w:ascii="Arial" w:hAnsi="Arial" w:cs="Arial"/>
          <w:b/>
          <w:i/>
          <w:sz w:val="24"/>
          <w:szCs w:val="24"/>
        </w:rPr>
        <w:t xml:space="preserve">PROCEDIMIENTO ADMINISTRATIVO DE EJECUCIÓN. POR REGLA GENERAL, LAS VIOLACIONES COMETIDAS ANTES DEL REMATE SON IMPUGNABLES MEDIANTE EL </w:t>
      </w:r>
      <w:r w:rsidRPr="00DA7E71">
        <w:rPr>
          <w:rFonts w:ascii="Arial" w:hAnsi="Arial" w:cs="Arial"/>
          <w:b/>
          <w:i/>
          <w:sz w:val="24"/>
          <w:szCs w:val="24"/>
        </w:rPr>
        <w:lastRenderedPageBreak/>
        <w:t>JUICIO CONTENCIOSO ADMINISTRATIVO HASTA QUE SE PUBLIQUE LA CONVOCATORIA RESPECTIVA, ACORDE CON EL ARTÍCULO 127, PRIMER PÁRRAFO, DEL CÓDIGO FISCAL DE LA FEDERACIÓN, REFORMADO MEDIANTE DECRETO PUBLICADO EN EL DIARIO OFICIAL DE LA FEDERACIÓN EL 28 DE JUNIO DE 2006</w:t>
      </w:r>
      <w:r w:rsidRPr="00250070">
        <w:rPr>
          <w:rFonts w:ascii="Arial" w:hAnsi="Arial" w:cs="Arial"/>
          <w:i/>
          <w:sz w:val="24"/>
          <w:szCs w:val="24"/>
        </w:rPr>
        <w:t>.</w:t>
      </w:r>
      <w:r>
        <w:rPr>
          <w:rFonts w:ascii="Arial" w:hAnsi="Arial" w:cs="Arial"/>
          <w:sz w:val="24"/>
          <w:szCs w:val="24"/>
        </w:rPr>
        <w:t>”</w:t>
      </w:r>
    </w:p>
    <w:p w14:paraId="49C9CAB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 xml:space="preserve">apoyo además en los artículos </w:t>
      </w:r>
      <w:r w:rsidR="00B279C7">
        <w:rPr>
          <w:rFonts w:ascii="Arial" w:hAnsi="Arial" w:cs="Arial"/>
          <w:sz w:val="24"/>
          <w:szCs w:val="24"/>
        </w:rPr>
        <w:t>162</w:t>
      </w:r>
      <w:r w:rsidR="00AC12CF">
        <w:rPr>
          <w:rFonts w:ascii="Arial" w:hAnsi="Arial" w:cs="Arial"/>
          <w:sz w:val="24"/>
          <w:szCs w:val="24"/>
        </w:rPr>
        <w:t xml:space="preserve"> fracción VI, y </w:t>
      </w:r>
      <w:r w:rsidR="00DB326A">
        <w:rPr>
          <w:rFonts w:ascii="Arial" w:hAnsi="Arial" w:cs="Arial"/>
          <w:sz w:val="24"/>
          <w:szCs w:val="24"/>
        </w:rPr>
        <w:t>207</w:t>
      </w:r>
      <w:r w:rsidR="00AC12CF">
        <w:rPr>
          <w:rFonts w:ascii="Arial" w:hAnsi="Arial" w:cs="Arial"/>
          <w:sz w:val="24"/>
          <w:szCs w:val="24"/>
        </w:rPr>
        <w:t>,</w:t>
      </w:r>
      <w:r w:rsidR="00DB326A">
        <w:rPr>
          <w:rFonts w:ascii="Arial" w:hAnsi="Arial" w:cs="Arial"/>
          <w:sz w:val="24"/>
          <w:szCs w:val="24"/>
        </w:rPr>
        <w:t xml:space="preserve"> </w:t>
      </w:r>
      <w:r w:rsidR="00AC12CF">
        <w:rPr>
          <w:rFonts w:ascii="Arial" w:hAnsi="Arial" w:cs="Arial"/>
          <w:sz w:val="24"/>
          <w:szCs w:val="24"/>
        </w:rPr>
        <w:t>ambos</w:t>
      </w:r>
      <w:r>
        <w:rPr>
          <w:rFonts w:ascii="Arial" w:hAnsi="Arial" w:cs="Arial"/>
          <w:sz w:val="24"/>
          <w:szCs w:val="24"/>
        </w:rPr>
        <w:t xml:space="preserve">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8702F1">
        <w:rPr>
          <w:rFonts w:ascii="Arial" w:hAnsi="Arial" w:cs="Arial"/>
          <w:sz w:val="24"/>
          <w:szCs w:val="24"/>
        </w:rPr>
        <w:t xml:space="preserve">- - - - - - - - - - - - - - - - - - - - - - - - - - - - - - - </w:t>
      </w:r>
    </w:p>
    <w:p w14:paraId="5D7241D1"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353D46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420764D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7F253F">
        <w:rPr>
          <w:rFonts w:ascii="Arial" w:hAnsi="Arial" w:cs="Arial"/>
          <w:b/>
          <w:sz w:val="24"/>
          <w:szCs w:val="24"/>
        </w:rPr>
        <w:t>SE SOBRESEE EL JUICIO</w:t>
      </w:r>
      <w:r>
        <w:rPr>
          <w:rFonts w:ascii="Arial" w:hAnsi="Arial" w:cs="Arial"/>
          <w:sz w:val="24"/>
          <w:szCs w:val="24"/>
        </w:rPr>
        <w:t xml:space="preserve">, en términos del considerando QUINTO de esta resolución.- - - - - - - - - - - - - - - - - - - - - - - - - - </w:t>
      </w:r>
    </w:p>
    <w:p w14:paraId="30B3FFD2"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p>
    <w:p w14:paraId="0469EDDD"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6ED6F134"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EF97D" w14:textId="77777777" w:rsidR="00BD2E39" w:rsidRDefault="00BD2E39" w:rsidP="007A5B5E">
      <w:pPr>
        <w:spacing w:after="0" w:line="240" w:lineRule="auto"/>
      </w:pPr>
      <w:r>
        <w:separator/>
      </w:r>
    </w:p>
  </w:endnote>
  <w:endnote w:type="continuationSeparator" w:id="0">
    <w:p w14:paraId="17C7B3CB"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3BE18E90"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32A75EF" wp14:editId="2EFB192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F0A4E1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D4215" w:rsidRPr="006D4215">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A75E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F0A4E1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D4215" w:rsidRPr="006D4215">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04164" w14:textId="77777777" w:rsidR="00BD2E39" w:rsidRDefault="00BD2E39" w:rsidP="007A5B5E">
      <w:pPr>
        <w:spacing w:after="0" w:line="240" w:lineRule="auto"/>
      </w:pPr>
      <w:r>
        <w:separator/>
      </w:r>
    </w:p>
  </w:footnote>
  <w:footnote w:type="continuationSeparator" w:id="0">
    <w:p w14:paraId="26241AD9"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A6EC8" w14:textId="77777777" w:rsidR="00BD2E39" w:rsidRDefault="00883355">
    <w:pPr>
      <w:pStyle w:val="Encabezado"/>
    </w:pPr>
    <w:r>
      <w:rPr>
        <w:noProof/>
        <w:lang w:eastAsia="es-MX"/>
      </w:rPr>
      <w:pict w14:anchorId="28B4B7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DBD2" w14:textId="6FA1BCBB"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37FC17A7" wp14:editId="0704A96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82C2C5C" w14:textId="77777777" w:rsidR="00BD2E39" w:rsidRDefault="00BD2E39" w:rsidP="002960E1">
                          <w:r>
                            <w:rPr>
                              <w:noProof/>
                              <w:lang w:eastAsia="es-MX"/>
                            </w:rPr>
                            <w:drawing>
                              <wp:inline distT="0" distB="0" distL="0" distR="0" wp14:anchorId="67260F15" wp14:editId="3A1D7817">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FC17A7"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82C2C5C" w14:textId="77777777" w:rsidR="00BD2E39" w:rsidRDefault="00BD2E39" w:rsidP="002960E1">
                    <w:r>
                      <w:rPr>
                        <w:noProof/>
                        <w:lang w:eastAsia="es-MX"/>
                      </w:rPr>
                      <w:drawing>
                        <wp:inline distT="0" distB="0" distL="0" distR="0" wp14:anchorId="67260F15" wp14:editId="3A1D7817">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B4CB4">
      <w:rPr>
        <w:rFonts w:ascii="Bookman Old Style" w:hAnsi="Bookman Old Style"/>
        <w:b/>
        <w:sz w:val="24"/>
        <w:szCs w:val="24"/>
      </w:rPr>
      <w:t>0111</w:t>
    </w:r>
    <w:r w:rsidRPr="00391F24">
      <w:rPr>
        <w:rFonts w:ascii="Bookman Old Style" w:hAnsi="Bookman Old Style"/>
        <w:b/>
        <w:sz w:val="24"/>
        <w:szCs w:val="24"/>
      </w:rPr>
      <w:t>/</w:t>
    </w:r>
    <w:r w:rsidR="002B4CA0">
      <w:rPr>
        <w:rFonts w:ascii="Bookman Old Style" w:hAnsi="Bookman Old Style"/>
        <w:b/>
        <w:sz w:val="24"/>
        <w:szCs w:val="24"/>
      </w:rPr>
      <w:t>20</w:t>
    </w:r>
    <w:r w:rsidR="00E22EDA">
      <w:rPr>
        <w:rFonts w:ascii="Bookman Old Style" w:hAnsi="Bookman Old Style"/>
        <w:b/>
        <w:sz w:val="24"/>
        <w:szCs w:val="24"/>
      </w:rPr>
      <w:t>20</w:t>
    </w:r>
  </w:p>
  <w:p w14:paraId="77B0D7AF" w14:textId="2AD233DE" w:rsidR="00BD2E39" w:rsidRPr="00071C38" w:rsidRDefault="00883355"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3347FFE4" wp14:editId="0EAC9E3E">
              <wp:simplePos x="0" y="0"/>
              <wp:positionH relativeFrom="leftMargin">
                <wp:posOffset>182880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4F2A05C" w14:textId="77777777" w:rsidR="00883355" w:rsidRPr="003B6E97" w:rsidRDefault="00883355" w:rsidP="0088335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AFE9E65" w14:textId="77777777" w:rsidR="00883355" w:rsidRPr="003B6E97" w:rsidRDefault="00883355" w:rsidP="00883355">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47FFE4" id="Cuadro de texto 3" o:spid="_x0000_s1027" type="#_x0000_t202" style="position:absolute;left:0;text-align:left;margin-left:14.4pt;margin-top:330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">
              <v:textbox>
                <w:txbxContent>
                  <w:p w14:paraId="04F2A05C" w14:textId="77777777" w:rsidR="00883355" w:rsidRPr="003B6E97" w:rsidRDefault="00883355" w:rsidP="0088335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AFE9E65" w14:textId="77777777" w:rsidR="00883355" w:rsidRPr="003B6E97" w:rsidRDefault="00883355" w:rsidP="00883355">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51342599" wp14:editId="58E2C501">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66126" w14:textId="77777777" w:rsidR="00BD2E39" w:rsidRDefault="00883355">
    <w:pPr>
      <w:pStyle w:val="Encabezado"/>
    </w:pPr>
    <w:r>
      <w:rPr>
        <w:noProof/>
        <w:lang w:eastAsia="es-MX"/>
      </w:rPr>
      <w:pict w14:anchorId="7200E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611595822">
    <w:abstractNumId w:val="2"/>
  </w:num>
  <w:num w:numId="2" w16cid:durableId="1114056006">
    <w:abstractNumId w:val="1"/>
  </w:num>
  <w:num w:numId="3" w16cid:durableId="1160460315">
    <w:abstractNumId w:val="3"/>
  </w:num>
  <w:num w:numId="4" w16cid:durableId="1745377125">
    <w:abstractNumId w:val="0"/>
  </w:num>
  <w:num w:numId="5" w16cid:durableId="381634981">
    <w:abstractNumId w:val="4"/>
  </w:num>
  <w:num w:numId="6" w16cid:durableId="567887139">
    <w:abstractNumId w:val="5"/>
  </w:num>
  <w:num w:numId="7" w16cid:durableId="13256231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0B0"/>
    <w:rsid w:val="00025216"/>
    <w:rsid w:val="000252F9"/>
    <w:rsid w:val="000265CB"/>
    <w:rsid w:val="000268AE"/>
    <w:rsid w:val="00032755"/>
    <w:rsid w:val="00033A92"/>
    <w:rsid w:val="00034A10"/>
    <w:rsid w:val="000364B3"/>
    <w:rsid w:val="00036961"/>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36B6"/>
    <w:rsid w:val="00066A1F"/>
    <w:rsid w:val="000679B2"/>
    <w:rsid w:val="00067DE1"/>
    <w:rsid w:val="00070476"/>
    <w:rsid w:val="00073453"/>
    <w:rsid w:val="00073DA8"/>
    <w:rsid w:val="000740B4"/>
    <w:rsid w:val="00075CBE"/>
    <w:rsid w:val="0007623E"/>
    <w:rsid w:val="00076E39"/>
    <w:rsid w:val="00080379"/>
    <w:rsid w:val="0008376B"/>
    <w:rsid w:val="0008431D"/>
    <w:rsid w:val="00084FF9"/>
    <w:rsid w:val="00085C5D"/>
    <w:rsid w:val="00086629"/>
    <w:rsid w:val="00091836"/>
    <w:rsid w:val="000920FC"/>
    <w:rsid w:val="00092B13"/>
    <w:rsid w:val="00094496"/>
    <w:rsid w:val="000971FD"/>
    <w:rsid w:val="00097F06"/>
    <w:rsid w:val="000A1953"/>
    <w:rsid w:val="000A3141"/>
    <w:rsid w:val="000A3C52"/>
    <w:rsid w:val="000A3F61"/>
    <w:rsid w:val="000A64A0"/>
    <w:rsid w:val="000A6C37"/>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C634F"/>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1FA"/>
    <w:rsid w:val="001130B3"/>
    <w:rsid w:val="0011343F"/>
    <w:rsid w:val="001138F8"/>
    <w:rsid w:val="00117886"/>
    <w:rsid w:val="00120FD2"/>
    <w:rsid w:val="00121484"/>
    <w:rsid w:val="00122721"/>
    <w:rsid w:val="001239FF"/>
    <w:rsid w:val="00124E09"/>
    <w:rsid w:val="00126864"/>
    <w:rsid w:val="00131D15"/>
    <w:rsid w:val="001323F3"/>
    <w:rsid w:val="00132BA5"/>
    <w:rsid w:val="00132D25"/>
    <w:rsid w:val="0013537E"/>
    <w:rsid w:val="00136797"/>
    <w:rsid w:val="001368DC"/>
    <w:rsid w:val="00141A00"/>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884"/>
    <w:rsid w:val="00163B6F"/>
    <w:rsid w:val="00164320"/>
    <w:rsid w:val="00165F7F"/>
    <w:rsid w:val="0016706C"/>
    <w:rsid w:val="001721C6"/>
    <w:rsid w:val="001723A5"/>
    <w:rsid w:val="00172912"/>
    <w:rsid w:val="00173C5C"/>
    <w:rsid w:val="00174AD4"/>
    <w:rsid w:val="00176BC2"/>
    <w:rsid w:val="001770F1"/>
    <w:rsid w:val="001771FB"/>
    <w:rsid w:val="00177462"/>
    <w:rsid w:val="00180937"/>
    <w:rsid w:val="00182700"/>
    <w:rsid w:val="00184097"/>
    <w:rsid w:val="00185A8C"/>
    <w:rsid w:val="001866CE"/>
    <w:rsid w:val="00187B21"/>
    <w:rsid w:val="0019109A"/>
    <w:rsid w:val="0019193E"/>
    <w:rsid w:val="00196D71"/>
    <w:rsid w:val="00197CCC"/>
    <w:rsid w:val="001A14B1"/>
    <w:rsid w:val="001A273D"/>
    <w:rsid w:val="001A29F3"/>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2A02"/>
    <w:rsid w:val="001D3299"/>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1C50"/>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2F02"/>
    <w:rsid w:val="00256213"/>
    <w:rsid w:val="00260406"/>
    <w:rsid w:val="00261905"/>
    <w:rsid w:val="00261A5D"/>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171"/>
    <w:rsid w:val="0028392C"/>
    <w:rsid w:val="002841F2"/>
    <w:rsid w:val="00284F95"/>
    <w:rsid w:val="0028642F"/>
    <w:rsid w:val="0029069C"/>
    <w:rsid w:val="00291361"/>
    <w:rsid w:val="002934B2"/>
    <w:rsid w:val="00293574"/>
    <w:rsid w:val="0029359A"/>
    <w:rsid w:val="00293C1E"/>
    <w:rsid w:val="00295D46"/>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1481"/>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48E2"/>
    <w:rsid w:val="00310B88"/>
    <w:rsid w:val="00312DF4"/>
    <w:rsid w:val="00314069"/>
    <w:rsid w:val="003147C5"/>
    <w:rsid w:val="00314DDF"/>
    <w:rsid w:val="00314FF8"/>
    <w:rsid w:val="00315E00"/>
    <w:rsid w:val="003171EB"/>
    <w:rsid w:val="00321363"/>
    <w:rsid w:val="0032191E"/>
    <w:rsid w:val="003224FD"/>
    <w:rsid w:val="003232EF"/>
    <w:rsid w:val="00324531"/>
    <w:rsid w:val="00324C99"/>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1A85"/>
    <w:rsid w:val="00372164"/>
    <w:rsid w:val="00372348"/>
    <w:rsid w:val="003730F1"/>
    <w:rsid w:val="003739C0"/>
    <w:rsid w:val="00373D5B"/>
    <w:rsid w:val="00374EFB"/>
    <w:rsid w:val="00374F50"/>
    <w:rsid w:val="0037509C"/>
    <w:rsid w:val="00375885"/>
    <w:rsid w:val="00375B6F"/>
    <w:rsid w:val="00376FD6"/>
    <w:rsid w:val="0037735A"/>
    <w:rsid w:val="00382C60"/>
    <w:rsid w:val="003843B4"/>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3F7DFD"/>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598E"/>
    <w:rsid w:val="00456E66"/>
    <w:rsid w:val="00457534"/>
    <w:rsid w:val="00457E0C"/>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8BA"/>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1D4"/>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91E"/>
    <w:rsid w:val="00564BE8"/>
    <w:rsid w:val="005650AD"/>
    <w:rsid w:val="0056582A"/>
    <w:rsid w:val="00566511"/>
    <w:rsid w:val="00566E44"/>
    <w:rsid w:val="0056783C"/>
    <w:rsid w:val="005700A1"/>
    <w:rsid w:val="00571121"/>
    <w:rsid w:val="00572C64"/>
    <w:rsid w:val="0057749A"/>
    <w:rsid w:val="005775C3"/>
    <w:rsid w:val="00580EEB"/>
    <w:rsid w:val="0058166F"/>
    <w:rsid w:val="0058281B"/>
    <w:rsid w:val="00586280"/>
    <w:rsid w:val="00586C84"/>
    <w:rsid w:val="0059235B"/>
    <w:rsid w:val="00592C9E"/>
    <w:rsid w:val="0059392E"/>
    <w:rsid w:val="00593E48"/>
    <w:rsid w:val="00594EC0"/>
    <w:rsid w:val="00595080"/>
    <w:rsid w:val="00595183"/>
    <w:rsid w:val="00597BFA"/>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483"/>
    <w:rsid w:val="00605FD1"/>
    <w:rsid w:val="0060689E"/>
    <w:rsid w:val="00606A66"/>
    <w:rsid w:val="00607F2F"/>
    <w:rsid w:val="00610311"/>
    <w:rsid w:val="0061149D"/>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6AC"/>
    <w:rsid w:val="006337B9"/>
    <w:rsid w:val="00633B84"/>
    <w:rsid w:val="00635019"/>
    <w:rsid w:val="00635299"/>
    <w:rsid w:val="006365E4"/>
    <w:rsid w:val="0063702E"/>
    <w:rsid w:val="00640240"/>
    <w:rsid w:val="006406B1"/>
    <w:rsid w:val="00641166"/>
    <w:rsid w:val="00641999"/>
    <w:rsid w:val="00643848"/>
    <w:rsid w:val="00644003"/>
    <w:rsid w:val="00647ED4"/>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3944"/>
    <w:rsid w:val="00674769"/>
    <w:rsid w:val="00674CC7"/>
    <w:rsid w:val="0067751D"/>
    <w:rsid w:val="00680A5D"/>
    <w:rsid w:val="00680F74"/>
    <w:rsid w:val="00680F7D"/>
    <w:rsid w:val="00682104"/>
    <w:rsid w:val="006823F1"/>
    <w:rsid w:val="00685BA2"/>
    <w:rsid w:val="0068786C"/>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5596"/>
    <w:rsid w:val="006C74D9"/>
    <w:rsid w:val="006D0360"/>
    <w:rsid w:val="006D192F"/>
    <w:rsid w:val="006D317A"/>
    <w:rsid w:val="006D3D74"/>
    <w:rsid w:val="006D4215"/>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706"/>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38C5"/>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0B8"/>
    <w:rsid w:val="00760C2A"/>
    <w:rsid w:val="007624B6"/>
    <w:rsid w:val="007632B3"/>
    <w:rsid w:val="00763AC0"/>
    <w:rsid w:val="00765566"/>
    <w:rsid w:val="00766AB5"/>
    <w:rsid w:val="0076779D"/>
    <w:rsid w:val="00770A31"/>
    <w:rsid w:val="00770FEC"/>
    <w:rsid w:val="00772907"/>
    <w:rsid w:val="00776EA8"/>
    <w:rsid w:val="007816A0"/>
    <w:rsid w:val="00783121"/>
    <w:rsid w:val="007846E5"/>
    <w:rsid w:val="0078531B"/>
    <w:rsid w:val="007856DC"/>
    <w:rsid w:val="00785927"/>
    <w:rsid w:val="00785C6E"/>
    <w:rsid w:val="007866AF"/>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CB4"/>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07F"/>
    <w:rsid w:val="007F253F"/>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02F1"/>
    <w:rsid w:val="00875789"/>
    <w:rsid w:val="00877427"/>
    <w:rsid w:val="00883355"/>
    <w:rsid w:val="008846DD"/>
    <w:rsid w:val="008848C8"/>
    <w:rsid w:val="00885691"/>
    <w:rsid w:val="00886378"/>
    <w:rsid w:val="00890C8B"/>
    <w:rsid w:val="008911C8"/>
    <w:rsid w:val="00893E43"/>
    <w:rsid w:val="00896F1B"/>
    <w:rsid w:val="008973C3"/>
    <w:rsid w:val="008A027B"/>
    <w:rsid w:val="008A0B67"/>
    <w:rsid w:val="008A0DB8"/>
    <w:rsid w:val="008A27E3"/>
    <w:rsid w:val="008A4EBD"/>
    <w:rsid w:val="008A5038"/>
    <w:rsid w:val="008B4928"/>
    <w:rsid w:val="008C0F2F"/>
    <w:rsid w:val="008C2010"/>
    <w:rsid w:val="008C223B"/>
    <w:rsid w:val="008C34C7"/>
    <w:rsid w:val="008C5CBD"/>
    <w:rsid w:val="008C5F5D"/>
    <w:rsid w:val="008C5FB8"/>
    <w:rsid w:val="008C6592"/>
    <w:rsid w:val="008C7219"/>
    <w:rsid w:val="008D17E8"/>
    <w:rsid w:val="008D298E"/>
    <w:rsid w:val="008D2F2D"/>
    <w:rsid w:val="008D6A15"/>
    <w:rsid w:val="008D7FBB"/>
    <w:rsid w:val="008E0E1E"/>
    <w:rsid w:val="008E2F4C"/>
    <w:rsid w:val="008E3CC6"/>
    <w:rsid w:val="008E402D"/>
    <w:rsid w:val="008E5B65"/>
    <w:rsid w:val="008E5D7B"/>
    <w:rsid w:val="008E656B"/>
    <w:rsid w:val="008E7CB5"/>
    <w:rsid w:val="008E7E36"/>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089B"/>
    <w:rsid w:val="00920BAF"/>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0BDF"/>
    <w:rsid w:val="00952BBB"/>
    <w:rsid w:val="00952DA2"/>
    <w:rsid w:val="00953189"/>
    <w:rsid w:val="0095642E"/>
    <w:rsid w:val="009575F5"/>
    <w:rsid w:val="00961528"/>
    <w:rsid w:val="00961AB8"/>
    <w:rsid w:val="009652D6"/>
    <w:rsid w:val="009755FD"/>
    <w:rsid w:val="009763D9"/>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43A"/>
    <w:rsid w:val="009C06BC"/>
    <w:rsid w:val="009C3349"/>
    <w:rsid w:val="009C5272"/>
    <w:rsid w:val="009C5F23"/>
    <w:rsid w:val="009C5F78"/>
    <w:rsid w:val="009C7D7A"/>
    <w:rsid w:val="009D0408"/>
    <w:rsid w:val="009D066D"/>
    <w:rsid w:val="009D10CD"/>
    <w:rsid w:val="009D1CBE"/>
    <w:rsid w:val="009D23D6"/>
    <w:rsid w:val="009D5381"/>
    <w:rsid w:val="009D64FB"/>
    <w:rsid w:val="009D6656"/>
    <w:rsid w:val="009D6D39"/>
    <w:rsid w:val="009D75E8"/>
    <w:rsid w:val="009E013B"/>
    <w:rsid w:val="009E0826"/>
    <w:rsid w:val="009E3AF9"/>
    <w:rsid w:val="009E7E15"/>
    <w:rsid w:val="009F006E"/>
    <w:rsid w:val="009F2123"/>
    <w:rsid w:val="009F3D2B"/>
    <w:rsid w:val="009F5B0C"/>
    <w:rsid w:val="00A00432"/>
    <w:rsid w:val="00A00586"/>
    <w:rsid w:val="00A00744"/>
    <w:rsid w:val="00A02FBF"/>
    <w:rsid w:val="00A03038"/>
    <w:rsid w:val="00A03414"/>
    <w:rsid w:val="00A045F3"/>
    <w:rsid w:val="00A057F6"/>
    <w:rsid w:val="00A068EB"/>
    <w:rsid w:val="00A13E46"/>
    <w:rsid w:val="00A13F37"/>
    <w:rsid w:val="00A154B0"/>
    <w:rsid w:val="00A17ABB"/>
    <w:rsid w:val="00A206A3"/>
    <w:rsid w:val="00A2218D"/>
    <w:rsid w:val="00A230DC"/>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3C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6FC6"/>
    <w:rsid w:val="00A97BC6"/>
    <w:rsid w:val="00AA0710"/>
    <w:rsid w:val="00AA2BC9"/>
    <w:rsid w:val="00AA3699"/>
    <w:rsid w:val="00AA4103"/>
    <w:rsid w:val="00AA41C7"/>
    <w:rsid w:val="00AA51ED"/>
    <w:rsid w:val="00AA62AE"/>
    <w:rsid w:val="00AA7145"/>
    <w:rsid w:val="00AA796F"/>
    <w:rsid w:val="00AA7BAB"/>
    <w:rsid w:val="00AB12C6"/>
    <w:rsid w:val="00AB1630"/>
    <w:rsid w:val="00AB5C18"/>
    <w:rsid w:val="00AB5FFA"/>
    <w:rsid w:val="00AC05A6"/>
    <w:rsid w:val="00AC12CF"/>
    <w:rsid w:val="00AC1D70"/>
    <w:rsid w:val="00AC1F7A"/>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9B1"/>
    <w:rsid w:val="00B124E3"/>
    <w:rsid w:val="00B12AAE"/>
    <w:rsid w:val="00B147BA"/>
    <w:rsid w:val="00B14C4C"/>
    <w:rsid w:val="00B155D4"/>
    <w:rsid w:val="00B160B2"/>
    <w:rsid w:val="00B16511"/>
    <w:rsid w:val="00B171D1"/>
    <w:rsid w:val="00B17D2D"/>
    <w:rsid w:val="00B20A79"/>
    <w:rsid w:val="00B22B25"/>
    <w:rsid w:val="00B22DC7"/>
    <w:rsid w:val="00B26A51"/>
    <w:rsid w:val="00B279C7"/>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3F3E"/>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94A"/>
    <w:rsid w:val="00BE7135"/>
    <w:rsid w:val="00BF0E86"/>
    <w:rsid w:val="00BF11D5"/>
    <w:rsid w:val="00BF1A88"/>
    <w:rsid w:val="00BF1B60"/>
    <w:rsid w:val="00BF2E0E"/>
    <w:rsid w:val="00BF31AE"/>
    <w:rsid w:val="00BF6A86"/>
    <w:rsid w:val="00BF76D7"/>
    <w:rsid w:val="00BF7982"/>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106"/>
    <w:rsid w:val="00C37DF5"/>
    <w:rsid w:val="00C41270"/>
    <w:rsid w:val="00C42EF1"/>
    <w:rsid w:val="00C44DDE"/>
    <w:rsid w:val="00C4671D"/>
    <w:rsid w:val="00C46F31"/>
    <w:rsid w:val="00C505D6"/>
    <w:rsid w:val="00C50828"/>
    <w:rsid w:val="00C519F2"/>
    <w:rsid w:val="00C521D4"/>
    <w:rsid w:val="00C532C8"/>
    <w:rsid w:val="00C5377A"/>
    <w:rsid w:val="00C56B89"/>
    <w:rsid w:val="00C572C4"/>
    <w:rsid w:val="00C5781F"/>
    <w:rsid w:val="00C60D14"/>
    <w:rsid w:val="00C60D32"/>
    <w:rsid w:val="00C61706"/>
    <w:rsid w:val="00C61E6F"/>
    <w:rsid w:val="00C6273B"/>
    <w:rsid w:val="00C633E9"/>
    <w:rsid w:val="00C64081"/>
    <w:rsid w:val="00C6716F"/>
    <w:rsid w:val="00C67280"/>
    <w:rsid w:val="00C7097E"/>
    <w:rsid w:val="00C71978"/>
    <w:rsid w:val="00C72F44"/>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562D"/>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04C2"/>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BF8"/>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C0A"/>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4973"/>
    <w:rsid w:val="00D67F35"/>
    <w:rsid w:val="00D70E5C"/>
    <w:rsid w:val="00D714AE"/>
    <w:rsid w:val="00D73597"/>
    <w:rsid w:val="00D76F88"/>
    <w:rsid w:val="00D77BDB"/>
    <w:rsid w:val="00D80489"/>
    <w:rsid w:val="00D8282E"/>
    <w:rsid w:val="00D841BC"/>
    <w:rsid w:val="00D84AF9"/>
    <w:rsid w:val="00D869D1"/>
    <w:rsid w:val="00D8770B"/>
    <w:rsid w:val="00D91179"/>
    <w:rsid w:val="00D925FE"/>
    <w:rsid w:val="00DA253C"/>
    <w:rsid w:val="00DA2D58"/>
    <w:rsid w:val="00DA2E36"/>
    <w:rsid w:val="00DA418E"/>
    <w:rsid w:val="00DA5796"/>
    <w:rsid w:val="00DB0C71"/>
    <w:rsid w:val="00DB142A"/>
    <w:rsid w:val="00DB326A"/>
    <w:rsid w:val="00DB42D5"/>
    <w:rsid w:val="00DB5795"/>
    <w:rsid w:val="00DB693D"/>
    <w:rsid w:val="00DC0E04"/>
    <w:rsid w:val="00DC0F1E"/>
    <w:rsid w:val="00DC104E"/>
    <w:rsid w:val="00DC1120"/>
    <w:rsid w:val="00DC14DE"/>
    <w:rsid w:val="00DC18DF"/>
    <w:rsid w:val="00DC247F"/>
    <w:rsid w:val="00DC24B5"/>
    <w:rsid w:val="00DC5BA8"/>
    <w:rsid w:val="00DD217B"/>
    <w:rsid w:val="00DD3263"/>
    <w:rsid w:val="00DD39C2"/>
    <w:rsid w:val="00DD45D5"/>
    <w:rsid w:val="00DD6535"/>
    <w:rsid w:val="00DD767E"/>
    <w:rsid w:val="00DD7B94"/>
    <w:rsid w:val="00DE04F5"/>
    <w:rsid w:val="00DE1B5B"/>
    <w:rsid w:val="00DE2AAD"/>
    <w:rsid w:val="00DE3267"/>
    <w:rsid w:val="00DE327F"/>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664D"/>
    <w:rsid w:val="00DF7C84"/>
    <w:rsid w:val="00E009AD"/>
    <w:rsid w:val="00E01A89"/>
    <w:rsid w:val="00E02B99"/>
    <w:rsid w:val="00E05E49"/>
    <w:rsid w:val="00E07258"/>
    <w:rsid w:val="00E14DCA"/>
    <w:rsid w:val="00E16656"/>
    <w:rsid w:val="00E16CF7"/>
    <w:rsid w:val="00E16FB5"/>
    <w:rsid w:val="00E202EB"/>
    <w:rsid w:val="00E21065"/>
    <w:rsid w:val="00E21766"/>
    <w:rsid w:val="00E21E6C"/>
    <w:rsid w:val="00E21FBE"/>
    <w:rsid w:val="00E22EDA"/>
    <w:rsid w:val="00E24040"/>
    <w:rsid w:val="00E2480A"/>
    <w:rsid w:val="00E24926"/>
    <w:rsid w:val="00E249B2"/>
    <w:rsid w:val="00E252E1"/>
    <w:rsid w:val="00E265B8"/>
    <w:rsid w:val="00E27318"/>
    <w:rsid w:val="00E278E3"/>
    <w:rsid w:val="00E3025F"/>
    <w:rsid w:val="00E31C7E"/>
    <w:rsid w:val="00E334AA"/>
    <w:rsid w:val="00E33B87"/>
    <w:rsid w:val="00E355F4"/>
    <w:rsid w:val="00E36FBF"/>
    <w:rsid w:val="00E440D4"/>
    <w:rsid w:val="00E445FA"/>
    <w:rsid w:val="00E452E5"/>
    <w:rsid w:val="00E455C7"/>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0E7"/>
    <w:rsid w:val="00E81789"/>
    <w:rsid w:val="00E819BC"/>
    <w:rsid w:val="00E83AFF"/>
    <w:rsid w:val="00E8462D"/>
    <w:rsid w:val="00E848A0"/>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4F62"/>
    <w:rsid w:val="00EB6911"/>
    <w:rsid w:val="00EB695F"/>
    <w:rsid w:val="00EC07DF"/>
    <w:rsid w:val="00EC616C"/>
    <w:rsid w:val="00ED0200"/>
    <w:rsid w:val="00ED0588"/>
    <w:rsid w:val="00ED0959"/>
    <w:rsid w:val="00ED20A6"/>
    <w:rsid w:val="00ED2A23"/>
    <w:rsid w:val="00ED48CB"/>
    <w:rsid w:val="00ED4B5F"/>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B87"/>
    <w:rsid w:val="00EF2CF9"/>
    <w:rsid w:val="00EF36ED"/>
    <w:rsid w:val="00EF694E"/>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0B19"/>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76E58"/>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A75D8"/>
    <w:rsid w:val="00FB58B6"/>
    <w:rsid w:val="00FB7066"/>
    <w:rsid w:val="00FB7682"/>
    <w:rsid w:val="00FC18AA"/>
    <w:rsid w:val="00FC3F22"/>
    <w:rsid w:val="00FC45EE"/>
    <w:rsid w:val="00FC47E6"/>
    <w:rsid w:val="00FC4F6A"/>
    <w:rsid w:val="00FC5BCC"/>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742"/>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29F0AE4"/>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352F1-4D9E-4106-94CF-4E4C9B950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2367</TotalTime>
  <Pages>7</Pages>
  <Words>2466</Words>
  <Characters>13568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1441</cp:revision>
  <cp:lastPrinted>2022-01-28T14:45:00Z</cp:lastPrinted>
  <dcterms:created xsi:type="dcterms:W3CDTF">2019-07-08T16:38:00Z</dcterms:created>
  <dcterms:modified xsi:type="dcterms:W3CDTF">2023-03-15T18:44:00Z</dcterms:modified>
</cp:coreProperties>
</file>