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8B5" w:rsidRPr="007C56AA" w:rsidRDefault="00CC38B5" w:rsidP="00CC38B5">
      <w:pPr>
        <w:spacing w:after="0"/>
        <w:ind w:left="3686" w:right="51"/>
        <w:jc w:val="both"/>
        <w:rPr>
          <w:rFonts w:ascii="Arial" w:eastAsia="Times New Roman" w:hAnsi="Arial" w:cs="Arial"/>
          <w:b/>
          <w:sz w:val="24"/>
          <w:szCs w:val="24"/>
          <w:lang w:val="es-ES_tradnl" w:eastAsia="es-ES"/>
        </w:rPr>
      </w:pPr>
      <w:r w:rsidRPr="007C56AA">
        <w:rPr>
          <w:rFonts w:ascii="Arial" w:eastAsia="Times New Roman" w:hAnsi="Arial" w:cs="Arial"/>
          <w:b/>
          <w:sz w:val="24"/>
          <w:szCs w:val="24"/>
          <w:lang w:val="es-ES_tradnl" w:eastAsia="es-ES"/>
        </w:rPr>
        <w:t>TRIBUNAL DE JUSTICIA ADMINISTRATIVA DEL ESTADO DE OAXACA.</w:t>
      </w:r>
    </w:p>
    <w:p w:rsidR="00CC38B5" w:rsidRPr="007C56AA" w:rsidRDefault="00CC38B5" w:rsidP="00CC38B5">
      <w:pPr>
        <w:spacing w:after="0"/>
        <w:ind w:left="3686" w:right="51"/>
        <w:jc w:val="both"/>
        <w:rPr>
          <w:rFonts w:ascii="Arial" w:eastAsia="Times New Roman" w:hAnsi="Arial" w:cs="Arial"/>
          <w:b/>
          <w:sz w:val="24"/>
          <w:szCs w:val="24"/>
          <w:lang w:val="es-ES_tradnl" w:eastAsia="es-ES"/>
        </w:rPr>
      </w:pPr>
    </w:p>
    <w:p w:rsidR="00CC38B5" w:rsidRPr="007C56AA" w:rsidRDefault="00CC38B5" w:rsidP="00CC38B5">
      <w:pPr>
        <w:spacing w:after="0"/>
        <w:ind w:left="3686" w:right="51"/>
        <w:jc w:val="both"/>
        <w:rPr>
          <w:rFonts w:ascii="Arial" w:eastAsia="Times New Roman" w:hAnsi="Arial" w:cs="Arial"/>
          <w:b/>
          <w:sz w:val="24"/>
          <w:szCs w:val="24"/>
          <w:lang w:val="es-ES_tradnl" w:eastAsia="es-ES"/>
        </w:rPr>
      </w:pPr>
      <w:r w:rsidRPr="007C56AA">
        <w:rPr>
          <w:rFonts w:ascii="Arial" w:eastAsia="Times New Roman" w:hAnsi="Arial" w:cs="Arial"/>
          <w:b/>
          <w:sz w:val="24"/>
          <w:szCs w:val="24"/>
          <w:lang w:val="es-ES_tradnl" w:eastAsia="es-ES"/>
        </w:rPr>
        <w:t>SEXTA SALA UNITARIA DE PRIMERA INSTANCIA.</w:t>
      </w:r>
    </w:p>
    <w:p w:rsidR="00CC38B5" w:rsidRPr="007C56AA" w:rsidRDefault="00CC38B5" w:rsidP="00CC38B5">
      <w:pPr>
        <w:spacing w:after="0"/>
        <w:ind w:left="3686" w:right="51"/>
        <w:jc w:val="both"/>
        <w:rPr>
          <w:rFonts w:ascii="Arial" w:eastAsia="Times New Roman" w:hAnsi="Arial" w:cs="Arial"/>
          <w:b/>
          <w:sz w:val="24"/>
          <w:szCs w:val="24"/>
          <w:lang w:val="es-ES_tradnl" w:eastAsia="es-ES"/>
        </w:rPr>
      </w:pPr>
    </w:p>
    <w:p w:rsidR="00CC38B5" w:rsidRPr="007C56AA" w:rsidRDefault="00CC38B5" w:rsidP="00CC38B5">
      <w:pPr>
        <w:spacing w:after="0"/>
        <w:ind w:left="3686" w:right="51"/>
        <w:jc w:val="both"/>
        <w:rPr>
          <w:rFonts w:ascii="Arial" w:eastAsia="Times New Roman" w:hAnsi="Arial" w:cs="Arial"/>
          <w:bCs/>
          <w:sz w:val="24"/>
          <w:szCs w:val="24"/>
          <w:lang w:val="es-ES_tradnl" w:eastAsia="es-ES"/>
        </w:rPr>
      </w:pPr>
      <w:r w:rsidRPr="007C56AA">
        <w:rPr>
          <w:rFonts w:ascii="Arial" w:eastAsia="Times New Roman" w:hAnsi="Arial" w:cs="Arial"/>
          <w:b/>
          <w:sz w:val="24"/>
          <w:szCs w:val="24"/>
          <w:lang w:val="es-ES_tradnl" w:eastAsia="es-ES"/>
        </w:rPr>
        <w:t xml:space="preserve">JUICIO DE NULIDAD: </w:t>
      </w:r>
      <w:r w:rsidRPr="007C56AA">
        <w:rPr>
          <w:rFonts w:ascii="Arial" w:eastAsia="Times New Roman" w:hAnsi="Arial" w:cs="Arial"/>
          <w:bCs/>
          <w:sz w:val="24"/>
          <w:szCs w:val="24"/>
          <w:lang w:val="es-ES_tradnl" w:eastAsia="es-ES"/>
        </w:rPr>
        <w:t xml:space="preserve">112/2019. </w:t>
      </w:r>
      <w:bookmarkStart w:id="0" w:name="_GoBack"/>
      <w:bookmarkEnd w:id="0"/>
    </w:p>
    <w:p w:rsidR="00CC38B5" w:rsidRPr="007C56AA" w:rsidRDefault="00CC38B5" w:rsidP="00CC38B5">
      <w:pPr>
        <w:spacing w:after="0"/>
        <w:ind w:left="3686" w:right="51"/>
        <w:jc w:val="both"/>
        <w:rPr>
          <w:rFonts w:ascii="Arial" w:eastAsia="Times New Roman" w:hAnsi="Arial" w:cs="Arial"/>
          <w:b/>
          <w:sz w:val="24"/>
          <w:szCs w:val="24"/>
          <w:lang w:val="es-ES_tradnl" w:eastAsia="es-ES"/>
        </w:rPr>
      </w:pPr>
    </w:p>
    <w:p w:rsidR="00CC38B5" w:rsidRPr="007C56AA" w:rsidRDefault="00CC38B5" w:rsidP="00CC38B5">
      <w:pPr>
        <w:spacing w:after="0"/>
        <w:ind w:left="3686" w:right="51"/>
        <w:jc w:val="both"/>
        <w:rPr>
          <w:rFonts w:ascii="Arial" w:eastAsia="Times New Roman" w:hAnsi="Arial" w:cs="Arial"/>
          <w:sz w:val="24"/>
          <w:szCs w:val="24"/>
          <w:lang w:val="es-ES_tradnl" w:eastAsia="es-ES"/>
        </w:rPr>
      </w:pPr>
      <w:r w:rsidRPr="007C56AA">
        <w:rPr>
          <w:rFonts w:ascii="Arial" w:eastAsia="Times New Roman" w:hAnsi="Arial" w:cs="Arial"/>
          <w:b/>
          <w:sz w:val="24"/>
          <w:szCs w:val="24"/>
          <w:lang w:val="es-ES_tradnl" w:eastAsia="es-ES"/>
        </w:rPr>
        <w:t xml:space="preserve">ACTOR: </w:t>
      </w:r>
      <w:r w:rsidR="00727AE9">
        <w:rPr>
          <w:rFonts w:ascii="Arial" w:eastAsia="Times New Roman" w:hAnsi="Arial" w:cs="Arial"/>
          <w:sz w:val="24"/>
          <w:szCs w:val="24"/>
          <w:lang w:val="es-ES_tradnl" w:eastAsia="es-ES"/>
        </w:rPr>
        <w:t>**********</w:t>
      </w:r>
    </w:p>
    <w:p w:rsidR="00CC38B5" w:rsidRPr="007C56AA" w:rsidRDefault="00CC38B5" w:rsidP="00CC38B5">
      <w:pPr>
        <w:spacing w:after="0"/>
        <w:ind w:left="3686" w:right="51"/>
        <w:jc w:val="both"/>
        <w:rPr>
          <w:rFonts w:ascii="Arial" w:eastAsia="Times New Roman" w:hAnsi="Arial" w:cs="Arial"/>
          <w:sz w:val="24"/>
          <w:szCs w:val="24"/>
          <w:lang w:val="es-ES_tradnl" w:eastAsia="es-ES"/>
        </w:rPr>
      </w:pPr>
    </w:p>
    <w:p w:rsidR="00CC38B5" w:rsidRPr="007C56AA" w:rsidRDefault="00CC38B5" w:rsidP="00CC38B5">
      <w:pPr>
        <w:spacing w:after="0"/>
        <w:ind w:left="3686" w:right="51"/>
        <w:jc w:val="both"/>
        <w:rPr>
          <w:rFonts w:ascii="Arial" w:eastAsia="Times New Roman" w:hAnsi="Arial" w:cs="Arial"/>
          <w:sz w:val="24"/>
          <w:szCs w:val="24"/>
          <w:lang w:val="es-ES_tradnl" w:eastAsia="es-ES"/>
        </w:rPr>
      </w:pPr>
      <w:r w:rsidRPr="007C56AA">
        <w:rPr>
          <w:rFonts w:ascii="Arial" w:eastAsia="Times New Roman" w:hAnsi="Arial" w:cs="Arial"/>
          <w:b/>
          <w:sz w:val="24"/>
          <w:szCs w:val="24"/>
          <w:lang w:val="es-ES_tradnl" w:eastAsia="es-ES"/>
        </w:rPr>
        <w:t xml:space="preserve">AUTORIDAD DEMANDADA: </w:t>
      </w:r>
      <w:bookmarkStart w:id="1" w:name="_Hlk49769963"/>
      <w:r w:rsidRPr="007C56AA">
        <w:rPr>
          <w:rFonts w:ascii="Arial" w:eastAsia="Times New Roman" w:hAnsi="Arial" w:cs="Arial"/>
          <w:sz w:val="24"/>
          <w:szCs w:val="24"/>
          <w:lang w:val="es-ES_tradnl" w:eastAsia="es-ES"/>
        </w:rPr>
        <w:t>DIRECTORA DE INGRESOS Y RECAUDACIÓN DE LA SUBSECRETARÍA DE INGRESOS DE LA SECRETARÍA DE FINANZAS DEL GOBIERNO DEL ESTADO DE OAXACA</w:t>
      </w:r>
      <w:bookmarkEnd w:id="1"/>
      <w:r w:rsidRPr="007C56AA">
        <w:rPr>
          <w:rFonts w:ascii="Arial" w:eastAsia="Times New Roman" w:hAnsi="Arial" w:cs="Arial"/>
          <w:sz w:val="24"/>
          <w:szCs w:val="24"/>
          <w:lang w:val="es-ES_tradnl" w:eastAsia="es-ES"/>
        </w:rPr>
        <w:t>.</w:t>
      </w:r>
    </w:p>
    <w:p w:rsidR="00CC38B5" w:rsidRPr="007C56AA" w:rsidRDefault="00CC38B5" w:rsidP="00CC38B5">
      <w:pPr>
        <w:spacing w:after="0"/>
        <w:ind w:left="3969" w:right="51"/>
        <w:jc w:val="both"/>
        <w:rPr>
          <w:rFonts w:ascii="Arial" w:eastAsia="Times New Roman" w:hAnsi="Arial" w:cs="Arial"/>
          <w:sz w:val="24"/>
          <w:szCs w:val="24"/>
          <w:lang w:val="es-ES_tradnl" w:eastAsia="es-ES"/>
        </w:rPr>
      </w:pPr>
    </w:p>
    <w:p w:rsidR="00CC38B5" w:rsidRPr="007C56AA" w:rsidRDefault="00CC38B5" w:rsidP="00CC38B5">
      <w:pPr>
        <w:widowControl w:val="0"/>
        <w:spacing w:after="0" w:line="240" w:lineRule="auto"/>
        <w:ind w:right="51"/>
        <w:rPr>
          <w:rFonts w:ascii="Arial" w:eastAsia="Times New Roman" w:hAnsi="Arial" w:cs="Arial"/>
          <w:color w:val="FF0000"/>
          <w:sz w:val="24"/>
          <w:szCs w:val="24"/>
          <w:lang w:val="es-ES" w:eastAsia="es-ES"/>
        </w:rPr>
      </w:pPr>
    </w:p>
    <w:p w:rsidR="00CC38B5" w:rsidRPr="007C56AA" w:rsidRDefault="00CC38B5" w:rsidP="00CC38B5">
      <w:pPr>
        <w:widowControl w:val="0"/>
        <w:spacing w:line="360" w:lineRule="auto"/>
        <w:ind w:right="51" w:firstLine="567"/>
        <w:jc w:val="both"/>
        <w:rPr>
          <w:rFonts w:ascii="Arial" w:eastAsia="Times New Roman" w:hAnsi="Arial" w:cs="Arial"/>
          <w:b/>
          <w:sz w:val="24"/>
          <w:szCs w:val="24"/>
          <w:lang w:val="es-ES" w:eastAsia="es-ES"/>
        </w:rPr>
      </w:pPr>
      <w:r w:rsidRPr="007C56AA">
        <w:rPr>
          <w:rFonts w:ascii="Arial" w:eastAsia="Times New Roman" w:hAnsi="Arial" w:cs="Arial"/>
          <w:b/>
          <w:sz w:val="24"/>
          <w:szCs w:val="24"/>
          <w:lang w:val="es-ES" w:eastAsia="es-ES"/>
        </w:rPr>
        <w:t xml:space="preserve">OAXACA DE JUÁREZ, OAXACA, </w:t>
      </w:r>
      <w:r w:rsidR="00C724CD" w:rsidRPr="007C56AA">
        <w:rPr>
          <w:rFonts w:ascii="Arial" w:eastAsia="Times New Roman" w:hAnsi="Arial" w:cs="Arial"/>
          <w:b/>
          <w:sz w:val="24"/>
          <w:szCs w:val="24"/>
          <w:lang w:val="es-ES" w:eastAsia="es-ES"/>
        </w:rPr>
        <w:t>TREINTA DE SEPTIEMBRE</w:t>
      </w:r>
      <w:r w:rsidRPr="007C56AA">
        <w:rPr>
          <w:rFonts w:ascii="Arial" w:eastAsia="Times New Roman" w:hAnsi="Arial" w:cs="Arial"/>
          <w:b/>
          <w:sz w:val="24"/>
          <w:szCs w:val="24"/>
          <w:lang w:val="es-ES" w:eastAsia="es-ES"/>
        </w:rPr>
        <w:t xml:space="preserve"> DE DOS MIL VEINTE. </w:t>
      </w:r>
    </w:p>
    <w:p w:rsidR="00CC38B5" w:rsidRPr="007C56AA" w:rsidRDefault="00CC38B5" w:rsidP="00CC38B5">
      <w:pPr>
        <w:widowControl w:val="0"/>
        <w:spacing w:line="360" w:lineRule="auto"/>
        <w:ind w:right="51" w:firstLine="567"/>
        <w:jc w:val="both"/>
        <w:rPr>
          <w:rFonts w:ascii="Arial" w:eastAsia="Times New Roman" w:hAnsi="Arial" w:cs="Arial"/>
          <w:sz w:val="24"/>
          <w:szCs w:val="24"/>
          <w:lang w:val="es-ES" w:eastAsia="es-ES"/>
        </w:rPr>
      </w:pPr>
      <w:r w:rsidRPr="007C56AA">
        <w:rPr>
          <w:rFonts w:ascii="Arial" w:eastAsia="Times New Roman" w:hAnsi="Arial" w:cs="Arial"/>
          <w:b/>
          <w:sz w:val="24"/>
          <w:szCs w:val="24"/>
          <w:lang w:val="es-ES_tradnl" w:eastAsia="es-ES"/>
        </w:rPr>
        <w:t xml:space="preserve">V I S T O S, </w:t>
      </w:r>
      <w:r w:rsidRPr="007C56AA">
        <w:rPr>
          <w:rFonts w:ascii="Arial" w:eastAsia="Times New Roman" w:hAnsi="Arial" w:cs="Arial"/>
          <w:sz w:val="24"/>
          <w:szCs w:val="24"/>
          <w:lang w:val="es-ES_tradnl" w:eastAsia="es-ES"/>
        </w:rPr>
        <w:t xml:space="preserve">para resolver los autos del juicio de nulidad número </w:t>
      </w:r>
      <w:r w:rsidRPr="007C56AA">
        <w:rPr>
          <w:rFonts w:ascii="Arial" w:eastAsia="Times New Roman" w:hAnsi="Arial" w:cs="Arial"/>
          <w:b/>
          <w:bCs/>
          <w:sz w:val="24"/>
          <w:szCs w:val="24"/>
          <w:lang w:val="es-ES_tradnl" w:eastAsia="es-ES"/>
        </w:rPr>
        <w:t>112/2019</w:t>
      </w:r>
      <w:r w:rsidRPr="007C56AA">
        <w:rPr>
          <w:rFonts w:ascii="Arial" w:eastAsia="Times New Roman" w:hAnsi="Arial" w:cs="Arial"/>
          <w:sz w:val="24"/>
          <w:szCs w:val="24"/>
          <w:lang w:val="es-ES_tradnl" w:eastAsia="es-ES"/>
        </w:rPr>
        <w:t xml:space="preserve">, interpuesto por </w:t>
      </w:r>
      <w:r w:rsidR="00727AE9">
        <w:rPr>
          <w:rFonts w:ascii="Arial" w:eastAsia="Times New Roman" w:hAnsi="Arial" w:cs="Arial"/>
          <w:b/>
          <w:bCs/>
          <w:sz w:val="24"/>
          <w:szCs w:val="24"/>
          <w:lang w:val="es-ES_tradnl" w:eastAsia="es-ES"/>
        </w:rPr>
        <w:t>**********</w:t>
      </w:r>
      <w:r w:rsidRPr="007C56AA">
        <w:rPr>
          <w:rFonts w:ascii="Arial" w:eastAsia="Times New Roman" w:hAnsi="Arial" w:cs="Arial"/>
          <w:sz w:val="24"/>
          <w:szCs w:val="24"/>
          <w:lang w:val="es-ES_tradnl" w:eastAsia="es-ES"/>
        </w:rPr>
        <w:t xml:space="preserve">en contra de la </w:t>
      </w:r>
      <w:r w:rsidRPr="007C56AA">
        <w:rPr>
          <w:rFonts w:ascii="Arial" w:eastAsia="Times New Roman" w:hAnsi="Arial" w:cs="Arial"/>
          <w:b/>
          <w:sz w:val="24"/>
          <w:szCs w:val="24"/>
          <w:lang w:val="es-ES_tradnl" w:eastAsia="es-ES"/>
        </w:rPr>
        <w:t>DIRECTORA DE INGRESOS Y RECAUDACIÓN DE LA SUBSECRETARÍA DE INGRESOS DE LA SECRETARÍA DE FINANZAS DEL GOBIERNO DEL ESTADO DE OAXACA</w:t>
      </w:r>
      <w:r w:rsidRPr="007C56AA">
        <w:rPr>
          <w:rFonts w:ascii="Arial" w:eastAsia="Times New Roman" w:hAnsi="Arial" w:cs="Arial"/>
          <w:sz w:val="24"/>
          <w:szCs w:val="24"/>
          <w:lang w:val="es-ES_tradnl" w:eastAsia="es-ES"/>
        </w:rPr>
        <w:t xml:space="preserve">, y; </w:t>
      </w:r>
    </w:p>
    <w:p w:rsidR="00CC38B5" w:rsidRPr="007C56AA" w:rsidRDefault="00CC38B5" w:rsidP="00CC38B5">
      <w:pPr>
        <w:spacing w:line="360" w:lineRule="auto"/>
        <w:jc w:val="center"/>
        <w:rPr>
          <w:rFonts w:ascii="Arial" w:hAnsi="Arial" w:cs="Arial"/>
          <w:b/>
          <w:spacing w:val="-3"/>
          <w:sz w:val="24"/>
          <w:szCs w:val="24"/>
          <w:lang w:val="es-ES_tradnl"/>
        </w:rPr>
      </w:pPr>
      <w:r w:rsidRPr="007C56AA">
        <w:rPr>
          <w:rFonts w:ascii="Arial" w:hAnsi="Arial" w:cs="Arial"/>
          <w:b/>
          <w:sz w:val="24"/>
          <w:szCs w:val="24"/>
        </w:rPr>
        <w:t>R E</w:t>
      </w:r>
      <w:r w:rsidRPr="007C56AA">
        <w:rPr>
          <w:rFonts w:ascii="Arial" w:hAnsi="Arial" w:cs="Arial"/>
          <w:b/>
          <w:spacing w:val="-3"/>
          <w:sz w:val="24"/>
          <w:szCs w:val="24"/>
          <w:lang w:val="es-ES_tradnl"/>
        </w:rPr>
        <w:t xml:space="preserve"> S U L T A N D O:</w:t>
      </w:r>
    </w:p>
    <w:p w:rsidR="00CC38B5" w:rsidRPr="007C56AA" w:rsidRDefault="00727AE9" w:rsidP="00CC38B5">
      <w:pPr>
        <w:spacing w:line="360" w:lineRule="auto"/>
        <w:ind w:firstLine="567"/>
        <w:jc w:val="both"/>
        <w:rPr>
          <w:rFonts w:ascii="Arial" w:hAnsi="Arial" w:cs="Arial"/>
          <w:bCs/>
          <w:spacing w:val="-3"/>
          <w:sz w:val="24"/>
          <w:szCs w:val="24"/>
          <w:lang w:val="es-ES_tradnl"/>
        </w:rPr>
      </w:pPr>
      <w:r>
        <w:rPr>
          <w:noProof/>
          <w:lang w:eastAsia="es-MX"/>
        </w:rPr>
        <mc:AlternateContent>
          <mc:Choice Requires="wps">
            <w:drawing>
              <wp:anchor distT="0" distB="0" distL="114300" distR="114300" simplePos="0" relativeHeight="251659264" behindDoc="1" locked="0" layoutInCell="1" allowOverlap="1" wp14:anchorId="3FFBCC0A" wp14:editId="39CF6669">
                <wp:simplePos x="0" y="0"/>
                <wp:positionH relativeFrom="column">
                  <wp:posOffset>-1172817</wp:posOffset>
                </wp:positionH>
                <wp:positionV relativeFrom="paragraph">
                  <wp:posOffset>927183</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BCC0A" id="_x0000_t202" coordsize="21600,21600" o:spt="202" path="m,l,21600r21600,l21600,xe">
                <v:stroke joinstyle="miter"/>
                <v:path gradientshapeok="t" o:connecttype="rect"/>
              </v:shapetype>
              <v:shape id="Cuadro de texto 5" o:spid="_x0000_s1026" type="#_x0000_t202" style="position:absolute;left:0;text-align:left;margin-left:-92.35pt;margin-top:73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38B5" w:rsidRPr="007C56AA">
        <w:rPr>
          <w:rFonts w:ascii="Arial" w:hAnsi="Arial" w:cs="Arial"/>
          <w:b/>
          <w:spacing w:val="-3"/>
          <w:sz w:val="24"/>
          <w:szCs w:val="24"/>
          <w:lang w:val="es-ES_tradnl"/>
        </w:rPr>
        <w:t xml:space="preserve">PRIMERO.- </w:t>
      </w:r>
      <w:r w:rsidR="00CC38B5" w:rsidRPr="007C56AA">
        <w:rPr>
          <w:rFonts w:ascii="Arial" w:hAnsi="Arial" w:cs="Arial"/>
          <w:bCs/>
          <w:spacing w:val="-3"/>
          <w:sz w:val="24"/>
          <w:szCs w:val="24"/>
          <w:lang w:val="es-ES_tradnl"/>
        </w:rPr>
        <w:t xml:space="preserve">Con fecha tres de octubre de dos mil diecinueve (03/10/2019) </w:t>
      </w:r>
      <w:r>
        <w:rPr>
          <w:rFonts w:ascii="Arial" w:hAnsi="Arial" w:cs="Arial"/>
          <w:bCs/>
          <w:spacing w:val="-3"/>
          <w:sz w:val="24"/>
          <w:szCs w:val="24"/>
          <w:lang w:val="es-ES_tradnl"/>
        </w:rPr>
        <w:t>**********</w:t>
      </w:r>
      <w:r w:rsidR="00CC38B5" w:rsidRPr="007C56AA">
        <w:rPr>
          <w:rFonts w:ascii="Arial" w:hAnsi="Arial" w:cs="Arial"/>
          <w:bCs/>
          <w:spacing w:val="-3"/>
          <w:sz w:val="24"/>
          <w:szCs w:val="24"/>
          <w:lang w:val="es-ES_tradnl"/>
        </w:rPr>
        <w:t>presentó en la Oficialía de Partes Común de este Tribunal, presentó en la Oficialía de Partes Común de este Tribunal su escrito de demanda, en el cual  solicitó la nulidad de la multa por infracción relacionada con la presentación de declaraciones del Impuesto sobre Erogaciones por Remuneraciones al Trabajo Personal, con número de control 01MO44ER192488, de fecha veinticinco de junio de dos mil diecinueve, emitida por la maestra ELIZABETH MARTÍNEZ ARZOLA, Directora de Ingresos y Recaudación de la Subsecretaría de Ingresos de la Secretaría de Finanzas del Gobierno del Estado de Oaxaca. Por lo que mediante acuerdo de fecha siete de octubre de dos mil diecinueve (07/10/2019), se admitió a trámite la demanda, ordenándose notificar, emplazar y correr traslado a la autoridad demandada, para que produjera su contestación en los términos de ley.</w:t>
      </w:r>
    </w:p>
    <w:p w:rsidR="00CC38B5" w:rsidRPr="007C56AA" w:rsidRDefault="00CC38B5" w:rsidP="00CC38B5">
      <w:pPr>
        <w:spacing w:line="360" w:lineRule="auto"/>
        <w:ind w:firstLine="567"/>
        <w:jc w:val="both"/>
        <w:rPr>
          <w:rFonts w:ascii="Arial" w:hAnsi="Arial" w:cs="Arial"/>
          <w:bCs/>
          <w:spacing w:val="-3"/>
          <w:sz w:val="24"/>
          <w:szCs w:val="24"/>
          <w:lang w:val="es-ES_tradnl"/>
        </w:rPr>
      </w:pPr>
      <w:r w:rsidRPr="007C56AA">
        <w:rPr>
          <w:rFonts w:ascii="Arial" w:hAnsi="Arial" w:cs="Arial"/>
          <w:b/>
          <w:spacing w:val="-3"/>
          <w:sz w:val="24"/>
          <w:szCs w:val="24"/>
          <w:lang w:val="es-ES_tradnl"/>
        </w:rPr>
        <w:lastRenderedPageBreak/>
        <w:t>SEGUNDO.-</w:t>
      </w:r>
      <w:r w:rsidRPr="007C56AA">
        <w:rPr>
          <w:rFonts w:ascii="Arial" w:hAnsi="Arial" w:cs="Arial"/>
          <w:bCs/>
          <w:spacing w:val="-3"/>
          <w:sz w:val="24"/>
          <w:szCs w:val="24"/>
          <w:lang w:val="es-ES_tradnl"/>
        </w:rPr>
        <w:t xml:space="preserve"> Por acuerdo de fecha diecisiete de marzo de dos mil veinte (17/03/2020), se tuvo al Procurador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tuvieron por adm</w:t>
      </w:r>
      <w:r w:rsidR="00657280">
        <w:rPr>
          <w:rFonts w:ascii="Arial" w:hAnsi="Arial" w:cs="Arial"/>
          <w:bCs/>
          <w:spacing w:val="-3"/>
          <w:sz w:val="24"/>
          <w:szCs w:val="24"/>
          <w:lang w:val="es-ES_tradnl"/>
        </w:rPr>
        <w:t>itidas las pruebas que ofreció,</w:t>
      </w:r>
      <w:r w:rsidRPr="007C56AA">
        <w:rPr>
          <w:rFonts w:ascii="Arial" w:hAnsi="Arial" w:cs="Arial"/>
          <w:bCs/>
          <w:spacing w:val="-3"/>
          <w:sz w:val="24"/>
          <w:szCs w:val="24"/>
          <w:lang w:val="es-ES_tradnl"/>
        </w:rPr>
        <w:t xml:space="preserve"> se señaló fecha y hora para la celebración de la audiencia final.</w:t>
      </w:r>
    </w:p>
    <w:p w:rsidR="00657280" w:rsidRPr="00FE0388" w:rsidRDefault="00CC38B5" w:rsidP="00657280">
      <w:pPr>
        <w:spacing w:line="360" w:lineRule="auto"/>
        <w:ind w:firstLine="567"/>
        <w:jc w:val="both"/>
        <w:rPr>
          <w:rFonts w:ascii="Tahoma" w:hAnsi="Tahoma" w:cs="Tahoma"/>
          <w:sz w:val="24"/>
          <w:szCs w:val="24"/>
        </w:rPr>
      </w:pPr>
      <w:r w:rsidRPr="007C56AA">
        <w:rPr>
          <w:rFonts w:ascii="Arial" w:hAnsi="Arial" w:cs="Arial"/>
          <w:b/>
          <w:spacing w:val="-3"/>
          <w:sz w:val="24"/>
          <w:szCs w:val="24"/>
          <w:lang w:val="es-ES_tradnl"/>
        </w:rPr>
        <w:t>TERCERO.-</w:t>
      </w:r>
      <w:r w:rsidR="00657280">
        <w:rPr>
          <w:rFonts w:ascii="Arial" w:hAnsi="Arial" w:cs="Arial"/>
          <w:b/>
          <w:spacing w:val="-3"/>
          <w:sz w:val="24"/>
          <w:szCs w:val="24"/>
          <w:lang w:val="es-ES_tradnl"/>
        </w:rPr>
        <w:t xml:space="preserve"> </w:t>
      </w:r>
      <w:r w:rsidR="00657280">
        <w:rPr>
          <w:rFonts w:ascii="Arial" w:hAnsi="Arial" w:cs="Arial"/>
          <w:spacing w:val="-3"/>
          <w:sz w:val="24"/>
          <w:szCs w:val="24"/>
          <w:lang w:val="es-ES_tradnl"/>
        </w:rPr>
        <w:t xml:space="preserve">Por auto de treinta y uno de agosto del año en curso, se señaló fecha y hora para que tuviera verificativo la audiencia final en el presente asunto, de igual forma se les hizo saber a las partes que </w:t>
      </w:r>
      <w:r w:rsidR="00657280" w:rsidRPr="00FE0388">
        <w:rPr>
          <w:rFonts w:ascii="Tahoma" w:hAnsi="Tahoma" w:cs="Tahoma"/>
          <w:sz w:val="24"/>
          <w:szCs w:val="24"/>
        </w:rPr>
        <w:t xml:space="preserve">el licenciado </w:t>
      </w:r>
      <w:r w:rsidR="00657280" w:rsidRPr="00FE0388">
        <w:rPr>
          <w:rFonts w:ascii="Tahoma" w:hAnsi="Tahoma" w:cs="Tahoma"/>
          <w:b/>
          <w:sz w:val="24"/>
          <w:szCs w:val="24"/>
        </w:rPr>
        <w:t xml:space="preserve">RENATO GABRIEL IBÁÑEZ CASTELLANOS, </w:t>
      </w:r>
      <w:r w:rsidR="00657280" w:rsidRPr="00FE0388">
        <w:rPr>
          <w:rFonts w:ascii="Tahoma" w:hAnsi="Tahoma" w:cs="Tahoma"/>
          <w:sz w:val="24"/>
          <w:szCs w:val="24"/>
        </w:rPr>
        <w:t>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Justicia Administrativa del Estado de Oaxaca, en relación con el numeral 13, fracción XIV de su reglamento, hasta se adscriba titu</w:t>
      </w:r>
      <w:r w:rsidR="00657280">
        <w:rPr>
          <w:rFonts w:ascii="Tahoma" w:hAnsi="Tahoma" w:cs="Tahoma"/>
          <w:sz w:val="24"/>
          <w:szCs w:val="24"/>
        </w:rPr>
        <w:t>lar de la Sala, sin que hayan manifestado</w:t>
      </w:r>
      <w:r w:rsidR="006A279C">
        <w:rPr>
          <w:rFonts w:ascii="Tahoma" w:hAnsi="Tahoma" w:cs="Tahoma"/>
          <w:sz w:val="24"/>
          <w:szCs w:val="24"/>
        </w:rPr>
        <w:t xml:space="preserve"> nada al respecto.</w:t>
      </w:r>
    </w:p>
    <w:p w:rsidR="00CC38B5" w:rsidRPr="007C56AA" w:rsidRDefault="00CC38B5" w:rsidP="00CC38B5">
      <w:pPr>
        <w:spacing w:line="360" w:lineRule="auto"/>
        <w:ind w:firstLine="567"/>
        <w:jc w:val="both"/>
        <w:rPr>
          <w:rFonts w:ascii="Arial" w:hAnsi="Arial" w:cs="Arial"/>
          <w:bCs/>
          <w:spacing w:val="-3"/>
          <w:sz w:val="24"/>
          <w:szCs w:val="24"/>
          <w:lang w:val="es-ES_tradnl"/>
        </w:rPr>
      </w:pPr>
      <w:r w:rsidRPr="007C56AA">
        <w:rPr>
          <w:rFonts w:ascii="Arial" w:hAnsi="Arial" w:cs="Arial"/>
          <w:bCs/>
          <w:spacing w:val="-3"/>
          <w:sz w:val="24"/>
          <w:szCs w:val="24"/>
          <w:lang w:val="es-ES_tradnl"/>
        </w:rPr>
        <w:t xml:space="preserve"> </w:t>
      </w:r>
      <w:r w:rsidR="006A279C">
        <w:rPr>
          <w:rFonts w:ascii="Arial" w:hAnsi="Arial" w:cs="Arial"/>
          <w:b/>
          <w:bCs/>
          <w:spacing w:val="-3"/>
          <w:sz w:val="24"/>
          <w:szCs w:val="24"/>
          <w:lang w:val="es-ES_tradnl"/>
        </w:rPr>
        <w:t xml:space="preserve">CUARTO.- </w:t>
      </w:r>
      <w:r w:rsidRPr="007C56AA">
        <w:rPr>
          <w:rFonts w:ascii="Arial" w:hAnsi="Arial" w:cs="Arial"/>
          <w:bCs/>
          <w:spacing w:val="-3"/>
          <w:sz w:val="24"/>
          <w:szCs w:val="24"/>
          <w:lang w:val="es-ES_tradnl"/>
        </w:rPr>
        <w:t xml:space="preserve">El </w:t>
      </w:r>
      <w:r w:rsidR="00455ECE">
        <w:rPr>
          <w:rFonts w:ascii="Arial" w:hAnsi="Arial" w:cs="Arial"/>
          <w:bCs/>
          <w:spacing w:val="-3"/>
          <w:sz w:val="24"/>
          <w:szCs w:val="24"/>
          <w:lang w:val="es-ES_tradnl"/>
        </w:rPr>
        <w:t xml:space="preserve">veintidós </w:t>
      </w:r>
      <w:r w:rsidR="00064172">
        <w:rPr>
          <w:rFonts w:ascii="Arial" w:hAnsi="Arial" w:cs="Arial"/>
          <w:bCs/>
          <w:spacing w:val="-3"/>
          <w:sz w:val="24"/>
          <w:szCs w:val="24"/>
          <w:lang w:val="es-ES_tradnl"/>
        </w:rPr>
        <w:t xml:space="preserve">de septiembre de </w:t>
      </w:r>
      <w:r w:rsidRPr="007C56AA">
        <w:rPr>
          <w:rFonts w:ascii="Arial" w:hAnsi="Arial" w:cs="Arial"/>
          <w:bCs/>
          <w:spacing w:val="-3"/>
          <w:sz w:val="24"/>
          <w:szCs w:val="24"/>
          <w:lang w:val="es-ES_tradnl"/>
        </w:rPr>
        <w:t>dos mil veinte (</w:t>
      </w:r>
      <w:r w:rsidR="00064172">
        <w:rPr>
          <w:rFonts w:ascii="Arial" w:hAnsi="Arial" w:cs="Arial"/>
          <w:bCs/>
          <w:spacing w:val="-3"/>
          <w:sz w:val="24"/>
          <w:szCs w:val="24"/>
          <w:lang w:val="es-ES_tradnl"/>
        </w:rPr>
        <w:t>27/09</w:t>
      </w:r>
      <w:r w:rsidRPr="007C56AA">
        <w:rPr>
          <w:rFonts w:ascii="Arial" w:hAnsi="Arial" w:cs="Arial"/>
          <w:bCs/>
          <w:spacing w:val="-3"/>
          <w:sz w:val="24"/>
          <w:szCs w:val="24"/>
          <w:lang w:val="es-ES_tradnl"/>
        </w:rPr>
        <w:t>/2020) se llevó a cabo la Audiencia de Ley, en la que no se presentaron las partes, ni persona alguna que legalmente las representara, asent</w:t>
      </w:r>
      <w:r w:rsidR="00256B16">
        <w:rPr>
          <w:rFonts w:ascii="Arial" w:hAnsi="Arial" w:cs="Arial"/>
          <w:bCs/>
          <w:spacing w:val="-3"/>
          <w:sz w:val="24"/>
          <w:szCs w:val="24"/>
          <w:lang w:val="es-ES_tradnl"/>
        </w:rPr>
        <w:t>ando el Secretario de Acuerdos</w:t>
      </w:r>
      <w:r w:rsidRPr="007C56AA">
        <w:rPr>
          <w:rFonts w:ascii="Arial" w:hAnsi="Arial" w:cs="Arial"/>
          <w:bCs/>
          <w:spacing w:val="-3"/>
          <w:sz w:val="24"/>
          <w:szCs w:val="24"/>
          <w:lang w:val="es-ES_tradnl"/>
        </w:rPr>
        <w:t>, por lo que se citó a las partes oír sentenci</w:t>
      </w:r>
      <w:r w:rsidR="00C724CD" w:rsidRPr="007C56AA">
        <w:rPr>
          <w:rFonts w:ascii="Arial" w:hAnsi="Arial" w:cs="Arial"/>
          <w:bCs/>
          <w:spacing w:val="-3"/>
          <w:sz w:val="24"/>
          <w:szCs w:val="24"/>
          <w:lang w:val="es-ES_tradnl"/>
        </w:rPr>
        <w:t>a dentro del término de ley, y;</w:t>
      </w:r>
      <w:r w:rsidRPr="007C56AA">
        <w:rPr>
          <w:rFonts w:ascii="Arial" w:hAnsi="Arial" w:cs="Arial"/>
          <w:bCs/>
          <w:spacing w:val="-3"/>
          <w:sz w:val="24"/>
          <w:szCs w:val="24"/>
          <w:lang w:val="es-ES_tradnl"/>
        </w:rPr>
        <w:t xml:space="preserve"> </w:t>
      </w:r>
    </w:p>
    <w:p w:rsidR="00CC38B5" w:rsidRPr="007C56AA" w:rsidRDefault="00CC38B5" w:rsidP="00CC38B5">
      <w:pPr>
        <w:spacing w:line="360" w:lineRule="auto"/>
        <w:jc w:val="both"/>
        <w:rPr>
          <w:rFonts w:ascii="Arial" w:hAnsi="Arial" w:cs="Arial"/>
          <w:b/>
          <w:spacing w:val="-3"/>
          <w:sz w:val="24"/>
          <w:szCs w:val="24"/>
          <w:lang w:val="es-ES_tradnl"/>
        </w:rPr>
      </w:pPr>
      <w:r w:rsidRPr="007C56AA">
        <w:rPr>
          <w:rFonts w:ascii="Arial" w:hAnsi="Arial" w:cs="Arial"/>
          <w:b/>
          <w:spacing w:val="-3"/>
          <w:sz w:val="24"/>
          <w:szCs w:val="24"/>
          <w:lang w:val="es-ES_tradnl"/>
        </w:rPr>
        <w:tab/>
      </w:r>
      <w:r w:rsidRPr="007C56AA">
        <w:rPr>
          <w:rFonts w:ascii="Arial" w:hAnsi="Arial" w:cs="Arial"/>
          <w:b/>
          <w:spacing w:val="-3"/>
          <w:sz w:val="24"/>
          <w:szCs w:val="24"/>
          <w:lang w:val="es-ES_tradnl"/>
        </w:rPr>
        <w:tab/>
      </w:r>
      <w:r w:rsidRPr="007C56AA">
        <w:rPr>
          <w:rFonts w:ascii="Arial" w:hAnsi="Arial" w:cs="Arial"/>
          <w:b/>
          <w:spacing w:val="-3"/>
          <w:sz w:val="24"/>
          <w:szCs w:val="24"/>
          <w:lang w:val="es-ES_tradnl"/>
        </w:rPr>
        <w:tab/>
      </w:r>
      <w:r w:rsidRPr="007C56AA">
        <w:rPr>
          <w:rFonts w:ascii="Arial" w:hAnsi="Arial" w:cs="Arial"/>
          <w:b/>
          <w:spacing w:val="-3"/>
          <w:sz w:val="24"/>
          <w:szCs w:val="24"/>
          <w:lang w:val="es-ES_tradnl"/>
        </w:rPr>
        <w:tab/>
        <w:t>C O N S I D E R A N D O:</w:t>
      </w:r>
    </w:p>
    <w:p w:rsidR="00CC38B5" w:rsidRPr="007C56AA" w:rsidRDefault="00727AE9" w:rsidP="00CC38B5">
      <w:pPr>
        <w:spacing w:line="360" w:lineRule="auto"/>
        <w:ind w:firstLine="567"/>
        <w:jc w:val="both"/>
        <w:rPr>
          <w:rFonts w:ascii="Arial" w:hAnsi="Arial" w:cs="Arial"/>
          <w:sz w:val="24"/>
          <w:szCs w:val="24"/>
        </w:rPr>
      </w:pPr>
      <w:r>
        <w:rPr>
          <w:noProof/>
          <w:lang w:eastAsia="es-MX"/>
        </w:rPr>
        <mc:AlternateContent>
          <mc:Choice Requires="wps">
            <w:drawing>
              <wp:anchor distT="0" distB="0" distL="114300" distR="114300" simplePos="0" relativeHeight="251661312" behindDoc="1" locked="0" layoutInCell="1" allowOverlap="1" wp14:anchorId="3E2373BE" wp14:editId="711C1211">
                <wp:simplePos x="0" y="0"/>
                <wp:positionH relativeFrom="column">
                  <wp:posOffset>5744818</wp:posOffset>
                </wp:positionH>
                <wp:positionV relativeFrom="paragraph">
                  <wp:posOffset>757223</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373BE" id="Cuadro de texto 1" o:spid="_x0000_s1027" type="#_x0000_t202" style="position:absolute;left:0;text-align:left;margin-left:452.35pt;margin-top:59.6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38B5" w:rsidRPr="007C56AA">
        <w:rPr>
          <w:rFonts w:ascii="Arial" w:hAnsi="Arial" w:cs="Arial"/>
          <w:b/>
          <w:sz w:val="24"/>
          <w:szCs w:val="24"/>
        </w:rPr>
        <w:t xml:space="preserve">PRIMERO. </w:t>
      </w:r>
      <w:r w:rsidR="00CC38B5" w:rsidRPr="007C56AA">
        <w:rPr>
          <w:rFonts w:ascii="Arial" w:hAnsi="Arial" w:cs="Arial"/>
          <w:sz w:val="24"/>
          <w:szCs w:val="24"/>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w:t>
      </w:r>
    </w:p>
    <w:p w:rsidR="00CC38B5" w:rsidRPr="007C56AA" w:rsidRDefault="00CC38B5" w:rsidP="00CC38B5">
      <w:pPr>
        <w:spacing w:line="360" w:lineRule="auto"/>
        <w:ind w:firstLine="567"/>
        <w:jc w:val="both"/>
        <w:rPr>
          <w:rFonts w:ascii="Arial" w:hAnsi="Arial" w:cs="Arial"/>
          <w:bCs/>
          <w:snapToGrid w:val="0"/>
          <w:sz w:val="24"/>
          <w:szCs w:val="24"/>
        </w:rPr>
      </w:pPr>
      <w:r w:rsidRPr="007C56AA">
        <w:rPr>
          <w:rFonts w:ascii="Arial" w:hAnsi="Arial" w:cs="Arial"/>
          <w:b/>
          <w:snapToGrid w:val="0"/>
          <w:sz w:val="24"/>
          <w:szCs w:val="24"/>
        </w:rPr>
        <w:t xml:space="preserve">SEGUNDO. </w:t>
      </w:r>
      <w:r w:rsidRPr="007C56AA">
        <w:rPr>
          <w:rFonts w:ascii="Arial" w:hAnsi="Arial" w:cs="Arial"/>
          <w:bCs/>
          <w:snapToGrid w:val="0"/>
          <w:sz w:val="24"/>
          <w:szCs w:val="24"/>
        </w:rPr>
        <w:t>La personalidad de las partes quedó acreditada en autos en términos del artículo 148 y 151 de la Ley de Procedimiento y Justicia Administrativa para el Estado de Oaxaca.</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
          <w:snapToGrid w:val="0"/>
          <w:sz w:val="24"/>
          <w:szCs w:val="24"/>
        </w:rPr>
        <w:t>TERCERO.</w:t>
      </w:r>
      <w:r w:rsidRPr="007C56AA">
        <w:rPr>
          <w:rFonts w:ascii="Arial" w:hAnsi="Arial" w:cs="Arial"/>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w:t>
      </w:r>
      <w:r w:rsidRPr="007C56AA">
        <w:rPr>
          <w:rFonts w:ascii="Arial" w:hAnsi="Arial" w:cs="Arial"/>
          <w:bCs/>
          <w:snapToGrid w:val="0"/>
          <w:sz w:val="24"/>
          <w:szCs w:val="24"/>
        </w:rPr>
        <w:lastRenderedPageBreak/>
        <w:t xml:space="preserve">términos de los artículos 161 y 162 de la Ley de Procedimiento y Justicia Administrativa para el Estado de Oaxaca. Esta Primera Sala Unitaria de Primera Instancia del Tribunal de Justicia Administrativa para el Estado de Oaxaca, advierte que no se configura alguna causal de improcedencia o sobreseimiento por lo tanto, </w:t>
      </w:r>
      <w:r w:rsidRPr="007C56AA">
        <w:rPr>
          <w:rFonts w:ascii="Arial" w:hAnsi="Arial" w:cs="Arial"/>
          <w:b/>
          <w:snapToGrid w:val="0"/>
          <w:sz w:val="24"/>
          <w:szCs w:val="24"/>
        </w:rPr>
        <w:t>NO SE SOBRESEE EL PRESENTE JUICIO</w:t>
      </w:r>
      <w:r w:rsidR="00C724CD" w:rsidRPr="007C56AA">
        <w:rPr>
          <w:rFonts w:ascii="Arial" w:hAnsi="Arial" w:cs="Arial"/>
          <w:bCs/>
          <w:snapToGrid w:val="0"/>
          <w:sz w:val="24"/>
          <w:szCs w:val="24"/>
        </w:rPr>
        <w:t>.</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
          <w:snapToGrid w:val="0"/>
          <w:sz w:val="24"/>
          <w:szCs w:val="24"/>
        </w:rPr>
        <w:t xml:space="preserve">CUARTO.- </w:t>
      </w:r>
      <w:r w:rsidRPr="007C56AA">
        <w:rPr>
          <w:rFonts w:ascii="Arial" w:hAnsi="Arial" w:cs="Arial"/>
          <w:bCs/>
          <w:snapToGrid w:val="0"/>
          <w:sz w:val="24"/>
          <w:szCs w:val="24"/>
        </w:rPr>
        <w:t xml:space="preserve">El hoy actor manifiesta en sus conceptos de impugnación PRIMERO y QUINTO, que la que 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por lo que hace a la competencia material, la autoridad demandada cita el artículo 31 fracciones VIII y XLII del Reglamento Interno de la Secretaría de Finanzas del Poder Ejecutivo del Estado de Oaxaca, que a la letra dice: </w:t>
      </w:r>
    </w:p>
    <w:p w:rsidR="00CC38B5" w:rsidRPr="007C56AA" w:rsidRDefault="00727AE9" w:rsidP="00CC38B5">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63360" behindDoc="1" locked="0" layoutInCell="1" allowOverlap="1" wp14:anchorId="30C5772A" wp14:editId="22794F64">
                <wp:simplePos x="0" y="0"/>
                <wp:positionH relativeFrom="column">
                  <wp:posOffset>-1009650</wp:posOffset>
                </wp:positionH>
                <wp:positionV relativeFrom="paragraph">
                  <wp:posOffset>805815</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5772A" id="Cuadro de texto 2" o:spid="_x0000_s1028" type="#_x0000_t202" style="position:absolute;left:0;text-align:left;margin-left:-79.5pt;margin-top:63.4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38B5" w:rsidRPr="007C56AA">
        <w:rPr>
          <w:rFonts w:ascii="Arial" w:hAnsi="Arial" w:cs="Arial"/>
          <w:b/>
          <w:i/>
          <w:iCs/>
          <w:snapToGrid w:val="0"/>
          <w:sz w:val="24"/>
          <w:szCs w:val="24"/>
        </w:rPr>
        <w:t>Artículo 31</w:t>
      </w:r>
      <w:r w:rsidR="00CC38B5" w:rsidRPr="007C56AA">
        <w:rPr>
          <w:rFonts w:ascii="Arial" w:hAnsi="Arial" w:cs="Arial"/>
          <w:bCs/>
          <w:i/>
          <w:iCs/>
          <w:snapToGrid w:val="0"/>
          <w:sz w:val="24"/>
          <w:szCs w:val="24"/>
        </w:rPr>
        <w:t>.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Cs/>
          <w:i/>
          <w:iCs/>
          <w:snapToGrid w:val="0"/>
          <w:sz w:val="24"/>
          <w:szCs w:val="24"/>
        </w:rPr>
        <w:t>[…]</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Cs/>
          <w:i/>
          <w:iCs/>
          <w:snapToGrid w:val="0"/>
          <w:sz w:val="24"/>
          <w:szCs w:val="24"/>
        </w:rPr>
        <w:t>VIII. Imponer las sanciones que correspondan por violación a las disposiciones fiscales;</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Cs/>
          <w:i/>
          <w:iCs/>
          <w:snapToGrid w:val="0"/>
          <w:sz w:val="24"/>
          <w:szCs w:val="24"/>
        </w:rPr>
        <w:t>[…]</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Cs/>
          <w:i/>
          <w:iCs/>
          <w:snapToGrid w:val="0"/>
          <w:sz w:val="24"/>
          <w:szCs w:val="24"/>
        </w:rPr>
        <w:t>XLII. Las demás que les confieran las leyes, este Reglamento y demás disposiciones normativas aplicables, así como las que expresamente les sean conferidas por el Subsecretario.</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Cs/>
          <w:snapToGrid w:val="0"/>
          <w:sz w:val="24"/>
          <w:szCs w:val="24"/>
        </w:rPr>
        <w:t>De lo anterior, se observa que precisamente al citar dicho precepto legal,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Cs/>
          <w:snapToGrid w:val="0"/>
          <w:sz w:val="24"/>
          <w:szCs w:val="24"/>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
          <w:i/>
          <w:iCs/>
          <w:snapToGrid w:val="0"/>
          <w:sz w:val="24"/>
          <w:szCs w:val="24"/>
        </w:rPr>
        <w:t>Artículo 1.</w:t>
      </w:r>
      <w:r w:rsidRPr="007C56AA">
        <w:rPr>
          <w:rFonts w:ascii="Arial" w:hAnsi="Arial" w:cs="Arial"/>
          <w:bCs/>
          <w:i/>
          <w:iCs/>
          <w:snapToGrid w:val="0"/>
          <w:sz w:val="24"/>
          <w:szCs w:val="24"/>
        </w:rPr>
        <w:t xml:space="preserve"> El presente ordenamiento tiene por objeto reglamentar la organización, competencia y facultades de los servidores públicos de la Secretaría de Finanzas del Poder Ejecutivo del Estado.</w:t>
      </w:r>
    </w:p>
    <w:p w:rsidR="00CC38B5" w:rsidRPr="007C56AA" w:rsidRDefault="00727AE9" w:rsidP="00CC38B5">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65408" behindDoc="1" locked="0" layoutInCell="1" allowOverlap="1" wp14:anchorId="059C3025" wp14:editId="53EFB62F">
                <wp:simplePos x="0" y="0"/>
                <wp:positionH relativeFrom="column">
                  <wp:posOffset>5625548</wp:posOffset>
                </wp:positionH>
                <wp:positionV relativeFrom="paragraph">
                  <wp:posOffset>87050</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C3025" id="Cuadro de texto 3" o:spid="_x0000_s1029" type="#_x0000_t202" style="position:absolute;left:0;text-align:left;margin-left:442.95pt;margin-top:6.8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38B5" w:rsidRPr="007C56AA">
        <w:rPr>
          <w:rFonts w:ascii="Arial" w:hAnsi="Arial" w:cs="Arial"/>
          <w:bCs/>
          <w:i/>
          <w:iCs/>
          <w:snapToGrid w:val="0"/>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Cs/>
          <w:snapToGrid w:val="0"/>
          <w:sz w:val="24"/>
          <w:szCs w:val="24"/>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7C56AA">
        <w:rPr>
          <w:rFonts w:ascii="Arial" w:hAnsi="Arial" w:cs="Arial"/>
          <w:b/>
          <w:snapToGrid w:val="0"/>
          <w:sz w:val="24"/>
          <w:szCs w:val="24"/>
          <w:u w:val="single"/>
        </w:rPr>
        <w:t>INFUNDADO</w:t>
      </w:r>
      <w:r w:rsidRPr="007C56AA">
        <w:rPr>
          <w:rFonts w:ascii="Arial" w:hAnsi="Arial" w:cs="Arial"/>
          <w:bCs/>
          <w:snapToGrid w:val="0"/>
          <w:sz w:val="24"/>
          <w:szCs w:val="24"/>
        </w:rPr>
        <w:t xml:space="preserve">, en virtud de que la autoridad demandada citó correctamente los preceptos legales mediante los cuales fundamenta y justifica su competencia material y territorial. </w:t>
      </w:r>
    </w:p>
    <w:p w:rsidR="00CC38B5" w:rsidRPr="007C56AA" w:rsidRDefault="00727AE9" w:rsidP="00CC38B5">
      <w:pPr>
        <w:spacing w:line="360" w:lineRule="auto"/>
        <w:ind w:right="51" w:firstLine="567"/>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67456" behindDoc="1" locked="0" layoutInCell="1" allowOverlap="1" wp14:anchorId="5A006D35" wp14:editId="5D6A6A16">
                <wp:simplePos x="0" y="0"/>
                <wp:positionH relativeFrom="column">
                  <wp:posOffset>-1009650</wp:posOffset>
                </wp:positionH>
                <wp:positionV relativeFrom="paragraph">
                  <wp:posOffset>4804410</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06D35" id="Cuadro de texto 4" o:spid="_x0000_s1030" type="#_x0000_t202" style="position:absolute;left:0;text-align:left;margin-left:-79.5pt;margin-top:378.3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JfaA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38B5" w:rsidRPr="007C56AA">
        <w:rPr>
          <w:rFonts w:ascii="Arial" w:hAnsi="Arial" w:cs="Arial"/>
          <w:b/>
          <w:snapToGrid w:val="0"/>
          <w:sz w:val="24"/>
          <w:szCs w:val="24"/>
        </w:rPr>
        <w:t>QUINTO.-</w:t>
      </w:r>
      <w:r w:rsidR="00CC38B5" w:rsidRPr="007C56AA">
        <w:rPr>
          <w:rFonts w:ascii="Arial" w:hAnsi="Arial" w:cs="Arial"/>
          <w:bCs/>
          <w:snapToGrid w:val="0"/>
          <w:sz w:val="24"/>
          <w:szCs w:val="24"/>
        </w:rPr>
        <w:t xml:space="preserve"> La parte actora manifiesta esencialmente en sus conceptos de impugnación SEGUNDO, TERCERO, CUARTO y SEXTO, en términos del artículo 206 de la Ley de Procedimiento y Justicia Administrativa para el Estado de Oaxaca, que la aludida multa por infracción, viola en perjuicio de su representada el artículo 122 fracción IV del Código Fiscal para el Estado de Oaxaca, como se advierte en la multa por infracción relacionada con la presentación de declaraciones del Impuesto Sobre Erogaciones por Remuneraciones al Trabajo Personal, con número de control 01MO44ER192488, de fecha veinticinco de junio de dos mil diecinueve, visible en la foja 15 del sumario, documental que adquiere valor probatorio pleno en términos del artículo 203 fracción I de la Ley de Procedimiento y Justicia Administrativa para el Estado de Oaxaca, por tratarse de un documento original expedido por funcionario en ejercicio de sus funciones y por contener firma y sello de quien lo emite, a lo que la autoridad demandada manifestó en su escrito de contestación (fojas 45 a 59)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w:t>
      </w:r>
      <w:r w:rsidR="00C724CD" w:rsidRPr="007C56AA">
        <w:rPr>
          <w:rFonts w:ascii="Arial" w:hAnsi="Arial" w:cs="Arial"/>
          <w:bCs/>
          <w:snapToGrid w:val="0"/>
          <w:sz w:val="24"/>
          <w:szCs w:val="24"/>
        </w:rPr>
        <w:t>ienda manifiesta lo siguiente:</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
          <w:i/>
          <w:iCs/>
          <w:snapToGrid w:val="0"/>
          <w:sz w:val="24"/>
          <w:szCs w:val="24"/>
        </w:rPr>
        <w:t>Artículo 64</w:t>
      </w:r>
      <w:r w:rsidRPr="007C56AA">
        <w:rPr>
          <w:rFonts w:ascii="Arial" w:hAnsi="Arial" w:cs="Arial"/>
          <w:bCs/>
          <w:i/>
          <w:iCs/>
          <w:snapToGrid w:val="0"/>
          <w:sz w:val="24"/>
          <w:szCs w:val="24"/>
        </w:rPr>
        <w:t>.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Cs/>
          <w:i/>
          <w:iCs/>
          <w:snapToGrid w:val="0"/>
          <w:sz w:val="24"/>
          <w:szCs w:val="24"/>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Cs/>
          <w:i/>
          <w:iCs/>
          <w:snapToGrid w:val="0"/>
          <w:sz w:val="24"/>
          <w:szCs w:val="24"/>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Cs/>
          <w:i/>
          <w:iCs/>
          <w:snapToGrid w:val="0"/>
          <w:sz w:val="24"/>
          <w:szCs w:val="24"/>
        </w:rPr>
        <w:t>La responsabilidad solidaria subsistirá hasta en tanto el intermediario laboral cumpla con todas las obligaciones a que se encuentra sujeto en éste Capítulo.</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Cs/>
          <w:snapToGrid w:val="0"/>
          <w:sz w:val="24"/>
          <w:szCs w:val="24"/>
        </w:rPr>
        <w:t>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señalando en la citada multa el plazo para la presentación de las declaraciones omitidas así como la fecha en que vencían las misma, sin embargo, la autoridad es omisa al no señalar la fecha exacta en que conoció que el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actora en el supuesto jurídico que tiene como consecuencia la obligación de presentar la declaración bimestral definitiva por el primer bimestre del ejercicio fiscal 2019.</w:t>
      </w:r>
    </w:p>
    <w:p w:rsidR="00CC38B5" w:rsidRPr="007C56AA" w:rsidRDefault="00727AE9" w:rsidP="00CC38B5">
      <w:pPr>
        <w:spacing w:line="360" w:lineRule="auto"/>
        <w:ind w:right="51" w:firstLine="567"/>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69504" behindDoc="1" locked="0" layoutInCell="1" allowOverlap="1" wp14:anchorId="71F5250C" wp14:editId="649B3E02">
                <wp:simplePos x="0" y="0"/>
                <wp:positionH relativeFrom="column">
                  <wp:posOffset>5605669</wp:posOffset>
                </wp:positionH>
                <wp:positionV relativeFrom="paragraph">
                  <wp:posOffset>1750695</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5250C" id="Cuadro de texto 6" o:spid="_x0000_s1031" type="#_x0000_t202" style="position:absolute;left:0;text-align:left;margin-left:441.4pt;margin-top:137.8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38B5" w:rsidRPr="007C56AA">
        <w:rPr>
          <w:rFonts w:ascii="Arial" w:hAnsi="Arial" w:cs="Arial"/>
          <w:bCs/>
          <w:snapToGrid w:val="0"/>
          <w:sz w:val="24"/>
          <w:szCs w:val="24"/>
        </w:rPr>
        <w:t xml:space="preserve">Siguiendo en la misma tesitura, y retomando lo dicho en el párrafo que antecede, si esa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 estipulado en el artículo 97 primer párrafo así como en el artículo 113 primer y segundo párrafo del Código Fiscal para que dentro del plazo de quince días manifestara lo que a su derecho convenga, mismo que a la letra dice: </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
          <w:i/>
          <w:iCs/>
          <w:snapToGrid w:val="0"/>
          <w:sz w:val="24"/>
          <w:szCs w:val="24"/>
        </w:rPr>
        <w:t>ARTÍCULO 113</w:t>
      </w:r>
      <w:r w:rsidRPr="007C56AA">
        <w:rPr>
          <w:rFonts w:ascii="Arial" w:hAnsi="Arial" w:cs="Arial"/>
          <w:bCs/>
          <w:i/>
          <w:iCs/>
          <w:snapToGrid w:val="0"/>
          <w:sz w:val="24"/>
          <w:szCs w:val="24"/>
        </w:rPr>
        <w:t>.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CC38B5" w:rsidRPr="007C56AA" w:rsidRDefault="00CC38B5" w:rsidP="00CC38B5">
      <w:pPr>
        <w:ind w:left="567" w:right="615"/>
        <w:jc w:val="both"/>
        <w:rPr>
          <w:rFonts w:ascii="Arial" w:hAnsi="Arial" w:cs="Arial"/>
          <w:bCs/>
          <w:i/>
          <w:iCs/>
          <w:snapToGrid w:val="0"/>
          <w:sz w:val="24"/>
          <w:szCs w:val="24"/>
        </w:rPr>
      </w:pPr>
      <w:r w:rsidRPr="007C56AA">
        <w:rPr>
          <w:rFonts w:ascii="Arial" w:hAnsi="Arial" w:cs="Arial"/>
          <w:bCs/>
          <w:i/>
          <w:iCs/>
          <w:snapToGrid w:val="0"/>
          <w:sz w:val="24"/>
          <w:szCs w:val="24"/>
        </w:rPr>
        <w:t xml:space="preserve">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 </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Cs/>
          <w:snapToGrid w:val="0"/>
          <w:sz w:val="24"/>
          <w:szCs w:val="24"/>
        </w:rPr>
        <w:t xml:space="preserve">Lo anterior es así, ya que primeramente debió hacerle del conocimiento a la parte actora de que en fecha la autoridad demandada conoció que era omisa en el cumplimiento de sus obligaciones, y si esa autoridad al tener documentación comprobatoria de que para esa fecha era omisa en el pago del impuesto de referencia, debió anexar esos documentos para colmar el requisito de fundamentación y motivación, además de generar certeza jurídica en la parte actora, otorgando el plazo correspondiente para que esta tuviera el derecho de audiencia a decir todo lo que a sus intereses conviniera,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 la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bajo el rubro y texto siguiente: </w:t>
      </w:r>
    </w:p>
    <w:p w:rsidR="00CC38B5" w:rsidRPr="007C56AA" w:rsidRDefault="00727AE9" w:rsidP="00CC38B5">
      <w:pPr>
        <w:ind w:left="567" w:right="615"/>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71552" behindDoc="1" locked="0" layoutInCell="1" allowOverlap="1" wp14:anchorId="7609810A" wp14:editId="65A86274">
                <wp:simplePos x="0" y="0"/>
                <wp:positionH relativeFrom="column">
                  <wp:posOffset>-1009650</wp:posOffset>
                </wp:positionH>
                <wp:positionV relativeFrom="paragraph">
                  <wp:posOffset>200660</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9810A" id="Cuadro de texto 7" o:spid="_x0000_s1032" type="#_x0000_t202" style="position:absolute;left:0;text-align:left;margin-left:-79.5pt;margin-top:15.8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38B5" w:rsidRPr="007C56AA">
        <w:rPr>
          <w:rFonts w:ascii="Arial" w:hAnsi="Arial" w:cs="Arial"/>
          <w:b/>
          <w:snapToGrid w:val="0"/>
          <w:sz w:val="24"/>
          <w:szCs w:val="24"/>
        </w:rPr>
        <w:t>ACTOS VICIADOS, FRUTOS DE.</w:t>
      </w:r>
      <w:r w:rsidR="00CC38B5" w:rsidRPr="007C56AA">
        <w:rPr>
          <w:rFonts w:ascii="Arial" w:hAnsi="Arial" w:cs="Arial"/>
          <w:bCs/>
          <w:snapToGrid w:val="0"/>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Cs/>
          <w:snapToGrid w:val="0"/>
          <w:sz w:val="24"/>
          <w:szCs w:val="24"/>
        </w:rPr>
        <w:t xml:space="preserve">A todo lo antes expuesto, cabe hacer precisión que de los conceptos de impugnación estudiados sirve de apoyo por analogía jurídica sustancial la tesis número I 6oA. 33 A, con número de registro 187,531 por los Tribunales Colegiados de Circuito, en el Semanario Judicial de la Federación y su Gaceta, Marzo de 2002, página 1350, Novena Época, con el siguiente rubro y texto: </w:t>
      </w:r>
    </w:p>
    <w:p w:rsidR="00CC38B5" w:rsidRPr="007C56AA" w:rsidRDefault="00CC38B5" w:rsidP="00CC38B5">
      <w:pPr>
        <w:ind w:left="567" w:right="615"/>
        <w:jc w:val="both"/>
        <w:rPr>
          <w:rFonts w:ascii="Arial" w:hAnsi="Arial" w:cs="Arial"/>
          <w:bCs/>
          <w:snapToGrid w:val="0"/>
          <w:sz w:val="24"/>
          <w:szCs w:val="24"/>
        </w:rPr>
      </w:pPr>
      <w:r w:rsidRPr="007C56AA">
        <w:rPr>
          <w:rFonts w:ascii="Arial" w:hAnsi="Arial" w:cs="Arial"/>
          <w:b/>
          <w:snapToGrid w:val="0"/>
          <w:sz w:val="24"/>
          <w:szCs w:val="24"/>
        </w:rPr>
        <w:t>FUNDAMENTACIÓN Y MOTIVACIÓN, FALTA O INDEBIDA. EN CUANTO SON DISTINTAS, UNAS GENERAN NULIDAD LISA Y LLANA Y OTRAS PARA EFECTOS.</w:t>
      </w:r>
      <w:r w:rsidRPr="007C56AA">
        <w:rPr>
          <w:rFonts w:ascii="Arial" w:hAnsi="Arial" w:cs="Arial"/>
          <w:bCs/>
          <w:snapToGrid w:val="0"/>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w:t>
      </w:r>
      <w:r w:rsidR="00727AE9">
        <w:rPr>
          <w:noProof/>
          <w:lang w:eastAsia="es-MX"/>
        </w:rPr>
        <mc:AlternateContent>
          <mc:Choice Requires="wps">
            <w:drawing>
              <wp:anchor distT="0" distB="0" distL="114300" distR="114300" simplePos="0" relativeHeight="251673600" behindDoc="1" locked="0" layoutInCell="1" allowOverlap="1" wp14:anchorId="34C68586" wp14:editId="3EFD44C4">
                <wp:simplePos x="0" y="0"/>
                <wp:positionH relativeFrom="column">
                  <wp:posOffset>5548271</wp:posOffset>
                </wp:positionH>
                <wp:positionV relativeFrom="paragraph">
                  <wp:posOffset>5264923</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68586" id="Cuadro de texto 8" o:spid="_x0000_s1033" type="#_x0000_t202" style="position:absolute;left:0;text-align:left;margin-left:436.85pt;margin-top:414.55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7C56AA">
        <w:rPr>
          <w:rFonts w:ascii="Arial" w:hAnsi="Arial" w:cs="Arial"/>
          <w:bCs/>
          <w:snapToGrid w:val="0"/>
          <w:sz w:val="24"/>
          <w:szCs w:val="24"/>
        </w:rPr>
        <w:t xml:space="preserve">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Cs/>
          <w:snapToGrid w:val="0"/>
          <w:sz w:val="24"/>
          <w:szCs w:val="24"/>
        </w:rPr>
        <w:t xml:space="preserve">En consecuencia, al no haber seguido el procedimiento estipulado en el artículo 113 del Código Fiscal para el Estado de Oaxaca, ni tampoco contener en la citada multa los anexos que robustecen su motivación, los conceptos de impugnación SEGUNDO, TERCERO, CUARTO y SEXTO hechos valer por la parte actora, resultan </w:t>
      </w:r>
      <w:r w:rsidRPr="007C56AA">
        <w:rPr>
          <w:rFonts w:ascii="Arial" w:hAnsi="Arial" w:cs="Arial"/>
          <w:b/>
          <w:snapToGrid w:val="0"/>
          <w:sz w:val="24"/>
          <w:szCs w:val="24"/>
          <w:u w:val="single"/>
        </w:rPr>
        <w:t>FUNDADOS</w:t>
      </w:r>
      <w:r w:rsidRPr="007C56AA">
        <w:rPr>
          <w:rFonts w:ascii="Arial" w:hAnsi="Arial" w:cs="Arial"/>
          <w:bCs/>
          <w:snapToGrid w:val="0"/>
          <w:sz w:val="24"/>
          <w:szCs w:val="24"/>
        </w:rPr>
        <w:t xml:space="preserve">, por ello, esta Sala estima pertinente declarar la </w:t>
      </w:r>
      <w:r w:rsidRPr="007C56AA">
        <w:rPr>
          <w:rFonts w:ascii="Arial" w:hAnsi="Arial" w:cs="Arial"/>
          <w:b/>
          <w:snapToGrid w:val="0"/>
          <w:sz w:val="24"/>
          <w:szCs w:val="24"/>
        </w:rPr>
        <w:t>NULIDAD LISA Y LLANA</w:t>
      </w:r>
      <w:r w:rsidRPr="007C56AA">
        <w:rPr>
          <w:rFonts w:ascii="Arial" w:hAnsi="Arial" w:cs="Arial"/>
          <w:bCs/>
          <w:snapToGrid w:val="0"/>
          <w:sz w:val="24"/>
          <w:szCs w:val="24"/>
        </w:rPr>
        <w:t xml:space="preserve">, de la multa por infracción relacionada con la presentación de declaraciones del Impuesto Sobre Erogaciones por Remuneraciones al Trabajo Personal, con número de control </w:t>
      </w:r>
      <w:r w:rsidRPr="007C56AA">
        <w:rPr>
          <w:rFonts w:ascii="Arial" w:hAnsi="Arial" w:cs="Arial"/>
          <w:bCs/>
          <w:spacing w:val="-3"/>
          <w:sz w:val="24"/>
          <w:szCs w:val="24"/>
          <w:lang w:val="es-ES_tradnl"/>
        </w:rPr>
        <w:t>01MO44ER192488, de fecha veinticinco de junio de dos mil diecinueve</w:t>
      </w:r>
      <w:r w:rsidRPr="007C56AA">
        <w:rPr>
          <w:rFonts w:ascii="Arial" w:hAnsi="Arial" w:cs="Arial"/>
          <w:bCs/>
          <w:snapToGrid w:val="0"/>
          <w:sz w:val="24"/>
          <w:szCs w:val="24"/>
        </w:rPr>
        <w:t xml:space="preserve">, emitida por la maestra ELIZABETH MARTÍNEZ ARZOLA, Directora de Ingresos y Recaudación de la Subsecretaría de Ingresos de la Secretaría de Finanzas del Gobierno del Estado de Oaxaca, mediante la cual se impone una sanción económica en cantidad de 50 UMA $4,224.50 (cuatro mil doscientos veinticuatro pesos 50/100 moneda nacional), en consecuencia, </w:t>
      </w:r>
      <w:r w:rsidRPr="007C56AA">
        <w:rPr>
          <w:rFonts w:ascii="Arial" w:hAnsi="Arial" w:cs="Arial"/>
          <w:bCs/>
          <w:snapToGrid w:val="0"/>
          <w:sz w:val="24"/>
          <w:szCs w:val="24"/>
          <w:u w:val="single"/>
        </w:rPr>
        <w:t>se ordena a esa autoridad fiscal para que por sí misma o a través de quien sea competente realice la baja de la citada multa del sistema electrónico y/o documental que para tal efecto lleve esa autoridad</w:t>
      </w:r>
      <w:r w:rsidRPr="007C56AA">
        <w:rPr>
          <w:rFonts w:ascii="Arial" w:hAnsi="Arial" w:cs="Arial"/>
          <w:bCs/>
          <w:snapToGrid w:val="0"/>
          <w:sz w:val="24"/>
          <w:szCs w:val="24"/>
        </w:rPr>
        <w:t xml:space="preserve">. </w:t>
      </w:r>
    </w:p>
    <w:p w:rsidR="00CC38B5" w:rsidRPr="007C56AA" w:rsidRDefault="00CC38B5" w:rsidP="00CC38B5">
      <w:pPr>
        <w:spacing w:line="360" w:lineRule="auto"/>
        <w:ind w:right="51" w:firstLine="567"/>
        <w:jc w:val="both"/>
        <w:rPr>
          <w:rFonts w:ascii="Arial" w:hAnsi="Arial" w:cs="Arial"/>
          <w:bCs/>
          <w:snapToGrid w:val="0"/>
          <w:sz w:val="24"/>
          <w:szCs w:val="24"/>
        </w:rPr>
      </w:pPr>
      <w:r w:rsidRPr="007C56AA">
        <w:rPr>
          <w:rFonts w:ascii="Arial" w:hAnsi="Arial" w:cs="Arial"/>
          <w:bCs/>
          <w:snapToGrid w:val="0"/>
          <w:sz w:val="24"/>
          <w:szCs w:val="24"/>
        </w:rPr>
        <w:t>Por lo anteriormente expuesto, fundado y motivado, en términos de los artículos 207, 208 fracciones II y VI, y 209 de la Ley de Procedimiento y Justicia Administrativa para el Estado de Oaxaca, se;</w:t>
      </w:r>
    </w:p>
    <w:p w:rsidR="00CC38B5" w:rsidRPr="007C56AA" w:rsidRDefault="00CC38B5" w:rsidP="00CC38B5">
      <w:pPr>
        <w:spacing w:line="360" w:lineRule="auto"/>
        <w:ind w:right="51" w:firstLine="567"/>
        <w:jc w:val="center"/>
        <w:rPr>
          <w:rFonts w:ascii="Arial" w:hAnsi="Arial" w:cs="Arial"/>
          <w:b/>
          <w:sz w:val="24"/>
          <w:szCs w:val="24"/>
        </w:rPr>
      </w:pPr>
      <w:r w:rsidRPr="007C56AA">
        <w:rPr>
          <w:rFonts w:ascii="Arial" w:hAnsi="Arial" w:cs="Arial"/>
          <w:b/>
          <w:sz w:val="24"/>
          <w:szCs w:val="24"/>
        </w:rPr>
        <w:t>R E S U E L V E:</w:t>
      </w:r>
    </w:p>
    <w:p w:rsidR="00CC38B5" w:rsidRPr="007C56AA" w:rsidRDefault="00CC38B5" w:rsidP="00CC38B5">
      <w:pPr>
        <w:widowControl w:val="0"/>
        <w:spacing w:after="120" w:line="360" w:lineRule="auto"/>
        <w:ind w:right="51" w:firstLine="708"/>
        <w:jc w:val="both"/>
        <w:rPr>
          <w:rFonts w:ascii="Arial" w:eastAsia="Times New Roman" w:hAnsi="Arial" w:cs="Arial"/>
          <w:sz w:val="24"/>
          <w:szCs w:val="24"/>
          <w:lang w:val="es-ES" w:eastAsia="es-ES"/>
        </w:rPr>
      </w:pPr>
      <w:r w:rsidRPr="007C56AA">
        <w:rPr>
          <w:rFonts w:ascii="Arial" w:hAnsi="Arial" w:cs="Arial"/>
          <w:b/>
          <w:sz w:val="24"/>
          <w:szCs w:val="24"/>
        </w:rPr>
        <w:t>PRIMERO</w:t>
      </w:r>
      <w:r w:rsidRPr="007C56AA">
        <w:rPr>
          <w:rFonts w:cs="Arial"/>
          <w:i/>
          <w:sz w:val="24"/>
          <w:szCs w:val="24"/>
        </w:rPr>
        <w:t>.</w:t>
      </w:r>
      <w:r w:rsidRPr="007C56AA">
        <w:rPr>
          <w:rFonts w:cs="Arial"/>
          <w:sz w:val="24"/>
          <w:szCs w:val="24"/>
        </w:rPr>
        <w:t xml:space="preserve"> </w:t>
      </w:r>
      <w:r w:rsidRPr="007C56AA">
        <w:rPr>
          <w:rFonts w:ascii="Arial" w:eastAsia="Times New Roman" w:hAnsi="Arial" w:cs="Arial"/>
          <w:sz w:val="24"/>
          <w:szCs w:val="24"/>
          <w:lang w:val="es-ES" w:eastAsia="es-ES"/>
        </w:rPr>
        <w:t>Esta Sexta</w:t>
      </w:r>
      <w:r w:rsidRPr="007C56AA">
        <w:rPr>
          <w:rFonts w:ascii="Arial" w:eastAsia="Times New Roman" w:hAnsi="Arial" w:cs="Arial"/>
          <w:sz w:val="24"/>
          <w:szCs w:val="24"/>
          <w:lang w:eastAsia="es-ES"/>
        </w:rPr>
        <w:t xml:space="preserve"> </w:t>
      </w:r>
      <w:r w:rsidRPr="007C56AA">
        <w:rPr>
          <w:rFonts w:ascii="Arial" w:eastAsia="Times New Roman" w:hAnsi="Arial" w:cs="Arial"/>
          <w:sz w:val="24"/>
          <w:szCs w:val="24"/>
          <w:lang w:val="es-ES" w:eastAsia="es-ES"/>
        </w:rPr>
        <w:t>Sala</w:t>
      </w:r>
      <w:r w:rsidRPr="007C56AA">
        <w:rPr>
          <w:rFonts w:ascii="Arial" w:eastAsia="Times New Roman" w:hAnsi="Arial" w:cs="Arial"/>
          <w:sz w:val="24"/>
          <w:szCs w:val="24"/>
          <w:lang w:eastAsia="es-ES"/>
        </w:rPr>
        <w:t xml:space="preserve"> Unitaria </w:t>
      </w:r>
      <w:r w:rsidRPr="007C56AA">
        <w:rPr>
          <w:rFonts w:ascii="Arial" w:eastAsia="Times New Roman" w:hAnsi="Arial" w:cs="Arial"/>
          <w:sz w:val="24"/>
          <w:szCs w:val="24"/>
          <w:lang w:val="es-ES" w:eastAsia="es-ES"/>
        </w:rPr>
        <w:t>del Tribunal de Justicia Administrativa del Estado de Oaxaca, es competente para conocer y resolver el presente juicio.</w:t>
      </w:r>
      <w:r w:rsidRPr="007C56AA">
        <w:rPr>
          <w:rFonts w:ascii="Arial" w:hAnsi="Arial" w:cs="Arial"/>
          <w:bCs/>
          <w:snapToGrid w:val="0"/>
          <w:sz w:val="24"/>
          <w:szCs w:val="24"/>
        </w:rPr>
        <w:t xml:space="preserve">  </w:t>
      </w:r>
    </w:p>
    <w:p w:rsidR="00CC38B5" w:rsidRPr="007C56AA" w:rsidRDefault="00CC38B5" w:rsidP="00CC38B5">
      <w:pPr>
        <w:pStyle w:val="Sangra2detindependiente1"/>
        <w:spacing w:after="240" w:line="360" w:lineRule="auto"/>
        <w:ind w:right="51" w:firstLine="567"/>
        <w:rPr>
          <w:rFonts w:cs="Arial"/>
          <w:b w:val="0"/>
          <w:bCs/>
          <w:i w:val="0"/>
          <w:szCs w:val="24"/>
        </w:rPr>
      </w:pPr>
      <w:r w:rsidRPr="007C56AA">
        <w:rPr>
          <w:rFonts w:cs="Arial"/>
          <w:i w:val="0"/>
          <w:szCs w:val="24"/>
        </w:rPr>
        <w:t xml:space="preserve">SEGUNDO. </w:t>
      </w:r>
      <w:r w:rsidRPr="007C56AA">
        <w:rPr>
          <w:rFonts w:cs="Arial"/>
          <w:b w:val="0"/>
          <w:bCs/>
          <w:i w:val="0"/>
          <w:szCs w:val="24"/>
        </w:rPr>
        <w:t>La personalidad de las partes quedó asentada en autos, dentro del considerando SEGUNDO de la presente resolución.</w:t>
      </w:r>
      <w:r w:rsidRPr="007C56AA">
        <w:rPr>
          <w:szCs w:val="24"/>
        </w:rPr>
        <w:t xml:space="preserve"> </w:t>
      </w:r>
    </w:p>
    <w:p w:rsidR="00CC38B5" w:rsidRPr="007C56AA" w:rsidRDefault="00727AE9" w:rsidP="00CC38B5">
      <w:pPr>
        <w:pStyle w:val="Sangra2detindependiente1"/>
        <w:spacing w:after="240" w:line="360" w:lineRule="auto"/>
        <w:ind w:right="51" w:firstLine="567"/>
        <w:rPr>
          <w:rFonts w:cs="Arial"/>
          <w:b w:val="0"/>
          <w:bCs/>
          <w:i w:val="0"/>
          <w:szCs w:val="24"/>
        </w:rPr>
      </w:pPr>
      <w:r>
        <w:rPr>
          <w:noProof/>
        </w:rPr>
        <mc:AlternateContent>
          <mc:Choice Requires="wps">
            <w:drawing>
              <wp:anchor distT="0" distB="0" distL="114300" distR="114300" simplePos="0" relativeHeight="251675648" behindDoc="1" locked="0" layoutInCell="1" allowOverlap="1" wp14:anchorId="68445332" wp14:editId="20388573">
                <wp:simplePos x="0" y="0"/>
                <wp:positionH relativeFrom="column">
                  <wp:posOffset>-1172817</wp:posOffset>
                </wp:positionH>
                <wp:positionV relativeFrom="paragraph">
                  <wp:posOffset>362281</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45332" id="Cuadro de texto 9" o:spid="_x0000_s1034" type="#_x0000_t202" style="position:absolute;left:0;text-align:left;margin-left:-92.35pt;margin-top:28.5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38B5" w:rsidRPr="007C56AA">
        <w:rPr>
          <w:rFonts w:cs="Arial"/>
          <w:i w:val="0"/>
          <w:szCs w:val="24"/>
        </w:rPr>
        <w:t>TERCERO.</w:t>
      </w:r>
      <w:r w:rsidR="00CC38B5" w:rsidRPr="007C56AA">
        <w:rPr>
          <w:rFonts w:cs="Arial"/>
          <w:b w:val="0"/>
          <w:bCs/>
          <w:i w:val="0"/>
          <w:szCs w:val="24"/>
        </w:rPr>
        <w:t xml:space="preserve"> Esta Sala advierte que, en el presente juicio no se configura alguna causal de improcedencia o sobreseimiento, por lo tanto, </w:t>
      </w:r>
      <w:r w:rsidR="00CC38B5" w:rsidRPr="007C56AA">
        <w:rPr>
          <w:rFonts w:cs="Arial"/>
          <w:i w:val="0"/>
          <w:szCs w:val="24"/>
        </w:rPr>
        <w:t>NO SE SOBRESEE.</w:t>
      </w:r>
      <w:r w:rsidR="00CC38B5" w:rsidRPr="007C56AA">
        <w:rPr>
          <w:szCs w:val="24"/>
        </w:rPr>
        <w:t xml:space="preserve"> </w:t>
      </w:r>
    </w:p>
    <w:p w:rsidR="007C56AA" w:rsidRPr="007C56AA" w:rsidRDefault="00CC38B5" w:rsidP="00CC38B5">
      <w:pPr>
        <w:pStyle w:val="Sangra2detindependiente1"/>
        <w:spacing w:after="240" w:line="360" w:lineRule="auto"/>
        <w:ind w:right="51" w:firstLine="567"/>
        <w:rPr>
          <w:rFonts w:cs="Arial"/>
          <w:b w:val="0"/>
          <w:bCs/>
          <w:i w:val="0"/>
          <w:szCs w:val="24"/>
        </w:rPr>
      </w:pPr>
      <w:r w:rsidRPr="007C56AA">
        <w:rPr>
          <w:rFonts w:cs="Arial"/>
          <w:i w:val="0"/>
          <w:szCs w:val="24"/>
        </w:rPr>
        <w:t>CUARTO.</w:t>
      </w:r>
      <w:r w:rsidRPr="007C56AA">
        <w:rPr>
          <w:rFonts w:cs="Arial"/>
          <w:b w:val="0"/>
          <w:bCs/>
          <w:i w:val="0"/>
          <w:szCs w:val="24"/>
        </w:rPr>
        <w:t xml:space="preserve"> Se declara la </w:t>
      </w:r>
      <w:r w:rsidRPr="007C56AA">
        <w:rPr>
          <w:rFonts w:cs="Arial"/>
          <w:i w:val="0"/>
          <w:szCs w:val="24"/>
        </w:rPr>
        <w:t xml:space="preserve">NULIDAD LISA Y LLANA, </w:t>
      </w:r>
      <w:r w:rsidRPr="007C56AA">
        <w:rPr>
          <w:rFonts w:cs="Arial"/>
          <w:b w:val="0"/>
          <w:bCs/>
          <w:i w:val="0"/>
          <w:szCs w:val="24"/>
        </w:rPr>
        <w:t xml:space="preserve">de la multa por infracción relacionada con la presentación de declaraciones del Impuesto Sobre Erogaciones por Remuneraciones al Trabajo Personal, con número de control 01MO44ER192488, de fecha veinticinco de junio de dos mil diecinueve, emitida por la maestra ELIZABETH MARTÍNEZ ARZOLA, Directora de Ingresos y Recaudación de la Subsecretaría de Ingresos de la Secretaría de Finanzas del Gobierno del Estado de Oaxaca, mediante la cual se impone una sanción económica en cantidad de 50 UMA $4,224.50 (cuatro mil doscientos veinticuatro pesos 50/100 moneda nacional), en consecuencia, </w:t>
      </w:r>
      <w:r w:rsidRPr="007C56AA">
        <w:rPr>
          <w:rFonts w:cs="Arial"/>
          <w:b w:val="0"/>
          <w:bCs/>
          <w:i w:val="0"/>
          <w:szCs w:val="24"/>
          <w:u w:val="single"/>
        </w:rPr>
        <w:t>se ordena a esa autoridad fiscal para que por sí misma o a través de quien sea competente realice la baja de la citada multa del sistema electrónico y/o documental que para tal efecto lleve esa autoridad</w:t>
      </w:r>
      <w:r w:rsidRPr="007C56AA">
        <w:rPr>
          <w:rFonts w:cs="Arial"/>
          <w:b w:val="0"/>
          <w:bCs/>
          <w:i w:val="0"/>
          <w:szCs w:val="24"/>
        </w:rPr>
        <w:t>, por las razones ya expuestas en el considerando QUINTO de esta sentencia.</w:t>
      </w:r>
    </w:p>
    <w:p w:rsidR="00CC38B5" w:rsidRPr="007C56AA" w:rsidRDefault="00CC38B5" w:rsidP="00CC38B5">
      <w:pPr>
        <w:pStyle w:val="Sangra2detindependiente1"/>
        <w:spacing w:after="240" w:line="360" w:lineRule="auto"/>
        <w:ind w:right="51" w:firstLine="567"/>
        <w:rPr>
          <w:rFonts w:cs="Arial"/>
          <w:b w:val="0"/>
          <w:i w:val="0"/>
          <w:szCs w:val="24"/>
          <w:lang w:val="es-MX"/>
        </w:rPr>
      </w:pPr>
      <w:r w:rsidRPr="007C56AA">
        <w:rPr>
          <w:rFonts w:cs="Arial"/>
          <w:bCs/>
          <w:i w:val="0"/>
          <w:szCs w:val="24"/>
          <w:lang w:val="es-MX"/>
        </w:rPr>
        <w:t>QUINTO.</w:t>
      </w:r>
      <w:r w:rsidRPr="007C56AA">
        <w:rPr>
          <w:rFonts w:cs="Arial"/>
          <w:b w:val="0"/>
          <w:i w:val="0"/>
          <w:szCs w:val="24"/>
          <w:lang w:val="es-MX"/>
        </w:rPr>
        <w:t xml:space="preserve"> Conforme a lo dispuesto en los artículos 142 fracción I y 143 fracciones I y II de la Ley de Justicia Administrativa para el Estado de Oaxaca, </w:t>
      </w:r>
      <w:r w:rsidRPr="007C56AA">
        <w:rPr>
          <w:rFonts w:cs="Arial"/>
          <w:bCs/>
          <w:i w:val="0"/>
          <w:szCs w:val="24"/>
          <w:lang w:val="es-MX"/>
        </w:rPr>
        <w:t>NOTIFÍQUESE y CÚMPLASE</w:t>
      </w:r>
      <w:r w:rsidRPr="007C56AA">
        <w:rPr>
          <w:rFonts w:cs="Arial"/>
          <w:b w:val="0"/>
          <w:i w:val="0"/>
          <w:szCs w:val="24"/>
          <w:lang w:val="es-MX"/>
        </w:rPr>
        <w:t xml:space="preserve">. </w:t>
      </w:r>
    </w:p>
    <w:p w:rsidR="007C56AA" w:rsidRPr="007C56AA" w:rsidRDefault="007C56AA" w:rsidP="007C56AA">
      <w:pPr>
        <w:spacing w:line="360" w:lineRule="auto"/>
        <w:ind w:firstLine="567"/>
        <w:jc w:val="both"/>
        <w:rPr>
          <w:rFonts w:ascii="Tahoma" w:hAnsi="Tahoma" w:cs="Tahoma"/>
          <w:sz w:val="24"/>
          <w:szCs w:val="24"/>
        </w:rPr>
      </w:pPr>
      <w:r w:rsidRPr="007C56AA">
        <w:rPr>
          <w:rFonts w:ascii="Tahoma" w:eastAsia="Batang" w:hAnsi="Tahoma" w:cs="Tahoma"/>
          <w:sz w:val="24"/>
          <w:szCs w:val="24"/>
        </w:rPr>
        <w:tab/>
      </w:r>
      <w:bookmarkStart w:id="2" w:name="_Hlk49196234"/>
      <w:r w:rsidRPr="007C56AA">
        <w:rPr>
          <w:rFonts w:ascii="Tahoma" w:hAnsi="Tahoma" w:cs="Tahoma"/>
          <w:sz w:val="24"/>
          <w:szCs w:val="24"/>
        </w:rPr>
        <w:t xml:space="preserve">Así lo resuelve y firma el licenciado </w:t>
      </w:r>
      <w:r w:rsidRPr="007C56AA">
        <w:rPr>
          <w:rFonts w:ascii="Tahoma" w:hAnsi="Tahoma" w:cs="Tahoma"/>
          <w:b/>
          <w:sz w:val="24"/>
          <w:szCs w:val="24"/>
        </w:rPr>
        <w:t xml:space="preserve">RENATO GABRIEL IBÁÑEZ CASTELLANOS, </w:t>
      </w:r>
      <w:r w:rsidRPr="007C56AA">
        <w:rPr>
          <w:rFonts w:ascii="Tahoma" w:hAnsi="Tahoma" w:cs="Tahoma"/>
          <w:sz w:val="24"/>
          <w:szCs w:val="24"/>
        </w:rPr>
        <w:t xml:space="preserve">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Justicia Administrativa del Estado de Oaxaca, en relación con el numeral 13, fracción </w:t>
      </w:r>
      <w:r w:rsidR="00727AE9">
        <w:rPr>
          <w:noProof/>
          <w:lang w:eastAsia="es-MX"/>
        </w:rPr>
        <mc:AlternateContent>
          <mc:Choice Requires="wps">
            <w:drawing>
              <wp:anchor distT="0" distB="0" distL="114300" distR="114300" simplePos="0" relativeHeight="251677696" behindDoc="1" locked="0" layoutInCell="1" allowOverlap="1" wp14:anchorId="5299D936" wp14:editId="732EDBBC">
                <wp:simplePos x="0" y="0"/>
                <wp:positionH relativeFrom="column">
                  <wp:posOffset>5764696</wp:posOffset>
                </wp:positionH>
                <wp:positionV relativeFrom="paragraph">
                  <wp:posOffset>321006</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9D936" id="Cuadro de texto 10" o:spid="_x0000_s1035" type="#_x0000_t202" style="position:absolute;left:0;text-align:left;margin-left:453.9pt;margin-top:25.3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o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" fillcolor="window" strokeweight=".5pt">
                <v:path arrowok="t"/>
                <v:textbox>
                  <w:txbxContent>
                    <w:p w:rsidR="00727AE9" w:rsidRPr="00035E13" w:rsidRDefault="00727AE9" w:rsidP="00727AE9">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7C56AA">
        <w:rPr>
          <w:rFonts w:ascii="Tahoma" w:hAnsi="Tahoma" w:cs="Tahoma"/>
          <w:sz w:val="24"/>
          <w:szCs w:val="24"/>
        </w:rPr>
        <w:t xml:space="preserve">XIV de su reglamento, hasta se adscriba titular de la Sala, quien actúa con la licenciada </w:t>
      </w:r>
      <w:r w:rsidRPr="007C56AA">
        <w:rPr>
          <w:rFonts w:ascii="Tahoma" w:hAnsi="Tahoma" w:cs="Tahoma"/>
          <w:b/>
          <w:sz w:val="24"/>
          <w:szCs w:val="24"/>
        </w:rPr>
        <w:t>DULCE ELOÍSA HUERTA CONTRERAS</w:t>
      </w:r>
      <w:r w:rsidRPr="007C56AA">
        <w:rPr>
          <w:rFonts w:ascii="Tahoma" w:hAnsi="Tahoma" w:cs="Tahoma"/>
          <w:sz w:val="24"/>
          <w:szCs w:val="24"/>
        </w:rPr>
        <w:t xml:space="preserve">, Actuaria que autoriza y da fe. </w:t>
      </w:r>
    </w:p>
    <w:bookmarkEnd w:id="2"/>
    <w:p w:rsidR="00346DC8" w:rsidRPr="007C56AA" w:rsidRDefault="00346DC8">
      <w:pPr>
        <w:rPr>
          <w:sz w:val="24"/>
          <w:szCs w:val="24"/>
        </w:rPr>
      </w:pPr>
    </w:p>
    <w:sectPr w:rsidR="00346DC8" w:rsidRPr="007C56AA" w:rsidSect="007C56AA">
      <w:footerReference w:type="default" r:id="rId6"/>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4CD" w:rsidRDefault="00C724CD" w:rsidP="00C724CD">
      <w:pPr>
        <w:spacing w:after="0" w:line="240" w:lineRule="auto"/>
      </w:pPr>
      <w:r>
        <w:separator/>
      </w:r>
    </w:p>
  </w:endnote>
  <w:endnote w:type="continuationSeparator" w:id="0">
    <w:p w:rsidR="00C724CD" w:rsidRDefault="00C724CD" w:rsidP="00C72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256B16">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727AE9" w:rsidRPr="00727AE9">
          <w:rPr>
            <w:rFonts w:ascii="Arial" w:hAnsi="Arial" w:cs="Arial"/>
            <w:noProof/>
            <w:sz w:val="24"/>
            <w:szCs w:val="24"/>
            <w:lang w:val="es-ES"/>
          </w:rPr>
          <w:t>10</w:t>
        </w:r>
        <w:r w:rsidRPr="00604752">
          <w:rPr>
            <w:rFonts w:ascii="Arial" w:hAnsi="Arial" w:cs="Arial"/>
            <w:sz w:val="24"/>
            <w:szCs w:val="24"/>
          </w:rPr>
          <w:fldChar w:fldCharType="end"/>
        </w:r>
      </w:p>
    </w:sdtContent>
  </w:sdt>
  <w:p w:rsidR="0076338B" w:rsidRDefault="00727A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4CD" w:rsidRDefault="00C724CD" w:rsidP="00C724CD">
      <w:pPr>
        <w:spacing w:after="0" w:line="240" w:lineRule="auto"/>
      </w:pPr>
      <w:r>
        <w:separator/>
      </w:r>
    </w:p>
  </w:footnote>
  <w:footnote w:type="continuationSeparator" w:id="0">
    <w:p w:rsidR="00C724CD" w:rsidRDefault="00C724CD" w:rsidP="00C724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8B5"/>
    <w:rsid w:val="00064172"/>
    <w:rsid w:val="00092ACA"/>
    <w:rsid w:val="00256B16"/>
    <w:rsid w:val="002C1213"/>
    <w:rsid w:val="002F308D"/>
    <w:rsid w:val="00346DC8"/>
    <w:rsid w:val="00351E17"/>
    <w:rsid w:val="003A7FDD"/>
    <w:rsid w:val="00455ECE"/>
    <w:rsid w:val="005649EC"/>
    <w:rsid w:val="005A16F5"/>
    <w:rsid w:val="00605068"/>
    <w:rsid w:val="00611445"/>
    <w:rsid w:val="00657280"/>
    <w:rsid w:val="006A279C"/>
    <w:rsid w:val="00727AE9"/>
    <w:rsid w:val="007C0227"/>
    <w:rsid w:val="007C56AA"/>
    <w:rsid w:val="00A60CA8"/>
    <w:rsid w:val="00A97EF3"/>
    <w:rsid w:val="00B91E2C"/>
    <w:rsid w:val="00C724CD"/>
    <w:rsid w:val="00CC38B5"/>
    <w:rsid w:val="00DD21D9"/>
    <w:rsid w:val="00F820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2"/>
    </o:shapelayout>
  </w:shapeDefaults>
  <w:decimalSymbol w:val="."/>
  <w:listSeparator w:val=","/>
  <w15:chartTrackingRefBased/>
  <w15:docId w15:val="{A8701561-BB8E-4D94-A3DC-D716C18B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8B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38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C38B5"/>
  </w:style>
  <w:style w:type="paragraph" w:styleId="Piedepgina">
    <w:name w:val="footer"/>
    <w:basedOn w:val="Normal"/>
    <w:link w:val="PiedepginaCar"/>
    <w:uiPriority w:val="99"/>
    <w:unhideWhenUsed/>
    <w:rsid w:val="00CC38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38B5"/>
  </w:style>
  <w:style w:type="paragraph" w:customStyle="1" w:styleId="Sangra2detindependiente1">
    <w:name w:val="Sangría 2 de t. independiente1"/>
    <w:basedOn w:val="Normal"/>
    <w:rsid w:val="00CC38B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7C022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02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3897</Words>
  <Characters>21436</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cp:lastPrinted>2020-10-07T18:41:00Z</cp:lastPrinted>
  <dcterms:created xsi:type="dcterms:W3CDTF">2021-05-11T21:07:00Z</dcterms:created>
  <dcterms:modified xsi:type="dcterms:W3CDTF">2021-05-11T21:07:00Z</dcterms:modified>
</cp:coreProperties>
</file>