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31526" w14:textId="77777777" w:rsidR="00720696" w:rsidRPr="001042B6" w:rsidRDefault="00720696" w:rsidP="00720696">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 - </w:t>
      </w:r>
    </w:p>
    <w:p w14:paraId="4F0F4645" w14:textId="77777777" w:rsidR="00720696" w:rsidRPr="001042B6" w:rsidRDefault="00720696" w:rsidP="00720696">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074165">
        <w:rPr>
          <w:rFonts w:ascii="Arial" w:hAnsi="Arial" w:cs="Arial"/>
          <w:b/>
          <w:sz w:val="24"/>
          <w:szCs w:val="24"/>
        </w:rPr>
        <w:t>DIECINUEVE DE SEPTIEMBRE</w:t>
      </w:r>
      <w:r>
        <w:rPr>
          <w:rFonts w:ascii="Arial" w:hAnsi="Arial" w:cs="Arial"/>
          <w:b/>
          <w:sz w:val="24"/>
          <w:szCs w:val="24"/>
        </w:rPr>
        <w:t xml:space="preserve"> DE DOS MIL </w:t>
      </w:r>
      <w:r w:rsidR="00074165">
        <w:rPr>
          <w:rFonts w:ascii="Arial" w:hAnsi="Arial" w:cs="Arial"/>
          <w:b/>
          <w:sz w:val="24"/>
          <w:szCs w:val="24"/>
        </w:rPr>
        <w:t>VEINTIDÓS (19/09</w:t>
      </w:r>
      <w:r>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w:t>
      </w:r>
    </w:p>
    <w:p w14:paraId="18079B63" w14:textId="73341FC3" w:rsidR="00720696" w:rsidRPr="001042B6" w:rsidRDefault="00720696" w:rsidP="00720696">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sidR="005D15D6">
        <w:rPr>
          <w:rFonts w:ascii="Arial" w:hAnsi="Arial" w:cs="Arial"/>
          <w:sz w:val="24"/>
          <w:szCs w:val="24"/>
        </w:rPr>
        <w:t>0112</w:t>
      </w:r>
      <w:r>
        <w:rPr>
          <w:rFonts w:ascii="Arial" w:hAnsi="Arial" w:cs="Arial"/>
          <w:sz w:val="24"/>
          <w:szCs w:val="24"/>
        </w:rPr>
        <w:t>/2021</w:t>
      </w:r>
      <w:r w:rsidRPr="001042B6">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 xml:space="preserve">promovido por </w:t>
      </w:r>
      <w:r w:rsidR="00124797">
        <w:rPr>
          <w:rFonts w:ascii="Arial" w:hAnsi="Arial" w:cs="Arial"/>
          <w:sz w:val="24"/>
          <w:szCs w:val="24"/>
        </w:rPr>
        <w:t>***** ***** *****</w:t>
      </w:r>
      <w:r>
        <w:rPr>
          <w:rFonts w:ascii="Arial" w:hAnsi="Arial" w:cs="Arial"/>
          <w:sz w:val="24"/>
          <w:szCs w:val="24"/>
        </w:rPr>
        <w:t xml:space="preserve">, solicitando la nulidad del acta de infracción con número de folio </w:t>
      </w:r>
      <w:r w:rsidR="00124797">
        <w:rPr>
          <w:rFonts w:ascii="Arial" w:hAnsi="Arial" w:cs="Arial"/>
          <w:sz w:val="24"/>
          <w:szCs w:val="24"/>
        </w:rPr>
        <w:t>*****</w:t>
      </w:r>
      <w:r>
        <w:rPr>
          <w:rFonts w:ascii="Arial" w:hAnsi="Arial" w:cs="Arial"/>
          <w:sz w:val="24"/>
          <w:szCs w:val="24"/>
        </w:rPr>
        <w:t xml:space="preserve">, de fecha </w:t>
      </w:r>
      <w:r w:rsidR="00124797">
        <w:rPr>
          <w:rFonts w:ascii="Arial" w:hAnsi="Arial" w:cs="Arial"/>
          <w:sz w:val="24"/>
          <w:szCs w:val="24"/>
        </w:rPr>
        <w:t>***** de ***** de dos mil veintiuno (**/**/2021)</w:t>
      </w:r>
      <w:r>
        <w:rPr>
          <w:rFonts w:ascii="Arial" w:hAnsi="Arial" w:cs="Arial"/>
          <w:sz w:val="24"/>
          <w:szCs w:val="24"/>
        </w:rPr>
        <w:t xml:space="preserve">, emitida por </w:t>
      </w:r>
      <w:r w:rsidR="0050329F">
        <w:rPr>
          <w:rFonts w:ascii="Arial" w:hAnsi="Arial" w:cs="Arial"/>
          <w:sz w:val="24"/>
          <w:szCs w:val="24"/>
        </w:rPr>
        <w:t>JAIME RAMÍREZ CRUZ</w:t>
      </w:r>
      <w:r>
        <w:rPr>
          <w:rFonts w:ascii="Arial" w:hAnsi="Arial" w:cs="Arial"/>
          <w:sz w:val="24"/>
          <w:szCs w:val="24"/>
        </w:rPr>
        <w:t>, Policía Vial Estatal,</w:t>
      </w:r>
      <w:r w:rsidR="0050329F">
        <w:rPr>
          <w:rFonts w:ascii="Arial" w:hAnsi="Arial" w:cs="Arial"/>
          <w:sz w:val="24"/>
          <w:szCs w:val="24"/>
        </w:rPr>
        <w:t xml:space="preserve"> con número estadístico 354,</w:t>
      </w:r>
      <w:r>
        <w:rPr>
          <w:rFonts w:ascii="Arial" w:hAnsi="Arial" w:cs="Arial"/>
          <w:sz w:val="24"/>
          <w:szCs w:val="24"/>
        </w:rPr>
        <w:t xml:space="preserve"> perteneciente a la Dirección General de la Policía Vial Estatal, de la </w:t>
      </w:r>
      <w:proofErr w:type="gramStart"/>
      <w:r>
        <w:rPr>
          <w:rFonts w:ascii="Arial" w:hAnsi="Arial" w:cs="Arial"/>
          <w:sz w:val="24"/>
          <w:szCs w:val="24"/>
        </w:rPr>
        <w:t>Secretaria</w:t>
      </w:r>
      <w:proofErr w:type="gramEnd"/>
      <w:r>
        <w:rPr>
          <w:rFonts w:ascii="Arial" w:hAnsi="Arial" w:cs="Arial"/>
          <w:sz w:val="24"/>
          <w:szCs w:val="24"/>
        </w:rPr>
        <w:t xml:space="preserve"> de Seguridad Pública del Estado de Oaxaca; y, - - - - </w:t>
      </w:r>
      <w:r w:rsidR="00124797">
        <w:rPr>
          <w:rFonts w:ascii="Arial" w:hAnsi="Arial" w:cs="Arial"/>
          <w:sz w:val="24"/>
          <w:szCs w:val="24"/>
        </w:rPr>
        <w:t xml:space="preserve">- - - - - - - - - - - - - - - - - - </w:t>
      </w:r>
    </w:p>
    <w:p w14:paraId="76E0E207" w14:textId="77777777" w:rsidR="00720696" w:rsidRPr="001042B6" w:rsidRDefault="00720696" w:rsidP="00720696">
      <w:pPr>
        <w:spacing w:line="360" w:lineRule="auto"/>
        <w:jc w:val="center"/>
        <w:rPr>
          <w:rFonts w:ascii="Arial" w:hAnsi="Arial" w:cs="Arial"/>
          <w:b/>
          <w:sz w:val="24"/>
          <w:szCs w:val="24"/>
        </w:rPr>
      </w:pPr>
      <w:r w:rsidRPr="001042B6">
        <w:rPr>
          <w:rFonts w:ascii="Arial" w:hAnsi="Arial" w:cs="Arial"/>
          <w:b/>
          <w:sz w:val="24"/>
          <w:szCs w:val="24"/>
        </w:rPr>
        <w:t>R E S U L T A N D O</w:t>
      </w:r>
    </w:p>
    <w:p w14:paraId="2C4C282C" w14:textId="77777777" w:rsidR="00720696" w:rsidRPr="001042B6" w:rsidRDefault="00720696" w:rsidP="00720696">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50329F">
        <w:rPr>
          <w:rFonts w:ascii="Arial" w:hAnsi="Arial" w:cs="Arial"/>
          <w:sz w:val="24"/>
          <w:szCs w:val="24"/>
        </w:rPr>
        <w:t>veinticinco</w:t>
      </w:r>
      <w:r>
        <w:rPr>
          <w:rFonts w:ascii="Arial" w:hAnsi="Arial" w:cs="Arial"/>
          <w:sz w:val="24"/>
          <w:szCs w:val="24"/>
        </w:rPr>
        <w:t xml:space="preserve"> de </w:t>
      </w:r>
      <w:r w:rsidR="0050329F">
        <w:rPr>
          <w:rFonts w:ascii="Arial" w:hAnsi="Arial" w:cs="Arial"/>
          <w:sz w:val="24"/>
          <w:szCs w:val="24"/>
        </w:rPr>
        <w:t>octubre de dos mil veintiuno (25</w:t>
      </w:r>
      <w:r>
        <w:rPr>
          <w:rFonts w:ascii="Arial" w:hAnsi="Arial" w:cs="Arial"/>
          <w:sz w:val="24"/>
          <w:szCs w:val="24"/>
        </w:rPr>
        <w:t xml:space="preserve">/10/2021), </w:t>
      </w:r>
      <w:r w:rsidRPr="001042B6">
        <w:rPr>
          <w:rFonts w:ascii="Arial" w:hAnsi="Arial" w:cs="Arial"/>
          <w:sz w:val="24"/>
          <w:szCs w:val="24"/>
        </w:rPr>
        <w:t>se recibió el escrito de demanda en la Oficialía de Partes de este Tribunal</w:t>
      </w:r>
      <w:r>
        <w:rPr>
          <w:rFonts w:ascii="Arial" w:hAnsi="Arial" w:cs="Arial"/>
          <w:sz w:val="24"/>
          <w:szCs w:val="24"/>
        </w:rPr>
        <w:t>,</w:t>
      </w:r>
      <w:r w:rsidRPr="001042B6">
        <w:rPr>
          <w:rFonts w:ascii="Arial" w:hAnsi="Arial" w:cs="Arial"/>
          <w:sz w:val="24"/>
          <w:szCs w:val="24"/>
        </w:rPr>
        <w:t xml:space="preserve"> y con</w:t>
      </w:r>
      <w:r>
        <w:rPr>
          <w:rFonts w:ascii="Arial" w:hAnsi="Arial" w:cs="Arial"/>
          <w:sz w:val="24"/>
          <w:szCs w:val="24"/>
        </w:rPr>
        <w:t xml:space="preserve"> </w:t>
      </w:r>
      <w:r w:rsidRPr="001042B6">
        <w:rPr>
          <w:rFonts w:ascii="Arial" w:hAnsi="Arial" w:cs="Arial"/>
          <w:sz w:val="24"/>
          <w:szCs w:val="24"/>
        </w:rPr>
        <w:t>fecha</w:t>
      </w:r>
      <w:r w:rsidR="0050329F">
        <w:rPr>
          <w:rFonts w:ascii="Arial" w:hAnsi="Arial" w:cs="Arial"/>
          <w:sz w:val="24"/>
          <w:szCs w:val="24"/>
        </w:rPr>
        <w:t xml:space="preserve"> veintiséis</w:t>
      </w:r>
      <w:r>
        <w:rPr>
          <w:rFonts w:ascii="Arial" w:hAnsi="Arial" w:cs="Arial"/>
          <w:sz w:val="24"/>
          <w:szCs w:val="24"/>
        </w:rPr>
        <w:t xml:space="preserve"> del mismo mes y año (</w:t>
      </w:r>
      <w:r w:rsidR="0050329F">
        <w:rPr>
          <w:rFonts w:ascii="Arial" w:hAnsi="Arial" w:cs="Arial"/>
          <w:sz w:val="24"/>
          <w:szCs w:val="24"/>
        </w:rPr>
        <w:t>26</w:t>
      </w:r>
      <w:r>
        <w:rPr>
          <w:rFonts w:ascii="Arial" w:hAnsi="Arial" w:cs="Arial"/>
          <w:sz w:val="24"/>
          <w:szCs w:val="24"/>
        </w:rPr>
        <w:t>/10/2021),</w:t>
      </w:r>
      <w:r w:rsidRPr="001042B6">
        <w:rPr>
          <w:rFonts w:ascii="Arial" w:hAnsi="Arial" w:cs="Arial"/>
          <w:sz w:val="24"/>
          <w:szCs w:val="24"/>
        </w:rPr>
        <w:t xml:space="preserve"> 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demandada</w:t>
      </w:r>
      <w:r>
        <w:rPr>
          <w:rFonts w:ascii="Arial" w:hAnsi="Arial" w:cs="Arial"/>
          <w:sz w:val="24"/>
          <w:szCs w:val="24"/>
        </w:rPr>
        <w:t xml:space="preserve">.- </w:t>
      </w:r>
    </w:p>
    <w:p w14:paraId="00ADDCC1" w14:textId="77777777" w:rsidR="00720696" w:rsidRDefault="00720696" w:rsidP="00720696">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Pr>
          <w:rFonts w:ascii="Arial" w:hAnsi="Arial" w:cs="Arial"/>
          <w:sz w:val="24"/>
          <w:szCs w:val="24"/>
        </w:rPr>
        <w:t xml:space="preserve">quince de diciembre de dos mil veintiuno (15/12/2021), </w:t>
      </w:r>
      <w:r w:rsidRPr="001042B6">
        <w:rPr>
          <w:rFonts w:ascii="Arial" w:hAnsi="Arial" w:cs="Arial"/>
          <w:sz w:val="24"/>
          <w:szCs w:val="24"/>
        </w:rPr>
        <w:t xml:space="preserve">se tuvo a la autoridad demandada </w:t>
      </w:r>
      <w:r w:rsidR="0050329F">
        <w:rPr>
          <w:rFonts w:ascii="Arial" w:hAnsi="Arial" w:cs="Arial"/>
          <w:sz w:val="24"/>
          <w:szCs w:val="24"/>
        </w:rPr>
        <w:t>JAIME RAMÍREZ CRUZ, Policía Vial Estatal, con número estadístico 354, perteneciente a la Dirección General de la Policía Vial Estatal, de la Secretaria de Seguridad Pública del Estado de Oaxaca</w:t>
      </w:r>
      <w:r>
        <w:rPr>
          <w:rFonts w:ascii="Arial" w:hAnsi="Arial" w:cs="Arial"/>
          <w:sz w:val="24"/>
          <w:szCs w:val="24"/>
        </w:rPr>
        <w:t xml:space="preserve">, contestando en tiempo la demanda, y en auto de fecha </w:t>
      </w:r>
      <w:r w:rsidR="0050329F">
        <w:rPr>
          <w:rFonts w:ascii="Arial" w:hAnsi="Arial" w:cs="Arial"/>
          <w:sz w:val="24"/>
          <w:szCs w:val="24"/>
        </w:rPr>
        <w:t>seis</w:t>
      </w:r>
      <w:r>
        <w:rPr>
          <w:rFonts w:ascii="Arial" w:hAnsi="Arial" w:cs="Arial"/>
          <w:sz w:val="24"/>
          <w:szCs w:val="24"/>
        </w:rPr>
        <w:t xml:space="preserve"> de abril de dos mil veintidós (0</w:t>
      </w:r>
      <w:r w:rsidR="0050329F">
        <w:rPr>
          <w:rFonts w:ascii="Arial" w:hAnsi="Arial" w:cs="Arial"/>
          <w:sz w:val="24"/>
          <w:szCs w:val="24"/>
        </w:rPr>
        <w:t>6</w:t>
      </w:r>
      <w:r>
        <w:rPr>
          <w:rFonts w:ascii="Arial" w:hAnsi="Arial" w:cs="Arial"/>
          <w:sz w:val="24"/>
          <w:szCs w:val="24"/>
        </w:rPr>
        <w:t xml:space="preserve">/04/2022) se señaló fecha y hora para el desahogo de la audiencia de </w:t>
      </w:r>
      <w:proofErr w:type="gramStart"/>
      <w:r>
        <w:rPr>
          <w:rFonts w:ascii="Arial" w:hAnsi="Arial" w:cs="Arial"/>
          <w:sz w:val="24"/>
          <w:szCs w:val="24"/>
        </w:rPr>
        <w:t>ley.-</w:t>
      </w:r>
      <w:proofErr w:type="gramEnd"/>
      <w:r>
        <w:rPr>
          <w:rFonts w:ascii="Arial" w:hAnsi="Arial" w:cs="Arial"/>
          <w:sz w:val="24"/>
          <w:szCs w:val="24"/>
        </w:rPr>
        <w:t xml:space="preserve"> - - - - - - - - - - - - - - - - - - - - - - - - - - </w:t>
      </w:r>
      <w:r w:rsidR="0050329F">
        <w:rPr>
          <w:rFonts w:ascii="Arial" w:hAnsi="Arial" w:cs="Arial"/>
          <w:sz w:val="24"/>
          <w:szCs w:val="24"/>
        </w:rPr>
        <w:t xml:space="preserve">- - - - - - </w:t>
      </w:r>
    </w:p>
    <w:p w14:paraId="28FA9781" w14:textId="77777777" w:rsidR="00720696" w:rsidRPr="001042B6" w:rsidRDefault="00720696" w:rsidP="00720696">
      <w:pPr>
        <w:spacing w:line="360" w:lineRule="auto"/>
        <w:ind w:firstLine="708"/>
        <w:jc w:val="both"/>
        <w:rPr>
          <w:rFonts w:ascii="Arial" w:hAnsi="Arial" w:cs="Arial"/>
          <w:sz w:val="24"/>
          <w:szCs w:val="24"/>
        </w:rPr>
      </w:pPr>
      <w:proofErr w:type="gramStart"/>
      <w:r>
        <w:rPr>
          <w:rFonts w:ascii="Arial" w:hAnsi="Arial" w:cs="Arial"/>
          <w:b/>
          <w:bCs/>
          <w:sz w:val="24"/>
          <w:szCs w:val="24"/>
        </w:rPr>
        <w:t>TERCERO</w:t>
      </w:r>
      <w:r w:rsidRPr="00362A8C">
        <w:rPr>
          <w:rFonts w:ascii="Arial" w:hAnsi="Arial" w:cs="Arial"/>
          <w:b/>
          <w:bCs/>
          <w:sz w:val="24"/>
          <w:szCs w:val="24"/>
        </w:rPr>
        <w:t>.-</w:t>
      </w:r>
      <w:proofErr w:type="gramEnd"/>
      <w:r w:rsidRPr="00362A8C">
        <w:rPr>
          <w:rFonts w:ascii="Arial" w:hAnsi="Arial" w:cs="Arial"/>
          <w:b/>
          <w:bCs/>
          <w:sz w:val="24"/>
          <w:szCs w:val="24"/>
        </w:rPr>
        <w:t xml:space="preserve"> </w:t>
      </w:r>
      <w:r w:rsidRPr="001042B6">
        <w:rPr>
          <w:rFonts w:ascii="Arial" w:hAnsi="Arial" w:cs="Arial"/>
          <w:sz w:val="24"/>
          <w:szCs w:val="24"/>
        </w:rPr>
        <w:t xml:space="preserve">El </w:t>
      </w:r>
      <w:r w:rsidR="0050329F">
        <w:rPr>
          <w:rFonts w:ascii="Arial" w:hAnsi="Arial" w:cs="Arial"/>
          <w:sz w:val="24"/>
          <w:szCs w:val="24"/>
        </w:rPr>
        <w:t>seis</w:t>
      </w:r>
      <w:r>
        <w:rPr>
          <w:rFonts w:ascii="Arial" w:hAnsi="Arial" w:cs="Arial"/>
          <w:sz w:val="24"/>
          <w:szCs w:val="24"/>
        </w:rPr>
        <w:t xml:space="preserve"> de ju</w:t>
      </w:r>
      <w:r w:rsidR="0050329F">
        <w:rPr>
          <w:rFonts w:ascii="Arial" w:hAnsi="Arial" w:cs="Arial"/>
          <w:sz w:val="24"/>
          <w:szCs w:val="24"/>
        </w:rPr>
        <w:t>l</w:t>
      </w:r>
      <w:r>
        <w:rPr>
          <w:rFonts w:ascii="Arial" w:hAnsi="Arial" w:cs="Arial"/>
          <w:sz w:val="24"/>
          <w:szCs w:val="24"/>
        </w:rPr>
        <w:t>io de dos mil veintidós (</w:t>
      </w:r>
      <w:r w:rsidR="0050329F">
        <w:rPr>
          <w:rFonts w:ascii="Arial" w:hAnsi="Arial" w:cs="Arial"/>
          <w:sz w:val="24"/>
          <w:szCs w:val="24"/>
        </w:rPr>
        <w:t>06</w:t>
      </w:r>
      <w:r>
        <w:rPr>
          <w:rFonts w:ascii="Arial" w:hAnsi="Arial" w:cs="Arial"/>
          <w:sz w:val="24"/>
          <w:szCs w:val="24"/>
        </w:rPr>
        <w:t>/0</w:t>
      </w:r>
      <w:r w:rsidR="0050329F">
        <w:rPr>
          <w:rFonts w:ascii="Arial" w:hAnsi="Arial" w:cs="Arial"/>
          <w:sz w:val="24"/>
          <w:szCs w:val="24"/>
        </w:rPr>
        <w:t>7</w:t>
      </w:r>
      <w:r>
        <w:rPr>
          <w:rFonts w:ascii="Arial" w:hAnsi="Arial" w:cs="Arial"/>
          <w:sz w:val="24"/>
          <w:szCs w:val="24"/>
        </w:rPr>
        <w:t xml:space="preserve">/2022),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w:t>
      </w:r>
      <w:r>
        <w:rPr>
          <w:rFonts w:ascii="Arial" w:hAnsi="Arial" w:cs="Arial"/>
          <w:sz w:val="24"/>
          <w:szCs w:val="24"/>
        </w:rPr>
        <w:t xml:space="preserve">no </w:t>
      </w:r>
      <w:r w:rsidRPr="001042B6">
        <w:rPr>
          <w:rFonts w:ascii="Arial" w:hAnsi="Arial" w:cs="Arial"/>
          <w:sz w:val="24"/>
          <w:szCs w:val="24"/>
        </w:rPr>
        <w:t>se recibió escrito de alegatos</w:t>
      </w:r>
      <w:r>
        <w:rPr>
          <w:rFonts w:ascii="Arial" w:hAnsi="Arial" w:cs="Arial"/>
          <w:sz w:val="24"/>
          <w:szCs w:val="24"/>
        </w:rPr>
        <w:t xml:space="preserve"> de las partes, </w:t>
      </w:r>
      <w:r w:rsidRPr="001042B6">
        <w:rPr>
          <w:rFonts w:ascii="Arial" w:hAnsi="Arial" w:cs="Arial"/>
          <w:sz w:val="24"/>
          <w:szCs w:val="24"/>
        </w:rPr>
        <w:t xml:space="preserve">quedando el </w:t>
      </w:r>
      <w:r w:rsidRPr="0064008B">
        <w:rPr>
          <w:rFonts w:ascii="Arial" w:hAnsi="Arial" w:cs="Arial"/>
          <w:sz w:val="24"/>
          <w:szCs w:val="24"/>
        </w:rPr>
        <w:t xml:space="preserve">asunto integrado y en estado de resolución; y, - - </w:t>
      </w:r>
      <w:r>
        <w:rPr>
          <w:rFonts w:ascii="Arial" w:hAnsi="Arial" w:cs="Arial"/>
          <w:sz w:val="24"/>
          <w:szCs w:val="24"/>
        </w:rPr>
        <w:t xml:space="preserve">- - - - - - - - - - - </w:t>
      </w:r>
      <w:r w:rsidR="0050329F">
        <w:rPr>
          <w:rFonts w:ascii="Arial" w:hAnsi="Arial" w:cs="Arial"/>
          <w:sz w:val="24"/>
          <w:szCs w:val="24"/>
        </w:rPr>
        <w:t xml:space="preserve">- - - - - - - - - - - - - - - </w:t>
      </w:r>
    </w:p>
    <w:p w14:paraId="3092FCF8" w14:textId="77777777" w:rsidR="00720696" w:rsidRPr="001042B6" w:rsidRDefault="00720696" w:rsidP="00720696">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11FF718D" w14:textId="77777777" w:rsidR="00720696" w:rsidRPr="001042B6" w:rsidRDefault="00720696" w:rsidP="0072069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Pr>
          <w:rFonts w:ascii="Arial" w:hAnsi="Arial" w:cs="Arial"/>
          <w:b/>
          <w:sz w:val="24"/>
          <w:szCs w:val="24"/>
        </w:rPr>
        <w:t xml:space="preserve">COMPETENCIA.- </w:t>
      </w:r>
      <w:r w:rsidRPr="001042B6">
        <w:rPr>
          <w:rFonts w:ascii="Arial" w:hAnsi="Arial" w:cs="Arial"/>
          <w:sz w:val="24"/>
          <w:szCs w:val="24"/>
        </w:rPr>
        <w:t xml:space="preserve">Esta </w:t>
      </w:r>
      <w:r>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w:t>
      </w:r>
      <w:r w:rsidRPr="001042B6">
        <w:rPr>
          <w:rFonts w:ascii="Arial" w:hAnsi="Arial" w:cs="Arial"/>
          <w:sz w:val="24"/>
          <w:szCs w:val="24"/>
        </w:rPr>
        <w:lastRenderedPageBreak/>
        <w:t xml:space="preserve">y Justicia Administrativa para el Estado de Oaxaca, por tratarse de un Juicio de Nulidad promovido contra la resolución dictada por una autoridad administrativa de carácter </w:t>
      </w:r>
      <w:r>
        <w:rPr>
          <w:rFonts w:ascii="Arial" w:hAnsi="Arial" w:cs="Arial"/>
          <w:sz w:val="24"/>
          <w:szCs w:val="24"/>
        </w:rPr>
        <w:t>estatal</w:t>
      </w:r>
      <w:r w:rsidRPr="001042B6">
        <w:rPr>
          <w:rFonts w:ascii="Arial" w:hAnsi="Arial" w:cs="Arial"/>
          <w:sz w:val="24"/>
          <w:szCs w:val="24"/>
        </w:rPr>
        <w:t xml:space="preserve">, pues de conformidad a lo establecido en el penúltimo artículo citado, éste Tribunal tiene Jurisdicción en todo el territorio del estado. - - - - - - </w:t>
      </w:r>
      <w:r>
        <w:rPr>
          <w:rFonts w:ascii="Arial" w:hAnsi="Arial" w:cs="Arial"/>
          <w:sz w:val="24"/>
          <w:szCs w:val="24"/>
        </w:rPr>
        <w:t>- - - - - - - - - - - - - - - - - - - - - - - - - - - - - - - - - - - - - - - - - -</w:t>
      </w:r>
    </w:p>
    <w:p w14:paraId="0FB3F9F1" w14:textId="77777777" w:rsidR="00720696" w:rsidRPr="001042B6" w:rsidRDefault="00720696" w:rsidP="0072069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Pr>
          <w:rFonts w:ascii="Arial" w:hAnsi="Arial" w:cs="Arial"/>
          <w:b/>
          <w:sz w:val="24"/>
          <w:szCs w:val="24"/>
        </w:rPr>
        <w:t xml:space="preserve">PRUEBAS.-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068847DE" w14:textId="4F09F717" w:rsidR="00720696" w:rsidRPr="00B746C0" w:rsidRDefault="00720696" w:rsidP="00720696">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124797">
        <w:rPr>
          <w:rFonts w:ascii="Arial" w:hAnsi="Arial" w:cs="Arial"/>
          <w:sz w:val="24"/>
          <w:szCs w:val="24"/>
        </w:rPr>
        <w:t>***** ***** *****</w:t>
      </w:r>
      <w:r w:rsidRPr="002246C1">
        <w:rPr>
          <w:rFonts w:ascii="Arial" w:hAnsi="Arial" w:cs="Arial"/>
          <w:sz w:val="24"/>
          <w:szCs w:val="24"/>
        </w:rPr>
        <w:t xml:space="preserve">, consisten en: </w:t>
      </w:r>
      <w:r w:rsidRPr="002246C1">
        <w:rPr>
          <w:rFonts w:ascii="Arial" w:hAnsi="Arial" w:cs="Arial"/>
          <w:b/>
          <w:sz w:val="24"/>
          <w:szCs w:val="24"/>
        </w:rPr>
        <w:t>1.</w:t>
      </w:r>
      <w:r w:rsidRPr="002246C1">
        <w:rPr>
          <w:rFonts w:ascii="Arial" w:hAnsi="Arial" w:cs="Arial"/>
          <w:sz w:val="24"/>
          <w:szCs w:val="24"/>
        </w:rPr>
        <w:t xml:space="preserve">- Original de acta de infracción con número de folio </w:t>
      </w:r>
      <w:r w:rsidR="00124797">
        <w:rPr>
          <w:rFonts w:ascii="Arial" w:hAnsi="Arial" w:cs="Arial"/>
          <w:sz w:val="24"/>
          <w:szCs w:val="24"/>
        </w:rPr>
        <w:t>*****</w:t>
      </w:r>
      <w:r>
        <w:rPr>
          <w:rFonts w:ascii="Arial" w:hAnsi="Arial" w:cs="Arial"/>
          <w:sz w:val="24"/>
          <w:szCs w:val="24"/>
        </w:rPr>
        <w:t xml:space="preserve">, </w:t>
      </w:r>
      <w:r w:rsidRPr="002246C1">
        <w:rPr>
          <w:rFonts w:ascii="Arial" w:hAnsi="Arial" w:cs="Arial"/>
          <w:sz w:val="24"/>
          <w:szCs w:val="24"/>
        </w:rPr>
        <w:t xml:space="preserve">de fecha </w:t>
      </w:r>
      <w:r w:rsidR="00124797">
        <w:rPr>
          <w:rFonts w:ascii="Arial" w:hAnsi="Arial" w:cs="Arial"/>
          <w:sz w:val="24"/>
          <w:szCs w:val="24"/>
        </w:rPr>
        <w:t>***** de ***** de dos mil veintiuno (**/**/2021)</w:t>
      </w:r>
      <w:r w:rsidRPr="002246C1">
        <w:rPr>
          <w:rFonts w:ascii="Arial" w:hAnsi="Arial" w:cs="Arial"/>
          <w:sz w:val="24"/>
          <w:szCs w:val="24"/>
        </w:rPr>
        <w:t xml:space="preserve">, suscrita por </w:t>
      </w:r>
      <w:r w:rsidR="0050329F">
        <w:rPr>
          <w:rFonts w:ascii="Arial" w:hAnsi="Arial" w:cs="Arial"/>
          <w:sz w:val="24"/>
          <w:szCs w:val="24"/>
        </w:rPr>
        <w:t xml:space="preserve">JAIME RAMÍREZ CRUZ, Policía Vial Estatal, con número estadístico 354, perteneciente a la Dirección General de la Policía Vial Estatal, de la </w:t>
      </w:r>
      <w:proofErr w:type="gramStart"/>
      <w:r w:rsidR="0050329F">
        <w:rPr>
          <w:rFonts w:ascii="Arial" w:hAnsi="Arial" w:cs="Arial"/>
          <w:sz w:val="24"/>
          <w:szCs w:val="24"/>
        </w:rPr>
        <w:t>Secretaria</w:t>
      </w:r>
      <w:proofErr w:type="gramEnd"/>
      <w:r w:rsidR="0050329F">
        <w:rPr>
          <w:rFonts w:ascii="Arial" w:hAnsi="Arial" w:cs="Arial"/>
          <w:sz w:val="24"/>
          <w:szCs w:val="24"/>
        </w:rPr>
        <w:t xml:space="preserve"> de Seguridad Pública del Estado de Oaxaca</w:t>
      </w:r>
      <w:r>
        <w:rPr>
          <w:rFonts w:ascii="Arial" w:hAnsi="Arial" w:cs="Arial"/>
          <w:sz w:val="24"/>
          <w:szCs w:val="24"/>
        </w:rPr>
        <w:t xml:space="preserve"> (acto impugnado)</w:t>
      </w:r>
      <w:r w:rsidRPr="00B746C0">
        <w:rPr>
          <w:rFonts w:ascii="Arial" w:hAnsi="Arial" w:cs="Arial"/>
          <w:sz w:val="24"/>
          <w:szCs w:val="24"/>
        </w:rPr>
        <w:t xml:space="preserve">. </w:t>
      </w:r>
    </w:p>
    <w:p w14:paraId="3539B90C" w14:textId="77777777" w:rsidR="00720696" w:rsidRDefault="00720696" w:rsidP="00720696">
      <w:pPr>
        <w:spacing w:line="360" w:lineRule="auto"/>
        <w:ind w:firstLine="708"/>
        <w:jc w:val="both"/>
        <w:rPr>
          <w:rFonts w:ascii="Arial" w:hAnsi="Arial" w:cs="Arial"/>
          <w:sz w:val="24"/>
          <w:szCs w:val="24"/>
        </w:rPr>
      </w:pPr>
      <w:r w:rsidRPr="00720696">
        <w:rPr>
          <w:rFonts w:ascii="Arial" w:hAnsi="Arial" w:cs="Arial"/>
          <w:sz w:val="24"/>
          <w:szCs w:val="24"/>
        </w:rPr>
        <w:t xml:space="preserve">Por lo que respecta a la autoridad demanda </w:t>
      </w:r>
      <w:r w:rsidR="0050329F">
        <w:rPr>
          <w:rFonts w:ascii="Arial" w:hAnsi="Arial" w:cs="Arial"/>
          <w:sz w:val="24"/>
          <w:szCs w:val="24"/>
        </w:rPr>
        <w:t xml:space="preserve">JAIME RAMÍREZ CRUZ, Policía Vial Estatal, con número estadístico 354, perteneciente a la Dirección General de la Policía Vial Estatal, de la </w:t>
      </w:r>
      <w:proofErr w:type="gramStart"/>
      <w:r w:rsidR="0050329F">
        <w:rPr>
          <w:rFonts w:ascii="Arial" w:hAnsi="Arial" w:cs="Arial"/>
          <w:sz w:val="24"/>
          <w:szCs w:val="24"/>
        </w:rPr>
        <w:t>Secretaria</w:t>
      </w:r>
      <w:proofErr w:type="gramEnd"/>
      <w:r w:rsidR="0050329F">
        <w:rPr>
          <w:rFonts w:ascii="Arial" w:hAnsi="Arial" w:cs="Arial"/>
          <w:sz w:val="24"/>
          <w:szCs w:val="24"/>
        </w:rPr>
        <w:t xml:space="preserve"> de Seguridad Pública del Estado de Oaxaca</w:t>
      </w:r>
      <w:r w:rsidRPr="00720696">
        <w:rPr>
          <w:rFonts w:ascii="Arial" w:hAnsi="Arial" w:cs="Arial"/>
          <w:sz w:val="24"/>
          <w:szCs w:val="24"/>
        </w:rPr>
        <w:t xml:space="preserve">, no </w:t>
      </w:r>
      <w:r>
        <w:rPr>
          <w:rFonts w:ascii="Arial" w:hAnsi="Arial" w:cs="Arial"/>
          <w:sz w:val="24"/>
          <w:szCs w:val="24"/>
        </w:rPr>
        <w:t>ofreció</w:t>
      </w:r>
      <w:r w:rsidRPr="00720696">
        <w:rPr>
          <w:rFonts w:ascii="Arial" w:hAnsi="Arial" w:cs="Arial"/>
          <w:sz w:val="24"/>
          <w:szCs w:val="24"/>
        </w:rPr>
        <w:t xml:space="preserve"> </w:t>
      </w:r>
      <w:r w:rsidRPr="00720696">
        <w:rPr>
          <w:rFonts w:ascii="Arial" w:hAnsi="Arial" w:cs="Arial"/>
          <w:b/>
          <w:sz w:val="24"/>
          <w:szCs w:val="24"/>
        </w:rPr>
        <w:t>DOCUMENTAL</w:t>
      </w:r>
      <w:r w:rsidRPr="00720696">
        <w:rPr>
          <w:rFonts w:ascii="Arial" w:hAnsi="Arial" w:cs="Arial"/>
          <w:sz w:val="24"/>
          <w:szCs w:val="24"/>
        </w:rPr>
        <w:t xml:space="preserve"> alguna.</w:t>
      </w:r>
    </w:p>
    <w:p w14:paraId="027CD5B2" w14:textId="77777777" w:rsidR="00720696" w:rsidRDefault="00720696" w:rsidP="00720696">
      <w:pPr>
        <w:spacing w:line="360" w:lineRule="auto"/>
        <w:ind w:firstLine="708"/>
        <w:jc w:val="both"/>
        <w:rPr>
          <w:rFonts w:ascii="Arial" w:hAnsi="Arial" w:cs="Arial"/>
          <w:sz w:val="24"/>
          <w:szCs w:val="24"/>
        </w:rPr>
      </w:pPr>
      <w:r>
        <w:rPr>
          <w:rFonts w:ascii="Arial" w:hAnsi="Arial" w:cs="Arial"/>
          <w:sz w:val="24"/>
          <w:szCs w:val="24"/>
        </w:rPr>
        <w:t xml:space="preserve">Al acta de infracción remitida por el actor, se le otorga </w:t>
      </w:r>
      <w:r w:rsidRPr="00D363B3">
        <w:rPr>
          <w:rFonts w:ascii="Arial" w:hAnsi="Arial" w:cs="Arial"/>
          <w:b/>
          <w:sz w:val="24"/>
          <w:szCs w:val="24"/>
        </w:rPr>
        <w:t>pleno valor probatorio</w:t>
      </w:r>
      <w:r>
        <w:rPr>
          <w:rFonts w:ascii="Arial" w:hAnsi="Arial" w:cs="Arial"/>
          <w:sz w:val="24"/>
          <w:szCs w:val="24"/>
        </w:rPr>
        <w:t xml:space="preserve">, pues se trata de un documento original y público en el que se advierte el nombre del servidor público que la emite, además de su firma y la dependencia </w:t>
      </w:r>
      <w:r w:rsidR="00472E27">
        <w:rPr>
          <w:rFonts w:ascii="Arial" w:hAnsi="Arial" w:cs="Arial"/>
          <w:sz w:val="24"/>
          <w:szCs w:val="24"/>
        </w:rPr>
        <w:t xml:space="preserve">a </w:t>
      </w:r>
      <w:r>
        <w:rPr>
          <w:rFonts w:ascii="Arial" w:hAnsi="Arial" w:cs="Arial"/>
          <w:sz w:val="24"/>
          <w:szCs w:val="24"/>
        </w:rPr>
        <w:t>la que pertenece, de ahí la convicción sobre su existencia y la veracidad de su contenido.</w:t>
      </w:r>
    </w:p>
    <w:p w14:paraId="0A1EBEB5" w14:textId="77777777" w:rsidR="00720696" w:rsidRPr="001042B6" w:rsidRDefault="00720696" w:rsidP="00720696">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Pr="001042B6">
        <w:rPr>
          <w:rFonts w:ascii="Arial" w:hAnsi="Arial" w:cs="Arial"/>
          <w:sz w:val="24"/>
          <w:szCs w:val="24"/>
        </w:rPr>
        <w:t xml:space="preserve"> d</w:t>
      </w:r>
      <w:r>
        <w:rPr>
          <w:rFonts w:ascii="Arial" w:hAnsi="Arial" w:cs="Arial"/>
          <w:sz w:val="24"/>
          <w:szCs w:val="24"/>
        </w:rPr>
        <w:t xml:space="preserve">ocumental </w:t>
      </w:r>
      <w:proofErr w:type="gramStart"/>
      <w:r>
        <w:rPr>
          <w:rFonts w:ascii="Arial" w:hAnsi="Arial" w:cs="Arial"/>
          <w:sz w:val="24"/>
          <w:szCs w:val="24"/>
        </w:rPr>
        <w:t>ofrecida</w:t>
      </w:r>
      <w:r w:rsidRPr="001042B6">
        <w:rPr>
          <w:rFonts w:ascii="Arial" w:hAnsi="Arial" w:cs="Arial"/>
          <w:sz w:val="24"/>
          <w:szCs w:val="24"/>
        </w:rPr>
        <w:t xml:space="preserve"> cumple</w:t>
      </w:r>
      <w:proofErr w:type="gramEnd"/>
      <w:r w:rsidRPr="001042B6">
        <w:rPr>
          <w:rFonts w:ascii="Arial" w:hAnsi="Arial" w:cs="Arial"/>
          <w:sz w:val="24"/>
          <w:szCs w:val="24"/>
        </w:rPr>
        <w:t xml:space="preserve">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establece</w:t>
      </w:r>
      <w:r>
        <w:rPr>
          <w:rFonts w:ascii="Arial" w:hAnsi="Arial" w:cs="Arial"/>
          <w:sz w:val="24"/>
          <w:szCs w:val="24"/>
        </w:rPr>
        <w:t xml:space="preserve"> el citado artículo 203 fracciones</w:t>
      </w:r>
      <w:r w:rsidRPr="001042B6">
        <w:rPr>
          <w:rFonts w:ascii="Arial" w:hAnsi="Arial" w:cs="Arial"/>
          <w:sz w:val="24"/>
          <w:szCs w:val="24"/>
        </w:rPr>
        <w:t xml:space="preserve"> I</w:t>
      </w:r>
      <w:r>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886E7F4" w14:textId="77777777" w:rsidR="00720696" w:rsidRPr="001042B6" w:rsidRDefault="00720696" w:rsidP="0072069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 por la</w:t>
      </w:r>
      <w:r>
        <w:rPr>
          <w:rFonts w:ascii="Arial" w:hAnsi="Arial" w:cs="Arial"/>
          <w:sz w:val="24"/>
          <w:szCs w:val="24"/>
        </w:rPr>
        <w:t xml:space="preserve"> parte</w:t>
      </w:r>
      <w:r w:rsidRPr="001042B6">
        <w:rPr>
          <w:rFonts w:ascii="Arial" w:hAnsi="Arial" w:cs="Arial"/>
          <w:sz w:val="24"/>
          <w:szCs w:val="24"/>
        </w:rPr>
        <w:t xml:space="preserve"> actora</w:t>
      </w:r>
      <w:r>
        <w:rPr>
          <w:rFonts w:ascii="Arial" w:hAnsi="Arial" w:cs="Arial"/>
          <w:sz w:val="24"/>
          <w:szCs w:val="24"/>
        </w:rPr>
        <w:t xml:space="preserve"> y autoridad demandada</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son afirmaciones expresas por ellas. </w:t>
      </w:r>
    </w:p>
    <w:p w14:paraId="4A7D6BB0" w14:textId="77777777" w:rsidR="00720696" w:rsidRPr="001042B6" w:rsidRDefault="00720696" w:rsidP="0072069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lastRenderedPageBreak/>
        <w:t xml:space="preserve">LA PRESUNCIONAL LEGAL </w:t>
      </w:r>
      <w:r>
        <w:rPr>
          <w:rFonts w:ascii="Arial" w:hAnsi="Arial" w:cs="Arial"/>
          <w:sz w:val="24"/>
          <w:szCs w:val="24"/>
        </w:rPr>
        <w:t>Y HUMANA también ofrecida por el</w:t>
      </w:r>
      <w:r w:rsidRPr="001042B6">
        <w:rPr>
          <w:rFonts w:ascii="Arial" w:hAnsi="Arial" w:cs="Arial"/>
          <w:sz w:val="24"/>
          <w:szCs w:val="24"/>
        </w:rPr>
        <w:t xml:space="preserve"> actor</w:t>
      </w:r>
      <w:r>
        <w:rPr>
          <w:rFonts w:ascii="Arial" w:hAnsi="Arial" w:cs="Arial"/>
          <w:sz w:val="24"/>
          <w:szCs w:val="24"/>
        </w:rPr>
        <w:t xml:space="preserve"> y autoridad demandad</w:t>
      </w:r>
      <w:r w:rsidR="00467EEC">
        <w:rPr>
          <w:rFonts w:ascii="Arial" w:hAnsi="Arial" w:cs="Arial"/>
          <w:sz w:val="24"/>
          <w:szCs w:val="24"/>
        </w:rPr>
        <w:t>a</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Pr>
          <w:rFonts w:ascii="Arial" w:hAnsi="Arial" w:cs="Arial"/>
          <w:sz w:val="24"/>
          <w:szCs w:val="24"/>
        </w:rPr>
        <w:t>- - - - - - - - - - - - - - - - - - - - - - - - - - - - - - - - - - - - - - - - - - - - -</w:t>
      </w:r>
    </w:p>
    <w:p w14:paraId="48990F09" w14:textId="77777777" w:rsidR="00720696" w:rsidRPr="001042B6" w:rsidRDefault="00720696" w:rsidP="00720696">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1042B6">
        <w:rPr>
          <w:rFonts w:ascii="Arial" w:hAnsi="Arial" w:cs="Arial"/>
          <w:sz w:val="24"/>
        </w:rPr>
        <w:t xml:space="preserve"> Juzgador</w:t>
      </w:r>
      <w:r>
        <w:rPr>
          <w:rFonts w:ascii="Arial" w:hAnsi="Arial" w:cs="Arial"/>
          <w:sz w:val="24"/>
        </w:rPr>
        <w:t>a</w:t>
      </w:r>
      <w:r w:rsidRPr="001042B6">
        <w:rPr>
          <w:rFonts w:ascii="Arial" w:hAnsi="Arial" w:cs="Arial"/>
          <w:sz w:val="24"/>
        </w:rPr>
        <w:t xml:space="preserve"> no realiza la transcripción</w:t>
      </w:r>
      <w:r>
        <w:rPr>
          <w:rFonts w:ascii="Arial" w:hAnsi="Arial" w:cs="Arial"/>
          <w:sz w:val="24"/>
        </w:rPr>
        <w:t xml:space="preserve"> de los agravios vertidos por la parte</w:t>
      </w:r>
      <w:r w:rsidRPr="001042B6">
        <w:rPr>
          <w:rFonts w:ascii="Arial" w:hAnsi="Arial" w:cs="Arial"/>
          <w:sz w:val="24"/>
        </w:rPr>
        <w:t xml:space="preserve"> actor</w:t>
      </w:r>
      <w:r>
        <w:rPr>
          <w:rFonts w:ascii="Arial" w:hAnsi="Arial" w:cs="Arial"/>
          <w:sz w:val="24"/>
        </w:rPr>
        <w:t>a</w:t>
      </w:r>
      <w:r w:rsidRPr="001042B6">
        <w:rPr>
          <w:rFonts w:ascii="Arial" w:hAnsi="Arial" w:cs="Arial"/>
          <w:sz w:val="24"/>
        </w:rPr>
        <w:t xml:space="preserve">,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32E2ACC7" w14:textId="0121F234" w:rsidR="00720696" w:rsidRPr="001042B6" w:rsidRDefault="00720696" w:rsidP="00720696">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CUARTO.-</w:t>
      </w:r>
      <w:proofErr w:type="gramEnd"/>
      <w:r w:rsidRPr="001042B6">
        <w:rPr>
          <w:rFonts w:ascii="Arial" w:hAnsi="Arial" w:cs="Arial"/>
          <w:b/>
          <w:sz w:val="24"/>
          <w:szCs w:val="24"/>
        </w:rPr>
        <w:t xml:space="preserve"> </w:t>
      </w:r>
      <w:r>
        <w:rPr>
          <w:rFonts w:ascii="Arial" w:hAnsi="Arial" w:cs="Arial"/>
          <w:b/>
          <w:sz w:val="24"/>
          <w:szCs w:val="24"/>
        </w:rPr>
        <w:t xml:space="preserve">PERSONALIDAD.- </w:t>
      </w:r>
      <w:r w:rsidRPr="001042B6">
        <w:rPr>
          <w:rFonts w:ascii="Arial" w:hAnsi="Arial" w:cs="Arial"/>
          <w:sz w:val="24"/>
          <w:szCs w:val="24"/>
        </w:rPr>
        <w:t>La personalidad de</w:t>
      </w:r>
      <w:r>
        <w:rPr>
          <w:rFonts w:ascii="Arial" w:hAnsi="Arial" w:cs="Arial"/>
          <w:sz w:val="24"/>
          <w:szCs w:val="24"/>
        </w:rPr>
        <w:t xml:space="preserve">l actor </w:t>
      </w:r>
      <w:r w:rsidR="00124797">
        <w:rPr>
          <w:rFonts w:ascii="Arial" w:hAnsi="Arial" w:cs="Arial"/>
          <w:sz w:val="24"/>
          <w:szCs w:val="24"/>
        </w:rPr>
        <w:t>*****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w:t>
      </w:r>
      <w:r w:rsidRPr="00C47C40">
        <w:rPr>
          <w:rFonts w:ascii="Arial" w:hAnsi="Arial" w:cs="Arial"/>
          <w:sz w:val="24"/>
          <w:szCs w:val="24"/>
        </w:rPr>
        <w:t>el Estado, pues su nombre aparece plasmado en el acta de infracción impugnada, de ahí la afectación a su esfera jurídica por la cual instaura el presente Juicio, por lo que sin duda quedó justificada su personalidad jurídica y legítima en el presente Juicio.</w:t>
      </w:r>
    </w:p>
    <w:p w14:paraId="3D0B2656" w14:textId="77777777" w:rsidR="00720696" w:rsidRPr="001042B6" w:rsidRDefault="00720696" w:rsidP="00720696">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 xml:space="preserve">e impugnada por la parte </w:t>
      </w:r>
      <w:proofErr w:type="gramStart"/>
      <w:r>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 - - - - - - - - </w:t>
      </w:r>
      <w:r>
        <w:rPr>
          <w:rFonts w:ascii="Arial" w:hAnsi="Arial" w:cs="Arial"/>
          <w:sz w:val="24"/>
        </w:rPr>
        <w:t>- - - - - - - - - - - - - - - - - - - - - - - - - - - - - - - - - - - -</w:t>
      </w:r>
    </w:p>
    <w:p w14:paraId="6FCA7520" w14:textId="77777777" w:rsidR="00720696" w:rsidRDefault="00720696" w:rsidP="00720696">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Pr="001042B6">
        <w:rPr>
          <w:rFonts w:ascii="Arial" w:hAnsi="Arial" w:cs="Arial"/>
          <w:b/>
          <w:sz w:val="24"/>
          <w:szCs w:val="24"/>
        </w:rPr>
        <w:t xml:space="preserve"> </w:t>
      </w:r>
      <w:r>
        <w:rPr>
          <w:rFonts w:ascii="Arial" w:hAnsi="Arial" w:cs="Arial"/>
          <w:b/>
          <w:sz w:val="24"/>
          <w:szCs w:val="24"/>
        </w:rPr>
        <w:t xml:space="preserve">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4FC3C31" w14:textId="77777777" w:rsidR="00720696" w:rsidRDefault="00720696" w:rsidP="00720696">
      <w:pPr>
        <w:tabs>
          <w:tab w:val="center" w:pos="4574"/>
        </w:tabs>
        <w:spacing w:line="360" w:lineRule="auto"/>
        <w:ind w:firstLine="708"/>
        <w:jc w:val="both"/>
        <w:rPr>
          <w:rFonts w:cs="Arial"/>
          <w:b/>
          <w:sz w:val="24"/>
        </w:rPr>
      </w:pPr>
      <w:r>
        <w:rPr>
          <w:rFonts w:ascii="Arial" w:hAnsi="Arial" w:cs="Arial"/>
          <w:sz w:val="24"/>
          <w:szCs w:val="24"/>
        </w:rPr>
        <w:t xml:space="preserve">La autoridad demandada </w:t>
      </w:r>
      <w:r w:rsidR="0050329F">
        <w:rPr>
          <w:rFonts w:ascii="Arial" w:hAnsi="Arial" w:cs="Arial"/>
          <w:sz w:val="24"/>
          <w:szCs w:val="24"/>
        </w:rPr>
        <w:t xml:space="preserve">JAIME RAMÍREZ CRUZ, Policía Vial Estatal, con número estadístico 354, perteneciente a la Dirección General de la Policía </w:t>
      </w:r>
      <w:r w:rsidR="0050329F">
        <w:rPr>
          <w:rFonts w:ascii="Arial" w:hAnsi="Arial" w:cs="Arial"/>
          <w:sz w:val="24"/>
          <w:szCs w:val="24"/>
        </w:rPr>
        <w:lastRenderedPageBreak/>
        <w:t>Vial Estatal, de la S</w:t>
      </w:r>
      <w:r w:rsidR="0050329F" w:rsidRPr="006D1E37">
        <w:rPr>
          <w:rFonts w:ascii="Arial" w:hAnsi="Arial" w:cs="Arial"/>
          <w:sz w:val="24"/>
          <w:szCs w:val="24"/>
        </w:rPr>
        <w:t>ecretaria de Seguridad Pública del Estado de Oaxaca</w:t>
      </w:r>
      <w:r w:rsidRPr="006D1E37">
        <w:rPr>
          <w:rFonts w:ascii="Arial" w:hAnsi="Arial" w:cs="Arial"/>
          <w:sz w:val="24"/>
          <w:szCs w:val="24"/>
        </w:rPr>
        <w:t xml:space="preserve">, hizo valer tres excepciones, </w:t>
      </w:r>
      <w:r w:rsidR="006D1E37" w:rsidRPr="006D1E37">
        <w:rPr>
          <w:rFonts w:ascii="Arial" w:hAnsi="Arial" w:cs="Arial"/>
          <w:sz w:val="24"/>
          <w:szCs w:val="24"/>
        </w:rPr>
        <w:t>denominadas como</w:t>
      </w:r>
      <w:r w:rsidRPr="006D1E37">
        <w:rPr>
          <w:rFonts w:ascii="Arial" w:hAnsi="Arial" w:cs="Arial"/>
          <w:sz w:val="24"/>
          <w:szCs w:val="24"/>
        </w:rPr>
        <w:t>: “</w:t>
      </w:r>
      <w:r w:rsidRPr="006D1E37">
        <w:rPr>
          <w:rFonts w:ascii="Arial" w:hAnsi="Arial" w:cs="Arial"/>
          <w:i/>
          <w:sz w:val="24"/>
          <w:szCs w:val="24"/>
        </w:rPr>
        <w:t>LA DOCUMENTAL”, “ACTA DE INFRACCION”, y FALSEDAD EN DECLARACION DE LOS HECHOS POR PARTE DEL ACTOR</w:t>
      </w:r>
      <w:r w:rsidRPr="006D1E37">
        <w:rPr>
          <w:rFonts w:ascii="Arial" w:hAnsi="Arial" w:cs="Arial"/>
          <w:sz w:val="24"/>
          <w:szCs w:val="24"/>
        </w:rPr>
        <w:t xml:space="preserve">”, excepciones que en este asunto no se actualizan, esto es así, pues se refieren a la validez del acta de infracción, circunstancia que no impide el estudio de fondo del acto impugnado, por el contrario, lo impulsan, de ahí que no se actualicen las excepciones invocadas, y toda vez que </w:t>
      </w:r>
      <w:r w:rsidRPr="006D1E37">
        <w:rPr>
          <w:rFonts w:ascii="Arial" w:hAnsi="Arial" w:cs="Arial"/>
          <w:bCs/>
          <w:sz w:val="24"/>
        </w:rPr>
        <w:t xml:space="preserve">esta Juzgadora no advierte la actualización de alguna otra causa que impida entrar al estudio de fondo de este asunto, consecuentemente </w:t>
      </w:r>
      <w:r w:rsidRPr="006D1E37">
        <w:rPr>
          <w:rFonts w:ascii="Arial" w:hAnsi="Arial" w:cs="Arial"/>
          <w:sz w:val="24"/>
        </w:rPr>
        <w:t xml:space="preserve">este Juicio de Nulidad </w:t>
      </w:r>
      <w:r w:rsidRPr="006D1E37">
        <w:rPr>
          <w:rFonts w:ascii="Arial" w:hAnsi="Arial" w:cs="Arial"/>
          <w:b/>
          <w:sz w:val="24"/>
        </w:rPr>
        <w:t>NO SE SOBRESEE. - - - - - -</w:t>
      </w:r>
      <w:r w:rsidRPr="006D1E37">
        <w:rPr>
          <w:rFonts w:cs="Arial"/>
          <w:b/>
          <w:sz w:val="24"/>
        </w:rPr>
        <w:t xml:space="preserve"> - - - - - - - - - - - - - - - - - -</w:t>
      </w:r>
      <w:r>
        <w:rPr>
          <w:rFonts w:cs="Arial"/>
          <w:b/>
          <w:sz w:val="24"/>
        </w:rPr>
        <w:t xml:space="preserve"> - - - - - - - - - - - - - - - - - - - - - -</w:t>
      </w:r>
    </w:p>
    <w:p w14:paraId="1B9E0F7A" w14:textId="0F225314" w:rsidR="002910EC" w:rsidRPr="00315B2D" w:rsidRDefault="00720696" w:rsidP="002910EC">
      <w:pPr>
        <w:tabs>
          <w:tab w:val="center" w:pos="4574"/>
        </w:tabs>
        <w:spacing w:line="360" w:lineRule="auto"/>
        <w:ind w:firstLine="708"/>
        <w:jc w:val="both"/>
        <w:rPr>
          <w:rFonts w:ascii="Arial" w:hAnsi="Arial" w:cs="Arial"/>
          <w:sz w:val="24"/>
          <w:szCs w:val="24"/>
          <w:highlight w:val="yellow"/>
        </w:rPr>
      </w:pPr>
      <w:r w:rsidRPr="001042B6">
        <w:rPr>
          <w:rFonts w:ascii="Arial" w:hAnsi="Arial" w:cs="Arial"/>
          <w:b/>
          <w:sz w:val="24"/>
          <w:szCs w:val="24"/>
        </w:rPr>
        <w:tab/>
        <w:t>SEXTO.-</w:t>
      </w:r>
      <w:r>
        <w:rPr>
          <w:rFonts w:ascii="Arial" w:hAnsi="Arial" w:cs="Arial"/>
          <w:b/>
          <w:sz w:val="24"/>
          <w:szCs w:val="24"/>
        </w:rPr>
        <w:t xml:space="preserve"> ESTUDIO DE </w:t>
      </w:r>
      <w:r w:rsidRPr="00720696">
        <w:rPr>
          <w:rFonts w:ascii="Arial" w:hAnsi="Arial" w:cs="Arial"/>
          <w:b/>
          <w:sz w:val="24"/>
          <w:szCs w:val="24"/>
        </w:rPr>
        <w:t>FONDO</w:t>
      </w:r>
      <w:r w:rsidRPr="006D1E37">
        <w:rPr>
          <w:rFonts w:ascii="Arial" w:hAnsi="Arial" w:cs="Arial"/>
          <w:b/>
          <w:sz w:val="24"/>
          <w:szCs w:val="24"/>
        </w:rPr>
        <w:t xml:space="preserve">.- </w:t>
      </w:r>
      <w:r w:rsidR="002910EC" w:rsidRPr="006D1E37">
        <w:rPr>
          <w:rFonts w:ascii="Arial" w:hAnsi="Arial" w:cs="Arial"/>
          <w:sz w:val="24"/>
          <w:szCs w:val="24"/>
        </w:rPr>
        <w:t xml:space="preserve">Previo al estudio de fondo, esta Juzgadora toma en cuenta, que el acta de infracción con número de folio </w:t>
      </w:r>
      <w:r w:rsidR="00124797">
        <w:rPr>
          <w:rFonts w:ascii="Arial" w:hAnsi="Arial" w:cs="Arial"/>
          <w:sz w:val="24"/>
          <w:szCs w:val="24"/>
        </w:rPr>
        <w:t>*****</w:t>
      </w:r>
      <w:r w:rsidR="002910EC" w:rsidRPr="006D1E37">
        <w:rPr>
          <w:rFonts w:ascii="Arial" w:hAnsi="Arial" w:cs="Arial"/>
          <w:sz w:val="24"/>
          <w:szCs w:val="24"/>
        </w:rPr>
        <w:t xml:space="preserve"> (foja 5 de autos), fue realizada el día </w:t>
      </w:r>
      <w:r w:rsidR="00124797">
        <w:rPr>
          <w:rFonts w:ascii="Arial" w:hAnsi="Arial" w:cs="Arial"/>
          <w:sz w:val="24"/>
          <w:szCs w:val="24"/>
        </w:rPr>
        <w:t>***** de ***** de dos mil veintiuno (**/**/2021)</w:t>
      </w:r>
      <w:r w:rsidR="002910EC" w:rsidRPr="006D1E37">
        <w:rPr>
          <w:rFonts w:ascii="Arial" w:hAnsi="Arial" w:cs="Arial"/>
          <w:sz w:val="24"/>
          <w:szCs w:val="24"/>
        </w:rPr>
        <w:t xml:space="preserve"> por un Policía Vial Estatal, y que de acuerdo a lo plasmado en ella, el lugar en que ocurrieron los hechos se ubica en calle Gregorio Gómez</w:t>
      </w:r>
      <w:r w:rsidR="006D1E37" w:rsidRPr="006D1E37">
        <w:rPr>
          <w:rFonts w:ascii="Arial" w:hAnsi="Arial" w:cs="Arial"/>
          <w:sz w:val="24"/>
          <w:szCs w:val="24"/>
        </w:rPr>
        <w:t>,</w:t>
      </w:r>
      <w:r w:rsidR="002910EC" w:rsidRPr="006D1E37">
        <w:rPr>
          <w:rFonts w:ascii="Arial" w:hAnsi="Arial" w:cs="Arial"/>
          <w:sz w:val="24"/>
          <w:szCs w:val="24"/>
        </w:rPr>
        <w:t xml:space="preserve"> frente a Caja Mexicana, Colonia Centro, Ocotlán de Morelos, Oaxaca, por lo que se considera pertinente realizar un análisis de la competencia de la autoridad demandada para actuar en una Jurisdicción Municipal, de conformidad con lo dispuesto en el artículo 208 último párrafo de la Ley de Procedimiento y Justicia Administrativa para el Estado de Oaxaca.</w:t>
      </w:r>
    </w:p>
    <w:p w14:paraId="19C46F79" w14:textId="77777777" w:rsidR="002910EC" w:rsidRPr="006D1E37" w:rsidRDefault="002910EC" w:rsidP="002910EC">
      <w:pPr>
        <w:tabs>
          <w:tab w:val="center" w:pos="4574"/>
        </w:tabs>
        <w:spacing w:line="360" w:lineRule="auto"/>
        <w:ind w:firstLine="708"/>
        <w:jc w:val="both"/>
        <w:rPr>
          <w:rFonts w:ascii="Arial" w:hAnsi="Arial" w:cs="Arial"/>
          <w:sz w:val="24"/>
          <w:szCs w:val="24"/>
        </w:rPr>
      </w:pPr>
      <w:r w:rsidRPr="006D1E37">
        <w:rPr>
          <w:rFonts w:ascii="Arial" w:hAnsi="Arial" w:cs="Arial"/>
          <w:sz w:val="24"/>
          <w:szCs w:val="24"/>
        </w:rPr>
        <w:t xml:space="preserve">Al respecto el artículo 115 fracción III, inciso h) de la Constitución Política de los Estados Unidos Mexicanos, dispone que los </w:t>
      </w:r>
      <w:r w:rsidRPr="006D1E37">
        <w:rPr>
          <w:rFonts w:ascii="Arial" w:hAnsi="Arial" w:cs="Arial"/>
          <w:b/>
          <w:sz w:val="24"/>
          <w:szCs w:val="24"/>
        </w:rPr>
        <w:t>Municipios tendrán a su cargo</w:t>
      </w:r>
      <w:r w:rsidRPr="006D1E37">
        <w:rPr>
          <w:rFonts w:ascii="Arial" w:hAnsi="Arial" w:cs="Arial"/>
          <w:sz w:val="24"/>
          <w:szCs w:val="24"/>
        </w:rPr>
        <w:t xml:space="preserve"> las funciones y servicios públicos referentes a la seguridad pública, policía preventiva municipal y </w:t>
      </w:r>
      <w:r w:rsidRPr="006D1E37">
        <w:rPr>
          <w:rFonts w:ascii="Arial" w:hAnsi="Arial" w:cs="Arial"/>
          <w:b/>
          <w:sz w:val="24"/>
          <w:szCs w:val="24"/>
        </w:rPr>
        <w:t>tránsito</w:t>
      </w:r>
      <w:r w:rsidRPr="006D1E37">
        <w:rPr>
          <w:rFonts w:ascii="Arial" w:hAnsi="Arial" w:cs="Arial"/>
          <w:sz w:val="24"/>
          <w:szCs w:val="24"/>
        </w:rPr>
        <w:t>; en el ámbito local es el artículo 113 fracción III inciso h) de la Constitución Política del Estado Libre y Soberano de Oaxaca, que establece dichas atribuciones a los Municipios, además, la Ley de Tránsito Movilidad y Vialidad del Estado de Oaxaca, en su artículo 26 dispone: “</w:t>
      </w:r>
      <w:r w:rsidRPr="006D1E37">
        <w:rPr>
          <w:rFonts w:ascii="Arial" w:hAnsi="Arial" w:cs="Arial"/>
          <w:b/>
          <w:i/>
          <w:sz w:val="24"/>
          <w:szCs w:val="24"/>
        </w:rPr>
        <w:t>Artículo 26.</w:t>
      </w:r>
      <w:r w:rsidRPr="006D1E37">
        <w:rPr>
          <w:rFonts w:ascii="Arial" w:hAnsi="Arial" w:cs="Arial"/>
          <w:i/>
          <w:sz w:val="24"/>
          <w:szCs w:val="24"/>
        </w:rPr>
        <w:t xml:space="preserve"> El Titular del Poder Ejecutivo, aplicará y vigilará el estricto cumplimiento de esta Ley y su Reglamento, por conducto de la Secretaría y de la Dirección de la Policía Vial Estatal, en las Vías Públicas de jurisdicción Estatal y en aquellas de jurisdicción Federal o Municipal, </w:t>
      </w:r>
      <w:r w:rsidRPr="006D1E37">
        <w:rPr>
          <w:rFonts w:ascii="Arial" w:hAnsi="Arial" w:cs="Arial"/>
          <w:b/>
          <w:i/>
          <w:sz w:val="24"/>
          <w:szCs w:val="24"/>
        </w:rPr>
        <w:t>que le sean transferidas mediante convenio</w:t>
      </w:r>
      <w:r w:rsidRPr="006D1E37">
        <w:rPr>
          <w:rFonts w:ascii="Arial" w:hAnsi="Arial" w:cs="Arial"/>
          <w:sz w:val="24"/>
          <w:szCs w:val="24"/>
        </w:rPr>
        <w:t xml:space="preserve">.” (Lo resaltado es por esta autoridad); de lo anterior se logra establecer, que, </w:t>
      </w:r>
      <w:r w:rsidRPr="006D1E37">
        <w:rPr>
          <w:rFonts w:ascii="Arial" w:hAnsi="Arial" w:cs="Arial"/>
          <w:b/>
          <w:sz w:val="24"/>
          <w:szCs w:val="24"/>
        </w:rPr>
        <w:t>en materia de tránsito</w:t>
      </w:r>
      <w:r w:rsidRPr="006D1E37">
        <w:rPr>
          <w:rFonts w:ascii="Arial" w:hAnsi="Arial" w:cs="Arial"/>
          <w:sz w:val="24"/>
          <w:szCs w:val="24"/>
        </w:rPr>
        <w:t xml:space="preserve">, los municipios tienen facultades reservadas constitucionalmente, y solo podrán actuar en esas jurisdicciones los Agentes de la Policía Vial Estatal a través de un convenio que les permita actuar. </w:t>
      </w:r>
    </w:p>
    <w:p w14:paraId="1FF5389F" w14:textId="77777777" w:rsidR="002910EC" w:rsidRPr="00FF39CC" w:rsidRDefault="002910EC" w:rsidP="002910EC">
      <w:pPr>
        <w:tabs>
          <w:tab w:val="center" w:pos="4574"/>
        </w:tabs>
        <w:spacing w:line="360" w:lineRule="auto"/>
        <w:ind w:firstLine="708"/>
        <w:jc w:val="both"/>
        <w:rPr>
          <w:rFonts w:ascii="Arial" w:hAnsi="Arial" w:cs="Arial"/>
          <w:sz w:val="24"/>
          <w:szCs w:val="24"/>
        </w:rPr>
      </w:pPr>
      <w:r w:rsidRPr="006D1E37">
        <w:rPr>
          <w:rFonts w:ascii="Arial" w:hAnsi="Arial" w:cs="Arial"/>
          <w:sz w:val="24"/>
          <w:szCs w:val="24"/>
        </w:rPr>
        <w:t xml:space="preserve">En el caso concreto, se toma en cuenta que el lugar en que se suscitó el evento, se localiza en el Centro, de Ocotlán de Morelos, Oaxaca, precisamente en la calle Gregorio Gómez, Colonia Centro, luego entonces, </w:t>
      </w:r>
      <w:r w:rsidRPr="006D1E37">
        <w:rPr>
          <w:rFonts w:ascii="Arial" w:hAnsi="Arial" w:cs="Arial"/>
          <w:sz w:val="24"/>
          <w:szCs w:val="24"/>
        </w:rPr>
        <w:lastRenderedPageBreak/>
        <w:t xml:space="preserve">para que un Agente de la Policía Vial Estatal, ejerza sus atribuciones en dicha jurisdicción, debe acreditar que cuenta con el convenio celebrado entre el Municipio de Ocotlán de Morelos, Oaxaca y el Ejecutivo del Estado de Oaxaca, circunstancia que no se acreditó en el acta de infracción, para considerar que se encuentre debidamente fundada, pues la única referencia que existe en el acta de infracción es la Ley de Tránsito, Movilidad y Vialidad del Estado de Oaxaca, Ley de Tránsito Reformada, y el Reglamento de Tránsito Vigente, y de los artículos referidos, no se advierte alguno que le otorgue facultad al policía vial demandado para actuar en el Municipio del Centro de Ocotlán de Morelos, Oaxaca, lo cual violenta flagrantemente, al actuar dentro de su demarcación territorial, la cual fue invadida sin justificación alguna por el </w:t>
      </w:r>
      <w:r w:rsidRPr="00FF39CC">
        <w:rPr>
          <w:rFonts w:ascii="Arial" w:hAnsi="Arial" w:cs="Arial"/>
          <w:sz w:val="24"/>
          <w:szCs w:val="24"/>
        </w:rPr>
        <w:t>Policía Vial Estatal demandado, de ahí que su actuación resulte ilegal.</w:t>
      </w:r>
    </w:p>
    <w:p w14:paraId="1D89E010" w14:textId="77777777" w:rsidR="002910EC" w:rsidRPr="00FF39CC" w:rsidRDefault="002910EC" w:rsidP="002910EC">
      <w:pPr>
        <w:tabs>
          <w:tab w:val="center" w:pos="4574"/>
        </w:tabs>
        <w:spacing w:line="360" w:lineRule="auto"/>
        <w:ind w:firstLine="708"/>
        <w:jc w:val="both"/>
        <w:rPr>
          <w:rFonts w:ascii="Arial" w:hAnsi="Arial" w:cs="Arial"/>
          <w:sz w:val="24"/>
          <w:szCs w:val="24"/>
        </w:rPr>
      </w:pPr>
      <w:r w:rsidRPr="00FF39CC">
        <w:rPr>
          <w:rFonts w:ascii="Arial" w:hAnsi="Arial" w:cs="Arial"/>
          <w:sz w:val="24"/>
          <w:szCs w:val="24"/>
        </w:rPr>
        <w:t xml:space="preserve">Sirve de apoyo a lo anterior, las Jurisprudencias sustentadas por la Suprema Corte de Justicia cuyos datos de identificación son: </w:t>
      </w:r>
    </w:p>
    <w:p w14:paraId="4D659769" w14:textId="77777777" w:rsidR="002910EC" w:rsidRPr="00FF39CC" w:rsidRDefault="002910EC" w:rsidP="002910EC">
      <w:pPr>
        <w:tabs>
          <w:tab w:val="center" w:pos="4574"/>
        </w:tabs>
        <w:spacing w:line="360" w:lineRule="auto"/>
        <w:ind w:firstLine="708"/>
        <w:jc w:val="both"/>
        <w:rPr>
          <w:rFonts w:ascii="Arial" w:hAnsi="Arial" w:cs="Arial"/>
          <w:sz w:val="24"/>
          <w:szCs w:val="24"/>
        </w:rPr>
      </w:pPr>
      <w:r w:rsidRPr="00FF39CC">
        <w:rPr>
          <w:rFonts w:ascii="Arial" w:hAnsi="Arial" w:cs="Arial"/>
          <w:sz w:val="24"/>
          <w:szCs w:val="24"/>
        </w:rPr>
        <w:t xml:space="preserve">Semanario Judicial de la Federación y su Gaceta, Tomo XXXIV, </w:t>
      </w:r>
      <w:proofErr w:type="gramStart"/>
      <w:r w:rsidRPr="00FF39CC">
        <w:rPr>
          <w:rFonts w:ascii="Arial" w:hAnsi="Arial" w:cs="Arial"/>
          <w:sz w:val="24"/>
          <w:szCs w:val="24"/>
        </w:rPr>
        <w:t>Agosto</w:t>
      </w:r>
      <w:proofErr w:type="gramEnd"/>
      <w:r w:rsidRPr="00FF39CC">
        <w:rPr>
          <w:rFonts w:ascii="Arial" w:hAnsi="Arial" w:cs="Arial"/>
          <w:sz w:val="24"/>
          <w:szCs w:val="24"/>
        </w:rPr>
        <w:t xml:space="preserve"> de 2011, Novena Época, pág. 352, número de registro 161237 Jurisprudencia (Administrativa), Segunda Sala, y bajo el rubro “</w:t>
      </w:r>
      <w:r w:rsidRPr="00FF39CC">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14:paraId="4D6E6991" w14:textId="77777777" w:rsidR="002910EC" w:rsidRPr="00FF39CC" w:rsidRDefault="002910EC" w:rsidP="002910EC">
      <w:pPr>
        <w:tabs>
          <w:tab w:val="center" w:pos="4574"/>
        </w:tabs>
        <w:spacing w:line="360" w:lineRule="auto"/>
        <w:ind w:firstLine="708"/>
        <w:jc w:val="both"/>
        <w:rPr>
          <w:rFonts w:ascii="Arial" w:hAnsi="Arial" w:cs="Arial"/>
          <w:sz w:val="24"/>
          <w:szCs w:val="24"/>
        </w:rPr>
      </w:pPr>
      <w:r w:rsidRPr="00FF39CC">
        <w:rPr>
          <w:rFonts w:ascii="Arial" w:hAnsi="Arial" w:cs="Arial"/>
          <w:sz w:val="24"/>
          <w:szCs w:val="24"/>
        </w:rPr>
        <w:t xml:space="preserve">Semanario Judicial de la Federación y su Gaceta, Tomo IV, </w:t>
      </w:r>
      <w:proofErr w:type="gramStart"/>
      <w:r w:rsidRPr="00FF39CC">
        <w:rPr>
          <w:rFonts w:ascii="Arial" w:hAnsi="Arial" w:cs="Arial"/>
          <w:sz w:val="24"/>
          <w:szCs w:val="24"/>
        </w:rPr>
        <w:t>Noviembre</w:t>
      </w:r>
      <w:proofErr w:type="gramEnd"/>
      <w:r w:rsidRPr="00FF39CC">
        <w:rPr>
          <w:rFonts w:ascii="Arial" w:hAnsi="Arial" w:cs="Arial"/>
          <w:sz w:val="24"/>
          <w:szCs w:val="24"/>
        </w:rPr>
        <w:t xml:space="preserve"> de 1996, Novena Época, pág. 330, número de registro 200023, Jurisprudencia (Constitucional) Pleno, y bajo el rubro: “</w:t>
      </w:r>
      <w:r w:rsidRPr="00FF39CC">
        <w:rPr>
          <w:rFonts w:ascii="Arial" w:hAnsi="Arial" w:cs="Arial"/>
          <w:i/>
          <w:sz w:val="24"/>
          <w:szCs w:val="24"/>
        </w:rPr>
        <w:t>SEGURIDAD PÚBLICA Y TRÁNSITO EN LOS MUNICIPIOS. EN PRINCIPIO, SON MATERIAS RESERVADAS CONSTITUCIONALMENTE A ELLOS</w:t>
      </w:r>
      <w:r w:rsidRPr="00FF39CC">
        <w:rPr>
          <w:rFonts w:ascii="Arial" w:hAnsi="Arial" w:cs="Arial"/>
          <w:sz w:val="24"/>
          <w:szCs w:val="24"/>
        </w:rPr>
        <w:t>.”</w:t>
      </w:r>
    </w:p>
    <w:p w14:paraId="1FD4B206" w14:textId="77777777" w:rsidR="002910EC" w:rsidRPr="00FF39CC" w:rsidRDefault="002910EC" w:rsidP="002910EC">
      <w:pPr>
        <w:tabs>
          <w:tab w:val="center" w:pos="4574"/>
        </w:tabs>
        <w:spacing w:line="360" w:lineRule="auto"/>
        <w:ind w:firstLine="708"/>
        <w:jc w:val="both"/>
        <w:rPr>
          <w:rFonts w:ascii="Arial" w:hAnsi="Arial" w:cs="Arial"/>
          <w:sz w:val="24"/>
          <w:szCs w:val="24"/>
        </w:rPr>
      </w:pPr>
      <w:r w:rsidRPr="00FF39CC">
        <w:rPr>
          <w:rFonts w:ascii="Arial" w:hAnsi="Arial" w:cs="Arial"/>
          <w:sz w:val="24"/>
          <w:szCs w:val="24"/>
        </w:rPr>
        <w:t xml:space="preserve">Por otra parte, esta autoridad, analizando el acto impugnado, </w:t>
      </w:r>
      <w:r w:rsidR="00B9313A" w:rsidRPr="00FF39CC">
        <w:rPr>
          <w:rFonts w:ascii="Arial" w:hAnsi="Arial" w:cs="Arial"/>
          <w:sz w:val="24"/>
          <w:szCs w:val="24"/>
        </w:rPr>
        <w:t>donde la autoridad demandada en observaciones plasmo:</w:t>
      </w:r>
      <w:r w:rsidR="00B9313A" w:rsidRPr="00FF39CC">
        <w:rPr>
          <w:rFonts w:ascii="Arial" w:hAnsi="Arial" w:cs="Arial"/>
          <w:i/>
          <w:sz w:val="24"/>
          <w:szCs w:val="24"/>
        </w:rPr>
        <w:t xml:space="preserve"> “Artículo 81 falta de Licencia de manejo. Artículo 4 y 18 fracción V de la Ley de Tránsito y Vialidad de Oaxaca”</w:t>
      </w:r>
      <w:r w:rsidR="00B9313A" w:rsidRPr="00FF39CC">
        <w:rPr>
          <w:rFonts w:ascii="Arial" w:hAnsi="Arial" w:cs="Arial"/>
          <w:sz w:val="24"/>
          <w:szCs w:val="24"/>
        </w:rPr>
        <w:t xml:space="preserve">; y en el apartado de </w:t>
      </w:r>
      <w:r w:rsidR="00FF39CC" w:rsidRPr="00FF39CC">
        <w:rPr>
          <w:rFonts w:ascii="Arial" w:hAnsi="Arial" w:cs="Arial"/>
          <w:sz w:val="24"/>
          <w:szCs w:val="24"/>
        </w:rPr>
        <w:t>“</w:t>
      </w:r>
      <w:r w:rsidR="00B9313A" w:rsidRPr="00FF39CC">
        <w:rPr>
          <w:rFonts w:ascii="Arial" w:hAnsi="Arial" w:cs="Arial"/>
          <w:i/>
          <w:sz w:val="24"/>
          <w:szCs w:val="24"/>
        </w:rPr>
        <w:t>MOTIVO DE LA INFRACCIÓN</w:t>
      </w:r>
      <w:r w:rsidR="00FF39CC" w:rsidRPr="00FF39CC">
        <w:rPr>
          <w:rFonts w:ascii="Arial" w:hAnsi="Arial" w:cs="Arial"/>
          <w:sz w:val="24"/>
          <w:szCs w:val="24"/>
        </w:rPr>
        <w:t>”</w:t>
      </w:r>
      <w:r w:rsidR="00B9313A" w:rsidRPr="00FF39CC">
        <w:rPr>
          <w:rFonts w:ascii="Arial" w:hAnsi="Arial" w:cs="Arial"/>
          <w:sz w:val="24"/>
          <w:szCs w:val="24"/>
        </w:rPr>
        <w:t xml:space="preserve">, encerró en un círculo: </w:t>
      </w:r>
      <w:r w:rsidR="00B9313A" w:rsidRPr="00FF39CC">
        <w:rPr>
          <w:rFonts w:ascii="Arial" w:hAnsi="Arial" w:cs="Arial"/>
          <w:i/>
          <w:sz w:val="24"/>
          <w:szCs w:val="24"/>
        </w:rPr>
        <w:t>“Articulo 158, del Reglamento de la Ley de Tránsito Reformada, grupo 1, 10.- Circular en sentido contrario”</w:t>
      </w:r>
      <w:r w:rsidR="00B9313A" w:rsidRPr="00FF39CC">
        <w:rPr>
          <w:rFonts w:ascii="Arial" w:hAnsi="Arial" w:cs="Arial"/>
          <w:sz w:val="24"/>
          <w:szCs w:val="24"/>
        </w:rPr>
        <w:t xml:space="preserve">. Los artículos invocados dicen a la letra: </w:t>
      </w:r>
    </w:p>
    <w:p w14:paraId="3DBE5B8F" w14:textId="77777777" w:rsidR="00B9313A" w:rsidRPr="00FF39CC" w:rsidRDefault="00B9313A" w:rsidP="00B9313A">
      <w:pPr>
        <w:tabs>
          <w:tab w:val="center" w:pos="4574"/>
        </w:tabs>
        <w:spacing w:line="360" w:lineRule="auto"/>
        <w:ind w:firstLine="708"/>
        <w:jc w:val="center"/>
        <w:rPr>
          <w:rFonts w:ascii="Arial" w:hAnsi="Arial" w:cs="Arial"/>
          <w:i/>
          <w:sz w:val="24"/>
          <w:szCs w:val="24"/>
        </w:rPr>
      </w:pPr>
      <w:r w:rsidRPr="00FF39CC">
        <w:rPr>
          <w:rFonts w:ascii="Arial" w:hAnsi="Arial" w:cs="Arial"/>
          <w:i/>
          <w:sz w:val="24"/>
          <w:szCs w:val="24"/>
        </w:rPr>
        <w:t>“CAPÍTULO XI</w:t>
      </w:r>
    </w:p>
    <w:p w14:paraId="4ACB4C73" w14:textId="77777777" w:rsidR="00B9313A" w:rsidRPr="00FF39CC" w:rsidRDefault="00B9313A" w:rsidP="00B9313A">
      <w:pPr>
        <w:tabs>
          <w:tab w:val="center" w:pos="4574"/>
        </w:tabs>
        <w:spacing w:line="360" w:lineRule="auto"/>
        <w:ind w:firstLine="708"/>
        <w:jc w:val="center"/>
        <w:rPr>
          <w:rFonts w:ascii="Arial" w:hAnsi="Arial" w:cs="Arial"/>
          <w:i/>
          <w:sz w:val="24"/>
          <w:szCs w:val="24"/>
        </w:rPr>
      </w:pPr>
      <w:r w:rsidRPr="00FF39CC">
        <w:rPr>
          <w:rFonts w:ascii="Arial" w:hAnsi="Arial" w:cs="Arial"/>
          <w:i/>
          <w:sz w:val="24"/>
          <w:szCs w:val="24"/>
        </w:rPr>
        <w:t>DE LOS DAÑOS Y ACCIDENTES</w:t>
      </w:r>
    </w:p>
    <w:p w14:paraId="7440A6E6" w14:textId="77777777" w:rsidR="00B9313A" w:rsidRPr="00FF39CC" w:rsidRDefault="00B9313A" w:rsidP="002910EC">
      <w:pPr>
        <w:tabs>
          <w:tab w:val="center" w:pos="4574"/>
        </w:tabs>
        <w:spacing w:line="360" w:lineRule="auto"/>
        <w:ind w:firstLine="708"/>
        <w:jc w:val="both"/>
        <w:rPr>
          <w:rFonts w:ascii="Arial" w:hAnsi="Arial" w:cs="Arial"/>
          <w:i/>
          <w:sz w:val="24"/>
          <w:szCs w:val="24"/>
        </w:rPr>
      </w:pPr>
      <w:r w:rsidRPr="00FF39CC">
        <w:rPr>
          <w:rFonts w:ascii="Arial" w:hAnsi="Arial" w:cs="Arial"/>
          <w:i/>
          <w:sz w:val="24"/>
          <w:szCs w:val="24"/>
        </w:rPr>
        <w:lastRenderedPageBreak/>
        <w:t>Artículo 81. El accidente vial es un evento que ocurre a consecuencia de la falta de precaución del conductor, peatón o pasajero, en el que interviene algún vehículo en movimiento que ocasiona lesiones y/o muerte a personas o daños a los bienes.</w:t>
      </w:r>
    </w:p>
    <w:p w14:paraId="6F4FBE90" w14:textId="77777777" w:rsidR="00B9313A" w:rsidRPr="00FF39CC" w:rsidRDefault="00B9313A" w:rsidP="002910EC">
      <w:pPr>
        <w:tabs>
          <w:tab w:val="center" w:pos="4574"/>
        </w:tabs>
        <w:spacing w:line="360" w:lineRule="auto"/>
        <w:ind w:firstLine="708"/>
        <w:jc w:val="both"/>
        <w:rPr>
          <w:rFonts w:ascii="Arial" w:hAnsi="Arial" w:cs="Arial"/>
          <w:i/>
          <w:sz w:val="24"/>
          <w:szCs w:val="24"/>
        </w:rPr>
      </w:pPr>
      <w:r w:rsidRPr="00FF39CC">
        <w:rPr>
          <w:rFonts w:ascii="Arial" w:hAnsi="Arial" w:cs="Arial"/>
          <w:i/>
          <w:sz w:val="24"/>
          <w:szCs w:val="24"/>
        </w:rPr>
        <w:t>Artículo 4. Todo conductor, pasajero o peatón está obligado a obedecer las disposiciones contenidas en esta Ley y su Reglamento, los dispositivos para el control de la vialidad de personas y vehículos, así como, las indicaciones de los Policías Viales Estatales</w:t>
      </w:r>
    </w:p>
    <w:p w14:paraId="614E81A3" w14:textId="77777777" w:rsidR="00B9313A" w:rsidRPr="00FF39CC" w:rsidRDefault="00B9313A" w:rsidP="002910EC">
      <w:pPr>
        <w:tabs>
          <w:tab w:val="center" w:pos="4574"/>
        </w:tabs>
        <w:spacing w:line="360" w:lineRule="auto"/>
        <w:ind w:firstLine="708"/>
        <w:jc w:val="both"/>
        <w:rPr>
          <w:rFonts w:ascii="Arial" w:hAnsi="Arial" w:cs="Arial"/>
          <w:i/>
          <w:sz w:val="24"/>
          <w:szCs w:val="24"/>
        </w:rPr>
      </w:pPr>
      <w:r w:rsidRPr="00FF39CC">
        <w:rPr>
          <w:rFonts w:ascii="Arial" w:hAnsi="Arial" w:cs="Arial"/>
          <w:i/>
          <w:sz w:val="24"/>
          <w:szCs w:val="24"/>
        </w:rPr>
        <w:t>Artículo 18. Son atribuciones y obligaciones de los elementos de la Policía Vial Estatal:</w:t>
      </w:r>
    </w:p>
    <w:p w14:paraId="1BD036A3" w14:textId="77777777" w:rsidR="00B9313A" w:rsidRPr="00FF39CC" w:rsidRDefault="00B9313A" w:rsidP="00B9313A">
      <w:pPr>
        <w:tabs>
          <w:tab w:val="center" w:pos="4574"/>
        </w:tabs>
        <w:spacing w:line="360" w:lineRule="auto"/>
        <w:ind w:firstLine="708"/>
        <w:jc w:val="both"/>
        <w:rPr>
          <w:rFonts w:ascii="Arial" w:hAnsi="Arial" w:cs="Arial"/>
          <w:i/>
          <w:sz w:val="24"/>
          <w:szCs w:val="24"/>
        </w:rPr>
      </w:pPr>
      <w:r w:rsidRPr="00FF39CC">
        <w:rPr>
          <w:rFonts w:ascii="Arial" w:hAnsi="Arial" w:cs="Arial"/>
          <w:i/>
          <w:sz w:val="24"/>
          <w:szCs w:val="24"/>
        </w:rPr>
        <w:t>V. Levantar las infracciones e imponer las sanciones por violaciones a las disposiciones a que se refiere esta Ley y su Reglamento, de conformidad con la normatividad aplicable;</w:t>
      </w:r>
    </w:p>
    <w:p w14:paraId="1DCCDEB0" w14:textId="77777777" w:rsidR="00B9313A" w:rsidRPr="00FF39CC" w:rsidRDefault="00B9313A" w:rsidP="00B9313A">
      <w:pPr>
        <w:tabs>
          <w:tab w:val="center" w:pos="4574"/>
        </w:tabs>
        <w:spacing w:line="360" w:lineRule="auto"/>
        <w:ind w:firstLine="708"/>
        <w:jc w:val="both"/>
        <w:rPr>
          <w:rFonts w:ascii="Arial" w:hAnsi="Arial" w:cs="Arial"/>
          <w:i/>
          <w:sz w:val="24"/>
          <w:szCs w:val="24"/>
        </w:rPr>
      </w:pPr>
      <w:r w:rsidRPr="00FF39CC">
        <w:rPr>
          <w:rFonts w:ascii="Arial" w:hAnsi="Arial" w:cs="Arial"/>
          <w:i/>
          <w:sz w:val="24"/>
          <w:szCs w:val="24"/>
        </w:rPr>
        <w:t>Artículo 158. Las viol</w:t>
      </w:r>
      <w:r w:rsidR="00454411" w:rsidRPr="00FF39CC">
        <w:rPr>
          <w:rFonts w:ascii="Arial" w:hAnsi="Arial" w:cs="Arial"/>
          <w:i/>
          <w:sz w:val="24"/>
          <w:szCs w:val="24"/>
        </w:rPr>
        <w:t>aciones a las disposiciones de l</w:t>
      </w:r>
      <w:r w:rsidRPr="00FF39CC">
        <w:rPr>
          <w:rFonts w:ascii="Arial" w:hAnsi="Arial" w:cs="Arial"/>
          <w:i/>
          <w:sz w:val="24"/>
          <w:szCs w:val="24"/>
        </w:rPr>
        <w:t xml:space="preserve">a Ley de Tránsito Reformada, a las de este Reglamento y a las que con fundamento en estos Ordenamientos emanen de las autoridades de Tránsito, se sancionarán como sigue: </w:t>
      </w:r>
    </w:p>
    <w:p w14:paraId="5787C6C0" w14:textId="77777777" w:rsidR="00B9313A" w:rsidRPr="00FF39CC" w:rsidRDefault="00B9313A" w:rsidP="00B9313A">
      <w:pPr>
        <w:tabs>
          <w:tab w:val="center" w:pos="4574"/>
        </w:tabs>
        <w:spacing w:line="360" w:lineRule="auto"/>
        <w:ind w:firstLine="708"/>
        <w:jc w:val="both"/>
        <w:rPr>
          <w:rFonts w:ascii="Arial" w:hAnsi="Arial" w:cs="Arial"/>
          <w:i/>
          <w:sz w:val="24"/>
          <w:szCs w:val="24"/>
        </w:rPr>
      </w:pPr>
      <w:r w:rsidRPr="00FF39CC">
        <w:rPr>
          <w:rFonts w:ascii="Arial" w:hAnsi="Arial" w:cs="Arial"/>
          <w:i/>
          <w:sz w:val="24"/>
          <w:szCs w:val="24"/>
        </w:rPr>
        <w:t>GRUPO No. 1.- Violaciones que se sancionarán con multa de $200.00:</w:t>
      </w:r>
    </w:p>
    <w:p w14:paraId="0EE0922A" w14:textId="77777777" w:rsidR="00B9313A" w:rsidRPr="00FF39CC" w:rsidRDefault="00B9313A" w:rsidP="00B9313A">
      <w:pPr>
        <w:tabs>
          <w:tab w:val="center" w:pos="4574"/>
        </w:tabs>
        <w:spacing w:line="360" w:lineRule="auto"/>
        <w:ind w:firstLine="708"/>
        <w:jc w:val="both"/>
        <w:rPr>
          <w:rFonts w:ascii="Arial" w:hAnsi="Arial" w:cs="Arial"/>
          <w:i/>
          <w:sz w:val="24"/>
          <w:szCs w:val="24"/>
        </w:rPr>
      </w:pPr>
      <w:r w:rsidRPr="00FF39CC">
        <w:rPr>
          <w:rFonts w:ascii="Arial" w:hAnsi="Arial" w:cs="Arial"/>
          <w:i/>
          <w:sz w:val="24"/>
          <w:szCs w:val="24"/>
        </w:rPr>
        <w:t xml:space="preserve">10.- SENTIDO </w:t>
      </w:r>
      <w:r w:rsidR="00454411" w:rsidRPr="00FF39CC">
        <w:rPr>
          <w:rFonts w:ascii="Arial" w:hAnsi="Arial" w:cs="Arial"/>
          <w:i/>
          <w:sz w:val="24"/>
          <w:szCs w:val="24"/>
        </w:rPr>
        <w:t>CONTRARIO. -</w:t>
      </w:r>
      <w:r w:rsidRPr="00FF39CC">
        <w:rPr>
          <w:rFonts w:ascii="Arial" w:hAnsi="Arial" w:cs="Arial"/>
          <w:i/>
          <w:sz w:val="24"/>
          <w:szCs w:val="24"/>
        </w:rPr>
        <w:t xml:space="preserve"> Circular los vehículos en el sentido contrario al que marca la circulación.” </w:t>
      </w:r>
    </w:p>
    <w:p w14:paraId="585403A3" w14:textId="77777777" w:rsidR="007D6CEF" w:rsidRPr="00796568" w:rsidRDefault="007D6CEF" w:rsidP="00796568">
      <w:pPr>
        <w:tabs>
          <w:tab w:val="center" w:pos="4574"/>
        </w:tabs>
        <w:spacing w:line="360" w:lineRule="auto"/>
        <w:ind w:firstLine="708"/>
        <w:jc w:val="both"/>
        <w:rPr>
          <w:rFonts w:ascii="Arial" w:hAnsi="Arial" w:cs="Arial"/>
          <w:sz w:val="24"/>
          <w:szCs w:val="24"/>
        </w:rPr>
      </w:pPr>
      <w:r w:rsidRPr="00FF39CC">
        <w:rPr>
          <w:rFonts w:ascii="Arial" w:hAnsi="Arial" w:cs="Arial"/>
          <w:sz w:val="24"/>
          <w:szCs w:val="24"/>
        </w:rPr>
        <w:t xml:space="preserve">De lo transcrito se puede advertir que </w:t>
      </w:r>
      <w:r w:rsidR="00FF39CC">
        <w:rPr>
          <w:rFonts w:ascii="Arial" w:hAnsi="Arial" w:cs="Arial"/>
          <w:sz w:val="24"/>
          <w:szCs w:val="24"/>
        </w:rPr>
        <w:t>entre el motivo plasmado por la autoridad demandada en el acta de infracción “</w:t>
      </w:r>
      <w:r w:rsidR="00796568">
        <w:rPr>
          <w:rFonts w:ascii="Arial" w:hAnsi="Arial" w:cs="Arial"/>
          <w:sz w:val="24"/>
          <w:szCs w:val="24"/>
        </w:rPr>
        <w:t xml:space="preserve">falta de la licencia de manejar”, y la conducta prevista en el numeral 81 invocado y transcrito, no existe una adecuación normativa, que haga posible la configuración de la hipótesis, más aún, que otro motivo plasmado por el Policía Vial demandado, fue por conducir en sentido contrario, cuando ninguno de los numerales plasmados contiene dicha conducta, luego entonces debe considerarse que el acta de infracción no se encuentra debidamente fundada y motivada, lo cual violenta el derecho de defensa de la parte actora, pues el impide tener la certeza de la conducta que cometió, y por ende, alegar en su defensa, </w:t>
      </w:r>
      <w:r w:rsidR="00796568" w:rsidRPr="00796568">
        <w:rPr>
          <w:rFonts w:ascii="Arial" w:hAnsi="Arial" w:cs="Arial"/>
          <w:sz w:val="24"/>
          <w:szCs w:val="24"/>
        </w:rPr>
        <w:t xml:space="preserve">cuando </w:t>
      </w:r>
      <w:r w:rsidRPr="00796568">
        <w:rPr>
          <w:rFonts w:ascii="Arial" w:hAnsi="Arial" w:cs="Arial"/>
          <w:sz w:val="24"/>
          <w:szCs w:val="24"/>
        </w:rPr>
        <w:t xml:space="preserve">ha sido criterio del más alto Tribunal del País, que de conformidad con los artículos 14 y 16 de la Constitución Política de los Estados unidos Mexicanos, todo acto de autoridad debe estar fundado y motivado, entendiéndose por </w:t>
      </w:r>
      <w:r w:rsidRPr="00796568">
        <w:rPr>
          <w:rFonts w:ascii="Arial" w:hAnsi="Arial" w:cs="Arial"/>
          <w:b/>
          <w:sz w:val="24"/>
          <w:szCs w:val="24"/>
        </w:rPr>
        <w:t>fundamentación</w:t>
      </w:r>
      <w:r w:rsidRPr="00796568">
        <w:rPr>
          <w:rFonts w:ascii="Arial" w:hAnsi="Arial" w:cs="Arial"/>
          <w:sz w:val="24"/>
          <w:szCs w:val="24"/>
        </w:rPr>
        <w:t xml:space="preserve"> del acto de autoridad, al precepto legal aplicable al caso concreto, debiendo precisarse el párrafo, la fracción, el inciso o </w:t>
      </w:r>
      <w:proofErr w:type="spellStart"/>
      <w:r w:rsidRPr="00796568">
        <w:rPr>
          <w:rFonts w:ascii="Arial" w:hAnsi="Arial" w:cs="Arial"/>
          <w:sz w:val="24"/>
          <w:szCs w:val="24"/>
        </w:rPr>
        <w:t>sub-inciso</w:t>
      </w:r>
      <w:proofErr w:type="spellEnd"/>
      <w:r w:rsidRPr="00796568">
        <w:rPr>
          <w:rFonts w:ascii="Arial" w:hAnsi="Arial" w:cs="Arial"/>
          <w:sz w:val="24"/>
          <w:szCs w:val="24"/>
        </w:rPr>
        <w:t xml:space="preserve">, circunstancia que permita al administrado conocer los preceptos en que la autoridad sustentó su actuar, a fin de poder combatirlos; y por </w:t>
      </w:r>
      <w:r w:rsidRPr="00796568">
        <w:rPr>
          <w:rFonts w:ascii="Arial" w:hAnsi="Arial" w:cs="Arial"/>
          <w:b/>
          <w:sz w:val="24"/>
          <w:szCs w:val="24"/>
        </w:rPr>
        <w:t>motivación</w:t>
      </w:r>
      <w:r w:rsidRPr="00796568">
        <w:rPr>
          <w:rFonts w:ascii="Arial" w:hAnsi="Arial" w:cs="Arial"/>
          <w:sz w:val="24"/>
          <w:szCs w:val="24"/>
        </w:rPr>
        <w:t xml:space="preserve"> la expresión de manera precisa de </w:t>
      </w:r>
      <w:r w:rsidRPr="00796568">
        <w:rPr>
          <w:rFonts w:ascii="Arial" w:hAnsi="Arial" w:cs="Arial"/>
          <w:sz w:val="24"/>
          <w:szCs w:val="24"/>
        </w:rPr>
        <w:lastRenderedPageBreak/>
        <w:t xml:space="preserve">las circunstancias especiales, razones particulares o causas inmediatas que se tuvieron para considerar la emisión del acto, además, es necesario que exista una adecuación entre los motivos aducidos y las normas aplicables, es decir la </w:t>
      </w:r>
      <w:r w:rsidRPr="00796568">
        <w:rPr>
          <w:rFonts w:ascii="Arial" w:hAnsi="Arial" w:cs="Arial"/>
          <w:b/>
          <w:sz w:val="24"/>
          <w:szCs w:val="24"/>
        </w:rPr>
        <w:t>configuración de las hipótesis normativas</w:t>
      </w:r>
      <w:r w:rsidRPr="00796568">
        <w:rPr>
          <w:rFonts w:ascii="Arial" w:hAnsi="Arial" w:cs="Arial"/>
          <w:sz w:val="24"/>
          <w:szCs w:val="24"/>
        </w:rPr>
        <w:t>.</w:t>
      </w:r>
    </w:p>
    <w:p w14:paraId="2A1C6EC4" w14:textId="77777777" w:rsidR="007D6CEF" w:rsidRPr="001D4B42" w:rsidRDefault="007D6CEF" w:rsidP="007D6CEF">
      <w:pPr>
        <w:tabs>
          <w:tab w:val="center" w:pos="4574"/>
        </w:tabs>
        <w:spacing w:line="360" w:lineRule="auto"/>
        <w:ind w:firstLine="708"/>
        <w:jc w:val="both"/>
        <w:rPr>
          <w:rFonts w:ascii="Arial" w:hAnsi="Arial" w:cs="Arial"/>
          <w:sz w:val="24"/>
          <w:szCs w:val="24"/>
        </w:rPr>
      </w:pPr>
      <w:r w:rsidRPr="001D4B42">
        <w:rPr>
          <w:rFonts w:ascii="Arial" w:hAnsi="Arial" w:cs="Arial"/>
          <w:sz w:val="24"/>
          <w:szCs w:val="24"/>
        </w:rPr>
        <w:t>Además, el máximo Tribunal del País ha determinado, que el contenido formal de la garantía de legalidad,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circunstancias que no se cumplen con el acta de infracción aquí impugnada, pues al plasmarse en ella únicamente la conducta sin establecer la normatividad que prohíbe ese actuar, sin duda ello violenta el derecho de defensa de la parte actora.</w:t>
      </w:r>
    </w:p>
    <w:p w14:paraId="1FD213EC" w14:textId="77777777" w:rsidR="007D6CEF" w:rsidRPr="001D4B42" w:rsidRDefault="007D6CEF" w:rsidP="007D6CEF">
      <w:pPr>
        <w:tabs>
          <w:tab w:val="center" w:pos="4574"/>
        </w:tabs>
        <w:spacing w:line="360" w:lineRule="auto"/>
        <w:ind w:firstLine="708"/>
        <w:jc w:val="both"/>
        <w:rPr>
          <w:rFonts w:ascii="Arial" w:hAnsi="Arial" w:cs="Arial"/>
          <w:sz w:val="24"/>
          <w:szCs w:val="24"/>
        </w:rPr>
      </w:pPr>
      <w:r w:rsidRPr="001D4B42">
        <w:rPr>
          <w:rFonts w:ascii="Arial" w:hAnsi="Arial" w:cs="Arial"/>
          <w:sz w:val="24"/>
          <w:szCs w:val="24"/>
        </w:rPr>
        <w:t>El actuar de la autoridad demandada desconoce el criterio del más alto Tribunal del País, respecto de que las normas jurídicas contenidas en leyes constituyen prescripciones que obligan, prohíben o permiten a las personas la realización de una conducta específica y ello lo hacen al enlazar una consecuencia determinada, como efecto</w:t>
      </w:r>
      <w:r w:rsidR="001D4B42" w:rsidRPr="001D4B42">
        <w:rPr>
          <w:rFonts w:ascii="Arial" w:hAnsi="Arial" w:cs="Arial"/>
          <w:sz w:val="24"/>
          <w:szCs w:val="24"/>
        </w:rPr>
        <w:t>,</w:t>
      </w:r>
      <w:r w:rsidRPr="001D4B42">
        <w:rPr>
          <w:rFonts w:ascii="Arial" w:hAnsi="Arial" w:cs="Arial"/>
          <w:sz w:val="24"/>
          <w:szCs w:val="24"/>
        </w:rPr>
        <w:t xml:space="preserve"> a la realización de cierta conducta, como causa; así, ante la actualización de la hipótesis o supuestos previstos en la ley, el orden jurídico prescribe la aplicación de las consecuencias previstas también en la misma, de esa manera, una ley sólo se puede considerar aplicada cuando el órgano estatal correspondiente ordena la realización de la consecuencia jurídica que se sigue del cumplimiento de sus condiciones de aplicación, por considerar, precisamente, que éstas fueron satisfechas, de ahí que ante la </w:t>
      </w:r>
      <w:r w:rsidR="001D4B42">
        <w:rPr>
          <w:rFonts w:ascii="Arial" w:hAnsi="Arial" w:cs="Arial"/>
          <w:sz w:val="24"/>
          <w:szCs w:val="24"/>
        </w:rPr>
        <w:t xml:space="preserve">indebida </w:t>
      </w:r>
      <w:r w:rsidRPr="001D4B42">
        <w:rPr>
          <w:rFonts w:ascii="Arial" w:hAnsi="Arial" w:cs="Arial"/>
          <w:sz w:val="24"/>
          <w:szCs w:val="24"/>
        </w:rPr>
        <w:t xml:space="preserve">fundamentación del acta de infracción impugnada, se violente lo dispuesto en el artículo 17 fracción V de la Ley de Procedimiento y Justicia Administrativa para el Estado de Oaxaca, lo que contrae su ilegalidad. </w:t>
      </w:r>
    </w:p>
    <w:p w14:paraId="5952F97C" w14:textId="77777777" w:rsidR="00454411" w:rsidRPr="001D4B42" w:rsidRDefault="007D6CEF" w:rsidP="007D6CEF">
      <w:pPr>
        <w:tabs>
          <w:tab w:val="center" w:pos="4574"/>
        </w:tabs>
        <w:spacing w:line="360" w:lineRule="auto"/>
        <w:ind w:firstLine="708"/>
        <w:jc w:val="both"/>
        <w:rPr>
          <w:rFonts w:ascii="Arial" w:hAnsi="Arial" w:cs="Arial"/>
          <w:sz w:val="24"/>
          <w:szCs w:val="24"/>
        </w:rPr>
      </w:pPr>
      <w:r w:rsidRPr="001D4B42">
        <w:rPr>
          <w:rFonts w:ascii="Arial" w:hAnsi="Arial" w:cs="Arial"/>
          <w:sz w:val="24"/>
          <w:szCs w:val="24"/>
        </w:rPr>
        <w:t xml:space="preserve">Sirve de apoyo a lo anterior, la Jurisprudencia con datos de identificación: Semanario Judicial de la Federación y su Gaceta, Tomo XXIII, </w:t>
      </w:r>
      <w:proofErr w:type="gramStart"/>
      <w:r w:rsidRPr="001D4B42">
        <w:rPr>
          <w:rFonts w:ascii="Arial" w:hAnsi="Arial" w:cs="Arial"/>
          <w:sz w:val="24"/>
          <w:szCs w:val="24"/>
        </w:rPr>
        <w:t>Mayo</w:t>
      </w:r>
      <w:proofErr w:type="gramEnd"/>
      <w:r w:rsidRPr="001D4B42">
        <w:rPr>
          <w:rFonts w:ascii="Arial" w:hAnsi="Arial" w:cs="Arial"/>
          <w:sz w:val="24"/>
          <w:szCs w:val="24"/>
        </w:rPr>
        <w:t xml:space="preserve"> de 2006, página 1531, Jurisprudencia Común, Novena Época, Tribunales Colegiados de Circuito, registro 175082, de rubro: “</w:t>
      </w:r>
      <w:r w:rsidRPr="001D4B42">
        <w:rPr>
          <w:rFonts w:ascii="Arial" w:hAnsi="Arial" w:cs="Arial"/>
          <w:i/>
          <w:sz w:val="24"/>
          <w:szCs w:val="24"/>
        </w:rPr>
        <w:t>FUNDAMENTACIÓN Y MOTIVACIÓN. EL ASPECTO FORMAL DE LA GARANTÍA Y SU FINALIDAD SE TRADUCEN EN EXPLICAR, JUSTIFICAR, POSIBILITAR LA DEFENSA Y COMUNICAR LA DECISIÓN</w:t>
      </w:r>
      <w:r w:rsidRPr="001D4B42">
        <w:rPr>
          <w:rFonts w:ascii="Arial" w:hAnsi="Arial" w:cs="Arial"/>
          <w:sz w:val="24"/>
          <w:szCs w:val="24"/>
        </w:rPr>
        <w:t>.”</w:t>
      </w:r>
    </w:p>
    <w:p w14:paraId="5F39DF17" w14:textId="5742F72D" w:rsidR="0020648E" w:rsidRPr="001D4B42" w:rsidRDefault="001D4B42" w:rsidP="0020648E">
      <w:pPr>
        <w:tabs>
          <w:tab w:val="center" w:pos="4574"/>
        </w:tabs>
        <w:spacing w:line="360" w:lineRule="auto"/>
        <w:ind w:firstLine="708"/>
        <w:jc w:val="both"/>
        <w:rPr>
          <w:rFonts w:ascii="Arial" w:hAnsi="Arial" w:cs="Arial"/>
          <w:sz w:val="24"/>
          <w:szCs w:val="24"/>
        </w:rPr>
      </w:pPr>
      <w:r w:rsidRPr="001D4B42">
        <w:rPr>
          <w:rFonts w:ascii="Arial" w:hAnsi="Arial" w:cs="Arial"/>
          <w:sz w:val="24"/>
          <w:szCs w:val="24"/>
        </w:rPr>
        <w:t>En consecuencia se declara i</w:t>
      </w:r>
      <w:r w:rsidR="0020648E" w:rsidRPr="001D4B42">
        <w:rPr>
          <w:rFonts w:ascii="Arial" w:hAnsi="Arial" w:cs="Arial"/>
          <w:sz w:val="24"/>
          <w:szCs w:val="24"/>
        </w:rPr>
        <w:t>legal el acto impugnado</w:t>
      </w:r>
      <w:r w:rsidRPr="001D4B42">
        <w:rPr>
          <w:rFonts w:ascii="Arial" w:hAnsi="Arial" w:cs="Arial"/>
          <w:sz w:val="24"/>
          <w:szCs w:val="24"/>
        </w:rPr>
        <w:t>,</w:t>
      </w:r>
      <w:r w:rsidR="0020648E" w:rsidRPr="001D4B42">
        <w:rPr>
          <w:rFonts w:ascii="Arial" w:hAnsi="Arial" w:cs="Arial"/>
          <w:sz w:val="24"/>
          <w:szCs w:val="24"/>
        </w:rPr>
        <w:t xml:space="preserve"> pues resulta inconstitucional, </w:t>
      </w:r>
      <w:r w:rsidRPr="001D4B42">
        <w:rPr>
          <w:rFonts w:ascii="Arial" w:hAnsi="Arial" w:cs="Arial"/>
          <w:sz w:val="24"/>
          <w:szCs w:val="24"/>
        </w:rPr>
        <w:t xml:space="preserve">y </w:t>
      </w:r>
      <w:r w:rsidR="0020648E" w:rsidRPr="001D4B42">
        <w:rPr>
          <w:rFonts w:ascii="Arial" w:hAnsi="Arial" w:cs="Arial"/>
          <w:sz w:val="24"/>
          <w:szCs w:val="24"/>
        </w:rPr>
        <w:t>lo procedente es</w:t>
      </w:r>
      <w:r w:rsidRPr="001D4B42">
        <w:rPr>
          <w:rFonts w:ascii="Arial" w:hAnsi="Arial" w:cs="Arial"/>
          <w:sz w:val="24"/>
          <w:szCs w:val="24"/>
        </w:rPr>
        <w:t>,</w:t>
      </w:r>
      <w:r w:rsidR="0020648E" w:rsidRPr="001D4B42">
        <w:rPr>
          <w:rFonts w:ascii="Arial" w:hAnsi="Arial" w:cs="Arial"/>
          <w:sz w:val="24"/>
          <w:szCs w:val="24"/>
        </w:rPr>
        <w:t xml:space="preserve"> conforme a lo establecido en las </w:t>
      </w:r>
      <w:r w:rsidR="0020648E" w:rsidRPr="001D4B42">
        <w:rPr>
          <w:rFonts w:ascii="Arial" w:hAnsi="Arial" w:cs="Arial"/>
          <w:sz w:val="24"/>
          <w:szCs w:val="24"/>
        </w:rPr>
        <w:lastRenderedPageBreak/>
        <w:t xml:space="preserve">fracciones I, II y último párrafo del artículo 208 de la Ley de Procedimiento y Justicia Administrativa para el Estado de Oaxaca, declarar </w:t>
      </w:r>
      <w:r w:rsidR="0020648E" w:rsidRPr="001D4B42">
        <w:rPr>
          <w:rFonts w:ascii="Arial" w:hAnsi="Arial" w:cs="Arial"/>
          <w:b/>
          <w:sz w:val="24"/>
          <w:szCs w:val="24"/>
        </w:rPr>
        <w:t xml:space="preserve">la NULIDAD LISA Y LLANA del acta de infracción de tránsito con número de folio </w:t>
      </w:r>
      <w:r w:rsidR="00124797">
        <w:rPr>
          <w:rFonts w:ascii="Arial" w:hAnsi="Arial" w:cs="Arial"/>
          <w:b/>
          <w:sz w:val="24"/>
          <w:szCs w:val="24"/>
        </w:rPr>
        <w:t>*****</w:t>
      </w:r>
      <w:r w:rsidR="0020648E" w:rsidRPr="001D4B42">
        <w:rPr>
          <w:rFonts w:ascii="Arial" w:hAnsi="Arial" w:cs="Arial"/>
          <w:b/>
          <w:sz w:val="24"/>
          <w:szCs w:val="24"/>
        </w:rPr>
        <w:t xml:space="preserve">, de fecha </w:t>
      </w:r>
      <w:r w:rsidR="00124797">
        <w:rPr>
          <w:rFonts w:ascii="Arial" w:hAnsi="Arial" w:cs="Arial"/>
          <w:b/>
          <w:sz w:val="24"/>
          <w:szCs w:val="24"/>
        </w:rPr>
        <w:t>***** de ***** de dos mil veintiuno (**/**/2021)</w:t>
      </w:r>
      <w:r w:rsidR="0020648E" w:rsidRPr="001D4B42">
        <w:rPr>
          <w:rFonts w:ascii="Arial" w:hAnsi="Arial" w:cs="Arial"/>
          <w:b/>
          <w:sz w:val="24"/>
          <w:szCs w:val="24"/>
        </w:rPr>
        <w:t xml:space="preserve">, </w:t>
      </w:r>
      <w:r w:rsidR="0020648E" w:rsidRPr="001D4B42">
        <w:rPr>
          <w:rFonts w:ascii="Arial" w:hAnsi="Arial" w:cs="Arial"/>
          <w:sz w:val="24"/>
          <w:szCs w:val="24"/>
        </w:rPr>
        <w:t xml:space="preserve">respecto de la motocicleta submarca: fuego; color: negro con rojo; con placas de circulación: </w:t>
      </w:r>
      <w:r w:rsidR="00124797">
        <w:rPr>
          <w:rFonts w:ascii="Arial" w:hAnsi="Arial" w:cs="Arial"/>
          <w:sz w:val="24"/>
          <w:szCs w:val="24"/>
        </w:rPr>
        <w:t>*****</w:t>
      </w:r>
      <w:r w:rsidR="0020648E" w:rsidRPr="001D4B42">
        <w:rPr>
          <w:rFonts w:ascii="Arial" w:hAnsi="Arial" w:cs="Arial"/>
          <w:sz w:val="24"/>
          <w:szCs w:val="24"/>
        </w:rPr>
        <w:t xml:space="preserve"> del Estado de Oaxaca: modelo: 2021; número de serie: </w:t>
      </w:r>
      <w:r w:rsidR="00124797">
        <w:rPr>
          <w:rFonts w:ascii="Arial" w:hAnsi="Arial" w:cs="Arial"/>
          <w:sz w:val="24"/>
          <w:szCs w:val="24"/>
        </w:rPr>
        <w:t>**********</w:t>
      </w:r>
      <w:r w:rsidR="0020648E" w:rsidRPr="001D4B42">
        <w:rPr>
          <w:rFonts w:ascii="Arial" w:hAnsi="Arial" w:cs="Arial"/>
          <w:sz w:val="24"/>
          <w:szCs w:val="24"/>
        </w:rPr>
        <w:t>, emitida por JAIME RAMÍREZ CRUZ, Policía Vial Estatal, perteneciente a la Dirección General de la Policía Vial Estatal, de la Secretaria de Seguridad Pública del Estado de Oaxaca, lo anterior de conformidad con lo dispuesto en el artículo 208 fracciones I y II, y 209 ambos de la Ley de Procedimiento y Justicia Administrativa para el Estado de Oaxaca.</w:t>
      </w:r>
    </w:p>
    <w:p w14:paraId="4A30556A" w14:textId="77777777" w:rsidR="0020648E" w:rsidRDefault="0020648E" w:rsidP="0020648E">
      <w:pPr>
        <w:tabs>
          <w:tab w:val="center" w:pos="4574"/>
        </w:tabs>
        <w:spacing w:line="360" w:lineRule="auto"/>
        <w:ind w:firstLine="708"/>
        <w:jc w:val="both"/>
        <w:rPr>
          <w:rFonts w:ascii="Arial" w:hAnsi="Arial" w:cs="Arial"/>
          <w:sz w:val="24"/>
          <w:szCs w:val="24"/>
        </w:rPr>
      </w:pPr>
      <w:r w:rsidRPr="00E15484">
        <w:rPr>
          <w:rFonts w:ascii="Arial" w:hAnsi="Arial" w:cs="Arial"/>
          <w:sz w:val="24"/>
          <w:szCs w:val="24"/>
        </w:rPr>
        <w:t>Como consecuencia de lo anterior, deberán restablecerse los derechos violentados al actor por la autoridad demandada, por lo que se ordena a la autoridad vial demandada, realizar los trámites para dar de baja del sistema informático con que cuenta la Dirección de la Policía Vial Estatal, dicha acta de infracción, en los plazos previstos en la Ley de la Materia, ello como consecuencia de la ilegalidad aquí decretada.</w:t>
      </w:r>
    </w:p>
    <w:p w14:paraId="3B49981A" w14:textId="77777777" w:rsidR="0020648E" w:rsidRDefault="0020648E" w:rsidP="0020648E">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115CFA0F" w14:textId="77777777" w:rsidR="0020648E" w:rsidRDefault="0020648E" w:rsidP="0020648E">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6F1D868" w14:textId="77777777" w:rsidR="0020648E" w:rsidRDefault="0020648E" w:rsidP="0020648E">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p>
    <w:p w14:paraId="7707E824" w14:textId="77777777" w:rsidR="0020648E" w:rsidRDefault="0020648E" w:rsidP="0020648E">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0561AF88" w14:textId="469A042E" w:rsidR="0020648E" w:rsidRDefault="0020648E" w:rsidP="0020648E">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Pr>
          <w:rFonts w:ascii="Arial" w:hAnsi="Arial" w:cs="Arial"/>
          <w:b/>
          <w:sz w:val="24"/>
          <w:szCs w:val="24"/>
        </w:rPr>
        <w:t xml:space="preserve">del acta de infracción con número de folio </w:t>
      </w:r>
      <w:r w:rsidR="00124797">
        <w:rPr>
          <w:rFonts w:ascii="Arial" w:hAnsi="Arial" w:cs="Arial"/>
          <w:b/>
          <w:sz w:val="24"/>
          <w:szCs w:val="24"/>
        </w:rPr>
        <w:t>*****</w:t>
      </w:r>
      <w:r w:rsidRPr="00FC4F8F">
        <w:rPr>
          <w:rFonts w:ascii="Arial" w:hAnsi="Arial" w:cs="Arial"/>
          <w:b/>
          <w:sz w:val="24"/>
          <w:szCs w:val="24"/>
        </w:rPr>
        <w:t xml:space="preserve">, de fecha </w:t>
      </w:r>
      <w:r w:rsidR="00124797">
        <w:rPr>
          <w:rFonts w:ascii="Arial" w:hAnsi="Arial" w:cs="Arial"/>
          <w:b/>
          <w:sz w:val="24"/>
          <w:szCs w:val="24"/>
        </w:rPr>
        <w:t>***** de ***** de dos mil veintiuno (**/**/2021)</w:t>
      </w:r>
      <w:r w:rsidRPr="00FC4F8F">
        <w:rPr>
          <w:rFonts w:ascii="Arial" w:hAnsi="Arial" w:cs="Arial"/>
          <w:b/>
          <w:sz w:val="24"/>
          <w:szCs w:val="24"/>
        </w:rPr>
        <w:t xml:space="preserve">, </w:t>
      </w:r>
      <w:r w:rsidRPr="00FC4F8F">
        <w:rPr>
          <w:rFonts w:ascii="Arial" w:hAnsi="Arial" w:cs="Arial"/>
          <w:sz w:val="24"/>
          <w:szCs w:val="24"/>
        </w:rPr>
        <w:t>respecto de</w:t>
      </w:r>
      <w:r>
        <w:rPr>
          <w:rFonts w:ascii="Arial" w:hAnsi="Arial" w:cs="Arial"/>
          <w:sz w:val="24"/>
          <w:szCs w:val="24"/>
        </w:rPr>
        <w:t xml:space="preserve"> </w:t>
      </w:r>
      <w:r w:rsidRPr="00FC4F8F">
        <w:rPr>
          <w:rFonts w:ascii="Arial" w:hAnsi="Arial" w:cs="Arial"/>
          <w:sz w:val="24"/>
          <w:szCs w:val="24"/>
        </w:rPr>
        <w:t>l</w:t>
      </w:r>
      <w:r>
        <w:rPr>
          <w:rFonts w:ascii="Arial" w:hAnsi="Arial" w:cs="Arial"/>
          <w:sz w:val="24"/>
          <w:szCs w:val="24"/>
        </w:rPr>
        <w:t>a</w:t>
      </w:r>
      <w:r w:rsidRPr="00FC4F8F">
        <w:rPr>
          <w:rFonts w:ascii="Arial" w:hAnsi="Arial" w:cs="Arial"/>
          <w:sz w:val="24"/>
          <w:szCs w:val="24"/>
        </w:rPr>
        <w:t xml:space="preserve"> </w:t>
      </w:r>
      <w:r>
        <w:rPr>
          <w:rFonts w:ascii="Arial" w:hAnsi="Arial" w:cs="Arial"/>
          <w:sz w:val="24"/>
          <w:szCs w:val="24"/>
        </w:rPr>
        <w:t>motocicleta</w:t>
      </w:r>
      <w:r w:rsidRPr="00FC4F8F">
        <w:rPr>
          <w:rFonts w:ascii="Arial" w:hAnsi="Arial" w:cs="Arial"/>
          <w:sz w:val="24"/>
          <w:szCs w:val="24"/>
        </w:rPr>
        <w:t xml:space="preserve"> </w:t>
      </w:r>
      <w:r>
        <w:rPr>
          <w:rFonts w:ascii="Arial" w:hAnsi="Arial" w:cs="Arial"/>
          <w:sz w:val="24"/>
          <w:szCs w:val="24"/>
        </w:rPr>
        <w:t>sub</w:t>
      </w:r>
      <w:r w:rsidRPr="00FC4F8F">
        <w:rPr>
          <w:rFonts w:ascii="Arial" w:hAnsi="Arial" w:cs="Arial"/>
          <w:sz w:val="24"/>
          <w:szCs w:val="24"/>
        </w:rPr>
        <w:t xml:space="preserve">marca: </w:t>
      </w:r>
      <w:r>
        <w:rPr>
          <w:rFonts w:ascii="Arial" w:hAnsi="Arial" w:cs="Arial"/>
          <w:sz w:val="24"/>
          <w:szCs w:val="24"/>
        </w:rPr>
        <w:t>fuego</w:t>
      </w:r>
      <w:r w:rsidRPr="00FC4F8F">
        <w:rPr>
          <w:rFonts w:ascii="Arial" w:hAnsi="Arial" w:cs="Arial"/>
          <w:sz w:val="24"/>
          <w:szCs w:val="24"/>
        </w:rPr>
        <w:t>; color: negro</w:t>
      </w:r>
      <w:r>
        <w:rPr>
          <w:rFonts w:ascii="Arial" w:hAnsi="Arial" w:cs="Arial"/>
          <w:sz w:val="24"/>
          <w:szCs w:val="24"/>
        </w:rPr>
        <w:t xml:space="preserve"> con rojo</w:t>
      </w:r>
      <w:r w:rsidRPr="00FC4F8F">
        <w:rPr>
          <w:rFonts w:ascii="Arial" w:hAnsi="Arial" w:cs="Arial"/>
          <w:sz w:val="24"/>
          <w:szCs w:val="24"/>
        </w:rPr>
        <w:t>; co</w:t>
      </w:r>
      <w:r>
        <w:rPr>
          <w:rFonts w:ascii="Arial" w:hAnsi="Arial" w:cs="Arial"/>
          <w:sz w:val="24"/>
          <w:szCs w:val="24"/>
        </w:rPr>
        <w:t xml:space="preserve">n placas de circulación: </w:t>
      </w:r>
      <w:r w:rsidR="00124797">
        <w:rPr>
          <w:rFonts w:ascii="Arial" w:hAnsi="Arial" w:cs="Arial"/>
          <w:sz w:val="24"/>
          <w:szCs w:val="24"/>
        </w:rPr>
        <w:t>*****</w:t>
      </w:r>
      <w:r w:rsidRPr="00FC4F8F">
        <w:rPr>
          <w:rFonts w:ascii="Arial" w:hAnsi="Arial" w:cs="Arial"/>
          <w:sz w:val="24"/>
          <w:szCs w:val="24"/>
        </w:rPr>
        <w:t xml:space="preserve"> del Estado de Oaxaca: modelo: 20</w:t>
      </w:r>
      <w:r>
        <w:rPr>
          <w:rFonts w:ascii="Arial" w:hAnsi="Arial" w:cs="Arial"/>
          <w:sz w:val="24"/>
          <w:szCs w:val="24"/>
        </w:rPr>
        <w:t>21</w:t>
      </w:r>
      <w:r w:rsidRPr="00FC4F8F">
        <w:rPr>
          <w:rFonts w:ascii="Arial" w:hAnsi="Arial" w:cs="Arial"/>
          <w:sz w:val="24"/>
          <w:szCs w:val="24"/>
        </w:rPr>
        <w:t xml:space="preserve">; número de serie: </w:t>
      </w:r>
      <w:r w:rsidR="00124797">
        <w:rPr>
          <w:rFonts w:ascii="Arial" w:hAnsi="Arial" w:cs="Arial"/>
          <w:sz w:val="24"/>
          <w:szCs w:val="24"/>
        </w:rPr>
        <w:t>**********</w:t>
      </w:r>
      <w:r w:rsidRPr="00FC4F8F">
        <w:rPr>
          <w:rFonts w:ascii="Arial" w:hAnsi="Arial" w:cs="Arial"/>
          <w:sz w:val="24"/>
          <w:szCs w:val="24"/>
        </w:rPr>
        <w:t xml:space="preserve">, emitida por </w:t>
      </w:r>
      <w:r>
        <w:rPr>
          <w:rFonts w:ascii="Arial" w:hAnsi="Arial" w:cs="Arial"/>
          <w:sz w:val="24"/>
          <w:szCs w:val="24"/>
        </w:rPr>
        <w:t>JAIME RAMÍREZ CRUZ</w:t>
      </w:r>
      <w:r w:rsidRPr="00FC4F8F">
        <w:rPr>
          <w:rFonts w:ascii="Arial" w:hAnsi="Arial" w:cs="Arial"/>
          <w:sz w:val="24"/>
          <w:szCs w:val="24"/>
        </w:rPr>
        <w:t>, Policía Vial Estatal, perteneciente a la Dirección General de la Policía Vial Estatal, de la Secretaria de Seguridad Pública del Estado de Oaxaca; y por</w:t>
      </w:r>
      <w:r>
        <w:rPr>
          <w:rFonts w:ascii="Arial" w:hAnsi="Arial" w:cs="Arial"/>
          <w:sz w:val="24"/>
          <w:szCs w:val="24"/>
        </w:rPr>
        <w:t xml:space="preserve"> ello, se ordena a la citada autoridad demandada dar de baja del sistema informático con que cuenta la Dirección General de la Policía Vial Estatal, de la Secretaría de Seguridad </w:t>
      </w:r>
      <w:r>
        <w:rPr>
          <w:rFonts w:ascii="Arial" w:hAnsi="Arial" w:cs="Arial"/>
          <w:sz w:val="24"/>
          <w:szCs w:val="24"/>
        </w:rPr>
        <w:lastRenderedPageBreak/>
        <w:t xml:space="preserve">Pública del Estado, el acta de infracción aquí declarada ilegal, en términos de lo precisado en el considerando SEXTO de esta resolución. - - - - - - - - - - - - - </w:t>
      </w:r>
    </w:p>
    <w:p w14:paraId="0F97B107" w14:textId="77777777" w:rsidR="0020648E" w:rsidRDefault="0020648E" w:rsidP="0020648E">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AG/TJAO/12/2020, y 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Pr>
          <w:rFonts w:ascii="Arial" w:hAnsi="Arial" w:cs="Arial"/>
          <w:sz w:val="24"/>
          <w:szCs w:val="24"/>
        </w:rPr>
        <w:t xml:space="preserve">- - - - - - - - - - - - - - - - - - - </w:t>
      </w:r>
    </w:p>
    <w:p w14:paraId="496F0AFF" w14:textId="77777777" w:rsidR="0020648E" w:rsidRDefault="0020648E" w:rsidP="0020648E">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4405ADFB" w14:textId="77777777" w:rsidR="0020648E" w:rsidRDefault="0020648E" w:rsidP="0020648E">
      <w:pPr>
        <w:spacing w:line="360" w:lineRule="auto"/>
        <w:ind w:firstLine="708"/>
        <w:jc w:val="both"/>
        <w:rPr>
          <w:rFonts w:ascii="Arial" w:hAnsi="Arial" w:cs="Arial"/>
          <w:sz w:val="24"/>
          <w:szCs w:val="24"/>
        </w:rPr>
      </w:pPr>
    </w:p>
    <w:p w14:paraId="28F04BC1" w14:textId="77777777" w:rsidR="0020648E" w:rsidRDefault="0020648E" w:rsidP="0020648E">
      <w:pPr>
        <w:spacing w:line="360" w:lineRule="auto"/>
        <w:ind w:firstLine="708"/>
        <w:jc w:val="both"/>
        <w:rPr>
          <w:rFonts w:ascii="Arial" w:hAnsi="Arial" w:cs="Arial"/>
          <w:sz w:val="24"/>
          <w:szCs w:val="24"/>
        </w:rPr>
      </w:pPr>
    </w:p>
    <w:p w14:paraId="2596EF3A" w14:textId="77777777" w:rsidR="0020648E" w:rsidRPr="00A74BAB" w:rsidRDefault="0020648E" w:rsidP="0020648E">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2A643BD2" w14:textId="77777777" w:rsidR="0020648E" w:rsidRPr="00A74BAB" w:rsidRDefault="0020648E" w:rsidP="0020648E">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6257A028" w14:textId="77777777" w:rsidR="0020648E" w:rsidRPr="00A74BAB" w:rsidRDefault="0020648E" w:rsidP="0020648E">
      <w:pPr>
        <w:spacing w:line="360" w:lineRule="auto"/>
        <w:ind w:firstLine="708"/>
        <w:jc w:val="center"/>
        <w:rPr>
          <w:rFonts w:ascii="Arial" w:hAnsi="Arial" w:cs="Arial"/>
          <w:b/>
          <w:sz w:val="24"/>
          <w:szCs w:val="24"/>
        </w:rPr>
      </w:pPr>
    </w:p>
    <w:p w14:paraId="56A81990" w14:textId="77777777" w:rsidR="0020648E" w:rsidRDefault="0020648E" w:rsidP="0020648E">
      <w:pPr>
        <w:spacing w:after="0" w:line="360" w:lineRule="auto"/>
        <w:ind w:firstLine="708"/>
        <w:jc w:val="center"/>
        <w:rPr>
          <w:rFonts w:ascii="Arial" w:hAnsi="Arial" w:cs="Arial"/>
          <w:b/>
          <w:sz w:val="24"/>
          <w:szCs w:val="24"/>
        </w:rPr>
      </w:pPr>
    </w:p>
    <w:p w14:paraId="09E98CE5" w14:textId="77777777" w:rsidR="0020648E" w:rsidRDefault="0020648E" w:rsidP="0020648E">
      <w:pPr>
        <w:spacing w:after="0" w:line="360" w:lineRule="auto"/>
        <w:ind w:firstLine="708"/>
        <w:jc w:val="center"/>
        <w:rPr>
          <w:rFonts w:ascii="Arial" w:hAnsi="Arial" w:cs="Arial"/>
          <w:b/>
          <w:sz w:val="24"/>
          <w:szCs w:val="24"/>
        </w:rPr>
      </w:pPr>
    </w:p>
    <w:p w14:paraId="5FCEF007" w14:textId="77777777" w:rsidR="0020648E" w:rsidRDefault="0020648E" w:rsidP="0020648E">
      <w:pPr>
        <w:spacing w:after="0" w:line="360" w:lineRule="auto"/>
        <w:ind w:firstLine="708"/>
        <w:jc w:val="center"/>
        <w:rPr>
          <w:rFonts w:ascii="Arial" w:hAnsi="Arial" w:cs="Arial"/>
          <w:b/>
          <w:sz w:val="24"/>
          <w:szCs w:val="24"/>
        </w:rPr>
      </w:pPr>
    </w:p>
    <w:p w14:paraId="20DB1749" w14:textId="77777777" w:rsidR="0020648E" w:rsidRPr="00A74BAB" w:rsidRDefault="0020648E" w:rsidP="0020648E">
      <w:pPr>
        <w:spacing w:after="0" w:line="360" w:lineRule="auto"/>
        <w:ind w:firstLine="708"/>
        <w:jc w:val="center"/>
        <w:rPr>
          <w:rFonts w:ascii="Arial" w:hAnsi="Arial" w:cs="Arial"/>
          <w:b/>
          <w:sz w:val="24"/>
          <w:szCs w:val="24"/>
        </w:rPr>
      </w:pPr>
    </w:p>
    <w:p w14:paraId="1018FDBA" w14:textId="77777777" w:rsidR="0020648E" w:rsidRDefault="0020648E" w:rsidP="0020648E">
      <w:pPr>
        <w:spacing w:line="240" w:lineRule="auto"/>
        <w:ind w:firstLine="708"/>
        <w:jc w:val="center"/>
        <w:rPr>
          <w:rFonts w:ascii="Arial" w:hAnsi="Arial" w:cs="Arial"/>
          <w:b/>
          <w:sz w:val="24"/>
          <w:szCs w:val="24"/>
        </w:rPr>
      </w:pPr>
    </w:p>
    <w:p w14:paraId="29CA7082" w14:textId="77777777" w:rsidR="0020648E" w:rsidRPr="00A74BAB" w:rsidRDefault="0020648E" w:rsidP="0020648E">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564AFDF2" w14:textId="77777777" w:rsidR="0020648E" w:rsidRPr="00A74BAB" w:rsidRDefault="0020648E" w:rsidP="0020648E">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15FD1B23" w14:textId="77777777" w:rsidR="0020648E" w:rsidRPr="00961528" w:rsidRDefault="0020648E" w:rsidP="0020648E">
      <w:pPr>
        <w:spacing w:line="360" w:lineRule="auto"/>
        <w:ind w:firstLine="708"/>
        <w:jc w:val="both"/>
        <w:rPr>
          <w:rFonts w:ascii="Arial" w:hAnsi="Arial" w:cs="Arial"/>
          <w:sz w:val="24"/>
          <w:szCs w:val="24"/>
        </w:rPr>
      </w:pPr>
    </w:p>
    <w:p w14:paraId="2A06C89C" w14:textId="77777777" w:rsidR="0020648E" w:rsidRPr="00D02F17" w:rsidRDefault="0020648E" w:rsidP="0020648E"/>
    <w:p w14:paraId="614AD9AB" w14:textId="77777777" w:rsidR="00B9313A" w:rsidRPr="005D7D4A" w:rsidRDefault="00B9313A" w:rsidP="002910EC">
      <w:pPr>
        <w:tabs>
          <w:tab w:val="center" w:pos="4574"/>
        </w:tabs>
        <w:spacing w:line="360" w:lineRule="auto"/>
        <w:ind w:firstLine="708"/>
        <w:jc w:val="both"/>
        <w:rPr>
          <w:rFonts w:ascii="Arial" w:hAnsi="Arial" w:cs="Arial"/>
          <w:sz w:val="24"/>
          <w:szCs w:val="24"/>
        </w:rPr>
      </w:pPr>
    </w:p>
    <w:p w14:paraId="0F8D5C87" w14:textId="77777777" w:rsidR="002910EC" w:rsidRPr="005D7D4A" w:rsidRDefault="002910EC" w:rsidP="002910EC">
      <w:pPr>
        <w:tabs>
          <w:tab w:val="center" w:pos="4574"/>
        </w:tabs>
        <w:spacing w:line="360" w:lineRule="auto"/>
        <w:ind w:firstLine="708"/>
        <w:jc w:val="both"/>
        <w:rPr>
          <w:rFonts w:ascii="Arial" w:hAnsi="Arial" w:cs="Arial"/>
          <w:sz w:val="24"/>
          <w:szCs w:val="24"/>
        </w:rPr>
      </w:pPr>
    </w:p>
    <w:p w14:paraId="3D234DA2" w14:textId="77777777" w:rsidR="00FE67E6" w:rsidRPr="00EE17CE" w:rsidRDefault="002910EC" w:rsidP="00315B2D">
      <w:pPr>
        <w:tabs>
          <w:tab w:val="left" w:pos="284"/>
          <w:tab w:val="left" w:pos="567"/>
        </w:tabs>
        <w:spacing w:before="240" w:line="360" w:lineRule="auto"/>
        <w:jc w:val="both"/>
        <w:rPr>
          <w:rFonts w:ascii="Arial" w:hAnsi="Arial" w:cs="Arial"/>
          <w:b/>
          <w:sz w:val="24"/>
          <w:szCs w:val="24"/>
        </w:rPr>
      </w:pPr>
      <w:r w:rsidRPr="005D7D4A">
        <w:rPr>
          <w:rFonts w:ascii="Arial" w:hAnsi="Arial" w:cs="Arial"/>
          <w:sz w:val="24"/>
          <w:szCs w:val="24"/>
        </w:rPr>
        <w:tab/>
      </w:r>
      <w:r w:rsidRPr="005D7D4A">
        <w:rPr>
          <w:rFonts w:ascii="Arial" w:hAnsi="Arial" w:cs="Arial"/>
          <w:sz w:val="24"/>
          <w:szCs w:val="24"/>
        </w:rPr>
        <w:tab/>
      </w:r>
    </w:p>
    <w:sectPr w:rsidR="00FE67E6" w:rsidRPr="00EE17CE" w:rsidSect="00124797">
      <w:headerReference w:type="even" r:id="rId8"/>
      <w:headerReference w:type="default" r:id="rId9"/>
      <w:footerReference w:type="default" r:id="rId10"/>
      <w:headerReference w:type="first" r:id="rId11"/>
      <w:pgSz w:w="12240" w:h="20160" w:code="5"/>
      <w:pgMar w:top="851" w:right="1701" w:bottom="1843"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17A3B" w14:textId="77777777" w:rsidR="004660D0" w:rsidRDefault="004660D0" w:rsidP="007A5B5E">
      <w:pPr>
        <w:spacing w:after="0" w:line="240" w:lineRule="auto"/>
      </w:pPr>
      <w:r>
        <w:separator/>
      </w:r>
    </w:p>
  </w:endnote>
  <w:endnote w:type="continuationSeparator" w:id="0">
    <w:p w14:paraId="67BD768A" w14:textId="77777777" w:rsidR="004660D0" w:rsidRDefault="004660D0"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304A8D33" w14:textId="283822AF"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210E42E2" wp14:editId="3B28970B">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4F3785FB"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15484" w:rsidRPr="00E15484">
                                <w:rPr>
                                  <w:noProof/>
                                  <w:color w:val="000000" w:themeColor="text1"/>
                                  <w:lang w:val="es-ES"/>
                                </w:rPr>
                                <w:t>5</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15484" w:rsidRPr="00E15484">
                          <w:rPr>
                            <w:noProof/>
                            <w:color w:val="000000" w:themeColor="text1"/>
                            <w:lang w:val="es-ES"/>
                          </w:rPr>
                          <w:t>5</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6083C" w14:textId="77777777" w:rsidR="004660D0" w:rsidRDefault="004660D0" w:rsidP="007A5B5E">
      <w:pPr>
        <w:spacing w:after="0" w:line="240" w:lineRule="auto"/>
      </w:pPr>
      <w:r>
        <w:separator/>
      </w:r>
    </w:p>
  </w:footnote>
  <w:footnote w:type="continuationSeparator" w:id="0">
    <w:p w14:paraId="46EF0552" w14:textId="77777777" w:rsidR="004660D0" w:rsidRDefault="004660D0"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A1DD9" w14:textId="0C974E8C" w:rsidR="00A0524F" w:rsidRDefault="00124797">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0A9C3983" wp14:editId="3D354485">
              <wp:simplePos x="0" y="0"/>
              <wp:positionH relativeFrom="leftMargin">
                <wp:posOffset>6419850</wp:posOffset>
              </wp:positionH>
              <wp:positionV relativeFrom="paragraph">
                <wp:posOffset>5619115</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6E3FB29" w14:textId="77777777" w:rsidR="005907A1" w:rsidRPr="003B6E97" w:rsidRDefault="005907A1" w:rsidP="005907A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6936D26" w14:textId="374AAD37" w:rsidR="00124797" w:rsidRPr="003B6E97" w:rsidRDefault="00124797" w:rsidP="00124797">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9C3983" id="_x0000_t202" coordsize="21600,21600" o:spt="202" path="m,l,21600r21600,l21600,xe">
              <v:stroke joinstyle="miter"/>
              <v:path gradientshapeok="t" o:connecttype="rect"/>
            </v:shapetype>
            <v:shape id="Cuadro de texto 4" o:spid="_x0000_s1026" type="#_x0000_t202" style="position:absolute;margin-left:505.5pt;margin-top:442.45pt;width:93pt;height:125.25pt;z-index:-2516449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">
              <v:textbox>
                <w:txbxContent>
                  <w:p w14:paraId="46E3FB29" w14:textId="77777777" w:rsidR="005907A1" w:rsidRPr="003B6E97" w:rsidRDefault="005907A1" w:rsidP="005907A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6936D26" w14:textId="374AAD37" w:rsidR="00124797" w:rsidRPr="003B6E97" w:rsidRDefault="00124797" w:rsidP="00124797">
                    <w:pPr>
                      <w:jc w:val="both"/>
                      <w:rPr>
                        <w:rFonts w:ascii="Arial" w:hAnsi="Arial" w:cs="Arial"/>
                        <w:b/>
                      </w:rPr>
                    </w:pPr>
                  </w:p>
                </w:txbxContent>
              </v:textbox>
              <w10:wrap anchorx="margin"/>
            </v:shape>
          </w:pict>
        </mc:Fallback>
      </mc:AlternateContent>
    </w:r>
    <w:r w:rsidR="005907A1">
      <w:rPr>
        <w:noProof/>
      </w:rPr>
      <w:pict w14:anchorId="69869B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13391"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2D501" w14:textId="6BF69B22" w:rsidR="00A0524F" w:rsidRDefault="005907A1" w:rsidP="002960E1">
    <w:pPr>
      <w:pStyle w:val="Encabezado"/>
      <w:jc w:val="right"/>
      <w:rPr>
        <w:rFonts w:ascii="Bookman Old Style" w:hAnsi="Bookman Old Style"/>
        <w:b/>
        <w:sz w:val="24"/>
        <w:szCs w:val="24"/>
      </w:rPr>
    </w:pPr>
    <w:r>
      <w:rPr>
        <w:rFonts w:ascii="Bookman Old Style" w:hAnsi="Bookman Old Style"/>
        <w:noProof/>
        <w:lang w:eastAsia="es-MX"/>
      </w:rPr>
      <w:pict w14:anchorId="6EAA52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13392"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w10:wrap anchorx="margin" anchory="margin"/>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7FBB9988" wp14:editId="7A6F318D">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737B15A" w14:textId="77777777" w:rsidR="00A0524F" w:rsidRDefault="00A0524F" w:rsidP="002960E1">
                          <w:r>
                            <w:rPr>
                              <w:noProof/>
                              <w:lang w:eastAsia="es-MX"/>
                            </w:rPr>
                            <w:drawing>
                              <wp:inline distT="0" distB="0" distL="0" distR="0" wp14:anchorId="11B4A5C9" wp14:editId="5A48C392">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BB9988"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737B15A" w14:textId="77777777" w:rsidR="00A0524F" w:rsidRDefault="00A0524F" w:rsidP="002960E1">
                    <w:r>
                      <w:rPr>
                        <w:noProof/>
                        <w:lang w:eastAsia="es-MX"/>
                      </w:rPr>
                      <w:drawing>
                        <wp:inline distT="0" distB="0" distL="0" distR="0" wp14:anchorId="11B4A5C9" wp14:editId="5A48C392">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074165">
      <w:rPr>
        <w:rFonts w:ascii="Bookman Old Style" w:hAnsi="Bookman Old Style"/>
        <w:b/>
        <w:sz w:val="24"/>
        <w:szCs w:val="24"/>
      </w:rPr>
      <w:t>0112</w:t>
    </w:r>
    <w:r w:rsidR="00A0524F" w:rsidRPr="00391F24">
      <w:rPr>
        <w:rFonts w:ascii="Bookman Old Style" w:hAnsi="Bookman Old Style"/>
        <w:b/>
        <w:sz w:val="24"/>
        <w:szCs w:val="24"/>
      </w:rPr>
      <w:t>/</w:t>
    </w:r>
    <w:r w:rsidR="00A0524F">
      <w:rPr>
        <w:rFonts w:ascii="Bookman Old Style" w:hAnsi="Bookman Old Style"/>
        <w:b/>
        <w:sz w:val="24"/>
        <w:szCs w:val="24"/>
      </w:rPr>
      <w:t>202</w:t>
    </w:r>
    <w:r w:rsidR="00BD134F">
      <w:rPr>
        <w:rFonts w:ascii="Bookman Old Style" w:hAnsi="Bookman Old Style"/>
        <w:b/>
        <w:sz w:val="24"/>
        <w:szCs w:val="24"/>
      </w:rPr>
      <w:t>1</w:t>
    </w:r>
  </w:p>
  <w:p w14:paraId="23F25A03" w14:textId="33D1D9A3" w:rsidR="00A0524F" w:rsidRPr="00071C38" w:rsidRDefault="00124797"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67CD76DE" wp14:editId="47CA8C4F">
              <wp:simplePos x="0" y="0"/>
              <wp:positionH relativeFrom="leftMargin">
                <wp:posOffset>173355</wp:posOffset>
              </wp:positionH>
              <wp:positionV relativeFrom="paragraph">
                <wp:posOffset>4552950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0090C9C" w14:textId="77777777" w:rsidR="005907A1" w:rsidRPr="003B6E97" w:rsidRDefault="005907A1" w:rsidP="005907A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849FE29" w14:textId="4EF31F6A" w:rsidR="00124797" w:rsidRPr="003B6E97" w:rsidRDefault="00124797" w:rsidP="00124797">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CD76DE" id="_x0000_t202" coordsize="21600,21600" o:spt="202" path="m,l,21600r21600,l21600,xe">
              <v:stroke joinstyle="miter"/>
              <v:path gradientshapeok="t" o:connecttype="rect"/>
            </v:shapetype>
            <v:shape id="Cuadro de texto 3" o:spid="_x0000_s1028" type="#_x0000_t202" style="position:absolute;left:0;text-align:left;margin-left:13.65pt;margin-top:358.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">
              <v:textbox>
                <w:txbxContent>
                  <w:p w14:paraId="60090C9C" w14:textId="77777777" w:rsidR="005907A1" w:rsidRPr="003B6E97" w:rsidRDefault="005907A1" w:rsidP="005907A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849FE29" w14:textId="4EF31F6A" w:rsidR="00124797" w:rsidRPr="003B6E97" w:rsidRDefault="00124797" w:rsidP="00124797">
                    <w:pPr>
                      <w:jc w:val="both"/>
                      <w:rPr>
                        <w:rFonts w:ascii="Arial" w:hAnsi="Arial" w:cs="Arial"/>
                        <w:b/>
                      </w:rPr>
                    </w:pP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5CF024B9" wp14:editId="03BDBD27">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0D2BB" w14:textId="547254A5" w:rsidR="00A0524F" w:rsidRDefault="005907A1">
    <w:pPr>
      <w:pStyle w:val="Encabezado"/>
    </w:pPr>
    <w:r>
      <w:rPr>
        <w:noProof/>
      </w:rPr>
      <w:pict w14:anchorId="412626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13390"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54725986">
    <w:abstractNumId w:val="2"/>
  </w:num>
  <w:num w:numId="2" w16cid:durableId="1887715271">
    <w:abstractNumId w:val="1"/>
  </w:num>
  <w:num w:numId="3" w16cid:durableId="876352019">
    <w:abstractNumId w:val="3"/>
  </w:num>
  <w:num w:numId="4" w16cid:durableId="1510556609">
    <w:abstractNumId w:val="0"/>
  </w:num>
  <w:num w:numId="5" w16cid:durableId="600650428">
    <w:abstractNumId w:val="4"/>
  </w:num>
  <w:num w:numId="6" w16cid:durableId="524326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59A7"/>
    <w:rsid w:val="000268AE"/>
    <w:rsid w:val="00032755"/>
    <w:rsid w:val="00033A92"/>
    <w:rsid w:val="00034A10"/>
    <w:rsid w:val="000364B3"/>
    <w:rsid w:val="00037568"/>
    <w:rsid w:val="00037AFB"/>
    <w:rsid w:val="000400C0"/>
    <w:rsid w:val="00041042"/>
    <w:rsid w:val="00041207"/>
    <w:rsid w:val="00042BD6"/>
    <w:rsid w:val="0004354B"/>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DE1"/>
    <w:rsid w:val="00073453"/>
    <w:rsid w:val="000740B4"/>
    <w:rsid w:val="00074165"/>
    <w:rsid w:val="000744B1"/>
    <w:rsid w:val="00077467"/>
    <w:rsid w:val="00077479"/>
    <w:rsid w:val="00080379"/>
    <w:rsid w:val="00083CC1"/>
    <w:rsid w:val="0008431D"/>
    <w:rsid w:val="00085C5D"/>
    <w:rsid w:val="00086629"/>
    <w:rsid w:val="00090FFB"/>
    <w:rsid w:val="000920FC"/>
    <w:rsid w:val="00092634"/>
    <w:rsid w:val="00092B13"/>
    <w:rsid w:val="0009449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797"/>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71FB"/>
    <w:rsid w:val="00185A8C"/>
    <w:rsid w:val="001866CE"/>
    <w:rsid w:val="00187B21"/>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D4B42"/>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48E"/>
    <w:rsid w:val="002065C1"/>
    <w:rsid w:val="002069B5"/>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525F2"/>
    <w:rsid w:val="00256213"/>
    <w:rsid w:val="00260406"/>
    <w:rsid w:val="00261905"/>
    <w:rsid w:val="00264161"/>
    <w:rsid w:val="00264419"/>
    <w:rsid w:val="00266D60"/>
    <w:rsid w:val="002679C5"/>
    <w:rsid w:val="00272998"/>
    <w:rsid w:val="00273025"/>
    <w:rsid w:val="00273681"/>
    <w:rsid w:val="00274646"/>
    <w:rsid w:val="00274840"/>
    <w:rsid w:val="00275008"/>
    <w:rsid w:val="002777B4"/>
    <w:rsid w:val="00277F55"/>
    <w:rsid w:val="00280C38"/>
    <w:rsid w:val="00282C25"/>
    <w:rsid w:val="0028392C"/>
    <w:rsid w:val="00284F95"/>
    <w:rsid w:val="0028642F"/>
    <w:rsid w:val="00290040"/>
    <w:rsid w:val="002910EC"/>
    <w:rsid w:val="00293574"/>
    <w:rsid w:val="00293C1E"/>
    <w:rsid w:val="002960E1"/>
    <w:rsid w:val="002968D0"/>
    <w:rsid w:val="002A119F"/>
    <w:rsid w:val="002A1A88"/>
    <w:rsid w:val="002A305E"/>
    <w:rsid w:val="002A3B02"/>
    <w:rsid w:val="002A534A"/>
    <w:rsid w:val="002A70E2"/>
    <w:rsid w:val="002B033F"/>
    <w:rsid w:val="002B0582"/>
    <w:rsid w:val="002B0633"/>
    <w:rsid w:val="002B1091"/>
    <w:rsid w:val="002B14A6"/>
    <w:rsid w:val="002B7125"/>
    <w:rsid w:val="002B797C"/>
    <w:rsid w:val="002B7BD2"/>
    <w:rsid w:val="002C05D9"/>
    <w:rsid w:val="002C1689"/>
    <w:rsid w:val="002C19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14069"/>
    <w:rsid w:val="00315B2D"/>
    <w:rsid w:val="00315E00"/>
    <w:rsid w:val="003171EB"/>
    <w:rsid w:val="00321363"/>
    <w:rsid w:val="0032191E"/>
    <w:rsid w:val="003232EF"/>
    <w:rsid w:val="00324531"/>
    <w:rsid w:val="0032672E"/>
    <w:rsid w:val="00331366"/>
    <w:rsid w:val="003328A1"/>
    <w:rsid w:val="00334280"/>
    <w:rsid w:val="003370E1"/>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6392"/>
    <w:rsid w:val="00376FD6"/>
    <w:rsid w:val="0037735A"/>
    <w:rsid w:val="0038465F"/>
    <w:rsid w:val="003869AD"/>
    <w:rsid w:val="00387429"/>
    <w:rsid w:val="00387568"/>
    <w:rsid w:val="00387F33"/>
    <w:rsid w:val="00390B3C"/>
    <w:rsid w:val="00390E64"/>
    <w:rsid w:val="00391B91"/>
    <w:rsid w:val="00391F24"/>
    <w:rsid w:val="003922F7"/>
    <w:rsid w:val="00393A57"/>
    <w:rsid w:val="003941A2"/>
    <w:rsid w:val="00394F81"/>
    <w:rsid w:val="00396F92"/>
    <w:rsid w:val="003A066C"/>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4809"/>
    <w:rsid w:val="00406C4D"/>
    <w:rsid w:val="00407214"/>
    <w:rsid w:val="00412725"/>
    <w:rsid w:val="00413B0F"/>
    <w:rsid w:val="00413F61"/>
    <w:rsid w:val="00414063"/>
    <w:rsid w:val="00414594"/>
    <w:rsid w:val="00414D63"/>
    <w:rsid w:val="00415058"/>
    <w:rsid w:val="00415B61"/>
    <w:rsid w:val="00417991"/>
    <w:rsid w:val="00417AEB"/>
    <w:rsid w:val="00420019"/>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411"/>
    <w:rsid w:val="00454AEC"/>
    <w:rsid w:val="00456E66"/>
    <w:rsid w:val="00457534"/>
    <w:rsid w:val="0046298F"/>
    <w:rsid w:val="00463209"/>
    <w:rsid w:val="004660D0"/>
    <w:rsid w:val="004667D8"/>
    <w:rsid w:val="00467EEC"/>
    <w:rsid w:val="00470598"/>
    <w:rsid w:val="00471217"/>
    <w:rsid w:val="00472D9E"/>
    <w:rsid w:val="00472E27"/>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3624"/>
    <w:rsid w:val="004B074C"/>
    <w:rsid w:val="004B1BE9"/>
    <w:rsid w:val="004B21D3"/>
    <w:rsid w:val="004B3184"/>
    <w:rsid w:val="004B38DE"/>
    <w:rsid w:val="004B4229"/>
    <w:rsid w:val="004B4653"/>
    <w:rsid w:val="004B524C"/>
    <w:rsid w:val="004B55EA"/>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6AC"/>
    <w:rsid w:val="004E6A61"/>
    <w:rsid w:val="004F162F"/>
    <w:rsid w:val="004F54A2"/>
    <w:rsid w:val="004F68EE"/>
    <w:rsid w:val="004F6F81"/>
    <w:rsid w:val="004F74B5"/>
    <w:rsid w:val="0050028A"/>
    <w:rsid w:val="00500F92"/>
    <w:rsid w:val="00501DAC"/>
    <w:rsid w:val="00502478"/>
    <w:rsid w:val="005024E9"/>
    <w:rsid w:val="00502589"/>
    <w:rsid w:val="00502D4F"/>
    <w:rsid w:val="00502DA7"/>
    <w:rsid w:val="0050329F"/>
    <w:rsid w:val="00504FCD"/>
    <w:rsid w:val="005108C4"/>
    <w:rsid w:val="00510BB9"/>
    <w:rsid w:val="00512B63"/>
    <w:rsid w:val="00513048"/>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3ADA"/>
    <w:rsid w:val="00555EC8"/>
    <w:rsid w:val="0056050D"/>
    <w:rsid w:val="005650AD"/>
    <w:rsid w:val="0056582A"/>
    <w:rsid w:val="00566511"/>
    <w:rsid w:val="0056783C"/>
    <w:rsid w:val="00571121"/>
    <w:rsid w:val="005724B6"/>
    <w:rsid w:val="00572C64"/>
    <w:rsid w:val="0057749A"/>
    <w:rsid w:val="00580EEB"/>
    <w:rsid w:val="0058166F"/>
    <w:rsid w:val="0058281B"/>
    <w:rsid w:val="00586280"/>
    <w:rsid w:val="005907A1"/>
    <w:rsid w:val="0059235B"/>
    <w:rsid w:val="0059392E"/>
    <w:rsid w:val="00594EC0"/>
    <w:rsid w:val="00595183"/>
    <w:rsid w:val="005A0AE9"/>
    <w:rsid w:val="005A1832"/>
    <w:rsid w:val="005A1C6E"/>
    <w:rsid w:val="005A383E"/>
    <w:rsid w:val="005A3B1A"/>
    <w:rsid w:val="005A43CF"/>
    <w:rsid w:val="005A5148"/>
    <w:rsid w:val="005A6344"/>
    <w:rsid w:val="005A7099"/>
    <w:rsid w:val="005A776C"/>
    <w:rsid w:val="005A7853"/>
    <w:rsid w:val="005B0C1C"/>
    <w:rsid w:val="005B1B32"/>
    <w:rsid w:val="005B1D24"/>
    <w:rsid w:val="005B211C"/>
    <w:rsid w:val="005B2E06"/>
    <w:rsid w:val="005B3800"/>
    <w:rsid w:val="005B5100"/>
    <w:rsid w:val="005B63A5"/>
    <w:rsid w:val="005B6473"/>
    <w:rsid w:val="005B6C40"/>
    <w:rsid w:val="005C0085"/>
    <w:rsid w:val="005C1975"/>
    <w:rsid w:val="005C2AF1"/>
    <w:rsid w:val="005C4441"/>
    <w:rsid w:val="005C5DF2"/>
    <w:rsid w:val="005C641B"/>
    <w:rsid w:val="005C7798"/>
    <w:rsid w:val="005D01E0"/>
    <w:rsid w:val="005D0741"/>
    <w:rsid w:val="005D07AE"/>
    <w:rsid w:val="005D15D6"/>
    <w:rsid w:val="005D5088"/>
    <w:rsid w:val="005D738D"/>
    <w:rsid w:val="005E0299"/>
    <w:rsid w:val="005E0422"/>
    <w:rsid w:val="005E1297"/>
    <w:rsid w:val="005E1383"/>
    <w:rsid w:val="005E2538"/>
    <w:rsid w:val="005E583E"/>
    <w:rsid w:val="005E6B1F"/>
    <w:rsid w:val="005E7791"/>
    <w:rsid w:val="005F4676"/>
    <w:rsid w:val="005F5308"/>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B84"/>
    <w:rsid w:val="00635019"/>
    <w:rsid w:val="00635299"/>
    <w:rsid w:val="006365E4"/>
    <w:rsid w:val="0063702E"/>
    <w:rsid w:val="00640240"/>
    <w:rsid w:val="006406B1"/>
    <w:rsid w:val="00641999"/>
    <w:rsid w:val="00643848"/>
    <w:rsid w:val="00644003"/>
    <w:rsid w:val="00646C77"/>
    <w:rsid w:val="006532EB"/>
    <w:rsid w:val="00653A69"/>
    <w:rsid w:val="0065458C"/>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74D9"/>
    <w:rsid w:val="006D0360"/>
    <w:rsid w:val="006D192F"/>
    <w:rsid w:val="006D1E37"/>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51F4"/>
    <w:rsid w:val="006F5239"/>
    <w:rsid w:val="006F5BD8"/>
    <w:rsid w:val="00701C5F"/>
    <w:rsid w:val="00702DF1"/>
    <w:rsid w:val="00702FFA"/>
    <w:rsid w:val="00703C8B"/>
    <w:rsid w:val="00704B32"/>
    <w:rsid w:val="00706A30"/>
    <w:rsid w:val="00706D02"/>
    <w:rsid w:val="0071474B"/>
    <w:rsid w:val="00714E8F"/>
    <w:rsid w:val="0071537A"/>
    <w:rsid w:val="00715E4B"/>
    <w:rsid w:val="007171A5"/>
    <w:rsid w:val="007175DA"/>
    <w:rsid w:val="00720696"/>
    <w:rsid w:val="00723AAA"/>
    <w:rsid w:val="00725421"/>
    <w:rsid w:val="00726144"/>
    <w:rsid w:val="00727727"/>
    <w:rsid w:val="007312A2"/>
    <w:rsid w:val="00732829"/>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AB5"/>
    <w:rsid w:val="0076779D"/>
    <w:rsid w:val="00770954"/>
    <w:rsid w:val="00770A31"/>
    <w:rsid w:val="00770FEC"/>
    <w:rsid w:val="007715AE"/>
    <w:rsid w:val="00772907"/>
    <w:rsid w:val="0078024B"/>
    <w:rsid w:val="007816A0"/>
    <w:rsid w:val="00783121"/>
    <w:rsid w:val="007846E5"/>
    <w:rsid w:val="0078531B"/>
    <w:rsid w:val="00785927"/>
    <w:rsid w:val="00786894"/>
    <w:rsid w:val="00786F18"/>
    <w:rsid w:val="00787149"/>
    <w:rsid w:val="00787C90"/>
    <w:rsid w:val="00794EA7"/>
    <w:rsid w:val="0079545D"/>
    <w:rsid w:val="00796568"/>
    <w:rsid w:val="007A22EE"/>
    <w:rsid w:val="007A2742"/>
    <w:rsid w:val="007A43ED"/>
    <w:rsid w:val="007A44BA"/>
    <w:rsid w:val="007A5119"/>
    <w:rsid w:val="007A5B5E"/>
    <w:rsid w:val="007A6B3F"/>
    <w:rsid w:val="007A774E"/>
    <w:rsid w:val="007A7A48"/>
    <w:rsid w:val="007B3624"/>
    <w:rsid w:val="007B3EBE"/>
    <w:rsid w:val="007B4FFD"/>
    <w:rsid w:val="007C0766"/>
    <w:rsid w:val="007C4F03"/>
    <w:rsid w:val="007C6008"/>
    <w:rsid w:val="007C6B9D"/>
    <w:rsid w:val="007C6EFA"/>
    <w:rsid w:val="007C76B6"/>
    <w:rsid w:val="007C7BB1"/>
    <w:rsid w:val="007C7D73"/>
    <w:rsid w:val="007C7DFB"/>
    <w:rsid w:val="007D1333"/>
    <w:rsid w:val="007D36E5"/>
    <w:rsid w:val="007D51B8"/>
    <w:rsid w:val="007D55ED"/>
    <w:rsid w:val="007D6515"/>
    <w:rsid w:val="007D6CEF"/>
    <w:rsid w:val="007E00F4"/>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88F"/>
    <w:rsid w:val="008246FC"/>
    <w:rsid w:val="008251BD"/>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D54"/>
    <w:rsid w:val="00863FE3"/>
    <w:rsid w:val="00875789"/>
    <w:rsid w:val="008765C6"/>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5FB8"/>
    <w:rsid w:val="008D17E8"/>
    <w:rsid w:val="008D2F2D"/>
    <w:rsid w:val="008D6A15"/>
    <w:rsid w:val="008E2F4C"/>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27B96"/>
    <w:rsid w:val="0093030F"/>
    <w:rsid w:val="0093051F"/>
    <w:rsid w:val="00930BDF"/>
    <w:rsid w:val="0093147D"/>
    <w:rsid w:val="0093785B"/>
    <w:rsid w:val="00937EAC"/>
    <w:rsid w:val="00944386"/>
    <w:rsid w:val="00944597"/>
    <w:rsid w:val="0094542D"/>
    <w:rsid w:val="009468AA"/>
    <w:rsid w:val="00947085"/>
    <w:rsid w:val="00952BBB"/>
    <w:rsid w:val="00952DA2"/>
    <w:rsid w:val="00953189"/>
    <w:rsid w:val="009575F5"/>
    <w:rsid w:val="00961528"/>
    <w:rsid w:val="00961AB8"/>
    <w:rsid w:val="009652D6"/>
    <w:rsid w:val="009755FD"/>
    <w:rsid w:val="00980029"/>
    <w:rsid w:val="009802A4"/>
    <w:rsid w:val="009818C3"/>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13AF"/>
    <w:rsid w:val="009D23D6"/>
    <w:rsid w:val="009D5381"/>
    <w:rsid w:val="009D6D39"/>
    <w:rsid w:val="009D75E8"/>
    <w:rsid w:val="009E013B"/>
    <w:rsid w:val="009E0826"/>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4BAB"/>
    <w:rsid w:val="00A75971"/>
    <w:rsid w:val="00A76574"/>
    <w:rsid w:val="00A765DB"/>
    <w:rsid w:val="00A778B8"/>
    <w:rsid w:val="00A77BD0"/>
    <w:rsid w:val="00A8034D"/>
    <w:rsid w:val="00A811AE"/>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B1630"/>
    <w:rsid w:val="00AB3162"/>
    <w:rsid w:val="00AB5C18"/>
    <w:rsid w:val="00AC05A6"/>
    <w:rsid w:val="00AC593D"/>
    <w:rsid w:val="00AC5FBE"/>
    <w:rsid w:val="00AC6AF8"/>
    <w:rsid w:val="00AD071B"/>
    <w:rsid w:val="00AD11D5"/>
    <w:rsid w:val="00AD14A8"/>
    <w:rsid w:val="00AD462D"/>
    <w:rsid w:val="00AD4789"/>
    <w:rsid w:val="00AD4AA5"/>
    <w:rsid w:val="00AD723C"/>
    <w:rsid w:val="00AE134C"/>
    <w:rsid w:val="00AE355C"/>
    <w:rsid w:val="00AE4F40"/>
    <w:rsid w:val="00AE579E"/>
    <w:rsid w:val="00AF01E3"/>
    <w:rsid w:val="00AF0927"/>
    <w:rsid w:val="00AF5B34"/>
    <w:rsid w:val="00B00215"/>
    <w:rsid w:val="00B00359"/>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55D9"/>
    <w:rsid w:val="00B36E7D"/>
    <w:rsid w:val="00B37BED"/>
    <w:rsid w:val="00B427E2"/>
    <w:rsid w:val="00B438E5"/>
    <w:rsid w:val="00B44A59"/>
    <w:rsid w:val="00B45E92"/>
    <w:rsid w:val="00B4639E"/>
    <w:rsid w:val="00B46E86"/>
    <w:rsid w:val="00B479AC"/>
    <w:rsid w:val="00B47C42"/>
    <w:rsid w:val="00B52D40"/>
    <w:rsid w:val="00B53C8F"/>
    <w:rsid w:val="00B53E31"/>
    <w:rsid w:val="00B543C8"/>
    <w:rsid w:val="00B600ED"/>
    <w:rsid w:val="00B60B28"/>
    <w:rsid w:val="00B61077"/>
    <w:rsid w:val="00B61428"/>
    <w:rsid w:val="00B6476E"/>
    <w:rsid w:val="00B6775D"/>
    <w:rsid w:val="00B702EA"/>
    <w:rsid w:val="00B70BBD"/>
    <w:rsid w:val="00B70C05"/>
    <w:rsid w:val="00B71795"/>
    <w:rsid w:val="00B7407D"/>
    <w:rsid w:val="00B75DCF"/>
    <w:rsid w:val="00B76724"/>
    <w:rsid w:val="00B77C3E"/>
    <w:rsid w:val="00B80192"/>
    <w:rsid w:val="00B808CA"/>
    <w:rsid w:val="00B81C77"/>
    <w:rsid w:val="00B82A48"/>
    <w:rsid w:val="00B86059"/>
    <w:rsid w:val="00B9140E"/>
    <w:rsid w:val="00B91B88"/>
    <w:rsid w:val="00B92449"/>
    <w:rsid w:val="00B9313A"/>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134F"/>
    <w:rsid w:val="00BD254D"/>
    <w:rsid w:val="00BD28DD"/>
    <w:rsid w:val="00BD4AC2"/>
    <w:rsid w:val="00BD7507"/>
    <w:rsid w:val="00BE02B7"/>
    <w:rsid w:val="00BE18B1"/>
    <w:rsid w:val="00BE1DD4"/>
    <w:rsid w:val="00BE26D9"/>
    <w:rsid w:val="00BE3865"/>
    <w:rsid w:val="00BE52B6"/>
    <w:rsid w:val="00BF0E86"/>
    <w:rsid w:val="00BF1A88"/>
    <w:rsid w:val="00BF1B60"/>
    <w:rsid w:val="00BF2E0E"/>
    <w:rsid w:val="00C006F9"/>
    <w:rsid w:val="00C046EC"/>
    <w:rsid w:val="00C057DF"/>
    <w:rsid w:val="00C070B3"/>
    <w:rsid w:val="00C12731"/>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391B"/>
    <w:rsid w:val="00C33CED"/>
    <w:rsid w:val="00C349DF"/>
    <w:rsid w:val="00C36AC2"/>
    <w:rsid w:val="00C37DF5"/>
    <w:rsid w:val="00C41270"/>
    <w:rsid w:val="00C44DDE"/>
    <w:rsid w:val="00C4671D"/>
    <w:rsid w:val="00C46F31"/>
    <w:rsid w:val="00C50828"/>
    <w:rsid w:val="00C519F2"/>
    <w:rsid w:val="00C521D4"/>
    <w:rsid w:val="00C56B89"/>
    <w:rsid w:val="00C5781F"/>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6601"/>
    <w:rsid w:val="00C86A96"/>
    <w:rsid w:val="00C918A0"/>
    <w:rsid w:val="00C93D84"/>
    <w:rsid w:val="00C9473D"/>
    <w:rsid w:val="00C94C59"/>
    <w:rsid w:val="00C96D03"/>
    <w:rsid w:val="00CA0E9E"/>
    <w:rsid w:val="00CA2601"/>
    <w:rsid w:val="00CA7578"/>
    <w:rsid w:val="00CB0191"/>
    <w:rsid w:val="00CB1103"/>
    <w:rsid w:val="00CB42C3"/>
    <w:rsid w:val="00CB466F"/>
    <w:rsid w:val="00CB5288"/>
    <w:rsid w:val="00CB5CCC"/>
    <w:rsid w:val="00CB731B"/>
    <w:rsid w:val="00CB754E"/>
    <w:rsid w:val="00CC0343"/>
    <w:rsid w:val="00CC1C95"/>
    <w:rsid w:val="00CC7806"/>
    <w:rsid w:val="00CC7FEF"/>
    <w:rsid w:val="00CD140A"/>
    <w:rsid w:val="00CD219A"/>
    <w:rsid w:val="00CD3746"/>
    <w:rsid w:val="00CD43CA"/>
    <w:rsid w:val="00CD6397"/>
    <w:rsid w:val="00CD707F"/>
    <w:rsid w:val="00CE2EE9"/>
    <w:rsid w:val="00CE2F58"/>
    <w:rsid w:val="00CE2FED"/>
    <w:rsid w:val="00CE6EF0"/>
    <w:rsid w:val="00CF354D"/>
    <w:rsid w:val="00CF38C2"/>
    <w:rsid w:val="00CF4C7E"/>
    <w:rsid w:val="00CF64E5"/>
    <w:rsid w:val="00D0107A"/>
    <w:rsid w:val="00D02545"/>
    <w:rsid w:val="00D02F17"/>
    <w:rsid w:val="00D03237"/>
    <w:rsid w:val="00D0449D"/>
    <w:rsid w:val="00D05055"/>
    <w:rsid w:val="00D067BC"/>
    <w:rsid w:val="00D06B91"/>
    <w:rsid w:val="00D07F5F"/>
    <w:rsid w:val="00D11FEF"/>
    <w:rsid w:val="00D14D1C"/>
    <w:rsid w:val="00D26454"/>
    <w:rsid w:val="00D266C0"/>
    <w:rsid w:val="00D27503"/>
    <w:rsid w:val="00D300B5"/>
    <w:rsid w:val="00D30886"/>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56BE"/>
    <w:rsid w:val="00D67F35"/>
    <w:rsid w:val="00D711BE"/>
    <w:rsid w:val="00D714AE"/>
    <w:rsid w:val="00D80489"/>
    <w:rsid w:val="00D8282E"/>
    <w:rsid w:val="00D841BC"/>
    <w:rsid w:val="00D84AF9"/>
    <w:rsid w:val="00D84BA5"/>
    <w:rsid w:val="00D869D1"/>
    <w:rsid w:val="00D8770B"/>
    <w:rsid w:val="00D91179"/>
    <w:rsid w:val="00D925FE"/>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5484"/>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0037"/>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C22"/>
    <w:rsid w:val="00E61FB2"/>
    <w:rsid w:val="00E64E5F"/>
    <w:rsid w:val="00E70524"/>
    <w:rsid w:val="00E70540"/>
    <w:rsid w:val="00E70AF2"/>
    <w:rsid w:val="00E72774"/>
    <w:rsid w:val="00E728F5"/>
    <w:rsid w:val="00E764E3"/>
    <w:rsid w:val="00E76510"/>
    <w:rsid w:val="00E77CED"/>
    <w:rsid w:val="00E77D22"/>
    <w:rsid w:val="00E81789"/>
    <w:rsid w:val="00E819BC"/>
    <w:rsid w:val="00E8462D"/>
    <w:rsid w:val="00E90C31"/>
    <w:rsid w:val="00E91751"/>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588"/>
    <w:rsid w:val="00ED0959"/>
    <w:rsid w:val="00ED20A6"/>
    <w:rsid w:val="00ED2A23"/>
    <w:rsid w:val="00ED48CB"/>
    <w:rsid w:val="00ED5611"/>
    <w:rsid w:val="00ED5F8D"/>
    <w:rsid w:val="00EE1573"/>
    <w:rsid w:val="00EE17CE"/>
    <w:rsid w:val="00EE1893"/>
    <w:rsid w:val="00EE190C"/>
    <w:rsid w:val="00EE3204"/>
    <w:rsid w:val="00EE3B4D"/>
    <w:rsid w:val="00EE66A3"/>
    <w:rsid w:val="00EE69CB"/>
    <w:rsid w:val="00EE7010"/>
    <w:rsid w:val="00EF074F"/>
    <w:rsid w:val="00EF0DD2"/>
    <w:rsid w:val="00EF0E36"/>
    <w:rsid w:val="00EF4F2F"/>
    <w:rsid w:val="00EF57E9"/>
    <w:rsid w:val="00EF77C0"/>
    <w:rsid w:val="00F006C8"/>
    <w:rsid w:val="00F0095B"/>
    <w:rsid w:val="00F00D08"/>
    <w:rsid w:val="00F03C2B"/>
    <w:rsid w:val="00F05A92"/>
    <w:rsid w:val="00F1204A"/>
    <w:rsid w:val="00F1260F"/>
    <w:rsid w:val="00F13121"/>
    <w:rsid w:val="00F133A3"/>
    <w:rsid w:val="00F13E86"/>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35D4A"/>
    <w:rsid w:val="00F410FB"/>
    <w:rsid w:val="00F41968"/>
    <w:rsid w:val="00F4203A"/>
    <w:rsid w:val="00F43C89"/>
    <w:rsid w:val="00F4521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B7682"/>
    <w:rsid w:val="00FB7B32"/>
    <w:rsid w:val="00FC0813"/>
    <w:rsid w:val="00FC1998"/>
    <w:rsid w:val="00FC3636"/>
    <w:rsid w:val="00FC45EE"/>
    <w:rsid w:val="00FC47E6"/>
    <w:rsid w:val="00FC4F6A"/>
    <w:rsid w:val="00FC4F8F"/>
    <w:rsid w:val="00FC546B"/>
    <w:rsid w:val="00FC6458"/>
    <w:rsid w:val="00FD1309"/>
    <w:rsid w:val="00FD1B0E"/>
    <w:rsid w:val="00FD3894"/>
    <w:rsid w:val="00FD6727"/>
    <w:rsid w:val="00FD6A8A"/>
    <w:rsid w:val="00FD78DB"/>
    <w:rsid w:val="00FD79EC"/>
    <w:rsid w:val="00FE00C8"/>
    <w:rsid w:val="00FE2437"/>
    <w:rsid w:val="00FE4585"/>
    <w:rsid w:val="00FE652D"/>
    <w:rsid w:val="00FE673E"/>
    <w:rsid w:val="00FE67E6"/>
    <w:rsid w:val="00FF39C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3652387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B68F0-F2E7-4B8D-8563-249FFE921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9</Pages>
  <Words>3416</Words>
  <Characters>18791</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17</cp:revision>
  <cp:lastPrinted>2022-06-27T16:44:00Z</cp:lastPrinted>
  <dcterms:created xsi:type="dcterms:W3CDTF">2022-08-30T17:56:00Z</dcterms:created>
  <dcterms:modified xsi:type="dcterms:W3CDTF">2023-01-11T20:31:00Z</dcterms:modified>
</cp:coreProperties>
</file>