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CCBEF" w14:textId="77777777" w:rsidR="006875D4" w:rsidRPr="006875D4" w:rsidRDefault="006875D4" w:rsidP="006875D4">
      <w:pPr>
        <w:pStyle w:val="Encabezado"/>
        <w:ind w:left="3402"/>
        <w:jc w:val="both"/>
        <w:rPr>
          <w:rFonts w:ascii="Arial" w:eastAsia="Arial" w:hAnsi="Arial" w:cs="Arial"/>
          <w:b/>
          <w:color w:val="000000"/>
          <w:sz w:val="24"/>
          <w:szCs w:val="24"/>
        </w:rPr>
      </w:pPr>
      <w:r w:rsidRPr="006875D4">
        <w:rPr>
          <w:rFonts w:ascii="Arial" w:eastAsia="Arial" w:hAnsi="Arial" w:cs="Arial"/>
          <w:b/>
          <w:color w:val="000000"/>
          <w:sz w:val="24"/>
          <w:szCs w:val="24"/>
        </w:rPr>
        <w:t>SEXTA SALA UNITARIA DE PRIMERA INSTANCIA DEL TRIBUNAL DE JUSTICIA ADMINISTRATIVA DEL ESTADO DE OAXACA.</w:t>
      </w:r>
    </w:p>
    <w:p w14:paraId="00000002"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68CEBFD1" w:rsidR="00FB6062" w:rsidRDefault="00414E1F">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5B13BB">
        <w:rPr>
          <w:rFonts w:ascii="Arial" w:eastAsia="Arial" w:hAnsi="Arial" w:cs="Arial"/>
          <w:color w:val="000000"/>
          <w:sz w:val="24"/>
          <w:szCs w:val="24"/>
        </w:rPr>
        <w:t>0120</w:t>
      </w:r>
      <w:r>
        <w:rPr>
          <w:rFonts w:ascii="Arial" w:eastAsia="Arial" w:hAnsi="Arial" w:cs="Arial"/>
          <w:color w:val="000000"/>
          <w:sz w:val="24"/>
          <w:szCs w:val="24"/>
        </w:rPr>
        <w:t>/2020</w:t>
      </w:r>
    </w:p>
    <w:p w14:paraId="00000004" w14:textId="77777777" w:rsidR="00FB6062" w:rsidRDefault="00FB6062">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7297B0A9"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 xml:space="preserve">ACTORA: </w:t>
      </w:r>
      <w:r w:rsidR="005E24AF">
        <w:rPr>
          <w:rFonts w:ascii="Arial" w:eastAsia="Arial" w:hAnsi="Arial" w:cs="Arial"/>
          <w:color w:val="FF0000"/>
          <w:sz w:val="24"/>
          <w:szCs w:val="24"/>
        </w:rPr>
        <w:t>**********</w:t>
      </w:r>
    </w:p>
    <w:p w14:paraId="00000006"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7" w14:textId="1909170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5B13BB">
        <w:rPr>
          <w:rFonts w:ascii="Arial" w:eastAsia="Arial" w:hAnsi="Arial" w:cs="Arial"/>
          <w:color w:val="000000"/>
          <w:sz w:val="24"/>
          <w:szCs w:val="24"/>
        </w:rPr>
        <w:t>JEFE DE LA UNIDAD JURÍDICA DEL INSTITUTO CATASTRAL DEL ESTADO.</w:t>
      </w:r>
    </w:p>
    <w:p w14:paraId="00000008"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FB6062" w:rsidRDefault="00FB6062">
      <w:pPr>
        <w:spacing w:after="0" w:line="360" w:lineRule="auto"/>
        <w:jc w:val="both"/>
        <w:rPr>
          <w:rFonts w:ascii="Arial" w:eastAsia="Arial" w:hAnsi="Arial" w:cs="Arial"/>
          <w:b/>
          <w:sz w:val="24"/>
          <w:szCs w:val="24"/>
        </w:rPr>
      </w:pPr>
    </w:p>
    <w:p w14:paraId="0000000D" w14:textId="6D8AA845" w:rsidR="00FB6062" w:rsidRDefault="00414E1F">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w:t>
      </w:r>
      <w:r w:rsidR="00ED2F0A">
        <w:rPr>
          <w:rFonts w:ascii="Arial" w:eastAsia="Arial" w:hAnsi="Arial" w:cs="Arial"/>
          <w:b/>
          <w:color w:val="000000"/>
          <w:sz w:val="24"/>
          <w:szCs w:val="24"/>
        </w:rPr>
        <w:t>JUÁREZ, OAXACA A VEINTICINCO</w:t>
      </w:r>
      <w:r w:rsidR="00280F75">
        <w:rPr>
          <w:rFonts w:ascii="Arial" w:eastAsia="Arial" w:hAnsi="Arial" w:cs="Arial"/>
          <w:b/>
          <w:color w:val="000000"/>
          <w:sz w:val="24"/>
          <w:szCs w:val="24"/>
        </w:rPr>
        <w:t xml:space="preserve"> DE FEBRERO</w:t>
      </w:r>
      <w:r>
        <w:rPr>
          <w:rFonts w:ascii="Arial" w:eastAsia="Arial" w:hAnsi="Arial" w:cs="Arial"/>
          <w:b/>
          <w:color w:val="000000"/>
          <w:sz w:val="24"/>
          <w:szCs w:val="24"/>
        </w:rPr>
        <w:t xml:space="preserve"> DE DOS MIL VEINTIDÓS. - - - - - - - - - - - - - - - - - - - - - - - - - - - - - - - - - - - - - - - - - - - - </w:t>
      </w:r>
    </w:p>
    <w:p w14:paraId="0000000E" w14:textId="50465260"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de número </w:t>
      </w:r>
      <w:r w:rsidR="005B13BB">
        <w:rPr>
          <w:rFonts w:ascii="Arial" w:eastAsia="Arial" w:hAnsi="Arial" w:cs="Arial"/>
          <w:b/>
          <w:sz w:val="24"/>
          <w:szCs w:val="24"/>
        </w:rPr>
        <w:t>0120</w:t>
      </w:r>
      <w:r>
        <w:rPr>
          <w:rFonts w:ascii="Arial" w:eastAsia="Arial" w:hAnsi="Arial" w:cs="Arial"/>
          <w:b/>
          <w:sz w:val="24"/>
          <w:szCs w:val="24"/>
        </w:rPr>
        <w:t>/2020,</w:t>
      </w:r>
      <w:r>
        <w:rPr>
          <w:rFonts w:ascii="Arial" w:eastAsia="Arial" w:hAnsi="Arial" w:cs="Arial"/>
          <w:sz w:val="24"/>
          <w:szCs w:val="24"/>
        </w:rPr>
        <w:t xml:space="preserve"> promovido por </w:t>
      </w:r>
      <w:r w:rsidR="005E24AF">
        <w:rPr>
          <w:rFonts w:ascii="Arial" w:eastAsia="Arial" w:hAnsi="Arial" w:cs="Arial"/>
          <w:b/>
          <w:color w:val="FF0000"/>
          <w:sz w:val="24"/>
          <w:szCs w:val="24"/>
        </w:rPr>
        <w:t>**********</w:t>
      </w:r>
      <w:r>
        <w:rPr>
          <w:rFonts w:ascii="Arial" w:eastAsia="Arial" w:hAnsi="Arial" w:cs="Arial"/>
          <w:b/>
          <w:sz w:val="24"/>
          <w:szCs w:val="24"/>
        </w:rPr>
        <w:t xml:space="preserve"> </w:t>
      </w:r>
      <w:r>
        <w:rPr>
          <w:rFonts w:ascii="Arial" w:eastAsia="Arial" w:hAnsi="Arial" w:cs="Arial"/>
          <w:sz w:val="24"/>
          <w:szCs w:val="24"/>
        </w:rPr>
        <w:t xml:space="preserve">en contra del </w:t>
      </w:r>
      <w:r w:rsidR="005B13BB">
        <w:rPr>
          <w:rFonts w:ascii="Arial" w:eastAsia="Arial" w:hAnsi="Arial" w:cs="Arial"/>
          <w:b/>
          <w:sz w:val="24"/>
          <w:szCs w:val="24"/>
        </w:rPr>
        <w:t>JEFE DE LA UNIDAD JURÍDICA DEL INSTITUTO CATASTRAL DEL ESTADO</w:t>
      </w:r>
      <w:r>
        <w:rPr>
          <w:rFonts w:ascii="Arial" w:eastAsia="Arial" w:hAnsi="Arial" w:cs="Arial"/>
          <w:sz w:val="24"/>
          <w:szCs w:val="24"/>
        </w:rPr>
        <w:t>.</w:t>
      </w:r>
      <w:r w:rsidR="005E24AF">
        <w:rPr>
          <w:rFonts w:ascii="Arial" w:eastAsia="Arial" w:hAnsi="Arial" w:cs="Arial"/>
          <w:sz w:val="24"/>
          <w:szCs w:val="24"/>
        </w:rPr>
        <w:t xml:space="preserve"> </w:t>
      </w:r>
      <w:proofErr w:type="gramStart"/>
      <w:r>
        <w:rPr>
          <w:rFonts w:ascii="Arial" w:eastAsia="Arial" w:hAnsi="Arial" w:cs="Arial"/>
          <w:sz w:val="24"/>
          <w:szCs w:val="24"/>
        </w:rPr>
        <w:t>-</w:t>
      </w:r>
      <w:proofErr w:type="gramEnd"/>
      <w:r>
        <w:rPr>
          <w:rFonts w:ascii="Arial" w:eastAsia="Arial" w:hAnsi="Arial" w:cs="Arial"/>
          <w:sz w:val="24"/>
          <w:szCs w:val="24"/>
        </w:rPr>
        <w:t xml:space="preserve"> - - - - </w:t>
      </w:r>
    </w:p>
    <w:p w14:paraId="0000000F" w14:textId="77777777" w:rsidR="00FB6062" w:rsidRDefault="00414E1F">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315B32EC" w14:textId="67A19FFB" w:rsidR="005B13BB" w:rsidRDefault="00414E1F">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Por auto de </w:t>
      </w:r>
      <w:r w:rsidR="005B13BB">
        <w:rPr>
          <w:rFonts w:ascii="Arial" w:eastAsia="Arial" w:hAnsi="Arial" w:cs="Arial"/>
          <w:sz w:val="24"/>
          <w:szCs w:val="24"/>
        </w:rPr>
        <w:t xml:space="preserve">cuatro de diciembre de dos mil </w:t>
      </w:r>
      <w:r w:rsidR="00280F75">
        <w:rPr>
          <w:rFonts w:ascii="Arial" w:eastAsia="Arial" w:hAnsi="Arial" w:cs="Arial"/>
          <w:sz w:val="24"/>
          <w:szCs w:val="24"/>
        </w:rPr>
        <w:t>diecinueve</w:t>
      </w:r>
      <w:r>
        <w:rPr>
          <w:rFonts w:ascii="Arial" w:eastAsia="Arial" w:hAnsi="Arial" w:cs="Arial"/>
          <w:sz w:val="24"/>
          <w:szCs w:val="24"/>
        </w:rPr>
        <w:t xml:space="preserve">, la entonces Séptima Sala Unitaria de Primera Instancia de este Tribunal, </w:t>
      </w:r>
      <w:r w:rsidR="005B13BB">
        <w:rPr>
          <w:rFonts w:ascii="Arial" w:eastAsia="Arial" w:hAnsi="Arial" w:cs="Arial"/>
          <w:b/>
          <w:sz w:val="24"/>
          <w:szCs w:val="24"/>
        </w:rPr>
        <w:t xml:space="preserve">reservó admitir a trámite </w:t>
      </w:r>
      <w:r w:rsidR="005B13BB">
        <w:rPr>
          <w:rFonts w:ascii="Arial" w:eastAsia="Arial" w:hAnsi="Arial" w:cs="Arial"/>
          <w:sz w:val="24"/>
          <w:szCs w:val="24"/>
        </w:rPr>
        <w:t xml:space="preserve">la demanda de nulidad y se requirió a la administrada para que dentro del término legal </w:t>
      </w:r>
      <w:r w:rsidR="0025250D">
        <w:rPr>
          <w:rFonts w:ascii="Arial" w:eastAsia="Arial" w:hAnsi="Arial" w:cs="Arial"/>
          <w:sz w:val="24"/>
          <w:szCs w:val="24"/>
        </w:rPr>
        <w:t>cumpliera con el requerimiento efectuado en autos.</w:t>
      </w:r>
    </w:p>
    <w:p w14:paraId="00CCB9D9" w14:textId="473C2E52" w:rsidR="002E5D93" w:rsidRDefault="0025250D" w:rsidP="002E5D93">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 xml:space="preserve">SEGUNDO. </w:t>
      </w:r>
      <w:r w:rsidR="002E5D93">
        <w:rPr>
          <w:rFonts w:ascii="Arial" w:eastAsia="Arial" w:hAnsi="Arial" w:cs="Arial"/>
          <w:sz w:val="24"/>
          <w:szCs w:val="24"/>
        </w:rPr>
        <w:t xml:space="preserve">Por acuerdo de treinta y uno de agosto de dos mil veinte, se le hizo del conocimiento a las partes que mediante Acuerdo General </w:t>
      </w:r>
      <w:r w:rsidR="002E5D93">
        <w:rPr>
          <w:rFonts w:ascii="Arial" w:eastAsia="Arial" w:hAnsi="Arial" w:cs="Arial"/>
          <w:b/>
          <w:sz w:val="24"/>
          <w:szCs w:val="24"/>
        </w:rPr>
        <w:t xml:space="preserve">AG/TJAO/13/2020 </w:t>
      </w:r>
      <w:r w:rsidR="002E5D93">
        <w:rPr>
          <w:rFonts w:ascii="Arial" w:eastAsia="Arial" w:hAnsi="Arial" w:cs="Arial"/>
          <w:sz w:val="24"/>
          <w:szCs w:val="24"/>
        </w:rPr>
        <w:t xml:space="preserve">del Pleno de este Tribunal, se decretó la desaparición de la entonces Séptima Sala Unitaria de Primera Instancia de este Tribunal, y en su lugar la creación de la Sala Especializada en Responsabilidades Administrativas y Combate a la Corrupción del Tribunal de Justicia Administrativa del Estado; por lo que, se aprobó que los expedientes que se encontraban en trámite y resolución en la Séptima Sala Unitaria de Primera Instancia, se turnarían de forma equitativa en las seis Salas Unitarias restantes; por ello, le tocó conocer a esta Sexta Sala Unitaria del expediente </w:t>
      </w:r>
      <w:r w:rsidR="002E5D93">
        <w:rPr>
          <w:rFonts w:ascii="Arial" w:eastAsia="Arial" w:hAnsi="Arial" w:cs="Arial"/>
          <w:b/>
          <w:sz w:val="24"/>
          <w:szCs w:val="24"/>
        </w:rPr>
        <w:t>0144/2019</w:t>
      </w:r>
      <w:r w:rsidR="002E5D93">
        <w:rPr>
          <w:rFonts w:ascii="Arial" w:eastAsia="Arial" w:hAnsi="Arial" w:cs="Arial"/>
          <w:sz w:val="24"/>
          <w:szCs w:val="24"/>
        </w:rPr>
        <w:t xml:space="preserve">, del índice de la Séptima Sala Unitaria, asignándole el número de expediente </w:t>
      </w:r>
      <w:r w:rsidR="002E5D93">
        <w:rPr>
          <w:rFonts w:ascii="Arial" w:eastAsia="Arial" w:hAnsi="Arial" w:cs="Arial"/>
          <w:b/>
          <w:sz w:val="24"/>
          <w:szCs w:val="24"/>
        </w:rPr>
        <w:t>0120/2020</w:t>
      </w:r>
      <w:r w:rsidR="002E5D93">
        <w:rPr>
          <w:rFonts w:ascii="Arial" w:eastAsia="Arial" w:hAnsi="Arial" w:cs="Arial"/>
          <w:sz w:val="24"/>
          <w:szCs w:val="24"/>
        </w:rPr>
        <w:t>.</w:t>
      </w:r>
    </w:p>
    <w:p w14:paraId="00000010" w14:textId="53E646BE" w:rsidR="00FB6062" w:rsidRDefault="002E5D93" w:rsidP="002E5D93">
      <w:pPr>
        <w:spacing w:after="200" w:line="360" w:lineRule="auto"/>
        <w:ind w:right="51" w:firstLine="567"/>
        <w:jc w:val="both"/>
        <w:rPr>
          <w:rFonts w:ascii="Arial" w:eastAsia="Arial" w:hAnsi="Arial" w:cs="Arial"/>
          <w:sz w:val="24"/>
          <w:szCs w:val="24"/>
        </w:rPr>
      </w:pPr>
      <w:r>
        <w:rPr>
          <w:rFonts w:ascii="Arial" w:eastAsia="Arial" w:hAnsi="Arial" w:cs="Arial"/>
          <w:sz w:val="24"/>
          <w:szCs w:val="24"/>
        </w:rPr>
        <w:t xml:space="preserve">En el mismo auto, se </w:t>
      </w:r>
      <w:r w:rsidR="00414E1F">
        <w:rPr>
          <w:rFonts w:ascii="Arial" w:eastAsia="Arial" w:hAnsi="Arial" w:cs="Arial"/>
          <w:b/>
          <w:sz w:val="24"/>
          <w:szCs w:val="24"/>
        </w:rPr>
        <w:t xml:space="preserve">admitió </w:t>
      </w:r>
      <w:r w:rsidR="00414E1F">
        <w:rPr>
          <w:rFonts w:ascii="Arial" w:eastAsia="Arial" w:hAnsi="Arial" w:cs="Arial"/>
          <w:sz w:val="24"/>
          <w:szCs w:val="24"/>
        </w:rPr>
        <w:t xml:space="preserve">a trámite la demanda de nulidad de </w:t>
      </w:r>
      <w:r w:rsidR="005E24AF">
        <w:rPr>
          <w:rFonts w:ascii="Arial" w:eastAsia="Arial" w:hAnsi="Arial" w:cs="Arial"/>
          <w:b/>
          <w:color w:val="FF0000"/>
          <w:sz w:val="24"/>
          <w:szCs w:val="24"/>
        </w:rPr>
        <w:t>**********</w:t>
      </w:r>
      <w:r w:rsidR="00414E1F">
        <w:rPr>
          <w:rFonts w:ascii="Arial" w:eastAsia="Arial" w:hAnsi="Arial" w:cs="Arial"/>
          <w:sz w:val="24"/>
          <w:szCs w:val="24"/>
        </w:rPr>
        <w:t xml:space="preserve">, en contra del </w:t>
      </w:r>
      <w:proofErr w:type="gramStart"/>
      <w:r>
        <w:rPr>
          <w:rFonts w:ascii="Arial" w:eastAsia="Arial" w:hAnsi="Arial" w:cs="Arial"/>
          <w:sz w:val="24"/>
          <w:szCs w:val="24"/>
        </w:rPr>
        <w:t>Jefe</w:t>
      </w:r>
      <w:proofErr w:type="gramEnd"/>
      <w:r>
        <w:rPr>
          <w:rFonts w:ascii="Arial" w:eastAsia="Arial" w:hAnsi="Arial" w:cs="Arial"/>
          <w:sz w:val="24"/>
          <w:szCs w:val="24"/>
        </w:rPr>
        <w:t xml:space="preserve"> de la Unidad Jurídica del Instituto Catastral del Estado de Oaxaca</w:t>
      </w:r>
      <w:r w:rsidR="00414E1F">
        <w:rPr>
          <w:rFonts w:ascii="Arial" w:eastAsia="Arial" w:hAnsi="Arial" w:cs="Arial"/>
          <w:sz w:val="24"/>
          <w:szCs w:val="24"/>
        </w:rPr>
        <w:t xml:space="preserve">; por lo que, se ordenó notificar, emplazar y correr </w:t>
      </w:r>
      <w:r>
        <w:rPr>
          <w:rFonts w:ascii="Arial" w:eastAsia="Arial" w:hAnsi="Arial" w:cs="Arial"/>
          <w:sz w:val="24"/>
          <w:szCs w:val="24"/>
        </w:rPr>
        <w:t xml:space="preserve">traslado </w:t>
      </w:r>
      <w:r>
        <w:rPr>
          <w:rFonts w:ascii="Arial" w:eastAsia="Arial" w:hAnsi="Arial" w:cs="Arial"/>
          <w:sz w:val="24"/>
          <w:szCs w:val="24"/>
        </w:rPr>
        <w:lastRenderedPageBreak/>
        <w:t>a dicha autoridad</w:t>
      </w:r>
      <w:r w:rsidR="00414E1F">
        <w:rPr>
          <w:rFonts w:ascii="Arial" w:eastAsia="Arial" w:hAnsi="Arial" w:cs="Arial"/>
          <w:sz w:val="24"/>
          <w:szCs w:val="24"/>
        </w:rPr>
        <w:t xml:space="preserve">, para que dentro del plazo </w:t>
      </w:r>
      <w:r>
        <w:rPr>
          <w:rFonts w:ascii="Arial" w:eastAsia="Arial" w:hAnsi="Arial" w:cs="Arial"/>
          <w:sz w:val="24"/>
          <w:szCs w:val="24"/>
        </w:rPr>
        <w:t>de nueve días hábiles produjera</w:t>
      </w:r>
      <w:r w:rsidR="00414E1F">
        <w:rPr>
          <w:rFonts w:ascii="Arial" w:eastAsia="Arial" w:hAnsi="Arial" w:cs="Arial"/>
          <w:sz w:val="24"/>
          <w:szCs w:val="24"/>
        </w:rPr>
        <w:t xml:space="preserve"> su contestación, con el apercibimiento, que de no hacerlo de</w:t>
      </w:r>
      <w:r w:rsidR="00D87AA6">
        <w:rPr>
          <w:rFonts w:ascii="Arial" w:eastAsia="Arial" w:hAnsi="Arial" w:cs="Arial"/>
          <w:sz w:val="24"/>
          <w:szCs w:val="24"/>
        </w:rPr>
        <w:t>ntro del plazo concedido, se le</w:t>
      </w:r>
      <w:r w:rsidR="00414E1F">
        <w:rPr>
          <w:rFonts w:ascii="Arial" w:eastAsia="Arial" w:hAnsi="Arial" w:cs="Arial"/>
          <w:sz w:val="24"/>
          <w:szCs w:val="24"/>
        </w:rPr>
        <w:t xml:space="preserve"> tendría contestando la de</w:t>
      </w:r>
      <w:r w:rsidR="00280F75">
        <w:rPr>
          <w:rFonts w:ascii="Arial" w:eastAsia="Arial" w:hAnsi="Arial" w:cs="Arial"/>
          <w:sz w:val="24"/>
          <w:szCs w:val="24"/>
        </w:rPr>
        <w:t>manda en sentido afirmativo</w:t>
      </w:r>
      <w:r w:rsidR="00414E1F">
        <w:rPr>
          <w:rFonts w:ascii="Arial" w:eastAsia="Arial" w:hAnsi="Arial" w:cs="Arial"/>
          <w:sz w:val="24"/>
          <w:szCs w:val="24"/>
        </w:rPr>
        <w:t>.</w:t>
      </w:r>
    </w:p>
    <w:p w14:paraId="00000012" w14:textId="7B83D2A0" w:rsidR="00FB6062" w:rsidRDefault="00D87AA6" w:rsidP="004B3C16">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Mediante proveído de veintiséis de noviembre de dos mil veinte, </w:t>
      </w:r>
      <w:r w:rsidR="00414E1F">
        <w:rPr>
          <w:rFonts w:ascii="Arial" w:eastAsia="Arial" w:hAnsi="Arial" w:cs="Arial"/>
          <w:sz w:val="24"/>
          <w:szCs w:val="24"/>
        </w:rPr>
        <w:t xml:space="preserve">el </w:t>
      </w:r>
      <w:r w:rsidR="004B3C16">
        <w:rPr>
          <w:rFonts w:ascii="Arial" w:eastAsia="Arial" w:hAnsi="Arial" w:cs="Arial"/>
          <w:b/>
          <w:sz w:val="24"/>
          <w:szCs w:val="24"/>
        </w:rPr>
        <w:t>Jefe de la Unidad Jurídica del Instituto Catastral del Estado</w:t>
      </w:r>
      <w:r w:rsidR="00414E1F">
        <w:rPr>
          <w:rFonts w:ascii="Arial" w:eastAsia="Arial" w:hAnsi="Arial" w:cs="Arial"/>
          <w:sz w:val="24"/>
          <w:szCs w:val="24"/>
        </w:rPr>
        <w:t>, contestó la demanda de nulidad, por lo que, se ordenó cor</w:t>
      </w:r>
      <w:r w:rsidR="004B3C16">
        <w:rPr>
          <w:rFonts w:ascii="Arial" w:eastAsia="Arial" w:hAnsi="Arial" w:cs="Arial"/>
          <w:sz w:val="24"/>
          <w:szCs w:val="24"/>
        </w:rPr>
        <w:t>rer traslado a la parte actora para los efectos legales correspondientes; por lo tanto, se señaló día y hora para la celebración de la audiencia final.</w:t>
      </w:r>
    </w:p>
    <w:p w14:paraId="00000013" w14:textId="7E97171E" w:rsidR="00FB6062" w:rsidRDefault="00B638AB">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CUARTO</w:t>
      </w:r>
      <w:r w:rsidR="00414E1F">
        <w:rPr>
          <w:rFonts w:ascii="Arial" w:eastAsia="Arial" w:hAnsi="Arial" w:cs="Arial"/>
          <w:b/>
          <w:sz w:val="24"/>
          <w:szCs w:val="24"/>
        </w:rPr>
        <w:t xml:space="preserve">. </w:t>
      </w:r>
      <w:r>
        <w:rPr>
          <w:rFonts w:ascii="Arial" w:eastAsia="Arial" w:hAnsi="Arial" w:cs="Arial"/>
          <w:sz w:val="24"/>
          <w:szCs w:val="24"/>
        </w:rPr>
        <w:t>El diecisiete de</w:t>
      </w:r>
      <w:r w:rsidR="001C7FD2">
        <w:rPr>
          <w:rFonts w:ascii="Arial" w:eastAsia="Arial" w:hAnsi="Arial" w:cs="Arial"/>
          <w:sz w:val="24"/>
          <w:szCs w:val="24"/>
        </w:rPr>
        <w:t xml:space="preserve"> febrero de dos mil veintiuno, se prorrogó la audiencia final señalada para esa fecha y se ordenó enviar oficio a la Primera Sala Unitaria de Primera Instancia de este Tribunal, para que remitiera los autos del expediente 143/2017 de su índice.</w:t>
      </w:r>
    </w:p>
    <w:p w14:paraId="29B0CC37" w14:textId="65DC1F8A" w:rsidR="001C7FD2" w:rsidRPr="005D1B8B" w:rsidRDefault="001C7FD2" w:rsidP="00441062">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QUINTO. </w:t>
      </w:r>
      <w:r w:rsidR="005D1B8B">
        <w:rPr>
          <w:rFonts w:ascii="Arial" w:eastAsia="Arial" w:hAnsi="Arial" w:cs="Arial"/>
          <w:sz w:val="24"/>
          <w:szCs w:val="24"/>
        </w:rPr>
        <w:t xml:space="preserve">Por acuerdo de seis de mayo de dos mil veintiuno, </w:t>
      </w:r>
      <w:r w:rsidR="00441062">
        <w:rPr>
          <w:rFonts w:ascii="Arial" w:eastAsia="Arial" w:hAnsi="Arial" w:cs="Arial"/>
          <w:sz w:val="24"/>
          <w:szCs w:val="24"/>
        </w:rPr>
        <w:t xml:space="preserve">se dio cuenta con el oficio </w:t>
      </w:r>
      <w:r w:rsidR="00441062">
        <w:rPr>
          <w:rFonts w:ascii="Arial" w:eastAsia="Arial" w:hAnsi="Arial" w:cs="Arial"/>
          <w:b/>
          <w:sz w:val="24"/>
          <w:szCs w:val="24"/>
        </w:rPr>
        <w:t>TJAO/1°SUPI/447/2021</w:t>
      </w:r>
      <w:r w:rsidR="00441062">
        <w:rPr>
          <w:rFonts w:ascii="Arial" w:eastAsia="Arial" w:hAnsi="Arial" w:cs="Arial"/>
          <w:sz w:val="24"/>
          <w:szCs w:val="24"/>
        </w:rPr>
        <w:t xml:space="preserve">, por medio del cual </w:t>
      </w:r>
      <w:r w:rsidR="005D1B8B">
        <w:rPr>
          <w:rFonts w:ascii="Arial" w:eastAsia="Arial" w:hAnsi="Arial" w:cs="Arial"/>
          <w:sz w:val="24"/>
          <w:szCs w:val="24"/>
        </w:rPr>
        <w:t>el Magistrado Titular de la Primera Sala Unitaria de Primera Instancia de este Tribunal, remitió copias certificadas de todo lo actuado en el expediente 143/2017 de su índice, por lo que, se señaló día y hora para la continuación de la audiencia final.</w:t>
      </w:r>
    </w:p>
    <w:p w14:paraId="00000014" w14:textId="528C6690" w:rsidR="00FB6062" w:rsidRDefault="005D1B8B">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SEXTO</w:t>
      </w:r>
      <w:r w:rsidR="00414E1F">
        <w:rPr>
          <w:rFonts w:ascii="Arial" w:eastAsia="Arial" w:hAnsi="Arial" w:cs="Arial"/>
          <w:b/>
          <w:sz w:val="24"/>
          <w:szCs w:val="24"/>
        </w:rPr>
        <w:t xml:space="preserve">. </w:t>
      </w:r>
      <w:r w:rsidR="00414E1F">
        <w:rPr>
          <w:rFonts w:ascii="Arial" w:eastAsia="Arial" w:hAnsi="Arial" w:cs="Arial"/>
          <w:sz w:val="24"/>
          <w:szCs w:val="24"/>
        </w:rPr>
        <w:t xml:space="preserve">Finalmente, el </w:t>
      </w:r>
      <w:r>
        <w:rPr>
          <w:rFonts w:ascii="Arial" w:eastAsia="Arial" w:hAnsi="Arial" w:cs="Arial"/>
          <w:sz w:val="24"/>
          <w:szCs w:val="24"/>
        </w:rPr>
        <w:t>dieciséis de junio</w:t>
      </w:r>
      <w:r w:rsidR="00414E1F">
        <w:rPr>
          <w:rFonts w:ascii="Arial" w:eastAsia="Arial" w:hAnsi="Arial" w:cs="Arial"/>
          <w:sz w:val="24"/>
          <w:szCs w:val="24"/>
        </w:rPr>
        <w:t xml:space="preserve"> de dos mil veintiuno, se </w:t>
      </w:r>
      <w:r w:rsidR="004634D3">
        <w:rPr>
          <w:rFonts w:ascii="Arial" w:eastAsia="Arial" w:hAnsi="Arial" w:cs="Arial"/>
          <w:sz w:val="24"/>
          <w:szCs w:val="24"/>
        </w:rPr>
        <w:t xml:space="preserve">continuó con </w:t>
      </w:r>
      <w:r w:rsidR="00414E1F">
        <w:rPr>
          <w:rFonts w:ascii="Arial" w:eastAsia="Arial" w:hAnsi="Arial" w:cs="Arial"/>
          <w:sz w:val="24"/>
          <w:szCs w:val="24"/>
        </w:rPr>
        <w:t>la audiencia final, sin comparecencia de las partes ni persona alguna que legalmente las representara; se desahogaron las pruebas ofrecidas, se abrió el periodo de alegatos, en el que se dio cuenta que ninguna de las partes presentaron escrito de alegatos, por lo que se declaró por precluido su derecho correspondiente; declarándose cerrada la etapa de instrucción; y, por último se citó para oír sentencia.</w:t>
      </w:r>
    </w:p>
    <w:p w14:paraId="00000015" w14:textId="2EB93D3E" w:rsidR="00FB6062" w:rsidRDefault="005D1B8B">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SÉPTIMO</w:t>
      </w:r>
      <w:r w:rsidR="00414E1F">
        <w:rPr>
          <w:rFonts w:ascii="Arial" w:eastAsia="Arial" w:hAnsi="Arial" w:cs="Arial"/>
          <w:b/>
          <w:sz w:val="24"/>
          <w:szCs w:val="24"/>
        </w:rPr>
        <w:t xml:space="preserve">. </w:t>
      </w:r>
      <w:r w:rsidR="00414E1F">
        <w:rPr>
          <w:rFonts w:ascii="Arial" w:eastAsia="Arial" w:hAnsi="Arial" w:cs="Arial"/>
          <w:sz w:val="24"/>
          <w:szCs w:val="24"/>
        </w:rPr>
        <w:t>Por auto de uno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w:t>
      </w:r>
      <w:r w:rsidR="005E6407">
        <w:rPr>
          <w:rFonts w:ascii="Arial" w:eastAsia="Arial" w:hAnsi="Arial" w:cs="Arial"/>
          <w:sz w:val="24"/>
          <w:szCs w:val="24"/>
        </w:rPr>
        <w:t xml:space="preserve">ma que ahora se pronuncia. - - - - - - - - - - - - - - - - - - - - - - - - - - - - - - - - - </w:t>
      </w:r>
    </w:p>
    <w:p w14:paraId="00000016" w14:textId="77777777" w:rsidR="00FB6062" w:rsidRDefault="00414E1F">
      <w:pPr>
        <w:pBdr>
          <w:top w:val="nil"/>
          <w:left w:val="nil"/>
          <w:bottom w:val="nil"/>
          <w:right w:val="nil"/>
          <w:between w:val="nil"/>
        </w:pBdr>
        <w:tabs>
          <w:tab w:val="center" w:pos="4419"/>
          <w:tab w:val="right" w:pos="8838"/>
        </w:tabs>
        <w:spacing w:before="240" w:after="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784C2916" w14:textId="06C69A52" w:rsidR="00BF7EC7" w:rsidRPr="00BF7EC7" w:rsidRDefault="005123EC" w:rsidP="00BF7EC7">
      <w:pPr>
        <w:spacing w:before="240" w:after="0" w:line="360" w:lineRule="auto"/>
        <w:ind w:right="-93" w:firstLine="567"/>
        <w:jc w:val="both"/>
        <w:rPr>
          <w:rFonts w:ascii="Arial" w:eastAsiaTheme="minorHAnsi" w:hAnsi="Arial" w:cs="Arial"/>
          <w:sz w:val="24"/>
          <w:szCs w:val="24"/>
          <w:lang w:eastAsia="en-US"/>
        </w:rPr>
      </w:pPr>
      <w:r>
        <w:rPr>
          <w:rFonts w:ascii="Arial" w:eastAsiaTheme="minorHAnsi" w:hAnsi="Arial" w:cs="Arial"/>
          <w:b/>
          <w:sz w:val="24"/>
          <w:szCs w:val="24"/>
          <w:lang w:eastAsia="en-US"/>
        </w:rPr>
        <w:t xml:space="preserve">PRIMERO. </w:t>
      </w:r>
      <w:r w:rsidR="00BF7EC7" w:rsidRPr="00BF7EC7">
        <w:rPr>
          <w:rFonts w:ascii="Arial" w:eastAsiaTheme="minorHAnsi" w:hAnsi="Arial" w:cs="Arial"/>
          <w:sz w:val="24"/>
          <w:szCs w:val="24"/>
          <w:lang w:eastAsia="en-US"/>
        </w:rPr>
        <w:t xml:space="preserve">Esta </w:t>
      </w:r>
      <w:r w:rsidR="00BF7EC7">
        <w:rPr>
          <w:rFonts w:ascii="Arial" w:eastAsiaTheme="minorHAnsi" w:hAnsi="Arial" w:cs="Arial"/>
          <w:sz w:val="24"/>
          <w:szCs w:val="24"/>
          <w:lang w:eastAsia="en-US"/>
        </w:rPr>
        <w:t>Sexta</w:t>
      </w:r>
      <w:r w:rsidR="00BF7EC7" w:rsidRPr="00BF7EC7">
        <w:rPr>
          <w:rFonts w:ascii="Arial" w:eastAsiaTheme="minorHAnsi" w:hAnsi="Arial" w:cs="Arial"/>
          <w:sz w:val="24"/>
          <w:szCs w:val="24"/>
          <w:lang w:eastAsia="en-US"/>
        </w:rPr>
        <w:t xml:space="preserve"> Sala Unitaria del Tribunal de Justicia Administrativa del Estado de Oaxaca, </w:t>
      </w:r>
      <w:r w:rsidR="00BF7EC7" w:rsidRPr="00BF7EC7">
        <w:rPr>
          <w:rFonts w:ascii="Arial" w:eastAsiaTheme="minorHAnsi" w:hAnsi="Arial" w:cs="Arial"/>
          <w:b/>
          <w:sz w:val="24"/>
          <w:szCs w:val="24"/>
          <w:lang w:eastAsia="en-US"/>
        </w:rPr>
        <w:t>es competente</w:t>
      </w:r>
      <w:r w:rsidR="00BF7EC7" w:rsidRPr="00BF7EC7">
        <w:rPr>
          <w:rFonts w:ascii="Arial" w:eastAsiaTheme="minorHAnsi" w:hAnsi="Arial" w:cs="Arial"/>
          <w:sz w:val="24"/>
          <w:szCs w:val="24"/>
          <w:lang w:eastAsia="en-US"/>
        </w:rPr>
        <w:t xml:space="preserve"> para conocer del presente asunto en términos de lo dispuesto por </w:t>
      </w:r>
      <w:r w:rsidR="00BF7EC7" w:rsidRPr="00BF7EC7">
        <w:rPr>
          <w:rFonts w:ascii="Arial" w:eastAsiaTheme="minorHAnsi" w:hAnsi="Arial" w:cs="Arial"/>
          <w:color w:val="000000"/>
          <w:sz w:val="24"/>
          <w:szCs w:val="24"/>
          <w:lang w:eastAsia="en-US"/>
        </w:rPr>
        <w:t xml:space="preserve">los artículos 116 fracción V, </w:t>
      </w:r>
      <w:r w:rsidR="00BF7EC7" w:rsidRPr="00BF7EC7">
        <w:rPr>
          <w:rFonts w:ascii="Arial" w:eastAsiaTheme="minorHAnsi" w:hAnsi="Arial" w:cs="Arial"/>
          <w:color w:val="000000"/>
          <w:sz w:val="24"/>
          <w:szCs w:val="24"/>
          <w:lang w:eastAsia="en-US"/>
        </w:rPr>
        <w:lastRenderedPageBreak/>
        <w:t>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00BF7EC7" w:rsidRPr="00BF7EC7">
        <w:rPr>
          <w:rFonts w:ascii="Arial" w:eastAsiaTheme="minorHAnsi" w:hAnsi="Arial" w:cs="Arial"/>
          <w:sz w:val="24"/>
          <w:szCs w:val="24"/>
          <w:lang w:eastAsia="en-US"/>
        </w:rPr>
        <w:t xml:space="preserve">, por tratarse de un juicio de nulidad promovido en contra de una autoridad administrativa de </w:t>
      </w:r>
      <w:r w:rsidR="00BF7EC7" w:rsidRPr="00BF7EC7">
        <w:rPr>
          <w:rFonts w:ascii="Arial" w:eastAsiaTheme="minorHAnsi" w:hAnsi="Arial" w:cs="Arial"/>
          <w:b/>
          <w:sz w:val="24"/>
          <w:szCs w:val="24"/>
          <w:lang w:eastAsia="en-US"/>
        </w:rPr>
        <w:t>carácter estatal</w:t>
      </w:r>
      <w:r w:rsidR="00BF7EC7" w:rsidRPr="00BF7EC7">
        <w:rPr>
          <w:rFonts w:ascii="Arial" w:eastAsiaTheme="minorHAnsi" w:hAnsi="Arial" w:cs="Arial"/>
          <w:sz w:val="24"/>
          <w:szCs w:val="24"/>
          <w:lang w:eastAsia="en-US"/>
        </w:rPr>
        <w:t>.</w:t>
      </w:r>
    </w:p>
    <w:p w14:paraId="1CD11B05" w14:textId="7E0F6FC1" w:rsidR="00BF7EC7" w:rsidRPr="00BF7EC7" w:rsidRDefault="005123EC" w:rsidP="00BF7EC7">
      <w:pPr>
        <w:tabs>
          <w:tab w:val="left" w:pos="6946"/>
        </w:tabs>
        <w:spacing w:before="240" w:after="0" w:line="360" w:lineRule="auto"/>
        <w:ind w:right="-93" w:firstLine="567"/>
        <w:jc w:val="both"/>
        <w:rPr>
          <w:rFonts w:ascii="Arial" w:eastAsiaTheme="minorHAnsi" w:hAnsi="Arial" w:cs="Arial"/>
          <w:b/>
          <w:sz w:val="24"/>
          <w:szCs w:val="24"/>
          <w:lang w:eastAsia="en-US"/>
        </w:rPr>
      </w:pPr>
      <w:r>
        <w:rPr>
          <w:rFonts w:ascii="Arial" w:eastAsiaTheme="minorHAnsi" w:hAnsi="Arial" w:cs="Arial"/>
          <w:b/>
          <w:sz w:val="24"/>
          <w:szCs w:val="24"/>
          <w:lang w:eastAsia="en-US"/>
        </w:rPr>
        <w:t xml:space="preserve">SEGUNDO. </w:t>
      </w:r>
      <w:r w:rsidR="00BF7EC7" w:rsidRPr="00BF7EC7">
        <w:rPr>
          <w:rFonts w:ascii="Arial" w:eastAsiaTheme="minorHAnsi" w:hAnsi="Arial" w:cs="Arial"/>
          <w:sz w:val="24"/>
          <w:szCs w:val="24"/>
          <w:lang w:eastAsia="en-US"/>
        </w:rPr>
        <w:t xml:space="preserve">La </w:t>
      </w:r>
      <w:r w:rsidR="00BF7EC7" w:rsidRPr="00BF7EC7">
        <w:rPr>
          <w:rFonts w:ascii="Arial" w:eastAsiaTheme="minorHAnsi" w:hAnsi="Arial" w:cs="Arial"/>
          <w:b/>
          <w:sz w:val="24"/>
          <w:szCs w:val="24"/>
          <w:lang w:eastAsia="en-US"/>
        </w:rPr>
        <w:t xml:space="preserve">personalidad </w:t>
      </w:r>
      <w:r w:rsidR="00BF7EC7" w:rsidRPr="00BF7EC7">
        <w:rPr>
          <w:rFonts w:ascii="Arial" w:eastAsiaTheme="minorHAnsi" w:hAnsi="Arial" w:cs="Arial"/>
          <w:sz w:val="24"/>
          <w:szCs w:val="24"/>
          <w:lang w:eastAsia="en-US"/>
        </w:rPr>
        <w:t xml:space="preserve">de las partes quedó acreditada en autos, toda vez que </w:t>
      </w:r>
      <w:r w:rsidR="00BF7EC7" w:rsidRPr="00BF7EC7">
        <w:rPr>
          <w:rFonts w:ascii="Arial" w:eastAsiaTheme="minorHAnsi" w:hAnsi="Arial" w:cs="Arial"/>
          <w:b/>
          <w:sz w:val="24"/>
          <w:szCs w:val="24"/>
          <w:lang w:eastAsia="en-US"/>
        </w:rPr>
        <w:t>la parte actora</w:t>
      </w:r>
      <w:r w:rsidR="00BF7EC7" w:rsidRPr="00BF7EC7">
        <w:rPr>
          <w:rFonts w:ascii="Arial" w:eastAsiaTheme="minorHAnsi" w:hAnsi="Arial" w:cs="Arial"/>
          <w:sz w:val="24"/>
          <w:szCs w:val="24"/>
          <w:lang w:eastAsia="en-US"/>
        </w:rPr>
        <w:t xml:space="preserve"> promovió el juicio de nulidad por propio derecho, conforme lo previsto por el artículo 148, de la Ley de Procedimiento y Justicia Administrativa para el Estado de Oaxaca; y la de la </w:t>
      </w:r>
      <w:r w:rsidR="00BF7EC7" w:rsidRPr="00BF7EC7">
        <w:rPr>
          <w:rFonts w:ascii="Arial" w:eastAsiaTheme="minorHAnsi" w:hAnsi="Arial" w:cs="Arial"/>
          <w:b/>
          <w:sz w:val="24"/>
          <w:szCs w:val="24"/>
          <w:lang w:eastAsia="en-US"/>
        </w:rPr>
        <w:t>autoridad demandada</w:t>
      </w:r>
      <w:r w:rsidR="00BF7EC7" w:rsidRPr="00BF7EC7">
        <w:rPr>
          <w:rFonts w:ascii="Arial" w:eastAsiaTheme="minorHAnsi" w:hAnsi="Arial" w:cs="Arial"/>
          <w:sz w:val="24"/>
          <w:szCs w:val="24"/>
          <w:lang w:eastAsia="en-US"/>
        </w:rPr>
        <w:t xml:space="preserve"> no fue impugnada, acreditándose así en términos del artículo 151</w:t>
      </w:r>
      <w:r w:rsidR="00BF7EC7" w:rsidRPr="00BF7EC7">
        <w:rPr>
          <w:rFonts w:ascii="Arial" w:eastAsiaTheme="minorHAnsi" w:hAnsi="Arial" w:cs="Arial"/>
          <w:sz w:val="24"/>
          <w:szCs w:val="24"/>
          <w:vertAlign w:val="superscript"/>
          <w:lang w:eastAsia="en-US"/>
        </w:rPr>
        <w:footnoteReference w:id="1"/>
      </w:r>
      <w:r w:rsidR="00BF7EC7" w:rsidRPr="00BF7EC7">
        <w:rPr>
          <w:rFonts w:ascii="Arial" w:eastAsiaTheme="minorHAnsi" w:hAnsi="Arial" w:cs="Arial"/>
          <w:sz w:val="24"/>
          <w:szCs w:val="24"/>
          <w:lang w:eastAsia="en-US"/>
        </w:rPr>
        <w:t xml:space="preserve"> de la Ley en cita. </w:t>
      </w:r>
    </w:p>
    <w:p w14:paraId="0DABCE65" w14:textId="240E1A5E" w:rsidR="00A60C7A" w:rsidRDefault="00BF7EC7" w:rsidP="00A60C7A">
      <w:pPr>
        <w:spacing w:line="360" w:lineRule="auto"/>
        <w:ind w:right="51" w:firstLine="567"/>
        <w:jc w:val="both"/>
        <w:rPr>
          <w:rFonts w:ascii="Arial" w:eastAsia="Arial" w:hAnsi="Arial" w:cs="Arial"/>
          <w:sz w:val="24"/>
          <w:szCs w:val="24"/>
        </w:rPr>
      </w:pPr>
      <w:r w:rsidRPr="00BF7EC7">
        <w:rPr>
          <w:rFonts w:ascii="Arial" w:eastAsiaTheme="minorHAnsi" w:hAnsi="Arial" w:cs="Arial"/>
          <w:b/>
          <w:sz w:val="24"/>
          <w:szCs w:val="24"/>
          <w:lang w:eastAsia="en-US"/>
        </w:rPr>
        <w:t>TERCERO. Causales de Improcedencia y Sobreseimiento</w:t>
      </w:r>
      <w:r w:rsidRPr="00BF7EC7">
        <w:rPr>
          <w:rFonts w:ascii="Arial" w:eastAsiaTheme="minorHAnsi" w:hAnsi="Arial" w:cs="Arial"/>
          <w:sz w:val="24"/>
          <w:szCs w:val="24"/>
          <w:lang w:eastAsia="en-US"/>
        </w:rPr>
        <w:t xml:space="preserve">. </w:t>
      </w:r>
      <w:r w:rsidR="00A60C7A">
        <w:rPr>
          <w:rFonts w:ascii="Arial" w:eastAsia="Arial" w:hAnsi="Arial" w:cs="Arial"/>
          <w:sz w:val="24"/>
          <w:szCs w:val="24"/>
        </w:rPr>
        <w:t xml:space="preserve">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w:t>
      </w:r>
      <w:r w:rsidR="004634D3">
        <w:rPr>
          <w:rFonts w:ascii="Arial" w:eastAsia="Arial" w:hAnsi="Arial" w:cs="Arial"/>
          <w:sz w:val="24"/>
          <w:szCs w:val="24"/>
        </w:rPr>
        <w:t>la juzgadora</w:t>
      </w:r>
      <w:r w:rsidR="00A60C7A">
        <w:rPr>
          <w:rFonts w:ascii="Arial" w:eastAsia="Arial" w:hAnsi="Arial" w:cs="Arial"/>
          <w:sz w:val="24"/>
          <w:szCs w:val="24"/>
        </w:rPr>
        <w:t xml:space="preserve"> se vería impedido para resolver la controversia sometida a su jurisdicción. Esto, porque conforme al artículo 17 párrafo segundo de la Constitución Política de los Estados Unidos Mexicanos</w:t>
      </w:r>
      <w:r w:rsidR="00A60C7A">
        <w:rPr>
          <w:rFonts w:ascii="Arial" w:eastAsia="Arial" w:hAnsi="Arial" w:cs="Arial"/>
          <w:sz w:val="24"/>
          <w:szCs w:val="24"/>
          <w:vertAlign w:val="superscript"/>
        </w:rPr>
        <w:footnoteReference w:id="2"/>
      </w:r>
      <w:r w:rsidR="00A60C7A">
        <w:rPr>
          <w:rFonts w:ascii="Arial" w:eastAsia="Arial" w:hAnsi="Arial" w:cs="Arial"/>
          <w:sz w:val="24"/>
          <w:szCs w:val="24"/>
        </w:rPr>
        <w:t>, es el deber de las autoridades ajustarse a los mecanismos jurídicos establecidos por el legislador para el ejercicio de jurisdicción.</w:t>
      </w:r>
    </w:p>
    <w:p w14:paraId="1319BE14" w14:textId="7B665A05" w:rsidR="00A60C7A" w:rsidRDefault="00A60C7A" w:rsidP="00A60C7A">
      <w:pPr>
        <w:spacing w:line="360" w:lineRule="auto"/>
        <w:ind w:right="51" w:firstLine="567"/>
        <w:jc w:val="both"/>
        <w:rPr>
          <w:rFonts w:ascii="Arial" w:eastAsia="Arial" w:hAnsi="Arial" w:cs="Arial"/>
          <w:sz w:val="24"/>
          <w:szCs w:val="24"/>
        </w:rPr>
      </w:pPr>
      <w:r>
        <w:rPr>
          <w:rFonts w:ascii="Arial" w:eastAsia="Arial" w:hAnsi="Arial" w:cs="Arial"/>
          <w:sz w:val="24"/>
          <w:szCs w:val="24"/>
        </w:rPr>
        <w:t>Por esta razón, se estima que las causales de improcedencia y sobreseimiento del juicio, al ser de orden público, debe</w:t>
      </w:r>
      <w:r w:rsidR="00ED2F0A">
        <w:rPr>
          <w:rFonts w:ascii="Arial" w:eastAsia="Arial" w:hAnsi="Arial" w:cs="Arial"/>
          <w:sz w:val="24"/>
          <w:szCs w:val="24"/>
        </w:rPr>
        <w:t>n</w:t>
      </w:r>
      <w:r>
        <w:rPr>
          <w:rFonts w:ascii="Arial" w:eastAsia="Arial" w:hAnsi="Arial" w:cs="Arial"/>
          <w:sz w:val="24"/>
          <w:szCs w:val="24"/>
        </w:rPr>
        <w:t xml:space="preserve"> estudiarse de oficio aun cuando las partes no lo hayan propuesto a la resolutora, ya que, de actualizarse las hipótesis normativas, ello impide la resolución de fondo del asunto y deberá decretarse su sobreseimiento, en términos de los artículos 161 y 162, de la Ley de la materia.</w:t>
      </w:r>
    </w:p>
    <w:p w14:paraId="5F983BFE" w14:textId="13C836A7" w:rsidR="00A60C7A" w:rsidRDefault="00A60C7A" w:rsidP="00A60C7A">
      <w:pPr>
        <w:spacing w:line="360" w:lineRule="auto"/>
        <w:ind w:right="51" w:firstLine="567"/>
        <w:jc w:val="both"/>
        <w:rPr>
          <w:rFonts w:ascii="Arial" w:eastAsia="Arial" w:hAnsi="Arial" w:cs="Arial"/>
          <w:sz w:val="24"/>
          <w:szCs w:val="24"/>
        </w:rPr>
      </w:pPr>
      <w:r>
        <w:rPr>
          <w:rFonts w:ascii="Arial" w:eastAsia="Arial" w:hAnsi="Arial" w:cs="Arial"/>
          <w:sz w:val="24"/>
          <w:szCs w:val="24"/>
        </w:rPr>
        <w:t>En ese sentido, el Jefe de la Unidad Jurídica del Instituto Catastral del Estado, solicita el sobreseimiento del presente juicio de nulidad, en virtud, de que a su consideración se actualiz</w:t>
      </w:r>
      <w:r w:rsidR="00ED2F0A">
        <w:rPr>
          <w:rFonts w:ascii="Arial" w:eastAsia="Arial" w:hAnsi="Arial" w:cs="Arial"/>
          <w:sz w:val="24"/>
          <w:szCs w:val="24"/>
        </w:rPr>
        <w:t xml:space="preserve">a la causal de improcedencia </w:t>
      </w:r>
      <w:r>
        <w:rPr>
          <w:rFonts w:ascii="Arial" w:eastAsia="Arial" w:hAnsi="Arial" w:cs="Arial"/>
          <w:sz w:val="24"/>
          <w:szCs w:val="24"/>
        </w:rPr>
        <w:t xml:space="preserve">prevista en la </w:t>
      </w:r>
      <w:r>
        <w:rPr>
          <w:rFonts w:ascii="Arial" w:eastAsia="Arial" w:hAnsi="Arial" w:cs="Arial"/>
          <w:sz w:val="24"/>
          <w:szCs w:val="24"/>
        </w:rPr>
        <w:lastRenderedPageBreak/>
        <w:t>fracción IV del artículo 161 de la Ley de Procedimiento y Justicia Administrativa para el Estado, que señala:</w:t>
      </w:r>
    </w:p>
    <w:p w14:paraId="49B76153" w14:textId="3D04196B" w:rsidR="00A60C7A" w:rsidRPr="009A55D2" w:rsidRDefault="009A55D2" w:rsidP="009A55D2">
      <w:pPr>
        <w:spacing w:line="276" w:lineRule="auto"/>
        <w:ind w:left="709" w:right="616" w:firstLine="567"/>
        <w:jc w:val="both"/>
        <w:rPr>
          <w:rFonts w:ascii="Arial" w:eastAsia="Arial" w:hAnsi="Arial" w:cs="Arial"/>
          <w:i/>
          <w:szCs w:val="24"/>
        </w:rPr>
      </w:pPr>
      <w:r w:rsidRPr="009A55D2">
        <w:rPr>
          <w:rFonts w:ascii="Arial" w:eastAsia="Arial" w:hAnsi="Arial" w:cs="Arial"/>
          <w:i/>
          <w:szCs w:val="24"/>
        </w:rPr>
        <w:t>“</w:t>
      </w:r>
      <w:r w:rsidR="00A60C7A" w:rsidRPr="009A55D2">
        <w:rPr>
          <w:rFonts w:ascii="Arial" w:eastAsia="Arial" w:hAnsi="Arial" w:cs="Arial"/>
          <w:b/>
          <w:i/>
          <w:szCs w:val="24"/>
        </w:rPr>
        <w:t>ARTÍCULO 161.-</w:t>
      </w:r>
      <w:r w:rsidR="00A60C7A" w:rsidRPr="009A55D2">
        <w:rPr>
          <w:rFonts w:ascii="Arial" w:eastAsia="Arial" w:hAnsi="Arial" w:cs="Arial"/>
          <w:i/>
          <w:szCs w:val="24"/>
        </w:rPr>
        <w:t xml:space="preserve"> Es improcedente el juicio ante el Tribunal contra actos:</w:t>
      </w:r>
    </w:p>
    <w:p w14:paraId="298262C7" w14:textId="3CEF2E02" w:rsidR="00A60C7A" w:rsidRPr="009A55D2" w:rsidRDefault="00A60C7A" w:rsidP="009A55D2">
      <w:pPr>
        <w:spacing w:line="276" w:lineRule="auto"/>
        <w:ind w:left="709" w:right="616" w:firstLine="567"/>
        <w:jc w:val="both"/>
        <w:rPr>
          <w:rFonts w:ascii="Arial" w:eastAsia="Arial" w:hAnsi="Arial" w:cs="Arial"/>
          <w:i/>
          <w:szCs w:val="24"/>
        </w:rPr>
      </w:pPr>
      <w:r w:rsidRPr="009A55D2">
        <w:rPr>
          <w:rFonts w:ascii="Arial" w:eastAsia="Arial" w:hAnsi="Arial" w:cs="Arial"/>
          <w:i/>
          <w:szCs w:val="24"/>
        </w:rPr>
        <w:t>(…)</w:t>
      </w:r>
    </w:p>
    <w:p w14:paraId="207B8021" w14:textId="3BE53BD3" w:rsidR="00A60C7A" w:rsidRPr="009A55D2" w:rsidRDefault="00A60C7A" w:rsidP="009A55D2">
      <w:pPr>
        <w:spacing w:line="276" w:lineRule="auto"/>
        <w:ind w:left="709" w:right="616" w:firstLine="567"/>
        <w:jc w:val="both"/>
        <w:rPr>
          <w:rFonts w:ascii="Arial" w:eastAsia="Arial" w:hAnsi="Arial" w:cs="Arial"/>
          <w:i/>
          <w:szCs w:val="24"/>
        </w:rPr>
      </w:pPr>
      <w:r w:rsidRPr="009A55D2">
        <w:rPr>
          <w:rFonts w:ascii="Arial" w:eastAsia="Arial" w:hAnsi="Arial" w:cs="Arial"/>
          <w:i/>
          <w:szCs w:val="24"/>
        </w:rPr>
        <w:t xml:space="preserve">IV. Que hayan sido materia de otro juicio contencioso administrativo, en el que exista identidad de partes y se trate del mismo acto impugnado, aunque las violaciones </w:t>
      </w:r>
      <w:r w:rsidR="009A55D2" w:rsidRPr="009A55D2">
        <w:rPr>
          <w:rFonts w:ascii="Arial" w:eastAsia="Arial" w:hAnsi="Arial" w:cs="Arial"/>
          <w:i/>
          <w:szCs w:val="24"/>
        </w:rPr>
        <w:t>alegadas sean distintas;”</w:t>
      </w:r>
    </w:p>
    <w:p w14:paraId="43DF10E7" w14:textId="0EB974F9" w:rsidR="00A60C7A" w:rsidRDefault="009A55D2" w:rsidP="00A60C7A">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Argumenta la autoridad demandada, que se actualiza dicha causal de improcedencia, toda vez que el oficio </w:t>
      </w:r>
      <w:r w:rsidR="005E24AF">
        <w:rPr>
          <w:rFonts w:ascii="Arial" w:eastAsia="Arial" w:hAnsi="Arial" w:cs="Arial"/>
          <w:sz w:val="24"/>
          <w:szCs w:val="24"/>
        </w:rPr>
        <w:t>**********</w:t>
      </w:r>
      <w:r>
        <w:rPr>
          <w:rFonts w:ascii="Arial" w:eastAsia="Arial" w:hAnsi="Arial" w:cs="Arial"/>
          <w:sz w:val="24"/>
          <w:szCs w:val="24"/>
        </w:rPr>
        <w:t xml:space="preserve">, de doce de julio de dos mil diecinueve, se emitió en cumplimiento a la sentencia de treinta de mayo de dos mil dieciocho, dictada en el expediente </w:t>
      </w:r>
      <w:r>
        <w:rPr>
          <w:rFonts w:ascii="Arial" w:eastAsia="Arial" w:hAnsi="Arial" w:cs="Arial"/>
          <w:b/>
          <w:sz w:val="24"/>
          <w:szCs w:val="24"/>
        </w:rPr>
        <w:t xml:space="preserve">0143/2017 </w:t>
      </w:r>
      <w:r>
        <w:rPr>
          <w:rFonts w:ascii="Arial" w:eastAsia="Arial" w:hAnsi="Arial" w:cs="Arial"/>
          <w:sz w:val="24"/>
          <w:szCs w:val="24"/>
        </w:rPr>
        <w:t>del índice de la Primera Sala Unitaria de Primera Instancia de este Tribunal.</w:t>
      </w:r>
    </w:p>
    <w:p w14:paraId="636D7AFB" w14:textId="3AA4F759" w:rsidR="003A770A" w:rsidRDefault="009A55D2" w:rsidP="003A770A">
      <w:pPr>
        <w:spacing w:line="360" w:lineRule="auto"/>
        <w:ind w:right="51" w:firstLine="567"/>
        <w:jc w:val="both"/>
        <w:rPr>
          <w:rFonts w:ascii="Arial" w:eastAsia="Arial" w:hAnsi="Arial" w:cs="Arial"/>
          <w:sz w:val="24"/>
          <w:szCs w:val="24"/>
        </w:rPr>
      </w:pPr>
      <w:r>
        <w:rPr>
          <w:rFonts w:ascii="Arial" w:eastAsia="Arial" w:hAnsi="Arial" w:cs="Arial"/>
          <w:sz w:val="24"/>
          <w:szCs w:val="24"/>
        </w:rPr>
        <w:t>Lo anterior, ya que en dicha sentencia la Primera Sala Unitaria de Primera Instancia declaró la</w:t>
      </w:r>
      <w:r w:rsidR="008869B1">
        <w:rPr>
          <w:rFonts w:ascii="Arial" w:eastAsia="Arial" w:hAnsi="Arial" w:cs="Arial"/>
          <w:sz w:val="24"/>
          <w:szCs w:val="24"/>
        </w:rPr>
        <w:t xml:space="preserve"> nulidad de la resolución contenida en el oficio </w:t>
      </w:r>
      <w:r w:rsidR="005E24AF">
        <w:rPr>
          <w:rFonts w:ascii="Arial" w:eastAsia="Arial" w:hAnsi="Arial" w:cs="Arial"/>
          <w:sz w:val="24"/>
          <w:szCs w:val="24"/>
        </w:rPr>
        <w:t>**********</w:t>
      </w:r>
      <w:r w:rsidR="008869B1">
        <w:rPr>
          <w:rFonts w:ascii="Arial" w:eastAsia="Arial" w:hAnsi="Arial" w:cs="Arial"/>
          <w:sz w:val="24"/>
          <w:szCs w:val="24"/>
        </w:rPr>
        <w:t xml:space="preserve">, de veinticinco de septiembre de dos mil diecisiete, para el efecto de que </w:t>
      </w:r>
      <w:r w:rsidR="003A770A">
        <w:rPr>
          <w:rFonts w:ascii="Arial" w:eastAsia="Arial" w:hAnsi="Arial" w:cs="Arial"/>
          <w:sz w:val="24"/>
          <w:szCs w:val="24"/>
        </w:rPr>
        <w:t xml:space="preserve">el Jefe de la Unidad Jurídica del Instituto Catastral del Estado, dictara otra resolución en la cual se avocara al estudio de los agravios vertidos por el recurrente; por lo que, en cumplimiento a la referida sentencia, la </w:t>
      </w:r>
      <w:r w:rsidR="003A770A">
        <w:rPr>
          <w:rFonts w:ascii="Arial" w:eastAsia="Arial" w:hAnsi="Arial" w:cs="Arial"/>
          <w:b/>
          <w:sz w:val="24"/>
          <w:szCs w:val="24"/>
        </w:rPr>
        <w:t xml:space="preserve">autoridad demandada </w:t>
      </w:r>
      <w:r w:rsidR="00FD1537">
        <w:rPr>
          <w:rFonts w:ascii="Arial" w:eastAsia="Arial" w:hAnsi="Arial" w:cs="Arial"/>
          <w:sz w:val="24"/>
          <w:szCs w:val="24"/>
        </w:rPr>
        <w:t xml:space="preserve">emitió </w:t>
      </w:r>
      <w:r w:rsidR="003A770A">
        <w:rPr>
          <w:rFonts w:ascii="Arial" w:eastAsia="Arial" w:hAnsi="Arial" w:cs="Arial"/>
          <w:sz w:val="24"/>
          <w:szCs w:val="24"/>
        </w:rPr>
        <w:t xml:space="preserve">el oficio </w:t>
      </w:r>
      <w:r w:rsidR="005E24AF">
        <w:rPr>
          <w:rFonts w:ascii="Arial" w:eastAsia="Arial" w:hAnsi="Arial" w:cs="Arial"/>
          <w:sz w:val="24"/>
          <w:szCs w:val="24"/>
        </w:rPr>
        <w:t>**********</w:t>
      </w:r>
      <w:r w:rsidR="003A770A">
        <w:rPr>
          <w:rFonts w:ascii="Arial" w:eastAsia="Arial" w:hAnsi="Arial" w:cs="Arial"/>
          <w:sz w:val="24"/>
          <w:szCs w:val="24"/>
        </w:rPr>
        <w:t>, de doce de julio de dos mil diecinueve.</w:t>
      </w:r>
    </w:p>
    <w:p w14:paraId="0D1ED73D" w14:textId="1745B73C" w:rsidR="003A770A" w:rsidRDefault="003A770A" w:rsidP="003A770A">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Ahora bien, del análisis de la causal de improcedencia prevista en la fracción IV, del artículo 161, de la Ley de la Materia, se advierte que esta exige para su configuración los siguientes requisitos: </w:t>
      </w:r>
      <w:r>
        <w:rPr>
          <w:rFonts w:ascii="Arial" w:eastAsia="Arial" w:hAnsi="Arial" w:cs="Arial"/>
          <w:b/>
          <w:sz w:val="24"/>
          <w:szCs w:val="24"/>
        </w:rPr>
        <w:t xml:space="preserve">a) </w:t>
      </w:r>
      <w:r w:rsidR="00105C98">
        <w:rPr>
          <w:rFonts w:ascii="Arial" w:eastAsia="Arial" w:hAnsi="Arial" w:cs="Arial"/>
          <w:sz w:val="24"/>
          <w:szCs w:val="24"/>
        </w:rPr>
        <w:t xml:space="preserve">que el acto impugnado en el juicio, haya sido materia de otro juicio contencioso administrativo; </w:t>
      </w:r>
      <w:r w:rsidR="00105C98">
        <w:rPr>
          <w:rFonts w:ascii="Arial" w:eastAsia="Arial" w:hAnsi="Arial" w:cs="Arial"/>
          <w:b/>
          <w:sz w:val="24"/>
          <w:szCs w:val="24"/>
        </w:rPr>
        <w:t xml:space="preserve">b) </w:t>
      </w:r>
      <w:r w:rsidR="00105C98">
        <w:rPr>
          <w:rFonts w:ascii="Arial" w:eastAsia="Arial" w:hAnsi="Arial" w:cs="Arial"/>
          <w:sz w:val="24"/>
          <w:szCs w:val="24"/>
        </w:rPr>
        <w:t>que entre ambos juicios exista identidad de partes, es decir, que la parte actora y la autoridad demandada sean los mismos</w:t>
      </w:r>
      <w:r w:rsidR="00105D22">
        <w:rPr>
          <w:rFonts w:ascii="Arial" w:eastAsia="Arial" w:hAnsi="Arial" w:cs="Arial"/>
          <w:sz w:val="24"/>
          <w:szCs w:val="24"/>
        </w:rPr>
        <w:t>;</w:t>
      </w:r>
      <w:r w:rsidR="00105C98">
        <w:rPr>
          <w:rFonts w:ascii="Arial" w:eastAsia="Arial" w:hAnsi="Arial" w:cs="Arial"/>
          <w:sz w:val="24"/>
          <w:szCs w:val="24"/>
        </w:rPr>
        <w:t xml:space="preserve"> </w:t>
      </w:r>
      <w:r w:rsidR="00FD1537">
        <w:rPr>
          <w:rFonts w:ascii="Arial" w:eastAsia="Arial" w:hAnsi="Arial" w:cs="Arial"/>
          <w:sz w:val="24"/>
          <w:szCs w:val="24"/>
        </w:rPr>
        <w:t xml:space="preserve">y </w:t>
      </w:r>
      <w:r w:rsidR="00105C98">
        <w:rPr>
          <w:rFonts w:ascii="Arial" w:eastAsia="Arial" w:hAnsi="Arial" w:cs="Arial"/>
          <w:b/>
          <w:sz w:val="24"/>
          <w:szCs w:val="24"/>
        </w:rPr>
        <w:t xml:space="preserve">c) </w:t>
      </w:r>
      <w:r w:rsidR="00105C98">
        <w:rPr>
          <w:rFonts w:ascii="Arial" w:eastAsia="Arial" w:hAnsi="Arial" w:cs="Arial"/>
          <w:sz w:val="24"/>
          <w:szCs w:val="24"/>
        </w:rPr>
        <w:t xml:space="preserve">que en ambos juicios </w:t>
      </w:r>
      <w:r w:rsidR="00105D22">
        <w:rPr>
          <w:rFonts w:ascii="Arial" w:eastAsia="Arial" w:hAnsi="Arial" w:cs="Arial"/>
          <w:sz w:val="24"/>
          <w:szCs w:val="24"/>
        </w:rPr>
        <w:t>se</w:t>
      </w:r>
      <w:r w:rsidR="00105C98">
        <w:rPr>
          <w:rFonts w:ascii="Arial" w:eastAsia="Arial" w:hAnsi="Arial" w:cs="Arial"/>
          <w:sz w:val="24"/>
          <w:szCs w:val="24"/>
        </w:rPr>
        <w:t xml:space="preserve"> haya impugnado el mismo </w:t>
      </w:r>
      <w:r w:rsidR="00F4166F">
        <w:rPr>
          <w:rFonts w:ascii="Arial" w:eastAsia="Arial" w:hAnsi="Arial" w:cs="Arial"/>
          <w:sz w:val="24"/>
          <w:szCs w:val="24"/>
        </w:rPr>
        <w:t xml:space="preserve">acto </w:t>
      </w:r>
      <w:r w:rsidR="00105D22">
        <w:rPr>
          <w:rFonts w:ascii="Arial" w:eastAsia="Arial" w:hAnsi="Arial" w:cs="Arial"/>
          <w:sz w:val="24"/>
          <w:szCs w:val="24"/>
        </w:rPr>
        <w:t xml:space="preserve">administrativo. </w:t>
      </w:r>
    </w:p>
    <w:p w14:paraId="5D48B238" w14:textId="646480E9" w:rsidR="00394278" w:rsidRDefault="00F4166F" w:rsidP="00FD1537">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ese sentido, </w:t>
      </w:r>
      <w:r w:rsidR="004C734D">
        <w:rPr>
          <w:rFonts w:ascii="Arial" w:eastAsia="Arial" w:hAnsi="Arial" w:cs="Arial"/>
          <w:sz w:val="24"/>
          <w:szCs w:val="24"/>
        </w:rPr>
        <w:t xml:space="preserve">esta juzgadora procede al análisis </w:t>
      </w:r>
      <w:r w:rsidR="00A07BCA">
        <w:rPr>
          <w:rFonts w:ascii="Arial" w:eastAsia="Arial" w:hAnsi="Arial" w:cs="Arial"/>
          <w:sz w:val="24"/>
          <w:szCs w:val="24"/>
        </w:rPr>
        <w:t xml:space="preserve">de los autos que integran el presente </w:t>
      </w:r>
      <w:r w:rsidR="00394278">
        <w:rPr>
          <w:rFonts w:ascii="Arial" w:eastAsia="Arial" w:hAnsi="Arial" w:cs="Arial"/>
          <w:sz w:val="24"/>
          <w:szCs w:val="24"/>
        </w:rPr>
        <w:t>expediente</w:t>
      </w:r>
      <w:r w:rsidR="00A07BCA">
        <w:rPr>
          <w:rFonts w:ascii="Arial" w:eastAsia="Arial" w:hAnsi="Arial" w:cs="Arial"/>
          <w:sz w:val="24"/>
          <w:szCs w:val="24"/>
        </w:rPr>
        <w:t xml:space="preserve">, y  las copias certificadas del juicio de nulidad </w:t>
      </w:r>
      <w:r w:rsidR="00C9015F">
        <w:rPr>
          <w:rFonts w:ascii="Arial" w:eastAsia="Arial" w:hAnsi="Arial" w:cs="Arial"/>
          <w:b/>
          <w:bCs/>
          <w:sz w:val="24"/>
          <w:szCs w:val="24"/>
        </w:rPr>
        <w:t xml:space="preserve">0143/2017 </w:t>
      </w:r>
      <w:r w:rsidR="00C9015F">
        <w:rPr>
          <w:rFonts w:ascii="Arial" w:eastAsia="Arial" w:hAnsi="Arial" w:cs="Arial"/>
          <w:sz w:val="24"/>
          <w:szCs w:val="24"/>
        </w:rPr>
        <w:t>del índice de la Primera Sala Unitaria de Primera Instancia de</w:t>
      </w:r>
      <w:r w:rsidR="00394278">
        <w:rPr>
          <w:rFonts w:ascii="Arial" w:eastAsia="Arial" w:hAnsi="Arial" w:cs="Arial"/>
          <w:sz w:val="24"/>
          <w:szCs w:val="24"/>
        </w:rPr>
        <w:t xml:space="preserve"> este Tribunal. De dónde se advierte, que en ambos juicios de nulidad </w:t>
      </w:r>
      <w:r w:rsidR="0032766A">
        <w:rPr>
          <w:rFonts w:ascii="Arial" w:eastAsia="Arial" w:hAnsi="Arial" w:cs="Arial"/>
          <w:sz w:val="24"/>
          <w:szCs w:val="24"/>
        </w:rPr>
        <w:t xml:space="preserve">la </w:t>
      </w:r>
      <w:r w:rsidR="0032766A">
        <w:rPr>
          <w:rFonts w:ascii="Arial" w:eastAsia="Arial" w:hAnsi="Arial" w:cs="Arial"/>
          <w:b/>
          <w:bCs/>
          <w:sz w:val="24"/>
          <w:szCs w:val="24"/>
        </w:rPr>
        <w:t xml:space="preserve">parte actora </w:t>
      </w:r>
      <w:r w:rsidR="002B3B2A">
        <w:rPr>
          <w:rFonts w:ascii="Arial" w:eastAsia="Arial" w:hAnsi="Arial" w:cs="Arial"/>
          <w:sz w:val="24"/>
          <w:szCs w:val="24"/>
        </w:rPr>
        <w:t xml:space="preserve">es </w:t>
      </w:r>
      <w:r w:rsidR="005E24AF">
        <w:rPr>
          <w:rFonts w:ascii="Arial" w:eastAsia="Arial" w:hAnsi="Arial" w:cs="Arial"/>
          <w:b/>
          <w:bCs/>
          <w:color w:val="FF0000"/>
          <w:sz w:val="24"/>
          <w:szCs w:val="24"/>
        </w:rPr>
        <w:t>**********</w:t>
      </w:r>
      <w:r w:rsidR="0021274F">
        <w:rPr>
          <w:rFonts w:ascii="Arial" w:eastAsia="Arial" w:hAnsi="Arial" w:cs="Arial"/>
          <w:b/>
          <w:bCs/>
          <w:color w:val="FF0000"/>
          <w:sz w:val="24"/>
          <w:szCs w:val="24"/>
        </w:rPr>
        <w:t xml:space="preserve">, </w:t>
      </w:r>
      <w:r w:rsidR="00C00F44">
        <w:rPr>
          <w:rFonts w:ascii="Arial" w:eastAsia="Arial" w:hAnsi="Arial" w:cs="Arial"/>
          <w:sz w:val="24"/>
          <w:szCs w:val="24"/>
        </w:rPr>
        <w:t xml:space="preserve">y la </w:t>
      </w:r>
      <w:r w:rsidR="00C00F44">
        <w:rPr>
          <w:rFonts w:ascii="Arial" w:eastAsia="Arial" w:hAnsi="Arial" w:cs="Arial"/>
          <w:b/>
          <w:bCs/>
          <w:sz w:val="24"/>
          <w:szCs w:val="24"/>
        </w:rPr>
        <w:t xml:space="preserve">autoridad demandada </w:t>
      </w:r>
      <w:r w:rsidR="00C00F44">
        <w:rPr>
          <w:rFonts w:ascii="Arial" w:eastAsia="Arial" w:hAnsi="Arial" w:cs="Arial"/>
          <w:sz w:val="24"/>
          <w:szCs w:val="24"/>
        </w:rPr>
        <w:t xml:space="preserve">lo es el </w:t>
      </w:r>
      <w:proofErr w:type="gramStart"/>
      <w:r w:rsidR="00C00F44">
        <w:rPr>
          <w:rFonts w:ascii="Arial" w:eastAsia="Arial" w:hAnsi="Arial" w:cs="Arial"/>
          <w:sz w:val="24"/>
          <w:szCs w:val="24"/>
        </w:rPr>
        <w:t>Jefe</w:t>
      </w:r>
      <w:proofErr w:type="gramEnd"/>
      <w:r w:rsidR="00C00F44">
        <w:rPr>
          <w:rFonts w:ascii="Arial" w:eastAsia="Arial" w:hAnsi="Arial" w:cs="Arial"/>
          <w:sz w:val="24"/>
          <w:szCs w:val="24"/>
        </w:rPr>
        <w:t xml:space="preserve"> de </w:t>
      </w:r>
      <w:r w:rsidR="00A45E1B">
        <w:rPr>
          <w:rFonts w:ascii="Arial" w:eastAsia="Arial" w:hAnsi="Arial" w:cs="Arial"/>
          <w:sz w:val="24"/>
          <w:szCs w:val="24"/>
        </w:rPr>
        <w:t>la Unidad Jurídica del Instituto Catastral del Estado de Oaxaca, por lo que</w:t>
      </w:r>
      <w:r w:rsidR="009C3630">
        <w:rPr>
          <w:rFonts w:ascii="Arial" w:eastAsia="Arial" w:hAnsi="Arial" w:cs="Arial"/>
          <w:sz w:val="24"/>
          <w:szCs w:val="24"/>
        </w:rPr>
        <w:t xml:space="preserve"> </w:t>
      </w:r>
      <w:r w:rsidR="009C3630">
        <w:rPr>
          <w:rFonts w:ascii="Arial" w:eastAsia="Arial" w:hAnsi="Arial" w:cs="Arial"/>
          <w:b/>
          <w:bCs/>
          <w:sz w:val="24"/>
          <w:szCs w:val="24"/>
        </w:rPr>
        <w:t>existe identidad de partes</w:t>
      </w:r>
      <w:r w:rsidR="00A45E1B">
        <w:rPr>
          <w:rFonts w:ascii="Arial" w:eastAsia="Arial" w:hAnsi="Arial" w:cs="Arial"/>
          <w:sz w:val="24"/>
          <w:szCs w:val="24"/>
        </w:rPr>
        <w:t xml:space="preserve"> en los juicios de nulidad 120/2020 del índice de esta Sala y el </w:t>
      </w:r>
      <w:r w:rsidR="00A45E1B" w:rsidRPr="00FD1537">
        <w:rPr>
          <w:rFonts w:ascii="Arial" w:eastAsia="Arial" w:hAnsi="Arial" w:cs="Arial"/>
          <w:b/>
          <w:sz w:val="24"/>
          <w:szCs w:val="24"/>
        </w:rPr>
        <w:t>143/2017</w:t>
      </w:r>
      <w:r w:rsidR="00A45E1B">
        <w:rPr>
          <w:rFonts w:ascii="Arial" w:eastAsia="Arial" w:hAnsi="Arial" w:cs="Arial"/>
          <w:sz w:val="24"/>
          <w:szCs w:val="24"/>
        </w:rPr>
        <w:t xml:space="preserve"> del índice de la </w:t>
      </w:r>
      <w:r w:rsidR="009C3630">
        <w:rPr>
          <w:rFonts w:ascii="Arial" w:eastAsia="Arial" w:hAnsi="Arial" w:cs="Arial"/>
          <w:sz w:val="24"/>
          <w:szCs w:val="24"/>
        </w:rPr>
        <w:t xml:space="preserve">Primera Sala Unitaria de Primera Instancia. </w:t>
      </w:r>
    </w:p>
    <w:p w14:paraId="40C27036" w14:textId="7455D723" w:rsidR="009C3630" w:rsidRDefault="009C3630" w:rsidP="003A770A">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Sin embargo, </w:t>
      </w:r>
      <w:r w:rsidRPr="00FD1537">
        <w:rPr>
          <w:rFonts w:ascii="Arial" w:eastAsia="Arial" w:hAnsi="Arial" w:cs="Arial"/>
          <w:b/>
          <w:sz w:val="24"/>
          <w:szCs w:val="24"/>
        </w:rPr>
        <w:t>los ac</w:t>
      </w:r>
      <w:r w:rsidR="00FD1537" w:rsidRPr="00FD1537">
        <w:rPr>
          <w:rFonts w:ascii="Arial" w:eastAsia="Arial" w:hAnsi="Arial" w:cs="Arial"/>
          <w:b/>
          <w:sz w:val="24"/>
          <w:szCs w:val="24"/>
        </w:rPr>
        <w:t>tos impugnados en ambos juicios</w:t>
      </w:r>
      <w:r w:rsidRPr="00FD1537">
        <w:rPr>
          <w:rFonts w:ascii="Arial" w:eastAsia="Arial" w:hAnsi="Arial" w:cs="Arial"/>
          <w:b/>
          <w:sz w:val="24"/>
          <w:szCs w:val="24"/>
        </w:rPr>
        <w:t xml:space="preserve"> son diferentes</w:t>
      </w:r>
      <w:r>
        <w:rPr>
          <w:rFonts w:ascii="Arial" w:eastAsia="Arial" w:hAnsi="Arial" w:cs="Arial"/>
          <w:sz w:val="24"/>
          <w:szCs w:val="24"/>
        </w:rPr>
        <w:t xml:space="preserve">, pues mientras en el Juicio </w:t>
      </w:r>
      <w:r w:rsidR="009910DD">
        <w:rPr>
          <w:rFonts w:ascii="Arial" w:eastAsia="Arial" w:hAnsi="Arial" w:cs="Arial"/>
          <w:sz w:val="24"/>
          <w:szCs w:val="24"/>
        </w:rPr>
        <w:t xml:space="preserve">de nulidad </w:t>
      </w:r>
      <w:r w:rsidR="009910DD" w:rsidRPr="00FD1537">
        <w:rPr>
          <w:rFonts w:ascii="Arial" w:eastAsia="Arial" w:hAnsi="Arial" w:cs="Arial"/>
          <w:b/>
          <w:sz w:val="24"/>
          <w:szCs w:val="24"/>
        </w:rPr>
        <w:t>0143/2017</w:t>
      </w:r>
      <w:r w:rsidR="009910DD">
        <w:rPr>
          <w:rFonts w:ascii="Arial" w:eastAsia="Arial" w:hAnsi="Arial" w:cs="Arial"/>
          <w:sz w:val="24"/>
          <w:szCs w:val="24"/>
        </w:rPr>
        <w:t xml:space="preserve">, del índice de la Primera Sala Unitaria, </w:t>
      </w:r>
      <w:r w:rsidR="00D00602">
        <w:rPr>
          <w:rFonts w:ascii="Arial" w:eastAsia="Arial" w:hAnsi="Arial" w:cs="Arial"/>
          <w:sz w:val="24"/>
          <w:szCs w:val="24"/>
        </w:rPr>
        <w:t>el acto impugnado fue</w:t>
      </w:r>
      <w:r w:rsidR="0068539F">
        <w:rPr>
          <w:rFonts w:ascii="Arial" w:eastAsia="Arial" w:hAnsi="Arial" w:cs="Arial"/>
          <w:sz w:val="24"/>
          <w:szCs w:val="24"/>
        </w:rPr>
        <w:t xml:space="preserve"> la</w:t>
      </w:r>
      <w:r w:rsidR="000C0EC9">
        <w:rPr>
          <w:rFonts w:ascii="Arial" w:eastAsia="Arial" w:hAnsi="Arial" w:cs="Arial"/>
          <w:sz w:val="24"/>
          <w:szCs w:val="24"/>
        </w:rPr>
        <w:t xml:space="preserve"> </w:t>
      </w:r>
      <w:r w:rsidR="0068539F">
        <w:rPr>
          <w:rFonts w:ascii="Arial" w:eastAsia="Arial" w:hAnsi="Arial" w:cs="Arial"/>
          <w:sz w:val="24"/>
          <w:szCs w:val="24"/>
        </w:rPr>
        <w:t xml:space="preserve">resolución contenida en el oficio </w:t>
      </w:r>
      <w:r w:rsidR="005E24AF">
        <w:rPr>
          <w:rFonts w:ascii="Arial" w:eastAsia="Arial" w:hAnsi="Arial" w:cs="Arial"/>
          <w:b/>
          <w:bCs/>
          <w:sz w:val="24"/>
          <w:szCs w:val="24"/>
        </w:rPr>
        <w:t>**********</w:t>
      </w:r>
      <w:r w:rsidR="0068539F">
        <w:rPr>
          <w:rFonts w:ascii="Arial" w:eastAsia="Arial" w:hAnsi="Arial" w:cs="Arial"/>
          <w:sz w:val="24"/>
          <w:szCs w:val="24"/>
        </w:rPr>
        <w:t xml:space="preserve">, de veinticinco de septiembre de dos mil diecisiete; </w:t>
      </w:r>
      <w:r w:rsidR="00ED2F0A">
        <w:rPr>
          <w:rFonts w:ascii="Arial" w:eastAsia="Arial" w:hAnsi="Arial" w:cs="Arial"/>
          <w:sz w:val="24"/>
          <w:szCs w:val="24"/>
        </w:rPr>
        <w:t xml:space="preserve">y </w:t>
      </w:r>
      <w:r w:rsidR="0068539F">
        <w:rPr>
          <w:rFonts w:ascii="Arial" w:eastAsia="Arial" w:hAnsi="Arial" w:cs="Arial"/>
          <w:sz w:val="24"/>
          <w:szCs w:val="24"/>
        </w:rPr>
        <w:t xml:space="preserve">en el </w:t>
      </w:r>
      <w:r w:rsidR="0068539F">
        <w:rPr>
          <w:rFonts w:ascii="Arial" w:eastAsia="Arial" w:hAnsi="Arial" w:cs="Arial"/>
          <w:sz w:val="24"/>
          <w:szCs w:val="24"/>
        </w:rPr>
        <w:lastRenderedPageBreak/>
        <w:t xml:space="preserve">presente juicio de nulidad el acto impugnado </w:t>
      </w:r>
      <w:r w:rsidR="0022130C">
        <w:rPr>
          <w:rFonts w:ascii="Arial" w:eastAsia="Arial" w:hAnsi="Arial" w:cs="Arial"/>
          <w:sz w:val="24"/>
          <w:szCs w:val="24"/>
        </w:rPr>
        <w:t xml:space="preserve">es el oficio </w:t>
      </w:r>
      <w:r w:rsidR="005E24AF">
        <w:rPr>
          <w:rFonts w:ascii="Arial" w:eastAsia="Arial" w:hAnsi="Arial" w:cs="Arial"/>
          <w:b/>
          <w:bCs/>
          <w:sz w:val="24"/>
          <w:szCs w:val="24"/>
        </w:rPr>
        <w:t>**********</w:t>
      </w:r>
      <w:r w:rsidR="0022130C">
        <w:rPr>
          <w:rFonts w:ascii="Arial" w:eastAsia="Arial" w:hAnsi="Arial" w:cs="Arial"/>
          <w:sz w:val="24"/>
          <w:szCs w:val="24"/>
        </w:rPr>
        <w:t>, de doce de julio de dos mil diecinueve</w:t>
      </w:r>
      <w:r w:rsidR="00612EC7">
        <w:rPr>
          <w:rFonts w:ascii="Arial" w:eastAsia="Arial" w:hAnsi="Arial" w:cs="Arial"/>
          <w:sz w:val="24"/>
          <w:szCs w:val="24"/>
        </w:rPr>
        <w:t xml:space="preserve">. </w:t>
      </w:r>
    </w:p>
    <w:p w14:paraId="15F97EA2" w14:textId="24188E40" w:rsidR="006D4DDE" w:rsidRDefault="006D4DDE" w:rsidP="003A770A">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De ahí, que no se acrediten las hipótesis exigidas </w:t>
      </w:r>
      <w:r w:rsidR="0033298A">
        <w:rPr>
          <w:rFonts w:ascii="Arial" w:eastAsia="Arial" w:hAnsi="Arial" w:cs="Arial"/>
          <w:sz w:val="24"/>
          <w:szCs w:val="24"/>
        </w:rPr>
        <w:t xml:space="preserve">por el artículo 161 fracción IV, de la Ley de la Materia, en virtud </w:t>
      </w:r>
      <w:r w:rsidR="0046567F">
        <w:rPr>
          <w:rFonts w:ascii="Arial" w:eastAsia="Arial" w:hAnsi="Arial" w:cs="Arial"/>
          <w:sz w:val="24"/>
          <w:szCs w:val="24"/>
        </w:rPr>
        <w:t xml:space="preserve">de que el acto impugnado en este juicio de nulidad no fue materia de otro juicio contencioso administrativo, pues como se expuso, </w:t>
      </w:r>
      <w:r w:rsidR="00CF4014">
        <w:rPr>
          <w:rFonts w:ascii="Arial" w:eastAsia="Arial" w:hAnsi="Arial" w:cs="Arial"/>
          <w:sz w:val="24"/>
          <w:szCs w:val="24"/>
        </w:rPr>
        <w:t xml:space="preserve">entre los juicios de nulidad 120/2020 del índice de esta Sala y el 143/2017 del índice de la Primera Sala Unitaria de Primera Instancia, </w:t>
      </w:r>
      <w:r w:rsidR="00CF4014">
        <w:rPr>
          <w:rFonts w:ascii="Arial" w:eastAsia="Arial" w:hAnsi="Arial" w:cs="Arial"/>
          <w:b/>
          <w:bCs/>
          <w:sz w:val="24"/>
          <w:szCs w:val="24"/>
        </w:rPr>
        <w:t xml:space="preserve">existe identidad de </w:t>
      </w:r>
      <w:r w:rsidR="00CF4014" w:rsidRPr="00CF4014">
        <w:rPr>
          <w:rFonts w:ascii="Arial" w:eastAsia="Arial" w:hAnsi="Arial" w:cs="Arial"/>
          <w:b/>
          <w:bCs/>
          <w:sz w:val="24"/>
          <w:szCs w:val="24"/>
        </w:rPr>
        <w:t>partes</w:t>
      </w:r>
      <w:r w:rsidR="00CF4014">
        <w:rPr>
          <w:rFonts w:ascii="Arial" w:eastAsia="Arial" w:hAnsi="Arial" w:cs="Arial"/>
          <w:sz w:val="24"/>
          <w:szCs w:val="24"/>
        </w:rPr>
        <w:t xml:space="preserve">, </w:t>
      </w:r>
      <w:r w:rsidR="00CF4014" w:rsidRPr="00FD1537">
        <w:rPr>
          <w:rFonts w:ascii="Arial" w:eastAsia="Arial" w:hAnsi="Arial" w:cs="Arial"/>
          <w:b/>
          <w:sz w:val="24"/>
          <w:szCs w:val="24"/>
        </w:rPr>
        <w:t>pero, los actos impugnados son distintos</w:t>
      </w:r>
      <w:r w:rsidR="00CF4014">
        <w:rPr>
          <w:rFonts w:ascii="Arial" w:eastAsia="Arial" w:hAnsi="Arial" w:cs="Arial"/>
          <w:sz w:val="24"/>
          <w:szCs w:val="24"/>
        </w:rPr>
        <w:t xml:space="preserve">. </w:t>
      </w:r>
    </w:p>
    <w:p w14:paraId="1EB9E21F" w14:textId="5C9E89BD" w:rsidR="00394278" w:rsidRPr="00346C0F" w:rsidRDefault="00CF4014" w:rsidP="00346C0F">
      <w:pPr>
        <w:spacing w:line="360" w:lineRule="auto"/>
        <w:ind w:right="51" w:firstLine="567"/>
        <w:jc w:val="both"/>
        <w:rPr>
          <w:rFonts w:ascii="Arial" w:eastAsia="Arial" w:hAnsi="Arial" w:cs="Arial"/>
          <w:b/>
          <w:bCs/>
          <w:sz w:val="24"/>
          <w:szCs w:val="24"/>
        </w:rPr>
      </w:pPr>
      <w:r>
        <w:rPr>
          <w:rFonts w:ascii="Arial" w:eastAsia="Arial" w:hAnsi="Arial" w:cs="Arial"/>
          <w:sz w:val="24"/>
          <w:szCs w:val="24"/>
        </w:rPr>
        <w:t xml:space="preserve">Por lo anteriormente expuesto, no se acredita la causal de improcedencia invocada por la </w:t>
      </w:r>
      <w:r>
        <w:rPr>
          <w:rFonts w:ascii="Arial" w:eastAsia="Arial" w:hAnsi="Arial" w:cs="Arial"/>
          <w:b/>
          <w:bCs/>
          <w:sz w:val="24"/>
          <w:szCs w:val="24"/>
        </w:rPr>
        <w:t xml:space="preserve">autoridad demandada, </w:t>
      </w:r>
      <w:r w:rsidR="003C3DFA">
        <w:rPr>
          <w:rFonts w:ascii="Arial" w:eastAsia="Arial" w:hAnsi="Arial" w:cs="Arial"/>
          <w:sz w:val="24"/>
          <w:szCs w:val="24"/>
        </w:rPr>
        <w:t>y en consecuencia</w:t>
      </w:r>
      <w:r>
        <w:rPr>
          <w:rFonts w:ascii="Arial" w:eastAsia="Arial" w:hAnsi="Arial" w:cs="Arial"/>
          <w:sz w:val="24"/>
          <w:szCs w:val="24"/>
        </w:rPr>
        <w:t xml:space="preserve"> </w:t>
      </w:r>
      <w:r w:rsidR="00346C0F">
        <w:rPr>
          <w:rFonts w:ascii="Arial" w:eastAsia="Arial" w:hAnsi="Arial" w:cs="Arial"/>
          <w:b/>
          <w:bCs/>
          <w:sz w:val="24"/>
          <w:szCs w:val="24"/>
        </w:rPr>
        <w:t xml:space="preserve">NO SE SOBRESEE EL JUICIO. </w:t>
      </w:r>
    </w:p>
    <w:p w14:paraId="1A7BE180" w14:textId="00E07BD0" w:rsidR="00BF7EC7" w:rsidRPr="009A6891" w:rsidRDefault="00BF7EC7" w:rsidP="009A6891">
      <w:pPr>
        <w:spacing w:before="240" w:after="0" w:line="360" w:lineRule="auto"/>
        <w:ind w:firstLine="567"/>
        <w:jc w:val="both"/>
        <w:rPr>
          <w:rFonts w:ascii="Arial" w:eastAsiaTheme="minorHAnsi" w:hAnsi="Arial" w:cs="Arial"/>
          <w:szCs w:val="24"/>
          <w:lang w:eastAsia="en-US"/>
        </w:rPr>
      </w:pPr>
      <w:r w:rsidRPr="00BF7EC7">
        <w:rPr>
          <w:rFonts w:ascii="Arial" w:eastAsiaTheme="minorHAnsi" w:hAnsi="Arial" w:cs="Arial"/>
          <w:b/>
          <w:sz w:val="24"/>
          <w:szCs w:val="24"/>
          <w:lang w:eastAsia="en-US"/>
        </w:rPr>
        <w:t xml:space="preserve">CUARTO. </w:t>
      </w:r>
      <w:r w:rsidRPr="00BF7EC7">
        <w:rPr>
          <w:rFonts w:ascii="Arial" w:eastAsia="Times New Roman" w:hAnsi="Arial" w:cs="Arial"/>
          <w:b/>
          <w:bCs/>
          <w:sz w:val="24"/>
          <w:szCs w:val="26"/>
          <w:lang w:eastAsia="es-ES"/>
        </w:rPr>
        <w:t>Fijaci</w:t>
      </w:r>
      <w:r w:rsidR="00B61CE6">
        <w:rPr>
          <w:rFonts w:ascii="Arial" w:eastAsia="Times New Roman" w:hAnsi="Arial" w:cs="Arial"/>
          <w:b/>
          <w:bCs/>
          <w:sz w:val="24"/>
          <w:szCs w:val="26"/>
          <w:lang w:eastAsia="es-ES"/>
        </w:rPr>
        <w:t xml:space="preserve">ón de los puntos controvertidos. </w:t>
      </w:r>
      <w:r w:rsidRPr="00BF7EC7">
        <w:rPr>
          <w:rFonts w:ascii="Arial" w:eastAsia="Times New Roman" w:hAnsi="Arial" w:cs="Arial"/>
          <w:bCs/>
          <w:sz w:val="24"/>
          <w:szCs w:val="26"/>
          <w:lang w:eastAsia="es-ES"/>
        </w:rPr>
        <w:t>De conformidad con lo establecido en el artículo 207 fracción I de la Ley la Materia, al m</w:t>
      </w:r>
      <w:r w:rsidR="00ED2F0A">
        <w:rPr>
          <w:rFonts w:ascii="Arial" w:eastAsia="Times New Roman" w:hAnsi="Arial" w:cs="Arial"/>
          <w:bCs/>
          <w:sz w:val="24"/>
          <w:szCs w:val="26"/>
          <w:lang w:eastAsia="es-ES"/>
        </w:rPr>
        <w:t xml:space="preserve">omento de dictarse sentencia la </w:t>
      </w:r>
      <w:r w:rsidRPr="00BF7EC7">
        <w:rPr>
          <w:rFonts w:ascii="Arial" w:eastAsia="Times New Roman" w:hAnsi="Arial" w:cs="Arial"/>
          <w:bCs/>
          <w:sz w:val="24"/>
          <w:szCs w:val="26"/>
          <w:lang w:eastAsia="es-ES"/>
        </w:rPr>
        <w:t>Juzgador</w:t>
      </w:r>
      <w:r w:rsidR="00ED2F0A">
        <w:rPr>
          <w:rFonts w:ascii="Arial" w:eastAsia="Times New Roman" w:hAnsi="Arial" w:cs="Arial"/>
          <w:bCs/>
          <w:sz w:val="24"/>
          <w:szCs w:val="26"/>
          <w:lang w:eastAsia="es-ES"/>
        </w:rPr>
        <w:t>a</w:t>
      </w:r>
      <w:r w:rsidRPr="00BF7EC7">
        <w:rPr>
          <w:rFonts w:ascii="Arial" w:eastAsia="Times New Roman" w:hAnsi="Arial" w:cs="Arial"/>
          <w:bCs/>
          <w:sz w:val="24"/>
          <w:szCs w:val="26"/>
          <w:lang w:eastAsia="es-ES"/>
        </w:rPr>
        <w:t xml:space="preserve"> deberá hacer una fijación clara y precisa de los punto</w:t>
      </w:r>
      <w:r w:rsidR="00B61CE6">
        <w:rPr>
          <w:rFonts w:ascii="Arial" w:eastAsia="Times New Roman" w:hAnsi="Arial" w:cs="Arial"/>
          <w:bCs/>
          <w:sz w:val="24"/>
          <w:szCs w:val="26"/>
          <w:lang w:eastAsia="es-ES"/>
        </w:rPr>
        <w:t>s controvertidos por las partes.</w:t>
      </w:r>
    </w:p>
    <w:p w14:paraId="1D86B35C" w14:textId="2017400C" w:rsidR="00BF7EC7" w:rsidRPr="00BF7EC7" w:rsidRDefault="00BF7EC7" w:rsidP="00B5017C">
      <w:pPr>
        <w:spacing w:before="240" w:line="360" w:lineRule="auto"/>
        <w:ind w:firstLine="567"/>
        <w:jc w:val="both"/>
        <w:rPr>
          <w:rFonts w:ascii="Arial" w:eastAsia="Times New Roman" w:hAnsi="Arial" w:cs="Arial"/>
          <w:sz w:val="24"/>
          <w:szCs w:val="26"/>
          <w:lang w:val="es-ES" w:eastAsia="es-ES"/>
        </w:rPr>
      </w:pPr>
      <w:r w:rsidRPr="00BF7EC7">
        <w:rPr>
          <w:rFonts w:ascii="Arial" w:eastAsia="Times New Roman" w:hAnsi="Arial" w:cs="Arial"/>
          <w:sz w:val="24"/>
          <w:szCs w:val="26"/>
          <w:lang w:eastAsia="es-ES"/>
        </w:rPr>
        <w:t xml:space="preserve">En ese sentido, la </w:t>
      </w:r>
      <w:r w:rsidRPr="00BF7EC7">
        <w:rPr>
          <w:rFonts w:ascii="Arial" w:eastAsia="Times New Roman" w:hAnsi="Arial" w:cs="Arial"/>
          <w:b/>
          <w:sz w:val="24"/>
          <w:szCs w:val="26"/>
          <w:lang w:eastAsia="es-ES"/>
        </w:rPr>
        <w:t>actora</w:t>
      </w:r>
      <w:r w:rsidRPr="00BF7EC7">
        <w:rPr>
          <w:rFonts w:ascii="Arial" w:eastAsia="Times New Roman" w:hAnsi="Arial" w:cs="Arial"/>
          <w:b/>
          <w:bCs/>
          <w:sz w:val="24"/>
          <w:szCs w:val="26"/>
          <w:lang w:eastAsia="es-ES"/>
        </w:rPr>
        <w:t xml:space="preserve"> </w:t>
      </w:r>
      <w:r w:rsidR="005E24AF">
        <w:rPr>
          <w:rFonts w:ascii="Arial" w:eastAsiaTheme="minorHAnsi" w:hAnsi="Arial" w:cs="Arial"/>
          <w:b/>
          <w:color w:val="FF0000"/>
          <w:sz w:val="24"/>
          <w:szCs w:val="24"/>
          <w:lang w:eastAsia="en-US"/>
        </w:rPr>
        <w:t>**********</w:t>
      </w:r>
      <w:r w:rsidRPr="00BF7EC7">
        <w:rPr>
          <w:rFonts w:ascii="Arial" w:eastAsiaTheme="minorHAnsi" w:hAnsi="Arial" w:cs="Arial"/>
          <w:sz w:val="24"/>
          <w:szCs w:val="24"/>
          <w:lang w:eastAsia="en-US"/>
        </w:rPr>
        <w:t>, dema</w:t>
      </w:r>
      <w:r w:rsidR="00A60C7A">
        <w:rPr>
          <w:rFonts w:ascii="Arial" w:eastAsiaTheme="minorHAnsi" w:hAnsi="Arial" w:cs="Arial"/>
          <w:sz w:val="24"/>
          <w:szCs w:val="24"/>
          <w:lang w:eastAsia="en-US"/>
        </w:rPr>
        <w:t>ndó la nulidad del oficio</w:t>
      </w:r>
      <w:r w:rsidRPr="00BF7EC7">
        <w:rPr>
          <w:rFonts w:ascii="Arial" w:eastAsiaTheme="minorHAnsi" w:hAnsi="Arial" w:cs="Arial"/>
          <w:sz w:val="24"/>
          <w:szCs w:val="24"/>
          <w:lang w:eastAsia="en-US"/>
        </w:rPr>
        <w:t xml:space="preserve"> </w:t>
      </w:r>
      <w:r w:rsidR="005E24AF">
        <w:rPr>
          <w:rFonts w:ascii="Arial" w:eastAsiaTheme="minorHAnsi" w:hAnsi="Arial" w:cs="Arial"/>
          <w:b/>
          <w:color w:val="FF0000"/>
          <w:sz w:val="24"/>
          <w:szCs w:val="24"/>
          <w:lang w:eastAsia="en-US"/>
        </w:rPr>
        <w:t>**********</w:t>
      </w:r>
      <w:r w:rsidRPr="00BF7EC7">
        <w:rPr>
          <w:rFonts w:ascii="Arial" w:eastAsiaTheme="minorHAnsi" w:hAnsi="Arial" w:cs="Arial"/>
          <w:sz w:val="24"/>
          <w:szCs w:val="24"/>
          <w:lang w:eastAsia="en-US"/>
        </w:rPr>
        <w:t xml:space="preserve">, que contiene la resolución de </w:t>
      </w:r>
      <w:r w:rsidR="00A60C7A">
        <w:rPr>
          <w:rFonts w:ascii="Arial" w:eastAsiaTheme="minorHAnsi" w:hAnsi="Arial" w:cs="Arial"/>
          <w:sz w:val="24"/>
          <w:szCs w:val="24"/>
          <w:lang w:eastAsia="en-US"/>
        </w:rPr>
        <w:t>doce de julio de dos mil diecinueve</w:t>
      </w:r>
      <w:r w:rsidRPr="00BF7EC7">
        <w:rPr>
          <w:rFonts w:ascii="Arial" w:eastAsiaTheme="minorHAnsi" w:hAnsi="Arial" w:cs="Arial"/>
          <w:sz w:val="24"/>
          <w:szCs w:val="24"/>
          <w:lang w:eastAsia="en-US"/>
        </w:rPr>
        <w:t xml:space="preserve">, dictada por el </w:t>
      </w:r>
      <w:proofErr w:type="gramStart"/>
      <w:r w:rsidRPr="00BF7EC7">
        <w:rPr>
          <w:rFonts w:ascii="Arial" w:eastAsiaTheme="minorHAnsi" w:hAnsi="Arial" w:cs="Arial"/>
          <w:sz w:val="24"/>
          <w:szCs w:val="24"/>
          <w:lang w:eastAsia="en-US"/>
        </w:rPr>
        <w:t>Jefe</w:t>
      </w:r>
      <w:proofErr w:type="gramEnd"/>
      <w:r w:rsidRPr="00BF7EC7">
        <w:rPr>
          <w:rFonts w:ascii="Arial" w:eastAsiaTheme="minorHAnsi" w:hAnsi="Arial" w:cs="Arial"/>
          <w:sz w:val="24"/>
          <w:szCs w:val="24"/>
          <w:lang w:eastAsia="en-US"/>
        </w:rPr>
        <w:t xml:space="preserve"> de la Unidad Jurídica del Instituto Catastral del Estado, por medio del cual </w:t>
      </w:r>
      <w:r w:rsidRPr="00BF7EC7">
        <w:rPr>
          <w:rFonts w:ascii="Arial" w:eastAsia="Times New Roman" w:hAnsi="Arial" w:cs="Arial"/>
          <w:sz w:val="24"/>
          <w:szCs w:val="26"/>
          <w:lang w:val="es-ES" w:eastAsia="es-ES"/>
        </w:rPr>
        <w:t xml:space="preserve">se confirmó la improcedencia del trámite </w:t>
      </w:r>
      <w:r w:rsidR="00B5017C">
        <w:rPr>
          <w:rFonts w:ascii="Arial" w:eastAsia="Times New Roman" w:hAnsi="Arial" w:cs="Arial"/>
          <w:sz w:val="24"/>
          <w:szCs w:val="26"/>
          <w:lang w:val="es-ES" w:eastAsia="es-ES"/>
        </w:rPr>
        <w:t xml:space="preserve">catastral </w:t>
      </w:r>
      <w:r w:rsidRPr="00BF7EC7">
        <w:rPr>
          <w:rFonts w:ascii="Arial" w:eastAsia="Times New Roman" w:hAnsi="Arial" w:cs="Arial"/>
          <w:sz w:val="24"/>
          <w:szCs w:val="26"/>
          <w:lang w:val="es-ES" w:eastAsia="es-ES"/>
        </w:rPr>
        <w:t xml:space="preserve">con número de folio </w:t>
      </w:r>
      <w:r w:rsidR="00861BF7">
        <w:rPr>
          <w:rFonts w:ascii="Arial" w:eastAsia="Times New Roman" w:hAnsi="Arial" w:cs="Arial"/>
          <w:b/>
          <w:color w:val="FF0000"/>
          <w:sz w:val="24"/>
          <w:szCs w:val="26"/>
          <w:lang w:val="es-ES" w:eastAsia="es-ES"/>
        </w:rPr>
        <w:t>**********</w:t>
      </w:r>
      <w:r w:rsidRPr="00BF7EC7">
        <w:rPr>
          <w:rFonts w:ascii="Arial" w:eastAsia="Times New Roman" w:hAnsi="Arial" w:cs="Arial"/>
          <w:b/>
          <w:sz w:val="24"/>
          <w:szCs w:val="26"/>
          <w:lang w:val="es-ES" w:eastAsia="es-ES"/>
        </w:rPr>
        <w:t xml:space="preserve"> </w:t>
      </w:r>
      <w:r w:rsidRPr="00BF7EC7">
        <w:rPr>
          <w:rFonts w:ascii="Arial" w:eastAsia="Times New Roman" w:hAnsi="Arial" w:cs="Arial"/>
          <w:sz w:val="24"/>
          <w:szCs w:val="26"/>
          <w:lang w:val="es-ES" w:eastAsia="es-ES"/>
        </w:rPr>
        <w:t xml:space="preserve">que se refiere al movimiento catastral de </w:t>
      </w:r>
      <w:r w:rsidR="003C3DFA">
        <w:rPr>
          <w:rFonts w:ascii="Arial" w:eastAsia="Times New Roman" w:hAnsi="Arial" w:cs="Arial"/>
          <w:sz w:val="24"/>
          <w:szCs w:val="26"/>
          <w:lang w:val="es-ES" w:eastAsia="es-ES"/>
        </w:rPr>
        <w:t>traslado de dominio</w:t>
      </w:r>
      <w:r w:rsidR="00B5017C">
        <w:rPr>
          <w:rFonts w:ascii="Arial" w:eastAsia="Times New Roman" w:hAnsi="Arial" w:cs="Arial"/>
          <w:sz w:val="24"/>
          <w:szCs w:val="26"/>
          <w:lang w:val="es-ES" w:eastAsia="es-ES"/>
        </w:rPr>
        <w:t xml:space="preserve"> del bien inmueble </w:t>
      </w:r>
      <w:r w:rsidRPr="00BF7EC7">
        <w:rPr>
          <w:rFonts w:ascii="Arial" w:eastAsia="Times New Roman" w:hAnsi="Arial" w:cs="Arial"/>
          <w:sz w:val="24"/>
          <w:szCs w:val="26"/>
          <w:lang w:val="es-ES" w:eastAsia="es-ES"/>
        </w:rPr>
        <w:t xml:space="preserve">ubicado en </w:t>
      </w:r>
      <w:r w:rsidR="00861BF7">
        <w:rPr>
          <w:rFonts w:ascii="Arial" w:eastAsia="Times New Roman" w:hAnsi="Arial" w:cs="Arial"/>
          <w:color w:val="FF0000"/>
          <w:sz w:val="24"/>
          <w:szCs w:val="26"/>
          <w:lang w:val="es-ES" w:eastAsia="es-ES"/>
        </w:rPr>
        <w:t>**********</w:t>
      </w:r>
      <w:r w:rsidR="00B5017C">
        <w:rPr>
          <w:rFonts w:ascii="Arial" w:eastAsia="Times New Roman" w:hAnsi="Arial" w:cs="Arial"/>
          <w:color w:val="FF0000"/>
          <w:sz w:val="24"/>
          <w:szCs w:val="26"/>
          <w:lang w:val="es-ES" w:eastAsia="es-ES"/>
        </w:rPr>
        <w:t>.</w:t>
      </w:r>
    </w:p>
    <w:p w14:paraId="0415288D" w14:textId="58B3D3D6" w:rsidR="00B5017C" w:rsidRDefault="00BF7EC7" w:rsidP="00BF7EC7">
      <w:pPr>
        <w:spacing w:line="360" w:lineRule="auto"/>
        <w:ind w:right="51" w:firstLine="567"/>
        <w:jc w:val="both"/>
        <w:rPr>
          <w:rFonts w:ascii="Arial" w:eastAsia="Times New Roman" w:hAnsi="Arial" w:cs="Arial"/>
          <w:sz w:val="24"/>
          <w:szCs w:val="26"/>
          <w:lang w:val="es-ES_tradnl" w:eastAsia="es-ES"/>
        </w:rPr>
      </w:pPr>
      <w:r w:rsidRPr="00BF7EC7">
        <w:rPr>
          <w:rFonts w:ascii="Arial" w:eastAsia="Times New Roman" w:hAnsi="Arial" w:cs="Arial"/>
          <w:sz w:val="24"/>
          <w:szCs w:val="26"/>
          <w:lang w:val="es-ES_tradnl" w:eastAsia="es-ES"/>
        </w:rPr>
        <w:t xml:space="preserve">Por su parte, </w:t>
      </w:r>
      <w:r w:rsidRPr="00BF7EC7">
        <w:rPr>
          <w:rFonts w:ascii="Arial" w:eastAsia="Times New Roman" w:hAnsi="Arial" w:cs="Arial"/>
          <w:b/>
          <w:sz w:val="24"/>
          <w:szCs w:val="26"/>
          <w:lang w:val="es-ES_tradnl" w:eastAsia="es-ES"/>
        </w:rPr>
        <w:t>la autoridad demandada</w:t>
      </w:r>
      <w:r w:rsidR="00B5017C">
        <w:rPr>
          <w:rFonts w:ascii="Arial" w:eastAsia="Times New Roman" w:hAnsi="Arial" w:cs="Arial"/>
          <w:b/>
          <w:sz w:val="24"/>
          <w:szCs w:val="26"/>
          <w:lang w:val="es-ES_tradnl" w:eastAsia="es-ES"/>
        </w:rPr>
        <w:t xml:space="preserve"> </w:t>
      </w:r>
      <w:r w:rsidR="00B5017C">
        <w:rPr>
          <w:rFonts w:ascii="Arial" w:eastAsia="Times New Roman" w:hAnsi="Arial" w:cs="Arial"/>
          <w:sz w:val="24"/>
          <w:szCs w:val="26"/>
          <w:lang w:val="es-ES_tradnl" w:eastAsia="es-ES"/>
        </w:rPr>
        <w:t>indicó en su escrito de contestaci</w:t>
      </w:r>
      <w:r w:rsidR="007C4327">
        <w:rPr>
          <w:rFonts w:ascii="Arial" w:eastAsia="Times New Roman" w:hAnsi="Arial" w:cs="Arial"/>
          <w:sz w:val="24"/>
          <w:szCs w:val="26"/>
          <w:lang w:val="es-ES_tradnl" w:eastAsia="es-ES"/>
        </w:rPr>
        <w:t xml:space="preserve">ón, que deberán de declararse infundados los argumentos vertidos por la parte actora, ya que la resolución no infringe el artículo 16 de la Constitución Política de los Estados Unidos Mexicanos, pues el acto impugnado se dictó siguiendo las formalidades esenciales del procedimiento </w:t>
      </w:r>
      <w:r w:rsidR="00457D21">
        <w:rPr>
          <w:rFonts w:ascii="Arial" w:eastAsia="Times New Roman" w:hAnsi="Arial" w:cs="Arial"/>
          <w:sz w:val="24"/>
          <w:szCs w:val="26"/>
          <w:lang w:val="es-ES_tradnl" w:eastAsia="es-ES"/>
        </w:rPr>
        <w:t xml:space="preserve"> </w:t>
      </w:r>
      <w:r w:rsidR="007C4327">
        <w:rPr>
          <w:rFonts w:ascii="Arial" w:eastAsia="Times New Roman" w:hAnsi="Arial" w:cs="Arial"/>
          <w:sz w:val="24"/>
          <w:szCs w:val="26"/>
          <w:lang w:val="es-ES_tradnl" w:eastAsia="es-ES"/>
        </w:rPr>
        <w:t xml:space="preserve">que marcan los artículos 5, 51 y 52, de la Ley de Catastro; por lo que, la resolución está debidamente fundada y motivada, pues en ella se indicaron con precisión los preceptos legales aplicables al caso concreto, </w:t>
      </w:r>
      <w:r w:rsidR="00E3198E">
        <w:rPr>
          <w:rFonts w:ascii="Arial" w:eastAsia="Times New Roman" w:hAnsi="Arial" w:cs="Arial"/>
          <w:sz w:val="24"/>
          <w:szCs w:val="26"/>
          <w:lang w:val="es-ES_tradnl" w:eastAsia="es-ES"/>
        </w:rPr>
        <w:t>y se citaron los motivos por los que se determinó que no era procedente la solicitud de trámite catastral efectuado por la administrada.</w:t>
      </w:r>
    </w:p>
    <w:p w14:paraId="310A0925" w14:textId="4DB47120" w:rsidR="001C0672" w:rsidRDefault="001C0672" w:rsidP="001C0672">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b/>
          <w:sz w:val="24"/>
          <w:szCs w:val="26"/>
          <w:lang w:val="es-ES_tradnl" w:eastAsia="es-ES"/>
        </w:rPr>
        <w:t>QUINTO. Antecedente</w:t>
      </w:r>
      <w:r w:rsidR="009A6891">
        <w:rPr>
          <w:rFonts w:ascii="Arial" w:eastAsia="Times New Roman" w:hAnsi="Arial" w:cs="Arial"/>
          <w:b/>
          <w:sz w:val="24"/>
          <w:szCs w:val="26"/>
          <w:lang w:val="es-ES_tradnl" w:eastAsia="es-ES"/>
        </w:rPr>
        <w:t>s</w:t>
      </w:r>
      <w:r>
        <w:rPr>
          <w:rFonts w:ascii="Arial" w:eastAsia="Times New Roman" w:hAnsi="Arial" w:cs="Arial"/>
          <w:b/>
          <w:sz w:val="24"/>
          <w:szCs w:val="26"/>
          <w:lang w:val="es-ES_tradnl" w:eastAsia="es-ES"/>
        </w:rPr>
        <w:t xml:space="preserve"> del acto impugnado. </w:t>
      </w:r>
      <w:r>
        <w:rPr>
          <w:rFonts w:ascii="Arial" w:eastAsia="Times New Roman" w:hAnsi="Arial" w:cs="Arial"/>
          <w:sz w:val="24"/>
          <w:szCs w:val="26"/>
          <w:lang w:val="es-ES_tradnl" w:eastAsia="es-ES"/>
        </w:rPr>
        <w:t xml:space="preserve">Para una mejor comprensión del presente asunto, se procede a realizar una relación de los antecedentes que sirvieron para la emisión del acto impugnado, los cuales se encuentran acreditados en autos, siendo los siguientes: </w:t>
      </w:r>
    </w:p>
    <w:p w14:paraId="551FF7E6" w14:textId="06371085" w:rsidR="001C0672" w:rsidRPr="009A6891" w:rsidRDefault="001C0672" w:rsidP="009A6891">
      <w:pPr>
        <w:pStyle w:val="Prrafodelista"/>
        <w:numPr>
          <w:ilvl w:val="0"/>
          <w:numId w:val="2"/>
        </w:numPr>
        <w:spacing w:line="360" w:lineRule="auto"/>
        <w:jc w:val="both"/>
        <w:rPr>
          <w:rFonts w:ascii="Arial" w:eastAsia="Times New Roman" w:hAnsi="Arial" w:cs="Arial"/>
          <w:color w:val="FF0000"/>
          <w:sz w:val="24"/>
          <w:szCs w:val="26"/>
          <w:lang w:val="es-ES" w:eastAsia="es-ES"/>
        </w:rPr>
      </w:pPr>
      <w:r w:rsidRPr="009A6891">
        <w:rPr>
          <w:rFonts w:ascii="Arial" w:eastAsiaTheme="minorHAnsi" w:hAnsi="Arial" w:cs="Arial"/>
          <w:bCs/>
          <w:sz w:val="24"/>
          <w:szCs w:val="26"/>
          <w:lang w:eastAsia="en-US"/>
        </w:rPr>
        <w:t xml:space="preserve">Mediante escritura pública </w:t>
      </w:r>
      <w:r w:rsidR="00861BF7">
        <w:rPr>
          <w:rFonts w:ascii="Arial" w:eastAsiaTheme="minorHAnsi" w:hAnsi="Arial" w:cs="Arial"/>
          <w:bCs/>
          <w:sz w:val="24"/>
          <w:szCs w:val="26"/>
          <w:lang w:eastAsia="en-US"/>
        </w:rPr>
        <w:t>**********</w:t>
      </w:r>
      <w:r w:rsidRPr="009A6891">
        <w:rPr>
          <w:rFonts w:ascii="Arial" w:eastAsiaTheme="minorHAnsi" w:hAnsi="Arial" w:cs="Arial"/>
          <w:bCs/>
          <w:sz w:val="24"/>
          <w:szCs w:val="26"/>
          <w:lang w:eastAsia="en-US"/>
        </w:rPr>
        <w:t xml:space="preserve">, volumen </w:t>
      </w:r>
      <w:r w:rsidR="00861BF7">
        <w:rPr>
          <w:rFonts w:ascii="Arial" w:eastAsiaTheme="minorHAnsi" w:hAnsi="Arial" w:cs="Arial"/>
          <w:bCs/>
          <w:sz w:val="24"/>
          <w:szCs w:val="26"/>
          <w:lang w:eastAsia="en-US"/>
        </w:rPr>
        <w:t>**********</w:t>
      </w:r>
      <w:r w:rsidRPr="009A6891">
        <w:rPr>
          <w:rFonts w:ascii="Arial" w:eastAsiaTheme="minorHAnsi" w:hAnsi="Arial" w:cs="Arial"/>
          <w:bCs/>
          <w:sz w:val="24"/>
          <w:szCs w:val="26"/>
          <w:lang w:eastAsia="en-US"/>
        </w:rPr>
        <w:t xml:space="preserve">, del protocolo del Notario número ciento cinco en el Estado, con motivo de la adjudicación parcial de los bienes que formaban la masa </w:t>
      </w:r>
      <w:r w:rsidRPr="009A6891">
        <w:rPr>
          <w:rFonts w:ascii="Arial" w:eastAsiaTheme="minorHAnsi" w:hAnsi="Arial" w:cs="Arial"/>
          <w:bCs/>
          <w:sz w:val="24"/>
          <w:szCs w:val="26"/>
          <w:lang w:eastAsia="en-US"/>
        </w:rPr>
        <w:lastRenderedPageBreak/>
        <w:t xml:space="preserve">hereditaria del extinto </w:t>
      </w:r>
      <w:r w:rsidR="00E831C4">
        <w:rPr>
          <w:rFonts w:ascii="Arial" w:eastAsiaTheme="minorHAnsi" w:hAnsi="Arial" w:cs="Arial"/>
          <w:bCs/>
          <w:color w:val="FF0000"/>
          <w:sz w:val="24"/>
          <w:szCs w:val="26"/>
          <w:lang w:eastAsia="en-US"/>
        </w:rPr>
        <w:t>**********</w:t>
      </w:r>
      <w:r w:rsidRPr="009A6891">
        <w:rPr>
          <w:rFonts w:ascii="Arial" w:eastAsiaTheme="minorHAnsi" w:hAnsi="Arial" w:cs="Arial"/>
          <w:bCs/>
          <w:sz w:val="24"/>
          <w:szCs w:val="26"/>
          <w:lang w:eastAsia="en-US"/>
        </w:rPr>
        <w:t xml:space="preserve">, le fue adjudicada a </w:t>
      </w:r>
      <w:r w:rsidR="005E24AF">
        <w:rPr>
          <w:rFonts w:ascii="Arial" w:eastAsiaTheme="minorHAnsi" w:hAnsi="Arial" w:cs="Arial"/>
          <w:bCs/>
          <w:color w:val="FF0000"/>
          <w:sz w:val="24"/>
          <w:szCs w:val="26"/>
          <w:lang w:eastAsia="en-US"/>
        </w:rPr>
        <w:t>**********</w:t>
      </w:r>
      <w:r w:rsidRPr="009A6891">
        <w:rPr>
          <w:rFonts w:ascii="Arial" w:eastAsiaTheme="minorHAnsi" w:hAnsi="Arial" w:cs="Arial"/>
          <w:bCs/>
          <w:sz w:val="24"/>
          <w:szCs w:val="26"/>
          <w:lang w:eastAsia="en-US"/>
        </w:rPr>
        <w:t xml:space="preserve">, la propiedad del lote número tres </w:t>
      </w:r>
      <w:r w:rsidRPr="009A6891">
        <w:rPr>
          <w:rFonts w:ascii="Arial" w:eastAsia="Times New Roman" w:hAnsi="Arial" w:cs="Arial"/>
          <w:sz w:val="24"/>
          <w:szCs w:val="26"/>
          <w:lang w:val="es-ES" w:eastAsia="es-ES"/>
        </w:rPr>
        <w:t xml:space="preserve">ubicado en </w:t>
      </w:r>
      <w:r w:rsidR="00861BF7">
        <w:rPr>
          <w:rFonts w:ascii="Arial" w:eastAsia="Times New Roman" w:hAnsi="Arial" w:cs="Arial"/>
          <w:color w:val="FF0000"/>
          <w:sz w:val="24"/>
          <w:szCs w:val="26"/>
          <w:lang w:val="es-ES" w:eastAsia="es-ES"/>
        </w:rPr>
        <w:t>**********</w:t>
      </w:r>
      <w:r w:rsidRPr="009A6891">
        <w:rPr>
          <w:rFonts w:ascii="Arial" w:eastAsia="Times New Roman" w:hAnsi="Arial" w:cs="Arial"/>
          <w:color w:val="FF0000"/>
          <w:sz w:val="24"/>
          <w:szCs w:val="26"/>
          <w:lang w:val="es-ES" w:eastAsia="es-ES"/>
        </w:rPr>
        <w:t>.</w:t>
      </w:r>
    </w:p>
    <w:p w14:paraId="4676244C" w14:textId="52EDE15A" w:rsidR="001C0672" w:rsidRPr="009A6891" w:rsidRDefault="009A6891" w:rsidP="009A6891">
      <w:pPr>
        <w:pStyle w:val="Prrafodelista"/>
        <w:numPr>
          <w:ilvl w:val="0"/>
          <w:numId w:val="2"/>
        </w:numPr>
        <w:spacing w:line="360" w:lineRule="auto"/>
        <w:jc w:val="both"/>
        <w:rPr>
          <w:rFonts w:ascii="Arial" w:eastAsia="Times New Roman" w:hAnsi="Arial" w:cs="Arial"/>
          <w:color w:val="000000" w:themeColor="text1"/>
          <w:sz w:val="24"/>
          <w:szCs w:val="26"/>
          <w:lang w:val="es-ES" w:eastAsia="es-ES"/>
        </w:rPr>
      </w:pPr>
      <w:r>
        <w:rPr>
          <w:rFonts w:ascii="Arial" w:eastAsia="Times New Roman" w:hAnsi="Arial" w:cs="Arial"/>
          <w:color w:val="000000" w:themeColor="text1"/>
          <w:sz w:val="24"/>
          <w:szCs w:val="26"/>
          <w:lang w:val="es-ES" w:eastAsia="es-ES"/>
        </w:rPr>
        <w:t>P</w:t>
      </w:r>
      <w:r w:rsidR="001C0672" w:rsidRPr="009A6891">
        <w:rPr>
          <w:rFonts w:ascii="Arial" w:eastAsia="Times New Roman" w:hAnsi="Arial" w:cs="Arial"/>
          <w:color w:val="000000" w:themeColor="text1"/>
          <w:sz w:val="24"/>
          <w:szCs w:val="26"/>
          <w:lang w:val="es-ES" w:eastAsia="es-ES"/>
        </w:rPr>
        <w:t xml:space="preserve">or ello, que el veintiuno de julio de dos mil diecisiete, el Notario Público número ciento cinco en el Estado, presentó una solicitud de trámite catastral del traslado de dominio, con número de folio </w:t>
      </w:r>
      <w:r w:rsidR="00861BF7">
        <w:rPr>
          <w:rFonts w:ascii="Arial" w:eastAsia="Times New Roman" w:hAnsi="Arial" w:cs="Arial"/>
          <w:b/>
          <w:color w:val="FF0000"/>
          <w:sz w:val="24"/>
          <w:szCs w:val="26"/>
          <w:lang w:val="es-ES" w:eastAsia="es-ES"/>
        </w:rPr>
        <w:t>**********</w:t>
      </w:r>
      <w:r w:rsidR="001C0672" w:rsidRPr="009A6891">
        <w:rPr>
          <w:rFonts w:ascii="Arial" w:eastAsia="Times New Roman" w:hAnsi="Arial" w:cs="Arial"/>
          <w:color w:val="000000" w:themeColor="text1"/>
          <w:sz w:val="24"/>
          <w:szCs w:val="26"/>
          <w:lang w:val="es-ES" w:eastAsia="es-ES"/>
        </w:rPr>
        <w:t xml:space="preserve">, en donde aparece como enajenante </w:t>
      </w:r>
      <w:r w:rsidR="00E831C4">
        <w:rPr>
          <w:rFonts w:ascii="Arial" w:eastAsia="Times New Roman" w:hAnsi="Arial" w:cs="Arial"/>
          <w:color w:val="FF0000"/>
          <w:sz w:val="24"/>
          <w:szCs w:val="26"/>
          <w:lang w:val="es-ES" w:eastAsia="es-ES"/>
        </w:rPr>
        <w:t>**********</w:t>
      </w:r>
      <w:r w:rsidR="001C0672" w:rsidRPr="009A6891">
        <w:rPr>
          <w:rFonts w:ascii="Arial" w:eastAsia="Times New Roman" w:hAnsi="Arial" w:cs="Arial"/>
          <w:color w:val="FF0000"/>
          <w:sz w:val="24"/>
          <w:szCs w:val="26"/>
          <w:lang w:val="es-ES" w:eastAsia="es-ES"/>
        </w:rPr>
        <w:t xml:space="preserve"> </w:t>
      </w:r>
      <w:r w:rsidR="001C0672" w:rsidRPr="009A6891">
        <w:rPr>
          <w:rFonts w:ascii="Arial" w:eastAsia="Times New Roman" w:hAnsi="Arial" w:cs="Arial"/>
          <w:color w:val="000000" w:themeColor="text1"/>
          <w:sz w:val="24"/>
          <w:szCs w:val="26"/>
          <w:lang w:val="es-ES" w:eastAsia="es-ES"/>
        </w:rPr>
        <w:t xml:space="preserve">y como adquirente </w:t>
      </w:r>
      <w:r w:rsidR="005E24AF">
        <w:rPr>
          <w:rFonts w:ascii="Arial" w:eastAsia="Times New Roman" w:hAnsi="Arial" w:cs="Arial"/>
          <w:b/>
          <w:color w:val="FF0000"/>
          <w:sz w:val="24"/>
          <w:szCs w:val="26"/>
          <w:lang w:val="es-ES" w:eastAsia="es-ES"/>
        </w:rPr>
        <w:t>**********</w:t>
      </w:r>
      <w:r w:rsidR="001C0672" w:rsidRPr="009A6891">
        <w:rPr>
          <w:rFonts w:ascii="Arial" w:eastAsia="Times New Roman" w:hAnsi="Arial" w:cs="Arial"/>
          <w:color w:val="000000" w:themeColor="text1"/>
          <w:sz w:val="24"/>
          <w:szCs w:val="26"/>
          <w:lang w:val="es-ES" w:eastAsia="es-ES"/>
        </w:rPr>
        <w:t xml:space="preserve">, para que se realizara la actualización en el sistema de información territorial a cargo del Instituto Catastral del Estado, en el registro de cuenta catastral </w:t>
      </w:r>
      <w:r w:rsidR="00E831C4">
        <w:rPr>
          <w:rFonts w:ascii="Arial" w:eastAsia="Times New Roman" w:hAnsi="Arial" w:cs="Arial"/>
          <w:b/>
          <w:color w:val="FF0000"/>
          <w:sz w:val="24"/>
          <w:szCs w:val="26"/>
          <w:lang w:val="es-ES" w:eastAsia="es-ES"/>
        </w:rPr>
        <w:t>**********</w:t>
      </w:r>
      <w:r w:rsidR="001C0672" w:rsidRPr="009A6891">
        <w:rPr>
          <w:rFonts w:ascii="Arial" w:eastAsia="Times New Roman" w:hAnsi="Arial" w:cs="Arial"/>
          <w:color w:val="000000" w:themeColor="text1"/>
          <w:sz w:val="24"/>
          <w:szCs w:val="26"/>
          <w:lang w:val="es-ES" w:eastAsia="es-ES"/>
        </w:rPr>
        <w:t>, del Distrito Fiscal del Centro.</w:t>
      </w:r>
    </w:p>
    <w:p w14:paraId="3D5B471C" w14:textId="08C7AEE2" w:rsidR="001C0672" w:rsidRPr="009A6891" w:rsidRDefault="001C0672" w:rsidP="009A6891">
      <w:pPr>
        <w:pStyle w:val="Prrafodelista"/>
        <w:numPr>
          <w:ilvl w:val="0"/>
          <w:numId w:val="2"/>
        </w:numPr>
        <w:spacing w:line="360" w:lineRule="auto"/>
        <w:jc w:val="both"/>
        <w:rPr>
          <w:rFonts w:ascii="Arial" w:eastAsia="Times New Roman" w:hAnsi="Arial" w:cs="Arial"/>
          <w:color w:val="000000" w:themeColor="text1"/>
          <w:sz w:val="24"/>
          <w:szCs w:val="26"/>
          <w:lang w:val="es-ES" w:eastAsia="es-ES"/>
        </w:rPr>
      </w:pPr>
      <w:r w:rsidRPr="009A6891">
        <w:rPr>
          <w:rFonts w:ascii="Arial" w:eastAsia="Times New Roman" w:hAnsi="Arial" w:cs="Arial"/>
          <w:color w:val="000000" w:themeColor="text1"/>
          <w:sz w:val="24"/>
          <w:szCs w:val="26"/>
          <w:lang w:val="es-ES" w:eastAsia="es-ES"/>
        </w:rPr>
        <w:t xml:space="preserve">En respuesta a la solicitud presentada, mediante oficio </w:t>
      </w:r>
      <w:r w:rsidR="00E831C4">
        <w:rPr>
          <w:rFonts w:ascii="Arial" w:eastAsia="Times New Roman" w:hAnsi="Arial" w:cs="Arial"/>
          <w:b/>
          <w:color w:val="FF0000"/>
          <w:sz w:val="24"/>
          <w:szCs w:val="26"/>
          <w:lang w:val="es-ES" w:eastAsia="es-ES"/>
        </w:rPr>
        <w:t>**********</w:t>
      </w:r>
      <w:r w:rsidRPr="009A6891">
        <w:rPr>
          <w:rFonts w:ascii="Arial" w:eastAsia="Times New Roman" w:hAnsi="Arial" w:cs="Arial"/>
          <w:b/>
          <w:color w:val="FF0000"/>
          <w:sz w:val="24"/>
          <w:szCs w:val="26"/>
          <w:lang w:val="es-ES" w:eastAsia="es-ES"/>
        </w:rPr>
        <w:t xml:space="preserve"> </w:t>
      </w:r>
      <w:r w:rsidRPr="009A6891">
        <w:rPr>
          <w:rFonts w:ascii="Arial" w:eastAsia="Times New Roman" w:hAnsi="Arial" w:cs="Arial"/>
          <w:color w:val="000000" w:themeColor="text1"/>
          <w:sz w:val="24"/>
          <w:szCs w:val="26"/>
          <w:lang w:val="es-ES" w:eastAsia="es-ES"/>
        </w:rPr>
        <w:t>de tres de julio de dos mil diecisiete, la Coordinadora de Enlace Municipal del Instituto Catastral del Estado, determinó improcedente el trámite catastral de traslado de dominio.</w:t>
      </w:r>
    </w:p>
    <w:p w14:paraId="623F0AC1" w14:textId="52629B93" w:rsidR="001C0672" w:rsidRPr="009A6891" w:rsidRDefault="001C0672" w:rsidP="009A6891">
      <w:pPr>
        <w:pStyle w:val="Prrafodelista"/>
        <w:numPr>
          <w:ilvl w:val="0"/>
          <w:numId w:val="2"/>
        </w:numPr>
        <w:spacing w:line="360" w:lineRule="auto"/>
        <w:jc w:val="both"/>
        <w:rPr>
          <w:rFonts w:ascii="Arial" w:eastAsia="Times New Roman" w:hAnsi="Arial" w:cs="Arial"/>
          <w:color w:val="000000" w:themeColor="text1"/>
          <w:sz w:val="24"/>
          <w:szCs w:val="26"/>
          <w:lang w:val="es-ES" w:eastAsia="es-ES"/>
        </w:rPr>
      </w:pPr>
      <w:r w:rsidRPr="009A6891">
        <w:rPr>
          <w:rFonts w:ascii="Arial" w:eastAsia="Times New Roman" w:hAnsi="Arial" w:cs="Arial"/>
          <w:color w:val="000000" w:themeColor="text1"/>
          <w:sz w:val="24"/>
          <w:szCs w:val="26"/>
          <w:lang w:val="es-ES" w:eastAsia="es-ES"/>
        </w:rPr>
        <w:t>Por ello, la administrada promovió recurso de revisión en contra de dicha determinación, el cual fue resuelto el doce de julio de dos mil diecinueve, en el cual el Jefe de la Unidad Jurídica del Instituto Catastral del Estado, confirmó la improcedencia del trámite catastral de traslado de dominio.</w:t>
      </w:r>
    </w:p>
    <w:p w14:paraId="3817A0E4" w14:textId="77777777" w:rsidR="009A6891" w:rsidRPr="00BF7EC7" w:rsidRDefault="00BF7EC7" w:rsidP="009A6891">
      <w:pPr>
        <w:spacing w:before="240" w:after="0" w:line="360" w:lineRule="auto"/>
        <w:ind w:firstLine="567"/>
        <w:jc w:val="both"/>
        <w:rPr>
          <w:rFonts w:ascii="Arial" w:eastAsiaTheme="minorHAnsi" w:hAnsi="Arial" w:cs="Arial"/>
          <w:sz w:val="24"/>
          <w:szCs w:val="24"/>
          <w:lang w:eastAsia="en-US"/>
        </w:rPr>
      </w:pPr>
      <w:r w:rsidRPr="00BF7EC7">
        <w:rPr>
          <w:rFonts w:ascii="Arial" w:eastAsiaTheme="minorHAnsi" w:hAnsi="Arial" w:cs="Arial"/>
          <w:b/>
          <w:sz w:val="24"/>
          <w:szCs w:val="26"/>
          <w:lang w:eastAsia="en-US"/>
        </w:rPr>
        <w:t xml:space="preserve">SEXTO. </w:t>
      </w:r>
      <w:r w:rsidR="009A6891" w:rsidRPr="00BF7EC7">
        <w:rPr>
          <w:rFonts w:ascii="Arial" w:eastAsiaTheme="minorHAnsi" w:hAnsi="Arial" w:cs="Arial"/>
          <w:sz w:val="24"/>
          <w:szCs w:val="24"/>
          <w:lang w:eastAsia="en-US"/>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378F73F7" w14:textId="30BFEB59" w:rsidR="009A6891" w:rsidRPr="009A6891" w:rsidRDefault="009A6891" w:rsidP="009A6891">
      <w:pPr>
        <w:spacing w:before="240" w:line="276" w:lineRule="auto"/>
        <w:ind w:left="851" w:right="616"/>
        <w:jc w:val="both"/>
        <w:rPr>
          <w:rFonts w:ascii="Arial" w:eastAsiaTheme="minorHAnsi" w:hAnsi="Arial" w:cs="Arial"/>
          <w:szCs w:val="24"/>
          <w:lang w:eastAsia="en-US"/>
        </w:rPr>
      </w:pPr>
      <w:r w:rsidRPr="00BF7EC7">
        <w:rPr>
          <w:rFonts w:ascii="Arial" w:eastAsiaTheme="minorHAnsi" w:hAnsi="Arial" w:cs="Arial"/>
          <w:szCs w:val="24"/>
          <w:lang w:eastAsia="en-US"/>
        </w:rPr>
        <w:t>“</w:t>
      </w:r>
      <w:r w:rsidRPr="00BF7EC7">
        <w:rPr>
          <w:rFonts w:ascii="Arial" w:eastAsiaTheme="minorHAnsi" w:hAnsi="Arial" w:cs="Arial"/>
          <w:b/>
          <w:i/>
          <w:szCs w:val="24"/>
          <w:lang w:eastAsia="en-US"/>
        </w:rPr>
        <w:t>CONCEPTOS DE VIOLACION. NO ES OBLIGATORIO TRANSCRIBIRLOS EN LA SENTENCIA</w:t>
      </w:r>
      <w:r w:rsidRPr="00BF7EC7">
        <w:rPr>
          <w:rFonts w:ascii="Arial" w:eastAsiaTheme="minorHAnsi" w:hAnsi="Arial" w:cs="Arial"/>
          <w:szCs w:val="24"/>
          <w:lang w:eastAsia="en-US"/>
        </w:rPr>
        <w:t xml:space="preserve">. </w:t>
      </w:r>
      <w:r w:rsidRPr="00BF7EC7">
        <w:rPr>
          <w:rFonts w:ascii="Arial" w:eastAsiaTheme="minorHAnsi" w:hAnsi="Arial" w:cs="Arial"/>
          <w:i/>
          <w:szCs w:val="24"/>
          <w:lang w:eastAsia="en-US"/>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BF7EC7">
        <w:rPr>
          <w:rFonts w:ascii="Arial" w:eastAsiaTheme="minorHAnsi" w:hAnsi="Arial" w:cs="Arial"/>
          <w:szCs w:val="24"/>
          <w:lang w:eastAsia="en-US"/>
        </w:rPr>
        <w:t>.”</w:t>
      </w:r>
    </w:p>
    <w:p w14:paraId="113C736D" w14:textId="47E82AD4" w:rsidR="00BF7EC7" w:rsidRPr="00BF7EC7" w:rsidRDefault="009A6891" w:rsidP="00BF7EC7">
      <w:pPr>
        <w:spacing w:line="360" w:lineRule="auto"/>
        <w:ind w:firstLine="567"/>
        <w:jc w:val="both"/>
        <w:rPr>
          <w:rFonts w:ascii="Arial" w:eastAsiaTheme="minorHAnsi" w:hAnsi="Arial" w:cs="Arial"/>
          <w:bCs/>
          <w:sz w:val="24"/>
          <w:szCs w:val="26"/>
          <w:lang w:eastAsia="en-US"/>
        </w:rPr>
      </w:pPr>
      <w:r>
        <w:rPr>
          <w:rFonts w:ascii="Arial" w:eastAsiaTheme="minorHAnsi" w:hAnsi="Arial" w:cs="Arial"/>
          <w:b/>
          <w:sz w:val="24"/>
          <w:szCs w:val="26"/>
          <w:lang w:eastAsia="en-US"/>
        </w:rPr>
        <w:t xml:space="preserve">SÉPTIMO. </w:t>
      </w:r>
      <w:r w:rsidR="00BF7EC7" w:rsidRPr="00BF7EC7">
        <w:rPr>
          <w:rFonts w:ascii="Arial" w:eastAsiaTheme="minorHAnsi" w:hAnsi="Arial" w:cs="Arial"/>
          <w:b/>
          <w:sz w:val="24"/>
          <w:szCs w:val="26"/>
          <w:lang w:eastAsia="en-US"/>
        </w:rPr>
        <w:t xml:space="preserve">Análisis de los conceptos de impugnación. </w:t>
      </w:r>
      <w:r w:rsidR="00463476">
        <w:rPr>
          <w:rFonts w:ascii="Arial" w:eastAsiaTheme="minorHAnsi" w:hAnsi="Arial" w:cs="Arial"/>
          <w:bCs/>
          <w:sz w:val="24"/>
          <w:szCs w:val="26"/>
          <w:lang w:eastAsia="en-US"/>
        </w:rPr>
        <w:t>Esta</w:t>
      </w:r>
      <w:r w:rsidR="00BF7EC7" w:rsidRPr="00BF7EC7">
        <w:rPr>
          <w:rFonts w:ascii="Arial" w:eastAsiaTheme="minorHAnsi" w:hAnsi="Arial" w:cs="Arial"/>
          <w:bCs/>
          <w:sz w:val="24"/>
          <w:szCs w:val="26"/>
          <w:lang w:eastAsia="en-US"/>
        </w:rPr>
        <w:t xml:space="preserve"> Juzgador</w:t>
      </w:r>
      <w:r w:rsidR="00463476">
        <w:rPr>
          <w:rFonts w:ascii="Arial" w:eastAsiaTheme="minorHAnsi" w:hAnsi="Arial" w:cs="Arial"/>
          <w:bCs/>
          <w:sz w:val="24"/>
          <w:szCs w:val="26"/>
          <w:lang w:eastAsia="en-US"/>
        </w:rPr>
        <w:t>a</w:t>
      </w:r>
      <w:r w:rsidR="00BF7EC7" w:rsidRPr="00BF7EC7">
        <w:rPr>
          <w:rFonts w:ascii="Arial" w:eastAsiaTheme="minorHAnsi" w:hAnsi="Arial" w:cs="Arial"/>
          <w:bCs/>
          <w:sz w:val="24"/>
          <w:szCs w:val="26"/>
          <w:lang w:eastAsia="en-US"/>
        </w:rPr>
        <w:t xml:space="preserve"> procede al estudio del </w:t>
      </w:r>
      <w:r w:rsidR="00BF7EC7" w:rsidRPr="00BE7BCC">
        <w:rPr>
          <w:rFonts w:ascii="Arial" w:eastAsiaTheme="minorHAnsi" w:hAnsi="Arial" w:cs="Arial"/>
          <w:b/>
          <w:bCs/>
          <w:sz w:val="24"/>
          <w:szCs w:val="26"/>
          <w:lang w:eastAsia="en-US"/>
        </w:rPr>
        <w:t>único concepto de impugnación</w:t>
      </w:r>
      <w:r w:rsidR="00BF7EC7" w:rsidRPr="00BF7EC7">
        <w:rPr>
          <w:rFonts w:ascii="Arial" w:eastAsiaTheme="minorHAnsi" w:hAnsi="Arial" w:cs="Arial"/>
          <w:bCs/>
          <w:sz w:val="24"/>
          <w:szCs w:val="26"/>
          <w:lang w:eastAsia="en-US"/>
        </w:rPr>
        <w:t xml:space="preserve"> vertido por la actora en su escrito de demanda; de cuyo análisis se advierte que en síntesis demanda lo siguiente:</w:t>
      </w:r>
    </w:p>
    <w:p w14:paraId="511A433B" w14:textId="628DD3D3" w:rsidR="00D679EA" w:rsidRPr="00035D32" w:rsidRDefault="00035D32" w:rsidP="00035D32">
      <w:pPr>
        <w:numPr>
          <w:ilvl w:val="0"/>
          <w:numId w:val="1"/>
        </w:numPr>
        <w:spacing w:after="0" w:line="360" w:lineRule="auto"/>
        <w:contextualSpacing/>
        <w:jc w:val="both"/>
        <w:rPr>
          <w:rFonts w:ascii="Arial" w:eastAsia="Times New Roman" w:hAnsi="Arial" w:cs="Arial"/>
          <w:b/>
          <w:sz w:val="24"/>
          <w:szCs w:val="26"/>
          <w:lang w:val="es-ES_tradnl" w:eastAsia="es-ES"/>
        </w:rPr>
      </w:pPr>
      <w:r>
        <w:rPr>
          <w:rFonts w:ascii="Arial" w:eastAsia="Times New Roman" w:hAnsi="Arial" w:cs="Arial"/>
          <w:sz w:val="24"/>
          <w:szCs w:val="26"/>
          <w:lang w:val="es-ES_tradnl" w:eastAsia="es-ES"/>
        </w:rPr>
        <w:lastRenderedPageBreak/>
        <w:t xml:space="preserve">Es ilegal el </w:t>
      </w:r>
      <w:r>
        <w:rPr>
          <w:rFonts w:ascii="Arial" w:eastAsiaTheme="minorHAnsi" w:hAnsi="Arial" w:cs="Arial"/>
          <w:sz w:val="24"/>
          <w:szCs w:val="24"/>
          <w:lang w:eastAsia="en-US"/>
        </w:rPr>
        <w:t>oficio</w:t>
      </w:r>
      <w:r w:rsidRPr="00BF7EC7">
        <w:rPr>
          <w:rFonts w:ascii="Arial" w:eastAsiaTheme="minorHAnsi" w:hAnsi="Arial" w:cs="Arial"/>
          <w:sz w:val="24"/>
          <w:szCs w:val="24"/>
          <w:lang w:eastAsia="en-US"/>
        </w:rPr>
        <w:t xml:space="preserve"> </w:t>
      </w:r>
      <w:r w:rsidR="005E24AF">
        <w:rPr>
          <w:rFonts w:ascii="Arial" w:eastAsiaTheme="minorHAnsi" w:hAnsi="Arial" w:cs="Arial"/>
          <w:b/>
          <w:color w:val="FF0000"/>
          <w:sz w:val="24"/>
          <w:szCs w:val="24"/>
          <w:lang w:eastAsia="en-US"/>
        </w:rPr>
        <w:t>**********</w:t>
      </w:r>
      <w:r w:rsidRPr="00BF7EC7">
        <w:rPr>
          <w:rFonts w:ascii="Arial" w:eastAsiaTheme="minorHAnsi" w:hAnsi="Arial" w:cs="Arial"/>
          <w:sz w:val="24"/>
          <w:szCs w:val="24"/>
          <w:lang w:eastAsia="en-US"/>
        </w:rPr>
        <w:t xml:space="preserve">, que contiene la resolución de </w:t>
      </w:r>
      <w:r>
        <w:rPr>
          <w:rFonts w:ascii="Arial" w:eastAsiaTheme="minorHAnsi" w:hAnsi="Arial" w:cs="Arial"/>
          <w:sz w:val="24"/>
          <w:szCs w:val="24"/>
          <w:lang w:eastAsia="en-US"/>
        </w:rPr>
        <w:t>doce de julio de dos mil diecinueve</w:t>
      </w:r>
      <w:r w:rsidRPr="00BF7EC7">
        <w:rPr>
          <w:rFonts w:ascii="Arial" w:eastAsiaTheme="minorHAnsi" w:hAnsi="Arial" w:cs="Arial"/>
          <w:sz w:val="24"/>
          <w:szCs w:val="24"/>
          <w:lang w:eastAsia="en-US"/>
        </w:rPr>
        <w:t>, dictada por el Jefe de la Unidad Jurídica del Instituto Catastral del Estado</w:t>
      </w:r>
      <w:r>
        <w:rPr>
          <w:rFonts w:ascii="Arial" w:eastAsia="Times New Roman" w:hAnsi="Arial" w:cs="Arial"/>
          <w:sz w:val="24"/>
          <w:szCs w:val="26"/>
          <w:lang w:val="es-ES_tradnl" w:eastAsia="es-ES"/>
        </w:rPr>
        <w:t>, en virtud de que s</w:t>
      </w:r>
      <w:r w:rsidR="00FC5AD2" w:rsidRPr="00035D32">
        <w:rPr>
          <w:rFonts w:ascii="Arial" w:eastAsia="Times New Roman" w:hAnsi="Arial" w:cs="Arial"/>
          <w:sz w:val="24"/>
          <w:szCs w:val="26"/>
          <w:lang w:val="es-ES_tradnl" w:eastAsia="es-ES"/>
        </w:rPr>
        <w:t>e debió declarar procedente la</w:t>
      </w:r>
      <w:r w:rsidR="00D679EA" w:rsidRPr="00035D32">
        <w:rPr>
          <w:rFonts w:ascii="Arial" w:eastAsia="Times New Roman" w:hAnsi="Arial" w:cs="Arial"/>
          <w:sz w:val="24"/>
          <w:szCs w:val="26"/>
          <w:lang w:val="es-ES_tradnl" w:eastAsia="es-ES"/>
        </w:rPr>
        <w:t xml:space="preserve"> solicitud de tr</w:t>
      </w:r>
      <w:r w:rsidR="00FC5AD2" w:rsidRPr="00035D32">
        <w:rPr>
          <w:rFonts w:ascii="Arial" w:eastAsia="Times New Roman" w:hAnsi="Arial" w:cs="Arial"/>
          <w:sz w:val="24"/>
          <w:szCs w:val="26"/>
          <w:lang w:val="es-ES_tradnl" w:eastAsia="es-ES"/>
        </w:rPr>
        <w:t xml:space="preserve">ámite catastral, consistente en el traslado de dominio e integración al padrón catastral, </w:t>
      </w:r>
      <w:r w:rsidR="005F1050" w:rsidRPr="00035D32">
        <w:rPr>
          <w:rFonts w:ascii="Arial" w:eastAsia="Times New Roman" w:hAnsi="Arial" w:cs="Arial"/>
          <w:sz w:val="24"/>
          <w:szCs w:val="26"/>
          <w:lang w:val="es-ES_tradnl" w:eastAsia="es-ES"/>
        </w:rPr>
        <w:t xml:space="preserve">pues </w:t>
      </w:r>
      <w:r w:rsidR="00A0659F">
        <w:rPr>
          <w:rFonts w:ascii="Arial" w:eastAsia="Times New Roman" w:hAnsi="Arial" w:cs="Arial"/>
          <w:sz w:val="24"/>
          <w:szCs w:val="26"/>
          <w:lang w:val="es-ES_tradnl" w:eastAsia="es-ES"/>
        </w:rPr>
        <w:t>se</w:t>
      </w:r>
      <w:r>
        <w:rPr>
          <w:rFonts w:ascii="Arial" w:eastAsia="Times New Roman" w:hAnsi="Arial" w:cs="Arial"/>
          <w:sz w:val="24"/>
          <w:szCs w:val="26"/>
          <w:lang w:val="es-ES_tradnl" w:eastAsia="es-ES"/>
        </w:rPr>
        <w:t xml:space="preserve"> </w:t>
      </w:r>
      <w:r w:rsidR="005F1050" w:rsidRPr="00035D32">
        <w:rPr>
          <w:rFonts w:ascii="Arial" w:eastAsia="Times New Roman" w:hAnsi="Arial" w:cs="Arial"/>
          <w:sz w:val="24"/>
          <w:szCs w:val="26"/>
          <w:lang w:val="es-ES_tradnl" w:eastAsia="es-ES"/>
        </w:rPr>
        <w:t>cumplió</w:t>
      </w:r>
      <w:r w:rsidR="00FC5AD2" w:rsidRPr="00035D32">
        <w:rPr>
          <w:rFonts w:ascii="Arial" w:eastAsia="Times New Roman" w:hAnsi="Arial" w:cs="Arial"/>
          <w:sz w:val="24"/>
          <w:szCs w:val="26"/>
          <w:lang w:val="es-ES_tradnl" w:eastAsia="es-ES"/>
        </w:rPr>
        <w:t xml:space="preserve"> con los requisitos de procedibilidad previstos en el artículo 47 del Reglamento de la Ley de Cat</w:t>
      </w:r>
      <w:r>
        <w:rPr>
          <w:rFonts w:ascii="Arial" w:eastAsia="Times New Roman" w:hAnsi="Arial" w:cs="Arial"/>
          <w:sz w:val="24"/>
          <w:szCs w:val="26"/>
          <w:lang w:val="es-ES_tradnl" w:eastAsia="es-ES"/>
        </w:rPr>
        <w:t xml:space="preserve">astro para el Estado de Oaxaca; ya que le causa agravios el hecho de que la demandada haya considerado que el extinto </w:t>
      </w:r>
      <w:r w:rsidR="00E831C4">
        <w:rPr>
          <w:rFonts w:ascii="Arial" w:eastAsia="Times New Roman" w:hAnsi="Arial" w:cs="Arial"/>
          <w:b/>
          <w:color w:val="FF0000"/>
          <w:sz w:val="24"/>
          <w:szCs w:val="26"/>
          <w:lang w:val="es-ES_tradnl" w:eastAsia="es-ES"/>
        </w:rPr>
        <w:t>**********</w:t>
      </w:r>
      <w:r>
        <w:rPr>
          <w:rFonts w:ascii="Arial" w:eastAsia="Times New Roman" w:hAnsi="Arial" w:cs="Arial"/>
          <w:sz w:val="24"/>
          <w:szCs w:val="26"/>
          <w:lang w:val="es-ES_tradnl" w:eastAsia="es-ES"/>
        </w:rPr>
        <w:t xml:space="preserve">, estaba obligado a manifestar su permiso de subdivisión al Instituto Catastral del Estado, </w:t>
      </w:r>
      <w:r w:rsidR="0045394A">
        <w:rPr>
          <w:rFonts w:ascii="Arial" w:eastAsia="Times New Roman" w:hAnsi="Arial" w:cs="Arial"/>
          <w:sz w:val="24"/>
          <w:szCs w:val="26"/>
          <w:lang w:val="es-ES_tradnl" w:eastAsia="es-ES"/>
        </w:rPr>
        <w:t>y realizar previamente el trámite catastral de asignación de clave catastral a los lotes resultado de la subdivisión.</w:t>
      </w:r>
    </w:p>
    <w:p w14:paraId="10E075D3" w14:textId="1C017F5B" w:rsidR="005F1050" w:rsidRPr="00F85488" w:rsidRDefault="0045394A" w:rsidP="00BF7EC7">
      <w:pPr>
        <w:numPr>
          <w:ilvl w:val="0"/>
          <w:numId w:val="1"/>
        </w:numPr>
        <w:spacing w:after="0" w:line="360" w:lineRule="auto"/>
        <w:contextualSpacing/>
        <w:jc w:val="both"/>
        <w:rPr>
          <w:rFonts w:ascii="Arial" w:eastAsia="Times New Roman" w:hAnsi="Arial" w:cs="Arial"/>
          <w:b/>
          <w:sz w:val="24"/>
          <w:szCs w:val="26"/>
          <w:lang w:val="es-ES_tradnl" w:eastAsia="es-ES"/>
        </w:rPr>
      </w:pPr>
      <w:r>
        <w:rPr>
          <w:rFonts w:ascii="Arial" w:eastAsia="Times New Roman" w:hAnsi="Arial" w:cs="Arial"/>
          <w:sz w:val="24"/>
          <w:szCs w:val="26"/>
          <w:lang w:val="es-ES_tradnl" w:eastAsia="es-ES"/>
        </w:rPr>
        <w:t>Los artículos 68 fracción I, de la Ley de Catastro del Estado de Oaxaca, 40 y 47, del Reglamento de la Ley de Catastro del Estado, no señalan que a</w:t>
      </w:r>
      <w:r w:rsidR="0077160C">
        <w:rPr>
          <w:rFonts w:ascii="Arial" w:eastAsia="Times New Roman" w:hAnsi="Arial" w:cs="Arial"/>
          <w:sz w:val="24"/>
          <w:szCs w:val="26"/>
          <w:lang w:val="es-ES_tradnl" w:eastAsia="es-ES"/>
        </w:rPr>
        <w:t xml:space="preserve"> </w:t>
      </w:r>
      <w:r>
        <w:rPr>
          <w:rFonts w:ascii="Arial" w:eastAsia="Times New Roman" w:hAnsi="Arial" w:cs="Arial"/>
          <w:sz w:val="24"/>
          <w:szCs w:val="26"/>
          <w:lang w:val="es-ES_tradnl" w:eastAsia="es-ES"/>
        </w:rPr>
        <w:t>l</w:t>
      </w:r>
      <w:r w:rsidR="0077160C">
        <w:rPr>
          <w:rFonts w:ascii="Arial" w:eastAsia="Times New Roman" w:hAnsi="Arial" w:cs="Arial"/>
          <w:sz w:val="24"/>
          <w:szCs w:val="26"/>
          <w:lang w:val="es-ES_tradnl" w:eastAsia="es-ES"/>
        </w:rPr>
        <w:t>a solicitud de</w:t>
      </w:r>
      <w:r>
        <w:rPr>
          <w:rFonts w:ascii="Arial" w:eastAsia="Times New Roman" w:hAnsi="Arial" w:cs="Arial"/>
          <w:sz w:val="24"/>
          <w:szCs w:val="26"/>
          <w:lang w:val="es-ES_tradnl" w:eastAsia="es-ES"/>
        </w:rPr>
        <w:t xml:space="preserve"> trámite de traslado de dominio e integración al padrón catastral  </w:t>
      </w:r>
      <w:r w:rsidR="0077160C">
        <w:rPr>
          <w:rFonts w:ascii="Arial" w:eastAsia="Times New Roman" w:hAnsi="Arial" w:cs="Arial"/>
          <w:sz w:val="24"/>
          <w:szCs w:val="26"/>
          <w:lang w:val="es-ES_tradnl" w:eastAsia="es-ES"/>
        </w:rPr>
        <w:t xml:space="preserve">se deba acompañar un trámite inexistente </w:t>
      </w:r>
      <w:r w:rsidR="0053255E">
        <w:rPr>
          <w:rFonts w:ascii="Arial" w:eastAsia="Times New Roman" w:hAnsi="Arial" w:cs="Arial"/>
          <w:sz w:val="24"/>
          <w:szCs w:val="26"/>
          <w:lang w:val="es-ES_tradnl" w:eastAsia="es-ES"/>
        </w:rPr>
        <w:t xml:space="preserve">a cargo del extinto </w:t>
      </w:r>
      <w:r w:rsidR="00E831C4">
        <w:rPr>
          <w:rFonts w:ascii="Arial" w:eastAsia="Times New Roman" w:hAnsi="Arial" w:cs="Arial"/>
          <w:b/>
          <w:color w:val="FF0000"/>
          <w:sz w:val="24"/>
          <w:szCs w:val="26"/>
          <w:lang w:val="es-ES_tradnl" w:eastAsia="es-ES"/>
        </w:rPr>
        <w:t>**********</w:t>
      </w:r>
      <w:r w:rsidR="0053255E">
        <w:rPr>
          <w:rFonts w:ascii="Arial" w:eastAsia="Times New Roman" w:hAnsi="Arial" w:cs="Arial"/>
          <w:sz w:val="24"/>
          <w:szCs w:val="26"/>
          <w:lang w:val="es-ES_tradnl" w:eastAsia="es-ES"/>
        </w:rPr>
        <w:t>, por medio del cual haya manifestado ante el Instituto Catastral del Estado, la subdivisión que le fue autorizada el dieciocho de septiembre de mil novecientos noventa y ocho, por la autoridad municipal del Ayuntamiento de Santa Cruz Xoxocotlán; por lo tanto, la autoridad catastral no debe solicitar que se acompañe un documento que la ley no señala de manera expresa.</w:t>
      </w:r>
    </w:p>
    <w:p w14:paraId="34467606" w14:textId="55815531" w:rsidR="00F85488" w:rsidRPr="00F85488" w:rsidRDefault="00F85488" w:rsidP="00BF7EC7">
      <w:pPr>
        <w:numPr>
          <w:ilvl w:val="0"/>
          <w:numId w:val="1"/>
        </w:numPr>
        <w:spacing w:after="0" w:line="360" w:lineRule="auto"/>
        <w:contextualSpacing/>
        <w:jc w:val="both"/>
        <w:rPr>
          <w:rFonts w:ascii="Arial" w:eastAsia="Times New Roman" w:hAnsi="Arial" w:cs="Arial"/>
          <w:b/>
          <w:sz w:val="24"/>
          <w:szCs w:val="26"/>
          <w:lang w:val="es-ES_tradnl" w:eastAsia="es-ES"/>
        </w:rPr>
      </w:pPr>
      <w:r>
        <w:rPr>
          <w:rFonts w:ascii="Arial" w:eastAsia="Times New Roman" w:hAnsi="Arial" w:cs="Arial"/>
          <w:sz w:val="24"/>
          <w:szCs w:val="26"/>
          <w:lang w:val="es-ES_tradnl" w:eastAsia="es-ES"/>
        </w:rPr>
        <w:t xml:space="preserve">La Ley de Catastro para el Estado de Oaxaca, no señala de manera expresa las razones por las cuales </w:t>
      </w:r>
      <w:r w:rsidR="000B7C55">
        <w:rPr>
          <w:rFonts w:ascii="Arial" w:eastAsia="Times New Roman" w:hAnsi="Arial" w:cs="Arial"/>
          <w:sz w:val="24"/>
          <w:szCs w:val="26"/>
          <w:lang w:val="es-ES_tradnl" w:eastAsia="es-ES"/>
        </w:rPr>
        <w:t>la autoridad catastral pueda rechazar un trámite</w:t>
      </w:r>
      <w:r>
        <w:rPr>
          <w:rFonts w:ascii="Arial" w:eastAsia="Times New Roman" w:hAnsi="Arial" w:cs="Arial"/>
          <w:sz w:val="24"/>
          <w:szCs w:val="26"/>
          <w:lang w:val="es-ES_tradnl" w:eastAsia="es-ES"/>
        </w:rPr>
        <w:t xml:space="preserve">, por lo que, se puede deducir que la falta de presentación de los documentos exigidos por el artículo 47 de la referida Ley, hacen improcedente el trámite solicitado; </w:t>
      </w:r>
      <w:r>
        <w:rPr>
          <w:rFonts w:ascii="Arial" w:eastAsia="Times New Roman" w:hAnsi="Arial" w:cs="Arial"/>
          <w:b/>
          <w:sz w:val="24"/>
          <w:szCs w:val="26"/>
          <w:lang w:val="es-ES_tradnl" w:eastAsia="es-ES"/>
        </w:rPr>
        <w:t xml:space="preserve">sin embargo </w:t>
      </w:r>
      <w:r>
        <w:rPr>
          <w:rFonts w:ascii="Arial" w:eastAsia="Times New Roman" w:hAnsi="Arial" w:cs="Arial"/>
          <w:sz w:val="24"/>
          <w:szCs w:val="26"/>
          <w:lang w:val="es-ES_tradnl" w:eastAsia="es-ES"/>
        </w:rPr>
        <w:t>ninguna de las Leyes o Reglamentos hacen referencia a que previamente al anterior propietario debería de haber realizado el aviso de subdivisión.</w:t>
      </w:r>
    </w:p>
    <w:p w14:paraId="632A82F8" w14:textId="3B1DFAFA" w:rsidR="00F85488" w:rsidRPr="001C1E82" w:rsidRDefault="001C1E82" w:rsidP="00BF7EC7">
      <w:pPr>
        <w:numPr>
          <w:ilvl w:val="0"/>
          <w:numId w:val="1"/>
        </w:numPr>
        <w:spacing w:after="0" w:line="360" w:lineRule="auto"/>
        <w:contextualSpacing/>
        <w:jc w:val="both"/>
        <w:rPr>
          <w:rFonts w:ascii="Arial" w:eastAsia="Times New Roman" w:hAnsi="Arial" w:cs="Arial"/>
          <w:b/>
          <w:sz w:val="24"/>
          <w:szCs w:val="26"/>
          <w:lang w:val="es-ES_tradnl" w:eastAsia="es-ES"/>
        </w:rPr>
      </w:pPr>
      <w:r>
        <w:rPr>
          <w:rFonts w:ascii="Arial" w:eastAsia="Times New Roman" w:hAnsi="Arial" w:cs="Arial"/>
          <w:sz w:val="24"/>
          <w:szCs w:val="26"/>
          <w:lang w:val="es-ES_tradnl" w:eastAsia="es-ES"/>
        </w:rPr>
        <w:t xml:space="preserve">El acto impugnado no satisface el principio de legalidad, en lo concerniente a la debida fundamentación y motivación, como lo exige el artículo 16 Constitucional, pues en la resolución no se expresaron los preceptos legales exactamente aplicables al caso </w:t>
      </w:r>
      <w:r w:rsidR="0059479C">
        <w:rPr>
          <w:rFonts w:ascii="Arial" w:eastAsia="Times New Roman" w:hAnsi="Arial" w:cs="Arial"/>
          <w:sz w:val="24"/>
          <w:szCs w:val="26"/>
          <w:lang w:val="es-ES_tradnl" w:eastAsia="es-ES"/>
        </w:rPr>
        <w:t>y no se señalaron las circunstancias especiales, razones particulares o causas inmediatas tomadas en consideración para aplicar esos preceptos al caso concreto</w:t>
      </w:r>
      <w:r w:rsidR="00A0659F">
        <w:rPr>
          <w:rFonts w:ascii="Arial" w:eastAsia="Times New Roman" w:hAnsi="Arial" w:cs="Arial"/>
          <w:sz w:val="24"/>
          <w:szCs w:val="26"/>
          <w:lang w:val="es-ES_tradnl" w:eastAsia="es-ES"/>
        </w:rPr>
        <w:t xml:space="preserve">, siendo necesario </w:t>
      </w:r>
      <w:r w:rsidR="0059479C">
        <w:rPr>
          <w:rFonts w:ascii="Arial" w:eastAsia="Times New Roman" w:hAnsi="Arial" w:cs="Arial"/>
          <w:sz w:val="24"/>
          <w:szCs w:val="26"/>
          <w:lang w:val="es-ES_tradnl" w:eastAsia="es-ES"/>
        </w:rPr>
        <w:t>que exista adecuación entre los motivos aducidos y las normas aplicables</w:t>
      </w:r>
      <w:r w:rsidR="00C502D5">
        <w:rPr>
          <w:rFonts w:ascii="Arial" w:eastAsia="Times New Roman" w:hAnsi="Arial" w:cs="Arial"/>
          <w:sz w:val="24"/>
          <w:szCs w:val="26"/>
          <w:lang w:val="es-ES_tradnl" w:eastAsia="es-ES"/>
        </w:rPr>
        <w:t xml:space="preserve">, toda vez que la autoridad demandada no indicó los elementos de los que se allegó </w:t>
      </w:r>
      <w:r w:rsidR="00C502D5">
        <w:rPr>
          <w:rFonts w:ascii="Arial" w:eastAsia="Times New Roman" w:hAnsi="Arial" w:cs="Arial"/>
          <w:sz w:val="24"/>
          <w:szCs w:val="26"/>
          <w:lang w:val="es-ES_tradnl" w:eastAsia="es-ES"/>
        </w:rPr>
        <w:lastRenderedPageBreak/>
        <w:t>para determinar que no era procedente la Solicitud de Trámite Catastral de Traslado de dominio e integración al Padrón Catastral.</w:t>
      </w:r>
    </w:p>
    <w:p w14:paraId="2E63E506" w14:textId="77777777" w:rsidR="00A0659F" w:rsidRDefault="00A0659F" w:rsidP="00BF7EC7">
      <w:pPr>
        <w:spacing w:line="360" w:lineRule="auto"/>
        <w:ind w:firstLine="567"/>
        <w:jc w:val="both"/>
        <w:rPr>
          <w:rFonts w:ascii="Arial" w:eastAsiaTheme="minorHAnsi" w:hAnsi="Arial" w:cs="Arial"/>
          <w:bCs/>
          <w:sz w:val="24"/>
          <w:szCs w:val="26"/>
          <w:lang w:eastAsia="en-US"/>
        </w:rPr>
      </w:pPr>
    </w:p>
    <w:p w14:paraId="1ADF6256" w14:textId="04925BAD" w:rsidR="007107E4" w:rsidRDefault="00A0659F" w:rsidP="007759DA">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Ahora bien, del análisis realizado a los argumentos </w:t>
      </w:r>
      <w:r w:rsidR="007759DA">
        <w:rPr>
          <w:rFonts w:ascii="Arial" w:eastAsiaTheme="minorHAnsi" w:hAnsi="Arial" w:cs="Arial"/>
          <w:bCs/>
          <w:sz w:val="24"/>
          <w:szCs w:val="26"/>
          <w:lang w:eastAsia="en-US"/>
        </w:rPr>
        <w:t xml:space="preserve">vertidos por la parte actora, esta Juzgadora advierte que </w:t>
      </w:r>
      <w:r w:rsidR="007759DA" w:rsidRPr="007759DA">
        <w:rPr>
          <w:rFonts w:ascii="Arial" w:eastAsiaTheme="minorHAnsi" w:hAnsi="Arial" w:cs="Arial"/>
          <w:b/>
          <w:bCs/>
          <w:sz w:val="24"/>
          <w:szCs w:val="26"/>
          <w:lang w:eastAsia="en-US"/>
        </w:rPr>
        <w:t>son sustancialmente fundados</w:t>
      </w:r>
      <w:r w:rsidR="007759DA">
        <w:rPr>
          <w:rFonts w:ascii="Arial" w:eastAsiaTheme="minorHAnsi" w:hAnsi="Arial" w:cs="Arial"/>
          <w:bCs/>
          <w:sz w:val="24"/>
          <w:szCs w:val="26"/>
          <w:lang w:eastAsia="en-US"/>
        </w:rPr>
        <w:t>, por las siguientes consideraciones:</w:t>
      </w:r>
    </w:p>
    <w:p w14:paraId="2EC61353" w14:textId="514924E6" w:rsidR="004D347E" w:rsidRDefault="004D347E" w:rsidP="00BF7EC7">
      <w:pPr>
        <w:spacing w:line="360" w:lineRule="auto"/>
        <w:ind w:firstLine="567"/>
        <w:jc w:val="both"/>
        <w:rPr>
          <w:rFonts w:ascii="Arial" w:eastAsia="Times New Roman" w:hAnsi="Arial" w:cs="Arial"/>
          <w:color w:val="000000" w:themeColor="text1"/>
          <w:sz w:val="24"/>
          <w:szCs w:val="26"/>
          <w:lang w:val="es-ES" w:eastAsia="es-ES"/>
        </w:rPr>
      </w:pPr>
      <w:r>
        <w:rPr>
          <w:rFonts w:ascii="Arial" w:eastAsia="Times New Roman" w:hAnsi="Arial" w:cs="Arial"/>
          <w:color w:val="000000" w:themeColor="text1"/>
          <w:sz w:val="24"/>
          <w:szCs w:val="26"/>
          <w:lang w:val="es-ES" w:eastAsia="es-ES"/>
        </w:rPr>
        <w:t>En dicha resolución</w:t>
      </w:r>
      <w:r w:rsidR="004F43C5">
        <w:rPr>
          <w:rFonts w:ascii="Arial" w:eastAsia="Times New Roman" w:hAnsi="Arial" w:cs="Arial"/>
          <w:color w:val="000000" w:themeColor="text1"/>
          <w:sz w:val="24"/>
          <w:szCs w:val="26"/>
          <w:lang w:val="es-ES" w:eastAsia="es-ES"/>
        </w:rPr>
        <w:t xml:space="preserve"> impugnada</w:t>
      </w:r>
      <w:r>
        <w:rPr>
          <w:rFonts w:ascii="Arial" w:eastAsia="Times New Roman" w:hAnsi="Arial" w:cs="Arial"/>
          <w:color w:val="000000" w:themeColor="text1"/>
          <w:sz w:val="24"/>
          <w:szCs w:val="26"/>
          <w:lang w:val="es-ES" w:eastAsia="es-ES"/>
        </w:rPr>
        <w:t xml:space="preserve">, la autoridad demandada </w:t>
      </w:r>
      <w:r w:rsidR="00764A5C">
        <w:rPr>
          <w:rFonts w:ascii="Arial" w:eastAsia="Times New Roman" w:hAnsi="Arial" w:cs="Arial"/>
          <w:color w:val="000000" w:themeColor="text1"/>
          <w:sz w:val="24"/>
          <w:szCs w:val="26"/>
          <w:lang w:val="es-ES" w:eastAsia="es-ES"/>
        </w:rPr>
        <w:t>determinó que el trámite catastral de traslado de dominio, era improcedente en virtud de que incumplía con los requisitos exigidos por el artículo</w:t>
      </w:r>
      <w:r w:rsidR="00906A3C">
        <w:rPr>
          <w:rFonts w:ascii="Arial" w:eastAsia="Times New Roman" w:hAnsi="Arial" w:cs="Arial"/>
          <w:color w:val="000000" w:themeColor="text1"/>
          <w:sz w:val="24"/>
          <w:szCs w:val="26"/>
          <w:lang w:val="es-ES" w:eastAsia="es-ES"/>
        </w:rPr>
        <w:t xml:space="preserve"> 47 del Reglamento de la Ley de Catastro, es decir, la administrada debería de presentar el documento idóneo para demostrar los derechos de propied</w:t>
      </w:r>
      <w:r w:rsidR="00456FFF">
        <w:rPr>
          <w:rFonts w:ascii="Arial" w:eastAsia="Times New Roman" w:hAnsi="Arial" w:cs="Arial"/>
          <w:color w:val="000000" w:themeColor="text1"/>
          <w:sz w:val="24"/>
          <w:szCs w:val="26"/>
          <w:lang w:val="es-ES" w:eastAsia="es-ES"/>
        </w:rPr>
        <w:t>ad del bien inmueble que se estaba</w:t>
      </w:r>
      <w:r w:rsidR="00906A3C">
        <w:rPr>
          <w:rFonts w:ascii="Arial" w:eastAsia="Times New Roman" w:hAnsi="Arial" w:cs="Arial"/>
          <w:color w:val="000000" w:themeColor="text1"/>
          <w:sz w:val="24"/>
          <w:szCs w:val="26"/>
          <w:lang w:val="es-ES" w:eastAsia="es-ES"/>
        </w:rPr>
        <w:t xml:space="preserve"> trasladando; </w:t>
      </w:r>
      <w:r w:rsidR="00D42C5E">
        <w:rPr>
          <w:rFonts w:ascii="Arial" w:eastAsia="Times New Roman" w:hAnsi="Arial" w:cs="Arial"/>
          <w:color w:val="000000" w:themeColor="text1"/>
          <w:sz w:val="24"/>
          <w:szCs w:val="26"/>
          <w:lang w:val="es-ES" w:eastAsia="es-ES"/>
        </w:rPr>
        <w:t xml:space="preserve">aunado, que el extinto </w:t>
      </w:r>
      <w:r w:rsidR="00E831C4">
        <w:rPr>
          <w:rFonts w:ascii="Arial" w:eastAsia="Times New Roman" w:hAnsi="Arial" w:cs="Arial"/>
          <w:b/>
          <w:color w:val="FF0000"/>
          <w:sz w:val="24"/>
          <w:szCs w:val="26"/>
          <w:lang w:val="es-ES" w:eastAsia="es-ES"/>
        </w:rPr>
        <w:t>**********</w:t>
      </w:r>
      <w:r w:rsidR="00D42C5E" w:rsidRPr="00AB2AD4">
        <w:rPr>
          <w:rFonts w:ascii="Arial" w:eastAsia="Times New Roman" w:hAnsi="Arial" w:cs="Arial"/>
          <w:color w:val="FF0000"/>
          <w:sz w:val="24"/>
          <w:szCs w:val="26"/>
          <w:lang w:val="es-ES" w:eastAsia="es-ES"/>
        </w:rPr>
        <w:t xml:space="preserve"> </w:t>
      </w:r>
      <w:r w:rsidR="00D42C5E">
        <w:rPr>
          <w:rFonts w:ascii="Arial" w:eastAsia="Times New Roman" w:hAnsi="Arial" w:cs="Arial"/>
          <w:color w:val="000000" w:themeColor="text1"/>
          <w:sz w:val="24"/>
          <w:szCs w:val="26"/>
          <w:lang w:val="es-ES" w:eastAsia="es-ES"/>
        </w:rPr>
        <w:t>no manifestó la subdivisión que le fue autorizada el dieciocho de septiembre de mil novecientos noventa y ocho</w:t>
      </w:r>
      <w:r w:rsidR="00AB2AD4">
        <w:rPr>
          <w:rFonts w:ascii="Arial" w:eastAsia="Times New Roman" w:hAnsi="Arial" w:cs="Arial"/>
          <w:color w:val="000000" w:themeColor="text1"/>
          <w:sz w:val="24"/>
          <w:szCs w:val="26"/>
          <w:lang w:val="es-ES" w:eastAsia="es-ES"/>
        </w:rPr>
        <w:t xml:space="preserve">, por el Ayuntamiento Municipal de Santa Cruz Xoxocotlán, Oaxaca, para que primeramente el Instituto Catastral del Estado realizara el trámite de asignación de clave catastral a cada lote resultado de la subdivisión, para que cada lote tuviera una cuenta catastral a nombre de </w:t>
      </w:r>
      <w:r w:rsidR="00E831C4">
        <w:rPr>
          <w:rFonts w:ascii="Arial" w:eastAsia="Times New Roman" w:hAnsi="Arial" w:cs="Arial"/>
          <w:color w:val="FF0000"/>
          <w:sz w:val="24"/>
          <w:szCs w:val="26"/>
          <w:lang w:val="es-ES" w:eastAsia="es-ES"/>
        </w:rPr>
        <w:t>**********</w:t>
      </w:r>
      <w:r w:rsidR="00AB2AD4">
        <w:rPr>
          <w:rFonts w:ascii="Arial" w:eastAsia="Times New Roman" w:hAnsi="Arial" w:cs="Arial"/>
          <w:color w:val="000000" w:themeColor="text1"/>
          <w:sz w:val="24"/>
          <w:szCs w:val="26"/>
          <w:lang w:val="es-ES" w:eastAsia="es-ES"/>
        </w:rPr>
        <w:t xml:space="preserve">, y no como se encuentra actualmente el Registro de Cuenta Catastral número </w:t>
      </w:r>
      <w:r w:rsidR="00E831C4">
        <w:rPr>
          <w:rFonts w:ascii="Arial" w:eastAsia="Times New Roman" w:hAnsi="Arial" w:cs="Arial"/>
          <w:color w:val="FF0000"/>
          <w:sz w:val="24"/>
          <w:szCs w:val="26"/>
          <w:lang w:val="es-ES" w:eastAsia="es-ES"/>
        </w:rPr>
        <w:t>**********</w:t>
      </w:r>
      <w:r w:rsidR="00AB2AD4">
        <w:rPr>
          <w:rFonts w:ascii="Arial" w:eastAsia="Times New Roman" w:hAnsi="Arial" w:cs="Arial"/>
          <w:color w:val="000000" w:themeColor="text1"/>
          <w:sz w:val="24"/>
          <w:szCs w:val="26"/>
          <w:lang w:val="es-ES" w:eastAsia="es-ES"/>
        </w:rPr>
        <w:t>, en donde aparece una so</w:t>
      </w:r>
      <w:r w:rsidR="00456FFF">
        <w:rPr>
          <w:rFonts w:ascii="Arial" w:eastAsia="Times New Roman" w:hAnsi="Arial" w:cs="Arial"/>
          <w:color w:val="000000" w:themeColor="text1"/>
          <w:sz w:val="24"/>
          <w:szCs w:val="26"/>
          <w:lang w:val="es-ES" w:eastAsia="es-ES"/>
        </w:rPr>
        <w:t>la cuenta y la superficie total</w:t>
      </w:r>
      <w:r w:rsidR="00AB2AD4">
        <w:rPr>
          <w:rFonts w:ascii="Arial" w:eastAsia="Times New Roman" w:hAnsi="Arial" w:cs="Arial"/>
          <w:color w:val="000000" w:themeColor="text1"/>
          <w:sz w:val="24"/>
          <w:szCs w:val="26"/>
          <w:lang w:val="es-ES" w:eastAsia="es-ES"/>
        </w:rPr>
        <w:t xml:space="preserve"> sin que haya sido subdividida. </w:t>
      </w:r>
    </w:p>
    <w:p w14:paraId="69860BF6" w14:textId="0B29AF42" w:rsidR="00AB2AD4" w:rsidRDefault="00AB2AD4" w:rsidP="00BF7EC7">
      <w:pPr>
        <w:spacing w:line="360" w:lineRule="auto"/>
        <w:ind w:firstLine="567"/>
        <w:jc w:val="both"/>
        <w:rPr>
          <w:rFonts w:ascii="Arial" w:eastAsia="Times New Roman" w:hAnsi="Arial" w:cs="Arial"/>
          <w:color w:val="000000" w:themeColor="text1"/>
          <w:sz w:val="24"/>
          <w:szCs w:val="26"/>
          <w:lang w:val="es-ES" w:eastAsia="es-ES"/>
        </w:rPr>
      </w:pPr>
      <w:r>
        <w:rPr>
          <w:rFonts w:ascii="Arial" w:eastAsia="Times New Roman" w:hAnsi="Arial" w:cs="Arial"/>
          <w:color w:val="000000" w:themeColor="text1"/>
          <w:sz w:val="24"/>
          <w:szCs w:val="26"/>
          <w:lang w:val="es-ES" w:eastAsia="es-ES"/>
        </w:rPr>
        <w:t xml:space="preserve">Por lo que, a consideración de la demandada, el extinto </w:t>
      </w:r>
      <w:r w:rsidR="00E831C4">
        <w:rPr>
          <w:rFonts w:ascii="Arial" w:eastAsia="Times New Roman" w:hAnsi="Arial" w:cs="Arial"/>
          <w:color w:val="FF0000"/>
          <w:sz w:val="24"/>
          <w:szCs w:val="26"/>
          <w:lang w:val="es-ES" w:eastAsia="es-ES"/>
        </w:rPr>
        <w:t>**********</w:t>
      </w:r>
      <w:r w:rsidRPr="00456FFF">
        <w:rPr>
          <w:rFonts w:ascii="Arial" w:eastAsia="Times New Roman" w:hAnsi="Arial" w:cs="Arial"/>
          <w:color w:val="FF0000"/>
          <w:sz w:val="24"/>
          <w:szCs w:val="26"/>
          <w:lang w:val="es-ES" w:eastAsia="es-ES"/>
        </w:rPr>
        <w:t xml:space="preserve"> </w:t>
      </w:r>
      <w:r>
        <w:rPr>
          <w:rFonts w:ascii="Arial" w:eastAsia="Times New Roman" w:hAnsi="Arial" w:cs="Arial"/>
          <w:color w:val="000000" w:themeColor="text1"/>
          <w:sz w:val="24"/>
          <w:szCs w:val="26"/>
          <w:lang w:val="es-ES" w:eastAsia="es-ES"/>
        </w:rPr>
        <w:t xml:space="preserve">estaba obligado a manifestar su permiso de subdivisión </w:t>
      </w:r>
      <w:r w:rsidR="00B0121B">
        <w:rPr>
          <w:rFonts w:ascii="Arial" w:eastAsia="Times New Roman" w:hAnsi="Arial" w:cs="Arial"/>
          <w:color w:val="000000" w:themeColor="text1"/>
          <w:sz w:val="24"/>
          <w:szCs w:val="26"/>
          <w:lang w:val="es-ES" w:eastAsia="es-ES"/>
        </w:rPr>
        <w:t>ante el Instituto Catastral del Estado, dentro de los treinta días naturales siguientes a la fecha que se le autorizó, acompañando copia de la licencia de autorización y copia del plano respectivo, como lo establecen los artículos 39, segundo párrafo, 40, 54 y 61, de la Ley de Catastro para el Estado de Oaxaca.</w:t>
      </w:r>
    </w:p>
    <w:p w14:paraId="4234A89A" w14:textId="20B5AC4E" w:rsidR="00B57FD7" w:rsidRDefault="00B57FD7" w:rsidP="00BF7EC7">
      <w:pPr>
        <w:spacing w:line="360" w:lineRule="auto"/>
        <w:ind w:firstLine="567"/>
        <w:jc w:val="both"/>
        <w:rPr>
          <w:rFonts w:ascii="Arial" w:eastAsia="Times New Roman" w:hAnsi="Arial" w:cs="Arial"/>
          <w:color w:val="000000" w:themeColor="text1"/>
          <w:sz w:val="24"/>
          <w:szCs w:val="26"/>
          <w:lang w:val="es-ES" w:eastAsia="es-ES"/>
        </w:rPr>
      </w:pPr>
      <w:r>
        <w:rPr>
          <w:rFonts w:ascii="Arial" w:eastAsia="Times New Roman" w:hAnsi="Arial" w:cs="Arial"/>
          <w:color w:val="000000" w:themeColor="text1"/>
          <w:sz w:val="24"/>
          <w:szCs w:val="26"/>
          <w:lang w:val="es-ES" w:eastAsia="es-ES"/>
        </w:rPr>
        <w:t>En ese sentido, el artículo 52 de la Ley de Catastro para el Estado y el diverso 47 del Reglamento de la Ley de Catastro del Estado, señalan:</w:t>
      </w:r>
    </w:p>
    <w:p w14:paraId="5E2587D6" w14:textId="43FC402E"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
          <w:bCs/>
          <w:i/>
          <w:color w:val="000000" w:themeColor="text1"/>
          <w:szCs w:val="26"/>
          <w:lang w:eastAsia="en-US"/>
        </w:rPr>
        <w:t>“ARTÍCULO 52.-</w:t>
      </w:r>
      <w:r w:rsidRPr="00B57FD7">
        <w:rPr>
          <w:rFonts w:ascii="Arial" w:eastAsiaTheme="minorHAnsi" w:hAnsi="Arial" w:cs="Arial"/>
          <w:bCs/>
          <w:i/>
          <w:color w:val="000000" w:themeColor="text1"/>
          <w:szCs w:val="26"/>
          <w:lang w:eastAsia="en-US"/>
        </w:rPr>
        <w:t xml:space="preserve"> Cuando en las manifestaciones o avisos a que se refiere esta Ley no se expresen los datos o no se acompañen los documentos o planos también requeridos, el Instituto Catastral del Estado de Oaxaca no las admitirá para su trámite.</w:t>
      </w:r>
    </w:p>
    <w:p w14:paraId="45F34548" w14:textId="7AD02ADD"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Cs/>
          <w:i/>
          <w:color w:val="000000" w:themeColor="text1"/>
          <w:szCs w:val="26"/>
          <w:lang w:eastAsia="en-US"/>
        </w:rPr>
        <w:t>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w:t>
      </w:r>
    </w:p>
    <w:p w14:paraId="4F252015" w14:textId="16AB2429"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
          <w:bCs/>
          <w:i/>
          <w:color w:val="000000" w:themeColor="text1"/>
          <w:szCs w:val="26"/>
          <w:lang w:eastAsia="en-US"/>
        </w:rPr>
        <w:t>ARTÍCULO 47.-</w:t>
      </w:r>
      <w:r w:rsidRPr="00B57FD7">
        <w:rPr>
          <w:rFonts w:ascii="Arial" w:eastAsiaTheme="minorHAnsi" w:hAnsi="Arial" w:cs="Arial"/>
          <w:bCs/>
          <w:i/>
          <w:color w:val="000000" w:themeColor="text1"/>
          <w:szCs w:val="26"/>
          <w:lang w:eastAsia="en-US"/>
        </w:rPr>
        <w:t xml:space="preserve"> Para realizar el trámite de traslado de dominio se deberá presentar lo siguiente:</w:t>
      </w:r>
    </w:p>
    <w:p w14:paraId="0E0E0F4A" w14:textId="4ACF4F86"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Cs/>
          <w:i/>
          <w:color w:val="000000" w:themeColor="text1"/>
          <w:szCs w:val="26"/>
          <w:lang w:eastAsia="en-US"/>
        </w:rPr>
        <w:t>I. Solicitud de trámite catastral requisitada a máquina o impresa, firmada y sellada por el notario;</w:t>
      </w:r>
    </w:p>
    <w:p w14:paraId="4C6D3E8F" w14:textId="77777777"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Cs/>
          <w:i/>
          <w:color w:val="000000" w:themeColor="text1"/>
          <w:szCs w:val="26"/>
          <w:lang w:eastAsia="en-US"/>
        </w:rPr>
        <w:t>II. Copia del antecedente de posesión o propiedad;</w:t>
      </w:r>
    </w:p>
    <w:p w14:paraId="75F1445B" w14:textId="3BE03621"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Cs/>
          <w:i/>
          <w:color w:val="000000" w:themeColor="text1"/>
          <w:szCs w:val="26"/>
          <w:lang w:eastAsia="en-US"/>
        </w:rPr>
        <w:lastRenderedPageBreak/>
        <w:t>III. Copia y original para cotejo de la boleta de pago predial vigente a la fecha de celebración;</w:t>
      </w:r>
    </w:p>
    <w:p w14:paraId="43D851A4" w14:textId="77777777"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Cs/>
          <w:i/>
          <w:color w:val="000000" w:themeColor="text1"/>
          <w:szCs w:val="26"/>
          <w:lang w:eastAsia="en-US"/>
        </w:rPr>
        <w:t>IV. Croquis de localización;</w:t>
      </w:r>
    </w:p>
    <w:p w14:paraId="4670C8B4" w14:textId="03EB8A92"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Cs/>
          <w:i/>
          <w:color w:val="000000" w:themeColor="text1"/>
          <w:szCs w:val="26"/>
          <w:lang w:eastAsia="en-US"/>
        </w:rPr>
        <w:t>V. Avalúos catastral e inmobiliario certificados, practicados por perito con registro ante el Instituto Catastral del Estado de Oaxaca;</w:t>
      </w:r>
    </w:p>
    <w:p w14:paraId="2BDB1C19" w14:textId="40E645A4"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Cs/>
          <w:i/>
          <w:color w:val="000000" w:themeColor="text1"/>
          <w:szCs w:val="26"/>
          <w:lang w:eastAsia="en-US"/>
        </w:rPr>
        <w:t>VI. Permiso y plano de subdivisión autorizados por el municipio correspondiente, cuando el traslado de dominio se realice de forma parcial; y</w:t>
      </w:r>
    </w:p>
    <w:p w14:paraId="1F0968E2" w14:textId="63CF769B" w:rsidR="00B57FD7" w:rsidRPr="00B57FD7" w:rsidRDefault="00B57FD7" w:rsidP="00B57FD7">
      <w:pPr>
        <w:spacing w:line="240" w:lineRule="auto"/>
        <w:ind w:left="567" w:right="333" w:firstLine="567"/>
        <w:jc w:val="both"/>
        <w:rPr>
          <w:rFonts w:ascii="Arial" w:eastAsiaTheme="minorHAnsi" w:hAnsi="Arial" w:cs="Arial"/>
          <w:bCs/>
          <w:i/>
          <w:color w:val="000000" w:themeColor="text1"/>
          <w:szCs w:val="26"/>
          <w:lang w:eastAsia="en-US"/>
        </w:rPr>
      </w:pPr>
      <w:r w:rsidRPr="00B57FD7">
        <w:rPr>
          <w:rFonts w:ascii="Arial" w:eastAsiaTheme="minorHAnsi" w:hAnsi="Arial" w:cs="Arial"/>
          <w:bCs/>
          <w:i/>
          <w:color w:val="000000" w:themeColor="text1"/>
          <w:szCs w:val="26"/>
          <w:lang w:eastAsia="en-US"/>
        </w:rPr>
        <w:t>VII. Los demás documentos que resulten necesarios para la tramitación.”</w:t>
      </w:r>
    </w:p>
    <w:p w14:paraId="5B3C5C7C" w14:textId="55A5F38F" w:rsidR="00B57FD7" w:rsidRDefault="00E00415" w:rsidP="00BF7EC7">
      <w:pPr>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Los artículos transcritos disponen, que el Instituto Catastral del Estado tiene la facultad de rechazar aquellos trámites catastrales en los cuales los contribuyentes no expresen los datos o no acompañen los documentos necesarios para los trámites que soliciten, por lo que, en el caso de trámite de traslado de dominio, los administrados deberán de acompa</w:t>
      </w:r>
      <w:r w:rsidR="00456FFF">
        <w:rPr>
          <w:rFonts w:ascii="Arial" w:eastAsiaTheme="minorHAnsi" w:hAnsi="Arial" w:cs="Arial"/>
          <w:sz w:val="24"/>
          <w:szCs w:val="26"/>
          <w:lang w:eastAsia="en-US"/>
        </w:rPr>
        <w:t>ñar los documentos que exige</w:t>
      </w:r>
      <w:r>
        <w:rPr>
          <w:rFonts w:ascii="Arial" w:eastAsiaTheme="minorHAnsi" w:hAnsi="Arial" w:cs="Arial"/>
          <w:sz w:val="24"/>
          <w:szCs w:val="26"/>
          <w:lang w:eastAsia="en-US"/>
        </w:rPr>
        <w:t xml:space="preserve"> el artículo 47 de</w:t>
      </w:r>
      <w:r w:rsidR="00DB6631">
        <w:rPr>
          <w:rFonts w:ascii="Arial" w:eastAsiaTheme="minorHAnsi" w:hAnsi="Arial" w:cs="Arial"/>
          <w:sz w:val="24"/>
          <w:szCs w:val="26"/>
          <w:lang w:eastAsia="en-US"/>
        </w:rPr>
        <w:t>l Reglamento</w:t>
      </w:r>
      <w:r w:rsidR="00456FFF">
        <w:rPr>
          <w:rFonts w:ascii="Arial" w:eastAsiaTheme="minorHAnsi" w:hAnsi="Arial" w:cs="Arial"/>
          <w:sz w:val="24"/>
          <w:szCs w:val="26"/>
          <w:lang w:eastAsia="en-US"/>
        </w:rPr>
        <w:t xml:space="preserve"> la Ley de Catastro del Estado, pues de lo contrario su trámite será improcedente.</w:t>
      </w:r>
    </w:p>
    <w:p w14:paraId="11F06CAF" w14:textId="29DF758C" w:rsidR="00690078" w:rsidRDefault="00E00415" w:rsidP="00BF7EC7">
      <w:pPr>
        <w:spacing w:line="360" w:lineRule="auto"/>
        <w:ind w:firstLine="567"/>
        <w:jc w:val="both"/>
        <w:rPr>
          <w:rFonts w:ascii="Arial" w:eastAsia="Times New Roman" w:hAnsi="Arial" w:cs="Arial"/>
          <w:sz w:val="24"/>
          <w:szCs w:val="26"/>
          <w:lang w:val="es-ES_tradnl" w:eastAsia="es-ES"/>
        </w:rPr>
      </w:pPr>
      <w:r>
        <w:rPr>
          <w:rFonts w:ascii="Arial" w:eastAsiaTheme="minorHAnsi" w:hAnsi="Arial" w:cs="Arial"/>
          <w:sz w:val="24"/>
          <w:szCs w:val="26"/>
          <w:lang w:eastAsia="en-US"/>
        </w:rPr>
        <w:t xml:space="preserve">Ahora, como bien lo señala la actora, ninguna de las fracciones </w:t>
      </w:r>
      <w:r w:rsidR="00DB6631">
        <w:rPr>
          <w:rFonts w:ascii="Arial" w:eastAsiaTheme="minorHAnsi" w:hAnsi="Arial" w:cs="Arial"/>
          <w:sz w:val="24"/>
          <w:szCs w:val="26"/>
          <w:lang w:eastAsia="en-US"/>
        </w:rPr>
        <w:t>del artículo 47 del Reglamento de la Ley de Catastro del Estado, exige</w:t>
      </w:r>
      <w:r w:rsidR="00F35514">
        <w:rPr>
          <w:rFonts w:ascii="Arial" w:eastAsiaTheme="minorHAnsi" w:hAnsi="Arial" w:cs="Arial"/>
          <w:sz w:val="24"/>
          <w:szCs w:val="26"/>
          <w:lang w:eastAsia="en-US"/>
        </w:rPr>
        <w:t>n</w:t>
      </w:r>
      <w:r w:rsidR="00DB6631">
        <w:rPr>
          <w:rFonts w:ascii="Arial" w:eastAsiaTheme="minorHAnsi" w:hAnsi="Arial" w:cs="Arial"/>
          <w:sz w:val="24"/>
          <w:szCs w:val="26"/>
          <w:lang w:eastAsia="en-US"/>
        </w:rPr>
        <w:t xml:space="preserve"> que para realizar el trámite catastral de traslado de dominio, </w:t>
      </w:r>
      <w:r w:rsidR="00D95E4B">
        <w:rPr>
          <w:rFonts w:ascii="Arial" w:eastAsia="Times New Roman" w:hAnsi="Arial" w:cs="Arial"/>
          <w:sz w:val="24"/>
          <w:szCs w:val="26"/>
          <w:lang w:val="es-ES_tradnl" w:eastAsia="es-ES"/>
        </w:rPr>
        <w:t xml:space="preserve">se deba acompañar </w:t>
      </w:r>
      <w:r w:rsidR="00690078">
        <w:rPr>
          <w:rFonts w:ascii="Arial" w:eastAsia="Times New Roman" w:hAnsi="Arial" w:cs="Arial"/>
          <w:sz w:val="24"/>
          <w:szCs w:val="26"/>
          <w:lang w:val="es-ES_tradnl" w:eastAsia="es-ES"/>
        </w:rPr>
        <w:t xml:space="preserve">una autorización o licencia de subdivisión emitida por la </w:t>
      </w:r>
      <w:r w:rsidR="00BB7FEB">
        <w:rPr>
          <w:rFonts w:ascii="Arial" w:eastAsia="Times New Roman" w:hAnsi="Arial" w:cs="Arial"/>
          <w:sz w:val="24"/>
          <w:szCs w:val="26"/>
          <w:lang w:val="es-ES_tradnl" w:eastAsia="es-ES"/>
        </w:rPr>
        <w:t>autoridad municipal competente.</w:t>
      </w:r>
    </w:p>
    <w:p w14:paraId="4D77A970" w14:textId="1B8D0485" w:rsidR="001E1B70" w:rsidRDefault="00BB7FEB" w:rsidP="001E1B70">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Por lo que, resulta ilegal que el </w:t>
      </w:r>
      <w:r>
        <w:rPr>
          <w:rFonts w:ascii="Arial" w:eastAsia="Times New Roman" w:hAnsi="Arial" w:cs="Arial"/>
          <w:b/>
          <w:sz w:val="24"/>
          <w:szCs w:val="26"/>
          <w:lang w:val="es-ES_tradnl" w:eastAsia="es-ES"/>
        </w:rPr>
        <w:t>Jefe de la Unidad Jurídica del Instituto Catastral del Estado</w:t>
      </w:r>
      <w:r>
        <w:rPr>
          <w:rFonts w:ascii="Arial" w:eastAsia="Times New Roman" w:hAnsi="Arial" w:cs="Arial"/>
          <w:sz w:val="24"/>
          <w:szCs w:val="26"/>
          <w:lang w:val="es-ES_tradnl" w:eastAsia="es-ES"/>
        </w:rPr>
        <w:t>, exija un documento que no se encuentra previsto en el Reglamento de la Ley d</w:t>
      </w:r>
      <w:r w:rsidR="001E1B70">
        <w:rPr>
          <w:rFonts w:ascii="Arial" w:eastAsia="Times New Roman" w:hAnsi="Arial" w:cs="Arial"/>
          <w:sz w:val="24"/>
          <w:szCs w:val="26"/>
          <w:lang w:val="es-ES_tradnl" w:eastAsia="es-ES"/>
        </w:rPr>
        <w:t>e Catastro del Estado de Oaxaca, más aún que dicho trámite debió haberse realizado en su momento procesal oportuno por el anterior propietario.</w:t>
      </w:r>
    </w:p>
    <w:p w14:paraId="2B278AF9" w14:textId="1C70866E" w:rsidR="00BB7FEB" w:rsidRDefault="00BB7FEB" w:rsidP="00BF7EC7">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b/>
          <w:sz w:val="24"/>
          <w:szCs w:val="26"/>
          <w:lang w:val="es-ES_tradnl" w:eastAsia="es-ES"/>
        </w:rPr>
        <w:t>Sin embargo,</w:t>
      </w:r>
      <w:r w:rsidR="008D19AF">
        <w:rPr>
          <w:rFonts w:ascii="Arial" w:eastAsia="Times New Roman" w:hAnsi="Arial" w:cs="Arial"/>
          <w:b/>
          <w:sz w:val="24"/>
          <w:szCs w:val="26"/>
          <w:lang w:val="es-ES_tradnl" w:eastAsia="es-ES"/>
        </w:rPr>
        <w:t xml:space="preserve"> </w:t>
      </w:r>
      <w:r w:rsidR="008D19AF">
        <w:rPr>
          <w:rFonts w:ascii="Arial" w:eastAsia="Times New Roman" w:hAnsi="Arial" w:cs="Arial"/>
          <w:sz w:val="24"/>
          <w:szCs w:val="26"/>
          <w:lang w:val="es-ES_tradnl" w:eastAsia="es-ES"/>
        </w:rPr>
        <w:t>no pasa inadvertido para esta Juzgadora que los artículos 39, 40, 54 y 61 de la Ley de Catastro para el Estado de Oaxaca, señalan:</w:t>
      </w:r>
    </w:p>
    <w:p w14:paraId="316913FD" w14:textId="07C1158B" w:rsidR="004C1CB6" w:rsidRPr="00AB5A2B" w:rsidRDefault="004C1CB6" w:rsidP="00AB5A2B">
      <w:pPr>
        <w:spacing w:line="240" w:lineRule="auto"/>
        <w:ind w:left="567" w:right="333" w:firstLine="567"/>
        <w:jc w:val="both"/>
        <w:rPr>
          <w:rFonts w:ascii="Arial" w:eastAsia="Times New Roman" w:hAnsi="Arial" w:cs="Arial"/>
          <w:i/>
          <w:szCs w:val="26"/>
          <w:lang w:val="es-ES_tradnl" w:eastAsia="es-ES"/>
        </w:rPr>
      </w:pPr>
      <w:r w:rsidRPr="00AB5A2B">
        <w:rPr>
          <w:rFonts w:ascii="Arial" w:eastAsia="Times New Roman" w:hAnsi="Arial" w:cs="Arial"/>
          <w:b/>
          <w:i/>
          <w:szCs w:val="26"/>
          <w:lang w:val="es-ES_tradnl" w:eastAsia="es-ES"/>
        </w:rPr>
        <w:t>ARTÍCULO 39.-</w:t>
      </w:r>
      <w:r w:rsidRPr="00AB5A2B">
        <w:rPr>
          <w:rFonts w:ascii="Arial" w:eastAsia="Times New Roman" w:hAnsi="Arial" w:cs="Arial"/>
          <w:i/>
          <w:szCs w:val="26"/>
          <w:lang w:val="es-ES_tradnl" w:eastAsia="es-ES"/>
        </w:rPr>
        <w:t xml:space="preserve"> Con el fin de mantener actualizado permanentemente el sistema de información territorial, las autoridades competentes enviarán mensualmente al Instituto Catastral del Estado de Oaxaca, los planes de desarrollo urbano aprobados en términos de las disposiciones legales aplicables, así como un informe sobre las autorizaciones para fraccionar, subdividir, o para establecer condominios y en su caso copia de los planos de notificación autorizados y archivo digital de los mismos, para fraccionar un terreno o establecer un condominio.</w:t>
      </w:r>
    </w:p>
    <w:p w14:paraId="3C94CDC1" w14:textId="6BA5D331" w:rsidR="004C1CB6" w:rsidRPr="00AB5A2B" w:rsidRDefault="004C1CB6" w:rsidP="00AB5A2B">
      <w:pPr>
        <w:spacing w:line="240" w:lineRule="auto"/>
        <w:ind w:left="567" w:right="333" w:firstLine="567"/>
        <w:jc w:val="both"/>
        <w:rPr>
          <w:rFonts w:ascii="Arial" w:eastAsia="Times New Roman" w:hAnsi="Arial" w:cs="Arial"/>
          <w:i/>
          <w:szCs w:val="26"/>
          <w:lang w:val="es-ES_tradnl" w:eastAsia="es-ES"/>
        </w:rPr>
      </w:pPr>
      <w:r w:rsidRPr="00AB5A2B">
        <w:rPr>
          <w:rFonts w:ascii="Arial" w:eastAsia="Times New Roman" w:hAnsi="Arial" w:cs="Arial"/>
          <w:i/>
          <w:szCs w:val="26"/>
          <w:lang w:val="es-ES_tradnl" w:eastAsia="es-ES"/>
        </w:rPr>
        <w:t xml:space="preserve">De igual forma, para elaborar y actualizar la cartografía catastral, los particulares, profesionales inmobiliarios, fraccionadores y urbanizadores con dicha actividad o giro fiscal, que obtengan licencia o autorización para fraccionar, subdividir, notificar, </w:t>
      </w:r>
      <w:proofErr w:type="spellStart"/>
      <w:r w:rsidRPr="00AB5A2B">
        <w:rPr>
          <w:rFonts w:ascii="Arial" w:eastAsia="Times New Roman" w:hAnsi="Arial" w:cs="Arial"/>
          <w:i/>
          <w:szCs w:val="26"/>
          <w:lang w:val="es-ES_tradnl" w:eastAsia="es-ES"/>
        </w:rPr>
        <w:t>renotificar</w:t>
      </w:r>
      <w:proofErr w:type="spellEnd"/>
      <w:r w:rsidRPr="00AB5A2B">
        <w:rPr>
          <w:rFonts w:ascii="Arial" w:eastAsia="Times New Roman" w:hAnsi="Arial" w:cs="Arial"/>
          <w:i/>
          <w:szCs w:val="26"/>
          <w:lang w:val="es-ES_tradnl" w:eastAsia="es-ES"/>
        </w:rPr>
        <w:t xml:space="preserve"> o fusionar un inmueble y se tengan o no proyectadas obras de construcción, deberán presentar al Instituto Catastral del Estado de Oaxaca los avisos de reasignación y asignación de cuenta correspondiente a cada uno de los lotes resultantes de subdivisión, notificación, fraccionamiento o condominio, en un plazo  no mayor de treinta días hábiles contados a partir de la fecha de autorización, acompañando copia de la licencia o autorización y copia de los planos, tratándose de notificaciones de más de cinco predios se requiere para la autorización del trámite, el archivo digital georreferenciado a la red geodésica estatal del </w:t>
      </w:r>
      <w:r w:rsidRPr="00AB5A2B">
        <w:rPr>
          <w:rFonts w:ascii="Arial" w:eastAsia="Times New Roman" w:hAnsi="Arial" w:cs="Arial"/>
          <w:i/>
          <w:szCs w:val="26"/>
          <w:lang w:val="es-ES_tradnl" w:eastAsia="es-ES"/>
        </w:rPr>
        <w:lastRenderedPageBreak/>
        <w:t>proyecto aprobado, en igual plazo deberán comunicar toda modificación realizada a la autorización inicial.</w:t>
      </w:r>
    </w:p>
    <w:p w14:paraId="6881187C" w14:textId="4EA6B4C0" w:rsidR="004C1CB6" w:rsidRPr="00AB5A2B" w:rsidRDefault="004C1CB6" w:rsidP="00AB5A2B">
      <w:pPr>
        <w:spacing w:line="240" w:lineRule="auto"/>
        <w:ind w:left="567" w:right="333" w:firstLine="567"/>
        <w:jc w:val="both"/>
        <w:rPr>
          <w:rFonts w:ascii="Arial" w:eastAsia="Times New Roman" w:hAnsi="Arial" w:cs="Arial"/>
          <w:i/>
          <w:szCs w:val="26"/>
          <w:lang w:val="es-ES_tradnl" w:eastAsia="es-ES"/>
        </w:rPr>
      </w:pPr>
      <w:r w:rsidRPr="00AB5A2B">
        <w:rPr>
          <w:rFonts w:ascii="Arial" w:eastAsia="Times New Roman" w:hAnsi="Arial" w:cs="Arial"/>
          <w:b/>
          <w:i/>
          <w:szCs w:val="26"/>
          <w:lang w:val="es-ES_tradnl" w:eastAsia="es-ES"/>
        </w:rPr>
        <w:t>ARTÍCULO 40.-</w:t>
      </w:r>
      <w:r w:rsidRPr="00AB5A2B">
        <w:rPr>
          <w:rFonts w:ascii="Arial" w:eastAsia="Times New Roman" w:hAnsi="Arial" w:cs="Arial"/>
          <w:i/>
          <w:szCs w:val="26"/>
          <w:lang w:val="es-ES_tradnl" w:eastAsia="es-ES"/>
        </w:rPr>
        <w:t xml:space="preserve"> Recibidos por el Instituto los avisos y copias de los planos a que se refiere el artículo 39 de esta Ley, éste señalará cuando así proceda, cuenta catastral, la clave catastral de cada uno de los lotes de terreno que constituyan la subdivisión, lotificación, fraccionamiento o condominio, mismo que servirá de base para la identificación de las operaciones catastrales que se realicen en el futuro y procederá a:</w:t>
      </w:r>
    </w:p>
    <w:p w14:paraId="69BBA22E" w14:textId="6F6594DD" w:rsidR="004C1CB6" w:rsidRPr="00AB5A2B" w:rsidRDefault="004C1CB6" w:rsidP="00AB5A2B">
      <w:pPr>
        <w:spacing w:line="240" w:lineRule="auto"/>
        <w:ind w:left="567" w:right="333" w:firstLine="567"/>
        <w:jc w:val="both"/>
        <w:rPr>
          <w:rFonts w:ascii="Arial" w:eastAsia="Times New Roman" w:hAnsi="Arial" w:cs="Arial"/>
          <w:i/>
          <w:szCs w:val="26"/>
          <w:lang w:val="es-ES_tradnl" w:eastAsia="es-ES"/>
        </w:rPr>
      </w:pPr>
      <w:r w:rsidRPr="00AB5A2B">
        <w:rPr>
          <w:rFonts w:ascii="Arial" w:eastAsia="Times New Roman" w:hAnsi="Arial" w:cs="Arial"/>
          <w:i/>
          <w:szCs w:val="26"/>
          <w:lang w:val="es-ES_tradnl" w:eastAsia="es-ES"/>
        </w:rPr>
        <w:t>I.- Empadronar los lotes producto de la subdivisión, lotificación, fraccionamiento o condominio, los cuales se consideran como nuevos predios; y</w:t>
      </w:r>
    </w:p>
    <w:p w14:paraId="746BEE55" w14:textId="4F983979" w:rsidR="009D0540" w:rsidRPr="00AB5A2B" w:rsidRDefault="004C1CB6" w:rsidP="00AB5A2B">
      <w:pPr>
        <w:spacing w:line="240" w:lineRule="auto"/>
        <w:ind w:left="567" w:right="333" w:firstLine="567"/>
        <w:jc w:val="both"/>
        <w:rPr>
          <w:rFonts w:ascii="Arial" w:eastAsia="Times New Roman" w:hAnsi="Arial" w:cs="Arial"/>
          <w:i/>
          <w:szCs w:val="26"/>
          <w:lang w:val="es-ES_tradnl" w:eastAsia="es-ES"/>
        </w:rPr>
      </w:pPr>
      <w:r w:rsidRPr="00AB5A2B">
        <w:rPr>
          <w:rFonts w:ascii="Arial" w:eastAsia="Times New Roman" w:hAnsi="Arial" w:cs="Arial"/>
          <w:i/>
          <w:szCs w:val="26"/>
          <w:lang w:val="es-ES_tradnl" w:eastAsia="es-ES"/>
        </w:rPr>
        <w:t>II.- Valuar cada uno de los lotes del frac</w:t>
      </w:r>
      <w:r w:rsidR="009D0540" w:rsidRPr="00AB5A2B">
        <w:rPr>
          <w:rFonts w:ascii="Arial" w:eastAsia="Times New Roman" w:hAnsi="Arial" w:cs="Arial"/>
          <w:i/>
          <w:szCs w:val="26"/>
          <w:lang w:val="es-ES_tradnl" w:eastAsia="es-ES"/>
        </w:rPr>
        <w:t>cionamiento o condominio.</w:t>
      </w:r>
    </w:p>
    <w:p w14:paraId="408A8080" w14:textId="0FA0ED0A" w:rsidR="008D19AF" w:rsidRPr="00AB5A2B" w:rsidRDefault="009D0540" w:rsidP="00AB5A2B">
      <w:pPr>
        <w:spacing w:line="240" w:lineRule="auto"/>
        <w:ind w:left="567" w:right="333" w:firstLine="567"/>
        <w:jc w:val="both"/>
        <w:rPr>
          <w:rFonts w:ascii="Arial" w:eastAsia="Times New Roman" w:hAnsi="Arial" w:cs="Arial"/>
          <w:i/>
          <w:szCs w:val="26"/>
          <w:lang w:val="es-ES_tradnl" w:eastAsia="es-ES"/>
        </w:rPr>
      </w:pPr>
      <w:r w:rsidRPr="00AB5A2B">
        <w:rPr>
          <w:rFonts w:ascii="Arial" w:eastAsia="Times New Roman" w:hAnsi="Arial" w:cs="Arial"/>
          <w:b/>
          <w:i/>
          <w:szCs w:val="26"/>
          <w:lang w:val="es-ES_tradnl" w:eastAsia="es-ES"/>
        </w:rPr>
        <w:t>ARTICULO 54.-</w:t>
      </w:r>
      <w:r w:rsidRPr="00AB5A2B">
        <w:rPr>
          <w:rFonts w:ascii="Arial" w:eastAsia="Times New Roman" w:hAnsi="Arial" w:cs="Arial"/>
          <w:i/>
          <w:szCs w:val="26"/>
          <w:lang w:val="es-ES_tradnl" w:eastAsia="es-ES"/>
        </w:rPr>
        <w:t xml:space="preserve"> Los propietarios, poseedores o cualquiera otra persona encargada de un bien inmueble, están obligados a manifestar a las autoridades catastrales debidamente autorizadas cualquier modificación que se haga a los elementos que caracterizan al bien inmueble, tales como construcciones, reconstrucciones, ampliaciones, fusión o subdivisión de predios o cualquier otra contemplada por esta Ley dentro de un plazo de 30 días naturales contados a partir de la fecha en que se hubiere realizado la modificación.</w:t>
      </w:r>
    </w:p>
    <w:p w14:paraId="38E7EEE0" w14:textId="3F6DEAEB" w:rsidR="00904922" w:rsidRPr="00AB5A2B" w:rsidRDefault="00904922" w:rsidP="00AB5A2B">
      <w:pPr>
        <w:spacing w:line="240" w:lineRule="auto"/>
        <w:ind w:left="567" w:right="333" w:firstLine="567"/>
        <w:jc w:val="both"/>
        <w:rPr>
          <w:rFonts w:ascii="Arial" w:eastAsia="Times New Roman" w:hAnsi="Arial" w:cs="Arial"/>
          <w:i/>
          <w:szCs w:val="26"/>
          <w:lang w:val="es-ES_tradnl" w:eastAsia="es-ES"/>
        </w:rPr>
      </w:pPr>
      <w:r w:rsidRPr="00AB5A2B">
        <w:rPr>
          <w:rFonts w:ascii="Arial" w:eastAsia="Times New Roman" w:hAnsi="Arial" w:cs="Arial"/>
          <w:b/>
          <w:i/>
          <w:szCs w:val="26"/>
          <w:lang w:val="es-ES_tradnl" w:eastAsia="es-ES"/>
        </w:rPr>
        <w:t>ARTÍCULO 61.-</w:t>
      </w:r>
      <w:r w:rsidRPr="00AB5A2B">
        <w:rPr>
          <w:rFonts w:ascii="Arial" w:eastAsia="Times New Roman" w:hAnsi="Arial" w:cs="Arial"/>
          <w:i/>
          <w:szCs w:val="26"/>
          <w:lang w:val="es-ES_tradnl" w:eastAsia="es-ES"/>
        </w:rPr>
        <w:t xml:space="preserve"> Los particulares están obligados a manifestar ante las autoridades catastrales, los permisos y licencias que obtengan de parte de las autoridades competentes, así como los actos celebrados ante los notarios públicos y los procedimientos ante registradores en un plazo  de 30 días naturales, contados a partir de la obtención y celebración de los supuestos a que se refiere esta disposición.</w:t>
      </w:r>
    </w:p>
    <w:p w14:paraId="6DBD7A17" w14:textId="0D993156" w:rsidR="00904922" w:rsidRPr="00AB5A2B" w:rsidRDefault="00904922" w:rsidP="00AB5A2B">
      <w:pPr>
        <w:spacing w:line="240" w:lineRule="auto"/>
        <w:ind w:left="567" w:right="333" w:firstLine="567"/>
        <w:jc w:val="both"/>
        <w:rPr>
          <w:rFonts w:ascii="Arial" w:eastAsia="Times New Roman" w:hAnsi="Arial" w:cs="Arial"/>
          <w:i/>
          <w:szCs w:val="26"/>
          <w:lang w:val="es-ES_tradnl" w:eastAsia="es-ES"/>
        </w:rPr>
      </w:pPr>
      <w:r w:rsidRPr="00AB5A2B">
        <w:rPr>
          <w:rFonts w:ascii="Arial" w:eastAsia="Times New Roman" w:hAnsi="Arial" w:cs="Arial"/>
          <w:i/>
          <w:szCs w:val="26"/>
          <w:lang w:val="es-ES_tradnl" w:eastAsia="es-ES"/>
        </w:rPr>
        <w:t>Las autoridades judiciales deberán proporcionar al Instituto la información sobre sentencias ejecutorias, que impliquen traslado de dominio.”</w:t>
      </w:r>
    </w:p>
    <w:p w14:paraId="4F03DCE2" w14:textId="07B860AC" w:rsidR="004B3C5F" w:rsidRDefault="000C12BD" w:rsidP="00F35514">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Los artículos </w:t>
      </w:r>
      <w:r w:rsidR="00674666">
        <w:rPr>
          <w:rFonts w:ascii="Arial" w:eastAsia="Times New Roman" w:hAnsi="Arial" w:cs="Arial"/>
          <w:sz w:val="24"/>
          <w:szCs w:val="26"/>
          <w:lang w:val="es-ES_tradnl" w:eastAsia="es-ES"/>
        </w:rPr>
        <w:t xml:space="preserve">transcritos señalan, </w:t>
      </w:r>
      <w:r w:rsidR="004D31DA">
        <w:rPr>
          <w:rFonts w:ascii="Arial" w:eastAsia="Times New Roman" w:hAnsi="Arial" w:cs="Arial"/>
          <w:sz w:val="24"/>
          <w:szCs w:val="26"/>
          <w:lang w:val="es-ES_tradnl" w:eastAsia="es-ES"/>
        </w:rPr>
        <w:t xml:space="preserve">que las autoridades competentes remitirán al </w:t>
      </w:r>
      <w:r w:rsidR="00E4638C">
        <w:rPr>
          <w:rFonts w:ascii="Arial" w:eastAsia="Times New Roman" w:hAnsi="Arial" w:cs="Arial"/>
          <w:sz w:val="24"/>
          <w:szCs w:val="26"/>
          <w:lang w:val="es-ES_tradnl" w:eastAsia="es-ES"/>
        </w:rPr>
        <w:t xml:space="preserve">Instituto Catastral del Estado las </w:t>
      </w:r>
      <w:r w:rsidR="00E4638C" w:rsidRPr="00E4638C">
        <w:rPr>
          <w:rFonts w:ascii="Arial" w:eastAsia="Times New Roman" w:hAnsi="Arial" w:cs="Arial"/>
          <w:sz w:val="24"/>
          <w:szCs w:val="26"/>
          <w:lang w:val="es-ES_tradnl" w:eastAsia="es-ES"/>
        </w:rPr>
        <w:t>autorizaciones para fraccionar, subdividir, o para establecer condominios</w:t>
      </w:r>
      <w:r w:rsidR="00E4638C">
        <w:rPr>
          <w:rFonts w:ascii="Arial" w:eastAsia="Times New Roman" w:hAnsi="Arial" w:cs="Arial"/>
          <w:sz w:val="24"/>
          <w:szCs w:val="26"/>
          <w:lang w:val="es-ES_tradnl" w:eastAsia="es-ES"/>
        </w:rPr>
        <w:t>, que emitan; así también, los</w:t>
      </w:r>
      <w:r w:rsidR="004B3C5F">
        <w:rPr>
          <w:rFonts w:ascii="Arial" w:eastAsia="Times New Roman" w:hAnsi="Arial" w:cs="Arial"/>
          <w:sz w:val="24"/>
          <w:szCs w:val="26"/>
          <w:lang w:val="es-ES_tradnl" w:eastAsia="es-ES"/>
        </w:rPr>
        <w:t xml:space="preserve"> particulares que obtengan una licencia o autorización para subdividir el predio de su propiedad, tienen la obligación de </w:t>
      </w:r>
      <w:r w:rsidR="004B3C5F" w:rsidRPr="004B3C5F">
        <w:rPr>
          <w:rFonts w:ascii="Arial" w:eastAsia="Times New Roman" w:hAnsi="Arial" w:cs="Arial"/>
          <w:sz w:val="24"/>
          <w:szCs w:val="26"/>
          <w:lang w:val="es-ES_tradnl" w:eastAsia="es-ES"/>
        </w:rPr>
        <w:t>presentar al Instituto Catastral del Estado de Oaxaca los avisos de reasignación y asignación de cuenta correspondiente a cada uno de los lotes resultantes de subdivisión</w:t>
      </w:r>
      <w:r w:rsidR="004B3C5F">
        <w:rPr>
          <w:rFonts w:ascii="Arial" w:eastAsia="Times New Roman" w:hAnsi="Arial" w:cs="Arial"/>
          <w:sz w:val="24"/>
          <w:szCs w:val="26"/>
          <w:lang w:val="es-ES_tradnl" w:eastAsia="es-ES"/>
        </w:rPr>
        <w:t xml:space="preserve">, </w:t>
      </w:r>
      <w:r w:rsidR="004B3C5F" w:rsidRPr="004B3C5F">
        <w:rPr>
          <w:rFonts w:ascii="Arial" w:eastAsia="Times New Roman" w:hAnsi="Arial" w:cs="Arial"/>
          <w:sz w:val="24"/>
          <w:szCs w:val="26"/>
          <w:lang w:val="es-ES_tradnl" w:eastAsia="es-ES"/>
        </w:rPr>
        <w:t>en un plazo  no mayor de treinta días hábiles contados a partir de la fecha de autorización, acompañando copia de la licencia o autorización y copia de los planos</w:t>
      </w:r>
      <w:r w:rsidR="00F35514">
        <w:rPr>
          <w:rFonts w:ascii="Arial" w:eastAsia="Times New Roman" w:hAnsi="Arial" w:cs="Arial"/>
          <w:sz w:val="24"/>
          <w:szCs w:val="26"/>
          <w:lang w:val="es-ES_tradnl" w:eastAsia="es-ES"/>
        </w:rPr>
        <w:t>. Además, u</w:t>
      </w:r>
      <w:r w:rsidR="004B3C5F">
        <w:rPr>
          <w:rFonts w:ascii="Arial" w:eastAsia="Times New Roman" w:hAnsi="Arial" w:cs="Arial"/>
          <w:sz w:val="24"/>
          <w:szCs w:val="26"/>
          <w:lang w:val="es-ES_tradnl" w:eastAsia="es-ES"/>
        </w:rPr>
        <w:t xml:space="preserve">na vez que el Instituto Catastral del Estado reciba esos avisos y los documentos anexados, </w:t>
      </w:r>
      <w:r w:rsidR="00D261C7">
        <w:rPr>
          <w:rFonts w:ascii="Arial" w:eastAsia="Times New Roman" w:hAnsi="Arial" w:cs="Arial"/>
          <w:sz w:val="24"/>
          <w:szCs w:val="26"/>
          <w:lang w:val="es-ES_tradnl" w:eastAsia="es-ES"/>
        </w:rPr>
        <w:t xml:space="preserve">procederá asignar </w:t>
      </w:r>
      <w:r w:rsidR="004B3C5F" w:rsidRPr="004B3C5F">
        <w:rPr>
          <w:rFonts w:ascii="Arial" w:eastAsia="Times New Roman" w:hAnsi="Arial" w:cs="Arial"/>
          <w:sz w:val="24"/>
          <w:szCs w:val="26"/>
          <w:lang w:val="es-ES_tradnl" w:eastAsia="es-ES"/>
        </w:rPr>
        <w:t xml:space="preserve">la clave catastral de cada uno de los lotes de terreno </w:t>
      </w:r>
      <w:r w:rsidR="005A5539">
        <w:rPr>
          <w:rFonts w:ascii="Arial" w:eastAsia="Times New Roman" w:hAnsi="Arial" w:cs="Arial"/>
          <w:sz w:val="24"/>
          <w:szCs w:val="26"/>
          <w:lang w:val="es-ES_tradnl" w:eastAsia="es-ES"/>
        </w:rPr>
        <w:t>que constituyan la subdivisión</w:t>
      </w:r>
      <w:r w:rsidR="004B3C5F" w:rsidRPr="004B3C5F">
        <w:rPr>
          <w:rFonts w:ascii="Arial" w:eastAsia="Times New Roman" w:hAnsi="Arial" w:cs="Arial"/>
          <w:sz w:val="24"/>
          <w:szCs w:val="26"/>
          <w:lang w:val="es-ES_tradnl" w:eastAsia="es-ES"/>
        </w:rPr>
        <w:t>, mismo que servirá de base para la identificación de las operaciones catastral</w:t>
      </w:r>
      <w:r w:rsidR="005A5539">
        <w:rPr>
          <w:rFonts w:ascii="Arial" w:eastAsia="Times New Roman" w:hAnsi="Arial" w:cs="Arial"/>
          <w:sz w:val="24"/>
          <w:szCs w:val="26"/>
          <w:lang w:val="es-ES_tradnl" w:eastAsia="es-ES"/>
        </w:rPr>
        <w:t>es que se realicen en el futuro.</w:t>
      </w:r>
    </w:p>
    <w:p w14:paraId="5014EEEB" w14:textId="1D151389" w:rsidR="000A3EC5" w:rsidRDefault="000A3EC5" w:rsidP="009D0540">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Por ende, tanto las autoridades como los particulares, tienen la obligación de remitir al Instituto Catastral del Estado, la información y documentos relativos a los trámites de subdivisión que de los predios, para que el Instituto pueda asignar </w:t>
      </w:r>
      <w:r w:rsidR="00204EDA">
        <w:rPr>
          <w:rFonts w:ascii="Arial" w:eastAsia="Times New Roman" w:hAnsi="Arial" w:cs="Arial"/>
          <w:sz w:val="24"/>
          <w:szCs w:val="26"/>
          <w:lang w:val="es-ES_tradnl" w:eastAsia="es-ES"/>
        </w:rPr>
        <w:t>la clave catastral a cada uno de los lotes resultado de esas subdivisiones.</w:t>
      </w:r>
    </w:p>
    <w:p w14:paraId="528395C2" w14:textId="2C7B80B4" w:rsidR="00204EDA" w:rsidRDefault="00204EDA" w:rsidP="009D0540">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lastRenderedPageBreak/>
        <w:t xml:space="preserve">En el presente caso, el extinto </w:t>
      </w:r>
      <w:r w:rsidR="00E831C4">
        <w:rPr>
          <w:rFonts w:ascii="Arial" w:eastAsia="Times New Roman" w:hAnsi="Arial" w:cs="Arial"/>
          <w:color w:val="FF0000"/>
          <w:sz w:val="24"/>
          <w:szCs w:val="26"/>
          <w:lang w:val="es-ES_tradnl" w:eastAsia="es-ES"/>
        </w:rPr>
        <w:t>**********</w:t>
      </w:r>
      <w:r w:rsidRPr="002D306F">
        <w:rPr>
          <w:rFonts w:ascii="Arial" w:eastAsia="Times New Roman" w:hAnsi="Arial" w:cs="Arial"/>
          <w:color w:val="FF0000"/>
          <w:sz w:val="24"/>
          <w:szCs w:val="26"/>
          <w:lang w:val="es-ES_tradnl" w:eastAsia="es-ES"/>
        </w:rPr>
        <w:t xml:space="preserve"> </w:t>
      </w:r>
      <w:r>
        <w:rPr>
          <w:rFonts w:ascii="Arial" w:eastAsia="Times New Roman" w:hAnsi="Arial" w:cs="Arial"/>
          <w:sz w:val="24"/>
          <w:szCs w:val="26"/>
          <w:lang w:val="es-ES_tradnl" w:eastAsia="es-ES"/>
        </w:rPr>
        <w:t xml:space="preserve">realizó el trámite de subdivisión del predio de su propiedad </w:t>
      </w:r>
      <w:r w:rsidRPr="00A640D9">
        <w:rPr>
          <w:rFonts w:ascii="Arial" w:eastAsia="Times New Roman" w:hAnsi="Arial" w:cs="Arial"/>
          <w:color w:val="FF0000"/>
          <w:sz w:val="24"/>
          <w:szCs w:val="26"/>
          <w:lang w:val="es-ES_tradnl" w:eastAsia="es-ES"/>
        </w:rPr>
        <w:t xml:space="preserve">ubicado en la </w:t>
      </w:r>
      <w:r w:rsidR="00756251">
        <w:rPr>
          <w:rFonts w:ascii="Arial" w:eastAsia="Times New Roman" w:hAnsi="Arial" w:cs="Arial"/>
          <w:color w:val="FF0000"/>
          <w:sz w:val="24"/>
          <w:szCs w:val="26"/>
          <w:lang w:val="es-ES_tradnl" w:eastAsia="es-ES"/>
        </w:rPr>
        <w:t>**********</w:t>
      </w:r>
      <w:r w:rsidR="002D306F">
        <w:rPr>
          <w:rFonts w:ascii="Arial" w:eastAsia="Times New Roman" w:hAnsi="Arial" w:cs="Arial"/>
          <w:sz w:val="24"/>
          <w:szCs w:val="26"/>
          <w:lang w:val="es-ES_tradnl" w:eastAsia="es-ES"/>
        </w:rPr>
        <w:t xml:space="preserve">; por lo que, el dieciocho de septiembre de mil </w:t>
      </w:r>
      <w:r w:rsidR="00714682">
        <w:rPr>
          <w:rFonts w:ascii="Arial" w:eastAsia="Times New Roman" w:hAnsi="Arial" w:cs="Arial"/>
          <w:sz w:val="24"/>
          <w:szCs w:val="26"/>
          <w:lang w:val="es-ES_tradnl" w:eastAsia="es-ES"/>
        </w:rPr>
        <w:t xml:space="preserve">novecientos noventa y ocho, el Honorable Ayuntamiento Constitucional de Santa Cruz Xoxocotlán, Oaxaca, autorizó la subdivisión </w:t>
      </w:r>
      <w:r w:rsidR="00A31367">
        <w:rPr>
          <w:rFonts w:ascii="Arial" w:eastAsia="Times New Roman" w:hAnsi="Arial" w:cs="Arial"/>
          <w:sz w:val="24"/>
          <w:szCs w:val="26"/>
          <w:lang w:val="es-ES_tradnl" w:eastAsia="es-ES"/>
        </w:rPr>
        <w:t>en seis fracciones</w:t>
      </w:r>
      <w:r w:rsidR="00F35514">
        <w:rPr>
          <w:rFonts w:ascii="Arial" w:eastAsia="Times New Roman" w:hAnsi="Arial" w:cs="Arial"/>
          <w:sz w:val="24"/>
          <w:szCs w:val="26"/>
          <w:lang w:val="es-ES_tradnl" w:eastAsia="es-ES"/>
        </w:rPr>
        <w:t xml:space="preserve"> del</w:t>
      </w:r>
      <w:r w:rsidR="00714682">
        <w:rPr>
          <w:rFonts w:ascii="Arial" w:eastAsia="Times New Roman" w:hAnsi="Arial" w:cs="Arial"/>
          <w:sz w:val="24"/>
          <w:szCs w:val="26"/>
          <w:lang w:val="es-ES_tradnl" w:eastAsia="es-ES"/>
        </w:rPr>
        <w:t xml:space="preserve"> lote de</w:t>
      </w:r>
      <w:r w:rsidR="00F35514">
        <w:rPr>
          <w:rFonts w:ascii="Arial" w:eastAsia="Times New Roman" w:hAnsi="Arial" w:cs="Arial"/>
          <w:sz w:val="24"/>
          <w:szCs w:val="26"/>
          <w:lang w:val="es-ES_tradnl" w:eastAsia="es-ES"/>
        </w:rPr>
        <w:t xml:space="preserve"> terreno descrito anteriormente</w:t>
      </w:r>
      <w:r w:rsidR="00714682">
        <w:rPr>
          <w:rFonts w:ascii="Arial" w:eastAsia="Times New Roman" w:hAnsi="Arial" w:cs="Arial"/>
          <w:sz w:val="24"/>
          <w:szCs w:val="26"/>
          <w:lang w:val="es-ES_tradnl" w:eastAsia="es-ES"/>
        </w:rPr>
        <w:t>.</w:t>
      </w:r>
    </w:p>
    <w:p w14:paraId="6E445701" w14:textId="4B005034" w:rsidR="00714682" w:rsidRDefault="00714682" w:rsidP="00A640D9">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De ahí, que en términos de los artículos 39 y 40 de la Ley de Catastro del Estado, </w:t>
      </w:r>
      <w:r w:rsidR="00A640D9">
        <w:rPr>
          <w:rFonts w:ascii="Arial" w:eastAsia="Times New Roman" w:hAnsi="Arial" w:cs="Arial"/>
          <w:sz w:val="24"/>
          <w:szCs w:val="26"/>
          <w:lang w:val="es-ES_tradnl" w:eastAsia="es-ES"/>
        </w:rPr>
        <w:t xml:space="preserve">era obligación del administrado </w:t>
      </w:r>
      <w:r w:rsidR="00E831C4">
        <w:rPr>
          <w:rFonts w:ascii="Arial" w:eastAsia="Times New Roman" w:hAnsi="Arial" w:cs="Arial"/>
          <w:color w:val="FF0000"/>
          <w:sz w:val="24"/>
          <w:szCs w:val="26"/>
          <w:lang w:val="es-ES_tradnl" w:eastAsia="es-ES"/>
        </w:rPr>
        <w:t>**********</w:t>
      </w:r>
      <w:r w:rsidR="00A640D9" w:rsidRPr="002D306F">
        <w:rPr>
          <w:rFonts w:ascii="Arial" w:eastAsia="Times New Roman" w:hAnsi="Arial" w:cs="Arial"/>
          <w:color w:val="FF0000"/>
          <w:sz w:val="24"/>
          <w:szCs w:val="26"/>
          <w:lang w:val="es-ES_tradnl" w:eastAsia="es-ES"/>
        </w:rPr>
        <w:t xml:space="preserve"> </w:t>
      </w:r>
      <w:r w:rsidR="00A640D9">
        <w:rPr>
          <w:rFonts w:ascii="Arial" w:eastAsia="Times New Roman" w:hAnsi="Arial" w:cs="Arial"/>
          <w:sz w:val="24"/>
          <w:szCs w:val="26"/>
          <w:lang w:val="es-ES_tradnl" w:eastAsia="es-ES"/>
        </w:rPr>
        <w:t xml:space="preserve">y del entonces Ayuntamiento Constitucional de Santa Cruz Xoxocotlán, Oaxaca, informar al Instituto Catastral del Estado, acerca de la subdivisión del inmueble </w:t>
      </w:r>
      <w:r w:rsidR="00A640D9" w:rsidRPr="00A640D9">
        <w:rPr>
          <w:rFonts w:ascii="Arial" w:eastAsia="Times New Roman" w:hAnsi="Arial" w:cs="Arial"/>
          <w:color w:val="FF0000"/>
          <w:sz w:val="24"/>
          <w:szCs w:val="26"/>
          <w:lang w:val="es-ES_tradnl" w:eastAsia="es-ES"/>
        </w:rPr>
        <w:t xml:space="preserve">ubicado en la </w:t>
      </w:r>
      <w:r w:rsidR="00756251">
        <w:rPr>
          <w:rFonts w:ascii="Arial" w:eastAsia="Times New Roman" w:hAnsi="Arial" w:cs="Arial"/>
          <w:color w:val="FF0000"/>
          <w:sz w:val="24"/>
          <w:szCs w:val="26"/>
          <w:lang w:val="es-ES_tradnl" w:eastAsia="es-ES"/>
        </w:rPr>
        <w:t>**********</w:t>
      </w:r>
      <w:r w:rsidR="00A640D9">
        <w:rPr>
          <w:rFonts w:ascii="Arial" w:eastAsia="Times New Roman" w:hAnsi="Arial" w:cs="Arial"/>
          <w:sz w:val="24"/>
          <w:szCs w:val="26"/>
          <w:lang w:val="es-ES_tradnl" w:eastAsia="es-ES"/>
        </w:rPr>
        <w:t>.</w:t>
      </w:r>
    </w:p>
    <w:p w14:paraId="46B9F263" w14:textId="1DF11832" w:rsidR="00007946" w:rsidRDefault="00A640D9" w:rsidP="00007946">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Por lo que, resulta ilegal que el </w:t>
      </w:r>
      <w:proofErr w:type="gramStart"/>
      <w:r>
        <w:rPr>
          <w:rFonts w:ascii="Arial" w:eastAsia="Times New Roman" w:hAnsi="Arial" w:cs="Arial"/>
          <w:b/>
          <w:sz w:val="24"/>
          <w:szCs w:val="26"/>
          <w:lang w:val="es-ES_tradnl" w:eastAsia="es-ES"/>
        </w:rPr>
        <w:t>Jefe</w:t>
      </w:r>
      <w:proofErr w:type="gramEnd"/>
      <w:r>
        <w:rPr>
          <w:rFonts w:ascii="Arial" w:eastAsia="Times New Roman" w:hAnsi="Arial" w:cs="Arial"/>
          <w:b/>
          <w:sz w:val="24"/>
          <w:szCs w:val="26"/>
          <w:lang w:val="es-ES_tradnl" w:eastAsia="es-ES"/>
        </w:rPr>
        <w:t xml:space="preserve"> de la Unidad Jurídica del Instituto Catastral del Estado</w:t>
      </w:r>
      <w:r>
        <w:rPr>
          <w:rFonts w:ascii="Arial" w:eastAsia="Times New Roman" w:hAnsi="Arial" w:cs="Arial"/>
          <w:sz w:val="24"/>
          <w:szCs w:val="26"/>
          <w:lang w:val="es-ES_tradnl" w:eastAsia="es-ES"/>
        </w:rPr>
        <w:t xml:space="preserve">, niegue a la actora </w:t>
      </w:r>
      <w:r w:rsidR="005E24AF">
        <w:rPr>
          <w:rFonts w:ascii="Arial" w:eastAsia="Times New Roman" w:hAnsi="Arial" w:cs="Arial"/>
          <w:b/>
          <w:color w:val="FF0000"/>
          <w:sz w:val="24"/>
          <w:szCs w:val="26"/>
          <w:lang w:val="es-ES_tradnl" w:eastAsia="es-ES"/>
        </w:rPr>
        <w:t>**********</w:t>
      </w:r>
      <w:r w:rsidRPr="009F2DD6">
        <w:rPr>
          <w:rFonts w:ascii="Arial" w:eastAsia="Times New Roman" w:hAnsi="Arial" w:cs="Arial"/>
          <w:b/>
          <w:color w:val="FF0000"/>
          <w:sz w:val="24"/>
          <w:szCs w:val="26"/>
          <w:lang w:val="es-ES_tradnl" w:eastAsia="es-ES"/>
        </w:rPr>
        <w:t xml:space="preserve"> </w:t>
      </w:r>
      <w:r>
        <w:rPr>
          <w:rFonts w:ascii="Arial" w:eastAsia="Times New Roman" w:hAnsi="Arial" w:cs="Arial"/>
          <w:sz w:val="24"/>
          <w:szCs w:val="26"/>
          <w:lang w:val="es-ES_tradnl" w:eastAsia="es-ES"/>
        </w:rPr>
        <w:t xml:space="preserve">el trámite de traslado de dominio </w:t>
      </w:r>
      <w:r w:rsidR="009F2DD6">
        <w:rPr>
          <w:rFonts w:ascii="Arial" w:eastAsia="Times New Roman" w:hAnsi="Arial" w:cs="Arial"/>
          <w:sz w:val="24"/>
          <w:szCs w:val="26"/>
          <w:lang w:val="es-ES_tradnl" w:eastAsia="es-ES"/>
        </w:rPr>
        <w:t xml:space="preserve">del bien inmueble, bajo el argumento que el anterior propietario </w:t>
      </w:r>
      <w:r w:rsidR="00D4631C">
        <w:rPr>
          <w:rFonts w:ascii="Arial" w:eastAsia="Times New Roman" w:hAnsi="Arial" w:cs="Arial"/>
          <w:sz w:val="24"/>
          <w:szCs w:val="26"/>
          <w:lang w:val="es-ES_tradnl" w:eastAsia="es-ES"/>
        </w:rPr>
        <w:t>no informó al</w:t>
      </w:r>
      <w:r w:rsidR="00007946">
        <w:rPr>
          <w:rFonts w:ascii="Arial" w:eastAsia="Times New Roman" w:hAnsi="Arial" w:cs="Arial"/>
          <w:sz w:val="24"/>
          <w:szCs w:val="26"/>
          <w:lang w:val="es-ES_tradnl" w:eastAsia="es-ES"/>
        </w:rPr>
        <w:t xml:space="preserve"> Instituto Catastral del Estado, la subdivisión del inmueble </w:t>
      </w:r>
      <w:r w:rsidR="00007946" w:rsidRPr="00A640D9">
        <w:rPr>
          <w:rFonts w:ascii="Arial" w:eastAsia="Times New Roman" w:hAnsi="Arial" w:cs="Arial"/>
          <w:color w:val="FF0000"/>
          <w:sz w:val="24"/>
          <w:szCs w:val="26"/>
          <w:lang w:val="es-ES_tradnl" w:eastAsia="es-ES"/>
        </w:rPr>
        <w:t xml:space="preserve">ubicado en la </w:t>
      </w:r>
      <w:r w:rsidR="00756251">
        <w:rPr>
          <w:rFonts w:ascii="Arial" w:eastAsia="Times New Roman" w:hAnsi="Arial" w:cs="Arial"/>
          <w:color w:val="FF0000"/>
          <w:sz w:val="24"/>
          <w:szCs w:val="26"/>
          <w:lang w:val="es-ES_tradnl" w:eastAsia="es-ES"/>
        </w:rPr>
        <w:t>**********</w:t>
      </w:r>
      <w:r w:rsidR="00007946">
        <w:rPr>
          <w:rFonts w:ascii="Arial" w:eastAsia="Times New Roman" w:hAnsi="Arial" w:cs="Arial"/>
          <w:sz w:val="24"/>
          <w:szCs w:val="26"/>
          <w:lang w:val="es-ES_tradnl" w:eastAsia="es-ES"/>
        </w:rPr>
        <w:t>.</w:t>
      </w:r>
    </w:p>
    <w:p w14:paraId="66948DE3" w14:textId="5F05CEF0" w:rsidR="00007946" w:rsidRDefault="0025026F" w:rsidP="0025026F">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Ello</w:t>
      </w:r>
      <w:r w:rsidR="00007946">
        <w:rPr>
          <w:rFonts w:ascii="Arial" w:eastAsia="Times New Roman" w:hAnsi="Arial" w:cs="Arial"/>
          <w:sz w:val="24"/>
          <w:szCs w:val="26"/>
          <w:lang w:val="es-ES_tradnl" w:eastAsia="es-ES"/>
        </w:rPr>
        <w:t xml:space="preserve">, pues el anterior propietario del bien inmueble era </w:t>
      </w:r>
      <w:r w:rsidR="00E831C4">
        <w:rPr>
          <w:rFonts w:ascii="Arial" w:eastAsia="Times New Roman" w:hAnsi="Arial" w:cs="Arial"/>
          <w:color w:val="FF0000"/>
          <w:sz w:val="24"/>
          <w:szCs w:val="26"/>
          <w:lang w:val="es-ES_tradnl" w:eastAsia="es-ES"/>
        </w:rPr>
        <w:t>**********</w:t>
      </w:r>
      <w:r w:rsidR="00007946">
        <w:rPr>
          <w:rFonts w:ascii="Arial" w:eastAsia="Times New Roman" w:hAnsi="Arial" w:cs="Arial"/>
          <w:sz w:val="24"/>
          <w:szCs w:val="26"/>
          <w:lang w:val="es-ES_tradnl" w:eastAsia="es-ES"/>
        </w:rPr>
        <w:t xml:space="preserve">, mismo que falleció el </w:t>
      </w:r>
      <w:r>
        <w:rPr>
          <w:rFonts w:ascii="Arial" w:eastAsia="Times New Roman" w:hAnsi="Arial" w:cs="Arial"/>
          <w:sz w:val="24"/>
          <w:szCs w:val="26"/>
          <w:lang w:val="es-ES_tradnl" w:eastAsia="es-ES"/>
        </w:rPr>
        <w:t xml:space="preserve">catorce de diciembre de dos mil doce, como se hizo constar en el instrumento notarial </w:t>
      </w:r>
      <w:r w:rsidR="00756251">
        <w:rPr>
          <w:rFonts w:ascii="Arial" w:eastAsia="Times New Roman" w:hAnsi="Arial" w:cs="Arial"/>
          <w:sz w:val="24"/>
          <w:szCs w:val="26"/>
          <w:lang w:val="es-ES_tradnl" w:eastAsia="es-ES"/>
        </w:rPr>
        <w:t>**********</w:t>
      </w:r>
      <w:r>
        <w:rPr>
          <w:rFonts w:ascii="Arial" w:eastAsia="Times New Roman" w:hAnsi="Arial" w:cs="Arial"/>
          <w:sz w:val="24"/>
          <w:szCs w:val="26"/>
          <w:lang w:val="es-ES_tradnl" w:eastAsia="es-ES"/>
        </w:rPr>
        <w:t xml:space="preserve">, volumen </w:t>
      </w:r>
      <w:r w:rsidR="00756251">
        <w:rPr>
          <w:rFonts w:ascii="Arial" w:eastAsia="Times New Roman" w:hAnsi="Arial" w:cs="Arial"/>
          <w:sz w:val="24"/>
          <w:szCs w:val="26"/>
          <w:lang w:val="es-ES_tradnl" w:eastAsia="es-ES"/>
        </w:rPr>
        <w:t>**********</w:t>
      </w:r>
      <w:r>
        <w:rPr>
          <w:rFonts w:ascii="Arial" w:eastAsia="Times New Roman" w:hAnsi="Arial" w:cs="Arial"/>
          <w:sz w:val="24"/>
          <w:szCs w:val="26"/>
          <w:lang w:val="es-ES_tradnl" w:eastAsia="es-ES"/>
        </w:rPr>
        <w:t xml:space="preserve">, del protocolo del Notario Público número ciento cinco en el Estado, </w:t>
      </w:r>
      <w:r w:rsidR="00FD0C79">
        <w:rPr>
          <w:rFonts w:ascii="Arial" w:eastAsia="Times New Roman" w:hAnsi="Arial" w:cs="Arial"/>
          <w:sz w:val="24"/>
          <w:szCs w:val="26"/>
          <w:lang w:val="es-ES_tradnl" w:eastAsia="es-ES"/>
        </w:rPr>
        <w:t>manifestación que hace prueba plena al obrar en un documento expedido por un servidor público en el ejercicio de sus funciones, en términos del artículo 203 fracción I, de la Ley de Procedimiento y Justicia Administrativa para el Estado de Oaxaca.</w:t>
      </w:r>
    </w:p>
    <w:p w14:paraId="26C1148A" w14:textId="3469FAAB" w:rsidR="00FD0C79" w:rsidRDefault="00FD0C79" w:rsidP="0025026F">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Por lo anterior, la </w:t>
      </w:r>
      <w:r>
        <w:rPr>
          <w:rFonts w:ascii="Arial" w:eastAsia="Times New Roman" w:hAnsi="Arial" w:cs="Arial"/>
          <w:b/>
          <w:sz w:val="24"/>
          <w:szCs w:val="26"/>
          <w:lang w:val="es-ES_tradnl" w:eastAsia="es-ES"/>
        </w:rPr>
        <w:t xml:space="preserve">autoridad demandada </w:t>
      </w:r>
      <w:r>
        <w:rPr>
          <w:rFonts w:ascii="Arial" w:eastAsia="Times New Roman" w:hAnsi="Arial" w:cs="Arial"/>
          <w:sz w:val="24"/>
          <w:szCs w:val="26"/>
          <w:lang w:val="es-ES_tradnl" w:eastAsia="es-ES"/>
        </w:rPr>
        <w:t xml:space="preserve">requiere a la parte actora, un requisito que es material y jurídicamente imposible de cumplir, </w:t>
      </w:r>
      <w:r w:rsidR="00A9197B">
        <w:rPr>
          <w:rFonts w:ascii="Arial" w:eastAsia="Times New Roman" w:hAnsi="Arial" w:cs="Arial"/>
          <w:sz w:val="24"/>
          <w:szCs w:val="26"/>
          <w:lang w:val="es-ES_tradnl" w:eastAsia="es-ES"/>
        </w:rPr>
        <w:t xml:space="preserve">ya que </w:t>
      </w:r>
      <w:r w:rsidR="00E831C4">
        <w:rPr>
          <w:rFonts w:ascii="Arial" w:eastAsia="Times New Roman" w:hAnsi="Arial" w:cs="Arial"/>
          <w:color w:val="FF0000"/>
          <w:sz w:val="24"/>
          <w:szCs w:val="26"/>
          <w:lang w:val="es-ES_tradnl" w:eastAsia="es-ES"/>
        </w:rPr>
        <w:t>**********</w:t>
      </w:r>
      <w:r>
        <w:rPr>
          <w:rFonts w:ascii="Arial" w:eastAsia="Times New Roman" w:hAnsi="Arial" w:cs="Arial"/>
          <w:sz w:val="24"/>
          <w:szCs w:val="26"/>
          <w:lang w:val="es-ES_tradnl" w:eastAsia="es-ES"/>
        </w:rPr>
        <w:t>,</w:t>
      </w:r>
      <w:r w:rsidR="00A9197B">
        <w:rPr>
          <w:rFonts w:ascii="Arial" w:eastAsia="Times New Roman" w:hAnsi="Arial" w:cs="Arial"/>
          <w:sz w:val="24"/>
          <w:szCs w:val="26"/>
          <w:lang w:val="es-ES_tradnl" w:eastAsia="es-ES"/>
        </w:rPr>
        <w:t xml:space="preserve"> no pueda dar el aviso correspondiente a que hacen referencia los artículos 54 y 61 de la Ley de Catastro del Estado de Oaxaca, en</w:t>
      </w:r>
      <w:r w:rsidR="002C176C">
        <w:rPr>
          <w:rFonts w:ascii="Arial" w:eastAsia="Times New Roman" w:hAnsi="Arial" w:cs="Arial"/>
          <w:sz w:val="24"/>
          <w:szCs w:val="26"/>
          <w:lang w:val="es-ES_tradnl" w:eastAsia="es-ES"/>
        </w:rPr>
        <w:t xml:space="preserve"> virtud de que este</w:t>
      </w:r>
      <w:r w:rsidR="00A9197B">
        <w:rPr>
          <w:rFonts w:ascii="Arial" w:eastAsia="Times New Roman" w:hAnsi="Arial" w:cs="Arial"/>
          <w:sz w:val="24"/>
          <w:szCs w:val="26"/>
          <w:lang w:val="es-ES_tradnl" w:eastAsia="es-ES"/>
        </w:rPr>
        <w:t xml:space="preserve"> falleció el catorce de diciembre de dos mil doce.</w:t>
      </w:r>
    </w:p>
    <w:p w14:paraId="465D1057" w14:textId="3F69E004" w:rsidR="001E1799" w:rsidRDefault="007765C3" w:rsidP="001E1799">
      <w:pPr>
        <w:spacing w:line="360" w:lineRule="auto"/>
        <w:ind w:firstLine="567"/>
        <w:jc w:val="both"/>
        <w:rPr>
          <w:rFonts w:ascii="Arial" w:eastAsia="Times New Roman" w:hAnsi="Arial" w:cs="Arial"/>
          <w:color w:val="000000" w:themeColor="text1"/>
          <w:sz w:val="24"/>
          <w:szCs w:val="26"/>
          <w:lang w:val="es-ES" w:eastAsia="es-ES"/>
        </w:rPr>
      </w:pPr>
      <w:r>
        <w:rPr>
          <w:rFonts w:ascii="Arial" w:eastAsia="Times New Roman" w:hAnsi="Arial" w:cs="Arial"/>
          <w:sz w:val="24"/>
          <w:szCs w:val="26"/>
          <w:lang w:val="es-ES_tradnl" w:eastAsia="es-ES"/>
        </w:rPr>
        <w:t xml:space="preserve">En consecuencia, toda vez que en el instrumento notarial </w:t>
      </w:r>
      <w:r w:rsidR="00756251">
        <w:rPr>
          <w:rFonts w:ascii="Arial" w:eastAsia="Times New Roman" w:hAnsi="Arial" w:cs="Arial"/>
          <w:sz w:val="24"/>
          <w:szCs w:val="26"/>
          <w:lang w:val="es-ES_tradnl" w:eastAsia="es-ES"/>
        </w:rPr>
        <w:t>**********</w:t>
      </w:r>
      <w:r>
        <w:rPr>
          <w:rFonts w:ascii="Arial" w:eastAsia="Times New Roman" w:hAnsi="Arial" w:cs="Arial"/>
          <w:sz w:val="24"/>
          <w:szCs w:val="26"/>
          <w:lang w:val="es-ES_tradnl" w:eastAsia="es-ES"/>
        </w:rPr>
        <w:t xml:space="preserve">, volumen </w:t>
      </w:r>
      <w:r w:rsidR="00756251">
        <w:rPr>
          <w:rFonts w:ascii="Arial" w:eastAsia="Times New Roman" w:hAnsi="Arial" w:cs="Arial"/>
          <w:sz w:val="24"/>
          <w:szCs w:val="26"/>
          <w:lang w:val="es-ES_tradnl" w:eastAsia="es-ES"/>
        </w:rPr>
        <w:t>**********</w:t>
      </w:r>
      <w:r>
        <w:rPr>
          <w:rFonts w:ascii="Arial" w:eastAsia="Times New Roman" w:hAnsi="Arial" w:cs="Arial"/>
          <w:sz w:val="24"/>
          <w:szCs w:val="26"/>
          <w:lang w:val="es-ES_tradnl" w:eastAsia="es-ES"/>
        </w:rPr>
        <w:t xml:space="preserve">, del protocolo del Notario Público número ciento cinco en el Estado, se hizo constar la adjudicación </w:t>
      </w:r>
      <w:r w:rsidR="001E1799">
        <w:rPr>
          <w:rFonts w:ascii="Arial" w:eastAsia="Times New Roman" w:hAnsi="Arial" w:cs="Arial"/>
          <w:sz w:val="24"/>
          <w:szCs w:val="26"/>
          <w:lang w:val="es-ES_tradnl" w:eastAsia="es-ES"/>
        </w:rPr>
        <w:t xml:space="preserve">a </w:t>
      </w:r>
      <w:r w:rsidR="005E24AF">
        <w:rPr>
          <w:rFonts w:ascii="Arial" w:eastAsia="Times New Roman" w:hAnsi="Arial" w:cs="Arial"/>
          <w:color w:val="FF0000"/>
          <w:sz w:val="24"/>
          <w:szCs w:val="26"/>
          <w:lang w:val="es-ES_tradnl" w:eastAsia="es-ES"/>
        </w:rPr>
        <w:t>**********</w:t>
      </w:r>
      <w:r w:rsidR="001E1799" w:rsidRPr="001E1799">
        <w:rPr>
          <w:rFonts w:ascii="Arial" w:eastAsia="Times New Roman" w:hAnsi="Arial" w:cs="Arial"/>
          <w:color w:val="FF0000"/>
          <w:sz w:val="24"/>
          <w:szCs w:val="26"/>
          <w:lang w:val="es-ES_tradnl" w:eastAsia="es-ES"/>
        </w:rPr>
        <w:t xml:space="preserve"> </w:t>
      </w:r>
      <w:r w:rsidR="001E1799">
        <w:rPr>
          <w:rFonts w:ascii="Arial" w:eastAsiaTheme="minorHAnsi" w:hAnsi="Arial" w:cs="Arial"/>
          <w:bCs/>
          <w:sz w:val="24"/>
          <w:szCs w:val="26"/>
          <w:lang w:eastAsia="en-US"/>
        </w:rPr>
        <w:t xml:space="preserve">del lote número tres </w:t>
      </w:r>
      <w:r w:rsidR="001E1799" w:rsidRPr="00BF7EC7">
        <w:rPr>
          <w:rFonts w:ascii="Arial" w:eastAsia="Times New Roman" w:hAnsi="Arial" w:cs="Arial"/>
          <w:sz w:val="24"/>
          <w:szCs w:val="26"/>
          <w:lang w:val="es-ES" w:eastAsia="es-ES"/>
        </w:rPr>
        <w:t xml:space="preserve">ubicado en </w:t>
      </w:r>
      <w:r w:rsidR="00861BF7">
        <w:rPr>
          <w:rFonts w:ascii="Arial" w:eastAsia="Times New Roman" w:hAnsi="Arial" w:cs="Arial"/>
          <w:color w:val="FF0000"/>
          <w:sz w:val="24"/>
          <w:szCs w:val="26"/>
          <w:lang w:val="es-ES" w:eastAsia="es-ES"/>
        </w:rPr>
        <w:t>**********</w:t>
      </w:r>
      <w:r w:rsidR="001B3559">
        <w:rPr>
          <w:rFonts w:ascii="Arial" w:eastAsia="Times New Roman" w:hAnsi="Arial" w:cs="Arial"/>
          <w:color w:val="FF0000"/>
          <w:sz w:val="24"/>
          <w:szCs w:val="26"/>
          <w:lang w:val="es-ES" w:eastAsia="es-ES"/>
        </w:rPr>
        <w:t xml:space="preserve">, </w:t>
      </w:r>
      <w:r w:rsidR="001B3559" w:rsidRPr="002C176C">
        <w:rPr>
          <w:rFonts w:ascii="Arial" w:eastAsia="Times New Roman" w:hAnsi="Arial" w:cs="Arial"/>
          <w:sz w:val="24"/>
          <w:szCs w:val="26"/>
          <w:lang w:val="es-ES" w:eastAsia="es-ES"/>
        </w:rPr>
        <w:t>es a ella a quien le corresponde dar el aviso y exhibir los documentos correspondientes,</w:t>
      </w:r>
      <w:r w:rsidR="001B3559">
        <w:rPr>
          <w:rFonts w:ascii="Arial" w:eastAsia="Times New Roman" w:hAnsi="Arial" w:cs="Arial"/>
          <w:color w:val="FF0000"/>
          <w:sz w:val="24"/>
          <w:szCs w:val="26"/>
          <w:lang w:val="es-ES" w:eastAsia="es-ES"/>
        </w:rPr>
        <w:t xml:space="preserve"> </w:t>
      </w:r>
      <w:r w:rsidR="001B3559" w:rsidRPr="001B3559">
        <w:rPr>
          <w:rFonts w:ascii="Arial" w:eastAsia="Times New Roman" w:hAnsi="Arial" w:cs="Arial"/>
          <w:color w:val="000000" w:themeColor="text1"/>
          <w:sz w:val="24"/>
          <w:szCs w:val="26"/>
          <w:lang w:val="es-ES" w:eastAsia="es-ES"/>
        </w:rPr>
        <w:t xml:space="preserve">a la subdivisión del predio del cual deriva su fracción de </w:t>
      </w:r>
      <w:r w:rsidR="001B3559">
        <w:rPr>
          <w:rFonts w:ascii="Arial" w:eastAsia="Times New Roman" w:hAnsi="Arial" w:cs="Arial"/>
          <w:color w:val="000000" w:themeColor="text1"/>
          <w:sz w:val="24"/>
          <w:szCs w:val="26"/>
          <w:lang w:val="es-ES" w:eastAsia="es-ES"/>
        </w:rPr>
        <w:t>terreno.</w:t>
      </w:r>
    </w:p>
    <w:p w14:paraId="436E53B7" w14:textId="026E1B0A" w:rsidR="001B3559" w:rsidRDefault="001B3559" w:rsidP="003A2CA4">
      <w:pPr>
        <w:spacing w:line="360" w:lineRule="auto"/>
        <w:ind w:firstLine="567"/>
        <w:jc w:val="both"/>
        <w:rPr>
          <w:rFonts w:ascii="Arial" w:eastAsia="Times New Roman" w:hAnsi="Arial" w:cs="Arial"/>
          <w:color w:val="000000" w:themeColor="text1"/>
          <w:sz w:val="24"/>
          <w:szCs w:val="26"/>
          <w:lang w:val="es-ES" w:eastAsia="es-ES"/>
        </w:rPr>
      </w:pPr>
      <w:r>
        <w:rPr>
          <w:rFonts w:ascii="Arial" w:eastAsia="Times New Roman" w:hAnsi="Arial" w:cs="Arial"/>
          <w:color w:val="000000" w:themeColor="text1"/>
          <w:sz w:val="24"/>
          <w:szCs w:val="26"/>
          <w:lang w:val="es-ES" w:eastAsia="es-ES"/>
        </w:rPr>
        <w:t>Lo anterior, pues de no hacerse así la actora no podr</w:t>
      </w:r>
      <w:r w:rsidR="00706051">
        <w:rPr>
          <w:rFonts w:ascii="Arial" w:eastAsia="Times New Roman" w:hAnsi="Arial" w:cs="Arial"/>
          <w:color w:val="000000" w:themeColor="text1"/>
          <w:sz w:val="24"/>
          <w:szCs w:val="26"/>
          <w:lang w:val="es-ES" w:eastAsia="es-ES"/>
        </w:rPr>
        <w:t>ía dar de alta en el catastr</w:t>
      </w:r>
      <w:r w:rsidR="002C176C">
        <w:rPr>
          <w:rFonts w:ascii="Arial" w:eastAsia="Times New Roman" w:hAnsi="Arial" w:cs="Arial"/>
          <w:color w:val="000000" w:themeColor="text1"/>
          <w:sz w:val="24"/>
          <w:szCs w:val="26"/>
          <w:lang w:val="es-ES" w:eastAsia="es-ES"/>
        </w:rPr>
        <w:t xml:space="preserve">o estatal la </w:t>
      </w:r>
      <w:r>
        <w:rPr>
          <w:rFonts w:ascii="Arial" w:eastAsia="Times New Roman" w:hAnsi="Arial" w:cs="Arial"/>
          <w:color w:val="000000" w:themeColor="text1"/>
          <w:sz w:val="24"/>
          <w:szCs w:val="26"/>
          <w:lang w:val="es-ES" w:eastAsia="es-ES"/>
        </w:rPr>
        <w:t>fracción</w:t>
      </w:r>
      <w:r w:rsidR="002C176C">
        <w:rPr>
          <w:rFonts w:ascii="Arial" w:eastAsia="Times New Roman" w:hAnsi="Arial" w:cs="Arial"/>
          <w:color w:val="000000" w:themeColor="text1"/>
          <w:sz w:val="24"/>
          <w:szCs w:val="26"/>
          <w:lang w:val="es-ES" w:eastAsia="es-ES"/>
        </w:rPr>
        <w:t xml:space="preserve"> del inmueble que le corresponde</w:t>
      </w:r>
      <w:r>
        <w:rPr>
          <w:rFonts w:ascii="Arial" w:eastAsia="Times New Roman" w:hAnsi="Arial" w:cs="Arial"/>
          <w:color w:val="000000" w:themeColor="text1"/>
          <w:sz w:val="24"/>
          <w:szCs w:val="26"/>
          <w:lang w:val="es-ES" w:eastAsia="es-ES"/>
        </w:rPr>
        <w:t xml:space="preserve">, y con ello se </w:t>
      </w:r>
      <w:r w:rsidR="00706051">
        <w:rPr>
          <w:rFonts w:ascii="Arial" w:eastAsia="Times New Roman" w:hAnsi="Arial" w:cs="Arial"/>
          <w:color w:val="000000" w:themeColor="text1"/>
          <w:sz w:val="24"/>
          <w:szCs w:val="26"/>
          <w:lang w:val="es-ES" w:eastAsia="es-ES"/>
        </w:rPr>
        <w:t>transgrediría</w:t>
      </w:r>
      <w:r w:rsidR="002C176C">
        <w:rPr>
          <w:rFonts w:ascii="Arial" w:eastAsia="Times New Roman" w:hAnsi="Arial" w:cs="Arial"/>
          <w:color w:val="000000" w:themeColor="text1"/>
          <w:sz w:val="24"/>
          <w:szCs w:val="26"/>
          <w:lang w:val="es-ES" w:eastAsia="es-ES"/>
        </w:rPr>
        <w:t xml:space="preserve"> su patrimonio;</w:t>
      </w:r>
      <w:r>
        <w:rPr>
          <w:rFonts w:ascii="Arial" w:eastAsia="Times New Roman" w:hAnsi="Arial" w:cs="Arial"/>
          <w:color w:val="000000" w:themeColor="text1"/>
          <w:sz w:val="24"/>
          <w:szCs w:val="26"/>
          <w:lang w:val="es-ES" w:eastAsia="es-ES"/>
        </w:rPr>
        <w:t xml:space="preserve"> además que se causaría un perjuicio al catastro del estado, pues no contaría con una cartografía</w:t>
      </w:r>
      <w:r w:rsidR="00BC45D5">
        <w:rPr>
          <w:rFonts w:ascii="Arial" w:eastAsia="Times New Roman" w:hAnsi="Arial" w:cs="Arial"/>
          <w:color w:val="000000" w:themeColor="text1"/>
          <w:sz w:val="24"/>
          <w:szCs w:val="26"/>
          <w:lang w:val="es-ES" w:eastAsia="es-ES"/>
        </w:rPr>
        <w:t xml:space="preserve"> </w:t>
      </w:r>
      <w:r>
        <w:rPr>
          <w:rFonts w:ascii="Arial" w:eastAsia="Times New Roman" w:hAnsi="Arial" w:cs="Arial"/>
          <w:color w:val="000000" w:themeColor="text1"/>
          <w:sz w:val="24"/>
          <w:szCs w:val="26"/>
          <w:lang w:val="es-ES" w:eastAsia="es-ES"/>
        </w:rPr>
        <w:t>actualizada de los p</w:t>
      </w:r>
      <w:r w:rsidR="003B2C1B">
        <w:rPr>
          <w:rFonts w:ascii="Arial" w:eastAsia="Times New Roman" w:hAnsi="Arial" w:cs="Arial"/>
          <w:color w:val="000000" w:themeColor="text1"/>
          <w:sz w:val="24"/>
          <w:szCs w:val="26"/>
          <w:lang w:val="es-ES" w:eastAsia="es-ES"/>
        </w:rPr>
        <w:t>redios existentes en el estado;</w:t>
      </w:r>
      <w:r>
        <w:rPr>
          <w:rFonts w:ascii="Arial" w:eastAsia="Times New Roman" w:hAnsi="Arial" w:cs="Arial"/>
          <w:color w:val="000000" w:themeColor="text1"/>
          <w:sz w:val="24"/>
          <w:szCs w:val="26"/>
          <w:lang w:val="es-ES" w:eastAsia="es-ES"/>
        </w:rPr>
        <w:t xml:space="preserve"> aunado, que no debemos de perder de vista </w:t>
      </w:r>
      <w:r w:rsidR="003B2C1B">
        <w:rPr>
          <w:rFonts w:ascii="Arial" w:eastAsia="Times New Roman" w:hAnsi="Arial" w:cs="Arial"/>
          <w:color w:val="000000" w:themeColor="text1"/>
          <w:sz w:val="24"/>
          <w:szCs w:val="26"/>
          <w:lang w:val="es-ES" w:eastAsia="es-ES"/>
        </w:rPr>
        <w:t xml:space="preserve">que en términos </w:t>
      </w:r>
      <w:r>
        <w:rPr>
          <w:rFonts w:ascii="Arial" w:eastAsia="Times New Roman" w:hAnsi="Arial" w:cs="Arial"/>
          <w:color w:val="000000" w:themeColor="text1"/>
          <w:sz w:val="24"/>
          <w:szCs w:val="26"/>
          <w:lang w:val="es-ES" w:eastAsia="es-ES"/>
        </w:rPr>
        <w:t xml:space="preserve">del artículo </w:t>
      </w:r>
      <w:r w:rsidR="003B2C1B">
        <w:rPr>
          <w:rFonts w:ascii="Arial" w:eastAsia="Times New Roman" w:hAnsi="Arial" w:cs="Arial"/>
          <w:color w:val="000000" w:themeColor="text1"/>
          <w:sz w:val="24"/>
          <w:szCs w:val="26"/>
          <w:lang w:val="es-ES" w:eastAsia="es-ES"/>
        </w:rPr>
        <w:t xml:space="preserve">4 de la Ley de Catastro del Estado, el Instituto Catastral </w:t>
      </w:r>
      <w:r w:rsidR="003B2C1B">
        <w:rPr>
          <w:rFonts w:ascii="Arial" w:eastAsia="Times New Roman" w:hAnsi="Arial" w:cs="Arial"/>
          <w:color w:val="000000" w:themeColor="text1"/>
          <w:sz w:val="24"/>
          <w:szCs w:val="26"/>
          <w:lang w:val="es-ES" w:eastAsia="es-ES"/>
        </w:rPr>
        <w:lastRenderedPageBreak/>
        <w:t>del</w:t>
      </w:r>
      <w:r w:rsidR="003A2CA4">
        <w:rPr>
          <w:rFonts w:ascii="Arial" w:eastAsia="Times New Roman" w:hAnsi="Arial" w:cs="Arial"/>
          <w:color w:val="000000" w:themeColor="text1"/>
          <w:sz w:val="24"/>
          <w:szCs w:val="26"/>
          <w:lang w:val="es-ES" w:eastAsia="es-ES"/>
        </w:rPr>
        <w:t xml:space="preserve"> Estado tiene como función principal la </w:t>
      </w:r>
      <w:r w:rsidR="003A2CA4" w:rsidRPr="003A2CA4">
        <w:rPr>
          <w:rFonts w:ascii="Arial" w:eastAsia="Times New Roman" w:hAnsi="Arial" w:cs="Arial"/>
          <w:color w:val="000000" w:themeColor="text1"/>
          <w:sz w:val="24"/>
          <w:szCs w:val="26"/>
          <w:lang w:val="es-ES" w:eastAsia="es-ES"/>
        </w:rPr>
        <w:t>identificación, descripción, delimitación, mensura y va</w:t>
      </w:r>
      <w:r w:rsidR="003A2CA4">
        <w:rPr>
          <w:rFonts w:ascii="Arial" w:eastAsia="Times New Roman" w:hAnsi="Arial" w:cs="Arial"/>
          <w:color w:val="000000" w:themeColor="text1"/>
          <w:sz w:val="24"/>
          <w:szCs w:val="26"/>
          <w:lang w:val="es-ES" w:eastAsia="es-ES"/>
        </w:rPr>
        <w:t xml:space="preserve">luación de los bienes inmuebles </w:t>
      </w:r>
      <w:r w:rsidR="003A2CA4" w:rsidRPr="003A2CA4">
        <w:rPr>
          <w:rFonts w:ascii="Arial" w:eastAsia="Times New Roman" w:hAnsi="Arial" w:cs="Arial"/>
          <w:color w:val="000000" w:themeColor="text1"/>
          <w:sz w:val="24"/>
          <w:szCs w:val="26"/>
          <w:lang w:val="es-ES" w:eastAsia="es-ES"/>
        </w:rPr>
        <w:t>ubicados en el territor</w:t>
      </w:r>
      <w:r w:rsidR="003A2CA4">
        <w:rPr>
          <w:rFonts w:ascii="Arial" w:eastAsia="Times New Roman" w:hAnsi="Arial" w:cs="Arial"/>
          <w:color w:val="000000" w:themeColor="text1"/>
          <w:sz w:val="24"/>
          <w:szCs w:val="26"/>
          <w:lang w:val="es-ES" w:eastAsia="es-ES"/>
        </w:rPr>
        <w:t>io del Estado, así como l</w:t>
      </w:r>
      <w:r w:rsidR="003A2CA4" w:rsidRPr="003A2CA4">
        <w:rPr>
          <w:rFonts w:ascii="Arial" w:eastAsia="Times New Roman" w:hAnsi="Arial" w:cs="Arial"/>
          <w:color w:val="000000" w:themeColor="text1"/>
          <w:sz w:val="24"/>
          <w:szCs w:val="26"/>
          <w:lang w:val="es-ES" w:eastAsia="es-ES"/>
        </w:rPr>
        <w:t>a integración y actualización permanente de la información relativa a los registros,</w:t>
      </w:r>
      <w:r w:rsidR="003A2CA4">
        <w:rPr>
          <w:rFonts w:ascii="Arial" w:eastAsia="Times New Roman" w:hAnsi="Arial" w:cs="Arial"/>
          <w:color w:val="000000" w:themeColor="text1"/>
          <w:sz w:val="24"/>
          <w:szCs w:val="26"/>
          <w:lang w:val="es-ES" w:eastAsia="es-ES"/>
        </w:rPr>
        <w:t xml:space="preserve"> </w:t>
      </w:r>
      <w:r w:rsidR="003A2CA4" w:rsidRPr="003A2CA4">
        <w:rPr>
          <w:rFonts w:ascii="Arial" w:eastAsia="Times New Roman" w:hAnsi="Arial" w:cs="Arial"/>
          <w:color w:val="000000" w:themeColor="text1"/>
          <w:sz w:val="24"/>
          <w:szCs w:val="26"/>
          <w:lang w:val="es-ES" w:eastAsia="es-ES"/>
        </w:rPr>
        <w:t>padrones y documentos referentes a las características cualitativas y cuantitativas de los</w:t>
      </w:r>
      <w:r w:rsidR="003A2CA4">
        <w:rPr>
          <w:rFonts w:ascii="Arial" w:eastAsia="Times New Roman" w:hAnsi="Arial" w:cs="Arial"/>
          <w:color w:val="000000" w:themeColor="text1"/>
          <w:sz w:val="24"/>
          <w:szCs w:val="26"/>
          <w:lang w:val="es-ES" w:eastAsia="es-ES"/>
        </w:rPr>
        <w:t xml:space="preserve"> </w:t>
      </w:r>
      <w:r w:rsidR="003A2CA4" w:rsidRPr="003A2CA4">
        <w:rPr>
          <w:rFonts w:ascii="Arial" w:eastAsia="Times New Roman" w:hAnsi="Arial" w:cs="Arial"/>
          <w:color w:val="000000" w:themeColor="text1"/>
          <w:sz w:val="24"/>
          <w:szCs w:val="26"/>
          <w:lang w:val="es-ES" w:eastAsia="es-ES"/>
        </w:rPr>
        <w:t>bienes inmuebles ubicad</w:t>
      </w:r>
      <w:r w:rsidR="003A2CA4">
        <w:rPr>
          <w:rFonts w:ascii="Arial" w:eastAsia="Times New Roman" w:hAnsi="Arial" w:cs="Arial"/>
          <w:color w:val="000000" w:themeColor="text1"/>
          <w:sz w:val="24"/>
          <w:szCs w:val="26"/>
          <w:lang w:val="es-ES" w:eastAsia="es-ES"/>
        </w:rPr>
        <w:t>os en el territorio del Estado.</w:t>
      </w:r>
    </w:p>
    <w:p w14:paraId="18423040" w14:textId="5EBE70F5" w:rsidR="00E272FC" w:rsidRDefault="006F68CA" w:rsidP="00E272FC">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color w:val="000000" w:themeColor="text1"/>
          <w:sz w:val="24"/>
          <w:szCs w:val="26"/>
          <w:lang w:val="es-ES" w:eastAsia="es-ES"/>
        </w:rPr>
        <w:t xml:space="preserve">Por ende, previo al trámite </w:t>
      </w:r>
      <w:r w:rsidR="00E272FC">
        <w:rPr>
          <w:rFonts w:ascii="Arial" w:eastAsia="Times New Roman" w:hAnsi="Arial" w:cs="Arial"/>
          <w:color w:val="000000" w:themeColor="text1"/>
          <w:sz w:val="24"/>
          <w:szCs w:val="26"/>
          <w:lang w:val="es-ES" w:eastAsia="es-ES"/>
        </w:rPr>
        <w:t>catastral de traslado de dominio</w:t>
      </w:r>
      <w:r w:rsidR="009C2C6B">
        <w:rPr>
          <w:rFonts w:ascii="Arial" w:eastAsia="Times New Roman" w:hAnsi="Arial" w:cs="Arial"/>
          <w:color w:val="000000" w:themeColor="text1"/>
          <w:sz w:val="24"/>
          <w:szCs w:val="26"/>
          <w:lang w:val="es-ES" w:eastAsia="es-ES"/>
        </w:rPr>
        <w:t xml:space="preserve"> que solicita la actora</w:t>
      </w:r>
      <w:r>
        <w:rPr>
          <w:rFonts w:ascii="Arial" w:eastAsia="Times New Roman" w:hAnsi="Arial" w:cs="Arial"/>
          <w:color w:val="000000" w:themeColor="text1"/>
          <w:sz w:val="24"/>
          <w:szCs w:val="26"/>
          <w:lang w:val="es-ES" w:eastAsia="es-ES"/>
        </w:rPr>
        <w:t xml:space="preserve">, </w:t>
      </w:r>
      <w:r w:rsidR="009970BE">
        <w:rPr>
          <w:rFonts w:ascii="Arial" w:eastAsia="Times New Roman" w:hAnsi="Arial" w:cs="Arial"/>
          <w:color w:val="000000" w:themeColor="text1"/>
          <w:sz w:val="24"/>
          <w:szCs w:val="26"/>
          <w:lang w:val="es-ES" w:eastAsia="es-ES"/>
        </w:rPr>
        <w:t xml:space="preserve">la demandada deberá </w:t>
      </w:r>
      <w:r>
        <w:rPr>
          <w:rFonts w:ascii="Arial" w:eastAsia="Times New Roman" w:hAnsi="Arial" w:cs="Arial"/>
          <w:color w:val="000000" w:themeColor="text1"/>
          <w:sz w:val="24"/>
          <w:szCs w:val="26"/>
          <w:lang w:val="es-ES" w:eastAsia="es-ES"/>
        </w:rPr>
        <w:t xml:space="preserve">asignar una cuenta catastral </w:t>
      </w:r>
      <w:r w:rsidR="009970BE">
        <w:rPr>
          <w:rFonts w:ascii="Arial" w:eastAsia="Times New Roman" w:hAnsi="Arial" w:cs="Arial"/>
          <w:color w:val="000000" w:themeColor="text1"/>
          <w:sz w:val="24"/>
          <w:szCs w:val="26"/>
          <w:lang w:val="es-ES" w:eastAsia="es-ES"/>
        </w:rPr>
        <w:t xml:space="preserve">independiente al predio de la </w:t>
      </w:r>
      <w:r w:rsidR="009970BE">
        <w:rPr>
          <w:rFonts w:ascii="Arial" w:eastAsia="Times New Roman" w:hAnsi="Arial" w:cs="Arial"/>
          <w:b/>
          <w:color w:val="000000" w:themeColor="text1"/>
          <w:sz w:val="24"/>
          <w:szCs w:val="26"/>
          <w:lang w:val="es-ES" w:eastAsia="es-ES"/>
        </w:rPr>
        <w:t>actora</w:t>
      </w:r>
      <w:r w:rsidR="009970BE">
        <w:rPr>
          <w:rFonts w:ascii="Arial" w:eastAsia="Times New Roman" w:hAnsi="Arial" w:cs="Arial"/>
          <w:color w:val="000000" w:themeColor="text1"/>
          <w:sz w:val="24"/>
          <w:szCs w:val="26"/>
          <w:lang w:val="es-ES" w:eastAsia="es-ES"/>
        </w:rPr>
        <w:t>, el cual es</w:t>
      </w:r>
      <w:r w:rsidR="009970BE">
        <w:rPr>
          <w:rFonts w:ascii="Arial" w:eastAsia="Times New Roman" w:hAnsi="Arial" w:cs="Arial"/>
          <w:b/>
          <w:color w:val="000000" w:themeColor="text1"/>
          <w:sz w:val="24"/>
          <w:szCs w:val="26"/>
          <w:lang w:val="es-ES" w:eastAsia="es-ES"/>
        </w:rPr>
        <w:t xml:space="preserve"> </w:t>
      </w:r>
      <w:r w:rsidR="009970BE">
        <w:rPr>
          <w:rFonts w:ascii="Arial" w:eastAsia="Times New Roman" w:hAnsi="Arial" w:cs="Arial"/>
          <w:color w:val="000000" w:themeColor="text1"/>
          <w:sz w:val="24"/>
          <w:szCs w:val="26"/>
          <w:lang w:val="es-ES" w:eastAsia="es-ES"/>
        </w:rPr>
        <w:t>resultante</w:t>
      </w:r>
      <w:r>
        <w:rPr>
          <w:rFonts w:ascii="Arial" w:eastAsia="Times New Roman" w:hAnsi="Arial" w:cs="Arial"/>
          <w:color w:val="000000" w:themeColor="text1"/>
          <w:sz w:val="24"/>
          <w:szCs w:val="26"/>
          <w:lang w:val="es-ES" w:eastAsia="es-ES"/>
        </w:rPr>
        <w:t xml:space="preserve"> de la </w:t>
      </w:r>
      <w:r w:rsidR="00BC45D5">
        <w:rPr>
          <w:rFonts w:ascii="Arial" w:eastAsia="Times New Roman" w:hAnsi="Arial" w:cs="Arial"/>
          <w:color w:val="000000" w:themeColor="text1"/>
          <w:sz w:val="24"/>
          <w:szCs w:val="26"/>
          <w:lang w:val="es-ES" w:eastAsia="es-ES"/>
        </w:rPr>
        <w:t>subdivisión</w:t>
      </w:r>
      <w:r w:rsidR="00E272FC">
        <w:rPr>
          <w:rFonts w:ascii="Arial" w:eastAsia="Times New Roman" w:hAnsi="Arial" w:cs="Arial"/>
          <w:color w:val="000000" w:themeColor="text1"/>
          <w:sz w:val="24"/>
          <w:szCs w:val="26"/>
          <w:lang w:val="es-ES" w:eastAsia="es-ES"/>
        </w:rPr>
        <w:t xml:space="preserve"> del predio principal ubicado </w:t>
      </w:r>
      <w:r w:rsidR="00E272FC" w:rsidRPr="009970BE">
        <w:rPr>
          <w:rFonts w:ascii="Arial" w:eastAsia="Times New Roman" w:hAnsi="Arial" w:cs="Arial"/>
          <w:color w:val="000000" w:themeColor="text1"/>
          <w:sz w:val="24"/>
          <w:szCs w:val="26"/>
          <w:lang w:val="es-ES_tradnl" w:eastAsia="es-ES"/>
        </w:rPr>
        <w:t xml:space="preserve">en la </w:t>
      </w:r>
      <w:r w:rsidR="00756251">
        <w:rPr>
          <w:rFonts w:ascii="Arial" w:eastAsia="Times New Roman" w:hAnsi="Arial" w:cs="Arial"/>
          <w:color w:val="000000" w:themeColor="text1"/>
          <w:sz w:val="24"/>
          <w:szCs w:val="26"/>
          <w:lang w:val="es-ES_tradnl" w:eastAsia="es-ES"/>
        </w:rPr>
        <w:t>**********</w:t>
      </w:r>
      <w:r w:rsidR="009970BE">
        <w:rPr>
          <w:rFonts w:ascii="Arial" w:eastAsia="Times New Roman" w:hAnsi="Arial" w:cs="Arial"/>
          <w:color w:val="000000" w:themeColor="text1"/>
          <w:sz w:val="24"/>
          <w:szCs w:val="26"/>
          <w:lang w:val="es-ES_tradnl" w:eastAsia="es-ES"/>
        </w:rPr>
        <w:t>; lo anterior,</w:t>
      </w:r>
      <w:r w:rsidR="009970BE">
        <w:rPr>
          <w:rFonts w:ascii="Arial" w:eastAsia="Times New Roman" w:hAnsi="Arial" w:cs="Arial"/>
          <w:b/>
          <w:color w:val="000000" w:themeColor="text1"/>
          <w:sz w:val="24"/>
          <w:szCs w:val="26"/>
          <w:lang w:val="es-ES_tradnl" w:eastAsia="es-ES"/>
        </w:rPr>
        <w:t xml:space="preserve"> </w:t>
      </w:r>
      <w:r w:rsidR="00E272FC">
        <w:rPr>
          <w:rFonts w:ascii="Arial" w:eastAsia="Times New Roman" w:hAnsi="Arial" w:cs="Arial"/>
          <w:color w:val="000000" w:themeColor="text1"/>
          <w:sz w:val="24"/>
          <w:szCs w:val="26"/>
          <w:lang w:val="es-ES_tradnl" w:eastAsia="es-ES"/>
        </w:rPr>
        <w:t xml:space="preserve">para cumplir con lo ordenado en </w:t>
      </w:r>
      <w:r w:rsidR="00E272FC">
        <w:rPr>
          <w:rFonts w:ascii="Arial" w:eastAsia="Times New Roman" w:hAnsi="Arial" w:cs="Arial"/>
          <w:sz w:val="24"/>
          <w:szCs w:val="26"/>
          <w:lang w:val="es-ES_tradnl" w:eastAsia="es-ES"/>
        </w:rPr>
        <w:t>los artículos 39, 40, 54 y 61 de la Ley de Catastro para el Estado de Oaxaca.</w:t>
      </w:r>
    </w:p>
    <w:p w14:paraId="270CCB7C" w14:textId="07BCB7D4" w:rsidR="004C1CB6" w:rsidRPr="008D19AF" w:rsidRDefault="003A2CA4" w:rsidP="00E60096">
      <w:pPr>
        <w:spacing w:line="360" w:lineRule="auto"/>
        <w:ind w:firstLine="567"/>
        <w:jc w:val="both"/>
        <w:rPr>
          <w:rFonts w:ascii="Arial" w:eastAsia="Times New Roman" w:hAnsi="Arial" w:cs="Arial"/>
          <w:sz w:val="24"/>
          <w:szCs w:val="26"/>
          <w:lang w:val="es-ES_tradnl" w:eastAsia="es-ES"/>
        </w:rPr>
      </w:pPr>
      <w:r>
        <w:rPr>
          <w:rFonts w:ascii="Arial" w:eastAsia="Times New Roman" w:hAnsi="Arial" w:cs="Arial"/>
          <w:sz w:val="24"/>
          <w:szCs w:val="26"/>
          <w:lang w:val="es-ES_tradnl" w:eastAsia="es-ES"/>
        </w:rPr>
        <w:t xml:space="preserve">En conclusión, </w:t>
      </w:r>
      <w:r w:rsidR="003B2E74">
        <w:rPr>
          <w:rFonts w:ascii="Arial" w:eastAsia="Times New Roman" w:hAnsi="Arial" w:cs="Arial"/>
          <w:sz w:val="24"/>
          <w:szCs w:val="26"/>
          <w:lang w:val="es-ES_tradnl" w:eastAsia="es-ES"/>
        </w:rPr>
        <w:t xml:space="preserve">el </w:t>
      </w:r>
      <w:r w:rsidR="003B2E74">
        <w:rPr>
          <w:rFonts w:ascii="Arial" w:eastAsiaTheme="minorHAnsi" w:hAnsi="Arial" w:cs="Arial"/>
          <w:sz w:val="24"/>
          <w:szCs w:val="24"/>
          <w:lang w:eastAsia="en-US"/>
        </w:rPr>
        <w:t>oficio</w:t>
      </w:r>
      <w:r w:rsidR="003B2E74" w:rsidRPr="00BF7EC7">
        <w:rPr>
          <w:rFonts w:ascii="Arial" w:eastAsiaTheme="minorHAnsi" w:hAnsi="Arial" w:cs="Arial"/>
          <w:sz w:val="24"/>
          <w:szCs w:val="24"/>
          <w:lang w:eastAsia="en-US"/>
        </w:rPr>
        <w:t xml:space="preserve"> </w:t>
      </w:r>
      <w:r w:rsidR="005E24AF">
        <w:rPr>
          <w:rFonts w:ascii="Arial" w:eastAsiaTheme="minorHAnsi" w:hAnsi="Arial" w:cs="Arial"/>
          <w:b/>
          <w:color w:val="FF0000"/>
          <w:sz w:val="24"/>
          <w:szCs w:val="24"/>
          <w:lang w:eastAsia="en-US"/>
        </w:rPr>
        <w:t>**********</w:t>
      </w:r>
      <w:r w:rsidR="003B2E74" w:rsidRPr="00BF7EC7">
        <w:rPr>
          <w:rFonts w:ascii="Arial" w:eastAsiaTheme="minorHAnsi" w:hAnsi="Arial" w:cs="Arial"/>
          <w:sz w:val="24"/>
          <w:szCs w:val="24"/>
          <w:lang w:eastAsia="en-US"/>
        </w:rPr>
        <w:t xml:space="preserve">, que contiene la resolución de </w:t>
      </w:r>
      <w:r w:rsidR="003B2E74">
        <w:rPr>
          <w:rFonts w:ascii="Arial" w:eastAsiaTheme="minorHAnsi" w:hAnsi="Arial" w:cs="Arial"/>
          <w:sz w:val="24"/>
          <w:szCs w:val="24"/>
          <w:lang w:eastAsia="en-US"/>
        </w:rPr>
        <w:t xml:space="preserve">doce de julio de dos mil diecinueve, transgrede el artículo 16 Constitucional en relación con la fracción V, del artículo 17 de la Ley de Procedimiento y Justicia Administrativa del Estado, </w:t>
      </w:r>
      <w:r w:rsidR="00B20927">
        <w:rPr>
          <w:rFonts w:ascii="Arial" w:eastAsiaTheme="minorHAnsi" w:hAnsi="Arial" w:cs="Arial"/>
          <w:sz w:val="24"/>
          <w:szCs w:val="24"/>
          <w:lang w:eastAsia="en-US"/>
        </w:rPr>
        <w:t xml:space="preserve">en virtud de que </w:t>
      </w:r>
      <w:r w:rsidR="00E13447">
        <w:rPr>
          <w:rFonts w:ascii="Arial" w:eastAsiaTheme="minorHAnsi" w:hAnsi="Arial" w:cs="Arial"/>
          <w:sz w:val="24"/>
          <w:szCs w:val="24"/>
          <w:lang w:eastAsia="en-US"/>
        </w:rPr>
        <w:t xml:space="preserve">la determinación carece del requisito de una debida fundamentación y motivación; esto es así, </w:t>
      </w:r>
      <w:r w:rsidR="00706051">
        <w:rPr>
          <w:rFonts w:ascii="Arial" w:eastAsiaTheme="minorHAnsi" w:hAnsi="Arial" w:cs="Arial"/>
          <w:sz w:val="24"/>
          <w:szCs w:val="24"/>
          <w:lang w:eastAsia="en-US"/>
        </w:rPr>
        <w:t>ya que ninguno de los artículos invocados como fundamento por la autoridad demandada, señalan que para el trámite catastral de traslado de dominio</w:t>
      </w:r>
      <w:r w:rsidR="00706051">
        <w:rPr>
          <w:rFonts w:ascii="Arial" w:eastAsiaTheme="minorHAnsi" w:hAnsi="Arial" w:cs="Arial"/>
          <w:sz w:val="24"/>
          <w:szCs w:val="26"/>
          <w:lang w:eastAsia="en-US"/>
        </w:rPr>
        <w:t xml:space="preserve">, </w:t>
      </w:r>
      <w:r w:rsidR="00706051">
        <w:rPr>
          <w:rFonts w:ascii="Arial" w:eastAsia="Times New Roman" w:hAnsi="Arial" w:cs="Arial"/>
          <w:sz w:val="24"/>
          <w:szCs w:val="26"/>
          <w:lang w:val="es-ES_tradnl" w:eastAsia="es-ES"/>
        </w:rPr>
        <w:t>se deba acompañar una autorización o licencia de subdivisión emitida por la autoridad municipal competente.</w:t>
      </w:r>
    </w:p>
    <w:p w14:paraId="79E734BD" w14:textId="0374F96A" w:rsidR="00E60096" w:rsidRPr="0069610A" w:rsidRDefault="00BF7EC7" w:rsidP="00693EAD">
      <w:pPr>
        <w:spacing w:line="360" w:lineRule="auto"/>
        <w:ind w:firstLine="567"/>
        <w:jc w:val="both"/>
        <w:rPr>
          <w:rFonts w:ascii="Arial" w:eastAsiaTheme="minorHAnsi" w:hAnsi="Arial" w:cs="Arial"/>
          <w:sz w:val="24"/>
          <w:szCs w:val="24"/>
          <w:lang w:eastAsia="en-US"/>
        </w:rPr>
      </w:pPr>
      <w:r w:rsidRPr="00BF7EC7">
        <w:rPr>
          <w:rFonts w:ascii="Arial" w:eastAsiaTheme="minorHAnsi" w:hAnsi="Arial" w:cs="Arial"/>
          <w:sz w:val="24"/>
          <w:szCs w:val="26"/>
          <w:lang w:eastAsia="en-US"/>
        </w:rPr>
        <w:t xml:space="preserve">Por lo que, </w:t>
      </w:r>
      <w:r w:rsidR="00E60096">
        <w:rPr>
          <w:rFonts w:ascii="Arial" w:eastAsiaTheme="minorHAnsi" w:hAnsi="Arial" w:cs="Arial"/>
          <w:sz w:val="24"/>
          <w:szCs w:val="26"/>
          <w:lang w:eastAsia="en-US"/>
        </w:rPr>
        <w:t xml:space="preserve">al declararse </w:t>
      </w:r>
      <w:r w:rsidR="00E60096">
        <w:rPr>
          <w:rFonts w:ascii="Arial" w:eastAsiaTheme="minorHAnsi" w:hAnsi="Arial" w:cs="Arial"/>
          <w:b/>
          <w:sz w:val="24"/>
          <w:szCs w:val="26"/>
          <w:lang w:eastAsia="en-US"/>
        </w:rPr>
        <w:t>fundado el concepto de impugnación en análisis</w:t>
      </w:r>
      <w:r w:rsidRPr="00BF7EC7">
        <w:rPr>
          <w:rFonts w:ascii="Arial" w:eastAsiaTheme="minorHAnsi" w:hAnsi="Arial" w:cs="Arial"/>
          <w:sz w:val="24"/>
          <w:szCs w:val="26"/>
          <w:lang w:eastAsia="en-US"/>
        </w:rPr>
        <w:t xml:space="preserve">, con fundamento en el artículo 208 fracciones II y VI de la Ley de Procedimiento y Justicia Administrativa para el Estado, se declara la </w:t>
      </w:r>
      <w:r w:rsidRPr="00BF7EC7">
        <w:rPr>
          <w:rFonts w:ascii="Arial" w:eastAsiaTheme="minorHAnsi" w:hAnsi="Arial" w:cs="Arial"/>
          <w:b/>
          <w:sz w:val="24"/>
          <w:szCs w:val="26"/>
          <w:lang w:eastAsia="en-US"/>
        </w:rPr>
        <w:t xml:space="preserve">NULIDAD </w:t>
      </w:r>
      <w:r w:rsidRPr="00BF7EC7">
        <w:rPr>
          <w:rFonts w:ascii="Arial" w:eastAsiaTheme="minorHAnsi" w:hAnsi="Arial" w:cs="Arial"/>
          <w:sz w:val="24"/>
          <w:szCs w:val="24"/>
          <w:lang w:eastAsia="en-US"/>
        </w:rPr>
        <w:t xml:space="preserve">del </w:t>
      </w:r>
      <w:r w:rsidR="00E60096">
        <w:rPr>
          <w:rFonts w:ascii="Arial" w:eastAsiaTheme="minorHAnsi" w:hAnsi="Arial" w:cs="Arial"/>
          <w:sz w:val="24"/>
          <w:szCs w:val="24"/>
          <w:lang w:eastAsia="en-US"/>
        </w:rPr>
        <w:t>oficio</w:t>
      </w:r>
      <w:r w:rsidR="00E60096" w:rsidRPr="00BF7EC7">
        <w:rPr>
          <w:rFonts w:ascii="Arial" w:eastAsiaTheme="minorHAnsi" w:hAnsi="Arial" w:cs="Arial"/>
          <w:sz w:val="24"/>
          <w:szCs w:val="24"/>
          <w:lang w:eastAsia="en-US"/>
        </w:rPr>
        <w:t xml:space="preserve"> </w:t>
      </w:r>
      <w:r w:rsidR="005E24AF">
        <w:rPr>
          <w:rFonts w:ascii="Arial" w:eastAsiaTheme="minorHAnsi" w:hAnsi="Arial" w:cs="Arial"/>
          <w:b/>
          <w:color w:val="FF0000"/>
          <w:sz w:val="24"/>
          <w:szCs w:val="24"/>
          <w:lang w:eastAsia="en-US"/>
        </w:rPr>
        <w:t>**********</w:t>
      </w:r>
      <w:r w:rsidR="00E60096" w:rsidRPr="00BF7EC7">
        <w:rPr>
          <w:rFonts w:ascii="Arial" w:eastAsiaTheme="minorHAnsi" w:hAnsi="Arial" w:cs="Arial"/>
          <w:sz w:val="24"/>
          <w:szCs w:val="24"/>
          <w:lang w:eastAsia="en-US"/>
        </w:rPr>
        <w:t xml:space="preserve">, que contiene la resolución de </w:t>
      </w:r>
      <w:r w:rsidR="00E60096">
        <w:rPr>
          <w:rFonts w:ascii="Arial" w:eastAsiaTheme="minorHAnsi" w:hAnsi="Arial" w:cs="Arial"/>
          <w:sz w:val="24"/>
          <w:szCs w:val="24"/>
          <w:lang w:eastAsia="en-US"/>
        </w:rPr>
        <w:t>doce de julio de dos mil diecinueve</w:t>
      </w:r>
      <w:r w:rsidRPr="00BF7EC7">
        <w:rPr>
          <w:rFonts w:ascii="Arial" w:eastAsiaTheme="minorHAnsi" w:hAnsi="Arial" w:cs="Arial"/>
          <w:sz w:val="24"/>
          <w:szCs w:val="24"/>
          <w:lang w:eastAsia="en-US"/>
        </w:rPr>
        <w:t xml:space="preserve">, </w:t>
      </w:r>
      <w:r w:rsidR="00E60096">
        <w:rPr>
          <w:rFonts w:ascii="Arial" w:eastAsiaTheme="minorHAnsi" w:hAnsi="Arial" w:cs="Arial"/>
          <w:sz w:val="24"/>
          <w:szCs w:val="24"/>
          <w:lang w:eastAsia="en-US"/>
        </w:rPr>
        <w:t xml:space="preserve">dictada </w:t>
      </w:r>
      <w:r w:rsidRPr="00BF7EC7">
        <w:rPr>
          <w:rFonts w:ascii="Arial" w:eastAsiaTheme="minorHAnsi" w:hAnsi="Arial" w:cs="Arial"/>
          <w:sz w:val="24"/>
          <w:szCs w:val="24"/>
          <w:lang w:eastAsia="en-US"/>
        </w:rPr>
        <w:t xml:space="preserve">por el Jefe de la Unidad Jurídica del Instituto Catastral del Estado, </w:t>
      </w:r>
      <w:r w:rsidRPr="00BF7EC7">
        <w:rPr>
          <w:rFonts w:ascii="Arial" w:eastAsiaTheme="minorHAnsi" w:hAnsi="Arial" w:cs="Arial"/>
          <w:b/>
          <w:sz w:val="24"/>
          <w:szCs w:val="24"/>
          <w:lang w:eastAsia="en-US"/>
        </w:rPr>
        <w:t xml:space="preserve">PARA EL EFECTO </w:t>
      </w:r>
      <w:r w:rsidRPr="00BF7EC7">
        <w:rPr>
          <w:rFonts w:ascii="Arial" w:eastAsiaTheme="minorHAnsi" w:hAnsi="Arial" w:cs="Arial"/>
          <w:sz w:val="24"/>
          <w:szCs w:val="24"/>
          <w:lang w:eastAsia="en-US"/>
        </w:rPr>
        <w:t xml:space="preserve">de que la </w:t>
      </w:r>
      <w:r w:rsidRPr="00BF7EC7">
        <w:rPr>
          <w:rFonts w:ascii="Arial" w:eastAsiaTheme="minorHAnsi" w:hAnsi="Arial" w:cs="Arial"/>
          <w:b/>
          <w:sz w:val="24"/>
          <w:szCs w:val="24"/>
          <w:lang w:eastAsia="en-US"/>
        </w:rPr>
        <w:t xml:space="preserve">autoridad demandada </w:t>
      </w:r>
      <w:r w:rsidR="009C2C6B">
        <w:rPr>
          <w:rFonts w:ascii="Arial" w:eastAsiaTheme="minorHAnsi" w:hAnsi="Arial" w:cs="Arial"/>
          <w:sz w:val="24"/>
          <w:szCs w:val="24"/>
          <w:lang w:eastAsia="en-US"/>
        </w:rPr>
        <w:t xml:space="preserve">emita otro acto en el que: </w:t>
      </w:r>
      <w:r w:rsidR="009C2C6B">
        <w:rPr>
          <w:rFonts w:ascii="Arial" w:eastAsiaTheme="minorHAnsi" w:hAnsi="Arial" w:cs="Arial"/>
          <w:b/>
          <w:sz w:val="24"/>
          <w:szCs w:val="24"/>
          <w:lang w:eastAsia="en-US"/>
        </w:rPr>
        <w:t>a)</w:t>
      </w:r>
      <w:r w:rsidRPr="00BF7EC7">
        <w:rPr>
          <w:rFonts w:ascii="Arial" w:eastAsiaTheme="minorHAnsi" w:hAnsi="Arial" w:cs="Arial"/>
          <w:sz w:val="24"/>
          <w:szCs w:val="24"/>
          <w:lang w:eastAsia="en-US"/>
        </w:rPr>
        <w:t xml:space="preserve"> </w:t>
      </w:r>
      <w:r w:rsidR="00E60096">
        <w:rPr>
          <w:rFonts w:ascii="Arial" w:eastAsiaTheme="minorHAnsi" w:hAnsi="Arial" w:cs="Arial"/>
          <w:sz w:val="24"/>
          <w:szCs w:val="24"/>
          <w:lang w:eastAsia="en-US"/>
        </w:rPr>
        <w:t xml:space="preserve">requiera a la </w:t>
      </w:r>
      <w:r w:rsidR="00E60096">
        <w:rPr>
          <w:rFonts w:ascii="Arial" w:eastAsiaTheme="minorHAnsi" w:hAnsi="Arial" w:cs="Arial"/>
          <w:b/>
          <w:sz w:val="24"/>
          <w:szCs w:val="24"/>
          <w:lang w:eastAsia="en-US"/>
        </w:rPr>
        <w:t xml:space="preserve">actora </w:t>
      </w:r>
      <w:r w:rsidR="005E24AF">
        <w:rPr>
          <w:rFonts w:ascii="Arial" w:eastAsiaTheme="minorHAnsi" w:hAnsi="Arial" w:cs="Arial"/>
          <w:sz w:val="24"/>
          <w:szCs w:val="24"/>
          <w:lang w:eastAsia="en-US"/>
        </w:rPr>
        <w:t>**********</w:t>
      </w:r>
      <w:r w:rsidR="00E60096">
        <w:rPr>
          <w:rFonts w:ascii="Arial" w:eastAsiaTheme="minorHAnsi" w:hAnsi="Arial" w:cs="Arial"/>
          <w:sz w:val="24"/>
          <w:szCs w:val="24"/>
          <w:lang w:eastAsia="en-US"/>
        </w:rPr>
        <w:t xml:space="preserve"> para que </w:t>
      </w:r>
      <w:r w:rsidR="003E69C4">
        <w:rPr>
          <w:rFonts w:ascii="Arial" w:eastAsiaTheme="minorHAnsi" w:hAnsi="Arial" w:cs="Arial"/>
          <w:sz w:val="24"/>
          <w:szCs w:val="24"/>
          <w:lang w:eastAsia="en-US"/>
        </w:rPr>
        <w:t>realice el aviso de subdivisión que se prevé</w:t>
      </w:r>
      <w:r w:rsidR="00D92198">
        <w:rPr>
          <w:rFonts w:ascii="Arial" w:eastAsiaTheme="minorHAnsi" w:hAnsi="Arial" w:cs="Arial"/>
          <w:sz w:val="24"/>
          <w:szCs w:val="24"/>
          <w:lang w:eastAsia="en-US"/>
        </w:rPr>
        <w:t xml:space="preserve"> en los artículos </w:t>
      </w:r>
      <w:r w:rsidR="003E69C4">
        <w:rPr>
          <w:rFonts w:ascii="Arial" w:eastAsiaTheme="minorHAnsi" w:hAnsi="Arial" w:cs="Arial"/>
          <w:sz w:val="24"/>
          <w:szCs w:val="24"/>
          <w:lang w:eastAsia="en-US"/>
        </w:rPr>
        <w:t xml:space="preserve">39, 54 y 61, de la Ley de Catastro del Estado, y anexe los documentos necesarios para el trámite de asignación </w:t>
      </w:r>
      <w:r w:rsidR="00693EAD">
        <w:rPr>
          <w:rFonts w:ascii="Arial" w:eastAsiaTheme="minorHAnsi" w:hAnsi="Arial" w:cs="Arial"/>
          <w:sz w:val="24"/>
          <w:szCs w:val="24"/>
          <w:lang w:eastAsia="en-US"/>
        </w:rPr>
        <w:t xml:space="preserve">de cuenta catastral </w:t>
      </w:r>
      <w:r w:rsidR="009970BE">
        <w:rPr>
          <w:rFonts w:ascii="Arial" w:eastAsiaTheme="minorHAnsi" w:hAnsi="Arial" w:cs="Arial"/>
          <w:sz w:val="24"/>
          <w:szCs w:val="24"/>
          <w:lang w:eastAsia="en-US"/>
        </w:rPr>
        <w:t>del predio resultante</w:t>
      </w:r>
      <w:r w:rsidR="003E69C4">
        <w:rPr>
          <w:rFonts w:ascii="Arial" w:eastAsiaTheme="minorHAnsi" w:hAnsi="Arial" w:cs="Arial"/>
          <w:sz w:val="24"/>
          <w:szCs w:val="24"/>
          <w:lang w:eastAsia="en-US"/>
        </w:rPr>
        <w:t xml:space="preserve"> de la subdivisión </w:t>
      </w:r>
      <w:r w:rsidR="00693EAD">
        <w:rPr>
          <w:rFonts w:ascii="Arial" w:eastAsiaTheme="minorHAnsi" w:hAnsi="Arial" w:cs="Arial"/>
          <w:sz w:val="24"/>
          <w:szCs w:val="24"/>
          <w:lang w:eastAsia="en-US"/>
        </w:rPr>
        <w:t>del predio principal</w:t>
      </w:r>
      <w:r w:rsidR="00E60096">
        <w:rPr>
          <w:rFonts w:ascii="Arial" w:eastAsiaTheme="minorHAnsi" w:hAnsi="Arial" w:cs="Arial"/>
          <w:sz w:val="24"/>
          <w:szCs w:val="24"/>
          <w:lang w:eastAsia="en-US"/>
        </w:rPr>
        <w:t xml:space="preserve">, apercibiéndola que en caso de omisión se declarará la improcedencia de su trámite; </w:t>
      </w:r>
      <w:r w:rsidR="00E60096">
        <w:rPr>
          <w:rFonts w:ascii="Arial" w:eastAsiaTheme="minorHAnsi" w:hAnsi="Arial" w:cs="Arial"/>
          <w:b/>
          <w:sz w:val="24"/>
          <w:szCs w:val="24"/>
          <w:lang w:eastAsia="en-US"/>
        </w:rPr>
        <w:t xml:space="preserve">b) </w:t>
      </w:r>
      <w:r w:rsidR="00E60096">
        <w:rPr>
          <w:rFonts w:ascii="Arial" w:eastAsiaTheme="minorHAnsi" w:hAnsi="Arial" w:cs="Arial"/>
          <w:sz w:val="24"/>
          <w:szCs w:val="24"/>
          <w:lang w:eastAsia="en-US"/>
        </w:rPr>
        <w:t xml:space="preserve">una vez que la administrada cumpla con lo anterior, proceda a </w:t>
      </w:r>
      <w:r w:rsidR="0069610A">
        <w:rPr>
          <w:rFonts w:ascii="Arial" w:eastAsiaTheme="minorHAnsi" w:hAnsi="Arial" w:cs="Arial"/>
          <w:sz w:val="24"/>
          <w:szCs w:val="24"/>
          <w:lang w:eastAsia="en-US"/>
        </w:rPr>
        <w:t xml:space="preserve">realizar lo ordenado por el artículo 40 de la Ley de Catastro del Estado; </w:t>
      </w:r>
      <w:r w:rsidR="0069610A">
        <w:rPr>
          <w:rFonts w:ascii="Arial" w:eastAsiaTheme="minorHAnsi" w:hAnsi="Arial" w:cs="Arial"/>
          <w:b/>
          <w:sz w:val="24"/>
          <w:szCs w:val="24"/>
          <w:lang w:eastAsia="en-US"/>
        </w:rPr>
        <w:t xml:space="preserve">c) </w:t>
      </w:r>
      <w:r w:rsidR="0069610A">
        <w:rPr>
          <w:rFonts w:ascii="Arial" w:eastAsiaTheme="minorHAnsi" w:hAnsi="Arial" w:cs="Arial"/>
          <w:sz w:val="24"/>
          <w:szCs w:val="24"/>
          <w:lang w:eastAsia="en-US"/>
        </w:rPr>
        <w:t>realizado lo anterior, analice la solicitud de trámite catastral de traslado de dominio, presentada por el Notario Público número 105 en el Estado, y si esta cumple con los requisitos exigidos por el artículo 47, de la Ley de Catastro del Estado, declare la procedencia del trámite, y en caso contrario declare su improcedencia, fundado y motivando debidamente su determinación.</w:t>
      </w:r>
    </w:p>
    <w:p w14:paraId="24C15517" w14:textId="77777777" w:rsidR="00BF7EC7" w:rsidRPr="00BF7EC7" w:rsidRDefault="00BF7EC7" w:rsidP="00BF7EC7">
      <w:pPr>
        <w:spacing w:before="240" w:after="0" w:line="360" w:lineRule="auto"/>
        <w:ind w:right="49" w:firstLine="708"/>
        <w:jc w:val="both"/>
        <w:rPr>
          <w:rFonts w:ascii="Arial" w:eastAsiaTheme="minorHAnsi" w:hAnsi="Arial" w:cs="Arial"/>
          <w:sz w:val="24"/>
          <w:szCs w:val="24"/>
          <w:lang w:eastAsia="en-US"/>
        </w:rPr>
      </w:pPr>
      <w:r w:rsidRPr="00BF7EC7">
        <w:rPr>
          <w:rFonts w:ascii="Arial" w:eastAsiaTheme="minorHAnsi" w:hAnsi="Arial" w:cs="Arial"/>
          <w:sz w:val="24"/>
          <w:szCs w:val="24"/>
          <w:lang w:eastAsia="en-US"/>
        </w:rPr>
        <w:lastRenderedPageBreak/>
        <w:t xml:space="preserve">Por lo expuesto y con fundamento en los artículos 207 fracciones I, II y III, 208 fracciones II y VI, y 209, de Ley de Procedimiento y Justicia Administrativa para el Estado de Oaxaca, se; - - - - - - - - - - - - - - - - - - - - - </w:t>
      </w:r>
    </w:p>
    <w:p w14:paraId="27EA1286" w14:textId="77777777" w:rsidR="00BF7EC7" w:rsidRPr="00BF7EC7" w:rsidRDefault="00BF7EC7" w:rsidP="00BF7EC7">
      <w:pPr>
        <w:spacing w:before="240" w:after="0" w:line="360" w:lineRule="auto"/>
        <w:ind w:right="49" w:firstLine="708"/>
        <w:jc w:val="center"/>
        <w:rPr>
          <w:rFonts w:ascii="Arial" w:eastAsiaTheme="minorHAnsi" w:hAnsi="Arial" w:cs="Arial"/>
          <w:b/>
          <w:sz w:val="24"/>
          <w:szCs w:val="24"/>
          <w:lang w:eastAsia="en-US"/>
        </w:rPr>
      </w:pPr>
      <w:r w:rsidRPr="00BF7EC7">
        <w:rPr>
          <w:rFonts w:ascii="Arial" w:eastAsiaTheme="minorHAnsi" w:hAnsi="Arial" w:cs="Arial"/>
          <w:b/>
          <w:sz w:val="24"/>
          <w:szCs w:val="24"/>
          <w:lang w:eastAsia="en-US"/>
        </w:rPr>
        <w:t>R E S U E L V E</w:t>
      </w:r>
    </w:p>
    <w:p w14:paraId="00000053" w14:textId="77777777" w:rsidR="00FB6062" w:rsidRDefault="00414E1F">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00000054" w14:textId="30792B81" w:rsidR="00FB6062" w:rsidRDefault="00414E1F">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La personalidad</w:t>
      </w:r>
      <w:r>
        <w:rPr>
          <w:rFonts w:ascii="Arial" w:eastAsia="Arial" w:hAnsi="Arial" w:cs="Arial"/>
          <w:sz w:val="24"/>
          <w:szCs w:val="24"/>
        </w:rPr>
        <w:t xml:space="preserve"> de las partes quedó acreditada en autos.- </w:t>
      </w:r>
    </w:p>
    <w:p w14:paraId="00000055" w14:textId="73BD295E" w:rsidR="00FB6062" w:rsidRDefault="00414E1F">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sidR="009E64DD">
        <w:rPr>
          <w:rFonts w:ascii="Arial" w:eastAsia="Arial" w:hAnsi="Arial" w:cs="Arial"/>
          <w:sz w:val="24"/>
          <w:szCs w:val="24"/>
        </w:rPr>
        <w:t xml:space="preserve">No se actualiza la causa de improcedencia invocada por la </w:t>
      </w:r>
      <w:r w:rsidR="009E64DD">
        <w:rPr>
          <w:rFonts w:ascii="Arial" w:eastAsia="Arial" w:hAnsi="Arial" w:cs="Arial"/>
          <w:b/>
          <w:sz w:val="24"/>
          <w:szCs w:val="24"/>
        </w:rPr>
        <w:t>autoridad demandada</w:t>
      </w:r>
      <w:r w:rsidR="009E64DD">
        <w:rPr>
          <w:rFonts w:ascii="Arial" w:eastAsia="Arial" w:hAnsi="Arial" w:cs="Arial"/>
          <w:color w:val="000000"/>
          <w:sz w:val="24"/>
          <w:szCs w:val="24"/>
        </w:rPr>
        <w:t xml:space="preserve">, por lo que </w:t>
      </w:r>
      <w:r w:rsidR="009E64DD">
        <w:rPr>
          <w:rFonts w:ascii="Arial" w:eastAsia="Arial" w:hAnsi="Arial" w:cs="Arial"/>
          <w:b/>
          <w:color w:val="000000"/>
          <w:sz w:val="24"/>
          <w:szCs w:val="24"/>
        </w:rPr>
        <w:t>NO SE</w:t>
      </w:r>
      <w:r>
        <w:rPr>
          <w:rFonts w:ascii="Arial" w:eastAsia="Arial" w:hAnsi="Arial" w:cs="Arial"/>
          <w:color w:val="000000"/>
          <w:sz w:val="24"/>
          <w:szCs w:val="24"/>
        </w:rPr>
        <w:t xml:space="preserve"> </w:t>
      </w:r>
      <w:r w:rsidR="009E64DD">
        <w:rPr>
          <w:rFonts w:ascii="Arial" w:eastAsia="Arial" w:hAnsi="Arial" w:cs="Arial"/>
          <w:b/>
          <w:color w:val="000000"/>
          <w:sz w:val="24"/>
          <w:szCs w:val="24"/>
        </w:rPr>
        <w:t>SOBRESEE</w:t>
      </w:r>
      <w:r>
        <w:rPr>
          <w:rFonts w:ascii="Arial" w:eastAsia="Arial" w:hAnsi="Arial" w:cs="Arial"/>
          <w:b/>
          <w:color w:val="000000"/>
          <w:sz w:val="24"/>
          <w:szCs w:val="24"/>
        </w:rPr>
        <w:t xml:space="preserve"> EL JUICIO</w:t>
      </w:r>
      <w:r>
        <w:rPr>
          <w:rFonts w:ascii="Arial" w:eastAsia="Arial" w:hAnsi="Arial" w:cs="Arial"/>
          <w:color w:val="000000"/>
          <w:sz w:val="24"/>
          <w:szCs w:val="24"/>
        </w:rPr>
        <w:t>, como se determinó en el considerando</w:t>
      </w:r>
      <w:r>
        <w:rPr>
          <w:rFonts w:ascii="Arial" w:eastAsia="Arial" w:hAnsi="Arial" w:cs="Arial"/>
          <w:b/>
          <w:color w:val="000000"/>
          <w:sz w:val="24"/>
          <w:szCs w:val="24"/>
        </w:rPr>
        <w:t xml:space="preserve"> tercero</w:t>
      </w:r>
      <w:r>
        <w:rPr>
          <w:rFonts w:ascii="Arial" w:eastAsia="Arial" w:hAnsi="Arial" w:cs="Arial"/>
          <w:color w:val="000000"/>
          <w:sz w:val="24"/>
          <w:szCs w:val="24"/>
        </w:rPr>
        <w:t xml:space="preserve"> de esta sentencia. - </w:t>
      </w:r>
      <w:r w:rsidR="009E64DD">
        <w:rPr>
          <w:rFonts w:ascii="Arial" w:eastAsia="Arial" w:hAnsi="Arial" w:cs="Arial"/>
          <w:color w:val="000000"/>
          <w:sz w:val="24"/>
          <w:szCs w:val="24"/>
        </w:rPr>
        <w:t>- - - - - - - - - - - - - -</w:t>
      </w:r>
    </w:p>
    <w:p w14:paraId="00000056" w14:textId="4713F54E" w:rsidR="00FB6062" w:rsidRDefault="00414E1F" w:rsidP="006812D3">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CUARTO.</w:t>
      </w:r>
      <w:r w:rsidR="006812D3">
        <w:rPr>
          <w:rFonts w:ascii="Arial" w:eastAsia="Arial" w:hAnsi="Arial" w:cs="Arial"/>
          <w:sz w:val="24"/>
          <w:szCs w:val="24"/>
        </w:rPr>
        <w:t xml:space="preserve"> </w:t>
      </w:r>
      <w:r w:rsidR="006812D3">
        <w:rPr>
          <w:rFonts w:ascii="Arial" w:eastAsiaTheme="minorHAnsi" w:hAnsi="Arial" w:cs="Arial"/>
          <w:sz w:val="24"/>
          <w:szCs w:val="26"/>
          <w:lang w:eastAsia="en-US"/>
        </w:rPr>
        <w:t>S</w:t>
      </w:r>
      <w:r w:rsidR="006812D3" w:rsidRPr="00BF7EC7">
        <w:rPr>
          <w:rFonts w:ascii="Arial" w:eastAsiaTheme="minorHAnsi" w:hAnsi="Arial" w:cs="Arial"/>
          <w:sz w:val="24"/>
          <w:szCs w:val="26"/>
          <w:lang w:eastAsia="en-US"/>
        </w:rPr>
        <w:t xml:space="preserve">e declara la </w:t>
      </w:r>
      <w:r w:rsidR="006812D3" w:rsidRPr="00BF7EC7">
        <w:rPr>
          <w:rFonts w:ascii="Arial" w:eastAsiaTheme="minorHAnsi" w:hAnsi="Arial" w:cs="Arial"/>
          <w:b/>
          <w:sz w:val="24"/>
          <w:szCs w:val="26"/>
          <w:lang w:eastAsia="en-US"/>
        </w:rPr>
        <w:t xml:space="preserve">NULIDAD </w:t>
      </w:r>
      <w:r w:rsidR="006812D3" w:rsidRPr="00BF7EC7">
        <w:rPr>
          <w:rFonts w:ascii="Arial" w:eastAsiaTheme="minorHAnsi" w:hAnsi="Arial" w:cs="Arial"/>
          <w:sz w:val="24"/>
          <w:szCs w:val="24"/>
          <w:lang w:eastAsia="en-US"/>
        </w:rPr>
        <w:t xml:space="preserve">del </w:t>
      </w:r>
      <w:r w:rsidR="006812D3">
        <w:rPr>
          <w:rFonts w:ascii="Arial" w:eastAsiaTheme="minorHAnsi" w:hAnsi="Arial" w:cs="Arial"/>
          <w:sz w:val="24"/>
          <w:szCs w:val="24"/>
          <w:lang w:eastAsia="en-US"/>
        </w:rPr>
        <w:t>oficio</w:t>
      </w:r>
      <w:r w:rsidR="006812D3" w:rsidRPr="00BF7EC7">
        <w:rPr>
          <w:rFonts w:ascii="Arial" w:eastAsiaTheme="minorHAnsi" w:hAnsi="Arial" w:cs="Arial"/>
          <w:sz w:val="24"/>
          <w:szCs w:val="24"/>
          <w:lang w:eastAsia="en-US"/>
        </w:rPr>
        <w:t xml:space="preserve"> </w:t>
      </w:r>
      <w:r w:rsidR="005E24AF">
        <w:rPr>
          <w:rFonts w:ascii="Arial" w:eastAsiaTheme="minorHAnsi" w:hAnsi="Arial" w:cs="Arial"/>
          <w:b/>
          <w:color w:val="FF0000"/>
          <w:sz w:val="24"/>
          <w:szCs w:val="24"/>
          <w:lang w:eastAsia="en-US"/>
        </w:rPr>
        <w:t>**********</w:t>
      </w:r>
      <w:r w:rsidR="006812D3" w:rsidRPr="00BF7EC7">
        <w:rPr>
          <w:rFonts w:ascii="Arial" w:eastAsiaTheme="minorHAnsi" w:hAnsi="Arial" w:cs="Arial"/>
          <w:sz w:val="24"/>
          <w:szCs w:val="24"/>
          <w:lang w:eastAsia="en-US"/>
        </w:rPr>
        <w:t xml:space="preserve">, que contiene la resolución de </w:t>
      </w:r>
      <w:r w:rsidR="006812D3">
        <w:rPr>
          <w:rFonts w:ascii="Arial" w:eastAsiaTheme="minorHAnsi" w:hAnsi="Arial" w:cs="Arial"/>
          <w:sz w:val="24"/>
          <w:szCs w:val="24"/>
          <w:lang w:eastAsia="en-US"/>
        </w:rPr>
        <w:t>doce de julio de dos mil diecinueve</w:t>
      </w:r>
      <w:r w:rsidR="006812D3" w:rsidRPr="00BF7EC7">
        <w:rPr>
          <w:rFonts w:ascii="Arial" w:eastAsiaTheme="minorHAnsi" w:hAnsi="Arial" w:cs="Arial"/>
          <w:sz w:val="24"/>
          <w:szCs w:val="24"/>
          <w:lang w:eastAsia="en-US"/>
        </w:rPr>
        <w:t xml:space="preserve">, </w:t>
      </w:r>
      <w:r w:rsidR="006812D3">
        <w:rPr>
          <w:rFonts w:ascii="Arial" w:eastAsiaTheme="minorHAnsi" w:hAnsi="Arial" w:cs="Arial"/>
          <w:sz w:val="24"/>
          <w:szCs w:val="24"/>
          <w:lang w:eastAsia="en-US"/>
        </w:rPr>
        <w:t xml:space="preserve">dictada </w:t>
      </w:r>
      <w:r w:rsidR="006812D3" w:rsidRPr="00BF7EC7">
        <w:rPr>
          <w:rFonts w:ascii="Arial" w:eastAsiaTheme="minorHAnsi" w:hAnsi="Arial" w:cs="Arial"/>
          <w:sz w:val="24"/>
          <w:szCs w:val="24"/>
          <w:lang w:eastAsia="en-US"/>
        </w:rPr>
        <w:t xml:space="preserve">por el </w:t>
      </w:r>
      <w:proofErr w:type="gramStart"/>
      <w:r w:rsidR="006812D3" w:rsidRPr="00BF7EC7">
        <w:rPr>
          <w:rFonts w:ascii="Arial" w:eastAsiaTheme="minorHAnsi" w:hAnsi="Arial" w:cs="Arial"/>
          <w:sz w:val="24"/>
          <w:szCs w:val="24"/>
          <w:lang w:eastAsia="en-US"/>
        </w:rPr>
        <w:t>Jefe</w:t>
      </w:r>
      <w:proofErr w:type="gramEnd"/>
      <w:r w:rsidR="006812D3" w:rsidRPr="00BF7EC7">
        <w:rPr>
          <w:rFonts w:ascii="Arial" w:eastAsiaTheme="minorHAnsi" w:hAnsi="Arial" w:cs="Arial"/>
          <w:sz w:val="24"/>
          <w:szCs w:val="24"/>
          <w:lang w:eastAsia="en-US"/>
        </w:rPr>
        <w:t xml:space="preserve"> de la Unidad Jurídica del Instituto Catastral del Estado, </w:t>
      </w:r>
      <w:r w:rsidR="006812D3" w:rsidRPr="00BF7EC7">
        <w:rPr>
          <w:rFonts w:ascii="Arial" w:eastAsiaTheme="minorHAnsi" w:hAnsi="Arial" w:cs="Arial"/>
          <w:b/>
          <w:sz w:val="24"/>
          <w:szCs w:val="24"/>
          <w:lang w:eastAsia="en-US"/>
        </w:rPr>
        <w:t xml:space="preserve">PARA EL EFECTO </w:t>
      </w:r>
      <w:r w:rsidR="006812D3" w:rsidRPr="00BF7EC7">
        <w:rPr>
          <w:rFonts w:ascii="Arial" w:eastAsiaTheme="minorHAnsi" w:hAnsi="Arial" w:cs="Arial"/>
          <w:sz w:val="24"/>
          <w:szCs w:val="24"/>
          <w:lang w:eastAsia="en-US"/>
        </w:rPr>
        <w:t xml:space="preserve">de que la </w:t>
      </w:r>
      <w:r w:rsidR="006812D3" w:rsidRPr="00BF7EC7">
        <w:rPr>
          <w:rFonts w:ascii="Arial" w:eastAsiaTheme="minorHAnsi" w:hAnsi="Arial" w:cs="Arial"/>
          <w:b/>
          <w:sz w:val="24"/>
          <w:szCs w:val="24"/>
          <w:lang w:eastAsia="en-US"/>
        </w:rPr>
        <w:t>autoridad demandada</w:t>
      </w:r>
      <w:r w:rsidR="006812D3">
        <w:rPr>
          <w:rFonts w:ascii="Arial" w:eastAsiaTheme="minorHAnsi" w:hAnsi="Arial" w:cs="Arial"/>
          <w:sz w:val="24"/>
          <w:szCs w:val="24"/>
          <w:lang w:eastAsia="en-US"/>
        </w:rPr>
        <w:t xml:space="preserve"> cumpla con lo ordenado en los incisos </w:t>
      </w:r>
      <w:r w:rsidR="006812D3">
        <w:rPr>
          <w:rFonts w:ascii="Arial" w:eastAsiaTheme="minorHAnsi" w:hAnsi="Arial" w:cs="Arial"/>
          <w:b/>
          <w:sz w:val="24"/>
          <w:szCs w:val="24"/>
          <w:lang w:eastAsia="en-US"/>
        </w:rPr>
        <w:t>a), b) y c)</w:t>
      </w:r>
      <w:r w:rsidR="006812D3">
        <w:rPr>
          <w:rFonts w:ascii="Arial" w:eastAsiaTheme="minorHAnsi" w:hAnsi="Arial" w:cs="Arial"/>
          <w:sz w:val="24"/>
          <w:szCs w:val="24"/>
          <w:lang w:eastAsia="en-US"/>
        </w:rPr>
        <w:t xml:space="preserve">, del considerando </w:t>
      </w:r>
      <w:r w:rsidR="006812D3">
        <w:rPr>
          <w:rFonts w:ascii="Arial" w:eastAsiaTheme="minorHAnsi" w:hAnsi="Arial" w:cs="Arial"/>
          <w:b/>
          <w:sz w:val="24"/>
          <w:szCs w:val="24"/>
          <w:lang w:eastAsia="en-US"/>
        </w:rPr>
        <w:t xml:space="preserve">sexto </w:t>
      </w:r>
      <w:r w:rsidR="006812D3">
        <w:rPr>
          <w:rFonts w:ascii="Arial" w:eastAsiaTheme="minorHAnsi" w:hAnsi="Arial" w:cs="Arial"/>
          <w:sz w:val="24"/>
          <w:szCs w:val="24"/>
          <w:lang w:eastAsia="en-US"/>
        </w:rPr>
        <w:t>de esta sentencia.</w:t>
      </w:r>
      <w:r w:rsidR="0093160E">
        <w:rPr>
          <w:rFonts w:ascii="Arial" w:eastAsiaTheme="minorHAnsi" w:hAnsi="Arial" w:cs="Arial"/>
          <w:sz w:val="24"/>
          <w:szCs w:val="24"/>
          <w:lang w:eastAsia="en-US"/>
        </w:rPr>
        <w:t xml:space="preserve"> </w:t>
      </w:r>
      <w:proofErr w:type="gramStart"/>
      <w:r>
        <w:rPr>
          <w:rFonts w:ascii="Arial" w:eastAsia="Arial" w:hAnsi="Arial" w:cs="Arial"/>
          <w:sz w:val="24"/>
          <w:szCs w:val="24"/>
        </w:rPr>
        <w:t>-</w:t>
      </w:r>
      <w:proofErr w:type="gramEnd"/>
      <w:r>
        <w:rPr>
          <w:rFonts w:ascii="Arial" w:eastAsia="Arial" w:hAnsi="Arial" w:cs="Arial"/>
          <w:sz w:val="24"/>
          <w:szCs w:val="24"/>
        </w:rPr>
        <w:t xml:space="preserve"> - - - - - - - - - - - </w:t>
      </w:r>
    </w:p>
    <w:p w14:paraId="00000057" w14:textId="5433AA7D" w:rsidR="00FB6062" w:rsidRDefault="00414E1F">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Pr>
          <w:rFonts w:ascii="Arial" w:eastAsia="Arial" w:hAnsi="Arial" w:cs="Arial"/>
          <w:b/>
          <w:sz w:val="24"/>
          <w:szCs w:val="24"/>
        </w:rPr>
        <w:t xml:space="preserve">NOTIFÍQUESE </w:t>
      </w:r>
      <w:r>
        <w:rPr>
          <w:rFonts w:ascii="Arial" w:eastAsia="Arial" w:hAnsi="Arial" w:cs="Arial"/>
          <w:sz w:val="24"/>
          <w:szCs w:val="24"/>
        </w:rPr>
        <w:t>personalmente a la parte actora</w:t>
      </w:r>
      <w:r>
        <w:rPr>
          <w:rFonts w:ascii="Arial" w:eastAsia="Arial" w:hAnsi="Arial" w:cs="Arial"/>
          <w:b/>
          <w:sz w:val="24"/>
          <w:szCs w:val="24"/>
        </w:rPr>
        <w:t xml:space="preserve"> </w:t>
      </w:r>
      <w:r w:rsidR="006812D3">
        <w:rPr>
          <w:rFonts w:ascii="Arial" w:eastAsia="Arial" w:hAnsi="Arial" w:cs="Arial"/>
          <w:sz w:val="24"/>
          <w:szCs w:val="24"/>
        </w:rPr>
        <w:t>y por oficio a la autoridad demandada</w:t>
      </w:r>
      <w:r>
        <w:rPr>
          <w:rFonts w:ascii="Arial" w:eastAsia="Arial" w:hAnsi="Arial" w:cs="Arial"/>
          <w:sz w:val="24"/>
          <w:szCs w:val="24"/>
        </w:rPr>
        <w:t>.</w:t>
      </w:r>
      <w:r>
        <w:rPr>
          <w:rFonts w:ascii="Arial" w:eastAsia="Arial" w:hAnsi="Arial" w:cs="Arial"/>
          <w:b/>
          <w:sz w:val="24"/>
          <w:szCs w:val="24"/>
        </w:rPr>
        <w:t xml:space="preserve"> CÚMPLASE</w:t>
      </w:r>
      <w:r>
        <w:rPr>
          <w:rFonts w:ascii="Arial" w:eastAsia="Arial" w:hAnsi="Arial" w:cs="Arial"/>
          <w:sz w:val="24"/>
          <w:szCs w:val="24"/>
        </w:rPr>
        <w:t xml:space="preserve">. - - - - - - - - - - - - - - - - - - </w:t>
      </w:r>
    </w:p>
    <w:p w14:paraId="00000058" w14:textId="5D2055F9" w:rsidR="00FB6062" w:rsidRDefault="00414E1F">
      <w:pPr>
        <w:spacing w:after="0" w:line="360" w:lineRule="auto"/>
        <w:ind w:right="49"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w:t>
      </w:r>
      <w:r w:rsidR="006812D3">
        <w:rPr>
          <w:rFonts w:ascii="Arial" w:eastAsia="Arial" w:hAnsi="Arial" w:cs="Arial"/>
          <w:sz w:val="24"/>
          <w:szCs w:val="24"/>
        </w:rPr>
        <w:t xml:space="preserve">- - - - - - - - - - - - - - - - - - </w:t>
      </w:r>
    </w:p>
    <w:p w14:paraId="0D2B5749" w14:textId="77777777" w:rsidR="001E19B6" w:rsidRDefault="001E19B6">
      <w:pPr>
        <w:spacing w:after="0" w:line="360" w:lineRule="auto"/>
        <w:ind w:right="49" w:firstLine="708"/>
        <w:jc w:val="both"/>
        <w:rPr>
          <w:rFonts w:ascii="Arial" w:eastAsia="Arial" w:hAnsi="Arial" w:cs="Arial"/>
          <w:sz w:val="24"/>
          <w:szCs w:val="24"/>
        </w:rPr>
      </w:pPr>
    </w:p>
    <w:p w14:paraId="555C846C" w14:textId="3C8F261F" w:rsidR="00D42C5E" w:rsidRDefault="00D42C5E">
      <w:pPr>
        <w:spacing w:after="0" w:line="360" w:lineRule="auto"/>
        <w:ind w:right="49" w:firstLine="708"/>
        <w:jc w:val="both"/>
        <w:rPr>
          <w:rFonts w:ascii="Arial" w:eastAsia="Arial" w:hAnsi="Arial" w:cs="Arial"/>
          <w:sz w:val="24"/>
          <w:szCs w:val="24"/>
        </w:rPr>
      </w:pPr>
      <w:r>
        <w:rPr>
          <w:rFonts w:ascii="Arial" w:eastAsia="Arial" w:hAnsi="Arial" w:cs="Arial"/>
          <w:sz w:val="24"/>
          <w:szCs w:val="24"/>
        </w:rPr>
        <w:t xml:space="preserve"> </w:t>
      </w:r>
    </w:p>
    <w:sectPr w:rsidR="00D42C5E">
      <w:headerReference w:type="default" r:id="rId9"/>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02CCC" w14:textId="77777777" w:rsidR="00E358A7" w:rsidRDefault="00E358A7">
      <w:pPr>
        <w:spacing w:after="0" w:line="240" w:lineRule="auto"/>
      </w:pPr>
      <w:r>
        <w:separator/>
      </w:r>
    </w:p>
  </w:endnote>
  <w:endnote w:type="continuationSeparator" w:id="0">
    <w:p w14:paraId="2412B8B6" w14:textId="77777777" w:rsidR="00E358A7" w:rsidRDefault="00E35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68A10" w14:textId="77777777" w:rsidR="00E358A7" w:rsidRDefault="00E358A7">
      <w:pPr>
        <w:spacing w:after="0" w:line="240" w:lineRule="auto"/>
      </w:pPr>
      <w:r>
        <w:separator/>
      </w:r>
    </w:p>
  </w:footnote>
  <w:footnote w:type="continuationSeparator" w:id="0">
    <w:p w14:paraId="33601D90" w14:textId="77777777" w:rsidR="00E358A7" w:rsidRDefault="00E358A7">
      <w:pPr>
        <w:spacing w:after="0" w:line="240" w:lineRule="auto"/>
      </w:pPr>
      <w:r>
        <w:continuationSeparator/>
      </w:r>
    </w:p>
  </w:footnote>
  <w:footnote w:id="1">
    <w:p w14:paraId="1D4BD7E3" w14:textId="77777777" w:rsidR="00BF7EC7" w:rsidRPr="00271AF8" w:rsidRDefault="00BF7EC7" w:rsidP="00BF7EC7">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5D9DC062" w14:textId="77777777" w:rsidR="00A60C7A" w:rsidRDefault="00A60C7A" w:rsidP="00A60C7A">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7EA5582" w14:textId="77777777" w:rsidR="00A60C7A" w:rsidRDefault="00A60C7A" w:rsidP="00A60C7A">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6432D5B2" w:rsidR="00FB6062" w:rsidRDefault="006875D4">
    <w:pPr>
      <w:pBdr>
        <w:top w:val="nil"/>
        <w:left w:val="nil"/>
        <w:bottom w:val="nil"/>
        <w:right w:val="nil"/>
        <w:between w:val="nil"/>
      </w:pBdr>
      <w:tabs>
        <w:tab w:val="center" w:pos="4419"/>
        <w:tab w:val="right" w:pos="8838"/>
      </w:tabs>
      <w:spacing w:after="0" w:line="240" w:lineRule="auto"/>
      <w:jc w:val="center"/>
      <w:rPr>
        <w:color w:val="000000"/>
      </w:rPr>
    </w:pPr>
    <w:r>
      <w:rPr>
        <w:noProof/>
        <w:color w:val="000000"/>
      </w:rPr>
      <mc:AlternateContent>
        <mc:Choice Requires="wps">
          <w:drawing>
            <wp:anchor distT="0" distB="0" distL="114300" distR="114300" simplePos="0" relativeHeight="251658240" behindDoc="1" locked="0" layoutInCell="1" allowOverlap="1" wp14:anchorId="0309F32D" wp14:editId="1DA97E0B">
              <wp:simplePos x="0" y="0"/>
              <wp:positionH relativeFrom="column">
                <wp:posOffset>-1391285</wp:posOffset>
              </wp:positionH>
              <wp:positionV relativeFrom="paragraph">
                <wp:posOffset>-397510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331CE82F" w14:textId="77777777" w:rsidR="006875D4" w:rsidRPr="00035E13" w:rsidRDefault="006875D4" w:rsidP="006875D4">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109.55pt;margin-top:-31.3pt;width:79.5pt;height:7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" fillcolor="window" strokeweight=".5pt">
              <v:path arrowok="t"/>
              <v:textbox>
                <w:txbxContent>
                  <w:p w14:paraId="331CE82F" w14:textId="77777777" w:rsidR="006875D4" w:rsidRPr="00035E13" w:rsidRDefault="006875D4" w:rsidP="006875D4">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v:shape>
          </w:pict>
        </mc:Fallback>
      </mc:AlternateContent>
    </w:r>
    <w:r w:rsidR="00414E1F">
      <w:rPr>
        <w:color w:val="000000"/>
      </w:rPr>
      <w:fldChar w:fldCharType="begin"/>
    </w:r>
    <w:r w:rsidR="00414E1F">
      <w:rPr>
        <w:color w:val="000000"/>
      </w:rPr>
      <w:instrText>PAGE</w:instrText>
    </w:r>
    <w:r w:rsidR="00414E1F">
      <w:rPr>
        <w:color w:val="000000"/>
      </w:rPr>
      <w:fldChar w:fldCharType="separate"/>
    </w:r>
    <w:r w:rsidR="004634D3">
      <w:rPr>
        <w:noProof/>
        <w:color w:val="000000"/>
      </w:rPr>
      <w:t>14</w:t>
    </w:r>
    <w:r w:rsidR="00414E1F">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F4DCF"/>
    <w:multiLevelType w:val="hybridMultilevel"/>
    <w:tmpl w:val="98D477D0"/>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686B1006"/>
    <w:multiLevelType w:val="hybridMultilevel"/>
    <w:tmpl w:val="BDD42854"/>
    <w:lvl w:ilvl="0" w:tplc="FFFFFFFF">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16cid:durableId="106236898">
    <w:abstractNumId w:val="1"/>
  </w:num>
  <w:num w:numId="2" w16cid:durableId="404760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062"/>
    <w:rsid w:val="00000CCA"/>
    <w:rsid w:val="00007946"/>
    <w:rsid w:val="00035D32"/>
    <w:rsid w:val="000460C7"/>
    <w:rsid w:val="00064F1A"/>
    <w:rsid w:val="00082BFA"/>
    <w:rsid w:val="000A3EC5"/>
    <w:rsid w:val="000A7CD2"/>
    <w:rsid w:val="000B7C55"/>
    <w:rsid w:val="000C0EC9"/>
    <w:rsid w:val="000C12BD"/>
    <w:rsid w:val="00105C98"/>
    <w:rsid w:val="00105D22"/>
    <w:rsid w:val="00154E18"/>
    <w:rsid w:val="001A0607"/>
    <w:rsid w:val="001B3559"/>
    <w:rsid w:val="001C0672"/>
    <w:rsid w:val="001C1E82"/>
    <w:rsid w:val="001C7FD2"/>
    <w:rsid w:val="001E1799"/>
    <w:rsid w:val="001E19B6"/>
    <w:rsid w:val="001E1B70"/>
    <w:rsid w:val="00204EDA"/>
    <w:rsid w:val="0021274F"/>
    <w:rsid w:val="0022130C"/>
    <w:rsid w:val="00233E81"/>
    <w:rsid w:val="0024159E"/>
    <w:rsid w:val="0025026F"/>
    <w:rsid w:val="0025250D"/>
    <w:rsid w:val="00280F75"/>
    <w:rsid w:val="002B3B2A"/>
    <w:rsid w:val="002C176C"/>
    <w:rsid w:val="002D306F"/>
    <w:rsid w:val="002E5D93"/>
    <w:rsid w:val="0032766A"/>
    <w:rsid w:val="0033298A"/>
    <w:rsid w:val="00346A61"/>
    <w:rsid w:val="00346C0F"/>
    <w:rsid w:val="00394278"/>
    <w:rsid w:val="003A2CA4"/>
    <w:rsid w:val="003A770A"/>
    <w:rsid w:val="003B2C1B"/>
    <w:rsid w:val="003B2E74"/>
    <w:rsid w:val="003C3DFA"/>
    <w:rsid w:val="003E69C4"/>
    <w:rsid w:val="00414E1F"/>
    <w:rsid w:val="00441062"/>
    <w:rsid w:val="0045394A"/>
    <w:rsid w:val="00456FFF"/>
    <w:rsid w:val="00457D21"/>
    <w:rsid w:val="00463211"/>
    <w:rsid w:val="00463476"/>
    <w:rsid w:val="004634D3"/>
    <w:rsid w:val="0046567F"/>
    <w:rsid w:val="004B3C16"/>
    <w:rsid w:val="004B3C5F"/>
    <w:rsid w:val="004C1CB6"/>
    <w:rsid w:val="004C734D"/>
    <w:rsid w:val="004D31DA"/>
    <w:rsid w:val="004D347E"/>
    <w:rsid w:val="004E1A62"/>
    <w:rsid w:val="004F43C5"/>
    <w:rsid w:val="00502244"/>
    <w:rsid w:val="005123EC"/>
    <w:rsid w:val="0053255E"/>
    <w:rsid w:val="0053630E"/>
    <w:rsid w:val="00562476"/>
    <w:rsid w:val="0059479C"/>
    <w:rsid w:val="005A5539"/>
    <w:rsid w:val="005B13BB"/>
    <w:rsid w:val="005D1B8B"/>
    <w:rsid w:val="005E24AF"/>
    <w:rsid w:val="005E6407"/>
    <w:rsid w:val="005F1050"/>
    <w:rsid w:val="00612EC7"/>
    <w:rsid w:val="006532E7"/>
    <w:rsid w:val="00656CB0"/>
    <w:rsid w:val="006639D0"/>
    <w:rsid w:val="00674666"/>
    <w:rsid w:val="006812D3"/>
    <w:rsid w:val="0068539F"/>
    <w:rsid w:val="006875D4"/>
    <w:rsid w:val="00690078"/>
    <w:rsid w:val="00693EAD"/>
    <w:rsid w:val="0069610A"/>
    <w:rsid w:val="006A0441"/>
    <w:rsid w:val="006D4DDE"/>
    <w:rsid w:val="006F68CA"/>
    <w:rsid w:val="00706051"/>
    <w:rsid w:val="007107E4"/>
    <w:rsid w:val="00714682"/>
    <w:rsid w:val="00756251"/>
    <w:rsid w:val="00764A5C"/>
    <w:rsid w:val="0077160C"/>
    <w:rsid w:val="007759DA"/>
    <w:rsid w:val="007765C3"/>
    <w:rsid w:val="00782BD6"/>
    <w:rsid w:val="007C1E05"/>
    <w:rsid w:val="007C4327"/>
    <w:rsid w:val="00812808"/>
    <w:rsid w:val="0084595C"/>
    <w:rsid w:val="00861BF7"/>
    <w:rsid w:val="008869B1"/>
    <w:rsid w:val="008950F4"/>
    <w:rsid w:val="008D19AF"/>
    <w:rsid w:val="00904922"/>
    <w:rsid w:val="00906A3C"/>
    <w:rsid w:val="009250E0"/>
    <w:rsid w:val="0093160E"/>
    <w:rsid w:val="009910DD"/>
    <w:rsid w:val="009970BE"/>
    <w:rsid w:val="009A55D2"/>
    <w:rsid w:val="009A6891"/>
    <w:rsid w:val="009C2C6B"/>
    <w:rsid w:val="009C3630"/>
    <w:rsid w:val="009D0540"/>
    <w:rsid w:val="009D44AB"/>
    <w:rsid w:val="009E64DD"/>
    <w:rsid w:val="009F0C33"/>
    <w:rsid w:val="009F2DD6"/>
    <w:rsid w:val="00A0659F"/>
    <w:rsid w:val="00A0761B"/>
    <w:rsid w:val="00A07BCA"/>
    <w:rsid w:val="00A10A2F"/>
    <w:rsid w:val="00A1731F"/>
    <w:rsid w:val="00A31367"/>
    <w:rsid w:val="00A45E1B"/>
    <w:rsid w:val="00A54940"/>
    <w:rsid w:val="00A60C7A"/>
    <w:rsid w:val="00A62D26"/>
    <w:rsid w:val="00A640D9"/>
    <w:rsid w:val="00A9197B"/>
    <w:rsid w:val="00AB2AD4"/>
    <w:rsid w:val="00AB5A2B"/>
    <w:rsid w:val="00B0121B"/>
    <w:rsid w:val="00B20927"/>
    <w:rsid w:val="00B5017C"/>
    <w:rsid w:val="00B52CDC"/>
    <w:rsid w:val="00B57FD7"/>
    <w:rsid w:val="00B61CE6"/>
    <w:rsid w:val="00B638AB"/>
    <w:rsid w:val="00B9094C"/>
    <w:rsid w:val="00B9595E"/>
    <w:rsid w:val="00BB7FEB"/>
    <w:rsid w:val="00BC45D5"/>
    <w:rsid w:val="00BE5C78"/>
    <w:rsid w:val="00BE7BCC"/>
    <w:rsid w:val="00BF7EC7"/>
    <w:rsid w:val="00C00F44"/>
    <w:rsid w:val="00C3398C"/>
    <w:rsid w:val="00C502D5"/>
    <w:rsid w:val="00C72C56"/>
    <w:rsid w:val="00C9015F"/>
    <w:rsid w:val="00C931ED"/>
    <w:rsid w:val="00CD6231"/>
    <w:rsid w:val="00CE7D11"/>
    <w:rsid w:val="00CF4014"/>
    <w:rsid w:val="00D00602"/>
    <w:rsid w:val="00D261C7"/>
    <w:rsid w:val="00D42C5E"/>
    <w:rsid w:val="00D4631C"/>
    <w:rsid w:val="00D5731B"/>
    <w:rsid w:val="00D679EA"/>
    <w:rsid w:val="00D87AA6"/>
    <w:rsid w:val="00D92198"/>
    <w:rsid w:val="00D95E4B"/>
    <w:rsid w:val="00DB6631"/>
    <w:rsid w:val="00E00415"/>
    <w:rsid w:val="00E13447"/>
    <w:rsid w:val="00E272FC"/>
    <w:rsid w:val="00E3198E"/>
    <w:rsid w:val="00E358A7"/>
    <w:rsid w:val="00E4638C"/>
    <w:rsid w:val="00E470B2"/>
    <w:rsid w:val="00E54C9E"/>
    <w:rsid w:val="00E60096"/>
    <w:rsid w:val="00E831C4"/>
    <w:rsid w:val="00EA55D2"/>
    <w:rsid w:val="00ED2F0A"/>
    <w:rsid w:val="00F34E36"/>
    <w:rsid w:val="00F35514"/>
    <w:rsid w:val="00F4166F"/>
    <w:rsid w:val="00F418EC"/>
    <w:rsid w:val="00F85488"/>
    <w:rsid w:val="00FB6062"/>
    <w:rsid w:val="00FC5AD2"/>
    <w:rsid w:val="00FD0C79"/>
    <w:rsid w:val="00FD1537"/>
    <w:rsid w:val="00FE29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3FB7E"/>
  <w15:docId w15:val="{C8C8F03E-896C-4782-9993-33C8F9FE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hNKJ1brL9kFH3MMRA705Nzmmqw==">AMUW2mWcA31Ile1U3K9R6EfmYsXxFsRIus5cCcsMrzZSvTtmaoIKWemPse19eQ3HQX3fMAnFTcXt1iQbtTQ+OS72BK5Q7/Kqgzbeur4G6YmDDb/Ou+PGYNHHF/+dVA8ODPMJnaGhldcP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8C57BA-FDE8-4834-9A16-D7BAF5401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7601</TotalTime>
  <Pages>13</Pages>
  <Words>5219</Words>
  <Characters>28709</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108</cp:revision>
  <cp:lastPrinted>2022-07-16T00:25:00Z</cp:lastPrinted>
  <dcterms:created xsi:type="dcterms:W3CDTF">2019-11-19T04:46:00Z</dcterms:created>
  <dcterms:modified xsi:type="dcterms:W3CDTF">2022-07-16T00:27:00Z</dcterms:modified>
</cp:coreProperties>
</file>