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EC0" w:rsidRPr="001042B6" w:rsidRDefault="00594EC0" w:rsidP="00594EC0">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rsidR="00594EC0" w:rsidRPr="001042B6" w:rsidRDefault="00594EC0" w:rsidP="00594EC0">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953189">
        <w:rPr>
          <w:rFonts w:ascii="Arial" w:hAnsi="Arial" w:cs="Arial"/>
          <w:b/>
          <w:sz w:val="24"/>
          <w:szCs w:val="24"/>
        </w:rPr>
        <w:t>VEINTISÉIS</w:t>
      </w:r>
      <w:r>
        <w:rPr>
          <w:rFonts w:ascii="Arial" w:hAnsi="Arial" w:cs="Arial"/>
          <w:b/>
          <w:sz w:val="24"/>
          <w:szCs w:val="24"/>
        </w:rPr>
        <w:t xml:space="preserve"> DE SEPTIEMBRE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953189">
        <w:rPr>
          <w:rFonts w:ascii="Arial" w:hAnsi="Arial" w:cs="Arial"/>
          <w:b/>
          <w:sz w:val="24"/>
          <w:szCs w:val="24"/>
        </w:rPr>
        <w:t>26</w:t>
      </w:r>
      <w:r>
        <w:rPr>
          <w:rFonts w:ascii="Arial" w:hAnsi="Arial" w:cs="Arial"/>
          <w:b/>
          <w:sz w:val="24"/>
          <w:szCs w:val="24"/>
        </w:rPr>
        <w:t>/09</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w:t>
      </w:r>
      <w:r w:rsidR="00953189">
        <w:rPr>
          <w:rFonts w:ascii="Arial" w:hAnsi="Arial" w:cs="Arial"/>
          <w:b/>
          <w:sz w:val="24"/>
          <w:szCs w:val="24"/>
        </w:rPr>
        <w:t xml:space="preserve">- </w:t>
      </w:r>
    </w:p>
    <w:p w:rsidR="00594EC0" w:rsidRPr="001042B6" w:rsidRDefault="00594EC0" w:rsidP="00594EC0">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0122/2018</w:t>
      </w:r>
      <w:r w:rsidRPr="001042B6">
        <w:rPr>
          <w:rFonts w:ascii="Arial" w:hAnsi="Arial" w:cs="Arial"/>
          <w:sz w:val="24"/>
          <w:szCs w:val="24"/>
        </w:rPr>
        <w:t xml:space="preserve">, promovido por </w:t>
      </w:r>
      <w:r w:rsidR="00EA21D9">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EA21D9">
        <w:rPr>
          <w:rFonts w:ascii="Arial" w:hAnsi="Arial" w:cs="Arial"/>
          <w:sz w:val="24"/>
          <w:szCs w:val="24"/>
        </w:rPr>
        <w:t>OP/DG/****/2018</w:t>
      </w:r>
      <w:r>
        <w:rPr>
          <w:rFonts w:ascii="Arial" w:hAnsi="Arial" w:cs="Arial"/>
          <w:sz w:val="24"/>
          <w:szCs w:val="24"/>
        </w:rPr>
        <w:t>, de fecha diecinueve de julio de dos mil dieciocho (19/07/2018), relativo al dictamen de pensión por jubilación, expedido a su favor por el Consejo Directivo de Pensiones del Estado de Oaxaca</w:t>
      </w:r>
      <w:r w:rsidRPr="00A461FD">
        <w:rPr>
          <w:rFonts w:ascii="Arial" w:hAnsi="Arial" w:cs="Arial"/>
          <w:sz w:val="24"/>
          <w:szCs w:val="24"/>
        </w:rPr>
        <w:t>; y,</w:t>
      </w:r>
      <w:r w:rsidRPr="001042B6">
        <w:rPr>
          <w:rFonts w:ascii="Arial" w:hAnsi="Arial" w:cs="Arial"/>
          <w:sz w:val="24"/>
          <w:szCs w:val="24"/>
        </w:rPr>
        <w:t xml:space="preserve"> - - - </w:t>
      </w:r>
      <w:r>
        <w:rPr>
          <w:rFonts w:ascii="Arial" w:hAnsi="Arial" w:cs="Arial"/>
          <w:sz w:val="24"/>
          <w:szCs w:val="24"/>
        </w:rPr>
        <w:t xml:space="preserve">- - - - - - - - - - - - - - - - </w:t>
      </w:r>
      <w:r w:rsidR="00067DE1">
        <w:rPr>
          <w:rFonts w:ascii="Arial" w:hAnsi="Arial" w:cs="Arial"/>
          <w:sz w:val="24"/>
          <w:szCs w:val="24"/>
        </w:rPr>
        <w:t xml:space="preserve">- </w:t>
      </w:r>
      <w:r w:rsidR="00EA21D9">
        <w:rPr>
          <w:rFonts w:ascii="Arial" w:hAnsi="Arial" w:cs="Arial"/>
          <w:sz w:val="24"/>
          <w:szCs w:val="24"/>
        </w:rPr>
        <w:t xml:space="preserve">- - - - - - - - - - </w:t>
      </w:r>
    </w:p>
    <w:p w:rsidR="00594EC0" w:rsidRPr="001042B6" w:rsidRDefault="00594EC0" w:rsidP="00594EC0">
      <w:pPr>
        <w:spacing w:line="360" w:lineRule="auto"/>
        <w:jc w:val="center"/>
        <w:rPr>
          <w:rFonts w:ascii="Arial" w:hAnsi="Arial" w:cs="Arial"/>
          <w:b/>
          <w:sz w:val="24"/>
          <w:szCs w:val="24"/>
        </w:rPr>
      </w:pPr>
      <w:r w:rsidRPr="001042B6">
        <w:rPr>
          <w:rFonts w:ascii="Arial" w:hAnsi="Arial" w:cs="Arial"/>
          <w:b/>
          <w:sz w:val="24"/>
          <w:szCs w:val="24"/>
        </w:rPr>
        <w:t>R E S U L T A N D O</w:t>
      </w:r>
    </w:p>
    <w:p w:rsidR="00594EC0" w:rsidRPr="001042B6" w:rsidRDefault="00594EC0" w:rsidP="00594EC0">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siete de diciembre de dos mil dieciocho (07/12/2018),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esa misma </w:t>
      </w:r>
      <w:r w:rsidRPr="001042B6">
        <w:rPr>
          <w:rFonts w:ascii="Arial" w:hAnsi="Arial" w:cs="Arial"/>
          <w:sz w:val="24"/>
          <w:szCs w:val="24"/>
        </w:rPr>
        <w:t>fecha</w:t>
      </w:r>
      <w:r>
        <w:rPr>
          <w:rFonts w:ascii="Arial" w:hAnsi="Arial" w:cs="Arial"/>
          <w:sz w:val="24"/>
          <w:szCs w:val="24"/>
        </w:rPr>
        <w:t xml:space="preserve"> (07/12/2018)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w:t>
      </w:r>
      <w:r w:rsidRPr="005974B8">
        <w:rPr>
          <w:rFonts w:ascii="Arial" w:hAnsi="Arial" w:cs="Arial"/>
          <w:sz w:val="24"/>
          <w:szCs w:val="24"/>
        </w:rPr>
        <w:t>a la autoridad demandada</w:t>
      </w:r>
      <w:r>
        <w:rPr>
          <w:rFonts w:ascii="Arial" w:hAnsi="Arial" w:cs="Arial"/>
          <w:sz w:val="24"/>
          <w:szCs w:val="24"/>
        </w:rPr>
        <w:t xml:space="preserve"> Director General de la Oficina de Pensiones del Estado</w:t>
      </w:r>
      <w:r w:rsidRPr="005974B8">
        <w:rPr>
          <w:rFonts w:ascii="Arial" w:hAnsi="Arial" w:cs="Arial"/>
          <w:sz w:val="24"/>
          <w:szCs w:val="24"/>
        </w:rPr>
        <w:t>. -</w:t>
      </w:r>
      <w:r w:rsidRPr="001042B6">
        <w:rPr>
          <w:rFonts w:ascii="Arial" w:hAnsi="Arial" w:cs="Arial"/>
          <w:sz w:val="24"/>
          <w:szCs w:val="24"/>
        </w:rPr>
        <w:t xml:space="preserve"> - - - - </w:t>
      </w:r>
      <w:r>
        <w:rPr>
          <w:rFonts w:ascii="Arial" w:hAnsi="Arial" w:cs="Arial"/>
          <w:sz w:val="24"/>
          <w:szCs w:val="24"/>
        </w:rPr>
        <w:t xml:space="preserve">- - - - - - - - - - - - - - - </w:t>
      </w:r>
      <w:r w:rsidR="008F4EA9">
        <w:rPr>
          <w:rFonts w:ascii="Arial" w:hAnsi="Arial" w:cs="Arial"/>
          <w:sz w:val="24"/>
          <w:szCs w:val="24"/>
        </w:rPr>
        <w:t>- -</w:t>
      </w:r>
    </w:p>
    <w:p w:rsidR="00594EC0" w:rsidRDefault="00594EC0" w:rsidP="00594EC0">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veinte de febrero de dos mil diecinueve (20/02/2019), </w:t>
      </w:r>
      <w:r w:rsidRPr="001042B6">
        <w:rPr>
          <w:rFonts w:ascii="Arial" w:hAnsi="Arial" w:cs="Arial"/>
          <w:sz w:val="24"/>
          <w:szCs w:val="24"/>
        </w:rPr>
        <w:t xml:space="preserve">se tuvo a la autoridad demandada </w:t>
      </w:r>
      <w:r>
        <w:rPr>
          <w:rFonts w:ascii="Arial" w:hAnsi="Arial" w:cs="Arial"/>
          <w:sz w:val="24"/>
          <w:szCs w:val="24"/>
        </w:rPr>
        <w:t>Director General de la Oficina de Pensiones del Estado de Oaxaca, contestando en tiempo la demanda, además, se señaló fecha y hora para el desahogo de la audiencia final.- - - - - - - - - - - - - - - - - - - - - - - - - - - - - - - - - - - - - - - - - - - -</w:t>
      </w:r>
      <w:r w:rsidR="00F228AA">
        <w:rPr>
          <w:rFonts w:ascii="Arial" w:hAnsi="Arial" w:cs="Arial"/>
          <w:sz w:val="24"/>
          <w:szCs w:val="24"/>
        </w:rPr>
        <w:t xml:space="preserve"> - - - - - - - - -</w:t>
      </w:r>
    </w:p>
    <w:p w:rsidR="00594EC0"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 xml:space="preserve">El </w:t>
      </w:r>
      <w:r>
        <w:rPr>
          <w:rFonts w:ascii="Arial" w:hAnsi="Arial" w:cs="Arial"/>
          <w:sz w:val="24"/>
          <w:szCs w:val="24"/>
        </w:rPr>
        <w:t>siete de mayo de dos mil diecinueve (07/05/2019</w:t>
      </w:r>
      <w:r w:rsidRPr="00071BA1">
        <w:rPr>
          <w:rFonts w:ascii="Arial" w:hAnsi="Arial" w:cs="Arial"/>
          <w:sz w:val="24"/>
          <w:szCs w:val="24"/>
        </w:rPr>
        <w:t>), se llevó a cabo la audiencia final,</w:t>
      </w:r>
      <w:r>
        <w:rPr>
          <w:rFonts w:ascii="Arial" w:hAnsi="Arial" w:cs="Arial"/>
          <w:b/>
          <w:sz w:val="24"/>
          <w:szCs w:val="24"/>
        </w:rPr>
        <w:t xml:space="preserve"> </w:t>
      </w:r>
      <w:r w:rsidRPr="009F78BA">
        <w:rPr>
          <w:rFonts w:ascii="Arial" w:hAnsi="Arial" w:cs="Arial"/>
          <w:sz w:val="24"/>
          <w:szCs w:val="24"/>
        </w:rPr>
        <w:t xml:space="preserve">empero, ésta se dejó sin efectos mediante proveído de cuatro de junio de dos mil diecinueve (04/06/2019), </w:t>
      </w:r>
      <w:r>
        <w:rPr>
          <w:rFonts w:ascii="Arial" w:hAnsi="Arial" w:cs="Arial"/>
          <w:sz w:val="24"/>
          <w:szCs w:val="24"/>
        </w:rPr>
        <w:t xml:space="preserve">al </w:t>
      </w:r>
      <w:r w:rsidRPr="009F78BA">
        <w:rPr>
          <w:rFonts w:ascii="Arial" w:hAnsi="Arial" w:cs="Arial"/>
          <w:sz w:val="24"/>
          <w:szCs w:val="24"/>
        </w:rPr>
        <w:t>adverti</w:t>
      </w:r>
      <w:r>
        <w:rPr>
          <w:rFonts w:ascii="Arial" w:hAnsi="Arial" w:cs="Arial"/>
          <w:sz w:val="24"/>
          <w:szCs w:val="24"/>
        </w:rPr>
        <w:t xml:space="preserve">rse </w:t>
      </w:r>
      <w:r w:rsidRPr="009F78BA">
        <w:rPr>
          <w:rFonts w:ascii="Arial" w:hAnsi="Arial" w:cs="Arial"/>
          <w:sz w:val="24"/>
          <w:szCs w:val="24"/>
        </w:rPr>
        <w:t>que no fue llamado a Juicio el Consejo Directivo de Pensiones, autoridad que emitió el dictamen de pensión por jubilación que impugna la actora, y a quien con fecha veintiséis de junio de dos mil diecinueve (26/06/2019) se le tuvo contestando en tiempo la demanda por conducto del Director General de la Oficina de Pensiones, por lo que el dos de julio de dos mil diecinueve</w:t>
      </w:r>
      <w:r>
        <w:rPr>
          <w:rFonts w:ascii="Arial" w:hAnsi="Arial" w:cs="Arial"/>
          <w:sz w:val="24"/>
          <w:szCs w:val="24"/>
        </w:rPr>
        <w:t xml:space="preserve"> (02/07/2019)</w:t>
      </w:r>
      <w:r w:rsidRPr="009F78BA">
        <w:rPr>
          <w:rFonts w:ascii="Arial" w:hAnsi="Arial" w:cs="Arial"/>
          <w:sz w:val="24"/>
          <w:szCs w:val="24"/>
        </w:rPr>
        <w:t xml:space="preserve"> se celebró la audiencia final,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de la actora y Director General de la Oficina de Pensiones, no así del Consejo Directivo de Pensiones</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w:t>
      </w:r>
    </w:p>
    <w:p w:rsidR="00EA21D9" w:rsidRPr="001042B6" w:rsidRDefault="00EA21D9" w:rsidP="00594EC0">
      <w:pPr>
        <w:tabs>
          <w:tab w:val="center" w:pos="4574"/>
        </w:tabs>
        <w:spacing w:line="360" w:lineRule="auto"/>
        <w:ind w:firstLine="708"/>
        <w:jc w:val="both"/>
        <w:rPr>
          <w:rFonts w:ascii="Arial" w:hAnsi="Arial" w:cs="Arial"/>
          <w:sz w:val="24"/>
          <w:szCs w:val="24"/>
        </w:rPr>
      </w:pPr>
    </w:p>
    <w:p w:rsidR="00594EC0" w:rsidRPr="001042B6" w:rsidRDefault="00594EC0" w:rsidP="00594EC0">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lastRenderedPageBreak/>
        <w:t>C O N S I D E R A N D O</w:t>
      </w:r>
    </w:p>
    <w:p w:rsidR="00594EC0" w:rsidRPr="001042B6"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BB4F0B">
        <w:rPr>
          <w:rFonts w:ascii="Arial" w:hAnsi="Arial" w:cs="Arial"/>
          <w:sz w:val="24"/>
          <w:szCs w:val="24"/>
        </w:rPr>
        <w:t xml:space="preserve">- - - - </w:t>
      </w:r>
    </w:p>
    <w:p w:rsidR="00594EC0" w:rsidRPr="001042B6"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594EC0" w:rsidRDefault="00594EC0" w:rsidP="00594EC0">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EA21D9">
        <w:rPr>
          <w:rFonts w:ascii="Arial" w:hAnsi="Arial" w:cs="Arial"/>
          <w:sz w:val="24"/>
          <w:szCs w:val="24"/>
        </w:rPr>
        <w:t>*****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sidRPr="00EA21D9">
        <w:rPr>
          <w:rFonts w:ascii="Arial" w:hAnsi="Arial" w:cs="Arial"/>
          <w:b/>
          <w:bCs/>
          <w:sz w:val="24"/>
          <w:szCs w:val="24"/>
        </w:rPr>
        <w:t>-</w:t>
      </w:r>
      <w:r w:rsidRPr="001042B6">
        <w:rPr>
          <w:rFonts w:ascii="Arial" w:hAnsi="Arial" w:cs="Arial"/>
          <w:sz w:val="24"/>
          <w:szCs w:val="24"/>
        </w:rPr>
        <w:t xml:space="preserve"> </w:t>
      </w:r>
      <w:r>
        <w:rPr>
          <w:rFonts w:ascii="Arial" w:hAnsi="Arial" w:cs="Arial"/>
          <w:b/>
          <w:sz w:val="24"/>
          <w:szCs w:val="24"/>
        </w:rPr>
        <w:t xml:space="preserve">Copia certificada de </w:t>
      </w:r>
      <w:r w:rsidRPr="005D2644">
        <w:rPr>
          <w:rFonts w:ascii="Arial" w:hAnsi="Arial" w:cs="Arial"/>
          <w:sz w:val="24"/>
          <w:szCs w:val="24"/>
        </w:rPr>
        <w:t xml:space="preserve">oficio </w:t>
      </w:r>
      <w:r w:rsidR="00EA21D9">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expedido con fecha</w:t>
      </w:r>
      <w:r>
        <w:rPr>
          <w:rFonts w:ascii="Arial" w:hAnsi="Arial" w:cs="Arial"/>
          <w:sz w:val="24"/>
          <w:szCs w:val="24"/>
        </w:rPr>
        <w:t xml:space="preserve"> diecinueve de julio de dos mil dieciocho (19/07/2018), que contiene el dictamen de pensión por jubilación otorgado a favor de la actora; </w:t>
      </w:r>
      <w:r w:rsidRPr="004376D0">
        <w:rPr>
          <w:rFonts w:ascii="Arial" w:hAnsi="Arial" w:cs="Arial"/>
          <w:b/>
          <w:sz w:val="24"/>
          <w:szCs w:val="24"/>
        </w:rPr>
        <w:t>2</w:t>
      </w:r>
      <w:r w:rsidRPr="001C5803">
        <w:rPr>
          <w:rFonts w:ascii="Arial" w:hAnsi="Arial" w:cs="Arial"/>
          <w:b/>
          <w:sz w:val="24"/>
          <w:szCs w:val="24"/>
        </w:rPr>
        <w:t>.-</w:t>
      </w:r>
      <w:r>
        <w:rPr>
          <w:rFonts w:ascii="Arial" w:hAnsi="Arial" w:cs="Arial"/>
          <w:sz w:val="24"/>
          <w:szCs w:val="24"/>
        </w:rPr>
        <w:t xml:space="preserve"> Copia simple de dos nombramientos expedidos a favor de la actora, con fechas diez de noviembre de mil novecientos noventa y tres (10/11/1993) y dieciséis de marzo de dos mil dieciocho (10/03/2018); </w:t>
      </w:r>
      <w:r>
        <w:rPr>
          <w:rFonts w:ascii="Arial" w:hAnsi="Arial" w:cs="Arial"/>
          <w:b/>
          <w:sz w:val="24"/>
          <w:szCs w:val="24"/>
        </w:rPr>
        <w:t xml:space="preserve">3.- </w:t>
      </w:r>
      <w:r>
        <w:rPr>
          <w:rFonts w:ascii="Arial" w:hAnsi="Arial" w:cs="Arial"/>
          <w:sz w:val="24"/>
          <w:szCs w:val="24"/>
        </w:rPr>
        <w:t xml:space="preserve">Copia simple de constancia de contribución al fondo de pensiones número </w:t>
      </w:r>
      <w:r w:rsidR="00EA21D9">
        <w:rPr>
          <w:rFonts w:ascii="Arial" w:hAnsi="Arial" w:cs="Arial"/>
          <w:sz w:val="24"/>
          <w:szCs w:val="24"/>
        </w:rPr>
        <w:t>C***/18</w:t>
      </w:r>
      <w:r>
        <w:rPr>
          <w:rFonts w:ascii="Arial" w:hAnsi="Arial" w:cs="Arial"/>
          <w:sz w:val="24"/>
          <w:szCs w:val="24"/>
        </w:rPr>
        <w:t>, expedida con fecha veintiuno de febrero de dos mil dieciocho (21/02/2018).</w:t>
      </w:r>
    </w:p>
    <w:p w:rsidR="00594EC0" w:rsidRDefault="00594EC0" w:rsidP="00594EC0">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las autoridades demandadas Director General de la Oficina de Pensiones y Consejo Directivo de la Oficina de Pensiones del Estado de Oaxaca, se les admitieron las </w:t>
      </w:r>
      <w:r w:rsidRPr="0057757D">
        <w:rPr>
          <w:rFonts w:ascii="Arial" w:hAnsi="Arial" w:cs="Arial"/>
          <w:b/>
          <w:sz w:val="24"/>
          <w:szCs w:val="24"/>
        </w:rPr>
        <w:t>DOCUMENTALES</w:t>
      </w:r>
      <w:r>
        <w:rPr>
          <w:rFonts w:ascii="Arial" w:hAnsi="Arial" w:cs="Arial"/>
          <w:sz w:val="24"/>
          <w:szCs w:val="24"/>
        </w:rPr>
        <w:t xml:space="preserve"> consistentes en: </w:t>
      </w:r>
      <w:r>
        <w:rPr>
          <w:rFonts w:ascii="Arial" w:hAnsi="Arial" w:cs="Arial"/>
          <w:b/>
          <w:sz w:val="24"/>
          <w:szCs w:val="24"/>
        </w:rPr>
        <w:t xml:space="preserve">1.- </w:t>
      </w:r>
      <w:r w:rsidRPr="00660CB3">
        <w:rPr>
          <w:rFonts w:ascii="Arial" w:hAnsi="Arial" w:cs="Arial"/>
          <w:sz w:val="24"/>
          <w:szCs w:val="24"/>
        </w:rPr>
        <w:t xml:space="preserve">Copia certificada de nombramiento expedido a favor del Contador Público JESÚS </w:t>
      </w:r>
      <w:r>
        <w:rPr>
          <w:rFonts w:ascii="Arial" w:hAnsi="Arial" w:cs="Arial"/>
          <w:sz w:val="24"/>
          <w:szCs w:val="24"/>
        </w:rPr>
        <w:t xml:space="preserve">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Copia certificada de Poder General otorgado por el Consejo Directivo de la Oficina de Pensiones del Estado de Oaxaca, a favor del C.P.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sidRPr="0024278D">
        <w:rPr>
          <w:rFonts w:ascii="Arial" w:hAnsi="Arial" w:cs="Arial"/>
          <w:sz w:val="24"/>
          <w:szCs w:val="24"/>
        </w:rPr>
        <w:t>C</w:t>
      </w:r>
      <w:r>
        <w:rPr>
          <w:rFonts w:ascii="Arial" w:hAnsi="Arial" w:cs="Arial"/>
          <w:sz w:val="24"/>
          <w:szCs w:val="24"/>
        </w:rPr>
        <w:t xml:space="preserve">opias certificadas de oficio </w:t>
      </w:r>
      <w:r w:rsidR="00EA21D9">
        <w:rPr>
          <w:rFonts w:ascii="Arial" w:hAnsi="Arial" w:cs="Arial"/>
          <w:sz w:val="24"/>
          <w:szCs w:val="24"/>
        </w:rPr>
        <w:t>OP/DG/****/2018</w:t>
      </w:r>
      <w:r>
        <w:rPr>
          <w:rFonts w:ascii="Arial" w:hAnsi="Arial" w:cs="Arial"/>
          <w:sz w:val="24"/>
          <w:szCs w:val="24"/>
        </w:rPr>
        <w:t>, expedido con fecha diecinueve de julio de dos mil dieciocho (19/07/2018) y su respectiva notificación; además de las constancias que integran el expediente administrativo de la actora.</w:t>
      </w:r>
    </w:p>
    <w:p w:rsidR="00594EC0" w:rsidRDefault="00594EC0" w:rsidP="00594EC0">
      <w:pPr>
        <w:spacing w:line="360" w:lineRule="auto"/>
        <w:ind w:firstLine="708"/>
        <w:jc w:val="both"/>
        <w:rPr>
          <w:rFonts w:ascii="Arial" w:hAnsi="Arial" w:cs="Arial"/>
          <w:sz w:val="24"/>
          <w:szCs w:val="24"/>
        </w:rPr>
      </w:pPr>
      <w:r>
        <w:rPr>
          <w:rFonts w:ascii="Arial" w:hAnsi="Arial" w:cs="Arial"/>
          <w:sz w:val="24"/>
          <w:szCs w:val="24"/>
        </w:rPr>
        <w:t xml:space="preserve"> </w:t>
      </w:r>
      <w:r w:rsidRPr="00844788">
        <w:rPr>
          <w:rFonts w:ascii="Arial" w:hAnsi="Arial" w:cs="Arial"/>
          <w:sz w:val="24"/>
          <w:szCs w:val="24"/>
        </w:rPr>
        <w:t xml:space="preserve">Todos los documentos </w:t>
      </w:r>
      <w:r>
        <w:rPr>
          <w:rFonts w:ascii="Arial" w:hAnsi="Arial" w:cs="Arial"/>
          <w:sz w:val="24"/>
          <w:szCs w:val="24"/>
        </w:rPr>
        <w:t xml:space="preserve">certificados que se admitieron </w:t>
      </w:r>
      <w:r w:rsidRPr="00844788">
        <w:rPr>
          <w:rFonts w:ascii="Arial" w:hAnsi="Arial" w:cs="Arial"/>
          <w:sz w:val="24"/>
          <w:szCs w:val="24"/>
        </w:rPr>
        <w:t>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porque fueron cotejados por personas con plenas facultades para ello, como es el Notario Público Número Veinticinco en el Estado, y el Jefe del Departamento Jurídico de la Oficina de Pensiones, lo anterior de conformidad con lo dispuesto en los artículos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y por lo que respecta a las copias simples remitidas por la actora, éstas fueron perfeccionadas, pues en las copias certificadas remitidas por la demandada aparecen esos mismos documentos, de ahí que su existencia y la veracidad del contenido haya quedado de manifiesto.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594EC0" w:rsidRPr="001042B6"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w:t>
      </w:r>
      <w:r w:rsidRPr="001042B6">
        <w:rPr>
          <w:rFonts w:ascii="Arial" w:hAnsi="Arial" w:cs="Arial"/>
          <w:sz w:val="24"/>
          <w:szCs w:val="24"/>
        </w:rPr>
        <w:t>de conformidad a lo que establece el citado artículo 203 fracción I de la Ley de Procedimiento y Justicia Administrativa para el Estado de Oaxaca.</w:t>
      </w:r>
    </w:p>
    <w:p w:rsidR="00594EC0" w:rsidRPr="001042B6" w:rsidRDefault="00594EC0" w:rsidP="00594EC0">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594EC0" w:rsidRPr="001042B6" w:rsidRDefault="00594EC0" w:rsidP="00594EC0">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controvertido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w:t>
      </w:r>
      <w:r w:rsidR="002F0DE0">
        <w:rPr>
          <w:rFonts w:ascii="Arial" w:hAnsi="Arial" w:cs="Arial"/>
          <w:sz w:val="24"/>
          <w:szCs w:val="24"/>
        </w:rPr>
        <w:t>- -</w:t>
      </w:r>
    </w:p>
    <w:p w:rsidR="00594EC0" w:rsidRPr="001042B6" w:rsidRDefault="00594EC0" w:rsidP="00594EC0">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36559B">
        <w:rPr>
          <w:rFonts w:ascii="Arial" w:hAnsi="Arial" w:cs="Arial"/>
          <w:sz w:val="24"/>
        </w:rPr>
        <w:t>- - - - - - - - - - - - - - - -</w:t>
      </w:r>
    </w:p>
    <w:p w:rsidR="00594EC0" w:rsidRPr="001042B6"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EA21D9">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no obstante que la autoridad </w:t>
      </w:r>
      <w:r w:rsidRPr="001042B6">
        <w:rPr>
          <w:rFonts w:ascii="Arial" w:hAnsi="Arial" w:cs="Arial"/>
          <w:sz w:val="24"/>
          <w:szCs w:val="24"/>
        </w:rPr>
        <w:t xml:space="preserve">demandada </w:t>
      </w:r>
      <w:r>
        <w:rPr>
          <w:rFonts w:ascii="Arial" w:hAnsi="Arial" w:cs="Arial"/>
          <w:sz w:val="24"/>
          <w:szCs w:val="24"/>
        </w:rPr>
        <w:t xml:space="preserve">dio respuesta a su petición de veintiuno de marzo de dos mil dieciocho (21/03/2018), lo cierto es que negó la inclusión en su pensión de las prestaciones que se otorgan a trabajadores de base y la eliminación del 9% de la aportación para el fondo de pensiones,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594EC0" w:rsidRPr="001042B6" w:rsidRDefault="00594EC0" w:rsidP="00594EC0">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w:t>
      </w:r>
      <w:r w:rsidRPr="001042B6">
        <w:rPr>
          <w:rFonts w:ascii="Arial" w:hAnsi="Arial" w:cs="Arial"/>
          <w:sz w:val="24"/>
        </w:rPr>
        <w:lastRenderedPageBreak/>
        <w:t xml:space="preserve">Justicia Administrativa del Estado de Oaxaca, toda vez que ésta no fue impugnada por la parte actora, sumado el hecho de que </w:t>
      </w:r>
      <w:r>
        <w:rPr>
          <w:rFonts w:ascii="Arial" w:hAnsi="Arial" w:cs="Arial"/>
          <w:sz w:val="24"/>
        </w:rPr>
        <w:t xml:space="preserve">el Director de la Oficina de Pensiones, remitió copia certificada de su nombramiento y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w:t>
      </w:r>
      <w:r>
        <w:rPr>
          <w:rFonts w:ascii="Arial" w:hAnsi="Arial" w:cs="Arial"/>
          <w:sz w:val="24"/>
        </w:rPr>
        <w:t>,</w:t>
      </w:r>
      <w:r w:rsidRPr="001042B6">
        <w:rPr>
          <w:rFonts w:ascii="Arial" w:hAnsi="Arial" w:cs="Arial"/>
          <w:sz w:val="24"/>
        </w:rPr>
        <w:t xml:space="preserve"> como se expuso en el considerando correspondiente, por lo que sin duda colmó los requisitos dispuestos en el numeral 151 referido y por ende, acreditando su personalidad.- - - - - - - - - - </w:t>
      </w:r>
      <w:r>
        <w:rPr>
          <w:rFonts w:ascii="Arial" w:hAnsi="Arial" w:cs="Arial"/>
          <w:sz w:val="24"/>
        </w:rPr>
        <w:t xml:space="preserve">- - - - - - - - - - - - - - - - - - - - - - - - - - - - - - - - - - - </w:t>
      </w:r>
      <w:r w:rsidR="00E76510">
        <w:rPr>
          <w:rFonts w:ascii="Arial" w:hAnsi="Arial" w:cs="Arial"/>
          <w:sz w:val="24"/>
        </w:rPr>
        <w:t>- -</w:t>
      </w:r>
    </w:p>
    <w:p w:rsidR="00594EC0" w:rsidRPr="001042B6" w:rsidRDefault="00594EC0" w:rsidP="00594EC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594EC0" w:rsidRDefault="00594EC0" w:rsidP="00594EC0">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 xml:space="preserve">consideran que en el presente asunto se actualizan las causales de improcedencia del Juicio previstas en las fracciones VI, </w:t>
      </w:r>
      <w:r w:rsidRPr="00BA3D5E">
        <w:rPr>
          <w:rFonts w:cs="Arial"/>
          <w:bCs/>
          <w:sz w:val="24"/>
        </w:rPr>
        <w:t>IX y X del artículo 161 de la Ley de Justicia Administrativa para el Estado de Oaxaca, y las de sobreseimiento del Juicio previstas en las fracciones II, V,  y VI del artículo 162 de la referida Ley.</w:t>
      </w:r>
    </w:p>
    <w:p w:rsidR="00594EC0" w:rsidRDefault="00594EC0" w:rsidP="00594EC0">
      <w:pPr>
        <w:pStyle w:val="corte4fondoCarCarCar"/>
        <w:spacing w:before="240"/>
        <w:ind w:firstLine="708"/>
        <w:rPr>
          <w:rFonts w:cs="Arial"/>
          <w:bCs/>
          <w:sz w:val="24"/>
        </w:rPr>
      </w:pPr>
      <w:r>
        <w:rPr>
          <w:rFonts w:cs="Arial"/>
          <w:bCs/>
          <w:sz w:val="24"/>
        </w:rPr>
        <w:t xml:space="preserve">Respecto a la causal de improcedencia prevista en la fracción VI del artículo 161 de la Ley Procedimiento y Justicia Administrativa para el Estado de Oaxaca, referente a los actos consentidos, ésta Juzgadora considera que </w:t>
      </w:r>
      <w:r w:rsidRPr="008A28F8">
        <w:rPr>
          <w:rFonts w:cs="Arial"/>
          <w:b/>
          <w:bCs/>
          <w:sz w:val="24"/>
        </w:rPr>
        <w:t>no se actualiza</w:t>
      </w:r>
      <w:r>
        <w:rPr>
          <w:rFonts w:cs="Arial"/>
          <w:bCs/>
          <w:sz w:val="24"/>
        </w:rPr>
        <w:t>, pues la actora promovió el presente juicio contra el dictamen de pensión que le fue otorgado el día diecinueve de julio de dos mil dieciocho (19/07/2018), y al haber interpuesto el presente Juicio en tiempo, como se indicó en el acuerdo dictado con fecha siete de diciembre de dos mil dieciocho (07/12/2018) fojas 12 y 13 de autos, luego entonces, no puede considerarse que consistió dicho acto, pues hizo claras manifestaciones en su contra, de ahí que no se actualice dicha causal.</w:t>
      </w:r>
    </w:p>
    <w:p w:rsidR="00594EC0" w:rsidRDefault="00594EC0" w:rsidP="00594EC0">
      <w:pPr>
        <w:pStyle w:val="corte4fondoCarCarCar"/>
        <w:spacing w:before="240"/>
        <w:ind w:firstLine="708"/>
        <w:rPr>
          <w:rFonts w:cs="Arial"/>
          <w:bCs/>
          <w:sz w:val="24"/>
        </w:rPr>
      </w:pPr>
      <w:r>
        <w:rPr>
          <w:rFonts w:cs="Arial"/>
          <w:bCs/>
          <w:sz w:val="24"/>
        </w:rPr>
        <w:t xml:space="preserve">La causal prevista en la fracción IX del artículo 161 de la Ley de la Materia, y la de sobreseimiento prevista en </w:t>
      </w:r>
      <w:proofErr w:type="spellStart"/>
      <w:r>
        <w:rPr>
          <w:rFonts w:cs="Arial"/>
          <w:bCs/>
          <w:sz w:val="24"/>
        </w:rPr>
        <w:t>al</w:t>
      </w:r>
      <w:proofErr w:type="spellEnd"/>
      <w:r>
        <w:rPr>
          <w:rFonts w:cs="Arial"/>
          <w:bCs/>
          <w:sz w:val="24"/>
        </w:rPr>
        <w:t xml:space="preserve"> fracción V del artículo 162 de la ley que rige a este Tribunal, que se refieren a la improcedencia del juicio cuando de autos apareciere claramente que no existe el acto impugnado, la cual sin duda en el presente asunto </w:t>
      </w:r>
      <w:r w:rsidRPr="0051061E">
        <w:rPr>
          <w:rFonts w:cs="Arial"/>
          <w:b/>
          <w:bCs/>
          <w:sz w:val="24"/>
        </w:rPr>
        <w:t>no se actualiza</w:t>
      </w:r>
      <w:r>
        <w:rPr>
          <w:rFonts w:cs="Arial"/>
          <w:bCs/>
          <w:sz w:val="24"/>
        </w:rPr>
        <w:t xml:space="preserve">, pues el acto impugnado </w:t>
      </w:r>
      <w:r>
        <w:rPr>
          <w:rFonts w:cs="Arial"/>
          <w:bCs/>
          <w:sz w:val="24"/>
        </w:rPr>
        <w:lastRenderedPageBreak/>
        <w:t xml:space="preserve">consta a foja 7 de autos, más aun, que la autoridad demandada sostuvo su emisión al momento de contestar la demanda, de ahí lo infundado de sus argumentos. </w:t>
      </w:r>
    </w:p>
    <w:p w:rsidR="00594EC0" w:rsidRDefault="00594EC0" w:rsidP="00594EC0">
      <w:pPr>
        <w:pStyle w:val="corte4fondoCarCarCar"/>
        <w:spacing w:before="240"/>
        <w:ind w:firstLine="708"/>
        <w:rPr>
          <w:rFonts w:cs="Arial"/>
          <w:bCs/>
          <w:sz w:val="24"/>
        </w:rPr>
      </w:pPr>
      <w:r>
        <w:rPr>
          <w:rFonts w:cs="Arial"/>
          <w:bCs/>
          <w:sz w:val="24"/>
        </w:rPr>
        <w:t xml:space="preserve">Respecto a la causal de improcedencia y sobreseimiento, referente a que por disposición legal exista impedimento para emitir resolución en cuanto al fondo del asunto, previstas en la fracción X del artículo 161 y la fracción VI del artículo 162, ambos de la Ley de Procedimiento y Justicia Administrativa para el Estado de Oaxaca, invocada por las demandadas, </w:t>
      </w:r>
      <w:r w:rsidRPr="00462A70">
        <w:rPr>
          <w:rFonts w:cs="Arial"/>
          <w:b/>
          <w:bCs/>
          <w:sz w:val="24"/>
        </w:rPr>
        <w:t>no se actualiza</w:t>
      </w:r>
      <w:r>
        <w:rPr>
          <w:rFonts w:cs="Arial"/>
          <w:bCs/>
          <w:sz w:val="24"/>
        </w:rPr>
        <w:t xml:space="preserve">, pues la autoridad demandada no expuso en que normatividad se basa tal argumento, y esta autoridad no advierte la existencia de dicho impedimento para el estudio de fondo de este asunto, de ahí que no se actualice la causal invocada. </w:t>
      </w:r>
    </w:p>
    <w:p w:rsidR="00594EC0" w:rsidRDefault="00594EC0" w:rsidP="00594EC0">
      <w:pPr>
        <w:pStyle w:val="corte4fondoCarCarCar"/>
        <w:spacing w:before="240"/>
        <w:ind w:firstLine="708"/>
        <w:rPr>
          <w:rFonts w:cs="Arial"/>
          <w:bCs/>
          <w:sz w:val="24"/>
        </w:rPr>
      </w:pPr>
      <w:r>
        <w:rPr>
          <w:rFonts w:cs="Arial"/>
          <w:bCs/>
          <w:sz w:val="24"/>
        </w:rPr>
        <w:t xml:space="preserve">Y respecto a la causal de sobreseimiento prevista en la fracción II del artículo 162 de la Ley de la Materia, invocada por las autoridades demandadas, </w:t>
      </w:r>
      <w:r w:rsidRPr="0023201F">
        <w:rPr>
          <w:rFonts w:cs="Arial"/>
          <w:b/>
          <w:bCs/>
          <w:sz w:val="24"/>
        </w:rPr>
        <w:t>tampoco se actualiza</w:t>
      </w:r>
      <w:r>
        <w:rPr>
          <w:rFonts w:cs="Arial"/>
          <w:bCs/>
          <w:sz w:val="24"/>
        </w:rPr>
        <w:t>, pues en este asunto no se ha determinado actualizada ninguna causal de improcedencia del juicio de las previstas en el artículo 161 de la Ley de Procedimiento y justicia Administrativa para el Estado de Oaxaca.</w:t>
      </w:r>
    </w:p>
    <w:p w:rsidR="00594EC0" w:rsidRDefault="00594EC0" w:rsidP="00594EC0">
      <w:pPr>
        <w:pStyle w:val="corte4fondoCarCarCar"/>
        <w:spacing w:before="240"/>
        <w:ind w:firstLine="708"/>
        <w:rPr>
          <w:rFonts w:cs="Arial"/>
          <w:bCs/>
          <w:sz w:val="24"/>
        </w:rPr>
      </w:pPr>
      <w:r>
        <w:rPr>
          <w:rFonts w:cs="Arial"/>
          <w:bCs/>
          <w:sz w:val="24"/>
        </w:rPr>
        <w:t xml:space="preserve">La falta de acción y derecho de la actora, y la de SINE ACTIONE AGIS, excepciones planteadas por las demandadas, basadas en que no le asiste derecho a solicitar la nivelación de la pensión que le fue otorgada con las mismas prestaciones que se otorgan a los trabajadores de base, </w:t>
      </w:r>
      <w:r w:rsidRPr="00C22AD2">
        <w:rPr>
          <w:rFonts w:cs="Arial"/>
          <w:b/>
          <w:bCs/>
          <w:sz w:val="24"/>
        </w:rPr>
        <w:t>no se actualiza</w:t>
      </w:r>
      <w:r>
        <w:rPr>
          <w:rFonts w:cs="Arial"/>
          <w:bCs/>
          <w:sz w:val="24"/>
        </w:rPr>
        <w:t>, pues en el considerando que antecede, se determinó la acreditación del interés jurídico y legítimo del actor para promover el presente asunto y del estudio referente a la obtención de las prestaciones que reclama la actora nos encargaremos en el considerando SEXTO de esta resolución.</w:t>
      </w:r>
    </w:p>
    <w:p w:rsidR="00594EC0" w:rsidRDefault="00594EC0" w:rsidP="00594EC0">
      <w:pPr>
        <w:pStyle w:val="corte4fondoCarCarCar"/>
        <w:spacing w:before="240"/>
        <w:ind w:firstLine="708"/>
        <w:rPr>
          <w:rFonts w:cs="Arial"/>
          <w:bCs/>
          <w:sz w:val="24"/>
        </w:rPr>
      </w:pPr>
      <w:r>
        <w:rPr>
          <w:rFonts w:cs="Arial"/>
          <w:bCs/>
          <w:sz w:val="24"/>
        </w:rPr>
        <w:t xml:space="preserve">Y respecto a la excepción de falsedad de los hechos en que el actor funda su pretensión, referida por las demandadas, debe decirse que </w:t>
      </w:r>
      <w:r w:rsidRPr="008E456A">
        <w:rPr>
          <w:rFonts w:cs="Arial"/>
          <w:b/>
          <w:bCs/>
          <w:sz w:val="24"/>
        </w:rPr>
        <w:t>tampoco se actualiza</w:t>
      </w:r>
      <w:r>
        <w:rPr>
          <w:rFonts w:cs="Arial"/>
          <w:bCs/>
          <w:sz w:val="24"/>
        </w:rPr>
        <w:t xml:space="preserve">, pues de las pruebas aportadas al Juicio por la misma </w:t>
      </w:r>
      <w:r w:rsidRPr="004F73F3">
        <w:rPr>
          <w:rFonts w:cs="Arial"/>
          <w:bCs/>
          <w:sz w:val="24"/>
        </w:rPr>
        <w:t>autoridad demandada se advierten justificados los hechos planteados por el actor, como se verá en el estudio de fondo de este asunto.</w:t>
      </w:r>
    </w:p>
    <w:p w:rsidR="00594EC0" w:rsidRPr="001042B6" w:rsidRDefault="00594EC0" w:rsidP="00594EC0">
      <w:pPr>
        <w:pStyle w:val="corte4fondoCarCarCar"/>
        <w:spacing w:before="240"/>
        <w:ind w:firstLine="708"/>
        <w:rPr>
          <w:rFonts w:cs="Arial"/>
          <w:bCs/>
          <w:sz w:val="24"/>
        </w:rPr>
      </w:pPr>
      <w:r>
        <w:rPr>
          <w:rFonts w:cs="Arial"/>
          <w:bCs/>
          <w:sz w:val="24"/>
        </w:rPr>
        <w:t xml:space="preserve"> Por lo que al no advertirse alguna otra causa que impida entrar al estudio de fondo del presente asunto, NO SE SOBRESEE EL PRESENTE JUICIO DE NULIDAD</w:t>
      </w:r>
      <w:r w:rsidRPr="001042B6">
        <w:rPr>
          <w:rFonts w:cs="Arial"/>
          <w:bCs/>
          <w:sz w:val="24"/>
        </w:rPr>
        <w:t xml:space="preserve">.- - - </w:t>
      </w:r>
      <w:r>
        <w:rPr>
          <w:rFonts w:cs="Arial"/>
          <w:bCs/>
          <w:sz w:val="24"/>
        </w:rPr>
        <w:t xml:space="preserve">- - - - - - - - - - - - - - - - - - - - - - - - - - - - - - - - - - - - </w:t>
      </w:r>
      <w:r w:rsidR="00BC5D03">
        <w:rPr>
          <w:rFonts w:cs="Arial"/>
          <w:bCs/>
          <w:sz w:val="24"/>
        </w:rPr>
        <w:t xml:space="preserve">- </w:t>
      </w:r>
    </w:p>
    <w:p w:rsidR="00594EC0"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En el presente asunto la actora centra la Litis en dos premisas: </w:t>
      </w:r>
      <w:r w:rsidRPr="00A9217E">
        <w:rPr>
          <w:rFonts w:ascii="Arial" w:hAnsi="Arial" w:cs="Arial"/>
          <w:b/>
          <w:sz w:val="24"/>
          <w:szCs w:val="24"/>
        </w:rPr>
        <w:t>la primera</w:t>
      </w:r>
      <w:r>
        <w:rPr>
          <w:rFonts w:ascii="Arial" w:hAnsi="Arial" w:cs="Arial"/>
          <w:sz w:val="24"/>
          <w:szCs w:val="24"/>
        </w:rPr>
        <w:t>, consistente en obtener las mismas prestaciones que un trabajador de base, consistentes en previsión social, despensa, vida cara, quinquenios, aguinaldo, estimulo del día de jubilado, día de las madres y canasta navideña</w:t>
      </w:r>
      <w:r w:rsidRPr="00A9217E">
        <w:rPr>
          <w:rFonts w:ascii="Arial" w:hAnsi="Arial" w:cs="Arial"/>
          <w:b/>
          <w:sz w:val="24"/>
          <w:szCs w:val="24"/>
        </w:rPr>
        <w:t xml:space="preserve">; y la </w:t>
      </w:r>
      <w:r>
        <w:rPr>
          <w:rFonts w:ascii="Arial" w:hAnsi="Arial" w:cs="Arial"/>
          <w:b/>
          <w:sz w:val="24"/>
          <w:szCs w:val="24"/>
        </w:rPr>
        <w:t>segunda</w:t>
      </w:r>
      <w:r>
        <w:rPr>
          <w:rFonts w:ascii="Arial" w:hAnsi="Arial" w:cs="Arial"/>
          <w:sz w:val="24"/>
          <w:szCs w:val="24"/>
        </w:rPr>
        <w:t>, sobre la ilegalidad del descuento del 9% de su pensión, por concepto de cuota al fondo de pensiones.</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se estudiará lo procedente sobre </w:t>
      </w:r>
      <w:r w:rsidRPr="003B0F52">
        <w:rPr>
          <w:rFonts w:ascii="Arial" w:hAnsi="Arial" w:cs="Arial"/>
          <w:sz w:val="24"/>
          <w:szCs w:val="24"/>
        </w:rPr>
        <w:t xml:space="preserve">el pago de las prestaciones solicitadas por </w:t>
      </w:r>
      <w:r>
        <w:rPr>
          <w:rFonts w:ascii="Arial" w:hAnsi="Arial" w:cs="Arial"/>
          <w:sz w:val="24"/>
          <w:szCs w:val="24"/>
        </w:rPr>
        <w:t>la</w:t>
      </w:r>
      <w:r w:rsidRPr="003B0F52">
        <w:rPr>
          <w:rFonts w:ascii="Arial" w:hAnsi="Arial" w:cs="Arial"/>
          <w:sz w:val="24"/>
          <w:szCs w:val="24"/>
        </w:rPr>
        <w:t xml:space="preserve"> actor</w:t>
      </w:r>
      <w:r>
        <w:rPr>
          <w:rFonts w:ascii="Arial" w:hAnsi="Arial" w:cs="Arial"/>
          <w:sz w:val="24"/>
          <w:szCs w:val="24"/>
        </w:rPr>
        <w:t>a</w:t>
      </w:r>
      <w:r w:rsidRPr="003B0F52">
        <w:rPr>
          <w:rFonts w:ascii="Arial" w:hAnsi="Arial" w:cs="Arial"/>
          <w:sz w:val="24"/>
          <w:szCs w:val="24"/>
        </w:rPr>
        <w:t xml:space="preserve"> (trabajador de confianza),</w:t>
      </w:r>
      <w:r>
        <w:rPr>
          <w:rFonts w:ascii="Arial" w:hAnsi="Arial" w:cs="Arial"/>
          <w:sz w:val="24"/>
          <w:szCs w:val="24"/>
        </w:rPr>
        <w:t xml:space="preserve"> consistentes en previsión social múltiple, despensa, vida cara, quinquenios, aguinaldo, estimulo del día del jubilado, día de las madres y canasta navideña, percepciones contempladas únicamente para los trabajadores de base en el artículo 54 de la Ley de Pensiones para los Trabajadores del Gobierno del Estado, que a letra dice:</w:t>
      </w:r>
    </w:p>
    <w:p w:rsidR="00594EC0" w:rsidRPr="00BE7257" w:rsidRDefault="00594EC0" w:rsidP="00594EC0">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594EC0" w:rsidRPr="00BE7257" w:rsidRDefault="00594EC0" w:rsidP="00594EC0">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594EC0" w:rsidRPr="00BE7257" w:rsidRDefault="00594EC0" w:rsidP="00594EC0">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594EC0" w:rsidRPr="00BE7257" w:rsidRDefault="00594EC0" w:rsidP="00594EC0">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594EC0" w:rsidRPr="00BE7257" w:rsidRDefault="00594EC0" w:rsidP="00594EC0">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594EC0" w:rsidRDefault="00594EC0" w:rsidP="00594EC0">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su contenido se advierte, que dicho dispositivo legal, únicamente contempla el pago de las percepciones para los jubilados de base, no así para los de confianza, como es el caso de la actora, por lo que se analizará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como en el caso de la actora,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1)</w:t>
      </w:r>
      <w:r w:rsidRPr="001042B6">
        <w:rPr>
          <w:rFonts w:ascii="Arial" w:hAnsi="Arial" w:cs="Arial"/>
          <w:sz w:val="24"/>
          <w:szCs w:val="24"/>
        </w:rPr>
        <w:t xml:space="preserve"> Interpretación conforme a la Constitución y a los tratados Internacionales en materia de derechos humanos; </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Esta Juzgadora procede al análisis del derecho a la seguridad social de los trabajadores de confianza, considerando que el artículo 123 apartado B fracción XIV, de la Carta Magna establece:</w:t>
      </w:r>
    </w:p>
    <w:p w:rsidR="00594EC0" w:rsidRPr="00404770" w:rsidRDefault="00594EC0" w:rsidP="00594EC0">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594EC0" w:rsidRPr="00404770" w:rsidRDefault="00594EC0" w:rsidP="00594EC0">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594EC0" w:rsidRPr="00404770" w:rsidRDefault="00594EC0" w:rsidP="00594EC0">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594EC0" w:rsidRPr="00404770" w:rsidRDefault="00594EC0" w:rsidP="00594EC0">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594EC0" w:rsidRDefault="00594EC0" w:rsidP="00594EC0">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máxima legislación del Estado Mexicano, contempla la existencia de los trabajadores con la categoría de confianza, los cuáles considera que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w:t>
      </w:r>
      <w:r>
        <w:rPr>
          <w:rFonts w:ascii="Arial" w:hAnsi="Arial" w:cs="Arial"/>
          <w:sz w:val="24"/>
          <w:szCs w:val="24"/>
        </w:rPr>
        <w:lastRenderedPageBreak/>
        <w:t xml:space="preserve">entonces, por el simple hecho de ser un derecho humano, se deba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primer nombramiento de la actora),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sin duda que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la actora,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contrario a lo expuesto por la autoridad demandada, pues los priva de la protección integral de la seguridad social, consecuentemente, al no haberse otorgado dichas prestaciones a la actora, se inobservó  los supuestos del artículo 1 fracción III, de la Ley Federal para Prevenir y Eliminar la discriminación, que para mayor comprensión se transcribe:</w:t>
      </w:r>
    </w:p>
    <w:p w:rsidR="00594EC0" w:rsidRPr="00984554" w:rsidRDefault="00594EC0" w:rsidP="00594EC0">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w:t>
      </w:r>
      <w:r w:rsidRPr="00984554">
        <w:rPr>
          <w:rFonts w:ascii="Arial" w:hAnsi="Arial" w:cs="Arial"/>
          <w:i/>
          <w:sz w:val="24"/>
          <w:szCs w:val="24"/>
        </w:rPr>
        <w:lastRenderedPageBreak/>
        <w:t>discriminación que se ejerzan contra cualquier persona en los términos del Artículo 1 de la Constitución Política de los Estados Unidos Mexicanos, así como promover la igualdad de oportunidades y de trato.</w:t>
      </w:r>
    </w:p>
    <w:p w:rsidR="00594EC0" w:rsidRPr="00984554" w:rsidRDefault="00594EC0" w:rsidP="00594EC0">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594EC0" w:rsidRPr="00984554" w:rsidRDefault="00594EC0" w:rsidP="00594EC0">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6"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 xml:space="preserve">que </w:t>
      </w:r>
      <w:r w:rsidRPr="003402AC">
        <w:rPr>
          <w:rFonts w:ascii="Arial" w:hAnsi="Arial" w:cs="Arial"/>
          <w:b/>
          <w:sz w:val="24"/>
          <w:szCs w:val="24"/>
        </w:rPr>
        <w:lastRenderedPageBreak/>
        <w:t>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7"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descrito se concluye que tanto la Constitución Política de los Estados Unidos Mexicanos, como los Tratados Internacionales descritos, protegen el derecho a la seguridad social de los trabajadores, sin distinción alguna, al contrario, prevén la eliminación de cualquier tipo de discriminación a ese respecto, incluso, la </w:t>
      </w:r>
      <w:r w:rsidRPr="00757049">
        <w:rPr>
          <w:rFonts w:ascii="Arial" w:hAnsi="Arial" w:cs="Arial"/>
          <w:sz w:val="24"/>
          <w:szCs w:val="24"/>
        </w:rPr>
        <w:t xml:space="preserve">Carta Magna es precisa al determinar la </w:t>
      </w:r>
      <w:r w:rsidRPr="00757049">
        <w:rPr>
          <w:rFonts w:ascii="Arial" w:hAnsi="Arial" w:cs="Arial"/>
          <w:sz w:val="24"/>
          <w:szCs w:val="24"/>
        </w:rPr>
        <w:lastRenderedPageBreak/>
        <w:t>protección de ese derecho humano a</w:t>
      </w:r>
      <w:r>
        <w:rPr>
          <w:rFonts w:ascii="Arial" w:hAnsi="Arial" w:cs="Arial"/>
          <w:sz w:val="24"/>
          <w:szCs w:val="24"/>
        </w:rPr>
        <w:t xml:space="preserve"> la seguridad social de los trabajadores de confianza. </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S</w:t>
      </w:r>
      <w:r w:rsidRPr="001042B6">
        <w:rPr>
          <w:rFonts w:ascii="Arial" w:hAnsi="Arial" w:cs="Arial"/>
          <w:sz w:val="24"/>
          <w:szCs w:val="24"/>
        </w:rPr>
        <w:t>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Pr>
          <w:rFonts w:ascii="Arial" w:hAnsi="Arial" w:cs="Arial"/>
          <w:b/>
          <w:sz w:val="24"/>
          <w:szCs w:val="24"/>
        </w:rPr>
        <w:t>dejemos</w:t>
      </w:r>
      <w:r w:rsidRPr="001042B6">
        <w:rPr>
          <w:rFonts w:ascii="Arial" w:hAnsi="Arial" w:cs="Arial"/>
          <w:b/>
          <w:sz w:val="24"/>
          <w:szCs w:val="24"/>
        </w:rPr>
        <w:t xml:space="preserve"> de aplicar normas inferiores,</w:t>
      </w:r>
      <w:r w:rsidRPr="001042B6">
        <w:rPr>
          <w:rFonts w:ascii="Arial" w:hAnsi="Arial" w:cs="Arial"/>
          <w:sz w:val="24"/>
          <w:szCs w:val="24"/>
        </w:rPr>
        <w:t xml:space="preserve"> dando preferencia a los contenidos de la Constitución y de los tratados en la materia.</w:t>
      </w:r>
    </w:p>
    <w:p w:rsidR="00594EC0"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 xml:space="preserve"> la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porción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w:t>
      </w:r>
      <w:r>
        <w:rPr>
          <w:rFonts w:ascii="Arial" w:hAnsi="Arial" w:cs="Arial"/>
          <w:sz w:val="24"/>
          <w:szCs w:val="24"/>
        </w:rPr>
        <w:t xml:space="preserve">día de las madres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EA21D9">
        <w:rPr>
          <w:rFonts w:ascii="Arial" w:hAnsi="Arial" w:cs="Arial"/>
          <w:sz w:val="24"/>
          <w:szCs w:val="24"/>
        </w:rPr>
        <w:t>***** ***** *****</w:t>
      </w:r>
      <w:r>
        <w:rPr>
          <w:rFonts w:ascii="Arial" w:hAnsi="Arial" w:cs="Arial"/>
          <w:sz w:val="24"/>
          <w:szCs w:val="24"/>
        </w:rPr>
        <w:t>, evitando la discriminación.</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 xml:space="preserve">la </w:t>
      </w:r>
      <w:r>
        <w:rPr>
          <w:rFonts w:ascii="Arial" w:hAnsi="Arial" w:cs="Arial"/>
          <w:b/>
          <w:sz w:val="24"/>
          <w:szCs w:val="24"/>
          <w:u w:val="single"/>
        </w:rPr>
        <w:t>segunda</w:t>
      </w:r>
      <w:r w:rsidRPr="00574909">
        <w:rPr>
          <w:rFonts w:ascii="Arial" w:hAnsi="Arial" w:cs="Arial"/>
          <w:b/>
          <w:sz w:val="24"/>
          <w:szCs w:val="24"/>
          <w:u w:val="single"/>
        </w:rPr>
        <w:t xml:space="preserve"> premisa</w:t>
      </w:r>
      <w:r>
        <w:rPr>
          <w:rFonts w:ascii="Arial" w:hAnsi="Arial" w:cs="Arial"/>
          <w:sz w:val="24"/>
          <w:szCs w:val="24"/>
        </w:rPr>
        <w:t xml:space="preserve">, consistente en la reducción del 9% de la pensión, se concede razón a la actora,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w:t>
      </w:r>
      <w:r>
        <w:rPr>
          <w:rFonts w:ascii="Arial" w:hAnsi="Arial" w:cs="Arial"/>
          <w:sz w:val="24"/>
          <w:szCs w:val="24"/>
        </w:rPr>
        <w:lastRenderedPageBreak/>
        <w:t>indebido del monto de la pensión jubilatoria, encaminado a constituir el fondo monetario con el que se cubriría la misma.</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 la actora, que se refiere a su Derecho a la Igualdad y a la no discriminación, de ahí la ilegalidad del descuento del nueve por cierto a la pensión obsequiada. </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594EC0" w:rsidRPr="00065A93"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Gaceta del Semanario Judicial de la Federación, Libro 11, Octubre de 2014, Tomo III, Décima Época, pág. 2512. Registro 2007629, Jurisprudencia </w:t>
      </w:r>
      <w:r>
        <w:rPr>
          <w:rFonts w:ascii="Arial" w:hAnsi="Arial" w:cs="Arial"/>
          <w:sz w:val="24"/>
          <w:szCs w:val="24"/>
        </w:rPr>
        <w:lastRenderedPageBreak/>
        <w:t>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rsidR="00594EC0"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594EC0" w:rsidRPr="001042B6" w:rsidRDefault="00594EC0" w:rsidP="00594E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EA21D9">
        <w:rPr>
          <w:rFonts w:ascii="Arial" w:hAnsi="Arial" w:cs="Arial"/>
          <w:sz w:val="24"/>
          <w:szCs w:val="24"/>
        </w:rPr>
        <w:t>OP/DG/****/2018</w:t>
      </w:r>
      <w:r>
        <w:rPr>
          <w:rFonts w:ascii="Arial" w:hAnsi="Arial" w:cs="Arial"/>
          <w:sz w:val="24"/>
          <w:szCs w:val="24"/>
        </w:rPr>
        <w:t xml:space="preserve">, de fecha diecinueve de julio de dos mil dieciocho (19/07/2018),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emitido el mismo día (19/07/2018),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emita nuevo dictamen de pensión por jubilación en favor de la actora</w:t>
      </w:r>
      <w:r w:rsidRPr="001042B6">
        <w:rPr>
          <w:rFonts w:ascii="Arial" w:hAnsi="Arial" w:cs="Arial"/>
          <w:sz w:val="24"/>
          <w:szCs w:val="24"/>
        </w:rPr>
        <w:t xml:space="preserve">, en el que </w:t>
      </w:r>
      <w:r>
        <w:rPr>
          <w:rFonts w:ascii="Arial" w:hAnsi="Arial" w:cs="Arial"/>
          <w:sz w:val="24"/>
          <w:szCs w:val="24"/>
        </w:rPr>
        <w:t xml:space="preserve">además de la pensión por jubilación otorgada,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aquí declarados procedentes, </w:t>
      </w:r>
      <w:r w:rsidRPr="001042B6">
        <w:rPr>
          <w:rFonts w:ascii="Arial" w:hAnsi="Arial" w:cs="Arial"/>
          <w:sz w:val="24"/>
          <w:szCs w:val="24"/>
        </w:rPr>
        <w:t>lo anterior de conformidad con lo dispuesto en los artículos</w:t>
      </w:r>
      <w:r>
        <w:rPr>
          <w:rFonts w:ascii="Arial" w:hAnsi="Arial" w:cs="Arial"/>
          <w:sz w:val="24"/>
          <w:szCs w:val="24"/>
        </w:rPr>
        <w:t xml:space="preserve"> 18 fracción II última parte, </w:t>
      </w:r>
      <w:r w:rsidRPr="001042B6">
        <w:rPr>
          <w:rFonts w:ascii="Arial" w:hAnsi="Arial" w:cs="Arial"/>
          <w:sz w:val="24"/>
          <w:szCs w:val="24"/>
        </w:rPr>
        <w:t xml:space="preserve">207, 208, y 209 de la Ley de Procedimiento y Justicia Administrativa para el Estado de Oaxaca. </w:t>
      </w:r>
    </w:p>
    <w:p w:rsidR="00594EC0" w:rsidRDefault="00594EC0" w:rsidP="00594EC0">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7B4FFD">
        <w:rPr>
          <w:rFonts w:ascii="Arial" w:hAnsi="Arial" w:cs="Arial"/>
          <w:sz w:val="24"/>
          <w:szCs w:val="24"/>
        </w:rPr>
        <w:t xml:space="preserve">- - - </w:t>
      </w:r>
    </w:p>
    <w:p w:rsidR="00594EC0" w:rsidRDefault="00594EC0" w:rsidP="00594EC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94EC0" w:rsidRDefault="00594EC0" w:rsidP="00594E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w:t>
      </w:r>
      <w:r w:rsidR="009D6D39">
        <w:rPr>
          <w:rFonts w:ascii="Arial" w:hAnsi="Arial" w:cs="Arial"/>
          <w:sz w:val="24"/>
          <w:szCs w:val="24"/>
        </w:rPr>
        <w:t xml:space="preserve"> - </w:t>
      </w:r>
      <w:r>
        <w:rPr>
          <w:rFonts w:ascii="Arial" w:hAnsi="Arial" w:cs="Arial"/>
          <w:sz w:val="24"/>
          <w:szCs w:val="24"/>
        </w:rPr>
        <w:t xml:space="preserve"> </w:t>
      </w:r>
    </w:p>
    <w:p w:rsidR="00594EC0" w:rsidRDefault="00594EC0" w:rsidP="00594E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387429">
        <w:rPr>
          <w:rFonts w:ascii="Arial" w:hAnsi="Arial" w:cs="Arial"/>
          <w:sz w:val="24"/>
          <w:szCs w:val="24"/>
        </w:rPr>
        <w:t>- - - - - - - - -</w:t>
      </w:r>
    </w:p>
    <w:p w:rsidR="00594EC0" w:rsidRDefault="00594EC0" w:rsidP="00594EC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EA21D9">
        <w:rPr>
          <w:rFonts w:ascii="Arial" w:hAnsi="Arial" w:cs="Arial"/>
          <w:sz w:val="24"/>
          <w:szCs w:val="24"/>
        </w:rPr>
        <w:t>OP/DG/****/2018</w:t>
      </w:r>
      <w:r>
        <w:rPr>
          <w:rFonts w:ascii="Arial" w:hAnsi="Arial" w:cs="Arial"/>
          <w:sz w:val="24"/>
          <w:szCs w:val="24"/>
        </w:rPr>
        <w:t xml:space="preserve">, de fecha diecinueve de julio de dos mil dieciocho (19/07/2018),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emitido el mismo día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emita un nuevo dictamen de pensión por jubilación en favor de la actora, </w:t>
      </w:r>
      <w:r w:rsidRPr="001042B6">
        <w:rPr>
          <w:rFonts w:ascii="Arial" w:hAnsi="Arial" w:cs="Arial"/>
          <w:sz w:val="24"/>
          <w:szCs w:val="24"/>
        </w:rPr>
        <w:t xml:space="preserve">en el que </w:t>
      </w:r>
      <w:r>
        <w:rPr>
          <w:rFonts w:ascii="Arial" w:hAnsi="Arial" w:cs="Arial"/>
          <w:sz w:val="24"/>
          <w:szCs w:val="24"/>
        </w:rPr>
        <w:t xml:space="preserve">además de la pensión por jubilación otorgada,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lo anterior en términos precisados en el considerando SEXTO de esta resolución. - - - - - - - - - - - - - - - - - - - - - </w:t>
      </w:r>
      <w:r w:rsidR="00674CC7">
        <w:rPr>
          <w:rFonts w:ascii="Arial" w:hAnsi="Arial" w:cs="Arial"/>
          <w:sz w:val="24"/>
          <w:szCs w:val="24"/>
        </w:rPr>
        <w:t>- - - - - - - - - - - - - - - - - - - - - - - - - - -</w:t>
      </w:r>
    </w:p>
    <w:p w:rsidR="00594EC0" w:rsidRDefault="00594EC0" w:rsidP="00594EC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0C2D07">
        <w:rPr>
          <w:rFonts w:ascii="Arial" w:hAnsi="Arial" w:cs="Arial"/>
          <w:sz w:val="24"/>
          <w:szCs w:val="24"/>
        </w:rPr>
        <w:t>- - - - - - - - - - - - - -</w:t>
      </w:r>
    </w:p>
    <w:p w:rsidR="0048608F" w:rsidRPr="00C37DF5" w:rsidRDefault="00594EC0" w:rsidP="00EA21D9">
      <w:pPr>
        <w:tabs>
          <w:tab w:val="center" w:pos="4574"/>
        </w:tabs>
        <w:spacing w:line="360" w:lineRule="auto"/>
        <w:ind w:firstLine="708"/>
        <w:jc w:val="both"/>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B41EC">
        <w:rPr>
          <w:rFonts w:ascii="Arial" w:hAnsi="Arial" w:cs="Arial"/>
          <w:sz w:val="24"/>
          <w:szCs w:val="24"/>
        </w:rPr>
        <w:t xml:space="preserve">- - - - - - - - - - - </w:t>
      </w:r>
      <w:bookmarkStart w:id="0" w:name="_GoBack"/>
      <w:bookmarkEnd w:id="0"/>
    </w:p>
    <w:sectPr w:rsidR="0048608F" w:rsidRPr="00C37DF5" w:rsidSect="00CD43CA">
      <w:headerReference w:type="even" r:id="rId8"/>
      <w:headerReference w:type="default" r:id="rId9"/>
      <w:footerReference w:type="default" r:id="rId10"/>
      <w:headerReference w:type="first" r:id="rId11"/>
      <w:pgSz w:w="12240" w:h="20160" w:code="5"/>
      <w:pgMar w:top="851" w:right="1701" w:bottom="2836"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166F" w:rsidRDefault="0058166F" w:rsidP="007A5B5E">
      <w:pPr>
        <w:spacing w:after="0" w:line="240" w:lineRule="auto"/>
      </w:pPr>
      <w:r>
        <w:separator/>
      </w:r>
    </w:p>
  </w:endnote>
  <w:endnote w:type="continuationSeparator" w:id="0">
    <w:p w:rsidR="0058166F" w:rsidRDefault="0058166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1C86839" wp14:editId="0052F39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D43CA" w:rsidRPr="00CD43CA">
                                <w:rPr>
                                  <w:noProof/>
                                  <w:color w:val="000000" w:themeColor="text1"/>
                                  <w:lang w:val="es-ES"/>
                                </w:rPr>
                                <w:t>15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8683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D43CA" w:rsidRPr="00CD43CA">
                          <w:rPr>
                            <w:noProof/>
                            <w:color w:val="000000" w:themeColor="text1"/>
                            <w:lang w:val="es-ES"/>
                          </w:rPr>
                          <w:t>15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166F" w:rsidRDefault="0058166F" w:rsidP="007A5B5E">
      <w:pPr>
        <w:spacing w:after="0" w:line="240" w:lineRule="auto"/>
      </w:pPr>
      <w:r>
        <w:separator/>
      </w:r>
    </w:p>
  </w:footnote>
  <w:footnote w:type="continuationSeparator" w:id="0">
    <w:p w:rsidR="0058166F" w:rsidRDefault="0058166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A21D9">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283A0BA7" wp14:editId="55DDBBB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293C8F00" wp14:editId="1346B038">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3A0BA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293C8F00" wp14:editId="1346B038">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37DF5">
      <w:rPr>
        <w:rFonts w:ascii="Bookman Old Style" w:hAnsi="Bookman Old Style"/>
        <w:b/>
      </w:rPr>
      <w:t>12</w:t>
    </w:r>
    <w:r w:rsidR="00F13121">
      <w:rPr>
        <w:rFonts w:ascii="Bookman Old Style" w:hAnsi="Bookman Old Style"/>
        <w:b/>
      </w:rPr>
      <w:t>2</w:t>
    </w:r>
    <w:r w:rsidRPr="00B87741">
      <w:rPr>
        <w:rFonts w:ascii="Bookman Old Style" w:hAnsi="Bookman Old Style"/>
        <w:b/>
        <w:sz w:val="24"/>
        <w:szCs w:val="24"/>
      </w:rPr>
      <w:t>/</w:t>
    </w:r>
    <w:r w:rsidRPr="002F2D7B">
      <w:rPr>
        <w:rFonts w:ascii="Bookman Old Style" w:hAnsi="Bookman Old Style"/>
        <w:b/>
        <w:sz w:val="24"/>
        <w:szCs w:val="24"/>
      </w:rPr>
      <w:t>201</w:t>
    </w:r>
    <w:r w:rsidR="00836D84">
      <w:rPr>
        <w:rFonts w:ascii="Bookman Old Style" w:hAnsi="Bookman Old Style"/>
        <w:b/>
        <w:sz w:val="24"/>
        <w:szCs w:val="24"/>
      </w:rPr>
      <w:t>8</w:t>
    </w:r>
  </w:p>
  <w:p w:rsidR="00A4373C" w:rsidRPr="00071C38" w:rsidRDefault="00EA21D9"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446CA3E1" wp14:editId="16D7CF79">
              <wp:simplePos x="0" y="0"/>
              <wp:positionH relativeFrom="column">
                <wp:posOffset>-1314450</wp:posOffset>
              </wp:positionH>
              <wp:positionV relativeFrom="paragraph">
                <wp:posOffset>4657725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EA21D9" w:rsidRPr="003B6E97" w:rsidRDefault="00EA21D9" w:rsidP="00EA21D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6CA3E1" id="Cuadro de texto 12" o:spid="_x0000_s1027" type="#_x0000_t202" style="position:absolute;left:0;text-align:left;margin-left:-103.5pt;margin-top:366.75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">
              <v:textbox>
                <w:txbxContent>
                  <w:p w:rsidR="00EA21D9" w:rsidRPr="003B6E97" w:rsidRDefault="00EA21D9" w:rsidP="00EA21D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36764DB8" wp14:editId="73904C34">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A21D9">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2D97"/>
    <w:rsid w:val="000268AE"/>
    <w:rsid w:val="00062DC6"/>
    <w:rsid w:val="00067DE1"/>
    <w:rsid w:val="00080379"/>
    <w:rsid w:val="000A1953"/>
    <w:rsid w:val="000A7EF7"/>
    <w:rsid w:val="000B41EC"/>
    <w:rsid w:val="000C2D07"/>
    <w:rsid w:val="000D332F"/>
    <w:rsid w:val="000D7002"/>
    <w:rsid w:val="000F2A5A"/>
    <w:rsid w:val="00102428"/>
    <w:rsid w:val="001062D2"/>
    <w:rsid w:val="00117886"/>
    <w:rsid w:val="00121484"/>
    <w:rsid w:val="001A3488"/>
    <w:rsid w:val="001B0015"/>
    <w:rsid w:val="001B31AA"/>
    <w:rsid w:val="002019F1"/>
    <w:rsid w:val="002273C1"/>
    <w:rsid w:val="00227673"/>
    <w:rsid w:val="00227B0E"/>
    <w:rsid w:val="00237BFA"/>
    <w:rsid w:val="00242030"/>
    <w:rsid w:val="00274840"/>
    <w:rsid w:val="0028642F"/>
    <w:rsid w:val="002B1091"/>
    <w:rsid w:val="002D1C5C"/>
    <w:rsid w:val="002D50CB"/>
    <w:rsid w:val="002F0DE0"/>
    <w:rsid w:val="00314069"/>
    <w:rsid w:val="0032191E"/>
    <w:rsid w:val="00324531"/>
    <w:rsid w:val="0034172C"/>
    <w:rsid w:val="00362B10"/>
    <w:rsid w:val="0036559B"/>
    <w:rsid w:val="00372348"/>
    <w:rsid w:val="003739C0"/>
    <w:rsid w:val="00375885"/>
    <w:rsid w:val="00375B6F"/>
    <w:rsid w:val="0037735A"/>
    <w:rsid w:val="00387429"/>
    <w:rsid w:val="00387F33"/>
    <w:rsid w:val="00393A57"/>
    <w:rsid w:val="003A766C"/>
    <w:rsid w:val="003B1785"/>
    <w:rsid w:val="003C5391"/>
    <w:rsid w:val="003F5F1A"/>
    <w:rsid w:val="00407214"/>
    <w:rsid w:val="00420019"/>
    <w:rsid w:val="004319A5"/>
    <w:rsid w:val="00433354"/>
    <w:rsid w:val="00440D9A"/>
    <w:rsid w:val="00440DC5"/>
    <w:rsid w:val="004667D8"/>
    <w:rsid w:val="00473912"/>
    <w:rsid w:val="0048608F"/>
    <w:rsid w:val="004B074C"/>
    <w:rsid w:val="004D7A34"/>
    <w:rsid w:val="004F162F"/>
    <w:rsid w:val="00502478"/>
    <w:rsid w:val="00502589"/>
    <w:rsid w:val="00504FCD"/>
    <w:rsid w:val="00524EF5"/>
    <w:rsid w:val="00533998"/>
    <w:rsid w:val="00542573"/>
    <w:rsid w:val="00544394"/>
    <w:rsid w:val="00553A79"/>
    <w:rsid w:val="00555EC8"/>
    <w:rsid w:val="00566511"/>
    <w:rsid w:val="00571121"/>
    <w:rsid w:val="0058166F"/>
    <w:rsid w:val="0059235B"/>
    <w:rsid w:val="00594EC0"/>
    <w:rsid w:val="005A7853"/>
    <w:rsid w:val="005B6473"/>
    <w:rsid w:val="00604785"/>
    <w:rsid w:val="006050EC"/>
    <w:rsid w:val="006179D5"/>
    <w:rsid w:val="00627280"/>
    <w:rsid w:val="00631E6F"/>
    <w:rsid w:val="00633B84"/>
    <w:rsid w:val="00640240"/>
    <w:rsid w:val="00644003"/>
    <w:rsid w:val="006635AF"/>
    <w:rsid w:val="00665C49"/>
    <w:rsid w:val="00671276"/>
    <w:rsid w:val="006720CF"/>
    <w:rsid w:val="00674CC7"/>
    <w:rsid w:val="00680A5D"/>
    <w:rsid w:val="006A28D2"/>
    <w:rsid w:val="006A673B"/>
    <w:rsid w:val="006B5994"/>
    <w:rsid w:val="006B5E0A"/>
    <w:rsid w:val="006D0360"/>
    <w:rsid w:val="006D192F"/>
    <w:rsid w:val="006F51F4"/>
    <w:rsid w:val="0071474B"/>
    <w:rsid w:val="00772907"/>
    <w:rsid w:val="007846E5"/>
    <w:rsid w:val="007A22EE"/>
    <w:rsid w:val="007A44BA"/>
    <w:rsid w:val="007A5119"/>
    <w:rsid w:val="007A5B5E"/>
    <w:rsid w:val="007A7A48"/>
    <w:rsid w:val="007B4FFD"/>
    <w:rsid w:val="007D55ED"/>
    <w:rsid w:val="007E51B4"/>
    <w:rsid w:val="007F0760"/>
    <w:rsid w:val="007F2831"/>
    <w:rsid w:val="008144D8"/>
    <w:rsid w:val="00836BB6"/>
    <w:rsid w:val="00836D84"/>
    <w:rsid w:val="00846D5B"/>
    <w:rsid w:val="00850F70"/>
    <w:rsid w:val="00854294"/>
    <w:rsid w:val="00896F1B"/>
    <w:rsid w:val="008973C3"/>
    <w:rsid w:val="008F378D"/>
    <w:rsid w:val="008F4EA9"/>
    <w:rsid w:val="009015F9"/>
    <w:rsid w:val="009032BC"/>
    <w:rsid w:val="00904443"/>
    <w:rsid w:val="00913A5B"/>
    <w:rsid w:val="009178C8"/>
    <w:rsid w:val="0093785B"/>
    <w:rsid w:val="00953189"/>
    <w:rsid w:val="009575F5"/>
    <w:rsid w:val="009963CC"/>
    <w:rsid w:val="009972DA"/>
    <w:rsid w:val="009A10C0"/>
    <w:rsid w:val="009B3A19"/>
    <w:rsid w:val="009B7578"/>
    <w:rsid w:val="009B7B93"/>
    <w:rsid w:val="009D6D39"/>
    <w:rsid w:val="009F2123"/>
    <w:rsid w:val="00A057F6"/>
    <w:rsid w:val="00A13F37"/>
    <w:rsid w:val="00A17ABB"/>
    <w:rsid w:val="00A206A3"/>
    <w:rsid w:val="00A3160F"/>
    <w:rsid w:val="00A371D5"/>
    <w:rsid w:val="00A51258"/>
    <w:rsid w:val="00A879E4"/>
    <w:rsid w:val="00AA62AE"/>
    <w:rsid w:val="00AF5B34"/>
    <w:rsid w:val="00B044C2"/>
    <w:rsid w:val="00B22B25"/>
    <w:rsid w:val="00B37BED"/>
    <w:rsid w:val="00B438E5"/>
    <w:rsid w:val="00B4639E"/>
    <w:rsid w:val="00B46E86"/>
    <w:rsid w:val="00B53C8F"/>
    <w:rsid w:val="00B7407D"/>
    <w:rsid w:val="00B86059"/>
    <w:rsid w:val="00B94C99"/>
    <w:rsid w:val="00BB4F0B"/>
    <w:rsid w:val="00BC5D03"/>
    <w:rsid w:val="00BE1DD4"/>
    <w:rsid w:val="00BE26D9"/>
    <w:rsid w:val="00BF2E0E"/>
    <w:rsid w:val="00C15DB6"/>
    <w:rsid w:val="00C20B6F"/>
    <w:rsid w:val="00C3005E"/>
    <w:rsid w:val="00C349DF"/>
    <w:rsid w:val="00C37DF5"/>
    <w:rsid w:val="00C50828"/>
    <w:rsid w:val="00C56B89"/>
    <w:rsid w:val="00C81E73"/>
    <w:rsid w:val="00CB1103"/>
    <w:rsid w:val="00CB466F"/>
    <w:rsid w:val="00CD140A"/>
    <w:rsid w:val="00CD43CA"/>
    <w:rsid w:val="00D266C0"/>
    <w:rsid w:val="00D300B5"/>
    <w:rsid w:val="00D35CB2"/>
    <w:rsid w:val="00D44940"/>
    <w:rsid w:val="00D4537E"/>
    <w:rsid w:val="00D8282E"/>
    <w:rsid w:val="00D841BC"/>
    <w:rsid w:val="00DC24B5"/>
    <w:rsid w:val="00DE3267"/>
    <w:rsid w:val="00E05E49"/>
    <w:rsid w:val="00E27318"/>
    <w:rsid w:val="00E278E3"/>
    <w:rsid w:val="00E3025F"/>
    <w:rsid w:val="00E355F4"/>
    <w:rsid w:val="00E5150B"/>
    <w:rsid w:val="00E70AF2"/>
    <w:rsid w:val="00E764E3"/>
    <w:rsid w:val="00E76510"/>
    <w:rsid w:val="00EA21D9"/>
    <w:rsid w:val="00EA2229"/>
    <w:rsid w:val="00ED0959"/>
    <w:rsid w:val="00EE3204"/>
    <w:rsid w:val="00EE66A3"/>
    <w:rsid w:val="00EF77C0"/>
    <w:rsid w:val="00F00D08"/>
    <w:rsid w:val="00F1260F"/>
    <w:rsid w:val="00F13121"/>
    <w:rsid w:val="00F2100B"/>
    <w:rsid w:val="00F228AA"/>
    <w:rsid w:val="00F24B6D"/>
    <w:rsid w:val="00F25B5E"/>
    <w:rsid w:val="00F35133"/>
    <w:rsid w:val="00F668A7"/>
    <w:rsid w:val="00F767DC"/>
    <w:rsid w:val="00F85C13"/>
    <w:rsid w:val="00F85E9E"/>
    <w:rsid w:val="00F965D8"/>
    <w:rsid w:val="00F969CE"/>
    <w:rsid w:val="00FA2DE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7F62156"/>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E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cnur.org/fileadmin/Documentos/BDL/2012/8791.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lo.org/wcmsp5/groups/public/---dgreports/---dcomm/documents/publication/wcms_067592.pdf"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15</Pages>
  <Words>5677</Words>
  <Characters>31224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186</cp:revision>
  <dcterms:created xsi:type="dcterms:W3CDTF">2019-07-08T16:38:00Z</dcterms:created>
  <dcterms:modified xsi:type="dcterms:W3CDTF">2020-01-10T17:14:00Z</dcterms:modified>
</cp:coreProperties>
</file>