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9F3E162"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TRIBUNAL DE JUSTICIA ADMINISTRATIVA DEL ESTADO DE OAXACA.</w:t>
      </w:r>
    </w:p>
    <w:p w14:paraId="4C1A6742"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2BF83614"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SEXTA SALA UNITARIA DE PRIMERA INSTANCIA.</w:t>
      </w:r>
    </w:p>
    <w:p w14:paraId="6C3F74B4"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596D1C9E" w14:textId="77777777" w:rsidR="001C4867" w:rsidRPr="00BB1B71" w:rsidRDefault="001C4867" w:rsidP="001C4867">
      <w:pPr>
        <w:spacing w:after="0"/>
        <w:ind w:left="3686" w:right="51"/>
        <w:jc w:val="both"/>
        <w:rPr>
          <w:rFonts w:ascii="Arial" w:eastAsia="Times New Roman" w:hAnsi="Arial" w:cs="Arial"/>
          <w:bCs/>
          <w:sz w:val="24"/>
          <w:szCs w:val="24"/>
          <w:lang w:val="es-ES_tradnl" w:eastAsia="es-ES"/>
        </w:rPr>
      </w:pPr>
      <w:r w:rsidRPr="00BB1B71">
        <w:rPr>
          <w:rFonts w:ascii="Arial" w:eastAsia="Times New Roman" w:hAnsi="Arial" w:cs="Arial"/>
          <w:b/>
          <w:sz w:val="24"/>
          <w:szCs w:val="24"/>
          <w:lang w:val="es-ES_tradnl" w:eastAsia="es-ES"/>
        </w:rPr>
        <w:t xml:space="preserve">JUICIO DE NULIDAD: </w:t>
      </w:r>
      <w:r w:rsidR="00380EFB" w:rsidRPr="00380EFB">
        <w:rPr>
          <w:rFonts w:ascii="Arial" w:eastAsia="Times New Roman" w:hAnsi="Arial" w:cs="Arial"/>
          <w:sz w:val="24"/>
          <w:szCs w:val="24"/>
          <w:lang w:val="es-ES_tradnl" w:eastAsia="es-ES"/>
        </w:rPr>
        <w:t>0</w:t>
      </w:r>
      <w:r w:rsidR="00AF161D">
        <w:rPr>
          <w:rFonts w:ascii="Arial" w:eastAsia="Times New Roman" w:hAnsi="Arial" w:cs="Arial"/>
          <w:sz w:val="24"/>
          <w:szCs w:val="24"/>
          <w:lang w:val="es-ES_tradnl" w:eastAsia="es-ES"/>
        </w:rPr>
        <w:t>122</w:t>
      </w:r>
      <w:r w:rsidR="00432E9E" w:rsidRPr="00432E9E">
        <w:rPr>
          <w:rFonts w:ascii="Arial" w:eastAsia="Times New Roman" w:hAnsi="Arial" w:cs="Arial"/>
          <w:bCs/>
          <w:sz w:val="24"/>
          <w:szCs w:val="24"/>
          <w:lang w:val="es-ES_tradnl" w:eastAsia="es-ES"/>
        </w:rPr>
        <w:t>/</w:t>
      </w:r>
      <w:r w:rsidR="00432E9E">
        <w:rPr>
          <w:rFonts w:ascii="Arial" w:eastAsia="Times New Roman" w:hAnsi="Arial" w:cs="Arial"/>
          <w:bCs/>
          <w:sz w:val="24"/>
          <w:szCs w:val="24"/>
          <w:lang w:val="es-ES_tradnl" w:eastAsia="es-ES"/>
        </w:rPr>
        <w:t>2020</w:t>
      </w:r>
      <w:r w:rsidRPr="00BB1B71">
        <w:rPr>
          <w:rFonts w:ascii="Arial" w:eastAsia="Times New Roman" w:hAnsi="Arial" w:cs="Arial"/>
          <w:bCs/>
          <w:sz w:val="24"/>
          <w:szCs w:val="24"/>
          <w:lang w:val="es-ES_tradnl" w:eastAsia="es-ES"/>
        </w:rPr>
        <w:t xml:space="preserve">. </w:t>
      </w:r>
    </w:p>
    <w:p w14:paraId="49EFC3B9"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0E346062" w14:textId="4BAECC8A" w:rsidR="001C4867" w:rsidRPr="006F2CBA"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ACTOR: </w:t>
      </w:r>
      <w:r w:rsidR="00C37885">
        <w:rPr>
          <w:rFonts w:ascii="Arial" w:eastAsia="Times New Roman" w:hAnsi="Arial" w:cs="Arial"/>
          <w:color w:val="FF0000"/>
          <w:sz w:val="24"/>
          <w:szCs w:val="24"/>
          <w:lang w:val="es-ES_tradnl" w:eastAsia="es-ES"/>
        </w:rPr>
        <w:t>**********</w:t>
      </w:r>
      <w:r w:rsidR="006F2CBA" w:rsidRPr="006F2CBA">
        <w:rPr>
          <w:rFonts w:ascii="Arial" w:eastAsia="Times New Roman" w:hAnsi="Arial" w:cs="Arial"/>
          <w:sz w:val="24"/>
          <w:szCs w:val="24"/>
          <w:lang w:val="es-ES_tradnl" w:eastAsia="es-ES"/>
        </w:rPr>
        <w:t>.</w:t>
      </w:r>
    </w:p>
    <w:p w14:paraId="0A6250B8" w14:textId="77777777" w:rsidR="001C4867" w:rsidRPr="00BB1B71" w:rsidRDefault="001C4867" w:rsidP="001C4867">
      <w:pPr>
        <w:spacing w:after="0"/>
        <w:ind w:left="3686" w:right="51"/>
        <w:jc w:val="both"/>
        <w:rPr>
          <w:rFonts w:ascii="Arial" w:eastAsia="Times New Roman" w:hAnsi="Arial" w:cs="Arial"/>
          <w:sz w:val="24"/>
          <w:szCs w:val="24"/>
          <w:lang w:val="es-ES_tradnl" w:eastAsia="es-ES"/>
        </w:rPr>
      </w:pPr>
    </w:p>
    <w:p w14:paraId="78BF5066" w14:textId="77777777" w:rsidR="001C4867"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AUTORIDAD DEMANDADA: </w:t>
      </w:r>
      <w:bookmarkStart w:id="0" w:name="_Hlk49769963"/>
      <w:r w:rsidR="00AF161D">
        <w:rPr>
          <w:rFonts w:ascii="Arial" w:eastAsia="Times New Roman" w:hAnsi="Arial" w:cs="Arial"/>
          <w:sz w:val="24"/>
          <w:szCs w:val="24"/>
          <w:lang w:val="es-ES_tradnl" w:eastAsia="es-ES"/>
        </w:rPr>
        <w:t>SUBDIRECTORA</w:t>
      </w:r>
      <w:r w:rsidRPr="00BB1B71">
        <w:rPr>
          <w:rFonts w:ascii="Arial" w:eastAsia="Times New Roman" w:hAnsi="Arial" w:cs="Arial"/>
          <w:sz w:val="24"/>
          <w:szCs w:val="24"/>
          <w:lang w:val="es-ES_tradnl" w:eastAsia="es-ES"/>
        </w:rPr>
        <w:t xml:space="preserve"> DE INGRESOS DE</w:t>
      </w:r>
      <w:r w:rsidR="00AF161D">
        <w:rPr>
          <w:rFonts w:ascii="Arial" w:eastAsia="Times New Roman" w:hAnsi="Arial" w:cs="Arial"/>
          <w:sz w:val="24"/>
          <w:szCs w:val="24"/>
          <w:lang w:val="es-ES_tradnl" w:eastAsia="es-ES"/>
        </w:rPr>
        <w:t>L MUNICIPIO DE OAXACA DE JUÁREZ.</w:t>
      </w:r>
      <w:bookmarkEnd w:id="0"/>
    </w:p>
    <w:p w14:paraId="5E7C43AD" w14:textId="77777777" w:rsidR="00EA0AF9" w:rsidRDefault="00EA0AF9" w:rsidP="001C4867">
      <w:pPr>
        <w:spacing w:after="0"/>
        <w:ind w:left="3686" w:right="51"/>
        <w:jc w:val="both"/>
        <w:rPr>
          <w:rFonts w:ascii="Arial" w:eastAsia="Times New Roman" w:hAnsi="Arial" w:cs="Arial"/>
          <w:sz w:val="24"/>
          <w:szCs w:val="24"/>
          <w:lang w:val="es-ES_tradnl" w:eastAsia="es-ES"/>
        </w:rPr>
      </w:pPr>
    </w:p>
    <w:p w14:paraId="603D2FF8"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r w:rsidRPr="000D7E3C">
        <w:rPr>
          <w:rFonts w:ascii="Arial" w:hAnsi="Arial" w:cs="Arial"/>
          <w:b/>
          <w:sz w:val="24"/>
          <w:szCs w:val="24"/>
        </w:rPr>
        <w:t>MAGISTRADA: MAESTRA CAMELIA GASPAR MARTÍNEZ.</w:t>
      </w:r>
    </w:p>
    <w:p w14:paraId="26661B0E"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p>
    <w:p w14:paraId="3628B962" w14:textId="77777777" w:rsidR="00EA0AF9" w:rsidRDefault="00EA0AF9" w:rsidP="00EA0AF9">
      <w:pPr>
        <w:pStyle w:val="Encabezado"/>
        <w:tabs>
          <w:tab w:val="clear" w:pos="4419"/>
          <w:tab w:val="clear" w:pos="8838"/>
          <w:tab w:val="center" w:pos="-1418"/>
        </w:tabs>
        <w:ind w:left="3686"/>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Pr>
          <w:rFonts w:ascii="Arial" w:hAnsi="Arial" w:cs="Arial"/>
          <w:bCs/>
          <w:sz w:val="24"/>
          <w:szCs w:val="24"/>
        </w:rPr>
        <w:t>.</w:t>
      </w:r>
    </w:p>
    <w:p w14:paraId="535CC183" w14:textId="77777777" w:rsidR="00EA0AF9" w:rsidRPr="00BB1B71" w:rsidRDefault="00EA0AF9" w:rsidP="001C4867">
      <w:pPr>
        <w:spacing w:after="0"/>
        <w:ind w:left="3686" w:right="51"/>
        <w:jc w:val="both"/>
        <w:rPr>
          <w:rFonts w:ascii="Arial" w:eastAsia="Times New Roman" w:hAnsi="Arial" w:cs="Arial"/>
          <w:sz w:val="24"/>
          <w:szCs w:val="24"/>
          <w:lang w:val="es-ES_tradnl" w:eastAsia="es-ES"/>
        </w:rPr>
      </w:pPr>
    </w:p>
    <w:p w14:paraId="2878A16C" w14:textId="77777777" w:rsidR="001C4867" w:rsidRPr="00BB1B71" w:rsidRDefault="001C4867" w:rsidP="001C4867">
      <w:pPr>
        <w:widowControl w:val="0"/>
        <w:spacing w:after="0" w:line="240" w:lineRule="auto"/>
        <w:ind w:right="51"/>
        <w:rPr>
          <w:rFonts w:ascii="Arial" w:eastAsia="Times New Roman" w:hAnsi="Arial" w:cs="Arial"/>
          <w:color w:val="FF0000"/>
          <w:sz w:val="24"/>
          <w:szCs w:val="24"/>
          <w:lang w:val="es-ES" w:eastAsia="es-ES"/>
        </w:rPr>
      </w:pPr>
    </w:p>
    <w:p w14:paraId="36D5761D" w14:textId="77777777" w:rsidR="001C4867" w:rsidRPr="00BB1B71" w:rsidRDefault="00F153C9" w:rsidP="001C4867">
      <w:pPr>
        <w:widowControl w:val="0"/>
        <w:spacing w:line="360" w:lineRule="auto"/>
        <w:ind w:right="51" w:firstLine="567"/>
        <w:jc w:val="both"/>
        <w:rPr>
          <w:rFonts w:ascii="Arial" w:eastAsia="Times New Roman" w:hAnsi="Arial" w:cs="Arial"/>
          <w:b/>
          <w:sz w:val="24"/>
          <w:szCs w:val="24"/>
          <w:lang w:val="es-ES" w:eastAsia="es-ES"/>
        </w:rPr>
      </w:pPr>
      <w:r w:rsidRPr="00BB1B71">
        <w:rPr>
          <w:rFonts w:ascii="Arial" w:eastAsia="Times New Roman" w:hAnsi="Arial" w:cs="Arial"/>
          <w:b/>
          <w:sz w:val="24"/>
          <w:szCs w:val="24"/>
          <w:lang w:val="es-ES" w:eastAsia="es-ES"/>
        </w:rPr>
        <w:t xml:space="preserve">OAXACA DE JUÁREZ, OAXACA, </w:t>
      </w:r>
      <w:r w:rsidR="006F2CBA">
        <w:rPr>
          <w:rFonts w:ascii="Arial" w:eastAsia="Times New Roman" w:hAnsi="Arial" w:cs="Arial"/>
          <w:b/>
          <w:sz w:val="24"/>
          <w:szCs w:val="24"/>
          <w:lang w:val="es-ES" w:eastAsia="es-ES"/>
        </w:rPr>
        <w:t>TREINTA</w:t>
      </w:r>
      <w:r w:rsidR="002F388E">
        <w:rPr>
          <w:rFonts w:ascii="Arial" w:eastAsia="Times New Roman" w:hAnsi="Arial" w:cs="Arial"/>
          <w:b/>
          <w:sz w:val="24"/>
          <w:szCs w:val="24"/>
          <w:lang w:val="es-ES" w:eastAsia="es-ES"/>
        </w:rPr>
        <w:t xml:space="preserve"> DE MAYO</w:t>
      </w:r>
      <w:r w:rsidR="002F388E" w:rsidRPr="00BB1B71">
        <w:rPr>
          <w:rFonts w:ascii="Arial" w:eastAsia="Times New Roman" w:hAnsi="Arial" w:cs="Arial"/>
          <w:b/>
          <w:sz w:val="24"/>
          <w:szCs w:val="24"/>
          <w:lang w:val="es-ES" w:eastAsia="es-ES"/>
        </w:rPr>
        <w:t xml:space="preserve"> </w:t>
      </w:r>
      <w:r w:rsidR="002F388E">
        <w:rPr>
          <w:rFonts w:ascii="Arial" w:eastAsia="Times New Roman" w:hAnsi="Arial" w:cs="Arial"/>
          <w:b/>
          <w:sz w:val="24"/>
          <w:szCs w:val="24"/>
          <w:lang w:val="es-ES" w:eastAsia="es-ES"/>
        </w:rPr>
        <w:t>DE DOS MIL VEINTIDÓS</w:t>
      </w:r>
      <w:r w:rsidR="00183FEE">
        <w:rPr>
          <w:rFonts w:ascii="Arial" w:eastAsia="Times New Roman" w:hAnsi="Arial" w:cs="Arial"/>
          <w:b/>
          <w:sz w:val="24"/>
          <w:szCs w:val="24"/>
          <w:lang w:val="es-ES" w:eastAsia="es-ES"/>
        </w:rPr>
        <w:t xml:space="preserve">. - - - - - - - - - - - - - - - - - - - - - - - - - - - - - - - - - - - - - - - - - - - - - - - - - - </w:t>
      </w:r>
    </w:p>
    <w:p w14:paraId="3621141F" w14:textId="5E51D12A" w:rsidR="001C4867" w:rsidRPr="00BB1B71" w:rsidRDefault="001C4867" w:rsidP="001C4867">
      <w:pPr>
        <w:widowControl w:val="0"/>
        <w:spacing w:line="360" w:lineRule="auto"/>
        <w:ind w:right="51" w:firstLine="567"/>
        <w:jc w:val="both"/>
        <w:rPr>
          <w:rFonts w:ascii="Arial" w:eastAsia="Times New Roman" w:hAnsi="Arial" w:cs="Arial"/>
          <w:sz w:val="24"/>
          <w:szCs w:val="24"/>
          <w:lang w:val="es-ES" w:eastAsia="es-ES"/>
        </w:rPr>
      </w:pPr>
      <w:r w:rsidRPr="00BB1B71">
        <w:rPr>
          <w:rFonts w:ascii="Arial" w:eastAsia="Times New Roman" w:hAnsi="Arial" w:cs="Arial"/>
          <w:b/>
          <w:sz w:val="24"/>
          <w:szCs w:val="24"/>
          <w:lang w:val="es-ES_tradnl" w:eastAsia="es-ES"/>
        </w:rPr>
        <w:t xml:space="preserve">V I S T O S, </w:t>
      </w:r>
      <w:r w:rsidRPr="00BB1B71">
        <w:rPr>
          <w:rFonts w:ascii="Arial" w:eastAsia="Times New Roman" w:hAnsi="Arial" w:cs="Arial"/>
          <w:sz w:val="24"/>
          <w:szCs w:val="24"/>
          <w:lang w:val="es-ES_tradnl" w:eastAsia="es-ES"/>
        </w:rPr>
        <w:t xml:space="preserve">para resolver los autos del juicio de nulidad número </w:t>
      </w:r>
      <w:r w:rsidR="00380EFB" w:rsidRPr="00380EFB">
        <w:rPr>
          <w:rFonts w:ascii="Arial" w:eastAsia="Times New Roman" w:hAnsi="Arial" w:cs="Arial"/>
          <w:b/>
          <w:sz w:val="24"/>
          <w:szCs w:val="24"/>
          <w:lang w:val="es-ES_tradnl" w:eastAsia="es-ES"/>
        </w:rPr>
        <w:t>0</w:t>
      </w:r>
      <w:r w:rsidR="00601C56">
        <w:rPr>
          <w:rFonts w:ascii="Arial" w:eastAsia="Times New Roman" w:hAnsi="Arial" w:cs="Arial"/>
          <w:b/>
          <w:bCs/>
          <w:sz w:val="24"/>
          <w:szCs w:val="24"/>
          <w:lang w:val="es-ES_tradnl" w:eastAsia="es-ES"/>
        </w:rPr>
        <w:t>122</w:t>
      </w:r>
      <w:r w:rsidR="00432E9E">
        <w:rPr>
          <w:rFonts w:ascii="Arial" w:eastAsia="Times New Roman" w:hAnsi="Arial" w:cs="Arial"/>
          <w:b/>
          <w:bCs/>
          <w:sz w:val="24"/>
          <w:szCs w:val="24"/>
          <w:lang w:val="es-ES_tradnl" w:eastAsia="es-ES"/>
        </w:rPr>
        <w:t>/2020</w:t>
      </w:r>
      <w:r w:rsidRPr="00BB1B71">
        <w:rPr>
          <w:rFonts w:ascii="Arial" w:eastAsia="Times New Roman" w:hAnsi="Arial" w:cs="Arial"/>
          <w:sz w:val="24"/>
          <w:szCs w:val="24"/>
          <w:lang w:val="es-ES_tradnl" w:eastAsia="es-ES"/>
        </w:rPr>
        <w:t xml:space="preserve">, interpuesto por </w:t>
      </w:r>
      <w:r w:rsidR="00C37885">
        <w:rPr>
          <w:rFonts w:ascii="Arial" w:eastAsia="Times New Roman" w:hAnsi="Arial" w:cs="Arial"/>
          <w:color w:val="FF0000"/>
          <w:sz w:val="24"/>
          <w:szCs w:val="24"/>
          <w:lang w:val="es-ES_tradnl" w:eastAsia="es-ES"/>
        </w:rPr>
        <w:t>**********</w:t>
      </w:r>
      <w:r w:rsidR="00432E9E">
        <w:rPr>
          <w:rFonts w:ascii="Arial" w:eastAsia="Times New Roman" w:hAnsi="Arial" w:cs="Arial"/>
          <w:sz w:val="24"/>
          <w:szCs w:val="24"/>
          <w:lang w:val="es-ES_tradnl" w:eastAsia="es-ES"/>
        </w:rPr>
        <w:t>, en contra de</w:t>
      </w:r>
      <w:r w:rsidR="00C11C7D">
        <w:rPr>
          <w:rFonts w:ascii="Arial" w:eastAsia="Times New Roman" w:hAnsi="Arial" w:cs="Arial"/>
          <w:sz w:val="24"/>
          <w:szCs w:val="24"/>
          <w:lang w:val="es-ES_tradnl" w:eastAsia="es-ES"/>
        </w:rPr>
        <w:t xml:space="preserve"> </w:t>
      </w:r>
      <w:r w:rsidR="00432E9E">
        <w:rPr>
          <w:rFonts w:ascii="Arial" w:eastAsia="Times New Roman" w:hAnsi="Arial" w:cs="Arial"/>
          <w:sz w:val="24"/>
          <w:szCs w:val="24"/>
          <w:lang w:val="es-ES_tradnl" w:eastAsia="es-ES"/>
        </w:rPr>
        <w:t>l</w:t>
      </w:r>
      <w:r w:rsidR="00C11C7D">
        <w:rPr>
          <w:rFonts w:ascii="Arial" w:eastAsia="Times New Roman" w:hAnsi="Arial" w:cs="Arial"/>
          <w:sz w:val="24"/>
          <w:szCs w:val="24"/>
          <w:lang w:val="es-ES_tradnl" w:eastAsia="es-ES"/>
        </w:rPr>
        <w:t>a</w:t>
      </w:r>
      <w:r w:rsidRPr="00BB1B71">
        <w:rPr>
          <w:rFonts w:ascii="Arial" w:eastAsia="Times New Roman" w:hAnsi="Arial" w:cs="Arial"/>
          <w:sz w:val="24"/>
          <w:szCs w:val="24"/>
          <w:lang w:val="es-ES_tradnl" w:eastAsia="es-ES"/>
        </w:rPr>
        <w:t xml:space="preserve"> </w:t>
      </w:r>
      <w:r w:rsidR="00C11C7D" w:rsidRPr="00C11C7D">
        <w:rPr>
          <w:rFonts w:ascii="Arial" w:eastAsia="Times New Roman" w:hAnsi="Arial" w:cs="Arial"/>
          <w:b/>
          <w:sz w:val="24"/>
          <w:szCs w:val="24"/>
          <w:lang w:val="es-ES_tradnl" w:eastAsia="es-ES"/>
        </w:rPr>
        <w:t>SUBDIRECTORA DE INGRESOS DEL MUNICIPIO DE OAXACA DE JUÁREZ</w:t>
      </w:r>
      <w:r w:rsidRPr="00BB1B71">
        <w:rPr>
          <w:rFonts w:ascii="Arial" w:eastAsia="Times New Roman" w:hAnsi="Arial" w:cs="Arial"/>
          <w:sz w:val="24"/>
          <w:szCs w:val="24"/>
          <w:lang w:val="es-ES_tradnl" w:eastAsia="es-ES"/>
        </w:rPr>
        <w:t xml:space="preserve">, y; </w:t>
      </w:r>
      <w:r w:rsidR="00C37885">
        <w:rPr>
          <w:rFonts w:ascii="Arial" w:eastAsia="Times New Roman" w:hAnsi="Arial" w:cs="Arial"/>
          <w:sz w:val="24"/>
          <w:szCs w:val="24"/>
          <w:lang w:val="es-ES_tradnl" w:eastAsia="es-ES"/>
        </w:rPr>
        <w:t xml:space="preserve">- - - - - - - - - - - - - - - - - - - - - - - - - - - - - </w:t>
      </w:r>
    </w:p>
    <w:p w14:paraId="2E0DBE15" w14:textId="77777777" w:rsidR="001C4867" w:rsidRPr="00BB1B71" w:rsidRDefault="00380EFB" w:rsidP="001C4867">
      <w:pPr>
        <w:spacing w:line="360" w:lineRule="auto"/>
        <w:jc w:val="center"/>
        <w:rPr>
          <w:rFonts w:ascii="Arial" w:hAnsi="Arial" w:cs="Arial"/>
          <w:b/>
          <w:spacing w:val="-3"/>
          <w:sz w:val="24"/>
          <w:szCs w:val="24"/>
          <w:lang w:val="es-ES_tradnl"/>
        </w:rPr>
      </w:pPr>
      <w:r>
        <w:rPr>
          <w:rFonts w:ascii="Arial" w:hAnsi="Arial" w:cs="Arial"/>
          <w:b/>
          <w:sz w:val="24"/>
          <w:szCs w:val="24"/>
        </w:rPr>
        <w:t>A N T E C E D E N T E S</w:t>
      </w:r>
      <w:r w:rsidR="001C4867" w:rsidRPr="00BB1B71">
        <w:rPr>
          <w:rFonts w:ascii="Arial" w:hAnsi="Arial" w:cs="Arial"/>
          <w:b/>
          <w:spacing w:val="-3"/>
          <w:sz w:val="24"/>
          <w:szCs w:val="24"/>
          <w:lang w:val="es-ES_tradnl"/>
        </w:rPr>
        <w:t>:</w:t>
      </w:r>
    </w:p>
    <w:p w14:paraId="6041F6C8" w14:textId="46D3195E" w:rsidR="00B00DD7" w:rsidRDefault="001C4867" w:rsidP="001C4867">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 xml:space="preserve">PRIMERO.- </w:t>
      </w:r>
      <w:r w:rsidR="00115A6C">
        <w:rPr>
          <w:rFonts w:ascii="Arial" w:hAnsi="Arial" w:cs="Arial"/>
          <w:bCs/>
          <w:spacing w:val="-3"/>
          <w:sz w:val="24"/>
          <w:szCs w:val="24"/>
          <w:lang w:val="es-ES_tradnl"/>
        </w:rPr>
        <w:t xml:space="preserve">Con fecha </w:t>
      </w:r>
      <w:r w:rsidR="00095C52">
        <w:rPr>
          <w:rFonts w:ascii="Arial" w:hAnsi="Arial" w:cs="Arial"/>
          <w:bCs/>
          <w:spacing w:val="-3"/>
          <w:sz w:val="24"/>
          <w:szCs w:val="24"/>
          <w:lang w:val="es-ES_tradnl"/>
        </w:rPr>
        <w:t>dieciséis de enero</w:t>
      </w:r>
      <w:r w:rsidR="00D80C5E">
        <w:rPr>
          <w:rFonts w:ascii="Arial" w:hAnsi="Arial" w:cs="Arial"/>
          <w:bCs/>
          <w:spacing w:val="-3"/>
          <w:sz w:val="24"/>
          <w:szCs w:val="24"/>
          <w:lang w:val="es-ES_tradnl"/>
        </w:rPr>
        <w:t xml:space="preserve"> de dos mil veinte</w:t>
      </w:r>
      <w:r w:rsidRPr="00BB1B71">
        <w:rPr>
          <w:rFonts w:ascii="Arial" w:hAnsi="Arial" w:cs="Arial"/>
          <w:bCs/>
          <w:spacing w:val="-3"/>
          <w:sz w:val="24"/>
          <w:szCs w:val="24"/>
          <w:lang w:val="es-ES_tradnl"/>
        </w:rPr>
        <w:t xml:space="preserve"> </w:t>
      </w:r>
      <w:r w:rsidR="00C37885">
        <w:rPr>
          <w:rFonts w:ascii="Arial" w:eastAsia="Times New Roman" w:hAnsi="Arial" w:cs="Arial"/>
          <w:b/>
          <w:bCs/>
          <w:color w:val="FF0000"/>
          <w:sz w:val="24"/>
          <w:szCs w:val="24"/>
          <w:lang w:val="es-ES_tradnl" w:eastAsia="es-ES"/>
        </w:rPr>
        <w:t>**********</w:t>
      </w:r>
      <w:r w:rsidR="00115A6C">
        <w:rPr>
          <w:rFonts w:ascii="Arial" w:eastAsia="Times New Roman" w:hAnsi="Arial" w:cs="Arial"/>
          <w:bCs/>
          <w:sz w:val="24"/>
          <w:szCs w:val="24"/>
          <w:lang w:val="es-ES_tradnl" w:eastAsia="es-ES"/>
        </w:rPr>
        <w:t>,</w:t>
      </w:r>
      <w:r w:rsidR="002F388E">
        <w:rPr>
          <w:rFonts w:ascii="Arial" w:hAnsi="Arial" w:cs="Arial"/>
          <w:bCs/>
          <w:spacing w:val="-3"/>
          <w:sz w:val="24"/>
          <w:szCs w:val="24"/>
          <w:lang w:val="es-ES_tradnl"/>
        </w:rPr>
        <w:t xml:space="preserve"> </w:t>
      </w:r>
      <w:r w:rsidRPr="00BB1B71">
        <w:rPr>
          <w:rFonts w:ascii="Arial" w:hAnsi="Arial" w:cs="Arial"/>
          <w:bCs/>
          <w:spacing w:val="-3"/>
          <w:sz w:val="24"/>
          <w:szCs w:val="24"/>
          <w:lang w:val="es-ES_tradnl"/>
        </w:rPr>
        <w:t>presentó en la Oficialía de</w:t>
      </w:r>
      <w:r w:rsidR="002F388E">
        <w:rPr>
          <w:rFonts w:ascii="Arial" w:hAnsi="Arial" w:cs="Arial"/>
          <w:bCs/>
          <w:spacing w:val="-3"/>
          <w:sz w:val="24"/>
          <w:szCs w:val="24"/>
          <w:lang w:val="es-ES_tradnl"/>
        </w:rPr>
        <w:t xml:space="preserve"> Partes Común de e</w:t>
      </w:r>
      <w:r w:rsidR="00D80C5E">
        <w:rPr>
          <w:rFonts w:ascii="Arial" w:hAnsi="Arial" w:cs="Arial"/>
          <w:bCs/>
          <w:spacing w:val="-3"/>
          <w:sz w:val="24"/>
          <w:szCs w:val="24"/>
          <w:lang w:val="es-ES_tradnl"/>
        </w:rPr>
        <w:t>ste Tribunal escrito de demanda</w:t>
      </w:r>
      <w:r w:rsidR="002F388E">
        <w:rPr>
          <w:rFonts w:ascii="Arial" w:hAnsi="Arial" w:cs="Arial"/>
          <w:bCs/>
          <w:spacing w:val="-3"/>
          <w:sz w:val="24"/>
          <w:szCs w:val="24"/>
          <w:lang w:val="es-ES_tradnl"/>
        </w:rPr>
        <w:t xml:space="preserve"> en contra</w:t>
      </w:r>
      <w:r w:rsidRPr="00BB1B71">
        <w:rPr>
          <w:rFonts w:ascii="Arial" w:hAnsi="Arial" w:cs="Arial"/>
          <w:bCs/>
          <w:spacing w:val="-3"/>
          <w:sz w:val="24"/>
          <w:szCs w:val="24"/>
          <w:lang w:val="es-ES_tradnl"/>
        </w:rPr>
        <w:t xml:space="preserve"> de la </w:t>
      </w:r>
      <w:r w:rsidR="00B00DD7">
        <w:rPr>
          <w:rFonts w:ascii="Arial" w:hAnsi="Arial" w:cs="Arial"/>
          <w:bCs/>
          <w:spacing w:val="-3"/>
          <w:sz w:val="24"/>
          <w:szCs w:val="24"/>
          <w:lang w:val="es-ES_tradnl"/>
        </w:rPr>
        <w:t xml:space="preserve">resolución contenida </w:t>
      </w:r>
      <w:r w:rsidR="00115A6C">
        <w:rPr>
          <w:rFonts w:ascii="Arial" w:hAnsi="Arial" w:cs="Arial"/>
          <w:bCs/>
          <w:spacing w:val="-3"/>
          <w:sz w:val="24"/>
          <w:szCs w:val="24"/>
          <w:lang w:val="es-ES_tradnl"/>
        </w:rPr>
        <w:t xml:space="preserve">en el oficio </w:t>
      </w:r>
      <w:r w:rsidR="00095C52">
        <w:rPr>
          <w:rFonts w:ascii="Arial" w:hAnsi="Arial" w:cs="Arial"/>
          <w:bCs/>
          <w:spacing w:val="-3"/>
          <w:sz w:val="24"/>
          <w:szCs w:val="24"/>
          <w:lang w:val="es-ES_tradnl"/>
        </w:rPr>
        <w:t xml:space="preserve">con número de folio </w:t>
      </w:r>
      <w:r w:rsidR="00C37885">
        <w:rPr>
          <w:rFonts w:ascii="Arial" w:hAnsi="Arial" w:cs="Arial"/>
          <w:bCs/>
          <w:spacing w:val="-3"/>
          <w:sz w:val="24"/>
          <w:szCs w:val="24"/>
          <w:lang w:val="es-ES_tradnl"/>
        </w:rPr>
        <w:t>**********</w:t>
      </w:r>
      <w:r w:rsidR="00095C52">
        <w:rPr>
          <w:rFonts w:ascii="Arial" w:hAnsi="Arial" w:cs="Arial"/>
          <w:bCs/>
          <w:spacing w:val="-3"/>
          <w:sz w:val="24"/>
          <w:szCs w:val="24"/>
          <w:lang w:val="es-ES_tradnl"/>
        </w:rPr>
        <w:t xml:space="preserve"> de doce de septiembre de dos mil diecinueve</w:t>
      </w:r>
      <w:r w:rsidR="00374AA0">
        <w:rPr>
          <w:rFonts w:ascii="Arial" w:hAnsi="Arial" w:cs="Arial"/>
          <w:bCs/>
          <w:spacing w:val="-3"/>
          <w:sz w:val="24"/>
          <w:szCs w:val="24"/>
          <w:lang w:val="es-ES_tradnl"/>
        </w:rPr>
        <w:t xml:space="preserve">, mediante la cual </w:t>
      </w:r>
      <w:r w:rsidR="00B00DD7">
        <w:rPr>
          <w:rFonts w:ascii="Arial" w:hAnsi="Arial" w:cs="Arial"/>
          <w:bCs/>
          <w:spacing w:val="-3"/>
          <w:sz w:val="24"/>
          <w:szCs w:val="24"/>
          <w:lang w:val="es-ES_tradnl"/>
        </w:rPr>
        <w:t>l</w:t>
      </w:r>
      <w:r w:rsidR="00374AA0">
        <w:rPr>
          <w:rFonts w:ascii="Arial" w:hAnsi="Arial" w:cs="Arial"/>
          <w:bCs/>
          <w:spacing w:val="-3"/>
          <w:sz w:val="24"/>
          <w:szCs w:val="24"/>
          <w:lang w:val="es-ES_tradnl"/>
        </w:rPr>
        <w:t xml:space="preserve">a Subdirectora de Ingresos del Municipio de Oaxaca de Juárez </w:t>
      </w:r>
      <w:r w:rsidR="00B00DD7">
        <w:rPr>
          <w:rFonts w:ascii="Arial" w:hAnsi="Arial" w:cs="Arial"/>
          <w:bCs/>
          <w:spacing w:val="-3"/>
          <w:sz w:val="24"/>
          <w:szCs w:val="24"/>
          <w:lang w:val="es-ES_tradnl"/>
        </w:rPr>
        <w:t>le impone una multa en cantidad de $</w:t>
      </w:r>
      <w:r w:rsidR="00374AA0">
        <w:rPr>
          <w:rFonts w:ascii="Arial" w:hAnsi="Arial" w:cs="Arial"/>
          <w:bCs/>
          <w:spacing w:val="-3"/>
          <w:sz w:val="24"/>
          <w:szCs w:val="24"/>
          <w:lang w:val="es-ES_tradnl"/>
        </w:rPr>
        <w:t>18</w:t>
      </w:r>
      <w:r w:rsidR="00E6608F">
        <w:rPr>
          <w:rFonts w:ascii="Arial" w:hAnsi="Arial" w:cs="Arial"/>
          <w:bCs/>
          <w:spacing w:val="-3"/>
          <w:sz w:val="24"/>
          <w:szCs w:val="24"/>
          <w:lang w:val="es-ES_tradnl"/>
        </w:rPr>
        <w:t>,</w:t>
      </w:r>
      <w:r w:rsidR="00374AA0">
        <w:rPr>
          <w:rFonts w:ascii="Arial" w:hAnsi="Arial" w:cs="Arial"/>
          <w:bCs/>
          <w:spacing w:val="-3"/>
          <w:sz w:val="24"/>
          <w:szCs w:val="24"/>
          <w:lang w:val="es-ES_tradnl"/>
        </w:rPr>
        <w:t>911.34 (dieciocho</w:t>
      </w:r>
      <w:r w:rsidR="00115A6C">
        <w:rPr>
          <w:rFonts w:ascii="Arial" w:hAnsi="Arial" w:cs="Arial"/>
          <w:bCs/>
          <w:spacing w:val="-3"/>
          <w:sz w:val="24"/>
          <w:szCs w:val="24"/>
          <w:lang w:val="es-ES_tradnl"/>
        </w:rPr>
        <w:t xml:space="preserve"> mil </w:t>
      </w:r>
      <w:r w:rsidR="00374AA0">
        <w:rPr>
          <w:rFonts w:ascii="Arial" w:hAnsi="Arial" w:cs="Arial"/>
          <w:bCs/>
          <w:spacing w:val="-3"/>
          <w:sz w:val="24"/>
          <w:szCs w:val="24"/>
          <w:lang w:val="es-ES_tradnl"/>
        </w:rPr>
        <w:t>novecientos once pesos 34</w:t>
      </w:r>
      <w:r w:rsidR="00115A6C">
        <w:rPr>
          <w:rFonts w:ascii="Arial" w:hAnsi="Arial" w:cs="Arial"/>
          <w:bCs/>
          <w:spacing w:val="-3"/>
          <w:sz w:val="24"/>
          <w:szCs w:val="24"/>
          <w:lang w:val="es-ES_tradnl"/>
        </w:rPr>
        <w:t>/100 M.N.)</w:t>
      </w:r>
      <w:r w:rsidR="00B00DD7">
        <w:rPr>
          <w:rFonts w:ascii="Arial" w:hAnsi="Arial" w:cs="Arial"/>
          <w:bCs/>
          <w:spacing w:val="-3"/>
          <w:sz w:val="24"/>
          <w:szCs w:val="24"/>
          <w:lang w:val="es-ES_tradnl"/>
        </w:rPr>
        <w:t xml:space="preserve"> por </w:t>
      </w:r>
      <w:r w:rsidR="00374AA0">
        <w:rPr>
          <w:rFonts w:ascii="Arial" w:hAnsi="Arial" w:cs="Arial"/>
          <w:bCs/>
          <w:spacing w:val="-3"/>
          <w:sz w:val="24"/>
          <w:szCs w:val="24"/>
          <w:lang w:val="es-ES_tradnl"/>
        </w:rPr>
        <w:t>falta de pago oportuno de</w:t>
      </w:r>
      <w:r w:rsidR="00C11C7D">
        <w:rPr>
          <w:rFonts w:ascii="Arial" w:hAnsi="Arial" w:cs="Arial"/>
          <w:bCs/>
          <w:spacing w:val="-3"/>
          <w:sz w:val="24"/>
          <w:szCs w:val="24"/>
          <w:lang w:val="es-ES_tradnl"/>
        </w:rPr>
        <w:t xml:space="preserve"> l</w:t>
      </w:r>
      <w:r w:rsidR="00374AA0">
        <w:rPr>
          <w:rFonts w:ascii="Arial" w:hAnsi="Arial" w:cs="Arial"/>
          <w:bCs/>
          <w:spacing w:val="-3"/>
          <w:sz w:val="24"/>
          <w:szCs w:val="24"/>
          <w:lang w:val="es-ES_tradnl"/>
        </w:rPr>
        <w:t>icencia de enajenación de bebidas alcohólicas y otras licencias de funcionamiento</w:t>
      </w:r>
      <w:r w:rsidR="00143037">
        <w:rPr>
          <w:rFonts w:ascii="Arial" w:hAnsi="Arial" w:cs="Arial"/>
          <w:bCs/>
          <w:spacing w:val="-3"/>
          <w:sz w:val="24"/>
          <w:szCs w:val="24"/>
          <w:lang w:val="es-ES_tradnl"/>
        </w:rPr>
        <w:t>.</w:t>
      </w:r>
    </w:p>
    <w:p w14:paraId="5DA5379D" w14:textId="77777777" w:rsidR="001C4867" w:rsidRPr="00BB1B71" w:rsidRDefault="00875701" w:rsidP="001C4867">
      <w:pPr>
        <w:spacing w:line="360" w:lineRule="auto"/>
        <w:ind w:firstLine="567"/>
        <w:jc w:val="both"/>
        <w:rPr>
          <w:rFonts w:ascii="Arial" w:hAnsi="Arial" w:cs="Arial"/>
          <w:bCs/>
          <w:spacing w:val="-3"/>
          <w:sz w:val="24"/>
          <w:szCs w:val="24"/>
          <w:lang w:val="es-ES_tradnl"/>
        </w:rPr>
      </w:pPr>
      <w:proofErr w:type="gramStart"/>
      <w:r w:rsidRPr="00875701">
        <w:rPr>
          <w:rFonts w:ascii="Arial" w:hAnsi="Arial" w:cs="Arial"/>
          <w:b/>
          <w:bCs/>
          <w:spacing w:val="-3"/>
          <w:sz w:val="24"/>
          <w:szCs w:val="24"/>
          <w:lang w:val="es-ES_tradnl"/>
        </w:rPr>
        <w:t>SEGUNDO.-</w:t>
      </w:r>
      <w:proofErr w:type="gramEnd"/>
      <w:r>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sidR="00AA30E5">
        <w:rPr>
          <w:rFonts w:ascii="Arial" w:hAnsi="Arial" w:cs="Arial"/>
          <w:bCs/>
          <w:spacing w:val="-3"/>
          <w:sz w:val="24"/>
          <w:szCs w:val="24"/>
          <w:lang w:val="es-ES_tradnl"/>
        </w:rPr>
        <w:t>acuerdo de diecisiete</w:t>
      </w:r>
      <w:r>
        <w:rPr>
          <w:rFonts w:ascii="Arial" w:hAnsi="Arial" w:cs="Arial"/>
          <w:bCs/>
          <w:spacing w:val="-3"/>
          <w:sz w:val="24"/>
          <w:szCs w:val="24"/>
          <w:lang w:val="es-ES_tradnl"/>
        </w:rPr>
        <w:t xml:space="preserve"> de </w:t>
      </w:r>
      <w:r w:rsidR="00AA30E5">
        <w:rPr>
          <w:rFonts w:ascii="Arial" w:hAnsi="Arial" w:cs="Arial"/>
          <w:bCs/>
          <w:spacing w:val="-3"/>
          <w:sz w:val="24"/>
          <w:szCs w:val="24"/>
          <w:lang w:val="es-ES_tradnl"/>
        </w:rPr>
        <w:t>enero</w:t>
      </w:r>
      <w:r>
        <w:rPr>
          <w:rFonts w:ascii="Arial" w:hAnsi="Arial" w:cs="Arial"/>
          <w:bCs/>
          <w:spacing w:val="-3"/>
          <w:sz w:val="24"/>
          <w:szCs w:val="24"/>
          <w:lang w:val="es-ES_tradnl"/>
        </w:rPr>
        <w:t xml:space="preserve"> indicado</w:t>
      </w:r>
      <w:r w:rsidR="001C4867" w:rsidRPr="00BB1B71">
        <w:rPr>
          <w:rFonts w:ascii="Arial" w:hAnsi="Arial" w:cs="Arial"/>
          <w:bCs/>
          <w:spacing w:val="-3"/>
          <w:sz w:val="24"/>
          <w:szCs w:val="24"/>
          <w:lang w:val="es-ES_tradnl"/>
        </w:rPr>
        <w:t xml:space="preserve">, se admitió a trámite la demanda, ordenándose notificar, emplazar y correr traslado a la autoridad demandada, para que produjera su contestación en los términos de ley. </w:t>
      </w:r>
    </w:p>
    <w:p w14:paraId="26535D86" w14:textId="2FB997EF" w:rsidR="00F76724" w:rsidRDefault="00875701" w:rsidP="001C4867">
      <w:pPr>
        <w:spacing w:line="360" w:lineRule="auto"/>
        <w:ind w:firstLine="567"/>
        <w:jc w:val="both"/>
        <w:rPr>
          <w:rFonts w:ascii="Arial" w:hAnsi="Arial" w:cs="Arial"/>
          <w:bCs/>
          <w:spacing w:val="-3"/>
          <w:sz w:val="24"/>
          <w:szCs w:val="24"/>
          <w:lang w:val="es-ES_tradnl"/>
        </w:rPr>
      </w:pPr>
      <w:proofErr w:type="gramStart"/>
      <w:r>
        <w:rPr>
          <w:rFonts w:ascii="Arial" w:hAnsi="Arial" w:cs="Arial"/>
          <w:b/>
          <w:spacing w:val="-3"/>
          <w:sz w:val="24"/>
          <w:szCs w:val="24"/>
          <w:lang w:val="es-ES_tradnl"/>
        </w:rPr>
        <w:t>TERCER</w:t>
      </w:r>
      <w:r w:rsidR="001C4867" w:rsidRPr="00BB1B71">
        <w:rPr>
          <w:rFonts w:ascii="Arial" w:hAnsi="Arial" w:cs="Arial"/>
          <w:b/>
          <w:spacing w:val="-3"/>
          <w:sz w:val="24"/>
          <w:szCs w:val="24"/>
          <w:lang w:val="es-ES_tradnl"/>
        </w:rPr>
        <w:t>O.-</w:t>
      </w:r>
      <w:proofErr w:type="gramEnd"/>
      <w:r w:rsidR="001C4867" w:rsidRPr="00BB1B71">
        <w:rPr>
          <w:rFonts w:ascii="Arial" w:hAnsi="Arial" w:cs="Arial"/>
          <w:bCs/>
          <w:spacing w:val="-3"/>
          <w:sz w:val="24"/>
          <w:szCs w:val="24"/>
          <w:lang w:val="es-ES_tradnl"/>
        </w:rPr>
        <w:t xml:space="preserve"> </w:t>
      </w:r>
      <w:r w:rsidR="00E62D02">
        <w:rPr>
          <w:rFonts w:ascii="Arial" w:hAnsi="Arial" w:cs="Arial"/>
          <w:bCs/>
          <w:spacing w:val="-3"/>
          <w:sz w:val="24"/>
          <w:szCs w:val="24"/>
          <w:lang w:val="es-ES_tradnl"/>
        </w:rPr>
        <w:t>Mediante o</w:t>
      </w:r>
      <w:r w:rsidR="00AA30E5">
        <w:rPr>
          <w:rFonts w:ascii="Arial" w:hAnsi="Arial" w:cs="Arial"/>
          <w:bCs/>
          <w:spacing w:val="-3"/>
          <w:sz w:val="24"/>
          <w:szCs w:val="24"/>
          <w:lang w:val="es-ES_tradnl"/>
        </w:rPr>
        <w:t xml:space="preserve">ficio número </w:t>
      </w:r>
      <w:r w:rsidR="00C37885">
        <w:rPr>
          <w:rFonts w:ascii="Arial" w:hAnsi="Arial" w:cs="Arial"/>
          <w:bCs/>
          <w:spacing w:val="-3"/>
          <w:sz w:val="24"/>
          <w:szCs w:val="24"/>
          <w:lang w:val="es-ES_tradnl"/>
        </w:rPr>
        <w:t>**********</w:t>
      </w:r>
      <w:r w:rsidR="00AA30E5">
        <w:rPr>
          <w:rFonts w:ascii="Arial" w:hAnsi="Arial" w:cs="Arial"/>
          <w:bCs/>
          <w:spacing w:val="-3"/>
          <w:sz w:val="24"/>
          <w:szCs w:val="24"/>
          <w:lang w:val="es-ES_tradnl"/>
        </w:rPr>
        <w:t xml:space="preserve"> de dieciocho de febrero </w:t>
      </w:r>
      <w:r w:rsidR="00E62D02">
        <w:rPr>
          <w:rFonts w:ascii="Arial" w:hAnsi="Arial" w:cs="Arial"/>
          <w:bCs/>
          <w:spacing w:val="-3"/>
          <w:sz w:val="24"/>
          <w:szCs w:val="24"/>
          <w:lang w:val="es-ES_tradnl"/>
        </w:rPr>
        <w:t xml:space="preserve">de dos mil </w:t>
      </w:r>
      <w:r w:rsidR="00F76724">
        <w:rPr>
          <w:rFonts w:ascii="Arial" w:hAnsi="Arial" w:cs="Arial"/>
          <w:bCs/>
          <w:spacing w:val="-3"/>
          <w:sz w:val="24"/>
          <w:szCs w:val="24"/>
          <w:lang w:val="es-ES_tradnl"/>
        </w:rPr>
        <w:t>veint</w:t>
      </w:r>
      <w:r w:rsidR="00115A6C">
        <w:rPr>
          <w:rFonts w:ascii="Arial" w:hAnsi="Arial" w:cs="Arial"/>
          <w:bCs/>
          <w:spacing w:val="-3"/>
          <w:sz w:val="24"/>
          <w:szCs w:val="24"/>
          <w:lang w:val="es-ES_tradnl"/>
        </w:rPr>
        <w:t>e</w:t>
      </w:r>
      <w:r w:rsidR="00AA30E5">
        <w:rPr>
          <w:rFonts w:ascii="Arial" w:hAnsi="Arial" w:cs="Arial"/>
          <w:bCs/>
          <w:spacing w:val="-3"/>
          <w:sz w:val="24"/>
          <w:szCs w:val="24"/>
          <w:lang w:val="es-ES_tradnl"/>
        </w:rPr>
        <w:t>, la Subd</w:t>
      </w:r>
      <w:r w:rsidR="00E62D02">
        <w:rPr>
          <w:rFonts w:ascii="Arial" w:hAnsi="Arial" w:cs="Arial"/>
          <w:bCs/>
          <w:spacing w:val="-3"/>
          <w:sz w:val="24"/>
          <w:szCs w:val="24"/>
          <w:lang w:val="es-ES_tradnl"/>
        </w:rPr>
        <w:t>irectora de Ingresos de</w:t>
      </w:r>
      <w:r w:rsidR="00AA30E5">
        <w:rPr>
          <w:rFonts w:ascii="Arial" w:hAnsi="Arial" w:cs="Arial"/>
          <w:bCs/>
          <w:spacing w:val="-3"/>
          <w:sz w:val="24"/>
          <w:szCs w:val="24"/>
          <w:lang w:val="es-ES_tradnl"/>
        </w:rPr>
        <w:t>l Municipio de Oaxaca de Juárez</w:t>
      </w:r>
      <w:r w:rsidR="00E62D02">
        <w:rPr>
          <w:rFonts w:ascii="Arial" w:hAnsi="Arial" w:cs="Arial"/>
          <w:bCs/>
          <w:spacing w:val="-3"/>
          <w:sz w:val="24"/>
          <w:szCs w:val="24"/>
          <w:lang w:val="es-ES_tradnl"/>
        </w:rPr>
        <w:t>, produjo su contestación de demanda.</w:t>
      </w:r>
    </w:p>
    <w:p w14:paraId="6737AF33" w14:textId="77777777" w:rsidR="00F153C9" w:rsidRPr="00BB1B71" w:rsidRDefault="00F76724" w:rsidP="001C4867">
      <w:pPr>
        <w:spacing w:line="360" w:lineRule="auto"/>
        <w:ind w:firstLine="567"/>
        <w:jc w:val="both"/>
        <w:rPr>
          <w:rFonts w:ascii="Arial" w:hAnsi="Arial" w:cs="Arial"/>
          <w:bCs/>
          <w:spacing w:val="-3"/>
          <w:sz w:val="24"/>
          <w:szCs w:val="24"/>
          <w:lang w:val="es-ES_tradnl"/>
        </w:rPr>
      </w:pPr>
      <w:proofErr w:type="gramStart"/>
      <w:r w:rsidRPr="00F76724">
        <w:rPr>
          <w:rFonts w:ascii="Arial" w:hAnsi="Arial" w:cs="Arial"/>
          <w:b/>
          <w:bCs/>
          <w:spacing w:val="-3"/>
          <w:sz w:val="24"/>
          <w:szCs w:val="24"/>
          <w:lang w:val="es-ES_tradnl"/>
        </w:rPr>
        <w:t>CUARTO.-</w:t>
      </w:r>
      <w:proofErr w:type="gramEnd"/>
      <w:r w:rsidR="00E62D02">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Pr>
          <w:rFonts w:ascii="Arial" w:hAnsi="Arial" w:cs="Arial"/>
          <w:bCs/>
          <w:spacing w:val="-3"/>
          <w:sz w:val="24"/>
          <w:szCs w:val="24"/>
          <w:lang w:val="es-ES_tradnl"/>
        </w:rPr>
        <w:t>auto</w:t>
      </w:r>
      <w:r w:rsidR="001C4867" w:rsidRPr="00BB1B71">
        <w:rPr>
          <w:rFonts w:ascii="Arial" w:hAnsi="Arial" w:cs="Arial"/>
          <w:bCs/>
          <w:spacing w:val="-3"/>
          <w:sz w:val="24"/>
          <w:szCs w:val="24"/>
          <w:lang w:val="es-ES_tradnl"/>
        </w:rPr>
        <w:t xml:space="preserve"> de fecha </w:t>
      </w:r>
      <w:r>
        <w:rPr>
          <w:rFonts w:ascii="Arial" w:hAnsi="Arial" w:cs="Arial"/>
          <w:bCs/>
          <w:spacing w:val="-3"/>
          <w:sz w:val="24"/>
          <w:szCs w:val="24"/>
          <w:lang w:val="es-ES_tradnl"/>
        </w:rPr>
        <w:t>dieci</w:t>
      </w:r>
      <w:r w:rsidR="00AA30E5">
        <w:rPr>
          <w:rFonts w:ascii="Arial" w:hAnsi="Arial" w:cs="Arial"/>
          <w:bCs/>
          <w:spacing w:val="-3"/>
          <w:sz w:val="24"/>
          <w:szCs w:val="24"/>
          <w:lang w:val="es-ES_tradnl"/>
        </w:rPr>
        <w:t xml:space="preserve">siete de marzo </w:t>
      </w:r>
      <w:r w:rsidR="00A84402">
        <w:rPr>
          <w:rFonts w:ascii="Arial" w:hAnsi="Arial" w:cs="Arial"/>
          <w:bCs/>
          <w:spacing w:val="-3"/>
          <w:sz w:val="24"/>
          <w:szCs w:val="24"/>
          <w:lang w:val="es-ES_tradnl"/>
        </w:rPr>
        <w:t>d</w:t>
      </w:r>
      <w:r>
        <w:rPr>
          <w:rFonts w:ascii="Arial" w:hAnsi="Arial" w:cs="Arial"/>
          <w:bCs/>
          <w:spacing w:val="-3"/>
          <w:sz w:val="24"/>
          <w:szCs w:val="24"/>
          <w:lang w:val="es-ES_tradnl"/>
        </w:rPr>
        <w:t xml:space="preserve">e dos mil </w:t>
      </w:r>
      <w:r w:rsidR="00EF0E6E">
        <w:rPr>
          <w:rFonts w:ascii="Arial" w:hAnsi="Arial" w:cs="Arial"/>
          <w:bCs/>
          <w:spacing w:val="-3"/>
          <w:sz w:val="24"/>
          <w:szCs w:val="24"/>
          <w:lang w:val="es-ES_tradnl"/>
        </w:rPr>
        <w:t>veint</w:t>
      </w:r>
      <w:r w:rsidR="00AA30E5">
        <w:rPr>
          <w:rFonts w:ascii="Arial" w:hAnsi="Arial" w:cs="Arial"/>
          <w:bCs/>
          <w:spacing w:val="-3"/>
          <w:sz w:val="24"/>
          <w:szCs w:val="24"/>
          <w:lang w:val="es-ES_tradnl"/>
        </w:rPr>
        <w:t>e</w:t>
      </w:r>
      <w:r w:rsidR="00E62D02">
        <w:rPr>
          <w:rFonts w:ascii="Arial" w:hAnsi="Arial" w:cs="Arial"/>
          <w:bCs/>
          <w:spacing w:val="-3"/>
          <w:sz w:val="24"/>
          <w:szCs w:val="24"/>
          <w:lang w:val="es-ES_tradnl"/>
        </w:rPr>
        <w:t xml:space="preserve">, se </w:t>
      </w:r>
      <w:r w:rsidR="001C4867" w:rsidRPr="00BB1B71">
        <w:rPr>
          <w:rFonts w:ascii="Arial" w:hAnsi="Arial" w:cs="Arial"/>
          <w:bCs/>
          <w:spacing w:val="-3"/>
          <w:sz w:val="24"/>
          <w:szCs w:val="24"/>
          <w:lang w:val="es-ES_tradnl"/>
        </w:rPr>
        <w:t>tuvo</w:t>
      </w:r>
      <w:r w:rsidR="00E46AFE">
        <w:rPr>
          <w:rFonts w:ascii="Arial" w:hAnsi="Arial" w:cs="Arial"/>
          <w:bCs/>
          <w:spacing w:val="-3"/>
          <w:sz w:val="24"/>
          <w:szCs w:val="24"/>
          <w:lang w:val="es-ES_tradnl"/>
        </w:rPr>
        <w:t xml:space="preserve"> por contestada</w:t>
      </w:r>
      <w:r w:rsidR="001C4867" w:rsidRPr="00BB1B71">
        <w:rPr>
          <w:rFonts w:ascii="Arial" w:hAnsi="Arial" w:cs="Arial"/>
          <w:bCs/>
          <w:spacing w:val="-3"/>
          <w:sz w:val="24"/>
          <w:szCs w:val="24"/>
          <w:lang w:val="es-ES_tradnl"/>
        </w:rPr>
        <w:t xml:space="preserve"> la demanda</w:t>
      </w:r>
      <w:r w:rsidR="00E46AFE">
        <w:rPr>
          <w:rFonts w:ascii="Arial" w:hAnsi="Arial" w:cs="Arial"/>
          <w:bCs/>
          <w:spacing w:val="-3"/>
          <w:sz w:val="24"/>
          <w:szCs w:val="24"/>
          <w:lang w:val="es-ES_tradnl"/>
        </w:rPr>
        <w:t xml:space="preserve"> en los términos en que se</w:t>
      </w:r>
      <w:r w:rsidR="001C4867" w:rsidRPr="00BB1B71">
        <w:rPr>
          <w:rFonts w:ascii="Arial" w:hAnsi="Arial" w:cs="Arial"/>
          <w:bCs/>
          <w:spacing w:val="-3"/>
          <w:sz w:val="24"/>
          <w:szCs w:val="24"/>
          <w:lang w:val="es-ES_tradnl"/>
        </w:rPr>
        <w:t xml:space="preserve"> hizo, y se tuvieron por admitidas las </w:t>
      </w:r>
      <w:r w:rsidR="001C4867" w:rsidRPr="00BB1B71">
        <w:rPr>
          <w:rFonts w:ascii="Arial" w:hAnsi="Arial" w:cs="Arial"/>
          <w:bCs/>
          <w:spacing w:val="-3"/>
          <w:sz w:val="24"/>
          <w:szCs w:val="24"/>
          <w:lang w:val="es-ES_tradnl"/>
        </w:rPr>
        <w:lastRenderedPageBreak/>
        <w:t>pruebas que ofreció</w:t>
      </w:r>
      <w:r w:rsidR="00AA30E5">
        <w:rPr>
          <w:rFonts w:ascii="Arial" w:hAnsi="Arial" w:cs="Arial"/>
          <w:bCs/>
          <w:spacing w:val="-3"/>
          <w:sz w:val="24"/>
          <w:szCs w:val="24"/>
          <w:lang w:val="es-ES_tradnl"/>
        </w:rPr>
        <w:t>, ordenándose correr traslado a la actora para los efectos legales correspondientes.</w:t>
      </w:r>
    </w:p>
    <w:p w14:paraId="5E492958" w14:textId="77777777" w:rsidR="00B35954" w:rsidRDefault="001F4C6A" w:rsidP="001C4867">
      <w:pPr>
        <w:spacing w:line="360" w:lineRule="auto"/>
        <w:ind w:firstLine="567"/>
        <w:jc w:val="both"/>
        <w:rPr>
          <w:rFonts w:ascii="Arial" w:hAnsi="Arial" w:cs="Arial"/>
          <w:bCs/>
          <w:spacing w:val="-3"/>
          <w:sz w:val="24"/>
          <w:szCs w:val="24"/>
          <w:lang w:val="es-ES_tradnl"/>
        </w:rPr>
      </w:pPr>
      <w:proofErr w:type="gramStart"/>
      <w:r>
        <w:rPr>
          <w:rFonts w:ascii="Arial" w:hAnsi="Arial" w:cs="Arial"/>
          <w:b/>
          <w:spacing w:val="-3"/>
          <w:sz w:val="24"/>
          <w:szCs w:val="24"/>
          <w:lang w:val="es-ES_tradnl"/>
        </w:rPr>
        <w:t>QUINTO</w:t>
      </w:r>
      <w:r w:rsidR="001C4867" w:rsidRPr="00BB1B71">
        <w:rPr>
          <w:rFonts w:ascii="Arial" w:hAnsi="Arial" w:cs="Arial"/>
          <w:b/>
          <w:spacing w:val="-3"/>
          <w:sz w:val="24"/>
          <w:szCs w:val="24"/>
          <w:lang w:val="es-ES_tradnl"/>
        </w:rPr>
        <w:t>.-</w:t>
      </w:r>
      <w:proofErr w:type="gramEnd"/>
      <w:r w:rsidR="001C4867" w:rsidRPr="00BB1B71">
        <w:rPr>
          <w:rFonts w:ascii="Arial" w:hAnsi="Arial" w:cs="Arial"/>
          <w:bCs/>
          <w:spacing w:val="-3"/>
          <w:sz w:val="24"/>
          <w:szCs w:val="24"/>
          <w:lang w:val="es-ES_tradnl"/>
        </w:rPr>
        <w:t xml:space="preserve"> </w:t>
      </w:r>
      <w:r w:rsidR="00AA30E5">
        <w:rPr>
          <w:rFonts w:ascii="Arial" w:hAnsi="Arial" w:cs="Arial"/>
          <w:bCs/>
          <w:spacing w:val="-3"/>
          <w:sz w:val="24"/>
          <w:szCs w:val="24"/>
          <w:lang w:val="es-ES_tradnl"/>
        </w:rPr>
        <w:t>Mediante acta levantada el tres</w:t>
      </w:r>
      <w:r w:rsidR="002D7387">
        <w:rPr>
          <w:rFonts w:ascii="Arial" w:hAnsi="Arial" w:cs="Arial"/>
          <w:bCs/>
          <w:spacing w:val="-3"/>
          <w:sz w:val="24"/>
          <w:szCs w:val="24"/>
          <w:lang w:val="es-ES_tradnl"/>
        </w:rPr>
        <w:t xml:space="preserve"> de marzo</w:t>
      </w:r>
      <w:r w:rsidR="00F667CC">
        <w:rPr>
          <w:rFonts w:ascii="Arial" w:hAnsi="Arial" w:cs="Arial"/>
          <w:bCs/>
          <w:spacing w:val="-3"/>
          <w:sz w:val="24"/>
          <w:szCs w:val="24"/>
          <w:lang w:val="es-ES_tradnl"/>
        </w:rPr>
        <w:t xml:space="preserve"> de dos mil </w:t>
      </w:r>
      <w:r w:rsidR="002D7387">
        <w:rPr>
          <w:rFonts w:ascii="Arial" w:hAnsi="Arial" w:cs="Arial"/>
          <w:bCs/>
          <w:spacing w:val="-3"/>
          <w:sz w:val="24"/>
          <w:szCs w:val="24"/>
          <w:lang w:val="es-ES_tradnl"/>
        </w:rPr>
        <w:t>veintidós</w:t>
      </w:r>
      <w:r w:rsidR="00F667CC">
        <w:rPr>
          <w:rFonts w:ascii="Arial" w:hAnsi="Arial" w:cs="Arial"/>
          <w:bCs/>
          <w:spacing w:val="-3"/>
          <w:sz w:val="24"/>
          <w:szCs w:val="24"/>
          <w:lang w:val="es-ES_tradnl"/>
        </w:rPr>
        <w:t xml:space="preserve"> se celebró</w:t>
      </w:r>
      <w:r w:rsidR="00B07C1F">
        <w:rPr>
          <w:rFonts w:ascii="Arial" w:hAnsi="Arial" w:cs="Arial"/>
          <w:bCs/>
          <w:spacing w:val="-3"/>
          <w:sz w:val="24"/>
          <w:szCs w:val="24"/>
          <w:lang w:val="es-ES_tradnl"/>
        </w:rPr>
        <w:t xml:space="preserve"> </w:t>
      </w:r>
      <w:r w:rsidR="00F667CC">
        <w:rPr>
          <w:rFonts w:ascii="Arial" w:hAnsi="Arial" w:cs="Arial"/>
          <w:bCs/>
          <w:spacing w:val="-3"/>
          <w:sz w:val="24"/>
          <w:szCs w:val="24"/>
          <w:lang w:val="es-ES_tradnl"/>
        </w:rPr>
        <w:t>la audi</w:t>
      </w:r>
      <w:r w:rsidR="00B07C1F">
        <w:rPr>
          <w:rFonts w:ascii="Arial" w:hAnsi="Arial" w:cs="Arial"/>
          <w:bCs/>
          <w:spacing w:val="-3"/>
          <w:sz w:val="24"/>
          <w:szCs w:val="24"/>
          <w:lang w:val="es-ES_tradnl"/>
        </w:rPr>
        <w:t>e</w:t>
      </w:r>
      <w:r w:rsidR="00F667CC">
        <w:rPr>
          <w:rFonts w:ascii="Arial" w:hAnsi="Arial" w:cs="Arial"/>
          <w:bCs/>
          <w:spacing w:val="-3"/>
          <w:sz w:val="24"/>
          <w:szCs w:val="24"/>
          <w:lang w:val="es-ES_tradnl"/>
        </w:rPr>
        <w:t>ncia</w:t>
      </w:r>
      <w:r w:rsidR="00B07C1F">
        <w:rPr>
          <w:rFonts w:ascii="Arial" w:hAnsi="Arial" w:cs="Arial"/>
          <w:bCs/>
          <w:spacing w:val="-3"/>
          <w:sz w:val="24"/>
          <w:szCs w:val="24"/>
          <w:lang w:val="es-ES_tradnl"/>
        </w:rPr>
        <w:t xml:space="preserve"> fi</w:t>
      </w:r>
      <w:r w:rsidR="00F667CC">
        <w:rPr>
          <w:rFonts w:ascii="Arial" w:hAnsi="Arial" w:cs="Arial"/>
          <w:bCs/>
          <w:spacing w:val="-3"/>
          <w:sz w:val="24"/>
          <w:szCs w:val="24"/>
          <w:lang w:val="es-ES_tradnl"/>
        </w:rPr>
        <w:t>n</w:t>
      </w:r>
      <w:r w:rsidR="00B07C1F">
        <w:rPr>
          <w:rFonts w:ascii="Arial" w:hAnsi="Arial" w:cs="Arial"/>
          <w:bCs/>
          <w:spacing w:val="-3"/>
          <w:sz w:val="24"/>
          <w:szCs w:val="24"/>
          <w:lang w:val="es-ES_tradnl"/>
        </w:rPr>
        <w:t>al en el juicio, por lo que se emite la presente sen</w:t>
      </w:r>
      <w:r w:rsidR="00F667CC">
        <w:rPr>
          <w:rFonts w:ascii="Arial" w:hAnsi="Arial" w:cs="Arial"/>
          <w:bCs/>
          <w:spacing w:val="-3"/>
          <w:sz w:val="24"/>
          <w:szCs w:val="24"/>
          <w:lang w:val="es-ES_tradnl"/>
        </w:rPr>
        <w:t>ten</w:t>
      </w:r>
      <w:r w:rsidR="00B07C1F">
        <w:rPr>
          <w:rFonts w:ascii="Arial" w:hAnsi="Arial" w:cs="Arial"/>
          <w:bCs/>
          <w:spacing w:val="-3"/>
          <w:sz w:val="24"/>
          <w:szCs w:val="24"/>
          <w:lang w:val="es-ES_tradnl"/>
        </w:rPr>
        <w:t>cia, y;</w:t>
      </w:r>
      <w:r w:rsidR="00556738">
        <w:rPr>
          <w:rFonts w:ascii="Arial" w:hAnsi="Arial" w:cs="Arial"/>
          <w:bCs/>
          <w:spacing w:val="-3"/>
          <w:sz w:val="24"/>
          <w:szCs w:val="24"/>
          <w:lang w:val="es-ES_tradnl"/>
        </w:rPr>
        <w:t xml:space="preserve"> </w:t>
      </w:r>
    </w:p>
    <w:p w14:paraId="37C3EB70" w14:textId="77777777" w:rsidR="001C4867" w:rsidRPr="00BB1B71" w:rsidRDefault="001C4867" w:rsidP="001C4867">
      <w:pPr>
        <w:spacing w:line="360" w:lineRule="auto"/>
        <w:jc w:val="both"/>
        <w:rPr>
          <w:rFonts w:ascii="Arial" w:hAnsi="Arial" w:cs="Arial"/>
          <w:b/>
          <w:spacing w:val="-3"/>
          <w:sz w:val="24"/>
          <w:szCs w:val="24"/>
          <w:lang w:val="es-ES_tradnl"/>
        </w:rPr>
      </w:pP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t>C O N S I D E R A N D O:</w:t>
      </w:r>
    </w:p>
    <w:p w14:paraId="722BF2B0" w14:textId="77777777" w:rsidR="001B4717" w:rsidRPr="001B4717" w:rsidRDefault="001C486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BB1B71">
        <w:rPr>
          <w:rFonts w:ascii="Arial" w:hAnsi="Arial" w:cs="Arial"/>
          <w:b/>
          <w:sz w:val="24"/>
          <w:szCs w:val="24"/>
        </w:rPr>
        <w:t xml:space="preserve">PRIMERO. </w:t>
      </w:r>
      <w:r w:rsidR="001B4717" w:rsidRPr="001B4717">
        <w:rPr>
          <w:rFonts w:ascii="Arial" w:eastAsia="Arial" w:hAnsi="Arial" w:cs="Arial"/>
          <w:b/>
          <w:color w:val="000000"/>
          <w:sz w:val="24"/>
          <w:szCs w:val="24"/>
        </w:rPr>
        <w:t xml:space="preserve">Competencia. </w:t>
      </w:r>
      <w:r w:rsidR="001B4717" w:rsidRPr="001B4717">
        <w:rPr>
          <w:rFonts w:ascii="Arial" w:eastAsia="Arial" w:hAnsi="Arial" w:cs="Arial"/>
          <w:color w:val="000000"/>
          <w:sz w:val="24"/>
          <w:szCs w:val="24"/>
        </w:rPr>
        <w:t xml:space="preserve">Esta Sexta Sala Unitaria del Tribunal de Justicia Administrativa del Estado de Oaxaca, </w:t>
      </w:r>
      <w:r w:rsidR="001B4717" w:rsidRPr="001B4717">
        <w:rPr>
          <w:rFonts w:ascii="Arial" w:eastAsia="Arial" w:hAnsi="Arial" w:cs="Arial"/>
          <w:b/>
          <w:color w:val="000000"/>
          <w:sz w:val="24"/>
          <w:szCs w:val="24"/>
        </w:rPr>
        <w:t>es competente</w:t>
      </w:r>
      <w:r w:rsidR="001B4717" w:rsidRPr="001B4717">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14:paraId="1B0A4353" w14:textId="77777777" w:rsidR="001C4867" w:rsidRDefault="001C4867" w:rsidP="001C4867">
      <w:pPr>
        <w:spacing w:line="360" w:lineRule="auto"/>
        <w:ind w:firstLine="567"/>
        <w:jc w:val="both"/>
        <w:rPr>
          <w:rFonts w:ascii="Arial" w:hAnsi="Arial" w:cs="Arial"/>
          <w:bCs/>
          <w:snapToGrid w:val="0"/>
          <w:sz w:val="24"/>
          <w:szCs w:val="24"/>
        </w:rPr>
      </w:pPr>
      <w:r w:rsidRPr="00BB1B71">
        <w:rPr>
          <w:rFonts w:ascii="Arial" w:hAnsi="Arial" w:cs="Arial"/>
          <w:b/>
          <w:snapToGrid w:val="0"/>
          <w:sz w:val="24"/>
          <w:szCs w:val="24"/>
        </w:rPr>
        <w:t xml:space="preserve">SEGUNDO. </w:t>
      </w:r>
      <w:r w:rsidR="00EC491A">
        <w:rPr>
          <w:rFonts w:ascii="Arial" w:hAnsi="Arial" w:cs="Arial"/>
          <w:b/>
          <w:snapToGrid w:val="0"/>
          <w:sz w:val="24"/>
          <w:szCs w:val="24"/>
        </w:rPr>
        <w:t xml:space="preserve">Personalidad. </w:t>
      </w:r>
      <w:r w:rsidRPr="00BB1B71">
        <w:rPr>
          <w:rFonts w:ascii="Arial" w:hAnsi="Arial" w:cs="Arial"/>
          <w:bCs/>
          <w:snapToGrid w:val="0"/>
          <w:sz w:val="24"/>
          <w:szCs w:val="24"/>
        </w:rPr>
        <w:t>La personalidad de las partes quedó acr</w:t>
      </w:r>
      <w:r w:rsidR="00B50177">
        <w:rPr>
          <w:rFonts w:ascii="Arial" w:hAnsi="Arial" w:cs="Arial"/>
          <w:bCs/>
          <w:snapToGrid w:val="0"/>
          <w:sz w:val="24"/>
          <w:szCs w:val="24"/>
        </w:rPr>
        <w:t>editada en autos en términos de los</w:t>
      </w:r>
      <w:r w:rsidRPr="00BB1B71">
        <w:rPr>
          <w:rFonts w:ascii="Arial" w:hAnsi="Arial" w:cs="Arial"/>
          <w:bCs/>
          <w:snapToGrid w:val="0"/>
          <w:sz w:val="24"/>
          <w:szCs w:val="24"/>
        </w:rPr>
        <w:t xml:space="preserve"> artículo</w:t>
      </w:r>
      <w:r w:rsidR="00B50177">
        <w:rPr>
          <w:rFonts w:ascii="Arial" w:hAnsi="Arial" w:cs="Arial"/>
          <w:bCs/>
          <w:snapToGrid w:val="0"/>
          <w:sz w:val="24"/>
          <w:szCs w:val="24"/>
        </w:rPr>
        <w:t>s</w:t>
      </w:r>
      <w:r w:rsidRPr="00BB1B71">
        <w:rPr>
          <w:rFonts w:ascii="Arial" w:hAnsi="Arial" w:cs="Arial"/>
          <w:bCs/>
          <w:snapToGrid w:val="0"/>
          <w:sz w:val="24"/>
          <w:szCs w:val="24"/>
        </w:rPr>
        <w:t xml:space="preserve"> 148 y 151 de la Ley de Procedimiento y Justicia Administrativa para el Estado de Oaxaca</w:t>
      </w:r>
      <w:r w:rsidR="00F02205">
        <w:rPr>
          <w:rFonts w:ascii="Arial" w:hAnsi="Arial" w:cs="Arial"/>
          <w:bCs/>
          <w:snapToGrid w:val="0"/>
          <w:sz w:val="24"/>
          <w:szCs w:val="24"/>
        </w:rPr>
        <w:t>.</w:t>
      </w:r>
    </w:p>
    <w:p w14:paraId="73C58484" w14:textId="77777777" w:rsidR="002B1AB3" w:rsidRPr="002B1AB3" w:rsidRDefault="00EC491A" w:rsidP="002B1AB3">
      <w:pPr>
        <w:spacing w:after="160" w:line="360" w:lineRule="auto"/>
        <w:ind w:firstLine="567"/>
        <w:jc w:val="both"/>
        <w:rPr>
          <w:rFonts w:ascii="Arial" w:eastAsia="Times New Roman" w:hAnsi="Arial" w:cs="Arial"/>
          <w:sz w:val="24"/>
          <w:szCs w:val="24"/>
          <w:lang w:val="es-ES_tradnl" w:eastAsia="es-ES"/>
        </w:rPr>
      </w:pPr>
      <w:r w:rsidRPr="00EC491A">
        <w:rPr>
          <w:rFonts w:ascii="Arial" w:eastAsia="Times New Roman" w:hAnsi="Arial" w:cs="Arial"/>
          <w:b/>
          <w:sz w:val="24"/>
          <w:szCs w:val="24"/>
          <w:lang w:val="es-ES_tradnl" w:eastAsia="es-ES"/>
        </w:rPr>
        <w:t>TERCERO.</w:t>
      </w:r>
      <w:r w:rsidR="002B1AB3">
        <w:rPr>
          <w:rFonts w:ascii="Arial" w:eastAsia="Times New Roman" w:hAnsi="Arial" w:cs="Arial"/>
          <w:b/>
          <w:sz w:val="24"/>
          <w:szCs w:val="24"/>
          <w:lang w:val="es-ES_tradnl" w:eastAsia="es-ES"/>
        </w:rPr>
        <w:t xml:space="preserve"> Existencia de la resolución Impugnada. </w:t>
      </w:r>
      <w:r w:rsidR="002B1AB3" w:rsidRPr="002B1AB3">
        <w:rPr>
          <w:rFonts w:ascii="Arial" w:eastAsia="Times New Roman" w:hAnsi="Arial" w:cs="Arial"/>
          <w:sz w:val="24"/>
          <w:szCs w:val="24"/>
          <w:lang w:val="es-ES_tradnl" w:eastAsia="es-ES"/>
        </w:rPr>
        <w:t xml:space="preserve">La existencia de la resolución impugnada quedó debidamente acreditada en autos en los términos de los artículos </w:t>
      </w:r>
      <w:r w:rsidR="00D25E2F">
        <w:rPr>
          <w:rFonts w:ascii="Arial" w:eastAsia="Times New Roman" w:hAnsi="Arial" w:cs="Arial"/>
          <w:sz w:val="24"/>
          <w:szCs w:val="24"/>
          <w:lang w:val="es-ES_tradnl" w:eastAsia="es-ES"/>
        </w:rPr>
        <w:t>286, 316 y 317 del Código</w:t>
      </w:r>
      <w:r w:rsidR="002B1AB3" w:rsidRPr="002B1AB3">
        <w:rPr>
          <w:rFonts w:ascii="Arial" w:eastAsia="Times New Roman" w:hAnsi="Arial" w:cs="Arial"/>
          <w:sz w:val="24"/>
          <w:szCs w:val="24"/>
          <w:lang w:val="es-ES_tradnl" w:eastAsia="es-ES"/>
        </w:rPr>
        <w:t xml:space="preserve"> de Procedimientos Civiles</w:t>
      </w:r>
      <w:r w:rsidR="00D25E2F">
        <w:rPr>
          <w:rFonts w:ascii="Arial" w:eastAsia="Times New Roman" w:hAnsi="Arial" w:cs="Arial"/>
          <w:sz w:val="24"/>
          <w:szCs w:val="24"/>
          <w:lang w:val="es-ES_tradnl" w:eastAsia="es-ES"/>
        </w:rPr>
        <w:t xml:space="preserve"> para el Estado de Oaxaca</w:t>
      </w:r>
      <w:r w:rsidR="002B1AB3" w:rsidRPr="002B1AB3">
        <w:rPr>
          <w:rFonts w:ascii="Arial" w:eastAsia="Times New Roman" w:hAnsi="Arial" w:cs="Arial"/>
          <w:sz w:val="24"/>
          <w:szCs w:val="24"/>
          <w:lang w:val="es-ES_tradnl" w:eastAsia="es-ES"/>
        </w:rPr>
        <w:t>, de aplicación supletoria</w:t>
      </w:r>
      <w:r w:rsidR="00D25E2F">
        <w:rPr>
          <w:rFonts w:ascii="Arial" w:eastAsia="Times New Roman" w:hAnsi="Arial" w:cs="Arial"/>
          <w:sz w:val="24"/>
          <w:szCs w:val="24"/>
          <w:lang w:val="es-ES_tradnl" w:eastAsia="es-ES"/>
        </w:rPr>
        <w:t xml:space="preserve"> en términos del artículo 3 de la Ley de Procedimiento y Justicia Administrativa para e</w:t>
      </w:r>
      <w:r w:rsidR="00D17957">
        <w:rPr>
          <w:rFonts w:ascii="Arial" w:eastAsia="Times New Roman" w:hAnsi="Arial" w:cs="Arial"/>
          <w:sz w:val="24"/>
          <w:szCs w:val="24"/>
          <w:lang w:val="es-ES_tradnl" w:eastAsia="es-ES"/>
        </w:rPr>
        <w:t>l</w:t>
      </w:r>
      <w:r w:rsidR="00D25E2F">
        <w:rPr>
          <w:rFonts w:ascii="Arial" w:eastAsia="Times New Roman" w:hAnsi="Arial" w:cs="Arial"/>
          <w:sz w:val="24"/>
          <w:szCs w:val="24"/>
          <w:lang w:val="es-ES_tradnl" w:eastAsia="es-ES"/>
        </w:rPr>
        <w:t xml:space="preserve"> Estado de Oaxaca</w:t>
      </w:r>
      <w:r w:rsidR="002B1AB3" w:rsidRPr="002B1AB3">
        <w:rPr>
          <w:rFonts w:ascii="Arial" w:eastAsia="Times New Roman" w:hAnsi="Arial" w:cs="Arial"/>
          <w:sz w:val="24"/>
          <w:szCs w:val="24"/>
          <w:lang w:val="es-ES_tradnl" w:eastAsia="es-ES"/>
        </w:rPr>
        <w:t>, con la exhibición del oficio que la contiene por parte de la actora y con el reconocimiento de su emisión por parte de la autoridad demandada.</w:t>
      </w:r>
    </w:p>
    <w:p w14:paraId="7B79B316" w14:textId="77777777" w:rsidR="00EC491A" w:rsidRPr="00EC491A" w:rsidRDefault="002B1AB3" w:rsidP="00EC491A">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00EC491A" w:rsidRPr="00EC491A">
        <w:rPr>
          <w:rFonts w:ascii="Arial" w:eastAsia="Times New Roman" w:hAnsi="Arial" w:cs="Arial"/>
          <w:b/>
          <w:sz w:val="24"/>
          <w:szCs w:val="24"/>
          <w:lang w:val="es-ES_tradnl" w:eastAsia="es-ES"/>
        </w:rPr>
        <w:t xml:space="preserve"> Causales de</w:t>
      </w:r>
      <w:r w:rsidR="00EC491A" w:rsidRPr="00EC491A">
        <w:rPr>
          <w:rFonts w:ascii="Arial" w:eastAsia="Times New Roman" w:hAnsi="Arial" w:cs="Arial"/>
          <w:sz w:val="24"/>
          <w:szCs w:val="24"/>
          <w:lang w:val="es-ES_tradnl" w:eastAsia="es-ES"/>
        </w:rPr>
        <w:t xml:space="preserve"> </w:t>
      </w:r>
      <w:r w:rsidR="00EC491A" w:rsidRPr="00EC491A">
        <w:rPr>
          <w:rFonts w:ascii="Arial" w:eastAsia="Times New Roman" w:hAnsi="Arial" w:cs="Arial"/>
          <w:b/>
          <w:sz w:val="24"/>
          <w:szCs w:val="24"/>
          <w:lang w:val="es-ES_tradnl" w:eastAsia="es-ES"/>
        </w:rPr>
        <w:t xml:space="preserve">improcedencia y sobreseimiento. </w:t>
      </w:r>
      <w:r w:rsidR="00EC491A" w:rsidRPr="00EC491A">
        <w:rPr>
          <w:rFonts w:ascii="Arial" w:eastAsia="Times New Roman" w:hAnsi="Arial" w:cs="Arial"/>
          <w:sz w:val="24"/>
          <w:szCs w:val="24"/>
          <w:lang w:val="es-ES_tradnl" w:eastAsia="es-ES"/>
        </w:rPr>
        <w:t>Por ser</w:t>
      </w:r>
      <w:r w:rsidR="00EC491A" w:rsidRPr="00EC491A">
        <w:rPr>
          <w:rFonts w:ascii="Arial" w:eastAsia="Times New Roman" w:hAnsi="Arial" w:cs="Arial"/>
          <w:b/>
          <w:sz w:val="24"/>
          <w:szCs w:val="24"/>
          <w:lang w:val="es-ES_tradnl" w:eastAsia="es-ES"/>
        </w:rPr>
        <w:t xml:space="preserve"> </w:t>
      </w:r>
      <w:r w:rsidR="00EC491A" w:rsidRPr="00EC491A">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EC491A" w:rsidRPr="00EC491A">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00EC491A" w:rsidRPr="00EC491A">
        <w:rPr>
          <w:rFonts w:ascii="Arial" w:eastAsia="Times New Roman" w:hAnsi="Arial" w:cs="Arial"/>
          <w:sz w:val="24"/>
          <w:szCs w:val="24"/>
          <w:lang w:val="es-ES_tradnl" w:eastAsia="es-ES"/>
        </w:rPr>
        <w:t xml:space="preserve"> de la Ley de Procedimiento y Justici</w:t>
      </w:r>
      <w:r w:rsidR="00EC491A">
        <w:rPr>
          <w:rFonts w:ascii="Arial" w:eastAsia="Times New Roman" w:hAnsi="Arial" w:cs="Arial"/>
          <w:sz w:val="24"/>
          <w:szCs w:val="24"/>
          <w:lang w:val="es-ES_tradnl" w:eastAsia="es-ES"/>
        </w:rPr>
        <w:t>a Administrativa para el Estado, se procede al estudio de las mismas.</w:t>
      </w:r>
    </w:p>
    <w:p w14:paraId="06D84C01" w14:textId="77777777" w:rsidR="00B955A7" w:rsidRPr="00BB1B71" w:rsidRDefault="00B955A7" w:rsidP="00B955A7">
      <w:pPr>
        <w:spacing w:line="360" w:lineRule="auto"/>
        <w:ind w:right="51" w:firstLine="567"/>
        <w:jc w:val="both"/>
        <w:rPr>
          <w:rFonts w:ascii="Arial" w:hAnsi="Arial" w:cs="Arial"/>
          <w:bCs/>
          <w:snapToGrid w:val="0"/>
          <w:sz w:val="24"/>
          <w:szCs w:val="24"/>
        </w:rPr>
      </w:pPr>
      <w:r w:rsidRPr="00BB1B71">
        <w:rPr>
          <w:rFonts w:ascii="Arial" w:hAnsi="Arial" w:cs="Arial"/>
          <w:bCs/>
          <w:snapToGrid w:val="0"/>
          <w:sz w:val="24"/>
          <w:szCs w:val="24"/>
        </w:rPr>
        <w:t xml:space="preserve">Al respecto, se advierte que en el presente asunto se actualiza la causal de improcedencia y sobreseimiento previstas en los artículos 161 fracción VI y 162 fracción II de la Ley de Procedimiento y Justicia Administrativa para el Estado de </w:t>
      </w:r>
      <w:r>
        <w:rPr>
          <w:rFonts w:ascii="Arial" w:hAnsi="Arial" w:cs="Arial"/>
          <w:bCs/>
          <w:snapToGrid w:val="0"/>
          <w:sz w:val="24"/>
          <w:szCs w:val="24"/>
        </w:rPr>
        <w:t>Oaxaca, en virtud de que la</w:t>
      </w:r>
      <w:r w:rsidRPr="00BB1B71">
        <w:rPr>
          <w:rFonts w:ascii="Arial" w:hAnsi="Arial" w:cs="Arial"/>
          <w:bCs/>
          <w:snapToGrid w:val="0"/>
          <w:sz w:val="24"/>
          <w:szCs w:val="24"/>
        </w:rPr>
        <w:t xml:space="preserve"> accionante dio su consentimiento expreso, al no </w:t>
      </w:r>
      <w:r w:rsidRPr="00BB1B71">
        <w:rPr>
          <w:rFonts w:ascii="Arial" w:hAnsi="Arial" w:cs="Arial"/>
          <w:bCs/>
          <w:snapToGrid w:val="0"/>
          <w:sz w:val="24"/>
          <w:szCs w:val="24"/>
        </w:rPr>
        <w:lastRenderedPageBreak/>
        <w:t>promover el juicio de nulidad dentro del término que le otorga la ley para tal efecto, al respecto los citados artículos textualmente di</w:t>
      </w:r>
      <w:r>
        <w:rPr>
          <w:rFonts w:ascii="Arial" w:hAnsi="Arial" w:cs="Arial"/>
          <w:bCs/>
          <w:snapToGrid w:val="0"/>
          <w:sz w:val="24"/>
          <w:szCs w:val="24"/>
        </w:rPr>
        <w:t>sponen lo siguiente:</w:t>
      </w:r>
    </w:p>
    <w:p w14:paraId="32E88354" w14:textId="77777777" w:rsidR="00B955A7" w:rsidRPr="00B955A7" w:rsidRDefault="00B955A7" w:rsidP="00B955A7">
      <w:pPr>
        <w:spacing w:after="0" w:line="240" w:lineRule="auto"/>
        <w:ind w:left="567" w:right="335"/>
        <w:jc w:val="both"/>
        <w:rPr>
          <w:rFonts w:ascii="Arial" w:hAnsi="Arial" w:cs="Arial"/>
          <w:bCs/>
          <w:iCs/>
          <w:snapToGrid w:val="0"/>
        </w:rPr>
      </w:pPr>
      <w:r w:rsidRPr="00B955A7">
        <w:rPr>
          <w:rFonts w:ascii="Arial" w:hAnsi="Arial" w:cs="Arial"/>
          <w:b/>
          <w:iCs/>
          <w:snapToGrid w:val="0"/>
        </w:rPr>
        <w:t>ARTÍCULO 161.-</w:t>
      </w:r>
      <w:r w:rsidRPr="00B955A7">
        <w:rPr>
          <w:rFonts w:ascii="Arial" w:hAnsi="Arial" w:cs="Arial"/>
          <w:bCs/>
          <w:iCs/>
          <w:snapToGrid w:val="0"/>
        </w:rPr>
        <w:t xml:space="preserve"> Es improcedente el juicio ante el Tribunal de lo Contencioso Administrativo y de Cuentas contra actos:</w:t>
      </w:r>
    </w:p>
    <w:p w14:paraId="1D02F380" w14:textId="77777777" w:rsidR="00B955A7" w:rsidRDefault="00B955A7" w:rsidP="00B955A7">
      <w:pPr>
        <w:spacing w:after="0" w:line="240" w:lineRule="auto"/>
        <w:ind w:left="567" w:right="335"/>
        <w:jc w:val="both"/>
        <w:rPr>
          <w:rFonts w:ascii="Arial" w:hAnsi="Arial" w:cs="Arial"/>
          <w:bCs/>
          <w:iCs/>
          <w:snapToGrid w:val="0"/>
        </w:rPr>
      </w:pPr>
      <w:r w:rsidRPr="00B955A7">
        <w:rPr>
          <w:rFonts w:ascii="Arial" w:hAnsi="Arial" w:cs="Arial"/>
          <w:bCs/>
          <w:iCs/>
          <w:snapToGrid w:val="0"/>
        </w:rPr>
        <w:t>[…]</w:t>
      </w:r>
    </w:p>
    <w:p w14:paraId="15444201" w14:textId="77777777" w:rsidR="00B955A7" w:rsidRPr="00B955A7" w:rsidRDefault="00B955A7" w:rsidP="00B955A7">
      <w:pPr>
        <w:spacing w:after="0" w:line="240" w:lineRule="auto"/>
        <w:ind w:left="567" w:right="335"/>
        <w:jc w:val="both"/>
        <w:rPr>
          <w:rFonts w:ascii="Arial" w:hAnsi="Arial" w:cs="Arial"/>
          <w:bCs/>
          <w:iCs/>
          <w:snapToGrid w:val="0"/>
        </w:rPr>
      </w:pPr>
    </w:p>
    <w:p w14:paraId="76A4E54B" w14:textId="77777777" w:rsidR="00B955A7" w:rsidRPr="00B955A7" w:rsidRDefault="00B955A7" w:rsidP="00B955A7">
      <w:pPr>
        <w:spacing w:after="0" w:line="240" w:lineRule="auto"/>
        <w:ind w:left="567" w:right="335"/>
        <w:jc w:val="both"/>
        <w:rPr>
          <w:rFonts w:ascii="Arial" w:hAnsi="Arial" w:cs="Arial"/>
          <w:bCs/>
          <w:iCs/>
          <w:snapToGrid w:val="0"/>
        </w:rPr>
      </w:pPr>
      <w:r w:rsidRPr="00B955A7">
        <w:rPr>
          <w:rFonts w:ascii="Arial" w:hAnsi="Arial" w:cs="Arial"/>
          <w:b/>
          <w:iCs/>
          <w:snapToGrid w:val="0"/>
        </w:rPr>
        <w:t>VI.</w:t>
      </w:r>
      <w:r w:rsidRPr="00B955A7">
        <w:rPr>
          <w:rFonts w:ascii="Arial" w:hAnsi="Arial" w:cs="Arial"/>
          <w:bCs/>
          <w:iCs/>
          <w:snapToGrid w:val="0"/>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p w14:paraId="2EFD72A5" w14:textId="77777777" w:rsidR="00B955A7" w:rsidRDefault="00B955A7" w:rsidP="00B955A7">
      <w:pPr>
        <w:spacing w:after="0" w:line="240" w:lineRule="auto"/>
        <w:ind w:left="567" w:right="335"/>
        <w:jc w:val="both"/>
        <w:rPr>
          <w:rFonts w:ascii="Arial" w:hAnsi="Arial" w:cs="Arial"/>
          <w:b/>
          <w:iCs/>
          <w:snapToGrid w:val="0"/>
        </w:rPr>
      </w:pPr>
    </w:p>
    <w:p w14:paraId="4C23FC48" w14:textId="77777777" w:rsidR="00B955A7" w:rsidRPr="00B955A7" w:rsidRDefault="00B955A7" w:rsidP="00B955A7">
      <w:pPr>
        <w:spacing w:after="0" w:line="240" w:lineRule="auto"/>
        <w:ind w:left="567" w:right="335"/>
        <w:jc w:val="both"/>
        <w:rPr>
          <w:rFonts w:ascii="Arial" w:hAnsi="Arial" w:cs="Arial"/>
          <w:bCs/>
          <w:iCs/>
          <w:snapToGrid w:val="0"/>
        </w:rPr>
      </w:pPr>
      <w:r w:rsidRPr="00B955A7">
        <w:rPr>
          <w:rFonts w:ascii="Arial" w:hAnsi="Arial" w:cs="Arial"/>
          <w:b/>
          <w:iCs/>
          <w:snapToGrid w:val="0"/>
        </w:rPr>
        <w:t>ARTÍCULO 162.-</w:t>
      </w:r>
      <w:r w:rsidRPr="00B955A7">
        <w:rPr>
          <w:rFonts w:ascii="Arial" w:hAnsi="Arial" w:cs="Arial"/>
          <w:bCs/>
          <w:iCs/>
          <w:snapToGrid w:val="0"/>
        </w:rPr>
        <w:t xml:space="preserve"> Procede el sobreseimiento del juicio:</w:t>
      </w:r>
    </w:p>
    <w:p w14:paraId="1B9235EB" w14:textId="77777777" w:rsidR="00B955A7" w:rsidRPr="00B955A7" w:rsidRDefault="00B955A7" w:rsidP="00B955A7">
      <w:pPr>
        <w:spacing w:after="0" w:line="240" w:lineRule="auto"/>
        <w:ind w:left="567" w:right="335"/>
        <w:jc w:val="both"/>
        <w:rPr>
          <w:rFonts w:ascii="Arial" w:hAnsi="Arial" w:cs="Arial"/>
          <w:bCs/>
          <w:iCs/>
          <w:snapToGrid w:val="0"/>
        </w:rPr>
      </w:pPr>
      <w:r w:rsidRPr="00B955A7">
        <w:rPr>
          <w:rFonts w:ascii="Arial" w:hAnsi="Arial" w:cs="Arial"/>
          <w:bCs/>
          <w:iCs/>
          <w:snapToGrid w:val="0"/>
        </w:rPr>
        <w:t>[…]</w:t>
      </w:r>
    </w:p>
    <w:p w14:paraId="532B3117" w14:textId="77777777" w:rsidR="00B955A7" w:rsidRDefault="00B955A7" w:rsidP="00B955A7">
      <w:pPr>
        <w:spacing w:after="0" w:line="240" w:lineRule="auto"/>
        <w:ind w:left="567" w:right="335"/>
        <w:jc w:val="both"/>
        <w:rPr>
          <w:rFonts w:ascii="Arial" w:hAnsi="Arial" w:cs="Arial"/>
          <w:b/>
          <w:iCs/>
          <w:snapToGrid w:val="0"/>
        </w:rPr>
      </w:pPr>
    </w:p>
    <w:p w14:paraId="3B072C74" w14:textId="77777777" w:rsidR="00B955A7" w:rsidRPr="00B955A7" w:rsidRDefault="00B955A7" w:rsidP="00B955A7">
      <w:pPr>
        <w:spacing w:after="0" w:line="240" w:lineRule="auto"/>
        <w:ind w:left="567" w:right="335"/>
        <w:jc w:val="both"/>
        <w:rPr>
          <w:rFonts w:ascii="Arial" w:hAnsi="Arial" w:cs="Arial"/>
          <w:bCs/>
          <w:iCs/>
          <w:snapToGrid w:val="0"/>
        </w:rPr>
      </w:pPr>
      <w:r w:rsidRPr="00B955A7">
        <w:rPr>
          <w:rFonts w:ascii="Arial" w:hAnsi="Arial" w:cs="Arial"/>
          <w:b/>
          <w:iCs/>
          <w:snapToGrid w:val="0"/>
        </w:rPr>
        <w:t>II.</w:t>
      </w:r>
      <w:r w:rsidRPr="00B955A7">
        <w:rPr>
          <w:rFonts w:ascii="Arial" w:hAnsi="Arial" w:cs="Arial"/>
          <w:bCs/>
          <w:iCs/>
          <w:snapToGrid w:val="0"/>
        </w:rPr>
        <w:t xml:space="preserve"> Cuando durante la tramitación del procedimiento sobreviniere alguna de las causas de improcedencia a que se refiere el artículo anterior;</w:t>
      </w:r>
    </w:p>
    <w:p w14:paraId="1D41239A" w14:textId="77777777" w:rsidR="00B955A7" w:rsidRPr="00BB1B71" w:rsidRDefault="00B955A7" w:rsidP="00B955A7">
      <w:pPr>
        <w:ind w:left="567" w:right="615"/>
        <w:jc w:val="both"/>
        <w:rPr>
          <w:rFonts w:ascii="Arial" w:hAnsi="Arial" w:cs="Arial"/>
          <w:bCs/>
          <w:i/>
          <w:iCs/>
          <w:snapToGrid w:val="0"/>
          <w:sz w:val="24"/>
          <w:szCs w:val="24"/>
        </w:rPr>
      </w:pPr>
    </w:p>
    <w:p w14:paraId="66FF8D08" w14:textId="77777777" w:rsidR="00B955A7" w:rsidRDefault="00B955A7" w:rsidP="00B955A7">
      <w:pPr>
        <w:spacing w:line="360" w:lineRule="auto"/>
        <w:ind w:right="51" w:firstLine="567"/>
        <w:jc w:val="both"/>
        <w:rPr>
          <w:rFonts w:ascii="Arial" w:hAnsi="Arial" w:cs="Arial"/>
          <w:bCs/>
          <w:snapToGrid w:val="0"/>
          <w:sz w:val="24"/>
          <w:szCs w:val="24"/>
        </w:rPr>
      </w:pPr>
      <w:r w:rsidRPr="00BB1B71">
        <w:rPr>
          <w:rFonts w:ascii="Arial" w:hAnsi="Arial" w:cs="Arial"/>
          <w:bCs/>
          <w:snapToGrid w:val="0"/>
          <w:sz w:val="24"/>
          <w:szCs w:val="24"/>
        </w:rPr>
        <w:t xml:space="preserve">Del dispositivo legal </w:t>
      </w:r>
      <w:proofErr w:type="spellStart"/>
      <w:r w:rsidRPr="00BB1B71">
        <w:rPr>
          <w:rFonts w:ascii="Arial" w:hAnsi="Arial" w:cs="Arial"/>
          <w:bCs/>
          <w:snapToGrid w:val="0"/>
          <w:sz w:val="24"/>
          <w:szCs w:val="24"/>
        </w:rPr>
        <w:t>intra-supra</w:t>
      </w:r>
      <w:proofErr w:type="spellEnd"/>
      <w:r w:rsidRPr="00BB1B71">
        <w:rPr>
          <w:rFonts w:ascii="Arial" w:hAnsi="Arial" w:cs="Arial"/>
          <w:bCs/>
          <w:snapToGrid w:val="0"/>
          <w:sz w:val="24"/>
          <w:szCs w:val="24"/>
        </w:rPr>
        <w:t xml:space="preserve"> transcrito, se advierte entre otras cosas que será improcedente el juicio ante este Tribunal, contra actos consentidos expresamente y de los cuales no se promueva el juicio dentro del término que para tal efecto</w:t>
      </w:r>
      <w:r>
        <w:rPr>
          <w:rFonts w:ascii="Arial" w:hAnsi="Arial" w:cs="Arial"/>
          <w:bCs/>
          <w:snapToGrid w:val="0"/>
          <w:sz w:val="24"/>
          <w:szCs w:val="24"/>
        </w:rPr>
        <w:t xml:space="preserve"> estable la Ley, al respecto, la</w:t>
      </w:r>
      <w:r w:rsidRPr="00BB1B71">
        <w:rPr>
          <w:rFonts w:ascii="Arial" w:hAnsi="Arial" w:cs="Arial"/>
          <w:bCs/>
          <w:snapToGrid w:val="0"/>
          <w:sz w:val="24"/>
          <w:szCs w:val="24"/>
        </w:rPr>
        <w:t xml:space="preserve"> actor</w:t>
      </w:r>
      <w:r>
        <w:rPr>
          <w:rFonts w:ascii="Arial" w:hAnsi="Arial" w:cs="Arial"/>
          <w:bCs/>
          <w:snapToGrid w:val="0"/>
          <w:sz w:val="24"/>
          <w:szCs w:val="24"/>
        </w:rPr>
        <w:t>a en</w:t>
      </w:r>
      <w:r w:rsidRPr="00BB1B71">
        <w:rPr>
          <w:rFonts w:ascii="Arial" w:hAnsi="Arial" w:cs="Arial"/>
          <w:bCs/>
          <w:snapToGrid w:val="0"/>
          <w:sz w:val="24"/>
          <w:szCs w:val="24"/>
        </w:rPr>
        <w:t xml:space="preserve"> su escrito de demanda</w:t>
      </w:r>
      <w:r>
        <w:rPr>
          <w:rFonts w:ascii="Arial" w:hAnsi="Arial" w:cs="Arial"/>
          <w:bCs/>
          <w:snapToGrid w:val="0"/>
          <w:sz w:val="24"/>
          <w:szCs w:val="24"/>
        </w:rPr>
        <w:t xml:space="preserve"> en el apartado denominado “FECHA DE LA RESOLUCIÓN O ACTO COMBATIDO”</w:t>
      </w:r>
      <w:r w:rsidRPr="00BB1B71">
        <w:rPr>
          <w:rFonts w:ascii="Arial" w:hAnsi="Arial" w:cs="Arial"/>
          <w:bCs/>
          <w:snapToGrid w:val="0"/>
          <w:sz w:val="24"/>
          <w:szCs w:val="24"/>
        </w:rPr>
        <w:t xml:space="preserve"> (visible </w:t>
      </w:r>
      <w:r>
        <w:rPr>
          <w:rFonts w:ascii="Arial" w:hAnsi="Arial" w:cs="Arial"/>
          <w:bCs/>
          <w:snapToGrid w:val="0"/>
          <w:sz w:val="24"/>
          <w:szCs w:val="24"/>
        </w:rPr>
        <w:t>a foja</w:t>
      </w:r>
      <w:r w:rsidRPr="00BB1B71">
        <w:rPr>
          <w:rFonts w:ascii="Arial" w:hAnsi="Arial" w:cs="Arial"/>
          <w:bCs/>
          <w:snapToGrid w:val="0"/>
          <w:sz w:val="24"/>
          <w:szCs w:val="24"/>
        </w:rPr>
        <w:t xml:space="preserve"> 1 </w:t>
      </w:r>
      <w:r>
        <w:rPr>
          <w:rFonts w:ascii="Arial" w:hAnsi="Arial" w:cs="Arial"/>
          <w:bCs/>
          <w:snapToGrid w:val="0"/>
          <w:sz w:val="24"/>
          <w:szCs w:val="24"/>
        </w:rPr>
        <w:t>vuelta de autos</w:t>
      </w:r>
      <w:r w:rsidRPr="00BB1B71">
        <w:rPr>
          <w:rFonts w:ascii="Arial" w:hAnsi="Arial" w:cs="Arial"/>
          <w:bCs/>
          <w:snapToGrid w:val="0"/>
          <w:sz w:val="24"/>
          <w:szCs w:val="24"/>
        </w:rPr>
        <w:t>) manifiesta que conoció del acto impugnado el día veinti</w:t>
      </w:r>
      <w:r>
        <w:rPr>
          <w:rFonts w:ascii="Arial" w:hAnsi="Arial" w:cs="Arial"/>
          <w:bCs/>
          <w:snapToGrid w:val="0"/>
          <w:sz w:val="24"/>
          <w:szCs w:val="24"/>
        </w:rPr>
        <w:t>ocho</w:t>
      </w:r>
      <w:r w:rsidRPr="00BB1B71">
        <w:rPr>
          <w:rFonts w:ascii="Arial" w:hAnsi="Arial" w:cs="Arial"/>
          <w:bCs/>
          <w:snapToGrid w:val="0"/>
          <w:sz w:val="24"/>
          <w:szCs w:val="24"/>
        </w:rPr>
        <w:t xml:space="preserve"> de </w:t>
      </w:r>
      <w:r>
        <w:rPr>
          <w:rFonts w:ascii="Arial" w:hAnsi="Arial" w:cs="Arial"/>
          <w:bCs/>
          <w:snapToGrid w:val="0"/>
          <w:sz w:val="24"/>
          <w:szCs w:val="24"/>
        </w:rPr>
        <w:t>noviembre de dos mil diecinueve (28/1</w:t>
      </w:r>
      <w:r w:rsidRPr="00BB1B71">
        <w:rPr>
          <w:rFonts w:ascii="Arial" w:hAnsi="Arial" w:cs="Arial"/>
          <w:bCs/>
          <w:snapToGrid w:val="0"/>
          <w:sz w:val="24"/>
          <w:szCs w:val="24"/>
        </w:rPr>
        <w:t>1/2019)</w:t>
      </w:r>
      <w:r>
        <w:rPr>
          <w:rFonts w:ascii="Arial" w:hAnsi="Arial" w:cs="Arial"/>
          <w:bCs/>
          <w:snapToGrid w:val="0"/>
          <w:sz w:val="24"/>
          <w:szCs w:val="24"/>
        </w:rPr>
        <w:t>.</w:t>
      </w:r>
    </w:p>
    <w:p w14:paraId="74D24DAF" w14:textId="77777777" w:rsidR="00B955A7" w:rsidRPr="00BB1B71" w:rsidRDefault="00B955A7" w:rsidP="00B955A7">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Por su parte la autoridad </w:t>
      </w:r>
      <w:r w:rsidRPr="00BB1B71">
        <w:rPr>
          <w:rFonts w:ascii="Arial" w:hAnsi="Arial" w:cs="Arial"/>
          <w:bCs/>
          <w:snapToGrid w:val="0"/>
          <w:sz w:val="24"/>
          <w:szCs w:val="24"/>
        </w:rPr>
        <w:t>demandada en su capítulo denominado “CONTESTACIÓN A LOS HECHOS” de su contestación de demanda</w:t>
      </w:r>
      <w:r w:rsidR="00E7484E">
        <w:rPr>
          <w:rFonts w:ascii="Arial" w:hAnsi="Arial" w:cs="Arial"/>
          <w:bCs/>
          <w:snapToGrid w:val="0"/>
          <w:sz w:val="24"/>
          <w:szCs w:val="24"/>
        </w:rPr>
        <w:t xml:space="preserve"> (</w:t>
      </w:r>
      <w:r w:rsidRPr="00BB1B71">
        <w:rPr>
          <w:rFonts w:ascii="Arial" w:hAnsi="Arial" w:cs="Arial"/>
          <w:bCs/>
          <w:snapToGrid w:val="0"/>
          <w:sz w:val="24"/>
          <w:szCs w:val="24"/>
        </w:rPr>
        <w:t>visible</w:t>
      </w:r>
      <w:r w:rsidR="00E7484E">
        <w:rPr>
          <w:rFonts w:ascii="Arial" w:hAnsi="Arial" w:cs="Arial"/>
          <w:bCs/>
          <w:snapToGrid w:val="0"/>
          <w:sz w:val="24"/>
          <w:szCs w:val="24"/>
        </w:rPr>
        <w:t xml:space="preserve"> a foja 10 vuelta de autos)</w:t>
      </w:r>
      <w:r w:rsidRPr="00BB1B71">
        <w:rPr>
          <w:rFonts w:ascii="Arial" w:hAnsi="Arial" w:cs="Arial"/>
          <w:bCs/>
          <w:snapToGrid w:val="0"/>
          <w:sz w:val="24"/>
          <w:szCs w:val="24"/>
        </w:rPr>
        <w:t>, manifiesta que la</w:t>
      </w:r>
      <w:r w:rsidR="00DB19E0">
        <w:rPr>
          <w:rFonts w:ascii="Arial" w:hAnsi="Arial" w:cs="Arial"/>
          <w:bCs/>
          <w:snapToGrid w:val="0"/>
          <w:sz w:val="24"/>
          <w:szCs w:val="24"/>
        </w:rPr>
        <w:t xml:space="preserve"> actora quedó notificada del acto combatido el dieciséis de octubre de dos mil diecinueve</w:t>
      </w:r>
      <w:r w:rsidR="00FB02E8">
        <w:rPr>
          <w:rFonts w:ascii="Arial" w:hAnsi="Arial" w:cs="Arial"/>
          <w:bCs/>
          <w:snapToGrid w:val="0"/>
          <w:sz w:val="24"/>
          <w:szCs w:val="24"/>
        </w:rPr>
        <w:t xml:space="preserve"> (16/10/2019)</w:t>
      </w:r>
      <w:r>
        <w:rPr>
          <w:rFonts w:ascii="Arial" w:hAnsi="Arial" w:cs="Arial"/>
          <w:bCs/>
          <w:snapToGrid w:val="0"/>
          <w:sz w:val="24"/>
          <w:szCs w:val="24"/>
        </w:rPr>
        <w:t>.</w:t>
      </w:r>
    </w:p>
    <w:p w14:paraId="42FB345A" w14:textId="6932C1AD" w:rsidR="000D6AC7" w:rsidRPr="00BB1B71" w:rsidRDefault="00B955A7" w:rsidP="000D6AC7">
      <w:pPr>
        <w:spacing w:line="360" w:lineRule="auto"/>
        <w:ind w:right="51" w:firstLine="567"/>
        <w:jc w:val="both"/>
        <w:rPr>
          <w:rFonts w:ascii="Arial" w:hAnsi="Arial" w:cs="Arial"/>
          <w:bCs/>
          <w:snapToGrid w:val="0"/>
          <w:sz w:val="24"/>
          <w:szCs w:val="24"/>
        </w:rPr>
      </w:pPr>
      <w:r w:rsidRPr="00BB1B71">
        <w:rPr>
          <w:rFonts w:ascii="Arial" w:hAnsi="Arial" w:cs="Arial"/>
          <w:bCs/>
          <w:snapToGrid w:val="0"/>
          <w:sz w:val="24"/>
          <w:szCs w:val="24"/>
        </w:rPr>
        <w:t>Ahora bien, de las pruebas analizadas dentro del sumario que integra el presente expediente, esta Sala advierte la existencia de la copia certificada de la constancia de notificación de</w:t>
      </w:r>
      <w:r w:rsidR="001E0EFB">
        <w:rPr>
          <w:rFonts w:ascii="Arial" w:hAnsi="Arial" w:cs="Arial"/>
          <w:bCs/>
          <w:snapToGrid w:val="0"/>
          <w:sz w:val="24"/>
          <w:szCs w:val="24"/>
        </w:rPr>
        <w:t xml:space="preserve"> folio </w:t>
      </w:r>
      <w:r w:rsidR="00C37885">
        <w:rPr>
          <w:rFonts w:ascii="Arial" w:hAnsi="Arial" w:cs="Arial"/>
          <w:bCs/>
          <w:snapToGrid w:val="0"/>
          <w:sz w:val="24"/>
          <w:szCs w:val="24"/>
        </w:rPr>
        <w:t>**********</w:t>
      </w:r>
      <w:r w:rsidRPr="00BB1B71">
        <w:rPr>
          <w:rFonts w:ascii="Arial" w:hAnsi="Arial" w:cs="Arial"/>
          <w:bCs/>
          <w:snapToGrid w:val="0"/>
          <w:sz w:val="24"/>
          <w:szCs w:val="24"/>
        </w:rPr>
        <w:t xml:space="preserve"> de fecha </w:t>
      </w:r>
      <w:r w:rsidR="001E0EFB">
        <w:rPr>
          <w:rFonts w:ascii="Arial" w:hAnsi="Arial" w:cs="Arial"/>
          <w:bCs/>
          <w:snapToGrid w:val="0"/>
          <w:sz w:val="24"/>
          <w:szCs w:val="24"/>
        </w:rPr>
        <w:t xml:space="preserve">dieciséis de octubre de dos mil diecinueve, respecto del crédito fiscal con número de folio </w:t>
      </w:r>
      <w:r w:rsidR="00C37885">
        <w:rPr>
          <w:rFonts w:ascii="Arial" w:hAnsi="Arial" w:cs="Arial"/>
          <w:bCs/>
          <w:snapToGrid w:val="0"/>
          <w:sz w:val="24"/>
          <w:szCs w:val="24"/>
        </w:rPr>
        <w:t>**********</w:t>
      </w:r>
      <w:r w:rsidRPr="00BB1B71">
        <w:rPr>
          <w:rFonts w:ascii="Arial" w:hAnsi="Arial" w:cs="Arial"/>
          <w:bCs/>
          <w:snapToGrid w:val="0"/>
          <w:sz w:val="24"/>
          <w:szCs w:val="24"/>
        </w:rPr>
        <w:t xml:space="preserve">, documental que adquiere valor probatorio pleno en términos del artículo 203 fracción I de la Ley de Procedimiento y Justicia Administrativa para el Estado de Oaxaca, con la cual queda de manifiesto la veracidad del </w:t>
      </w:r>
      <w:r w:rsidR="009A0FC3">
        <w:rPr>
          <w:rFonts w:ascii="Arial" w:hAnsi="Arial" w:cs="Arial"/>
          <w:bCs/>
          <w:snapToGrid w:val="0"/>
          <w:sz w:val="24"/>
          <w:szCs w:val="24"/>
        </w:rPr>
        <w:t>dicho de la autoridad demandada.</w:t>
      </w:r>
      <w:r w:rsidRPr="00BB1B71">
        <w:rPr>
          <w:rFonts w:ascii="Arial" w:hAnsi="Arial" w:cs="Arial"/>
          <w:bCs/>
          <w:snapToGrid w:val="0"/>
          <w:sz w:val="24"/>
          <w:szCs w:val="24"/>
        </w:rPr>
        <w:t xml:space="preserve"> </w:t>
      </w:r>
    </w:p>
    <w:p w14:paraId="3A142B40" w14:textId="77777777" w:rsidR="00D03FB8" w:rsidRDefault="009A0FC3" w:rsidP="00B955A7">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Ante la exhibición de la constancia de notificación que realizó la autoridad demandada mediante auto de diecisiete de marzo de dos mil veinte, esta Juzgadora corrió traslado a la parte actora</w:t>
      </w:r>
      <w:r w:rsidR="00D03FB8">
        <w:rPr>
          <w:rFonts w:ascii="Arial" w:hAnsi="Arial" w:cs="Arial"/>
          <w:bCs/>
          <w:snapToGrid w:val="0"/>
          <w:sz w:val="24"/>
          <w:szCs w:val="24"/>
        </w:rPr>
        <w:t xml:space="preserve"> en los siguientes términos:</w:t>
      </w:r>
    </w:p>
    <w:p w14:paraId="32CC05D3" w14:textId="2919F299" w:rsidR="00907669" w:rsidRPr="004D07DB" w:rsidRDefault="00D03FB8" w:rsidP="004D07DB">
      <w:pPr>
        <w:spacing w:after="0" w:line="240" w:lineRule="auto"/>
        <w:ind w:left="567" w:right="335"/>
        <w:jc w:val="both"/>
        <w:rPr>
          <w:rFonts w:ascii="Arial" w:hAnsi="Arial" w:cs="Arial"/>
          <w:bCs/>
          <w:i/>
          <w:snapToGrid w:val="0"/>
        </w:rPr>
      </w:pPr>
      <w:r w:rsidRPr="004D07DB">
        <w:rPr>
          <w:rFonts w:ascii="Arial" w:hAnsi="Arial" w:cs="Arial"/>
          <w:bCs/>
          <w:i/>
          <w:snapToGrid w:val="0"/>
        </w:rPr>
        <w:t xml:space="preserve">“…por formuladas las manifestaciones que refiere en el de cuenta, y ofreciendo como pruebas en el presente Juicio la </w:t>
      </w:r>
      <w:r w:rsidRPr="004D07DB">
        <w:rPr>
          <w:rFonts w:ascii="Arial" w:hAnsi="Arial" w:cs="Arial"/>
          <w:b/>
          <w:bCs/>
          <w:i/>
          <w:snapToGrid w:val="0"/>
        </w:rPr>
        <w:t>DOCUMENTAL</w:t>
      </w:r>
      <w:r w:rsidRPr="004D07DB">
        <w:rPr>
          <w:rFonts w:ascii="Arial" w:hAnsi="Arial" w:cs="Arial"/>
          <w:bCs/>
          <w:i/>
          <w:snapToGrid w:val="0"/>
        </w:rPr>
        <w:t xml:space="preserve"> </w:t>
      </w:r>
      <w:r w:rsidR="004D07DB">
        <w:rPr>
          <w:rFonts w:ascii="Arial" w:hAnsi="Arial" w:cs="Arial"/>
          <w:bCs/>
          <w:i/>
          <w:snapToGrid w:val="0"/>
        </w:rPr>
        <w:t>consis</w:t>
      </w:r>
      <w:r w:rsidRPr="004D07DB">
        <w:rPr>
          <w:rFonts w:ascii="Arial" w:hAnsi="Arial" w:cs="Arial"/>
          <w:bCs/>
          <w:i/>
          <w:snapToGrid w:val="0"/>
        </w:rPr>
        <w:t xml:space="preserve">tente en: </w:t>
      </w:r>
      <w:r w:rsidRPr="004D07DB">
        <w:rPr>
          <w:rFonts w:ascii="Arial" w:hAnsi="Arial" w:cs="Arial"/>
          <w:b/>
          <w:bCs/>
          <w:i/>
          <w:snapToGrid w:val="0"/>
        </w:rPr>
        <w:t>1.</w:t>
      </w:r>
      <w:r w:rsidRPr="004D07DB">
        <w:rPr>
          <w:rFonts w:ascii="Arial" w:hAnsi="Arial" w:cs="Arial"/>
          <w:bCs/>
          <w:i/>
          <w:snapToGrid w:val="0"/>
        </w:rPr>
        <w:t xml:space="preserve">- Copia certificada de la constancia de notificación número </w:t>
      </w:r>
      <w:r w:rsidR="00C37885">
        <w:rPr>
          <w:rFonts w:ascii="Arial" w:hAnsi="Arial" w:cs="Arial"/>
          <w:bCs/>
          <w:i/>
          <w:snapToGrid w:val="0"/>
        </w:rPr>
        <w:t>**********</w:t>
      </w:r>
      <w:r w:rsidRPr="004D07DB">
        <w:rPr>
          <w:rFonts w:ascii="Arial" w:hAnsi="Arial" w:cs="Arial"/>
          <w:bCs/>
          <w:i/>
          <w:snapToGrid w:val="0"/>
        </w:rPr>
        <w:t xml:space="preserve">; además </w:t>
      </w:r>
      <w:r w:rsidRPr="004D07DB">
        <w:rPr>
          <w:rFonts w:ascii="Arial" w:hAnsi="Arial" w:cs="Arial"/>
          <w:b/>
          <w:bCs/>
          <w:i/>
          <w:snapToGrid w:val="0"/>
        </w:rPr>
        <w:t>LA INSTRUMENTAL DE ACTUACIONES Y LA PRESUNCIONAL LEGAL Y HUMANA</w:t>
      </w:r>
      <w:r w:rsidRPr="004D07DB">
        <w:rPr>
          <w:rFonts w:ascii="Arial" w:hAnsi="Arial" w:cs="Arial"/>
          <w:bCs/>
          <w:i/>
          <w:snapToGrid w:val="0"/>
        </w:rPr>
        <w:t>, pruebas que desd</w:t>
      </w:r>
      <w:r w:rsidR="00907669" w:rsidRPr="004D07DB">
        <w:rPr>
          <w:rFonts w:ascii="Arial" w:hAnsi="Arial" w:cs="Arial"/>
          <w:bCs/>
          <w:i/>
          <w:snapToGrid w:val="0"/>
        </w:rPr>
        <w:t>e este momento se ad</w:t>
      </w:r>
      <w:r w:rsidRPr="004D07DB">
        <w:rPr>
          <w:rFonts w:ascii="Arial" w:hAnsi="Arial" w:cs="Arial"/>
          <w:bCs/>
          <w:i/>
          <w:snapToGrid w:val="0"/>
        </w:rPr>
        <w:t>miten; en consecuencia</w:t>
      </w:r>
      <w:r w:rsidR="00907669" w:rsidRPr="004D07DB">
        <w:rPr>
          <w:rFonts w:ascii="Arial" w:hAnsi="Arial" w:cs="Arial"/>
          <w:bCs/>
          <w:i/>
          <w:snapToGrid w:val="0"/>
        </w:rPr>
        <w:t>, con copia del escrito de cue</w:t>
      </w:r>
      <w:r w:rsidRPr="004D07DB">
        <w:rPr>
          <w:rFonts w:ascii="Arial" w:hAnsi="Arial" w:cs="Arial"/>
          <w:bCs/>
          <w:i/>
          <w:snapToGrid w:val="0"/>
        </w:rPr>
        <w:t xml:space="preserve">nta, </w:t>
      </w:r>
      <w:r w:rsidR="00907669" w:rsidRPr="004D07DB">
        <w:rPr>
          <w:rFonts w:ascii="Arial" w:hAnsi="Arial" w:cs="Arial"/>
          <w:bCs/>
          <w:i/>
          <w:snapToGrid w:val="0"/>
        </w:rPr>
        <w:t>córrase</w:t>
      </w:r>
      <w:r w:rsidRPr="004D07DB">
        <w:rPr>
          <w:rFonts w:ascii="Arial" w:hAnsi="Arial" w:cs="Arial"/>
          <w:bCs/>
          <w:i/>
          <w:snapToGrid w:val="0"/>
        </w:rPr>
        <w:t xml:space="preserve"> traslado a la parte ac</w:t>
      </w:r>
      <w:r w:rsidR="00907669" w:rsidRPr="004D07DB">
        <w:rPr>
          <w:rFonts w:ascii="Arial" w:hAnsi="Arial" w:cs="Arial"/>
          <w:bCs/>
          <w:i/>
          <w:snapToGrid w:val="0"/>
        </w:rPr>
        <w:t xml:space="preserve">tora, para los efectos </w:t>
      </w:r>
      <w:r w:rsidRPr="004D07DB">
        <w:rPr>
          <w:rFonts w:ascii="Arial" w:hAnsi="Arial" w:cs="Arial"/>
          <w:bCs/>
          <w:i/>
          <w:snapToGrid w:val="0"/>
        </w:rPr>
        <w:t>legales correspondientes</w:t>
      </w:r>
      <w:r w:rsidR="00907669" w:rsidRPr="004D07DB">
        <w:rPr>
          <w:rFonts w:ascii="Arial" w:hAnsi="Arial" w:cs="Arial"/>
          <w:bCs/>
          <w:i/>
          <w:snapToGrid w:val="0"/>
        </w:rPr>
        <w:t>, lo a</w:t>
      </w:r>
      <w:r w:rsidRPr="004D07DB">
        <w:rPr>
          <w:rFonts w:ascii="Arial" w:hAnsi="Arial" w:cs="Arial"/>
          <w:bCs/>
          <w:i/>
          <w:snapToGrid w:val="0"/>
        </w:rPr>
        <w:t>nterior con fundamento en</w:t>
      </w:r>
      <w:r w:rsidR="00907669" w:rsidRPr="004D07DB">
        <w:rPr>
          <w:rFonts w:ascii="Arial" w:hAnsi="Arial" w:cs="Arial"/>
          <w:bCs/>
          <w:i/>
          <w:snapToGrid w:val="0"/>
        </w:rPr>
        <w:t xml:space="preserve"> los artículos 180, 184, </w:t>
      </w:r>
      <w:r w:rsidR="00907669" w:rsidRPr="004D07DB">
        <w:rPr>
          <w:rFonts w:ascii="Arial" w:hAnsi="Arial" w:cs="Arial"/>
          <w:bCs/>
          <w:i/>
          <w:snapToGrid w:val="0"/>
        </w:rPr>
        <w:lastRenderedPageBreak/>
        <w:t>185, 188 y 189, todos de la Ley de Procedimiento y Justicia Administrativa para el Estado de Oaxaca</w:t>
      </w:r>
      <w:r w:rsidR="004D07DB">
        <w:rPr>
          <w:rFonts w:ascii="Arial" w:hAnsi="Arial" w:cs="Arial"/>
          <w:bCs/>
          <w:i/>
          <w:snapToGrid w:val="0"/>
        </w:rPr>
        <w:t>…”</w:t>
      </w:r>
    </w:p>
    <w:p w14:paraId="580845BE" w14:textId="77777777" w:rsidR="00907669" w:rsidRDefault="00907669" w:rsidP="00B955A7">
      <w:pPr>
        <w:spacing w:line="360" w:lineRule="auto"/>
        <w:ind w:right="51" w:firstLine="567"/>
        <w:jc w:val="both"/>
        <w:rPr>
          <w:rFonts w:ascii="Arial" w:hAnsi="Arial" w:cs="Arial"/>
          <w:bCs/>
          <w:snapToGrid w:val="0"/>
          <w:sz w:val="24"/>
          <w:szCs w:val="24"/>
        </w:rPr>
      </w:pPr>
    </w:p>
    <w:p w14:paraId="50687EE9" w14:textId="77777777" w:rsidR="004D07DB" w:rsidRDefault="004D07DB" w:rsidP="00B955A7">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El artículo 180 de</w:t>
      </w:r>
      <w:r w:rsidRPr="004D07DB">
        <w:rPr>
          <w:rFonts w:ascii="Arial" w:hAnsi="Arial" w:cs="Arial"/>
          <w:bCs/>
          <w:snapToGrid w:val="0"/>
          <w:sz w:val="24"/>
          <w:szCs w:val="24"/>
        </w:rPr>
        <w:t xml:space="preserve"> la Ley de Procedimiento y Justicia Administrativa para el Estado de Oaxaca</w:t>
      </w:r>
      <w:r w:rsidR="0082504D">
        <w:rPr>
          <w:rFonts w:ascii="Arial" w:hAnsi="Arial" w:cs="Arial"/>
          <w:bCs/>
          <w:snapToGrid w:val="0"/>
          <w:sz w:val="24"/>
          <w:szCs w:val="24"/>
        </w:rPr>
        <w:t xml:space="preserve"> en que se fundamentó el acuerdo de mérito dispone:</w:t>
      </w:r>
    </w:p>
    <w:p w14:paraId="53D99845" w14:textId="77777777" w:rsidR="0082504D" w:rsidRDefault="0082504D" w:rsidP="0082504D">
      <w:pPr>
        <w:autoSpaceDE w:val="0"/>
        <w:autoSpaceDN w:val="0"/>
        <w:adjustRightInd w:val="0"/>
        <w:spacing w:after="0" w:line="240" w:lineRule="auto"/>
        <w:ind w:left="567" w:right="335"/>
        <w:jc w:val="both"/>
        <w:rPr>
          <w:rFonts w:ascii="Arial" w:hAnsi="Arial" w:cs="Arial"/>
        </w:rPr>
      </w:pPr>
      <w:r>
        <w:rPr>
          <w:rFonts w:ascii="Arial" w:hAnsi="Arial" w:cs="Arial"/>
          <w:b/>
          <w:bCs/>
        </w:rPr>
        <w:t xml:space="preserve">ARTÍCULO 180.- </w:t>
      </w:r>
      <w:r>
        <w:rPr>
          <w:rFonts w:ascii="Arial" w:hAnsi="Arial" w:cs="Arial"/>
        </w:rPr>
        <w:t>El actor tendrá derecho a ampliar la demanda dentro de cinco días hábiles contados a partir del siguiente a aquel en que surta efectos la notificación del acuerdo recaído a la contestación, cuando se impugne una resolución negativa ficta. También podrá ampliar la demanda cuando en la contestación se sostenga que el juicio es improcedente por consentimiento tácito y el actor considere que la notificación del acto impugnado se practicó ilegalmente. En este último caso si al dictarse sentencia se decide que la notificación fue correcta, se sobreseerá el juicio y en caso contrario se decidirá sobre el fondo del negocio.</w:t>
      </w:r>
    </w:p>
    <w:p w14:paraId="5DB370EC" w14:textId="77777777" w:rsidR="004273FD" w:rsidRDefault="004273FD" w:rsidP="00B955A7">
      <w:pPr>
        <w:spacing w:line="360" w:lineRule="auto"/>
        <w:ind w:right="51" w:firstLine="567"/>
        <w:jc w:val="both"/>
        <w:rPr>
          <w:rFonts w:ascii="Arial" w:hAnsi="Arial" w:cs="Arial"/>
          <w:bCs/>
          <w:snapToGrid w:val="0"/>
          <w:sz w:val="24"/>
          <w:szCs w:val="24"/>
        </w:rPr>
      </w:pPr>
    </w:p>
    <w:p w14:paraId="47FFF01D" w14:textId="77777777" w:rsidR="004273FD" w:rsidRDefault="004273FD" w:rsidP="00B955A7">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términos del artículo anterior, el actor tendrá derecho a ampliar su escrito de demanda </w:t>
      </w:r>
      <w:r w:rsidRPr="004273FD">
        <w:rPr>
          <w:rFonts w:ascii="Arial" w:hAnsi="Arial" w:cs="Arial"/>
          <w:bCs/>
          <w:snapToGrid w:val="0"/>
          <w:sz w:val="24"/>
          <w:szCs w:val="24"/>
        </w:rPr>
        <w:t>dentro de cinco días hábiles contados a partir del siguiente a aquel en que surta efectos la notificación del acuerdo recaído a la contestación</w:t>
      </w:r>
      <w:r>
        <w:rPr>
          <w:rFonts w:ascii="Arial" w:hAnsi="Arial" w:cs="Arial"/>
          <w:bCs/>
          <w:snapToGrid w:val="0"/>
          <w:sz w:val="24"/>
          <w:szCs w:val="24"/>
        </w:rPr>
        <w:t>, entre otras</w:t>
      </w:r>
      <w:r w:rsidRPr="004273FD">
        <w:rPr>
          <w:rFonts w:ascii="Arial" w:hAnsi="Arial" w:cs="Arial"/>
          <w:bCs/>
          <w:snapToGrid w:val="0"/>
          <w:sz w:val="24"/>
          <w:szCs w:val="24"/>
        </w:rPr>
        <w:t>, cuando en la contestación se sostenga que el juicio es improcedente por consentimiento tácito y el actor considere que la notificación del acto impugnado se practicó ilegalmente</w:t>
      </w:r>
      <w:r>
        <w:rPr>
          <w:rFonts w:ascii="Arial" w:hAnsi="Arial" w:cs="Arial"/>
          <w:bCs/>
          <w:snapToGrid w:val="0"/>
          <w:sz w:val="24"/>
          <w:szCs w:val="24"/>
        </w:rPr>
        <w:t>.</w:t>
      </w:r>
    </w:p>
    <w:p w14:paraId="40AB7555" w14:textId="5EC651B9" w:rsidR="003C7139" w:rsidRDefault="004273FD" w:rsidP="00B955A7">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Siendo que en </w:t>
      </w:r>
      <w:proofErr w:type="gramStart"/>
      <w:r>
        <w:rPr>
          <w:rFonts w:ascii="Arial" w:hAnsi="Arial" w:cs="Arial"/>
          <w:bCs/>
          <w:snapToGrid w:val="0"/>
          <w:sz w:val="24"/>
          <w:szCs w:val="24"/>
        </w:rPr>
        <w:t>la caso</w:t>
      </w:r>
      <w:proofErr w:type="gramEnd"/>
      <w:r>
        <w:rPr>
          <w:rFonts w:ascii="Arial" w:hAnsi="Arial" w:cs="Arial"/>
          <w:bCs/>
          <w:snapToGrid w:val="0"/>
          <w:sz w:val="24"/>
          <w:szCs w:val="24"/>
        </w:rPr>
        <w:t xml:space="preserve"> con fecha dieciséis de febrero de dos mil veintiuno</w:t>
      </w:r>
      <w:r w:rsidR="003C7139">
        <w:rPr>
          <w:rFonts w:ascii="Arial" w:hAnsi="Arial" w:cs="Arial"/>
          <w:bCs/>
          <w:snapToGrid w:val="0"/>
          <w:sz w:val="24"/>
          <w:szCs w:val="24"/>
        </w:rPr>
        <w:t xml:space="preserve"> se notificó al </w:t>
      </w:r>
      <w:r w:rsidR="003C7139" w:rsidRPr="003C7139">
        <w:rPr>
          <w:rFonts w:ascii="Arial" w:hAnsi="Arial" w:cs="Arial"/>
          <w:bCs/>
          <w:snapToGrid w:val="0"/>
          <w:color w:val="FF0000"/>
          <w:sz w:val="24"/>
          <w:szCs w:val="24"/>
        </w:rPr>
        <w:t xml:space="preserve">C. </w:t>
      </w:r>
      <w:r w:rsidR="00C37885">
        <w:rPr>
          <w:rFonts w:ascii="Arial" w:hAnsi="Arial" w:cs="Arial"/>
          <w:bCs/>
          <w:snapToGrid w:val="0"/>
          <w:color w:val="FF0000"/>
          <w:sz w:val="24"/>
          <w:szCs w:val="24"/>
        </w:rPr>
        <w:t>**********</w:t>
      </w:r>
      <w:r w:rsidR="003C7139">
        <w:rPr>
          <w:rFonts w:ascii="Arial" w:hAnsi="Arial" w:cs="Arial"/>
          <w:bCs/>
          <w:snapToGrid w:val="0"/>
          <w:sz w:val="24"/>
          <w:szCs w:val="24"/>
        </w:rPr>
        <w:t>, en su carácter de autorizado de la parte actora, según se desprende de autos, el acuerdo de diecisiete de marzo de dos mil veinte corriéndose traslado de la contestación de demanda y anexos, lo anterior como se observa de la razón de la notificación por comparecencia (foja 18 de autos).</w:t>
      </w:r>
    </w:p>
    <w:p w14:paraId="0CC10DD5" w14:textId="77777777" w:rsidR="003C7139" w:rsidRDefault="003C7139" w:rsidP="00B955A7">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Sin que conste en autos que la actora haya presentado escrito alguno en el que controvierta la legalidad del acta de notificación exhibida por la autoridad, de ahí que la misma se considere legalmente emitida.</w:t>
      </w:r>
    </w:p>
    <w:p w14:paraId="653C5096" w14:textId="77777777" w:rsidR="00B955A7" w:rsidRPr="00BB1B71" w:rsidRDefault="003C7139" w:rsidP="00B955A7">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este orden de ideas, es menester precisar lo dispuesto por el </w:t>
      </w:r>
      <w:r w:rsidR="00B955A7" w:rsidRPr="00BB1B71">
        <w:rPr>
          <w:rFonts w:ascii="Arial" w:hAnsi="Arial" w:cs="Arial"/>
          <w:bCs/>
          <w:snapToGrid w:val="0"/>
          <w:sz w:val="24"/>
          <w:szCs w:val="24"/>
        </w:rPr>
        <w:t>artículo 166 primer párrafo de la Ley de la materia, mism</w:t>
      </w:r>
      <w:r w:rsidR="00B955A7">
        <w:rPr>
          <w:rFonts w:ascii="Arial" w:hAnsi="Arial" w:cs="Arial"/>
          <w:bCs/>
          <w:snapToGrid w:val="0"/>
          <w:sz w:val="24"/>
          <w:szCs w:val="24"/>
        </w:rPr>
        <w:t>o que a la letra dice:</w:t>
      </w:r>
    </w:p>
    <w:p w14:paraId="55EC6AC6" w14:textId="77777777" w:rsidR="00B955A7" w:rsidRPr="003C7139" w:rsidRDefault="00B955A7" w:rsidP="003C7139">
      <w:pPr>
        <w:spacing w:after="0" w:line="240" w:lineRule="auto"/>
        <w:ind w:left="567" w:right="335"/>
        <w:jc w:val="both"/>
        <w:rPr>
          <w:rFonts w:ascii="Arial" w:hAnsi="Arial" w:cs="Arial"/>
          <w:bCs/>
          <w:iCs/>
          <w:snapToGrid w:val="0"/>
        </w:rPr>
      </w:pPr>
      <w:r w:rsidRPr="003C7139">
        <w:rPr>
          <w:rFonts w:ascii="Arial" w:hAnsi="Arial" w:cs="Arial"/>
          <w:b/>
          <w:iCs/>
          <w:snapToGrid w:val="0"/>
        </w:rPr>
        <w:t>ARTICULO 166.-</w:t>
      </w:r>
      <w:r w:rsidRPr="003C7139">
        <w:rPr>
          <w:rFonts w:ascii="Arial" w:hAnsi="Arial" w:cs="Arial"/>
          <w:bCs/>
          <w:iCs/>
          <w:snapToGrid w:val="0"/>
        </w:rPr>
        <w:t xml:space="preserve"> El plazo para interponer la demanda ante el Tribunal de lo Contencioso Administrativo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p>
    <w:p w14:paraId="69C9176D" w14:textId="77777777" w:rsidR="00B955A7" w:rsidRDefault="00B955A7" w:rsidP="003C7139">
      <w:pPr>
        <w:spacing w:after="0" w:line="240" w:lineRule="auto"/>
        <w:ind w:left="567" w:right="335"/>
        <w:jc w:val="both"/>
        <w:rPr>
          <w:rFonts w:ascii="Arial" w:hAnsi="Arial" w:cs="Arial"/>
          <w:bCs/>
          <w:iCs/>
          <w:snapToGrid w:val="0"/>
        </w:rPr>
      </w:pPr>
      <w:r w:rsidRPr="003C7139">
        <w:rPr>
          <w:rFonts w:ascii="Arial" w:hAnsi="Arial" w:cs="Arial"/>
          <w:bCs/>
          <w:iCs/>
          <w:snapToGrid w:val="0"/>
        </w:rPr>
        <w:t>[…]</w:t>
      </w:r>
    </w:p>
    <w:p w14:paraId="6294A735" w14:textId="77777777" w:rsidR="003C7139" w:rsidRPr="003C7139" w:rsidRDefault="003C7139" w:rsidP="003C7139">
      <w:pPr>
        <w:spacing w:after="0" w:line="240" w:lineRule="auto"/>
        <w:ind w:left="567" w:right="335"/>
        <w:jc w:val="both"/>
        <w:rPr>
          <w:rFonts w:ascii="Arial" w:hAnsi="Arial" w:cs="Arial"/>
          <w:bCs/>
          <w:iCs/>
          <w:snapToGrid w:val="0"/>
        </w:rPr>
      </w:pPr>
    </w:p>
    <w:p w14:paraId="7BDF8AB2" w14:textId="77777777" w:rsidR="003C7139" w:rsidRDefault="003C7139" w:rsidP="00B955A7">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De conformidad con el </w:t>
      </w:r>
      <w:r w:rsidR="006E2607">
        <w:rPr>
          <w:rFonts w:ascii="Arial" w:hAnsi="Arial" w:cs="Arial"/>
          <w:bCs/>
          <w:snapToGrid w:val="0"/>
          <w:sz w:val="24"/>
          <w:szCs w:val="24"/>
        </w:rPr>
        <w:t xml:space="preserve">anterior ordenamiento legal, </w:t>
      </w:r>
      <w:r w:rsidR="006E2607">
        <w:rPr>
          <w:rFonts w:ascii="Arial" w:hAnsi="Arial" w:cs="Arial"/>
          <w:bCs/>
          <w:iCs/>
          <w:snapToGrid w:val="0"/>
          <w:sz w:val="24"/>
          <w:szCs w:val="24"/>
        </w:rPr>
        <w:t>e</w:t>
      </w:r>
      <w:r w:rsidR="006E2607" w:rsidRPr="006E2607">
        <w:rPr>
          <w:rFonts w:ascii="Arial" w:hAnsi="Arial" w:cs="Arial"/>
          <w:bCs/>
          <w:iCs/>
          <w:snapToGrid w:val="0"/>
          <w:sz w:val="24"/>
          <w:szCs w:val="24"/>
        </w:rPr>
        <w:t xml:space="preserve">l plazo para interponer la demanda ante el Tribunal de lo Contencioso Administrativo será de </w:t>
      </w:r>
      <w:r w:rsidR="006E2607" w:rsidRPr="006E2607">
        <w:rPr>
          <w:rFonts w:ascii="Arial" w:hAnsi="Arial" w:cs="Arial"/>
          <w:b/>
          <w:bCs/>
          <w:iCs/>
          <w:snapToGrid w:val="0"/>
          <w:sz w:val="24"/>
          <w:szCs w:val="24"/>
        </w:rPr>
        <w:t>treinta días hábiles, contados a partir del día siguiente al en que surta efectos</w:t>
      </w:r>
      <w:r w:rsidR="006E2607" w:rsidRPr="006E2607">
        <w:rPr>
          <w:rFonts w:ascii="Arial" w:hAnsi="Arial" w:cs="Arial"/>
          <w:bCs/>
          <w:iCs/>
          <w:snapToGrid w:val="0"/>
          <w:sz w:val="24"/>
          <w:szCs w:val="24"/>
        </w:rPr>
        <w:t>, conforme a la ley aplicable al acto, la notificación de la resolución o acto que se combata, o conste fehacientemente que el o los interesados o afectados tienen conocimiento del acto</w:t>
      </w:r>
      <w:r w:rsidR="006E2607">
        <w:rPr>
          <w:rFonts w:ascii="Arial" w:hAnsi="Arial" w:cs="Arial"/>
          <w:bCs/>
          <w:iCs/>
          <w:snapToGrid w:val="0"/>
          <w:sz w:val="24"/>
          <w:szCs w:val="24"/>
        </w:rPr>
        <w:t>.</w:t>
      </w:r>
    </w:p>
    <w:p w14:paraId="49D8C4D3" w14:textId="77777777" w:rsidR="00B955A7" w:rsidRPr="00BB1B71" w:rsidRDefault="006E2607" w:rsidP="00B955A7">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lastRenderedPageBreak/>
        <w:t>En el caso</w:t>
      </w:r>
      <w:r w:rsidR="00B955A7" w:rsidRPr="00BB1B71">
        <w:rPr>
          <w:rFonts w:ascii="Arial" w:hAnsi="Arial" w:cs="Arial"/>
          <w:bCs/>
          <w:snapToGrid w:val="0"/>
          <w:sz w:val="24"/>
          <w:szCs w:val="24"/>
        </w:rPr>
        <w:t>, al haber quedado acreditado que el acto impugnado fue le</w:t>
      </w:r>
      <w:r>
        <w:rPr>
          <w:rFonts w:ascii="Arial" w:hAnsi="Arial" w:cs="Arial"/>
          <w:bCs/>
          <w:snapToGrid w:val="0"/>
          <w:sz w:val="24"/>
          <w:szCs w:val="24"/>
        </w:rPr>
        <w:t>galmente notificado el dieciséis de octubre</w:t>
      </w:r>
      <w:r w:rsidR="00B955A7" w:rsidRPr="00BB1B71">
        <w:rPr>
          <w:rFonts w:ascii="Arial" w:hAnsi="Arial" w:cs="Arial"/>
          <w:bCs/>
          <w:snapToGrid w:val="0"/>
          <w:sz w:val="24"/>
          <w:szCs w:val="24"/>
        </w:rPr>
        <w:t xml:space="preserve"> de dos mil dieci</w:t>
      </w:r>
      <w:r>
        <w:rPr>
          <w:rFonts w:ascii="Arial" w:hAnsi="Arial" w:cs="Arial"/>
          <w:bCs/>
          <w:snapToGrid w:val="0"/>
          <w:sz w:val="24"/>
          <w:szCs w:val="24"/>
        </w:rPr>
        <w:t>nueve, dicha notificación</w:t>
      </w:r>
      <w:r w:rsidR="00B955A7" w:rsidRPr="00BB1B71">
        <w:rPr>
          <w:rFonts w:ascii="Arial" w:hAnsi="Arial" w:cs="Arial"/>
          <w:bCs/>
          <w:snapToGrid w:val="0"/>
          <w:sz w:val="24"/>
          <w:szCs w:val="24"/>
        </w:rPr>
        <w:t xml:space="preserve"> surtió sus efectos el día </w:t>
      </w:r>
      <w:r>
        <w:rPr>
          <w:rFonts w:ascii="Arial" w:hAnsi="Arial" w:cs="Arial"/>
          <w:bCs/>
          <w:snapToGrid w:val="0"/>
          <w:sz w:val="24"/>
          <w:szCs w:val="24"/>
        </w:rPr>
        <w:t>diecisiete siguiente</w:t>
      </w:r>
      <w:r w:rsidR="00B955A7" w:rsidRPr="00BB1B71">
        <w:rPr>
          <w:rFonts w:ascii="Arial" w:hAnsi="Arial" w:cs="Arial"/>
          <w:bCs/>
          <w:snapToGrid w:val="0"/>
          <w:sz w:val="24"/>
          <w:szCs w:val="24"/>
        </w:rPr>
        <w:t xml:space="preserve">, posteriormente, el actor contaba con treinta días para interponer la demanda ante este Órgano Jurisdiccional, luego entonces, el plazo de treinta días previsto por el artículo 166 primer párrafo de la ley de la materia para la interposición de la demanda de nulidad, transcurrió del </w:t>
      </w:r>
      <w:r w:rsidRPr="006E2607">
        <w:rPr>
          <w:rFonts w:ascii="Arial" w:hAnsi="Arial" w:cs="Arial"/>
          <w:b/>
          <w:bCs/>
          <w:snapToGrid w:val="0"/>
          <w:sz w:val="24"/>
          <w:szCs w:val="24"/>
        </w:rPr>
        <w:t>dieciocho de octubre de dos mi</w:t>
      </w:r>
      <w:r>
        <w:rPr>
          <w:rFonts w:ascii="Arial" w:hAnsi="Arial" w:cs="Arial"/>
          <w:b/>
          <w:bCs/>
          <w:snapToGrid w:val="0"/>
          <w:sz w:val="24"/>
          <w:szCs w:val="24"/>
        </w:rPr>
        <w:t>l</w:t>
      </w:r>
      <w:r w:rsidRPr="006E2607">
        <w:rPr>
          <w:rFonts w:ascii="Arial" w:hAnsi="Arial" w:cs="Arial"/>
          <w:b/>
          <w:bCs/>
          <w:snapToGrid w:val="0"/>
          <w:sz w:val="24"/>
          <w:szCs w:val="24"/>
        </w:rPr>
        <w:t xml:space="preserve"> diecinueve al cinco de diciembre de dos mil diecinueve</w:t>
      </w:r>
      <w:r w:rsidR="00B955A7" w:rsidRPr="00BB1B71">
        <w:rPr>
          <w:rFonts w:ascii="Arial" w:hAnsi="Arial" w:cs="Arial"/>
          <w:bCs/>
          <w:snapToGrid w:val="0"/>
          <w:sz w:val="24"/>
          <w:szCs w:val="24"/>
        </w:rPr>
        <w:t xml:space="preserve">; descontándose los días </w:t>
      </w:r>
      <w:r>
        <w:rPr>
          <w:rFonts w:ascii="Arial" w:hAnsi="Arial" w:cs="Arial"/>
          <w:bCs/>
          <w:snapToGrid w:val="0"/>
          <w:sz w:val="24"/>
          <w:szCs w:val="24"/>
        </w:rPr>
        <w:t>diecinueve, veinte, veintiséis y veintisiete de octubre; dos, tres, nueve, diez, dieciséis, diecisiete, veintitrés, veinticuatro y treinta de noviembre, uno de d</w:t>
      </w:r>
      <w:r w:rsidR="009A0CD2">
        <w:rPr>
          <w:rFonts w:ascii="Arial" w:hAnsi="Arial" w:cs="Arial"/>
          <w:bCs/>
          <w:snapToGrid w:val="0"/>
          <w:sz w:val="24"/>
          <w:szCs w:val="24"/>
        </w:rPr>
        <w:t xml:space="preserve">iciembre, todos estos de dos mil </w:t>
      </w:r>
      <w:r>
        <w:rPr>
          <w:rFonts w:ascii="Arial" w:hAnsi="Arial" w:cs="Arial"/>
          <w:bCs/>
          <w:snapToGrid w:val="0"/>
          <w:sz w:val="24"/>
          <w:szCs w:val="24"/>
        </w:rPr>
        <w:t>diecinueve</w:t>
      </w:r>
      <w:r w:rsidR="00B955A7" w:rsidRPr="00BB1B71">
        <w:rPr>
          <w:rFonts w:ascii="Arial" w:hAnsi="Arial" w:cs="Arial"/>
          <w:bCs/>
          <w:snapToGrid w:val="0"/>
          <w:sz w:val="24"/>
          <w:szCs w:val="24"/>
        </w:rPr>
        <w:t xml:space="preserve"> al haber sido sábados y domingos, conforme a lo dispuesto por el artículo 165 de la Ley que</w:t>
      </w:r>
      <w:r w:rsidR="00B955A7">
        <w:rPr>
          <w:rFonts w:ascii="Arial" w:hAnsi="Arial" w:cs="Arial"/>
          <w:bCs/>
          <w:snapToGrid w:val="0"/>
          <w:sz w:val="24"/>
          <w:szCs w:val="24"/>
        </w:rPr>
        <w:t xml:space="preserve"> rige a este Tribunal</w:t>
      </w:r>
      <w:r>
        <w:rPr>
          <w:rFonts w:ascii="Arial" w:hAnsi="Arial" w:cs="Arial"/>
          <w:bCs/>
          <w:snapToGrid w:val="0"/>
          <w:sz w:val="24"/>
          <w:szCs w:val="24"/>
        </w:rPr>
        <w:t>;</w:t>
      </w:r>
      <w:r w:rsidR="009A0CD2">
        <w:rPr>
          <w:rFonts w:ascii="Arial" w:hAnsi="Arial" w:cs="Arial"/>
          <w:bCs/>
          <w:snapToGrid w:val="0"/>
          <w:sz w:val="24"/>
          <w:szCs w:val="24"/>
        </w:rPr>
        <w:t xml:space="preserve"> así como los días</w:t>
      </w:r>
      <w:r>
        <w:rPr>
          <w:rFonts w:ascii="Arial" w:hAnsi="Arial" w:cs="Arial"/>
          <w:bCs/>
          <w:snapToGrid w:val="0"/>
          <w:sz w:val="24"/>
          <w:szCs w:val="24"/>
        </w:rPr>
        <w:t xml:space="preserve"> veintiuno, trei</w:t>
      </w:r>
      <w:r w:rsidR="009A0CD2">
        <w:rPr>
          <w:rFonts w:ascii="Arial" w:hAnsi="Arial" w:cs="Arial"/>
          <w:bCs/>
          <w:snapToGrid w:val="0"/>
          <w:sz w:val="24"/>
          <w:szCs w:val="24"/>
        </w:rPr>
        <w:t>n</w:t>
      </w:r>
      <w:r>
        <w:rPr>
          <w:rFonts w:ascii="Arial" w:hAnsi="Arial" w:cs="Arial"/>
          <w:bCs/>
          <w:snapToGrid w:val="0"/>
          <w:sz w:val="24"/>
          <w:szCs w:val="24"/>
        </w:rPr>
        <w:t>ta y treinta y uno de octubre, uno de diciembre del mismo año, por hab</w:t>
      </w:r>
      <w:r w:rsidR="009A0CD2">
        <w:rPr>
          <w:rFonts w:ascii="Arial" w:hAnsi="Arial" w:cs="Arial"/>
          <w:bCs/>
          <w:snapToGrid w:val="0"/>
          <w:sz w:val="24"/>
          <w:szCs w:val="24"/>
        </w:rPr>
        <w:t>er si</w:t>
      </w:r>
      <w:r>
        <w:rPr>
          <w:rFonts w:ascii="Arial" w:hAnsi="Arial" w:cs="Arial"/>
          <w:bCs/>
          <w:snapToGrid w:val="0"/>
          <w:sz w:val="24"/>
          <w:szCs w:val="24"/>
        </w:rPr>
        <w:t>do d</w:t>
      </w:r>
      <w:r w:rsidR="009A0CD2">
        <w:rPr>
          <w:rFonts w:ascii="Arial" w:hAnsi="Arial" w:cs="Arial"/>
          <w:bCs/>
          <w:snapToGrid w:val="0"/>
          <w:sz w:val="24"/>
          <w:szCs w:val="24"/>
        </w:rPr>
        <w:t>ías no laborales de conformidad con el calend</w:t>
      </w:r>
      <w:r>
        <w:rPr>
          <w:rFonts w:ascii="Arial" w:hAnsi="Arial" w:cs="Arial"/>
          <w:bCs/>
          <w:snapToGrid w:val="0"/>
          <w:sz w:val="24"/>
          <w:szCs w:val="24"/>
        </w:rPr>
        <w:t>ario de este Tribunal.</w:t>
      </w:r>
    </w:p>
    <w:p w14:paraId="1C03BDBA" w14:textId="77777777" w:rsidR="00B955A7" w:rsidRPr="00BB1B71" w:rsidRDefault="00B955A7" w:rsidP="00B955A7">
      <w:pPr>
        <w:spacing w:line="360" w:lineRule="auto"/>
        <w:ind w:right="51" w:firstLine="567"/>
        <w:jc w:val="both"/>
        <w:rPr>
          <w:rFonts w:ascii="Arial" w:hAnsi="Arial" w:cs="Arial"/>
          <w:bCs/>
          <w:snapToGrid w:val="0"/>
          <w:sz w:val="24"/>
          <w:szCs w:val="24"/>
        </w:rPr>
      </w:pPr>
      <w:r w:rsidRPr="00BB1B71">
        <w:rPr>
          <w:rFonts w:ascii="Arial" w:hAnsi="Arial" w:cs="Arial"/>
          <w:bCs/>
          <w:snapToGrid w:val="0"/>
          <w:sz w:val="24"/>
          <w:szCs w:val="24"/>
        </w:rPr>
        <w:t xml:space="preserve">Luego </w:t>
      </w:r>
      <w:r w:rsidR="004C4B56">
        <w:rPr>
          <w:rFonts w:ascii="Arial" w:hAnsi="Arial" w:cs="Arial"/>
          <w:bCs/>
          <w:snapToGrid w:val="0"/>
          <w:sz w:val="24"/>
          <w:szCs w:val="24"/>
        </w:rPr>
        <w:t>entonces, si el</w:t>
      </w:r>
      <w:r w:rsidRPr="00BB1B71">
        <w:rPr>
          <w:rFonts w:ascii="Arial" w:hAnsi="Arial" w:cs="Arial"/>
          <w:bCs/>
          <w:snapToGrid w:val="0"/>
          <w:sz w:val="24"/>
          <w:szCs w:val="24"/>
        </w:rPr>
        <w:t xml:space="preserve"> escrito de demanda fue presentando en la Oficialía de Partes Común de este Tribunal el día </w:t>
      </w:r>
      <w:r w:rsidR="004C4B56" w:rsidRPr="004C4B56">
        <w:rPr>
          <w:rFonts w:ascii="Arial" w:hAnsi="Arial" w:cs="Arial"/>
          <w:b/>
          <w:bCs/>
          <w:snapToGrid w:val="0"/>
          <w:sz w:val="24"/>
          <w:szCs w:val="24"/>
        </w:rPr>
        <w:t>dieciséis de enero de dos mil veinte</w:t>
      </w:r>
      <w:r w:rsidRPr="00BB1B71">
        <w:rPr>
          <w:rFonts w:ascii="Arial" w:hAnsi="Arial" w:cs="Arial"/>
          <w:bCs/>
          <w:snapToGrid w:val="0"/>
          <w:sz w:val="24"/>
          <w:szCs w:val="24"/>
        </w:rPr>
        <w:t xml:space="preserve">, </w:t>
      </w:r>
      <w:r w:rsidR="004C4B56">
        <w:rPr>
          <w:rFonts w:ascii="Arial" w:hAnsi="Arial" w:cs="Arial"/>
          <w:bCs/>
          <w:snapToGrid w:val="0"/>
          <w:sz w:val="24"/>
          <w:szCs w:val="24"/>
        </w:rPr>
        <w:t xml:space="preserve">como consta con el sello de recepción de la Oficialía de Partes Común de esta Primera instancia, </w:t>
      </w:r>
      <w:r w:rsidRPr="00BB1B71">
        <w:rPr>
          <w:rFonts w:ascii="Arial" w:hAnsi="Arial" w:cs="Arial"/>
          <w:bCs/>
          <w:snapToGrid w:val="0"/>
          <w:sz w:val="24"/>
          <w:szCs w:val="24"/>
        </w:rPr>
        <w:t>resulta evidente que su interposición se efectuó fuera del plazo de treinta días previsto por el citado artículo 166 primer párrafo de la Ley de Procedimiento y Justicia Administrativa para el Estado de Oaxac</w:t>
      </w:r>
      <w:r>
        <w:rPr>
          <w:rFonts w:ascii="Arial" w:hAnsi="Arial" w:cs="Arial"/>
          <w:bCs/>
          <w:snapToGrid w:val="0"/>
          <w:sz w:val="24"/>
          <w:szCs w:val="24"/>
        </w:rPr>
        <w:t>a.</w:t>
      </w:r>
    </w:p>
    <w:p w14:paraId="569251B3" w14:textId="77777777" w:rsidR="004C4B56" w:rsidRDefault="00B955A7" w:rsidP="00B955A7">
      <w:pPr>
        <w:spacing w:line="360" w:lineRule="auto"/>
        <w:ind w:right="51" w:firstLine="567"/>
        <w:jc w:val="both"/>
        <w:rPr>
          <w:rFonts w:ascii="Arial" w:hAnsi="Arial" w:cs="Arial"/>
          <w:bCs/>
          <w:snapToGrid w:val="0"/>
          <w:sz w:val="24"/>
          <w:szCs w:val="24"/>
        </w:rPr>
      </w:pPr>
      <w:r w:rsidRPr="00BB1B71">
        <w:rPr>
          <w:rFonts w:ascii="Arial" w:hAnsi="Arial" w:cs="Arial"/>
          <w:bCs/>
          <w:snapToGrid w:val="0"/>
          <w:sz w:val="24"/>
          <w:szCs w:val="24"/>
        </w:rPr>
        <w:t xml:space="preserve">Por todo lo anterior, puede afirmarse que, en el caso se actualizan las causales de improcedencia y sobreseimiento del juicio previstas en la fracción VI del artículo 161, y II del numeral 162 de la Ley de la materia, citados con antelación, por lo tanto, esta Sala estima procedente </w:t>
      </w:r>
      <w:r w:rsidRPr="00BB1B71">
        <w:rPr>
          <w:rFonts w:ascii="Arial" w:hAnsi="Arial" w:cs="Arial"/>
          <w:b/>
          <w:snapToGrid w:val="0"/>
          <w:sz w:val="24"/>
          <w:szCs w:val="24"/>
        </w:rPr>
        <w:t>SOBRESEER EL PRESENTE JUICIO</w:t>
      </w:r>
      <w:r w:rsidRPr="00BB1B71">
        <w:rPr>
          <w:rFonts w:ascii="Arial" w:hAnsi="Arial" w:cs="Arial"/>
          <w:bCs/>
          <w:snapToGrid w:val="0"/>
          <w:sz w:val="24"/>
          <w:szCs w:val="24"/>
        </w:rPr>
        <w:t xml:space="preserve">, por no haber presentado el juicio de nulidad dentro del plazo estipulado en el artículo 166 primer párrafo de la Ley de Procedimiento y Justicia Administrativa para el Estado de Oaxaca, en consecuencia, al haberse decretado el sobreseimiento del juicio, esta Sala se encuentra imposibilitada para entrar al análisis de las pretensiones del actor, ya que el analizar primeramente las cuestiones de improcedencia o sobreseimiento son actos previos al análisis y estudio de fondo del acto controvertido toda vez que son consideradas de orden público y por ello, deben ser examinadas de oficio por el juzgador. </w:t>
      </w:r>
    </w:p>
    <w:p w14:paraId="465524A8" w14:textId="77777777" w:rsidR="004C4B56" w:rsidRDefault="00302896" w:rsidP="00B955A7">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Son</w:t>
      </w:r>
      <w:r w:rsidR="004C4B56">
        <w:rPr>
          <w:rFonts w:ascii="Arial" w:hAnsi="Arial" w:cs="Arial"/>
          <w:bCs/>
          <w:snapToGrid w:val="0"/>
          <w:sz w:val="24"/>
          <w:szCs w:val="24"/>
        </w:rPr>
        <w:t xml:space="preserve"> aplicable</w:t>
      </w:r>
      <w:r>
        <w:rPr>
          <w:rFonts w:ascii="Arial" w:hAnsi="Arial" w:cs="Arial"/>
          <w:bCs/>
          <w:snapToGrid w:val="0"/>
          <w:sz w:val="24"/>
          <w:szCs w:val="24"/>
        </w:rPr>
        <w:t>s los</w:t>
      </w:r>
      <w:r w:rsidR="004C4B56">
        <w:rPr>
          <w:rFonts w:ascii="Arial" w:hAnsi="Arial" w:cs="Arial"/>
          <w:bCs/>
          <w:snapToGrid w:val="0"/>
          <w:sz w:val="24"/>
          <w:szCs w:val="24"/>
        </w:rPr>
        <w:t xml:space="preserve"> siguiente</w:t>
      </w:r>
      <w:r>
        <w:rPr>
          <w:rFonts w:ascii="Arial" w:hAnsi="Arial" w:cs="Arial"/>
          <w:bCs/>
          <w:snapToGrid w:val="0"/>
          <w:sz w:val="24"/>
          <w:szCs w:val="24"/>
        </w:rPr>
        <w:t>s</w:t>
      </w:r>
      <w:r w:rsidR="004C4B56">
        <w:rPr>
          <w:rFonts w:ascii="Arial" w:hAnsi="Arial" w:cs="Arial"/>
          <w:bCs/>
          <w:snapToGrid w:val="0"/>
          <w:sz w:val="24"/>
          <w:szCs w:val="24"/>
        </w:rPr>
        <w:t xml:space="preserve"> criterio</w:t>
      </w:r>
      <w:r>
        <w:rPr>
          <w:rFonts w:ascii="Arial" w:hAnsi="Arial" w:cs="Arial"/>
          <w:bCs/>
          <w:snapToGrid w:val="0"/>
          <w:sz w:val="24"/>
          <w:szCs w:val="24"/>
        </w:rPr>
        <w:t>s</w:t>
      </w:r>
      <w:r w:rsidR="004C4B56">
        <w:rPr>
          <w:rFonts w:ascii="Arial" w:hAnsi="Arial" w:cs="Arial"/>
          <w:bCs/>
          <w:snapToGrid w:val="0"/>
          <w:sz w:val="24"/>
          <w:szCs w:val="24"/>
        </w:rPr>
        <w:t>:</w:t>
      </w:r>
    </w:p>
    <w:p w14:paraId="4B6C18B2" w14:textId="77777777" w:rsidR="004C4B56" w:rsidRPr="00302896" w:rsidRDefault="00302896" w:rsidP="00302896">
      <w:pPr>
        <w:spacing w:after="0" w:line="240" w:lineRule="auto"/>
        <w:ind w:left="567" w:right="335"/>
        <w:jc w:val="both"/>
        <w:rPr>
          <w:rFonts w:ascii="Arial" w:hAnsi="Arial" w:cs="Arial"/>
          <w:bCs/>
          <w:snapToGrid w:val="0"/>
        </w:rPr>
      </w:pPr>
      <w:r w:rsidRPr="00302896">
        <w:rPr>
          <w:rFonts w:ascii="Arial" w:hAnsi="Arial" w:cs="Arial"/>
          <w:b/>
          <w:bCs/>
          <w:snapToGrid w:val="0"/>
        </w:rPr>
        <w:t>J</w:t>
      </w:r>
      <w:r w:rsidR="00B955A7" w:rsidRPr="00302896">
        <w:rPr>
          <w:rFonts w:ascii="Arial" w:hAnsi="Arial" w:cs="Arial"/>
          <w:b/>
          <w:bCs/>
          <w:snapToGrid w:val="0"/>
        </w:rPr>
        <w:t>urisprudencia</w:t>
      </w:r>
      <w:r w:rsidR="00B955A7" w:rsidRPr="00302896">
        <w:rPr>
          <w:rFonts w:ascii="Arial" w:hAnsi="Arial" w:cs="Arial"/>
          <w:bCs/>
          <w:snapToGrid w:val="0"/>
        </w:rPr>
        <w:t xml:space="preserve"> número 1027</w:t>
      </w:r>
    </w:p>
    <w:p w14:paraId="0CFC5270" w14:textId="77777777" w:rsidR="004C4B56" w:rsidRPr="00302896" w:rsidRDefault="004C4B56" w:rsidP="00302896">
      <w:pPr>
        <w:spacing w:after="0" w:line="240" w:lineRule="auto"/>
        <w:ind w:left="567" w:right="335"/>
        <w:jc w:val="both"/>
        <w:rPr>
          <w:rFonts w:ascii="Arial" w:hAnsi="Arial" w:cs="Arial"/>
          <w:bCs/>
          <w:snapToGrid w:val="0"/>
        </w:rPr>
      </w:pPr>
      <w:r w:rsidRPr="00302896">
        <w:rPr>
          <w:rFonts w:ascii="Arial" w:hAnsi="Arial" w:cs="Arial"/>
          <w:b/>
          <w:bCs/>
          <w:snapToGrid w:val="0"/>
        </w:rPr>
        <w:t>N</w:t>
      </w:r>
      <w:r w:rsidR="00B955A7" w:rsidRPr="00302896">
        <w:rPr>
          <w:rFonts w:ascii="Arial" w:hAnsi="Arial" w:cs="Arial"/>
          <w:b/>
          <w:bCs/>
          <w:snapToGrid w:val="0"/>
        </w:rPr>
        <w:t>úmero registro</w:t>
      </w:r>
      <w:r w:rsidR="00B955A7" w:rsidRPr="00302896">
        <w:rPr>
          <w:rFonts w:ascii="Arial" w:hAnsi="Arial" w:cs="Arial"/>
          <w:bCs/>
          <w:snapToGrid w:val="0"/>
        </w:rPr>
        <w:t xml:space="preserve"> 394983</w:t>
      </w:r>
    </w:p>
    <w:p w14:paraId="46F34A22" w14:textId="77777777" w:rsidR="004C4B56" w:rsidRPr="00302896" w:rsidRDefault="00B955A7" w:rsidP="00302896">
      <w:pPr>
        <w:spacing w:after="0" w:line="240" w:lineRule="auto"/>
        <w:ind w:left="567" w:right="335"/>
        <w:jc w:val="both"/>
        <w:rPr>
          <w:rFonts w:ascii="Arial" w:hAnsi="Arial" w:cs="Arial"/>
          <w:bCs/>
          <w:snapToGrid w:val="0"/>
        </w:rPr>
      </w:pPr>
      <w:r w:rsidRPr="00302896">
        <w:rPr>
          <w:rFonts w:ascii="Arial" w:hAnsi="Arial" w:cs="Arial"/>
          <w:bCs/>
          <w:snapToGrid w:val="0"/>
        </w:rPr>
        <w:t xml:space="preserve">Tribunales Colegiados de Circuito en el Apéndice de 1995, Tomo VI, </w:t>
      </w:r>
      <w:proofErr w:type="spellStart"/>
      <w:r w:rsidRPr="00302896">
        <w:rPr>
          <w:rFonts w:ascii="Arial" w:hAnsi="Arial" w:cs="Arial"/>
          <w:bCs/>
          <w:snapToGrid w:val="0"/>
        </w:rPr>
        <w:t>ParteTCC</w:t>
      </w:r>
      <w:proofErr w:type="spellEnd"/>
      <w:r w:rsidRPr="00302896">
        <w:rPr>
          <w:rFonts w:ascii="Arial" w:hAnsi="Arial" w:cs="Arial"/>
          <w:bCs/>
          <w:snapToGrid w:val="0"/>
        </w:rPr>
        <w:t xml:space="preserve">, </w:t>
      </w:r>
      <w:r w:rsidRPr="00302896">
        <w:rPr>
          <w:rFonts w:ascii="Arial" w:hAnsi="Arial" w:cs="Arial"/>
          <w:b/>
          <w:bCs/>
          <w:snapToGrid w:val="0"/>
        </w:rPr>
        <w:t xml:space="preserve">Página </w:t>
      </w:r>
      <w:r w:rsidR="00302896">
        <w:rPr>
          <w:rFonts w:ascii="Arial" w:hAnsi="Arial" w:cs="Arial"/>
          <w:bCs/>
          <w:snapToGrid w:val="0"/>
        </w:rPr>
        <w:t>707</w:t>
      </w:r>
    </w:p>
    <w:p w14:paraId="7E6FE412" w14:textId="77777777" w:rsidR="004C4B56" w:rsidRDefault="00B955A7" w:rsidP="00302896">
      <w:pPr>
        <w:spacing w:after="0" w:line="240" w:lineRule="auto"/>
        <w:ind w:left="567" w:right="335"/>
        <w:jc w:val="both"/>
        <w:rPr>
          <w:rFonts w:ascii="Arial" w:hAnsi="Arial" w:cs="Arial"/>
          <w:bCs/>
          <w:snapToGrid w:val="0"/>
        </w:rPr>
      </w:pPr>
      <w:r w:rsidRPr="00302896">
        <w:rPr>
          <w:rFonts w:ascii="Arial" w:hAnsi="Arial" w:cs="Arial"/>
          <w:b/>
          <w:bCs/>
          <w:snapToGrid w:val="0"/>
        </w:rPr>
        <w:t>Octava Época</w:t>
      </w:r>
    </w:p>
    <w:p w14:paraId="258D920F" w14:textId="77777777" w:rsidR="00302896" w:rsidRPr="00302896" w:rsidRDefault="00302896" w:rsidP="00302896">
      <w:pPr>
        <w:spacing w:after="0" w:line="240" w:lineRule="auto"/>
        <w:ind w:left="567" w:right="335"/>
        <w:jc w:val="both"/>
        <w:rPr>
          <w:rFonts w:ascii="Arial" w:hAnsi="Arial" w:cs="Arial"/>
          <w:bCs/>
          <w:snapToGrid w:val="0"/>
        </w:rPr>
      </w:pPr>
    </w:p>
    <w:p w14:paraId="43290551" w14:textId="77777777" w:rsidR="00302896" w:rsidRDefault="00302896" w:rsidP="00302896">
      <w:pPr>
        <w:spacing w:after="0" w:line="240" w:lineRule="auto"/>
        <w:ind w:left="567" w:right="335"/>
        <w:jc w:val="both"/>
        <w:rPr>
          <w:rFonts w:ascii="Arial" w:hAnsi="Arial" w:cs="Arial"/>
          <w:bCs/>
          <w:snapToGrid w:val="0"/>
        </w:rPr>
      </w:pPr>
      <w:r w:rsidRPr="00302896">
        <w:rPr>
          <w:rFonts w:ascii="Arial" w:hAnsi="Arial" w:cs="Arial"/>
          <w:b/>
          <w:snapToGrid w:val="0"/>
        </w:rPr>
        <w:t>SOBRESEIMIENTO. IMPIDE EL ESTUDIO DE LAS CUESTIONES DE FONDO.</w:t>
      </w:r>
      <w:r w:rsidRPr="00302896">
        <w:rPr>
          <w:rFonts w:ascii="Arial" w:hAnsi="Arial" w:cs="Arial"/>
          <w:bCs/>
          <w:snapToGrid w:val="0"/>
        </w:rPr>
        <w:t xml:space="preserve"> </w:t>
      </w:r>
    </w:p>
    <w:p w14:paraId="17BDD34A" w14:textId="77777777" w:rsidR="00302896" w:rsidRDefault="00302896" w:rsidP="00302896">
      <w:pPr>
        <w:spacing w:after="0" w:line="240" w:lineRule="auto"/>
        <w:ind w:left="567" w:right="335"/>
        <w:jc w:val="both"/>
        <w:rPr>
          <w:rFonts w:ascii="Arial" w:hAnsi="Arial" w:cs="Arial"/>
          <w:bCs/>
          <w:snapToGrid w:val="0"/>
        </w:rPr>
      </w:pPr>
    </w:p>
    <w:p w14:paraId="685F6FB5" w14:textId="77777777" w:rsidR="00302896" w:rsidRDefault="00302896" w:rsidP="00302896">
      <w:pPr>
        <w:spacing w:after="0" w:line="240" w:lineRule="auto"/>
        <w:ind w:left="567" w:right="335"/>
        <w:jc w:val="both"/>
        <w:rPr>
          <w:rFonts w:ascii="Arial" w:hAnsi="Arial" w:cs="Arial"/>
          <w:bCs/>
          <w:snapToGrid w:val="0"/>
        </w:rPr>
      </w:pPr>
      <w:r w:rsidRPr="00302896">
        <w:rPr>
          <w:rFonts w:ascii="Arial" w:hAnsi="Arial" w:cs="Arial"/>
          <w:bCs/>
          <w:snapToGrid w:val="0"/>
        </w:rPr>
        <w:lastRenderedPageBreak/>
        <w:t>La resolución en que se decreta el sobreseimiento en el juicio, constituye un acto procesal que termina la instancia por cuestiones ajenas al aspecto de fondo planteado. Así, no causa agravio la sentencia que no se ocupa de examinar la constitucionalidad o inconstitucionalidad del acto reclamado, ya que tal cuestión constituye el problema de fondo planteado.</w:t>
      </w:r>
    </w:p>
    <w:p w14:paraId="304D6AF1" w14:textId="77777777" w:rsidR="00302896" w:rsidRDefault="00302896" w:rsidP="00302896">
      <w:pPr>
        <w:spacing w:after="0" w:line="240" w:lineRule="auto"/>
        <w:ind w:left="567" w:right="335"/>
        <w:jc w:val="both"/>
        <w:rPr>
          <w:rFonts w:ascii="Arial" w:hAnsi="Arial" w:cs="Arial"/>
          <w:bCs/>
          <w:snapToGrid w:val="0"/>
        </w:rPr>
      </w:pPr>
    </w:p>
    <w:p w14:paraId="250C6084" w14:textId="77777777" w:rsidR="00302896" w:rsidRPr="00302896" w:rsidRDefault="00302896" w:rsidP="00302896">
      <w:pPr>
        <w:spacing w:after="0" w:line="240" w:lineRule="auto"/>
        <w:ind w:left="567" w:right="335"/>
        <w:jc w:val="both"/>
        <w:rPr>
          <w:rFonts w:ascii="Arial" w:hAnsi="Arial" w:cs="Arial"/>
          <w:bCs/>
          <w:snapToGrid w:val="0"/>
        </w:rPr>
      </w:pPr>
    </w:p>
    <w:p w14:paraId="66DF6DEF" w14:textId="77777777" w:rsidR="00302896" w:rsidRPr="00302896" w:rsidRDefault="00302896" w:rsidP="00302896">
      <w:pPr>
        <w:spacing w:after="0" w:line="240" w:lineRule="auto"/>
        <w:ind w:left="567" w:right="335"/>
        <w:jc w:val="both"/>
        <w:rPr>
          <w:rFonts w:ascii="Arial" w:hAnsi="Arial" w:cs="Arial"/>
          <w:bCs/>
          <w:snapToGrid w:val="0"/>
        </w:rPr>
      </w:pPr>
      <w:r w:rsidRPr="00302896">
        <w:rPr>
          <w:rFonts w:ascii="Arial" w:hAnsi="Arial" w:cs="Arial"/>
          <w:b/>
          <w:bCs/>
          <w:snapToGrid w:val="0"/>
        </w:rPr>
        <w:t>T</w:t>
      </w:r>
      <w:r w:rsidR="00B955A7" w:rsidRPr="00302896">
        <w:rPr>
          <w:rFonts w:ascii="Arial" w:hAnsi="Arial" w:cs="Arial"/>
          <w:b/>
          <w:bCs/>
          <w:snapToGrid w:val="0"/>
        </w:rPr>
        <w:t>esis</w:t>
      </w:r>
      <w:r>
        <w:rPr>
          <w:rFonts w:ascii="Arial" w:hAnsi="Arial" w:cs="Arial"/>
          <w:bCs/>
          <w:snapToGrid w:val="0"/>
        </w:rPr>
        <w:t xml:space="preserve"> número IV.2o.A.201 A</w:t>
      </w:r>
    </w:p>
    <w:p w14:paraId="24895CB1" w14:textId="77777777" w:rsidR="00302896" w:rsidRPr="00302896" w:rsidRDefault="00302896" w:rsidP="00302896">
      <w:pPr>
        <w:spacing w:after="0" w:line="240" w:lineRule="auto"/>
        <w:ind w:left="567" w:right="335"/>
        <w:jc w:val="both"/>
        <w:rPr>
          <w:rFonts w:ascii="Arial" w:hAnsi="Arial" w:cs="Arial"/>
          <w:bCs/>
          <w:snapToGrid w:val="0"/>
        </w:rPr>
      </w:pPr>
      <w:r w:rsidRPr="00302896">
        <w:rPr>
          <w:rFonts w:ascii="Arial" w:hAnsi="Arial" w:cs="Arial"/>
          <w:b/>
          <w:bCs/>
          <w:snapToGrid w:val="0"/>
        </w:rPr>
        <w:t>R</w:t>
      </w:r>
      <w:r w:rsidR="00B955A7" w:rsidRPr="00302896">
        <w:rPr>
          <w:rFonts w:ascii="Arial" w:hAnsi="Arial" w:cs="Arial"/>
          <w:b/>
          <w:bCs/>
          <w:snapToGrid w:val="0"/>
        </w:rPr>
        <w:t>egistro</w:t>
      </w:r>
      <w:r w:rsidR="00B955A7" w:rsidRPr="00302896">
        <w:rPr>
          <w:rFonts w:ascii="Arial" w:hAnsi="Arial" w:cs="Arial"/>
          <w:bCs/>
          <w:snapToGrid w:val="0"/>
        </w:rPr>
        <w:t xml:space="preserve"> 172017</w:t>
      </w:r>
    </w:p>
    <w:p w14:paraId="44B5B73C" w14:textId="77777777" w:rsidR="00302896" w:rsidRPr="00302896" w:rsidRDefault="00B955A7" w:rsidP="00302896">
      <w:pPr>
        <w:spacing w:after="0" w:line="240" w:lineRule="auto"/>
        <w:ind w:left="567" w:right="335"/>
        <w:jc w:val="both"/>
        <w:rPr>
          <w:rFonts w:ascii="Arial" w:hAnsi="Arial" w:cs="Arial"/>
          <w:bCs/>
          <w:snapToGrid w:val="0"/>
        </w:rPr>
      </w:pPr>
      <w:r w:rsidRPr="00302896">
        <w:rPr>
          <w:rFonts w:ascii="Arial" w:hAnsi="Arial" w:cs="Arial"/>
          <w:bCs/>
          <w:snapToGrid w:val="0"/>
        </w:rPr>
        <w:t>Tribunales Colegiados de Circuito en el Semanario Judicial de la Federación y su Gaceta, Tomo XX</w:t>
      </w:r>
      <w:r w:rsidR="00302896">
        <w:rPr>
          <w:rFonts w:ascii="Arial" w:hAnsi="Arial" w:cs="Arial"/>
          <w:bCs/>
          <w:snapToGrid w:val="0"/>
        </w:rPr>
        <w:t>VI, Julio de 2007, Página 2515</w:t>
      </w:r>
    </w:p>
    <w:p w14:paraId="0A4356D6" w14:textId="77777777" w:rsidR="00302896" w:rsidRPr="00302896" w:rsidRDefault="00B955A7" w:rsidP="00302896">
      <w:pPr>
        <w:spacing w:after="0" w:line="240" w:lineRule="auto"/>
        <w:ind w:left="567" w:right="335"/>
        <w:jc w:val="both"/>
        <w:rPr>
          <w:rFonts w:ascii="Arial" w:hAnsi="Arial" w:cs="Arial"/>
          <w:b/>
          <w:bCs/>
          <w:snapToGrid w:val="0"/>
        </w:rPr>
      </w:pPr>
      <w:r w:rsidRPr="00302896">
        <w:rPr>
          <w:rFonts w:ascii="Arial" w:hAnsi="Arial" w:cs="Arial"/>
          <w:b/>
          <w:bCs/>
          <w:snapToGrid w:val="0"/>
        </w:rPr>
        <w:t>Novena Época</w:t>
      </w:r>
    </w:p>
    <w:p w14:paraId="546701A5" w14:textId="77777777" w:rsidR="00302896" w:rsidRDefault="00302896" w:rsidP="00302896">
      <w:pPr>
        <w:spacing w:after="0" w:line="240" w:lineRule="auto"/>
        <w:ind w:left="567" w:right="335"/>
        <w:jc w:val="both"/>
        <w:rPr>
          <w:rFonts w:ascii="Arial" w:hAnsi="Arial" w:cs="Arial"/>
          <w:b/>
          <w:snapToGrid w:val="0"/>
        </w:rPr>
      </w:pPr>
    </w:p>
    <w:p w14:paraId="0EB6EFBC" w14:textId="77777777" w:rsidR="00302896" w:rsidRPr="00302896" w:rsidRDefault="00B955A7" w:rsidP="00302896">
      <w:pPr>
        <w:spacing w:after="0" w:line="240" w:lineRule="auto"/>
        <w:ind w:left="567" w:right="335"/>
        <w:jc w:val="both"/>
        <w:rPr>
          <w:rFonts w:ascii="Arial" w:hAnsi="Arial" w:cs="Arial"/>
          <w:bCs/>
          <w:snapToGrid w:val="0"/>
        </w:rPr>
      </w:pPr>
      <w:r w:rsidRPr="00302896">
        <w:rPr>
          <w:rFonts w:ascii="Arial" w:hAnsi="Arial" w:cs="Arial"/>
          <w:b/>
          <w:snapToGrid w:val="0"/>
        </w:rPr>
        <w:t>IMPROCEDENCIA DEL JUICIO CONTENCIOSO ADMINISTRATIVO. EL ANÁLISIS DE LAS CAUSAS RELATIVAS ES DE ORDEN PÚBLICO Y, POR LO TANTO, SI EN EL RECURSO DE REVISIÓN EL JUZGADOR ADVIERTE LA ACTUALIZACIÓN DE ALGUNA, CUYO ESTUDIO ES PREFERENTE A LAS EXAMINADAS POR EL A QUO O A LAS HECHAS VALER POR LAS PARTES, DEBE PRONUNCIARSE DE OFICIO AL RESPECTO SIN ESTUDIAR LOS AGRAVIOS (LEGISLACIÓN DEL ESTADO DE NUEVO LEÓN).</w:t>
      </w:r>
      <w:r w:rsidRPr="00302896">
        <w:rPr>
          <w:rFonts w:ascii="Arial" w:hAnsi="Arial" w:cs="Arial"/>
          <w:bCs/>
          <w:snapToGrid w:val="0"/>
        </w:rPr>
        <w:t xml:space="preserve"> </w:t>
      </w:r>
    </w:p>
    <w:p w14:paraId="1B17BC24" w14:textId="77777777" w:rsidR="00302896" w:rsidRDefault="00302896" w:rsidP="00302896">
      <w:pPr>
        <w:spacing w:after="0" w:line="240" w:lineRule="auto"/>
        <w:ind w:left="567" w:right="335"/>
        <w:jc w:val="both"/>
        <w:rPr>
          <w:rFonts w:ascii="Arial" w:hAnsi="Arial" w:cs="Arial"/>
          <w:bCs/>
          <w:snapToGrid w:val="0"/>
        </w:rPr>
      </w:pPr>
    </w:p>
    <w:p w14:paraId="7899776F" w14:textId="77777777" w:rsidR="00B955A7" w:rsidRPr="00302896" w:rsidRDefault="00B955A7" w:rsidP="00302896">
      <w:pPr>
        <w:spacing w:after="0" w:line="240" w:lineRule="auto"/>
        <w:ind w:left="567" w:right="335"/>
        <w:jc w:val="both"/>
        <w:rPr>
          <w:rFonts w:ascii="Arial" w:hAnsi="Arial" w:cs="Arial"/>
          <w:bCs/>
          <w:snapToGrid w:val="0"/>
        </w:rPr>
      </w:pPr>
      <w:r w:rsidRPr="00302896">
        <w:rPr>
          <w:rFonts w:ascii="Arial" w:hAnsi="Arial" w:cs="Arial"/>
          <w:bCs/>
          <w:snapToGrid w:val="0"/>
        </w:rPr>
        <w:t xml:space="preserve">Las causas de improcedencia del juicio contencioso administrativo tienen el carácter de presupuestos procesales que deben ser atendidos previamente a la decisión de fondo, porque el análisis de las acciones sólo puede llevarse a efecto si aquél se ha tramitado conforme a los lineamientos establecidos en la ley, pues de no ser así, el juzgador estaría impedido para resolver sobre la controversia propuesta, ya que al impartir justicia en términos del artículo 17 de la Constitución Política de los Estados Unidos Mexicanos, tiene el deber de ajustarse a los mecanismos jurídicos establecidos por el legislador para el ejercicio de la función jurisdiccional. Por ello, la improcedencia del juicio contencioso es una cuestión de orden público que debe estudiarse aun de oficio, sin que se permita a los particulares o al Juez su variación, pues no está sujeto a la voluntad de éstos, en tanto las normas de derecho procesal son obligatorias para todos los sujetos del proceso. Además, la preservación de los juicios no tiene una jerarquía superior a la seguridad jurídica, porque no es dable legalmente mantener uno que es improcedente en detrimento de una justicia pronta, completa e imparcial. Luego, el juzgador, en aras de garantizar la seguridad jurídica de las partes en el proceso, siempre debe asegurarse de que el juicio sea procedente, en cualquier momento de la contienda, y hasta el dictado de la sentencia definitiva, incluso en la segunda instancia. Dicho estudio oficioso se encuentra contenido implícitamente en el artículo 48 de la Ley de Justicia Administrativa del Estado, al prever el </w:t>
      </w:r>
      <w:proofErr w:type="spellStart"/>
      <w:r w:rsidRPr="00302896">
        <w:rPr>
          <w:rFonts w:ascii="Arial" w:hAnsi="Arial" w:cs="Arial"/>
          <w:bCs/>
          <w:snapToGrid w:val="0"/>
        </w:rPr>
        <w:t>desechamiento</w:t>
      </w:r>
      <w:proofErr w:type="spellEnd"/>
      <w:r w:rsidRPr="00302896">
        <w:rPr>
          <w:rFonts w:ascii="Arial" w:hAnsi="Arial" w:cs="Arial"/>
          <w:bCs/>
          <w:snapToGrid w:val="0"/>
        </w:rPr>
        <w:t xml:space="preserve"> de demandas notoriamente improcedentes, cuando las partes o terceros ni siquiera han podido proponer la improcedencia del juicio, por lo que con mayor razón el ad </w:t>
      </w:r>
      <w:proofErr w:type="spellStart"/>
      <w:r w:rsidRPr="00302896">
        <w:rPr>
          <w:rFonts w:ascii="Arial" w:hAnsi="Arial" w:cs="Arial"/>
          <w:bCs/>
          <w:snapToGrid w:val="0"/>
        </w:rPr>
        <w:t>quem</w:t>
      </w:r>
      <w:proofErr w:type="spellEnd"/>
      <w:r w:rsidRPr="00302896">
        <w:rPr>
          <w:rFonts w:ascii="Arial" w:hAnsi="Arial" w:cs="Arial"/>
          <w:bCs/>
          <w:snapToGrid w:val="0"/>
        </w:rPr>
        <w:t xml:space="preserve"> tiene esa posibilidad después de haberse sustanciado el procedimiento en primera instancia; lo cual también se advierte del artículo 57, fracción II, de la mencionada ley, que dispone que el sobreseimiento procede cuando aparezca o sobrevenga alguna causa de improcedencia de las establecidas en el artículo 56 del mismo ordenamiento. En esa tesitura, si se promueve el recurso de revisión previsto en el artículo 89 de la aludida ley contra la sentencia que decretó el sobreseimiento en el juicio, y el tribunal de alzada advierte un motivo de improcedencia que es de análisis preferente al examinado oficiosamente por el a quo o al hecho valer por alguna de las partes, no debe abordar el estudio del agravio propuesto para desestimar la causa de improcedencia, ya que de hacerlo implicaría una innecesaria dilación en la resolución del asunto, en detrimento de la garantía de prontitud en la administración de justicia, pues podría darse el caso de un acucioso análisis para desestimarla y abocarse entonces al estudio de la diversa causa advertida de oficio, siendo que será ésta la que, al final de cuentas, rija el </w:t>
      </w:r>
      <w:r w:rsidR="00302896" w:rsidRPr="00302896">
        <w:rPr>
          <w:rFonts w:ascii="Arial" w:hAnsi="Arial" w:cs="Arial"/>
          <w:bCs/>
          <w:snapToGrid w:val="0"/>
        </w:rPr>
        <w:t>sentido de la decisión.</w:t>
      </w:r>
    </w:p>
    <w:p w14:paraId="3287CCAB" w14:textId="77777777" w:rsidR="00302896" w:rsidRDefault="00302896" w:rsidP="00B955A7">
      <w:pPr>
        <w:spacing w:line="360" w:lineRule="auto"/>
        <w:ind w:right="51" w:firstLine="567"/>
        <w:jc w:val="both"/>
        <w:rPr>
          <w:rFonts w:ascii="Arial" w:hAnsi="Arial" w:cs="Arial"/>
          <w:bCs/>
          <w:snapToGrid w:val="0"/>
          <w:sz w:val="24"/>
          <w:szCs w:val="24"/>
        </w:rPr>
      </w:pPr>
    </w:p>
    <w:p w14:paraId="1EC392F7" w14:textId="77777777" w:rsidR="00B955A7" w:rsidRPr="00BB1B71" w:rsidRDefault="00B955A7" w:rsidP="00B955A7">
      <w:pPr>
        <w:spacing w:line="360" w:lineRule="auto"/>
        <w:ind w:right="51" w:firstLine="567"/>
        <w:jc w:val="both"/>
        <w:rPr>
          <w:rFonts w:ascii="Arial" w:hAnsi="Arial" w:cs="Arial"/>
          <w:bCs/>
          <w:snapToGrid w:val="0"/>
          <w:sz w:val="24"/>
          <w:szCs w:val="24"/>
        </w:rPr>
      </w:pPr>
      <w:r w:rsidRPr="00BB1B71">
        <w:rPr>
          <w:rFonts w:ascii="Arial" w:hAnsi="Arial" w:cs="Arial"/>
          <w:bCs/>
          <w:snapToGrid w:val="0"/>
          <w:sz w:val="24"/>
          <w:szCs w:val="24"/>
        </w:rPr>
        <w:t xml:space="preserve">Por lo anteriormente expuesto, fundado y motivado, en términos de los artículos </w:t>
      </w:r>
      <w:r w:rsidRPr="00BB1B71">
        <w:rPr>
          <w:rFonts w:ascii="Arial" w:hAnsi="Arial" w:cs="Arial"/>
          <w:color w:val="000000"/>
          <w:sz w:val="24"/>
          <w:szCs w:val="24"/>
        </w:rPr>
        <w:t>161 fracción VI, 162 fracción II,</w:t>
      </w:r>
      <w:r w:rsidRPr="00BB1B71">
        <w:rPr>
          <w:rFonts w:ascii="Arial" w:hAnsi="Arial" w:cs="Arial"/>
          <w:sz w:val="24"/>
          <w:szCs w:val="24"/>
        </w:rPr>
        <w:t xml:space="preserve"> 207 y 209 </w:t>
      </w:r>
      <w:r w:rsidRPr="00BB1B71">
        <w:rPr>
          <w:rFonts w:ascii="Arial" w:hAnsi="Arial" w:cs="Arial"/>
          <w:bCs/>
          <w:snapToGrid w:val="0"/>
          <w:sz w:val="24"/>
          <w:szCs w:val="24"/>
        </w:rPr>
        <w:t>de la Ley de Procedimiento y Justicia Administrativa</w:t>
      </w:r>
      <w:r>
        <w:rPr>
          <w:rFonts w:ascii="Arial" w:hAnsi="Arial" w:cs="Arial"/>
          <w:bCs/>
          <w:snapToGrid w:val="0"/>
          <w:sz w:val="24"/>
          <w:szCs w:val="24"/>
        </w:rPr>
        <w:t xml:space="preserve"> para el Estado de Oaxaca, se;</w:t>
      </w:r>
    </w:p>
    <w:p w14:paraId="4FE9D536" w14:textId="77777777" w:rsidR="00B955A7" w:rsidRPr="00BB1B71" w:rsidRDefault="00B955A7" w:rsidP="00B955A7">
      <w:pPr>
        <w:spacing w:line="360" w:lineRule="auto"/>
        <w:ind w:right="51" w:firstLine="567"/>
        <w:jc w:val="center"/>
        <w:rPr>
          <w:rFonts w:ascii="Arial" w:hAnsi="Arial" w:cs="Arial"/>
          <w:b/>
          <w:sz w:val="24"/>
          <w:szCs w:val="24"/>
        </w:rPr>
      </w:pPr>
      <w:r w:rsidRPr="00BB1B71">
        <w:rPr>
          <w:rFonts w:ascii="Arial" w:hAnsi="Arial" w:cs="Arial"/>
          <w:b/>
          <w:sz w:val="24"/>
          <w:szCs w:val="24"/>
        </w:rPr>
        <w:lastRenderedPageBreak/>
        <w:t>R E S U E L V E:</w:t>
      </w:r>
    </w:p>
    <w:p w14:paraId="58A55D65" w14:textId="77777777" w:rsidR="00B955A7" w:rsidRPr="00BB1B71" w:rsidRDefault="00B955A7" w:rsidP="00B955A7">
      <w:pPr>
        <w:widowControl w:val="0"/>
        <w:spacing w:after="120" w:line="360" w:lineRule="auto"/>
        <w:ind w:right="51" w:firstLine="708"/>
        <w:jc w:val="both"/>
        <w:rPr>
          <w:rFonts w:ascii="Arial" w:eastAsia="Times New Roman" w:hAnsi="Arial" w:cs="Arial"/>
          <w:sz w:val="24"/>
          <w:szCs w:val="24"/>
          <w:lang w:val="es-ES" w:eastAsia="es-ES"/>
        </w:rPr>
      </w:pPr>
      <w:r w:rsidRPr="00BB1B71">
        <w:rPr>
          <w:rFonts w:ascii="Arial" w:hAnsi="Arial" w:cs="Arial"/>
          <w:b/>
          <w:sz w:val="24"/>
          <w:szCs w:val="24"/>
        </w:rPr>
        <w:t>PRIMERO</w:t>
      </w:r>
      <w:r w:rsidRPr="00BB1B71">
        <w:rPr>
          <w:rFonts w:ascii="Arial" w:hAnsi="Arial" w:cs="Arial"/>
          <w:i/>
          <w:sz w:val="24"/>
          <w:szCs w:val="24"/>
        </w:rPr>
        <w:t>.</w:t>
      </w:r>
      <w:r w:rsidRPr="00BB1B71">
        <w:rPr>
          <w:rFonts w:ascii="Arial" w:hAnsi="Arial" w:cs="Arial"/>
          <w:sz w:val="24"/>
          <w:szCs w:val="24"/>
        </w:rPr>
        <w:t xml:space="preserve"> </w:t>
      </w:r>
      <w:r w:rsidRPr="00BB1B71">
        <w:rPr>
          <w:rFonts w:ascii="Arial" w:eastAsia="Times New Roman" w:hAnsi="Arial" w:cs="Arial"/>
          <w:sz w:val="24"/>
          <w:szCs w:val="24"/>
          <w:lang w:val="es-ES" w:eastAsia="es-ES"/>
        </w:rPr>
        <w:t>Esta Sexta</w:t>
      </w:r>
      <w:r w:rsidRPr="00BB1B71">
        <w:rPr>
          <w:rFonts w:ascii="Arial" w:eastAsia="Times New Roman" w:hAnsi="Arial" w:cs="Arial"/>
          <w:sz w:val="24"/>
          <w:szCs w:val="24"/>
          <w:lang w:eastAsia="es-ES"/>
        </w:rPr>
        <w:t xml:space="preserve"> </w:t>
      </w:r>
      <w:r w:rsidRPr="00BB1B71">
        <w:rPr>
          <w:rFonts w:ascii="Arial" w:eastAsia="Times New Roman" w:hAnsi="Arial" w:cs="Arial"/>
          <w:sz w:val="24"/>
          <w:szCs w:val="24"/>
          <w:lang w:val="es-ES" w:eastAsia="es-ES"/>
        </w:rPr>
        <w:t>Sala</w:t>
      </w:r>
      <w:r w:rsidRPr="00BB1B71">
        <w:rPr>
          <w:rFonts w:ascii="Arial" w:eastAsia="Times New Roman" w:hAnsi="Arial" w:cs="Arial"/>
          <w:sz w:val="24"/>
          <w:szCs w:val="24"/>
          <w:lang w:eastAsia="es-ES"/>
        </w:rPr>
        <w:t xml:space="preserve"> Unitaria </w:t>
      </w:r>
      <w:r w:rsidRPr="00BB1B71">
        <w:rPr>
          <w:rFonts w:ascii="Arial" w:eastAsia="Times New Roman" w:hAnsi="Arial" w:cs="Arial"/>
          <w:sz w:val="24"/>
          <w:szCs w:val="24"/>
          <w:lang w:val="es-ES" w:eastAsia="es-ES"/>
        </w:rPr>
        <w:t>del Tribunal de Justicia Administrativa del Estado de Oaxaca, es competente para conocer y resolver el presente juicio.</w:t>
      </w:r>
      <w:r w:rsidRPr="00BB1B71">
        <w:rPr>
          <w:rFonts w:ascii="Arial" w:hAnsi="Arial" w:cs="Arial"/>
          <w:bCs/>
          <w:snapToGrid w:val="0"/>
          <w:sz w:val="24"/>
          <w:szCs w:val="24"/>
        </w:rPr>
        <w:t xml:space="preserve"> </w:t>
      </w:r>
    </w:p>
    <w:p w14:paraId="5AFCD14B" w14:textId="77777777" w:rsidR="00B955A7" w:rsidRPr="00BB1B71" w:rsidRDefault="00B955A7" w:rsidP="00B955A7">
      <w:pPr>
        <w:pStyle w:val="Sangra2detindependiente1"/>
        <w:spacing w:after="240" w:line="360" w:lineRule="auto"/>
        <w:ind w:right="51" w:firstLine="567"/>
        <w:rPr>
          <w:rFonts w:cs="Arial"/>
          <w:b w:val="0"/>
          <w:bCs/>
          <w:i w:val="0"/>
          <w:szCs w:val="24"/>
        </w:rPr>
      </w:pPr>
      <w:r w:rsidRPr="00BB1B71">
        <w:rPr>
          <w:rFonts w:cs="Arial"/>
          <w:i w:val="0"/>
          <w:szCs w:val="24"/>
        </w:rPr>
        <w:t xml:space="preserve">SEGUNDO. </w:t>
      </w:r>
      <w:r w:rsidRPr="00BB1B71">
        <w:rPr>
          <w:rFonts w:cs="Arial"/>
          <w:b w:val="0"/>
          <w:bCs/>
          <w:i w:val="0"/>
          <w:szCs w:val="24"/>
        </w:rPr>
        <w:t xml:space="preserve">La personalidad de las partes quedó </w:t>
      </w:r>
      <w:r w:rsidR="00302896">
        <w:rPr>
          <w:rFonts w:cs="Arial"/>
          <w:b w:val="0"/>
          <w:bCs/>
          <w:i w:val="0"/>
          <w:szCs w:val="24"/>
        </w:rPr>
        <w:t>acreditada en autos</w:t>
      </w:r>
      <w:r w:rsidRPr="00BB1B71">
        <w:rPr>
          <w:rFonts w:cs="Arial"/>
          <w:b w:val="0"/>
          <w:bCs/>
          <w:i w:val="0"/>
          <w:szCs w:val="24"/>
        </w:rPr>
        <w:t>.</w:t>
      </w:r>
      <w:r w:rsidRPr="00BB1B71">
        <w:rPr>
          <w:rFonts w:cs="Arial"/>
          <w:szCs w:val="24"/>
        </w:rPr>
        <w:t xml:space="preserve"> </w:t>
      </w:r>
    </w:p>
    <w:p w14:paraId="2FF60FC6" w14:textId="77777777" w:rsidR="00B955A7" w:rsidRPr="00BB1B71" w:rsidRDefault="00B955A7" w:rsidP="00B955A7">
      <w:pPr>
        <w:pStyle w:val="Sangra2detindependiente1"/>
        <w:spacing w:after="240" w:line="360" w:lineRule="auto"/>
        <w:ind w:right="51" w:firstLine="567"/>
        <w:rPr>
          <w:rFonts w:cs="Arial"/>
          <w:b w:val="0"/>
          <w:bCs/>
          <w:i w:val="0"/>
          <w:szCs w:val="24"/>
        </w:rPr>
      </w:pPr>
      <w:r w:rsidRPr="00BB1B71">
        <w:rPr>
          <w:rFonts w:cs="Arial"/>
          <w:i w:val="0"/>
          <w:szCs w:val="24"/>
        </w:rPr>
        <w:t>TERCERO.</w:t>
      </w:r>
      <w:r w:rsidRPr="00BB1B71">
        <w:rPr>
          <w:rFonts w:cs="Arial"/>
          <w:b w:val="0"/>
          <w:bCs/>
          <w:i w:val="0"/>
          <w:szCs w:val="24"/>
        </w:rPr>
        <w:t xml:space="preserve"> En el presente juicio se configuran</w:t>
      </w:r>
      <w:r w:rsidR="00302896">
        <w:rPr>
          <w:rFonts w:cs="Arial"/>
          <w:b w:val="0"/>
          <w:bCs/>
          <w:i w:val="0"/>
          <w:szCs w:val="24"/>
        </w:rPr>
        <w:t xml:space="preserve"> las causales de improcedencia y</w:t>
      </w:r>
      <w:r w:rsidRPr="00BB1B71">
        <w:rPr>
          <w:rFonts w:cs="Arial"/>
          <w:b w:val="0"/>
          <w:bCs/>
          <w:i w:val="0"/>
          <w:szCs w:val="24"/>
        </w:rPr>
        <w:t xml:space="preserve"> sobreseimiento estipulados en los artículos 161 fracción VI y 162 fracción II y 166 de la Ley de Procedimiento y Justicia Administrativa para el Estado de Oaxaca, por lo tanto, </w:t>
      </w:r>
      <w:r w:rsidRPr="00BB1B71">
        <w:rPr>
          <w:rFonts w:cs="Arial"/>
          <w:i w:val="0"/>
          <w:szCs w:val="24"/>
        </w:rPr>
        <w:t>SE SOBRESEE</w:t>
      </w:r>
      <w:r w:rsidRPr="00BB1B71">
        <w:rPr>
          <w:rFonts w:cs="Arial"/>
          <w:b w:val="0"/>
          <w:bCs/>
          <w:i w:val="0"/>
          <w:szCs w:val="24"/>
        </w:rPr>
        <w:t xml:space="preserve"> el presente juicio por las consideraciones estipuladas en el consider</w:t>
      </w:r>
      <w:r w:rsidR="00245ECA">
        <w:rPr>
          <w:rFonts w:cs="Arial"/>
          <w:b w:val="0"/>
          <w:bCs/>
          <w:i w:val="0"/>
          <w:szCs w:val="24"/>
        </w:rPr>
        <w:t>ando CUARTO</w:t>
      </w:r>
      <w:r>
        <w:rPr>
          <w:rFonts w:cs="Arial"/>
          <w:b w:val="0"/>
          <w:bCs/>
          <w:i w:val="0"/>
          <w:szCs w:val="24"/>
        </w:rPr>
        <w:t xml:space="preserve"> de esta sentencia.</w:t>
      </w:r>
    </w:p>
    <w:p w14:paraId="0DC7FD7E" w14:textId="77777777" w:rsidR="004210CB" w:rsidRPr="004210CB" w:rsidRDefault="004210CB" w:rsidP="004210CB">
      <w:pPr>
        <w:spacing w:before="240" w:after="160" w:line="360" w:lineRule="auto"/>
        <w:ind w:right="49" w:firstLine="708"/>
        <w:jc w:val="both"/>
        <w:rPr>
          <w:rFonts w:ascii="Arial" w:hAnsi="Arial" w:cs="Arial"/>
          <w:sz w:val="24"/>
        </w:rPr>
      </w:pPr>
      <w:r w:rsidRPr="004210CB">
        <w:rPr>
          <w:rFonts w:ascii="Arial" w:hAnsi="Arial" w:cs="Arial"/>
          <w:sz w:val="24"/>
        </w:rPr>
        <w:t xml:space="preserve">Así lo resolvió y firma la Maestra Camelia Gaspar Martínez, Magistrada Titular de la Sexta Sala Unitaria de Primera Instancia del Tribunal de Justicia Administrativo del Estado de Oaxaca, quien actúa con el Licenciado Renato Gabriel Ibáñez Castellanos, </w:t>
      </w:r>
      <w:proofErr w:type="gramStart"/>
      <w:r w:rsidRPr="004210CB">
        <w:rPr>
          <w:rFonts w:ascii="Arial" w:hAnsi="Arial" w:cs="Arial"/>
          <w:sz w:val="24"/>
        </w:rPr>
        <w:t>Secretario</w:t>
      </w:r>
      <w:proofErr w:type="gramEnd"/>
      <w:r w:rsidRPr="004210CB">
        <w:rPr>
          <w:rFonts w:ascii="Arial" w:hAnsi="Arial" w:cs="Arial"/>
          <w:sz w:val="24"/>
        </w:rPr>
        <w:t xml:space="preserve"> de Acuerdos de esta Sala, autoriza y da fe. - - - - -.</w:t>
      </w:r>
    </w:p>
    <w:sectPr w:rsidR="004210CB" w:rsidRPr="004210CB" w:rsidSect="00F153C9">
      <w:headerReference w:type="default" r:id="rId8"/>
      <w:footerReference w:type="default" r:id="rId9"/>
      <w:headerReference w:type="first" r:id="rId10"/>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EEA8A" w14:textId="77777777" w:rsidR="00600C1C" w:rsidRDefault="00600C1C" w:rsidP="00F153C9">
      <w:pPr>
        <w:spacing w:after="0" w:line="240" w:lineRule="auto"/>
      </w:pPr>
      <w:r>
        <w:separator/>
      </w:r>
    </w:p>
  </w:endnote>
  <w:endnote w:type="continuationSeparator" w:id="0">
    <w:p w14:paraId="064DB155" w14:textId="77777777" w:rsidR="00600C1C" w:rsidRDefault="00600C1C" w:rsidP="00F15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7DCA3" w14:textId="231219BC" w:rsidR="00C11C7D" w:rsidRPr="00604752" w:rsidRDefault="00C11C7D">
    <w:pPr>
      <w:pStyle w:val="Piedepgina"/>
      <w:jc w:val="center"/>
      <w:rPr>
        <w:rFonts w:ascii="Arial" w:hAnsi="Arial" w:cs="Arial"/>
        <w:sz w:val="24"/>
        <w:szCs w:val="24"/>
      </w:rPr>
    </w:pPr>
  </w:p>
  <w:p w14:paraId="16A81802" w14:textId="77777777" w:rsidR="00C11C7D" w:rsidRDefault="00C11C7D">
    <w:pPr>
      <w:pStyle w:val="Piedepgina"/>
    </w:pPr>
  </w:p>
  <w:p w14:paraId="49ADC072" w14:textId="77777777" w:rsidR="00C11C7D" w:rsidRDefault="00C11C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C3FF5" w14:textId="77777777" w:rsidR="00600C1C" w:rsidRDefault="00600C1C" w:rsidP="00F153C9">
      <w:pPr>
        <w:spacing w:after="0" w:line="240" w:lineRule="auto"/>
      </w:pPr>
      <w:r>
        <w:separator/>
      </w:r>
    </w:p>
  </w:footnote>
  <w:footnote w:type="continuationSeparator" w:id="0">
    <w:p w14:paraId="63FF8412" w14:textId="77777777" w:rsidR="00600C1C" w:rsidRDefault="00600C1C" w:rsidP="00F15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389CD" w14:textId="18BA4C38" w:rsidR="00C37885" w:rsidRDefault="00C37885">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1" locked="0" layoutInCell="1" allowOverlap="1" wp14:anchorId="3E0AB6AB" wp14:editId="571C85BA">
              <wp:simplePos x="0" y="0"/>
              <wp:positionH relativeFrom="leftMargin">
                <wp:posOffset>76200</wp:posOffset>
              </wp:positionH>
              <wp:positionV relativeFrom="paragraph">
                <wp:posOffset>-402590</wp:posOffset>
              </wp:positionV>
              <wp:extent cx="1009650" cy="9715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71550"/>
                      </a:xfrm>
                      <a:prstGeom prst="rect">
                        <a:avLst/>
                      </a:prstGeom>
                      <a:solidFill>
                        <a:sysClr val="window" lastClr="FFFFFF"/>
                      </a:solidFill>
                      <a:ln w="6350">
                        <a:solidFill>
                          <a:prstClr val="black"/>
                        </a:solidFill>
                      </a:ln>
                      <a:effectLst/>
                    </wps:spPr>
                    <wps:txbx>
                      <w:txbxContent>
                        <w:p w14:paraId="5DDF4A42" w14:textId="77777777" w:rsidR="00C37885" w:rsidRDefault="00C37885" w:rsidP="00C37885">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0AB6AB" id="_x0000_t202" coordsize="21600,21600" o:spt="202" path="m,l,21600r21600,l21600,xe">
              <v:stroke joinstyle="miter"/>
              <v:path gradientshapeok="t" o:connecttype="rect"/>
            </v:shapetype>
            <v:shape id="Cuadro de texto 2" o:spid="_x0000_s1026" type="#_x0000_t202" style="position:absolute;left:0;text-align:left;margin-left:6pt;margin-top:-31.7pt;width:79.5pt;height:76.5pt;z-index:-2516551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" fillcolor="window" strokeweight=".5pt">
              <v:path arrowok="t"/>
              <v:textbox>
                <w:txbxContent>
                  <w:p w14:paraId="5DDF4A42" w14:textId="77777777" w:rsidR="00C37885" w:rsidRDefault="00C37885" w:rsidP="00C37885">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1264654591"/>
        <w:docPartObj>
          <w:docPartGallery w:val="Page Numbers (Top of Page)"/>
          <w:docPartUnique/>
        </w:docPartObj>
      </w:sdtPr>
      <w:sdtContent>
        <w:r>
          <w:fldChar w:fldCharType="begin"/>
        </w:r>
        <w:r>
          <w:instrText>PAGE   \* MERGEFORMAT</w:instrText>
        </w:r>
        <w:r>
          <w:fldChar w:fldCharType="separate"/>
        </w:r>
        <w:r>
          <w:rPr>
            <w:lang w:val="es-ES"/>
          </w:rPr>
          <w:t>2</w:t>
        </w:r>
        <w:r>
          <w:fldChar w:fldCharType="end"/>
        </w:r>
      </w:sdtContent>
    </w:sdt>
  </w:p>
  <w:p w14:paraId="1CEEF2C5" w14:textId="77777777" w:rsidR="00C37885" w:rsidRDefault="00C3788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211EA" w14:textId="5DE60781" w:rsidR="00C37885" w:rsidRDefault="00C37885">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5CBAC610" wp14:editId="5EE2606C">
              <wp:simplePos x="0" y="0"/>
              <wp:positionH relativeFrom="leftMargin">
                <wp:align>right</wp:align>
              </wp:positionH>
              <wp:positionV relativeFrom="paragraph">
                <wp:posOffset>-383540</wp:posOffset>
              </wp:positionV>
              <wp:extent cx="101917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866775"/>
                      </a:xfrm>
                      <a:prstGeom prst="rect">
                        <a:avLst/>
                      </a:prstGeom>
                      <a:solidFill>
                        <a:sysClr val="window" lastClr="FFFFFF"/>
                      </a:solidFill>
                      <a:ln w="6350">
                        <a:solidFill>
                          <a:prstClr val="black"/>
                        </a:solidFill>
                      </a:ln>
                      <a:effectLst/>
                    </wps:spPr>
                    <wps:txbx>
                      <w:txbxContent>
                        <w:p w14:paraId="051A35E5" w14:textId="77777777" w:rsidR="00C37885" w:rsidRDefault="00C37885" w:rsidP="00C37885">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BAC610" id="_x0000_t202" coordsize="21600,21600" o:spt="202" path="m,l,21600r21600,l21600,xe">
              <v:stroke joinstyle="miter"/>
              <v:path gradientshapeok="t" o:connecttype="rect"/>
            </v:shapetype>
            <v:shape id="Cuadro de texto 1" o:spid="_x0000_s1027" type="#_x0000_t202" style="position:absolute;left:0;text-align:left;margin-left:29.05pt;margin-top:-30.2pt;width:80.25pt;height:68.25pt;z-index:-25165721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" fillcolor="window" strokeweight=".5pt">
              <v:path arrowok="t"/>
              <v:textbox>
                <w:txbxContent>
                  <w:p w14:paraId="051A35E5" w14:textId="77777777" w:rsidR="00C37885" w:rsidRDefault="00C37885" w:rsidP="00C37885">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587153830"/>
        <w:docPartObj>
          <w:docPartGallery w:val="Page Numbers (Top of Page)"/>
          <w:docPartUnique/>
        </w:docPartObj>
      </w:sdtPr>
      <w:sdtContent>
        <w:r>
          <w:fldChar w:fldCharType="begin"/>
        </w:r>
        <w:r>
          <w:instrText>PAGE   \* MERGEFORMAT</w:instrText>
        </w:r>
        <w:r>
          <w:fldChar w:fldCharType="separate"/>
        </w:r>
        <w:r>
          <w:rPr>
            <w:lang w:val="es-ES"/>
          </w:rPr>
          <w:t>2</w:t>
        </w:r>
        <w:r>
          <w:fldChar w:fldCharType="end"/>
        </w:r>
      </w:sdtContent>
    </w:sdt>
  </w:p>
  <w:p w14:paraId="59F8373E" w14:textId="77777777" w:rsidR="00C37885" w:rsidRDefault="00C378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97C46B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suff w:val="nothing"/>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1" w15:restartNumberingAfterBreak="0">
    <w:nsid w:val="00000018"/>
    <w:multiLevelType w:val="hybridMultilevel"/>
    <w:tmpl w:val="4C2A7166"/>
    <w:lvl w:ilvl="0" w:tplc="FFFFFFFF">
      <w:start w:val="23"/>
      <w:numFmt w:val="decimal"/>
      <w:lvlText w:val=""/>
      <w:lvlJc w:val="left"/>
    </w:lvl>
    <w:lvl w:ilvl="1" w:tplc="FFFFFFFF">
      <w:start w:val="23"/>
      <w:numFmt w:val="decimal"/>
      <w:lvlText w:val=""/>
      <w:lvlJc w:val="left"/>
    </w:lvl>
    <w:lvl w:ilvl="2" w:tplc="FFFFFFFF">
      <w:start w:val="65536"/>
      <w:numFmt w:val="decimal"/>
      <w:lvlText w:val=""/>
      <w:lvlJc w:val="left"/>
    </w:lvl>
    <w:lvl w:ilvl="3" w:tplc="FFFFFFFF">
      <w:start w:val="23"/>
      <w:numFmt w:val="decimal"/>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2" w15:restartNumberingAfterBreak="0">
    <w:nsid w:val="05B34144"/>
    <w:multiLevelType w:val="hybridMultilevel"/>
    <w:tmpl w:val="BFCC8730"/>
    <w:lvl w:ilvl="0" w:tplc="18E67A2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07EC297C"/>
    <w:multiLevelType w:val="hybridMultilevel"/>
    <w:tmpl w:val="8FBCB2C2"/>
    <w:lvl w:ilvl="0" w:tplc="74402EDC">
      <w:start w:val="3"/>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3F043A6D"/>
    <w:multiLevelType w:val="hybridMultilevel"/>
    <w:tmpl w:val="D35ACB92"/>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46AC0542"/>
    <w:multiLevelType w:val="hybridMultilevel"/>
    <w:tmpl w:val="E2EAE2F4"/>
    <w:lvl w:ilvl="0" w:tplc="32404CAA">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6" w15:restartNumberingAfterBreak="0">
    <w:nsid w:val="52C51F2C"/>
    <w:multiLevelType w:val="hybridMultilevel"/>
    <w:tmpl w:val="2EA85150"/>
    <w:lvl w:ilvl="0" w:tplc="DDA0C9EE">
      <w:start w:val="3"/>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15:restartNumberingAfterBreak="0">
    <w:nsid w:val="648871BA"/>
    <w:multiLevelType w:val="hybridMultilevel"/>
    <w:tmpl w:val="0CFC76A8"/>
    <w:lvl w:ilvl="0" w:tplc="6F4E5F54">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8" w15:restartNumberingAfterBreak="0">
    <w:nsid w:val="707A4BF6"/>
    <w:multiLevelType w:val="hybridMultilevel"/>
    <w:tmpl w:val="B8BC8DFC"/>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572082804">
    <w:abstractNumId w:val="0"/>
  </w:num>
  <w:num w:numId="2" w16cid:durableId="1147358288">
    <w:abstractNumId w:val="1"/>
  </w:num>
  <w:num w:numId="3" w16cid:durableId="329721515">
    <w:abstractNumId w:val="5"/>
  </w:num>
  <w:num w:numId="4" w16cid:durableId="2042199407">
    <w:abstractNumId w:val="3"/>
  </w:num>
  <w:num w:numId="5" w16cid:durableId="343820232">
    <w:abstractNumId w:val="7"/>
  </w:num>
  <w:num w:numId="6" w16cid:durableId="1063985414">
    <w:abstractNumId w:val="2"/>
  </w:num>
  <w:num w:numId="7" w16cid:durableId="605888577">
    <w:abstractNumId w:val="4"/>
  </w:num>
  <w:num w:numId="8" w16cid:durableId="1016662419">
    <w:abstractNumId w:val="6"/>
  </w:num>
  <w:num w:numId="9" w16cid:durableId="13709127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867"/>
    <w:rsid w:val="00004560"/>
    <w:rsid w:val="00005B33"/>
    <w:rsid w:val="00021E9C"/>
    <w:rsid w:val="00033D9A"/>
    <w:rsid w:val="00035A40"/>
    <w:rsid w:val="00036C6D"/>
    <w:rsid w:val="000544E3"/>
    <w:rsid w:val="00054F3A"/>
    <w:rsid w:val="00065F69"/>
    <w:rsid w:val="00082ACA"/>
    <w:rsid w:val="00092ACA"/>
    <w:rsid w:val="00095C52"/>
    <w:rsid w:val="000B4598"/>
    <w:rsid w:val="000B590E"/>
    <w:rsid w:val="000B6029"/>
    <w:rsid w:val="000C1B0B"/>
    <w:rsid w:val="000C2A2F"/>
    <w:rsid w:val="000C4359"/>
    <w:rsid w:val="000C50FB"/>
    <w:rsid w:val="000D4FC4"/>
    <w:rsid w:val="000D6AC7"/>
    <w:rsid w:val="00102989"/>
    <w:rsid w:val="001159AA"/>
    <w:rsid w:val="00115A6C"/>
    <w:rsid w:val="00115CB8"/>
    <w:rsid w:val="00135BAB"/>
    <w:rsid w:val="00143037"/>
    <w:rsid w:val="00163A0B"/>
    <w:rsid w:val="001760AF"/>
    <w:rsid w:val="00182AF8"/>
    <w:rsid w:val="00183FEE"/>
    <w:rsid w:val="00185A5F"/>
    <w:rsid w:val="0019101E"/>
    <w:rsid w:val="001A19F7"/>
    <w:rsid w:val="001B07DB"/>
    <w:rsid w:val="001B222B"/>
    <w:rsid w:val="001B4717"/>
    <w:rsid w:val="001C4867"/>
    <w:rsid w:val="001C561A"/>
    <w:rsid w:val="001C6727"/>
    <w:rsid w:val="001E0EFB"/>
    <w:rsid w:val="001E70AC"/>
    <w:rsid w:val="001F40D0"/>
    <w:rsid w:val="001F4C6A"/>
    <w:rsid w:val="001F7452"/>
    <w:rsid w:val="002058DB"/>
    <w:rsid w:val="002063C8"/>
    <w:rsid w:val="002210ED"/>
    <w:rsid w:val="002353F5"/>
    <w:rsid w:val="0023759F"/>
    <w:rsid w:val="00245ECA"/>
    <w:rsid w:val="002474D9"/>
    <w:rsid w:val="00250354"/>
    <w:rsid w:val="00252CBC"/>
    <w:rsid w:val="0027053D"/>
    <w:rsid w:val="00282CC3"/>
    <w:rsid w:val="00292844"/>
    <w:rsid w:val="002A458F"/>
    <w:rsid w:val="002A526D"/>
    <w:rsid w:val="002B1AB3"/>
    <w:rsid w:val="002B5432"/>
    <w:rsid w:val="002B61E8"/>
    <w:rsid w:val="002C089D"/>
    <w:rsid w:val="002C1213"/>
    <w:rsid w:val="002C1C36"/>
    <w:rsid w:val="002C338F"/>
    <w:rsid w:val="002D7387"/>
    <w:rsid w:val="002F308D"/>
    <w:rsid w:val="002F388E"/>
    <w:rsid w:val="002F4225"/>
    <w:rsid w:val="00302896"/>
    <w:rsid w:val="00302E7A"/>
    <w:rsid w:val="003126A6"/>
    <w:rsid w:val="0031660D"/>
    <w:rsid w:val="003200B5"/>
    <w:rsid w:val="0032757B"/>
    <w:rsid w:val="00333D50"/>
    <w:rsid w:val="00337E15"/>
    <w:rsid w:val="00346DC8"/>
    <w:rsid w:val="00351E17"/>
    <w:rsid w:val="00356898"/>
    <w:rsid w:val="00374AA0"/>
    <w:rsid w:val="00380EFB"/>
    <w:rsid w:val="003931C3"/>
    <w:rsid w:val="003A2133"/>
    <w:rsid w:val="003A300F"/>
    <w:rsid w:val="003A7FDD"/>
    <w:rsid w:val="003B481B"/>
    <w:rsid w:val="003C0B76"/>
    <w:rsid w:val="003C4922"/>
    <w:rsid w:val="003C6696"/>
    <w:rsid w:val="003C7139"/>
    <w:rsid w:val="003D21F4"/>
    <w:rsid w:val="003D60D6"/>
    <w:rsid w:val="00404EDE"/>
    <w:rsid w:val="00414C01"/>
    <w:rsid w:val="004210CB"/>
    <w:rsid w:val="004273FD"/>
    <w:rsid w:val="00432E9E"/>
    <w:rsid w:val="0043316B"/>
    <w:rsid w:val="00445072"/>
    <w:rsid w:val="0045169C"/>
    <w:rsid w:val="004631EA"/>
    <w:rsid w:val="004920D7"/>
    <w:rsid w:val="00492ABF"/>
    <w:rsid w:val="00493B0E"/>
    <w:rsid w:val="004B1460"/>
    <w:rsid w:val="004B32A5"/>
    <w:rsid w:val="004C4B56"/>
    <w:rsid w:val="004D07DB"/>
    <w:rsid w:val="00513DE2"/>
    <w:rsid w:val="00513E50"/>
    <w:rsid w:val="00516292"/>
    <w:rsid w:val="00517BF8"/>
    <w:rsid w:val="0052138B"/>
    <w:rsid w:val="00523CFA"/>
    <w:rsid w:val="00532748"/>
    <w:rsid w:val="00551CB2"/>
    <w:rsid w:val="00556244"/>
    <w:rsid w:val="00556738"/>
    <w:rsid w:val="00557B26"/>
    <w:rsid w:val="005649EC"/>
    <w:rsid w:val="00573A18"/>
    <w:rsid w:val="005A16F5"/>
    <w:rsid w:val="005A1BDB"/>
    <w:rsid w:val="005C31FC"/>
    <w:rsid w:val="005C3356"/>
    <w:rsid w:val="005E239C"/>
    <w:rsid w:val="005E3F86"/>
    <w:rsid w:val="005E4C32"/>
    <w:rsid w:val="005F68F2"/>
    <w:rsid w:val="00600231"/>
    <w:rsid w:val="00600C1C"/>
    <w:rsid w:val="00601C56"/>
    <w:rsid w:val="006029FA"/>
    <w:rsid w:val="00605068"/>
    <w:rsid w:val="006101BF"/>
    <w:rsid w:val="00611445"/>
    <w:rsid w:val="006264A4"/>
    <w:rsid w:val="00632A56"/>
    <w:rsid w:val="00645C5E"/>
    <w:rsid w:val="006565ED"/>
    <w:rsid w:val="00664CFF"/>
    <w:rsid w:val="00666344"/>
    <w:rsid w:val="006732D5"/>
    <w:rsid w:val="00676231"/>
    <w:rsid w:val="0068308A"/>
    <w:rsid w:val="006A1406"/>
    <w:rsid w:val="006A29EF"/>
    <w:rsid w:val="006C3055"/>
    <w:rsid w:val="006E2607"/>
    <w:rsid w:val="006E3E12"/>
    <w:rsid w:val="006F2CBA"/>
    <w:rsid w:val="007410B0"/>
    <w:rsid w:val="00762301"/>
    <w:rsid w:val="007B150A"/>
    <w:rsid w:val="007B6770"/>
    <w:rsid w:val="007C3155"/>
    <w:rsid w:val="007E20F9"/>
    <w:rsid w:val="007E4205"/>
    <w:rsid w:val="007E59DB"/>
    <w:rsid w:val="00803E3F"/>
    <w:rsid w:val="00824CFC"/>
    <w:rsid w:val="0082504D"/>
    <w:rsid w:val="00827277"/>
    <w:rsid w:val="008327CF"/>
    <w:rsid w:val="008471D5"/>
    <w:rsid w:val="00847480"/>
    <w:rsid w:val="00862623"/>
    <w:rsid w:val="00870541"/>
    <w:rsid w:val="00875701"/>
    <w:rsid w:val="008A0628"/>
    <w:rsid w:val="008A6808"/>
    <w:rsid w:val="008B6F19"/>
    <w:rsid w:val="008F3C66"/>
    <w:rsid w:val="008F5067"/>
    <w:rsid w:val="00900A99"/>
    <w:rsid w:val="00907669"/>
    <w:rsid w:val="009148DA"/>
    <w:rsid w:val="0092798D"/>
    <w:rsid w:val="00927C1C"/>
    <w:rsid w:val="00934BA8"/>
    <w:rsid w:val="0093531E"/>
    <w:rsid w:val="00941D77"/>
    <w:rsid w:val="00944E7F"/>
    <w:rsid w:val="00952A92"/>
    <w:rsid w:val="00971780"/>
    <w:rsid w:val="0099448A"/>
    <w:rsid w:val="00994906"/>
    <w:rsid w:val="009A0CD2"/>
    <w:rsid w:val="009A0FC3"/>
    <w:rsid w:val="009A6209"/>
    <w:rsid w:val="009A6662"/>
    <w:rsid w:val="009C3496"/>
    <w:rsid w:val="009C51C4"/>
    <w:rsid w:val="009F2633"/>
    <w:rsid w:val="009F6DBC"/>
    <w:rsid w:val="00A1275C"/>
    <w:rsid w:val="00A559B1"/>
    <w:rsid w:val="00A55EAC"/>
    <w:rsid w:val="00A56AE0"/>
    <w:rsid w:val="00A60CA8"/>
    <w:rsid w:val="00A72EEB"/>
    <w:rsid w:val="00A73AD7"/>
    <w:rsid w:val="00A84402"/>
    <w:rsid w:val="00A9165A"/>
    <w:rsid w:val="00A97EF3"/>
    <w:rsid w:val="00AA30E5"/>
    <w:rsid w:val="00AB7FEB"/>
    <w:rsid w:val="00AC2301"/>
    <w:rsid w:val="00AC5AF4"/>
    <w:rsid w:val="00AD1ED1"/>
    <w:rsid w:val="00AF161D"/>
    <w:rsid w:val="00AF5648"/>
    <w:rsid w:val="00B00DD7"/>
    <w:rsid w:val="00B07550"/>
    <w:rsid w:val="00B07C1F"/>
    <w:rsid w:val="00B35954"/>
    <w:rsid w:val="00B42017"/>
    <w:rsid w:val="00B50177"/>
    <w:rsid w:val="00B6380A"/>
    <w:rsid w:val="00B91E2C"/>
    <w:rsid w:val="00B94E84"/>
    <w:rsid w:val="00B95366"/>
    <w:rsid w:val="00B955A7"/>
    <w:rsid w:val="00BA37BD"/>
    <w:rsid w:val="00BB1B71"/>
    <w:rsid w:val="00BB5848"/>
    <w:rsid w:val="00BC37C2"/>
    <w:rsid w:val="00BC44CC"/>
    <w:rsid w:val="00BE06A2"/>
    <w:rsid w:val="00BE160C"/>
    <w:rsid w:val="00BE6526"/>
    <w:rsid w:val="00BF372B"/>
    <w:rsid w:val="00BF4652"/>
    <w:rsid w:val="00C00E83"/>
    <w:rsid w:val="00C01860"/>
    <w:rsid w:val="00C0668E"/>
    <w:rsid w:val="00C07980"/>
    <w:rsid w:val="00C10D61"/>
    <w:rsid w:val="00C11C7D"/>
    <w:rsid w:val="00C339BA"/>
    <w:rsid w:val="00C34995"/>
    <w:rsid w:val="00C37885"/>
    <w:rsid w:val="00C444B1"/>
    <w:rsid w:val="00C618BA"/>
    <w:rsid w:val="00C62196"/>
    <w:rsid w:val="00C646E8"/>
    <w:rsid w:val="00C65EE1"/>
    <w:rsid w:val="00CA55C5"/>
    <w:rsid w:val="00CB6293"/>
    <w:rsid w:val="00CC3121"/>
    <w:rsid w:val="00CC49A5"/>
    <w:rsid w:val="00CD46B0"/>
    <w:rsid w:val="00D03FB8"/>
    <w:rsid w:val="00D06E87"/>
    <w:rsid w:val="00D15254"/>
    <w:rsid w:val="00D16DEC"/>
    <w:rsid w:val="00D17957"/>
    <w:rsid w:val="00D24DBA"/>
    <w:rsid w:val="00D25E2F"/>
    <w:rsid w:val="00D32CF6"/>
    <w:rsid w:val="00D33DFE"/>
    <w:rsid w:val="00D60413"/>
    <w:rsid w:val="00D60CE2"/>
    <w:rsid w:val="00D71E41"/>
    <w:rsid w:val="00D747D6"/>
    <w:rsid w:val="00D80C5E"/>
    <w:rsid w:val="00D80E26"/>
    <w:rsid w:val="00DB19E0"/>
    <w:rsid w:val="00DB1DEA"/>
    <w:rsid w:val="00DD21D9"/>
    <w:rsid w:val="00DE045F"/>
    <w:rsid w:val="00DE195A"/>
    <w:rsid w:val="00E008FB"/>
    <w:rsid w:val="00E11E3F"/>
    <w:rsid w:val="00E2749E"/>
    <w:rsid w:val="00E324DF"/>
    <w:rsid w:val="00E36247"/>
    <w:rsid w:val="00E40E24"/>
    <w:rsid w:val="00E440B1"/>
    <w:rsid w:val="00E44E9D"/>
    <w:rsid w:val="00E46AFE"/>
    <w:rsid w:val="00E46D10"/>
    <w:rsid w:val="00E567A6"/>
    <w:rsid w:val="00E6134A"/>
    <w:rsid w:val="00E62D02"/>
    <w:rsid w:val="00E635B8"/>
    <w:rsid w:val="00E6608F"/>
    <w:rsid w:val="00E7484E"/>
    <w:rsid w:val="00E75154"/>
    <w:rsid w:val="00E934EF"/>
    <w:rsid w:val="00EA0AF9"/>
    <w:rsid w:val="00EA4425"/>
    <w:rsid w:val="00EA6EE9"/>
    <w:rsid w:val="00EB4E7E"/>
    <w:rsid w:val="00EB5F85"/>
    <w:rsid w:val="00EC491A"/>
    <w:rsid w:val="00ED21B1"/>
    <w:rsid w:val="00EF0E6E"/>
    <w:rsid w:val="00EF5BBC"/>
    <w:rsid w:val="00F02205"/>
    <w:rsid w:val="00F153C9"/>
    <w:rsid w:val="00F1753E"/>
    <w:rsid w:val="00F20802"/>
    <w:rsid w:val="00F25337"/>
    <w:rsid w:val="00F257F3"/>
    <w:rsid w:val="00F34CD4"/>
    <w:rsid w:val="00F3771F"/>
    <w:rsid w:val="00F41184"/>
    <w:rsid w:val="00F44248"/>
    <w:rsid w:val="00F47C1B"/>
    <w:rsid w:val="00F531AB"/>
    <w:rsid w:val="00F60496"/>
    <w:rsid w:val="00F667CC"/>
    <w:rsid w:val="00F72A4E"/>
    <w:rsid w:val="00F759E8"/>
    <w:rsid w:val="00F76724"/>
    <w:rsid w:val="00F82028"/>
    <w:rsid w:val="00F83A3C"/>
    <w:rsid w:val="00F848B6"/>
    <w:rsid w:val="00F85C91"/>
    <w:rsid w:val="00F96B02"/>
    <w:rsid w:val="00FA069E"/>
    <w:rsid w:val="00FA4419"/>
    <w:rsid w:val="00FB02E8"/>
    <w:rsid w:val="00FB53BB"/>
    <w:rsid w:val="00FB5B62"/>
    <w:rsid w:val="00FC2AE5"/>
    <w:rsid w:val="00FE39C3"/>
    <w:rsid w:val="00FF6A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127BF"/>
  <w15:chartTrackingRefBased/>
  <w15:docId w15:val="{C514C0FA-3BEF-49DB-8606-FD97D1D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86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48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4867"/>
  </w:style>
  <w:style w:type="paragraph" w:styleId="Piedepgina">
    <w:name w:val="footer"/>
    <w:basedOn w:val="Normal"/>
    <w:link w:val="PiedepginaCar"/>
    <w:uiPriority w:val="99"/>
    <w:unhideWhenUsed/>
    <w:rsid w:val="001C48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4867"/>
  </w:style>
  <w:style w:type="paragraph" w:customStyle="1" w:styleId="Sangra2detindependiente1">
    <w:name w:val="Sangría 2 de t. independiente1"/>
    <w:basedOn w:val="Normal"/>
    <w:rsid w:val="001C4867"/>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DE0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045F"/>
    <w:rPr>
      <w:rFonts w:ascii="Segoe UI" w:hAnsi="Segoe UI" w:cs="Segoe UI"/>
      <w:sz w:val="18"/>
      <w:szCs w:val="18"/>
    </w:rPr>
  </w:style>
  <w:style w:type="table" w:styleId="Tablaconcuadrcula">
    <w:name w:val="Table Grid"/>
    <w:basedOn w:val="Tablanormal"/>
    <w:uiPriority w:val="59"/>
    <w:rsid w:val="001B4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07550"/>
    <w:pPr>
      <w:spacing w:after="0" w:line="240" w:lineRule="auto"/>
    </w:pPr>
  </w:style>
  <w:style w:type="character" w:styleId="Hipervnculo">
    <w:name w:val="Hyperlink"/>
    <w:basedOn w:val="Fuentedeprrafopredeter"/>
    <w:uiPriority w:val="99"/>
    <w:unhideWhenUsed/>
    <w:rsid w:val="00B95366"/>
    <w:rPr>
      <w:color w:val="0563C1" w:themeColor="hyperlink"/>
      <w:u w:val="single"/>
    </w:rPr>
  </w:style>
  <w:style w:type="paragraph" w:styleId="Ttulo">
    <w:name w:val="Title"/>
    <w:basedOn w:val="Normal"/>
    <w:next w:val="Normal"/>
    <w:link w:val="TtuloCar"/>
    <w:uiPriority w:val="10"/>
    <w:qFormat/>
    <w:rsid w:val="006830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308A"/>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4450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18039">
      <w:bodyDiv w:val="1"/>
      <w:marLeft w:val="0"/>
      <w:marRight w:val="0"/>
      <w:marTop w:val="0"/>
      <w:marBottom w:val="0"/>
      <w:divBdr>
        <w:top w:val="none" w:sz="0" w:space="0" w:color="auto"/>
        <w:left w:val="none" w:sz="0" w:space="0" w:color="auto"/>
        <w:bottom w:val="none" w:sz="0" w:space="0" w:color="auto"/>
        <w:right w:val="none" w:sz="0" w:space="0" w:color="auto"/>
      </w:divBdr>
      <w:divsChild>
        <w:div w:id="1572040191">
          <w:marLeft w:val="0"/>
          <w:marRight w:val="0"/>
          <w:marTop w:val="0"/>
          <w:marBottom w:val="0"/>
          <w:divBdr>
            <w:top w:val="none" w:sz="0" w:space="0" w:color="auto"/>
            <w:left w:val="none" w:sz="0" w:space="0" w:color="auto"/>
            <w:bottom w:val="none" w:sz="0" w:space="0" w:color="auto"/>
            <w:right w:val="none" w:sz="0" w:space="0" w:color="auto"/>
          </w:divBdr>
        </w:div>
        <w:div w:id="2087342922">
          <w:marLeft w:val="0"/>
          <w:marRight w:val="0"/>
          <w:marTop w:val="0"/>
          <w:marBottom w:val="0"/>
          <w:divBdr>
            <w:top w:val="none" w:sz="0" w:space="0" w:color="auto"/>
            <w:left w:val="none" w:sz="0" w:space="0" w:color="auto"/>
            <w:bottom w:val="none" w:sz="0" w:space="0" w:color="auto"/>
            <w:right w:val="none" w:sz="0" w:space="0" w:color="auto"/>
          </w:divBdr>
        </w:div>
        <w:div w:id="1317764090">
          <w:marLeft w:val="0"/>
          <w:marRight w:val="0"/>
          <w:marTop w:val="0"/>
          <w:marBottom w:val="0"/>
          <w:divBdr>
            <w:top w:val="none" w:sz="0" w:space="0" w:color="auto"/>
            <w:left w:val="none" w:sz="0" w:space="0" w:color="auto"/>
            <w:bottom w:val="none" w:sz="0" w:space="0" w:color="auto"/>
            <w:right w:val="none" w:sz="0" w:space="0" w:color="auto"/>
          </w:divBdr>
        </w:div>
        <w:div w:id="1288849787">
          <w:marLeft w:val="0"/>
          <w:marRight w:val="0"/>
          <w:marTop w:val="0"/>
          <w:marBottom w:val="0"/>
          <w:divBdr>
            <w:top w:val="none" w:sz="0" w:space="0" w:color="auto"/>
            <w:left w:val="none" w:sz="0" w:space="0" w:color="auto"/>
            <w:bottom w:val="none" w:sz="0" w:space="0" w:color="auto"/>
            <w:right w:val="none" w:sz="0" w:space="0" w:color="auto"/>
          </w:divBdr>
        </w:div>
        <w:div w:id="483591939">
          <w:marLeft w:val="0"/>
          <w:marRight w:val="0"/>
          <w:marTop w:val="0"/>
          <w:marBottom w:val="0"/>
          <w:divBdr>
            <w:top w:val="none" w:sz="0" w:space="0" w:color="auto"/>
            <w:left w:val="none" w:sz="0" w:space="0" w:color="auto"/>
            <w:bottom w:val="none" w:sz="0" w:space="0" w:color="auto"/>
            <w:right w:val="none" w:sz="0" w:space="0" w:color="auto"/>
          </w:divBdr>
        </w:div>
        <w:div w:id="2134321849">
          <w:marLeft w:val="0"/>
          <w:marRight w:val="0"/>
          <w:marTop w:val="0"/>
          <w:marBottom w:val="0"/>
          <w:divBdr>
            <w:top w:val="none" w:sz="0" w:space="0" w:color="auto"/>
            <w:left w:val="none" w:sz="0" w:space="0" w:color="auto"/>
            <w:bottom w:val="none" w:sz="0" w:space="0" w:color="auto"/>
            <w:right w:val="none" w:sz="0" w:space="0" w:color="auto"/>
          </w:divBdr>
        </w:div>
      </w:divsChild>
    </w:div>
    <w:div w:id="176816634">
      <w:bodyDiv w:val="1"/>
      <w:marLeft w:val="0"/>
      <w:marRight w:val="0"/>
      <w:marTop w:val="0"/>
      <w:marBottom w:val="0"/>
      <w:divBdr>
        <w:top w:val="none" w:sz="0" w:space="0" w:color="auto"/>
        <w:left w:val="none" w:sz="0" w:space="0" w:color="auto"/>
        <w:bottom w:val="none" w:sz="0" w:space="0" w:color="auto"/>
        <w:right w:val="none" w:sz="0" w:space="0" w:color="auto"/>
      </w:divBdr>
    </w:div>
    <w:div w:id="921525356">
      <w:bodyDiv w:val="1"/>
      <w:marLeft w:val="0"/>
      <w:marRight w:val="0"/>
      <w:marTop w:val="0"/>
      <w:marBottom w:val="0"/>
      <w:divBdr>
        <w:top w:val="none" w:sz="0" w:space="0" w:color="auto"/>
        <w:left w:val="none" w:sz="0" w:space="0" w:color="auto"/>
        <w:bottom w:val="none" w:sz="0" w:space="0" w:color="auto"/>
        <w:right w:val="none" w:sz="0" w:space="0" w:color="auto"/>
      </w:divBdr>
    </w:div>
    <w:div w:id="936864738">
      <w:bodyDiv w:val="1"/>
      <w:marLeft w:val="0"/>
      <w:marRight w:val="0"/>
      <w:marTop w:val="0"/>
      <w:marBottom w:val="0"/>
      <w:divBdr>
        <w:top w:val="none" w:sz="0" w:space="0" w:color="auto"/>
        <w:left w:val="none" w:sz="0" w:space="0" w:color="auto"/>
        <w:bottom w:val="none" w:sz="0" w:space="0" w:color="auto"/>
        <w:right w:val="none" w:sz="0" w:space="0" w:color="auto"/>
      </w:divBdr>
      <w:divsChild>
        <w:div w:id="1000623355">
          <w:marLeft w:val="0"/>
          <w:marRight w:val="0"/>
          <w:marTop w:val="0"/>
          <w:marBottom w:val="0"/>
          <w:divBdr>
            <w:top w:val="none" w:sz="0" w:space="0" w:color="auto"/>
            <w:left w:val="none" w:sz="0" w:space="0" w:color="auto"/>
            <w:bottom w:val="none" w:sz="0" w:space="0" w:color="auto"/>
            <w:right w:val="none" w:sz="0" w:space="0" w:color="auto"/>
          </w:divBdr>
        </w:div>
        <w:div w:id="1738356559">
          <w:marLeft w:val="0"/>
          <w:marRight w:val="0"/>
          <w:marTop w:val="0"/>
          <w:marBottom w:val="0"/>
          <w:divBdr>
            <w:top w:val="none" w:sz="0" w:space="0" w:color="auto"/>
            <w:left w:val="none" w:sz="0" w:space="0" w:color="auto"/>
            <w:bottom w:val="none" w:sz="0" w:space="0" w:color="auto"/>
            <w:right w:val="none" w:sz="0" w:space="0" w:color="auto"/>
          </w:divBdr>
        </w:div>
        <w:div w:id="1856990182">
          <w:marLeft w:val="0"/>
          <w:marRight w:val="0"/>
          <w:marTop w:val="0"/>
          <w:marBottom w:val="0"/>
          <w:divBdr>
            <w:top w:val="none" w:sz="0" w:space="0" w:color="auto"/>
            <w:left w:val="none" w:sz="0" w:space="0" w:color="auto"/>
            <w:bottom w:val="none" w:sz="0" w:space="0" w:color="auto"/>
            <w:right w:val="none" w:sz="0" w:space="0" w:color="auto"/>
          </w:divBdr>
        </w:div>
        <w:div w:id="79134558">
          <w:marLeft w:val="0"/>
          <w:marRight w:val="0"/>
          <w:marTop w:val="0"/>
          <w:marBottom w:val="0"/>
          <w:divBdr>
            <w:top w:val="none" w:sz="0" w:space="0" w:color="auto"/>
            <w:left w:val="none" w:sz="0" w:space="0" w:color="auto"/>
            <w:bottom w:val="none" w:sz="0" w:space="0" w:color="auto"/>
            <w:right w:val="none" w:sz="0" w:space="0" w:color="auto"/>
          </w:divBdr>
        </w:div>
        <w:div w:id="1651667591">
          <w:marLeft w:val="0"/>
          <w:marRight w:val="0"/>
          <w:marTop w:val="0"/>
          <w:marBottom w:val="0"/>
          <w:divBdr>
            <w:top w:val="none" w:sz="0" w:space="0" w:color="auto"/>
            <w:left w:val="none" w:sz="0" w:space="0" w:color="auto"/>
            <w:bottom w:val="none" w:sz="0" w:space="0" w:color="auto"/>
            <w:right w:val="none" w:sz="0" w:space="0" w:color="auto"/>
          </w:divBdr>
        </w:div>
        <w:div w:id="1545750381">
          <w:marLeft w:val="0"/>
          <w:marRight w:val="0"/>
          <w:marTop w:val="0"/>
          <w:marBottom w:val="0"/>
          <w:divBdr>
            <w:top w:val="none" w:sz="0" w:space="0" w:color="auto"/>
            <w:left w:val="none" w:sz="0" w:space="0" w:color="auto"/>
            <w:bottom w:val="none" w:sz="0" w:space="0" w:color="auto"/>
            <w:right w:val="none" w:sz="0" w:space="0" w:color="auto"/>
          </w:divBdr>
        </w:div>
        <w:div w:id="835607133">
          <w:marLeft w:val="0"/>
          <w:marRight w:val="0"/>
          <w:marTop w:val="0"/>
          <w:marBottom w:val="0"/>
          <w:divBdr>
            <w:top w:val="none" w:sz="0" w:space="0" w:color="auto"/>
            <w:left w:val="none" w:sz="0" w:space="0" w:color="auto"/>
            <w:bottom w:val="none" w:sz="0" w:space="0" w:color="auto"/>
            <w:right w:val="none" w:sz="0" w:space="0" w:color="auto"/>
          </w:divBdr>
        </w:div>
      </w:divsChild>
    </w:div>
    <w:div w:id="1180506010">
      <w:bodyDiv w:val="1"/>
      <w:marLeft w:val="0"/>
      <w:marRight w:val="0"/>
      <w:marTop w:val="0"/>
      <w:marBottom w:val="0"/>
      <w:divBdr>
        <w:top w:val="none" w:sz="0" w:space="0" w:color="auto"/>
        <w:left w:val="none" w:sz="0" w:space="0" w:color="auto"/>
        <w:bottom w:val="none" w:sz="0" w:space="0" w:color="auto"/>
        <w:right w:val="none" w:sz="0" w:space="0" w:color="auto"/>
      </w:divBdr>
      <w:divsChild>
        <w:div w:id="92014493">
          <w:marLeft w:val="0"/>
          <w:marRight w:val="0"/>
          <w:marTop w:val="0"/>
          <w:marBottom w:val="0"/>
          <w:divBdr>
            <w:top w:val="none" w:sz="0" w:space="0" w:color="auto"/>
            <w:left w:val="none" w:sz="0" w:space="0" w:color="auto"/>
            <w:bottom w:val="none" w:sz="0" w:space="0" w:color="auto"/>
            <w:right w:val="none" w:sz="0" w:space="0" w:color="auto"/>
          </w:divBdr>
        </w:div>
        <w:div w:id="636450986">
          <w:marLeft w:val="0"/>
          <w:marRight w:val="0"/>
          <w:marTop w:val="0"/>
          <w:marBottom w:val="0"/>
          <w:divBdr>
            <w:top w:val="none" w:sz="0" w:space="0" w:color="auto"/>
            <w:left w:val="none" w:sz="0" w:space="0" w:color="auto"/>
            <w:bottom w:val="none" w:sz="0" w:space="0" w:color="auto"/>
            <w:right w:val="none" w:sz="0" w:space="0" w:color="auto"/>
          </w:divBdr>
        </w:div>
        <w:div w:id="774256016">
          <w:marLeft w:val="0"/>
          <w:marRight w:val="0"/>
          <w:marTop w:val="0"/>
          <w:marBottom w:val="0"/>
          <w:divBdr>
            <w:top w:val="none" w:sz="0" w:space="0" w:color="auto"/>
            <w:left w:val="none" w:sz="0" w:space="0" w:color="auto"/>
            <w:bottom w:val="none" w:sz="0" w:space="0" w:color="auto"/>
            <w:right w:val="none" w:sz="0" w:space="0" w:color="auto"/>
          </w:divBdr>
        </w:div>
        <w:div w:id="1525172301">
          <w:marLeft w:val="0"/>
          <w:marRight w:val="0"/>
          <w:marTop w:val="0"/>
          <w:marBottom w:val="0"/>
          <w:divBdr>
            <w:top w:val="none" w:sz="0" w:space="0" w:color="auto"/>
            <w:left w:val="none" w:sz="0" w:space="0" w:color="auto"/>
            <w:bottom w:val="none" w:sz="0" w:space="0" w:color="auto"/>
            <w:right w:val="none" w:sz="0" w:space="0" w:color="auto"/>
          </w:divBdr>
        </w:div>
        <w:div w:id="1071538027">
          <w:marLeft w:val="0"/>
          <w:marRight w:val="0"/>
          <w:marTop w:val="0"/>
          <w:marBottom w:val="0"/>
          <w:divBdr>
            <w:top w:val="none" w:sz="0" w:space="0" w:color="auto"/>
            <w:left w:val="none" w:sz="0" w:space="0" w:color="auto"/>
            <w:bottom w:val="none" w:sz="0" w:space="0" w:color="auto"/>
            <w:right w:val="none" w:sz="0" w:space="0" w:color="auto"/>
          </w:divBdr>
        </w:div>
        <w:div w:id="555166542">
          <w:marLeft w:val="0"/>
          <w:marRight w:val="0"/>
          <w:marTop w:val="0"/>
          <w:marBottom w:val="0"/>
          <w:divBdr>
            <w:top w:val="none" w:sz="0" w:space="0" w:color="auto"/>
            <w:left w:val="none" w:sz="0" w:space="0" w:color="auto"/>
            <w:bottom w:val="none" w:sz="0" w:space="0" w:color="auto"/>
            <w:right w:val="none" w:sz="0" w:space="0" w:color="auto"/>
          </w:divBdr>
        </w:div>
        <w:div w:id="1893420069">
          <w:marLeft w:val="0"/>
          <w:marRight w:val="0"/>
          <w:marTop w:val="0"/>
          <w:marBottom w:val="0"/>
          <w:divBdr>
            <w:top w:val="none" w:sz="0" w:space="0" w:color="auto"/>
            <w:left w:val="none" w:sz="0" w:space="0" w:color="auto"/>
            <w:bottom w:val="none" w:sz="0" w:space="0" w:color="auto"/>
            <w:right w:val="none" w:sz="0" w:space="0" w:color="auto"/>
          </w:divBdr>
        </w:div>
      </w:divsChild>
    </w:div>
    <w:div w:id="1229418253">
      <w:bodyDiv w:val="1"/>
      <w:marLeft w:val="0"/>
      <w:marRight w:val="0"/>
      <w:marTop w:val="0"/>
      <w:marBottom w:val="0"/>
      <w:divBdr>
        <w:top w:val="none" w:sz="0" w:space="0" w:color="auto"/>
        <w:left w:val="none" w:sz="0" w:space="0" w:color="auto"/>
        <w:bottom w:val="none" w:sz="0" w:space="0" w:color="auto"/>
        <w:right w:val="none" w:sz="0" w:space="0" w:color="auto"/>
      </w:divBdr>
    </w:div>
    <w:div w:id="1532298188">
      <w:bodyDiv w:val="1"/>
      <w:marLeft w:val="0"/>
      <w:marRight w:val="0"/>
      <w:marTop w:val="0"/>
      <w:marBottom w:val="0"/>
      <w:divBdr>
        <w:top w:val="none" w:sz="0" w:space="0" w:color="auto"/>
        <w:left w:val="none" w:sz="0" w:space="0" w:color="auto"/>
        <w:bottom w:val="none" w:sz="0" w:space="0" w:color="auto"/>
        <w:right w:val="none" w:sz="0" w:space="0" w:color="auto"/>
      </w:divBdr>
      <w:divsChild>
        <w:div w:id="1236746151">
          <w:marLeft w:val="0"/>
          <w:marRight w:val="0"/>
          <w:marTop w:val="0"/>
          <w:marBottom w:val="0"/>
          <w:divBdr>
            <w:top w:val="none" w:sz="0" w:space="0" w:color="auto"/>
            <w:left w:val="none" w:sz="0" w:space="0" w:color="auto"/>
            <w:bottom w:val="none" w:sz="0" w:space="0" w:color="auto"/>
            <w:right w:val="none" w:sz="0" w:space="0" w:color="auto"/>
          </w:divBdr>
        </w:div>
        <w:div w:id="345326444">
          <w:marLeft w:val="0"/>
          <w:marRight w:val="0"/>
          <w:marTop w:val="0"/>
          <w:marBottom w:val="0"/>
          <w:divBdr>
            <w:top w:val="none" w:sz="0" w:space="0" w:color="auto"/>
            <w:left w:val="none" w:sz="0" w:space="0" w:color="auto"/>
            <w:bottom w:val="none" w:sz="0" w:space="0" w:color="auto"/>
            <w:right w:val="none" w:sz="0" w:space="0" w:color="auto"/>
          </w:divBdr>
        </w:div>
        <w:div w:id="793403035">
          <w:marLeft w:val="0"/>
          <w:marRight w:val="0"/>
          <w:marTop w:val="0"/>
          <w:marBottom w:val="0"/>
          <w:divBdr>
            <w:top w:val="none" w:sz="0" w:space="0" w:color="auto"/>
            <w:left w:val="none" w:sz="0" w:space="0" w:color="auto"/>
            <w:bottom w:val="none" w:sz="0" w:space="0" w:color="auto"/>
            <w:right w:val="none" w:sz="0" w:space="0" w:color="auto"/>
          </w:divBdr>
        </w:div>
        <w:div w:id="92409644">
          <w:marLeft w:val="0"/>
          <w:marRight w:val="0"/>
          <w:marTop w:val="0"/>
          <w:marBottom w:val="0"/>
          <w:divBdr>
            <w:top w:val="none" w:sz="0" w:space="0" w:color="auto"/>
            <w:left w:val="none" w:sz="0" w:space="0" w:color="auto"/>
            <w:bottom w:val="none" w:sz="0" w:space="0" w:color="auto"/>
            <w:right w:val="none" w:sz="0" w:space="0" w:color="auto"/>
          </w:divBdr>
        </w:div>
        <w:div w:id="594441457">
          <w:marLeft w:val="0"/>
          <w:marRight w:val="0"/>
          <w:marTop w:val="0"/>
          <w:marBottom w:val="0"/>
          <w:divBdr>
            <w:top w:val="none" w:sz="0" w:space="0" w:color="auto"/>
            <w:left w:val="none" w:sz="0" w:space="0" w:color="auto"/>
            <w:bottom w:val="none" w:sz="0" w:space="0" w:color="auto"/>
            <w:right w:val="none" w:sz="0" w:space="0" w:color="auto"/>
          </w:divBdr>
        </w:div>
        <w:div w:id="1618095868">
          <w:marLeft w:val="0"/>
          <w:marRight w:val="0"/>
          <w:marTop w:val="0"/>
          <w:marBottom w:val="0"/>
          <w:divBdr>
            <w:top w:val="none" w:sz="0" w:space="0" w:color="auto"/>
            <w:left w:val="none" w:sz="0" w:space="0" w:color="auto"/>
            <w:bottom w:val="none" w:sz="0" w:space="0" w:color="auto"/>
            <w:right w:val="none" w:sz="0" w:space="0" w:color="auto"/>
          </w:divBdr>
        </w:div>
        <w:div w:id="95056536">
          <w:marLeft w:val="0"/>
          <w:marRight w:val="0"/>
          <w:marTop w:val="0"/>
          <w:marBottom w:val="0"/>
          <w:divBdr>
            <w:top w:val="none" w:sz="0" w:space="0" w:color="auto"/>
            <w:left w:val="none" w:sz="0" w:space="0" w:color="auto"/>
            <w:bottom w:val="none" w:sz="0" w:space="0" w:color="auto"/>
            <w:right w:val="none" w:sz="0" w:space="0" w:color="auto"/>
          </w:divBdr>
        </w:div>
      </w:divsChild>
    </w:div>
    <w:div w:id="1766876975">
      <w:bodyDiv w:val="1"/>
      <w:marLeft w:val="0"/>
      <w:marRight w:val="0"/>
      <w:marTop w:val="0"/>
      <w:marBottom w:val="0"/>
      <w:divBdr>
        <w:top w:val="none" w:sz="0" w:space="0" w:color="auto"/>
        <w:left w:val="none" w:sz="0" w:space="0" w:color="auto"/>
        <w:bottom w:val="none" w:sz="0" w:space="0" w:color="auto"/>
        <w:right w:val="none" w:sz="0" w:space="0" w:color="auto"/>
      </w:divBdr>
      <w:divsChild>
        <w:div w:id="693044671">
          <w:marLeft w:val="0"/>
          <w:marRight w:val="0"/>
          <w:marTop w:val="0"/>
          <w:marBottom w:val="0"/>
          <w:divBdr>
            <w:top w:val="none" w:sz="0" w:space="0" w:color="auto"/>
            <w:left w:val="none" w:sz="0" w:space="0" w:color="auto"/>
            <w:bottom w:val="none" w:sz="0" w:space="0" w:color="auto"/>
            <w:right w:val="none" w:sz="0" w:space="0" w:color="auto"/>
          </w:divBdr>
        </w:div>
        <w:div w:id="44178990">
          <w:marLeft w:val="0"/>
          <w:marRight w:val="0"/>
          <w:marTop w:val="0"/>
          <w:marBottom w:val="0"/>
          <w:divBdr>
            <w:top w:val="none" w:sz="0" w:space="0" w:color="auto"/>
            <w:left w:val="none" w:sz="0" w:space="0" w:color="auto"/>
            <w:bottom w:val="none" w:sz="0" w:space="0" w:color="auto"/>
            <w:right w:val="none" w:sz="0" w:space="0" w:color="auto"/>
          </w:divBdr>
        </w:div>
        <w:div w:id="1725760282">
          <w:marLeft w:val="0"/>
          <w:marRight w:val="0"/>
          <w:marTop w:val="0"/>
          <w:marBottom w:val="0"/>
          <w:divBdr>
            <w:top w:val="none" w:sz="0" w:space="0" w:color="auto"/>
            <w:left w:val="none" w:sz="0" w:space="0" w:color="auto"/>
            <w:bottom w:val="none" w:sz="0" w:space="0" w:color="auto"/>
            <w:right w:val="none" w:sz="0" w:space="0" w:color="auto"/>
          </w:divBdr>
        </w:div>
        <w:div w:id="1999914459">
          <w:marLeft w:val="0"/>
          <w:marRight w:val="0"/>
          <w:marTop w:val="0"/>
          <w:marBottom w:val="0"/>
          <w:divBdr>
            <w:top w:val="none" w:sz="0" w:space="0" w:color="auto"/>
            <w:left w:val="none" w:sz="0" w:space="0" w:color="auto"/>
            <w:bottom w:val="none" w:sz="0" w:space="0" w:color="auto"/>
            <w:right w:val="none" w:sz="0" w:space="0" w:color="auto"/>
          </w:divBdr>
        </w:div>
        <w:div w:id="285085807">
          <w:marLeft w:val="0"/>
          <w:marRight w:val="0"/>
          <w:marTop w:val="0"/>
          <w:marBottom w:val="0"/>
          <w:divBdr>
            <w:top w:val="none" w:sz="0" w:space="0" w:color="auto"/>
            <w:left w:val="none" w:sz="0" w:space="0" w:color="auto"/>
            <w:bottom w:val="none" w:sz="0" w:space="0" w:color="auto"/>
            <w:right w:val="none" w:sz="0" w:space="0" w:color="auto"/>
          </w:divBdr>
        </w:div>
        <w:div w:id="1904870568">
          <w:marLeft w:val="0"/>
          <w:marRight w:val="0"/>
          <w:marTop w:val="0"/>
          <w:marBottom w:val="0"/>
          <w:divBdr>
            <w:top w:val="none" w:sz="0" w:space="0" w:color="auto"/>
            <w:left w:val="none" w:sz="0" w:space="0" w:color="auto"/>
            <w:bottom w:val="none" w:sz="0" w:space="0" w:color="auto"/>
            <w:right w:val="none" w:sz="0" w:space="0" w:color="auto"/>
          </w:divBdr>
        </w:div>
        <w:div w:id="824324816">
          <w:marLeft w:val="0"/>
          <w:marRight w:val="0"/>
          <w:marTop w:val="0"/>
          <w:marBottom w:val="0"/>
          <w:divBdr>
            <w:top w:val="none" w:sz="0" w:space="0" w:color="auto"/>
            <w:left w:val="none" w:sz="0" w:space="0" w:color="auto"/>
            <w:bottom w:val="none" w:sz="0" w:space="0" w:color="auto"/>
            <w:right w:val="none" w:sz="0" w:space="0" w:color="auto"/>
          </w:divBdr>
        </w:div>
      </w:divsChild>
    </w:div>
    <w:div w:id="1845244658">
      <w:bodyDiv w:val="1"/>
      <w:marLeft w:val="0"/>
      <w:marRight w:val="0"/>
      <w:marTop w:val="0"/>
      <w:marBottom w:val="0"/>
      <w:divBdr>
        <w:top w:val="none" w:sz="0" w:space="0" w:color="auto"/>
        <w:left w:val="none" w:sz="0" w:space="0" w:color="auto"/>
        <w:bottom w:val="none" w:sz="0" w:space="0" w:color="auto"/>
        <w:right w:val="none" w:sz="0" w:space="0" w:color="auto"/>
      </w:divBdr>
      <w:divsChild>
        <w:div w:id="2061708500">
          <w:marLeft w:val="0"/>
          <w:marRight w:val="0"/>
          <w:marTop w:val="0"/>
          <w:marBottom w:val="0"/>
          <w:divBdr>
            <w:top w:val="none" w:sz="0" w:space="0" w:color="auto"/>
            <w:left w:val="none" w:sz="0" w:space="0" w:color="auto"/>
            <w:bottom w:val="none" w:sz="0" w:space="0" w:color="auto"/>
            <w:right w:val="none" w:sz="0" w:space="0" w:color="auto"/>
          </w:divBdr>
        </w:div>
        <w:div w:id="1754938244">
          <w:marLeft w:val="0"/>
          <w:marRight w:val="0"/>
          <w:marTop w:val="0"/>
          <w:marBottom w:val="0"/>
          <w:divBdr>
            <w:top w:val="none" w:sz="0" w:space="0" w:color="auto"/>
            <w:left w:val="none" w:sz="0" w:space="0" w:color="auto"/>
            <w:bottom w:val="none" w:sz="0" w:space="0" w:color="auto"/>
            <w:right w:val="none" w:sz="0" w:space="0" w:color="auto"/>
          </w:divBdr>
        </w:div>
        <w:div w:id="1093358179">
          <w:marLeft w:val="0"/>
          <w:marRight w:val="0"/>
          <w:marTop w:val="0"/>
          <w:marBottom w:val="0"/>
          <w:divBdr>
            <w:top w:val="none" w:sz="0" w:space="0" w:color="auto"/>
            <w:left w:val="none" w:sz="0" w:space="0" w:color="auto"/>
            <w:bottom w:val="none" w:sz="0" w:space="0" w:color="auto"/>
            <w:right w:val="none" w:sz="0" w:space="0" w:color="auto"/>
          </w:divBdr>
        </w:div>
        <w:div w:id="1196579681">
          <w:marLeft w:val="0"/>
          <w:marRight w:val="0"/>
          <w:marTop w:val="0"/>
          <w:marBottom w:val="0"/>
          <w:divBdr>
            <w:top w:val="none" w:sz="0" w:space="0" w:color="auto"/>
            <w:left w:val="none" w:sz="0" w:space="0" w:color="auto"/>
            <w:bottom w:val="none" w:sz="0" w:space="0" w:color="auto"/>
            <w:right w:val="none" w:sz="0" w:space="0" w:color="auto"/>
          </w:divBdr>
        </w:div>
        <w:div w:id="872570728">
          <w:marLeft w:val="0"/>
          <w:marRight w:val="0"/>
          <w:marTop w:val="0"/>
          <w:marBottom w:val="0"/>
          <w:divBdr>
            <w:top w:val="none" w:sz="0" w:space="0" w:color="auto"/>
            <w:left w:val="none" w:sz="0" w:space="0" w:color="auto"/>
            <w:bottom w:val="none" w:sz="0" w:space="0" w:color="auto"/>
            <w:right w:val="none" w:sz="0" w:space="0" w:color="auto"/>
          </w:divBdr>
        </w:div>
        <w:div w:id="963924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2819F-C390-418E-93CE-85984D51B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1830</TotalTime>
  <Pages>7</Pages>
  <Words>2774</Words>
  <Characters>15261</Characters>
  <Application>Microsoft Office Word</Application>
  <DocSecurity>0</DocSecurity>
  <Lines>127</Lines>
  <Paragraphs>35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FERNANDO MARTINEZ</cp:lastModifiedBy>
  <cp:revision>220</cp:revision>
  <cp:lastPrinted>2020-10-07T19:04:00Z</cp:lastPrinted>
  <dcterms:created xsi:type="dcterms:W3CDTF">2020-10-07T18:51:00Z</dcterms:created>
  <dcterms:modified xsi:type="dcterms:W3CDTF">2022-10-15T04:03:00Z</dcterms:modified>
</cp:coreProperties>
</file>