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4D04B111"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2A4DA0">
        <w:rPr>
          <w:rFonts w:ascii="Arial" w:eastAsia="Arial" w:hAnsi="Arial" w:cs="Arial"/>
          <w:color w:val="000000"/>
          <w:sz w:val="24"/>
          <w:szCs w:val="24"/>
        </w:rPr>
        <w:t>0124</w:t>
      </w:r>
      <w:r w:rsidR="001879A4">
        <w:rPr>
          <w:rFonts w:ascii="Arial" w:eastAsia="Arial" w:hAnsi="Arial" w:cs="Arial"/>
          <w:color w:val="000000"/>
          <w:sz w:val="24"/>
          <w:szCs w:val="24"/>
        </w:rPr>
        <w:t>/2019</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2054EF13" w:rsidR="00FB6062" w:rsidRPr="002A4DA0" w:rsidRDefault="002A4DA0">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D90459">
        <w:rPr>
          <w:rFonts w:ascii="Arial" w:eastAsia="Arial" w:hAnsi="Arial" w:cs="Arial"/>
          <w:color w:val="FF0000"/>
          <w:sz w:val="24"/>
          <w:szCs w:val="24"/>
        </w:rPr>
        <w:t>**********</w:t>
      </w:r>
      <w:r>
        <w:rPr>
          <w:rFonts w:ascii="Arial" w:eastAsia="Arial" w:hAnsi="Arial" w:cs="Arial"/>
          <w:color w:val="000000"/>
          <w:sz w:val="24"/>
          <w:szCs w:val="24"/>
        </w:rPr>
        <w:t>, EN SU CARÁCTER DE SÍNDICO MUNICIPAL DEL HONORABLE AYUNTAMIENTO CONSTITUCIONAL DE SANTO DOMINGO TEHUANTEPEC, OAXACA.</w:t>
      </w:r>
    </w:p>
    <w:p w14:paraId="00000006" w14:textId="77777777" w:rsidR="00FB6062" w:rsidRDefault="00FB6062" w:rsidP="00364232">
      <w:pPr>
        <w:pBdr>
          <w:top w:val="nil"/>
          <w:left w:val="nil"/>
          <w:bottom w:val="nil"/>
          <w:right w:val="nil"/>
          <w:between w:val="nil"/>
        </w:pBdr>
        <w:tabs>
          <w:tab w:val="center" w:pos="4419"/>
          <w:tab w:val="right" w:pos="8838"/>
        </w:tabs>
        <w:spacing w:after="0" w:line="240" w:lineRule="auto"/>
        <w:jc w:val="both"/>
        <w:rPr>
          <w:rFonts w:ascii="Arial" w:eastAsia="Arial" w:hAnsi="Arial" w:cs="Arial"/>
          <w:b/>
          <w:color w:val="000000"/>
          <w:sz w:val="24"/>
          <w:szCs w:val="24"/>
        </w:rPr>
      </w:pPr>
    </w:p>
    <w:p w14:paraId="00000007" w14:textId="7B606644"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183D7E">
        <w:rPr>
          <w:rFonts w:ascii="Arial" w:eastAsia="Arial" w:hAnsi="Arial" w:cs="Arial"/>
          <w:color w:val="000000"/>
          <w:sz w:val="24"/>
          <w:szCs w:val="24"/>
        </w:rPr>
        <w:t>COORDINADORA DE COBRO COACTIVO DE LA DIRECCIÓN DE INGRESOS Y RECAUDACIÓN D</w:t>
      </w:r>
      <w:r w:rsidR="00DC5649">
        <w:rPr>
          <w:rFonts w:ascii="Arial" w:eastAsia="Arial" w:hAnsi="Arial" w:cs="Arial"/>
          <w:color w:val="000000"/>
          <w:sz w:val="24"/>
          <w:szCs w:val="24"/>
        </w:rPr>
        <w:t>E LA SECRETARIA DE FINANZAS DEL PODER EJECUTIVO DEL ESTADO DE OAXACA</w:t>
      </w:r>
      <w:r w:rsidR="00364232">
        <w:rPr>
          <w:rFonts w:ascii="Arial" w:eastAsia="Arial" w:hAnsi="Arial" w:cs="Arial"/>
          <w:color w:val="000000"/>
          <w:sz w:val="24"/>
          <w:szCs w:val="24"/>
        </w:rPr>
        <w:t>.</w:t>
      </w:r>
      <w:r w:rsidR="007E2DB7">
        <w:rPr>
          <w:rFonts w:ascii="Arial" w:eastAsia="Arial" w:hAnsi="Arial" w:cs="Arial"/>
          <w:color w:val="000000"/>
          <w:sz w:val="24"/>
          <w:szCs w:val="24"/>
        </w:rPr>
        <w:t xml:space="preserve"> </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6246AAD7"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2A4DA0">
        <w:rPr>
          <w:rFonts w:ascii="Arial" w:eastAsia="Arial" w:hAnsi="Arial" w:cs="Arial"/>
          <w:b/>
          <w:color w:val="000000"/>
          <w:sz w:val="24"/>
          <w:szCs w:val="24"/>
        </w:rPr>
        <w:t xml:space="preserve">CATORCE DE JUNIO </w:t>
      </w:r>
      <w:r>
        <w:rPr>
          <w:rFonts w:ascii="Arial" w:eastAsia="Arial" w:hAnsi="Arial" w:cs="Arial"/>
          <w:b/>
          <w:color w:val="000000"/>
          <w:sz w:val="24"/>
          <w:szCs w:val="24"/>
        </w:rPr>
        <w:t xml:space="preserve">DE DOS MIL VEINTIDÓS. - - - - - - - - - - - - - - - - - - - - - - - - - - - - - - - - </w:t>
      </w:r>
      <w:r w:rsidR="00614F26">
        <w:rPr>
          <w:rFonts w:ascii="Arial" w:eastAsia="Arial" w:hAnsi="Arial" w:cs="Arial"/>
          <w:b/>
          <w:color w:val="000000"/>
          <w:sz w:val="24"/>
          <w:szCs w:val="24"/>
        </w:rPr>
        <w:t xml:space="preserve">- - - - - - - - - - - - </w:t>
      </w:r>
      <w:r w:rsidR="00CC42AB">
        <w:rPr>
          <w:rFonts w:ascii="Arial" w:eastAsia="Arial" w:hAnsi="Arial" w:cs="Arial"/>
          <w:b/>
          <w:color w:val="000000"/>
          <w:sz w:val="24"/>
          <w:szCs w:val="24"/>
        </w:rPr>
        <w:t xml:space="preserve">- - - </w:t>
      </w:r>
    </w:p>
    <w:p w14:paraId="0000000E" w14:textId="6AE85085"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2A4DA0">
        <w:rPr>
          <w:rFonts w:ascii="Arial" w:eastAsia="Arial" w:hAnsi="Arial" w:cs="Arial"/>
          <w:b/>
          <w:sz w:val="24"/>
          <w:szCs w:val="24"/>
        </w:rPr>
        <w:t>0124</w:t>
      </w:r>
      <w:r w:rsidR="00364232">
        <w:rPr>
          <w:rFonts w:ascii="Arial" w:eastAsia="Arial" w:hAnsi="Arial" w:cs="Arial"/>
          <w:b/>
          <w:sz w:val="24"/>
          <w:szCs w:val="24"/>
        </w:rPr>
        <w:t>/2019</w:t>
      </w:r>
      <w:r>
        <w:rPr>
          <w:rFonts w:ascii="Arial" w:eastAsia="Arial" w:hAnsi="Arial" w:cs="Arial"/>
          <w:b/>
          <w:sz w:val="24"/>
          <w:szCs w:val="24"/>
        </w:rPr>
        <w:t>,</w:t>
      </w:r>
      <w:r>
        <w:rPr>
          <w:rFonts w:ascii="Arial" w:eastAsia="Arial" w:hAnsi="Arial" w:cs="Arial"/>
          <w:sz w:val="24"/>
          <w:szCs w:val="24"/>
        </w:rPr>
        <w:t xml:space="preserve"> promovido por </w:t>
      </w:r>
      <w:r w:rsidR="00D90459">
        <w:rPr>
          <w:rFonts w:ascii="Arial" w:eastAsia="Arial" w:hAnsi="Arial" w:cs="Arial"/>
          <w:color w:val="FF0000"/>
          <w:sz w:val="24"/>
          <w:szCs w:val="24"/>
        </w:rPr>
        <w:t>**********</w:t>
      </w:r>
      <w:r w:rsidR="002A4DA0">
        <w:rPr>
          <w:rFonts w:ascii="Arial" w:eastAsia="Arial" w:hAnsi="Arial" w:cs="Arial"/>
          <w:color w:val="000000"/>
          <w:sz w:val="24"/>
          <w:szCs w:val="24"/>
        </w:rPr>
        <w:t xml:space="preserve">, en su carácter de </w:t>
      </w:r>
      <w:r w:rsidR="002A4DA0" w:rsidRPr="002A4DA0">
        <w:rPr>
          <w:rFonts w:ascii="Arial" w:eastAsia="Arial" w:hAnsi="Arial" w:cs="Arial"/>
          <w:b/>
          <w:color w:val="000000"/>
          <w:sz w:val="24"/>
          <w:szCs w:val="24"/>
        </w:rPr>
        <w:t>SÍNDICO MUNICIPAL DEL HONORABLE AYUNTAMIENTO CONSTITUCIONAL DE SANTO DOMINGO TEHUANTEPEC, OAXACA</w:t>
      </w:r>
      <w:r w:rsidR="002A4DA0">
        <w:rPr>
          <w:rFonts w:ascii="Arial" w:eastAsia="Arial" w:hAnsi="Arial" w:cs="Arial"/>
          <w:color w:val="000000"/>
          <w:sz w:val="24"/>
          <w:szCs w:val="24"/>
        </w:rPr>
        <w:t xml:space="preserve">, </w:t>
      </w:r>
      <w:r w:rsidR="00364232">
        <w:rPr>
          <w:rFonts w:ascii="Arial" w:eastAsia="Arial" w:hAnsi="Arial" w:cs="Arial"/>
          <w:sz w:val="24"/>
          <w:szCs w:val="24"/>
        </w:rPr>
        <w:t xml:space="preserve">en contra de la </w:t>
      </w:r>
      <w:r w:rsidR="00D92CD3">
        <w:rPr>
          <w:rFonts w:ascii="Arial" w:eastAsia="Arial" w:hAnsi="Arial" w:cs="Arial"/>
          <w:b/>
          <w:sz w:val="24"/>
          <w:szCs w:val="24"/>
        </w:rPr>
        <w:t>COORDINADORA DE COBRO COACTIVO DE LA DIRECCIÓN DE INGRESOS</w:t>
      </w:r>
      <w:r w:rsidR="00CC42AB">
        <w:rPr>
          <w:rFonts w:ascii="Arial" w:eastAsia="Arial" w:hAnsi="Arial" w:cs="Arial"/>
          <w:b/>
          <w:sz w:val="24"/>
          <w:szCs w:val="24"/>
        </w:rPr>
        <w:t xml:space="preserve"> DE LA SECRETARIA DE FINANZAS DEL PODER EJECUTIVO DEL ESTADO DE OAXACA</w:t>
      </w:r>
      <w:r>
        <w:rPr>
          <w:rFonts w:ascii="Arial" w:eastAsia="Arial" w:hAnsi="Arial" w:cs="Arial"/>
          <w:sz w:val="24"/>
          <w:szCs w:val="24"/>
        </w:rPr>
        <w:t>.</w:t>
      </w:r>
      <w:r w:rsidR="00364232">
        <w:rPr>
          <w:rFonts w:ascii="Arial" w:eastAsia="Arial" w:hAnsi="Arial" w:cs="Arial"/>
          <w:sz w:val="24"/>
          <w:szCs w:val="24"/>
        </w:rPr>
        <w:t xml:space="preserve"> </w:t>
      </w:r>
      <w:r>
        <w:rPr>
          <w:rFonts w:ascii="Arial" w:eastAsia="Arial" w:hAnsi="Arial" w:cs="Arial"/>
          <w:sz w:val="24"/>
          <w:szCs w:val="24"/>
        </w:rPr>
        <w:t xml:space="preserve">- - - - - - - </w:t>
      </w:r>
      <w:r w:rsidR="00D92CD3">
        <w:rPr>
          <w:rFonts w:ascii="Arial" w:eastAsia="Arial" w:hAnsi="Arial" w:cs="Arial"/>
          <w:sz w:val="24"/>
          <w:szCs w:val="24"/>
        </w:rPr>
        <w:t xml:space="preserve">- - - - - - - - - - - - - - - - - - </w:t>
      </w:r>
      <w:r w:rsidR="00D90459">
        <w:rPr>
          <w:rFonts w:ascii="Arial" w:eastAsia="Arial" w:hAnsi="Arial" w:cs="Arial"/>
          <w:sz w:val="24"/>
          <w:szCs w:val="24"/>
        </w:rPr>
        <w:t xml:space="preserve">- - - - - - - - - - - - - - - - - - -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7114580" w14:textId="2A84C532" w:rsidR="00620CF3"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CD2FBA">
        <w:rPr>
          <w:rFonts w:ascii="Arial" w:eastAsia="Arial" w:hAnsi="Arial" w:cs="Arial"/>
          <w:sz w:val="24"/>
          <w:szCs w:val="24"/>
        </w:rPr>
        <w:t xml:space="preserve">Mediante </w:t>
      </w:r>
      <w:r w:rsidR="000035F4">
        <w:rPr>
          <w:rFonts w:ascii="Arial" w:eastAsia="Arial" w:hAnsi="Arial" w:cs="Arial"/>
          <w:sz w:val="24"/>
          <w:szCs w:val="24"/>
        </w:rPr>
        <w:t xml:space="preserve">escrito </w:t>
      </w:r>
      <w:r w:rsidR="000E2637">
        <w:rPr>
          <w:rFonts w:ascii="Arial" w:eastAsia="Arial" w:hAnsi="Arial" w:cs="Arial"/>
          <w:sz w:val="24"/>
          <w:szCs w:val="24"/>
        </w:rPr>
        <w:t xml:space="preserve">recibido el </w:t>
      </w:r>
      <w:r w:rsidR="00680F26">
        <w:rPr>
          <w:rFonts w:ascii="Arial" w:eastAsia="Arial" w:hAnsi="Arial" w:cs="Arial"/>
          <w:sz w:val="24"/>
          <w:szCs w:val="24"/>
        </w:rPr>
        <w:t>veintid</w:t>
      </w:r>
      <w:r w:rsidR="00BF1A3E">
        <w:rPr>
          <w:rFonts w:ascii="Arial" w:eastAsia="Arial" w:hAnsi="Arial" w:cs="Arial"/>
          <w:sz w:val="24"/>
          <w:szCs w:val="24"/>
        </w:rPr>
        <w:t>ós</w:t>
      </w:r>
      <w:r w:rsidR="000E2637">
        <w:rPr>
          <w:rFonts w:ascii="Arial" w:eastAsia="Arial" w:hAnsi="Arial" w:cs="Arial"/>
          <w:sz w:val="24"/>
          <w:szCs w:val="24"/>
        </w:rPr>
        <w:t xml:space="preserve"> de</w:t>
      </w:r>
      <w:r w:rsidR="00BF1A3E">
        <w:rPr>
          <w:rFonts w:ascii="Arial" w:eastAsia="Arial" w:hAnsi="Arial" w:cs="Arial"/>
          <w:sz w:val="24"/>
          <w:szCs w:val="24"/>
        </w:rPr>
        <w:t xml:space="preserve"> octubre</w:t>
      </w:r>
      <w:r w:rsidR="000E2637">
        <w:rPr>
          <w:rFonts w:ascii="Arial" w:eastAsia="Arial" w:hAnsi="Arial" w:cs="Arial"/>
          <w:sz w:val="24"/>
          <w:szCs w:val="24"/>
        </w:rPr>
        <w:t xml:space="preserve"> dos mil diecinueve, en Oficialía de Partes Común de </w:t>
      </w:r>
      <w:r w:rsidR="00CD2FBA">
        <w:rPr>
          <w:rFonts w:ascii="Arial" w:eastAsia="Arial" w:hAnsi="Arial" w:cs="Arial"/>
          <w:sz w:val="24"/>
          <w:szCs w:val="24"/>
        </w:rPr>
        <w:t xml:space="preserve">Primera Instancia de </w:t>
      </w:r>
      <w:r w:rsidR="000E2637">
        <w:rPr>
          <w:rFonts w:ascii="Arial" w:eastAsia="Arial" w:hAnsi="Arial" w:cs="Arial"/>
          <w:sz w:val="24"/>
          <w:szCs w:val="24"/>
        </w:rPr>
        <w:t xml:space="preserve">este Tribunal, </w:t>
      </w:r>
      <w:r w:rsidR="00D90459">
        <w:rPr>
          <w:rFonts w:ascii="Arial" w:eastAsia="Arial" w:hAnsi="Arial" w:cs="Arial"/>
          <w:b/>
          <w:color w:val="FF0000"/>
          <w:sz w:val="24"/>
          <w:szCs w:val="24"/>
        </w:rPr>
        <w:t>**********</w:t>
      </w:r>
      <w:r w:rsidR="005E6B73">
        <w:rPr>
          <w:rFonts w:ascii="Arial" w:eastAsia="Arial" w:hAnsi="Arial" w:cs="Arial"/>
          <w:b/>
          <w:color w:val="FF0000"/>
          <w:sz w:val="24"/>
          <w:szCs w:val="24"/>
        </w:rPr>
        <w:t xml:space="preserve"> </w:t>
      </w:r>
      <w:r w:rsidR="005E6B73">
        <w:rPr>
          <w:rFonts w:ascii="Arial" w:eastAsia="Arial" w:hAnsi="Arial" w:cs="Arial"/>
          <w:sz w:val="24"/>
          <w:szCs w:val="24"/>
        </w:rPr>
        <w:t>en su carácter de Síndico Municipal del Honorable Ayuntamiento Constitucional de Santo Domingo Tehuantepec, Oaxaca</w:t>
      </w:r>
      <w:r w:rsidR="000E2637">
        <w:rPr>
          <w:rFonts w:ascii="Arial" w:eastAsia="Arial" w:hAnsi="Arial" w:cs="Arial"/>
          <w:sz w:val="24"/>
          <w:szCs w:val="24"/>
        </w:rPr>
        <w:t xml:space="preserve">, demandó </w:t>
      </w:r>
      <w:r w:rsidR="0040547E">
        <w:rPr>
          <w:rFonts w:ascii="Arial" w:eastAsia="Arial" w:hAnsi="Arial" w:cs="Arial"/>
          <w:sz w:val="24"/>
          <w:szCs w:val="24"/>
        </w:rPr>
        <w:t xml:space="preserve">la nulidad del mandamiento de ejecución número </w:t>
      </w:r>
      <w:r w:rsidR="00D90459">
        <w:rPr>
          <w:rFonts w:ascii="Arial" w:eastAsia="Arial" w:hAnsi="Arial" w:cs="Arial"/>
          <w:b/>
          <w:color w:val="FF0000"/>
          <w:sz w:val="24"/>
          <w:szCs w:val="24"/>
        </w:rPr>
        <w:t>**********</w:t>
      </w:r>
      <w:r w:rsidR="0040547E">
        <w:rPr>
          <w:rFonts w:ascii="Arial" w:eastAsia="Arial" w:hAnsi="Arial" w:cs="Arial"/>
          <w:sz w:val="24"/>
          <w:szCs w:val="24"/>
        </w:rPr>
        <w:t xml:space="preserve"> de v</w:t>
      </w:r>
      <w:r w:rsidR="005E6B73">
        <w:rPr>
          <w:rFonts w:ascii="Arial" w:eastAsia="Arial" w:hAnsi="Arial" w:cs="Arial"/>
          <w:sz w:val="24"/>
          <w:szCs w:val="24"/>
        </w:rPr>
        <w:t>einticinco de junio</w:t>
      </w:r>
      <w:r w:rsidR="0040547E">
        <w:rPr>
          <w:rFonts w:ascii="Arial" w:eastAsia="Arial" w:hAnsi="Arial" w:cs="Arial"/>
          <w:sz w:val="24"/>
          <w:szCs w:val="24"/>
        </w:rPr>
        <w:t xml:space="preserve"> de dos mil diecinueve, emitido por la</w:t>
      </w:r>
      <w:r w:rsidR="003456EB">
        <w:rPr>
          <w:rFonts w:ascii="Arial" w:eastAsia="Arial" w:hAnsi="Arial" w:cs="Arial"/>
          <w:sz w:val="24"/>
          <w:szCs w:val="24"/>
        </w:rPr>
        <w:t xml:space="preserve"> Coordinadora de Cobro Coactivo</w:t>
      </w:r>
      <w:r w:rsidR="0040547E">
        <w:rPr>
          <w:rFonts w:ascii="Arial" w:eastAsia="Arial" w:hAnsi="Arial" w:cs="Arial"/>
          <w:sz w:val="24"/>
          <w:szCs w:val="24"/>
        </w:rPr>
        <w:t xml:space="preserve"> dependiente de la Dirección de Ingresos </w:t>
      </w:r>
      <w:r w:rsidR="00620CF3">
        <w:rPr>
          <w:rFonts w:ascii="Arial" w:eastAsia="Arial" w:hAnsi="Arial" w:cs="Arial"/>
          <w:sz w:val="24"/>
          <w:szCs w:val="24"/>
        </w:rPr>
        <w:t>y Recaudación de la Secretaría de Finanzas del Gobierno del Estado de Oaxaca.</w:t>
      </w:r>
    </w:p>
    <w:p w14:paraId="25C4B564" w14:textId="7955F911" w:rsidR="000035F4" w:rsidRPr="000E2637" w:rsidRDefault="00620CF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acuerdo de </w:t>
      </w:r>
      <w:r w:rsidR="009B70EA">
        <w:rPr>
          <w:rFonts w:ascii="Arial" w:eastAsia="Arial" w:hAnsi="Arial" w:cs="Arial"/>
          <w:sz w:val="24"/>
          <w:szCs w:val="24"/>
        </w:rPr>
        <w:t>tres de diciembre de</w:t>
      </w:r>
      <w:r>
        <w:rPr>
          <w:rFonts w:ascii="Arial" w:eastAsia="Arial" w:hAnsi="Arial" w:cs="Arial"/>
          <w:sz w:val="24"/>
          <w:szCs w:val="24"/>
        </w:rPr>
        <w:t xml:space="preserve"> dos mil diecinueve, se reservó </w:t>
      </w:r>
      <w:r w:rsidR="002F72AF">
        <w:rPr>
          <w:rFonts w:ascii="Arial" w:eastAsia="Arial" w:hAnsi="Arial" w:cs="Arial"/>
          <w:sz w:val="24"/>
          <w:szCs w:val="24"/>
        </w:rPr>
        <w:t xml:space="preserve">admitir a trámite la </w:t>
      </w:r>
      <w:r>
        <w:rPr>
          <w:rFonts w:ascii="Arial" w:eastAsia="Arial" w:hAnsi="Arial" w:cs="Arial"/>
          <w:sz w:val="24"/>
          <w:szCs w:val="24"/>
        </w:rPr>
        <w:t xml:space="preserve">demanda, </w:t>
      </w:r>
      <w:r w:rsidR="003456EB">
        <w:rPr>
          <w:rFonts w:ascii="Arial" w:eastAsia="Arial" w:hAnsi="Arial" w:cs="Arial"/>
          <w:sz w:val="24"/>
          <w:szCs w:val="24"/>
        </w:rPr>
        <w:t>y se requirió</w:t>
      </w:r>
      <w:r>
        <w:rPr>
          <w:rFonts w:ascii="Arial" w:eastAsia="Arial" w:hAnsi="Arial" w:cs="Arial"/>
          <w:sz w:val="24"/>
          <w:szCs w:val="24"/>
        </w:rPr>
        <w:t xml:space="preserve"> a la parte actora para que dentro del plazo de tres días hábiles </w:t>
      </w:r>
      <w:r w:rsidR="00CA6D5C">
        <w:rPr>
          <w:rFonts w:ascii="Arial" w:eastAsia="Arial" w:hAnsi="Arial" w:cs="Arial"/>
          <w:sz w:val="24"/>
          <w:szCs w:val="24"/>
        </w:rPr>
        <w:t>indicara si el acto que impugnaba le</w:t>
      </w:r>
      <w:r w:rsidR="002F72AF">
        <w:rPr>
          <w:rFonts w:ascii="Arial" w:eastAsia="Arial" w:hAnsi="Arial" w:cs="Arial"/>
          <w:sz w:val="24"/>
          <w:szCs w:val="24"/>
        </w:rPr>
        <w:t xml:space="preserve"> afectaba en su calidad de autoridad municipal o como contribuyente</w:t>
      </w:r>
      <w:r w:rsidR="00CA6D5C">
        <w:rPr>
          <w:rFonts w:ascii="Arial" w:eastAsia="Arial" w:hAnsi="Arial" w:cs="Arial"/>
          <w:sz w:val="24"/>
          <w:szCs w:val="24"/>
        </w:rPr>
        <w:t>.</w:t>
      </w:r>
    </w:p>
    <w:p w14:paraId="00000010" w14:textId="4B5D50DE" w:rsidR="00FB6062" w:rsidRDefault="00733B61" w:rsidP="00CA6D5C">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TERCERO</w:t>
      </w:r>
      <w:r w:rsidR="00620CF3">
        <w:rPr>
          <w:rFonts w:ascii="Arial" w:eastAsia="Arial" w:hAnsi="Arial" w:cs="Arial"/>
          <w:b/>
          <w:sz w:val="24"/>
          <w:szCs w:val="24"/>
        </w:rPr>
        <w:t>.</w:t>
      </w:r>
      <w:r w:rsidR="00CA6D5C">
        <w:rPr>
          <w:rFonts w:ascii="Arial" w:eastAsia="Arial" w:hAnsi="Arial" w:cs="Arial"/>
          <w:b/>
          <w:sz w:val="24"/>
          <w:szCs w:val="24"/>
        </w:rPr>
        <w:t xml:space="preserve"> </w:t>
      </w:r>
      <w:r w:rsidR="00CA6D5C">
        <w:rPr>
          <w:rFonts w:ascii="Arial" w:eastAsia="Arial" w:hAnsi="Arial" w:cs="Arial"/>
          <w:sz w:val="24"/>
          <w:szCs w:val="24"/>
        </w:rPr>
        <w:t xml:space="preserve">Por auto de dieciocho de marzo de dos mil veinte, la </w:t>
      </w:r>
      <w:r w:rsidR="00CA6D5C">
        <w:rPr>
          <w:rFonts w:ascii="Arial" w:eastAsia="Arial" w:hAnsi="Arial" w:cs="Arial"/>
          <w:b/>
          <w:sz w:val="24"/>
          <w:szCs w:val="24"/>
        </w:rPr>
        <w:t xml:space="preserve">parte actora </w:t>
      </w:r>
      <w:r w:rsidR="00CA6D5C">
        <w:rPr>
          <w:rFonts w:ascii="Arial" w:eastAsia="Arial" w:hAnsi="Arial" w:cs="Arial"/>
          <w:sz w:val="24"/>
          <w:szCs w:val="24"/>
        </w:rPr>
        <w:t xml:space="preserve">cumplió con el requerimiento efectuado en autos, por lo que </w:t>
      </w:r>
      <w:r w:rsidR="00364232">
        <w:rPr>
          <w:rFonts w:ascii="Arial" w:eastAsia="Arial" w:hAnsi="Arial" w:cs="Arial"/>
          <w:sz w:val="24"/>
          <w:szCs w:val="24"/>
        </w:rPr>
        <w:t>se</w:t>
      </w:r>
      <w:r w:rsidR="00414E1F">
        <w:rPr>
          <w:rFonts w:ascii="Arial" w:eastAsia="Arial" w:hAnsi="Arial" w:cs="Arial"/>
          <w:sz w:val="24"/>
          <w:szCs w:val="24"/>
        </w:rPr>
        <w:t xml:space="preserve"> </w:t>
      </w:r>
      <w:r w:rsidR="00414E1F">
        <w:rPr>
          <w:rFonts w:ascii="Arial" w:eastAsia="Arial" w:hAnsi="Arial" w:cs="Arial"/>
          <w:b/>
          <w:sz w:val="24"/>
          <w:szCs w:val="24"/>
        </w:rPr>
        <w:t xml:space="preserve">admitió </w:t>
      </w:r>
      <w:r w:rsidR="00CA6D5C">
        <w:rPr>
          <w:rFonts w:ascii="Arial" w:eastAsia="Arial" w:hAnsi="Arial" w:cs="Arial"/>
          <w:sz w:val="24"/>
          <w:szCs w:val="24"/>
        </w:rPr>
        <w:t xml:space="preserve">a trámite su </w:t>
      </w:r>
      <w:r w:rsidR="00414E1F">
        <w:rPr>
          <w:rFonts w:ascii="Arial" w:eastAsia="Arial" w:hAnsi="Arial" w:cs="Arial"/>
          <w:sz w:val="24"/>
          <w:szCs w:val="24"/>
        </w:rPr>
        <w:t>demanda de nulidad</w:t>
      </w:r>
      <w:r w:rsidR="00364232">
        <w:rPr>
          <w:rFonts w:ascii="Arial" w:eastAsia="Arial" w:hAnsi="Arial" w:cs="Arial"/>
          <w:sz w:val="24"/>
          <w:szCs w:val="24"/>
        </w:rPr>
        <w:t xml:space="preserve"> en contra de </w:t>
      </w:r>
      <w:r>
        <w:rPr>
          <w:rFonts w:ascii="Arial" w:eastAsia="Arial" w:hAnsi="Arial" w:cs="Arial"/>
          <w:sz w:val="24"/>
          <w:szCs w:val="24"/>
        </w:rPr>
        <w:t xml:space="preserve">la </w:t>
      </w:r>
      <w:r w:rsidR="00327AEC" w:rsidRPr="00CA6D5C">
        <w:rPr>
          <w:rFonts w:ascii="Arial" w:eastAsia="Arial" w:hAnsi="Arial" w:cs="Arial"/>
          <w:b/>
          <w:sz w:val="24"/>
          <w:szCs w:val="24"/>
        </w:rPr>
        <w:t>Coordinadora de Cobro Coactivo dependiente de la Dirección de Ingresos y Recaudación de la Secretaría de Finanzas del Gobierno del Estado de Oaxaca</w:t>
      </w:r>
      <w:r w:rsidR="00414E1F">
        <w:rPr>
          <w:rFonts w:ascii="Arial" w:eastAsia="Arial" w:hAnsi="Arial" w:cs="Arial"/>
          <w:sz w:val="24"/>
          <w:szCs w:val="24"/>
        </w:rPr>
        <w:t xml:space="preserve">; </w:t>
      </w:r>
      <w:r w:rsidR="00CD2FBA">
        <w:rPr>
          <w:rFonts w:ascii="Arial" w:eastAsia="Arial" w:hAnsi="Arial" w:cs="Arial"/>
          <w:sz w:val="24"/>
          <w:szCs w:val="24"/>
        </w:rPr>
        <w:t xml:space="preserve">ordenándose </w:t>
      </w:r>
      <w:r w:rsidR="00414E1F">
        <w:rPr>
          <w:rFonts w:ascii="Arial" w:eastAsia="Arial" w:hAnsi="Arial" w:cs="Arial"/>
          <w:sz w:val="24"/>
          <w:szCs w:val="24"/>
        </w:rPr>
        <w:t>notificar, emp</w:t>
      </w:r>
      <w:r w:rsidR="00364232">
        <w:rPr>
          <w:rFonts w:ascii="Arial" w:eastAsia="Arial" w:hAnsi="Arial" w:cs="Arial"/>
          <w:sz w:val="24"/>
          <w:szCs w:val="24"/>
        </w:rPr>
        <w:t>lazar y correr traslado a dicha autoridad</w:t>
      </w:r>
      <w:r w:rsidR="00414E1F">
        <w:rPr>
          <w:rFonts w:ascii="Arial" w:eastAsia="Arial" w:hAnsi="Arial" w:cs="Arial"/>
          <w:sz w:val="24"/>
          <w:szCs w:val="24"/>
        </w:rPr>
        <w:t>, para que dentro del plazo d</w:t>
      </w:r>
      <w:r w:rsidR="00364232">
        <w:rPr>
          <w:rFonts w:ascii="Arial" w:eastAsia="Arial" w:hAnsi="Arial" w:cs="Arial"/>
          <w:sz w:val="24"/>
          <w:szCs w:val="24"/>
        </w:rPr>
        <w:t xml:space="preserve">e nueve días hábiles produjera </w:t>
      </w:r>
      <w:r w:rsidR="00414E1F">
        <w:rPr>
          <w:rFonts w:ascii="Arial" w:eastAsia="Arial" w:hAnsi="Arial" w:cs="Arial"/>
          <w:sz w:val="24"/>
          <w:szCs w:val="24"/>
        </w:rPr>
        <w:t>su contestación, con el apercibimiento, que de no hacerlo den</w:t>
      </w:r>
      <w:r w:rsidR="00364232">
        <w:rPr>
          <w:rFonts w:ascii="Arial" w:eastAsia="Arial" w:hAnsi="Arial" w:cs="Arial"/>
          <w:sz w:val="24"/>
          <w:szCs w:val="24"/>
        </w:rPr>
        <w:t xml:space="preserve">tro del plazo concedido, se le </w:t>
      </w:r>
      <w:r w:rsidR="00414E1F">
        <w:rPr>
          <w:rFonts w:ascii="Arial" w:eastAsia="Arial" w:hAnsi="Arial" w:cs="Arial"/>
          <w:sz w:val="24"/>
          <w:szCs w:val="24"/>
        </w:rPr>
        <w:t>tendría contestando la demanda en sentido afirmativo, y de no referirse a todos los hechos, se le tendrían como ciertos.</w:t>
      </w:r>
    </w:p>
    <w:p w14:paraId="09C62104" w14:textId="180358A5" w:rsidR="00CC7C0E" w:rsidRPr="00927CA0" w:rsidRDefault="00CC7C0E" w:rsidP="00CA6D5C">
      <w:pPr>
        <w:spacing w:before="240" w:line="360" w:lineRule="auto"/>
        <w:ind w:firstLine="567"/>
        <w:jc w:val="both"/>
        <w:rPr>
          <w:rFonts w:ascii="Arial" w:eastAsia="Arial" w:hAnsi="Arial" w:cs="Arial"/>
          <w:sz w:val="24"/>
          <w:szCs w:val="24"/>
        </w:rPr>
      </w:pPr>
      <w:r>
        <w:rPr>
          <w:rFonts w:ascii="Arial" w:eastAsia="Arial" w:hAnsi="Arial" w:cs="Arial"/>
          <w:sz w:val="24"/>
          <w:szCs w:val="24"/>
        </w:rPr>
        <w:t xml:space="preserve">Así mismo, se ordenó notificar, emplazar y correr traslado a la Junta de Arbitraje para los Empleados al Servicio de los Poderes del Estado, </w:t>
      </w:r>
      <w:r w:rsidR="00927CA0">
        <w:rPr>
          <w:rFonts w:ascii="Arial" w:eastAsia="Arial" w:hAnsi="Arial" w:cs="Arial"/>
          <w:sz w:val="24"/>
          <w:szCs w:val="24"/>
        </w:rPr>
        <w:t xml:space="preserve">para que dentro del plazo de cinco días hábiles se apersonara a juicio con el carácter de </w:t>
      </w:r>
      <w:r w:rsidR="00927CA0">
        <w:rPr>
          <w:rFonts w:ascii="Arial" w:eastAsia="Arial" w:hAnsi="Arial" w:cs="Arial"/>
          <w:b/>
          <w:sz w:val="24"/>
          <w:szCs w:val="24"/>
        </w:rPr>
        <w:t>tercero afectado</w:t>
      </w:r>
      <w:r w:rsidR="00927CA0">
        <w:rPr>
          <w:rFonts w:ascii="Arial" w:eastAsia="Arial" w:hAnsi="Arial" w:cs="Arial"/>
          <w:sz w:val="24"/>
          <w:szCs w:val="24"/>
        </w:rPr>
        <w:t>, con el apercibimiento que en caso de omisión se declararía la preclusión de su derecho correspondiente.</w:t>
      </w:r>
    </w:p>
    <w:p w14:paraId="785B8855" w14:textId="654CB2BE" w:rsidR="001400B9" w:rsidRDefault="00B8617E" w:rsidP="00A359C9">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CUARTO</w:t>
      </w:r>
      <w:r w:rsidR="00414E1F">
        <w:rPr>
          <w:rFonts w:ascii="Arial" w:eastAsia="Arial" w:hAnsi="Arial" w:cs="Arial"/>
          <w:b/>
          <w:sz w:val="24"/>
          <w:szCs w:val="24"/>
        </w:rPr>
        <w:t xml:space="preserve">. </w:t>
      </w:r>
      <w:r w:rsidR="001400B9">
        <w:rPr>
          <w:rFonts w:ascii="Arial" w:eastAsia="Arial" w:hAnsi="Arial" w:cs="Arial"/>
          <w:sz w:val="24"/>
          <w:szCs w:val="24"/>
        </w:rPr>
        <w:t>Mediante</w:t>
      </w:r>
      <w:r w:rsidR="00414E1F">
        <w:rPr>
          <w:rFonts w:ascii="Arial" w:eastAsia="Arial" w:hAnsi="Arial" w:cs="Arial"/>
          <w:sz w:val="24"/>
          <w:szCs w:val="24"/>
        </w:rPr>
        <w:t xml:space="preserve"> </w:t>
      </w:r>
      <w:r w:rsidR="00CD6894">
        <w:rPr>
          <w:rFonts w:ascii="Arial" w:eastAsia="Arial" w:hAnsi="Arial" w:cs="Arial"/>
          <w:sz w:val="24"/>
          <w:szCs w:val="24"/>
        </w:rPr>
        <w:t>proveído de catorce de junio de dos mil veintiuno</w:t>
      </w:r>
      <w:r w:rsidR="008C0A5B">
        <w:rPr>
          <w:rFonts w:ascii="Arial" w:eastAsia="Arial" w:hAnsi="Arial" w:cs="Arial"/>
          <w:sz w:val="24"/>
          <w:szCs w:val="24"/>
        </w:rPr>
        <w:t xml:space="preserve">, </w:t>
      </w:r>
      <w:r w:rsidR="00A359C9">
        <w:rPr>
          <w:rFonts w:ascii="Arial" w:eastAsia="Arial" w:hAnsi="Arial" w:cs="Arial"/>
          <w:sz w:val="24"/>
          <w:szCs w:val="24"/>
        </w:rPr>
        <w:t xml:space="preserve">se hizo del conocimiento a las partes la habilitación de la encargada del Despacho de la Sexta Sala Unitaria, para tramitar y resolver los asuntos de la Sala. Además, se recibió el oficio </w:t>
      </w:r>
      <w:r w:rsidR="00D90459">
        <w:rPr>
          <w:rFonts w:ascii="Arial" w:eastAsia="Arial" w:hAnsi="Arial" w:cs="Arial"/>
          <w:sz w:val="24"/>
          <w:szCs w:val="24"/>
        </w:rPr>
        <w:t>**********</w:t>
      </w:r>
      <w:r w:rsidR="00A359C9">
        <w:rPr>
          <w:rFonts w:ascii="Arial" w:eastAsia="Arial" w:hAnsi="Arial" w:cs="Arial"/>
          <w:sz w:val="24"/>
          <w:szCs w:val="24"/>
        </w:rPr>
        <w:t>, por medio del cual el</w:t>
      </w:r>
      <w:r>
        <w:rPr>
          <w:rFonts w:ascii="Arial" w:eastAsia="Arial" w:hAnsi="Arial" w:cs="Arial"/>
          <w:sz w:val="24"/>
          <w:szCs w:val="24"/>
        </w:rPr>
        <w:t xml:space="preserve"> </w:t>
      </w:r>
      <w:proofErr w:type="gramStart"/>
      <w:r w:rsidR="00327AEC">
        <w:rPr>
          <w:rFonts w:ascii="Arial" w:eastAsia="Arial" w:hAnsi="Arial" w:cs="Arial"/>
          <w:color w:val="000000"/>
          <w:sz w:val="24"/>
          <w:szCs w:val="24"/>
        </w:rPr>
        <w:t>Director</w:t>
      </w:r>
      <w:proofErr w:type="gramEnd"/>
      <w:r w:rsidR="00327AEC">
        <w:rPr>
          <w:rFonts w:ascii="Arial" w:eastAsia="Arial" w:hAnsi="Arial" w:cs="Arial"/>
          <w:color w:val="000000"/>
          <w:sz w:val="24"/>
          <w:szCs w:val="24"/>
        </w:rPr>
        <w:t xml:space="preserve"> de lo Contencioso de la Procuraduría Fiscal de la Subsecretaria de Ingresos de la Secretaría de Finanzas del Poder Ejecutivo del Estado de Oaxaca</w:t>
      </w:r>
      <w:r w:rsidR="00E50E1B">
        <w:rPr>
          <w:rFonts w:ascii="Arial" w:eastAsia="Arial" w:hAnsi="Arial" w:cs="Arial"/>
          <w:color w:val="000000"/>
          <w:sz w:val="24"/>
          <w:szCs w:val="24"/>
        </w:rPr>
        <w:t>,</w:t>
      </w:r>
      <w:r w:rsidR="00327AEC">
        <w:rPr>
          <w:rFonts w:ascii="Arial" w:eastAsia="Arial" w:hAnsi="Arial" w:cs="Arial"/>
          <w:sz w:val="24"/>
          <w:szCs w:val="24"/>
        </w:rPr>
        <w:t xml:space="preserve"> </w:t>
      </w:r>
      <w:r>
        <w:rPr>
          <w:rFonts w:ascii="Arial" w:eastAsia="Arial" w:hAnsi="Arial" w:cs="Arial"/>
          <w:sz w:val="24"/>
          <w:szCs w:val="24"/>
        </w:rPr>
        <w:t xml:space="preserve">en representación de la </w:t>
      </w:r>
      <w:r w:rsidR="001400B9">
        <w:rPr>
          <w:rFonts w:ascii="Arial" w:eastAsia="Arial" w:hAnsi="Arial" w:cs="Arial"/>
          <w:b/>
          <w:sz w:val="24"/>
          <w:szCs w:val="24"/>
        </w:rPr>
        <w:t xml:space="preserve">autoridad demandada </w:t>
      </w:r>
      <w:r w:rsidR="001400B9">
        <w:rPr>
          <w:rFonts w:ascii="Arial" w:eastAsia="Arial" w:hAnsi="Arial" w:cs="Arial"/>
          <w:sz w:val="24"/>
          <w:szCs w:val="24"/>
        </w:rPr>
        <w:t xml:space="preserve">contestando la demanda entablada en su contra, como admitidas las pruebas que ofreció, ordenándose notificar y correr traslado a la parte actora con las copias de la demanda y anexos para </w:t>
      </w:r>
      <w:r w:rsidR="00E50E1B">
        <w:rPr>
          <w:rFonts w:ascii="Arial" w:eastAsia="Arial" w:hAnsi="Arial" w:cs="Arial"/>
          <w:sz w:val="24"/>
          <w:szCs w:val="24"/>
        </w:rPr>
        <w:t>los efectos legales correspondientes.</w:t>
      </w:r>
    </w:p>
    <w:p w14:paraId="65ACFAB3" w14:textId="67F4EBCC" w:rsidR="00A359C9" w:rsidRDefault="00A359C9" w:rsidP="00A359C9">
      <w:pPr>
        <w:spacing w:after="200" w:line="360" w:lineRule="auto"/>
        <w:ind w:right="51" w:firstLine="567"/>
        <w:jc w:val="both"/>
        <w:rPr>
          <w:rFonts w:ascii="Arial" w:eastAsia="Arial" w:hAnsi="Arial" w:cs="Arial"/>
          <w:b/>
          <w:sz w:val="24"/>
          <w:szCs w:val="24"/>
        </w:rPr>
      </w:pPr>
      <w:r>
        <w:rPr>
          <w:rFonts w:ascii="Arial" w:eastAsia="Arial" w:hAnsi="Arial" w:cs="Arial"/>
          <w:sz w:val="24"/>
          <w:szCs w:val="24"/>
        </w:rPr>
        <w:t xml:space="preserve">De la misma manera, se tuvo a la Presidenta y Representante Legal </w:t>
      </w:r>
      <w:r w:rsidR="00904A98">
        <w:rPr>
          <w:rFonts w:ascii="Arial" w:eastAsia="Arial" w:hAnsi="Arial" w:cs="Arial"/>
          <w:sz w:val="24"/>
          <w:szCs w:val="24"/>
        </w:rPr>
        <w:t xml:space="preserve">de la Junta de Arbitraje para los Empleados al Servicio de los Poderes del Estado, </w:t>
      </w:r>
      <w:r w:rsidR="0064795E">
        <w:rPr>
          <w:rFonts w:ascii="Arial" w:eastAsia="Arial" w:hAnsi="Arial" w:cs="Arial"/>
          <w:sz w:val="24"/>
          <w:szCs w:val="24"/>
        </w:rPr>
        <w:t xml:space="preserve">apersonándose a juicio con el carácter de </w:t>
      </w:r>
      <w:r w:rsidR="00D85F0E">
        <w:rPr>
          <w:rFonts w:ascii="Arial" w:eastAsia="Arial" w:hAnsi="Arial" w:cs="Arial"/>
          <w:b/>
          <w:sz w:val="24"/>
          <w:szCs w:val="24"/>
        </w:rPr>
        <w:t>tercero afectado.</w:t>
      </w:r>
    </w:p>
    <w:p w14:paraId="7CD08E6D" w14:textId="362DE9B4" w:rsidR="00D85F0E" w:rsidRPr="00D85F0E" w:rsidRDefault="00D85F0E" w:rsidP="00A359C9">
      <w:pPr>
        <w:spacing w:after="200" w:line="360" w:lineRule="auto"/>
        <w:ind w:right="51" w:firstLine="567"/>
        <w:jc w:val="both"/>
        <w:rPr>
          <w:rFonts w:ascii="Arial" w:eastAsia="Arial" w:hAnsi="Arial" w:cs="Arial"/>
          <w:sz w:val="24"/>
          <w:szCs w:val="24"/>
        </w:rPr>
      </w:pPr>
      <w:r>
        <w:rPr>
          <w:rFonts w:ascii="Arial" w:eastAsia="Arial" w:hAnsi="Arial" w:cs="Arial"/>
          <w:sz w:val="24"/>
          <w:szCs w:val="24"/>
        </w:rPr>
        <w:t>Finalmente se señalaron las once horas del nueve de febrero de dos mil veintidós, para que tuviera verificativo la audiencia final.</w:t>
      </w:r>
    </w:p>
    <w:p w14:paraId="6132DA13" w14:textId="77777777" w:rsidR="00D804F2" w:rsidRDefault="00B8617E" w:rsidP="00D804F2">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QUINTO</w:t>
      </w:r>
      <w:r w:rsidR="008C0A5B">
        <w:rPr>
          <w:rFonts w:ascii="Arial" w:eastAsia="Arial" w:hAnsi="Arial" w:cs="Arial"/>
          <w:b/>
          <w:sz w:val="24"/>
          <w:szCs w:val="24"/>
        </w:rPr>
        <w:t xml:space="preserve">. </w:t>
      </w:r>
      <w:r w:rsidR="00E529B8">
        <w:rPr>
          <w:rFonts w:ascii="Arial" w:eastAsia="Arial" w:hAnsi="Arial" w:cs="Arial"/>
          <w:sz w:val="24"/>
          <w:szCs w:val="24"/>
        </w:rPr>
        <w:t xml:space="preserve">Por auto de veintiuno de febrero de dos mil veintidós, </w:t>
      </w:r>
      <w:r w:rsidR="00D804F2">
        <w:rPr>
          <w:rFonts w:ascii="Arial" w:eastAsia="Arial" w:hAnsi="Arial" w:cs="Arial"/>
          <w:sz w:val="24"/>
          <w:szCs w:val="24"/>
        </w:rPr>
        <w:t xml:space="preserve">se hizo constar la imposibilidad para llevar a cabo la audiencia final señalada, </w:t>
      </w:r>
      <w:r w:rsidR="00E529B8">
        <w:rPr>
          <w:rFonts w:ascii="Arial" w:eastAsia="Arial" w:hAnsi="Arial" w:cs="Arial"/>
          <w:sz w:val="24"/>
          <w:szCs w:val="24"/>
        </w:rPr>
        <w:t>en virtud de la suspensi</w:t>
      </w:r>
      <w:r w:rsidR="00D804F2">
        <w:rPr>
          <w:rFonts w:ascii="Arial" w:eastAsia="Arial" w:hAnsi="Arial" w:cs="Arial"/>
          <w:sz w:val="24"/>
          <w:szCs w:val="24"/>
        </w:rPr>
        <w:t>ón de actividades ordenada</w:t>
      </w:r>
      <w:r w:rsidR="00E529B8">
        <w:rPr>
          <w:rFonts w:ascii="Arial" w:eastAsia="Arial" w:hAnsi="Arial" w:cs="Arial"/>
          <w:sz w:val="24"/>
          <w:szCs w:val="24"/>
        </w:rPr>
        <w:t xml:space="preserve"> mediante los acuerdos generales AG/TJAO/11/2021, AG/TJAO/01/2022, AG/TJAO/02/2022 y AG/TJAO/03/2022</w:t>
      </w:r>
      <w:r w:rsidR="00D804F2">
        <w:rPr>
          <w:rFonts w:ascii="Arial" w:eastAsia="Arial" w:hAnsi="Arial" w:cs="Arial"/>
          <w:sz w:val="24"/>
          <w:szCs w:val="24"/>
        </w:rPr>
        <w:t>, del Pleno de este Tribunal; por lo que se señalaron las once horas del doce de mayo de dos mil veintidós, para que tuviera verificativo la audiencia final.</w:t>
      </w:r>
    </w:p>
    <w:p w14:paraId="00000015" w14:textId="10035BC3" w:rsidR="00FB6062" w:rsidRDefault="00B8617E" w:rsidP="00D804F2">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SEXTO</w:t>
      </w:r>
      <w:r w:rsidR="006651C3">
        <w:rPr>
          <w:rFonts w:ascii="Arial" w:eastAsia="Arial" w:hAnsi="Arial" w:cs="Arial"/>
          <w:b/>
          <w:sz w:val="24"/>
          <w:szCs w:val="24"/>
        </w:rPr>
        <w:t xml:space="preserve">. </w:t>
      </w:r>
      <w:r w:rsidR="000035F4">
        <w:rPr>
          <w:rFonts w:ascii="Arial" w:eastAsia="Arial" w:hAnsi="Arial" w:cs="Arial"/>
          <w:sz w:val="24"/>
          <w:szCs w:val="24"/>
        </w:rPr>
        <w:t>E</w:t>
      </w:r>
      <w:r w:rsidR="00414E1F">
        <w:rPr>
          <w:rFonts w:ascii="Arial" w:eastAsia="Arial" w:hAnsi="Arial" w:cs="Arial"/>
          <w:sz w:val="24"/>
          <w:szCs w:val="24"/>
        </w:rPr>
        <w:t xml:space="preserve">l </w:t>
      </w:r>
      <w:r w:rsidR="00D804F2">
        <w:rPr>
          <w:rFonts w:ascii="Arial" w:eastAsia="Arial" w:hAnsi="Arial" w:cs="Arial"/>
          <w:sz w:val="24"/>
          <w:szCs w:val="24"/>
        </w:rPr>
        <w:t>doce de mayo de dos mil veintidós</w:t>
      </w:r>
      <w:r w:rsidR="00414E1F">
        <w:rPr>
          <w:rFonts w:ascii="Arial" w:eastAsia="Arial" w:hAnsi="Arial" w:cs="Arial"/>
          <w:sz w:val="24"/>
          <w:szCs w:val="24"/>
        </w:rPr>
        <w:t>, se llevó a cabo la audiencia final, sin comparecencia de las partes ni persona alguna que legalmente las representara; se desahogaron las pruebas ofrecidas, se abrió el periodo de alegatos, en el que se dio cuenta que ninguna de las partes presentaron escrito de aleg</w:t>
      </w:r>
      <w:r w:rsidR="00265FF7">
        <w:rPr>
          <w:rFonts w:ascii="Arial" w:eastAsia="Arial" w:hAnsi="Arial" w:cs="Arial"/>
          <w:sz w:val="24"/>
          <w:szCs w:val="24"/>
        </w:rPr>
        <w:t>atos, por lo que se declaró precluí</w:t>
      </w:r>
      <w:r w:rsidR="00414E1F">
        <w:rPr>
          <w:rFonts w:ascii="Arial" w:eastAsia="Arial" w:hAnsi="Arial" w:cs="Arial"/>
          <w:sz w:val="24"/>
          <w:szCs w:val="24"/>
        </w:rPr>
        <w:t>do su derecho correspondiente; declarándose cerrada la etapa de instrucción; y, por úl</w:t>
      </w:r>
      <w:r w:rsidR="00D804F2">
        <w:rPr>
          <w:rFonts w:ascii="Arial" w:eastAsia="Arial" w:hAnsi="Arial" w:cs="Arial"/>
          <w:sz w:val="24"/>
          <w:szCs w:val="24"/>
        </w:rPr>
        <w:t xml:space="preserve">timo </w:t>
      </w:r>
      <w:r w:rsidR="00414E1F">
        <w:rPr>
          <w:rFonts w:ascii="Arial" w:eastAsia="Arial" w:hAnsi="Arial" w:cs="Arial"/>
          <w:sz w:val="24"/>
          <w:szCs w:val="24"/>
        </w:rPr>
        <w:t>se ordenó turnar el expediente para el dictado de la sentencia definitiva, mis</w:t>
      </w:r>
      <w:r w:rsidR="005E6407">
        <w:rPr>
          <w:rFonts w:ascii="Arial" w:eastAsia="Arial" w:hAnsi="Arial" w:cs="Arial"/>
          <w:sz w:val="24"/>
          <w:szCs w:val="24"/>
        </w:rPr>
        <w:t xml:space="preserve">ma que ahora se pronuncia. - - - - - - - - - - - - - - - - - - -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A" w14:textId="487A532C" w:rsidR="00FB6062" w:rsidRDefault="005E6407" w:rsidP="00736E7C">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 xml:space="preserve">Esta Sexta Sala Unitaria del Tribunal de Justicia Administrativa del Estado de Oaxaca, </w:t>
      </w:r>
      <w:r w:rsidR="00414E1F" w:rsidRPr="00736E7C">
        <w:rPr>
          <w:rFonts w:ascii="Arial" w:eastAsia="Arial" w:hAnsi="Arial" w:cs="Arial"/>
          <w:b/>
          <w:sz w:val="24"/>
          <w:szCs w:val="24"/>
        </w:rPr>
        <w:t>es competente</w:t>
      </w:r>
      <w:r w:rsidR="00414E1F">
        <w:rPr>
          <w:rFonts w:ascii="Arial" w:eastAsia="Arial" w:hAnsi="Arial" w:cs="Arial"/>
          <w:sz w:val="24"/>
          <w:szCs w:val="24"/>
        </w:rPr>
        <w:t xml:space="preserve"> para conocer y resolver el presente asunto en términos de lo dispuesto por </w:t>
      </w:r>
      <w:r w:rsidR="00414E1F">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00414E1F">
        <w:rPr>
          <w:rFonts w:ascii="Arial" w:eastAsia="Arial" w:hAnsi="Arial" w:cs="Arial"/>
          <w:sz w:val="24"/>
          <w:szCs w:val="24"/>
        </w:rPr>
        <w:t>, por tratarse de un juicio de nulidad promovido en contra de una autoridad administrativa de carácter fiscal estatal.</w:t>
      </w:r>
    </w:p>
    <w:p w14:paraId="0000001B" w14:textId="36D10274" w:rsidR="00FB6062" w:rsidRDefault="00414E1F" w:rsidP="0069241F">
      <w:pPr>
        <w:tabs>
          <w:tab w:val="left" w:pos="6946"/>
        </w:tabs>
        <w:spacing w:before="240" w:line="360" w:lineRule="auto"/>
        <w:ind w:right="-93" w:firstLine="567"/>
        <w:jc w:val="both"/>
        <w:rPr>
          <w:rFonts w:ascii="Arial" w:eastAsia="Arial" w:hAnsi="Arial" w:cs="Arial"/>
          <w:sz w:val="24"/>
          <w:szCs w:val="24"/>
        </w:rPr>
      </w:pPr>
      <w:r w:rsidRPr="007567EC">
        <w:rPr>
          <w:rFonts w:ascii="Arial" w:eastAsia="Arial" w:hAnsi="Arial" w:cs="Arial"/>
          <w:b/>
          <w:sz w:val="24"/>
          <w:szCs w:val="24"/>
        </w:rPr>
        <w:t>SEGUNDO. Personalidad.</w:t>
      </w:r>
      <w:r>
        <w:rPr>
          <w:rFonts w:ascii="Arial" w:eastAsia="Arial" w:hAnsi="Arial" w:cs="Arial"/>
          <w:b/>
          <w:sz w:val="24"/>
          <w:szCs w:val="24"/>
        </w:rPr>
        <w:t xml:space="preserve">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 xml:space="preserve">de las partes quedó acreditada en autos, toda vez que </w:t>
      </w:r>
      <w:r w:rsidR="00D90459">
        <w:rPr>
          <w:rFonts w:ascii="Arial" w:eastAsia="Arial" w:hAnsi="Arial" w:cs="Arial"/>
          <w:b/>
          <w:sz w:val="24"/>
          <w:szCs w:val="24"/>
        </w:rPr>
        <w:t>**********</w:t>
      </w:r>
      <w:r w:rsidR="0098540B">
        <w:rPr>
          <w:rFonts w:ascii="Arial" w:eastAsia="Arial" w:hAnsi="Arial" w:cs="Arial"/>
          <w:sz w:val="24"/>
          <w:szCs w:val="24"/>
        </w:rPr>
        <w:t xml:space="preserve"> </w:t>
      </w:r>
      <w:r>
        <w:rPr>
          <w:rFonts w:ascii="Arial" w:eastAsia="Arial" w:hAnsi="Arial" w:cs="Arial"/>
          <w:sz w:val="24"/>
          <w:szCs w:val="24"/>
        </w:rPr>
        <w:t>promueve el juicio de nulidad</w:t>
      </w:r>
      <w:r w:rsidR="0069241F">
        <w:rPr>
          <w:rFonts w:ascii="Arial" w:eastAsia="Arial" w:hAnsi="Arial" w:cs="Arial"/>
          <w:sz w:val="24"/>
          <w:szCs w:val="24"/>
        </w:rPr>
        <w:t xml:space="preserve"> en su calidad de </w:t>
      </w:r>
      <w:r w:rsidR="0069241F" w:rsidRPr="0069241F">
        <w:rPr>
          <w:rFonts w:ascii="Arial" w:eastAsia="Arial" w:hAnsi="Arial" w:cs="Arial"/>
          <w:b/>
          <w:sz w:val="24"/>
          <w:szCs w:val="24"/>
        </w:rPr>
        <w:t>Síndico Municipal del Honorable Ayuntamiento Constitucional de Santo Domingo Tehuantepec, Oaxaca</w:t>
      </w:r>
      <w:r w:rsidR="0069241F">
        <w:rPr>
          <w:rFonts w:ascii="Arial" w:eastAsia="Arial" w:hAnsi="Arial" w:cs="Arial"/>
          <w:sz w:val="24"/>
          <w:szCs w:val="24"/>
        </w:rPr>
        <w:t>, carácter que acreditó con las copias certificadas del Acta de Sesión Solemne del Honorable Ayuntamiento Constitucional de Santo Domingo Tehuantepec, Oaxaca, de uno de enero de dos mil diecinue</w:t>
      </w:r>
      <w:r w:rsidR="00960D63">
        <w:rPr>
          <w:rFonts w:ascii="Arial" w:eastAsia="Arial" w:hAnsi="Arial" w:cs="Arial"/>
          <w:sz w:val="24"/>
          <w:szCs w:val="24"/>
        </w:rPr>
        <w:t>ve</w:t>
      </w:r>
      <w:r>
        <w:rPr>
          <w:rFonts w:ascii="Arial" w:eastAsia="Arial" w:hAnsi="Arial" w:cs="Arial"/>
          <w:sz w:val="24"/>
          <w:szCs w:val="24"/>
        </w:rPr>
        <w:t>, conforme lo previsto por el artículo 148 de la Ley de Procedimiento y Justicia Administrat</w:t>
      </w:r>
      <w:r w:rsidR="0069241F">
        <w:rPr>
          <w:rFonts w:ascii="Arial" w:eastAsia="Arial" w:hAnsi="Arial" w:cs="Arial"/>
          <w:sz w:val="24"/>
          <w:szCs w:val="24"/>
        </w:rPr>
        <w:t xml:space="preserve">iva para el Estado de Oaxaca. </w:t>
      </w:r>
      <w:r w:rsidR="003A75A6">
        <w:rPr>
          <w:rFonts w:ascii="Arial" w:eastAsia="Arial" w:hAnsi="Arial" w:cs="Arial"/>
          <w:sz w:val="24"/>
          <w:szCs w:val="24"/>
        </w:rPr>
        <w:t>Por otra parte, l</w:t>
      </w:r>
      <w:r>
        <w:rPr>
          <w:rFonts w:ascii="Arial" w:eastAsia="Arial" w:hAnsi="Arial" w:cs="Arial"/>
          <w:sz w:val="24"/>
          <w:szCs w:val="24"/>
        </w:rPr>
        <w:t xml:space="preserve">a personalidad de la </w:t>
      </w:r>
      <w:r w:rsidRPr="0069241F">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C" w14:textId="678FE550" w:rsidR="00FB6062" w:rsidRDefault="00414E1F">
      <w:pPr>
        <w:spacing w:line="360" w:lineRule="auto"/>
        <w:ind w:right="51" w:firstLine="567"/>
        <w:jc w:val="both"/>
        <w:rPr>
          <w:rFonts w:ascii="Arial" w:eastAsia="Arial" w:hAnsi="Arial" w:cs="Arial"/>
          <w:sz w:val="24"/>
          <w:szCs w:val="24"/>
        </w:rPr>
      </w:pPr>
      <w:r w:rsidRPr="00815F9B">
        <w:rPr>
          <w:rFonts w:ascii="Arial" w:eastAsia="Arial" w:hAnsi="Arial" w:cs="Arial"/>
          <w:b/>
          <w:sz w:val="24"/>
          <w:szCs w:val="24"/>
        </w:rPr>
        <w:t>TERCERO. Causales</w:t>
      </w:r>
      <w:r>
        <w:rPr>
          <w:rFonts w:ascii="Arial" w:eastAsia="Arial" w:hAnsi="Arial" w:cs="Arial"/>
          <w:b/>
          <w:sz w:val="24"/>
          <w:szCs w:val="24"/>
        </w:rPr>
        <w:t xml:space="preserve">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 xml:space="preserve">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w:t>
      </w:r>
      <w:r>
        <w:rPr>
          <w:rFonts w:ascii="Arial" w:eastAsia="Arial" w:hAnsi="Arial" w:cs="Arial"/>
          <w:sz w:val="24"/>
          <w:szCs w:val="24"/>
        </w:rPr>
        <w:lastRenderedPageBreak/>
        <w:t>establecid</w:t>
      </w:r>
      <w:r w:rsidR="00265FF7">
        <w:rPr>
          <w:rFonts w:ascii="Arial" w:eastAsia="Arial" w:hAnsi="Arial" w:cs="Arial"/>
          <w:sz w:val="24"/>
          <w:szCs w:val="24"/>
        </w:rPr>
        <w:t>os en la Ley, de lo contrario la persona</w:t>
      </w:r>
      <w:r>
        <w:rPr>
          <w:rFonts w:ascii="Arial" w:eastAsia="Arial" w:hAnsi="Arial" w:cs="Arial"/>
          <w:sz w:val="24"/>
          <w:szCs w:val="24"/>
        </w:rPr>
        <w:t xml:space="preserve"> juzgador</w:t>
      </w:r>
      <w:r w:rsidR="00265FF7">
        <w:rPr>
          <w:rFonts w:ascii="Arial" w:eastAsia="Arial" w:hAnsi="Arial" w:cs="Arial"/>
          <w:sz w:val="24"/>
          <w:szCs w:val="24"/>
        </w:rPr>
        <w:t>a se vería impedida</w:t>
      </w:r>
      <w:r>
        <w:rPr>
          <w:rFonts w:ascii="Arial" w:eastAsia="Arial" w:hAnsi="Arial" w:cs="Arial"/>
          <w:sz w:val="24"/>
          <w:szCs w:val="24"/>
        </w:rPr>
        <w:t xml:space="preserve">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D" w14:textId="77777777" w:rsidR="00FB6062" w:rsidRDefault="00414E1F">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6DE69301" w14:textId="4C502ACA" w:rsidR="002B12E4" w:rsidRDefault="002B12E4">
      <w:pPr>
        <w:spacing w:line="360" w:lineRule="auto"/>
        <w:ind w:firstLine="567"/>
        <w:jc w:val="both"/>
        <w:rPr>
          <w:rFonts w:ascii="Arial" w:eastAsia="Arial" w:hAnsi="Arial" w:cs="Arial"/>
          <w:i/>
          <w:sz w:val="24"/>
          <w:szCs w:val="24"/>
        </w:rPr>
      </w:pPr>
      <w:r>
        <w:rPr>
          <w:rFonts w:ascii="Arial" w:eastAsia="Arial" w:hAnsi="Arial" w:cs="Arial"/>
          <w:sz w:val="24"/>
          <w:szCs w:val="24"/>
        </w:rPr>
        <w:t xml:space="preserve">En el presente caso, </w:t>
      </w:r>
      <w:r w:rsidR="00B8617E">
        <w:rPr>
          <w:rFonts w:ascii="Arial" w:eastAsia="Arial" w:hAnsi="Arial" w:cs="Arial"/>
          <w:sz w:val="24"/>
          <w:szCs w:val="24"/>
        </w:rPr>
        <w:t>la</w:t>
      </w:r>
      <w:r>
        <w:rPr>
          <w:rFonts w:ascii="Arial" w:eastAsia="Arial" w:hAnsi="Arial" w:cs="Arial"/>
          <w:sz w:val="24"/>
          <w:szCs w:val="24"/>
        </w:rPr>
        <w:t xml:space="preserve"> </w:t>
      </w:r>
      <w:r w:rsidR="00B8617E">
        <w:rPr>
          <w:rFonts w:ascii="Arial" w:eastAsia="Arial" w:hAnsi="Arial" w:cs="Arial"/>
          <w:sz w:val="24"/>
          <w:szCs w:val="24"/>
        </w:rPr>
        <w:t xml:space="preserve">parte </w:t>
      </w:r>
      <w:r>
        <w:rPr>
          <w:rFonts w:ascii="Arial" w:eastAsia="Arial" w:hAnsi="Arial" w:cs="Arial"/>
          <w:sz w:val="24"/>
          <w:szCs w:val="24"/>
        </w:rPr>
        <w:t>actor</w:t>
      </w:r>
      <w:r w:rsidR="00B8617E">
        <w:rPr>
          <w:rFonts w:ascii="Arial" w:eastAsia="Arial" w:hAnsi="Arial" w:cs="Arial"/>
          <w:sz w:val="24"/>
          <w:szCs w:val="24"/>
        </w:rPr>
        <w:t>a</w:t>
      </w:r>
      <w:r w:rsidR="00414E1F">
        <w:rPr>
          <w:rFonts w:ascii="Arial" w:eastAsia="Arial" w:hAnsi="Arial" w:cs="Arial"/>
          <w:sz w:val="24"/>
          <w:szCs w:val="24"/>
        </w:rPr>
        <w:t xml:space="preserve"> señaló como acto impugnado, </w:t>
      </w:r>
      <w:r w:rsidR="00414E1F">
        <w:rPr>
          <w:rFonts w:ascii="Arial" w:eastAsia="Arial" w:hAnsi="Arial" w:cs="Arial"/>
          <w:i/>
          <w:sz w:val="24"/>
          <w:szCs w:val="24"/>
        </w:rPr>
        <w:t>“…</w:t>
      </w:r>
      <w:r w:rsidR="009E1F5A">
        <w:rPr>
          <w:rFonts w:ascii="Arial" w:eastAsia="Arial" w:hAnsi="Arial" w:cs="Arial"/>
          <w:i/>
          <w:sz w:val="24"/>
          <w:szCs w:val="24"/>
        </w:rPr>
        <w:t xml:space="preserve"> E</w:t>
      </w:r>
      <w:r>
        <w:rPr>
          <w:rFonts w:ascii="Arial" w:eastAsia="Arial" w:hAnsi="Arial" w:cs="Arial"/>
          <w:i/>
          <w:sz w:val="24"/>
          <w:szCs w:val="24"/>
        </w:rPr>
        <w:t xml:space="preserve">l mandamiento de ejecución número </w:t>
      </w:r>
      <w:r w:rsidR="00D90459">
        <w:rPr>
          <w:rFonts w:ascii="Arial" w:eastAsia="Arial" w:hAnsi="Arial" w:cs="Arial"/>
          <w:i/>
          <w:color w:val="FF0000"/>
          <w:sz w:val="24"/>
          <w:szCs w:val="24"/>
        </w:rPr>
        <w:t>**********</w:t>
      </w:r>
      <w:r>
        <w:rPr>
          <w:rFonts w:ascii="Arial" w:eastAsia="Arial" w:hAnsi="Arial" w:cs="Arial"/>
          <w:i/>
          <w:sz w:val="24"/>
          <w:szCs w:val="24"/>
        </w:rPr>
        <w:t xml:space="preserve">, </w:t>
      </w:r>
      <w:r w:rsidR="00B8617E">
        <w:rPr>
          <w:rFonts w:ascii="Arial" w:eastAsia="Arial" w:hAnsi="Arial" w:cs="Arial"/>
          <w:i/>
          <w:sz w:val="24"/>
          <w:szCs w:val="24"/>
        </w:rPr>
        <w:t xml:space="preserve">de fecha </w:t>
      </w:r>
      <w:r w:rsidR="00112D42">
        <w:rPr>
          <w:rFonts w:ascii="Arial" w:eastAsia="Arial" w:hAnsi="Arial" w:cs="Arial"/>
          <w:i/>
          <w:sz w:val="24"/>
          <w:szCs w:val="24"/>
        </w:rPr>
        <w:t>de expedición el 25 de junio</w:t>
      </w:r>
      <w:r w:rsidR="00B8617E">
        <w:rPr>
          <w:rFonts w:ascii="Arial" w:eastAsia="Arial" w:hAnsi="Arial" w:cs="Arial"/>
          <w:i/>
          <w:sz w:val="24"/>
          <w:szCs w:val="24"/>
        </w:rPr>
        <w:t xml:space="preserve"> de 2019, </w:t>
      </w:r>
      <w:r w:rsidR="00112D42">
        <w:rPr>
          <w:rFonts w:ascii="Arial" w:eastAsia="Arial" w:hAnsi="Arial" w:cs="Arial"/>
          <w:i/>
          <w:sz w:val="24"/>
          <w:szCs w:val="24"/>
        </w:rPr>
        <w:t xml:space="preserve">emitido </w:t>
      </w:r>
      <w:r w:rsidR="00B8617E">
        <w:rPr>
          <w:rFonts w:ascii="Arial" w:eastAsia="Arial" w:hAnsi="Arial" w:cs="Arial"/>
          <w:i/>
          <w:sz w:val="24"/>
          <w:szCs w:val="24"/>
        </w:rPr>
        <w:t>por la Coordinadora de Cobro Coactivo</w:t>
      </w:r>
      <w:r w:rsidR="00112D42">
        <w:rPr>
          <w:rFonts w:ascii="Arial" w:eastAsia="Arial" w:hAnsi="Arial" w:cs="Arial"/>
          <w:i/>
          <w:sz w:val="24"/>
          <w:szCs w:val="24"/>
        </w:rPr>
        <w:t xml:space="preserve"> dependiente de la Dirección de Ingresos y recaudación de la Secretaría de Finanzas del Poder Ejecutivo del Estado de Oaxaca</w:t>
      </w:r>
      <w:r w:rsidR="008D0C79">
        <w:rPr>
          <w:rFonts w:ascii="Arial" w:eastAsia="Arial" w:hAnsi="Arial" w:cs="Arial"/>
          <w:i/>
          <w:sz w:val="24"/>
          <w:szCs w:val="24"/>
        </w:rPr>
        <w:t>…”</w:t>
      </w:r>
      <w:r w:rsidR="00414E1F">
        <w:rPr>
          <w:rFonts w:ascii="Arial" w:eastAsia="Arial" w:hAnsi="Arial" w:cs="Arial"/>
          <w:i/>
          <w:sz w:val="24"/>
          <w:szCs w:val="24"/>
        </w:rPr>
        <w:t xml:space="preserve"> </w:t>
      </w:r>
    </w:p>
    <w:p w14:paraId="00000022" w14:textId="468F04A2"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En ese sentido, el artículo 133</w:t>
      </w:r>
      <w:r w:rsidR="00286AD9">
        <w:rPr>
          <w:rFonts w:ascii="Arial" w:eastAsia="Arial" w:hAnsi="Arial" w:cs="Arial"/>
          <w:sz w:val="24"/>
          <w:szCs w:val="24"/>
        </w:rPr>
        <w:t>,</w:t>
      </w:r>
      <w:r>
        <w:rPr>
          <w:rFonts w:ascii="Arial" w:eastAsia="Arial" w:hAnsi="Arial" w:cs="Arial"/>
          <w:sz w:val="24"/>
          <w:szCs w:val="24"/>
        </w:rPr>
        <w:t xml:space="preserve"> fracción II, de la Ley de Procedimiento de Justicia Administrativa para el Estado de Oaxaca, establece: </w:t>
      </w:r>
    </w:p>
    <w:p w14:paraId="00000023"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rPr>
        <w:t>“</w:t>
      </w:r>
      <w:r>
        <w:rPr>
          <w:rFonts w:ascii="Arial" w:eastAsia="Arial" w:hAnsi="Arial" w:cs="Arial"/>
          <w:b/>
          <w:i/>
        </w:rPr>
        <w:t xml:space="preserve">ARTÍCULO 133.- </w:t>
      </w:r>
      <w:r>
        <w:rPr>
          <w:rFonts w:ascii="Arial" w:eastAsia="Arial" w:hAnsi="Arial" w:cs="Arial"/>
          <w:i/>
        </w:rPr>
        <w:t>Las Salas Unitarias del Tribunal son competentes para conocer y resolver los juicios que se promuevan en contra de:</w:t>
      </w:r>
    </w:p>
    <w:p w14:paraId="00000024"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i/>
        </w:rPr>
        <w:t>(…)</w:t>
      </w:r>
    </w:p>
    <w:p w14:paraId="00000025" w14:textId="77777777" w:rsidR="00FB6062" w:rsidRDefault="00414E1F">
      <w:pPr>
        <w:spacing w:line="360" w:lineRule="auto"/>
        <w:ind w:left="567" w:right="333" w:firstLine="567"/>
        <w:jc w:val="both"/>
        <w:rPr>
          <w:rFonts w:ascii="Arial" w:eastAsia="Arial" w:hAnsi="Arial" w:cs="Arial"/>
        </w:rPr>
      </w:pPr>
      <w:r>
        <w:rPr>
          <w:rFonts w:ascii="Arial" w:eastAsia="Arial" w:hAnsi="Arial" w:cs="Arial"/>
          <w:i/>
        </w:rPr>
        <w:t>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w:t>
      </w:r>
      <w:r>
        <w:rPr>
          <w:rFonts w:ascii="Arial" w:eastAsia="Arial" w:hAnsi="Arial" w:cs="Arial"/>
        </w:rPr>
        <w:t xml:space="preserve">”; </w:t>
      </w:r>
    </w:p>
    <w:p w14:paraId="00000026"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Dicho precepto legal establece, que las Salas Unitarias de este Tribunal son competentes para conocer y resolver de los juicios que se promuevan en contra de las resoluciones dictadas por autoridades fiscales, en que se determine la existencia de una obligación fiscal. </w:t>
      </w:r>
    </w:p>
    <w:p w14:paraId="00000027" w14:textId="0205823C"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Al respecto cabe precisar, que el mandamiento de ejecución del crédito fiscal demandado y emitido por la Coordinadora de Cobro Coactivo de la Secretaría de Finanzas del Estado de Oaxaca, no resulta ser una resolución </w:t>
      </w:r>
      <w:r>
        <w:rPr>
          <w:rFonts w:ascii="Arial" w:eastAsia="Arial" w:hAnsi="Arial" w:cs="Arial"/>
          <w:sz w:val="24"/>
          <w:szCs w:val="24"/>
        </w:rPr>
        <w:lastRenderedPageBreak/>
        <w:t>en la que se haya determinado la existencia de una obligación fiscal, porque dicho mandamiento de ejecución, como su propio nombre lo dice, es el acto que emite la autoridad fiscal, para dar inicio al procedimiento administrativo de ejecución, con la finalidad de solicitar al contribuyente el pago del crédito fiscal determinado; l</w:t>
      </w:r>
      <w:r w:rsidR="0070628A">
        <w:rPr>
          <w:rFonts w:ascii="Arial" w:eastAsia="Arial" w:hAnsi="Arial" w:cs="Arial"/>
          <w:sz w:val="24"/>
          <w:szCs w:val="24"/>
        </w:rPr>
        <w:t>o anterior con base en</w:t>
      </w:r>
      <w:r>
        <w:rPr>
          <w:rFonts w:ascii="Arial" w:eastAsia="Arial" w:hAnsi="Arial" w:cs="Arial"/>
          <w:sz w:val="24"/>
          <w:szCs w:val="24"/>
        </w:rPr>
        <w:t xml:space="preserve"> lo preceptuado por el artículo 32 del Código Fiscal para el Estado de Oaxaca, que establece: “</w:t>
      </w:r>
      <w:r>
        <w:rPr>
          <w:rFonts w:ascii="Arial" w:eastAsia="Arial" w:hAnsi="Arial" w:cs="Arial"/>
          <w:i/>
          <w:sz w:val="24"/>
          <w:szCs w:val="24"/>
        </w:rPr>
        <w:t>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aquellas a los que las leyes les den ese carácter y el Estado tenga derecho a percibir por cuenta ajena</w:t>
      </w:r>
      <w:r>
        <w:rPr>
          <w:rFonts w:ascii="Arial" w:eastAsia="Arial" w:hAnsi="Arial" w:cs="Arial"/>
          <w:sz w:val="24"/>
          <w:szCs w:val="24"/>
        </w:rPr>
        <w:t>”.</w:t>
      </w:r>
    </w:p>
    <w:p w14:paraId="00000028"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no puede encuadrarse en el supuesto previsto por la fracción II del artículo 133 de la Ley de Procedimiento y Justicia Administrativa para el Estado de Oaxaca, para el conocimiento y resolución de esta Sexta Sala Unitaria de Primera Instancia.</w:t>
      </w:r>
    </w:p>
    <w:p w14:paraId="00000029" w14:textId="77B18A92"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Aunado a lo anterior, el artículo 133</w:t>
      </w:r>
      <w:r w:rsidR="00286AD9">
        <w:rPr>
          <w:rFonts w:ascii="Arial" w:eastAsia="Arial" w:hAnsi="Arial" w:cs="Arial"/>
          <w:sz w:val="24"/>
          <w:szCs w:val="24"/>
        </w:rPr>
        <w:t>,</w:t>
      </w:r>
      <w:r>
        <w:rPr>
          <w:rFonts w:ascii="Arial" w:eastAsia="Arial" w:hAnsi="Arial" w:cs="Arial"/>
          <w:sz w:val="24"/>
          <w:szCs w:val="24"/>
        </w:rPr>
        <w:t xml:space="preserve"> fracción VIII, de la Ley de Procedimiento y Justicia Administrativa para el Estado de Oaxaca, indica:</w:t>
      </w:r>
    </w:p>
    <w:p w14:paraId="0000002A"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ARTÍCULO 133.</w:t>
      </w:r>
      <w:r>
        <w:rPr>
          <w:rFonts w:ascii="Arial" w:eastAsia="Arial" w:hAnsi="Arial" w:cs="Arial"/>
          <w:i/>
          <w:sz w:val="21"/>
          <w:szCs w:val="21"/>
        </w:rPr>
        <w:t xml:space="preserve"> Las Salas Unitarias del Tribunal son competentes para conocer y resolver los juicios que se promuevan en contra de:</w:t>
      </w:r>
    </w:p>
    <w:p w14:paraId="0000002B" w14:textId="77777777" w:rsidR="00FB6062" w:rsidRDefault="00414E1F">
      <w:pPr>
        <w:ind w:left="567" w:right="425"/>
        <w:jc w:val="both"/>
        <w:rPr>
          <w:rFonts w:ascii="Arial" w:eastAsia="Arial" w:hAnsi="Arial" w:cs="Arial"/>
          <w:i/>
          <w:sz w:val="21"/>
          <w:szCs w:val="21"/>
        </w:rPr>
      </w:pPr>
      <w:r>
        <w:rPr>
          <w:rFonts w:ascii="Arial" w:eastAsia="Arial" w:hAnsi="Arial" w:cs="Arial"/>
          <w:i/>
          <w:sz w:val="21"/>
          <w:szCs w:val="21"/>
        </w:rPr>
        <w:t>(…)</w:t>
      </w:r>
    </w:p>
    <w:p w14:paraId="0000002C"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VIII.</w:t>
      </w:r>
      <w:r>
        <w:rPr>
          <w:rFonts w:ascii="Arial" w:eastAsia="Arial" w:hAnsi="Arial" w:cs="Arial"/>
          <w:i/>
          <w:sz w:val="21"/>
          <w:szCs w:val="21"/>
        </w:rPr>
        <w:t xml:space="preserve"> El procedimiento administrativo de ejecución cuando el afectado en dicho procedimiento opte por no interponer el recurso ordinario ante las autoridades competentes y cuando afirme: </w:t>
      </w:r>
    </w:p>
    <w:p w14:paraId="0000002D"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a) Que el crédito que le exige se ha extinguido legalmente; </w:t>
      </w:r>
    </w:p>
    <w:p w14:paraId="0000002E"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b) Que el monto del crédito es inferior al exigible; </w:t>
      </w:r>
    </w:p>
    <w:p w14:paraId="0000002F"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c) Que es poseedor, a título de propietario, del bien embargado; y </w:t>
      </w:r>
    </w:p>
    <w:p w14:paraId="00000030" w14:textId="77777777" w:rsidR="00FB6062" w:rsidRDefault="00414E1F">
      <w:pPr>
        <w:ind w:left="567" w:right="425" w:firstLine="567"/>
        <w:jc w:val="both"/>
        <w:rPr>
          <w:rFonts w:ascii="Arial" w:eastAsia="Arial" w:hAnsi="Arial" w:cs="Arial"/>
          <w:i/>
          <w:sz w:val="21"/>
          <w:szCs w:val="21"/>
        </w:rPr>
      </w:pPr>
      <w:r>
        <w:rPr>
          <w:rFonts w:ascii="Arial" w:eastAsia="Arial" w:hAnsi="Arial" w:cs="Arial"/>
          <w:i/>
          <w:sz w:val="21"/>
          <w:szCs w:val="21"/>
        </w:rPr>
        <w:t xml:space="preserve">d) Que el procedimiento coactivo no se ajuste a la ley. En este caso, la oposición no se podrá hacer valer, </w:t>
      </w:r>
      <w:r>
        <w:rPr>
          <w:rFonts w:ascii="Arial" w:eastAsia="Arial" w:hAnsi="Arial" w:cs="Arial"/>
          <w:b/>
          <w:i/>
          <w:sz w:val="21"/>
          <w:szCs w:val="21"/>
        </w:rPr>
        <w:t>sino contra la resolución que apruebe el remate</w:t>
      </w:r>
      <w:r>
        <w:rPr>
          <w:rFonts w:ascii="Arial" w:eastAsia="Arial" w:hAnsi="Arial" w:cs="Arial"/>
          <w:i/>
          <w:sz w:val="21"/>
          <w:szCs w:val="21"/>
        </w:rPr>
        <w:t>; salvo que se trate de resoluciones cuya ejecución material sea imposible reparación.</w:t>
      </w:r>
    </w:p>
    <w:p w14:paraId="00000031" w14:textId="77777777" w:rsidR="00FB6062" w:rsidRDefault="00414E1F">
      <w:pPr>
        <w:spacing w:line="240" w:lineRule="auto"/>
        <w:ind w:left="567" w:right="425" w:firstLine="851"/>
        <w:jc w:val="both"/>
        <w:rPr>
          <w:rFonts w:ascii="Arial" w:eastAsia="Arial" w:hAnsi="Arial" w:cs="Arial"/>
          <w:b/>
          <w:i/>
          <w:sz w:val="21"/>
          <w:szCs w:val="21"/>
        </w:rPr>
      </w:pPr>
      <w:r>
        <w:rPr>
          <w:rFonts w:ascii="Arial" w:eastAsia="Arial" w:hAnsi="Arial" w:cs="Arial"/>
          <w:b/>
          <w:i/>
          <w:sz w:val="21"/>
          <w:szCs w:val="21"/>
        </w:rPr>
        <w:t>(Énfasis añadido)</w:t>
      </w:r>
    </w:p>
    <w:p w14:paraId="00000032" w14:textId="77777777" w:rsidR="00FB6062" w:rsidRDefault="00FB6062">
      <w:pPr>
        <w:spacing w:after="0" w:line="240" w:lineRule="auto"/>
        <w:ind w:right="425" w:firstLine="851"/>
        <w:jc w:val="both"/>
        <w:rPr>
          <w:rFonts w:ascii="Arial" w:eastAsia="Arial" w:hAnsi="Arial" w:cs="Arial"/>
          <w:b/>
          <w:i/>
          <w:sz w:val="21"/>
          <w:szCs w:val="21"/>
        </w:rPr>
      </w:pPr>
    </w:p>
    <w:p w14:paraId="00000033" w14:textId="2AF36FFB"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Del texto transcrito se desprende, que las Salas Unitarias del Tribunal son competentes para conocer y resolver de los juicios que se promuevan en contra del procedimiento administrativo de ejecución, con la </w:t>
      </w:r>
      <w:r>
        <w:rPr>
          <w:rFonts w:ascii="Arial" w:eastAsia="Arial" w:hAnsi="Arial" w:cs="Arial"/>
          <w:b/>
          <w:color w:val="000000"/>
          <w:sz w:val="24"/>
          <w:szCs w:val="24"/>
        </w:rPr>
        <w:t>condición</w:t>
      </w:r>
      <w:r>
        <w:rPr>
          <w:rFonts w:ascii="Arial" w:eastAsia="Arial" w:hAnsi="Arial" w:cs="Arial"/>
          <w:color w:val="000000"/>
          <w:sz w:val="24"/>
          <w:szCs w:val="24"/>
        </w:rPr>
        <w:t xml:space="preserve"> de que: </w:t>
      </w:r>
      <w:r>
        <w:rPr>
          <w:rFonts w:ascii="Arial" w:eastAsia="Arial" w:hAnsi="Arial" w:cs="Arial"/>
          <w:b/>
          <w:color w:val="000000"/>
          <w:sz w:val="24"/>
          <w:szCs w:val="24"/>
        </w:rPr>
        <w:t>1</w:t>
      </w:r>
      <w:r>
        <w:rPr>
          <w:rFonts w:ascii="Arial" w:eastAsia="Arial" w:hAnsi="Arial" w:cs="Arial"/>
          <w:color w:val="000000"/>
          <w:sz w:val="24"/>
          <w:szCs w:val="24"/>
        </w:rPr>
        <w:t xml:space="preserve">. Opten por no interponer el recurso ordinario en sede administrativa; </w:t>
      </w:r>
      <w:r>
        <w:rPr>
          <w:rFonts w:ascii="Arial" w:eastAsia="Arial" w:hAnsi="Arial" w:cs="Arial"/>
          <w:b/>
          <w:color w:val="000000"/>
          <w:sz w:val="24"/>
          <w:szCs w:val="24"/>
        </w:rPr>
        <w:t>2</w:t>
      </w:r>
      <w:r>
        <w:rPr>
          <w:rFonts w:ascii="Arial" w:eastAsia="Arial" w:hAnsi="Arial" w:cs="Arial"/>
          <w:color w:val="000000"/>
          <w:sz w:val="24"/>
          <w:szCs w:val="24"/>
        </w:rPr>
        <w:t xml:space="preserve">. Afirme que el crédito exigido se ha extinguido legalmente, </w:t>
      </w:r>
      <w:r>
        <w:rPr>
          <w:rFonts w:ascii="Arial" w:eastAsia="Arial" w:hAnsi="Arial" w:cs="Arial"/>
          <w:b/>
          <w:color w:val="000000"/>
          <w:sz w:val="24"/>
          <w:szCs w:val="24"/>
        </w:rPr>
        <w:t>3.</w:t>
      </w:r>
      <w:r>
        <w:rPr>
          <w:rFonts w:ascii="Arial" w:eastAsia="Arial" w:hAnsi="Arial" w:cs="Arial"/>
          <w:color w:val="000000"/>
          <w:sz w:val="24"/>
          <w:szCs w:val="24"/>
        </w:rPr>
        <w:t xml:space="preserve"> Que el monto del crédito es inferior al exigible, </w:t>
      </w:r>
      <w:r>
        <w:rPr>
          <w:rFonts w:ascii="Arial" w:eastAsia="Arial" w:hAnsi="Arial" w:cs="Arial"/>
          <w:b/>
          <w:color w:val="000000"/>
          <w:sz w:val="24"/>
          <w:szCs w:val="24"/>
        </w:rPr>
        <w:t xml:space="preserve">4. </w:t>
      </w:r>
      <w:r w:rsidR="00AA4D8A">
        <w:rPr>
          <w:rFonts w:ascii="Arial" w:eastAsia="Arial" w:hAnsi="Arial" w:cs="Arial"/>
          <w:color w:val="000000"/>
          <w:sz w:val="24"/>
          <w:szCs w:val="24"/>
        </w:rPr>
        <w:t>Q</w:t>
      </w:r>
      <w:r>
        <w:rPr>
          <w:rFonts w:ascii="Arial" w:eastAsia="Arial" w:hAnsi="Arial" w:cs="Arial"/>
          <w:color w:val="000000"/>
          <w:sz w:val="24"/>
          <w:szCs w:val="24"/>
        </w:rPr>
        <w:t xml:space="preserve">ue es poseedor, a título de propietario del bien embargado; </w:t>
      </w:r>
      <w:r>
        <w:rPr>
          <w:rFonts w:ascii="Arial" w:eastAsia="Arial" w:hAnsi="Arial" w:cs="Arial"/>
          <w:b/>
          <w:color w:val="000000"/>
          <w:sz w:val="24"/>
          <w:szCs w:val="24"/>
        </w:rPr>
        <w:t xml:space="preserve">5. </w:t>
      </w:r>
      <w:r>
        <w:rPr>
          <w:rFonts w:ascii="Arial" w:eastAsia="Arial" w:hAnsi="Arial" w:cs="Arial"/>
          <w:color w:val="000000"/>
          <w:sz w:val="24"/>
          <w:szCs w:val="24"/>
        </w:rPr>
        <w:t xml:space="preserve">Que el procedimiento coactivo no se ajustó a la ley; en este último caso, la oposición no se podrá hacer valer, sino contra la resolución </w:t>
      </w:r>
      <w:r>
        <w:rPr>
          <w:rFonts w:ascii="Arial" w:eastAsia="Arial" w:hAnsi="Arial" w:cs="Arial"/>
          <w:color w:val="000000"/>
          <w:sz w:val="24"/>
          <w:szCs w:val="24"/>
        </w:rPr>
        <w:lastRenderedPageBreak/>
        <w:t xml:space="preserve">que apruebe el remate, salvo se trate de resoluciones cuya ejecución material sea de imposible reparación; </w:t>
      </w:r>
      <w:r>
        <w:rPr>
          <w:rFonts w:ascii="Arial" w:eastAsia="Arial" w:hAnsi="Arial" w:cs="Arial"/>
          <w:b/>
          <w:color w:val="000000"/>
          <w:sz w:val="24"/>
          <w:szCs w:val="24"/>
        </w:rPr>
        <w:t>supuestos</w:t>
      </w:r>
      <w:r>
        <w:rPr>
          <w:rFonts w:ascii="Arial" w:eastAsia="Arial" w:hAnsi="Arial" w:cs="Arial"/>
          <w:color w:val="000000"/>
          <w:sz w:val="24"/>
          <w:szCs w:val="24"/>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w:t>
      </w:r>
    </w:p>
    <w:p w14:paraId="00000034" w14:textId="526B2815"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debemos de establecer cuáles son la etapas que integran el procedimiento administrativo de ejecución, los cuales están señalados en el Título Cuarto, Capítulo Segundo, del Código Fiscal del Estado, capítulo denominado “Del procedimiento administrativo de ejecución”, de donde puede advertirse que el citado procedimiento, está integrado por las siguientes etapas: </w:t>
      </w:r>
      <w:r>
        <w:rPr>
          <w:rFonts w:ascii="Arial" w:eastAsia="Arial" w:hAnsi="Arial" w:cs="Arial"/>
          <w:b/>
          <w:color w:val="000000"/>
          <w:sz w:val="24"/>
          <w:szCs w:val="24"/>
        </w:rPr>
        <w:t xml:space="preserve">a) </w:t>
      </w:r>
      <w:r>
        <w:rPr>
          <w:rFonts w:ascii="Arial" w:eastAsia="Arial" w:hAnsi="Arial" w:cs="Arial"/>
          <w:color w:val="000000"/>
          <w:sz w:val="24"/>
          <w:szCs w:val="24"/>
        </w:rPr>
        <w:t xml:space="preserve">la expedición de un mandamiento de ejecución; </w:t>
      </w:r>
      <w:r>
        <w:rPr>
          <w:rFonts w:ascii="Arial" w:eastAsia="Arial" w:hAnsi="Arial" w:cs="Arial"/>
          <w:b/>
          <w:color w:val="000000"/>
          <w:sz w:val="24"/>
          <w:szCs w:val="24"/>
        </w:rPr>
        <w:t xml:space="preserve">b) </w:t>
      </w:r>
      <w:r>
        <w:rPr>
          <w:rFonts w:ascii="Arial" w:eastAsia="Arial" w:hAnsi="Arial" w:cs="Arial"/>
          <w:color w:val="000000"/>
          <w:sz w:val="24"/>
          <w:szCs w:val="24"/>
        </w:rPr>
        <w:t>la diligencia de requerimiento de pago</w:t>
      </w:r>
      <w:r w:rsidR="00CD0996">
        <w:rPr>
          <w:rFonts w:ascii="Arial" w:eastAsia="Arial" w:hAnsi="Arial" w:cs="Arial"/>
          <w:color w:val="000000"/>
          <w:sz w:val="24"/>
          <w:szCs w:val="24"/>
        </w:rPr>
        <w:t xml:space="preserve"> y embargo; </w:t>
      </w:r>
      <w:r>
        <w:rPr>
          <w:rFonts w:ascii="Arial" w:eastAsia="Arial" w:hAnsi="Arial" w:cs="Arial"/>
          <w:b/>
          <w:color w:val="000000"/>
          <w:sz w:val="24"/>
          <w:szCs w:val="24"/>
        </w:rPr>
        <w:t xml:space="preserve">c) </w:t>
      </w:r>
      <w:r>
        <w:rPr>
          <w:rFonts w:ascii="Arial" w:eastAsia="Arial" w:hAnsi="Arial" w:cs="Arial"/>
          <w:color w:val="000000"/>
          <w:sz w:val="24"/>
          <w:szCs w:val="24"/>
        </w:rPr>
        <w:t xml:space="preserve">determinación del valor de los bienes embargados; </w:t>
      </w:r>
      <w:r>
        <w:rPr>
          <w:rFonts w:ascii="Arial" w:eastAsia="Arial" w:hAnsi="Arial" w:cs="Arial"/>
          <w:b/>
          <w:color w:val="000000"/>
          <w:sz w:val="24"/>
          <w:szCs w:val="24"/>
        </w:rPr>
        <w:t xml:space="preserve">d) </w:t>
      </w:r>
      <w:r>
        <w:rPr>
          <w:rFonts w:ascii="Arial" w:eastAsia="Arial" w:hAnsi="Arial" w:cs="Arial"/>
          <w:color w:val="000000"/>
          <w:sz w:val="24"/>
          <w:szCs w:val="24"/>
        </w:rPr>
        <w:t xml:space="preserve">el remate de los bienes embargados y </w:t>
      </w:r>
      <w:r>
        <w:rPr>
          <w:rFonts w:ascii="Arial" w:eastAsia="Arial" w:hAnsi="Arial" w:cs="Arial"/>
          <w:b/>
          <w:color w:val="000000"/>
          <w:sz w:val="24"/>
          <w:szCs w:val="24"/>
        </w:rPr>
        <w:t xml:space="preserve">e) </w:t>
      </w:r>
      <w:r>
        <w:rPr>
          <w:rFonts w:ascii="Arial" w:eastAsia="Arial" w:hAnsi="Arial" w:cs="Arial"/>
          <w:color w:val="000000"/>
          <w:sz w:val="24"/>
          <w:szCs w:val="24"/>
        </w:rPr>
        <w:t>aprobación del remate y adjudicación de los bienes.</w:t>
      </w:r>
    </w:p>
    <w:p w14:paraId="00000035" w14:textId="3B84570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ahí, que el artículo 133 fracción VIII, inciso d) de la Ley de Procedimiento y Justicia Administrativa para el Estado, exija que para el caso de que se impugne el procedimiento administrativo de ejecución por no ajustarse a lo dispuesto por la Ley; </w:t>
      </w:r>
      <w:r>
        <w:rPr>
          <w:rFonts w:ascii="Arial" w:eastAsia="Arial" w:hAnsi="Arial" w:cs="Arial"/>
          <w:b/>
          <w:color w:val="000000"/>
          <w:sz w:val="24"/>
          <w:szCs w:val="24"/>
        </w:rPr>
        <w:t xml:space="preserve">es necesario </w:t>
      </w:r>
      <w:r>
        <w:rPr>
          <w:rFonts w:ascii="Arial" w:eastAsia="Arial" w:hAnsi="Arial" w:cs="Arial"/>
          <w:color w:val="000000"/>
          <w:sz w:val="24"/>
          <w:szCs w:val="24"/>
        </w:rPr>
        <w:t>que dicho procedimiento se encuentre en la etapa de</w:t>
      </w:r>
      <w:r>
        <w:rPr>
          <w:rFonts w:ascii="Arial" w:eastAsia="Arial" w:hAnsi="Arial" w:cs="Arial"/>
          <w:b/>
          <w:color w:val="000000"/>
          <w:sz w:val="24"/>
          <w:szCs w:val="24"/>
        </w:rPr>
        <w:t xml:space="preserve"> la aprobación del remate de los bienes embargados</w:t>
      </w:r>
      <w:r>
        <w:rPr>
          <w:rFonts w:ascii="Arial" w:eastAsia="Arial" w:hAnsi="Arial" w:cs="Arial"/>
          <w:color w:val="000000"/>
          <w:sz w:val="24"/>
          <w:szCs w:val="24"/>
        </w:rPr>
        <w:t>, pues éste constituye el último acto dentro del procedimiento de ejecución</w:t>
      </w:r>
      <w:r w:rsidR="00F87177">
        <w:rPr>
          <w:rFonts w:ascii="Arial" w:eastAsia="Arial" w:hAnsi="Arial" w:cs="Arial"/>
          <w:color w:val="000000"/>
          <w:sz w:val="24"/>
          <w:szCs w:val="24"/>
        </w:rPr>
        <w:t>; así mismo, no manifiesta que dicho acto le</w:t>
      </w:r>
      <w:r>
        <w:rPr>
          <w:rFonts w:ascii="Arial" w:eastAsia="Arial" w:hAnsi="Arial" w:cs="Arial"/>
          <w:color w:val="000000"/>
          <w:sz w:val="24"/>
          <w:szCs w:val="24"/>
        </w:rPr>
        <w:t xml:space="preserve"> causa una afectación real y de imposible reparación en la esfera jurídica del gobernado.</w:t>
      </w:r>
    </w:p>
    <w:p w14:paraId="00000036"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Sirve de referencia la Jurisprudencia de la Décima Época con número de Registro: 2011342, Instancia: Tribunales Colegiados de Circuito, visible en la Gaceta del Semanario Judicial de la Federación, Libro 29, Abril de 2016, Tomo III, Materia(s): Común, Tesis: I.13o.T. J/10 (10a.), Página: 1941, con el texto y rubro siguientes:</w:t>
      </w:r>
    </w:p>
    <w:p w14:paraId="00000037" w14:textId="77777777" w:rsidR="00FB6062" w:rsidRDefault="00414E1F">
      <w:pPr>
        <w:pBdr>
          <w:top w:val="nil"/>
          <w:left w:val="nil"/>
          <w:bottom w:val="nil"/>
          <w:right w:val="nil"/>
          <w:between w:val="nil"/>
        </w:pBdr>
        <w:spacing w:after="0" w:line="240" w:lineRule="auto"/>
        <w:ind w:left="567" w:right="566"/>
        <w:jc w:val="both"/>
        <w:rPr>
          <w:rFonts w:ascii="Arial" w:eastAsia="Arial" w:hAnsi="Arial" w:cs="Arial"/>
          <w:i/>
          <w:color w:val="000000"/>
        </w:rPr>
      </w:pPr>
      <w:r>
        <w:rPr>
          <w:rFonts w:ascii="Arial" w:eastAsia="Arial" w:hAnsi="Arial" w:cs="Arial"/>
          <w:b/>
          <w:i/>
          <w:color w:val="000000"/>
        </w:rPr>
        <w:t xml:space="preserve">“AMPARO INDIRECTO. ES IMPROCEDENTE CONTRA LA RESOLUCIÓN DICTADA EN EL RECURSO DE REVISIÓN DE ACTOS DEL EJECUTOR, CONSISTENTES EN EL EMBARGO, POR NO CONSTITUIR LA ÚLTIMA ACTUACIÓN EN EL PROCEDIMIENTO DE EJECUCIÓN CORRESPONDIENTE. </w:t>
      </w:r>
      <w:r>
        <w:rPr>
          <w:rFonts w:ascii="Arial" w:eastAsia="Arial" w:hAnsi="Arial" w:cs="Arial"/>
          <w:i/>
          <w:color w:val="000000"/>
        </w:rPr>
        <w:t xml:space="preserve">Conforme al artículo 107, fracción IV, de la Ley de Amparo, vigente a partir del 3 de abril de 2013, el juicio de amparo indirecto se pedirá ante el Juez de Distrito contra actos de tribunales judiciales, administrativos, agrarios o del trabajo realizados fuera de juicio o después de concluido, y si se trata de actos de ejecución de sentencia sólo podrá promoverse contra la última resolución que se dicte en el procedimiento respectivo, es decir, aquella en que se apruebe el cumplimiento total de la sentencia o se declare la imposibilidad material o jurídica para ello; y tratándose de remates, se entiende como la última resolución aquella en la que, en forma definitiva, se ordene el otorgamiento de la escritura de adjudicación y la entrega del bien rematado; luego, si el acto reclamado es la resolución dictada en el </w:t>
      </w:r>
      <w:r>
        <w:rPr>
          <w:rFonts w:ascii="Arial" w:eastAsia="Arial" w:hAnsi="Arial" w:cs="Arial"/>
          <w:i/>
          <w:color w:val="000000"/>
        </w:rPr>
        <w:lastRenderedPageBreak/>
        <w:t>recurso de revisión contra actos del ejecutor consistentes en el embargo, el amparo indirecto es improcedente, porque dicho acto no constituye la última actuación dentro del procedimiento de ejecución, pues no se encuentra en los supuestos de la norma; por ende, no puede ser estudiada a través del amparo indirecto, sino que podrán hacerse valer las violaciones cometidas hasta que se pronuncie la última resolución en el procedimiento de ejecución”.</w:t>
      </w:r>
    </w:p>
    <w:p w14:paraId="00000038" w14:textId="77777777" w:rsidR="00FB6062" w:rsidRDefault="00FB6062">
      <w:pPr>
        <w:pBdr>
          <w:top w:val="nil"/>
          <w:left w:val="nil"/>
          <w:bottom w:val="nil"/>
          <w:right w:val="nil"/>
          <w:between w:val="nil"/>
        </w:pBdr>
        <w:spacing w:after="0" w:line="240" w:lineRule="auto"/>
        <w:ind w:left="993" w:right="566"/>
        <w:jc w:val="both"/>
        <w:rPr>
          <w:rFonts w:ascii="Arial" w:eastAsia="Arial" w:hAnsi="Arial" w:cs="Arial"/>
          <w:i/>
          <w:color w:val="000000"/>
        </w:rPr>
      </w:pPr>
    </w:p>
    <w:p w14:paraId="00000039"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De ahí que, en autos no se encuentra acreditado que el procedimiento administrativo de ejecución se encuentre en la etapa de remate de los bienes embargados y en su caso la adjudicación de estos.</w:t>
      </w:r>
    </w:p>
    <w:p w14:paraId="0000003B" w14:textId="722242D2" w:rsidR="00FB6062" w:rsidRPr="00D90459" w:rsidRDefault="00414E1F" w:rsidP="00D90459">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con todo lo anteriormente señalado se actualiza la causal de </w:t>
      </w:r>
      <w:r>
        <w:rPr>
          <w:rFonts w:ascii="Arial" w:eastAsia="Arial" w:hAnsi="Arial" w:cs="Arial"/>
          <w:b/>
          <w:color w:val="000000"/>
          <w:sz w:val="24"/>
          <w:szCs w:val="24"/>
        </w:rPr>
        <w:t>improcedencia</w:t>
      </w:r>
      <w:r>
        <w:rPr>
          <w:rFonts w:ascii="Arial" w:eastAsia="Arial" w:hAnsi="Arial" w:cs="Arial"/>
          <w:color w:val="000000"/>
          <w:sz w:val="24"/>
          <w:szCs w:val="24"/>
        </w:rPr>
        <w:t xml:space="preserve"> prevista en la fracción X, del artículo 161, en relación con el diverso 162 fracción II, y 133 fracción VIII, de la Ley de Procedimiento y Justicia Administrativa para el Estado de Oaxaca, que establecen:</w:t>
      </w:r>
    </w:p>
    <w:p w14:paraId="0000003C" w14:textId="62CD4604" w:rsidR="00FB6062" w:rsidRDefault="00CD0996">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b/>
          <w:i/>
          <w:color w:val="000000"/>
        </w:rPr>
        <w:t>“</w:t>
      </w:r>
      <w:r w:rsidR="00414E1F">
        <w:rPr>
          <w:rFonts w:ascii="Arial" w:eastAsia="Arial" w:hAnsi="Arial" w:cs="Arial"/>
          <w:b/>
          <w:i/>
          <w:color w:val="000000"/>
        </w:rPr>
        <w:t xml:space="preserve">ARTÍCULO 161.- </w:t>
      </w:r>
      <w:r w:rsidR="00414E1F">
        <w:rPr>
          <w:rFonts w:ascii="Arial" w:eastAsia="Arial" w:hAnsi="Arial" w:cs="Arial"/>
          <w:i/>
          <w:color w:val="000000"/>
        </w:rPr>
        <w:t>Es improcedente el juicio ante el Tribunal contra actos:</w:t>
      </w:r>
    </w:p>
    <w:p w14:paraId="0000003D" w14:textId="77777777" w:rsidR="00FB6062" w:rsidRDefault="00414E1F">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i/>
          <w:color w:val="000000"/>
        </w:rPr>
        <w:t>(…)</w:t>
      </w:r>
    </w:p>
    <w:p w14:paraId="0000003E"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X.</w:t>
      </w:r>
      <w:r>
        <w:rPr>
          <w:rFonts w:ascii="Arial" w:eastAsia="Arial" w:hAnsi="Arial" w:cs="Arial"/>
          <w:i/>
          <w:color w:val="000000"/>
        </w:rPr>
        <w:t xml:space="preserve"> En los demás casos en que la improcedencia resulte de alguna disposición de esta Ley o de cualquiera otra de naturaleza fiscal o administrativa.</w:t>
      </w:r>
    </w:p>
    <w:p w14:paraId="0000003F" w14:textId="77777777" w:rsidR="00FB6062" w:rsidRDefault="00FB6062">
      <w:pPr>
        <w:spacing w:after="0"/>
        <w:ind w:left="567" w:right="425"/>
        <w:jc w:val="both"/>
        <w:rPr>
          <w:rFonts w:ascii="Arial" w:eastAsia="Arial" w:hAnsi="Arial" w:cs="Arial"/>
          <w:i/>
          <w:color w:val="000000"/>
        </w:rPr>
      </w:pPr>
    </w:p>
    <w:p w14:paraId="00000040"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162.- </w:t>
      </w:r>
      <w:r>
        <w:rPr>
          <w:rFonts w:ascii="Arial" w:eastAsia="Arial" w:hAnsi="Arial" w:cs="Arial"/>
          <w:i/>
          <w:color w:val="000000"/>
        </w:rPr>
        <w:t>Procede el sobreseimiento del juicio:</w:t>
      </w:r>
    </w:p>
    <w:p w14:paraId="00000041"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2" w14:textId="77777777" w:rsidR="00FB6062" w:rsidRDefault="00414E1F">
      <w:pPr>
        <w:spacing w:after="0"/>
        <w:ind w:left="567" w:right="425"/>
        <w:jc w:val="both"/>
        <w:rPr>
          <w:rFonts w:ascii="Arial" w:eastAsia="Arial" w:hAnsi="Arial" w:cs="Arial"/>
          <w:color w:val="000000"/>
        </w:rPr>
      </w:pPr>
      <w:r>
        <w:rPr>
          <w:rFonts w:ascii="Arial" w:eastAsia="Arial" w:hAnsi="Arial" w:cs="Arial"/>
          <w:b/>
          <w:i/>
          <w:color w:val="000000"/>
        </w:rPr>
        <w:t>II.</w:t>
      </w:r>
      <w:r>
        <w:rPr>
          <w:rFonts w:ascii="Arial" w:eastAsia="Arial" w:hAnsi="Arial" w:cs="Arial"/>
          <w:i/>
          <w:color w:val="000000"/>
        </w:rPr>
        <w:t xml:space="preserve"> Cuando durante la tramitación del procedimiento sobreviniere alguna de las causas de improcedencia a que se refiere el artículo anterior</w:t>
      </w:r>
      <w:r>
        <w:rPr>
          <w:rFonts w:ascii="Arial" w:eastAsia="Arial" w:hAnsi="Arial" w:cs="Arial"/>
          <w:color w:val="000000"/>
        </w:rPr>
        <w:t>.</w:t>
      </w:r>
    </w:p>
    <w:p w14:paraId="00000043" w14:textId="77777777" w:rsidR="00FB6062" w:rsidRDefault="00FB6062">
      <w:pPr>
        <w:spacing w:after="0"/>
        <w:ind w:left="567" w:right="425"/>
        <w:jc w:val="both"/>
        <w:rPr>
          <w:rFonts w:ascii="Arial" w:eastAsia="Arial" w:hAnsi="Arial" w:cs="Arial"/>
          <w:b/>
          <w:i/>
          <w:color w:val="000000"/>
        </w:rPr>
      </w:pPr>
    </w:p>
    <w:p w14:paraId="00000044"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133.- </w:t>
      </w:r>
      <w:r>
        <w:rPr>
          <w:rFonts w:ascii="Arial" w:eastAsia="Arial" w:hAnsi="Arial" w:cs="Arial"/>
          <w:i/>
          <w:color w:val="000000"/>
        </w:rPr>
        <w:t>Las Salas Unitarias del Tribunal son competentes para conocer y resolver los juicios que se promuevan en contra de:</w:t>
      </w:r>
    </w:p>
    <w:p w14:paraId="00000045"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6" w14:textId="77777777" w:rsidR="00FB6062" w:rsidRDefault="00414E1F">
      <w:pPr>
        <w:spacing w:after="0"/>
        <w:ind w:left="567" w:right="425"/>
        <w:jc w:val="both"/>
        <w:rPr>
          <w:rFonts w:ascii="Times New Roman" w:eastAsia="Times New Roman" w:hAnsi="Times New Roman" w:cs="Times New Roman"/>
          <w:i/>
          <w:sz w:val="24"/>
          <w:szCs w:val="24"/>
        </w:rPr>
      </w:pPr>
      <w:r>
        <w:rPr>
          <w:rFonts w:ascii="Arial" w:eastAsia="Arial" w:hAnsi="Arial" w:cs="Arial"/>
          <w:b/>
          <w:i/>
          <w:color w:val="000000"/>
        </w:rPr>
        <w:t>VIII.</w:t>
      </w:r>
      <w:r>
        <w:rPr>
          <w:rFonts w:ascii="Arial" w:eastAsia="Arial" w:hAnsi="Arial" w:cs="Arial"/>
          <w:i/>
          <w:color w:val="000000"/>
        </w:rPr>
        <w:t xml:space="preserve"> El procedimiento administrativo de ejecución cuando el afectado en dicho procedimiento opte por no interponer el recurso ordinario ante las autoridades</w:t>
      </w:r>
      <w:r>
        <w:rPr>
          <w:rFonts w:ascii="Times New Roman" w:eastAsia="Times New Roman" w:hAnsi="Times New Roman" w:cs="Times New Roman"/>
          <w:i/>
          <w:sz w:val="24"/>
          <w:szCs w:val="24"/>
        </w:rPr>
        <w:t xml:space="preserve"> </w:t>
      </w:r>
      <w:r>
        <w:rPr>
          <w:rFonts w:ascii="Arial" w:eastAsia="Arial" w:hAnsi="Arial" w:cs="Arial"/>
          <w:i/>
          <w:color w:val="000000"/>
        </w:rPr>
        <w:t xml:space="preserve">competentes y cuando afirme: </w:t>
      </w:r>
    </w:p>
    <w:p w14:paraId="00000047"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a) Que el crédito que le exige se ha extinguido legalmente; </w:t>
      </w:r>
    </w:p>
    <w:p w14:paraId="00000048"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b) Que el monto del crédito es inferior al exigible; </w:t>
      </w:r>
    </w:p>
    <w:p w14:paraId="00000049"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c) Que es poseedor, a título de propietario, del bien embargado; y </w:t>
      </w:r>
    </w:p>
    <w:p w14:paraId="0000004A" w14:textId="2B06545D" w:rsidR="00FB6062" w:rsidRDefault="00414E1F">
      <w:pPr>
        <w:ind w:left="567" w:right="425" w:firstLine="283"/>
        <w:jc w:val="both"/>
        <w:rPr>
          <w:rFonts w:ascii="Arial" w:eastAsia="Arial" w:hAnsi="Arial" w:cs="Arial"/>
          <w:i/>
          <w:color w:val="000000"/>
        </w:rPr>
      </w:pPr>
      <w:r>
        <w:rPr>
          <w:rFonts w:ascii="Arial" w:eastAsia="Arial" w:hAnsi="Arial" w:cs="Arial"/>
          <w:i/>
          <w:color w:val="000000"/>
        </w:rPr>
        <w:t>d) Que el procedimiento coactivo no se ajuste a la ley. En este caso, la oposición no se podrá hacer valer, sino contra la resolución que apruebe el remate; salvo que se trate de resoluciones cuya ejecución material sea imposible reparación.</w:t>
      </w:r>
      <w:r w:rsidR="00CD0996">
        <w:rPr>
          <w:rFonts w:ascii="Arial" w:eastAsia="Arial" w:hAnsi="Arial" w:cs="Arial"/>
          <w:i/>
          <w:color w:val="000000"/>
        </w:rPr>
        <w:t>”</w:t>
      </w:r>
    </w:p>
    <w:p w14:paraId="0000004B"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consecuencia y al actualizarse la causal de </w:t>
      </w:r>
      <w:r>
        <w:rPr>
          <w:rFonts w:ascii="Arial" w:eastAsia="Arial" w:hAnsi="Arial" w:cs="Arial"/>
          <w:b/>
          <w:color w:val="000000"/>
          <w:sz w:val="24"/>
          <w:szCs w:val="24"/>
        </w:rPr>
        <w:t xml:space="preserve">improcedencia </w:t>
      </w:r>
      <w:r>
        <w:rPr>
          <w:rFonts w:ascii="Arial" w:eastAsia="Arial" w:hAnsi="Arial" w:cs="Arial"/>
          <w:color w:val="000000"/>
          <w:sz w:val="24"/>
          <w:szCs w:val="24"/>
        </w:rPr>
        <w:t>prevista en la fracción X, del artículo 161, en relación con el artículo 162 fracción II, de la Ley de Procedimiento y Justicia Administrativa para el Estado, se ordena</w:t>
      </w:r>
      <w:r>
        <w:rPr>
          <w:rFonts w:ascii="Arial" w:eastAsia="Arial" w:hAnsi="Arial" w:cs="Arial"/>
          <w:b/>
          <w:color w:val="000000"/>
          <w:sz w:val="24"/>
          <w:szCs w:val="24"/>
        </w:rPr>
        <w:t xml:space="preserve"> SOBRESEER EL PRESENTE JUICIO</w:t>
      </w:r>
      <w:r>
        <w:rPr>
          <w:rFonts w:ascii="Arial" w:eastAsia="Arial" w:hAnsi="Arial" w:cs="Arial"/>
          <w:color w:val="000000"/>
          <w:sz w:val="24"/>
          <w:szCs w:val="24"/>
        </w:rPr>
        <w:t>.</w:t>
      </w:r>
    </w:p>
    <w:p w14:paraId="0000004C" w14:textId="69D583DA" w:rsidR="00FB6062" w:rsidRDefault="00414E1F">
      <w:pPr>
        <w:spacing w:after="0" w:line="360" w:lineRule="auto"/>
        <w:ind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Como se ha sobreseído el juicio respecto de los actos impu</w:t>
      </w:r>
      <w:r w:rsidR="00F87177">
        <w:rPr>
          <w:rFonts w:ascii="Arial" w:eastAsia="Arial" w:hAnsi="Arial" w:cs="Arial"/>
          <w:sz w:val="24"/>
          <w:szCs w:val="24"/>
        </w:rPr>
        <w:t>gnados, esta</w:t>
      </w:r>
      <w:r>
        <w:rPr>
          <w:rFonts w:ascii="Arial" w:eastAsia="Arial" w:hAnsi="Arial" w:cs="Arial"/>
          <w:sz w:val="24"/>
          <w:szCs w:val="24"/>
        </w:rPr>
        <w:t xml:space="preserve"> juzgador</w:t>
      </w:r>
      <w:r w:rsidR="00F87177">
        <w:rPr>
          <w:rFonts w:ascii="Arial" w:eastAsia="Arial" w:hAnsi="Arial" w:cs="Arial"/>
          <w:sz w:val="24"/>
          <w:szCs w:val="24"/>
        </w:rPr>
        <w:t>a</w:t>
      </w:r>
      <w:r w:rsidR="00614F26">
        <w:rPr>
          <w:rFonts w:ascii="Arial" w:eastAsia="Arial" w:hAnsi="Arial" w:cs="Arial"/>
          <w:sz w:val="24"/>
          <w:szCs w:val="24"/>
        </w:rPr>
        <w:t xml:space="preserve"> se encuentra impedida</w:t>
      </w:r>
      <w:r>
        <w:rPr>
          <w:rFonts w:ascii="Arial" w:eastAsia="Arial" w:hAnsi="Arial" w:cs="Arial"/>
          <w:sz w:val="24"/>
          <w:szCs w:val="24"/>
        </w:rPr>
        <w:t xml:space="preserve"> para entrar al fondo del asunto planteado, es decir, analizar los conceptos de impugnación expresados por la parte actora en su escrito de demanda.</w:t>
      </w:r>
    </w:p>
    <w:p w14:paraId="0000004D" w14:textId="77777777" w:rsidR="00FB6062" w:rsidRDefault="00FB6062">
      <w:pPr>
        <w:spacing w:after="0" w:line="360" w:lineRule="auto"/>
        <w:ind w:firstLine="567"/>
        <w:jc w:val="both"/>
        <w:rPr>
          <w:rFonts w:ascii="Arial" w:eastAsia="Arial" w:hAnsi="Arial" w:cs="Arial"/>
          <w:sz w:val="10"/>
          <w:szCs w:val="10"/>
        </w:rPr>
      </w:pPr>
    </w:p>
    <w:p w14:paraId="0000004E" w14:textId="77777777" w:rsidR="00FB6062" w:rsidRDefault="00414E1F">
      <w:pPr>
        <w:spacing w:after="0" w:line="360" w:lineRule="auto"/>
        <w:ind w:firstLine="567"/>
        <w:jc w:val="both"/>
        <w:rPr>
          <w:rFonts w:ascii="Arial" w:eastAsia="Arial" w:hAnsi="Arial" w:cs="Arial"/>
          <w:sz w:val="24"/>
          <w:szCs w:val="24"/>
        </w:rPr>
      </w:pPr>
      <w:r>
        <w:rPr>
          <w:rFonts w:ascii="Arial" w:eastAsia="Arial" w:hAnsi="Arial" w:cs="Arial"/>
          <w:sz w:val="24"/>
          <w:szCs w:val="24"/>
        </w:rPr>
        <w:t xml:space="preserve">Sirve de referencia la jurisprudencia de la Suprema Corte de Justicia de la Nación con número de registro: 185227, de la Novena Época, Instancia: Tribunales Colegiados de Circuito, Fuente: Semanario Judicial de la </w:t>
      </w:r>
      <w:r>
        <w:rPr>
          <w:rFonts w:ascii="Arial" w:eastAsia="Arial" w:hAnsi="Arial" w:cs="Arial"/>
          <w:sz w:val="24"/>
          <w:szCs w:val="24"/>
        </w:rPr>
        <w:lastRenderedPageBreak/>
        <w:t>Federación y su Gaceta, Tomo XVII, Enero de 2003, Materia(s): Administrativa, Tesis: VI.2o.A. J/4, página: 1601, con el rubro y texto siguientes:</w:t>
      </w:r>
    </w:p>
    <w:p w14:paraId="0000004F" w14:textId="77777777" w:rsidR="00FB6062" w:rsidRDefault="00FB6062">
      <w:pPr>
        <w:spacing w:after="0"/>
        <w:ind w:left="567"/>
        <w:jc w:val="both"/>
        <w:rPr>
          <w:rFonts w:ascii="Arial" w:eastAsia="Arial" w:hAnsi="Arial" w:cs="Arial"/>
          <w:sz w:val="14"/>
          <w:szCs w:val="14"/>
        </w:rPr>
      </w:pPr>
    </w:p>
    <w:p w14:paraId="00000050" w14:textId="77777777" w:rsidR="00FB6062" w:rsidRDefault="00414E1F">
      <w:pPr>
        <w:ind w:left="567" w:right="425"/>
        <w:jc w:val="both"/>
        <w:rPr>
          <w:rFonts w:ascii="Arial" w:eastAsia="Arial" w:hAnsi="Arial" w:cs="Arial"/>
          <w:i/>
        </w:rPr>
      </w:pPr>
      <w:bookmarkStart w:id="0" w:name="_heading=h.gjdgxs" w:colFirst="0" w:colLast="0"/>
      <w:bookmarkEnd w:id="0"/>
      <w:r>
        <w:rPr>
          <w:rFonts w:ascii="Arial" w:eastAsia="Arial" w:hAnsi="Arial" w:cs="Arial"/>
          <w:i/>
        </w:rPr>
        <w:t>“</w:t>
      </w:r>
      <w:r>
        <w:rPr>
          <w:rFonts w:ascii="Arial" w:eastAsia="Arial" w:hAnsi="Arial" w:cs="Arial"/>
          <w:b/>
          <w:i/>
        </w:rPr>
        <w:t>CONCEPTOS DE ANULACIÓN. LA FALTA DE SU ANÁLISIS POR LA SALA FISCAL NO RESULTA ILEGAL, SI SE SOBRESEYÓ EN EL JUICIO DE NULIDAD</w:t>
      </w:r>
      <w:r>
        <w:rPr>
          <w:rFonts w:ascii="Arial" w:eastAsia="Arial" w:hAnsi="Arial" w:cs="Arial"/>
          <w:i/>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538FF03" w14:textId="276A5F29" w:rsidR="004D41AE" w:rsidRPr="00D90459" w:rsidRDefault="00414E1F" w:rsidP="00D90459">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161, fracción X, 162 fracción II y 207, de la Ley de Procedimiento y Justicia Administrativa para el Estado de Oaxaca, se: - - - - - - - - - - - - - - - - - - - - - - - </w:t>
      </w:r>
    </w:p>
    <w:p w14:paraId="00000052" w14:textId="77777777" w:rsidR="00FB6062" w:rsidRDefault="00414E1F">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77777777" w:rsidR="00FB6062" w:rsidRDefault="00414E1F">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54" w14:textId="73ED9DF2"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55" w14:textId="77777777" w:rsidR="00FB6062" w:rsidRDefault="00414E1F">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sz w:val="24"/>
          <w:szCs w:val="24"/>
        </w:rPr>
        <w:t>Al actualizarse</w:t>
      </w:r>
      <w:r>
        <w:rPr>
          <w:rFonts w:ascii="Arial" w:eastAsia="Arial" w:hAnsi="Arial" w:cs="Arial"/>
          <w:b/>
          <w:sz w:val="24"/>
          <w:szCs w:val="24"/>
        </w:rPr>
        <w:t xml:space="preserve"> </w:t>
      </w:r>
      <w:r>
        <w:rPr>
          <w:rFonts w:ascii="Arial" w:eastAsia="Arial" w:hAnsi="Arial" w:cs="Arial"/>
          <w:color w:val="000000"/>
          <w:sz w:val="24"/>
          <w:szCs w:val="24"/>
        </w:rPr>
        <w:t xml:space="preserve">la causal de improcedencia prevista en la fracción X del artículo 161, en relación con la fracción II del artículo 162, y 133 fracción VIII, de la Ley de la materia, se ordena </w:t>
      </w:r>
      <w:r>
        <w:rPr>
          <w:rFonts w:ascii="Arial" w:eastAsia="Arial" w:hAnsi="Arial" w:cs="Arial"/>
          <w:b/>
          <w:color w:val="000000"/>
          <w:sz w:val="24"/>
          <w:szCs w:val="24"/>
        </w:rPr>
        <w:t>SOBRESEER EL JUICIO</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p>
    <w:p w14:paraId="00000056" w14:textId="5531CA14" w:rsidR="00FB6062" w:rsidRDefault="00414E1F">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Al sobreseerse el juicio, esta autoridad juri</w:t>
      </w:r>
      <w:r w:rsidR="00614F26">
        <w:rPr>
          <w:rFonts w:ascii="Arial" w:eastAsia="Arial" w:hAnsi="Arial" w:cs="Arial"/>
          <w:sz w:val="24"/>
          <w:szCs w:val="24"/>
        </w:rPr>
        <w:t>sdiccional se encuentra impedida</w:t>
      </w:r>
      <w:r>
        <w:rPr>
          <w:rFonts w:ascii="Arial" w:eastAsia="Arial" w:hAnsi="Arial" w:cs="Arial"/>
          <w:sz w:val="24"/>
          <w:szCs w:val="24"/>
        </w:rPr>
        <w:t xml:space="preserve"> para entrar al fondo del asunto como quedo precisado en el considerando </w:t>
      </w:r>
      <w:r>
        <w:rPr>
          <w:rFonts w:ascii="Arial" w:eastAsia="Arial" w:hAnsi="Arial" w:cs="Arial"/>
          <w:b/>
          <w:sz w:val="24"/>
          <w:szCs w:val="24"/>
        </w:rPr>
        <w:t>cuarto</w:t>
      </w:r>
      <w:r>
        <w:rPr>
          <w:rFonts w:ascii="Arial" w:eastAsia="Arial" w:hAnsi="Arial" w:cs="Arial"/>
          <w:sz w:val="24"/>
          <w:szCs w:val="24"/>
        </w:rPr>
        <w:t xml:space="preserve"> de esta sentencia. - - - - - - - - - - - - - - - - - - - - - - - </w:t>
      </w:r>
      <w:r w:rsidR="00D90459">
        <w:rPr>
          <w:rFonts w:ascii="Arial" w:eastAsia="Arial" w:hAnsi="Arial" w:cs="Arial"/>
          <w:sz w:val="24"/>
          <w:szCs w:val="24"/>
        </w:rPr>
        <w:t xml:space="preserve">- - </w:t>
      </w:r>
    </w:p>
    <w:p w14:paraId="00000057" w14:textId="77777777"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p>
    <w:p w14:paraId="00000058" w14:textId="7DD13177" w:rsidR="00FB6062" w:rsidRDefault="00414E1F">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CD0996">
        <w:rPr>
          <w:rFonts w:ascii="Arial" w:eastAsia="Arial" w:hAnsi="Arial" w:cs="Arial"/>
          <w:sz w:val="24"/>
          <w:szCs w:val="24"/>
        </w:rPr>
        <w:t xml:space="preserve">- - - - - - - - - - - - - - - - - - </w:t>
      </w:r>
    </w:p>
    <w:p w14:paraId="63E11439" w14:textId="5DACBB01" w:rsidR="00265FF7" w:rsidRDefault="00265FF7" w:rsidP="00D90459">
      <w:pPr>
        <w:spacing w:after="0" w:line="360" w:lineRule="auto"/>
        <w:ind w:right="49"/>
        <w:jc w:val="both"/>
        <w:rPr>
          <w:rFonts w:ascii="Arial" w:eastAsia="Arial" w:hAnsi="Arial" w:cs="Arial"/>
          <w:sz w:val="24"/>
          <w:szCs w:val="24"/>
        </w:rPr>
      </w:pPr>
    </w:p>
    <w:sectPr w:rsidR="00265FF7">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7BEB6" w14:textId="77777777" w:rsidR="00312330" w:rsidRDefault="00312330">
      <w:pPr>
        <w:spacing w:after="0" w:line="240" w:lineRule="auto"/>
      </w:pPr>
      <w:r>
        <w:separator/>
      </w:r>
    </w:p>
  </w:endnote>
  <w:endnote w:type="continuationSeparator" w:id="0">
    <w:p w14:paraId="393BFEE8" w14:textId="77777777" w:rsidR="00312330" w:rsidRDefault="00312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8EDBD" w14:textId="77777777" w:rsidR="00312330" w:rsidRDefault="00312330">
      <w:pPr>
        <w:spacing w:after="0" w:line="240" w:lineRule="auto"/>
      </w:pPr>
      <w:r>
        <w:separator/>
      </w:r>
    </w:p>
  </w:footnote>
  <w:footnote w:type="continuationSeparator" w:id="0">
    <w:p w14:paraId="6DD5DF57" w14:textId="77777777" w:rsidR="00312330" w:rsidRDefault="00312330">
      <w:pPr>
        <w:spacing w:after="0" w:line="240" w:lineRule="auto"/>
      </w:pPr>
      <w:r>
        <w:continuationSeparator/>
      </w:r>
    </w:p>
  </w:footnote>
  <w:footnote w:id="1">
    <w:p w14:paraId="00000059" w14:textId="77777777" w:rsidR="00FB6062" w:rsidRDefault="00414E1F">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5A" w14:textId="77777777" w:rsidR="00FB6062" w:rsidRDefault="00414E1F">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5B" w14:textId="77777777" w:rsidR="00FB6062" w:rsidRDefault="00414E1F">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0DC7D53C" w:rsidR="00FB6062" w:rsidRDefault="00D90459">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64C0CCE" wp14:editId="28B52649">
              <wp:simplePos x="0" y="0"/>
              <wp:positionH relativeFrom="leftMargin">
                <wp:posOffset>49530</wp:posOffset>
              </wp:positionH>
              <wp:positionV relativeFrom="paragraph">
                <wp:posOffset>-410210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1ED266E3" w14:textId="77777777" w:rsidR="00D90459" w:rsidRDefault="00D90459" w:rsidP="00D90459">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C0CCE" id="_x0000_t202" coordsize="21600,21600" o:spt="202" path="m,l,21600r21600,l21600,xe">
              <v:stroke joinstyle="miter"/>
              <v:path gradientshapeok="t" o:connecttype="rect"/>
            </v:shapetype>
            <v:shape id="Cuadro de texto 1" o:spid="_x0000_s1026" type="#_x0000_t202" style="position:absolute;left:0;text-align:left;margin-left:3.9pt;margin-top:-32.3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" fillcolor="window" strokeweight=".5pt">
              <v:path arrowok="t"/>
              <v:textbox>
                <w:txbxContent>
                  <w:p w14:paraId="1ED266E3" w14:textId="77777777" w:rsidR="00D90459" w:rsidRDefault="00D90459" w:rsidP="00D90459">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4D41AE">
      <w:rPr>
        <w:noProof/>
        <w:color w:val="000000"/>
      </w:rPr>
      <w:t>8</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62"/>
    <w:rsid w:val="000035F4"/>
    <w:rsid w:val="000A333C"/>
    <w:rsid w:val="000C468B"/>
    <w:rsid w:val="000E2637"/>
    <w:rsid w:val="00112D42"/>
    <w:rsid w:val="001400B9"/>
    <w:rsid w:val="00151079"/>
    <w:rsid w:val="00183D7E"/>
    <w:rsid w:val="001879A4"/>
    <w:rsid w:val="001A0607"/>
    <w:rsid w:val="00233E81"/>
    <w:rsid w:val="00247F5C"/>
    <w:rsid w:val="00251567"/>
    <w:rsid w:val="00262CB5"/>
    <w:rsid w:val="00265FF7"/>
    <w:rsid w:val="00286AD9"/>
    <w:rsid w:val="002A4DA0"/>
    <w:rsid w:val="002B12E4"/>
    <w:rsid w:val="002F72AF"/>
    <w:rsid w:val="00312330"/>
    <w:rsid w:val="00327AEC"/>
    <w:rsid w:val="003456EB"/>
    <w:rsid w:val="00346A61"/>
    <w:rsid w:val="00364232"/>
    <w:rsid w:val="003A75A6"/>
    <w:rsid w:val="003B2C4A"/>
    <w:rsid w:val="0040547E"/>
    <w:rsid w:val="00414E1F"/>
    <w:rsid w:val="004246A8"/>
    <w:rsid w:val="004D1914"/>
    <w:rsid w:val="004D41AE"/>
    <w:rsid w:val="005062A9"/>
    <w:rsid w:val="00516602"/>
    <w:rsid w:val="005359E7"/>
    <w:rsid w:val="005E6407"/>
    <w:rsid w:val="005E6B73"/>
    <w:rsid w:val="00614F26"/>
    <w:rsid w:val="00620CF3"/>
    <w:rsid w:val="0064795E"/>
    <w:rsid w:val="006639D0"/>
    <w:rsid w:val="006651C3"/>
    <w:rsid w:val="00680F26"/>
    <w:rsid w:val="0069241F"/>
    <w:rsid w:val="006A0441"/>
    <w:rsid w:val="006D0D47"/>
    <w:rsid w:val="006E2466"/>
    <w:rsid w:val="0070628A"/>
    <w:rsid w:val="00733B61"/>
    <w:rsid w:val="00733EFA"/>
    <w:rsid w:val="00736E7C"/>
    <w:rsid w:val="0073709B"/>
    <w:rsid w:val="007567EC"/>
    <w:rsid w:val="00787123"/>
    <w:rsid w:val="007E2DB7"/>
    <w:rsid w:val="00815F9B"/>
    <w:rsid w:val="008C0A5B"/>
    <w:rsid w:val="008D0C79"/>
    <w:rsid w:val="00904A98"/>
    <w:rsid w:val="00927CA0"/>
    <w:rsid w:val="00960D63"/>
    <w:rsid w:val="0098540B"/>
    <w:rsid w:val="009A7466"/>
    <w:rsid w:val="009B70EA"/>
    <w:rsid w:val="009E1F5A"/>
    <w:rsid w:val="00A10A2F"/>
    <w:rsid w:val="00A359C9"/>
    <w:rsid w:val="00AA4D8A"/>
    <w:rsid w:val="00AD4ED9"/>
    <w:rsid w:val="00B21ECA"/>
    <w:rsid w:val="00B40FF2"/>
    <w:rsid w:val="00B8617E"/>
    <w:rsid w:val="00BF1A3E"/>
    <w:rsid w:val="00CA6D5C"/>
    <w:rsid w:val="00CC42AB"/>
    <w:rsid w:val="00CC7C0E"/>
    <w:rsid w:val="00CD0996"/>
    <w:rsid w:val="00CD2FBA"/>
    <w:rsid w:val="00CD6894"/>
    <w:rsid w:val="00CF1B61"/>
    <w:rsid w:val="00D804F2"/>
    <w:rsid w:val="00D85F0E"/>
    <w:rsid w:val="00D90459"/>
    <w:rsid w:val="00D92CD3"/>
    <w:rsid w:val="00DC5649"/>
    <w:rsid w:val="00E135AE"/>
    <w:rsid w:val="00E50E1B"/>
    <w:rsid w:val="00E529B8"/>
    <w:rsid w:val="00E54C9E"/>
    <w:rsid w:val="00E712EB"/>
    <w:rsid w:val="00F87177"/>
    <w:rsid w:val="00FB60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7ECFE"/>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Props1.xml><?xml version="1.0" encoding="utf-8"?>
<ds:datastoreItem xmlns:ds="http://schemas.openxmlformats.org/officeDocument/2006/customXml" ds:itemID="{3F48FFF8-CE71-476B-B169-F8567E20B4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8</Pages>
  <Words>3247</Words>
  <Characters>17861</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45</cp:revision>
  <dcterms:created xsi:type="dcterms:W3CDTF">2019-11-19T04:46:00Z</dcterms:created>
  <dcterms:modified xsi:type="dcterms:W3CDTF">2022-10-16T17:55:00Z</dcterms:modified>
</cp:coreProperties>
</file>