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77777777"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Pr>
          <w:rFonts w:ascii="Arial" w:eastAsia="Arial" w:hAnsi="Arial" w:cs="Arial"/>
          <w:color w:val="000000"/>
          <w:sz w:val="24"/>
          <w:szCs w:val="24"/>
        </w:rPr>
        <w:t>0126/2020</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76E1C39B"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ACTORA: </w:t>
      </w:r>
      <w:r w:rsidR="0056020A">
        <w:rPr>
          <w:rFonts w:ascii="Arial" w:eastAsia="Arial" w:hAnsi="Arial" w:cs="Arial"/>
          <w:color w:val="FF0000"/>
          <w:sz w:val="24"/>
          <w:szCs w:val="24"/>
        </w:rPr>
        <w:t>**********</w:t>
      </w:r>
      <w:r>
        <w:rPr>
          <w:rFonts w:ascii="Arial" w:eastAsia="Arial" w:hAnsi="Arial" w:cs="Arial"/>
          <w:color w:val="FF0000"/>
          <w:sz w:val="24"/>
          <w:szCs w:val="24"/>
        </w:rPr>
        <w:t>.</w:t>
      </w:r>
    </w:p>
    <w:p w14:paraId="00000006"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SECRETARIO DE FINANZAS DEL PODER EJECUTIVO DEL ESTADO Y OTROS.</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3DF0E573"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024DF0">
        <w:rPr>
          <w:rFonts w:ascii="Arial" w:eastAsia="Arial" w:hAnsi="Arial" w:cs="Arial"/>
          <w:b/>
          <w:color w:val="000000"/>
          <w:sz w:val="24"/>
          <w:szCs w:val="24"/>
        </w:rPr>
        <w:t>VEINTICINCO DE FEBRERO</w:t>
      </w:r>
      <w:r>
        <w:rPr>
          <w:rFonts w:ascii="Arial" w:eastAsia="Arial" w:hAnsi="Arial" w:cs="Arial"/>
          <w:b/>
          <w:color w:val="000000"/>
          <w:sz w:val="24"/>
          <w:szCs w:val="24"/>
        </w:rPr>
        <w:t xml:space="preserve"> DE DOS MIL VEINTIDÓS. - - - - - - - - - - - - - - - - - - - - - - - - - - - - - - - - </w:t>
      </w:r>
      <w:r w:rsidR="00024DF0">
        <w:rPr>
          <w:rFonts w:ascii="Arial" w:eastAsia="Arial" w:hAnsi="Arial" w:cs="Arial"/>
          <w:b/>
          <w:color w:val="000000"/>
          <w:sz w:val="24"/>
          <w:szCs w:val="24"/>
        </w:rPr>
        <w:t xml:space="preserve">- - - - - - - - - - - - </w:t>
      </w:r>
    </w:p>
    <w:p w14:paraId="0000000E" w14:textId="57A8F126"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Pr>
          <w:rFonts w:ascii="Arial" w:eastAsia="Arial" w:hAnsi="Arial" w:cs="Arial"/>
          <w:b/>
          <w:sz w:val="24"/>
          <w:szCs w:val="24"/>
        </w:rPr>
        <w:t>0126/2020,</w:t>
      </w:r>
      <w:r>
        <w:rPr>
          <w:rFonts w:ascii="Arial" w:eastAsia="Arial" w:hAnsi="Arial" w:cs="Arial"/>
          <w:sz w:val="24"/>
          <w:szCs w:val="24"/>
        </w:rPr>
        <w:t xml:space="preserve"> promovido por </w:t>
      </w:r>
      <w:r w:rsidR="0056020A">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contra del </w:t>
      </w:r>
      <w:r>
        <w:rPr>
          <w:rFonts w:ascii="Arial" w:eastAsia="Arial" w:hAnsi="Arial" w:cs="Arial"/>
          <w:b/>
          <w:sz w:val="24"/>
          <w:szCs w:val="24"/>
        </w:rPr>
        <w:t xml:space="preserve">SECRETARIO DE FINANZAS, </w:t>
      </w:r>
      <w:r>
        <w:rPr>
          <w:rFonts w:ascii="Arial" w:eastAsia="Arial" w:hAnsi="Arial" w:cs="Arial"/>
          <w:sz w:val="24"/>
          <w:szCs w:val="24"/>
        </w:rPr>
        <w:t xml:space="preserve">del </w:t>
      </w:r>
      <w:r>
        <w:rPr>
          <w:rFonts w:ascii="Arial" w:eastAsia="Arial" w:hAnsi="Arial" w:cs="Arial"/>
          <w:b/>
          <w:sz w:val="24"/>
          <w:szCs w:val="24"/>
        </w:rPr>
        <w:t xml:space="preserve">SUBSECRETARIO DE INGRESOS, </w:t>
      </w:r>
      <w:r>
        <w:rPr>
          <w:rFonts w:ascii="Arial" w:eastAsia="Arial" w:hAnsi="Arial" w:cs="Arial"/>
          <w:sz w:val="24"/>
          <w:szCs w:val="24"/>
        </w:rPr>
        <w:t xml:space="preserve">del </w:t>
      </w:r>
      <w:r>
        <w:rPr>
          <w:rFonts w:ascii="Arial" w:eastAsia="Arial" w:hAnsi="Arial" w:cs="Arial"/>
          <w:b/>
          <w:sz w:val="24"/>
          <w:szCs w:val="24"/>
        </w:rPr>
        <w:t xml:space="preserve">NOTIFICADOR EJECUTOR ADSCRITO A LA COORDINACIÓN DE COBRO COACTIVO, </w:t>
      </w:r>
      <w:r>
        <w:rPr>
          <w:rFonts w:ascii="Arial" w:eastAsia="Arial" w:hAnsi="Arial" w:cs="Arial"/>
          <w:sz w:val="24"/>
          <w:szCs w:val="24"/>
        </w:rPr>
        <w:t xml:space="preserve">y del </w:t>
      </w:r>
      <w:r>
        <w:rPr>
          <w:rFonts w:ascii="Arial" w:eastAsia="Arial" w:hAnsi="Arial" w:cs="Arial"/>
          <w:b/>
          <w:sz w:val="24"/>
          <w:szCs w:val="24"/>
        </w:rPr>
        <w:t>COORDINADOR DE COBRO COACTIVO, AUTORIDADES DE LA SECRETARÍA DE FINANZAS DEL PODER EJECUTIVO DEL ESTADO DE OAXACA</w:t>
      </w:r>
      <w:r>
        <w:rPr>
          <w:rFonts w:ascii="Arial" w:eastAsia="Arial" w:hAnsi="Arial" w:cs="Arial"/>
          <w:sz w:val="24"/>
          <w:szCs w:val="24"/>
        </w:rPr>
        <w:t xml:space="preserve">.- - - - - - - - - - - - - - - - - - - -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10" w14:textId="0EDC9AB1" w:rsidR="00FB6062"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cinco de marzo de dos mil veinte, la entonces Séptima Sala Unitaria de Primera Instancia de este Tribunal, </w:t>
      </w:r>
      <w:r>
        <w:rPr>
          <w:rFonts w:ascii="Arial" w:eastAsia="Arial" w:hAnsi="Arial" w:cs="Arial"/>
          <w:b/>
          <w:sz w:val="24"/>
          <w:szCs w:val="24"/>
        </w:rPr>
        <w:t xml:space="preserve">admitió </w:t>
      </w:r>
      <w:r>
        <w:rPr>
          <w:rFonts w:ascii="Arial" w:eastAsia="Arial" w:hAnsi="Arial" w:cs="Arial"/>
          <w:sz w:val="24"/>
          <w:szCs w:val="24"/>
        </w:rPr>
        <w:t xml:space="preserve">a trámite la demanda de nulidad de </w:t>
      </w:r>
      <w:r w:rsidR="0056020A">
        <w:rPr>
          <w:rFonts w:ascii="Arial" w:eastAsia="Arial" w:hAnsi="Arial" w:cs="Arial"/>
          <w:b/>
          <w:color w:val="FF0000"/>
          <w:sz w:val="24"/>
          <w:szCs w:val="24"/>
        </w:rPr>
        <w:t>**********</w:t>
      </w:r>
      <w:r>
        <w:rPr>
          <w:rFonts w:ascii="Arial" w:eastAsia="Arial" w:hAnsi="Arial" w:cs="Arial"/>
          <w:sz w:val="24"/>
          <w:szCs w:val="24"/>
        </w:rPr>
        <w:t>, en contra del Secretario de Finanzas, del Subsecretario de Ingresos, del Notificador Ejecutor adscrito a la Coordinación de Cobro Coactivo, y del Coordinador de Cobro Coactivo, autoridades de la Secretaría de Finanzas del Estado; por lo que, se ordenó notificar, emplazar y correr traslado a dichas autoridades, para que dentro del plazo de nueve días hábiles produjeran su contestación, con el apercibimiento, que de no hacerlo dentro del plazo concedido, se les tendría contestando la demanda en sentido afirmativo, y de no referirse a todos los hechos, se le tendrían como ciertos.</w:t>
      </w:r>
    </w:p>
    <w:p w14:paraId="00000011" w14:textId="77777777" w:rsidR="00FB6062" w:rsidRDefault="00414E1F">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acuerdo de treinta y uno de agosto de dos mil veinte, se le hizo del conocimiento a las partes que mediante Acuerdo General </w:t>
      </w:r>
      <w:r>
        <w:rPr>
          <w:rFonts w:ascii="Arial" w:eastAsia="Arial" w:hAnsi="Arial" w:cs="Arial"/>
          <w:b/>
          <w:sz w:val="24"/>
          <w:szCs w:val="24"/>
        </w:rPr>
        <w:t xml:space="preserve">AG/TJAO/13/2020 </w:t>
      </w:r>
      <w:r>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w:t>
      </w:r>
      <w:r>
        <w:rPr>
          <w:rFonts w:ascii="Arial" w:eastAsia="Arial" w:hAnsi="Arial" w:cs="Arial"/>
          <w:sz w:val="24"/>
          <w:szCs w:val="24"/>
        </w:rPr>
        <w:lastRenderedPageBreak/>
        <w:t xml:space="preserve">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Pr>
          <w:rFonts w:ascii="Arial" w:eastAsia="Arial" w:hAnsi="Arial" w:cs="Arial"/>
          <w:b/>
          <w:sz w:val="24"/>
          <w:szCs w:val="24"/>
        </w:rPr>
        <w:t>0038/2020</w:t>
      </w:r>
      <w:r>
        <w:rPr>
          <w:rFonts w:ascii="Arial" w:eastAsia="Arial" w:hAnsi="Arial" w:cs="Arial"/>
          <w:sz w:val="24"/>
          <w:szCs w:val="24"/>
        </w:rPr>
        <w:t xml:space="preserve">, del índice de la Séptima Sala Unitaria, asignándole el número de expediente </w:t>
      </w:r>
      <w:r>
        <w:rPr>
          <w:rFonts w:ascii="Arial" w:eastAsia="Arial" w:hAnsi="Arial" w:cs="Arial"/>
          <w:b/>
          <w:sz w:val="24"/>
          <w:szCs w:val="24"/>
        </w:rPr>
        <w:t>0126/2020</w:t>
      </w:r>
      <w:r>
        <w:rPr>
          <w:rFonts w:ascii="Arial" w:eastAsia="Arial" w:hAnsi="Arial" w:cs="Arial"/>
          <w:sz w:val="24"/>
          <w:szCs w:val="24"/>
        </w:rPr>
        <w:t>.</w:t>
      </w:r>
    </w:p>
    <w:p w14:paraId="00000012" w14:textId="77777777" w:rsidR="00FB6062" w:rsidRDefault="00414E1F">
      <w:pPr>
        <w:spacing w:after="200" w:line="360" w:lineRule="auto"/>
        <w:ind w:right="51" w:firstLine="567"/>
        <w:jc w:val="both"/>
        <w:rPr>
          <w:rFonts w:ascii="Arial" w:eastAsia="Arial" w:hAnsi="Arial" w:cs="Arial"/>
          <w:sz w:val="24"/>
          <w:szCs w:val="24"/>
        </w:rPr>
      </w:pPr>
      <w:r>
        <w:rPr>
          <w:rFonts w:ascii="Arial" w:eastAsia="Arial" w:hAnsi="Arial" w:cs="Arial"/>
          <w:sz w:val="24"/>
          <w:szCs w:val="24"/>
        </w:rPr>
        <w:t xml:space="preserve">En el mismo auto, el </w:t>
      </w:r>
      <w:r>
        <w:rPr>
          <w:rFonts w:ascii="Arial" w:eastAsia="Arial" w:hAnsi="Arial" w:cs="Arial"/>
          <w:b/>
          <w:sz w:val="24"/>
          <w:szCs w:val="24"/>
        </w:rPr>
        <w:t>Director de lo Contencioso de la Procuraduría Fiscal de la Subsecretaría de Ingresos de la Secretaría de Finanzas del Estado</w:t>
      </w:r>
      <w:r>
        <w:rPr>
          <w:rFonts w:ascii="Arial" w:eastAsia="Arial" w:hAnsi="Arial" w:cs="Arial"/>
          <w:sz w:val="24"/>
          <w:szCs w:val="24"/>
        </w:rPr>
        <w:t>, contestó la demanda de nulidad en representación jurídica de la Secretaría de Finanzas del Estado, por lo que, se ordenó correr traslado a la parte actora, para que dentro del término de cinco días hábiles realizara la ampliación de su demanda de nulidad, con el apercibimiento que en caso de omisión, se declararía la preclusión de su derecho correspondiente.</w:t>
      </w:r>
    </w:p>
    <w:p w14:paraId="00000013" w14:textId="77777777"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Mediante proveído de veintitrés de febrero de dos mil veintiuno, se le hizo efectivo el apercibimiento a la </w:t>
      </w:r>
      <w:r>
        <w:rPr>
          <w:rFonts w:ascii="Arial" w:eastAsia="Arial" w:hAnsi="Arial" w:cs="Arial"/>
          <w:b/>
          <w:sz w:val="24"/>
          <w:szCs w:val="24"/>
        </w:rPr>
        <w:t xml:space="preserve">parte actora </w:t>
      </w:r>
      <w:r>
        <w:rPr>
          <w:rFonts w:ascii="Arial" w:eastAsia="Arial" w:hAnsi="Arial" w:cs="Arial"/>
          <w:sz w:val="24"/>
          <w:szCs w:val="24"/>
        </w:rPr>
        <w:t xml:space="preserve">y se declaró la preclusión de su derecho correspondiente para realizar la ampliación de su demanda de nulidad; por lo que, se señaló día y hora para la celebración de la audiencia final. </w:t>
      </w:r>
    </w:p>
    <w:p w14:paraId="00000014" w14:textId="77777777"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Finalmente, el diecinueve de marzo de dos mil veintiuno, se llevó a cabo la audiencia final, sin comparecencia de las partes ni persona alguna que legalmente las representara; se desahogaron las pruebas ofrecidas, se abrió el periodo de alegatos, en el que se dio cuenta que ninguna de las partes presentaron escrito de alegatos, por lo que se declaró por precluido su derecho correspondiente; declarándose cerrada la etapa de instrucción; y, por último se citó para oír sentencia.</w:t>
      </w:r>
    </w:p>
    <w:p w14:paraId="00000015" w14:textId="2FF2189A"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w:t>
      </w:r>
      <w:r w:rsidR="005E6407">
        <w:rPr>
          <w:rFonts w:ascii="Arial" w:eastAsia="Arial" w:hAnsi="Arial" w:cs="Arial"/>
          <w:sz w:val="24"/>
          <w:szCs w:val="24"/>
        </w:rPr>
        <w:t xml:space="preserve">ma que ahora se pronuncia. - - - - - - - - - - - - - - - - - - -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7" w14:textId="3D173CD0" w:rsidR="00FB6062" w:rsidRDefault="005E6407" w:rsidP="006A0441">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En este apartado, se analiza</w:t>
      </w:r>
      <w:r w:rsidR="006639D0">
        <w:rPr>
          <w:rFonts w:ascii="Arial" w:eastAsia="Arial" w:hAnsi="Arial" w:cs="Arial"/>
          <w:sz w:val="24"/>
          <w:szCs w:val="24"/>
        </w:rPr>
        <w:t xml:space="preserve">n los argumentos vertidos por el Director de lo Contencioso de la Procuraduría Fiscal dependiente de la Subsecretaría de Ingresos de la Secretaría de Finanzas del Estado, </w:t>
      </w:r>
      <w:r w:rsidR="006A0441">
        <w:rPr>
          <w:rFonts w:ascii="Arial" w:eastAsia="Arial" w:hAnsi="Arial" w:cs="Arial"/>
          <w:sz w:val="24"/>
          <w:szCs w:val="24"/>
        </w:rPr>
        <w:lastRenderedPageBreak/>
        <w:t xml:space="preserve">relativos a la falta de competencia de este Tribunal para resolver el asunto planteado por la actora </w:t>
      </w:r>
      <w:r w:rsidR="0056020A">
        <w:rPr>
          <w:rFonts w:ascii="Arial" w:eastAsia="Arial" w:hAnsi="Arial" w:cs="Arial"/>
          <w:color w:val="FF0000"/>
          <w:sz w:val="24"/>
          <w:szCs w:val="24"/>
        </w:rPr>
        <w:t>**********</w:t>
      </w:r>
      <w:r w:rsidR="006A0441">
        <w:rPr>
          <w:rFonts w:ascii="Arial" w:eastAsia="Arial" w:hAnsi="Arial" w:cs="Arial"/>
          <w:sz w:val="24"/>
          <w:szCs w:val="24"/>
        </w:rPr>
        <w:t>.</w:t>
      </w:r>
    </w:p>
    <w:p w14:paraId="00000018" w14:textId="77777777" w:rsidR="00FB6062" w:rsidRDefault="00414E1F">
      <w:pPr>
        <w:spacing w:before="240" w:after="240" w:line="360" w:lineRule="auto"/>
        <w:ind w:firstLine="566"/>
        <w:jc w:val="both"/>
        <w:rPr>
          <w:rFonts w:ascii="Arial" w:eastAsia="Arial" w:hAnsi="Arial" w:cs="Arial"/>
          <w:sz w:val="24"/>
          <w:szCs w:val="24"/>
        </w:rPr>
      </w:pPr>
      <w:r>
        <w:rPr>
          <w:rFonts w:ascii="Arial" w:eastAsia="Arial" w:hAnsi="Arial" w:cs="Arial"/>
          <w:sz w:val="24"/>
          <w:szCs w:val="24"/>
        </w:rPr>
        <w:t>Lo anterior, en estricto apego a lo señalado en el artículo 16 de la Constitución Política de los Estados Unidos Mexicanos y 2 de la Constitución Política del Estado Libre y Soberano de Oaxaca, ya que, todos los actos de autoridad que tengan por objeto agraviar a los gobernados en su persona, propiedades, posesiones y derechos, deben de ser emitidos por la autoridad legalmente competente para ello, por ende, las autoridades solo pueden realizar lo que la ley expresamente les facultad.</w:t>
      </w:r>
    </w:p>
    <w:p w14:paraId="58178B22" w14:textId="1B527D3E" w:rsidR="00346A61" w:rsidRDefault="00414E1F" w:rsidP="00233E81">
      <w:pPr>
        <w:spacing w:before="240" w:after="0" w:line="360" w:lineRule="auto"/>
        <w:ind w:right="-93" w:firstLine="567"/>
        <w:jc w:val="both"/>
        <w:rPr>
          <w:rFonts w:ascii="Arial" w:eastAsia="Arial" w:hAnsi="Arial" w:cs="Arial"/>
          <w:i/>
          <w:sz w:val="24"/>
          <w:szCs w:val="24"/>
        </w:rPr>
      </w:pPr>
      <w:r>
        <w:rPr>
          <w:rFonts w:ascii="Arial" w:eastAsia="Arial" w:hAnsi="Arial" w:cs="Arial"/>
          <w:sz w:val="24"/>
          <w:szCs w:val="24"/>
        </w:rPr>
        <w:t xml:space="preserve"> En ese sentido, la autoridad demandada </w:t>
      </w:r>
      <w:r w:rsidR="00346A61">
        <w:rPr>
          <w:rFonts w:ascii="Arial" w:eastAsia="Arial" w:hAnsi="Arial" w:cs="Arial"/>
          <w:sz w:val="24"/>
          <w:szCs w:val="24"/>
        </w:rPr>
        <w:t>indica</w:t>
      </w:r>
      <w:r w:rsidR="00CB1FA6">
        <w:rPr>
          <w:rFonts w:ascii="Arial" w:eastAsia="Arial" w:hAnsi="Arial" w:cs="Arial"/>
          <w:sz w:val="24"/>
          <w:szCs w:val="24"/>
        </w:rPr>
        <w:t xml:space="preserve"> en su escrito de contestación de demanda</w:t>
      </w:r>
      <w:r w:rsidR="00346A61">
        <w:rPr>
          <w:rFonts w:ascii="Arial" w:eastAsia="Arial" w:hAnsi="Arial" w:cs="Arial"/>
          <w:sz w:val="24"/>
          <w:szCs w:val="24"/>
        </w:rPr>
        <w:t>:</w:t>
      </w:r>
      <w:r w:rsidR="00346A61" w:rsidRPr="00E54C9E">
        <w:rPr>
          <w:rFonts w:ascii="Arial" w:eastAsia="Arial" w:hAnsi="Arial" w:cs="Arial"/>
          <w:i/>
          <w:sz w:val="24"/>
          <w:szCs w:val="24"/>
        </w:rPr>
        <w:t xml:space="preserve">“…Esa H. Sala no es competente para conocer del asunto, ya que el acuerdo de ampliación de embargo número </w:t>
      </w:r>
      <w:r w:rsidR="0056020A">
        <w:rPr>
          <w:rFonts w:ascii="Arial" w:eastAsia="Arial" w:hAnsi="Arial" w:cs="Arial"/>
          <w:i/>
          <w:sz w:val="24"/>
          <w:szCs w:val="24"/>
        </w:rPr>
        <w:t>**********</w:t>
      </w:r>
      <w:r w:rsidR="00346A61" w:rsidRPr="00E54C9E">
        <w:rPr>
          <w:rFonts w:ascii="Arial" w:eastAsia="Arial" w:hAnsi="Arial" w:cs="Arial"/>
          <w:i/>
          <w:sz w:val="24"/>
          <w:szCs w:val="24"/>
        </w:rPr>
        <w:t xml:space="preserve"> de 25 de febrero de 2020, es consecuencia de una Multa Impuesta por la Secretaría de Turismo por contravenir lo dispuesto en la Norma Oficial Mexicana NOM-07-TUR-2002, es decir una </w:t>
      </w:r>
      <w:r w:rsidR="00346A61" w:rsidRPr="00E54C9E">
        <w:rPr>
          <w:rFonts w:ascii="Arial" w:eastAsia="Arial" w:hAnsi="Arial" w:cs="Arial"/>
          <w:i/>
          <w:sz w:val="24"/>
          <w:szCs w:val="24"/>
          <w:u w:val="single"/>
        </w:rPr>
        <w:t>autoridad federal</w:t>
      </w:r>
      <w:r w:rsidR="00346A61" w:rsidRPr="00E54C9E">
        <w:rPr>
          <w:rFonts w:ascii="Arial" w:eastAsia="Arial" w:hAnsi="Arial" w:cs="Arial"/>
          <w:i/>
          <w:sz w:val="24"/>
          <w:szCs w:val="24"/>
        </w:rPr>
        <w:t xml:space="preserve">… aunado a lo anterior, dentro del marco jurídico que le otorga la competencia material a ese H. Tribunal, no se advierte que dentro de sus atribuciones se encuentre el conocer de asuntos emitidos por las autoridades </w:t>
      </w:r>
      <w:r w:rsidR="00A10A2F" w:rsidRPr="00E54C9E">
        <w:rPr>
          <w:rFonts w:ascii="Arial" w:eastAsia="Arial" w:hAnsi="Arial" w:cs="Arial"/>
          <w:i/>
          <w:sz w:val="24"/>
          <w:szCs w:val="24"/>
        </w:rPr>
        <w:t>federales pues la misma se encuentra delimitada como ya se dijo por el artículo 133, párrafo primero, fracción I, y cuyo origen se tiene en el artículo 114 QUÁTER, de la Constitución Política del Estado Libre y Soberano de Oaxaca, en el que establece que ese H. Tribunal es el máximo órgano jurisdiccional, en materia de Fiscalización, Rendición de Cuentas, Responsabilidad de los Servidores Públicos, combate a la Corrupción e Impartición de Justicia, en correlación con los numerales 120, párrafo primero, fracción I y 133</w:t>
      </w:r>
      <w:r w:rsidR="00E54C9E" w:rsidRPr="00E54C9E">
        <w:rPr>
          <w:rFonts w:ascii="Arial" w:eastAsia="Arial" w:hAnsi="Arial" w:cs="Arial"/>
          <w:i/>
          <w:sz w:val="24"/>
          <w:szCs w:val="24"/>
        </w:rPr>
        <w:t>, párrafo primero, fracción VIII, de la Ley de Procedimiento y Justicia Administrativa para el Estado de Oaxaca…”</w:t>
      </w:r>
    </w:p>
    <w:p w14:paraId="38B497D6" w14:textId="3F912FA9" w:rsidR="00233E81" w:rsidRPr="00233E81" w:rsidRDefault="00233E81" w:rsidP="00233E81">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Ahora bien, la actora </w:t>
      </w:r>
      <w:r w:rsidR="0056020A">
        <w:rPr>
          <w:rFonts w:ascii="Arial" w:eastAsia="Arial" w:hAnsi="Arial" w:cs="Arial"/>
          <w:color w:val="FF0000"/>
          <w:sz w:val="24"/>
          <w:szCs w:val="24"/>
        </w:rPr>
        <w:t>**********</w:t>
      </w:r>
      <w:r>
        <w:rPr>
          <w:rFonts w:ascii="Arial" w:eastAsia="Arial" w:hAnsi="Arial" w:cs="Arial"/>
          <w:sz w:val="24"/>
          <w:szCs w:val="24"/>
        </w:rPr>
        <w:t xml:space="preserve">, señaló como acto impugnado, </w:t>
      </w:r>
      <w:r>
        <w:rPr>
          <w:rFonts w:ascii="Arial" w:eastAsia="Arial" w:hAnsi="Arial" w:cs="Arial"/>
          <w:i/>
          <w:sz w:val="24"/>
          <w:szCs w:val="24"/>
        </w:rPr>
        <w:t xml:space="preserve">“…la contenida en el oficio, </w:t>
      </w:r>
      <w:r>
        <w:rPr>
          <w:rFonts w:ascii="Arial" w:eastAsia="Arial" w:hAnsi="Arial" w:cs="Arial"/>
          <w:b/>
          <w:i/>
          <w:sz w:val="24"/>
          <w:szCs w:val="24"/>
        </w:rPr>
        <w:t xml:space="preserve">CRÉDITO </w:t>
      </w:r>
      <w:r w:rsidR="0056020A">
        <w:rPr>
          <w:rFonts w:ascii="Arial" w:eastAsia="Arial" w:hAnsi="Arial" w:cs="Arial"/>
          <w:b/>
          <w:i/>
          <w:color w:val="FF0000"/>
          <w:sz w:val="24"/>
          <w:szCs w:val="24"/>
        </w:rPr>
        <w:t>**********</w:t>
      </w:r>
      <w:r>
        <w:rPr>
          <w:rFonts w:ascii="Arial" w:eastAsia="Arial" w:hAnsi="Arial" w:cs="Arial"/>
          <w:b/>
          <w:i/>
          <w:sz w:val="24"/>
          <w:szCs w:val="24"/>
        </w:rPr>
        <w:t xml:space="preserve"> </w:t>
      </w:r>
      <w:r>
        <w:rPr>
          <w:rFonts w:ascii="Arial" w:eastAsia="Arial" w:hAnsi="Arial" w:cs="Arial"/>
          <w:i/>
          <w:sz w:val="24"/>
          <w:szCs w:val="24"/>
        </w:rPr>
        <w:t xml:space="preserve">con fecha desconocida para la suscrita por no haberse notificado legalmente emitido por la Secretaría de Finanzas del Poder Ejecutivo del Estado de Oaxaca con sede en ciudad Judicial del Estado de Oaxaca domicilio conocido, por la que resuelve mediante acto administrativo que debo un CRÉDITO FISCAL NÚMERO </w:t>
      </w:r>
      <w:r w:rsidR="0056020A">
        <w:rPr>
          <w:rFonts w:ascii="Arial" w:eastAsia="Arial" w:hAnsi="Arial" w:cs="Arial"/>
          <w:i/>
          <w:color w:val="FF0000"/>
          <w:sz w:val="24"/>
          <w:szCs w:val="24"/>
        </w:rPr>
        <w:t>**********</w:t>
      </w:r>
      <w:r>
        <w:rPr>
          <w:rFonts w:ascii="Arial" w:eastAsia="Arial" w:hAnsi="Arial" w:cs="Arial"/>
          <w:i/>
          <w:sz w:val="24"/>
          <w:szCs w:val="24"/>
        </w:rPr>
        <w:t>, en virtud de que la Autoridad Fiscal nunca me notificó el crédito impuesta (sic) en los términos de los arts. 138 a 140 del Código Fiscal para el Estado de Oaxaca en vigor…desde luego que se impugnan también, todas las consecuencias de hecho y de derecho que se deriven de dicho acto administrativo y/o resolución, sus accesorios legales si los hubiere y cualquiera otra naturaleza consecuencial o circunstancial que pudiera producir efectos legales en mi perjuicio” (Énfasis de origen).</w:t>
      </w:r>
    </w:p>
    <w:p w14:paraId="0331AE9C" w14:textId="630AA345" w:rsidR="00233E81" w:rsidRDefault="00233E81" w:rsidP="00233E81">
      <w:pPr>
        <w:spacing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Por su parte, el Director de lo Contencioso de la Procuraduría Fiscal de la Subsecretaría de Ingresos de la Secretaría de Finanzas del Estado, al dar contestación a la demanda de nulidad en representación jurídica de la Secretaría de Finanzas del Estado, ofreció dentro de sus pruebas las siguientes: </w:t>
      </w:r>
      <w:r>
        <w:rPr>
          <w:rFonts w:ascii="Arial" w:eastAsia="Arial" w:hAnsi="Arial" w:cs="Arial"/>
          <w:b/>
          <w:sz w:val="24"/>
          <w:szCs w:val="24"/>
        </w:rPr>
        <w:t xml:space="preserve">a) </w:t>
      </w:r>
      <w:r>
        <w:rPr>
          <w:rFonts w:ascii="Arial" w:eastAsia="Arial" w:hAnsi="Arial" w:cs="Arial"/>
          <w:sz w:val="24"/>
          <w:szCs w:val="24"/>
        </w:rPr>
        <w:t xml:space="preserve">mandamiento de ejecución número </w:t>
      </w:r>
      <w:r w:rsidR="0056020A">
        <w:rPr>
          <w:rFonts w:ascii="Arial" w:eastAsia="Arial" w:hAnsi="Arial" w:cs="Arial"/>
          <w:color w:val="FF0000"/>
          <w:sz w:val="24"/>
          <w:szCs w:val="24"/>
        </w:rPr>
        <w:t>**********</w:t>
      </w:r>
      <w:r>
        <w:rPr>
          <w:rFonts w:ascii="Arial" w:eastAsia="Arial" w:hAnsi="Arial" w:cs="Arial"/>
          <w:sz w:val="24"/>
          <w:szCs w:val="24"/>
        </w:rPr>
        <w:t xml:space="preserve"> de veintiséis de julio del dos mil dieciséis; </w:t>
      </w:r>
      <w:r>
        <w:rPr>
          <w:rFonts w:ascii="Arial" w:eastAsia="Arial" w:hAnsi="Arial" w:cs="Arial"/>
          <w:b/>
          <w:sz w:val="24"/>
          <w:szCs w:val="24"/>
        </w:rPr>
        <w:t>b)</w:t>
      </w:r>
      <w:r>
        <w:rPr>
          <w:rFonts w:ascii="Arial" w:eastAsia="Arial" w:hAnsi="Arial" w:cs="Arial"/>
          <w:sz w:val="24"/>
          <w:szCs w:val="24"/>
        </w:rPr>
        <w:t xml:space="preserve"> citatorio de nueve de noviembre del dos mil dieciséis; </w:t>
      </w:r>
      <w:r>
        <w:rPr>
          <w:rFonts w:ascii="Arial" w:eastAsia="Arial" w:hAnsi="Arial" w:cs="Arial"/>
          <w:b/>
          <w:sz w:val="24"/>
          <w:szCs w:val="24"/>
        </w:rPr>
        <w:t>c)</w:t>
      </w:r>
      <w:r>
        <w:rPr>
          <w:rFonts w:ascii="Arial" w:eastAsia="Arial" w:hAnsi="Arial" w:cs="Arial"/>
          <w:sz w:val="24"/>
          <w:szCs w:val="24"/>
        </w:rPr>
        <w:t xml:space="preserve"> acta de requerimiento de pago de diez de noviembre de dos mil dieciséis; </w:t>
      </w:r>
      <w:r>
        <w:rPr>
          <w:rFonts w:ascii="Arial" w:eastAsia="Arial" w:hAnsi="Arial" w:cs="Arial"/>
          <w:b/>
          <w:sz w:val="24"/>
          <w:szCs w:val="24"/>
        </w:rPr>
        <w:t xml:space="preserve">d) </w:t>
      </w:r>
      <w:r>
        <w:rPr>
          <w:rFonts w:ascii="Arial" w:eastAsia="Arial" w:hAnsi="Arial" w:cs="Arial"/>
          <w:sz w:val="24"/>
          <w:szCs w:val="24"/>
        </w:rPr>
        <w:t xml:space="preserve">acta de embargo de diez de noviembre del dos mil dieciséis; </w:t>
      </w:r>
      <w:r>
        <w:rPr>
          <w:rFonts w:ascii="Arial" w:eastAsia="Arial" w:hAnsi="Arial" w:cs="Arial"/>
          <w:b/>
          <w:sz w:val="24"/>
          <w:szCs w:val="24"/>
        </w:rPr>
        <w:t>i)</w:t>
      </w:r>
      <w:r>
        <w:rPr>
          <w:rFonts w:ascii="Arial" w:eastAsia="Arial" w:hAnsi="Arial" w:cs="Arial"/>
          <w:sz w:val="24"/>
          <w:szCs w:val="24"/>
        </w:rPr>
        <w:t xml:space="preserve"> acuerdo de ampliación de embargo de veinticinco de febrero del dos mil veinte; </w:t>
      </w:r>
      <w:r>
        <w:rPr>
          <w:rFonts w:ascii="Arial" w:eastAsia="Arial" w:hAnsi="Arial" w:cs="Arial"/>
          <w:b/>
          <w:sz w:val="24"/>
          <w:szCs w:val="24"/>
        </w:rPr>
        <w:t>j)</w:t>
      </w:r>
      <w:r>
        <w:rPr>
          <w:rFonts w:ascii="Arial" w:eastAsia="Arial" w:hAnsi="Arial" w:cs="Arial"/>
          <w:sz w:val="24"/>
          <w:szCs w:val="24"/>
        </w:rPr>
        <w:t xml:space="preserve"> Citatorio de dos de marzo del dos mil veinte; </w:t>
      </w:r>
      <w:r>
        <w:rPr>
          <w:rFonts w:ascii="Arial" w:eastAsia="Arial" w:hAnsi="Arial" w:cs="Arial"/>
          <w:b/>
          <w:sz w:val="24"/>
          <w:szCs w:val="24"/>
        </w:rPr>
        <w:t>k)</w:t>
      </w:r>
      <w:r>
        <w:rPr>
          <w:rFonts w:ascii="Arial" w:eastAsia="Arial" w:hAnsi="Arial" w:cs="Arial"/>
          <w:sz w:val="24"/>
          <w:szCs w:val="24"/>
        </w:rPr>
        <w:t xml:space="preserve"> Acta de ampliación de embargo tres de marzo del dos mil veinte; documentales que al ser emitidas por servidores públicos en ejercicio de sus funciones, adquieren el carácter de documentos públicos, los cuales hacen prueba plena en términos del artículo 203 fracción I de la Ley de Procedimiento y Justicia Administrativa para el Estado de Oaxaca.</w:t>
      </w:r>
    </w:p>
    <w:p w14:paraId="24043D30" w14:textId="77777777" w:rsidR="00233E81" w:rsidRDefault="00233E81" w:rsidP="00233E81">
      <w:pPr>
        <w:spacing w:line="360" w:lineRule="auto"/>
        <w:ind w:firstLine="567"/>
        <w:jc w:val="both"/>
        <w:rPr>
          <w:rFonts w:ascii="Arial" w:eastAsia="Arial" w:hAnsi="Arial" w:cs="Arial"/>
          <w:sz w:val="24"/>
          <w:szCs w:val="24"/>
        </w:rPr>
      </w:pPr>
      <w:r>
        <w:rPr>
          <w:rFonts w:ascii="Arial" w:eastAsia="Arial" w:hAnsi="Arial" w:cs="Arial"/>
          <w:sz w:val="24"/>
          <w:szCs w:val="24"/>
        </w:rPr>
        <w:t>Por lo que, mediante auto de treinta y uno de agosto de dos mil veinte, se ordenó correrle traslado con dichos documentos a la parte actora, y se le concedió el término de cinco días hábiles para que realizara la ampliación de su demanda de nulidad en contra de los actos administrativos señalados, es decir, formulara conceptos de impugnación en su contra.</w:t>
      </w:r>
    </w:p>
    <w:p w14:paraId="51AC1BDA" w14:textId="1FC5F170" w:rsidR="00233E81" w:rsidRDefault="00233E81" w:rsidP="00233E81">
      <w:pPr>
        <w:spacing w:line="360" w:lineRule="auto"/>
        <w:ind w:firstLine="567"/>
        <w:jc w:val="both"/>
        <w:rPr>
          <w:rFonts w:ascii="Arial" w:eastAsia="Arial" w:hAnsi="Arial" w:cs="Arial"/>
          <w:sz w:val="24"/>
          <w:szCs w:val="24"/>
        </w:rPr>
      </w:pPr>
      <w:r>
        <w:rPr>
          <w:rFonts w:ascii="Arial" w:eastAsia="Arial" w:hAnsi="Arial" w:cs="Arial"/>
          <w:sz w:val="24"/>
          <w:szCs w:val="24"/>
        </w:rPr>
        <w:t xml:space="preserve">Sin embargo, por acuerdo de veintitrés de febrero de dos mil veintiuno, se hizo efectivo el apercibimiento a la parte actora y se declaró la preclusión de su derecho correspondiente para realizar la ampliación de su demanda de nulidad. Por lo tanto, el análisis de la competencia de este Tribunal versará sobre: </w:t>
      </w:r>
      <w:r>
        <w:rPr>
          <w:rFonts w:ascii="Arial" w:eastAsia="Arial" w:hAnsi="Arial" w:cs="Arial"/>
          <w:b/>
          <w:sz w:val="24"/>
          <w:szCs w:val="24"/>
        </w:rPr>
        <w:t xml:space="preserve">a) </w:t>
      </w:r>
      <w:r>
        <w:rPr>
          <w:rFonts w:ascii="Arial" w:eastAsia="Arial" w:hAnsi="Arial" w:cs="Arial"/>
          <w:sz w:val="24"/>
          <w:szCs w:val="24"/>
        </w:rPr>
        <w:t xml:space="preserve">el mandamiento de ejecución número </w:t>
      </w:r>
      <w:r w:rsidR="0056020A">
        <w:rPr>
          <w:rFonts w:ascii="Arial" w:eastAsia="Arial" w:hAnsi="Arial" w:cs="Arial"/>
          <w:color w:val="FF0000"/>
          <w:sz w:val="24"/>
          <w:szCs w:val="24"/>
        </w:rPr>
        <w:t>**********</w:t>
      </w:r>
      <w:r>
        <w:rPr>
          <w:rFonts w:ascii="Arial" w:eastAsia="Arial" w:hAnsi="Arial" w:cs="Arial"/>
          <w:sz w:val="24"/>
          <w:szCs w:val="24"/>
        </w:rPr>
        <w:t xml:space="preserve"> de veintiséis de julio del dos mil dieciséis; </w:t>
      </w:r>
      <w:r>
        <w:rPr>
          <w:rFonts w:ascii="Arial" w:eastAsia="Arial" w:hAnsi="Arial" w:cs="Arial"/>
          <w:b/>
          <w:sz w:val="24"/>
          <w:szCs w:val="24"/>
        </w:rPr>
        <w:t>b)</w:t>
      </w:r>
      <w:r>
        <w:rPr>
          <w:rFonts w:ascii="Arial" w:eastAsia="Arial" w:hAnsi="Arial" w:cs="Arial"/>
          <w:sz w:val="24"/>
          <w:szCs w:val="24"/>
        </w:rPr>
        <w:t xml:space="preserve"> citatorio de nueve de noviembre del dos mil dieciséis; </w:t>
      </w:r>
      <w:r>
        <w:rPr>
          <w:rFonts w:ascii="Arial" w:eastAsia="Arial" w:hAnsi="Arial" w:cs="Arial"/>
          <w:b/>
          <w:sz w:val="24"/>
          <w:szCs w:val="24"/>
        </w:rPr>
        <w:t>c)</w:t>
      </w:r>
      <w:r>
        <w:rPr>
          <w:rFonts w:ascii="Arial" w:eastAsia="Arial" w:hAnsi="Arial" w:cs="Arial"/>
          <w:sz w:val="24"/>
          <w:szCs w:val="24"/>
        </w:rPr>
        <w:t xml:space="preserve"> acta de requerimiento de pago de diez de noviembre de dos mil dieciséis; </w:t>
      </w:r>
      <w:r>
        <w:rPr>
          <w:rFonts w:ascii="Arial" w:eastAsia="Arial" w:hAnsi="Arial" w:cs="Arial"/>
          <w:b/>
          <w:sz w:val="24"/>
          <w:szCs w:val="24"/>
        </w:rPr>
        <w:t xml:space="preserve">d) </w:t>
      </w:r>
      <w:r>
        <w:rPr>
          <w:rFonts w:ascii="Arial" w:eastAsia="Arial" w:hAnsi="Arial" w:cs="Arial"/>
          <w:sz w:val="24"/>
          <w:szCs w:val="24"/>
        </w:rPr>
        <w:t xml:space="preserve">acta de embargo de diez de noviembre del dos mil dieciséis; </w:t>
      </w:r>
      <w:r>
        <w:rPr>
          <w:rFonts w:ascii="Arial" w:eastAsia="Arial" w:hAnsi="Arial" w:cs="Arial"/>
          <w:b/>
          <w:sz w:val="24"/>
          <w:szCs w:val="24"/>
        </w:rPr>
        <w:t>i)</w:t>
      </w:r>
      <w:r>
        <w:rPr>
          <w:rFonts w:ascii="Arial" w:eastAsia="Arial" w:hAnsi="Arial" w:cs="Arial"/>
          <w:sz w:val="24"/>
          <w:szCs w:val="24"/>
        </w:rPr>
        <w:t xml:space="preserve"> acuerdo de ampliación de embargo de veinticinco de febrero del dos mil veinte; </w:t>
      </w:r>
      <w:r>
        <w:rPr>
          <w:rFonts w:ascii="Arial" w:eastAsia="Arial" w:hAnsi="Arial" w:cs="Arial"/>
          <w:b/>
          <w:sz w:val="24"/>
          <w:szCs w:val="24"/>
        </w:rPr>
        <w:t>j)</w:t>
      </w:r>
      <w:r>
        <w:rPr>
          <w:rFonts w:ascii="Arial" w:eastAsia="Arial" w:hAnsi="Arial" w:cs="Arial"/>
          <w:sz w:val="24"/>
          <w:szCs w:val="24"/>
        </w:rPr>
        <w:t xml:space="preserve"> Citatorio de dos de marzo del dos mil veinte; </w:t>
      </w:r>
      <w:r>
        <w:rPr>
          <w:rFonts w:ascii="Arial" w:eastAsia="Arial" w:hAnsi="Arial" w:cs="Arial"/>
          <w:b/>
          <w:sz w:val="24"/>
          <w:szCs w:val="24"/>
        </w:rPr>
        <w:t>k)</w:t>
      </w:r>
      <w:r>
        <w:rPr>
          <w:rFonts w:ascii="Arial" w:eastAsia="Arial" w:hAnsi="Arial" w:cs="Arial"/>
          <w:sz w:val="24"/>
          <w:szCs w:val="24"/>
        </w:rPr>
        <w:t xml:space="preserve"> Acta de ampliación de embargo tres de marzo del dos mil veinte</w:t>
      </w:r>
    </w:p>
    <w:p w14:paraId="09540572" w14:textId="74805A35" w:rsidR="00E54C9E" w:rsidRDefault="00233E81"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Por lo tanto, del</w:t>
      </w:r>
      <w:r w:rsidR="00E54C9E">
        <w:rPr>
          <w:rFonts w:ascii="Arial" w:eastAsia="Arial" w:hAnsi="Arial" w:cs="Arial"/>
          <w:sz w:val="24"/>
          <w:szCs w:val="24"/>
        </w:rPr>
        <w:t xml:space="preserve"> análisis del mandamiento de ejecución número</w:t>
      </w:r>
      <w:r>
        <w:rPr>
          <w:rFonts w:ascii="Arial" w:eastAsia="Arial" w:hAnsi="Arial" w:cs="Arial"/>
          <w:sz w:val="24"/>
          <w:szCs w:val="24"/>
        </w:rPr>
        <w:t xml:space="preserve"> </w:t>
      </w:r>
      <w:r w:rsidR="0056020A">
        <w:rPr>
          <w:rFonts w:ascii="Arial" w:eastAsia="Arial" w:hAnsi="Arial" w:cs="Arial"/>
          <w:color w:val="FF0000"/>
          <w:sz w:val="24"/>
          <w:szCs w:val="24"/>
        </w:rPr>
        <w:t>**********</w:t>
      </w:r>
      <w:r>
        <w:rPr>
          <w:rFonts w:ascii="Arial" w:eastAsia="Arial" w:hAnsi="Arial" w:cs="Arial"/>
          <w:sz w:val="24"/>
          <w:szCs w:val="24"/>
        </w:rPr>
        <w:t xml:space="preserve"> de veintiséis </w:t>
      </w:r>
      <w:r w:rsidR="00214E71">
        <w:rPr>
          <w:rFonts w:ascii="Arial" w:eastAsia="Arial" w:hAnsi="Arial" w:cs="Arial"/>
          <w:sz w:val="24"/>
          <w:szCs w:val="24"/>
        </w:rPr>
        <w:t xml:space="preserve">de julio del dos mil dieciséis, se advierte que el crédito fiscal número </w:t>
      </w:r>
      <w:r w:rsidR="0056020A">
        <w:rPr>
          <w:rFonts w:ascii="Arial" w:eastAsia="Arial" w:hAnsi="Arial" w:cs="Arial"/>
          <w:sz w:val="24"/>
          <w:szCs w:val="24"/>
        </w:rPr>
        <w:t>**********</w:t>
      </w:r>
      <w:r w:rsidR="00214E71">
        <w:rPr>
          <w:rFonts w:ascii="Arial" w:eastAsia="Arial" w:hAnsi="Arial" w:cs="Arial"/>
          <w:sz w:val="24"/>
          <w:szCs w:val="24"/>
        </w:rPr>
        <w:t xml:space="preserve">, tiene como origen la resolución </w:t>
      </w:r>
      <w:r w:rsidR="00CF6DD2">
        <w:rPr>
          <w:rFonts w:ascii="Arial" w:eastAsia="Arial" w:hAnsi="Arial" w:cs="Arial"/>
          <w:sz w:val="24"/>
          <w:szCs w:val="24"/>
        </w:rPr>
        <w:t xml:space="preserve">de veintisiete de marzo de dos mil quince, dictada en el procedimiento administrativo </w:t>
      </w:r>
      <w:r w:rsidR="00214E71">
        <w:rPr>
          <w:rFonts w:ascii="Arial" w:eastAsia="Arial" w:hAnsi="Arial" w:cs="Arial"/>
          <w:sz w:val="24"/>
          <w:szCs w:val="24"/>
        </w:rPr>
        <w:t xml:space="preserve">DGVS/OAX/OAX/EH/0158/07/2014, </w:t>
      </w:r>
      <w:r w:rsidR="00CF6DD2">
        <w:rPr>
          <w:rFonts w:ascii="Arial" w:eastAsia="Arial" w:hAnsi="Arial" w:cs="Arial"/>
          <w:sz w:val="24"/>
          <w:szCs w:val="24"/>
        </w:rPr>
        <w:t xml:space="preserve">por el </w:t>
      </w:r>
      <w:r w:rsidR="00CF6DD2" w:rsidRPr="00783BFD">
        <w:rPr>
          <w:rFonts w:ascii="Arial" w:eastAsia="Arial" w:hAnsi="Arial" w:cs="Arial"/>
          <w:b/>
          <w:sz w:val="24"/>
          <w:szCs w:val="24"/>
        </w:rPr>
        <w:t>Director de General de Verificación y Sanción de la Secretaría de Turismo</w:t>
      </w:r>
      <w:r w:rsidR="00CF6DD2">
        <w:rPr>
          <w:rFonts w:ascii="Arial" w:eastAsia="Arial" w:hAnsi="Arial" w:cs="Arial"/>
          <w:sz w:val="24"/>
          <w:szCs w:val="24"/>
        </w:rPr>
        <w:t xml:space="preserve">, en la cual se le impuso una multa por la cantidad de $2,691.60 (dos mil seiscientos noventa y un pesos 60/100 M.N.) al </w:t>
      </w:r>
      <w:r w:rsidR="0056020A">
        <w:rPr>
          <w:rFonts w:ascii="Arial" w:eastAsia="Arial" w:hAnsi="Arial" w:cs="Arial"/>
          <w:color w:val="FF0000"/>
          <w:sz w:val="24"/>
          <w:szCs w:val="24"/>
        </w:rPr>
        <w:t>**********</w:t>
      </w:r>
      <w:r w:rsidR="00CF6DD2" w:rsidRPr="00CB1FA6">
        <w:rPr>
          <w:rFonts w:ascii="Arial" w:eastAsia="Arial" w:hAnsi="Arial" w:cs="Arial"/>
          <w:color w:val="FF0000"/>
          <w:sz w:val="24"/>
          <w:szCs w:val="24"/>
        </w:rPr>
        <w:t xml:space="preserve"> y/o </w:t>
      </w:r>
      <w:r w:rsidR="0056020A">
        <w:rPr>
          <w:rFonts w:ascii="Arial" w:eastAsia="Arial" w:hAnsi="Arial" w:cs="Arial"/>
          <w:color w:val="FF0000"/>
          <w:sz w:val="24"/>
          <w:szCs w:val="24"/>
        </w:rPr>
        <w:t>**********</w:t>
      </w:r>
      <w:r w:rsidR="00CF6DD2">
        <w:rPr>
          <w:rFonts w:ascii="Arial" w:eastAsia="Arial" w:hAnsi="Arial" w:cs="Arial"/>
          <w:sz w:val="24"/>
          <w:szCs w:val="24"/>
        </w:rPr>
        <w:t>.</w:t>
      </w:r>
    </w:p>
    <w:p w14:paraId="5B90F1BF" w14:textId="207BCEF1" w:rsidR="00CA58EA" w:rsidRDefault="00CA58EA"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lastRenderedPageBreak/>
        <w:t xml:space="preserve">De donde se obtiene que la autoridad emisora </w:t>
      </w:r>
      <w:bookmarkStart w:id="0" w:name="_GoBack"/>
      <w:bookmarkEnd w:id="0"/>
      <w:r>
        <w:rPr>
          <w:rFonts w:ascii="Arial" w:eastAsia="Arial" w:hAnsi="Arial" w:cs="Arial"/>
          <w:sz w:val="24"/>
          <w:szCs w:val="24"/>
        </w:rPr>
        <w:t>de dicho acto administrativo, es una autoridad correspondiente a la administración pública federal, como lo señala el artículo 26 de la Ley Orgánica de la Administración Pública Federal</w:t>
      </w:r>
      <w:r w:rsidR="004C7715">
        <w:rPr>
          <w:rStyle w:val="Refdenotaalpie"/>
          <w:rFonts w:ascii="Arial" w:eastAsia="Arial" w:hAnsi="Arial" w:cs="Arial"/>
          <w:sz w:val="24"/>
          <w:szCs w:val="24"/>
        </w:rPr>
        <w:footnoteReference w:id="1"/>
      </w:r>
      <w:r>
        <w:rPr>
          <w:rFonts w:ascii="Arial" w:eastAsia="Arial" w:hAnsi="Arial" w:cs="Arial"/>
          <w:sz w:val="24"/>
          <w:szCs w:val="24"/>
        </w:rPr>
        <w:t xml:space="preserve">. </w:t>
      </w:r>
    </w:p>
    <w:p w14:paraId="2BDBFAAA" w14:textId="4FDF7972" w:rsidR="00910634" w:rsidRDefault="00910634"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Ahora, si bien es cierto los actos que impugna la parte actora fueron emitidos por una autoridad integrante de la administración pública estatal, cierto es también que esta actuó como una autoridad coordinada en materia federal en términos del Convenio de Colaboración Administrativa en Materia Fiscal Federal, celebrado entre el Gobierno Federal por conducto de la Secretaría de Hacienda y Crédito Público y el Gobierno del Estado de Oaxaca, el cual fue publicado en el Periódico Oficial del Estado de Oaxaca, ocho de agosto de dos mil quince, y en el Diario Oficial de la Federación el catorce de agosto de dos mil quince.</w:t>
      </w:r>
    </w:p>
    <w:p w14:paraId="6AF18DF2" w14:textId="02D640B0" w:rsidR="00910634" w:rsidRDefault="00910634"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De ahí, que esta Sexta Sala Unitaria del Tribunal de Justicia Administrativa del Estado de Oaxaca, carece de </w:t>
      </w:r>
      <w:r>
        <w:rPr>
          <w:rFonts w:ascii="Arial" w:eastAsia="Arial" w:hAnsi="Arial" w:cs="Arial"/>
          <w:b/>
          <w:sz w:val="24"/>
          <w:szCs w:val="24"/>
        </w:rPr>
        <w:t xml:space="preserve">competencia material </w:t>
      </w:r>
      <w:r>
        <w:rPr>
          <w:rFonts w:ascii="Arial" w:eastAsia="Arial" w:hAnsi="Arial" w:cs="Arial"/>
          <w:sz w:val="24"/>
          <w:szCs w:val="24"/>
        </w:rPr>
        <w:t>para conocer de los actos que impugna la parte actora, pues como ya se dijo, los actos impugnados son de competencia federal.</w:t>
      </w:r>
    </w:p>
    <w:p w14:paraId="5820F14F" w14:textId="12FAD645" w:rsidR="00910634" w:rsidRDefault="00910634" w:rsidP="00CF6DD2">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Por lo tanto, esta Sala Unitaria </w:t>
      </w:r>
      <w:r>
        <w:rPr>
          <w:rFonts w:ascii="Arial" w:eastAsia="Arial" w:hAnsi="Arial" w:cs="Arial"/>
          <w:b/>
          <w:sz w:val="24"/>
          <w:szCs w:val="24"/>
        </w:rPr>
        <w:t xml:space="preserve">SE DECLARA INCOMPETENTE </w:t>
      </w:r>
      <w:r>
        <w:rPr>
          <w:rFonts w:ascii="Arial" w:eastAsia="Arial" w:hAnsi="Arial" w:cs="Arial"/>
          <w:sz w:val="24"/>
          <w:szCs w:val="24"/>
        </w:rPr>
        <w:t xml:space="preserve">para seguir conociendo el presente asunto, </w:t>
      </w:r>
      <w:r w:rsidR="000106C9">
        <w:rPr>
          <w:rFonts w:ascii="Arial" w:eastAsia="Arial" w:hAnsi="Arial" w:cs="Arial"/>
          <w:sz w:val="24"/>
          <w:szCs w:val="24"/>
        </w:rPr>
        <w:t xml:space="preserve">por lo que, se dejan a salvo los derechos de la administrada, para que lo haga valer en la vía y la forma que considere pertinente, en virtud de que la Ley de Procedimiento y Justicia Administrativa para el Estado de Oaxaca, </w:t>
      </w:r>
      <w:r w:rsidR="003B3E10">
        <w:rPr>
          <w:rFonts w:ascii="Arial" w:eastAsia="Arial" w:hAnsi="Arial" w:cs="Arial"/>
          <w:sz w:val="24"/>
          <w:szCs w:val="24"/>
        </w:rPr>
        <w:t>no contiene ninguna disposición que faculte a este Órgano Jurisdiccional a remitir el asunto a la autoridad que tenga competencia para resolverlo. Además, que ello no transgrede el derecho humano a una tutela judicial efectiva, pues ello implicaría dar al citado derecho un alcance absoluto que desconocería las limitaciones legal y constitucionalmente admitidas.</w:t>
      </w:r>
    </w:p>
    <w:p w14:paraId="628FDAF0" w14:textId="6CA3CAE1" w:rsidR="003B3E10" w:rsidRPr="003B3E10" w:rsidRDefault="003B3E10" w:rsidP="003B3E10">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Sirve de ilustración, la jurisprudencia con número de Registro digital: 2002215, sustentada por la </w:t>
      </w:r>
      <w:r w:rsidRPr="003B3E10">
        <w:rPr>
          <w:rFonts w:ascii="Arial" w:eastAsia="Arial" w:hAnsi="Arial" w:cs="Arial"/>
          <w:sz w:val="24"/>
          <w:szCs w:val="24"/>
        </w:rPr>
        <w:t>Segunda Sala</w:t>
      </w:r>
      <w:r>
        <w:rPr>
          <w:rFonts w:ascii="Arial" w:eastAsia="Arial" w:hAnsi="Arial" w:cs="Arial"/>
          <w:sz w:val="24"/>
          <w:szCs w:val="24"/>
        </w:rPr>
        <w:t xml:space="preserve"> de la Suprema Corte de Justicia de la Nación, Décima Época </w:t>
      </w:r>
      <w:r w:rsidRPr="003B3E10">
        <w:rPr>
          <w:rFonts w:ascii="Arial" w:eastAsia="Arial" w:hAnsi="Arial" w:cs="Arial"/>
          <w:sz w:val="24"/>
          <w:szCs w:val="24"/>
        </w:rPr>
        <w:t>Mat</w:t>
      </w:r>
      <w:r>
        <w:rPr>
          <w:rFonts w:ascii="Arial" w:eastAsia="Arial" w:hAnsi="Arial" w:cs="Arial"/>
          <w:sz w:val="24"/>
          <w:szCs w:val="24"/>
        </w:rPr>
        <w:t xml:space="preserve">erias(s): Constitucional, Común, </w:t>
      </w:r>
      <w:r w:rsidRPr="003B3E10">
        <w:rPr>
          <w:rFonts w:ascii="Arial" w:eastAsia="Arial" w:hAnsi="Arial" w:cs="Arial"/>
          <w:sz w:val="24"/>
          <w:szCs w:val="24"/>
        </w:rPr>
        <w:t>Tesis: 2a</w:t>
      </w:r>
      <w:proofErr w:type="gramStart"/>
      <w:r w:rsidRPr="003B3E10">
        <w:rPr>
          <w:rFonts w:ascii="Arial" w:eastAsia="Arial" w:hAnsi="Arial" w:cs="Arial"/>
          <w:sz w:val="24"/>
          <w:szCs w:val="24"/>
        </w:rPr>
        <w:t>./</w:t>
      </w:r>
      <w:proofErr w:type="gramEnd"/>
      <w:r w:rsidRPr="003B3E10">
        <w:rPr>
          <w:rFonts w:ascii="Arial" w:eastAsia="Arial" w:hAnsi="Arial" w:cs="Arial"/>
          <w:sz w:val="24"/>
          <w:szCs w:val="24"/>
        </w:rPr>
        <w:t>J. 125/2012 (10a.)</w:t>
      </w:r>
      <w:r>
        <w:rPr>
          <w:rFonts w:ascii="Arial" w:eastAsia="Arial" w:hAnsi="Arial" w:cs="Arial"/>
          <w:sz w:val="24"/>
          <w:szCs w:val="24"/>
        </w:rPr>
        <w:t xml:space="preserve">, visible en el </w:t>
      </w:r>
      <w:r w:rsidRPr="003B3E10">
        <w:rPr>
          <w:rFonts w:ascii="Arial" w:eastAsia="Arial" w:hAnsi="Arial" w:cs="Arial"/>
          <w:sz w:val="24"/>
          <w:szCs w:val="24"/>
        </w:rPr>
        <w:t>Semanario Judicial de la Federación y su Gaceta. Libro XIV, Noviembre de 2012, Tomo 2, página 1583</w:t>
      </w:r>
      <w:r>
        <w:rPr>
          <w:rFonts w:ascii="Arial" w:eastAsia="Arial" w:hAnsi="Arial" w:cs="Arial"/>
          <w:sz w:val="24"/>
          <w:szCs w:val="24"/>
        </w:rPr>
        <w:t>, con el rubro y texto siguientes:</w:t>
      </w:r>
    </w:p>
    <w:p w14:paraId="7A2DA158" w14:textId="1961492D" w:rsidR="00910634" w:rsidRDefault="003B3E10" w:rsidP="001C6AD3">
      <w:pPr>
        <w:spacing w:before="240" w:after="0" w:line="276" w:lineRule="auto"/>
        <w:ind w:left="567" w:right="333" w:firstLine="567"/>
        <w:jc w:val="both"/>
        <w:rPr>
          <w:rFonts w:ascii="Arial" w:eastAsia="Arial" w:hAnsi="Arial" w:cs="Arial"/>
          <w:i/>
          <w:szCs w:val="24"/>
        </w:rPr>
      </w:pPr>
      <w:r w:rsidRPr="003B3E10">
        <w:rPr>
          <w:rFonts w:ascii="Arial" w:eastAsia="Arial" w:hAnsi="Arial" w:cs="Arial"/>
          <w:i/>
          <w:szCs w:val="24"/>
        </w:rPr>
        <w:t>“</w:t>
      </w:r>
      <w:r w:rsidRPr="003B3E10">
        <w:rPr>
          <w:rFonts w:ascii="Arial" w:eastAsia="Arial" w:hAnsi="Arial" w:cs="Arial"/>
          <w:b/>
          <w:i/>
          <w:szCs w:val="24"/>
        </w:rPr>
        <w:t>TUTELA JUDICIAL EFECTIVA. SU ALCANCE FRENTE AL DESECHAMIENTO DE LA DEMANDA DE AMPARO AL RESULTAR IMPROCEDENTE LA VÍA CONSTITUCIONAL Y PROCEDENTE LA ORDINARIA.</w:t>
      </w:r>
      <w:r w:rsidRPr="003B3E10">
        <w:rPr>
          <w:rFonts w:ascii="Arial" w:eastAsia="Arial" w:hAnsi="Arial" w:cs="Arial"/>
          <w:i/>
          <w:szCs w:val="24"/>
        </w:rPr>
        <w:t xml:space="preserve"> El reconocimiento del derecho a la tutela judicial efectiva frente </w:t>
      </w:r>
      <w:r w:rsidRPr="003B3E10">
        <w:rPr>
          <w:rFonts w:ascii="Arial" w:eastAsia="Arial" w:hAnsi="Arial" w:cs="Arial"/>
          <w:i/>
          <w:szCs w:val="24"/>
        </w:rPr>
        <w:lastRenderedPageBreak/>
        <w:t xml:space="preserve">al </w:t>
      </w:r>
      <w:proofErr w:type="spellStart"/>
      <w:r w:rsidRPr="003B3E10">
        <w:rPr>
          <w:rFonts w:ascii="Arial" w:eastAsia="Arial" w:hAnsi="Arial" w:cs="Arial"/>
          <w:i/>
          <w:szCs w:val="24"/>
        </w:rPr>
        <w:t>desechamiento</w:t>
      </w:r>
      <w:proofErr w:type="spellEnd"/>
      <w:r w:rsidRPr="003B3E10">
        <w:rPr>
          <w:rFonts w:ascii="Arial" w:eastAsia="Arial" w:hAnsi="Arial" w:cs="Arial"/>
          <w:i/>
          <w:szCs w:val="24"/>
        </w:rPr>
        <w:t xml:space="preserve"> de una demanda de amparo por improcedencia de la vía, </w:t>
      </w:r>
      <w:r w:rsidRPr="003B3E10">
        <w:rPr>
          <w:rFonts w:ascii="Arial" w:eastAsia="Arial" w:hAnsi="Arial" w:cs="Arial"/>
          <w:b/>
          <w:i/>
          <w:szCs w:val="24"/>
        </w:rPr>
        <w:t>no implica que el órgano constitucional del conocimiento deba señalar la autoridad jurisdiccional ordinaria que considera competente para tramitar la vía intentada y ordenar la remisión de los autos</w:t>
      </w:r>
      <w:r w:rsidRPr="003B3E10">
        <w:rPr>
          <w:rFonts w:ascii="Arial" w:eastAsia="Arial" w:hAnsi="Arial" w:cs="Arial"/>
          <w:i/>
          <w:szCs w:val="24"/>
        </w:rPr>
        <w:t xml:space="preserve"> y menos aún, que aquélla tome como fecha de ejercicio de la acción la de presentación de la demanda del juicio constitucional improcedente, pues ello implicaría dar al citado derecho un alcance absoluto que desconocería las limitaciones legal y constitucionalmente admitidas que guardan una razonable relación de proporcionalidad entre los medios que deben emplearse y su fin; es decir, se desvirtuaría la finalidad de instrumentar requisitos y presupuestos procesales que permitan mantener la legalidad y seguridad jurídica requeridas dentro del sistema jurídico, en tanto que se beneficiaría indebidamente a una parte y se desconocerían los derechos de la contraparte en un proceso, al permitir a los particulares rescatar términos fenecidos y desconocer instituciones jurídicas como la prescripción, instituidas para efectos de orden público.” </w:t>
      </w:r>
      <w:r w:rsidRPr="003B3E10">
        <w:rPr>
          <w:rFonts w:ascii="Arial" w:eastAsia="Arial" w:hAnsi="Arial" w:cs="Arial"/>
          <w:b/>
          <w:i/>
          <w:szCs w:val="24"/>
        </w:rPr>
        <w:t>(Énfasis añadido)</w:t>
      </w:r>
    </w:p>
    <w:p w14:paraId="1BB4E00E" w14:textId="77777777" w:rsidR="003B3E10" w:rsidRDefault="003B3E10" w:rsidP="003B3E10">
      <w:pPr>
        <w:spacing w:before="240" w:after="0" w:line="276" w:lineRule="auto"/>
        <w:ind w:right="-93" w:firstLine="567"/>
        <w:jc w:val="both"/>
        <w:rPr>
          <w:rFonts w:ascii="Arial" w:eastAsia="Arial" w:hAnsi="Arial" w:cs="Arial"/>
          <w:i/>
          <w:szCs w:val="24"/>
        </w:rPr>
      </w:pPr>
    </w:p>
    <w:p w14:paraId="77A63EFC" w14:textId="7B9490F2"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SEGUNDO</w:t>
      </w:r>
      <w:r w:rsidRPr="00417413">
        <w:rPr>
          <w:rFonts w:ascii="Arial" w:eastAsia="Times New Roman" w:hAnsi="Arial" w:cs="Arial"/>
          <w:b/>
          <w:sz w:val="24"/>
          <w:szCs w:val="24"/>
          <w:lang w:val="es-ES_tradnl" w:eastAsia="es-ES"/>
        </w:rPr>
        <w:t>.</w:t>
      </w:r>
      <w:r w:rsidRPr="00417413">
        <w:rPr>
          <w:rFonts w:ascii="Arial" w:eastAsia="Times New Roman" w:hAnsi="Arial" w:cs="Arial"/>
          <w:sz w:val="24"/>
          <w:szCs w:val="24"/>
          <w:lang w:val="es-ES_tradnl" w:eastAsia="es-ES"/>
        </w:rPr>
        <w:t xml:space="preserve"> Como </w:t>
      </w:r>
      <w:r>
        <w:rPr>
          <w:rFonts w:ascii="Arial" w:eastAsia="Times New Roman" w:hAnsi="Arial" w:cs="Arial"/>
          <w:sz w:val="24"/>
          <w:szCs w:val="24"/>
          <w:lang w:val="es-ES_tradnl" w:eastAsia="es-ES"/>
        </w:rPr>
        <w:t>se ha declarado la incompetencia de esta Sala Unitaria</w:t>
      </w:r>
      <w:r w:rsidRPr="00417413">
        <w:rPr>
          <w:rFonts w:ascii="Arial" w:eastAsia="Times New Roman" w:hAnsi="Arial" w:cs="Arial"/>
          <w:sz w:val="24"/>
          <w:szCs w:val="24"/>
          <w:lang w:val="es-ES_tradnl" w:eastAsia="es-ES"/>
        </w:rPr>
        <w:t>, este juzgador se encuentra impedido para entrar al fondo del asunto planteado, es decir, analizar los conceptos de impugnación expresados por la parte actora en su escrito de demanda.</w:t>
      </w:r>
    </w:p>
    <w:p w14:paraId="3FCB4E18" w14:textId="77777777" w:rsidR="003B3E10" w:rsidRPr="00417413" w:rsidRDefault="003B3E10" w:rsidP="003B3E10">
      <w:pPr>
        <w:spacing w:after="0" w:line="360" w:lineRule="auto"/>
        <w:ind w:firstLine="567"/>
        <w:jc w:val="both"/>
        <w:rPr>
          <w:rFonts w:ascii="Arial" w:eastAsia="Times New Roman" w:hAnsi="Arial" w:cs="Arial"/>
          <w:sz w:val="10"/>
          <w:szCs w:val="10"/>
          <w:lang w:val="es-ES_tradnl" w:eastAsia="es-ES"/>
        </w:rPr>
      </w:pPr>
    </w:p>
    <w:p w14:paraId="757FD4FE" w14:textId="77777777"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sidRPr="00417413">
        <w:rPr>
          <w:rFonts w:ascii="Arial" w:hAnsi="Arial" w:cs="Arial"/>
          <w:sz w:val="24"/>
          <w:szCs w:val="24"/>
        </w:rPr>
        <w:t xml:space="preserve">Sirve de referencia </w:t>
      </w:r>
      <w:r w:rsidRPr="00417413">
        <w:rPr>
          <w:rFonts w:ascii="Arial" w:eastAsia="Times New Roman" w:hAnsi="Arial" w:cs="Arial"/>
          <w:sz w:val="24"/>
          <w:szCs w:val="24"/>
          <w:lang w:val="es-ES_tradnl" w:eastAsia="es-ES"/>
        </w:rPr>
        <w:t>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441B1227" w14:textId="77777777" w:rsidR="003B3E10" w:rsidRPr="00417413" w:rsidRDefault="003B3E10" w:rsidP="003B3E10">
      <w:pPr>
        <w:spacing w:after="0"/>
        <w:ind w:left="567"/>
        <w:jc w:val="both"/>
        <w:rPr>
          <w:rFonts w:ascii="Arial" w:eastAsia="Times New Roman" w:hAnsi="Arial" w:cs="Arial"/>
          <w:sz w:val="14"/>
          <w:szCs w:val="14"/>
          <w:lang w:val="es-ES_tradnl" w:eastAsia="es-ES"/>
        </w:rPr>
      </w:pPr>
    </w:p>
    <w:p w14:paraId="5D944200" w14:textId="77777777" w:rsidR="003B3E10" w:rsidRPr="00D76402" w:rsidRDefault="003B3E10" w:rsidP="003B3E10">
      <w:pPr>
        <w:ind w:left="567" w:right="425"/>
        <w:jc w:val="both"/>
        <w:rPr>
          <w:rFonts w:ascii="Arial" w:eastAsia="Times New Roman" w:hAnsi="Arial" w:cs="Arial"/>
          <w:i/>
          <w:lang w:val="es-ES_tradnl" w:eastAsia="es-ES"/>
        </w:rPr>
      </w:pPr>
      <w:r w:rsidRPr="00417413">
        <w:rPr>
          <w:rFonts w:ascii="Arial" w:eastAsia="Times New Roman" w:hAnsi="Arial" w:cs="Arial"/>
          <w:i/>
          <w:lang w:val="es-ES_tradnl" w:eastAsia="es-ES"/>
        </w:rPr>
        <w:t>“</w:t>
      </w:r>
      <w:r w:rsidRPr="00417413">
        <w:rPr>
          <w:rFonts w:ascii="Arial" w:eastAsia="Times New Roman" w:hAnsi="Arial" w:cs="Arial"/>
          <w:b/>
          <w:i/>
          <w:lang w:val="es-ES_tradnl" w:eastAsia="es-ES"/>
        </w:rPr>
        <w:t>CONCEPTOS DE ANULACIÓN. LA FALTA DE SU ANÁLISIS POR LA SALA FISCAL NO RESULTA ILEGAL, SI SE SOBRESEYÓ EN EL JUICIO DE NULIDAD</w:t>
      </w:r>
      <w:r w:rsidRPr="00417413">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5A19A8D2" w14:textId="77777777" w:rsidR="003B3E10" w:rsidRPr="003B3E10" w:rsidRDefault="003B3E10" w:rsidP="003B3E10">
      <w:pPr>
        <w:spacing w:before="240" w:after="0" w:line="276" w:lineRule="auto"/>
        <w:ind w:right="-93" w:firstLine="567"/>
        <w:jc w:val="both"/>
        <w:rPr>
          <w:rFonts w:ascii="Arial" w:eastAsia="Arial" w:hAnsi="Arial" w:cs="Arial"/>
          <w:i/>
          <w:szCs w:val="24"/>
          <w:lang w:val="es-ES_tradnl"/>
        </w:rPr>
      </w:pPr>
    </w:p>
    <w:p w14:paraId="00000051" w14:textId="1B88339F" w:rsidR="00FB6062" w:rsidRDefault="00414E1F" w:rsidP="003B3E10">
      <w:pPr>
        <w:tabs>
          <w:tab w:val="left" w:pos="567"/>
        </w:tabs>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w:t>
      </w:r>
      <w:r w:rsidR="003B3E10">
        <w:rPr>
          <w:rFonts w:ascii="Arial" w:eastAsia="Arial" w:hAnsi="Arial" w:cs="Arial"/>
          <w:sz w:val="24"/>
          <w:szCs w:val="24"/>
        </w:rPr>
        <w:t xml:space="preserve">el artículo </w:t>
      </w:r>
      <w:r>
        <w:rPr>
          <w:rFonts w:ascii="Arial" w:eastAsia="Arial" w:hAnsi="Arial" w:cs="Arial"/>
          <w:sz w:val="24"/>
          <w:szCs w:val="24"/>
        </w:rPr>
        <w:t xml:space="preserve">207, de la Ley de Procedimiento y Justicia Administrativa para el Estado de Oaxaca, se: - - - - </w:t>
      </w:r>
    </w:p>
    <w:p w14:paraId="00000052" w14:textId="77777777" w:rsidR="00FB6062" w:rsidRDefault="00414E1F" w:rsidP="003B3E10">
      <w:pPr>
        <w:spacing w:before="240" w:after="0" w:line="360" w:lineRule="auto"/>
        <w:ind w:right="-93"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46ADE8F6" w:rsidR="00FB6062" w:rsidRDefault="00414E1F" w:rsidP="003B3E10">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sidR="003B3E10">
        <w:rPr>
          <w:rFonts w:ascii="Arial" w:eastAsia="Arial" w:hAnsi="Arial" w:cs="Arial"/>
          <w:b/>
          <w:sz w:val="24"/>
          <w:szCs w:val="24"/>
        </w:rPr>
        <w:t>se declara in</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w:t>
      </w:r>
    </w:p>
    <w:p w14:paraId="00000054" w14:textId="3A15001A" w:rsidR="00FB6062" w:rsidRDefault="00414E1F" w:rsidP="003B3E10">
      <w:pPr>
        <w:spacing w:before="240" w:line="360" w:lineRule="auto"/>
        <w:ind w:right="-93" w:firstLine="567"/>
        <w:jc w:val="both"/>
        <w:rPr>
          <w:rFonts w:ascii="Arial" w:eastAsia="Arial" w:hAnsi="Arial" w:cs="Arial"/>
          <w:sz w:val="24"/>
          <w:szCs w:val="24"/>
        </w:rPr>
      </w:pPr>
      <w:r>
        <w:rPr>
          <w:rFonts w:ascii="Arial" w:eastAsia="Arial" w:hAnsi="Arial" w:cs="Arial"/>
          <w:b/>
          <w:sz w:val="24"/>
          <w:szCs w:val="24"/>
        </w:rPr>
        <w:lastRenderedPageBreak/>
        <w:t>SEGUNDO.</w:t>
      </w:r>
      <w:r>
        <w:rPr>
          <w:rFonts w:ascii="Arial" w:eastAsia="Arial" w:hAnsi="Arial" w:cs="Arial"/>
          <w:sz w:val="24"/>
          <w:szCs w:val="24"/>
        </w:rPr>
        <w:t xml:space="preserve"> </w:t>
      </w:r>
      <w:r w:rsidR="003B3E10" w:rsidRPr="00417413">
        <w:rPr>
          <w:rFonts w:ascii="Arial" w:eastAsia="Times New Roman" w:hAnsi="Arial" w:cs="Arial"/>
          <w:sz w:val="24"/>
          <w:szCs w:val="24"/>
          <w:lang w:val="es-ES_tradnl" w:eastAsia="es-ES"/>
        </w:rPr>
        <w:t xml:space="preserve">Como </w:t>
      </w:r>
      <w:r w:rsidR="003B3E10">
        <w:rPr>
          <w:rFonts w:ascii="Arial" w:eastAsia="Times New Roman" w:hAnsi="Arial" w:cs="Arial"/>
          <w:sz w:val="24"/>
          <w:szCs w:val="24"/>
          <w:lang w:val="es-ES_tradnl" w:eastAsia="es-ES"/>
        </w:rPr>
        <w:t>se ha declarado la incompetencia de esta Sala Unitaria</w:t>
      </w:r>
      <w:r w:rsidR="003B3E10" w:rsidRPr="00417413">
        <w:rPr>
          <w:rFonts w:ascii="Arial" w:eastAsia="Times New Roman" w:hAnsi="Arial" w:cs="Arial"/>
          <w:sz w:val="24"/>
          <w:szCs w:val="24"/>
          <w:lang w:val="es-ES_tradnl" w:eastAsia="es-ES"/>
        </w:rPr>
        <w:t>, este juzgador se encuentra impedido para entrar al fondo del asunto planteado</w:t>
      </w:r>
      <w:r w:rsidR="003B3E10">
        <w:rPr>
          <w:rFonts w:ascii="Arial" w:eastAsia="Arial" w:hAnsi="Arial" w:cs="Arial"/>
          <w:sz w:val="24"/>
          <w:szCs w:val="24"/>
        </w:rPr>
        <w:t>, como quedó establecido en el considerando segundo de esta sentencia.</w:t>
      </w:r>
      <w:r>
        <w:rPr>
          <w:rFonts w:ascii="Arial" w:eastAsia="Arial" w:hAnsi="Arial" w:cs="Arial"/>
          <w:sz w:val="24"/>
          <w:szCs w:val="24"/>
        </w:rPr>
        <w:t xml:space="preserve">- - - - - - - - - - - - - - - - - - - - - - - - - - - - - - - - - - - - - - - - - - - - - - - - - - </w:t>
      </w:r>
    </w:p>
    <w:p w14:paraId="00000057" w14:textId="681071DA" w:rsidR="00FB6062" w:rsidRDefault="00414E1F" w:rsidP="003B3E10">
      <w:pPr>
        <w:spacing w:line="360" w:lineRule="auto"/>
        <w:ind w:right="-93"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r w:rsidR="003B3E10">
        <w:rPr>
          <w:rFonts w:ascii="Arial" w:eastAsia="Arial" w:hAnsi="Arial" w:cs="Arial"/>
          <w:sz w:val="24"/>
          <w:szCs w:val="24"/>
        </w:rPr>
        <w:t xml:space="preserve">- - - - - - </w:t>
      </w:r>
    </w:p>
    <w:p w14:paraId="00000058" w14:textId="59ECADFB" w:rsidR="00FB6062" w:rsidRDefault="00414E1F" w:rsidP="003B3E10">
      <w:pPr>
        <w:spacing w:after="0" w:line="360" w:lineRule="auto"/>
        <w:ind w:right="-93"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3B3E10">
        <w:rPr>
          <w:rFonts w:ascii="Arial" w:eastAsia="Arial" w:hAnsi="Arial" w:cs="Arial"/>
          <w:sz w:val="24"/>
          <w:szCs w:val="24"/>
        </w:rPr>
        <w:t xml:space="preserve">- - - - - - - - - - - - - - - - - - - </w:t>
      </w:r>
    </w:p>
    <w:sectPr w:rsidR="00FB6062">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4502EA" w14:textId="77777777" w:rsidR="00923AC1" w:rsidRDefault="00923AC1">
      <w:pPr>
        <w:spacing w:after="0" w:line="240" w:lineRule="auto"/>
      </w:pPr>
      <w:r>
        <w:separator/>
      </w:r>
    </w:p>
  </w:endnote>
  <w:endnote w:type="continuationSeparator" w:id="0">
    <w:p w14:paraId="591E9AC8" w14:textId="77777777" w:rsidR="00923AC1" w:rsidRDefault="0092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75B7F" w14:textId="77777777" w:rsidR="00923AC1" w:rsidRDefault="00923AC1">
      <w:pPr>
        <w:spacing w:after="0" w:line="240" w:lineRule="auto"/>
      </w:pPr>
      <w:r>
        <w:separator/>
      </w:r>
    </w:p>
  </w:footnote>
  <w:footnote w:type="continuationSeparator" w:id="0">
    <w:p w14:paraId="7D989FCE" w14:textId="77777777" w:rsidR="00923AC1" w:rsidRDefault="00923AC1">
      <w:pPr>
        <w:spacing w:after="0" w:line="240" w:lineRule="auto"/>
      </w:pPr>
      <w:r>
        <w:continuationSeparator/>
      </w:r>
    </w:p>
  </w:footnote>
  <w:footnote w:id="1">
    <w:p w14:paraId="48BEBDCE" w14:textId="07FF2407" w:rsidR="004C7715" w:rsidRDefault="004C7715">
      <w:pPr>
        <w:pStyle w:val="Textonotapie"/>
      </w:pPr>
      <w:r>
        <w:rPr>
          <w:rStyle w:val="Refdenotaalpie"/>
        </w:rPr>
        <w:footnoteRef/>
      </w:r>
      <w:r>
        <w:t xml:space="preserve"> </w:t>
      </w:r>
      <w:r w:rsidRPr="004C7715">
        <w:rPr>
          <w:b/>
        </w:rPr>
        <w:t>ARTÍCULO 26</w:t>
      </w:r>
      <w:r>
        <w:t>. Para el despacho de los asuntos del orden administrativo, el Poder Ejecutivo de la Unión contará con las siguientes dependencias: (…)</w:t>
      </w:r>
    </w:p>
    <w:p w14:paraId="384346C7" w14:textId="532FC6C9" w:rsidR="004C7715" w:rsidRDefault="004C7715">
      <w:pPr>
        <w:pStyle w:val="Textonotapie"/>
      </w:pPr>
      <w:r>
        <w:t>Secretaría de Turismo,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C" w14:textId="6EE1E175" w:rsidR="00FB6062" w:rsidRDefault="0056020A">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allowOverlap="1" wp14:anchorId="0309F32D" wp14:editId="723D6D8E">
              <wp:simplePos x="0" y="0"/>
              <wp:positionH relativeFrom="column">
                <wp:posOffset>120854</wp:posOffset>
              </wp:positionH>
              <wp:positionV relativeFrom="paragraph">
                <wp:posOffset>-433286</wp:posOffset>
              </wp:positionV>
              <wp:extent cx="1069676" cy="776378"/>
              <wp:effectExtent l="0" t="0" r="16510" b="2413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676" cy="776378"/>
                      </a:xfrm>
                      <a:prstGeom prst="rect">
                        <a:avLst/>
                      </a:prstGeom>
                      <a:solidFill>
                        <a:sysClr val="window" lastClr="FFFFFF"/>
                      </a:solidFill>
                      <a:ln w="6350">
                        <a:solidFill>
                          <a:prstClr val="black"/>
                        </a:solidFill>
                      </a:ln>
                      <a:effectLst/>
                    </wps:spPr>
                    <wps:txbx>
                      <w:txbxContent>
                        <w:p w14:paraId="7478D210" w14:textId="77777777" w:rsidR="0056020A" w:rsidRPr="0056020A" w:rsidRDefault="0056020A" w:rsidP="0056020A">
                          <w:pPr>
                            <w:tabs>
                              <w:tab w:val="left" w:pos="1134"/>
                            </w:tabs>
                            <w:jc w:val="both"/>
                            <w:rPr>
                              <w:rFonts w:cstheme="minorHAnsi"/>
                              <w:sz w:val="16"/>
                              <w:szCs w:val="17"/>
                            </w:rPr>
                          </w:pPr>
                          <w:r w:rsidRPr="0056020A">
                            <w:rPr>
                              <w:rFonts w:cstheme="minorHAnsi"/>
                              <w:sz w:val="16"/>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9.5pt;margin-top:-34.1pt;width:84.25pt;height:6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" fillcolor="window" strokeweight=".5pt">
              <v:path arrowok="t"/>
              <v:textbox>
                <w:txbxContent>
                  <w:p w14:paraId="7478D210" w14:textId="77777777" w:rsidR="0056020A" w:rsidRPr="0056020A" w:rsidRDefault="0056020A" w:rsidP="0056020A">
                    <w:pPr>
                      <w:tabs>
                        <w:tab w:val="left" w:pos="1134"/>
                      </w:tabs>
                      <w:jc w:val="both"/>
                      <w:rPr>
                        <w:rFonts w:cstheme="minorHAnsi"/>
                        <w:sz w:val="16"/>
                        <w:szCs w:val="17"/>
                      </w:rPr>
                    </w:pPr>
                    <w:r w:rsidRPr="0056020A">
                      <w:rPr>
                        <w:rFonts w:cstheme="minorHAnsi"/>
                        <w:sz w:val="16"/>
                        <w:szCs w:val="17"/>
                      </w:rPr>
                      <w:t>Datos personales protegidos por el Art. 116 de la LGTAIP y el artículo 56 de la LTAIPEO.</w:t>
                    </w:r>
                  </w:p>
                </w:txbxContent>
              </v:textbox>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Pr>
        <w:noProof/>
        <w:color w:val="000000"/>
      </w:rPr>
      <w:t>7</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62"/>
    <w:rsid w:val="000106C9"/>
    <w:rsid w:val="00024DF0"/>
    <w:rsid w:val="001A0607"/>
    <w:rsid w:val="001C6AD3"/>
    <w:rsid w:val="00214E71"/>
    <w:rsid w:val="00233E81"/>
    <w:rsid w:val="00346A61"/>
    <w:rsid w:val="003B3E10"/>
    <w:rsid w:val="00414E1F"/>
    <w:rsid w:val="004C7715"/>
    <w:rsid w:val="0056020A"/>
    <w:rsid w:val="005E6407"/>
    <w:rsid w:val="006639D0"/>
    <w:rsid w:val="006A0441"/>
    <w:rsid w:val="00783BFD"/>
    <w:rsid w:val="00910634"/>
    <w:rsid w:val="00923AC1"/>
    <w:rsid w:val="00A10A2F"/>
    <w:rsid w:val="00CA58EA"/>
    <w:rsid w:val="00CB1FA6"/>
    <w:rsid w:val="00CF6DD2"/>
    <w:rsid w:val="00E54C9E"/>
    <w:rsid w:val="00E87C5E"/>
    <w:rsid w:val="00FB60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E91671-ED7D-43C6-B550-6D9E524D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7</Pages>
  <Words>2591</Words>
  <Characters>14253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15</cp:revision>
  <dcterms:created xsi:type="dcterms:W3CDTF">2019-11-19T04:46:00Z</dcterms:created>
  <dcterms:modified xsi:type="dcterms:W3CDTF">2022-04-04T19:54:00Z</dcterms:modified>
</cp:coreProperties>
</file>