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A80C48">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233DCCE6" w:rsidR="00216377" w:rsidRPr="00A240AA" w:rsidRDefault="00216377" w:rsidP="00A80C48">
      <w:pPr>
        <w:spacing w:line="240" w:lineRule="auto"/>
        <w:ind w:left="3119"/>
        <w:jc w:val="both"/>
        <w:rPr>
          <w:rFonts w:ascii="Arial" w:hAnsi="Arial" w:cs="Arial"/>
          <w:b/>
          <w:sz w:val="26"/>
          <w:szCs w:val="26"/>
        </w:rPr>
      </w:pPr>
      <w:r>
        <w:rPr>
          <w:rFonts w:ascii="Arial" w:hAnsi="Arial" w:cs="Arial"/>
          <w:b/>
          <w:sz w:val="26"/>
          <w:szCs w:val="26"/>
        </w:rPr>
        <w:t xml:space="preserve">RECURSO DE REVISIÓN: </w:t>
      </w:r>
      <w:r w:rsidR="00781B18">
        <w:rPr>
          <w:rFonts w:ascii="Arial" w:hAnsi="Arial" w:cs="Arial"/>
          <w:b/>
          <w:iCs/>
          <w:caps/>
          <w:sz w:val="26"/>
          <w:szCs w:val="26"/>
        </w:rPr>
        <w:t>0126/2022</w:t>
      </w:r>
    </w:p>
    <w:p w14:paraId="16D53DF4" w14:textId="2079DCA9" w:rsidR="00216377" w:rsidRPr="00CB6405" w:rsidRDefault="00216377" w:rsidP="00A80C48">
      <w:pPr>
        <w:spacing w:line="240" w:lineRule="auto"/>
        <w:ind w:left="311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781B18">
        <w:rPr>
          <w:rFonts w:ascii="Arial" w:hAnsi="Arial" w:cs="Arial"/>
          <w:b/>
          <w:sz w:val="26"/>
          <w:szCs w:val="26"/>
        </w:rPr>
        <w:t>0021/2021</w:t>
      </w:r>
      <w:r w:rsidR="00C67427">
        <w:rPr>
          <w:rFonts w:ascii="Arial" w:hAnsi="Arial" w:cs="Arial"/>
          <w:b/>
          <w:iCs/>
          <w:caps/>
          <w:sz w:val="26"/>
          <w:szCs w:val="26"/>
        </w:rPr>
        <w:t xml:space="preserve"> </w:t>
      </w:r>
      <w:r w:rsidR="00474AB4">
        <w:rPr>
          <w:rFonts w:ascii="Arial" w:hAnsi="Arial" w:cs="Arial"/>
          <w:b/>
          <w:iCs/>
          <w:sz w:val="26"/>
          <w:szCs w:val="26"/>
        </w:rPr>
        <w:t>SALA ESPECIALIZADA EN MATERIA DE RESPONSABILIDADES</w:t>
      </w:r>
      <w:r w:rsidR="00A80C48">
        <w:rPr>
          <w:rFonts w:ascii="Arial" w:hAnsi="Arial" w:cs="Arial"/>
          <w:b/>
          <w:iCs/>
          <w:sz w:val="26"/>
          <w:szCs w:val="26"/>
        </w:rPr>
        <w:t xml:space="preserve"> </w:t>
      </w:r>
      <w:r w:rsidR="00474AB4">
        <w:rPr>
          <w:rFonts w:ascii="Arial" w:hAnsi="Arial" w:cs="Arial"/>
          <w:b/>
          <w:iCs/>
          <w:sz w:val="26"/>
          <w:szCs w:val="26"/>
        </w:rPr>
        <w:t>ADMINISTRATIVAS Y COMBATE A LA CORRUPCIÓN</w:t>
      </w:r>
      <w:r>
        <w:rPr>
          <w:rFonts w:ascii="Arial" w:hAnsi="Arial" w:cs="Arial"/>
          <w:b/>
          <w:sz w:val="26"/>
          <w:szCs w:val="26"/>
        </w:rPr>
        <w:t>.</w:t>
      </w:r>
    </w:p>
    <w:p w14:paraId="0DB67536" w14:textId="77777777" w:rsidR="00216377" w:rsidRDefault="00216377" w:rsidP="00A80C48">
      <w:pPr>
        <w:spacing w:line="240" w:lineRule="auto"/>
        <w:ind w:left="311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57FB4B70" w:rsidR="00216377" w:rsidRDefault="00216377" w:rsidP="00872E89">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A80C48">
        <w:rPr>
          <w:rFonts w:ascii="Arial" w:hAnsi="Arial" w:cs="Arial"/>
          <w:b/>
          <w:sz w:val="26"/>
          <w:szCs w:val="26"/>
        </w:rPr>
        <w:t>VEINTISIETE</w:t>
      </w:r>
      <w:r>
        <w:rPr>
          <w:rFonts w:ascii="Arial" w:hAnsi="Arial" w:cs="Arial"/>
          <w:b/>
          <w:sz w:val="26"/>
          <w:szCs w:val="26"/>
        </w:rPr>
        <w:t xml:space="preserve"> DE </w:t>
      </w:r>
      <w:r w:rsidR="00A80C48">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C67427">
        <w:rPr>
          <w:rFonts w:ascii="Arial" w:hAnsi="Arial" w:cs="Arial"/>
          <w:b/>
          <w:sz w:val="26"/>
          <w:szCs w:val="26"/>
        </w:rPr>
        <w:t>DÓS</w:t>
      </w:r>
      <w:r>
        <w:rPr>
          <w:rFonts w:ascii="Arial" w:hAnsi="Arial" w:cs="Arial"/>
          <w:b/>
          <w:sz w:val="26"/>
          <w:szCs w:val="26"/>
        </w:rPr>
        <w:t xml:space="preserve">. - - - - - - </w:t>
      </w:r>
      <w:r w:rsidR="006D24B5">
        <w:rPr>
          <w:rFonts w:ascii="Arial" w:hAnsi="Arial" w:cs="Arial"/>
          <w:b/>
          <w:sz w:val="26"/>
          <w:szCs w:val="26"/>
        </w:rPr>
        <w:t xml:space="preserve">- - - - - - - - - - - - - - - - - </w:t>
      </w:r>
      <w:r w:rsidR="00827CCE">
        <w:rPr>
          <w:rFonts w:ascii="Arial" w:hAnsi="Arial" w:cs="Arial"/>
          <w:b/>
          <w:sz w:val="26"/>
          <w:szCs w:val="26"/>
        </w:rPr>
        <w:t xml:space="preserve">- - - - - - - - </w:t>
      </w:r>
    </w:p>
    <w:p w14:paraId="13499B7F" w14:textId="77A243C6" w:rsidR="00216377" w:rsidRDefault="00827CCE" w:rsidP="00872E89">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781B18">
        <w:rPr>
          <w:rFonts w:ascii="Arial" w:hAnsi="Arial" w:cs="Arial"/>
          <w:b/>
          <w:sz w:val="26"/>
          <w:szCs w:val="26"/>
        </w:rPr>
        <w:t>0126/2022</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 xml:space="preserve">rso de </w:t>
      </w:r>
      <w:r w:rsidR="00B17C41">
        <w:rPr>
          <w:rFonts w:ascii="Arial" w:hAnsi="Arial" w:cs="Arial"/>
          <w:sz w:val="26"/>
          <w:szCs w:val="26"/>
        </w:rPr>
        <w:t xml:space="preserve"> </w:t>
      </w:r>
      <w:r w:rsidR="001B2848">
        <w:rPr>
          <w:rFonts w:ascii="Arial" w:hAnsi="Arial" w:cs="Arial"/>
          <w:sz w:val="26"/>
          <w:szCs w:val="26"/>
        </w:rPr>
        <w:t>interpuesto por</w:t>
      </w:r>
      <w:r w:rsidR="004C045E">
        <w:rPr>
          <w:rFonts w:ascii="Arial" w:hAnsi="Arial" w:cs="Arial"/>
          <w:sz w:val="26"/>
          <w:szCs w:val="26"/>
        </w:rPr>
        <w:t xml:space="preserve"> el</w:t>
      </w:r>
      <w:r w:rsidR="00057388">
        <w:rPr>
          <w:rFonts w:ascii="Arial" w:hAnsi="Arial" w:cs="Arial"/>
          <w:sz w:val="26"/>
          <w:szCs w:val="26"/>
        </w:rPr>
        <w:t xml:space="preserve"> </w:t>
      </w:r>
      <w:r w:rsidR="00A80C48" w:rsidRPr="003D3F48">
        <w:rPr>
          <w:rFonts w:ascii="Arial" w:hAnsi="Arial" w:cs="Arial"/>
          <w:b/>
          <w:sz w:val="26"/>
          <w:szCs w:val="26"/>
        </w:rPr>
        <w:t xml:space="preserve">DIRECTOR </w:t>
      </w:r>
      <w:r w:rsidR="00A80C48">
        <w:rPr>
          <w:rFonts w:ascii="Arial" w:hAnsi="Arial" w:cs="Arial"/>
          <w:b/>
          <w:sz w:val="26"/>
          <w:szCs w:val="26"/>
        </w:rPr>
        <w:t>JURÍDICO DE LA SECRETARÍA DE LA CONTRALORÍA Y TRANSPARENCIA GUBERNAMENTAL DEL PODER EJECUTIVO DEL ESTADO DE OAXACA</w:t>
      </w:r>
      <w:r w:rsidR="00781B18">
        <w:rPr>
          <w:rFonts w:ascii="Arial" w:hAnsi="Arial" w:cs="Arial"/>
          <w:b/>
          <w:sz w:val="26"/>
          <w:szCs w:val="26"/>
        </w:rPr>
        <w:t>,</w:t>
      </w:r>
      <w:r w:rsidR="0090516D">
        <w:rPr>
          <w:rFonts w:ascii="Arial" w:hAnsi="Arial" w:cs="Arial"/>
          <w:b/>
          <w:sz w:val="26"/>
          <w:szCs w:val="26"/>
        </w:rPr>
        <w:t xml:space="preserve"> </w:t>
      </w:r>
      <w:r w:rsidR="0090516D" w:rsidRPr="0090516D">
        <w:rPr>
          <w:rFonts w:ascii="Arial" w:hAnsi="Arial" w:cs="Arial"/>
          <w:bCs/>
          <w:sz w:val="26"/>
          <w:szCs w:val="26"/>
        </w:rPr>
        <w:t>en su carácter de representante legal</w:t>
      </w:r>
      <w:r w:rsidR="0090516D">
        <w:rPr>
          <w:rFonts w:ascii="Arial" w:hAnsi="Arial" w:cs="Arial"/>
          <w:b/>
          <w:sz w:val="26"/>
          <w:szCs w:val="26"/>
        </w:rPr>
        <w:t xml:space="preserve"> </w:t>
      </w:r>
      <w:r w:rsidR="0090516D">
        <w:rPr>
          <w:rFonts w:ascii="Arial" w:hAnsi="Arial" w:cs="Arial"/>
          <w:sz w:val="26"/>
          <w:szCs w:val="26"/>
        </w:rPr>
        <w:t xml:space="preserve">del </w:t>
      </w:r>
      <w:r w:rsidR="00A80C48">
        <w:rPr>
          <w:rFonts w:ascii="Arial" w:hAnsi="Arial" w:cs="Arial"/>
          <w:b/>
          <w:sz w:val="26"/>
          <w:szCs w:val="26"/>
        </w:rPr>
        <w:t xml:space="preserve">SUBSECRETARIO DE RESPONSABILIDADES ADMINISTRATIVAS Y ANTICORRUPCIÓN </w:t>
      </w:r>
      <w:r w:rsidR="00A80C48" w:rsidRPr="00512A9D">
        <w:rPr>
          <w:rFonts w:ascii="Arial" w:hAnsi="Arial" w:cs="Arial"/>
          <w:bCs/>
          <w:sz w:val="26"/>
          <w:szCs w:val="26"/>
        </w:rPr>
        <w:t xml:space="preserve">y </w:t>
      </w:r>
      <w:r w:rsidR="00A80C48">
        <w:rPr>
          <w:rFonts w:ascii="Arial" w:hAnsi="Arial" w:cs="Arial"/>
          <w:bCs/>
          <w:sz w:val="26"/>
          <w:szCs w:val="26"/>
        </w:rPr>
        <w:t>d</w:t>
      </w:r>
      <w:r w:rsidR="00A80C48" w:rsidRPr="00512A9D">
        <w:rPr>
          <w:rFonts w:ascii="Arial" w:hAnsi="Arial" w:cs="Arial"/>
          <w:bCs/>
          <w:sz w:val="26"/>
          <w:szCs w:val="26"/>
        </w:rPr>
        <w:t>el</w:t>
      </w:r>
      <w:r w:rsidR="00A80C48">
        <w:rPr>
          <w:rFonts w:ascii="Arial" w:hAnsi="Arial" w:cs="Arial"/>
          <w:b/>
          <w:sz w:val="26"/>
          <w:szCs w:val="26"/>
        </w:rPr>
        <w:t xml:space="preserve"> DIRECTOR DE RESPONSABILIDADES ADMINISTRATIVAS Y SITUACIÓN PATRIMONIAL, AMBOS DE LA CITADA SECRETARÍA</w:t>
      </w:r>
      <w:r w:rsidR="00512A9D">
        <w:rPr>
          <w:rFonts w:ascii="Arial" w:hAnsi="Arial" w:cs="Arial"/>
          <w:b/>
          <w:sz w:val="26"/>
          <w:szCs w:val="26"/>
        </w:rPr>
        <w:t xml:space="preserve">, </w:t>
      </w:r>
      <w:r w:rsidR="00512A9D" w:rsidRPr="00512A9D">
        <w:rPr>
          <w:rFonts w:ascii="Arial" w:hAnsi="Arial" w:cs="Arial"/>
          <w:bCs/>
          <w:sz w:val="26"/>
          <w:szCs w:val="26"/>
        </w:rPr>
        <w:t>e</w:t>
      </w:r>
      <w:r w:rsidR="00414289">
        <w:rPr>
          <w:rFonts w:ascii="Arial" w:hAnsi="Arial" w:cs="Arial"/>
          <w:sz w:val="26"/>
          <w:szCs w:val="26"/>
        </w:rPr>
        <w:t xml:space="preserve">n contra de </w:t>
      </w:r>
      <w:r w:rsidR="004C045E">
        <w:rPr>
          <w:rFonts w:ascii="Arial" w:hAnsi="Arial" w:cs="Arial"/>
          <w:sz w:val="26"/>
          <w:szCs w:val="26"/>
        </w:rPr>
        <w:t xml:space="preserve">la sentencia de </w:t>
      </w:r>
      <w:r w:rsidR="00781B18">
        <w:rPr>
          <w:rFonts w:ascii="Arial" w:hAnsi="Arial" w:cs="Arial"/>
          <w:sz w:val="26"/>
          <w:szCs w:val="26"/>
        </w:rPr>
        <w:t>dieciocho de abril de dos mil veintidós</w:t>
      </w:r>
      <w:r w:rsidR="001B2848">
        <w:rPr>
          <w:rFonts w:ascii="Arial" w:hAnsi="Arial" w:cs="Arial"/>
          <w:sz w:val="26"/>
          <w:szCs w:val="26"/>
        </w:rPr>
        <w:t>, dictada</w:t>
      </w:r>
      <w:r w:rsidR="001B2848" w:rsidRPr="00CB6405">
        <w:rPr>
          <w:rFonts w:ascii="Arial" w:hAnsi="Arial" w:cs="Arial"/>
          <w:sz w:val="26"/>
          <w:szCs w:val="26"/>
        </w:rPr>
        <w:t xml:space="preserve"> en el expediente </w:t>
      </w:r>
      <w:r w:rsidR="00781B18">
        <w:rPr>
          <w:rFonts w:ascii="Arial" w:hAnsi="Arial" w:cs="Arial"/>
          <w:b/>
          <w:sz w:val="26"/>
          <w:szCs w:val="26"/>
        </w:rPr>
        <w:t>0021/2021</w:t>
      </w:r>
      <w:r w:rsidR="001B2848" w:rsidRPr="00CB6405">
        <w:rPr>
          <w:rFonts w:ascii="Arial" w:hAnsi="Arial" w:cs="Arial"/>
          <w:sz w:val="26"/>
          <w:szCs w:val="26"/>
        </w:rPr>
        <w:t xml:space="preserve"> de la </w:t>
      </w:r>
      <w:r w:rsidR="004C045E">
        <w:rPr>
          <w:rFonts w:ascii="Arial" w:hAnsi="Arial" w:cs="Arial"/>
          <w:sz w:val="26"/>
          <w:szCs w:val="26"/>
        </w:rPr>
        <w:t>Sala Especializada en Materia de Responsabilidades Administrativas y Combate a la Corrupción</w:t>
      </w:r>
      <w:r w:rsidR="001B2848" w:rsidRPr="00CB6405">
        <w:rPr>
          <w:rFonts w:ascii="Arial" w:hAnsi="Arial" w:cs="Arial"/>
          <w:sz w:val="26"/>
          <w:szCs w:val="26"/>
        </w:rPr>
        <w:t xml:space="preserve">, relativo al </w:t>
      </w:r>
      <w:r w:rsidR="001B2848">
        <w:rPr>
          <w:rFonts w:ascii="Arial" w:hAnsi="Arial" w:cs="Arial"/>
          <w:sz w:val="26"/>
          <w:szCs w:val="26"/>
        </w:rPr>
        <w:t>juicio de nulidad promovido por</w:t>
      </w:r>
      <w:r w:rsidR="00376819">
        <w:rPr>
          <w:rFonts w:ascii="Arial" w:hAnsi="Arial" w:cs="Arial"/>
          <w:sz w:val="26"/>
          <w:szCs w:val="26"/>
        </w:rPr>
        <w:t xml:space="preserve"> </w:t>
      </w:r>
      <w:r w:rsidR="0028561B">
        <w:rPr>
          <w:rFonts w:ascii="Arial" w:hAnsi="Arial" w:cs="Arial"/>
          <w:b/>
          <w:sz w:val="26"/>
          <w:szCs w:val="26"/>
        </w:rPr>
        <w:t>*******</w:t>
      </w:r>
      <w:r w:rsidR="00A80C48" w:rsidRPr="00CB6405">
        <w:rPr>
          <w:rFonts w:ascii="Arial" w:hAnsi="Arial" w:cs="Arial"/>
          <w:b/>
          <w:sz w:val="26"/>
          <w:szCs w:val="26"/>
        </w:rPr>
        <w:t xml:space="preserve">, </w:t>
      </w:r>
      <w:r w:rsidR="00781B18">
        <w:rPr>
          <w:rFonts w:ascii="Arial" w:hAnsi="Arial" w:cs="Arial"/>
          <w:sz w:val="26"/>
          <w:szCs w:val="26"/>
        </w:rPr>
        <w:t>en contra de</w:t>
      </w:r>
      <w:r w:rsidR="00C67427">
        <w:rPr>
          <w:rFonts w:ascii="Arial" w:hAnsi="Arial" w:cs="Arial"/>
          <w:sz w:val="26"/>
          <w:szCs w:val="26"/>
        </w:rPr>
        <w:t>l</w:t>
      </w:r>
      <w:r w:rsidR="00057388">
        <w:rPr>
          <w:rFonts w:ascii="Arial" w:hAnsi="Arial" w:cs="Arial"/>
          <w:sz w:val="26"/>
          <w:szCs w:val="26"/>
        </w:rPr>
        <w:t xml:space="preserve"> </w:t>
      </w:r>
      <w:r w:rsidR="00A80C48">
        <w:rPr>
          <w:rFonts w:ascii="Arial" w:hAnsi="Arial" w:cs="Arial"/>
          <w:b/>
          <w:sz w:val="26"/>
          <w:szCs w:val="26"/>
        </w:rPr>
        <w:t>SUBSECRETARIO DE RESPONSABILIDADES ADMINISTRATIVAS Y ANTICORRUPCIÓN</w:t>
      </w:r>
      <w:r w:rsidR="009B3EB7">
        <w:rPr>
          <w:rFonts w:ascii="Arial" w:hAnsi="Arial" w:cs="Arial"/>
          <w:b/>
          <w:sz w:val="26"/>
          <w:szCs w:val="26"/>
        </w:rPr>
        <w:t xml:space="preserve"> </w:t>
      </w:r>
      <w:r w:rsidR="009B3EB7" w:rsidRPr="00512A9D">
        <w:rPr>
          <w:rFonts w:ascii="Arial" w:hAnsi="Arial" w:cs="Arial"/>
          <w:bCs/>
          <w:sz w:val="26"/>
          <w:szCs w:val="26"/>
        </w:rPr>
        <w:t xml:space="preserve">y </w:t>
      </w:r>
      <w:r w:rsidR="00512A9D">
        <w:rPr>
          <w:rFonts w:ascii="Arial" w:hAnsi="Arial" w:cs="Arial"/>
          <w:bCs/>
          <w:sz w:val="26"/>
          <w:szCs w:val="26"/>
        </w:rPr>
        <w:t>d</w:t>
      </w:r>
      <w:r w:rsidR="009B3EB7" w:rsidRPr="00512A9D">
        <w:rPr>
          <w:rFonts w:ascii="Arial" w:hAnsi="Arial" w:cs="Arial"/>
          <w:bCs/>
          <w:sz w:val="26"/>
          <w:szCs w:val="26"/>
        </w:rPr>
        <w:t>el</w:t>
      </w:r>
      <w:r w:rsidR="009B3EB7">
        <w:rPr>
          <w:rFonts w:ascii="Arial" w:hAnsi="Arial" w:cs="Arial"/>
          <w:b/>
          <w:sz w:val="26"/>
          <w:szCs w:val="26"/>
        </w:rPr>
        <w:t xml:space="preserve"> </w:t>
      </w:r>
      <w:r w:rsidR="00A80C48">
        <w:rPr>
          <w:rFonts w:ascii="Arial" w:hAnsi="Arial" w:cs="Arial"/>
          <w:b/>
          <w:sz w:val="26"/>
          <w:szCs w:val="26"/>
        </w:rPr>
        <w:t>DIRECTOR DE RESPONSABILIDADES ADMINISTRATIVAS Y SITUACIÓN PATRIMONIAL, AMBOS DE LA SECRETARÍA DE LA CONTRALORÍA Y TRANSPARENCIA GUBERNAMENTAL DEL PODER EJECUTIVO DEL GOBIERNO DEL ESTADO</w:t>
      </w:r>
      <w:r w:rsidR="001B2848"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827CCE">
        <w:rPr>
          <w:rFonts w:ascii="Arial" w:hAnsi="Arial" w:cs="Arial"/>
          <w:sz w:val="26"/>
          <w:szCs w:val="26"/>
        </w:rPr>
        <w:t xml:space="preserve">con fundamento en los artículos </w:t>
      </w:r>
      <w:r w:rsidR="00BD4A21" w:rsidRPr="00827CCE">
        <w:rPr>
          <w:rFonts w:ascii="Arial" w:hAnsi="Arial" w:cs="Arial"/>
          <w:sz w:val="26"/>
          <w:szCs w:val="26"/>
        </w:rPr>
        <w:t>236 y 238</w:t>
      </w:r>
      <w:r w:rsidR="00F711DC" w:rsidRPr="00827CCE">
        <w:rPr>
          <w:rFonts w:ascii="Arial" w:hAnsi="Arial" w:cs="Arial"/>
          <w:sz w:val="26"/>
          <w:szCs w:val="26"/>
        </w:rPr>
        <w:t xml:space="preserve"> de la Ley de </w:t>
      </w:r>
      <w:r w:rsidR="00BD4A21" w:rsidRPr="00827CCE">
        <w:rPr>
          <w:rFonts w:ascii="Arial" w:hAnsi="Arial" w:cs="Arial"/>
          <w:sz w:val="26"/>
          <w:szCs w:val="26"/>
        </w:rPr>
        <w:t xml:space="preserve"> Procedimiento y </w:t>
      </w:r>
      <w:r w:rsidR="00F711DC" w:rsidRPr="00827CCE">
        <w:rPr>
          <w:rFonts w:ascii="Arial" w:hAnsi="Arial" w:cs="Arial"/>
          <w:sz w:val="26"/>
          <w:szCs w:val="26"/>
        </w:rPr>
        <w:t>Justicia Administ</w:t>
      </w:r>
      <w:r w:rsidR="00BD4A21" w:rsidRPr="00827CCE">
        <w:rPr>
          <w:rFonts w:ascii="Arial" w:hAnsi="Arial" w:cs="Arial"/>
          <w:sz w:val="26"/>
          <w:szCs w:val="26"/>
        </w:rPr>
        <w:t xml:space="preserve">rativa para el Estado de Oaxaca y 24 fracciones I y III de la Ley Orgánica del Tribunal de Justicia Administrativa del Estado de Oaxaca, </w:t>
      </w:r>
      <w:r w:rsidR="00A80C48">
        <w:rPr>
          <w:rFonts w:ascii="Arial" w:hAnsi="Arial" w:cs="Arial"/>
          <w:sz w:val="26"/>
          <w:szCs w:val="26"/>
        </w:rPr>
        <w:t>se da tramite. Por consiguiente,</w:t>
      </w:r>
      <w:r w:rsidR="00F711DC" w:rsidRPr="00827CCE">
        <w:rPr>
          <w:rFonts w:ascii="Arial" w:hAnsi="Arial" w:cs="Arial"/>
          <w:sz w:val="26"/>
          <w:szCs w:val="26"/>
        </w:rPr>
        <w:t xml:space="preserve"> </w:t>
      </w:r>
      <w:r w:rsidR="00F711DC" w:rsidRPr="00CB6405">
        <w:rPr>
          <w:rFonts w:ascii="Arial" w:hAnsi="Arial" w:cs="Arial"/>
          <w:sz w:val="26"/>
          <w:szCs w:val="26"/>
        </w:rPr>
        <w:t>se procede a dictar resolución en los siguientes términos</w:t>
      </w:r>
      <w:r w:rsidR="001B2848" w:rsidRPr="00CB6405">
        <w:rPr>
          <w:rFonts w:ascii="Arial" w:hAnsi="Arial" w:cs="Arial"/>
          <w:sz w:val="26"/>
          <w:szCs w:val="26"/>
        </w:rPr>
        <w:t>:</w:t>
      </w:r>
      <w:r w:rsidR="00A80C48">
        <w:rPr>
          <w:rFonts w:ascii="Arial" w:hAnsi="Arial" w:cs="Arial"/>
          <w:sz w:val="26"/>
          <w:szCs w:val="26"/>
        </w:rPr>
        <w:t xml:space="preserve"> - - - - - - - - - - </w:t>
      </w:r>
    </w:p>
    <w:p w14:paraId="270EEB15" w14:textId="77777777" w:rsidR="0028561B" w:rsidRPr="00781B18" w:rsidRDefault="0028561B" w:rsidP="00872E89">
      <w:pPr>
        <w:spacing w:line="360" w:lineRule="auto"/>
        <w:ind w:firstLine="708"/>
        <w:jc w:val="both"/>
        <w:rPr>
          <w:rFonts w:ascii="Arial" w:hAnsi="Arial" w:cs="Arial"/>
          <w:b/>
          <w:sz w:val="26"/>
          <w:szCs w:val="26"/>
        </w:rPr>
      </w:pPr>
    </w:p>
    <w:p w14:paraId="4F4A7C51" w14:textId="77777777" w:rsidR="00216377" w:rsidRPr="00CB6405" w:rsidRDefault="00216377" w:rsidP="00872E89">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7CFE9347" w:rsidR="00F711DC" w:rsidRDefault="001B2848" w:rsidP="00C11725">
      <w:pPr>
        <w:spacing w:line="360" w:lineRule="auto"/>
        <w:ind w:firstLine="708"/>
        <w:jc w:val="both"/>
        <w:rPr>
          <w:rFonts w:ascii="Arial" w:hAnsi="Arial" w:cs="Arial"/>
          <w:sz w:val="26"/>
          <w:szCs w:val="26"/>
        </w:rPr>
      </w:pPr>
      <w:r w:rsidRPr="00CB6405">
        <w:rPr>
          <w:rFonts w:ascii="Arial" w:hAnsi="Arial" w:cs="Arial"/>
          <w:b/>
          <w:bCs/>
          <w:sz w:val="26"/>
          <w:szCs w:val="26"/>
        </w:rPr>
        <w:lastRenderedPageBreak/>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la </w:t>
      </w:r>
      <w:r w:rsidR="00AD4053">
        <w:rPr>
          <w:rFonts w:ascii="Arial" w:hAnsi="Arial" w:cs="Arial"/>
          <w:sz w:val="26"/>
          <w:szCs w:val="26"/>
        </w:rPr>
        <w:t xml:space="preserve">sentencia de </w:t>
      </w:r>
      <w:r w:rsidR="009B3EB7">
        <w:rPr>
          <w:rFonts w:ascii="Arial" w:hAnsi="Arial" w:cs="Arial"/>
          <w:sz w:val="26"/>
          <w:szCs w:val="26"/>
        </w:rPr>
        <w:t>dieciocho de abril de dos mil veintidós</w:t>
      </w:r>
      <w:r w:rsidR="00F711DC" w:rsidRPr="00CB6405">
        <w:rPr>
          <w:rFonts w:ascii="Arial" w:hAnsi="Arial" w:cs="Arial"/>
          <w:sz w:val="26"/>
          <w:szCs w:val="26"/>
        </w:rPr>
        <w:t xml:space="preserve"> 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AD4053">
        <w:rPr>
          <w:rFonts w:ascii="Arial" w:hAnsi="Arial" w:cs="Arial"/>
          <w:sz w:val="26"/>
          <w:szCs w:val="26"/>
        </w:rPr>
        <w:t>Sala Especializada en Materia de Responsabilidades Administrativas y Combate a la Corrupción</w:t>
      </w:r>
      <w:r w:rsidR="00F711DC" w:rsidRPr="00CB6405">
        <w:rPr>
          <w:rFonts w:ascii="Arial" w:hAnsi="Arial" w:cs="Arial"/>
          <w:sz w:val="26"/>
          <w:szCs w:val="26"/>
        </w:rPr>
        <w:t xml:space="preserve">, </w:t>
      </w:r>
      <w:r w:rsidR="00BC7B15">
        <w:rPr>
          <w:rFonts w:ascii="Arial" w:hAnsi="Arial" w:cs="Arial"/>
          <w:sz w:val="26"/>
          <w:szCs w:val="26"/>
        </w:rPr>
        <w:t>e</w:t>
      </w:r>
      <w:r w:rsidR="00512A9D">
        <w:rPr>
          <w:rFonts w:ascii="Arial" w:hAnsi="Arial" w:cs="Arial"/>
          <w:sz w:val="26"/>
          <w:szCs w:val="26"/>
        </w:rPr>
        <w:t xml:space="preserve">l representante legal de las autoridades demandadas </w:t>
      </w:r>
      <w:r w:rsidR="00F711DC" w:rsidRPr="00CB6405">
        <w:rPr>
          <w:rFonts w:ascii="Arial" w:hAnsi="Arial" w:cs="Arial"/>
          <w:sz w:val="26"/>
          <w:szCs w:val="26"/>
        </w:rPr>
        <w:t>interpuso en su contra recurso de revisión.</w:t>
      </w:r>
      <w:r w:rsidR="008D2D16">
        <w:rPr>
          <w:rFonts w:ascii="Arial" w:hAnsi="Arial" w:cs="Arial"/>
          <w:sz w:val="26"/>
          <w:szCs w:val="26"/>
        </w:rPr>
        <w:t xml:space="preserve"> - - - - - - - - - - - - - - </w:t>
      </w:r>
      <w:r w:rsidR="00376819">
        <w:rPr>
          <w:rFonts w:ascii="Arial" w:hAnsi="Arial" w:cs="Arial"/>
          <w:sz w:val="26"/>
          <w:szCs w:val="26"/>
        </w:rPr>
        <w:t xml:space="preserve">- - - - - - - - - - - - - - </w:t>
      </w:r>
      <w:r w:rsidR="00512A9D">
        <w:rPr>
          <w:rFonts w:ascii="Arial" w:hAnsi="Arial" w:cs="Arial"/>
          <w:sz w:val="26"/>
          <w:szCs w:val="26"/>
        </w:rPr>
        <w:t xml:space="preserve">- - - - - </w:t>
      </w:r>
      <w:r w:rsidR="000664B7">
        <w:rPr>
          <w:rFonts w:ascii="Arial" w:hAnsi="Arial" w:cs="Arial"/>
          <w:sz w:val="26"/>
          <w:szCs w:val="26"/>
        </w:rPr>
        <w:t xml:space="preserve"> </w:t>
      </w:r>
      <w:r w:rsidR="00376819">
        <w:rPr>
          <w:rFonts w:ascii="Arial" w:hAnsi="Arial" w:cs="Arial"/>
          <w:sz w:val="26"/>
          <w:szCs w:val="26"/>
        </w:rPr>
        <w:t xml:space="preserve"> </w:t>
      </w:r>
    </w:p>
    <w:p w14:paraId="295B3D66" w14:textId="2B4F98BF" w:rsidR="001B2848" w:rsidRDefault="001B2848" w:rsidP="00872E89">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4C77E698" w14:textId="257F45EB" w:rsidR="00A8005C" w:rsidRPr="00791D42" w:rsidRDefault="00FB3130" w:rsidP="00A80C48">
      <w:pPr>
        <w:pStyle w:val="NormalWeb"/>
        <w:shd w:val="clear" w:color="auto" w:fill="FFFFFF"/>
        <w:spacing w:before="0" w:beforeAutospacing="0" w:after="0" w:afterAutospacing="0" w:line="276" w:lineRule="auto"/>
        <w:ind w:left="567" w:right="616" w:firstLine="284"/>
        <w:jc w:val="both"/>
        <w:rPr>
          <w:rFonts w:ascii="Arial" w:hAnsi="Arial" w:cs="Arial"/>
          <w:i/>
          <w:iCs/>
          <w:color w:val="222222"/>
          <w:sz w:val="22"/>
          <w:szCs w:val="22"/>
        </w:rPr>
      </w:pPr>
      <w:r>
        <w:rPr>
          <w:rFonts w:cstheme="minorHAnsi"/>
          <w:bCs/>
          <w:i/>
          <w:iCs/>
          <w:lang w:eastAsia="es-ES"/>
        </w:rPr>
        <w:t xml:space="preserve"> </w:t>
      </w:r>
      <w:r w:rsidR="00A8005C" w:rsidRPr="00791D42">
        <w:rPr>
          <w:rFonts w:ascii="Arial" w:hAnsi="Arial" w:cs="Arial"/>
          <w:b/>
          <w:i/>
          <w:iCs/>
          <w:sz w:val="22"/>
          <w:szCs w:val="22"/>
        </w:rPr>
        <w:t>“</w:t>
      </w:r>
      <w:r w:rsidR="00A8005C" w:rsidRPr="00791D42">
        <w:rPr>
          <w:rFonts w:ascii="Arial" w:hAnsi="Arial" w:cs="Arial"/>
          <w:b/>
          <w:i/>
          <w:iCs/>
          <w:color w:val="222222"/>
          <w:sz w:val="22"/>
          <w:szCs w:val="22"/>
        </w:rPr>
        <w:t>PRIMERO</w:t>
      </w:r>
      <w:r w:rsidR="00A8005C" w:rsidRPr="00791D42">
        <w:rPr>
          <w:rFonts w:ascii="Arial" w:hAnsi="Arial" w:cs="Arial"/>
          <w:i/>
          <w:iCs/>
          <w:color w:val="222222"/>
          <w:sz w:val="22"/>
          <w:szCs w:val="22"/>
        </w:rPr>
        <w:t xml:space="preserve">. Esta Sala Especializada en Materia de Responsabilidades Administrativas y Combate a la Corrupción del Tribunal de Justicia Administrativa del Estado de Oaxaca, fue competente para conocer y resolver del presente asunto. - - - - - - - - - - - - - - - - - - - - </w:t>
      </w:r>
    </w:p>
    <w:p w14:paraId="2ED62937" w14:textId="11B70E57" w:rsidR="00A8005C" w:rsidRPr="00791D42" w:rsidRDefault="00A8005C" w:rsidP="00A80C48">
      <w:pPr>
        <w:pStyle w:val="NormalWeb"/>
        <w:shd w:val="clear" w:color="auto" w:fill="FFFFFF"/>
        <w:spacing w:before="0" w:beforeAutospacing="0" w:after="0" w:afterAutospacing="0" w:line="276" w:lineRule="auto"/>
        <w:ind w:left="567" w:right="616" w:firstLine="284"/>
        <w:jc w:val="both"/>
        <w:rPr>
          <w:rFonts w:ascii="Arial" w:hAnsi="Arial" w:cs="Arial"/>
          <w:i/>
          <w:iCs/>
          <w:color w:val="222222"/>
          <w:sz w:val="22"/>
          <w:szCs w:val="22"/>
        </w:rPr>
      </w:pPr>
      <w:r w:rsidRPr="00791D42">
        <w:rPr>
          <w:rFonts w:ascii="Arial" w:hAnsi="Arial" w:cs="Arial"/>
          <w:b/>
          <w:i/>
          <w:iCs/>
          <w:color w:val="222222"/>
          <w:sz w:val="22"/>
          <w:szCs w:val="22"/>
        </w:rPr>
        <w:t>SEGUNDO</w:t>
      </w:r>
      <w:r w:rsidRPr="00791D42">
        <w:rPr>
          <w:rFonts w:ascii="Arial" w:hAnsi="Arial" w:cs="Arial"/>
          <w:i/>
          <w:iCs/>
          <w:color w:val="222222"/>
          <w:sz w:val="22"/>
          <w:szCs w:val="22"/>
        </w:rPr>
        <w:t xml:space="preserve">. La personalidad de las partes quedó acreditada en autos. </w:t>
      </w:r>
    </w:p>
    <w:p w14:paraId="68F7EE35" w14:textId="7C2BBA80" w:rsidR="00A8005C" w:rsidRPr="00791D42" w:rsidRDefault="00A8005C" w:rsidP="00A80C48">
      <w:pPr>
        <w:pStyle w:val="NormalWeb"/>
        <w:shd w:val="clear" w:color="auto" w:fill="FFFFFF"/>
        <w:spacing w:before="0" w:beforeAutospacing="0" w:after="0" w:afterAutospacing="0" w:line="276" w:lineRule="auto"/>
        <w:ind w:left="567" w:right="616" w:firstLine="284"/>
        <w:jc w:val="both"/>
        <w:rPr>
          <w:rFonts w:ascii="Arial" w:hAnsi="Arial" w:cs="Arial"/>
          <w:i/>
          <w:iCs/>
          <w:color w:val="222222"/>
          <w:sz w:val="22"/>
          <w:szCs w:val="22"/>
        </w:rPr>
      </w:pPr>
      <w:r w:rsidRPr="00791D42">
        <w:rPr>
          <w:rFonts w:ascii="Arial" w:hAnsi="Arial" w:cs="Arial"/>
          <w:b/>
          <w:i/>
          <w:iCs/>
          <w:color w:val="222222"/>
          <w:sz w:val="22"/>
          <w:szCs w:val="22"/>
        </w:rPr>
        <w:t>TERCERO</w:t>
      </w:r>
      <w:r w:rsidRPr="00791D42">
        <w:rPr>
          <w:rFonts w:ascii="Arial" w:hAnsi="Arial" w:cs="Arial"/>
          <w:i/>
          <w:iCs/>
          <w:color w:val="222222"/>
          <w:sz w:val="22"/>
          <w:szCs w:val="22"/>
        </w:rPr>
        <w:t xml:space="preserve">. No se actualizó ninguna causal de improcedencia, por lo que </w:t>
      </w:r>
      <w:r w:rsidRPr="00791D42">
        <w:rPr>
          <w:rFonts w:ascii="Arial" w:hAnsi="Arial" w:cs="Arial"/>
          <w:b/>
          <w:i/>
          <w:iCs/>
          <w:color w:val="222222"/>
          <w:sz w:val="22"/>
          <w:szCs w:val="22"/>
        </w:rPr>
        <w:t>NO SE SOBRESEE EL JUICIO</w:t>
      </w:r>
      <w:r w:rsidRPr="00791D42">
        <w:rPr>
          <w:rFonts w:ascii="Arial" w:hAnsi="Arial" w:cs="Arial"/>
          <w:i/>
          <w:iCs/>
          <w:color w:val="222222"/>
          <w:sz w:val="22"/>
          <w:szCs w:val="22"/>
        </w:rPr>
        <w:t xml:space="preserve">. - - - - - - - - - - - - - - - - - - - - - - - - - - </w:t>
      </w:r>
    </w:p>
    <w:p w14:paraId="14A8D254" w14:textId="15297A02" w:rsidR="00E40FC3" w:rsidRDefault="00A8005C" w:rsidP="00A80C48">
      <w:pPr>
        <w:pStyle w:val="NormalWeb"/>
        <w:shd w:val="clear" w:color="auto" w:fill="FFFFFF"/>
        <w:spacing w:before="0" w:beforeAutospacing="0" w:after="0" w:afterAutospacing="0" w:line="276" w:lineRule="auto"/>
        <w:ind w:left="567" w:right="616" w:firstLine="284"/>
        <w:jc w:val="both"/>
        <w:rPr>
          <w:rFonts w:ascii="Arial" w:hAnsi="Arial" w:cs="Arial"/>
          <w:i/>
          <w:iCs/>
          <w:color w:val="222222"/>
          <w:sz w:val="22"/>
          <w:szCs w:val="22"/>
        </w:rPr>
      </w:pPr>
      <w:r w:rsidRPr="00791D42">
        <w:rPr>
          <w:rFonts w:ascii="Arial" w:hAnsi="Arial" w:cs="Arial"/>
          <w:b/>
          <w:i/>
          <w:iCs/>
          <w:color w:val="222222"/>
          <w:sz w:val="22"/>
          <w:szCs w:val="22"/>
        </w:rPr>
        <w:t>CUARTO</w:t>
      </w:r>
      <w:r w:rsidRPr="00791D42">
        <w:rPr>
          <w:rFonts w:ascii="Arial" w:hAnsi="Arial" w:cs="Arial"/>
          <w:i/>
          <w:iCs/>
          <w:color w:val="222222"/>
          <w:sz w:val="22"/>
          <w:szCs w:val="22"/>
        </w:rPr>
        <w:t xml:space="preserve">. Se declara la </w:t>
      </w:r>
      <w:r w:rsidRPr="00791D42">
        <w:rPr>
          <w:rFonts w:ascii="Arial" w:hAnsi="Arial" w:cs="Arial"/>
          <w:b/>
          <w:i/>
          <w:iCs/>
          <w:color w:val="222222"/>
          <w:sz w:val="22"/>
          <w:szCs w:val="22"/>
        </w:rPr>
        <w:t>NULIDAD LISA Y LLANA</w:t>
      </w:r>
      <w:r w:rsidRPr="00791D42">
        <w:rPr>
          <w:rFonts w:ascii="Arial" w:hAnsi="Arial" w:cs="Arial"/>
          <w:i/>
          <w:iCs/>
          <w:color w:val="222222"/>
          <w:sz w:val="22"/>
          <w:szCs w:val="22"/>
        </w:rPr>
        <w:t xml:space="preserve"> de todo lo actuado en los expedientes </w:t>
      </w:r>
      <w:r w:rsidR="00000051">
        <w:rPr>
          <w:rFonts w:ascii="Arial" w:hAnsi="Arial" w:cs="Arial"/>
          <w:i/>
          <w:iCs/>
          <w:color w:val="222222"/>
          <w:sz w:val="22"/>
          <w:szCs w:val="22"/>
        </w:rPr>
        <w:t>*******</w:t>
      </w:r>
      <w:r w:rsidRPr="00791D42">
        <w:rPr>
          <w:rFonts w:ascii="Arial" w:hAnsi="Arial" w:cs="Arial"/>
          <w:i/>
          <w:iCs/>
          <w:color w:val="222222"/>
          <w:sz w:val="22"/>
          <w:szCs w:val="22"/>
        </w:rPr>
        <w:t xml:space="preserve"> y así como del recurso de revocación </w:t>
      </w:r>
      <w:r w:rsidR="00000051">
        <w:rPr>
          <w:rFonts w:ascii="Arial" w:hAnsi="Arial" w:cs="Arial"/>
          <w:i/>
          <w:iCs/>
          <w:color w:val="222222"/>
          <w:sz w:val="22"/>
          <w:szCs w:val="22"/>
        </w:rPr>
        <w:t>*******</w:t>
      </w:r>
      <w:r w:rsidRPr="00791D42">
        <w:rPr>
          <w:rFonts w:ascii="Arial" w:hAnsi="Arial" w:cs="Arial"/>
          <w:i/>
          <w:iCs/>
          <w:color w:val="222222"/>
          <w:sz w:val="22"/>
          <w:szCs w:val="22"/>
        </w:rPr>
        <w:t>, inclusive la resoluci</w:t>
      </w:r>
      <w:r w:rsidR="00101E9E">
        <w:rPr>
          <w:rFonts w:ascii="Arial" w:hAnsi="Arial" w:cs="Arial"/>
          <w:i/>
          <w:iCs/>
          <w:color w:val="222222"/>
          <w:sz w:val="22"/>
          <w:szCs w:val="22"/>
        </w:rPr>
        <w:t xml:space="preserve">ón </w:t>
      </w:r>
      <w:r w:rsidRPr="00791D42">
        <w:rPr>
          <w:rFonts w:ascii="Arial" w:hAnsi="Arial" w:cs="Arial"/>
          <w:i/>
          <w:iCs/>
          <w:color w:val="222222"/>
          <w:sz w:val="22"/>
          <w:szCs w:val="22"/>
        </w:rPr>
        <w:t xml:space="preserve">impugnada en el presente juicio, en términos de los considerandos sexto de la presente sentencia. - - - - - - - - - - - - - - - - </w:t>
      </w:r>
    </w:p>
    <w:p w14:paraId="3B22DA83" w14:textId="61D963AE" w:rsidR="00A8005C" w:rsidRDefault="00A8005C" w:rsidP="00A80C48">
      <w:pPr>
        <w:pStyle w:val="NormalWeb"/>
        <w:shd w:val="clear" w:color="auto" w:fill="FFFFFF"/>
        <w:spacing w:before="0" w:beforeAutospacing="0" w:after="0" w:afterAutospacing="0" w:line="276" w:lineRule="auto"/>
        <w:ind w:left="567" w:right="616" w:firstLine="284"/>
        <w:jc w:val="both"/>
        <w:rPr>
          <w:rFonts w:ascii="Arial" w:hAnsi="Arial" w:cs="Arial"/>
          <w:i/>
          <w:iCs/>
          <w:color w:val="222222"/>
          <w:sz w:val="22"/>
          <w:szCs w:val="22"/>
        </w:rPr>
      </w:pPr>
      <w:r w:rsidRPr="00791D42">
        <w:rPr>
          <w:rFonts w:ascii="Arial" w:hAnsi="Arial" w:cs="Arial"/>
          <w:b/>
          <w:i/>
          <w:iCs/>
          <w:color w:val="222222"/>
          <w:sz w:val="22"/>
          <w:szCs w:val="22"/>
        </w:rPr>
        <w:t>QUINTO</w:t>
      </w:r>
      <w:r w:rsidRPr="00791D42">
        <w:rPr>
          <w:rFonts w:ascii="Arial" w:hAnsi="Arial" w:cs="Arial"/>
          <w:i/>
          <w:iCs/>
          <w:color w:val="222222"/>
          <w:sz w:val="22"/>
          <w:szCs w:val="22"/>
        </w:rPr>
        <w:t xml:space="preserve">. Conforme a lo dispuesto en los artículos 172, fracción I y 173, fracciones I y </w:t>
      </w:r>
      <w:proofErr w:type="spellStart"/>
      <w:r w:rsidRPr="00791D42">
        <w:rPr>
          <w:rFonts w:ascii="Arial" w:hAnsi="Arial" w:cs="Arial"/>
          <w:i/>
          <w:iCs/>
          <w:color w:val="222222"/>
          <w:sz w:val="22"/>
          <w:szCs w:val="22"/>
        </w:rPr>
        <w:t>Il</w:t>
      </w:r>
      <w:proofErr w:type="spellEnd"/>
      <w:r w:rsidRPr="00791D42">
        <w:rPr>
          <w:rFonts w:ascii="Arial" w:hAnsi="Arial" w:cs="Arial"/>
          <w:i/>
          <w:iCs/>
          <w:color w:val="222222"/>
          <w:sz w:val="22"/>
          <w:szCs w:val="22"/>
        </w:rPr>
        <w:t xml:space="preserve">, de la Ley de Procedimiento y Justicia Administrativa para el Estado de Oaxaca, </w:t>
      </w:r>
      <w:r w:rsidRPr="00791D42">
        <w:rPr>
          <w:rFonts w:ascii="Arial" w:hAnsi="Arial" w:cs="Arial"/>
          <w:b/>
          <w:i/>
          <w:iCs/>
          <w:color w:val="222222"/>
          <w:sz w:val="22"/>
          <w:szCs w:val="22"/>
        </w:rPr>
        <w:t>NOTIF</w:t>
      </w:r>
      <w:r w:rsidR="00E40FC3">
        <w:rPr>
          <w:rFonts w:ascii="Arial" w:hAnsi="Arial" w:cs="Arial"/>
          <w:b/>
          <w:i/>
          <w:iCs/>
          <w:color w:val="222222"/>
          <w:sz w:val="22"/>
          <w:szCs w:val="22"/>
        </w:rPr>
        <w:t>Í</w:t>
      </w:r>
      <w:r w:rsidRPr="00791D42">
        <w:rPr>
          <w:rFonts w:ascii="Arial" w:hAnsi="Arial" w:cs="Arial"/>
          <w:b/>
          <w:i/>
          <w:iCs/>
          <w:color w:val="222222"/>
          <w:sz w:val="22"/>
          <w:szCs w:val="22"/>
        </w:rPr>
        <w:t>QUESE PERSONALMENTE A LA PARTE ACTORA Y POR OFICIO A LA AUTORIDAD DEMANDADA</w:t>
      </w:r>
      <w:r w:rsidR="00E40FC3">
        <w:rPr>
          <w:rFonts w:ascii="Arial" w:hAnsi="Arial" w:cs="Arial"/>
          <w:b/>
          <w:i/>
          <w:iCs/>
          <w:color w:val="222222"/>
          <w:sz w:val="22"/>
          <w:szCs w:val="22"/>
        </w:rPr>
        <w:t xml:space="preserve"> </w:t>
      </w:r>
      <w:r w:rsidR="00A80C48">
        <w:rPr>
          <w:rFonts w:ascii="Arial" w:hAnsi="Arial" w:cs="Arial"/>
          <w:b/>
          <w:i/>
          <w:iCs/>
          <w:color w:val="222222"/>
          <w:sz w:val="22"/>
          <w:szCs w:val="22"/>
        </w:rPr>
        <w:t>Y</w:t>
      </w:r>
      <w:r w:rsidR="00E40FC3">
        <w:rPr>
          <w:rFonts w:ascii="Arial" w:hAnsi="Arial" w:cs="Arial"/>
          <w:b/>
          <w:i/>
          <w:iCs/>
          <w:color w:val="222222"/>
          <w:sz w:val="22"/>
          <w:szCs w:val="22"/>
        </w:rPr>
        <w:t xml:space="preserve"> LA</w:t>
      </w:r>
      <w:r w:rsidR="00A80C48">
        <w:rPr>
          <w:rFonts w:ascii="Arial" w:hAnsi="Arial" w:cs="Arial"/>
          <w:b/>
          <w:i/>
          <w:iCs/>
          <w:color w:val="222222"/>
          <w:sz w:val="22"/>
          <w:szCs w:val="22"/>
        </w:rPr>
        <w:t xml:space="preserve"> </w:t>
      </w:r>
      <w:r w:rsidR="00E40FC3">
        <w:rPr>
          <w:rFonts w:ascii="Arial" w:hAnsi="Arial" w:cs="Arial"/>
          <w:b/>
          <w:i/>
          <w:iCs/>
          <w:color w:val="222222"/>
          <w:sz w:val="22"/>
          <w:szCs w:val="22"/>
        </w:rPr>
        <w:t>DIRECTORA</w:t>
      </w:r>
      <w:r w:rsidR="00A80C48">
        <w:rPr>
          <w:rFonts w:ascii="Arial" w:hAnsi="Arial" w:cs="Arial"/>
          <w:b/>
          <w:i/>
          <w:iCs/>
          <w:color w:val="222222"/>
          <w:sz w:val="22"/>
          <w:szCs w:val="22"/>
        </w:rPr>
        <w:t xml:space="preserve"> </w:t>
      </w:r>
      <w:r w:rsidR="00E40FC3">
        <w:rPr>
          <w:rFonts w:ascii="Arial" w:hAnsi="Arial" w:cs="Arial"/>
          <w:b/>
          <w:i/>
          <w:iCs/>
          <w:color w:val="222222"/>
          <w:sz w:val="22"/>
          <w:szCs w:val="22"/>
        </w:rPr>
        <w:t>DE RESPONSABILIDADES ADMINISTRATIVAS Y SITUACIÓN PATRIMONIAL DE LA SECRETARÍA DE LA CONTRALORÍA Y TRANSPARENCIA GUBERNAMENTAL DEL PODER EJECUTIVO DEL ESTADO</w:t>
      </w:r>
      <w:r w:rsidR="00A80C48">
        <w:rPr>
          <w:rFonts w:ascii="Arial" w:hAnsi="Arial" w:cs="Arial"/>
          <w:b/>
          <w:i/>
          <w:iCs/>
          <w:color w:val="222222"/>
          <w:sz w:val="22"/>
          <w:szCs w:val="22"/>
        </w:rPr>
        <w:t xml:space="preserve"> </w:t>
      </w:r>
      <w:r w:rsidR="00E40FC3">
        <w:rPr>
          <w:rFonts w:ascii="Arial" w:hAnsi="Arial" w:cs="Arial"/>
          <w:b/>
          <w:i/>
          <w:iCs/>
          <w:color w:val="222222"/>
          <w:sz w:val="22"/>
          <w:szCs w:val="22"/>
        </w:rPr>
        <w:t>DE OAXACA</w:t>
      </w:r>
      <w:r w:rsidRPr="00791D42">
        <w:rPr>
          <w:rFonts w:ascii="Arial" w:hAnsi="Arial" w:cs="Arial"/>
          <w:b/>
          <w:i/>
          <w:iCs/>
          <w:color w:val="222222"/>
          <w:sz w:val="22"/>
          <w:szCs w:val="22"/>
        </w:rPr>
        <w:t>. CÚMPLASE</w:t>
      </w:r>
      <w:r w:rsidRPr="00791D42">
        <w:rPr>
          <w:rFonts w:ascii="Arial" w:hAnsi="Arial" w:cs="Arial"/>
          <w:i/>
          <w:iCs/>
          <w:color w:val="222222"/>
          <w:sz w:val="22"/>
          <w:szCs w:val="22"/>
        </w:rPr>
        <w:t>.</w:t>
      </w:r>
      <w:r>
        <w:rPr>
          <w:rFonts w:ascii="Arial" w:hAnsi="Arial" w:cs="Arial"/>
          <w:i/>
          <w:iCs/>
          <w:color w:val="222222"/>
          <w:sz w:val="22"/>
          <w:szCs w:val="22"/>
        </w:rPr>
        <w:t xml:space="preserve"> - - - - </w:t>
      </w:r>
      <w:r w:rsidRPr="00791D42">
        <w:rPr>
          <w:rFonts w:ascii="Arial" w:hAnsi="Arial" w:cs="Arial"/>
          <w:i/>
          <w:iCs/>
          <w:color w:val="222222"/>
          <w:sz w:val="22"/>
          <w:szCs w:val="22"/>
        </w:rPr>
        <w:t>”</w:t>
      </w:r>
    </w:p>
    <w:p w14:paraId="14C945AD" w14:textId="77777777" w:rsidR="00A8005C" w:rsidRDefault="00A8005C" w:rsidP="00A8005C">
      <w:pPr>
        <w:pStyle w:val="NormalWeb"/>
        <w:shd w:val="clear" w:color="auto" w:fill="FFFFFF"/>
        <w:spacing w:before="0" w:beforeAutospacing="0" w:after="0" w:afterAutospacing="0"/>
        <w:ind w:left="567" w:right="616"/>
        <w:jc w:val="both"/>
        <w:rPr>
          <w:rFonts w:ascii="Arial" w:hAnsi="Arial" w:cs="Arial"/>
          <w:b/>
          <w:bCs/>
          <w:sz w:val="26"/>
          <w:szCs w:val="26"/>
        </w:rPr>
      </w:pPr>
    </w:p>
    <w:p w14:paraId="0F2C2308" w14:textId="0882A87C" w:rsidR="00216377" w:rsidRPr="00A8005C" w:rsidRDefault="00D74E74" w:rsidP="00A8005C">
      <w:pPr>
        <w:pStyle w:val="NormalWeb"/>
        <w:shd w:val="clear" w:color="auto" w:fill="FFFFFF"/>
        <w:spacing w:before="0" w:beforeAutospacing="0" w:after="0" w:afterAutospacing="0"/>
        <w:ind w:left="567" w:right="616"/>
        <w:jc w:val="center"/>
        <w:rPr>
          <w:rFonts w:ascii="Arial" w:hAnsi="Arial" w:cs="Arial"/>
          <w:i/>
          <w:iCs/>
          <w:color w:val="222222"/>
          <w:sz w:val="22"/>
          <w:szCs w:val="22"/>
        </w:rPr>
      </w:pPr>
      <w:r>
        <w:rPr>
          <w:rFonts w:ascii="Arial" w:hAnsi="Arial" w:cs="Arial"/>
          <w:b/>
          <w:bCs/>
          <w:sz w:val="26"/>
          <w:szCs w:val="26"/>
        </w:rPr>
        <w:t>C O N S I D E R A N D O</w:t>
      </w:r>
    </w:p>
    <w:p w14:paraId="1E160D0B" w14:textId="53F443B3" w:rsidR="001B2848" w:rsidRPr="00FB4050" w:rsidRDefault="001B2848" w:rsidP="00A8005C">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w:t>
      </w:r>
      <w:r w:rsidR="00827CCE">
        <w:rPr>
          <w:rFonts w:ascii="Arial" w:hAnsi="Arial" w:cs="Arial"/>
          <w:bCs/>
          <w:iCs/>
          <w:sz w:val="26"/>
          <w:szCs w:val="26"/>
        </w:rPr>
        <w:t>4 fracción VIII, 23, 24 fracciones</w:t>
      </w:r>
      <w:r>
        <w:rPr>
          <w:rFonts w:ascii="Arial" w:hAnsi="Arial" w:cs="Arial"/>
          <w:bCs/>
          <w:iCs/>
          <w:sz w:val="26"/>
          <w:szCs w:val="26"/>
        </w:rPr>
        <w:t xml:space="preserve"> I</w:t>
      </w:r>
      <w:r w:rsidR="00827CCE">
        <w:rPr>
          <w:rFonts w:ascii="Arial" w:hAnsi="Arial" w:cs="Arial"/>
          <w:bCs/>
          <w:iCs/>
          <w:sz w:val="26"/>
          <w:szCs w:val="26"/>
        </w:rPr>
        <w:t xml:space="preserve"> y III</w:t>
      </w:r>
      <w:r>
        <w:rPr>
          <w:rFonts w:ascii="Arial" w:hAnsi="Arial" w:cs="Arial"/>
          <w:bCs/>
          <w:iCs/>
          <w:sz w:val="26"/>
          <w:szCs w:val="26"/>
        </w:rPr>
        <w:t>, 25 fracción I y 27, de la Ley Orgánica del Tribunal de Justicia Administ</w:t>
      </w:r>
      <w:r w:rsidR="00C7420B">
        <w:rPr>
          <w:rFonts w:ascii="Arial" w:hAnsi="Arial" w:cs="Arial"/>
          <w:bCs/>
          <w:iCs/>
          <w:sz w:val="26"/>
          <w:szCs w:val="26"/>
        </w:rPr>
        <w:t xml:space="preserve">rativa del Estado de Oaxaca; </w:t>
      </w:r>
      <w:r>
        <w:rPr>
          <w:rFonts w:ascii="Arial" w:hAnsi="Arial" w:cs="Arial"/>
          <w:bCs/>
          <w:iCs/>
          <w:sz w:val="26"/>
          <w:szCs w:val="26"/>
        </w:rPr>
        <w:t xml:space="preserve">125, 127, 129, 130, fracción I, 131, 231, 236 y 238, de la </w:t>
      </w:r>
      <w:r w:rsidRPr="00246310">
        <w:rPr>
          <w:rFonts w:ascii="Arial" w:hAnsi="Arial" w:cs="Arial"/>
          <w:bCs/>
          <w:iCs/>
          <w:sz w:val="26"/>
          <w:szCs w:val="26"/>
        </w:rPr>
        <w:t>Ley de Procedimiento</w:t>
      </w:r>
      <w:r w:rsidRPr="00246310">
        <w:rPr>
          <w:rFonts w:ascii="Arial" w:hAnsi="Arial" w:cs="Arial"/>
          <w:bCs/>
          <w:iCs/>
          <w:color w:val="C00000"/>
          <w:sz w:val="26"/>
          <w:szCs w:val="26"/>
        </w:rPr>
        <w:t xml:space="preserve"> </w:t>
      </w:r>
      <w:r w:rsidRPr="00246310">
        <w:rPr>
          <w:rFonts w:ascii="Arial" w:hAnsi="Arial" w:cs="Arial"/>
          <w:bCs/>
          <w:iCs/>
          <w:sz w:val="26"/>
          <w:szCs w:val="26"/>
        </w:rPr>
        <w:t>y Justicia Administrativa para el Estado de Oaxaca</w:t>
      </w:r>
      <w:r w:rsidR="00827CCE">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sidR="007D3563">
        <w:rPr>
          <w:rFonts w:ascii="Arial" w:hAnsi="Arial" w:cs="Arial"/>
          <w:bCs/>
          <w:iCs/>
          <w:sz w:val="26"/>
          <w:szCs w:val="26"/>
        </w:rPr>
        <w:t xml:space="preserve">de la </w:t>
      </w:r>
      <w:r w:rsidR="004C045E">
        <w:rPr>
          <w:rFonts w:ascii="Arial" w:hAnsi="Arial" w:cs="Arial"/>
          <w:bCs/>
          <w:iCs/>
          <w:sz w:val="26"/>
          <w:szCs w:val="26"/>
        </w:rPr>
        <w:t>sentencia de</w:t>
      </w:r>
      <w:r w:rsidR="00A659C5">
        <w:rPr>
          <w:rFonts w:ascii="Arial" w:hAnsi="Arial" w:cs="Arial"/>
          <w:bCs/>
          <w:iCs/>
          <w:sz w:val="26"/>
          <w:szCs w:val="26"/>
        </w:rPr>
        <w:t xml:space="preserve"> dieciocho </w:t>
      </w:r>
      <w:r w:rsidR="00A80C48">
        <w:rPr>
          <w:rFonts w:ascii="Arial" w:hAnsi="Arial" w:cs="Arial"/>
          <w:bCs/>
          <w:iCs/>
          <w:sz w:val="26"/>
          <w:szCs w:val="26"/>
        </w:rPr>
        <w:t>d</w:t>
      </w:r>
      <w:r w:rsidR="00A659C5">
        <w:rPr>
          <w:rFonts w:ascii="Arial" w:hAnsi="Arial" w:cs="Arial"/>
          <w:bCs/>
          <w:iCs/>
          <w:sz w:val="26"/>
          <w:szCs w:val="26"/>
        </w:rPr>
        <w:t xml:space="preserve">e abril de dos mil veintidós </w:t>
      </w:r>
      <w:r>
        <w:rPr>
          <w:rFonts w:ascii="Arial" w:hAnsi="Arial" w:cs="Arial"/>
          <w:sz w:val="26"/>
          <w:szCs w:val="26"/>
        </w:rPr>
        <w:t xml:space="preserve">dictada por la </w:t>
      </w:r>
      <w:r w:rsidR="004C045E">
        <w:rPr>
          <w:rFonts w:ascii="Arial" w:hAnsi="Arial" w:cs="Arial"/>
          <w:sz w:val="26"/>
          <w:szCs w:val="26"/>
        </w:rPr>
        <w:t xml:space="preserve">Sala Especializada en Materia de Responsabilidades Administrativas y </w:t>
      </w:r>
      <w:r w:rsidR="00FB4050">
        <w:rPr>
          <w:rFonts w:ascii="Arial" w:hAnsi="Arial" w:cs="Arial"/>
          <w:sz w:val="26"/>
          <w:szCs w:val="26"/>
        </w:rPr>
        <w:t>Combate</w:t>
      </w:r>
      <w:r w:rsidR="004C045E">
        <w:rPr>
          <w:rFonts w:ascii="Arial" w:hAnsi="Arial" w:cs="Arial"/>
          <w:sz w:val="26"/>
          <w:szCs w:val="26"/>
        </w:rPr>
        <w:t xml:space="preserve"> a la </w:t>
      </w:r>
      <w:r w:rsidR="00FB4050">
        <w:rPr>
          <w:rFonts w:ascii="Arial" w:hAnsi="Arial" w:cs="Arial"/>
          <w:sz w:val="26"/>
          <w:szCs w:val="26"/>
        </w:rPr>
        <w:t>Corrupción</w:t>
      </w:r>
      <w:r>
        <w:rPr>
          <w:rFonts w:ascii="Arial" w:hAnsi="Arial" w:cs="Arial"/>
          <w:sz w:val="26"/>
          <w:szCs w:val="26"/>
        </w:rPr>
        <w:t>,</w:t>
      </w:r>
      <w:r w:rsidRPr="00A52F58">
        <w:rPr>
          <w:rFonts w:ascii="Arial" w:hAnsi="Arial" w:cs="Arial"/>
          <w:bCs/>
          <w:iCs/>
          <w:sz w:val="26"/>
          <w:szCs w:val="26"/>
        </w:rPr>
        <w:t xml:space="preserve"> </w:t>
      </w:r>
      <w:r w:rsidR="00827CCE">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FB4050">
        <w:rPr>
          <w:rFonts w:ascii="Arial" w:hAnsi="Arial" w:cs="Arial"/>
          <w:b/>
          <w:bCs/>
          <w:iCs/>
          <w:sz w:val="26"/>
          <w:szCs w:val="26"/>
        </w:rPr>
        <w:t>00</w:t>
      </w:r>
      <w:r w:rsidR="00A659C5">
        <w:rPr>
          <w:rFonts w:ascii="Arial" w:hAnsi="Arial" w:cs="Arial"/>
          <w:b/>
          <w:bCs/>
          <w:iCs/>
          <w:sz w:val="26"/>
          <w:szCs w:val="26"/>
        </w:rPr>
        <w:t>21</w:t>
      </w:r>
      <w:r w:rsidR="00FB4050">
        <w:rPr>
          <w:rFonts w:ascii="Arial" w:hAnsi="Arial" w:cs="Arial"/>
          <w:b/>
          <w:bCs/>
          <w:iCs/>
          <w:sz w:val="26"/>
          <w:szCs w:val="26"/>
        </w:rPr>
        <w:t>/202</w:t>
      </w:r>
      <w:r w:rsidR="00A659C5">
        <w:rPr>
          <w:rFonts w:ascii="Arial" w:hAnsi="Arial" w:cs="Arial"/>
          <w:b/>
          <w:bCs/>
          <w:iCs/>
          <w:sz w:val="26"/>
          <w:szCs w:val="26"/>
        </w:rPr>
        <w:t>1</w:t>
      </w:r>
      <w:r>
        <w:rPr>
          <w:rFonts w:ascii="Arial" w:hAnsi="Arial" w:cs="Arial"/>
          <w:b/>
          <w:sz w:val="26"/>
          <w:szCs w:val="26"/>
        </w:rPr>
        <w:t xml:space="preserve">. </w:t>
      </w:r>
      <w:r w:rsidR="00A80C48" w:rsidRPr="00A80C48">
        <w:rPr>
          <w:rFonts w:ascii="Arial" w:hAnsi="Arial" w:cs="Arial"/>
          <w:bCs/>
          <w:sz w:val="26"/>
          <w:szCs w:val="26"/>
        </w:rPr>
        <w:t xml:space="preserve">- - - - - - - - - - - - - - - - - - - - - - - - - - - - - - - </w:t>
      </w:r>
    </w:p>
    <w:p w14:paraId="2D4BBCE9" w14:textId="0348EA84" w:rsidR="001B2848" w:rsidRDefault="001B2848" w:rsidP="00A8005C">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246310">
        <w:rPr>
          <w:rFonts w:ascii="Arial" w:hAnsi="Arial" w:cs="Arial"/>
          <w:b/>
          <w:bCs/>
          <w:sz w:val="26"/>
          <w:szCs w:val="26"/>
        </w:rPr>
        <w:t>.</w:t>
      </w:r>
      <w:r w:rsidRPr="00246310">
        <w:rPr>
          <w:rFonts w:ascii="Arial" w:hAnsi="Arial" w:cs="Arial"/>
          <w:bCs/>
          <w:sz w:val="26"/>
          <w:szCs w:val="26"/>
        </w:rPr>
        <w:t xml:space="preserve"> </w:t>
      </w:r>
      <w:r w:rsidR="00F2072A" w:rsidRPr="00246310">
        <w:rPr>
          <w:rFonts w:ascii="Arial" w:hAnsi="Arial" w:cs="Arial"/>
          <w:bCs/>
          <w:sz w:val="26"/>
          <w:szCs w:val="26"/>
        </w:rPr>
        <w:t>El agravio hecho valer se encuentra expuesto</w:t>
      </w:r>
      <w:r w:rsidRPr="007A7121">
        <w:rPr>
          <w:rFonts w:ascii="Arial" w:hAnsi="Arial" w:cs="Arial"/>
          <w:bCs/>
          <w:sz w:val="26"/>
          <w:szCs w:val="26"/>
        </w:rPr>
        <w:t xml:space="preserve"> en el escrito respectivo del recurrente, por lo que no existe necesidad de </w:t>
      </w:r>
      <w:r w:rsidRPr="007A7121">
        <w:rPr>
          <w:rFonts w:ascii="Arial" w:hAnsi="Arial" w:cs="Arial"/>
          <w:bCs/>
          <w:sz w:val="26"/>
          <w:szCs w:val="26"/>
        </w:rPr>
        <w:lastRenderedPageBreak/>
        <w:t>transcribirlo, al no transgredírsele derecho alguno, como tampoco se vulnera disposición expresa que imponga tal obligación</w:t>
      </w:r>
      <w:r w:rsidRPr="007A7121">
        <w:rPr>
          <w:rFonts w:ascii="Arial" w:hAnsi="Arial" w:cs="Arial"/>
          <w:sz w:val="26"/>
          <w:szCs w:val="26"/>
        </w:rPr>
        <w:t>.</w:t>
      </w:r>
      <w:r w:rsidR="00A80C48">
        <w:rPr>
          <w:rFonts w:ascii="Arial" w:hAnsi="Arial" w:cs="Arial"/>
          <w:sz w:val="26"/>
          <w:szCs w:val="26"/>
        </w:rPr>
        <w:t xml:space="preserve"> </w:t>
      </w:r>
      <w:r w:rsidR="00A80C48" w:rsidRPr="00A80C48">
        <w:rPr>
          <w:rFonts w:ascii="Arial" w:hAnsi="Arial" w:cs="Arial"/>
          <w:bCs/>
          <w:sz w:val="26"/>
          <w:szCs w:val="26"/>
        </w:rPr>
        <w:t xml:space="preserve">- - - - - - - - - - - </w:t>
      </w:r>
    </w:p>
    <w:p w14:paraId="772FE03B" w14:textId="77777777" w:rsidR="00594002" w:rsidRPr="00A96B84" w:rsidRDefault="00594002" w:rsidP="00A8005C">
      <w:pPr>
        <w:spacing w:before="240" w:after="0" w:line="360" w:lineRule="auto"/>
        <w:ind w:right="49" w:firstLine="708"/>
        <w:jc w:val="both"/>
        <w:rPr>
          <w:rFonts w:ascii="Arial" w:hAnsi="Arial" w:cs="Arial"/>
          <w:bCs/>
          <w:sz w:val="26"/>
          <w:szCs w:val="26"/>
        </w:rPr>
      </w:pPr>
      <w:r w:rsidRPr="00A96B84">
        <w:rPr>
          <w:rFonts w:ascii="Arial" w:hAnsi="Arial" w:cs="Arial"/>
          <w:bCs/>
          <w:sz w:val="26"/>
          <w:szCs w:val="26"/>
        </w:rPr>
        <w:t>Se invoca en apoyo, la Jurisprudencia en materia común, número 2ª./J. 58/2010, de la Novena Época, emitida por la Segunda Sala de la Suprema Corte de Justicia de la Nación, con número de registro digital 164618, publicada en el Semanario Judicial de la Federación y su Gaceta. En el Tomo XXXI, mayo de 2010, visible a página 830, bajo el rubro y texto siguiente:</w:t>
      </w:r>
    </w:p>
    <w:p w14:paraId="3BDB86A3" w14:textId="77777777" w:rsidR="00594002" w:rsidRPr="00A80C48" w:rsidRDefault="00594002" w:rsidP="00A80C48">
      <w:pPr>
        <w:ind w:left="708" w:firstLine="45"/>
        <w:jc w:val="both"/>
        <w:rPr>
          <w:rFonts w:ascii="Arial" w:eastAsia="Times New Roman" w:hAnsi="Arial" w:cs="Arial"/>
          <w:i/>
        </w:rPr>
      </w:pPr>
      <w:r w:rsidRPr="00A80C48">
        <w:rPr>
          <w:rFonts w:ascii="Arial" w:hAnsi="Arial" w:cs="Arial"/>
          <w:b/>
          <w:bCs/>
          <w:i/>
        </w:rPr>
        <w:t>“</w:t>
      </w:r>
      <w:r w:rsidRPr="00A80C48">
        <w:rPr>
          <w:rFonts w:ascii="Arial" w:hAnsi="Arial" w:cs="Arial"/>
          <w:b/>
          <w:bCs/>
          <w:i/>
          <w:color w:val="212529"/>
          <w:shd w:val="clear" w:color="auto" w:fill="FFFFFF"/>
        </w:rPr>
        <w:t>CONCEPTOS DE VIOLACIÓN O AGRAVIOS. PARA CUMPLIR CON LOS PRINCIPIOS DE CONGRUENCIA Y EXHAUSTIVIDAD EN LAS SENTENCIAS DE AMPARO ES INNECESARIA SU TRANSCRIPCIÓN</w:t>
      </w:r>
      <w:r w:rsidRPr="00A80C48">
        <w:rPr>
          <w:rFonts w:ascii="Arial" w:eastAsia="Times New Roman" w:hAnsi="Arial" w:cs="Arial"/>
          <w:b/>
          <w:i/>
        </w:rPr>
        <w:t xml:space="preserve">. </w:t>
      </w:r>
      <w:r w:rsidRPr="00A80C48">
        <w:rPr>
          <w:rFonts w:ascii="Arial" w:hAnsi="Arial" w:cs="Arial"/>
          <w:i/>
          <w:color w:val="212529"/>
          <w:shd w:val="clear" w:color="auto" w:fill="FFFFFF"/>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A80C48">
        <w:rPr>
          <w:rFonts w:ascii="Arial" w:eastAsia="Times New Roman" w:hAnsi="Arial" w:cs="Arial"/>
          <w:i/>
        </w:rPr>
        <w:t>.”</w:t>
      </w:r>
    </w:p>
    <w:p w14:paraId="245E083C" w14:textId="7FBE1AB9" w:rsidR="000C5FD5" w:rsidRDefault="001B2848" w:rsidP="000C5FD5">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sidR="00C47B12">
        <w:rPr>
          <w:rFonts w:ascii="Arial" w:eastAsia="Calibri" w:hAnsi="Arial" w:cs="Arial"/>
          <w:b/>
          <w:bCs/>
          <w:sz w:val="26"/>
          <w:szCs w:val="26"/>
        </w:rPr>
        <w:t xml:space="preserve"> </w:t>
      </w:r>
      <w:r w:rsidR="003B183F">
        <w:rPr>
          <w:rFonts w:ascii="Arial" w:eastAsia="Calibri" w:hAnsi="Arial" w:cs="Arial"/>
          <w:bCs/>
          <w:sz w:val="26"/>
          <w:szCs w:val="26"/>
        </w:rPr>
        <w:t xml:space="preserve">Del único agravio que el recurrente hizo valer, se advierten </w:t>
      </w:r>
      <w:r w:rsidR="009404F7">
        <w:rPr>
          <w:rFonts w:ascii="Arial" w:eastAsia="Calibri" w:hAnsi="Arial" w:cs="Arial"/>
          <w:bCs/>
          <w:sz w:val="26"/>
          <w:szCs w:val="26"/>
        </w:rPr>
        <w:t>tre</w:t>
      </w:r>
      <w:r w:rsidR="003B183F">
        <w:rPr>
          <w:rFonts w:ascii="Arial" w:eastAsia="Calibri" w:hAnsi="Arial" w:cs="Arial"/>
          <w:bCs/>
          <w:sz w:val="26"/>
          <w:szCs w:val="26"/>
        </w:rPr>
        <w:t xml:space="preserve">s inconformidades, en el primero arguye que </w:t>
      </w:r>
      <w:r w:rsidR="007824ED" w:rsidRPr="00D062CB">
        <w:rPr>
          <w:rFonts w:ascii="Arial" w:eastAsia="Calibri" w:hAnsi="Arial" w:cs="Arial"/>
          <w:bCs/>
          <w:sz w:val="26"/>
          <w:szCs w:val="26"/>
        </w:rPr>
        <w:t>le agravia</w:t>
      </w:r>
      <w:r w:rsidR="0047228C">
        <w:rPr>
          <w:rFonts w:ascii="Arial" w:eastAsia="Calibri" w:hAnsi="Arial" w:cs="Arial"/>
          <w:bCs/>
          <w:sz w:val="26"/>
          <w:szCs w:val="26"/>
        </w:rPr>
        <w:t xml:space="preserve"> </w:t>
      </w:r>
      <w:r w:rsidR="006139A0">
        <w:rPr>
          <w:rFonts w:ascii="Arial" w:eastAsia="Calibri" w:hAnsi="Arial" w:cs="Arial"/>
          <w:bCs/>
          <w:sz w:val="26"/>
          <w:szCs w:val="26"/>
        </w:rPr>
        <w:t xml:space="preserve">a su representada </w:t>
      </w:r>
      <w:r w:rsidR="0047228C">
        <w:rPr>
          <w:rFonts w:ascii="Arial" w:eastAsia="Calibri" w:hAnsi="Arial" w:cs="Arial"/>
          <w:bCs/>
          <w:sz w:val="26"/>
          <w:szCs w:val="26"/>
        </w:rPr>
        <w:t>el considerando sexto</w:t>
      </w:r>
      <w:r w:rsidR="00911C42">
        <w:rPr>
          <w:rFonts w:ascii="Arial" w:eastAsia="Calibri" w:hAnsi="Arial" w:cs="Arial"/>
          <w:bCs/>
          <w:sz w:val="26"/>
          <w:szCs w:val="26"/>
        </w:rPr>
        <w:t xml:space="preserve"> y el punto resolutivo cuarto de la sentencia que impugna – los transcribió-</w:t>
      </w:r>
      <w:r w:rsidR="00F431B7">
        <w:rPr>
          <w:rFonts w:ascii="Arial" w:eastAsia="Calibri" w:hAnsi="Arial" w:cs="Arial"/>
          <w:bCs/>
          <w:sz w:val="26"/>
          <w:szCs w:val="26"/>
        </w:rPr>
        <w:t>,</w:t>
      </w:r>
      <w:r w:rsidR="00911C42">
        <w:rPr>
          <w:rFonts w:ascii="Arial" w:eastAsia="Calibri" w:hAnsi="Arial" w:cs="Arial"/>
          <w:bCs/>
          <w:sz w:val="26"/>
          <w:szCs w:val="26"/>
        </w:rPr>
        <w:t xml:space="preserve"> </w:t>
      </w:r>
      <w:r w:rsidR="00F431B7">
        <w:rPr>
          <w:rFonts w:ascii="Arial" w:eastAsia="Calibri" w:hAnsi="Arial" w:cs="Arial"/>
          <w:bCs/>
          <w:sz w:val="26"/>
          <w:szCs w:val="26"/>
        </w:rPr>
        <w:t xml:space="preserve">porque </w:t>
      </w:r>
      <w:r w:rsidR="00911C42">
        <w:rPr>
          <w:rFonts w:ascii="Arial" w:eastAsia="Calibri" w:hAnsi="Arial" w:cs="Arial"/>
          <w:bCs/>
          <w:sz w:val="26"/>
          <w:szCs w:val="26"/>
        </w:rPr>
        <w:t>considera que el Magistrado de la Sala Especializada no entró al fondo del asunto, ni analizó las actuaciones que obran en el juicio contencioso administrativo, como tampoco resolvió conforme a las pruebas que ofreció cuando contestó la demanda, toda vez que el señalamiento que hizo al argumentar que su representada precisó la “Ley” para resolver el fondo del asunto, es la “Ley de Responsabilidades Administrativas de los Servidores Públicos del Estado y Municipios de Oaxaca”</w:t>
      </w:r>
      <w:r w:rsidR="000C5FD5">
        <w:rPr>
          <w:rFonts w:ascii="Arial" w:eastAsia="Calibri" w:hAnsi="Arial" w:cs="Arial"/>
          <w:bCs/>
          <w:sz w:val="26"/>
          <w:szCs w:val="26"/>
        </w:rPr>
        <w:t>, lo que es una falacia, pues pretende fi</w:t>
      </w:r>
      <w:r w:rsidR="003B183F">
        <w:rPr>
          <w:rFonts w:ascii="Arial" w:eastAsia="Calibri" w:hAnsi="Arial" w:cs="Arial"/>
          <w:bCs/>
          <w:sz w:val="26"/>
          <w:szCs w:val="26"/>
        </w:rPr>
        <w:t>n</w:t>
      </w:r>
      <w:r w:rsidR="000C5FD5">
        <w:rPr>
          <w:rFonts w:ascii="Arial" w:eastAsia="Calibri" w:hAnsi="Arial" w:cs="Arial"/>
          <w:bCs/>
          <w:sz w:val="26"/>
          <w:szCs w:val="26"/>
        </w:rPr>
        <w:t xml:space="preserve">car a sus representados </w:t>
      </w:r>
      <w:r w:rsidR="003B183F">
        <w:rPr>
          <w:rFonts w:ascii="Arial" w:eastAsia="Calibri" w:hAnsi="Arial" w:cs="Arial"/>
          <w:bCs/>
          <w:sz w:val="26"/>
          <w:szCs w:val="26"/>
        </w:rPr>
        <w:t xml:space="preserve">la mención de </w:t>
      </w:r>
      <w:r w:rsidR="000C5FD5">
        <w:rPr>
          <w:rFonts w:ascii="Arial" w:eastAsia="Calibri" w:hAnsi="Arial" w:cs="Arial"/>
          <w:bCs/>
          <w:sz w:val="26"/>
          <w:szCs w:val="26"/>
        </w:rPr>
        <w:t xml:space="preserve">una “Ley inexistente”, </w:t>
      </w:r>
      <w:r w:rsidR="003B183F">
        <w:rPr>
          <w:rFonts w:ascii="Arial" w:eastAsia="Calibri" w:hAnsi="Arial" w:cs="Arial"/>
          <w:bCs/>
          <w:sz w:val="26"/>
          <w:szCs w:val="26"/>
        </w:rPr>
        <w:t xml:space="preserve">cuando </w:t>
      </w:r>
      <w:r w:rsidR="000C5FD5">
        <w:rPr>
          <w:rFonts w:ascii="Arial" w:eastAsia="Calibri" w:hAnsi="Arial" w:cs="Arial"/>
          <w:bCs/>
          <w:sz w:val="26"/>
          <w:szCs w:val="26"/>
        </w:rPr>
        <w:t xml:space="preserve">a foja cinco de la resolución de veinticinco de junio de dos mil veinte dictada en el expediente administrativo </w:t>
      </w:r>
      <w:r w:rsidR="00000051">
        <w:rPr>
          <w:rFonts w:ascii="Arial" w:eastAsia="Calibri" w:hAnsi="Arial" w:cs="Arial"/>
          <w:bCs/>
          <w:sz w:val="26"/>
          <w:szCs w:val="26"/>
        </w:rPr>
        <w:t>*******</w:t>
      </w:r>
      <w:r w:rsidR="000C5FD5">
        <w:rPr>
          <w:rFonts w:ascii="Arial" w:eastAsia="Calibri" w:hAnsi="Arial" w:cs="Arial"/>
          <w:bCs/>
          <w:sz w:val="26"/>
          <w:szCs w:val="26"/>
        </w:rPr>
        <w:t xml:space="preserve">, </w:t>
      </w:r>
      <w:r w:rsidR="00CB1DE5">
        <w:rPr>
          <w:rFonts w:ascii="Arial" w:eastAsia="Calibri" w:hAnsi="Arial" w:cs="Arial"/>
          <w:bCs/>
          <w:sz w:val="26"/>
          <w:szCs w:val="26"/>
        </w:rPr>
        <w:t>en el considera</w:t>
      </w:r>
      <w:r w:rsidR="002E4E45">
        <w:rPr>
          <w:rFonts w:ascii="Arial" w:eastAsia="Calibri" w:hAnsi="Arial" w:cs="Arial"/>
          <w:bCs/>
          <w:sz w:val="26"/>
          <w:szCs w:val="26"/>
        </w:rPr>
        <w:t>n</w:t>
      </w:r>
      <w:r w:rsidR="00CB1DE5">
        <w:rPr>
          <w:rFonts w:ascii="Arial" w:eastAsia="Calibri" w:hAnsi="Arial" w:cs="Arial"/>
          <w:bCs/>
          <w:sz w:val="26"/>
          <w:szCs w:val="26"/>
        </w:rPr>
        <w:t>do segundo</w:t>
      </w:r>
      <w:r w:rsidR="000C5FD5">
        <w:rPr>
          <w:rFonts w:ascii="Arial" w:eastAsia="Calibri" w:hAnsi="Arial" w:cs="Arial"/>
          <w:bCs/>
          <w:sz w:val="26"/>
          <w:szCs w:val="26"/>
        </w:rPr>
        <w:t xml:space="preserve">, </w:t>
      </w:r>
      <w:r w:rsidR="004645CA">
        <w:rPr>
          <w:rFonts w:ascii="Arial" w:eastAsia="Calibri" w:hAnsi="Arial" w:cs="Arial"/>
          <w:bCs/>
          <w:sz w:val="26"/>
          <w:szCs w:val="26"/>
        </w:rPr>
        <w:t>se advierte</w:t>
      </w:r>
      <w:r w:rsidR="00CB1DE5">
        <w:rPr>
          <w:rFonts w:ascii="Arial" w:eastAsia="Calibri" w:hAnsi="Arial" w:cs="Arial"/>
          <w:bCs/>
          <w:sz w:val="26"/>
          <w:szCs w:val="26"/>
        </w:rPr>
        <w:t xml:space="preserve"> </w:t>
      </w:r>
      <w:r w:rsidR="000C5FD5">
        <w:rPr>
          <w:rFonts w:ascii="Arial" w:eastAsia="Calibri" w:hAnsi="Arial" w:cs="Arial"/>
          <w:bCs/>
          <w:sz w:val="26"/>
          <w:szCs w:val="26"/>
        </w:rPr>
        <w:t xml:space="preserve">descrita como ley aplicable </w:t>
      </w:r>
      <w:r w:rsidR="00CB1DE5">
        <w:rPr>
          <w:rFonts w:ascii="Arial" w:eastAsia="Calibri" w:hAnsi="Arial" w:cs="Arial"/>
          <w:bCs/>
          <w:sz w:val="26"/>
          <w:szCs w:val="26"/>
        </w:rPr>
        <w:t>al</w:t>
      </w:r>
      <w:r w:rsidR="004645CA">
        <w:rPr>
          <w:rFonts w:ascii="Arial" w:eastAsia="Calibri" w:hAnsi="Arial" w:cs="Arial"/>
          <w:bCs/>
          <w:sz w:val="26"/>
          <w:szCs w:val="26"/>
        </w:rPr>
        <w:t xml:space="preserve"> fondo</w:t>
      </w:r>
      <w:r w:rsidR="000C5FD5">
        <w:rPr>
          <w:rFonts w:ascii="Arial" w:eastAsia="Calibri" w:hAnsi="Arial" w:cs="Arial"/>
          <w:bCs/>
          <w:sz w:val="26"/>
          <w:szCs w:val="26"/>
        </w:rPr>
        <w:t xml:space="preserve">, </w:t>
      </w:r>
      <w:r w:rsidR="00CB1DE5">
        <w:rPr>
          <w:rFonts w:ascii="Arial" w:eastAsia="Calibri" w:hAnsi="Arial" w:cs="Arial"/>
          <w:bCs/>
          <w:sz w:val="26"/>
          <w:szCs w:val="26"/>
        </w:rPr>
        <w:t xml:space="preserve">la Ley de Responsabilidades de los Servidores Públicos del Estado y Municipios de Oaxaca, vigente hasta el veinticinco de </w:t>
      </w:r>
      <w:r w:rsidR="00CB1DE5">
        <w:rPr>
          <w:rFonts w:ascii="Arial" w:eastAsia="Calibri" w:hAnsi="Arial" w:cs="Arial"/>
          <w:bCs/>
          <w:sz w:val="26"/>
          <w:szCs w:val="26"/>
        </w:rPr>
        <w:lastRenderedPageBreak/>
        <w:t>diciembre de dos mil quince,</w:t>
      </w:r>
      <w:r w:rsidR="00275FE5">
        <w:rPr>
          <w:rFonts w:ascii="Arial" w:eastAsia="Calibri" w:hAnsi="Arial" w:cs="Arial"/>
          <w:bCs/>
          <w:sz w:val="26"/>
          <w:szCs w:val="26"/>
        </w:rPr>
        <w:t xml:space="preserve"> antes de la entrada en vigor de las reformas estipuladas en el Decreto 2055, publicado en el </w:t>
      </w:r>
      <w:r w:rsidR="0009544D">
        <w:rPr>
          <w:rFonts w:ascii="Arial" w:eastAsia="Calibri" w:hAnsi="Arial" w:cs="Arial"/>
          <w:bCs/>
          <w:sz w:val="26"/>
          <w:szCs w:val="26"/>
        </w:rPr>
        <w:t>Periódico</w:t>
      </w:r>
      <w:r w:rsidR="00275FE5">
        <w:rPr>
          <w:rFonts w:ascii="Arial" w:eastAsia="Calibri" w:hAnsi="Arial" w:cs="Arial"/>
          <w:bCs/>
          <w:sz w:val="26"/>
          <w:szCs w:val="26"/>
        </w:rPr>
        <w:t xml:space="preserve"> Oficial Extra del 18 de octubre del 2013 y sus partes observadas publicada en el </w:t>
      </w:r>
      <w:r w:rsidR="0009544D">
        <w:rPr>
          <w:rFonts w:ascii="Arial" w:eastAsia="Calibri" w:hAnsi="Arial" w:cs="Arial"/>
          <w:bCs/>
          <w:sz w:val="26"/>
          <w:szCs w:val="26"/>
        </w:rPr>
        <w:t>Periódico</w:t>
      </w:r>
      <w:r w:rsidR="00275FE5">
        <w:rPr>
          <w:rFonts w:ascii="Arial" w:eastAsia="Calibri" w:hAnsi="Arial" w:cs="Arial"/>
          <w:bCs/>
          <w:sz w:val="26"/>
          <w:szCs w:val="26"/>
        </w:rPr>
        <w:t xml:space="preserve"> Oficial Extra del 26 de diciembre de 2013, mediante Decreto número 2074</w:t>
      </w:r>
      <w:r w:rsidR="000C5FD5">
        <w:rPr>
          <w:rFonts w:ascii="Arial" w:eastAsia="Calibri" w:hAnsi="Arial" w:cs="Arial"/>
          <w:bCs/>
          <w:sz w:val="26"/>
          <w:szCs w:val="26"/>
        </w:rPr>
        <w:t>; sin que se advierta que su representada haya hecho valer la Ley que manifiesta la Sala Especializada</w:t>
      </w:r>
      <w:r w:rsidR="009944FD">
        <w:rPr>
          <w:rFonts w:ascii="Arial" w:eastAsia="Calibri" w:hAnsi="Arial" w:cs="Arial"/>
          <w:bCs/>
          <w:sz w:val="26"/>
          <w:szCs w:val="26"/>
        </w:rPr>
        <w:t>; por lo que se debe revocar la sentencia que refuta por no estar apegada a derecho y a la legalidad.</w:t>
      </w:r>
      <w:r w:rsidR="00000051">
        <w:rPr>
          <w:rFonts w:ascii="Arial" w:eastAsia="Calibri" w:hAnsi="Arial" w:cs="Arial"/>
          <w:bCs/>
          <w:sz w:val="26"/>
          <w:szCs w:val="26"/>
        </w:rPr>
        <w:t>-</w:t>
      </w:r>
    </w:p>
    <w:p w14:paraId="4C46A85A" w14:textId="034E1A47" w:rsidR="00FE6E98" w:rsidRDefault="00FE6E98" w:rsidP="000C5FD5">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Es </w:t>
      </w:r>
      <w:r w:rsidRPr="003B183F">
        <w:rPr>
          <w:rFonts w:ascii="Arial" w:eastAsia="Calibri" w:hAnsi="Arial" w:cs="Arial"/>
          <w:b/>
          <w:sz w:val="26"/>
          <w:szCs w:val="26"/>
        </w:rPr>
        <w:t>INFUNDADO</w:t>
      </w:r>
      <w:r>
        <w:rPr>
          <w:rFonts w:ascii="Arial" w:eastAsia="Calibri" w:hAnsi="Arial" w:cs="Arial"/>
          <w:bCs/>
          <w:sz w:val="26"/>
          <w:szCs w:val="26"/>
        </w:rPr>
        <w:t xml:space="preserve"> el alegato anterior, </w:t>
      </w:r>
      <w:r w:rsidR="00941215">
        <w:rPr>
          <w:rFonts w:ascii="Arial" w:hAnsi="Arial" w:cs="Arial"/>
          <w:bCs/>
          <w:color w:val="000000"/>
          <w:sz w:val="26"/>
          <w:szCs w:val="26"/>
        </w:rPr>
        <w:t xml:space="preserve">en razón del análisis de </w:t>
      </w:r>
      <w:r w:rsidR="00941215">
        <w:rPr>
          <w:rFonts w:ascii="Arial" w:hAnsi="Arial" w:cs="Arial"/>
          <w:sz w:val="26"/>
          <w:szCs w:val="26"/>
        </w:rPr>
        <w:t>las constancias de autos que fueron remitidas para la substanciación del presente asunto, con valor probatorio pleno de conformidad con lo dispuesto en el artículo 203, fracción I, de la Ley de Procedimiento y Justicia Administrativa para el Estado de Oaxaca, por tratarse de actuaciones judiciales; de las que de fojas doscientos cuarenta y cinco a doscientos cuarenta y nueve, se advierte la sentencia dictada por el titular de la Sala Especializada en Materia de Responsabilidades y Combate a la Corrupción, en cuyo considerando sexto determinó lo siguiente:</w:t>
      </w:r>
    </w:p>
    <w:p w14:paraId="56374197" w14:textId="6A55EFE2" w:rsidR="00A4305E" w:rsidRPr="00A4305E" w:rsidRDefault="008963D1" w:rsidP="00A4305E">
      <w:pPr>
        <w:ind w:left="567" w:right="616" w:firstLine="142"/>
        <w:jc w:val="both"/>
        <w:rPr>
          <w:rFonts w:ascii="Arial" w:hAnsi="Arial" w:cs="Arial"/>
          <w:i/>
          <w:iCs/>
        </w:rPr>
      </w:pPr>
      <w:r w:rsidRPr="00A4305E">
        <w:rPr>
          <w:rFonts w:ascii="Arial" w:hAnsi="Arial" w:cs="Arial"/>
          <w:i/>
          <w:iCs/>
        </w:rPr>
        <w:t>“</w:t>
      </w:r>
      <w:r w:rsidR="00A4305E" w:rsidRPr="00A4305E">
        <w:rPr>
          <w:rFonts w:ascii="Arial" w:hAnsi="Arial" w:cs="Arial"/>
          <w:b/>
          <w:i/>
          <w:iCs/>
        </w:rPr>
        <w:t xml:space="preserve">SEXTO. </w:t>
      </w:r>
      <w:r w:rsidR="00A4305E" w:rsidRPr="00A4305E">
        <w:rPr>
          <w:rFonts w:ascii="Arial" w:hAnsi="Arial" w:cs="Arial"/>
          <w:i/>
          <w:iCs/>
        </w:rPr>
        <w:t xml:space="preserve">Esta sala, hace el estudio preferente de los conceptos de impugnación que más le favorece a la parte actora, esto en atención al principio de </w:t>
      </w:r>
      <w:r w:rsidR="00A4305E" w:rsidRPr="00A4305E">
        <w:rPr>
          <w:rFonts w:ascii="Arial" w:hAnsi="Arial" w:cs="Arial"/>
          <w:b/>
          <w:i/>
          <w:iCs/>
        </w:rPr>
        <w:t xml:space="preserve">mayor beneficio, </w:t>
      </w:r>
      <w:r w:rsidR="00A4305E" w:rsidRPr="00A4305E">
        <w:rPr>
          <w:rFonts w:ascii="Arial" w:hAnsi="Arial" w:cs="Arial"/>
          <w:i/>
          <w:iCs/>
        </w:rPr>
        <w:t xml:space="preserve">por lo que este juzgador, procede al estudio del cuarto concepto de impugnación, que, de actualizarse, se omitiría el estudio de aquellos que, aunque resulten fundados, no mejoren lo ya alcanzado por la actora, y que, de acreditarse, extingue la facultad de la autoridad, para sancionar la responsabilidad administrativa atribuida a </w:t>
      </w:r>
      <w:r w:rsidR="00000051">
        <w:rPr>
          <w:rFonts w:ascii="Arial" w:hAnsi="Arial" w:cs="Arial"/>
          <w:i/>
          <w:iCs/>
        </w:rPr>
        <w:t>*******</w:t>
      </w:r>
      <w:r w:rsidR="00A4305E" w:rsidRPr="00A4305E">
        <w:rPr>
          <w:rFonts w:ascii="Arial" w:hAnsi="Arial" w:cs="Arial"/>
          <w:i/>
          <w:iCs/>
        </w:rPr>
        <w:t xml:space="preserve">, debido a que, se trata de la perdida de la potestad sancionadora de la autoridad para dictar resolución y confirmarla. </w:t>
      </w:r>
    </w:p>
    <w:p w14:paraId="20DC2260"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Dicho concepto, por el que la actora manifiesta que ha operado la </w:t>
      </w:r>
      <w:r w:rsidRPr="00A4305E">
        <w:rPr>
          <w:rFonts w:ascii="Arial" w:hAnsi="Arial" w:cs="Arial"/>
          <w:b/>
          <w:i/>
          <w:iCs/>
        </w:rPr>
        <w:t xml:space="preserve">prescripción </w:t>
      </w:r>
      <w:r w:rsidRPr="00A4305E">
        <w:rPr>
          <w:rFonts w:ascii="Arial" w:hAnsi="Arial" w:cs="Arial"/>
          <w:i/>
          <w:iCs/>
        </w:rPr>
        <w:t xml:space="preserve">a su favor, resulta </w:t>
      </w:r>
      <w:r w:rsidRPr="00A4305E">
        <w:rPr>
          <w:rFonts w:ascii="Arial" w:hAnsi="Arial" w:cs="Arial"/>
          <w:b/>
          <w:i/>
          <w:iCs/>
        </w:rPr>
        <w:t xml:space="preserve">fundado, </w:t>
      </w:r>
      <w:r w:rsidRPr="00A4305E">
        <w:rPr>
          <w:rFonts w:ascii="Arial" w:hAnsi="Arial" w:cs="Arial"/>
          <w:i/>
          <w:iCs/>
        </w:rPr>
        <w:t xml:space="preserve">en atención a que le resulta aplicable lo previsto por el artículo 77, fracción I de la Ley de Responsabilidades de los Servidores Públicos del Estado y Municipios de Oaxaca, puesto que, las faltas administrativas que le imputaron se dieron durante el dos mil catorce. </w:t>
      </w:r>
    </w:p>
    <w:p w14:paraId="381F76DF" w14:textId="7CCE694F" w:rsidR="00A4305E" w:rsidRPr="00A4305E" w:rsidRDefault="00A4305E" w:rsidP="00A4305E">
      <w:pPr>
        <w:ind w:left="567" w:right="616" w:firstLine="142"/>
        <w:jc w:val="both"/>
        <w:rPr>
          <w:rFonts w:ascii="Arial" w:hAnsi="Arial" w:cs="Arial"/>
          <w:i/>
          <w:iCs/>
        </w:rPr>
      </w:pPr>
      <w:r w:rsidRPr="00A4305E">
        <w:rPr>
          <w:rFonts w:ascii="Arial" w:hAnsi="Arial" w:cs="Arial"/>
          <w:i/>
          <w:iCs/>
        </w:rPr>
        <w:t>En su contestación la autoridad demandada, manifestó que, (…) al existir un monto involucrado por la cantidad de $</w:t>
      </w:r>
      <w:r w:rsidR="00000051">
        <w:rPr>
          <w:rFonts w:ascii="Arial" w:hAnsi="Arial" w:cs="Arial"/>
          <w:i/>
          <w:iCs/>
        </w:rPr>
        <w:t>*******</w:t>
      </w:r>
      <w:r w:rsidRPr="00A4305E">
        <w:rPr>
          <w:rFonts w:ascii="Arial" w:hAnsi="Arial" w:cs="Arial"/>
          <w:i/>
          <w:iCs/>
        </w:rPr>
        <w:t>, el cual excede el equivalente a diez veces el salario mínimo general mensual en el estado, por lo consiguiente se actualiza el precepto estipulado en la fracción II del artículo 77 de la Ley de Responsabilidades de los Servidores Públicos del Estado y Municipios de Oaxaca (vigente hasta el 25 de diciembre de 2015, antes de la entrada en vigor de las reformas estipuladas en el decreto 2055, publicado en el Periódico Oficial Extra del 18 de octubre de 2013, y sus partes observadas publicadas en el Periódico Oficial Extra el 26 de diciembre de 2013 mediante decreto número 2074), por lo que contaba con el término de tres años para ejercer la facultad de aplicabilidad de sanciones.”</w:t>
      </w:r>
    </w:p>
    <w:p w14:paraId="2A20131E"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lastRenderedPageBreak/>
        <w:t xml:space="preserve">Es importante recordar que, la </w:t>
      </w:r>
      <w:r w:rsidRPr="00A4305E">
        <w:rPr>
          <w:rFonts w:ascii="Arial" w:hAnsi="Arial" w:cs="Arial"/>
          <w:b/>
          <w:i/>
          <w:iCs/>
        </w:rPr>
        <w:t xml:space="preserve">prescripción </w:t>
      </w:r>
      <w:r w:rsidRPr="00A4305E">
        <w:rPr>
          <w:rFonts w:ascii="Arial" w:hAnsi="Arial" w:cs="Arial"/>
          <w:i/>
          <w:iCs/>
        </w:rPr>
        <w:t xml:space="preserve">es una limitación al </w:t>
      </w:r>
      <w:r w:rsidRPr="00A4305E">
        <w:rPr>
          <w:rFonts w:ascii="Arial" w:hAnsi="Arial" w:cs="Arial"/>
          <w:b/>
          <w:i/>
          <w:iCs/>
        </w:rPr>
        <w:t xml:space="preserve">ejercicio tardío </w:t>
      </w:r>
      <w:r w:rsidRPr="00A4305E">
        <w:rPr>
          <w:rFonts w:ascii="Arial" w:hAnsi="Arial" w:cs="Arial"/>
          <w:i/>
          <w:iCs/>
        </w:rPr>
        <w:t xml:space="preserve">del derecho en beneficio de la certeza jurídica; haciendo una analogía con la materia penal en donde esta figura, es un presupuesto procesal, debe ser analizada antes de que se afecte la seguridad jurídica de toda persona sujeta a un procedimiento de carácter sancionador, es importante recordar que, para que opere la prescripción, </w:t>
      </w:r>
      <w:r w:rsidRPr="00A4305E">
        <w:rPr>
          <w:rFonts w:ascii="Arial" w:hAnsi="Arial" w:cs="Arial"/>
          <w:b/>
          <w:i/>
          <w:iCs/>
        </w:rPr>
        <w:t xml:space="preserve">basta el simple transcurso del tiempo </w:t>
      </w:r>
      <w:r w:rsidRPr="00A4305E">
        <w:rPr>
          <w:rFonts w:ascii="Arial" w:hAnsi="Arial" w:cs="Arial"/>
          <w:i/>
          <w:iCs/>
        </w:rPr>
        <w:t>señalado en la ley, el criterio aquí citado, si bien se refiere a la materia penal, lo cierto es que también es aplicable al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sancionador resultan ser dos inequívocas manifestaciones de la potestad punitiva del Estado, entendida como la facultad que tiene este de imponer penas y medidas de seguridad ante la comisión de ilícitos, de manera que, ante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solo es posible en la medida en que resulten compatibles con su naturaleza.</w:t>
      </w:r>
    </w:p>
    <w:p w14:paraId="2B8A3207" w14:textId="67E3AAC3"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Una vez establecida la importancia de la figura de la prescripción, que manifestó la actora operó a su favor, </w:t>
      </w:r>
      <w:r w:rsidRPr="00A4305E">
        <w:rPr>
          <w:rFonts w:ascii="Arial" w:hAnsi="Arial" w:cs="Arial"/>
          <w:i/>
          <w:iCs/>
          <w:u w:val="single"/>
        </w:rPr>
        <w:t>se procede a analizar si en el presente asunto ha operado o no</w:t>
      </w:r>
      <w:r w:rsidRPr="00A4305E">
        <w:rPr>
          <w:rFonts w:ascii="Arial" w:hAnsi="Arial" w:cs="Arial"/>
          <w:i/>
          <w:iCs/>
        </w:rPr>
        <w:t>.- - - - - - - - - - - - - -</w:t>
      </w:r>
      <w:r w:rsidR="00E71D03">
        <w:rPr>
          <w:rFonts w:ascii="Arial" w:hAnsi="Arial" w:cs="Arial"/>
          <w:i/>
          <w:iCs/>
        </w:rPr>
        <w:t xml:space="preserve"> - - - - - - - - - - - - - - </w:t>
      </w:r>
    </w:p>
    <w:p w14:paraId="6FADFEFF" w14:textId="44690A23" w:rsidR="00A4305E" w:rsidRPr="006A6532" w:rsidRDefault="00A4305E" w:rsidP="00A4305E">
      <w:pPr>
        <w:ind w:left="567" w:right="616" w:firstLine="142"/>
        <w:jc w:val="both"/>
        <w:rPr>
          <w:rFonts w:ascii="Arial" w:hAnsi="Arial" w:cs="Arial"/>
          <w:i/>
          <w:iCs/>
        </w:rPr>
      </w:pPr>
      <w:r w:rsidRPr="006A6532">
        <w:rPr>
          <w:rFonts w:ascii="Arial" w:hAnsi="Arial" w:cs="Arial"/>
          <w:i/>
          <w:iCs/>
        </w:rPr>
        <w:t xml:space="preserve">Conviene aclarar que fue la misma autoridad quien </w:t>
      </w:r>
      <w:r w:rsidRPr="006A6532">
        <w:rPr>
          <w:rFonts w:ascii="Arial" w:hAnsi="Arial" w:cs="Arial"/>
          <w:b/>
          <w:i/>
          <w:iCs/>
        </w:rPr>
        <w:t xml:space="preserve">precisó </w:t>
      </w:r>
      <w:r w:rsidRPr="006A6532">
        <w:rPr>
          <w:rFonts w:ascii="Arial" w:hAnsi="Arial" w:cs="Arial"/>
          <w:i/>
          <w:iCs/>
        </w:rPr>
        <w:t xml:space="preserve">la vigilancia de la ley, sobre la cual se basó para resolver el fondo del asunto, que es, la Ley de Responsabilidades Administrativas de los Servidores Públicos del Estado y Municipios de Oaxaca, vigente hasta el veinticinco de diciembre de dos mil quince, respecto de los hechos que se le atribuyen a la entonces servidora pública ahora sancionada, de conformidad con  la sentencia de veinticinco de junio de dos mil veinte, (fojas 123-153 del Juicio de Nulidad), al ser la que estaba vigente al momento de los hechos, en decir (sic), durante los ejercicios fiscales dos mil doce y dos mil trece. </w:t>
      </w:r>
    </w:p>
    <w:p w14:paraId="011C6F48"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Ahora bien, el artículo 77 de la Ley de Responsabilidades de los Servidores Públicos del Estado y Municipios de Oaxaca, establecen las </w:t>
      </w:r>
      <w:r w:rsidRPr="00A4305E">
        <w:rPr>
          <w:rFonts w:ascii="Arial" w:hAnsi="Arial" w:cs="Arial"/>
          <w:b/>
          <w:i/>
          <w:iCs/>
        </w:rPr>
        <w:t xml:space="preserve">temporalidades </w:t>
      </w:r>
      <w:r w:rsidRPr="00A4305E">
        <w:rPr>
          <w:rFonts w:ascii="Arial" w:hAnsi="Arial" w:cs="Arial"/>
          <w:i/>
          <w:iCs/>
        </w:rPr>
        <w:t xml:space="preserve">para que las facultades de imponer sanciones por parte de las autoridades, </w:t>
      </w:r>
      <w:r w:rsidRPr="00A4305E">
        <w:rPr>
          <w:rFonts w:ascii="Arial" w:hAnsi="Arial" w:cs="Arial"/>
          <w:b/>
          <w:i/>
          <w:iCs/>
        </w:rPr>
        <w:t>prescriban</w:t>
      </w:r>
      <w:r w:rsidRPr="00A4305E">
        <w:rPr>
          <w:rFonts w:ascii="Arial" w:hAnsi="Arial" w:cs="Arial"/>
          <w:i/>
          <w:iCs/>
        </w:rPr>
        <w:t xml:space="preserve">, siendo de </w:t>
      </w:r>
      <w:r w:rsidRPr="00A4305E">
        <w:rPr>
          <w:rFonts w:ascii="Arial" w:hAnsi="Arial" w:cs="Arial"/>
          <w:b/>
          <w:i/>
          <w:iCs/>
        </w:rPr>
        <w:t xml:space="preserve">uno </w:t>
      </w:r>
      <w:r w:rsidRPr="00A4305E">
        <w:rPr>
          <w:rFonts w:ascii="Arial" w:hAnsi="Arial" w:cs="Arial"/>
          <w:i/>
          <w:iCs/>
        </w:rPr>
        <w:t xml:space="preserve">y </w:t>
      </w:r>
      <w:r w:rsidRPr="00A4305E">
        <w:rPr>
          <w:rFonts w:ascii="Arial" w:hAnsi="Arial" w:cs="Arial"/>
          <w:b/>
          <w:i/>
          <w:iCs/>
        </w:rPr>
        <w:t xml:space="preserve">tres años. </w:t>
      </w:r>
      <w:r w:rsidRPr="00A4305E">
        <w:rPr>
          <w:rFonts w:ascii="Arial" w:hAnsi="Arial" w:cs="Arial"/>
          <w:i/>
          <w:iCs/>
        </w:rPr>
        <w:t xml:space="preserve">Para que se actualice la temporalidad de un año, contemplada dentro de la fracción primera, del artículo citado exige: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9"/>
        <w:gridCol w:w="2449"/>
        <w:gridCol w:w="2865"/>
      </w:tblGrid>
      <w:tr w:rsidR="00A4305E" w:rsidRPr="00A4305E" w14:paraId="1D032E38" w14:textId="77777777" w:rsidTr="006A6532">
        <w:trPr>
          <w:trHeight w:val="300"/>
        </w:trPr>
        <w:tc>
          <w:tcPr>
            <w:tcW w:w="5359" w:type="dxa"/>
            <w:gridSpan w:val="3"/>
          </w:tcPr>
          <w:p w14:paraId="3AE5CD56" w14:textId="77777777" w:rsidR="00A4305E" w:rsidRPr="00A4305E" w:rsidRDefault="00A4305E" w:rsidP="00A4305E">
            <w:pPr>
              <w:ind w:left="567" w:right="616" w:firstLine="142"/>
              <w:rPr>
                <w:rFonts w:ascii="Arial" w:hAnsi="Arial" w:cs="Arial"/>
                <w:b/>
                <w:i/>
                <w:iCs/>
              </w:rPr>
            </w:pPr>
            <w:r w:rsidRPr="00A4305E">
              <w:rPr>
                <w:rFonts w:ascii="Arial" w:hAnsi="Arial" w:cs="Arial"/>
                <w:b/>
                <w:i/>
                <w:iCs/>
              </w:rPr>
              <w:t xml:space="preserve">                                   Prescriben en un año</w:t>
            </w:r>
          </w:p>
        </w:tc>
      </w:tr>
      <w:tr w:rsidR="00A4305E" w:rsidRPr="00A4305E" w14:paraId="20798220" w14:textId="77777777" w:rsidTr="006A6532">
        <w:trPr>
          <w:trHeight w:val="309"/>
        </w:trPr>
        <w:tc>
          <w:tcPr>
            <w:tcW w:w="1721" w:type="dxa"/>
          </w:tcPr>
          <w:p w14:paraId="1E10CE59" w14:textId="77777777" w:rsidR="00A4305E" w:rsidRPr="00A4305E" w:rsidRDefault="00A4305E" w:rsidP="00A4305E">
            <w:pPr>
              <w:ind w:left="567" w:right="616" w:firstLine="142"/>
              <w:rPr>
                <w:rFonts w:ascii="Arial" w:hAnsi="Arial" w:cs="Arial"/>
                <w:i/>
                <w:iCs/>
              </w:rPr>
            </w:pPr>
            <w:r w:rsidRPr="00A4305E">
              <w:rPr>
                <w:rFonts w:ascii="Arial" w:hAnsi="Arial" w:cs="Arial"/>
                <w:i/>
                <w:iCs/>
              </w:rPr>
              <w:t>Hipótesis 1</w:t>
            </w:r>
          </w:p>
        </w:tc>
        <w:tc>
          <w:tcPr>
            <w:tcW w:w="1823" w:type="dxa"/>
          </w:tcPr>
          <w:p w14:paraId="05C8E20F"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Hipótesis 2</w:t>
            </w:r>
          </w:p>
        </w:tc>
        <w:tc>
          <w:tcPr>
            <w:tcW w:w="1815" w:type="dxa"/>
          </w:tcPr>
          <w:p w14:paraId="069515FF"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Hipótesis 3</w:t>
            </w:r>
          </w:p>
        </w:tc>
      </w:tr>
      <w:tr w:rsidR="00A4305E" w:rsidRPr="00A4305E" w14:paraId="194577F8" w14:textId="77777777" w:rsidTr="006A6532">
        <w:trPr>
          <w:trHeight w:val="1607"/>
        </w:trPr>
        <w:tc>
          <w:tcPr>
            <w:tcW w:w="1721" w:type="dxa"/>
          </w:tcPr>
          <w:p w14:paraId="7081B8B9"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Que el beneficio obtenido por el </w:t>
            </w:r>
            <w:r w:rsidRPr="00A4305E">
              <w:rPr>
                <w:rFonts w:ascii="Arial" w:hAnsi="Arial" w:cs="Arial"/>
                <w:b/>
                <w:i/>
                <w:iCs/>
              </w:rPr>
              <w:t xml:space="preserve">infractor </w:t>
            </w:r>
            <w:r w:rsidRPr="00A4305E">
              <w:rPr>
                <w:rFonts w:ascii="Arial" w:hAnsi="Arial" w:cs="Arial"/>
                <w:i/>
                <w:iCs/>
              </w:rPr>
              <w:t xml:space="preserve">no exceda del equivalente a diez </w:t>
            </w:r>
            <w:r w:rsidRPr="00A4305E">
              <w:rPr>
                <w:rFonts w:ascii="Arial" w:hAnsi="Arial" w:cs="Arial"/>
                <w:i/>
                <w:iCs/>
              </w:rPr>
              <w:lastRenderedPageBreak/>
              <w:t>veces el salario mínimo general vigente en el Estado.</w:t>
            </w:r>
          </w:p>
        </w:tc>
        <w:tc>
          <w:tcPr>
            <w:tcW w:w="1823" w:type="dxa"/>
          </w:tcPr>
          <w:p w14:paraId="3B988CC4"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lastRenderedPageBreak/>
              <w:t xml:space="preserve">Que el daño causado por el </w:t>
            </w:r>
            <w:r w:rsidRPr="00A4305E">
              <w:rPr>
                <w:rFonts w:ascii="Arial" w:hAnsi="Arial" w:cs="Arial"/>
                <w:b/>
                <w:i/>
                <w:iCs/>
              </w:rPr>
              <w:t xml:space="preserve">infractor </w:t>
            </w:r>
            <w:r w:rsidRPr="00A4305E">
              <w:rPr>
                <w:rFonts w:ascii="Arial" w:hAnsi="Arial" w:cs="Arial"/>
                <w:i/>
                <w:iCs/>
              </w:rPr>
              <w:t xml:space="preserve">no exceda del equivalente a diez </w:t>
            </w:r>
            <w:r w:rsidRPr="00A4305E">
              <w:rPr>
                <w:rFonts w:ascii="Arial" w:hAnsi="Arial" w:cs="Arial"/>
                <w:i/>
                <w:iCs/>
              </w:rPr>
              <w:lastRenderedPageBreak/>
              <w:t xml:space="preserve">veces el salario mínimo general vigente en el Estado. </w:t>
            </w:r>
          </w:p>
        </w:tc>
        <w:tc>
          <w:tcPr>
            <w:tcW w:w="1815" w:type="dxa"/>
          </w:tcPr>
          <w:p w14:paraId="665D02E8" w14:textId="77777777" w:rsidR="00A4305E" w:rsidRPr="00A4305E" w:rsidRDefault="00A4305E" w:rsidP="00A4305E">
            <w:pPr>
              <w:ind w:left="567" w:right="616" w:firstLine="142"/>
              <w:rPr>
                <w:rFonts w:ascii="Arial" w:hAnsi="Arial" w:cs="Arial"/>
                <w:i/>
                <w:iCs/>
              </w:rPr>
            </w:pPr>
            <w:r w:rsidRPr="00A4305E">
              <w:rPr>
                <w:rFonts w:ascii="Arial" w:hAnsi="Arial" w:cs="Arial"/>
                <w:i/>
                <w:iCs/>
              </w:rPr>
              <w:lastRenderedPageBreak/>
              <w:t xml:space="preserve">Que la responsabilidad (del </w:t>
            </w:r>
            <w:r w:rsidRPr="00A4305E">
              <w:rPr>
                <w:rFonts w:ascii="Arial" w:hAnsi="Arial" w:cs="Arial"/>
                <w:b/>
                <w:i/>
                <w:iCs/>
              </w:rPr>
              <w:t>infractor</w:t>
            </w:r>
            <w:r w:rsidRPr="00A4305E">
              <w:rPr>
                <w:rFonts w:ascii="Arial" w:hAnsi="Arial" w:cs="Arial"/>
                <w:i/>
                <w:iCs/>
              </w:rPr>
              <w:t xml:space="preserve">) no fuese estimable en dinero. </w:t>
            </w:r>
          </w:p>
        </w:tc>
      </w:tr>
    </w:tbl>
    <w:p w14:paraId="191817F9" w14:textId="77777777" w:rsidR="00A4305E" w:rsidRPr="00A4305E" w:rsidRDefault="00A4305E" w:rsidP="00A4305E">
      <w:pPr>
        <w:ind w:left="567" w:right="616" w:firstLine="142"/>
        <w:jc w:val="both"/>
        <w:rPr>
          <w:rFonts w:ascii="Arial" w:hAnsi="Arial" w:cs="Arial"/>
          <w:i/>
          <w:iCs/>
        </w:rPr>
      </w:pPr>
    </w:p>
    <w:p w14:paraId="4C5C6BBF" w14:textId="045578B0" w:rsidR="00A4305E" w:rsidRPr="00A4305E" w:rsidRDefault="00A4305E" w:rsidP="00A4305E">
      <w:pPr>
        <w:ind w:left="567" w:right="616" w:firstLine="142"/>
        <w:jc w:val="both"/>
        <w:rPr>
          <w:rFonts w:ascii="Arial" w:hAnsi="Arial" w:cs="Arial"/>
          <w:i/>
          <w:iCs/>
        </w:rPr>
      </w:pPr>
      <w:r w:rsidRPr="00A4305E">
        <w:rPr>
          <w:rFonts w:ascii="Arial" w:hAnsi="Arial" w:cs="Arial"/>
          <w:i/>
          <w:iCs/>
        </w:rPr>
        <w:tab/>
        <w:t xml:space="preserve">De lo anterior, se desprenden tres supuestos para que </w:t>
      </w:r>
      <w:r w:rsidR="006A6532" w:rsidRPr="00A4305E">
        <w:rPr>
          <w:rFonts w:ascii="Arial" w:hAnsi="Arial" w:cs="Arial"/>
          <w:i/>
          <w:iCs/>
        </w:rPr>
        <w:t>la facultad sancionadora prescriba</w:t>
      </w:r>
      <w:r w:rsidRPr="00A4305E">
        <w:rPr>
          <w:rFonts w:ascii="Arial" w:hAnsi="Arial" w:cs="Arial"/>
          <w:i/>
          <w:iCs/>
        </w:rPr>
        <w:t xml:space="preserve"> en un año, y cada uno de estos está ligado al infractor, en atención a la conducta que haya desplegado y la consecuencia de la misma, que puede quedar resumido de la siguiente forma: </w:t>
      </w:r>
    </w:p>
    <w:p w14:paraId="109E5262" w14:textId="6DB48CA2" w:rsidR="00A4305E" w:rsidRPr="00A4305E" w:rsidRDefault="00A4305E" w:rsidP="00A4305E">
      <w:pPr>
        <w:ind w:left="567" w:right="616" w:firstLine="142"/>
        <w:jc w:val="both"/>
        <w:rPr>
          <w:rFonts w:ascii="Arial" w:hAnsi="Arial" w:cs="Arial"/>
          <w:i/>
          <w:iCs/>
        </w:rPr>
      </w:pPr>
      <w:r w:rsidRPr="00A4305E">
        <w:rPr>
          <w:rFonts w:ascii="Arial" w:hAnsi="Arial" w:cs="Arial"/>
          <w:b/>
          <w:i/>
          <w:iCs/>
        </w:rPr>
        <w:t xml:space="preserve">H1: </w:t>
      </w:r>
      <w:r w:rsidRPr="00A4305E">
        <w:rPr>
          <w:rFonts w:ascii="Arial" w:hAnsi="Arial" w:cs="Arial"/>
          <w:i/>
          <w:iCs/>
        </w:rPr>
        <w:t xml:space="preserve">El infractor obtuvo un </w:t>
      </w:r>
      <w:r w:rsidR="006A6532" w:rsidRPr="00A4305E">
        <w:rPr>
          <w:rFonts w:ascii="Arial" w:hAnsi="Arial" w:cs="Arial"/>
          <w:i/>
          <w:iCs/>
        </w:rPr>
        <w:t>beneficio calculado</w:t>
      </w:r>
      <w:r w:rsidRPr="00A4305E">
        <w:rPr>
          <w:rFonts w:ascii="Arial" w:hAnsi="Arial" w:cs="Arial"/>
          <w:i/>
          <w:iCs/>
        </w:rPr>
        <w:t xml:space="preserve"> en más de diez veces el salario mínimo. </w:t>
      </w:r>
    </w:p>
    <w:p w14:paraId="24CB44D5" w14:textId="77777777" w:rsidR="00A4305E" w:rsidRPr="00A4305E" w:rsidRDefault="00A4305E" w:rsidP="00A4305E">
      <w:pPr>
        <w:ind w:left="567" w:right="616" w:firstLine="142"/>
        <w:jc w:val="both"/>
        <w:rPr>
          <w:rFonts w:ascii="Arial" w:hAnsi="Arial" w:cs="Arial"/>
          <w:i/>
          <w:iCs/>
        </w:rPr>
      </w:pPr>
      <w:r w:rsidRPr="00A4305E">
        <w:rPr>
          <w:rFonts w:ascii="Arial" w:hAnsi="Arial" w:cs="Arial"/>
          <w:b/>
          <w:i/>
          <w:iCs/>
        </w:rPr>
        <w:t xml:space="preserve">H2: </w:t>
      </w:r>
      <w:r w:rsidRPr="00A4305E">
        <w:rPr>
          <w:rFonts w:ascii="Arial" w:hAnsi="Arial" w:cs="Arial"/>
          <w:i/>
          <w:iCs/>
        </w:rPr>
        <w:t xml:space="preserve">El infractor, causó un daño determinado en más de diez veces el salario mínimo. </w:t>
      </w:r>
    </w:p>
    <w:p w14:paraId="251C60F1" w14:textId="77777777" w:rsidR="00A4305E" w:rsidRPr="00A4305E" w:rsidRDefault="00A4305E" w:rsidP="00A4305E">
      <w:pPr>
        <w:ind w:left="567" w:right="616" w:firstLine="142"/>
        <w:jc w:val="both"/>
        <w:rPr>
          <w:rFonts w:ascii="Arial" w:hAnsi="Arial" w:cs="Arial"/>
          <w:i/>
          <w:iCs/>
        </w:rPr>
      </w:pPr>
      <w:r w:rsidRPr="00A4305E">
        <w:rPr>
          <w:rFonts w:ascii="Arial" w:hAnsi="Arial" w:cs="Arial"/>
          <w:b/>
          <w:i/>
          <w:iCs/>
        </w:rPr>
        <w:t xml:space="preserve">H3: </w:t>
      </w:r>
      <w:r w:rsidRPr="00A4305E">
        <w:rPr>
          <w:rFonts w:ascii="Arial" w:hAnsi="Arial" w:cs="Arial"/>
          <w:i/>
          <w:iCs/>
        </w:rPr>
        <w:t xml:space="preserve">La </w:t>
      </w:r>
      <w:r w:rsidRPr="00A4305E">
        <w:rPr>
          <w:rFonts w:ascii="Arial" w:hAnsi="Arial" w:cs="Arial"/>
          <w:b/>
          <w:i/>
          <w:iCs/>
        </w:rPr>
        <w:t xml:space="preserve">responsabilidad </w:t>
      </w:r>
      <w:r w:rsidRPr="00A4305E">
        <w:rPr>
          <w:rFonts w:ascii="Arial" w:hAnsi="Arial" w:cs="Arial"/>
          <w:i/>
          <w:iCs/>
        </w:rPr>
        <w:t xml:space="preserve">del infractor no puede ser estimada en dinero. </w:t>
      </w:r>
    </w:p>
    <w:p w14:paraId="4CBFD4EB"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Así, para poder subsumir la conducta desplegada primero debe determinarse si existió un daño o beneficio imputable a la parte de la actora, que haya quedado acreditado y probado. Respecto de esto, la autoridad demandada, dentro de la sentencia de veinticinco de junio de dos mil veinte, en su considerando cuarto imputó lo siguiente: </w:t>
      </w:r>
    </w:p>
    <w:p w14:paraId="76580D44"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“(…)3. HABER CAUSAD (SIC) DAÑOS AL ERARIO PÚBLICO, POR LA CANTIDAD DE $100, 000,000.00 (CIEN MILLONES DE PESOS 00/100 M.N.) DERIVADO DE LAS FALTAS ADMINISTRATIVAS SEÑALADAS EN LOS NUMERALES 1 AL 2.” </w:t>
      </w:r>
    </w:p>
    <w:p w14:paraId="2B01D800" w14:textId="7777777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En relación con el considerando sexto, en donde la autoridad demandada determinó al analizar la falta administrativa, lo siguiente: </w:t>
      </w:r>
    </w:p>
    <w:p w14:paraId="00C839DE" w14:textId="318636E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 En relación con la falta administrativa que se le atribuye a la ciudadana </w:t>
      </w:r>
      <w:r w:rsidR="00000051">
        <w:rPr>
          <w:rFonts w:ascii="Arial" w:hAnsi="Arial" w:cs="Arial"/>
          <w:i/>
          <w:iCs/>
        </w:rPr>
        <w:t>*******</w:t>
      </w:r>
      <w:r w:rsidRPr="00A4305E">
        <w:rPr>
          <w:rFonts w:ascii="Arial" w:hAnsi="Arial" w:cs="Arial"/>
          <w:i/>
          <w:iCs/>
        </w:rPr>
        <w:t>, en su carácter de Directora de Egresos y Control Presupuestal de la Secretaría de Finanzas del Poder Ejecutivo del Estado de Oaxaca; señalada en el numeral 3 del considerando cuarto de la presente resolución, a juicio de esta autoridad NO SE ENCUENTRA ACREDITADA, ya que como quedo (sic) acreditado en líneas anteriores, la Secretaría de Finanzas del Gobierno del Estado, autorizó recursos por concepto de crédito puente, por la cantidad de $</w:t>
      </w:r>
      <w:r w:rsidR="00000051">
        <w:rPr>
          <w:rFonts w:ascii="Arial" w:hAnsi="Arial" w:cs="Arial"/>
          <w:i/>
          <w:iCs/>
        </w:rPr>
        <w:t>*******</w:t>
      </w:r>
      <w:r w:rsidRPr="00A4305E">
        <w:rPr>
          <w:rFonts w:ascii="Arial" w:hAnsi="Arial" w:cs="Arial"/>
          <w:i/>
          <w:iCs/>
        </w:rPr>
        <w:t xml:space="preserve">, a los Servicios de Salud de Oaxaca, el veinte de junio, quince y veinte de agosto de dos mil doce, </w:t>
      </w:r>
      <w:r w:rsidRPr="00A4305E">
        <w:rPr>
          <w:rFonts w:ascii="Arial" w:hAnsi="Arial" w:cs="Arial"/>
          <w:b/>
          <w:i/>
          <w:iCs/>
        </w:rPr>
        <w:t xml:space="preserve">cuando la servidora pública no se encontraba en funciones en el cargo, </w:t>
      </w:r>
      <w:r w:rsidRPr="00A4305E">
        <w:rPr>
          <w:rFonts w:ascii="Arial" w:hAnsi="Arial" w:cs="Arial"/>
          <w:i/>
          <w:iCs/>
        </w:rPr>
        <w:t>con lo cual se evidencia que no recibió para sí misma o un tercero los recursos públicos, (…)”</w:t>
      </w:r>
    </w:p>
    <w:p w14:paraId="1C60A02A" w14:textId="33646BED"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Vinculado también con el análisis que realizó la autoridad al momento de imponer la sanción, específicamente en el apartado VII.- El monto del beneficio, daño o perjuicio económico derivado del incumplimiento de obligaciones, “en el presente caso, tal y como quedó precisado en la presente resolución, esta autoridad determino (sic) que </w:t>
      </w:r>
      <w:r w:rsidRPr="00A4305E">
        <w:rPr>
          <w:rFonts w:ascii="Arial" w:hAnsi="Arial" w:cs="Arial"/>
          <w:b/>
          <w:i/>
          <w:iCs/>
        </w:rPr>
        <w:t xml:space="preserve">no existe daño al erario público atribuible a la ciudadana </w:t>
      </w:r>
      <w:r w:rsidR="00000051">
        <w:rPr>
          <w:rFonts w:ascii="Arial" w:hAnsi="Arial" w:cs="Arial"/>
          <w:b/>
          <w:i/>
          <w:iCs/>
        </w:rPr>
        <w:t>*******</w:t>
      </w:r>
      <w:r w:rsidRPr="00A4305E">
        <w:rPr>
          <w:rFonts w:ascii="Arial" w:hAnsi="Arial" w:cs="Arial"/>
          <w:b/>
          <w:i/>
          <w:iCs/>
        </w:rPr>
        <w:t xml:space="preserve">, </w:t>
      </w:r>
      <w:r w:rsidRPr="00A4305E">
        <w:rPr>
          <w:rFonts w:ascii="Arial" w:hAnsi="Arial" w:cs="Arial"/>
          <w:i/>
          <w:iCs/>
        </w:rPr>
        <w:t xml:space="preserve">en su carácter de Directora de Egresos y Control Presupuestal de la Secretaría de Finanzas del Poder Ejecutivo del Estado, pues como se dijo, no está debidamente acreditado en autos que la servidora pública citada allá (sic) recibió por </w:t>
      </w:r>
      <w:proofErr w:type="spellStart"/>
      <w:r w:rsidRPr="00A4305E">
        <w:rPr>
          <w:rFonts w:ascii="Arial" w:hAnsi="Arial" w:cs="Arial"/>
          <w:i/>
          <w:iCs/>
        </w:rPr>
        <w:t>si</w:t>
      </w:r>
      <w:proofErr w:type="spellEnd"/>
      <w:r w:rsidRPr="00A4305E">
        <w:rPr>
          <w:rFonts w:ascii="Arial" w:hAnsi="Arial" w:cs="Arial"/>
          <w:i/>
          <w:iCs/>
        </w:rPr>
        <w:t xml:space="preserve"> mismo (sic), o para un tercero los recursos públicos que le fueron solicitados, pues existe evidencia que fueron ministrados a los Servicios </w:t>
      </w:r>
      <w:proofErr w:type="gramStart"/>
      <w:r w:rsidRPr="00A4305E">
        <w:rPr>
          <w:rFonts w:ascii="Arial" w:hAnsi="Arial" w:cs="Arial"/>
          <w:i/>
          <w:iCs/>
        </w:rPr>
        <w:lastRenderedPageBreak/>
        <w:t>de</w:t>
      </w:r>
      <w:proofErr w:type="gramEnd"/>
      <w:r w:rsidRPr="00A4305E">
        <w:rPr>
          <w:rFonts w:ascii="Arial" w:hAnsi="Arial" w:cs="Arial"/>
          <w:i/>
          <w:iCs/>
        </w:rPr>
        <w:t xml:space="preserve"> Salud de Oaxaca.” De esto, es evidente que la misma autoridad está reconociendo que no se le imputa ningún daño o beneficio a la servidora pública. - - - - - - - </w:t>
      </w:r>
      <w:r w:rsidR="006A6532">
        <w:rPr>
          <w:rFonts w:ascii="Arial" w:hAnsi="Arial" w:cs="Arial"/>
          <w:i/>
          <w:iCs/>
        </w:rPr>
        <w:t xml:space="preserve">- - - - - - - - - - - - - - - - - </w:t>
      </w:r>
      <w:r w:rsidR="00000051">
        <w:rPr>
          <w:rFonts w:ascii="Arial" w:hAnsi="Arial" w:cs="Arial"/>
          <w:i/>
          <w:iCs/>
        </w:rPr>
        <w:t xml:space="preserve">- - - - - - - - - - - - - - - -- - - - - - - </w:t>
      </w:r>
    </w:p>
    <w:p w14:paraId="41ED2CAC" w14:textId="37A2D386"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Con posterioridad, en ese mismo punto VII, en donde se analiza la sanción de inhabilitación por siete meses, concluyó que debe aplicar, conforme al principio </w:t>
      </w:r>
      <w:proofErr w:type="spellStart"/>
      <w:r w:rsidRPr="00A4305E">
        <w:rPr>
          <w:rFonts w:ascii="Arial" w:hAnsi="Arial" w:cs="Arial"/>
          <w:i/>
          <w:iCs/>
        </w:rPr>
        <w:t>pro</w:t>
      </w:r>
      <w:proofErr w:type="spellEnd"/>
      <w:r w:rsidRPr="00A4305E">
        <w:rPr>
          <w:rFonts w:ascii="Arial" w:hAnsi="Arial" w:cs="Arial"/>
          <w:i/>
          <w:iCs/>
        </w:rPr>
        <w:t xml:space="preserve"> persona, lo dispuesto por el artículo 57 fracción VI, segundo párrafo de la Ley de Responsabilidades de los Servidores Públicos del Estado y Municipios de Oaxaca, en donde se determinó que tal artículo otorga la posibilidad de imponer de seis a doce meses de inhabilitación, cuando se trate de </w:t>
      </w:r>
      <w:r w:rsidRPr="00A4305E">
        <w:rPr>
          <w:rFonts w:ascii="Arial" w:hAnsi="Arial" w:cs="Arial"/>
          <w:b/>
          <w:i/>
          <w:iCs/>
        </w:rPr>
        <w:t xml:space="preserve">faltas que no causen daños o perjuicios al Estado </w:t>
      </w:r>
      <w:r w:rsidRPr="00A4305E">
        <w:rPr>
          <w:rFonts w:ascii="Arial" w:hAnsi="Arial" w:cs="Arial"/>
          <w:i/>
          <w:iCs/>
        </w:rPr>
        <w:t xml:space="preserve">o a particulares, ni exista beneficio o lucro alguno por parte del infractor, por lo que atendiendo a </w:t>
      </w:r>
      <w:r w:rsidRPr="00A4305E">
        <w:rPr>
          <w:rFonts w:ascii="Arial" w:hAnsi="Arial" w:cs="Arial"/>
          <w:b/>
          <w:i/>
          <w:iCs/>
        </w:rPr>
        <w:t xml:space="preserve">que no se determinó daño al erario público, </w:t>
      </w:r>
      <w:r w:rsidRPr="00A4305E">
        <w:rPr>
          <w:rFonts w:ascii="Arial" w:hAnsi="Arial" w:cs="Arial"/>
          <w:i/>
          <w:iCs/>
        </w:rPr>
        <w:t>se consideró viable aplicar tal determinación. - -</w:t>
      </w:r>
    </w:p>
    <w:p w14:paraId="42D7976A" w14:textId="64F0FDBE"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Por lo tanto, la misma demandada estableció que la responsabilidad que se le está imputando a la actora, </w:t>
      </w:r>
      <w:r w:rsidRPr="00A4305E">
        <w:rPr>
          <w:rFonts w:ascii="Arial" w:hAnsi="Arial" w:cs="Arial"/>
          <w:b/>
          <w:i/>
          <w:iCs/>
        </w:rPr>
        <w:t xml:space="preserve">no es estimable, </w:t>
      </w:r>
      <w:r w:rsidRPr="00A4305E">
        <w:rPr>
          <w:rFonts w:ascii="Arial" w:hAnsi="Arial" w:cs="Arial"/>
          <w:i/>
          <w:iCs/>
        </w:rPr>
        <w:t xml:space="preserve">calculable o determinada en dinero, pues considera que </w:t>
      </w:r>
      <w:r w:rsidRPr="00A4305E">
        <w:rPr>
          <w:rFonts w:ascii="Arial" w:hAnsi="Arial" w:cs="Arial"/>
          <w:b/>
          <w:i/>
          <w:iCs/>
        </w:rPr>
        <w:t xml:space="preserve">no existió </w:t>
      </w:r>
      <w:r w:rsidRPr="00A4305E">
        <w:rPr>
          <w:rFonts w:ascii="Arial" w:hAnsi="Arial" w:cs="Arial"/>
          <w:i/>
          <w:iCs/>
        </w:rPr>
        <w:t>un daño al erario público, en consecuencia, la determinación que realizó en materia de</w:t>
      </w:r>
      <w:r w:rsidRPr="00A4305E">
        <w:rPr>
          <w:rFonts w:ascii="Arial" w:hAnsi="Arial" w:cs="Arial"/>
          <w:b/>
          <w:i/>
          <w:iCs/>
        </w:rPr>
        <w:t xml:space="preserve"> prescripción, </w:t>
      </w:r>
      <w:r w:rsidRPr="00A4305E">
        <w:rPr>
          <w:rFonts w:ascii="Arial" w:hAnsi="Arial" w:cs="Arial"/>
          <w:i/>
          <w:iCs/>
        </w:rPr>
        <w:t>no es correcta, pues como ya se dejó establecido la normatividad de fondo es la Ley de Responsabilidades de los Servidores Públicos del Estado y Municipios de Oaxaca, vigente hasta del 25 de diciembre de dos mil quince (sic), es decir antes de la entrada en vigor de las reformas estipuladas en el Decreto 2055, publicado en el Periódico Oficial Extra del 26 de diciembre de dos mil trece, mediante Decreto número 2074. - - - - - - - - - - - - - - - - - - - - - - - - - - - - - - - - - - - - - - - - - -</w:t>
      </w:r>
    </w:p>
    <w:p w14:paraId="63D8A641" w14:textId="2F943E31"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Es imperante recordar que la ley </w:t>
      </w:r>
      <w:r w:rsidRPr="00A4305E">
        <w:rPr>
          <w:rFonts w:ascii="Arial" w:hAnsi="Arial" w:cs="Arial"/>
          <w:b/>
          <w:i/>
          <w:iCs/>
        </w:rPr>
        <w:t xml:space="preserve">no menciona “montos involucrados”, </w:t>
      </w:r>
      <w:r w:rsidRPr="00A4305E">
        <w:rPr>
          <w:rFonts w:ascii="Arial" w:hAnsi="Arial" w:cs="Arial"/>
          <w:i/>
          <w:iCs/>
        </w:rPr>
        <w:t xml:space="preserve">es muy clara en establecer las hipótesis normativas, y como ya se dejó establecido en líneas que anteceden, las cantidades van directamente relacionadas con el infractor, por lo que, atendiendo al principio de legalidad y tipicidad, deben acreditarse plenamente todos los elementos del tipo, en consecuencia, debe acreditarse el nexo causal entra la conducta y el daño causado al erario público, y si bien, la autoridad demandada manifestó que existe un daño involucrado, motivo por el cual inició su investigación y condenó por una omisión por parte de la servidora pública, no lo hace por el daño causado, tan es así, que reconoce que no hay daño o beneficio imputable a ella, y a pesar de que al inicio le imputó el daño, terminó concluyendo que no se acreditó esa falta administrativa. - - - - - - - - - - - - - - - - - - - </w:t>
      </w:r>
      <w:r>
        <w:rPr>
          <w:rFonts w:ascii="Arial" w:hAnsi="Arial" w:cs="Arial"/>
          <w:i/>
          <w:iCs/>
        </w:rPr>
        <w:t xml:space="preserve">- - - - - - - - - - - - - - - - - - - </w:t>
      </w:r>
    </w:p>
    <w:p w14:paraId="096F0946" w14:textId="12639B8C"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Es menester tomar en cuenta que la citada ley, es muy clara respecto al establecer que este daño o beneficio, está </w:t>
      </w:r>
      <w:r w:rsidRPr="00A4305E">
        <w:rPr>
          <w:rFonts w:ascii="Arial" w:hAnsi="Arial" w:cs="Arial"/>
          <w:b/>
          <w:i/>
          <w:iCs/>
        </w:rPr>
        <w:t xml:space="preserve">íntimamente ligado </w:t>
      </w:r>
      <w:r w:rsidRPr="00A4305E">
        <w:rPr>
          <w:rFonts w:ascii="Arial" w:hAnsi="Arial" w:cs="Arial"/>
          <w:i/>
          <w:iCs/>
        </w:rPr>
        <w:t xml:space="preserve">al </w:t>
      </w:r>
      <w:r w:rsidRPr="00A4305E">
        <w:rPr>
          <w:rFonts w:ascii="Arial" w:hAnsi="Arial" w:cs="Arial"/>
          <w:b/>
          <w:i/>
          <w:iCs/>
        </w:rPr>
        <w:t xml:space="preserve">infractor; </w:t>
      </w:r>
      <w:r w:rsidRPr="00A4305E">
        <w:rPr>
          <w:rFonts w:ascii="Arial" w:hAnsi="Arial" w:cs="Arial"/>
          <w:i/>
          <w:iCs/>
        </w:rPr>
        <w:t xml:space="preserve">es decir, que para adecuar el caso en concreto a la hipótesis normativa, nos exige que la persona responsable, tenga delimitado y cuantificado el beneficio o daño obtenido, en otras palabras, no habla de “montos involucrados” sino que refiere de forma precisa y expresa, que debe calificarse de acuerdo a lo que se le está imputando al infractor, y en caso de que a la servidora pública no se le pueda cuantificar en dinero ese daño, en este caso, debido a que la autoridad determinó que no existió un daño imputable a ella, entonces se considera una </w:t>
      </w:r>
      <w:r w:rsidRPr="00A4305E">
        <w:rPr>
          <w:rFonts w:ascii="Arial" w:hAnsi="Arial" w:cs="Arial"/>
          <w:b/>
          <w:i/>
          <w:iCs/>
        </w:rPr>
        <w:t xml:space="preserve">responsabilidad no estimable en dinero, </w:t>
      </w:r>
      <w:r w:rsidRPr="00A4305E">
        <w:rPr>
          <w:rFonts w:ascii="Arial" w:hAnsi="Arial" w:cs="Arial"/>
          <w:i/>
          <w:iCs/>
        </w:rPr>
        <w:t xml:space="preserve">por lo tanto, es aplicable, en estricto derecho, la fracción primera de la citada Ley de Responsabilidades. - - - - - - - - - - - - - - - - - - - - - - - </w:t>
      </w:r>
      <w:r>
        <w:rPr>
          <w:rFonts w:ascii="Arial" w:hAnsi="Arial" w:cs="Arial"/>
          <w:i/>
          <w:iCs/>
        </w:rPr>
        <w:t xml:space="preserve">- - - - - - - - - - - - - - - </w:t>
      </w:r>
    </w:p>
    <w:p w14:paraId="03C36700" w14:textId="20AC3D47"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Por otro lado, destaca que la autoridad determinó que la conducta es continuada, y manifiesta que comenzó el uno de junio de dos mil catorce, fecha en que ingresó como directora de egresos y control presupuestal de la Secretaría de Finanzas del Poder Ejecutivo del Estado de Oaxaca, </w:t>
      </w:r>
      <w:r w:rsidRPr="00A4305E">
        <w:rPr>
          <w:rFonts w:ascii="Arial" w:hAnsi="Arial" w:cs="Arial"/>
          <w:i/>
          <w:iCs/>
        </w:rPr>
        <w:lastRenderedPageBreak/>
        <w:t>por lo que desde ese momento tenía la obligación de realizar un seguimiento a los recursos otorgados a los Servicios de Salud de Oaxaca, y culminó el veintiuno de abril de dos mil dieciséis, fecha en que dejó de ocupar el cargo. No obstante, la misma autoridad dejó establecido que el veinticuatro de enero de dos mil catorce, se requirió al director general de los Servicios de Salud de Oaxaca el reintegro de $</w:t>
      </w:r>
      <w:r w:rsidR="00000051">
        <w:rPr>
          <w:rFonts w:ascii="Arial" w:hAnsi="Arial" w:cs="Arial"/>
          <w:i/>
          <w:iCs/>
        </w:rPr>
        <w:t>*******</w:t>
      </w:r>
      <w:r w:rsidRPr="00A4305E">
        <w:rPr>
          <w:rFonts w:ascii="Arial" w:hAnsi="Arial" w:cs="Arial"/>
          <w:i/>
          <w:iCs/>
        </w:rPr>
        <w:t xml:space="preserve">  y el siete de septiembre de dos mil quince, </w:t>
      </w:r>
      <w:r w:rsidR="00000051">
        <w:rPr>
          <w:rFonts w:ascii="Arial" w:hAnsi="Arial" w:cs="Arial"/>
          <w:i/>
          <w:iCs/>
        </w:rPr>
        <w:t>*******</w:t>
      </w:r>
      <w:r w:rsidRPr="00A4305E">
        <w:rPr>
          <w:rFonts w:ascii="Arial" w:hAnsi="Arial" w:cs="Arial"/>
          <w:i/>
          <w:iCs/>
        </w:rPr>
        <w:t xml:space="preserve">, en su carácter de directora de egresos y control presupuestal, en conjunto con Carlos de la Cruz Orozco, tesorero, ambos de la Secretaría de Finanzas del Poder Ejecutivo, hicieron del conocimiento a la Secretaría de la Contraloría y Transparencia Gubernamental del Poder Ejecutivo del Estado de Oaxaca, el estado que guardaban los recursos otorgados a los Servicios de Salud de Oaxaca, y solicitaron que se realizará lo procedente en el ámbito de la competencia de la Secretaría de la Contraloría en mención. </w:t>
      </w:r>
    </w:p>
    <w:p w14:paraId="7A5310B0" w14:textId="0B416A09"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Ahora bien, como la conducta que se le imputa, es continua, es decir, que continúa ininterrumpidamente desde la consumación, y permanece no solamente el efecto de la infracción, sino el estado de la consumación, al ser la conducta imputada no realizar un seguimiento, al momento en que realizó este seguimiento deja de surtir sus efectos y quedó consumada, por lo tanto, se consumó el siete de septiembre de dos mil quince. - - - - - - - - </w:t>
      </w:r>
      <w:r>
        <w:rPr>
          <w:rFonts w:ascii="Arial" w:hAnsi="Arial" w:cs="Arial"/>
          <w:i/>
          <w:iCs/>
        </w:rPr>
        <w:t xml:space="preserve">- - - - - - - - - - - - - - - - - - - - - - - - - - - - - - - - - - - - - - - </w:t>
      </w:r>
    </w:p>
    <w:p w14:paraId="5FB417C9" w14:textId="678D9796"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En atención a lo anterior, se contabiliza a partir del día siguiente, ocho de septiembre de dos mil quince y en atención a que, en el caso en concreto la conducta imputada encuadra en el supuesto de la fracción I, </w:t>
      </w:r>
      <w:r w:rsidRPr="00A4305E">
        <w:rPr>
          <w:rFonts w:ascii="Arial" w:hAnsi="Arial" w:cs="Arial"/>
          <w:i/>
          <w:iCs/>
          <w:u w:val="single"/>
        </w:rPr>
        <w:t xml:space="preserve">al no ser una responsabilidad estimable en dinero, </w:t>
      </w:r>
      <w:r w:rsidRPr="00A4305E">
        <w:rPr>
          <w:rFonts w:ascii="Arial" w:hAnsi="Arial" w:cs="Arial"/>
          <w:i/>
          <w:iCs/>
        </w:rPr>
        <w:t xml:space="preserve">por lo tanto, </w:t>
      </w:r>
      <w:r w:rsidRPr="00A4305E">
        <w:rPr>
          <w:rFonts w:ascii="Arial" w:hAnsi="Arial" w:cs="Arial"/>
          <w:b/>
          <w:i/>
          <w:iCs/>
        </w:rPr>
        <w:t xml:space="preserve">el plazo culminó el ocho de septiembre de dos mil dieciséis, </w:t>
      </w:r>
      <w:r w:rsidRPr="00A4305E">
        <w:rPr>
          <w:rFonts w:ascii="Arial" w:hAnsi="Arial" w:cs="Arial"/>
          <w:i/>
          <w:iCs/>
        </w:rPr>
        <w:t xml:space="preserve">último día que tenía la Autoridad para hacer uso de su facultad sancionadora.  - - - - - - - </w:t>
      </w:r>
    </w:p>
    <w:p w14:paraId="1B0170EF" w14:textId="3DFD37CC" w:rsidR="00A4305E" w:rsidRPr="00A4305E" w:rsidRDefault="00A4305E" w:rsidP="00A4305E">
      <w:pPr>
        <w:ind w:left="567" w:right="616" w:firstLine="142"/>
        <w:jc w:val="both"/>
        <w:rPr>
          <w:rFonts w:ascii="Arial" w:hAnsi="Arial" w:cs="Arial"/>
          <w:i/>
          <w:iCs/>
        </w:rPr>
      </w:pPr>
      <w:r w:rsidRPr="00A4305E">
        <w:rPr>
          <w:rFonts w:ascii="Arial" w:hAnsi="Arial" w:cs="Arial"/>
          <w:i/>
          <w:iCs/>
        </w:rPr>
        <w:t xml:space="preserve">De la misma forma, el mencionado artículo 77 de la Ley de Responsabilidades de los Servidores Públicos del Estado y Municipios del Estado y Municipios de Oaxaca, dentro de su párrafo tercero, explica en qué momento se </w:t>
      </w:r>
      <w:r w:rsidRPr="00A4305E">
        <w:rPr>
          <w:rFonts w:ascii="Arial" w:hAnsi="Arial" w:cs="Arial"/>
          <w:b/>
          <w:i/>
          <w:iCs/>
        </w:rPr>
        <w:t xml:space="preserve">interrumpe </w:t>
      </w:r>
      <w:r w:rsidRPr="00A4305E">
        <w:rPr>
          <w:rFonts w:ascii="Arial" w:hAnsi="Arial" w:cs="Arial"/>
          <w:i/>
          <w:iCs/>
        </w:rPr>
        <w:t xml:space="preserve">la </w:t>
      </w:r>
      <w:r w:rsidRPr="00A4305E">
        <w:rPr>
          <w:rFonts w:ascii="Arial" w:hAnsi="Arial" w:cs="Arial"/>
          <w:b/>
          <w:i/>
          <w:iCs/>
        </w:rPr>
        <w:t xml:space="preserve">prescripción, </w:t>
      </w:r>
      <w:r w:rsidRPr="00A4305E">
        <w:rPr>
          <w:rFonts w:ascii="Arial" w:hAnsi="Arial" w:cs="Arial"/>
          <w:i/>
          <w:iCs/>
        </w:rPr>
        <w:t xml:space="preserve">señalando que es al momento de </w:t>
      </w:r>
      <w:r w:rsidRPr="00A4305E">
        <w:rPr>
          <w:rFonts w:ascii="Arial" w:hAnsi="Arial" w:cs="Arial"/>
          <w:b/>
          <w:i/>
          <w:iCs/>
        </w:rPr>
        <w:t xml:space="preserve">iniciarse </w:t>
      </w:r>
      <w:r w:rsidRPr="00A4305E">
        <w:rPr>
          <w:rFonts w:ascii="Arial" w:hAnsi="Arial" w:cs="Arial"/>
          <w:i/>
          <w:iCs/>
        </w:rPr>
        <w:t xml:space="preserve">el procedimiento previsto por la ley, en otras palabras, cuando surta sus efectos legales la notificación a que se refiere el artículo 69 de la mencionada ley, que hace referencia al citatorio para la audiencia, momento en el cual, se tiene por iniciado el procedimiento en contra del servidor público, dentro de los casos en particular, fue el </w:t>
      </w:r>
      <w:r w:rsidRPr="00A4305E">
        <w:rPr>
          <w:rFonts w:ascii="Arial" w:hAnsi="Arial" w:cs="Arial"/>
          <w:i/>
          <w:iCs/>
          <w:u w:val="single"/>
        </w:rPr>
        <w:t xml:space="preserve">tres de enero de dos mil diecinueve, </w:t>
      </w:r>
      <w:r w:rsidRPr="00A4305E">
        <w:rPr>
          <w:rFonts w:ascii="Arial" w:hAnsi="Arial" w:cs="Arial"/>
          <w:i/>
          <w:iCs/>
        </w:rPr>
        <w:t xml:space="preserve">por lo tanto, se concluye que, se le notificó a la actora del inicio de este procedimiento </w:t>
      </w:r>
      <w:r w:rsidRPr="00A4305E">
        <w:rPr>
          <w:rFonts w:ascii="Arial" w:hAnsi="Arial" w:cs="Arial"/>
          <w:b/>
          <w:i/>
          <w:iCs/>
        </w:rPr>
        <w:t xml:space="preserve">después </w:t>
      </w:r>
      <w:r w:rsidRPr="00A4305E">
        <w:rPr>
          <w:rFonts w:ascii="Arial" w:hAnsi="Arial" w:cs="Arial"/>
          <w:i/>
          <w:iCs/>
        </w:rPr>
        <w:t xml:space="preserve">del día límite establecido, como resultado ya había operado </w:t>
      </w:r>
      <w:r w:rsidRPr="00A4305E">
        <w:rPr>
          <w:rFonts w:ascii="Arial" w:hAnsi="Arial" w:cs="Arial"/>
          <w:b/>
          <w:i/>
          <w:iCs/>
        </w:rPr>
        <w:t xml:space="preserve">la prescripción </w:t>
      </w:r>
      <w:r w:rsidRPr="00A4305E">
        <w:rPr>
          <w:rFonts w:ascii="Arial" w:hAnsi="Arial" w:cs="Arial"/>
          <w:i/>
          <w:iCs/>
        </w:rPr>
        <w:t xml:space="preserve">a su favor.  </w:t>
      </w:r>
    </w:p>
    <w:p w14:paraId="6652BBA1" w14:textId="63E54499" w:rsidR="008963D1" w:rsidRDefault="00A4305E" w:rsidP="00A4305E">
      <w:pPr>
        <w:ind w:left="567" w:right="616" w:firstLine="142"/>
        <w:jc w:val="both"/>
        <w:rPr>
          <w:rFonts w:ascii="Arial" w:hAnsi="Arial" w:cs="Arial"/>
          <w:sz w:val="26"/>
          <w:szCs w:val="26"/>
        </w:rPr>
      </w:pPr>
      <w:r w:rsidRPr="00A4305E">
        <w:rPr>
          <w:rFonts w:ascii="Arial" w:hAnsi="Arial" w:cs="Arial"/>
          <w:i/>
          <w:iCs/>
        </w:rPr>
        <w:t xml:space="preserve">Con motivo de las anteladas razones, y con fundamento en el artículo 208 fracción IV de la Ley de Procedimiento y Justicia Administrativa para el Estado de Oaxaca, se encuentra que, al momento de iniciar el procedimiento de responsabilidad administrativa la facultad sancionadora de la autoridad demandada, se encontraba </w:t>
      </w:r>
      <w:r w:rsidRPr="00A4305E">
        <w:rPr>
          <w:rFonts w:ascii="Arial" w:hAnsi="Arial" w:cs="Arial"/>
          <w:b/>
          <w:i/>
          <w:iCs/>
        </w:rPr>
        <w:t xml:space="preserve">prescrita, </w:t>
      </w:r>
      <w:r w:rsidRPr="00A4305E">
        <w:rPr>
          <w:rFonts w:ascii="Arial" w:hAnsi="Arial" w:cs="Arial"/>
          <w:i/>
          <w:iCs/>
        </w:rPr>
        <w:t xml:space="preserve">en consecuencia se declara la </w:t>
      </w:r>
      <w:r w:rsidRPr="00A4305E">
        <w:rPr>
          <w:rFonts w:ascii="Arial" w:hAnsi="Arial" w:cs="Arial"/>
          <w:b/>
          <w:i/>
          <w:iCs/>
        </w:rPr>
        <w:t xml:space="preserve">NULIDAD LISA Y LLANA </w:t>
      </w:r>
      <w:r w:rsidRPr="00A4305E">
        <w:rPr>
          <w:rFonts w:ascii="Arial" w:hAnsi="Arial" w:cs="Arial"/>
          <w:i/>
          <w:iCs/>
        </w:rPr>
        <w:t xml:space="preserve">de las resoluciones a) de veinticinco de junio de dos mil veinte, dictada en el expediente </w:t>
      </w:r>
      <w:r w:rsidR="00000051">
        <w:rPr>
          <w:rFonts w:ascii="Arial" w:hAnsi="Arial" w:cs="Arial"/>
          <w:i/>
          <w:iCs/>
        </w:rPr>
        <w:t>*******</w:t>
      </w:r>
      <w:r w:rsidRPr="00A4305E">
        <w:rPr>
          <w:rFonts w:ascii="Arial" w:hAnsi="Arial" w:cs="Arial"/>
          <w:i/>
          <w:iCs/>
        </w:rPr>
        <w:t xml:space="preserve">, y b) de trece de mayo de dos mil veintiuno en el expediente de revocación </w:t>
      </w:r>
      <w:r w:rsidR="00000051">
        <w:rPr>
          <w:rFonts w:ascii="Arial" w:hAnsi="Arial" w:cs="Arial"/>
          <w:i/>
          <w:iCs/>
        </w:rPr>
        <w:t>*******</w:t>
      </w:r>
      <w:r w:rsidRPr="00A4305E">
        <w:rPr>
          <w:rFonts w:ascii="Arial" w:hAnsi="Arial" w:cs="Arial"/>
          <w:i/>
          <w:iCs/>
        </w:rPr>
        <w:t xml:space="preserve">, emitidas por el </w:t>
      </w:r>
      <w:r w:rsidRPr="00A4305E">
        <w:rPr>
          <w:rFonts w:ascii="Arial" w:hAnsi="Arial" w:cs="Arial"/>
          <w:b/>
          <w:i/>
          <w:iCs/>
        </w:rPr>
        <w:t xml:space="preserve">subsecretario </w:t>
      </w:r>
      <w:r w:rsidRPr="00A4305E">
        <w:rPr>
          <w:rFonts w:ascii="Arial" w:hAnsi="Arial" w:cs="Arial"/>
          <w:i/>
          <w:iCs/>
        </w:rPr>
        <w:t xml:space="preserve">de responsabilidades administrativas y anticorrupción; </w:t>
      </w:r>
      <w:r w:rsidRPr="00A4305E">
        <w:rPr>
          <w:rFonts w:ascii="Arial" w:hAnsi="Arial" w:cs="Arial"/>
          <w:b/>
          <w:i/>
          <w:iCs/>
        </w:rPr>
        <w:t xml:space="preserve">director </w:t>
      </w:r>
      <w:r w:rsidRPr="00A4305E">
        <w:rPr>
          <w:rFonts w:ascii="Arial" w:hAnsi="Arial" w:cs="Arial"/>
          <w:i/>
          <w:iCs/>
        </w:rPr>
        <w:t xml:space="preserve">de responsabilidades administrativas y situación patrimonial, autoridades de la Secretaría de la Contraloría y Transparencia Gubernamental del Poder Ejecutivo del Estado de Oaxaca en las que sanciona a la servidora pública </w:t>
      </w:r>
      <w:r w:rsidR="00000051">
        <w:rPr>
          <w:rFonts w:ascii="Arial" w:hAnsi="Arial" w:cs="Arial"/>
          <w:i/>
          <w:iCs/>
        </w:rPr>
        <w:t>*******</w:t>
      </w:r>
      <w:r w:rsidRPr="00A4305E">
        <w:rPr>
          <w:rFonts w:ascii="Arial" w:hAnsi="Arial" w:cs="Arial"/>
          <w:i/>
          <w:iCs/>
        </w:rPr>
        <w:t>. - - - - - - - - - - - - - -</w:t>
      </w:r>
      <w:r>
        <w:rPr>
          <w:rFonts w:ascii="Arial" w:hAnsi="Arial" w:cs="Arial"/>
          <w:i/>
          <w:iCs/>
        </w:rPr>
        <w:t xml:space="preserve"> - - - - - - - - - - -</w:t>
      </w:r>
      <w:r w:rsidR="008963D1">
        <w:rPr>
          <w:rFonts w:ascii="Arial" w:hAnsi="Arial" w:cs="Arial"/>
          <w:sz w:val="26"/>
          <w:szCs w:val="26"/>
        </w:rPr>
        <w:t>”</w:t>
      </w:r>
      <w:r w:rsidR="00E71D03">
        <w:rPr>
          <w:rFonts w:ascii="Arial" w:hAnsi="Arial" w:cs="Arial"/>
          <w:sz w:val="26"/>
          <w:szCs w:val="26"/>
        </w:rPr>
        <w:t xml:space="preserve"> (Lo subrayado es propio)</w:t>
      </w:r>
    </w:p>
    <w:p w14:paraId="1147B135" w14:textId="2C5B384C" w:rsidR="001F782D" w:rsidRDefault="001F782D" w:rsidP="001F782D">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E71D03">
        <w:rPr>
          <w:rFonts w:ascii="Arial" w:hAnsi="Arial" w:cs="Arial"/>
          <w:sz w:val="26"/>
          <w:szCs w:val="26"/>
        </w:rPr>
        <w:t xml:space="preserve">Del párrafo </w:t>
      </w:r>
      <w:r w:rsidR="00F276E0">
        <w:rPr>
          <w:rFonts w:ascii="Arial" w:hAnsi="Arial" w:cs="Arial"/>
          <w:sz w:val="26"/>
          <w:szCs w:val="26"/>
        </w:rPr>
        <w:t>subrayad</w:t>
      </w:r>
      <w:r>
        <w:rPr>
          <w:rFonts w:ascii="Arial" w:hAnsi="Arial" w:cs="Arial"/>
          <w:sz w:val="26"/>
          <w:szCs w:val="26"/>
        </w:rPr>
        <w:t>o e</w:t>
      </w:r>
      <w:r w:rsidR="00E71D03">
        <w:rPr>
          <w:rFonts w:ascii="Arial" w:hAnsi="Arial" w:cs="Arial"/>
          <w:sz w:val="26"/>
          <w:szCs w:val="26"/>
        </w:rPr>
        <w:t>n</w:t>
      </w:r>
      <w:r>
        <w:rPr>
          <w:rFonts w:ascii="Arial" w:hAnsi="Arial" w:cs="Arial"/>
          <w:sz w:val="26"/>
          <w:szCs w:val="26"/>
        </w:rPr>
        <w:t xml:space="preserve"> la transcripción anterior se advierte, que </w:t>
      </w:r>
      <w:r>
        <w:rPr>
          <w:rFonts w:ascii="Arial" w:hAnsi="Arial" w:cs="Arial"/>
          <w:sz w:val="26"/>
          <w:szCs w:val="26"/>
        </w:rPr>
        <w:lastRenderedPageBreak/>
        <w:t xml:space="preserve">el magistrado de conocimiento señaló que la </w:t>
      </w:r>
      <w:r w:rsidR="00F276E0">
        <w:rPr>
          <w:rFonts w:ascii="Arial" w:hAnsi="Arial" w:cs="Arial"/>
          <w:sz w:val="26"/>
          <w:szCs w:val="26"/>
        </w:rPr>
        <w:t>ley sobre la cual se basó para resolver el fondo del asunto es la Ley de Responsabilidades Administrativas de los Servidores Públicos del Estado y Municipios de Oaxaca, vigente hasta el veinticinco de diciembre de dos mil quince, respecto de los hechos que se le atribuyeron a la actora, de conformidad con la sentencia de veinticinco de junio de dos mil veinte, visibles de fojas ciento veintitrés a ciento cincuenta y tres</w:t>
      </w:r>
      <w:r w:rsidR="008963D1">
        <w:rPr>
          <w:rFonts w:ascii="Arial" w:hAnsi="Arial" w:cs="Arial"/>
          <w:sz w:val="26"/>
          <w:szCs w:val="26"/>
        </w:rPr>
        <w:t xml:space="preserve">, que </w:t>
      </w:r>
      <w:r w:rsidR="00F276E0">
        <w:rPr>
          <w:rFonts w:ascii="Arial" w:hAnsi="Arial" w:cs="Arial"/>
          <w:sz w:val="26"/>
          <w:szCs w:val="26"/>
        </w:rPr>
        <w:t xml:space="preserve">una vez revisadas </w:t>
      </w:r>
      <w:r w:rsidR="008963D1">
        <w:rPr>
          <w:rFonts w:ascii="Arial" w:hAnsi="Arial" w:cs="Arial"/>
          <w:sz w:val="26"/>
          <w:szCs w:val="26"/>
        </w:rPr>
        <w:t>se trata de</w:t>
      </w:r>
      <w:r>
        <w:rPr>
          <w:rFonts w:ascii="Arial" w:hAnsi="Arial" w:cs="Arial"/>
          <w:sz w:val="26"/>
          <w:szCs w:val="26"/>
        </w:rPr>
        <w:t xml:space="preserve"> la resolución del procedimiento administrativo disciplinario de </w:t>
      </w:r>
      <w:r w:rsidR="00F276E0">
        <w:rPr>
          <w:rFonts w:ascii="Arial" w:hAnsi="Arial" w:cs="Arial"/>
          <w:sz w:val="26"/>
          <w:szCs w:val="26"/>
        </w:rPr>
        <w:t xml:space="preserve">veinticinco de junio de dos mil veinte </w:t>
      </w:r>
      <w:r>
        <w:rPr>
          <w:rFonts w:ascii="Arial" w:hAnsi="Arial" w:cs="Arial"/>
          <w:sz w:val="26"/>
          <w:szCs w:val="26"/>
        </w:rPr>
        <w:t>dictada por la autoridad demandada en contra de</w:t>
      </w:r>
      <w:r w:rsidR="00F276E0">
        <w:rPr>
          <w:rFonts w:ascii="Arial" w:hAnsi="Arial" w:cs="Arial"/>
          <w:sz w:val="26"/>
          <w:szCs w:val="26"/>
        </w:rPr>
        <w:t xml:space="preserve"> </w:t>
      </w:r>
      <w:r>
        <w:rPr>
          <w:rFonts w:ascii="Arial" w:hAnsi="Arial" w:cs="Arial"/>
          <w:sz w:val="26"/>
          <w:szCs w:val="26"/>
        </w:rPr>
        <w:t>l</w:t>
      </w:r>
      <w:r w:rsidR="00F276E0">
        <w:rPr>
          <w:rFonts w:ascii="Arial" w:hAnsi="Arial" w:cs="Arial"/>
          <w:sz w:val="26"/>
          <w:szCs w:val="26"/>
        </w:rPr>
        <w:t>a</w:t>
      </w:r>
      <w:r>
        <w:rPr>
          <w:rFonts w:ascii="Arial" w:hAnsi="Arial" w:cs="Arial"/>
          <w:sz w:val="26"/>
          <w:szCs w:val="26"/>
        </w:rPr>
        <w:t xml:space="preserve"> actor</w:t>
      </w:r>
      <w:r w:rsidR="00F276E0">
        <w:rPr>
          <w:rFonts w:ascii="Arial" w:hAnsi="Arial" w:cs="Arial"/>
          <w:sz w:val="26"/>
          <w:szCs w:val="26"/>
        </w:rPr>
        <w:t>a</w:t>
      </w:r>
      <w:r>
        <w:rPr>
          <w:rFonts w:ascii="Arial" w:hAnsi="Arial" w:cs="Arial"/>
          <w:sz w:val="26"/>
          <w:szCs w:val="26"/>
        </w:rPr>
        <w:t>, e</w:t>
      </w:r>
      <w:r w:rsidR="00F276E0">
        <w:rPr>
          <w:rFonts w:ascii="Arial" w:hAnsi="Arial" w:cs="Arial"/>
          <w:sz w:val="26"/>
          <w:szCs w:val="26"/>
        </w:rPr>
        <w:t xml:space="preserve">specíficamente en </w:t>
      </w:r>
      <w:r>
        <w:rPr>
          <w:rFonts w:ascii="Arial" w:hAnsi="Arial" w:cs="Arial"/>
          <w:sz w:val="26"/>
          <w:szCs w:val="26"/>
        </w:rPr>
        <w:t>la foja ci</w:t>
      </w:r>
      <w:r w:rsidR="00F276E0">
        <w:rPr>
          <w:rFonts w:ascii="Arial" w:hAnsi="Arial" w:cs="Arial"/>
          <w:sz w:val="26"/>
          <w:szCs w:val="26"/>
        </w:rPr>
        <w:t>ento veinticinco, fre</w:t>
      </w:r>
      <w:r w:rsidR="00B9538F">
        <w:rPr>
          <w:rFonts w:ascii="Arial" w:hAnsi="Arial" w:cs="Arial"/>
          <w:sz w:val="26"/>
          <w:szCs w:val="26"/>
        </w:rPr>
        <w:t>n</w:t>
      </w:r>
      <w:r w:rsidR="00F276E0">
        <w:rPr>
          <w:rFonts w:ascii="Arial" w:hAnsi="Arial" w:cs="Arial"/>
          <w:sz w:val="26"/>
          <w:szCs w:val="26"/>
        </w:rPr>
        <w:t xml:space="preserve">te y vuelta, </w:t>
      </w:r>
      <w:r>
        <w:rPr>
          <w:rFonts w:ascii="Arial" w:hAnsi="Arial" w:cs="Arial"/>
          <w:sz w:val="26"/>
          <w:szCs w:val="26"/>
        </w:rPr>
        <w:t>se advierte que la hoy recurrente expuso:</w:t>
      </w:r>
    </w:p>
    <w:p w14:paraId="3B055482" w14:textId="77777777" w:rsidR="008963D1" w:rsidRPr="00D55E5A" w:rsidRDefault="008963D1" w:rsidP="006A6532">
      <w:pPr>
        <w:widowControl w:val="0"/>
        <w:tabs>
          <w:tab w:val="left" w:pos="567"/>
        </w:tabs>
        <w:spacing w:before="240" w:after="0"/>
        <w:ind w:left="567" w:right="616"/>
        <w:jc w:val="both"/>
        <w:rPr>
          <w:rFonts w:ascii="Arial" w:hAnsi="Arial" w:cs="Arial"/>
          <w:i/>
        </w:rPr>
      </w:pPr>
      <w:r w:rsidRPr="00564379">
        <w:rPr>
          <w:rFonts w:ascii="Arial" w:hAnsi="Arial" w:cs="Arial"/>
          <w:i/>
        </w:rPr>
        <w:t>“</w:t>
      </w:r>
      <w:r w:rsidRPr="00564379">
        <w:rPr>
          <w:rFonts w:ascii="Arial" w:hAnsi="Arial" w:cs="Arial"/>
          <w:b/>
          <w:i/>
        </w:rPr>
        <w:t xml:space="preserve">SEGUNDO. Pertinencia de la ley Procesal </w:t>
      </w:r>
      <w:r w:rsidRPr="00564379">
        <w:rPr>
          <w:rFonts w:ascii="Arial" w:hAnsi="Arial" w:cs="Arial"/>
          <w:i/>
        </w:rPr>
        <w:t xml:space="preserve">(sic) </w:t>
      </w:r>
      <w:r w:rsidRPr="00564379">
        <w:rPr>
          <w:rFonts w:ascii="Arial" w:hAnsi="Arial" w:cs="Arial"/>
          <w:b/>
          <w:i/>
        </w:rPr>
        <w:t>aplicable.</w:t>
      </w:r>
      <w:r w:rsidRPr="00564379">
        <w:rPr>
          <w:rFonts w:ascii="Arial" w:hAnsi="Arial" w:cs="Arial"/>
          <w:i/>
        </w:rPr>
        <w:t xml:space="preserve"> Al procedimiento de responsabilidad administrativa disciplinaria, por lo que respecta a la parte adjetiva se aplicó</w:t>
      </w:r>
      <w:r w:rsidRPr="002B707D">
        <w:rPr>
          <w:rFonts w:ascii="Arial" w:hAnsi="Arial" w:cs="Arial"/>
          <w:i/>
        </w:rPr>
        <w:t xml:space="preserve"> la Ley de Responsabilidades de los Servidores Públicos del Estado y Municipios de Oaxaca</w:t>
      </w:r>
      <w:r>
        <w:rPr>
          <w:rFonts w:ascii="Arial" w:hAnsi="Arial" w:cs="Arial"/>
          <w:i/>
        </w:rPr>
        <w:t xml:space="preserve"> (vigente a partir del 26 de diciembre de 2015, con la entrada en vigor de las reformas estipuladas en el Decreto 2055, publicado en el Periódico Oficial Extra del 18 de octubre de 2013 y sus partes observadas </w:t>
      </w:r>
      <w:r w:rsidRPr="002B707D">
        <w:rPr>
          <w:rFonts w:ascii="Arial" w:hAnsi="Arial" w:cs="Arial"/>
          <w:i/>
        </w:rPr>
        <w:t>publicada</w:t>
      </w:r>
      <w:r>
        <w:rPr>
          <w:rFonts w:ascii="Arial" w:hAnsi="Arial" w:cs="Arial"/>
          <w:i/>
        </w:rPr>
        <w:t>s</w:t>
      </w:r>
      <w:r w:rsidRPr="002B707D">
        <w:rPr>
          <w:rFonts w:ascii="Arial" w:hAnsi="Arial" w:cs="Arial"/>
          <w:i/>
        </w:rPr>
        <w:t xml:space="preserve"> </w:t>
      </w:r>
      <w:r>
        <w:rPr>
          <w:rFonts w:ascii="Arial" w:hAnsi="Arial" w:cs="Arial"/>
          <w:i/>
        </w:rPr>
        <w:t xml:space="preserve">en el Periódico Oficial Extra del 26 de diciembre 2013, mediante Decreto número 2074); aplicado de conformidad con el Cuarto Transitorio de la Ley de Responsabilidades Administrativas del  Estado y Municipios de Oaxaca , publicada en el Periódico Oficial del Gobierno del Estado  el día tres de octubre de dos mil diecisiete; en cuanto al </w:t>
      </w:r>
      <w:r w:rsidRPr="002B707D">
        <w:rPr>
          <w:rFonts w:ascii="Arial" w:hAnsi="Arial" w:cs="Arial"/>
          <w:b/>
          <w:bCs/>
          <w:i/>
          <w:u w:val="single"/>
        </w:rPr>
        <w:t>fondo, le será aplicable</w:t>
      </w:r>
      <w:r w:rsidRPr="002B707D">
        <w:rPr>
          <w:rFonts w:ascii="Arial" w:hAnsi="Arial" w:cs="Arial"/>
          <w:i/>
        </w:rPr>
        <w:t xml:space="preserve"> </w:t>
      </w:r>
      <w:r w:rsidRPr="00090D4A">
        <w:rPr>
          <w:rFonts w:ascii="Arial" w:hAnsi="Arial" w:cs="Arial"/>
          <w:i/>
          <w:u w:val="single"/>
        </w:rPr>
        <w:t xml:space="preserve">la Ley de Responsabilidades de los Servidores Públicos del Estado y Municipios de Oaxaca </w:t>
      </w:r>
      <w:bookmarkStart w:id="0" w:name="_Hlk116289407"/>
      <w:r w:rsidRPr="00090D4A">
        <w:rPr>
          <w:rFonts w:ascii="Arial" w:hAnsi="Arial" w:cs="Arial"/>
          <w:i/>
          <w:iCs/>
          <w:u w:val="single"/>
        </w:rPr>
        <w:t>(vigente hasta el 25 de diciembre de 2015, antes de la entrada en vigor de las reformas estipuladas en el Decreto 2055, publicado en el Periódico Oficial Extra del 18 de octubre del 2013 y sus partes observadas publicadas en el Periódico Oficial Extra del 26 de diciembre de 2013, mediante Decreto número 2074)</w:t>
      </w:r>
      <w:r w:rsidRPr="00090D4A">
        <w:rPr>
          <w:rFonts w:ascii="Arial" w:hAnsi="Arial" w:cs="Arial"/>
          <w:i/>
          <w:u w:val="single"/>
        </w:rPr>
        <w:t>;</w:t>
      </w:r>
      <w:r w:rsidRPr="002B707D">
        <w:rPr>
          <w:rFonts w:ascii="Arial" w:hAnsi="Arial" w:cs="Arial"/>
          <w:i/>
        </w:rPr>
        <w:t xml:space="preserve"> </w:t>
      </w:r>
      <w:bookmarkEnd w:id="0"/>
      <w:r w:rsidRPr="002B707D">
        <w:rPr>
          <w:rFonts w:ascii="Arial" w:hAnsi="Arial" w:cs="Arial"/>
          <w:i/>
        </w:rPr>
        <w:t xml:space="preserve">aplicado de conformidad con el Cuarto Transitorio de la Ley de Responsabilidades Administrativas del. Estado y Municipios de Oaxaca, publicada en el Periódico Oficial del Gobierno del Estado el día tres de octubre de dos mil diecisiete; </w:t>
      </w:r>
      <w:r w:rsidRPr="002B707D">
        <w:rPr>
          <w:rFonts w:ascii="Arial" w:hAnsi="Arial" w:cs="Arial"/>
          <w:b/>
          <w:bCs/>
          <w:i/>
        </w:rPr>
        <w:t>por ende, esa Ley seguirá siendo aplicable en cuanto al fondo del asunto como norma sustantiva, es decir, para determinar si la conducta o hechos un constituyen faltas administrativas y en lo concerniente a los derechos y obligaciones de las partes, en relación con la conducta observada.</w:t>
      </w:r>
    </w:p>
    <w:p w14:paraId="5687C49C" w14:textId="77777777" w:rsidR="008963D1" w:rsidRPr="00C2763E" w:rsidRDefault="008963D1" w:rsidP="006A6532">
      <w:pPr>
        <w:widowControl w:val="0"/>
        <w:tabs>
          <w:tab w:val="left" w:pos="567"/>
        </w:tabs>
        <w:spacing w:before="240" w:after="0"/>
        <w:ind w:left="567" w:right="616"/>
        <w:jc w:val="both"/>
        <w:rPr>
          <w:rFonts w:ascii="Arial" w:hAnsi="Arial" w:cs="Arial"/>
          <w:b/>
          <w:bCs/>
          <w:i/>
        </w:rPr>
      </w:pPr>
      <w:r w:rsidRPr="002B707D">
        <w:rPr>
          <w:rFonts w:ascii="Arial" w:hAnsi="Arial" w:cs="Arial"/>
          <w:i/>
        </w:rPr>
        <w:t>Debe precisarse que la Ley de Responsabilidades Administrativas del Estado y Municipios de Oaxaca, entró en vigor el cuatro de octubre de dos mil diecisiete, sin embargo, de conformidad con el cuarto transitorio de dicha ley, refiere que los procedimientos administrativos iniciados antes de la entrada en vigor de dicha ley serán concluidos conforma (sic) las disposiciones aplicables vigentes a su inicio; por ende, será aplicable al presente procedimiento lo señalado en el párrafo que antecede del presente considerando.</w:t>
      </w:r>
      <w:r>
        <w:rPr>
          <w:rFonts w:ascii="Arial" w:hAnsi="Arial" w:cs="Arial"/>
          <w:i/>
        </w:rPr>
        <w:t>”</w:t>
      </w:r>
    </w:p>
    <w:p w14:paraId="318E7628" w14:textId="77777777" w:rsidR="008963D1" w:rsidRPr="000169C1" w:rsidRDefault="008963D1" w:rsidP="006A6532">
      <w:pPr>
        <w:pStyle w:val="NormalWeb"/>
        <w:shd w:val="clear" w:color="auto" w:fill="FFFFFF"/>
        <w:spacing w:before="0" w:beforeAutospacing="0" w:after="0" w:afterAutospacing="0" w:line="276" w:lineRule="auto"/>
        <w:ind w:left="567" w:right="616" w:firstLine="142"/>
        <w:jc w:val="both"/>
        <w:rPr>
          <w:rFonts w:ascii="Arial" w:hAnsi="Arial" w:cs="Arial"/>
          <w:i/>
          <w:color w:val="222222"/>
          <w:sz w:val="22"/>
          <w:szCs w:val="22"/>
        </w:rPr>
      </w:pPr>
      <w:r w:rsidRPr="002A7B5A">
        <w:rPr>
          <w:rFonts w:ascii="Arial" w:hAnsi="Arial" w:cs="Arial"/>
          <w:bCs/>
          <w:sz w:val="26"/>
          <w:szCs w:val="26"/>
        </w:rPr>
        <w:t xml:space="preserve">(Lo </w:t>
      </w:r>
      <w:r>
        <w:rPr>
          <w:rFonts w:ascii="Arial" w:hAnsi="Arial" w:cs="Arial"/>
          <w:bCs/>
          <w:sz w:val="26"/>
          <w:szCs w:val="26"/>
        </w:rPr>
        <w:t xml:space="preserve">subrayado </w:t>
      </w:r>
      <w:r w:rsidRPr="002A7B5A">
        <w:rPr>
          <w:rFonts w:ascii="Arial" w:hAnsi="Arial" w:cs="Arial"/>
          <w:bCs/>
          <w:sz w:val="26"/>
          <w:szCs w:val="26"/>
        </w:rPr>
        <w:t>es propio)</w:t>
      </w:r>
    </w:p>
    <w:p w14:paraId="18A445E9" w14:textId="3EB5DF5C" w:rsidR="001F782D" w:rsidRDefault="001F782D" w:rsidP="001F782D">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De l</w:t>
      </w:r>
      <w:r w:rsidR="00B9538F">
        <w:rPr>
          <w:rFonts w:ascii="Arial" w:hAnsi="Arial" w:cs="Arial"/>
          <w:sz w:val="26"/>
          <w:szCs w:val="26"/>
        </w:rPr>
        <w:t xml:space="preserve">a que </w:t>
      </w:r>
      <w:r>
        <w:rPr>
          <w:rFonts w:ascii="Arial" w:hAnsi="Arial" w:cs="Arial"/>
          <w:sz w:val="26"/>
          <w:szCs w:val="26"/>
        </w:rPr>
        <w:t xml:space="preserve">se </w:t>
      </w:r>
      <w:r w:rsidR="00B9538F">
        <w:rPr>
          <w:rFonts w:ascii="Arial" w:hAnsi="Arial" w:cs="Arial"/>
          <w:sz w:val="26"/>
          <w:szCs w:val="26"/>
        </w:rPr>
        <w:t xml:space="preserve">observa </w:t>
      </w:r>
      <w:r>
        <w:rPr>
          <w:rFonts w:ascii="Arial" w:hAnsi="Arial" w:cs="Arial"/>
          <w:sz w:val="26"/>
          <w:szCs w:val="26"/>
        </w:rPr>
        <w:t>que la autoridad demandada definió que la</w:t>
      </w:r>
      <w:r w:rsidR="00B9538F" w:rsidRPr="00B9538F">
        <w:rPr>
          <w:rFonts w:ascii="Arial" w:hAnsi="Arial" w:cs="Arial"/>
          <w:sz w:val="26"/>
          <w:szCs w:val="26"/>
        </w:rPr>
        <w:t xml:space="preserve"> </w:t>
      </w:r>
      <w:r w:rsidR="00B9538F">
        <w:rPr>
          <w:rFonts w:ascii="Arial" w:hAnsi="Arial" w:cs="Arial"/>
          <w:sz w:val="26"/>
          <w:szCs w:val="26"/>
        </w:rPr>
        <w:t xml:space="preserve">ley aplicable para resolver el procedimiento administrativo disciplinario </w:t>
      </w:r>
      <w:r w:rsidR="00000051">
        <w:rPr>
          <w:rFonts w:ascii="Arial" w:hAnsi="Arial" w:cs="Arial"/>
          <w:sz w:val="26"/>
          <w:szCs w:val="26"/>
        </w:rPr>
        <w:lastRenderedPageBreak/>
        <w:t>*******</w:t>
      </w:r>
      <w:r w:rsidR="00B9538F">
        <w:rPr>
          <w:rFonts w:ascii="Arial" w:hAnsi="Arial" w:cs="Arial"/>
          <w:sz w:val="26"/>
          <w:szCs w:val="26"/>
        </w:rPr>
        <w:t xml:space="preserve"> es la</w:t>
      </w:r>
      <w:r>
        <w:rPr>
          <w:rFonts w:ascii="Arial" w:hAnsi="Arial" w:cs="Arial"/>
          <w:sz w:val="26"/>
          <w:szCs w:val="26"/>
        </w:rPr>
        <w:t xml:space="preserve"> Ley de Responsabilidades de los Servidores Públicos del Estado y Municipios de Oaxaca, vigente hasta  el veinticinco de diciembre de dos mil quince, antes de la entrada en vigor de las reformas estipuladas en el Decreto 2055, publicado en el Periódico Oficial Extra del 18 de octubre de dos mil trece y sus partes observadas publicada en el Periódico Oficial Extra del veintiséis de diciembre de dos mil trece mediante Decreto número 2074, por haber iniciado su trámite  durante la vigencia de esta ley; no obstante que, en la fecha en que se resolvió dicho procedimiento primigenio,</w:t>
      </w:r>
      <w:r w:rsidR="00F276E0">
        <w:rPr>
          <w:rFonts w:ascii="Arial" w:hAnsi="Arial" w:cs="Arial"/>
          <w:sz w:val="26"/>
          <w:szCs w:val="26"/>
        </w:rPr>
        <w:t xml:space="preserve"> veinticinco de junio de dos mil veinte</w:t>
      </w:r>
      <w:r>
        <w:rPr>
          <w:rFonts w:ascii="Arial" w:hAnsi="Arial" w:cs="Arial"/>
          <w:sz w:val="26"/>
          <w:szCs w:val="26"/>
        </w:rPr>
        <w:t xml:space="preserve">, </w:t>
      </w:r>
      <w:r w:rsidR="00F276E0">
        <w:rPr>
          <w:rFonts w:ascii="Arial" w:hAnsi="Arial" w:cs="Arial"/>
          <w:sz w:val="26"/>
          <w:szCs w:val="26"/>
        </w:rPr>
        <w:t>regía</w:t>
      </w:r>
      <w:r>
        <w:rPr>
          <w:rFonts w:ascii="Arial" w:hAnsi="Arial" w:cs="Arial"/>
          <w:sz w:val="26"/>
          <w:szCs w:val="26"/>
        </w:rPr>
        <w:t xml:space="preserve"> la diversa Ley de Responsabilidades Administrativas del Estado y Municipios de Oaxaca, </w:t>
      </w:r>
      <w:r w:rsidR="00F276E0">
        <w:rPr>
          <w:rFonts w:ascii="Arial" w:hAnsi="Arial" w:cs="Arial"/>
          <w:sz w:val="26"/>
          <w:szCs w:val="26"/>
        </w:rPr>
        <w:t xml:space="preserve">vigente a partir del cuatro de </w:t>
      </w:r>
      <w:r>
        <w:rPr>
          <w:rFonts w:ascii="Arial" w:hAnsi="Arial" w:cs="Arial"/>
          <w:sz w:val="26"/>
          <w:szCs w:val="26"/>
        </w:rPr>
        <w:t xml:space="preserve">octubre de dos mil diecisiete. </w:t>
      </w:r>
      <w:r w:rsidR="006A6532">
        <w:rPr>
          <w:rFonts w:ascii="Arial" w:eastAsia="Calibri" w:hAnsi="Arial" w:cs="Arial"/>
          <w:bCs/>
          <w:sz w:val="26"/>
          <w:szCs w:val="26"/>
        </w:rPr>
        <w:t>- - - - - - - - - - - - - - - - - - - - - - - - - - - - - - - - - - - - -</w:t>
      </w:r>
      <w:r w:rsidR="00000051">
        <w:rPr>
          <w:rFonts w:ascii="Arial" w:eastAsia="Calibri" w:hAnsi="Arial" w:cs="Arial"/>
          <w:bCs/>
          <w:sz w:val="26"/>
          <w:szCs w:val="26"/>
        </w:rPr>
        <w:t xml:space="preserve"> - - - - - - - </w:t>
      </w:r>
    </w:p>
    <w:p w14:paraId="711AC0F3" w14:textId="01B9C239" w:rsidR="001F782D" w:rsidRDefault="001F782D" w:rsidP="00962470">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Ahora, si bien</w:t>
      </w:r>
      <w:r w:rsidR="000D14FB" w:rsidRPr="000D14FB">
        <w:rPr>
          <w:rFonts w:ascii="Arial" w:hAnsi="Arial" w:cs="Arial"/>
          <w:sz w:val="26"/>
          <w:szCs w:val="26"/>
        </w:rPr>
        <w:t xml:space="preserve"> </w:t>
      </w:r>
      <w:r w:rsidR="000D14FB">
        <w:rPr>
          <w:rFonts w:ascii="Arial" w:hAnsi="Arial" w:cs="Arial"/>
          <w:sz w:val="26"/>
          <w:szCs w:val="26"/>
        </w:rPr>
        <w:t xml:space="preserve">en la sentencia en estudio, </w:t>
      </w:r>
      <w:r>
        <w:rPr>
          <w:rFonts w:ascii="Arial" w:hAnsi="Arial" w:cs="Arial"/>
          <w:sz w:val="26"/>
          <w:szCs w:val="26"/>
        </w:rPr>
        <w:t xml:space="preserve">el juzgador al exponer </w:t>
      </w:r>
      <w:r w:rsidR="000D14FB">
        <w:rPr>
          <w:rFonts w:ascii="Arial" w:hAnsi="Arial" w:cs="Arial"/>
          <w:sz w:val="26"/>
          <w:szCs w:val="26"/>
        </w:rPr>
        <w:t>que su análisis se basaría en la</w:t>
      </w:r>
      <w:r>
        <w:rPr>
          <w:rFonts w:ascii="Arial" w:hAnsi="Arial" w:cs="Arial"/>
          <w:sz w:val="26"/>
          <w:szCs w:val="26"/>
        </w:rPr>
        <w:t xml:space="preserve"> </w:t>
      </w:r>
      <w:r w:rsidR="00962470">
        <w:rPr>
          <w:rFonts w:ascii="Arial" w:hAnsi="Arial" w:cs="Arial"/>
          <w:sz w:val="26"/>
          <w:szCs w:val="26"/>
        </w:rPr>
        <w:t>Ley de Responsabilidades de los Servidores Públicos del Estado y Municipios de Oaxaca, vigente hasta el veinticinco de diciembre de dos mil quince,</w:t>
      </w:r>
      <w:r>
        <w:rPr>
          <w:rFonts w:ascii="Arial" w:hAnsi="Arial" w:cs="Arial"/>
          <w:sz w:val="26"/>
          <w:szCs w:val="26"/>
        </w:rPr>
        <w:t xml:space="preserve"> </w:t>
      </w:r>
      <w:r w:rsidR="00962470">
        <w:rPr>
          <w:rFonts w:ascii="Arial" w:hAnsi="Arial" w:cs="Arial"/>
          <w:sz w:val="26"/>
          <w:szCs w:val="26"/>
        </w:rPr>
        <w:t xml:space="preserve">dicha alusión </w:t>
      </w:r>
      <w:r>
        <w:rPr>
          <w:rFonts w:ascii="Arial" w:hAnsi="Arial" w:cs="Arial"/>
          <w:sz w:val="26"/>
          <w:szCs w:val="26"/>
        </w:rPr>
        <w:t xml:space="preserve">no repercutió en el sentido del fallo impugnado, pues aun cuando se advierta </w:t>
      </w:r>
      <w:r w:rsidR="004825B9">
        <w:rPr>
          <w:rFonts w:ascii="Arial" w:hAnsi="Arial" w:cs="Arial"/>
          <w:sz w:val="26"/>
          <w:szCs w:val="26"/>
        </w:rPr>
        <w:t>incompleta</w:t>
      </w:r>
      <w:r w:rsidR="000D14FB">
        <w:rPr>
          <w:rFonts w:ascii="Arial" w:hAnsi="Arial" w:cs="Arial"/>
          <w:sz w:val="26"/>
          <w:szCs w:val="26"/>
        </w:rPr>
        <w:t xml:space="preserve"> la </w:t>
      </w:r>
      <w:r>
        <w:rPr>
          <w:rFonts w:ascii="Arial" w:hAnsi="Arial" w:cs="Arial"/>
          <w:sz w:val="26"/>
          <w:szCs w:val="26"/>
        </w:rPr>
        <w:t xml:space="preserve">cita </w:t>
      </w:r>
      <w:r w:rsidR="004825B9">
        <w:rPr>
          <w:rFonts w:ascii="Arial" w:hAnsi="Arial" w:cs="Arial"/>
          <w:sz w:val="26"/>
          <w:szCs w:val="26"/>
        </w:rPr>
        <w:t>d</w:t>
      </w:r>
      <w:r w:rsidR="000D14FB">
        <w:rPr>
          <w:rFonts w:ascii="Arial" w:hAnsi="Arial" w:cs="Arial"/>
          <w:sz w:val="26"/>
          <w:szCs w:val="26"/>
        </w:rPr>
        <w:t xml:space="preserve">e la ley </w:t>
      </w:r>
      <w:r>
        <w:rPr>
          <w:rFonts w:ascii="Arial" w:hAnsi="Arial" w:cs="Arial"/>
          <w:sz w:val="26"/>
          <w:szCs w:val="26"/>
        </w:rPr>
        <w:t xml:space="preserve">en la que </w:t>
      </w:r>
      <w:r w:rsidR="000D14FB">
        <w:rPr>
          <w:rFonts w:ascii="Arial" w:hAnsi="Arial" w:cs="Arial"/>
          <w:sz w:val="26"/>
          <w:szCs w:val="26"/>
        </w:rPr>
        <w:t>fundó</w:t>
      </w:r>
      <w:r>
        <w:rPr>
          <w:rFonts w:ascii="Arial" w:hAnsi="Arial" w:cs="Arial"/>
          <w:sz w:val="26"/>
          <w:szCs w:val="26"/>
        </w:rPr>
        <w:t xml:space="preserve"> sus determinaciones,</w:t>
      </w:r>
      <w:r w:rsidR="004825B9">
        <w:rPr>
          <w:rFonts w:ascii="Arial" w:hAnsi="Arial" w:cs="Arial"/>
          <w:sz w:val="26"/>
          <w:szCs w:val="26"/>
        </w:rPr>
        <w:t xml:space="preserve"> fue subsanado al mencionar q</w:t>
      </w:r>
      <w:r w:rsidR="00962470">
        <w:rPr>
          <w:rFonts w:ascii="Arial" w:hAnsi="Arial" w:cs="Arial"/>
          <w:sz w:val="26"/>
          <w:szCs w:val="26"/>
        </w:rPr>
        <w:t xml:space="preserve">ue esta ley se encuentra precisada en la </w:t>
      </w:r>
      <w:r w:rsidR="000D14FB">
        <w:rPr>
          <w:rFonts w:ascii="Arial" w:hAnsi="Arial" w:cs="Arial"/>
          <w:sz w:val="26"/>
          <w:szCs w:val="26"/>
        </w:rPr>
        <w:t xml:space="preserve">resolución de </w:t>
      </w:r>
      <w:r w:rsidR="00962470">
        <w:rPr>
          <w:rFonts w:ascii="Arial" w:hAnsi="Arial" w:cs="Arial"/>
          <w:sz w:val="26"/>
          <w:szCs w:val="26"/>
        </w:rPr>
        <w:t xml:space="preserve">veinticinco de junio de dos mil veinte, visibles de fojas ciento veintitrés a ciento cincuenta y tres, en donde la autoridad recurrente especificó que se trata de la Ley de Responsabilidades de los Servidores Públicos del Estado y Municipios de Oaxaca, </w:t>
      </w:r>
      <w:r w:rsidR="000D14FB" w:rsidRPr="004825B9">
        <w:rPr>
          <w:rFonts w:ascii="Arial" w:hAnsi="Arial" w:cs="Arial"/>
          <w:sz w:val="26"/>
          <w:szCs w:val="26"/>
        </w:rPr>
        <w:t>vigente hasta el 25 de diciembre de 2015, antes de la entrada en vigor de las reformas estipuladas en el Decreto 2055, publicado en el Periódico Oficial Extra del 18 de octubre del 2013 y sus partes observadas publicadas en el Periódico Oficial Extra del 26 de diciembre de 2013, mediante Decreto número 2074</w:t>
      </w:r>
      <w:r w:rsidR="004825B9">
        <w:rPr>
          <w:rFonts w:ascii="Arial" w:hAnsi="Arial" w:cs="Arial"/>
          <w:sz w:val="26"/>
          <w:szCs w:val="26"/>
        </w:rPr>
        <w:t>;</w:t>
      </w:r>
      <w:r w:rsidR="00962470">
        <w:rPr>
          <w:rFonts w:ascii="Arial" w:hAnsi="Arial" w:cs="Arial"/>
          <w:sz w:val="26"/>
          <w:szCs w:val="26"/>
        </w:rPr>
        <w:t xml:space="preserve"> de lo que se infiere que se </w:t>
      </w:r>
      <w:r w:rsidR="004825B9">
        <w:rPr>
          <w:rFonts w:ascii="Arial" w:hAnsi="Arial" w:cs="Arial"/>
          <w:sz w:val="26"/>
          <w:szCs w:val="26"/>
        </w:rPr>
        <w:t xml:space="preserve">trata de la misma </w:t>
      </w:r>
      <w:r w:rsidR="00962470">
        <w:rPr>
          <w:rFonts w:ascii="Arial" w:hAnsi="Arial" w:cs="Arial"/>
          <w:sz w:val="26"/>
          <w:szCs w:val="26"/>
        </w:rPr>
        <w:t>legislación</w:t>
      </w:r>
      <w:r w:rsidR="004825B9">
        <w:rPr>
          <w:rFonts w:ascii="Arial" w:hAnsi="Arial" w:cs="Arial"/>
          <w:sz w:val="26"/>
          <w:szCs w:val="26"/>
        </w:rPr>
        <w:t xml:space="preserve"> utilizada para resolver el juicio de nulidad</w:t>
      </w:r>
      <w:r w:rsidR="00962470">
        <w:rPr>
          <w:rFonts w:ascii="Arial" w:hAnsi="Arial" w:cs="Arial"/>
          <w:sz w:val="26"/>
          <w:szCs w:val="26"/>
        </w:rPr>
        <w:t xml:space="preserve">, sin que </w:t>
      </w:r>
      <w:proofErr w:type="spellStart"/>
      <w:r w:rsidR="00962470">
        <w:rPr>
          <w:rFonts w:ascii="Arial" w:hAnsi="Arial" w:cs="Arial"/>
          <w:sz w:val="26"/>
          <w:szCs w:val="26"/>
        </w:rPr>
        <w:t>de</w:t>
      </w:r>
      <w:proofErr w:type="spellEnd"/>
      <w:r w:rsidR="00962470">
        <w:rPr>
          <w:rFonts w:ascii="Arial" w:hAnsi="Arial" w:cs="Arial"/>
          <w:sz w:val="26"/>
          <w:szCs w:val="26"/>
        </w:rPr>
        <w:t xml:space="preserve"> lugar a entender que se trate de una ley diversa o inexistente como alega el recurrente. </w:t>
      </w:r>
      <w:r>
        <w:rPr>
          <w:rFonts w:ascii="Arial" w:hAnsi="Arial" w:cs="Arial"/>
          <w:sz w:val="26"/>
          <w:szCs w:val="26"/>
        </w:rPr>
        <w:t xml:space="preserve">De ahí lo </w:t>
      </w:r>
      <w:r w:rsidRPr="00793FB9">
        <w:rPr>
          <w:rFonts w:ascii="Arial" w:hAnsi="Arial" w:cs="Arial"/>
          <w:b/>
          <w:sz w:val="26"/>
          <w:szCs w:val="26"/>
        </w:rPr>
        <w:t>INFUNDADO</w:t>
      </w:r>
      <w:r>
        <w:rPr>
          <w:rFonts w:ascii="Arial" w:hAnsi="Arial" w:cs="Arial"/>
          <w:sz w:val="26"/>
          <w:szCs w:val="26"/>
        </w:rPr>
        <w:t xml:space="preserve"> del alegato expuesto por el recurrente.</w:t>
      </w:r>
      <w:r w:rsidR="006A6532">
        <w:rPr>
          <w:rFonts w:ascii="Arial" w:hAnsi="Arial" w:cs="Arial"/>
          <w:sz w:val="26"/>
          <w:szCs w:val="26"/>
        </w:rPr>
        <w:t xml:space="preserve"> - - - - - - </w:t>
      </w:r>
    </w:p>
    <w:p w14:paraId="4EE9AD16" w14:textId="5F0BF5AB" w:rsidR="000C23A9" w:rsidRDefault="003B183F" w:rsidP="000C5FD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la segunda inconformidad</w:t>
      </w:r>
      <w:r w:rsidR="00F84CD6">
        <w:rPr>
          <w:rFonts w:ascii="Arial" w:eastAsia="Calibri" w:hAnsi="Arial" w:cs="Arial"/>
          <w:bCs/>
          <w:sz w:val="26"/>
          <w:szCs w:val="26"/>
        </w:rPr>
        <w:t>,</w:t>
      </w:r>
      <w:r>
        <w:rPr>
          <w:rFonts w:ascii="Arial" w:eastAsia="Calibri" w:hAnsi="Arial" w:cs="Arial"/>
          <w:bCs/>
          <w:sz w:val="26"/>
          <w:szCs w:val="26"/>
        </w:rPr>
        <w:t xml:space="preserve"> el recurrente refiere que </w:t>
      </w:r>
      <w:r w:rsidR="00634BBE">
        <w:rPr>
          <w:rFonts w:ascii="Arial" w:eastAsia="Calibri" w:hAnsi="Arial" w:cs="Arial"/>
          <w:bCs/>
          <w:sz w:val="26"/>
          <w:szCs w:val="26"/>
        </w:rPr>
        <w:t>la resolución que impugna le causa agravio a su representada</w:t>
      </w:r>
      <w:r w:rsidR="00F84CD6">
        <w:rPr>
          <w:rFonts w:ascii="Arial" w:eastAsia="Calibri" w:hAnsi="Arial" w:cs="Arial"/>
          <w:bCs/>
          <w:sz w:val="26"/>
          <w:szCs w:val="26"/>
        </w:rPr>
        <w:t xml:space="preserve">, </w:t>
      </w:r>
      <w:r w:rsidR="00634BBE">
        <w:rPr>
          <w:rFonts w:ascii="Arial" w:eastAsia="Calibri" w:hAnsi="Arial" w:cs="Arial"/>
          <w:bCs/>
          <w:sz w:val="26"/>
          <w:szCs w:val="26"/>
        </w:rPr>
        <w:t>porque</w:t>
      </w:r>
      <w:r w:rsidR="005C3D34">
        <w:rPr>
          <w:rFonts w:ascii="Arial" w:eastAsia="Calibri" w:hAnsi="Arial" w:cs="Arial"/>
          <w:bCs/>
          <w:sz w:val="26"/>
          <w:szCs w:val="26"/>
        </w:rPr>
        <w:t xml:space="preserve"> en ella se</w:t>
      </w:r>
      <w:r w:rsidR="00634BBE">
        <w:rPr>
          <w:rFonts w:ascii="Arial" w:eastAsia="Calibri" w:hAnsi="Arial" w:cs="Arial"/>
          <w:bCs/>
          <w:sz w:val="26"/>
          <w:szCs w:val="26"/>
        </w:rPr>
        <w:t xml:space="preserve"> declaró la nulidad lisa y llana de la resolución de trece de mayo de dos mil veintiuno emitida en el recurso de revocación número </w:t>
      </w:r>
      <w:r w:rsidR="00000051">
        <w:rPr>
          <w:rFonts w:ascii="Arial" w:eastAsia="Calibri" w:hAnsi="Arial" w:cs="Arial"/>
          <w:bCs/>
          <w:sz w:val="26"/>
          <w:szCs w:val="26"/>
        </w:rPr>
        <w:t>*******</w:t>
      </w:r>
      <w:r w:rsidR="00634BBE">
        <w:rPr>
          <w:rFonts w:ascii="Arial" w:eastAsia="Calibri" w:hAnsi="Arial" w:cs="Arial"/>
          <w:bCs/>
          <w:sz w:val="26"/>
          <w:szCs w:val="26"/>
        </w:rPr>
        <w:t xml:space="preserve">, dictada por el Subsecretario de Responsabilidades Administrativas y </w:t>
      </w:r>
      <w:r w:rsidR="00634BBE">
        <w:rPr>
          <w:rFonts w:ascii="Arial" w:eastAsia="Calibri" w:hAnsi="Arial" w:cs="Arial"/>
          <w:bCs/>
          <w:sz w:val="26"/>
          <w:szCs w:val="26"/>
        </w:rPr>
        <w:lastRenderedPageBreak/>
        <w:t>Anticorrupción, sin haber considerado que</w:t>
      </w:r>
      <w:r w:rsidR="005C3D34">
        <w:rPr>
          <w:rFonts w:ascii="Arial" w:eastAsia="Calibri" w:hAnsi="Arial" w:cs="Arial"/>
          <w:bCs/>
          <w:sz w:val="26"/>
          <w:szCs w:val="26"/>
        </w:rPr>
        <w:t xml:space="preserve"> se encuentra acreditada con plenitud </w:t>
      </w:r>
      <w:r w:rsidR="00634BBE">
        <w:rPr>
          <w:rFonts w:ascii="Arial" w:eastAsia="Calibri" w:hAnsi="Arial" w:cs="Arial"/>
          <w:bCs/>
          <w:sz w:val="26"/>
          <w:szCs w:val="26"/>
        </w:rPr>
        <w:t xml:space="preserve">la falta administrativa imputada  a la actora </w:t>
      </w:r>
      <w:r w:rsidR="005C3D34">
        <w:rPr>
          <w:rFonts w:ascii="Arial" w:eastAsia="Calibri" w:hAnsi="Arial" w:cs="Arial"/>
          <w:bCs/>
          <w:sz w:val="26"/>
          <w:szCs w:val="26"/>
        </w:rPr>
        <w:t xml:space="preserve">y ex servidora pública </w:t>
      </w:r>
      <w:r w:rsidR="005076EC">
        <w:rPr>
          <w:rFonts w:ascii="Arial" w:eastAsia="Calibri" w:hAnsi="Arial" w:cs="Arial"/>
          <w:bCs/>
          <w:sz w:val="26"/>
          <w:szCs w:val="26"/>
        </w:rPr>
        <w:t>en su carácter de Directora de Egresos de Control Presupuestal de la Secretar</w:t>
      </w:r>
      <w:r w:rsidR="006A6532">
        <w:rPr>
          <w:rFonts w:ascii="Arial" w:eastAsia="Calibri" w:hAnsi="Arial" w:cs="Arial"/>
          <w:bCs/>
          <w:sz w:val="26"/>
          <w:szCs w:val="26"/>
        </w:rPr>
        <w:t>i</w:t>
      </w:r>
      <w:r w:rsidR="005076EC">
        <w:rPr>
          <w:rFonts w:ascii="Arial" w:eastAsia="Calibri" w:hAnsi="Arial" w:cs="Arial"/>
          <w:bCs/>
          <w:sz w:val="26"/>
          <w:szCs w:val="26"/>
        </w:rPr>
        <w:t xml:space="preserve">a de Finanzas del Poder Ejecutivo del Estado de Oaxaca, </w:t>
      </w:r>
      <w:r w:rsidR="00634BBE">
        <w:rPr>
          <w:rFonts w:ascii="Arial" w:eastAsia="Calibri" w:hAnsi="Arial" w:cs="Arial"/>
          <w:bCs/>
          <w:sz w:val="26"/>
          <w:szCs w:val="26"/>
        </w:rPr>
        <w:t>lo que es suficiente para atribuir</w:t>
      </w:r>
      <w:r w:rsidR="005076EC">
        <w:rPr>
          <w:rFonts w:ascii="Arial" w:eastAsia="Calibri" w:hAnsi="Arial" w:cs="Arial"/>
          <w:bCs/>
          <w:sz w:val="26"/>
          <w:szCs w:val="26"/>
        </w:rPr>
        <w:t>le</w:t>
      </w:r>
      <w:r w:rsidR="00634BBE">
        <w:rPr>
          <w:rFonts w:ascii="Arial" w:eastAsia="Calibri" w:hAnsi="Arial" w:cs="Arial"/>
          <w:bCs/>
          <w:sz w:val="26"/>
          <w:szCs w:val="26"/>
        </w:rPr>
        <w:t xml:space="preserve"> la responsabilidad administrativa</w:t>
      </w:r>
      <w:r w:rsidR="005C3D34">
        <w:rPr>
          <w:rFonts w:ascii="Arial" w:eastAsia="Calibri" w:hAnsi="Arial" w:cs="Arial"/>
          <w:bCs/>
          <w:sz w:val="26"/>
          <w:szCs w:val="26"/>
        </w:rPr>
        <w:t xml:space="preserve">, toda vez que dentro del procedimiento administrativo </w:t>
      </w:r>
      <w:r w:rsidR="00000051">
        <w:rPr>
          <w:rFonts w:ascii="Arial" w:eastAsia="Calibri" w:hAnsi="Arial" w:cs="Arial"/>
          <w:bCs/>
          <w:sz w:val="26"/>
          <w:szCs w:val="26"/>
        </w:rPr>
        <w:t>*******</w:t>
      </w:r>
      <w:r w:rsidR="005C3D34">
        <w:rPr>
          <w:rFonts w:ascii="Arial" w:eastAsia="Calibri" w:hAnsi="Arial" w:cs="Arial"/>
          <w:bCs/>
          <w:sz w:val="26"/>
          <w:szCs w:val="26"/>
        </w:rPr>
        <w:t xml:space="preserve"> se acreditó que la Secretaria de Finanzas del Poder Ejecutivo del Estado, no dio seguimiento al “Informe de la revisión a la documentación comprobatoria y justificativa de los acuerdos de ministración”, contenida en el oficio </w:t>
      </w:r>
      <w:r w:rsidR="00000051">
        <w:rPr>
          <w:rFonts w:ascii="Arial" w:eastAsia="Calibri" w:hAnsi="Arial" w:cs="Arial"/>
          <w:bCs/>
          <w:sz w:val="26"/>
          <w:szCs w:val="26"/>
        </w:rPr>
        <w:t>*******</w:t>
      </w:r>
      <w:r w:rsidR="005C3D34">
        <w:rPr>
          <w:rFonts w:ascii="Arial" w:eastAsia="Calibri" w:hAnsi="Arial" w:cs="Arial"/>
          <w:bCs/>
          <w:sz w:val="26"/>
          <w:szCs w:val="26"/>
        </w:rPr>
        <w:t xml:space="preserve">, por no existir constancias que comprueben que la Secretaria de Finanzas llevara a cabo los trámites correspondientes para que la ejecutora </w:t>
      </w:r>
      <w:r w:rsidR="005076EC">
        <w:rPr>
          <w:rFonts w:ascii="Arial" w:eastAsia="Calibri" w:hAnsi="Arial" w:cs="Arial"/>
          <w:bCs/>
          <w:sz w:val="26"/>
          <w:szCs w:val="26"/>
        </w:rPr>
        <w:t>amortizara en su totalidad los recursos otorgados como crédito puente en el año 2012</w:t>
      </w:r>
      <w:r w:rsidR="00480B11">
        <w:rPr>
          <w:rFonts w:ascii="Arial" w:eastAsia="Calibri" w:hAnsi="Arial" w:cs="Arial"/>
          <w:bCs/>
          <w:sz w:val="26"/>
          <w:szCs w:val="26"/>
        </w:rPr>
        <w:t>; que cuando tomó posesión del cargo se encontraba obligada a supervisar y evaluar el ejercicio del presupuesto autorizado a los Servicios de Salud de Oaxaca, el avance financiero y presupuestal en la ejecución de los programas</w:t>
      </w:r>
      <w:r w:rsidR="00A00BD3">
        <w:rPr>
          <w:rFonts w:ascii="Arial" w:eastAsia="Calibri" w:hAnsi="Arial" w:cs="Arial"/>
          <w:bCs/>
          <w:sz w:val="26"/>
          <w:szCs w:val="26"/>
        </w:rPr>
        <w:t>; que si bien su representada se abstuvo de fincar sanción por el daño al erario público en un monto de $</w:t>
      </w:r>
      <w:r w:rsidR="00000051">
        <w:rPr>
          <w:rFonts w:ascii="Arial" w:eastAsia="Calibri" w:hAnsi="Arial" w:cs="Arial"/>
          <w:bCs/>
          <w:sz w:val="26"/>
          <w:szCs w:val="26"/>
        </w:rPr>
        <w:t>*******</w:t>
      </w:r>
      <w:r w:rsidR="00F84CD6">
        <w:rPr>
          <w:rFonts w:ascii="Arial" w:eastAsia="Calibri" w:hAnsi="Arial" w:cs="Arial"/>
          <w:bCs/>
          <w:sz w:val="26"/>
          <w:szCs w:val="26"/>
        </w:rPr>
        <w:t>,</w:t>
      </w:r>
      <w:r w:rsidR="00A00BD3">
        <w:rPr>
          <w:rFonts w:ascii="Arial" w:eastAsia="Calibri" w:hAnsi="Arial" w:cs="Arial"/>
          <w:bCs/>
          <w:sz w:val="26"/>
          <w:szCs w:val="26"/>
        </w:rPr>
        <w:t xml:space="preserve"> puesto que la Secretaría de Finanzas del Gobierno del Estado autorizó recursos por concepto de crédito puente</w:t>
      </w:r>
      <w:r w:rsidR="00F84CD6">
        <w:rPr>
          <w:rFonts w:ascii="Arial" w:eastAsia="Calibri" w:hAnsi="Arial" w:cs="Arial"/>
          <w:bCs/>
          <w:sz w:val="26"/>
          <w:szCs w:val="26"/>
        </w:rPr>
        <w:t>,</w:t>
      </w:r>
      <w:r w:rsidR="00A00BD3">
        <w:rPr>
          <w:rFonts w:ascii="Arial" w:eastAsia="Calibri" w:hAnsi="Arial" w:cs="Arial"/>
          <w:bCs/>
          <w:sz w:val="26"/>
          <w:szCs w:val="26"/>
        </w:rPr>
        <w:t xml:space="preserve"> por la cantidad descrita, a los Servicios de Salud Oaxaca, la actora realizó un deficiente seguimiento de los recursos públicos autorizados y ministrados por la Secretaría de Finanzas a los Servicios de Salud de Oaxaca, durante el ejercicio 2012, bajo el concepto “crédito puente”, lo que trajo como consecuencia que no se amortizara con la documentación comprobatoria y/o justificativa y/o reintegro de la cantidad mencionada y/o se reintegraran lo recursos no ejercidos; por tanto, se puede determinar que existe un daño a la Hacienda Pública provocado por la actora y ex servidora pública</w:t>
      </w:r>
      <w:r w:rsidR="009C66A0">
        <w:rPr>
          <w:rFonts w:ascii="Arial" w:eastAsia="Calibri" w:hAnsi="Arial" w:cs="Arial"/>
          <w:bCs/>
          <w:sz w:val="26"/>
          <w:szCs w:val="26"/>
        </w:rPr>
        <w:t xml:space="preserve">, que </w:t>
      </w:r>
      <w:proofErr w:type="spellStart"/>
      <w:r w:rsidR="009C66A0">
        <w:rPr>
          <w:rFonts w:ascii="Arial" w:eastAsia="Calibri" w:hAnsi="Arial" w:cs="Arial"/>
          <w:bCs/>
          <w:sz w:val="26"/>
          <w:szCs w:val="26"/>
        </w:rPr>
        <w:t>aún</w:t>
      </w:r>
      <w:proofErr w:type="spellEnd"/>
      <w:r w:rsidR="009C66A0">
        <w:rPr>
          <w:rFonts w:ascii="Arial" w:eastAsia="Calibri" w:hAnsi="Arial" w:cs="Arial"/>
          <w:bCs/>
          <w:sz w:val="26"/>
          <w:szCs w:val="26"/>
        </w:rPr>
        <w:t xml:space="preserve"> cuando su presentada no tiene facultad para fincar sanción sobre el daño ocasionado a la Hacienda Pública, no quiere decir que no existe la falta administrativa estimable en dinero.</w:t>
      </w:r>
      <w:r w:rsidR="006A6532">
        <w:rPr>
          <w:rFonts w:ascii="Arial" w:eastAsia="Calibri" w:hAnsi="Arial" w:cs="Arial"/>
          <w:bCs/>
          <w:sz w:val="26"/>
          <w:szCs w:val="26"/>
        </w:rPr>
        <w:t xml:space="preserve"> - - - - - - - - - - - - - - - - - - - - - - -</w:t>
      </w:r>
      <w:r w:rsidR="00000051">
        <w:rPr>
          <w:rFonts w:ascii="Arial" w:eastAsia="Calibri" w:hAnsi="Arial" w:cs="Arial"/>
          <w:bCs/>
          <w:sz w:val="26"/>
          <w:szCs w:val="26"/>
        </w:rPr>
        <w:t xml:space="preserve"> - - - -</w:t>
      </w:r>
    </w:p>
    <w:p w14:paraId="49CC6029" w14:textId="4CDC1792" w:rsidR="00642B57" w:rsidRDefault="00642B57" w:rsidP="00642B57">
      <w:pPr>
        <w:spacing w:before="240" w:after="240" w:line="360" w:lineRule="auto"/>
        <w:ind w:firstLine="708"/>
        <w:jc w:val="both"/>
        <w:rPr>
          <w:rFonts w:ascii="Arial" w:hAnsi="Arial" w:cs="Arial"/>
          <w:sz w:val="26"/>
          <w:szCs w:val="26"/>
        </w:rPr>
      </w:pPr>
      <w:r>
        <w:rPr>
          <w:rFonts w:ascii="Arial" w:eastAsia="Calibri" w:hAnsi="Arial" w:cs="Arial"/>
          <w:bCs/>
          <w:sz w:val="26"/>
          <w:szCs w:val="26"/>
        </w:rPr>
        <w:t>E</w:t>
      </w:r>
      <w:r w:rsidR="006A6532">
        <w:rPr>
          <w:rFonts w:ascii="Arial" w:eastAsia="Calibri" w:hAnsi="Arial" w:cs="Arial"/>
          <w:bCs/>
          <w:sz w:val="26"/>
          <w:szCs w:val="26"/>
        </w:rPr>
        <w:t>s</w:t>
      </w:r>
      <w:r>
        <w:rPr>
          <w:rFonts w:ascii="Arial" w:eastAsia="Calibri" w:hAnsi="Arial" w:cs="Arial"/>
          <w:bCs/>
          <w:sz w:val="26"/>
          <w:szCs w:val="26"/>
        </w:rPr>
        <w:t xml:space="preserve"> </w:t>
      </w:r>
      <w:r w:rsidRPr="00642B57">
        <w:rPr>
          <w:rFonts w:ascii="Arial" w:eastAsia="Calibri" w:hAnsi="Arial" w:cs="Arial"/>
          <w:b/>
          <w:sz w:val="26"/>
          <w:szCs w:val="26"/>
        </w:rPr>
        <w:t>INOPERANTE</w:t>
      </w:r>
      <w:r>
        <w:rPr>
          <w:rFonts w:ascii="Arial" w:eastAsia="Calibri" w:hAnsi="Arial" w:cs="Arial"/>
          <w:bCs/>
          <w:sz w:val="26"/>
          <w:szCs w:val="26"/>
        </w:rPr>
        <w:t xml:space="preserve"> el agravio anterior, </w:t>
      </w:r>
      <w:r>
        <w:rPr>
          <w:rFonts w:ascii="Arial" w:hAnsi="Arial" w:cs="Arial"/>
          <w:sz w:val="26"/>
          <w:szCs w:val="26"/>
        </w:rPr>
        <w:t>porque de la revisión de las constancias de autos, de fojas doscientos trece a doscientos veinticinco,</w:t>
      </w:r>
      <w:r>
        <w:rPr>
          <w:rFonts w:ascii="Arial" w:eastAsia="Calibri" w:hAnsi="Arial" w:cs="Arial"/>
          <w:bCs/>
          <w:sz w:val="26"/>
          <w:szCs w:val="26"/>
        </w:rPr>
        <w:t xml:space="preserve"> se advierte la contestación de la demanda del ahora recurrente, en cuyo punto </w:t>
      </w:r>
      <w:r w:rsidRPr="00FB498E">
        <w:rPr>
          <w:rFonts w:ascii="Arial" w:eastAsia="Calibri" w:hAnsi="Arial" w:cs="Arial"/>
          <w:bCs/>
          <w:sz w:val="26"/>
          <w:szCs w:val="26"/>
        </w:rPr>
        <w:t>quinto de</w:t>
      </w:r>
      <w:r>
        <w:rPr>
          <w:rFonts w:ascii="Arial" w:eastAsia="Calibri" w:hAnsi="Arial" w:cs="Arial"/>
          <w:bCs/>
          <w:sz w:val="26"/>
          <w:szCs w:val="26"/>
        </w:rPr>
        <w:t>l capítulo de</w:t>
      </w:r>
      <w:r w:rsidRPr="00FB498E">
        <w:rPr>
          <w:rFonts w:ascii="Arial" w:eastAsia="Calibri" w:hAnsi="Arial" w:cs="Arial"/>
          <w:bCs/>
          <w:sz w:val="26"/>
          <w:szCs w:val="26"/>
        </w:rPr>
        <w:t xml:space="preserve"> refutación de los conceptos de impugnación</w:t>
      </w:r>
      <w:r>
        <w:rPr>
          <w:rFonts w:ascii="Arial" w:eastAsia="Calibri" w:hAnsi="Arial" w:cs="Arial"/>
          <w:bCs/>
          <w:sz w:val="26"/>
          <w:szCs w:val="26"/>
        </w:rPr>
        <w:t xml:space="preserve">, la autoridad demandada expuso: </w:t>
      </w:r>
    </w:p>
    <w:p w14:paraId="4091E16E" w14:textId="77777777" w:rsidR="00642B57" w:rsidRPr="00810BFE" w:rsidRDefault="00642B57" w:rsidP="006A6532">
      <w:pPr>
        <w:spacing w:after="0"/>
        <w:ind w:left="1134" w:right="616"/>
        <w:jc w:val="both"/>
        <w:rPr>
          <w:rFonts w:ascii="Arial" w:hAnsi="Arial" w:cs="Arial"/>
          <w:b/>
          <w:i/>
          <w:iCs/>
        </w:rPr>
      </w:pPr>
      <w:r w:rsidRPr="00810BFE">
        <w:rPr>
          <w:rFonts w:ascii="Arial" w:hAnsi="Arial" w:cs="Arial"/>
          <w:i/>
          <w:iCs/>
        </w:rPr>
        <w:t>“</w:t>
      </w:r>
      <w:r w:rsidRPr="00810BFE">
        <w:rPr>
          <w:rFonts w:ascii="Arial" w:hAnsi="Arial" w:cs="Arial"/>
          <w:b/>
          <w:i/>
          <w:iCs/>
        </w:rPr>
        <w:t xml:space="preserve">QUINTO. </w:t>
      </w:r>
      <w:r w:rsidRPr="00810BFE">
        <w:rPr>
          <w:rFonts w:ascii="Arial" w:hAnsi="Arial" w:cs="Arial"/>
          <w:i/>
          <w:iCs/>
        </w:rPr>
        <w:t>[…]</w:t>
      </w:r>
      <w:r w:rsidRPr="00810BFE">
        <w:rPr>
          <w:rFonts w:ascii="Arial" w:hAnsi="Arial" w:cs="Arial"/>
          <w:b/>
          <w:i/>
          <w:iCs/>
        </w:rPr>
        <w:t xml:space="preserve"> </w:t>
      </w:r>
    </w:p>
    <w:p w14:paraId="531C4C58" w14:textId="1AEED0CA" w:rsidR="00810BFE" w:rsidRDefault="00810BFE" w:rsidP="006A6532">
      <w:pPr>
        <w:spacing w:after="0"/>
        <w:ind w:left="1134" w:right="616"/>
        <w:jc w:val="both"/>
        <w:rPr>
          <w:rFonts w:ascii="Arial" w:eastAsia="Calibri" w:hAnsi="Arial" w:cs="Arial"/>
          <w:bCs/>
          <w:i/>
          <w:iCs/>
        </w:rPr>
      </w:pPr>
      <w:r w:rsidRPr="00810BFE">
        <w:rPr>
          <w:rFonts w:ascii="Arial" w:hAnsi="Arial" w:cs="Arial"/>
          <w:i/>
          <w:iCs/>
        </w:rPr>
        <w:lastRenderedPageBreak/>
        <w:t xml:space="preserve">De sus manifestaciones vertidas en su QUINTO concepto de impugnación, esa H. Sala debe declararlo INFUNDADO, toda vez que mi representada al momento de dictar la resolución de fecha trece de mayo de dos mil veintiuno dentro del recurso de revocación número </w:t>
      </w:r>
      <w:r w:rsidR="00000051">
        <w:rPr>
          <w:rFonts w:ascii="Arial" w:hAnsi="Arial" w:cs="Arial"/>
          <w:i/>
          <w:iCs/>
        </w:rPr>
        <w:t>*******</w:t>
      </w:r>
      <w:r w:rsidRPr="00810BFE">
        <w:rPr>
          <w:rFonts w:ascii="Arial" w:hAnsi="Arial" w:cs="Arial"/>
          <w:i/>
          <w:iCs/>
        </w:rPr>
        <w:t xml:space="preserve">, entró al fondo del estudio de la figura de la prescripción analizada por  el Director de responsabilidades (sic) Administrativas y Situación Patrimonial al emitir la resolución de fecha veinticinco de junio de dos mil veinte dentro del procedimiento administrativo número </w:t>
      </w:r>
      <w:r w:rsidR="00000051">
        <w:rPr>
          <w:rFonts w:ascii="Arial" w:hAnsi="Arial" w:cs="Arial"/>
          <w:i/>
          <w:iCs/>
        </w:rPr>
        <w:t>*******</w:t>
      </w:r>
      <w:r w:rsidRPr="00810BFE">
        <w:rPr>
          <w:rFonts w:ascii="Arial" w:hAnsi="Arial" w:cs="Arial"/>
          <w:i/>
          <w:iCs/>
        </w:rPr>
        <w:t xml:space="preserve">, en la que determinó que al  existir un monto involucrado por la cantidad de </w:t>
      </w:r>
      <w:r w:rsidRPr="00810BFE">
        <w:rPr>
          <w:rFonts w:ascii="Arial" w:eastAsia="Calibri" w:hAnsi="Arial" w:cs="Arial"/>
          <w:bCs/>
          <w:i/>
          <w:iCs/>
        </w:rPr>
        <w:t>$</w:t>
      </w:r>
      <w:r w:rsidR="00000051">
        <w:rPr>
          <w:rFonts w:ascii="Arial" w:eastAsia="Calibri" w:hAnsi="Arial" w:cs="Arial"/>
          <w:bCs/>
          <w:i/>
          <w:iCs/>
        </w:rPr>
        <w:t>*******</w:t>
      </w:r>
      <w:r>
        <w:rPr>
          <w:rFonts w:ascii="Arial" w:eastAsia="Calibri" w:hAnsi="Arial" w:cs="Arial"/>
          <w:bCs/>
          <w:i/>
          <w:iCs/>
        </w:rPr>
        <w:t>, el cual excede el equivalente a diez veces el salario mínimo general mensual en el estado, por lo consiguiente se actualiza el precepto estipulado en la fracción II del artículo 77 de la Ley de Responsabilidades de los Servidores Públicos del Estado y Municipios de Oaxaca …, por lo que contaba con el término de tres años para ejercer la facultad de aplicabilidad de sanciones.</w:t>
      </w:r>
    </w:p>
    <w:p w14:paraId="5D6209C1" w14:textId="0390A4B9" w:rsidR="00810BFE" w:rsidRDefault="00810BFE" w:rsidP="006A6532">
      <w:pPr>
        <w:spacing w:after="0"/>
        <w:ind w:left="1134" w:right="616"/>
        <w:jc w:val="both"/>
        <w:rPr>
          <w:rFonts w:ascii="Arial" w:eastAsia="Calibri" w:hAnsi="Arial" w:cs="Arial"/>
          <w:bCs/>
          <w:i/>
          <w:iCs/>
        </w:rPr>
      </w:pPr>
      <w:r>
        <w:rPr>
          <w:rFonts w:ascii="Arial" w:hAnsi="Arial" w:cs="Arial"/>
          <w:i/>
          <w:iCs/>
        </w:rPr>
        <w:t xml:space="preserve">En el presente caso se tiene que los hechos se remontan al uno de junio de dos mil catorce, fecha en que la hoy actora inició su gestión como </w:t>
      </w:r>
      <w:r w:rsidRPr="00810BFE">
        <w:rPr>
          <w:rFonts w:ascii="Arial" w:eastAsia="Calibri" w:hAnsi="Arial" w:cs="Arial"/>
          <w:bCs/>
          <w:i/>
          <w:iCs/>
        </w:rPr>
        <w:t>Directora de Egresos de Control Presupuestal de la Secretaría de Finanzas</w:t>
      </w:r>
      <w:r>
        <w:rPr>
          <w:rFonts w:ascii="Arial" w:eastAsia="Calibri" w:hAnsi="Arial" w:cs="Arial"/>
          <w:bCs/>
          <w:i/>
          <w:iCs/>
        </w:rPr>
        <w:t xml:space="preserve">, y con ello la obligación de dar </w:t>
      </w:r>
      <w:r w:rsidR="006825E2">
        <w:rPr>
          <w:rFonts w:ascii="Arial" w:eastAsia="Calibri" w:hAnsi="Arial" w:cs="Arial"/>
          <w:bCs/>
          <w:i/>
          <w:iCs/>
        </w:rPr>
        <w:t xml:space="preserve">un eficiente seguimiento a los recursos otorgados a los Servicios de Salud de Oaxaca, mediante acuerdos de ministración por concepto de crédito puente en el ejercicio dos mil doce por la cantidad de </w:t>
      </w:r>
      <w:r w:rsidR="006825E2" w:rsidRPr="00810BFE">
        <w:rPr>
          <w:rFonts w:ascii="Arial" w:eastAsia="Calibri" w:hAnsi="Arial" w:cs="Arial"/>
          <w:bCs/>
          <w:i/>
          <w:iCs/>
        </w:rPr>
        <w:t>$</w:t>
      </w:r>
      <w:r w:rsidR="00000051">
        <w:rPr>
          <w:rFonts w:ascii="Arial" w:eastAsia="Calibri" w:hAnsi="Arial" w:cs="Arial"/>
          <w:bCs/>
          <w:i/>
          <w:iCs/>
        </w:rPr>
        <w:t>*******</w:t>
      </w:r>
      <w:r w:rsidR="006825E2">
        <w:rPr>
          <w:rFonts w:ascii="Arial" w:eastAsia="Calibri" w:hAnsi="Arial" w:cs="Arial"/>
          <w:bCs/>
          <w:i/>
          <w:iCs/>
        </w:rPr>
        <w:t>, lo que conlleva a determinar que dicha falta es de carácter continuo hasta el dos mil dieciséis, fecha en que dejó de ocupar el cargo, por lo que el término de tres años que tenía esa autoridad para sancionar  transcurrió del veintidós de abril de dos mil dieciséis al veintidós de abril de dos mil diecinueve.</w:t>
      </w:r>
    </w:p>
    <w:p w14:paraId="77C87916" w14:textId="7F358FB6" w:rsidR="006825E2" w:rsidRPr="00810BFE" w:rsidRDefault="00213471" w:rsidP="006A6532">
      <w:pPr>
        <w:spacing w:after="0"/>
        <w:ind w:left="1134" w:right="616"/>
        <w:jc w:val="both"/>
        <w:rPr>
          <w:rFonts w:ascii="Arial" w:hAnsi="Arial" w:cs="Arial"/>
          <w:i/>
          <w:iCs/>
        </w:rPr>
      </w:pPr>
      <w:r>
        <w:rPr>
          <w:rFonts w:ascii="Arial" w:hAnsi="Arial" w:cs="Arial"/>
          <w:i/>
          <w:iCs/>
        </w:rPr>
        <w:t xml:space="preserve">En este sentido al haber sido notificado a la hoy actora </w:t>
      </w:r>
      <w:r w:rsidR="0028561B">
        <w:rPr>
          <w:rFonts w:ascii="Arial" w:hAnsi="Arial" w:cs="Arial"/>
          <w:i/>
          <w:iCs/>
        </w:rPr>
        <w:t>*******</w:t>
      </w:r>
      <w:r>
        <w:rPr>
          <w:rFonts w:ascii="Arial" w:hAnsi="Arial" w:cs="Arial"/>
          <w:i/>
          <w:iCs/>
        </w:rPr>
        <w:t xml:space="preserve"> el día tres de enero de dos mil diecinueve el acuerdo de inicio del procedimiento de responsabilidad administrativa en su contra, mediante oficio número </w:t>
      </w:r>
      <w:r w:rsidR="00000051">
        <w:rPr>
          <w:rFonts w:ascii="Arial" w:hAnsi="Arial" w:cs="Arial"/>
          <w:i/>
          <w:iCs/>
        </w:rPr>
        <w:t>*******</w:t>
      </w:r>
      <w:r>
        <w:rPr>
          <w:rFonts w:ascii="Arial" w:hAnsi="Arial" w:cs="Arial"/>
          <w:i/>
          <w:iCs/>
        </w:rPr>
        <w:t xml:space="preserve"> de fecha 10 de diciembre de 2018, resulta que solo han transcurrido DOS AÑOS, OCHO MESES Y DIEZ </w:t>
      </w:r>
      <w:r w:rsidR="006A6532">
        <w:rPr>
          <w:rFonts w:ascii="Arial" w:hAnsi="Arial" w:cs="Arial"/>
          <w:i/>
          <w:iCs/>
        </w:rPr>
        <w:t>DÍAS</w:t>
      </w:r>
      <w:r>
        <w:rPr>
          <w:rFonts w:ascii="Arial" w:hAnsi="Arial" w:cs="Arial"/>
          <w:i/>
          <w:iCs/>
        </w:rPr>
        <w:t>, por lo que la faculta para imponer sanciones no se encontraba prescrita</w:t>
      </w:r>
      <w:r w:rsidR="00283F6B">
        <w:rPr>
          <w:rFonts w:ascii="Arial" w:hAnsi="Arial" w:cs="Arial"/>
          <w:i/>
          <w:iCs/>
        </w:rPr>
        <w:t>. …”</w:t>
      </w:r>
    </w:p>
    <w:p w14:paraId="57947796" w14:textId="41E99F19" w:rsidR="00642B57" w:rsidRPr="00B515EC" w:rsidRDefault="00642B57" w:rsidP="00642B57">
      <w:pPr>
        <w:spacing w:after="0" w:line="240" w:lineRule="auto"/>
        <w:ind w:left="1134" w:right="616"/>
        <w:jc w:val="both"/>
        <w:rPr>
          <w:rFonts w:cstheme="minorHAnsi"/>
        </w:rPr>
      </w:pPr>
    </w:p>
    <w:p w14:paraId="75BC9E2A" w14:textId="6903A4D0" w:rsidR="00642B57" w:rsidRPr="00AF7DD2" w:rsidRDefault="00642B57" w:rsidP="00642B57">
      <w:pPr>
        <w:shd w:val="clear" w:color="auto" w:fill="FFFFFF"/>
        <w:spacing w:line="375" w:lineRule="atLeast"/>
        <w:ind w:firstLine="567"/>
        <w:jc w:val="both"/>
        <w:rPr>
          <w:rFonts w:ascii="Arial" w:eastAsia="Times New Roman" w:hAnsi="Arial" w:cs="Arial"/>
          <w:sz w:val="26"/>
          <w:szCs w:val="26"/>
        </w:rPr>
      </w:pPr>
      <w:r w:rsidRPr="00F76E72">
        <w:rPr>
          <w:rFonts w:ascii="Arial" w:hAnsi="Arial" w:cs="Arial"/>
          <w:bCs/>
          <w:sz w:val="26"/>
          <w:szCs w:val="26"/>
        </w:rPr>
        <w:t>De</w:t>
      </w:r>
      <w:r w:rsidR="007A4848">
        <w:rPr>
          <w:rFonts w:ascii="Arial" w:hAnsi="Arial" w:cs="Arial"/>
          <w:bCs/>
          <w:sz w:val="26"/>
          <w:szCs w:val="26"/>
        </w:rPr>
        <w:t xml:space="preserve">l contraste del alegato del recurrente con la transcripción de la parte relativa de su contestación de la demanda, se advierte que éste reitera sustancialmente </w:t>
      </w:r>
      <w:r w:rsidRPr="00F76E72">
        <w:rPr>
          <w:rFonts w:ascii="Arial" w:eastAsia="Times New Roman" w:hAnsi="Arial" w:cs="Arial"/>
          <w:sz w:val="26"/>
          <w:szCs w:val="26"/>
        </w:rPr>
        <w:t xml:space="preserve">el </w:t>
      </w:r>
      <w:r w:rsidRPr="00AF7DD2">
        <w:rPr>
          <w:rFonts w:ascii="Arial" w:eastAsia="Times New Roman" w:hAnsi="Arial" w:cs="Arial"/>
          <w:sz w:val="26"/>
          <w:szCs w:val="26"/>
        </w:rPr>
        <w:t xml:space="preserve">argumento </w:t>
      </w:r>
      <w:r>
        <w:rPr>
          <w:rFonts w:ascii="Arial" w:eastAsia="Times New Roman" w:hAnsi="Arial" w:cs="Arial"/>
          <w:sz w:val="26"/>
          <w:szCs w:val="26"/>
        </w:rPr>
        <w:t xml:space="preserve">de defensa </w:t>
      </w:r>
      <w:r w:rsidR="007A4848">
        <w:rPr>
          <w:rFonts w:ascii="Arial" w:eastAsia="Times New Roman" w:hAnsi="Arial" w:cs="Arial"/>
          <w:sz w:val="26"/>
          <w:szCs w:val="26"/>
        </w:rPr>
        <w:t>que hizo valer en el juicio de nulidad</w:t>
      </w:r>
      <w:r>
        <w:rPr>
          <w:rFonts w:ascii="Arial" w:eastAsia="Times New Roman" w:hAnsi="Arial" w:cs="Arial"/>
          <w:sz w:val="26"/>
          <w:szCs w:val="26"/>
        </w:rPr>
        <w:t>, lo que ya fue materia de estudio en la sentencia dictada por la sala de origen</w:t>
      </w:r>
      <w:r w:rsidR="007A4848">
        <w:rPr>
          <w:rFonts w:ascii="Arial" w:eastAsia="Times New Roman" w:hAnsi="Arial" w:cs="Arial"/>
          <w:sz w:val="26"/>
          <w:szCs w:val="26"/>
        </w:rPr>
        <w:t xml:space="preserve">, </w:t>
      </w:r>
      <w:r>
        <w:rPr>
          <w:rFonts w:ascii="Arial" w:eastAsia="Times New Roman" w:hAnsi="Arial" w:cs="Arial"/>
          <w:sz w:val="26"/>
          <w:szCs w:val="26"/>
        </w:rPr>
        <w:t>como en el presente recurso de revisión el tema de análisis es la sentencia dictada en el juicio</w:t>
      </w:r>
      <w:r w:rsidR="007A4848">
        <w:rPr>
          <w:rFonts w:ascii="Arial" w:eastAsia="Times New Roman" w:hAnsi="Arial" w:cs="Arial"/>
          <w:sz w:val="26"/>
          <w:szCs w:val="26"/>
        </w:rPr>
        <w:t xml:space="preserve">, </w:t>
      </w:r>
      <w:r>
        <w:rPr>
          <w:rFonts w:ascii="Arial" w:eastAsia="Times New Roman" w:hAnsi="Arial" w:cs="Arial"/>
          <w:sz w:val="26"/>
          <w:szCs w:val="26"/>
        </w:rPr>
        <w:t xml:space="preserve">no la contestación de la demanda, </w:t>
      </w:r>
      <w:r w:rsidR="007A4848">
        <w:rPr>
          <w:rFonts w:ascii="Arial" w:eastAsia="Times New Roman" w:hAnsi="Arial" w:cs="Arial"/>
          <w:sz w:val="26"/>
          <w:szCs w:val="26"/>
        </w:rPr>
        <w:t>el</w:t>
      </w:r>
      <w:r>
        <w:rPr>
          <w:rFonts w:ascii="Arial" w:eastAsia="Times New Roman" w:hAnsi="Arial" w:cs="Arial"/>
          <w:sz w:val="26"/>
          <w:szCs w:val="26"/>
        </w:rPr>
        <w:t xml:space="preserve"> recurrente debió formular razonamientos lógico-jurídicos encaminados a combatir las consideraciones y fundamentos legales que sustentan la sentencia </w:t>
      </w:r>
      <w:r w:rsidR="007A4848">
        <w:rPr>
          <w:rFonts w:ascii="Arial" w:hAnsi="Arial"/>
          <w:color w:val="000000"/>
          <w:sz w:val="26"/>
          <w:szCs w:val="26"/>
        </w:rPr>
        <w:t>refutada</w:t>
      </w:r>
      <w:r>
        <w:rPr>
          <w:rFonts w:ascii="Arial" w:hAnsi="Arial"/>
          <w:color w:val="000000"/>
          <w:sz w:val="26"/>
          <w:szCs w:val="26"/>
        </w:rPr>
        <w:t xml:space="preserve"> sin redundar en alegatos hechos valer en una etapa procesal</w:t>
      </w:r>
      <w:r w:rsidRPr="00C6422F">
        <w:rPr>
          <w:rFonts w:ascii="Arial" w:hAnsi="Arial"/>
          <w:color w:val="000000"/>
          <w:sz w:val="26"/>
          <w:szCs w:val="26"/>
        </w:rPr>
        <w:t xml:space="preserve"> </w:t>
      </w:r>
      <w:r>
        <w:rPr>
          <w:rFonts w:ascii="Arial" w:hAnsi="Arial"/>
          <w:color w:val="000000"/>
          <w:sz w:val="26"/>
          <w:szCs w:val="26"/>
        </w:rPr>
        <w:t>anterior</w:t>
      </w:r>
      <w:r>
        <w:rPr>
          <w:rFonts w:ascii="Arial" w:eastAsia="Times New Roman" w:hAnsi="Arial" w:cs="Arial"/>
          <w:sz w:val="26"/>
          <w:szCs w:val="26"/>
        </w:rPr>
        <w:t xml:space="preserve">; como lo dispone </w:t>
      </w:r>
      <w:r w:rsidRPr="00F9002B">
        <w:rPr>
          <w:rFonts w:ascii="Arial" w:eastAsia="Times New Roman" w:hAnsi="Arial" w:cs="Arial"/>
          <w:sz w:val="26"/>
          <w:szCs w:val="26"/>
        </w:rPr>
        <w:t xml:space="preserve">la jurisprudencia en materia </w:t>
      </w:r>
      <w:r>
        <w:rPr>
          <w:rFonts w:ascii="Arial" w:eastAsia="Times New Roman" w:hAnsi="Arial" w:cs="Arial"/>
          <w:sz w:val="26"/>
          <w:szCs w:val="26"/>
        </w:rPr>
        <w:t xml:space="preserve">común </w:t>
      </w:r>
      <w:r w:rsidRPr="00F9002B">
        <w:rPr>
          <w:rFonts w:ascii="Arial" w:eastAsia="Times New Roman" w:hAnsi="Arial" w:cs="Arial"/>
          <w:sz w:val="26"/>
          <w:szCs w:val="26"/>
        </w:rPr>
        <w:t xml:space="preserve">número </w:t>
      </w:r>
      <w:r w:rsidRPr="00AF7DD2">
        <w:rPr>
          <w:rFonts w:ascii="Arial" w:eastAsia="Times New Roman" w:hAnsi="Arial" w:cs="Arial"/>
          <w:sz w:val="26"/>
          <w:szCs w:val="26"/>
        </w:rPr>
        <w:t>1</w:t>
      </w:r>
      <w:r>
        <w:rPr>
          <w:rFonts w:ascii="Arial" w:eastAsia="Times New Roman" w:hAnsi="Arial" w:cs="Arial"/>
          <w:sz w:val="26"/>
          <w:szCs w:val="26"/>
        </w:rPr>
        <w:t>a./J. 133/2005</w:t>
      </w:r>
      <w:r w:rsidRPr="00F9002B">
        <w:rPr>
          <w:rFonts w:ascii="Arial" w:eastAsia="Times New Roman" w:hAnsi="Arial" w:cs="Arial"/>
          <w:sz w:val="26"/>
          <w:szCs w:val="26"/>
        </w:rPr>
        <w:t xml:space="preserve">, con número de registro digital </w:t>
      </w:r>
      <w:r>
        <w:rPr>
          <w:rFonts w:ascii="Arial" w:eastAsia="Times New Roman" w:hAnsi="Arial" w:cs="Arial"/>
          <w:sz w:val="26"/>
          <w:szCs w:val="26"/>
        </w:rPr>
        <w:t>177092</w:t>
      </w:r>
      <w:r w:rsidRPr="00F9002B">
        <w:rPr>
          <w:rFonts w:ascii="Arial" w:eastAsia="Times New Roman" w:hAnsi="Arial" w:cs="Arial"/>
          <w:sz w:val="26"/>
          <w:szCs w:val="26"/>
        </w:rPr>
        <w:t xml:space="preserve">, de la Novena Época, emitido por </w:t>
      </w:r>
      <w:r>
        <w:rPr>
          <w:rFonts w:ascii="Arial" w:eastAsia="Times New Roman" w:hAnsi="Arial" w:cs="Arial"/>
          <w:sz w:val="26"/>
          <w:szCs w:val="26"/>
        </w:rPr>
        <w:t>la Primera Sala de la Suprema Corte de Justicia de la Nación,</w:t>
      </w:r>
      <w:r w:rsidRPr="00F9002B">
        <w:rPr>
          <w:rFonts w:ascii="Arial" w:eastAsia="Times New Roman" w:hAnsi="Arial" w:cs="Arial"/>
          <w:sz w:val="26"/>
          <w:szCs w:val="26"/>
        </w:rPr>
        <w:t xml:space="preserve"> publicada en el </w:t>
      </w:r>
      <w:r w:rsidRPr="00AF7DD2">
        <w:rPr>
          <w:rFonts w:ascii="Arial" w:eastAsia="Times New Roman" w:hAnsi="Arial" w:cs="Arial"/>
          <w:sz w:val="26"/>
          <w:szCs w:val="26"/>
        </w:rPr>
        <w:t>Semanario Judicial de la Federación y su Gaceta</w:t>
      </w:r>
      <w:r w:rsidRPr="00F9002B">
        <w:rPr>
          <w:rFonts w:ascii="Arial" w:eastAsia="Times New Roman" w:hAnsi="Arial" w:cs="Arial"/>
          <w:sz w:val="26"/>
          <w:szCs w:val="26"/>
        </w:rPr>
        <w:t xml:space="preserve">; </w:t>
      </w:r>
      <w:r w:rsidRPr="00AF7DD2">
        <w:rPr>
          <w:rFonts w:ascii="Arial" w:eastAsia="Times New Roman" w:hAnsi="Arial" w:cs="Arial"/>
          <w:sz w:val="26"/>
          <w:szCs w:val="26"/>
        </w:rPr>
        <w:t xml:space="preserve">Tomo </w:t>
      </w:r>
      <w:r>
        <w:rPr>
          <w:rFonts w:ascii="Arial" w:eastAsia="Times New Roman" w:hAnsi="Arial" w:cs="Arial"/>
          <w:sz w:val="26"/>
          <w:szCs w:val="26"/>
        </w:rPr>
        <w:t>XX</w:t>
      </w:r>
      <w:r w:rsidRPr="00AF7DD2">
        <w:rPr>
          <w:rFonts w:ascii="Arial" w:eastAsia="Times New Roman" w:hAnsi="Arial" w:cs="Arial"/>
          <w:sz w:val="26"/>
          <w:szCs w:val="26"/>
        </w:rPr>
        <w:t xml:space="preserve">II, </w:t>
      </w:r>
      <w:r>
        <w:rPr>
          <w:rFonts w:ascii="Arial" w:eastAsia="Times New Roman" w:hAnsi="Arial" w:cs="Arial"/>
          <w:sz w:val="26"/>
          <w:szCs w:val="26"/>
        </w:rPr>
        <w:t xml:space="preserve">Octubre </w:t>
      </w:r>
      <w:r w:rsidRPr="00AF7DD2">
        <w:rPr>
          <w:rFonts w:ascii="Arial" w:eastAsia="Times New Roman" w:hAnsi="Arial" w:cs="Arial"/>
          <w:sz w:val="26"/>
          <w:szCs w:val="26"/>
        </w:rPr>
        <w:t>de</w:t>
      </w:r>
      <w:r>
        <w:rPr>
          <w:rFonts w:ascii="Arial" w:eastAsia="Times New Roman" w:hAnsi="Arial" w:cs="Arial"/>
          <w:sz w:val="26"/>
          <w:szCs w:val="26"/>
        </w:rPr>
        <w:t xml:space="preserve"> 2005,</w:t>
      </w:r>
      <w:r w:rsidRPr="00AF7DD2">
        <w:rPr>
          <w:rFonts w:ascii="Arial" w:eastAsia="Times New Roman" w:hAnsi="Arial" w:cs="Arial"/>
          <w:sz w:val="26"/>
          <w:szCs w:val="26"/>
        </w:rPr>
        <w:t xml:space="preserve"> </w:t>
      </w:r>
      <w:r w:rsidRPr="00F9002B">
        <w:rPr>
          <w:rFonts w:ascii="Arial" w:eastAsia="Times New Roman" w:hAnsi="Arial" w:cs="Arial"/>
          <w:sz w:val="26"/>
          <w:szCs w:val="26"/>
        </w:rPr>
        <w:t xml:space="preserve">visible a </w:t>
      </w:r>
      <w:r w:rsidRPr="00AF7DD2">
        <w:rPr>
          <w:rFonts w:ascii="Arial" w:eastAsia="Times New Roman" w:hAnsi="Arial" w:cs="Arial"/>
          <w:sz w:val="26"/>
          <w:szCs w:val="26"/>
        </w:rPr>
        <w:t xml:space="preserve">página </w:t>
      </w:r>
      <w:r>
        <w:rPr>
          <w:rFonts w:ascii="Arial" w:eastAsia="Times New Roman" w:hAnsi="Arial" w:cs="Arial"/>
          <w:sz w:val="26"/>
          <w:szCs w:val="26"/>
        </w:rPr>
        <w:t>13</w:t>
      </w:r>
      <w:r w:rsidRPr="00F9002B">
        <w:rPr>
          <w:rFonts w:ascii="Arial" w:eastAsia="Times New Roman" w:hAnsi="Arial" w:cs="Arial"/>
          <w:sz w:val="26"/>
          <w:szCs w:val="26"/>
        </w:rPr>
        <w:t xml:space="preserve">, de rubro y texto siguientes: </w:t>
      </w:r>
    </w:p>
    <w:p w14:paraId="600CA7F1" w14:textId="77777777" w:rsidR="00642B57" w:rsidRPr="006A6532" w:rsidRDefault="00642B57" w:rsidP="006A6532">
      <w:pPr>
        <w:shd w:val="clear" w:color="auto" w:fill="FFFFFF"/>
        <w:spacing w:after="0"/>
        <w:ind w:left="567" w:right="616"/>
        <w:jc w:val="both"/>
        <w:rPr>
          <w:rFonts w:ascii="Arial" w:eastAsia="Times New Roman" w:hAnsi="Arial" w:cs="Arial"/>
          <w:i/>
          <w:iCs/>
        </w:rPr>
      </w:pPr>
      <w:r w:rsidRPr="006A6532">
        <w:rPr>
          <w:rFonts w:ascii="Arial" w:eastAsia="Times New Roman" w:hAnsi="Arial" w:cs="Arial"/>
          <w:b/>
          <w:bCs/>
          <w:i/>
          <w:iCs/>
        </w:rPr>
        <w:t xml:space="preserve">“AGRAVIOS EN LA REVISIÓN. SON INOPERANTES LOS FORMULADOS POR LA AUTORIDAD RESPONSABLE, SI SE </w:t>
      </w:r>
      <w:r w:rsidRPr="006A6532">
        <w:rPr>
          <w:rFonts w:ascii="Arial" w:eastAsia="Times New Roman" w:hAnsi="Arial" w:cs="Arial"/>
          <w:b/>
          <w:bCs/>
          <w:i/>
          <w:iCs/>
        </w:rPr>
        <w:lastRenderedPageBreak/>
        <w:t xml:space="preserve">LIMITAN A REITERAR SUSTANCIALMENTE LOS ARGUMENTOS EXPRESADOS AL RENDIR SU INFORME JUSTIFICADO. </w:t>
      </w:r>
      <w:r w:rsidRPr="006A6532">
        <w:rPr>
          <w:rFonts w:ascii="Arial" w:eastAsia="Times New Roman" w:hAnsi="Arial" w:cs="Arial"/>
          <w:i/>
          <w:iCs/>
        </w:rPr>
        <w:t>Conforme a los artículos </w:t>
      </w:r>
      <w:hyperlink r:id="rId8" w:history="1">
        <w:r w:rsidRPr="006A6532">
          <w:rPr>
            <w:rFonts w:ascii="Arial" w:eastAsia="Times New Roman" w:hAnsi="Arial" w:cs="Arial"/>
            <w:i/>
            <w:iCs/>
          </w:rPr>
          <w:t>83, fracción IV, 87 y 88 de la Ley de Amparo</w:t>
        </w:r>
      </w:hyperlink>
      <w:r w:rsidRPr="006A6532">
        <w:rPr>
          <w:rFonts w:ascii="Arial" w:eastAsia="Times New Roman" w:hAnsi="Arial" w:cs="Arial"/>
          <w:i/>
          <w:iCs/>
        </w:rPr>
        <w:t>, la autoridad responsable que obtuvo sentencia de amparo desfavorable a sus intereses puede interponer el recurso de revisión, expresando los agravios que considere le causa la sentencia recurrida. Ahora bien, si la autoridad recurrente al formular sus agravios no combate consideración alguna de dicha sentencia, sino que se limita a reiterar sustancialmente los argumentos expresados al rendir su informe justificado en el juicio de amparo, los cuales se dirigen a controvertir lo expuesto en los conceptos de violación planteados por el quejoso en su demanda de garantías, resulta inconcuso que dichos agravios devienen inoperantes. Ello es así, porque al ser la materia de la revisión la sentencia recurrida y no los conceptos de violación planteados en la demanda de garantías, en los agravios deben formularse razonamientos lógico-jurídicos encaminados a combatir las consideraciones que sustentan la concesión del amparo, sin que sea dable suplir la deficiencia de la queja, en términos del artículo </w:t>
      </w:r>
      <w:hyperlink r:id="rId9" w:history="1">
        <w:r w:rsidRPr="006A6532">
          <w:rPr>
            <w:rFonts w:ascii="Arial" w:eastAsia="Times New Roman" w:hAnsi="Arial" w:cs="Arial"/>
            <w:i/>
            <w:iCs/>
          </w:rPr>
          <w:t>76 bis</w:t>
        </w:r>
      </w:hyperlink>
      <w:r w:rsidRPr="006A6532">
        <w:rPr>
          <w:rFonts w:ascii="Arial" w:eastAsia="Times New Roman" w:hAnsi="Arial" w:cs="Arial"/>
          <w:i/>
          <w:iCs/>
        </w:rPr>
        <w:t> de la mencionada ley, pues aquélla sólo se admite respecto del particular recurrente, no así de la autoridad que interpuso el recurso de revisión.”</w:t>
      </w:r>
    </w:p>
    <w:p w14:paraId="5C37A94C" w14:textId="46231F5E" w:rsidR="00642B57" w:rsidRDefault="00642B57" w:rsidP="009667D3">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Motivo por el cual no se considera agravio</w:t>
      </w:r>
      <w:r w:rsidR="007A4848">
        <w:rPr>
          <w:rFonts w:ascii="Arial" w:eastAsia="Calibri" w:hAnsi="Arial" w:cs="Arial"/>
          <w:bCs/>
          <w:sz w:val="26"/>
          <w:szCs w:val="26"/>
        </w:rPr>
        <w:t xml:space="preserve"> lo argumentado </w:t>
      </w:r>
      <w:r>
        <w:rPr>
          <w:rFonts w:ascii="Arial" w:eastAsia="Calibri" w:hAnsi="Arial" w:cs="Arial"/>
          <w:bCs/>
          <w:sz w:val="26"/>
          <w:szCs w:val="26"/>
        </w:rPr>
        <w:t>por la autoridad recurrente, debido a que no tiende a combatir la</w:t>
      </w:r>
      <w:r w:rsidR="007A4848">
        <w:rPr>
          <w:rFonts w:ascii="Arial" w:eastAsia="Calibri" w:hAnsi="Arial" w:cs="Arial"/>
          <w:bCs/>
          <w:sz w:val="26"/>
          <w:szCs w:val="26"/>
        </w:rPr>
        <w:t>s consideraciones vertidas por el magistrado de primera instancia en la sentencia que recurre.</w:t>
      </w:r>
      <w:r w:rsidR="00F16DBA">
        <w:rPr>
          <w:rFonts w:ascii="Arial" w:eastAsia="Calibri" w:hAnsi="Arial" w:cs="Arial"/>
          <w:bCs/>
          <w:sz w:val="26"/>
          <w:szCs w:val="26"/>
        </w:rPr>
        <w:t xml:space="preserve"> De ahí lo inoperante del argumento del recurrente.</w:t>
      </w:r>
      <w:r w:rsidR="007A4848">
        <w:rPr>
          <w:rFonts w:ascii="Arial" w:eastAsia="Calibri" w:hAnsi="Arial" w:cs="Arial"/>
          <w:bCs/>
          <w:sz w:val="26"/>
          <w:szCs w:val="26"/>
        </w:rPr>
        <w:t xml:space="preserve"> </w:t>
      </w:r>
      <w:r w:rsidR="006A6532">
        <w:rPr>
          <w:rFonts w:ascii="Arial" w:eastAsia="Calibri" w:hAnsi="Arial" w:cs="Arial"/>
          <w:bCs/>
          <w:sz w:val="26"/>
          <w:szCs w:val="26"/>
        </w:rPr>
        <w:t xml:space="preserve">- - - - - - - - - - - - - - - - - - - - - - - - - - - - - - - - - - - - - - - - - - - - </w:t>
      </w:r>
    </w:p>
    <w:p w14:paraId="0194E0D1" w14:textId="70F84283" w:rsidR="00F16DBA" w:rsidRDefault="00F16DBA" w:rsidP="009667D3">
      <w:pPr>
        <w:spacing w:before="240" w:line="360" w:lineRule="auto"/>
        <w:ind w:firstLine="708"/>
        <w:jc w:val="both"/>
        <w:rPr>
          <w:rFonts w:ascii="Arial" w:eastAsia="Calibri" w:hAnsi="Arial" w:cs="Arial"/>
          <w:bCs/>
          <w:sz w:val="26"/>
          <w:szCs w:val="26"/>
        </w:rPr>
      </w:pPr>
      <w:r w:rsidRPr="009667D3">
        <w:rPr>
          <w:rFonts w:ascii="Arial" w:eastAsia="Calibri" w:hAnsi="Arial" w:cs="Arial"/>
          <w:b/>
          <w:sz w:val="26"/>
          <w:szCs w:val="26"/>
        </w:rPr>
        <w:t>Por último</w:t>
      </w:r>
      <w:r w:rsidR="005C3279">
        <w:rPr>
          <w:rFonts w:ascii="Arial" w:eastAsia="Calibri" w:hAnsi="Arial" w:cs="Arial"/>
          <w:bCs/>
          <w:sz w:val="26"/>
          <w:szCs w:val="26"/>
        </w:rPr>
        <w:t>,</w:t>
      </w:r>
      <w:r>
        <w:rPr>
          <w:rFonts w:ascii="Arial" w:eastAsia="Calibri" w:hAnsi="Arial" w:cs="Arial"/>
          <w:bCs/>
          <w:sz w:val="26"/>
          <w:szCs w:val="26"/>
        </w:rPr>
        <w:t xml:space="preserve"> </w:t>
      </w:r>
      <w:r w:rsidR="005C3279">
        <w:rPr>
          <w:rFonts w:ascii="Arial" w:eastAsia="Calibri" w:hAnsi="Arial" w:cs="Arial"/>
          <w:bCs/>
          <w:sz w:val="26"/>
          <w:szCs w:val="26"/>
        </w:rPr>
        <w:t xml:space="preserve">el recurrente </w:t>
      </w:r>
      <w:r>
        <w:rPr>
          <w:rFonts w:ascii="Arial" w:eastAsia="Calibri" w:hAnsi="Arial" w:cs="Arial"/>
          <w:bCs/>
          <w:sz w:val="26"/>
          <w:szCs w:val="26"/>
        </w:rPr>
        <w:t>señala que</w:t>
      </w:r>
      <w:r w:rsidR="005C3279">
        <w:rPr>
          <w:rFonts w:ascii="Arial" w:eastAsia="Calibri" w:hAnsi="Arial" w:cs="Arial"/>
          <w:bCs/>
          <w:sz w:val="26"/>
          <w:szCs w:val="26"/>
        </w:rPr>
        <w:t xml:space="preserve"> su representada hizo una correcta y legal aplicación </w:t>
      </w:r>
      <w:r w:rsidR="004250C7">
        <w:rPr>
          <w:rFonts w:ascii="Arial" w:eastAsia="Calibri" w:hAnsi="Arial" w:cs="Arial"/>
          <w:bCs/>
          <w:sz w:val="26"/>
          <w:szCs w:val="26"/>
        </w:rPr>
        <w:t xml:space="preserve">del artículo 72 de la Ley de Responsabilidades de los Servidores Públicos del Estado y Municipios de Oaxaca vigente al momento de los hechos; que en el expediente de responsabilidad administrativa </w:t>
      </w:r>
      <w:r w:rsidR="00000051">
        <w:rPr>
          <w:rFonts w:ascii="Arial" w:eastAsia="Calibri" w:hAnsi="Arial" w:cs="Arial"/>
          <w:bCs/>
          <w:sz w:val="26"/>
          <w:szCs w:val="26"/>
        </w:rPr>
        <w:t>*******</w:t>
      </w:r>
      <w:r w:rsidR="004250C7">
        <w:rPr>
          <w:rFonts w:ascii="Arial" w:eastAsia="Calibri" w:hAnsi="Arial" w:cs="Arial"/>
          <w:bCs/>
          <w:sz w:val="26"/>
          <w:szCs w:val="26"/>
        </w:rPr>
        <w:t xml:space="preserve"> y del recurso de revocación </w:t>
      </w:r>
      <w:r w:rsidR="00000051">
        <w:rPr>
          <w:rFonts w:ascii="Arial" w:eastAsia="Calibri" w:hAnsi="Arial" w:cs="Arial"/>
          <w:bCs/>
          <w:sz w:val="26"/>
          <w:szCs w:val="26"/>
        </w:rPr>
        <w:t>*******</w:t>
      </w:r>
      <w:r w:rsidR="004250C7">
        <w:rPr>
          <w:rFonts w:ascii="Arial" w:eastAsia="Calibri" w:hAnsi="Arial" w:cs="Arial"/>
          <w:bCs/>
          <w:sz w:val="26"/>
          <w:szCs w:val="26"/>
        </w:rPr>
        <w:t>, sus representadas determinaron conforme a derecho la existencia y responsabilidad de la falta administrativa cometida por la actora lo que conlleva a que esta Sala Superior decrete la legalidad y validez de las resoluciones dictadas en ambos expedientes con la finalidad de preservar la óptima prestación del servicio público, de tal manera que corresponda a los intereses de la colectividad.</w:t>
      </w:r>
      <w:r w:rsidR="006A6532" w:rsidRPr="006A6532">
        <w:rPr>
          <w:rFonts w:ascii="Arial" w:eastAsia="Calibri" w:hAnsi="Arial" w:cs="Arial"/>
          <w:bCs/>
          <w:sz w:val="26"/>
          <w:szCs w:val="26"/>
        </w:rPr>
        <w:t xml:space="preserve"> </w:t>
      </w:r>
      <w:r w:rsidR="006A6532">
        <w:rPr>
          <w:rFonts w:ascii="Arial" w:eastAsia="Calibri" w:hAnsi="Arial" w:cs="Arial"/>
          <w:bCs/>
          <w:sz w:val="26"/>
          <w:szCs w:val="26"/>
        </w:rPr>
        <w:t xml:space="preserve">- - - - - - - - - - - - - - - - - - </w:t>
      </w:r>
    </w:p>
    <w:p w14:paraId="215D8D2E" w14:textId="0CC4116A" w:rsidR="009404F7" w:rsidRPr="00485521" w:rsidRDefault="009404F7" w:rsidP="009667D3">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Es</w:t>
      </w:r>
      <w:r w:rsidRPr="000A0205">
        <w:rPr>
          <w:rFonts w:ascii="Arial" w:hAnsi="Arial" w:cs="Arial"/>
          <w:sz w:val="26"/>
          <w:szCs w:val="26"/>
        </w:rPr>
        <w:t xml:space="preserve"> </w:t>
      </w:r>
      <w:r>
        <w:rPr>
          <w:rFonts w:ascii="Arial" w:hAnsi="Arial" w:cs="Arial"/>
          <w:b/>
          <w:sz w:val="26"/>
          <w:szCs w:val="26"/>
        </w:rPr>
        <w:t>INOPERANTE</w:t>
      </w:r>
      <w:r>
        <w:rPr>
          <w:rFonts w:ascii="Arial" w:hAnsi="Arial" w:cs="Arial"/>
          <w:sz w:val="26"/>
          <w:szCs w:val="26"/>
        </w:rPr>
        <w:t xml:space="preserve"> </w:t>
      </w:r>
      <w:r w:rsidR="000844D0">
        <w:rPr>
          <w:rFonts w:ascii="Arial" w:hAnsi="Arial" w:cs="Arial"/>
          <w:sz w:val="26"/>
          <w:szCs w:val="26"/>
        </w:rPr>
        <w:t xml:space="preserve">la última parte </w:t>
      </w:r>
      <w:r>
        <w:rPr>
          <w:rFonts w:ascii="Arial" w:hAnsi="Arial" w:cs="Arial"/>
          <w:sz w:val="26"/>
          <w:szCs w:val="26"/>
        </w:rPr>
        <w:t xml:space="preserve">del agravio </w:t>
      </w:r>
      <w:r w:rsidR="000844D0">
        <w:rPr>
          <w:rFonts w:ascii="Arial" w:hAnsi="Arial" w:cs="Arial"/>
          <w:sz w:val="26"/>
          <w:szCs w:val="26"/>
        </w:rPr>
        <w:t>descrito</w:t>
      </w:r>
      <w:r>
        <w:rPr>
          <w:rFonts w:ascii="Arial" w:hAnsi="Arial" w:cs="Arial"/>
          <w:sz w:val="26"/>
          <w:szCs w:val="26"/>
        </w:rPr>
        <w:t>,</w:t>
      </w:r>
      <w:r w:rsidRPr="000A0205">
        <w:rPr>
          <w:rFonts w:ascii="Arial" w:hAnsi="Arial" w:cs="Arial"/>
          <w:sz w:val="26"/>
          <w:szCs w:val="26"/>
        </w:rPr>
        <w:t xml:space="preserve"> </w:t>
      </w:r>
      <w:r w:rsidR="000844D0">
        <w:rPr>
          <w:rFonts w:ascii="Arial" w:hAnsi="Arial" w:cs="Arial"/>
          <w:sz w:val="26"/>
          <w:szCs w:val="26"/>
        </w:rPr>
        <w:t xml:space="preserve">en virtud de que de dicho argumento no se advierte que el recurrente </w:t>
      </w:r>
      <w:r w:rsidR="00F76A9C">
        <w:rPr>
          <w:rFonts w:ascii="Arial" w:hAnsi="Arial" w:cs="Arial"/>
          <w:sz w:val="26"/>
          <w:szCs w:val="26"/>
        </w:rPr>
        <w:t xml:space="preserve">refute </w:t>
      </w:r>
      <w:r w:rsidRPr="000A0205">
        <w:rPr>
          <w:rFonts w:ascii="Arial" w:hAnsi="Arial" w:cs="Arial"/>
          <w:sz w:val="26"/>
          <w:szCs w:val="26"/>
        </w:rPr>
        <w:t xml:space="preserve">las consideraciones torales de la </w:t>
      </w:r>
      <w:r>
        <w:rPr>
          <w:rFonts w:ascii="Arial" w:hAnsi="Arial" w:cs="Arial"/>
          <w:sz w:val="26"/>
          <w:szCs w:val="26"/>
        </w:rPr>
        <w:t>sentencia</w:t>
      </w:r>
      <w:r w:rsidR="000844D0">
        <w:rPr>
          <w:rFonts w:ascii="Arial" w:hAnsi="Arial" w:cs="Arial"/>
          <w:sz w:val="26"/>
          <w:szCs w:val="26"/>
        </w:rPr>
        <w:t xml:space="preserve"> que combate, ya que con ellos no </w:t>
      </w:r>
      <w:r w:rsidR="00F76A9C">
        <w:rPr>
          <w:rFonts w:ascii="Arial" w:hAnsi="Arial" w:cs="Arial"/>
          <w:sz w:val="26"/>
          <w:szCs w:val="26"/>
        </w:rPr>
        <w:t xml:space="preserve">debate ni destruye </w:t>
      </w:r>
      <w:r>
        <w:rPr>
          <w:rFonts w:ascii="Arial" w:hAnsi="Arial" w:cs="Arial"/>
          <w:sz w:val="26"/>
          <w:szCs w:val="26"/>
        </w:rPr>
        <w:t>l</w:t>
      </w:r>
      <w:r w:rsidR="00485521">
        <w:rPr>
          <w:rFonts w:ascii="Arial" w:hAnsi="Arial" w:cs="Arial"/>
          <w:sz w:val="26"/>
          <w:szCs w:val="26"/>
        </w:rPr>
        <w:t xml:space="preserve">os razonamientos </w:t>
      </w:r>
      <w:r>
        <w:rPr>
          <w:rFonts w:ascii="Arial" w:hAnsi="Arial" w:cs="Arial"/>
          <w:sz w:val="26"/>
          <w:szCs w:val="26"/>
        </w:rPr>
        <w:t>vertid</w:t>
      </w:r>
      <w:r w:rsidR="00485521">
        <w:rPr>
          <w:rFonts w:ascii="Arial" w:hAnsi="Arial" w:cs="Arial"/>
          <w:sz w:val="26"/>
          <w:szCs w:val="26"/>
        </w:rPr>
        <w:t>o</w:t>
      </w:r>
      <w:r>
        <w:rPr>
          <w:rFonts w:ascii="Arial" w:hAnsi="Arial" w:cs="Arial"/>
          <w:sz w:val="26"/>
          <w:szCs w:val="26"/>
        </w:rPr>
        <w:t xml:space="preserve">s por el Magistrado en esa parte de la sentencia en </w:t>
      </w:r>
      <w:r w:rsidR="00C64D13">
        <w:rPr>
          <w:rFonts w:ascii="Arial" w:hAnsi="Arial" w:cs="Arial"/>
          <w:sz w:val="26"/>
          <w:szCs w:val="26"/>
        </w:rPr>
        <w:t xml:space="preserve">que </w:t>
      </w:r>
      <w:r>
        <w:rPr>
          <w:rFonts w:ascii="Arial" w:hAnsi="Arial" w:cs="Arial"/>
          <w:sz w:val="26"/>
          <w:szCs w:val="26"/>
        </w:rPr>
        <w:t xml:space="preserve">se </w:t>
      </w:r>
      <w:r w:rsidR="00C64D13">
        <w:rPr>
          <w:rFonts w:ascii="Arial" w:hAnsi="Arial" w:cs="Arial"/>
          <w:sz w:val="26"/>
          <w:szCs w:val="26"/>
        </w:rPr>
        <w:t>fundó</w:t>
      </w:r>
      <w:r>
        <w:rPr>
          <w:rFonts w:ascii="Arial" w:hAnsi="Arial" w:cs="Arial"/>
          <w:sz w:val="26"/>
          <w:szCs w:val="26"/>
        </w:rPr>
        <w:t xml:space="preserve"> y motivo la determinación final del juicio</w:t>
      </w:r>
      <w:r w:rsidR="00021E55">
        <w:rPr>
          <w:rFonts w:ascii="Arial" w:hAnsi="Arial" w:cs="Arial"/>
          <w:sz w:val="26"/>
          <w:szCs w:val="26"/>
        </w:rPr>
        <w:t xml:space="preserve">, lo que era menester que hiciera ya que fue precisamente en atención a ellas que el Magistrado </w:t>
      </w:r>
      <w:r w:rsidR="00021E55" w:rsidRPr="00A171F4">
        <w:rPr>
          <w:rFonts w:ascii="Arial" w:hAnsi="Arial" w:cs="Arial"/>
          <w:sz w:val="26"/>
          <w:szCs w:val="26"/>
        </w:rPr>
        <w:t>declar</w:t>
      </w:r>
      <w:r w:rsidR="00021E55">
        <w:rPr>
          <w:rFonts w:ascii="Arial" w:hAnsi="Arial" w:cs="Arial"/>
          <w:sz w:val="26"/>
          <w:szCs w:val="26"/>
        </w:rPr>
        <w:t>ó</w:t>
      </w:r>
      <w:r w:rsidR="00021E55">
        <w:rPr>
          <w:rFonts w:ascii="Arial" w:hAnsi="Arial" w:cs="Arial"/>
          <w:bCs/>
          <w:sz w:val="26"/>
          <w:szCs w:val="26"/>
        </w:rPr>
        <w:t xml:space="preserve"> </w:t>
      </w:r>
      <w:r w:rsidR="00021E55" w:rsidRPr="00A171F4">
        <w:rPr>
          <w:rFonts w:ascii="Arial" w:hAnsi="Arial" w:cs="Arial"/>
          <w:sz w:val="26"/>
          <w:szCs w:val="26"/>
        </w:rPr>
        <w:t xml:space="preserve">la </w:t>
      </w:r>
      <w:r w:rsidR="00021E55" w:rsidRPr="00021E55">
        <w:rPr>
          <w:rFonts w:ascii="Arial" w:hAnsi="Arial" w:cs="Arial"/>
          <w:b/>
          <w:sz w:val="26"/>
          <w:szCs w:val="26"/>
        </w:rPr>
        <w:t>nulidad lisa y llana</w:t>
      </w:r>
      <w:r w:rsidR="00021E55">
        <w:rPr>
          <w:rFonts w:ascii="Arial" w:hAnsi="Arial" w:cs="Arial"/>
          <w:b/>
          <w:sz w:val="26"/>
          <w:szCs w:val="26"/>
        </w:rPr>
        <w:t xml:space="preserve"> </w:t>
      </w:r>
      <w:r w:rsidR="00021E55" w:rsidRPr="00021E55">
        <w:rPr>
          <w:rFonts w:ascii="Arial" w:hAnsi="Arial" w:cs="Arial"/>
          <w:color w:val="222222"/>
          <w:sz w:val="26"/>
          <w:szCs w:val="26"/>
        </w:rPr>
        <w:t xml:space="preserve">de </w:t>
      </w:r>
      <w:r w:rsidR="00021E55" w:rsidRPr="00021E55">
        <w:rPr>
          <w:rFonts w:ascii="Arial" w:hAnsi="Arial" w:cs="Arial"/>
          <w:color w:val="222222"/>
          <w:sz w:val="26"/>
          <w:szCs w:val="26"/>
        </w:rPr>
        <w:lastRenderedPageBreak/>
        <w:t xml:space="preserve">todo lo actuado en los expedientes </w:t>
      </w:r>
      <w:r w:rsidR="00000051">
        <w:rPr>
          <w:rFonts w:ascii="Arial" w:hAnsi="Arial" w:cs="Arial"/>
          <w:color w:val="222222"/>
          <w:sz w:val="26"/>
          <w:szCs w:val="26"/>
        </w:rPr>
        <w:t>*******</w:t>
      </w:r>
      <w:r w:rsidR="00021E55" w:rsidRPr="00021E55">
        <w:rPr>
          <w:rFonts w:ascii="Arial" w:hAnsi="Arial" w:cs="Arial"/>
          <w:color w:val="222222"/>
          <w:sz w:val="26"/>
          <w:szCs w:val="26"/>
        </w:rPr>
        <w:t xml:space="preserve">, </w:t>
      </w:r>
      <w:r w:rsidR="00000051">
        <w:rPr>
          <w:rFonts w:ascii="Arial" w:hAnsi="Arial" w:cs="Arial"/>
          <w:color w:val="222222"/>
          <w:sz w:val="26"/>
          <w:szCs w:val="26"/>
        </w:rPr>
        <w:t>*******</w:t>
      </w:r>
      <w:r w:rsidR="00F84CD6">
        <w:rPr>
          <w:rFonts w:ascii="Arial" w:hAnsi="Arial" w:cs="Arial"/>
          <w:color w:val="222222"/>
          <w:sz w:val="26"/>
          <w:szCs w:val="26"/>
        </w:rPr>
        <w:t xml:space="preserve">, </w:t>
      </w:r>
      <w:r w:rsidR="00021E55" w:rsidRPr="00021E55">
        <w:rPr>
          <w:rFonts w:ascii="Arial" w:hAnsi="Arial" w:cs="Arial"/>
          <w:color w:val="222222"/>
          <w:sz w:val="26"/>
          <w:szCs w:val="26"/>
        </w:rPr>
        <w:t xml:space="preserve">así como del recurso de revocación </w:t>
      </w:r>
      <w:r w:rsidR="00000051">
        <w:rPr>
          <w:rFonts w:ascii="Arial" w:hAnsi="Arial" w:cs="Arial"/>
          <w:color w:val="222222"/>
          <w:sz w:val="26"/>
          <w:szCs w:val="26"/>
        </w:rPr>
        <w:t>*******</w:t>
      </w:r>
      <w:r w:rsidR="00021E55" w:rsidRPr="00021E55">
        <w:rPr>
          <w:rFonts w:ascii="Arial" w:hAnsi="Arial" w:cs="Arial"/>
          <w:color w:val="222222"/>
          <w:sz w:val="26"/>
          <w:szCs w:val="26"/>
        </w:rPr>
        <w:t>, inclusive la resolución impugnada en el presente juicio</w:t>
      </w:r>
      <w:r>
        <w:rPr>
          <w:rFonts w:ascii="Arial" w:hAnsi="Arial" w:cs="Arial"/>
          <w:sz w:val="26"/>
          <w:szCs w:val="26"/>
        </w:rPr>
        <w:t xml:space="preserve">; por lo que </w:t>
      </w:r>
      <w:r w:rsidRPr="000A0205">
        <w:rPr>
          <w:rFonts w:ascii="Arial" w:hAnsi="Arial" w:cs="Arial"/>
          <w:sz w:val="26"/>
          <w:szCs w:val="26"/>
        </w:rPr>
        <w:t xml:space="preserve">al no exponer razonamientos lógico jurídicos que controviertan </w:t>
      </w:r>
      <w:r w:rsidR="000844D0">
        <w:rPr>
          <w:rFonts w:ascii="Arial" w:hAnsi="Arial" w:cs="Arial"/>
          <w:sz w:val="26"/>
          <w:szCs w:val="26"/>
        </w:rPr>
        <w:t>el sustento de</w:t>
      </w:r>
      <w:r w:rsidRPr="000A0205">
        <w:rPr>
          <w:rFonts w:ascii="Arial" w:hAnsi="Arial" w:cs="Arial"/>
          <w:sz w:val="26"/>
          <w:szCs w:val="26"/>
        </w:rPr>
        <w:t>l fallo alzado</w:t>
      </w:r>
      <w:r w:rsidR="00485521">
        <w:rPr>
          <w:rFonts w:ascii="Arial" w:hAnsi="Arial" w:cs="Arial"/>
          <w:sz w:val="26"/>
          <w:szCs w:val="26"/>
        </w:rPr>
        <w:t xml:space="preserve">, como tampoco </w:t>
      </w:r>
      <w:r>
        <w:rPr>
          <w:rFonts w:ascii="Arial" w:eastAsia="Times New Roman" w:hAnsi="Arial" w:cs="Arial"/>
          <w:color w:val="000000"/>
          <w:sz w:val="26"/>
          <w:szCs w:val="26"/>
        </w:rPr>
        <w:t>precis</w:t>
      </w:r>
      <w:r w:rsidR="00021E55">
        <w:rPr>
          <w:rFonts w:ascii="Arial" w:eastAsia="Times New Roman" w:hAnsi="Arial" w:cs="Arial"/>
          <w:color w:val="000000"/>
          <w:sz w:val="26"/>
          <w:szCs w:val="26"/>
        </w:rPr>
        <w:t xml:space="preserve">ó </w:t>
      </w:r>
      <w:r>
        <w:rPr>
          <w:rFonts w:ascii="Arial" w:eastAsia="Times New Roman" w:hAnsi="Arial" w:cs="Arial"/>
          <w:color w:val="000000"/>
          <w:sz w:val="26"/>
          <w:szCs w:val="26"/>
        </w:rPr>
        <w:t>argumentos tendentes</w:t>
      </w:r>
      <w:r w:rsidRPr="000A0205">
        <w:rPr>
          <w:rFonts w:ascii="Arial" w:eastAsia="Times New Roman" w:hAnsi="Arial" w:cs="Arial"/>
          <w:color w:val="000000"/>
          <w:sz w:val="26"/>
          <w:szCs w:val="26"/>
        </w:rPr>
        <w:t xml:space="preserve"> a evidenciar la ilegalidad </w:t>
      </w:r>
      <w:r>
        <w:rPr>
          <w:rFonts w:ascii="Arial" w:eastAsia="Times New Roman" w:hAnsi="Arial" w:cs="Arial"/>
          <w:color w:val="000000"/>
          <w:sz w:val="26"/>
          <w:szCs w:val="26"/>
        </w:rPr>
        <w:t>de la sentencia recurrida</w:t>
      </w:r>
      <w:r w:rsidR="00021E55">
        <w:rPr>
          <w:rFonts w:ascii="Arial" w:eastAsia="Times New Roman" w:hAnsi="Arial" w:cs="Arial"/>
          <w:color w:val="000000"/>
          <w:sz w:val="26"/>
          <w:szCs w:val="26"/>
        </w:rPr>
        <w:t>,</w:t>
      </w:r>
      <w:r>
        <w:rPr>
          <w:rFonts w:ascii="Arial" w:hAnsi="Arial" w:cs="Arial"/>
          <w:bCs/>
          <w:sz w:val="26"/>
          <w:szCs w:val="26"/>
        </w:rPr>
        <w:t xml:space="preserve"> </w:t>
      </w:r>
      <w:r>
        <w:rPr>
          <w:rFonts w:ascii="Arial" w:hAnsi="Arial" w:cs="Arial"/>
          <w:sz w:val="26"/>
          <w:szCs w:val="26"/>
        </w:rPr>
        <w:t>lo determinado por la Primera Instancia sigue rigiendo el sentido de la sentencia recurrida</w:t>
      </w:r>
      <w:r w:rsidR="00F76A9C">
        <w:rPr>
          <w:rFonts w:ascii="Arial" w:hAnsi="Arial" w:cs="Arial"/>
          <w:sz w:val="26"/>
          <w:szCs w:val="26"/>
        </w:rPr>
        <w:t xml:space="preserve">. </w:t>
      </w:r>
      <w:r w:rsidR="006A6532">
        <w:rPr>
          <w:rFonts w:ascii="Arial" w:eastAsia="Calibri" w:hAnsi="Arial" w:cs="Arial"/>
          <w:bCs/>
          <w:sz w:val="26"/>
          <w:szCs w:val="26"/>
        </w:rPr>
        <w:t>- - - - - - - - - - - - - - - - - - - -</w:t>
      </w:r>
      <w:r w:rsidR="00000051">
        <w:rPr>
          <w:rFonts w:ascii="Arial" w:eastAsia="Calibri" w:hAnsi="Arial" w:cs="Arial"/>
          <w:bCs/>
          <w:sz w:val="26"/>
          <w:szCs w:val="26"/>
        </w:rPr>
        <w:t xml:space="preserve"> - - - - - - - -</w:t>
      </w:r>
    </w:p>
    <w:p w14:paraId="1CFDD05D" w14:textId="77777777" w:rsidR="009404F7" w:rsidRDefault="009404F7" w:rsidP="009667D3">
      <w:pPr>
        <w:spacing w:after="0" w:line="360" w:lineRule="auto"/>
        <w:ind w:firstLine="708"/>
        <w:jc w:val="both"/>
        <w:rPr>
          <w:rFonts w:ascii="Arial" w:hAnsi="Arial" w:cs="Arial"/>
          <w:bCs/>
          <w:sz w:val="26"/>
          <w:szCs w:val="26"/>
        </w:rPr>
      </w:pPr>
    </w:p>
    <w:p w14:paraId="502F5188" w14:textId="77777777" w:rsidR="009404F7" w:rsidRDefault="009404F7" w:rsidP="009667D3">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4257AEC4" w14:textId="77777777" w:rsidR="009404F7" w:rsidRPr="006A6532" w:rsidRDefault="009404F7" w:rsidP="006A6532">
      <w:pPr>
        <w:widowControl w:val="0"/>
        <w:tabs>
          <w:tab w:val="left" w:pos="567"/>
        </w:tabs>
        <w:spacing w:before="240" w:after="0"/>
        <w:ind w:left="567" w:right="18" w:firstLine="709"/>
        <w:jc w:val="both"/>
        <w:rPr>
          <w:rFonts w:ascii="Arial" w:hAnsi="Arial" w:cs="Arial"/>
          <w:bCs/>
          <w:color w:val="000000"/>
          <w:sz w:val="26"/>
          <w:szCs w:val="26"/>
        </w:rPr>
      </w:pPr>
      <w:r w:rsidRPr="006A6532">
        <w:rPr>
          <w:rFonts w:ascii="Arial" w:eastAsia="Times New Roman" w:hAnsi="Arial" w:cs="Arial"/>
          <w:b/>
          <w:i/>
          <w:color w:val="000000"/>
        </w:rPr>
        <w:t xml:space="preserve">“AGRAVIOS EN LA RECLAMACIÓN. SON INOPERANTES CUANDO NO CONTROVIERTEN LAS CONSIDERACIONES QUE RIGEN EL AUTO COMBATIDO. </w:t>
      </w:r>
      <w:r w:rsidRPr="006A6532">
        <w:rPr>
          <w:rFonts w:ascii="Arial" w:eastAsia="Times New Roman" w:hAnsi="Arial" w:cs="Arial"/>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00B0C923" w14:textId="77777777" w:rsidR="00485521" w:rsidRDefault="00485521" w:rsidP="00827CCE">
      <w:pPr>
        <w:ind w:firstLine="708"/>
        <w:jc w:val="both"/>
        <w:rPr>
          <w:rFonts w:ascii="Arial" w:hAnsi="Arial" w:cs="Arial"/>
          <w:bCs/>
          <w:sz w:val="26"/>
          <w:szCs w:val="26"/>
        </w:rPr>
      </w:pPr>
    </w:p>
    <w:p w14:paraId="769A10B0" w14:textId="6394F85D" w:rsidR="001B2848" w:rsidRDefault="001B2848" w:rsidP="009667D3">
      <w:pPr>
        <w:spacing w:line="360" w:lineRule="auto"/>
        <w:ind w:firstLine="708"/>
        <w:jc w:val="both"/>
        <w:rPr>
          <w:rFonts w:ascii="Arial" w:hAnsi="Arial" w:cs="Arial"/>
          <w:sz w:val="26"/>
          <w:szCs w:val="26"/>
        </w:rPr>
      </w:pPr>
      <w:r>
        <w:rPr>
          <w:rFonts w:ascii="Arial" w:hAnsi="Arial" w:cs="Arial"/>
          <w:bCs/>
          <w:sz w:val="26"/>
          <w:szCs w:val="26"/>
        </w:rPr>
        <w:t>De l</w:t>
      </w:r>
      <w:r w:rsidR="00485521">
        <w:rPr>
          <w:rFonts w:ascii="Arial" w:hAnsi="Arial" w:cs="Arial"/>
          <w:bCs/>
          <w:sz w:val="26"/>
          <w:szCs w:val="26"/>
        </w:rPr>
        <w:t>o expuesto</w:t>
      </w:r>
      <w:r>
        <w:rPr>
          <w:rFonts w:ascii="Arial" w:hAnsi="Arial" w:cs="Arial"/>
          <w:bCs/>
          <w:sz w:val="26"/>
          <w:szCs w:val="26"/>
        </w:rPr>
        <w:t xml:space="preserve">, ante lo </w:t>
      </w:r>
      <w:r w:rsidRPr="0013662C">
        <w:rPr>
          <w:rFonts w:ascii="Arial" w:hAnsi="Arial" w:cs="Arial"/>
          <w:b/>
          <w:bCs/>
          <w:sz w:val="26"/>
          <w:szCs w:val="26"/>
        </w:rPr>
        <w:t>IN</w:t>
      </w:r>
      <w:r w:rsidR="009667D3">
        <w:rPr>
          <w:rFonts w:ascii="Arial" w:hAnsi="Arial" w:cs="Arial"/>
          <w:b/>
          <w:bCs/>
          <w:sz w:val="26"/>
          <w:szCs w:val="26"/>
        </w:rPr>
        <w:t>FUNDADO e IN</w:t>
      </w:r>
      <w:r>
        <w:rPr>
          <w:rFonts w:ascii="Arial" w:hAnsi="Arial" w:cs="Arial"/>
          <w:b/>
          <w:bCs/>
          <w:sz w:val="26"/>
          <w:szCs w:val="26"/>
        </w:rPr>
        <w:t xml:space="preserve">OPERANTE </w:t>
      </w:r>
      <w:r w:rsidR="00485521">
        <w:rPr>
          <w:rFonts w:ascii="Arial" w:hAnsi="Arial" w:cs="Arial"/>
          <w:bCs/>
          <w:sz w:val="26"/>
          <w:szCs w:val="26"/>
        </w:rPr>
        <w:t>de los a</w:t>
      </w:r>
      <w:r>
        <w:rPr>
          <w:rFonts w:ascii="Arial" w:hAnsi="Arial" w:cs="Arial"/>
          <w:bCs/>
          <w:sz w:val="26"/>
          <w:szCs w:val="26"/>
        </w:rPr>
        <w:t>gravio</w:t>
      </w:r>
      <w:r w:rsidR="00485521">
        <w:rPr>
          <w:rFonts w:ascii="Arial" w:hAnsi="Arial" w:cs="Arial"/>
          <w:bCs/>
          <w:sz w:val="26"/>
          <w:szCs w:val="26"/>
        </w:rPr>
        <w:t>s</w:t>
      </w:r>
      <w:r>
        <w:rPr>
          <w:rFonts w:ascii="Arial" w:hAnsi="Arial" w:cs="Arial"/>
          <w:bCs/>
          <w:sz w:val="26"/>
          <w:szCs w:val="26"/>
        </w:rPr>
        <w:t xml:space="preserve"> expresado</w:t>
      </w:r>
      <w:r w:rsidR="00485521">
        <w:rPr>
          <w:rFonts w:ascii="Arial" w:hAnsi="Arial" w:cs="Arial"/>
          <w:bCs/>
          <w:sz w:val="26"/>
          <w:szCs w:val="26"/>
        </w:rPr>
        <w:t>s</w:t>
      </w:r>
      <w:r>
        <w:rPr>
          <w:rFonts w:ascii="Arial" w:hAnsi="Arial" w:cs="Arial"/>
          <w:bCs/>
          <w:sz w:val="26"/>
          <w:szCs w:val="26"/>
        </w:rPr>
        <w:t xml:space="preserve"> por </w:t>
      </w:r>
      <w:r w:rsidR="00485521">
        <w:rPr>
          <w:rFonts w:ascii="Arial" w:hAnsi="Arial" w:cs="Arial"/>
          <w:bCs/>
          <w:sz w:val="26"/>
          <w:szCs w:val="26"/>
        </w:rPr>
        <w:t>el recurrente</w:t>
      </w:r>
      <w:r>
        <w:rPr>
          <w:rFonts w:ascii="Arial" w:hAnsi="Arial" w:cs="Arial"/>
          <w:bCs/>
          <w:sz w:val="26"/>
          <w:szCs w:val="26"/>
        </w:rPr>
        <w:t xml:space="preserve">, </w:t>
      </w:r>
      <w:r w:rsidR="00485521">
        <w:rPr>
          <w:rFonts w:ascii="Arial" w:hAnsi="Arial" w:cs="Arial"/>
          <w:bCs/>
          <w:sz w:val="26"/>
          <w:szCs w:val="26"/>
        </w:rPr>
        <w:t xml:space="preserve">lo procedente es </w:t>
      </w:r>
      <w:r w:rsidR="00485521" w:rsidRPr="009667D3">
        <w:rPr>
          <w:rFonts w:ascii="Arial" w:hAnsi="Arial" w:cs="Arial"/>
          <w:b/>
          <w:sz w:val="26"/>
          <w:szCs w:val="26"/>
        </w:rPr>
        <w:t>CONFIRMAR</w:t>
      </w:r>
      <w:r w:rsidR="00485521">
        <w:rPr>
          <w:rFonts w:ascii="Arial" w:hAnsi="Arial" w:cs="Arial"/>
          <w:bCs/>
          <w:sz w:val="26"/>
          <w:szCs w:val="26"/>
        </w:rPr>
        <w:t xml:space="preserve"> la sentencia impugnada; en consecuencia, </w:t>
      </w:r>
      <w:r>
        <w:rPr>
          <w:rFonts w:ascii="Arial" w:hAnsi="Arial" w:cs="Arial"/>
          <w:sz w:val="26"/>
          <w:szCs w:val="26"/>
        </w:rPr>
        <w:t>con fundamento en los artículos 23</w:t>
      </w:r>
      <w:r w:rsidR="00485521">
        <w:rPr>
          <w:rFonts w:ascii="Arial" w:hAnsi="Arial" w:cs="Arial"/>
          <w:sz w:val="26"/>
          <w:szCs w:val="26"/>
        </w:rPr>
        <w:t>6</w:t>
      </w:r>
      <w:r>
        <w:rPr>
          <w:rFonts w:ascii="Arial" w:hAnsi="Arial" w:cs="Arial"/>
          <w:sz w:val="26"/>
          <w:szCs w:val="26"/>
        </w:rPr>
        <w:t xml:space="preserve"> y 238 de la Ley de Procedimiento y Justicia Administrativa para el Estado, se:</w:t>
      </w:r>
      <w:r w:rsidR="006A6532">
        <w:rPr>
          <w:rFonts w:ascii="Arial" w:hAnsi="Arial" w:cs="Arial"/>
          <w:sz w:val="26"/>
          <w:szCs w:val="26"/>
        </w:rPr>
        <w:t xml:space="preserve"> </w:t>
      </w:r>
      <w:r w:rsidR="006A6532">
        <w:rPr>
          <w:rFonts w:ascii="Arial" w:eastAsia="Calibri" w:hAnsi="Arial" w:cs="Arial"/>
          <w:bCs/>
          <w:sz w:val="26"/>
          <w:szCs w:val="26"/>
        </w:rPr>
        <w:t xml:space="preserve">- - - - - - - - - - - - - - - - - - - - - - - - - - - - - - - - - - - - - - </w:t>
      </w:r>
    </w:p>
    <w:p w14:paraId="0F7F20EF" w14:textId="538BBF58" w:rsidR="001B2848" w:rsidRPr="00290DA6" w:rsidRDefault="001B2848" w:rsidP="009667D3">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1B1F2C8B" w14:textId="74824B3A" w:rsidR="001B2848" w:rsidRPr="00290DA6" w:rsidRDefault="001B2848" w:rsidP="009667D3">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t>PRIMERO</w:t>
      </w:r>
      <w:r w:rsidRPr="006A6532">
        <w:rPr>
          <w:rFonts w:ascii="Arial" w:hAnsi="Arial" w:cs="Arial"/>
          <w:b/>
          <w:bCs/>
          <w:color w:val="000000"/>
          <w:sz w:val="26"/>
          <w:szCs w:val="26"/>
        </w:rPr>
        <w:t>.</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Pr="00290DA6">
        <w:rPr>
          <w:rFonts w:ascii="Arial" w:hAnsi="Arial" w:cs="Arial"/>
          <w:b/>
          <w:color w:val="000000"/>
          <w:sz w:val="26"/>
          <w:szCs w:val="26"/>
          <w:lang w:val="es-MX"/>
        </w:rPr>
        <w:t xml:space="preserve">CONFIRMA </w:t>
      </w:r>
      <w:r w:rsidRPr="00290DA6">
        <w:rPr>
          <w:rFonts w:ascii="Arial" w:hAnsi="Arial" w:cs="Arial"/>
          <w:color w:val="000000"/>
          <w:sz w:val="26"/>
          <w:szCs w:val="26"/>
          <w:lang w:val="es-MX"/>
        </w:rPr>
        <w:t xml:space="preserve">la </w:t>
      </w:r>
      <w:r w:rsidRPr="00290DA6">
        <w:rPr>
          <w:rFonts w:ascii="Arial" w:hAnsi="Arial" w:cs="Arial"/>
          <w:sz w:val="26"/>
          <w:szCs w:val="26"/>
          <w:lang w:val="es-MX"/>
        </w:rPr>
        <w:t xml:space="preserve">sentencia </w:t>
      </w:r>
      <w:r w:rsidR="00485521">
        <w:rPr>
          <w:rFonts w:ascii="Arial" w:hAnsi="Arial" w:cs="Arial"/>
          <w:sz w:val="26"/>
          <w:szCs w:val="26"/>
          <w:lang w:val="es-MX"/>
        </w:rPr>
        <w:t xml:space="preserve">de </w:t>
      </w:r>
      <w:r w:rsidR="00485521">
        <w:rPr>
          <w:rFonts w:ascii="Arial" w:hAnsi="Arial" w:cs="Arial"/>
          <w:sz w:val="26"/>
          <w:szCs w:val="26"/>
        </w:rPr>
        <w:t xml:space="preserve">de dieciocho de abril de dos mil veintidós, </w:t>
      </w:r>
      <w:r w:rsidRPr="00290DA6">
        <w:rPr>
          <w:rFonts w:ascii="Arial" w:hAnsi="Arial" w:cs="Arial"/>
          <w:color w:val="000000"/>
          <w:sz w:val="26"/>
          <w:szCs w:val="26"/>
          <w:lang w:val="es-MX"/>
        </w:rPr>
        <w:t>por las razones expuestas en el considerando que antecede.</w:t>
      </w:r>
      <w:r w:rsidR="00485521">
        <w:rPr>
          <w:rFonts w:ascii="Arial" w:hAnsi="Arial" w:cs="Arial"/>
          <w:color w:val="000000"/>
          <w:sz w:val="26"/>
          <w:szCs w:val="26"/>
          <w:lang w:val="es-MX"/>
        </w:rPr>
        <w:t xml:space="preserve"> </w:t>
      </w:r>
      <w:r w:rsidRPr="00290DA6">
        <w:rPr>
          <w:rFonts w:ascii="Arial" w:hAnsi="Arial" w:cs="Arial"/>
          <w:color w:val="000000"/>
          <w:sz w:val="26"/>
          <w:szCs w:val="26"/>
          <w:lang w:val="es-MX"/>
        </w:rPr>
        <w:t xml:space="preserve">- - - - - - - - - - - - - - - - - - - - </w:t>
      </w:r>
      <w:r w:rsidR="00485521">
        <w:rPr>
          <w:rFonts w:ascii="Arial" w:hAnsi="Arial" w:cs="Arial"/>
          <w:color w:val="000000"/>
          <w:sz w:val="26"/>
          <w:szCs w:val="26"/>
          <w:lang w:val="es-MX"/>
        </w:rPr>
        <w:t>- - - - - - - - - - - - - - - - - - - - - - - - -</w:t>
      </w:r>
    </w:p>
    <w:p w14:paraId="15FCA16C" w14:textId="595A768F" w:rsidR="001B2848" w:rsidRPr="00290DA6" w:rsidRDefault="001B2848" w:rsidP="009667D3">
      <w:pPr>
        <w:pStyle w:val="Sinespaciado"/>
        <w:spacing w:before="240" w:line="360" w:lineRule="auto"/>
        <w:ind w:firstLine="708"/>
        <w:jc w:val="both"/>
        <w:rPr>
          <w:rFonts w:ascii="Arial" w:hAnsi="Arial" w:cs="Arial"/>
          <w:sz w:val="26"/>
          <w:szCs w:val="26"/>
        </w:rPr>
      </w:pPr>
      <w:r w:rsidRPr="00290DA6">
        <w:rPr>
          <w:rFonts w:ascii="Arial" w:hAnsi="Arial" w:cs="Arial"/>
          <w:b/>
          <w:sz w:val="26"/>
          <w:szCs w:val="26"/>
        </w:rPr>
        <w:t>SEGUNDO. NOTIFÍQUESE Y CÚMPLASE,</w:t>
      </w:r>
      <w:r w:rsidRPr="00290DA6">
        <w:rPr>
          <w:rFonts w:ascii="Arial" w:hAnsi="Arial" w:cs="Arial"/>
          <w:sz w:val="26"/>
          <w:szCs w:val="26"/>
        </w:rPr>
        <w:t xml:space="preserve"> remítase copia certificada de la presente resolución a la Sala </w:t>
      </w:r>
      <w:r w:rsidR="00485521">
        <w:rPr>
          <w:rFonts w:ascii="Arial" w:hAnsi="Arial" w:cs="Arial"/>
          <w:sz w:val="26"/>
          <w:szCs w:val="26"/>
        </w:rPr>
        <w:t>de origen de este Trib</w:t>
      </w:r>
      <w:r w:rsidRPr="00290DA6">
        <w:rPr>
          <w:rFonts w:ascii="Arial" w:hAnsi="Arial" w:cs="Arial"/>
          <w:sz w:val="26"/>
          <w:szCs w:val="26"/>
        </w:rPr>
        <w:t>unal y en su oportunidad archívese el presente cuaderno de revisión como asunto concluido.</w:t>
      </w:r>
      <w:r w:rsidR="00485521">
        <w:rPr>
          <w:rFonts w:ascii="Arial" w:hAnsi="Arial" w:cs="Arial"/>
          <w:sz w:val="26"/>
          <w:szCs w:val="26"/>
        </w:rPr>
        <w:t xml:space="preserve"> </w:t>
      </w:r>
      <w:r w:rsidRPr="00290DA6">
        <w:rPr>
          <w:rFonts w:ascii="Arial" w:hAnsi="Arial" w:cs="Arial"/>
          <w:sz w:val="26"/>
          <w:szCs w:val="26"/>
        </w:rPr>
        <w:t xml:space="preserve">- - - - - - - - - - - - - - - - - - - - </w:t>
      </w:r>
      <w:r w:rsidR="00485521">
        <w:rPr>
          <w:rFonts w:ascii="Arial" w:hAnsi="Arial" w:cs="Arial"/>
          <w:sz w:val="26"/>
          <w:szCs w:val="26"/>
        </w:rPr>
        <w:t xml:space="preserve">- - - - - - - - - - - - - - - - - - - </w:t>
      </w:r>
    </w:p>
    <w:p w14:paraId="17C9664E" w14:textId="77777777" w:rsidR="001B2848" w:rsidRDefault="001B2848" w:rsidP="009667D3">
      <w:pPr>
        <w:spacing w:after="0" w:line="360" w:lineRule="auto"/>
        <w:ind w:firstLine="708"/>
        <w:jc w:val="both"/>
        <w:rPr>
          <w:rFonts w:ascii="Arial" w:hAnsi="Arial" w:cs="Arial"/>
          <w:sz w:val="26"/>
          <w:szCs w:val="26"/>
        </w:rPr>
      </w:pPr>
    </w:p>
    <w:p w14:paraId="125BD33C" w14:textId="003BE9BE" w:rsidR="009667D3" w:rsidRDefault="009667D3" w:rsidP="009667D3">
      <w:pPr>
        <w:tabs>
          <w:tab w:val="left" w:pos="1925"/>
          <w:tab w:val="center" w:pos="4135"/>
        </w:tabs>
        <w:spacing w:line="360" w:lineRule="auto"/>
        <w:ind w:firstLine="567"/>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w:t>
      </w:r>
      <w:r>
        <w:rPr>
          <w:rFonts w:ascii="Arial" w:hAnsi="Arial" w:cs="Arial"/>
          <w:sz w:val="26"/>
          <w:szCs w:val="26"/>
        </w:rPr>
        <w:lastRenderedPageBreak/>
        <w:t xml:space="preserve">Raúl Palomares Palomino, Gloria del Carmen Camacho Meza, Paulo José Luis Tapia Palacios y Elías Cortés López, quienes actúan con el Licenciado Juan Edy García Coronado, Secretario General de Acuerdos de este Tribunal, que autoriza y da fe. - - - - - - - - - - - - - - - - - - - - - - - - </w:t>
      </w:r>
    </w:p>
    <w:p w14:paraId="17168635" w14:textId="55847A52" w:rsidR="00FA64FF" w:rsidRDefault="00FA64FF" w:rsidP="00FA64FF">
      <w:pPr>
        <w:tabs>
          <w:tab w:val="center" w:pos="4135"/>
          <w:tab w:val="left" w:pos="7515"/>
        </w:tabs>
        <w:spacing w:line="360" w:lineRule="auto"/>
        <w:jc w:val="center"/>
        <w:rPr>
          <w:rFonts w:ascii="Arial" w:hAnsi="Arial" w:cs="Arial"/>
          <w:sz w:val="26"/>
          <w:szCs w:val="26"/>
        </w:rPr>
      </w:pPr>
    </w:p>
    <w:p w14:paraId="56558895" w14:textId="2A65B271" w:rsidR="00FA64FF" w:rsidRDefault="00FA64FF" w:rsidP="00FA64FF">
      <w:pPr>
        <w:tabs>
          <w:tab w:val="center" w:pos="4135"/>
          <w:tab w:val="left" w:pos="7515"/>
        </w:tabs>
        <w:spacing w:line="360" w:lineRule="auto"/>
        <w:jc w:val="center"/>
        <w:rPr>
          <w:rFonts w:ascii="Arial" w:hAnsi="Arial" w:cs="Arial"/>
          <w:sz w:val="26"/>
          <w:szCs w:val="26"/>
        </w:rPr>
      </w:pPr>
    </w:p>
    <w:p w14:paraId="2801F67F" w14:textId="6E5A3662" w:rsidR="00FA64FF" w:rsidRDefault="00FA64FF" w:rsidP="00FA64FF">
      <w:pPr>
        <w:tabs>
          <w:tab w:val="center" w:pos="4135"/>
          <w:tab w:val="left" w:pos="7515"/>
        </w:tabs>
        <w:spacing w:line="360" w:lineRule="auto"/>
        <w:rPr>
          <w:rFonts w:ascii="Arial" w:hAnsi="Arial" w:cs="Arial"/>
          <w:sz w:val="26"/>
          <w:szCs w:val="26"/>
        </w:rPr>
      </w:pPr>
    </w:p>
    <w:p w14:paraId="15E53C0C" w14:textId="77777777" w:rsidR="00FA64FF" w:rsidRDefault="00FA64FF" w:rsidP="00FA64FF">
      <w:pPr>
        <w:tabs>
          <w:tab w:val="center" w:pos="4135"/>
          <w:tab w:val="left" w:pos="7515"/>
        </w:tabs>
        <w:spacing w:line="360" w:lineRule="auto"/>
        <w:jc w:val="center"/>
        <w:rPr>
          <w:rFonts w:ascii="Arial" w:hAnsi="Arial" w:cs="Arial"/>
          <w:sz w:val="26"/>
          <w:szCs w:val="26"/>
        </w:rPr>
      </w:pPr>
      <w:bookmarkStart w:id="1" w:name="_Hlk119411400"/>
    </w:p>
    <w:p w14:paraId="56275953" w14:textId="77777777" w:rsidR="00FA64FF" w:rsidRPr="00290DA6" w:rsidRDefault="00FA64FF" w:rsidP="00FA64F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9C5DFE5" w14:textId="610410D2" w:rsidR="00FA64FF" w:rsidRDefault="00FA64FF" w:rsidP="00FA64F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40624BF" w14:textId="77777777" w:rsidR="00FA64FF" w:rsidRDefault="00FA64FF" w:rsidP="00FA64FF">
      <w:pPr>
        <w:tabs>
          <w:tab w:val="center" w:pos="4135"/>
          <w:tab w:val="left" w:pos="7515"/>
        </w:tabs>
        <w:spacing w:after="0" w:line="240" w:lineRule="auto"/>
        <w:jc w:val="center"/>
        <w:rPr>
          <w:rFonts w:ascii="Arial" w:hAnsi="Arial" w:cs="Arial"/>
          <w:sz w:val="26"/>
          <w:szCs w:val="26"/>
        </w:rPr>
      </w:pPr>
    </w:p>
    <w:p w14:paraId="572B1A19" w14:textId="158A88E5" w:rsidR="00FA64FF" w:rsidRDefault="00FA64FF" w:rsidP="00FA64FF">
      <w:pPr>
        <w:tabs>
          <w:tab w:val="center" w:pos="4135"/>
          <w:tab w:val="left" w:pos="7515"/>
        </w:tabs>
        <w:spacing w:line="360" w:lineRule="auto"/>
        <w:jc w:val="center"/>
        <w:rPr>
          <w:rFonts w:ascii="Arial" w:hAnsi="Arial" w:cs="Arial"/>
          <w:sz w:val="26"/>
          <w:szCs w:val="26"/>
        </w:rPr>
      </w:pPr>
    </w:p>
    <w:p w14:paraId="7EB272E2" w14:textId="77777777" w:rsidR="00FA64FF" w:rsidRDefault="00FA64FF" w:rsidP="00FA64FF">
      <w:pPr>
        <w:tabs>
          <w:tab w:val="center" w:pos="4135"/>
          <w:tab w:val="left" w:pos="7515"/>
        </w:tabs>
        <w:spacing w:line="360" w:lineRule="auto"/>
        <w:jc w:val="center"/>
        <w:rPr>
          <w:rFonts w:ascii="Arial" w:hAnsi="Arial" w:cs="Arial"/>
          <w:sz w:val="26"/>
          <w:szCs w:val="26"/>
        </w:rPr>
      </w:pPr>
    </w:p>
    <w:p w14:paraId="2B951CFB" w14:textId="77777777" w:rsidR="00FA64FF" w:rsidRDefault="00FA64FF" w:rsidP="00FA64FF">
      <w:pPr>
        <w:tabs>
          <w:tab w:val="center" w:pos="4135"/>
          <w:tab w:val="left" w:pos="7515"/>
        </w:tabs>
        <w:spacing w:line="360" w:lineRule="auto"/>
        <w:jc w:val="center"/>
        <w:rPr>
          <w:rFonts w:ascii="Arial" w:hAnsi="Arial" w:cs="Arial"/>
          <w:sz w:val="26"/>
          <w:szCs w:val="26"/>
        </w:rPr>
      </w:pPr>
    </w:p>
    <w:p w14:paraId="1285923E" w14:textId="77777777" w:rsidR="00FA64FF" w:rsidRDefault="00FA64FF" w:rsidP="00FA64FF">
      <w:pPr>
        <w:tabs>
          <w:tab w:val="center" w:pos="4135"/>
          <w:tab w:val="left" w:pos="7515"/>
        </w:tabs>
        <w:spacing w:line="360" w:lineRule="auto"/>
        <w:jc w:val="center"/>
        <w:rPr>
          <w:rFonts w:ascii="Arial" w:hAnsi="Arial" w:cs="Arial"/>
          <w:sz w:val="26"/>
          <w:szCs w:val="26"/>
        </w:rPr>
      </w:pPr>
    </w:p>
    <w:p w14:paraId="29480BD2" w14:textId="77777777" w:rsidR="00FA64FF" w:rsidRDefault="00FA64FF" w:rsidP="00FA64F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4BFA5313" w14:textId="77777777" w:rsidR="00FA64FF" w:rsidRDefault="00FA64FF" w:rsidP="00FA64FF">
      <w:pPr>
        <w:tabs>
          <w:tab w:val="left" w:pos="1925"/>
          <w:tab w:val="center" w:pos="4135"/>
        </w:tabs>
        <w:jc w:val="center"/>
        <w:rPr>
          <w:rFonts w:ascii="Arial" w:hAnsi="Arial" w:cs="Arial"/>
          <w:sz w:val="26"/>
          <w:szCs w:val="26"/>
        </w:rPr>
      </w:pPr>
    </w:p>
    <w:p w14:paraId="5D51ED4C" w14:textId="77777777" w:rsidR="00FA64FF" w:rsidRDefault="00FA64FF" w:rsidP="00FA64FF">
      <w:pPr>
        <w:tabs>
          <w:tab w:val="left" w:pos="1925"/>
          <w:tab w:val="center" w:pos="4135"/>
        </w:tabs>
        <w:jc w:val="center"/>
        <w:rPr>
          <w:rFonts w:ascii="Arial" w:hAnsi="Arial" w:cs="Arial"/>
          <w:sz w:val="26"/>
          <w:szCs w:val="26"/>
        </w:rPr>
      </w:pPr>
    </w:p>
    <w:p w14:paraId="163D6850" w14:textId="357C0BDF" w:rsidR="00FA64FF" w:rsidRPr="00902ADB" w:rsidRDefault="00FA64FF" w:rsidP="00FA64FF">
      <w:pPr>
        <w:tabs>
          <w:tab w:val="left" w:pos="1925"/>
          <w:tab w:val="center" w:pos="4135"/>
        </w:tabs>
        <w:rPr>
          <w:rFonts w:ascii="Arial" w:hAnsi="Arial" w:cs="Arial"/>
          <w:sz w:val="26"/>
          <w:szCs w:val="26"/>
        </w:rPr>
      </w:pPr>
      <w:r>
        <w:rPr>
          <w:rFonts w:ascii="Arial" w:hAnsi="Arial" w:cs="Arial"/>
          <w:sz w:val="26"/>
          <w:szCs w:val="26"/>
        </w:rPr>
        <w:br/>
      </w:r>
    </w:p>
    <w:p w14:paraId="574AB13B" w14:textId="797E11F6" w:rsidR="00FA64FF" w:rsidRDefault="00FA64FF" w:rsidP="00FA64FF">
      <w:pPr>
        <w:tabs>
          <w:tab w:val="left" w:pos="1925"/>
          <w:tab w:val="center" w:pos="4135"/>
        </w:tabs>
        <w:jc w:val="center"/>
        <w:rPr>
          <w:rFonts w:ascii="Arial" w:hAnsi="Arial" w:cs="Arial"/>
          <w:sz w:val="26"/>
          <w:szCs w:val="26"/>
        </w:rPr>
      </w:pPr>
    </w:p>
    <w:p w14:paraId="7483F656" w14:textId="058E37B5" w:rsidR="00FA64FF" w:rsidRDefault="00FA64FF" w:rsidP="00FA64FF">
      <w:pPr>
        <w:tabs>
          <w:tab w:val="left" w:pos="1925"/>
          <w:tab w:val="center" w:pos="4135"/>
        </w:tabs>
        <w:jc w:val="center"/>
        <w:rPr>
          <w:rFonts w:ascii="Arial" w:hAnsi="Arial" w:cs="Arial"/>
          <w:sz w:val="26"/>
          <w:szCs w:val="26"/>
        </w:rPr>
      </w:pPr>
    </w:p>
    <w:p w14:paraId="72E03CF4" w14:textId="64E96910" w:rsidR="00FA64FF" w:rsidRDefault="00FA64FF" w:rsidP="00FA64F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3BFBD4F9" w14:textId="47263377" w:rsidR="00FA64FF" w:rsidRDefault="00FA64FF" w:rsidP="00FA64FF">
      <w:pPr>
        <w:tabs>
          <w:tab w:val="left" w:pos="1925"/>
          <w:tab w:val="center" w:pos="4135"/>
        </w:tabs>
        <w:jc w:val="center"/>
        <w:rPr>
          <w:rFonts w:ascii="Arial" w:hAnsi="Arial" w:cs="Arial"/>
          <w:sz w:val="26"/>
          <w:szCs w:val="26"/>
        </w:rPr>
      </w:pPr>
    </w:p>
    <w:p w14:paraId="1F91425C" w14:textId="22AB8D01" w:rsidR="00FA64FF" w:rsidRDefault="00FA64FF" w:rsidP="00FA64FF">
      <w:pPr>
        <w:tabs>
          <w:tab w:val="left" w:pos="1925"/>
          <w:tab w:val="center" w:pos="4135"/>
        </w:tabs>
        <w:jc w:val="center"/>
        <w:rPr>
          <w:rFonts w:ascii="Arial" w:hAnsi="Arial" w:cs="Arial"/>
          <w:sz w:val="26"/>
          <w:szCs w:val="26"/>
        </w:rPr>
      </w:pPr>
    </w:p>
    <w:p w14:paraId="2A4D2114" w14:textId="6BFABB34" w:rsidR="00FA64FF" w:rsidRDefault="00FA64FF" w:rsidP="00FA64FF">
      <w:pPr>
        <w:tabs>
          <w:tab w:val="left" w:pos="1925"/>
          <w:tab w:val="center" w:pos="4135"/>
        </w:tabs>
        <w:jc w:val="center"/>
        <w:rPr>
          <w:rFonts w:ascii="Arial" w:hAnsi="Arial" w:cs="Arial"/>
          <w:sz w:val="26"/>
          <w:szCs w:val="26"/>
        </w:rPr>
      </w:pPr>
    </w:p>
    <w:p w14:paraId="3A070DE4" w14:textId="77777777" w:rsidR="00FA64FF" w:rsidRDefault="00FA64FF" w:rsidP="00FA64FF">
      <w:pPr>
        <w:tabs>
          <w:tab w:val="left" w:pos="1925"/>
          <w:tab w:val="center" w:pos="4135"/>
        </w:tabs>
        <w:rPr>
          <w:rFonts w:ascii="Arial" w:hAnsi="Arial" w:cs="Arial"/>
          <w:sz w:val="26"/>
          <w:szCs w:val="26"/>
        </w:rPr>
      </w:pPr>
    </w:p>
    <w:p w14:paraId="3BACC250" w14:textId="77777777" w:rsidR="00FA64FF" w:rsidRDefault="00FA64FF" w:rsidP="00FA64FF">
      <w:pPr>
        <w:tabs>
          <w:tab w:val="left" w:pos="1925"/>
          <w:tab w:val="center" w:pos="4135"/>
        </w:tabs>
        <w:jc w:val="center"/>
        <w:rPr>
          <w:rFonts w:ascii="Arial" w:hAnsi="Arial" w:cs="Arial"/>
          <w:sz w:val="26"/>
          <w:szCs w:val="26"/>
        </w:rPr>
      </w:pPr>
    </w:p>
    <w:p w14:paraId="6DA752C6" w14:textId="77777777" w:rsidR="00FA64FF" w:rsidRDefault="00FA64FF" w:rsidP="00FA64F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71F5C5B" w14:textId="77777777" w:rsidR="00FA64FF" w:rsidRDefault="00FA64FF" w:rsidP="00FA64FF">
      <w:pPr>
        <w:tabs>
          <w:tab w:val="center" w:pos="4135"/>
          <w:tab w:val="left" w:pos="7515"/>
        </w:tabs>
        <w:spacing w:line="360" w:lineRule="auto"/>
        <w:jc w:val="center"/>
        <w:rPr>
          <w:rFonts w:ascii="Arial" w:hAnsi="Arial" w:cs="Arial"/>
          <w:sz w:val="26"/>
          <w:szCs w:val="26"/>
        </w:rPr>
      </w:pPr>
    </w:p>
    <w:p w14:paraId="1926F497" w14:textId="77777777" w:rsidR="00FA64FF" w:rsidRDefault="00FA64FF" w:rsidP="00FA64FF">
      <w:pPr>
        <w:tabs>
          <w:tab w:val="center" w:pos="4135"/>
          <w:tab w:val="left" w:pos="7515"/>
        </w:tabs>
        <w:spacing w:line="360" w:lineRule="auto"/>
        <w:jc w:val="center"/>
        <w:rPr>
          <w:rFonts w:ascii="Arial" w:hAnsi="Arial" w:cs="Arial"/>
          <w:sz w:val="26"/>
          <w:szCs w:val="26"/>
        </w:rPr>
      </w:pPr>
    </w:p>
    <w:p w14:paraId="5F45BF13" w14:textId="77777777" w:rsidR="00000051" w:rsidRPr="00902ADB" w:rsidRDefault="00000051" w:rsidP="00000051">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0126/2022.</w:t>
      </w:r>
    </w:p>
    <w:p w14:paraId="0681FD0E" w14:textId="0DE560E1" w:rsidR="00FA64FF" w:rsidRDefault="00FA64FF" w:rsidP="00FA64FF">
      <w:pPr>
        <w:tabs>
          <w:tab w:val="center" w:pos="4135"/>
          <w:tab w:val="left" w:pos="7515"/>
        </w:tabs>
        <w:spacing w:line="360" w:lineRule="auto"/>
        <w:jc w:val="center"/>
        <w:rPr>
          <w:rFonts w:ascii="Arial" w:hAnsi="Arial" w:cs="Arial"/>
          <w:sz w:val="26"/>
          <w:szCs w:val="26"/>
        </w:rPr>
      </w:pPr>
    </w:p>
    <w:p w14:paraId="11C0331E" w14:textId="77777777" w:rsidR="00000051" w:rsidRDefault="00000051" w:rsidP="00FA64FF">
      <w:pPr>
        <w:tabs>
          <w:tab w:val="center" w:pos="4135"/>
          <w:tab w:val="left" w:pos="7515"/>
        </w:tabs>
        <w:spacing w:line="360" w:lineRule="auto"/>
        <w:jc w:val="center"/>
        <w:rPr>
          <w:rFonts w:ascii="Arial" w:hAnsi="Arial" w:cs="Arial"/>
          <w:sz w:val="26"/>
          <w:szCs w:val="26"/>
        </w:rPr>
      </w:pPr>
      <w:bookmarkStart w:id="2" w:name="_GoBack"/>
      <w:bookmarkEnd w:id="2"/>
    </w:p>
    <w:p w14:paraId="33C25BED" w14:textId="77777777" w:rsidR="00FA64FF" w:rsidRDefault="00FA64FF" w:rsidP="00FA64FF">
      <w:pPr>
        <w:tabs>
          <w:tab w:val="center" w:pos="4135"/>
          <w:tab w:val="left" w:pos="7515"/>
        </w:tabs>
        <w:spacing w:line="360" w:lineRule="auto"/>
        <w:jc w:val="center"/>
        <w:rPr>
          <w:rFonts w:ascii="Arial" w:hAnsi="Arial" w:cs="Arial"/>
          <w:sz w:val="26"/>
          <w:szCs w:val="26"/>
        </w:rPr>
      </w:pPr>
    </w:p>
    <w:p w14:paraId="43D5BE67" w14:textId="77777777" w:rsidR="00FA64FF" w:rsidRDefault="00FA64FF" w:rsidP="00FA64FF">
      <w:pPr>
        <w:tabs>
          <w:tab w:val="center" w:pos="4135"/>
          <w:tab w:val="left" w:pos="7515"/>
        </w:tabs>
        <w:spacing w:line="360" w:lineRule="auto"/>
        <w:jc w:val="center"/>
        <w:rPr>
          <w:rFonts w:ascii="Arial" w:hAnsi="Arial" w:cs="Arial"/>
          <w:sz w:val="26"/>
          <w:szCs w:val="26"/>
        </w:rPr>
      </w:pPr>
    </w:p>
    <w:p w14:paraId="79F657B8" w14:textId="77777777" w:rsidR="00FA64FF" w:rsidRDefault="00FA64FF" w:rsidP="00FA64F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A903A08" w14:textId="77777777" w:rsidR="00FA64FF" w:rsidRDefault="00FA64FF" w:rsidP="00FA64FF">
      <w:pPr>
        <w:tabs>
          <w:tab w:val="center" w:pos="4135"/>
          <w:tab w:val="left" w:pos="7515"/>
        </w:tabs>
        <w:spacing w:line="360" w:lineRule="auto"/>
        <w:jc w:val="center"/>
        <w:rPr>
          <w:rFonts w:ascii="Arial" w:hAnsi="Arial" w:cs="Arial"/>
          <w:sz w:val="26"/>
          <w:szCs w:val="26"/>
        </w:rPr>
      </w:pPr>
    </w:p>
    <w:p w14:paraId="2B4873AD" w14:textId="77777777" w:rsidR="00FA64FF" w:rsidRDefault="00FA64FF" w:rsidP="00FA64FF">
      <w:pPr>
        <w:tabs>
          <w:tab w:val="center" w:pos="4135"/>
          <w:tab w:val="left" w:pos="7515"/>
        </w:tabs>
        <w:spacing w:line="360" w:lineRule="auto"/>
        <w:jc w:val="center"/>
        <w:rPr>
          <w:rFonts w:ascii="Arial" w:hAnsi="Arial" w:cs="Arial"/>
          <w:sz w:val="26"/>
          <w:szCs w:val="26"/>
        </w:rPr>
      </w:pPr>
    </w:p>
    <w:p w14:paraId="06009EC0" w14:textId="77777777" w:rsidR="00FA64FF" w:rsidRDefault="00FA64FF" w:rsidP="00FA64FF">
      <w:pPr>
        <w:tabs>
          <w:tab w:val="center" w:pos="4135"/>
          <w:tab w:val="left" w:pos="7515"/>
        </w:tabs>
        <w:spacing w:line="360" w:lineRule="auto"/>
        <w:jc w:val="center"/>
        <w:rPr>
          <w:rFonts w:ascii="Arial" w:hAnsi="Arial" w:cs="Arial"/>
          <w:sz w:val="26"/>
          <w:szCs w:val="26"/>
        </w:rPr>
      </w:pPr>
    </w:p>
    <w:p w14:paraId="60D6EC09" w14:textId="77777777" w:rsidR="00FA64FF" w:rsidRDefault="00FA64FF" w:rsidP="00FA64FF">
      <w:pPr>
        <w:tabs>
          <w:tab w:val="center" w:pos="4135"/>
          <w:tab w:val="left" w:pos="7515"/>
        </w:tabs>
        <w:spacing w:line="360" w:lineRule="auto"/>
        <w:jc w:val="center"/>
        <w:rPr>
          <w:rFonts w:ascii="Arial" w:hAnsi="Arial" w:cs="Arial"/>
          <w:sz w:val="26"/>
          <w:szCs w:val="26"/>
        </w:rPr>
      </w:pPr>
    </w:p>
    <w:p w14:paraId="302A0FA1" w14:textId="77777777" w:rsidR="00FA64FF" w:rsidRPr="00290DA6" w:rsidRDefault="00FA64FF" w:rsidP="00FA64F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8A65EB7" w14:textId="77777777" w:rsidR="00FA64FF" w:rsidRDefault="00FA64FF" w:rsidP="00FA64FF">
      <w:pPr>
        <w:spacing w:after="0" w:line="240" w:lineRule="auto"/>
        <w:jc w:val="center"/>
        <w:rPr>
          <w:rFonts w:ascii="Arial" w:hAnsi="Arial" w:cs="Arial"/>
          <w:sz w:val="26"/>
          <w:szCs w:val="26"/>
        </w:rPr>
      </w:pPr>
      <w:r w:rsidRPr="00290DA6">
        <w:rPr>
          <w:rFonts w:ascii="Arial" w:hAnsi="Arial" w:cs="Arial"/>
          <w:sz w:val="26"/>
          <w:szCs w:val="26"/>
        </w:rPr>
        <w:t>SECRETARIO GENERAL DE ACUERDOS</w:t>
      </w:r>
    </w:p>
    <w:bookmarkEnd w:id="1"/>
    <w:p w14:paraId="06C5520C" w14:textId="77777777" w:rsidR="00216377" w:rsidRPr="00E5261F" w:rsidRDefault="00216377" w:rsidP="00FA64FF">
      <w:pPr>
        <w:tabs>
          <w:tab w:val="center" w:pos="4135"/>
          <w:tab w:val="left" w:pos="7515"/>
        </w:tabs>
        <w:spacing w:line="360" w:lineRule="auto"/>
        <w:jc w:val="center"/>
        <w:rPr>
          <w:sz w:val="26"/>
          <w:szCs w:val="26"/>
        </w:rPr>
      </w:pPr>
    </w:p>
    <w:sectPr w:rsidR="00216377" w:rsidRPr="00E5261F" w:rsidSect="00A80C48">
      <w:headerReference w:type="even" r:id="rId10"/>
      <w:headerReference w:type="default" r:id="rId11"/>
      <w:footerReference w:type="default" r:id="rId12"/>
      <w:head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6EA89" w14:textId="77777777" w:rsidR="00297337" w:rsidRDefault="00297337">
      <w:pPr>
        <w:spacing w:after="0" w:line="240" w:lineRule="auto"/>
      </w:pPr>
      <w:r>
        <w:separator/>
      </w:r>
    </w:p>
  </w:endnote>
  <w:endnote w:type="continuationSeparator" w:id="0">
    <w:p w14:paraId="18759847" w14:textId="77777777" w:rsidR="00297337" w:rsidRDefault="00297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117BB" w14:textId="77777777" w:rsidR="00297337" w:rsidRDefault="00297337">
      <w:pPr>
        <w:spacing w:after="0" w:line="240" w:lineRule="auto"/>
      </w:pPr>
      <w:r>
        <w:separator/>
      </w:r>
    </w:p>
  </w:footnote>
  <w:footnote w:type="continuationSeparator" w:id="0">
    <w:p w14:paraId="560BA86E" w14:textId="77777777" w:rsidR="00297337" w:rsidRDefault="00297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00005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00051">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00005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00051">
          <w:rPr>
            <w:noProof/>
            <w:lang w:val="es-ES"/>
          </w:rPr>
          <w:t>15</w:t>
        </w:r>
        <w:r w:rsidR="000F5C41">
          <w:fldChar w:fldCharType="end"/>
        </w:r>
      </w:sdtContent>
    </w:sdt>
  </w:p>
  <w:p w14:paraId="51E22156" w14:textId="3B0519D3" w:rsidR="00655BA3" w:rsidRDefault="0028561B"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1B1B15B" wp14:editId="52CA6EAF">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8EDDCA2" w14:textId="77777777" w:rsidR="0028561B" w:rsidRDefault="0028561B" w:rsidP="0028561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1B15B"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28EDDCA2" w14:textId="77777777" w:rsidR="0028561B" w:rsidRDefault="0028561B" w:rsidP="0028561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0005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5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1E55"/>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64B7"/>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44D0"/>
    <w:rsid w:val="00085132"/>
    <w:rsid w:val="0008514D"/>
    <w:rsid w:val="00085F74"/>
    <w:rsid w:val="00087470"/>
    <w:rsid w:val="000875DB"/>
    <w:rsid w:val="000900BD"/>
    <w:rsid w:val="000904A5"/>
    <w:rsid w:val="0009077C"/>
    <w:rsid w:val="00090D4A"/>
    <w:rsid w:val="00090D7D"/>
    <w:rsid w:val="000910E0"/>
    <w:rsid w:val="00091B93"/>
    <w:rsid w:val="000939DB"/>
    <w:rsid w:val="00093C95"/>
    <w:rsid w:val="00094EB2"/>
    <w:rsid w:val="00095419"/>
    <w:rsid w:val="0009544D"/>
    <w:rsid w:val="000964DE"/>
    <w:rsid w:val="00096B18"/>
    <w:rsid w:val="00096C5C"/>
    <w:rsid w:val="00096CE1"/>
    <w:rsid w:val="000A084D"/>
    <w:rsid w:val="000A0E5E"/>
    <w:rsid w:val="000A12C0"/>
    <w:rsid w:val="000A1491"/>
    <w:rsid w:val="000A1738"/>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3A9"/>
    <w:rsid w:val="000C2764"/>
    <w:rsid w:val="000C3DC9"/>
    <w:rsid w:val="000C4139"/>
    <w:rsid w:val="000C47B5"/>
    <w:rsid w:val="000C5414"/>
    <w:rsid w:val="000C5BCE"/>
    <w:rsid w:val="000C5DC1"/>
    <w:rsid w:val="000C5FD5"/>
    <w:rsid w:val="000C6670"/>
    <w:rsid w:val="000C6DAB"/>
    <w:rsid w:val="000D04BF"/>
    <w:rsid w:val="000D14FB"/>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6AAF"/>
    <w:rsid w:val="000E74F5"/>
    <w:rsid w:val="000E7DB2"/>
    <w:rsid w:val="000F026A"/>
    <w:rsid w:val="000F0C84"/>
    <w:rsid w:val="000F0D7B"/>
    <w:rsid w:val="000F1D46"/>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1E9E"/>
    <w:rsid w:val="001025E5"/>
    <w:rsid w:val="0010266A"/>
    <w:rsid w:val="00102A5D"/>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8BB"/>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7D6"/>
    <w:rsid w:val="001C1FDF"/>
    <w:rsid w:val="001C2557"/>
    <w:rsid w:val="001C2644"/>
    <w:rsid w:val="001C2B0B"/>
    <w:rsid w:val="001C2B81"/>
    <w:rsid w:val="001C36D8"/>
    <w:rsid w:val="001C39B4"/>
    <w:rsid w:val="001C3A80"/>
    <w:rsid w:val="001C421F"/>
    <w:rsid w:val="001C422B"/>
    <w:rsid w:val="001C502D"/>
    <w:rsid w:val="001C53B0"/>
    <w:rsid w:val="001C724B"/>
    <w:rsid w:val="001C7EC3"/>
    <w:rsid w:val="001D07F6"/>
    <w:rsid w:val="001D0DCF"/>
    <w:rsid w:val="001D31A6"/>
    <w:rsid w:val="001D3642"/>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1F782D"/>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7E7"/>
    <w:rsid w:val="00212E08"/>
    <w:rsid w:val="0021302A"/>
    <w:rsid w:val="00213471"/>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1C5"/>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310"/>
    <w:rsid w:val="002466CD"/>
    <w:rsid w:val="002466E6"/>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E8C"/>
    <w:rsid w:val="002541B3"/>
    <w:rsid w:val="00256B3C"/>
    <w:rsid w:val="00256E7D"/>
    <w:rsid w:val="00256F27"/>
    <w:rsid w:val="0025762F"/>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5FE5"/>
    <w:rsid w:val="002805AC"/>
    <w:rsid w:val="00280919"/>
    <w:rsid w:val="00281661"/>
    <w:rsid w:val="00282C81"/>
    <w:rsid w:val="00283B3F"/>
    <w:rsid w:val="00283F6B"/>
    <w:rsid w:val="002841EE"/>
    <w:rsid w:val="002844AF"/>
    <w:rsid w:val="00284891"/>
    <w:rsid w:val="0028561B"/>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6748"/>
    <w:rsid w:val="0029713B"/>
    <w:rsid w:val="00297337"/>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CC3"/>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4E45"/>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6C"/>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040"/>
    <w:rsid w:val="003448FF"/>
    <w:rsid w:val="00345946"/>
    <w:rsid w:val="00345C53"/>
    <w:rsid w:val="00346754"/>
    <w:rsid w:val="00346905"/>
    <w:rsid w:val="00347AAB"/>
    <w:rsid w:val="00347FD3"/>
    <w:rsid w:val="0035006A"/>
    <w:rsid w:val="003509B6"/>
    <w:rsid w:val="00350B13"/>
    <w:rsid w:val="00352CC2"/>
    <w:rsid w:val="00352DE7"/>
    <w:rsid w:val="0035300A"/>
    <w:rsid w:val="0035347E"/>
    <w:rsid w:val="00354920"/>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8CB"/>
    <w:rsid w:val="0036711C"/>
    <w:rsid w:val="00370629"/>
    <w:rsid w:val="003708D3"/>
    <w:rsid w:val="00371249"/>
    <w:rsid w:val="00371C01"/>
    <w:rsid w:val="003726E1"/>
    <w:rsid w:val="00374012"/>
    <w:rsid w:val="003743D7"/>
    <w:rsid w:val="003749C0"/>
    <w:rsid w:val="003750D6"/>
    <w:rsid w:val="003752B5"/>
    <w:rsid w:val="0037599C"/>
    <w:rsid w:val="00375FDD"/>
    <w:rsid w:val="003763CE"/>
    <w:rsid w:val="00376819"/>
    <w:rsid w:val="0037725F"/>
    <w:rsid w:val="003804A7"/>
    <w:rsid w:val="00381422"/>
    <w:rsid w:val="00381DC3"/>
    <w:rsid w:val="0038228C"/>
    <w:rsid w:val="00382BDE"/>
    <w:rsid w:val="003859C4"/>
    <w:rsid w:val="00385B11"/>
    <w:rsid w:val="00385EA5"/>
    <w:rsid w:val="00386F92"/>
    <w:rsid w:val="003874C3"/>
    <w:rsid w:val="00387725"/>
    <w:rsid w:val="00387C65"/>
    <w:rsid w:val="00390135"/>
    <w:rsid w:val="00390CDE"/>
    <w:rsid w:val="00392B20"/>
    <w:rsid w:val="00394516"/>
    <w:rsid w:val="003961E1"/>
    <w:rsid w:val="003974F9"/>
    <w:rsid w:val="003A0AA1"/>
    <w:rsid w:val="003A0FE5"/>
    <w:rsid w:val="003A24EC"/>
    <w:rsid w:val="003A3EA0"/>
    <w:rsid w:val="003A4B73"/>
    <w:rsid w:val="003A6262"/>
    <w:rsid w:val="003A645D"/>
    <w:rsid w:val="003B0033"/>
    <w:rsid w:val="003B0A5E"/>
    <w:rsid w:val="003B0AA1"/>
    <w:rsid w:val="003B0AB6"/>
    <w:rsid w:val="003B0AD5"/>
    <w:rsid w:val="003B0B21"/>
    <w:rsid w:val="003B16F0"/>
    <w:rsid w:val="003B183F"/>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3F48"/>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7B2"/>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86D"/>
    <w:rsid w:val="00414CF1"/>
    <w:rsid w:val="0041540D"/>
    <w:rsid w:val="0041584F"/>
    <w:rsid w:val="00415924"/>
    <w:rsid w:val="004165A7"/>
    <w:rsid w:val="00416F89"/>
    <w:rsid w:val="00417B7B"/>
    <w:rsid w:val="004211BE"/>
    <w:rsid w:val="0042205F"/>
    <w:rsid w:val="00423C26"/>
    <w:rsid w:val="00423E43"/>
    <w:rsid w:val="00424839"/>
    <w:rsid w:val="00424D35"/>
    <w:rsid w:val="004250C7"/>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7A"/>
    <w:rsid w:val="00443487"/>
    <w:rsid w:val="00443DE0"/>
    <w:rsid w:val="0044467E"/>
    <w:rsid w:val="0044496C"/>
    <w:rsid w:val="00444F46"/>
    <w:rsid w:val="0044520F"/>
    <w:rsid w:val="004458DD"/>
    <w:rsid w:val="004468EC"/>
    <w:rsid w:val="00446A05"/>
    <w:rsid w:val="00446B69"/>
    <w:rsid w:val="004502C5"/>
    <w:rsid w:val="004509CE"/>
    <w:rsid w:val="00450D57"/>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5CA"/>
    <w:rsid w:val="004647B9"/>
    <w:rsid w:val="00464F06"/>
    <w:rsid w:val="004652D5"/>
    <w:rsid w:val="00465BF5"/>
    <w:rsid w:val="00466042"/>
    <w:rsid w:val="004668E6"/>
    <w:rsid w:val="004673D5"/>
    <w:rsid w:val="0047228C"/>
    <w:rsid w:val="0047274B"/>
    <w:rsid w:val="00472B3D"/>
    <w:rsid w:val="00472D24"/>
    <w:rsid w:val="00472D90"/>
    <w:rsid w:val="00473EB5"/>
    <w:rsid w:val="00474AB4"/>
    <w:rsid w:val="0047647A"/>
    <w:rsid w:val="004771E5"/>
    <w:rsid w:val="00477357"/>
    <w:rsid w:val="00477E07"/>
    <w:rsid w:val="00480A69"/>
    <w:rsid w:val="00480B11"/>
    <w:rsid w:val="004813E0"/>
    <w:rsid w:val="004825B9"/>
    <w:rsid w:val="004826CB"/>
    <w:rsid w:val="00483B0E"/>
    <w:rsid w:val="00484AE9"/>
    <w:rsid w:val="00485508"/>
    <w:rsid w:val="00485521"/>
    <w:rsid w:val="0048659E"/>
    <w:rsid w:val="00486775"/>
    <w:rsid w:val="004874A4"/>
    <w:rsid w:val="00487C2D"/>
    <w:rsid w:val="00491E99"/>
    <w:rsid w:val="004929E7"/>
    <w:rsid w:val="0049318A"/>
    <w:rsid w:val="00493A5B"/>
    <w:rsid w:val="004941D6"/>
    <w:rsid w:val="00494F0A"/>
    <w:rsid w:val="00495547"/>
    <w:rsid w:val="00496158"/>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4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1DB"/>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6EC"/>
    <w:rsid w:val="005077A5"/>
    <w:rsid w:val="00507AB3"/>
    <w:rsid w:val="00510956"/>
    <w:rsid w:val="00510F23"/>
    <w:rsid w:val="0051133B"/>
    <w:rsid w:val="00511422"/>
    <w:rsid w:val="0051146E"/>
    <w:rsid w:val="005115C3"/>
    <w:rsid w:val="00512A9D"/>
    <w:rsid w:val="00515288"/>
    <w:rsid w:val="00515B21"/>
    <w:rsid w:val="00515CF2"/>
    <w:rsid w:val="00517079"/>
    <w:rsid w:val="00520023"/>
    <w:rsid w:val="005201C4"/>
    <w:rsid w:val="00520569"/>
    <w:rsid w:val="005212AE"/>
    <w:rsid w:val="0052291C"/>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19"/>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4A3"/>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002"/>
    <w:rsid w:val="005958B7"/>
    <w:rsid w:val="005960D3"/>
    <w:rsid w:val="0059616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279"/>
    <w:rsid w:val="005C3D34"/>
    <w:rsid w:val="005C464F"/>
    <w:rsid w:val="005C565F"/>
    <w:rsid w:val="005C5B71"/>
    <w:rsid w:val="005C639C"/>
    <w:rsid w:val="005C7062"/>
    <w:rsid w:val="005C714B"/>
    <w:rsid w:val="005C795A"/>
    <w:rsid w:val="005D0E8F"/>
    <w:rsid w:val="005D2CDE"/>
    <w:rsid w:val="005D2DDC"/>
    <w:rsid w:val="005D341C"/>
    <w:rsid w:val="005D3A26"/>
    <w:rsid w:val="005D3C96"/>
    <w:rsid w:val="005D3CC0"/>
    <w:rsid w:val="005D4EDA"/>
    <w:rsid w:val="005D58F0"/>
    <w:rsid w:val="005D65FC"/>
    <w:rsid w:val="005D6747"/>
    <w:rsid w:val="005D6918"/>
    <w:rsid w:val="005D6D1D"/>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39A0"/>
    <w:rsid w:val="00614079"/>
    <w:rsid w:val="00614188"/>
    <w:rsid w:val="00615362"/>
    <w:rsid w:val="006157B6"/>
    <w:rsid w:val="00615977"/>
    <w:rsid w:val="00615A62"/>
    <w:rsid w:val="00615C9E"/>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1266"/>
    <w:rsid w:val="0063273E"/>
    <w:rsid w:val="00633242"/>
    <w:rsid w:val="00633FA0"/>
    <w:rsid w:val="00634534"/>
    <w:rsid w:val="00634718"/>
    <w:rsid w:val="00634BBE"/>
    <w:rsid w:val="00634EF5"/>
    <w:rsid w:val="00636401"/>
    <w:rsid w:val="00636905"/>
    <w:rsid w:val="00636A93"/>
    <w:rsid w:val="006373CA"/>
    <w:rsid w:val="0063772A"/>
    <w:rsid w:val="00637A69"/>
    <w:rsid w:val="006418C8"/>
    <w:rsid w:val="006427D9"/>
    <w:rsid w:val="00642B57"/>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D49"/>
    <w:rsid w:val="00663F47"/>
    <w:rsid w:val="00664AC4"/>
    <w:rsid w:val="00664FB0"/>
    <w:rsid w:val="0066505B"/>
    <w:rsid w:val="00665ACE"/>
    <w:rsid w:val="0066701C"/>
    <w:rsid w:val="00667100"/>
    <w:rsid w:val="006671D4"/>
    <w:rsid w:val="0066750D"/>
    <w:rsid w:val="00667F2F"/>
    <w:rsid w:val="00671338"/>
    <w:rsid w:val="00671BEF"/>
    <w:rsid w:val="00672CE0"/>
    <w:rsid w:val="00672F8D"/>
    <w:rsid w:val="006730DE"/>
    <w:rsid w:val="006730F3"/>
    <w:rsid w:val="00673B33"/>
    <w:rsid w:val="006747AB"/>
    <w:rsid w:val="00676465"/>
    <w:rsid w:val="006775C4"/>
    <w:rsid w:val="0068056E"/>
    <w:rsid w:val="00681AC1"/>
    <w:rsid w:val="00681EE7"/>
    <w:rsid w:val="00682165"/>
    <w:rsid w:val="006825E2"/>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32"/>
    <w:rsid w:val="006A654C"/>
    <w:rsid w:val="006A6B9A"/>
    <w:rsid w:val="006A7061"/>
    <w:rsid w:val="006B0A9C"/>
    <w:rsid w:val="006B0B08"/>
    <w:rsid w:val="006B10A8"/>
    <w:rsid w:val="006B10B6"/>
    <w:rsid w:val="006B1B86"/>
    <w:rsid w:val="006B208B"/>
    <w:rsid w:val="006B2F71"/>
    <w:rsid w:val="006B3C7A"/>
    <w:rsid w:val="006B454E"/>
    <w:rsid w:val="006B462B"/>
    <w:rsid w:val="006B46C9"/>
    <w:rsid w:val="006B4D1B"/>
    <w:rsid w:val="006B4FD6"/>
    <w:rsid w:val="006B511B"/>
    <w:rsid w:val="006B5508"/>
    <w:rsid w:val="006B7267"/>
    <w:rsid w:val="006C1371"/>
    <w:rsid w:val="006C1F9E"/>
    <w:rsid w:val="006C2F23"/>
    <w:rsid w:val="006C3F67"/>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6D85"/>
    <w:rsid w:val="006E7F21"/>
    <w:rsid w:val="006F0329"/>
    <w:rsid w:val="006F0771"/>
    <w:rsid w:val="006F0913"/>
    <w:rsid w:val="006F0C06"/>
    <w:rsid w:val="006F2412"/>
    <w:rsid w:val="006F2E16"/>
    <w:rsid w:val="006F3230"/>
    <w:rsid w:val="006F3FE0"/>
    <w:rsid w:val="006F462B"/>
    <w:rsid w:val="006F6131"/>
    <w:rsid w:val="006F650D"/>
    <w:rsid w:val="006F68C0"/>
    <w:rsid w:val="006F68E5"/>
    <w:rsid w:val="00700013"/>
    <w:rsid w:val="007007EB"/>
    <w:rsid w:val="00701329"/>
    <w:rsid w:val="007017F0"/>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877"/>
    <w:rsid w:val="00740D93"/>
    <w:rsid w:val="007412C5"/>
    <w:rsid w:val="007426D1"/>
    <w:rsid w:val="00743403"/>
    <w:rsid w:val="00743E50"/>
    <w:rsid w:val="00743F9C"/>
    <w:rsid w:val="00744BFA"/>
    <w:rsid w:val="00744DC2"/>
    <w:rsid w:val="00744E48"/>
    <w:rsid w:val="00744EED"/>
    <w:rsid w:val="00746015"/>
    <w:rsid w:val="00746730"/>
    <w:rsid w:val="00746B23"/>
    <w:rsid w:val="00747886"/>
    <w:rsid w:val="00751760"/>
    <w:rsid w:val="00751950"/>
    <w:rsid w:val="00752C85"/>
    <w:rsid w:val="00752CFC"/>
    <w:rsid w:val="007531B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0D03"/>
    <w:rsid w:val="00781B18"/>
    <w:rsid w:val="00781E84"/>
    <w:rsid w:val="00781EFF"/>
    <w:rsid w:val="00782019"/>
    <w:rsid w:val="00782460"/>
    <w:rsid w:val="007824ED"/>
    <w:rsid w:val="007841D1"/>
    <w:rsid w:val="00785F5B"/>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848"/>
    <w:rsid w:val="007A490A"/>
    <w:rsid w:val="007A530A"/>
    <w:rsid w:val="007A65AF"/>
    <w:rsid w:val="007A719C"/>
    <w:rsid w:val="007A726F"/>
    <w:rsid w:val="007A757A"/>
    <w:rsid w:val="007B08F4"/>
    <w:rsid w:val="007B0A40"/>
    <w:rsid w:val="007B14D2"/>
    <w:rsid w:val="007B1610"/>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3B4"/>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3391"/>
    <w:rsid w:val="00803D63"/>
    <w:rsid w:val="00805B95"/>
    <w:rsid w:val="008061D6"/>
    <w:rsid w:val="008068C9"/>
    <w:rsid w:val="00806D14"/>
    <w:rsid w:val="0080728A"/>
    <w:rsid w:val="00807D76"/>
    <w:rsid w:val="00810BFE"/>
    <w:rsid w:val="00811182"/>
    <w:rsid w:val="00811407"/>
    <w:rsid w:val="00811B44"/>
    <w:rsid w:val="008122E4"/>
    <w:rsid w:val="00812D5A"/>
    <w:rsid w:val="00813494"/>
    <w:rsid w:val="00813755"/>
    <w:rsid w:val="008161D5"/>
    <w:rsid w:val="00817062"/>
    <w:rsid w:val="00817730"/>
    <w:rsid w:val="00817A06"/>
    <w:rsid w:val="0082001A"/>
    <w:rsid w:val="0082011D"/>
    <w:rsid w:val="008205D0"/>
    <w:rsid w:val="0082070E"/>
    <w:rsid w:val="00820D99"/>
    <w:rsid w:val="00820E06"/>
    <w:rsid w:val="008211F5"/>
    <w:rsid w:val="008214A8"/>
    <w:rsid w:val="00823863"/>
    <w:rsid w:val="008240AB"/>
    <w:rsid w:val="008241FC"/>
    <w:rsid w:val="00824B51"/>
    <w:rsid w:val="00825DF2"/>
    <w:rsid w:val="00826459"/>
    <w:rsid w:val="008264A3"/>
    <w:rsid w:val="00826F27"/>
    <w:rsid w:val="008270BC"/>
    <w:rsid w:val="008273B4"/>
    <w:rsid w:val="00827CCE"/>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46ED"/>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2E89"/>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3D1"/>
    <w:rsid w:val="00896821"/>
    <w:rsid w:val="00896A99"/>
    <w:rsid w:val="00896F48"/>
    <w:rsid w:val="008A0BA3"/>
    <w:rsid w:val="008A12C7"/>
    <w:rsid w:val="008A23DD"/>
    <w:rsid w:val="008A249E"/>
    <w:rsid w:val="008A2F33"/>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A9C"/>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1236"/>
    <w:rsid w:val="008D1EDE"/>
    <w:rsid w:val="008D2D16"/>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16D"/>
    <w:rsid w:val="00905D8A"/>
    <w:rsid w:val="009064F4"/>
    <w:rsid w:val="0090696C"/>
    <w:rsid w:val="00907C15"/>
    <w:rsid w:val="0091170B"/>
    <w:rsid w:val="00911817"/>
    <w:rsid w:val="00911C42"/>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4F7"/>
    <w:rsid w:val="00940ADB"/>
    <w:rsid w:val="00940C5D"/>
    <w:rsid w:val="00941215"/>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470"/>
    <w:rsid w:val="009629EE"/>
    <w:rsid w:val="0096309B"/>
    <w:rsid w:val="00964A87"/>
    <w:rsid w:val="00964CE3"/>
    <w:rsid w:val="00965204"/>
    <w:rsid w:val="00965931"/>
    <w:rsid w:val="00965DB7"/>
    <w:rsid w:val="009663A9"/>
    <w:rsid w:val="009667D3"/>
    <w:rsid w:val="00966C28"/>
    <w:rsid w:val="009700BB"/>
    <w:rsid w:val="00971321"/>
    <w:rsid w:val="00972B61"/>
    <w:rsid w:val="009730F2"/>
    <w:rsid w:val="00974250"/>
    <w:rsid w:val="00974F50"/>
    <w:rsid w:val="009756EC"/>
    <w:rsid w:val="009757EE"/>
    <w:rsid w:val="0097584C"/>
    <w:rsid w:val="00976FCC"/>
    <w:rsid w:val="0097768E"/>
    <w:rsid w:val="009818A2"/>
    <w:rsid w:val="0098236C"/>
    <w:rsid w:val="009829E2"/>
    <w:rsid w:val="00983525"/>
    <w:rsid w:val="009844CE"/>
    <w:rsid w:val="00984590"/>
    <w:rsid w:val="00984F92"/>
    <w:rsid w:val="00984FB7"/>
    <w:rsid w:val="009855CB"/>
    <w:rsid w:val="00985932"/>
    <w:rsid w:val="009868FC"/>
    <w:rsid w:val="00986D6A"/>
    <w:rsid w:val="00990013"/>
    <w:rsid w:val="00990D44"/>
    <w:rsid w:val="00991E94"/>
    <w:rsid w:val="00992445"/>
    <w:rsid w:val="00992712"/>
    <w:rsid w:val="00993E7E"/>
    <w:rsid w:val="009944FD"/>
    <w:rsid w:val="0099690A"/>
    <w:rsid w:val="00996BE6"/>
    <w:rsid w:val="00997136"/>
    <w:rsid w:val="009971A7"/>
    <w:rsid w:val="009A33BE"/>
    <w:rsid w:val="009A3F67"/>
    <w:rsid w:val="009A51E0"/>
    <w:rsid w:val="009A5F74"/>
    <w:rsid w:val="009B0C38"/>
    <w:rsid w:val="009B1120"/>
    <w:rsid w:val="009B127F"/>
    <w:rsid w:val="009B15EE"/>
    <w:rsid w:val="009B19C2"/>
    <w:rsid w:val="009B1EAF"/>
    <w:rsid w:val="009B229F"/>
    <w:rsid w:val="009B2AE4"/>
    <w:rsid w:val="009B30D4"/>
    <w:rsid w:val="009B38A3"/>
    <w:rsid w:val="009B38C8"/>
    <w:rsid w:val="009B3EB7"/>
    <w:rsid w:val="009B4E0E"/>
    <w:rsid w:val="009B5202"/>
    <w:rsid w:val="009B537A"/>
    <w:rsid w:val="009B6107"/>
    <w:rsid w:val="009B622A"/>
    <w:rsid w:val="009B6D2C"/>
    <w:rsid w:val="009C0461"/>
    <w:rsid w:val="009C16E5"/>
    <w:rsid w:val="009C24D1"/>
    <w:rsid w:val="009C3841"/>
    <w:rsid w:val="009C607A"/>
    <w:rsid w:val="009C66A0"/>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2510"/>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0BD3"/>
    <w:rsid w:val="00A00C6A"/>
    <w:rsid w:val="00A01117"/>
    <w:rsid w:val="00A022D9"/>
    <w:rsid w:val="00A023EE"/>
    <w:rsid w:val="00A0357E"/>
    <w:rsid w:val="00A03CB6"/>
    <w:rsid w:val="00A03CB7"/>
    <w:rsid w:val="00A04078"/>
    <w:rsid w:val="00A040CB"/>
    <w:rsid w:val="00A041FD"/>
    <w:rsid w:val="00A0428C"/>
    <w:rsid w:val="00A045B0"/>
    <w:rsid w:val="00A045DB"/>
    <w:rsid w:val="00A04848"/>
    <w:rsid w:val="00A04D47"/>
    <w:rsid w:val="00A05628"/>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5DD7"/>
    <w:rsid w:val="00A367EE"/>
    <w:rsid w:val="00A36936"/>
    <w:rsid w:val="00A37825"/>
    <w:rsid w:val="00A4105D"/>
    <w:rsid w:val="00A41757"/>
    <w:rsid w:val="00A417FE"/>
    <w:rsid w:val="00A41FA8"/>
    <w:rsid w:val="00A426F3"/>
    <w:rsid w:val="00A42E01"/>
    <w:rsid w:val="00A4305E"/>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59C5"/>
    <w:rsid w:val="00A66ADA"/>
    <w:rsid w:val="00A66CB2"/>
    <w:rsid w:val="00A703F5"/>
    <w:rsid w:val="00A71119"/>
    <w:rsid w:val="00A72E3D"/>
    <w:rsid w:val="00A72EE1"/>
    <w:rsid w:val="00A72FED"/>
    <w:rsid w:val="00A73B00"/>
    <w:rsid w:val="00A746E4"/>
    <w:rsid w:val="00A761F4"/>
    <w:rsid w:val="00A77448"/>
    <w:rsid w:val="00A77B65"/>
    <w:rsid w:val="00A77EC2"/>
    <w:rsid w:val="00A8005C"/>
    <w:rsid w:val="00A8007D"/>
    <w:rsid w:val="00A80761"/>
    <w:rsid w:val="00A80C48"/>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E8"/>
    <w:rsid w:val="00AA11A2"/>
    <w:rsid w:val="00AA20E4"/>
    <w:rsid w:val="00AA221F"/>
    <w:rsid w:val="00AA2C0B"/>
    <w:rsid w:val="00AA2CA6"/>
    <w:rsid w:val="00AA3786"/>
    <w:rsid w:val="00AA3794"/>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2540"/>
    <w:rsid w:val="00AD38ED"/>
    <w:rsid w:val="00AD39D6"/>
    <w:rsid w:val="00AD3C97"/>
    <w:rsid w:val="00AD4053"/>
    <w:rsid w:val="00AD4282"/>
    <w:rsid w:val="00AD5A42"/>
    <w:rsid w:val="00AD5E2A"/>
    <w:rsid w:val="00AD7073"/>
    <w:rsid w:val="00AD77FD"/>
    <w:rsid w:val="00AD79E2"/>
    <w:rsid w:val="00AD7A7C"/>
    <w:rsid w:val="00AD7EFD"/>
    <w:rsid w:val="00AD7FFB"/>
    <w:rsid w:val="00AE1C5C"/>
    <w:rsid w:val="00AE271F"/>
    <w:rsid w:val="00AE3DF5"/>
    <w:rsid w:val="00AE4CFF"/>
    <w:rsid w:val="00AE4E46"/>
    <w:rsid w:val="00AE52B0"/>
    <w:rsid w:val="00AE54F8"/>
    <w:rsid w:val="00AE5C7F"/>
    <w:rsid w:val="00AF017F"/>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17C41"/>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46D8F"/>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1E"/>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C58"/>
    <w:rsid w:val="00B77CC6"/>
    <w:rsid w:val="00B77DF2"/>
    <w:rsid w:val="00B8020F"/>
    <w:rsid w:val="00B8071F"/>
    <w:rsid w:val="00B814A1"/>
    <w:rsid w:val="00B82205"/>
    <w:rsid w:val="00B8238D"/>
    <w:rsid w:val="00B82642"/>
    <w:rsid w:val="00B832CE"/>
    <w:rsid w:val="00B8382A"/>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38F"/>
    <w:rsid w:val="00B95FE2"/>
    <w:rsid w:val="00B962EE"/>
    <w:rsid w:val="00B96F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1F2"/>
    <w:rsid w:val="00BB23CB"/>
    <w:rsid w:val="00BB2532"/>
    <w:rsid w:val="00BB2686"/>
    <w:rsid w:val="00BB37EA"/>
    <w:rsid w:val="00BB3A96"/>
    <w:rsid w:val="00BB4D08"/>
    <w:rsid w:val="00BB6A68"/>
    <w:rsid w:val="00BB739C"/>
    <w:rsid w:val="00BB7905"/>
    <w:rsid w:val="00BB7D1F"/>
    <w:rsid w:val="00BC0108"/>
    <w:rsid w:val="00BC088B"/>
    <w:rsid w:val="00BC1305"/>
    <w:rsid w:val="00BC2587"/>
    <w:rsid w:val="00BC342A"/>
    <w:rsid w:val="00BC40F2"/>
    <w:rsid w:val="00BC45CE"/>
    <w:rsid w:val="00BC4F3D"/>
    <w:rsid w:val="00BC64CE"/>
    <w:rsid w:val="00BC68AD"/>
    <w:rsid w:val="00BC7112"/>
    <w:rsid w:val="00BC7B15"/>
    <w:rsid w:val="00BD0C00"/>
    <w:rsid w:val="00BD0DA0"/>
    <w:rsid w:val="00BD1F9D"/>
    <w:rsid w:val="00BD3693"/>
    <w:rsid w:val="00BD438C"/>
    <w:rsid w:val="00BD492B"/>
    <w:rsid w:val="00BD4A21"/>
    <w:rsid w:val="00BD4F9A"/>
    <w:rsid w:val="00BD5E19"/>
    <w:rsid w:val="00BD6D4E"/>
    <w:rsid w:val="00BD71F1"/>
    <w:rsid w:val="00BD74CF"/>
    <w:rsid w:val="00BE1BBE"/>
    <w:rsid w:val="00BE2C9F"/>
    <w:rsid w:val="00BE36D5"/>
    <w:rsid w:val="00BE4FDC"/>
    <w:rsid w:val="00BE6056"/>
    <w:rsid w:val="00BE6217"/>
    <w:rsid w:val="00BE704B"/>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725"/>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5FA"/>
    <w:rsid w:val="00C2779B"/>
    <w:rsid w:val="00C27D1A"/>
    <w:rsid w:val="00C31200"/>
    <w:rsid w:val="00C31A04"/>
    <w:rsid w:val="00C31A08"/>
    <w:rsid w:val="00C31BE7"/>
    <w:rsid w:val="00C32229"/>
    <w:rsid w:val="00C32DE7"/>
    <w:rsid w:val="00C32F73"/>
    <w:rsid w:val="00C32FD3"/>
    <w:rsid w:val="00C341CB"/>
    <w:rsid w:val="00C3542E"/>
    <w:rsid w:val="00C35B5E"/>
    <w:rsid w:val="00C370A0"/>
    <w:rsid w:val="00C37E04"/>
    <w:rsid w:val="00C4017A"/>
    <w:rsid w:val="00C404FF"/>
    <w:rsid w:val="00C40770"/>
    <w:rsid w:val="00C41148"/>
    <w:rsid w:val="00C41357"/>
    <w:rsid w:val="00C41799"/>
    <w:rsid w:val="00C4244D"/>
    <w:rsid w:val="00C42C2F"/>
    <w:rsid w:val="00C43B8F"/>
    <w:rsid w:val="00C4418E"/>
    <w:rsid w:val="00C45268"/>
    <w:rsid w:val="00C455CD"/>
    <w:rsid w:val="00C45BBF"/>
    <w:rsid w:val="00C46708"/>
    <w:rsid w:val="00C474EF"/>
    <w:rsid w:val="00C47B12"/>
    <w:rsid w:val="00C47B8E"/>
    <w:rsid w:val="00C500D2"/>
    <w:rsid w:val="00C50922"/>
    <w:rsid w:val="00C51440"/>
    <w:rsid w:val="00C52089"/>
    <w:rsid w:val="00C53E87"/>
    <w:rsid w:val="00C55CDE"/>
    <w:rsid w:val="00C56885"/>
    <w:rsid w:val="00C56AE3"/>
    <w:rsid w:val="00C56D20"/>
    <w:rsid w:val="00C57069"/>
    <w:rsid w:val="00C57680"/>
    <w:rsid w:val="00C57997"/>
    <w:rsid w:val="00C57D89"/>
    <w:rsid w:val="00C6124E"/>
    <w:rsid w:val="00C613CF"/>
    <w:rsid w:val="00C6230B"/>
    <w:rsid w:val="00C6257D"/>
    <w:rsid w:val="00C63293"/>
    <w:rsid w:val="00C632FA"/>
    <w:rsid w:val="00C635D0"/>
    <w:rsid w:val="00C641C4"/>
    <w:rsid w:val="00C64273"/>
    <w:rsid w:val="00C64D13"/>
    <w:rsid w:val="00C65B9B"/>
    <w:rsid w:val="00C67249"/>
    <w:rsid w:val="00C67427"/>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9111E"/>
    <w:rsid w:val="00C91446"/>
    <w:rsid w:val="00C919AB"/>
    <w:rsid w:val="00C92681"/>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61EE"/>
    <w:rsid w:val="00CB1AC1"/>
    <w:rsid w:val="00CB1DE5"/>
    <w:rsid w:val="00CB26F2"/>
    <w:rsid w:val="00CB2BAE"/>
    <w:rsid w:val="00CB3124"/>
    <w:rsid w:val="00CB3166"/>
    <w:rsid w:val="00CB40D4"/>
    <w:rsid w:val="00CB638D"/>
    <w:rsid w:val="00CB6900"/>
    <w:rsid w:val="00CB6EB4"/>
    <w:rsid w:val="00CB7439"/>
    <w:rsid w:val="00CB748E"/>
    <w:rsid w:val="00CB7C3A"/>
    <w:rsid w:val="00CC0FC3"/>
    <w:rsid w:val="00CC1406"/>
    <w:rsid w:val="00CC154C"/>
    <w:rsid w:val="00CC1DB2"/>
    <w:rsid w:val="00CC31BC"/>
    <w:rsid w:val="00CC367C"/>
    <w:rsid w:val="00CC3FEE"/>
    <w:rsid w:val="00CC416D"/>
    <w:rsid w:val="00CC45E5"/>
    <w:rsid w:val="00CC466F"/>
    <w:rsid w:val="00CC488B"/>
    <w:rsid w:val="00CC55E8"/>
    <w:rsid w:val="00CC5DF0"/>
    <w:rsid w:val="00CC66BB"/>
    <w:rsid w:val="00CC71C6"/>
    <w:rsid w:val="00CC7477"/>
    <w:rsid w:val="00CC7E7D"/>
    <w:rsid w:val="00CD04B5"/>
    <w:rsid w:val="00CD0968"/>
    <w:rsid w:val="00CD1491"/>
    <w:rsid w:val="00CD2510"/>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F01EA"/>
    <w:rsid w:val="00CF1004"/>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672"/>
    <w:rsid w:val="00D0074A"/>
    <w:rsid w:val="00D00AC1"/>
    <w:rsid w:val="00D0124D"/>
    <w:rsid w:val="00D0267B"/>
    <w:rsid w:val="00D032B4"/>
    <w:rsid w:val="00D03AC3"/>
    <w:rsid w:val="00D03C2A"/>
    <w:rsid w:val="00D040A2"/>
    <w:rsid w:val="00D04FB8"/>
    <w:rsid w:val="00D055E6"/>
    <w:rsid w:val="00D05CAF"/>
    <w:rsid w:val="00D05E39"/>
    <w:rsid w:val="00D062CB"/>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3111"/>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AB6"/>
    <w:rsid w:val="00D507D9"/>
    <w:rsid w:val="00D50BC3"/>
    <w:rsid w:val="00D52E63"/>
    <w:rsid w:val="00D53E86"/>
    <w:rsid w:val="00D545A8"/>
    <w:rsid w:val="00D548A5"/>
    <w:rsid w:val="00D548E5"/>
    <w:rsid w:val="00D55BD9"/>
    <w:rsid w:val="00D55E5A"/>
    <w:rsid w:val="00D56163"/>
    <w:rsid w:val="00D566F5"/>
    <w:rsid w:val="00D56BF3"/>
    <w:rsid w:val="00D60503"/>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E74"/>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2CD"/>
    <w:rsid w:val="00D9475D"/>
    <w:rsid w:val="00D959E9"/>
    <w:rsid w:val="00D95A96"/>
    <w:rsid w:val="00D96319"/>
    <w:rsid w:val="00D9727B"/>
    <w:rsid w:val="00D9777F"/>
    <w:rsid w:val="00DA020A"/>
    <w:rsid w:val="00DA07B6"/>
    <w:rsid w:val="00DA0CA2"/>
    <w:rsid w:val="00DA158D"/>
    <w:rsid w:val="00DA1D14"/>
    <w:rsid w:val="00DA3B52"/>
    <w:rsid w:val="00DA4151"/>
    <w:rsid w:val="00DA4B87"/>
    <w:rsid w:val="00DA4F14"/>
    <w:rsid w:val="00DA5129"/>
    <w:rsid w:val="00DA54E7"/>
    <w:rsid w:val="00DA5795"/>
    <w:rsid w:val="00DA5945"/>
    <w:rsid w:val="00DA63A9"/>
    <w:rsid w:val="00DA69E4"/>
    <w:rsid w:val="00DA717D"/>
    <w:rsid w:val="00DA721B"/>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234"/>
    <w:rsid w:val="00DB6A81"/>
    <w:rsid w:val="00DB77AF"/>
    <w:rsid w:val="00DB7F38"/>
    <w:rsid w:val="00DC09F8"/>
    <w:rsid w:val="00DC0D1A"/>
    <w:rsid w:val="00DC1C5C"/>
    <w:rsid w:val="00DC2465"/>
    <w:rsid w:val="00DC24C8"/>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4DA1"/>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9F5"/>
    <w:rsid w:val="00E35EC1"/>
    <w:rsid w:val="00E35F95"/>
    <w:rsid w:val="00E3623E"/>
    <w:rsid w:val="00E369E0"/>
    <w:rsid w:val="00E36F87"/>
    <w:rsid w:val="00E36FAF"/>
    <w:rsid w:val="00E37775"/>
    <w:rsid w:val="00E37879"/>
    <w:rsid w:val="00E4029A"/>
    <w:rsid w:val="00E40FC3"/>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39D"/>
    <w:rsid w:val="00E50E09"/>
    <w:rsid w:val="00E538E8"/>
    <w:rsid w:val="00E540CA"/>
    <w:rsid w:val="00E54462"/>
    <w:rsid w:val="00E54583"/>
    <w:rsid w:val="00E55F46"/>
    <w:rsid w:val="00E5633C"/>
    <w:rsid w:val="00E56E97"/>
    <w:rsid w:val="00E56EE4"/>
    <w:rsid w:val="00E60085"/>
    <w:rsid w:val="00E60A17"/>
    <w:rsid w:val="00E621FE"/>
    <w:rsid w:val="00E62CBA"/>
    <w:rsid w:val="00E648F7"/>
    <w:rsid w:val="00E64CC9"/>
    <w:rsid w:val="00E65E40"/>
    <w:rsid w:val="00E6690D"/>
    <w:rsid w:val="00E67861"/>
    <w:rsid w:val="00E67D3C"/>
    <w:rsid w:val="00E702B9"/>
    <w:rsid w:val="00E71269"/>
    <w:rsid w:val="00E71D03"/>
    <w:rsid w:val="00E71EAE"/>
    <w:rsid w:val="00E75146"/>
    <w:rsid w:val="00E755AB"/>
    <w:rsid w:val="00E75B19"/>
    <w:rsid w:val="00E75BB5"/>
    <w:rsid w:val="00E7676F"/>
    <w:rsid w:val="00E7767C"/>
    <w:rsid w:val="00E77805"/>
    <w:rsid w:val="00E77C72"/>
    <w:rsid w:val="00E801F8"/>
    <w:rsid w:val="00E81363"/>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29A"/>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B0B"/>
    <w:rsid w:val="00EF58F2"/>
    <w:rsid w:val="00EF60C8"/>
    <w:rsid w:val="00EF6733"/>
    <w:rsid w:val="00EF6AD7"/>
    <w:rsid w:val="00F006A9"/>
    <w:rsid w:val="00F006C0"/>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DBA"/>
    <w:rsid w:val="00F2072A"/>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6E0"/>
    <w:rsid w:val="00F2789C"/>
    <w:rsid w:val="00F310A3"/>
    <w:rsid w:val="00F31175"/>
    <w:rsid w:val="00F31719"/>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1B7"/>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AC1"/>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6800"/>
    <w:rsid w:val="00F76A9C"/>
    <w:rsid w:val="00F77624"/>
    <w:rsid w:val="00F804E8"/>
    <w:rsid w:val="00F80DF4"/>
    <w:rsid w:val="00F8181F"/>
    <w:rsid w:val="00F81B8A"/>
    <w:rsid w:val="00F8258C"/>
    <w:rsid w:val="00F826FD"/>
    <w:rsid w:val="00F82BC8"/>
    <w:rsid w:val="00F82E77"/>
    <w:rsid w:val="00F8356A"/>
    <w:rsid w:val="00F838C1"/>
    <w:rsid w:val="00F83C99"/>
    <w:rsid w:val="00F84C3A"/>
    <w:rsid w:val="00F84CD6"/>
    <w:rsid w:val="00F85662"/>
    <w:rsid w:val="00F86E1B"/>
    <w:rsid w:val="00F902E3"/>
    <w:rsid w:val="00F921D2"/>
    <w:rsid w:val="00F92334"/>
    <w:rsid w:val="00F937E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5C28"/>
    <w:rsid w:val="00FA64FF"/>
    <w:rsid w:val="00FA6825"/>
    <w:rsid w:val="00FA746C"/>
    <w:rsid w:val="00FA7B8D"/>
    <w:rsid w:val="00FB0C83"/>
    <w:rsid w:val="00FB1043"/>
    <w:rsid w:val="00FB20F3"/>
    <w:rsid w:val="00FB3130"/>
    <w:rsid w:val="00FB4050"/>
    <w:rsid w:val="00FB43AC"/>
    <w:rsid w:val="00FB47EA"/>
    <w:rsid w:val="00FB567E"/>
    <w:rsid w:val="00FB7C38"/>
    <w:rsid w:val="00FB7EAC"/>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EB"/>
    <w:rsid w:val="00FD6B5B"/>
    <w:rsid w:val="00FE05FC"/>
    <w:rsid w:val="00FE0693"/>
    <w:rsid w:val="00FE086E"/>
    <w:rsid w:val="00FE0AF4"/>
    <w:rsid w:val="00FE127F"/>
    <w:rsid w:val="00FE27EE"/>
    <w:rsid w:val="00FE30E1"/>
    <w:rsid w:val="00FE5141"/>
    <w:rsid w:val="00FE520C"/>
    <w:rsid w:val="00FE65C5"/>
    <w:rsid w:val="00FE6DA0"/>
    <w:rsid w:val="00FE6E98"/>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83FB9-EBF8-45F5-B53A-B0185C35B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16</Pages>
  <Words>6428</Words>
  <Characters>35354</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2022-11-15T19:08:00Z</cp:lastPrinted>
  <dcterms:created xsi:type="dcterms:W3CDTF">2022-10-31T17:56:00Z</dcterms:created>
  <dcterms:modified xsi:type="dcterms:W3CDTF">2023-03-01T19:21:00Z</dcterms:modified>
</cp:coreProperties>
</file>