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440C9A" w:rsidRPr="009C74DB" w:rsidRDefault="00440C9A" w:rsidP="00440C9A">
      <w:pPr>
        <w:spacing w:after="0"/>
        <w:ind w:left="3686" w:right="51"/>
        <w:jc w:val="both"/>
        <w:rPr>
          <w:rFonts w:ascii="Arial" w:eastAsia="Times New Roman" w:hAnsi="Arial" w:cs="Arial"/>
          <w:b/>
          <w:sz w:val="24"/>
          <w:szCs w:val="24"/>
          <w:lang w:val="es-ES_tradnl" w:eastAsia="es-ES"/>
        </w:rPr>
      </w:pPr>
      <w:r w:rsidRPr="009C74DB">
        <w:rPr>
          <w:rFonts w:ascii="Arial" w:eastAsia="Times New Roman" w:hAnsi="Arial" w:cs="Arial"/>
          <w:b/>
          <w:sz w:val="24"/>
          <w:szCs w:val="24"/>
          <w:lang w:val="es-ES_tradnl" w:eastAsia="es-ES"/>
        </w:rPr>
        <w:t>TRIBUNAL DE JUSTICIA ADMINISTRATIVA DEL ESTADO DE OAXACA.</w:t>
      </w:r>
    </w:p>
    <w:p w:rsidR="00440C9A" w:rsidRPr="009C74DB" w:rsidRDefault="00440C9A" w:rsidP="00440C9A">
      <w:pPr>
        <w:spacing w:after="0"/>
        <w:ind w:left="3686" w:right="51"/>
        <w:jc w:val="both"/>
        <w:rPr>
          <w:rFonts w:ascii="Arial" w:eastAsia="Times New Roman" w:hAnsi="Arial" w:cs="Arial"/>
          <w:b/>
          <w:sz w:val="24"/>
          <w:szCs w:val="24"/>
          <w:lang w:val="es-ES_tradnl" w:eastAsia="es-ES"/>
        </w:rPr>
      </w:pPr>
    </w:p>
    <w:p w:rsidR="00440C9A" w:rsidRPr="009C74DB" w:rsidRDefault="00440C9A" w:rsidP="00440C9A">
      <w:pPr>
        <w:spacing w:after="0"/>
        <w:ind w:left="3686" w:right="51"/>
        <w:jc w:val="both"/>
        <w:rPr>
          <w:rFonts w:ascii="Arial" w:eastAsia="Times New Roman" w:hAnsi="Arial" w:cs="Arial"/>
          <w:b/>
          <w:sz w:val="24"/>
          <w:szCs w:val="24"/>
          <w:lang w:val="es-ES_tradnl" w:eastAsia="es-ES"/>
        </w:rPr>
      </w:pPr>
      <w:r w:rsidRPr="009C74DB">
        <w:rPr>
          <w:rFonts w:ascii="Arial" w:eastAsia="Times New Roman" w:hAnsi="Arial" w:cs="Arial"/>
          <w:b/>
          <w:sz w:val="24"/>
          <w:szCs w:val="24"/>
          <w:lang w:val="es-ES_tradnl" w:eastAsia="es-ES"/>
        </w:rPr>
        <w:t>SEXTA SALA UNITARIA DE PRIMERA INSTANCIA.</w:t>
      </w:r>
    </w:p>
    <w:p w:rsidR="00440C9A" w:rsidRPr="009C74DB" w:rsidRDefault="00440C9A" w:rsidP="00440C9A">
      <w:pPr>
        <w:spacing w:after="0"/>
        <w:ind w:left="3686" w:right="51"/>
        <w:jc w:val="both"/>
        <w:rPr>
          <w:rFonts w:ascii="Arial" w:eastAsia="Times New Roman" w:hAnsi="Arial" w:cs="Arial"/>
          <w:b/>
          <w:sz w:val="24"/>
          <w:szCs w:val="24"/>
          <w:lang w:val="es-ES_tradnl" w:eastAsia="es-ES"/>
        </w:rPr>
      </w:pPr>
    </w:p>
    <w:p w:rsidR="00440C9A" w:rsidRPr="009C74DB" w:rsidRDefault="00440C9A" w:rsidP="00440C9A">
      <w:pPr>
        <w:spacing w:after="0"/>
        <w:ind w:left="3686" w:right="51"/>
        <w:jc w:val="both"/>
        <w:rPr>
          <w:rFonts w:ascii="Arial" w:eastAsia="Times New Roman" w:hAnsi="Arial" w:cs="Arial"/>
          <w:bCs/>
          <w:sz w:val="24"/>
          <w:szCs w:val="24"/>
          <w:lang w:val="es-ES_tradnl" w:eastAsia="es-ES"/>
        </w:rPr>
      </w:pPr>
      <w:r w:rsidRPr="009C74DB">
        <w:rPr>
          <w:rFonts w:ascii="Arial" w:eastAsia="Times New Roman" w:hAnsi="Arial" w:cs="Arial"/>
          <w:b/>
          <w:sz w:val="24"/>
          <w:szCs w:val="24"/>
          <w:lang w:val="es-ES_tradnl" w:eastAsia="es-ES"/>
        </w:rPr>
        <w:t xml:space="preserve">JUICIO DE NULIDAD: </w:t>
      </w:r>
      <w:r w:rsidRPr="009C74DB">
        <w:rPr>
          <w:rFonts w:ascii="Arial" w:eastAsia="Times New Roman" w:hAnsi="Arial" w:cs="Arial"/>
          <w:bCs/>
          <w:sz w:val="24"/>
          <w:szCs w:val="24"/>
          <w:lang w:val="es-ES_tradnl" w:eastAsia="es-ES"/>
        </w:rPr>
        <w:t xml:space="preserve">137/2019. </w:t>
      </w:r>
    </w:p>
    <w:p w:rsidR="00440C9A" w:rsidRPr="009C74DB" w:rsidRDefault="00440C9A" w:rsidP="00440C9A">
      <w:pPr>
        <w:spacing w:after="0"/>
        <w:ind w:left="3686" w:right="51"/>
        <w:jc w:val="both"/>
        <w:rPr>
          <w:rFonts w:ascii="Arial" w:eastAsia="Times New Roman" w:hAnsi="Arial" w:cs="Arial"/>
          <w:b/>
          <w:sz w:val="24"/>
          <w:szCs w:val="24"/>
          <w:lang w:val="es-ES_tradnl" w:eastAsia="es-ES"/>
        </w:rPr>
      </w:pPr>
    </w:p>
    <w:p w:rsidR="00440C9A" w:rsidRPr="009F6E19" w:rsidRDefault="00440C9A" w:rsidP="00440C9A">
      <w:pPr>
        <w:spacing w:after="0"/>
        <w:ind w:left="3686" w:right="51"/>
        <w:jc w:val="both"/>
        <w:rPr>
          <w:rFonts w:ascii="Arial" w:eastAsia="Times New Roman" w:hAnsi="Arial" w:cs="Arial"/>
          <w:sz w:val="24"/>
          <w:szCs w:val="24"/>
          <w:lang w:val="es-ES_tradnl" w:eastAsia="es-ES"/>
        </w:rPr>
      </w:pPr>
      <w:r w:rsidRPr="009C74DB">
        <w:rPr>
          <w:rFonts w:ascii="Arial" w:eastAsia="Times New Roman" w:hAnsi="Arial" w:cs="Arial"/>
          <w:b/>
          <w:sz w:val="24"/>
          <w:szCs w:val="24"/>
          <w:lang w:val="es-ES_tradnl" w:eastAsia="es-ES"/>
        </w:rPr>
        <w:t xml:space="preserve">ACTOR: </w:t>
      </w:r>
      <w:bookmarkStart w:id="0" w:name="_GoBack"/>
      <w:r w:rsidR="00F66B8D">
        <w:rPr>
          <w:rFonts w:ascii="Arial" w:eastAsia="Times New Roman" w:hAnsi="Arial" w:cs="Arial"/>
          <w:sz w:val="24"/>
          <w:szCs w:val="24"/>
          <w:lang w:val="es-ES_tradnl" w:eastAsia="es-ES"/>
        </w:rPr>
        <w:t>**********</w:t>
      </w:r>
      <w:bookmarkEnd w:id="0"/>
      <w:r w:rsidRPr="009F6E19">
        <w:rPr>
          <w:rFonts w:ascii="Arial" w:eastAsia="Times New Roman" w:hAnsi="Arial" w:cs="Arial"/>
          <w:sz w:val="24"/>
          <w:szCs w:val="24"/>
          <w:lang w:val="es-ES_tradnl" w:eastAsia="es-ES"/>
        </w:rPr>
        <w:t xml:space="preserve">.  </w:t>
      </w:r>
    </w:p>
    <w:p w:rsidR="00440C9A" w:rsidRPr="009C74DB" w:rsidRDefault="00440C9A" w:rsidP="00440C9A">
      <w:pPr>
        <w:spacing w:after="0"/>
        <w:ind w:left="3686" w:right="51"/>
        <w:jc w:val="both"/>
        <w:rPr>
          <w:rFonts w:ascii="Arial" w:eastAsia="Times New Roman" w:hAnsi="Arial" w:cs="Arial"/>
          <w:sz w:val="24"/>
          <w:szCs w:val="24"/>
          <w:lang w:val="es-ES_tradnl" w:eastAsia="es-ES"/>
        </w:rPr>
      </w:pPr>
    </w:p>
    <w:p w:rsidR="00440C9A" w:rsidRPr="009C74DB" w:rsidRDefault="00440C9A" w:rsidP="00440C9A">
      <w:pPr>
        <w:spacing w:after="0"/>
        <w:ind w:left="3686" w:right="51"/>
        <w:jc w:val="both"/>
        <w:rPr>
          <w:rFonts w:ascii="Arial" w:eastAsia="Times New Roman" w:hAnsi="Arial" w:cs="Arial"/>
          <w:sz w:val="24"/>
          <w:szCs w:val="24"/>
          <w:lang w:val="es-ES_tradnl" w:eastAsia="es-ES"/>
        </w:rPr>
      </w:pPr>
      <w:r w:rsidRPr="009C74DB">
        <w:rPr>
          <w:rFonts w:ascii="Arial" w:eastAsia="Times New Roman" w:hAnsi="Arial" w:cs="Arial"/>
          <w:b/>
          <w:sz w:val="24"/>
          <w:szCs w:val="24"/>
          <w:lang w:val="es-ES_tradnl" w:eastAsia="es-ES"/>
        </w:rPr>
        <w:t xml:space="preserve">AUTORIDAD DEMANDADA: </w:t>
      </w:r>
      <w:bookmarkStart w:id="1" w:name="_Hlk49769963"/>
      <w:r w:rsidRPr="009C74DB">
        <w:rPr>
          <w:rFonts w:ascii="Arial" w:eastAsia="Times New Roman" w:hAnsi="Arial" w:cs="Arial"/>
          <w:sz w:val="24"/>
          <w:szCs w:val="24"/>
          <w:lang w:val="es-ES_tradnl" w:eastAsia="es-ES"/>
        </w:rPr>
        <w:t>DIRECTORA DE INGRESOS Y RECAUDACIÓN DE LA SUBSECRETARÍA DE INGRESOS DE LA SECRETARÍA DE FINANZAS DEL GOBIERNO DEL ESTADO DE OAXACA</w:t>
      </w:r>
      <w:bookmarkEnd w:id="1"/>
      <w:r w:rsidRPr="009C74DB">
        <w:rPr>
          <w:rFonts w:ascii="Arial" w:eastAsia="Times New Roman" w:hAnsi="Arial" w:cs="Arial"/>
          <w:sz w:val="24"/>
          <w:szCs w:val="24"/>
          <w:lang w:val="es-ES_tradnl" w:eastAsia="es-ES"/>
        </w:rPr>
        <w:t>.</w:t>
      </w:r>
    </w:p>
    <w:p w:rsidR="00440C9A" w:rsidRPr="009C74DB" w:rsidRDefault="00440C9A" w:rsidP="00440C9A">
      <w:pPr>
        <w:spacing w:after="0"/>
        <w:ind w:left="3969" w:right="51"/>
        <w:jc w:val="both"/>
        <w:rPr>
          <w:rFonts w:ascii="Arial" w:eastAsia="Times New Roman" w:hAnsi="Arial" w:cs="Arial"/>
          <w:sz w:val="24"/>
          <w:szCs w:val="24"/>
          <w:lang w:val="es-ES_tradnl" w:eastAsia="es-ES"/>
        </w:rPr>
      </w:pPr>
    </w:p>
    <w:p w:rsidR="00440C9A" w:rsidRPr="009C74DB" w:rsidRDefault="00440C9A" w:rsidP="00440C9A">
      <w:pPr>
        <w:widowControl w:val="0"/>
        <w:spacing w:after="0" w:line="240" w:lineRule="auto"/>
        <w:ind w:right="51"/>
        <w:rPr>
          <w:rFonts w:ascii="Arial" w:eastAsia="Times New Roman" w:hAnsi="Arial" w:cs="Arial"/>
          <w:color w:val="FF0000"/>
          <w:sz w:val="24"/>
          <w:szCs w:val="24"/>
          <w:lang w:val="es-ES" w:eastAsia="es-ES"/>
        </w:rPr>
      </w:pPr>
    </w:p>
    <w:p w:rsidR="00440C9A" w:rsidRPr="009F6E19" w:rsidRDefault="00440C9A" w:rsidP="00440C9A">
      <w:pPr>
        <w:widowControl w:val="0"/>
        <w:spacing w:line="360" w:lineRule="auto"/>
        <w:ind w:right="51" w:firstLine="567"/>
        <w:jc w:val="both"/>
        <w:rPr>
          <w:rFonts w:ascii="Arial" w:eastAsia="Times New Roman" w:hAnsi="Arial" w:cs="Arial"/>
          <w:b/>
          <w:sz w:val="24"/>
          <w:szCs w:val="24"/>
          <w:lang w:eastAsia="es-ES"/>
        </w:rPr>
      </w:pPr>
      <w:r w:rsidRPr="009C74DB">
        <w:rPr>
          <w:rFonts w:ascii="Arial" w:eastAsia="Times New Roman" w:hAnsi="Arial" w:cs="Arial"/>
          <w:b/>
          <w:sz w:val="24"/>
          <w:szCs w:val="24"/>
          <w:lang w:val="es-ES" w:eastAsia="es-ES"/>
        </w:rPr>
        <w:t xml:space="preserve">OAXACA DE JUÁREZ, OAXACA, </w:t>
      </w:r>
      <w:r w:rsidR="009F6E19">
        <w:rPr>
          <w:rFonts w:ascii="Arial" w:eastAsia="Times New Roman" w:hAnsi="Arial" w:cs="Arial"/>
          <w:b/>
          <w:sz w:val="24"/>
          <w:szCs w:val="24"/>
          <w:lang w:val="es-ES" w:eastAsia="es-ES"/>
        </w:rPr>
        <w:t>TREINTA DE SEPTIEMBRE</w:t>
      </w:r>
      <w:r w:rsidRPr="009C74DB">
        <w:rPr>
          <w:rFonts w:ascii="Arial" w:eastAsia="Times New Roman" w:hAnsi="Arial" w:cs="Arial"/>
          <w:b/>
          <w:sz w:val="24"/>
          <w:szCs w:val="24"/>
          <w:lang w:val="es-ES" w:eastAsia="es-ES"/>
        </w:rPr>
        <w:t xml:space="preserve"> DE DOS MIL VEINTE.</w:t>
      </w:r>
      <w:r w:rsidRPr="009C74DB">
        <w:rPr>
          <w:sz w:val="24"/>
          <w:szCs w:val="24"/>
        </w:rPr>
        <w:t xml:space="preserve"> </w:t>
      </w:r>
    </w:p>
    <w:p w:rsidR="00440C9A" w:rsidRPr="009C74DB" w:rsidRDefault="00440C9A" w:rsidP="00440C9A">
      <w:pPr>
        <w:widowControl w:val="0"/>
        <w:spacing w:line="360" w:lineRule="auto"/>
        <w:ind w:right="51" w:firstLine="567"/>
        <w:jc w:val="both"/>
        <w:rPr>
          <w:rFonts w:ascii="Arial" w:eastAsia="Times New Roman" w:hAnsi="Arial" w:cs="Arial"/>
          <w:sz w:val="24"/>
          <w:szCs w:val="24"/>
          <w:lang w:val="es-ES" w:eastAsia="es-ES"/>
        </w:rPr>
      </w:pPr>
      <w:r w:rsidRPr="009C74DB">
        <w:rPr>
          <w:rFonts w:ascii="Arial" w:eastAsia="Times New Roman" w:hAnsi="Arial" w:cs="Arial"/>
          <w:b/>
          <w:sz w:val="24"/>
          <w:szCs w:val="24"/>
          <w:lang w:val="es-ES_tradnl" w:eastAsia="es-ES"/>
        </w:rPr>
        <w:t xml:space="preserve">V I S T O S, </w:t>
      </w:r>
      <w:r w:rsidRPr="009C74DB">
        <w:rPr>
          <w:rFonts w:ascii="Arial" w:eastAsia="Times New Roman" w:hAnsi="Arial" w:cs="Arial"/>
          <w:sz w:val="24"/>
          <w:szCs w:val="24"/>
          <w:lang w:val="es-ES_tradnl" w:eastAsia="es-ES"/>
        </w:rPr>
        <w:t xml:space="preserve">para resolver los autos del juicio de nulidad número </w:t>
      </w:r>
      <w:r w:rsidRPr="009C74DB">
        <w:rPr>
          <w:rFonts w:ascii="Arial" w:eastAsia="Times New Roman" w:hAnsi="Arial" w:cs="Arial"/>
          <w:b/>
          <w:bCs/>
          <w:sz w:val="24"/>
          <w:szCs w:val="24"/>
          <w:lang w:val="es-ES_tradnl" w:eastAsia="es-ES"/>
        </w:rPr>
        <w:t>137/2019</w:t>
      </w:r>
      <w:r w:rsidRPr="009C74DB">
        <w:rPr>
          <w:rFonts w:ascii="Arial" w:eastAsia="Times New Roman" w:hAnsi="Arial" w:cs="Arial"/>
          <w:sz w:val="24"/>
          <w:szCs w:val="24"/>
          <w:lang w:val="es-ES_tradnl" w:eastAsia="es-ES"/>
        </w:rPr>
        <w:t xml:space="preserve">, interpuesto por </w:t>
      </w:r>
      <w:r w:rsidR="00F66B8D">
        <w:rPr>
          <w:rFonts w:ascii="Arial" w:eastAsia="Times New Roman" w:hAnsi="Arial" w:cs="Arial"/>
          <w:b/>
          <w:bCs/>
          <w:sz w:val="24"/>
          <w:szCs w:val="24"/>
          <w:lang w:val="es-ES_tradnl" w:eastAsia="es-ES"/>
        </w:rPr>
        <w:t>**********</w:t>
      </w:r>
      <w:r w:rsidRPr="009C74DB">
        <w:rPr>
          <w:rFonts w:ascii="Arial" w:eastAsia="Times New Roman" w:hAnsi="Arial" w:cs="Arial"/>
          <w:sz w:val="24"/>
          <w:szCs w:val="24"/>
          <w:lang w:val="es-ES_tradnl" w:eastAsia="es-ES"/>
        </w:rPr>
        <w:t xml:space="preserve">, en contra de la </w:t>
      </w:r>
      <w:r w:rsidRPr="009C74DB">
        <w:rPr>
          <w:rFonts w:ascii="Arial" w:eastAsia="Times New Roman" w:hAnsi="Arial" w:cs="Arial"/>
          <w:b/>
          <w:sz w:val="24"/>
          <w:szCs w:val="24"/>
          <w:lang w:val="es-ES_tradnl" w:eastAsia="es-ES"/>
        </w:rPr>
        <w:t>DIRECTORA DE INGRESOS Y RECAUDACIÓN DE LA SUBSECRETARÍA DE INGRESOS DE LA SECRETARÍA DE FINANZAS DEL GOBIERNO DEL ESTADO DE OAXACA</w:t>
      </w:r>
      <w:r w:rsidR="009F6E19">
        <w:rPr>
          <w:rFonts w:ascii="Arial" w:eastAsia="Times New Roman" w:hAnsi="Arial" w:cs="Arial"/>
          <w:sz w:val="24"/>
          <w:szCs w:val="24"/>
          <w:lang w:val="es-ES_tradnl" w:eastAsia="es-ES"/>
        </w:rPr>
        <w:t>, y;</w:t>
      </w:r>
    </w:p>
    <w:p w:rsidR="00440C9A" w:rsidRPr="009C74DB" w:rsidRDefault="00F66B8D" w:rsidP="00440C9A">
      <w:pPr>
        <w:spacing w:line="360" w:lineRule="auto"/>
        <w:jc w:val="center"/>
        <w:rPr>
          <w:rFonts w:ascii="Arial" w:hAnsi="Arial" w:cs="Arial"/>
          <w:b/>
          <w:spacing w:val="-3"/>
          <w:sz w:val="24"/>
          <w:szCs w:val="24"/>
          <w:lang w:val="es-ES_tradnl"/>
        </w:rPr>
      </w:pPr>
      <w:r>
        <w:rPr>
          <w:noProof/>
          <w:lang w:eastAsia="es-MX"/>
        </w:rPr>
        <mc:AlternateContent>
          <mc:Choice Requires="wps">
            <w:drawing>
              <wp:anchor distT="0" distB="0" distL="114300" distR="114300" simplePos="0" relativeHeight="251659264" behindDoc="1" locked="0" layoutInCell="1" allowOverlap="1" wp14:anchorId="43E87BE0" wp14:editId="48E51951">
                <wp:simplePos x="0" y="0"/>
                <wp:positionH relativeFrom="column">
                  <wp:posOffset>-1150620</wp:posOffset>
                </wp:positionH>
                <wp:positionV relativeFrom="paragraph">
                  <wp:posOffset>504999</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F66B8D" w:rsidRPr="00035E13" w:rsidRDefault="00F66B8D" w:rsidP="00F66B8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E87BE0" id="_x0000_t202" coordsize="21600,21600" o:spt="202" path="m,l,21600r21600,l21600,xe">
                <v:stroke joinstyle="miter"/>
                <v:path gradientshapeok="t" o:connecttype="rect"/>
              </v:shapetype>
              <v:shape id="Cuadro de texto 5" o:spid="_x0000_s1026" type="#_x0000_t202" style="position:absolute;left:0;text-align:left;margin-left:-90.6pt;margin-top:39.75pt;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" fillcolor="window" strokeweight=".5pt">
                <v:path arrowok="t"/>
                <v:textbox>
                  <w:txbxContent>
                    <w:p w:rsidR="00F66B8D" w:rsidRPr="00035E13" w:rsidRDefault="00F66B8D" w:rsidP="00F66B8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440C9A" w:rsidRPr="009C74DB">
        <w:rPr>
          <w:rFonts w:ascii="Arial" w:hAnsi="Arial" w:cs="Arial"/>
          <w:b/>
          <w:sz w:val="24"/>
          <w:szCs w:val="24"/>
        </w:rPr>
        <w:t>R E</w:t>
      </w:r>
      <w:r w:rsidR="00440C9A" w:rsidRPr="009C74DB">
        <w:rPr>
          <w:rFonts w:ascii="Arial" w:hAnsi="Arial" w:cs="Arial"/>
          <w:b/>
          <w:spacing w:val="-3"/>
          <w:sz w:val="24"/>
          <w:szCs w:val="24"/>
          <w:lang w:val="es-ES_tradnl"/>
        </w:rPr>
        <w:t xml:space="preserve"> S U L T A N D O:</w:t>
      </w:r>
    </w:p>
    <w:p w:rsidR="00440C9A" w:rsidRPr="009C74DB" w:rsidRDefault="00440C9A" w:rsidP="00440C9A">
      <w:pPr>
        <w:spacing w:line="360" w:lineRule="auto"/>
        <w:ind w:firstLine="567"/>
        <w:jc w:val="both"/>
        <w:rPr>
          <w:rFonts w:ascii="Arial" w:hAnsi="Arial" w:cs="Arial"/>
          <w:bCs/>
          <w:spacing w:val="-3"/>
          <w:sz w:val="24"/>
          <w:szCs w:val="24"/>
          <w:lang w:val="es-ES_tradnl"/>
        </w:rPr>
      </w:pPr>
      <w:r w:rsidRPr="009C74DB">
        <w:rPr>
          <w:rFonts w:ascii="Arial" w:hAnsi="Arial" w:cs="Arial"/>
          <w:b/>
          <w:spacing w:val="-3"/>
          <w:sz w:val="24"/>
          <w:szCs w:val="24"/>
          <w:lang w:val="es-ES_tradnl"/>
        </w:rPr>
        <w:t xml:space="preserve">PRIMERO.- </w:t>
      </w:r>
      <w:r w:rsidRPr="009C74DB">
        <w:rPr>
          <w:rFonts w:ascii="Arial" w:hAnsi="Arial" w:cs="Arial"/>
          <w:bCs/>
          <w:spacing w:val="-3"/>
          <w:sz w:val="24"/>
          <w:szCs w:val="24"/>
          <w:lang w:val="es-ES_tradnl"/>
        </w:rPr>
        <w:t xml:space="preserve">Con fecha quince de noviembre de dos mil diecinueve (15/11/2019) </w:t>
      </w:r>
      <w:r w:rsidR="00F66B8D">
        <w:rPr>
          <w:rFonts w:ascii="Arial" w:hAnsi="Arial" w:cs="Arial"/>
          <w:bCs/>
          <w:spacing w:val="-3"/>
          <w:sz w:val="24"/>
          <w:szCs w:val="24"/>
          <w:lang w:val="es-ES_tradnl"/>
        </w:rPr>
        <w:t>**********</w:t>
      </w:r>
      <w:r w:rsidRPr="009C74DB">
        <w:rPr>
          <w:rFonts w:ascii="Arial" w:hAnsi="Arial" w:cs="Arial"/>
          <w:bCs/>
          <w:spacing w:val="-3"/>
          <w:sz w:val="24"/>
          <w:szCs w:val="24"/>
          <w:lang w:val="es-ES_tradnl"/>
        </w:rPr>
        <w:t xml:space="preserve">, presentó en la Oficialía de Partes Común de este Tribunal, presentó en la Oficialía de Partes Común de este Tribunal su escrito de demanda, en el cual  solicitó la nulidad de la multa por infracción con número de control 14MI54ER191165 de fecha diecinueve de agosto de dos mil diecinueve, emitida por la maestra </w:t>
      </w:r>
      <w:r w:rsidRPr="009F6E19">
        <w:rPr>
          <w:rFonts w:ascii="Arial" w:hAnsi="Arial" w:cs="Arial"/>
          <w:bCs/>
          <w:spacing w:val="-3"/>
          <w:sz w:val="24"/>
          <w:szCs w:val="24"/>
          <w:lang w:val="es-ES_tradnl"/>
        </w:rPr>
        <w:t>ELIZABETH MARTÍNEZ ARZOLA</w:t>
      </w:r>
      <w:r w:rsidRPr="009C74DB">
        <w:rPr>
          <w:rFonts w:ascii="Arial" w:hAnsi="Arial" w:cs="Arial"/>
          <w:bCs/>
          <w:spacing w:val="-3"/>
          <w:sz w:val="24"/>
          <w:szCs w:val="24"/>
          <w:lang w:val="es-ES_tradnl"/>
        </w:rPr>
        <w:t>, Directora de Ingresos y Recaudación de la Subsecretaría de Ingresos de la Secretaría de Finanzas del Gobierno del Estado de Oaxaca. Por lo que mediante acuerdo de fecha diecinueve de noviembre de dos mil diecinueve (19/11/2019), se admitió a trámite la demanda, ordenándose notificar, emplazar y correr traslado a la autoridad demandada, para que produjera su contestaci</w:t>
      </w:r>
      <w:r w:rsidR="009F6E19">
        <w:rPr>
          <w:rFonts w:ascii="Arial" w:hAnsi="Arial" w:cs="Arial"/>
          <w:bCs/>
          <w:spacing w:val="-3"/>
          <w:sz w:val="24"/>
          <w:szCs w:val="24"/>
          <w:lang w:val="es-ES_tradnl"/>
        </w:rPr>
        <w:t>ón en los términos de ley.</w:t>
      </w:r>
    </w:p>
    <w:p w:rsidR="00440C9A" w:rsidRPr="009C74DB" w:rsidRDefault="00440C9A" w:rsidP="00440C9A">
      <w:pPr>
        <w:spacing w:line="360" w:lineRule="auto"/>
        <w:ind w:firstLine="567"/>
        <w:jc w:val="both"/>
        <w:rPr>
          <w:rFonts w:ascii="Arial" w:hAnsi="Arial" w:cs="Arial"/>
          <w:bCs/>
          <w:spacing w:val="-3"/>
          <w:sz w:val="24"/>
          <w:szCs w:val="24"/>
          <w:lang w:val="es-ES_tradnl"/>
        </w:rPr>
      </w:pPr>
      <w:r w:rsidRPr="009C74DB">
        <w:rPr>
          <w:rFonts w:ascii="Arial" w:hAnsi="Arial" w:cs="Arial"/>
          <w:b/>
          <w:spacing w:val="-3"/>
          <w:sz w:val="24"/>
          <w:szCs w:val="24"/>
          <w:lang w:val="es-ES_tradnl"/>
        </w:rPr>
        <w:t>SEGUNDO.-</w:t>
      </w:r>
      <w:r w:rsidRPr="009C74DB">
        <w:rPr>
          <w:rFonts w:ascii="Arial" w:hAnsi="Arial" w:cs="Arial"/>
          <w:bCs/>
          <w:spacing w:val="-3"/>
          <w:sz w:val="24"/>
          <w:szCs w:val="24"/>
          <w:lang w:val="es-ES_tradnl"/>
        </w:rPr>
        <w:t xml:space="preserve"> Por acuerdo de fecha diecisiete de marzo de dos mil veinte (17/03/2020), se tuvo al Procurador Fiscal de la Subsecretaría de Ingresos de la Secretaría de Finanzas del Poder Ejecutivo del Estado de Oaxaca, en representación jurídica y ejerciendo la defensa legal de la Secretaría de Finanzas y sus áreas, contestando la demanda entablada en contra de su representada en los términos en los que lo hizo, y se tuvieron por admitidas las pruebas que ofreció, </w:t>
      </w:r>
      <w:r w:rsidR="00D04E71">
        <w:rPr>
          <w:rFonts w:ascii="Arial" w:hAnsi="Arial" w:cs="Arial"/>
          <w:bCs/>
          <w:spacing w:val="-3"/>
          <w:sz w:val="24"/>
          <w:szCs w:val="24"/>
          <w:lang w:val="es-ES_tradnl"/>
        </w:rPr>
        <w:t>en el que se s</w:t>
      </w:r>
      <w:r w:rsidRPr="009C74DB">
        <w:rPr>
          <w:rFonts w:ascii="Arial" w:hAnsi="Arial" w:cs="Arial"/>
          <w:bCs/>
          <w:spacing w:val="-3"/>
          <w:sz w:val="24"/>
          <w:szCs w:val="24"/>
          <w:lang w:val="es-ES_tradnl"/>
        </w:rPr>
        <w:t>eñaló fecha y hora para la celebració</w:t>
      </w:r>
      <w:r w:rsidR="009F6E19">
        <w:rPr>
          <w:rFonts w:ascii="Arial" w:hAnsi="Arial" w:cs="Arial"/>
          <w:bCs/>
          <w:spacing w:val="-3"/>
          <w:sz w:val="24"/>
          <w:szCs w:val="24"/>
          <w:lang w:val="es-ES_tradnl"/>
        </w:rPr>
        <w:t>n de la audiencia final.</w:t>
      </w:r>
    </w:p>
    <w:p w:rsidR="009F6E19" w:rsidRDefault="00440C9A" w:rsidP="00440C9A">
      <w:pPr>
        <w:spacing w:line="360" w:lineRule="auto"/>
        <w:ind w:firstLine="567"/>
        <w:jc w:val="both"/>
        <w:rPr>
          <w:rFonts w:ascii="Arial" w:hAnsi="Arial" w:cs="Arial"/>
          <w:bCs/>
          <w:spacing w:val="-3"/>
          <w:sz w:val="24"/>
          <w:szCs w:val="24"/>
          <w:lang w:val="es-ES_tradnl"/>
        </w:rPr>
      </w:pPr>
      <w:r w:rsidRPr="009C74DB">
        <w:rPr>
          <w:rFonts w:ascii="Arial" w:hAnsi="Arial" w:cs="Arial"/>
          <w:b/>
          <w:spacing w:val="-3"/>
          <w:sz w:val="24"/>
          <w:szCs w:val="24"/>
          <w:lang w:val="es-ES_tradnl"/>
        </w:rPr>
        <w:lastRenderedPageBreak/>
        <w:t>TERCERO.-</w:t>
      </w:r>
      <w:r w:rsidRPr="009C74DB">
        <w:rPr>
          <w:rFonts w:ascii="Arial" w:hAnsi="Arial" w:cs="Arial"/>
          <w:bCs/>
          <w:spacing w:val="-3"/>
          <w:sz w:val="24"/>
          <w:szCs w:val="24"/>
          <w:lang w:val="es-ES_tradnl"/>
        </w:rPr>
        <w:t xml:space="preserve"> </w:t>
      </w:r>
      <w:r w:rsidR="00D04E71">
        <w:rPr>
          <w:rFonts w:ascii="Arial" w:hAnsi="Arial" w:cs="Arial"/>
          <w:bCs/>
          <w:spacing w:val="-3"/>
          <w:sz w:val="24"/>
          <w:szCs w:val="24"/>
          <w:lang w:val="es-ES_tradnl"/>
        </w:rPr>
        <w:t xml:space="preserve"> P</w:t>
      </w:r>
      <w:r w:rsidR="009F6E19">
        <w:rPr>
          <w:rFonts w:ascii="Arial" w:hAnsi="Arial" w:cs="Arial"/>
          <w:bCs/>
          <w:spacing w:val="-3"/>
          <w:sz w:val="24"/>
          <w:szCs w:val="24"/>
          <w:lang w:val="es-ES_tradnl"/>
        </w:rPr>
        <w:t>or auto de treinta y uno de agosto del año en curso</w:t>
      </w:r>
      <w:r w:rsidR="00D04E71">
        <w:rPr>
          <w:rFonts w:ascii="Arial" w:hAnsi="Arial" w:cs="Arial"/>
          <w:bCs/>
          <w:spacing w:val="-3"/>
          <w:sz w:val="24"/>
          <w:szCs w:val="24"/>
          <w:lang w:val="es-ES_tradnl"/>
        </w:rPr>
        <w:t xml:space="preserve"> se ordenó levantar la suspensión en el asunto</w:t>
      </w:r>
      <w:r w:rsidR="0089401A">
        <w:rPr>
          <w:rFonts w:ascii="Arial" w:hAnsi="Arial" w:cs="Arial"/>
          <w:bCs/>
          <w:spacing w:val="-3"/>
          <w:sz w:val="24"/>
          <w:szCs w:val="24"/>
          <w:lang w:val="es-ES_tradnl"/>
        </w:rPr>
        <w:t xml:space="preserve"> dada la suspensión de labores de este Tribunal por la pandemia que se vive en el país,</w:t>
      </w:r>
      <w:r w:rsidR="00D04E71">
        <w:rPr>
          <w:rFonts w:ascii="Arial" w:hAnsi="Arial" w:cs="Arial"/>
          <w:bCs/>
          <w:spacing w:val="-3"/>
          <w:sz w:val="24"/>
          <w:szCs w:val="24"/>
          <w:lang w:val="es-ES_tradnl"/>
        </w:rPr>
        <w:t xml:space="preserve"> de igual forma se les hizo saber a las partes el cambio de personal de la Sala y se señaló fecha y hora para la audiencia final, </w:t>
      </w:r>
      <w:r w:rsidR="0089401A">
        <w:rPr>
          <w:rFonts w:ascii="Arial" w:hAnsi="Arial" w:cs="Arial"/>
          <w:bCs/>
          <w:spacing w:val="-3"/>
          <w:sz w:val="24"/>
          <w:szCs w:val="24"/>
          <w:lang w:val="es-ES_tradnl"/>
        </w:rPr>
        <w:t>en virtud de no haberse desahogado la misma.</w:t>
      </w:r>
    </w:p>
    <w:p w:rsidR="00440C9A" w:rsidRPr="009C74DB" w:rsidRDefault="00440C9A" w:rsidP="00D04E71">
      <w:pPr>
        <w:spacing w:line="360" w:lineRule="auto"/>
        <w:ind w:firstLine="567"/>
        <w:jc w:val="both"/>
        <w:rPr>
          <w:rFonts w:ascii="Arial" w:hAnsi="Arial" w:cs="Arial"/>
          <w:bCs/>
          <w:spacing w:val="-3"/>
          <w:sz w:val="24"/>
          <w:szCs w:val="24"/>
          <w:lang w:val="es-ES_tradnl"/>
        </w:rPr>
      </w:pPr>
      <w:r w:rsidRPr="009C74DB">
        <w:rPr>
          <w:rFonts w:ascii="Arial" w:hAnsi="Arial" w:cs="Arial"/>
          <w:bCs/>
          <w:spacing w:val="-3"/>
          <w:sz w:val="24"/>
          <w:szCs w:val="24"/>
          <w:lang w:val="es-ES_tradnl"/>
        </w:rPr>
        <w:t xml:space="preserve">El </w:t>
      </w:r>
      <w:r w:rsidR="00D04E71">
        <w:rPr>
          <w:rFonts w:ascii="Arial" w:hAnsi="Arial" w:cs="Arial"/>
          <w:bCs/>
          <w:spacing w:val="-3"/>
          <w:sz w:val="24"/>
          <w:szCs w:val="24"/>
          <w:lang w:val="es-ES_tradnl"/>
        </w:rPr>
        <w:t>veintitrés de septiembre de dos mil veintitrés del año en cu</w:t>
      </w:r>
      <w:r w:rsidRPr="009C74DB">
        <w:rPr>
          <w:rFonts w:ascii="Arial" w:hAnsi="Arial" w:cs="Arial"/>
          <w:bCs/>
          <w:spacing w:val="-3"/>
          <w:sz w:val="24"/>
          <w:szCs w:val="24"/>
          <w:lang w:val="es-ES_tradnl"/>
        </w:rPr>
        <w:t xml:space="preserve">se llevó a cabo la Audiencia de Ley, en la que no se presentaron las partes, ni persona alguna que legalmente las representara, asentando el Secretario de Acuerdos, que ninguna de las partes presentó alegatos, por lo que se citó a las partes oír sentencia </w:t>
      </w:r>
      <w:r w:rsidR="009F6E19">
        <w:rPr>
          <w:rFonts w:ascii="Arial" w:hAnsi="Arial" w:cs="Arial"/>
          <w:bCs/>
          <w:spacing w:val="-3"/>
          <w:sz w:val="24"/>
          <w:szCs w:val="24"/>
          <w:lang w:val="es-ES_tradnl"/>
        </w:rPr>
        <w:t>dentro del término de ley, y;</w:t>
      </w:r>
    </w:p>
    <w:p w:rsidR="00440C9A" w:rsidRPr="009C74DB" w:rsidRDefault="00440C9A" w:rsidP="00440C9A">
      <w:pPr>
        <w:spacing w:line="360" w:lineRule="auto"/>
        <w:jc w:val="both"/>
        <w:rPr>
          <w:rFonts w:ascii="Arial" w:hAnsi="Arial" w:cs="Arial"/>
          <w:b/>
          <w:spacing w:val="-3"/>
          <w:sz w:val="24"/>
          <w:szCs w:val="24"/>
          <w:lang w:val="es-ES_tradnl"/>
        </w:rPr>
      </w:pPr>
      <w:r w:rsidRPr="009C74DB">
        <w:rPr>
          <w:rFonts w:ascii="Arial" w:hAnsi="Arial" w:cs="Arial"/>
          <w:b/>
          <w:spacing w:val="-3"/>
          <w:sz w:val="24"/>
          <w:szCs w:val="24"/>
          <w:lang w:val="es-ES_tradnl"/>
        </w:rPr>
        <w:tab/>
      </w:r>
      <w:r w:rsidRPr="009C74DB">
        <w:rPr>
          <w:rFonts w:ascii="Arial" w:hAnsi="Arial" w:cs="Arial"/>
          <w:b/>
          <w:spacing w:val="-3"/>
          <w:sz w:val="24"/>
          <w:szCs w:val="24"/>
          <w:lang w:val="es-ES_tradnl"/>
        </w:rPr>
        <w:tab/>
      </w:r>
      <w:r w:rsidRPr="009C74DB">
        <w:rPr>
          <w:rFonts w:ascii="Arial" w:hAnsi="Arial" w:cs="Arial"/>
          <w:b/>
          <w:spacing w:val="-3"/>
          <w:sz w:val="24"/>
          <w:szCs w:val="24"/>
          <w:lang w:val="es-ES_tradnl"/>
        </w:rPr>
        <w:tab/>
      </w:r>
      <w:r w:rsidRPr="009C74DB">
        <w:rPr>
          <w:rFonts w:ascii="Arial" w:hAnsi="Arial" w:cs="Arial"/>
          <w:b/>
          <w:spacing w:val="-3"/>
          <w:sz w:val="24"/>
          <w:szCs w:val="24"/>
          <w:lang w:val="es-ES_tradnl"/>
        </w:rPr>
        <w:tab/>
        <w:t>C O N S I D E R A N D O:</w:t>
      </w:r>
    </w:p>
    <w:p w:rsidR="00440C9A" w:rsidRPr="009C74DB" w:rsidRDefault="00F66B8D" w:rsidP="00440C9A">
      <w:pPr>
        <w:spacing w:line="360" w:lineRule="auto"/>
        <w:ind w:firstLine="567"/>
        <w:jc w:val="both"/>
        <w:rPr>
          <w:rFonts w:ascii="Arial" w:hAnsi="Arial" w:cs="Arial"/>
          <w:sz w:val="24"/>
          <w:szCs w:val="24"/>
        </w:rPr>
      </w:pPr>
      <w:r>
        <w:rPr>
          <w:noProof/>
          <w:lang w:eastAsia="es-MX"/>
        </w:rPr>
        <mc:AlternateContent>
          <mc:Choice Requires="wps">
            <w:drawing>
              <wp:anchor distT="0" distB="0" distL="114300" distR="114300" simplePos="0" relativeHeight="251661312" behindDoc="1" locked="0" layoutInCell="1" allowOverlap="1" wp14:anchorId="7F000821" wp14:editId="3F44C835">
                <wp:simplePos x="0" y="0"/>
                <wp:positionH relativeFrom="column">
                  <wp:posOffset>5652192</wp:posOffset>
                </wp:positionH>
                <wp:positionV relativeFrom="paragraph">
                  <wp:posOffset>934951</wp:posOffset>
                </wp:positionV>
                <wp:extent cx="1009650" cy="96202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F66B8D" w:rsidRPr="00035E13" w:rsidRDefault="00F66B8D" w:rsidP="00F66B8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000821" id="Cuadro de texto 1" o:spid="_x0000_s1027" type="#_x0000_t202" style="position:absolute;left:0;text-align:left;margin-left:445.05pt;margin-top:73.6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" fillcolor="window" strokeweight=".5pt">
                <v:path arrowok="t"/>
                <v:textbox>
                  <w:txbxContent>
                    <w:p w:rsidR="00F66B8D" w:rsidRPr="00035E13" w:rsidRDefault="00F66B8D" w:rsidP="00F66B8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440C9A" w:rsidRPr="009C74DB">
        <w:rPr>
          <w:rFonts w:ascii="Arial" w:hAnsi="Arial" w:cs="Arial"/>
          <w:b/>
          <w:sz w:val="24"/>
          <w:szCs w:val="24"/>
        </w:rPr>
        <w:t xml:space="preserve">PRIMERO. </w:t>
      </w:r>
      <w:r w:rsidR="00440C9A" w:rsidRPr="009C74DB">
        <w:rPr>
          <w:rFonts w:ascii="Arial" w:hAnsi="Arial" w:cs="Arial"/>
          <w:sz w:val="24"/>
          <w:szCs w:val="24"/>
        </w:rPr>
        <w:t>Esta Sexta Sala Unitaria de Primera Instancia del Tribunal de Justicia Administrativa del Estado de Oaxaca, es competente para conocer y resolver el presente juicio, con fundamento en el artículo 116 fracción V de la Constitución Política de los Estados Unidos Mexicanos, 114 QUATER, 115 de la Constitución Política del Estado Libre y Soberano de Oaxaca, así como en términos de los artículos 119, 120 fracción I, 123, 124, 132 fracción I y II, 133, 146 y 147 de la Ley de Procedimiento y Justicia Administrativa para</w:t>
      </w:r>
      <w:r w:rsidR="009F6E19">
        <w:rPr>
          <w:rFonts w:ascii="Arial" w:hAnsi="Arial" w:cs="Arial"/>
          <w:sz w:val="24"/>
          <w:szCs w:val="24"/>
        </w:rPr>
        <w:t xml:space="preserve"> el Estado de Oaxaca. </w:t>
      </w:r>
    </w:p>
    <w:p w:rsidR="00440C9A" w:rsidRPr="009C74DB" w:rsidRDefault="00440C9A" w:rsidP="00440C9A">
      <w:pPr>
        <w:spacing w:line="360" w:lineRule="auto"/>
        <w:ind w:firstLine="567"/>
        <w:jc w:val="both"/>
        <w:rPr>
          <w:rFonts w:ascii="Arial" w:hAnsi="Arial" w:cs="Arial"/>
          <w:bCs/>
          <w:snapToGrid w:val="0"/>
          <w:sz w:val="24"/>
          <w:szCs w:val="24"/>
        </w:rPr>
      </w:pPr>
      <w:r w:rsidRPr="009C74DB">
        <w:rPr>
          <w:rFonts w:ascii="Arial" w:hAnsi="Arial" w:cs="Arial"/>
          <w:b/>
          <w:snapToGrid w:val="0"/>
          <w:sz w:val="24"/>
          <w:szCs w:val="24"/>
        </w:rPr>
        <w:t xml:space="preserve">SEGUNDO. </w:t>
      </w:r>
      <w:r w:rsidRPr="009C74DB">
        <w:rPr>
          <w:rFonts w:ascii="Arial" w:hAnsi="Arial" w:cs="Arial"/>
          <w:bCs/>
          <w:snapToGrid w:val="0"/>
          <w:sz w:val="24"/>
          <w:szCs w:val="24"/>
        </w:rPr>
        <w:t>La personalidad de las partes quedó acreditada en autos en términos del artículo 148 y 151 de la Ley de Procedimiento y Justicia Administrativa para el Estado de Oaxaca</w:t>
      </w:r>
      <w:r w:rsidR="009F6E19">
        <w:rPr>
          <w:rFonts w:ascii="Arial" w:hAnsi="Arial" w:cs="Arial"/>
          <w:bCs/>
          <w:snapToGrid w:val="0"/>
          <w:sz w:val="24"/>
          <w:szCs w:val="24"/>
        </w:rPr>
        <w:t>.</w:t>
      </w:r>
    </w:p>
    <w:p w:rsidR="00440C9A" w:rsidRPr="009C74DB" w:rsidRDefault="00440C9A" w:rsidP="00440C9A">
      <w:pPr>
        <w:spacing w:line="360" w:lineRule="auto"/>
        <w:ind w:right="51" w:firstLine="567"/>
        <w:jc w:val="both"/>
        <w:rPr>
          <w:rFonts w:ascii="Arial" w:hAnsi="Arial" w:cs="Arial"/>
          <w:bCs/>
          <w:snapToGrid w:val="0"/>
          <w:sz w:val="24"/>
          <w:szCs w:val="24"/>
        </w:rPr>
      </w:pPr>
      <w:r w:rsidRPr="009C74DB">
        <w:rPr>
          <w:rFonts w:ascii="Arial" w:hAnsi="Arial" w:cs="Arial"/>
          <w:b/>
          <w:snapToGrid w:val="0"/>
          <w:sz w:val="24"/>
          <w:szCs w:val="24"/>
        </w:rPr>
        <w:t>TERCERO.</w:t>
      </w:r>
      <w:r w:rsidRPr="009C74DB">
        <w:rPr>
          <w:rFonts w:ascii="Arial" w:hAnsi="Arial" w:cs="Arial"/>
          <w:bCs/>
          <w:snapToGrid w:val="0"/>
          <w:sz w:val="24"/>
          <w:szCs w:val="24"/>
        </w:rPr>
        <w:t xml:space="preserve"> 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Primera Sala Unitaria de Primera Instancia del Tribunal de Justicia Administrativa para el Estado de Oaxaca, advierte que no se configura alguna causal de improcedencia o sobreseimiento por lo tanto, </w:t>
      </w:r>
      <w:r w:rsidRPr="009C74DB">
        <w:rPr>
          <w:rFonts w:ascii="Arial" w:hAnsi="Arial" w:cs="Arial"/>
          <w:b/>
          <w:snapToGrid w:val="0"/>
          <w:sz w:val="24"/>
          <w:szCs w:val="24"/>
        </w:rPr>
        <w:t>NO SE SOBRESEE EL PRESENTE JUICIO</w:t>
      </w:r>
      <w:r w:rsidR="009F6E19">
        <w:rPr>
          <w:rFonts w:ascii="Arial" w:hAnsi="Arial" w:cs="Arial"/>
          <w:bCs/>
          <w:snapToGrid w:val="0"/>
          <w:sz w:val="24"/>
          <w:szCs w:val="24"/>
        </w:rPr>
        <w:t>.</w:t>
      </w:r>
    </w:p>
    <w:p w:rsidR="00440C9A" w:rsidRPr="009C74DB" w:rsidRDefault="00440C9A" w:rsidP="00440C9A">
      <w:pPr>
        <w:spacing w:line="360" w:lineRule="auto"/>
        <w:ind w:right="51" w:firstLine="567"/>
        <w:jc w:val="both"/>
        <w:rPr>
          <w:rFonts w:ascii="Arial" w:hAnsi="Arial" w:cs="Arial"/>
          <w:bCs/>
          <w:snapToGrid w:val="0"/>
          <w:sz w:val="24"/>
          <w:szCs w:val="24"/>
        </w:rPr>
      </w:pPr>
      <w:r w:rsidRPr="009C74DB">
        <w:rPr>
          <w:rFonts w:ascii="Arial" w:hAnsi="Arial" w:cs="Arial"/>
          <w:b/>
          <w:snapToGrid w:val="0"/>
          <w:sz w:val="24"/>
          <w:szCs w:val="24"/>
        </w:rPr>
        <w:t xml:space="preserve">CUARTO.- </w:t>
      </w:r>
      <w:r w:rsidRPr="009C74DB">
        <w:rPr>
          <w:rFonts w:ascii="Arial" w:hAnsi="Arial" w:cs="Arial"/>
          <w:bCs/>
          <w:snapToGrid w:val="0"/>
          <w:sz w:val="24"/>
          <w:szCs w:val="24"/>
        </w:rPr>
        <w:t xml:space="preserve">El hoy accionante manifiesta en su concepto de impugnación TERCERO, que la que la aludida multa por infracción, es violatoria a lo dispuesto por el artículo 122 fracción IV del Código Fiscal para el Estado de Oaxaca, en virtud que manifiesta que el acto hoy controvertido no fue fundamentado respecto a la competencia con la que actúa la Secretaría de Finanzas del Poder Ejecutivo del Estado de Oaxaca, respecto a su ámbito de actuación material y territorial, al respecto es de mencionarle que por lo que hace a la competencia material, la autoridad demandada cita el artículo 31 fracciones VIII y XLII del Reglamento Interno de la Secretaría de Finanzas del Poder Ejecutivo del Estado de Oaxaca, </w:t>
      </w:r>
      <w:r w:rsidR="009F6E19">
        <w:rPr>
          <w:rFonts w:ascii="Arial" w:hAnsi="Arial" w:cs="Arial"/>
          <w:bCs/>
          <w:snapToGrid w:val="0"/>
          <w:sz w:val="24"/>
          <w:szCs w:val="24"/>
        </w:rPr>
        <w:t>que a la letra dice:</w:t>
      </w:r>
    </w:p>
    <w:p w:rsidR="00440C9A" w:rsidRPr="009C74DB" w:rsidRDefault="00440C9A" w:rsidP="00440C9A">
      <w:pPr>
        <w:ind w:left="567" w:right="615"/>
        <w:jc w:val="both"/>
        <w:rPr>
          <w:rFonts w:ascii="Arial" w:hAnsi="Arial" w:cs="Arial"/>
          <w:bCs/>
          <w:i/>
          <w:iCs/>
          <w:snapToGrid w:val="0"/>
          <w:sz w:val="24"/>
          <w:szCs w:val="24"/>
        </w:rPr>
      </w:pPr>
      <w:r w:rsidRPr="009C74DB">
        <w:rPr>
          <w:rFonts w:ascii="Arial" w:hAnsi="Arial" w:cs="Arial"/>
          <w:b/>
          <w:i/>
          <w:iCs/>
          <w:snapToGrid w:val="0"/>
          <w:sz w:val="24"/>
          <w:szCs w:val="24"/>
        </w:rPr>
        <w:t>Artículo 31</w:t>
      </w:r>
      <w:r w:rsidRPr="009C74DB">
        <w:rPr>
          <w:rFonts w:ascii="Arial" w:hAnsi="Arial" w:cs="Arial"/>
          <w:bCs/>
          <w:i/>
          <w:iCs/>
          <w:snapToGrid w:val="0"/>
          <w:sz w:val="24"/>
          <w:szCs w:val="24"/>
        </w:rPr>
        <w:t>.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440C9A" w:rsidRPr="009C74DB" w:rsidRDefault="00440C9A" w:rsidP="00440C9A">
      <w:pPr>
        <w:ind w:left="567" w:right="615"/>
        <w:jc w:val="both"/>
        <w:rPr>
          <w:rFonts w:ascii="Arial" w:hAnsi="Arial" w:cs="Arial"/>
          <w:bCs/>
          <w:i/>
          <w:iCs/>
          <w:snapToGrid w:val="0"/>
          <w:sz w:val="24"/>
          <w:szCs w:val="24"/>
        </w:rPr>
      </w:pPr>
      <w:r w:rsidRPr="009C74DB">
        <w:rPr>
          <w:rFonts w:ascii="Arial" w:hAnsi="Arial" w:cs="Arial"/>
          <w:bCs/>
          <w:i/>
          <w:iCs/>
          <w:snapToGrid w:val="0"/>
          <w:sz w:val="24"/>
          <w:szCs w:val="24"/>
        </w:rPr>
        <w:t>[…]</w:t>
      </w:r>
    </w:p>
    <w:p w:rsidR="00440C9A" w:rsidRPr="009C74DB" w:rsidRDefault="00F66B8D" w:rsidP="00440C9A">
      <w:pPr>
        <w:ind w:left="567" w:right="615"/>
        <w:jc w:val="both"/>
        <w:rPr>
          <w:rFonts w:ascii="Arial" w:hAnsi="Arial" w:cs="Arial"/>
          <w:bCs/>
          <w:i/>
          <w:iCs/>
          <w:snapToGrid w:val="0"/>
          <w:sz w:val="24"/>
          <w:szCs w:val="24"/>
        </w:rPr>
      </w:pPr>
      <w:r>
        <w:rPr>
          <w:noProof/>
          <w:lang w:eastAsia="es-MX"/>
        </w:rPr>
        <mc:AlternateContent>
          <mc:Choice Requires="wps">
            <w:drawing>
              <wp:anchor distT="0" distB="0" distL="114300" distR="114300" simplePos="0" relativeHeight="251663360" behindDoc="1" locked="0" layoutInCell="1" allowOverlap="1" wp14:anchorId="44149DCA" wp14:editId="65F627D8">
                <wp:simplePos x="0" y="0"/>
                <wp:positionH relativeFrom="column">
                  <wp:posOffset>-1009650</wp:posOffset>
                </wp:positionH>
                <wp:positionV relativeFrom="paragraph">
                  <wp:posOffset>394278</wp:posOffset>
                </wp:positionV>
                <wp:extent cx="1009650" cy="96202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F66B8D" w:rsidRPr="00035E13" w:rsidRDefault="00F66B8D" w:rsidP="00F66B8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49DCA" id="Cuadro de texto 2" o:spid="_x0000_s1028" type="#_x0000_t202" style="position:absolute;left:0;text-align:left;margin-left:-79.5pt;margin-top:31.05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" fillcolor="window" strokeweight=".5pt">
                <v:path arrowok="t"/>
                <v:textbox>
                  <w:txbxContent>
                    <w:p w:rsidR="00F66B8D" w:rsidRPr="00035E13" w:rsidRDefault="00F66B8D" w:rsidP="00F66B8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440C9A" w:rsidRPr="009C74DB">
        <w:rPr>
          <w:rFonts w:ascii="Arial" w:hAnsi="Arial" w:cs="Arial"/>
          <w:bCs/>
          <w:i/>
          <w:iCs/>
          <w:snapToGrid w:val="0"/>
          <w:sz w:val="24"/>
          <w:szCs w:val="24"/>
        </w:rPr>
        <w:t>VIII. Imponer las sanciones que correspondan por violación a las disposiciones fiscales;</w:t>
      </w:r>
    </w:p>
    <w:p w:rsidR="00440C9A" w:rsidRPr="009C74DB" w:rsidRDefault="00440C9A" w:rsidP="00440C9A">
      <w:pPr>
        <w:ind w:left="567" w:right="615"/>
        <w:jc w:val="both"/>
        <w:rPr>
          <w:rFonts w:ascii="Arial" w:hAnsi="Arial" w:cs="Arial"/>
          <w:bCs/>
          <w:i/>
          <w:iCs/>
          <w:snapToGrid w:val="0"/>
          <w:sz w:val="24"/>
          <w:szCs w:val="24"/>
        </w:rPr>
      </w:pPr>
      <w:r w:rsidRPr="009C74DB">
        <w:rPr>
          <w:rFonts w:ascii="Arial" w:hAnsi="Arial" w:cs="Arial"/>
          <w:bCs/>
          <w:i/>
          <w:iCs/>
          <w:snapToGrid w:val="0"/>
          <w:sz w:val="24"/>
          <w:szCs w:val="24"/>
        </w:rPr>
        <w:t>[…]</w:t>
      </w:r>
    </w:p>
    <w:p w:rsidR="00440C9A" w:rsidRPr="009C74DB" w:rsidRDefault="00440C9A" w:rsidP="00440C9A">
      <w:pPr>
        <w:ind w:left="567" w:right="615"/>
        <w:jc w:val="both"/>
        <w:rPr>
          <w:rFonts w:ascii="Arial" w:hAnsi="Arial" w:cs="Arial"/>
          <w:bCs/>
          <w:i/>
          <w:iCs/>
          <w:snapToGrid w:val="0"/>
          <w:sz w:val="24"/>
          <w:szCs w:val="24"/>
        </w:rPr>
      </w:pPr>
      <w:r w:rsidRPr="009C74DB">
        <w:rPr>
          <w:rFonts w:ascii="Arial" w:hAnsi="Arial" w:cs="Arial"/>
          <w:bCs/>
          <w:i/>
          <w:iCs/>
          <w:snapToGrid w:val="0"/>
          <w:sz w:val="24"/>
          <w:szCs w:val="24"/>
        </w:rPr>
        <w:t>XLII. Las demás que les confieran las leyes, este Reglamento y demás disposiciones normativas aplicables, así como las que expresamente les sean conferidas por el Subsecretario.</w:t>
      </w:r>
    </w:p>
    <w:p w:rsidR="00440C9A" w:rsidRPr="009C74DB" w:rsidRDefault="00440C9A" w:rsidP="00440C9A">
      <w:pPr>
        <w:spacing w:line="360" w:lineRule="auto"/>
        <w:ind w:right="51" w:firstLine="567"/>
        <w:jc w:val="both"/>
        <w:rPr>
          <w:rFonts w:ascii="Arial" w:hAnsi="Arial" w:cs="Arial"/>
          <w:bCs/>
          <w:snapToGrid w:val="0"/>
          <w:sz w:val="24"/>
          <w:szCs w:val="24"/>
        </w:rPr>
      </w:pPr>
      <w:r w:rsidRPr="009C74DB">
        <w:rPr>
          <w:rFonts w:ascii="Arial" w:hAnsi="Arial" w:cs="Arial"/>
          <w:bCs/>
          <w:snapToGrid w:val="0"/>
          <w:sz w:val="24"/>
          <w:szCs w:val="24"/>
        </w:rPr>
        <w:t>De lo anterior, se observa que precisamente al citar dicho precepto legal, faculta a la Dirección de la Ingresos y Recaudación de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w:t>
      </w:r>
      <w:r w:rsidR="009F6E19">
        <w:rPr>
          <w:rFonts w:ascii="Arial" w:hAnsi="Arial" w:cs="Arial"/>
          <w:bCs/>
          <w:snapToGrid w:val="0"/>
          <w:sz w:val="24"/>
          <w:szCs w:val="24"/>
        </w:rPr>
        <w:t>mpetencia material.</w:t>
      </w:r>
    </w:p>
    <w:p w:rsidR="00440C9A" w:rsidRPr="009C74DB" w:rsidRDefault="00440C9A" w:rsidP="00440C9A">
      <w:pPr>
        <w:spacing w:line="360" w:lineRule="auto"/>
        <w:ind w:right="51" w:firstLine="567"/>
        <w:jc w:val="both"/>
        <w:rPr>
          <w:rFonts w:ascii="Arial" w:hAnsi="Arial" w:cs="Arial"/>
          <w:bCs/>
          <w:snapToGrid w:val="0"/>
          <w:sz w:val="24"/>
          <w:szCs w:val="24"/>
        </w:rPr>
      </w:pPr>
      <w:r w:rsidRPr="009C74DB">
        <w:rPr>
          <w:rFonts w:ascii="Arial" w:hAnsi="Arial" w:cs="Arial"/>
          <w:bCs/>
          <w:snapToGrid w:val="0"/>
          <w:sz w:val="24"/>
          <w:szCs w:val="24"/>
        </w:rPr>
        <w:t>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w:t>
      </w:r>
      <w:r w:rsidR="009F6E19">
        <w:rPr>
          <w:rFonts w:ascii="Arial" w:hAnsi="Arial" w:cs="Arial"/>
          <w:bCs/>
          <w:snapToGrid w:val="0"/>
          <w:sz w:val="24"/>
          <w:szCs w:val="24"/>
        </w:rPr>
        <w:t>ca, mismo que a la letra dice:</w:t>
      </w:r>
    </w:p>
    <w:p w:rsidR="00440C9A" w:rsidRPr="009C74DB" w:rsidRDefault="00440C9A" w:rsidP="00440C9A">
      <w:pPr>
        <w:ind w:left="567" w:right="615"/>
        <w:jc w:val="both"/>
        <w:rPr>
          <w:rFonts w:ascii="Arial" w:hAnsi="Arial" w:cs="Arial"/>
          <w:bCs/>
          <w:i/>
          <w:iCs/>
          <w:snapToGrid w:val="0"/>
          <w:sz w:val="24"/>
          <w:szCs w:val="24"/>
        </w:rPr>
      </w:pPr>
      <w:r w:rsidRPr="009C74DB">
        <w:rPr>
          <w:rFonts w:ascii="Arial" w:hAnsi="Arial" w:cs="Arial"/>
          <w:b/>
          <w:i/>
          <w:iCs/>
          <w:snapToGrid w:val="0"/>
          <w:sz w:val="24"/>
          <w:szCs w:val="24"/>
        </w:rPr>
        <w:t>Artículo 1.</w:t>
      </w:r>
      <w:r w:rsidRPr="009C74DB">
        <w:rPr>
          <w:rFonts w:ascii="Arial" w:hAnsi="Arial" w:cs="Arial"/>
          <w:bCs/>
          <w:i/>
          <w:iCs/>
          <w:snapToGrid w:val="0"/>
          <w:sz w:val="24"/>
          <w:szCs w:val="24"/>
        </w:rPr>
        <w:t xml:space="preserve"> El presente ordenamiento tiene por objeto reglamentar la organización, competencia y facultades de los servidores públicos de la Secretaría de Finanzas del Poder Ejecutivo del Estado.</w:t>
      </w:r>
    </w:p>
    <w:p w:rsidR="00440C9A" w:rsidRPr="009C74DB" w:rsidRDefault="00F66B8D" w:rsidP="00440C9A">
      <w:pPr>
        <w:ind w:left="567" w:right="615"/>
        <w:jc w:val="both"/>
        <w:rPr>
          <w:rFonts w:ascii="Arial" w:hAnsi="Arial" w:cs="Arial"/>
          <w:bCs/>
          <w:i/>
          <w:iCs/>
          <w:snapToGrid w:val="0"/>
          <w:sz w:val="24"/>
          <w:szCs w:val="24"/>
        </w:rPr>
      </w:pPr>
      <w:r>
        <w:rPr>
          <w:noProof/>
          <w:lang w:eastAsia="es-MX"/>
        </w:rPr>
        <mc:AlternateContent>
          <mc:Choice Requires="wps">
            <w:drawing>
              <wp:anchor distT="0" distB="0" distL="114300" distR="114300" simplePos="0" relativeHeight="251665408" behindDoc="1" locked="0" layoutInCell="1" allowOverlap="1" wp14:anchorId="32E98AE0" wp14:editId="448173D0">
                <wp:simplePos x="0" y="0"/>
                <wp:positionH relativeFrom="column">
                  <wp:posOffset>5652654</wp:posOffset>
                </wp:positionH>
                <wp:positionV relativeFrom="paragraph">
                  <wp:posOffset>265488</wp:posOffset>
                </wp:positionV>
                <wp:extent cx="1009650" cy="96202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F66B8D" w:rsidRPr="00035E13" w:rsidRDefault="00F66B8D" w:rsidP="00F66B8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98AE0" id="Cuadro de texto 3" o:spid="_x0000_s1029" type="#_x0000_t202" style="position:absolute;left:0;text-align:left;margin-left:445.1pt;margin-top:20.9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" fillcolor="window" strokeweight=".5pt">
                <v:path arrowok="t"/>
                <v:textbox>
                  <w:txbxContent>
                    <w:p w:rsidR="00F66B8D" w:rsidRPr="00035E13" w:rsidRDefault="00F66B8D" w:rsidP="00F66B8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440C9A" w:rsidRPr="009C74DB">
        <w:rPr>
          <w:rFonts w:ascii="Arial" w:hAnsi="Arial" w:cs="Arial"/>
          <w:bCs/>
          <w:i/>
          <w:iCs/>
          <w:snapToGrid w:val="0"/>
          <w:sz w:val="24"/>
          <w:szCs w:val="24"/>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440C9A" w:rsidRPr="009C74DB" w:rsidRDefault="00440C9A" w:rsidP="00440C9A">
      <w:pPr>
        <w:spacing w:line="360" w:lineRule="auto"/>
        <w:ind w:right="51" w:firstLine="567"/>
        <w:jc w:val="both"/>
        <w:rPr>
          <w:rFonts w:ascii="Arial" w:hAnsi="Arial" w:cs="Arial"/>
          <w:bCs/>
          <w:snapToGrid w:val="0"/>
          <w:sz w:val="24"/>
          <w:szCs w:val="24"/>
        </w:rPr>
      </w:pPr>
      <w:r w:rsidRPr="009C74DB">
        <w:rPr>
          <w:rFonts w:ascii="Arial" w:hAnsi="Arial" w:cs="Arial"/>
          <w:bCs/>
          <w:snapToGrid w:val="0"/>
          <w:sz w:val="24"/>
          <w:szCs w:val="24"/>
        </w:rPr>
        <w:t xml:space="preserve">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 concepto de impugnación resulta </w:t>
      </w:r>
      <w:r w:rsidRPr="009C74DB">
        <w:rPr>
          <w:rFonts w:ascii="Arial" w:hAnsi="Arial" w:cs="Arial"/>
          <w:b/>
          <w:snapToGrid w:val="0"/>
          <w:sz w:val="24"/>
          <w:szCs w:val="24"/>
          <w:u w:val="single"/>
        </w:rPr>
        <w:t>INFUNDADO</w:t>
      </w:r>
      <w:r w:rsidRPr="009C74DB">
        <w:rPr>
          <w:rFonts w:ascii="Arial" w:hAnsi="Arial" w:cs="Arial"/>
          <w:bCs/>
          <w:snapToGrid w:val="0"/>
          <w:sz w:val="24"/>
          <w:szCs w:val="24"/>
        </w:rPr>
        <w:t>, en virtud de que la autoridad demandada citó correctamente los preceptos legales mediante los cuales fundamenta y justifica su competenc</w:t>
      </w:r>
      <w:r w:rsidR="009F6E19">
        <w:rPr>
          <w:rFonts w:ascii="Arial" w:hAnsi="Arial" w:cs="Arial"/>
          <w:bCs/>
          <w:snapToGrid w:val="0"/>
          <w:sz w:val="24"/>
          <w:szCs w:val="24"/>
        </w:rPr>
        <w:t>ia material y territorial.</w:t>
      </w:r>
    </w:p>
    <w:p w:rsidR="00440C9A" w:rsidRPr="009C74DB" w:rsidRDefault="00440C9A" w:rsidP="00440C9A">
      <w:pPr>
        <w:spacing w:line="360" w:lineRule="auto"/>
        <w:ind w:right="51" w:firstLine="567"/>
        <w:jc w:val="both"/>
        <w:rPr>
          <w:rFonts w:ascii="Arial" w:hAnsi="Arial" w:cs="Arial"/>
          <w:bCs/>
          <w:snapToGrid w:val="0"/>
          <w:sz w:val="24"/>
          <w:szCs w:val="24"/>
        </w:rPr>
      </w:pPr>
      <w:r w:rsidRPr="009C74DB">
        <w:rPr>
          <w:rFonts w:ascii="Arial" w:hAnsi="Arial" w:cs="Arial"/>
          <w:b/>
          <w:snapToGrid w:val="0"/>
          <w:sz w:val="24"/>
          <w:szCs w:val="24"/>
        </w:rPr>
        <w:t>QUINTO.-</w:t>
      </w:r>
      <w:r w:rsidRPr="009C74DB">
        <w:rPr>
          <w:rFonts w:ascii="Arial" w:hAnsi="Arial" w:cs="Arial"/>
          <w:bCs/>
          <w:snapToGrid w:val="0"/>
          <w:sz w:val="24"/>
          <w:szCs w:val="24"/>
        </w:rPr>
        <w:t xml:space="preserve"> La parte actora manifiesta en sus conceptos de impugnación PRIMERO, SEGUNDO y CUARTO, en términos del artículo 206 de la Ley de Procedimiento y Justicia Administrativa para el Estado de Oaxaca, que la aludida multa por infracción, viola en perjuicio de su representada el artículo 122 fracción IV del Código Fiscal para el Estado de Oaxaca, como se advierte en la multa por infracción con número de control 14MI54ER191165 de fecha diecinueve de agosto de dos mil diecinueve, visible en la foja 16 del sumario, documental que adquiere valor probatorio pleno en términos del artículo 203 fracción I de la Ley de Procedimiento y Justicia Administrativa para el Estado de Oaxaca, por tratarse de un documento original expedido por funcionario en ejercicio de sus funciones y por contener firma y sello de quien lo emite, carece de debida fundamentación y motivación por parte de la autoridad emisora toda vez que la misma no señala las causas específicas del por qué considera dicha autoridad que efectivamente el hoy accionante </w:t>
      </w:r>
      <w:r w:rsidRPr="00D04E71">
        <w:rPr>
          <w:rFonts w:ascii="Arial" w:hAnsi="Arial" w:cs="Arial"/>
          <w:bCs/>
          <w:snapToGrid w:val="0"/>
          <w:sz w:val="24"/>
          <w:szCs w:val="24"/>
        </w:rPr>
        <w:t xml:space="preserve">C. </w:t>
      </w:r>
      <w:r w:rsidR="00F66B8D">
        <w:rPr>
          <w:rFonts w:ascii="Arial" w:hAnsi="Arial" w:cs="Arial"/>
          <w:bCs/>
          <w:snapToGrid w:val="0"/>
          <w:sz w:val="24"/>
          <w:szCs w:val="24"/>
        </w:rPr>
        <w:t>**********</w:t>
      </w:r>
      <w:r w:rsidRPr="009C74DB">
        <w:rPr>
          <w:rFonts w:ascii="Arial" w:hAnsi="Arial" w:cs="Arial"/>
          <w:bCs/>
          <w:snapToGrid w:val="0"/>
          <w:sz w:val="24"/>
          <w:szCs w:val="24"/>
        </w:rPr>
        <w:t xml:space="preserve"> es sujeto obligado de inscripción al Registro Estatal de Contribuyentes y por ende tener que pagar el Impuesto Sobre Erogaciones por Remuneraciones al Trabajo Personal, además que la ley de la materia señala que se está obligado a inscribirse en dicho Registro dentro del plazo de un mes contado a partir de que se ubica dentro de la hipótesis normativa, tal y como lo establece el artículo 64 del Código Fiscal para el Estado de O</w:t>
      </w:r>
      <w:r w:rsidR="009F6E19">
        <w:rPr>
          <w:rFonts w:ascii="Arial" w:hAnsi="Arial" w:cs="Arial"/>
          <w:bCs/>
          <w:snapToGrid w:val="0"/>
          <w:sz w:val="24"/>
          <w:szCs w:val="24"/>
        </w:rPr>
        <w:t>axaca, que a la letra dice:</w:t>
      </w:r>
    </w:p>
    <w:p w:rsidR="00440C9A" w:rsidRPr="009C74DB" w:rsidRDefault="00F66B8D" w:rsidP="00440C9A">
      <w:pPr>
        <w:ind w:left="567" w:right="615"/>
        <w:jc w:val="both"/>
        <w:rPr>
          <w:rFonts w:ascii="Arial" w:hAnsi="Arial" w:cs="Arial"/>
          <w:bCs/>
          <w:i/>
          <w:iCs/>
          <w:snapToGrid w:val="0"/>
          <w:sz w:val="24"/>
          <w:szCs w:val="24"/>
        </w:rPr>
      </w:pPr>
      <w:r>
        <w:rPr>
          <w:noProof/>
          <w:lang w:eastAsia="es-MX"/>
        </w:rPr>
        <mc:AlternateContent>
          <mc:Choice Requires="wps">
            <w:drawing>
              <wp:anchor distT="0" distB="0" distL="114300" distR="114300" simplePos="0" relativeHeight="251667456" behindDoc="1" locked="0" layoutInCell="1" allowOverlap="1" wp14:anchorId="3888A850" wp14:editId="6DADD4B5">
                <wp:simplePos x="0" y="0"/>
                <wp:positionH relativeFrom="column">
                  <wp:posOffset>-1009650</wp:posOffset>
                </wp:positionH>
                <wp:positionV relativeFrom="paragraph">
                  <wp:posOffset>1132436</wp:posOffset>
                </wp:positionV>
                <wp:extent cx="1009650" cy="96202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F66B8D" w:rsidRPr="00035E13" w:rsidRDefault="00F66B8D" w:rsidP="00F66B8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8A850" id="Cuadro de texto 6" o:spid="_x0000_s1030" type="#_x0000_t202" style="position:absolute;left:0;text-align:left;margin-left:-79.5pt;margin-top:89.15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" fillcolor="window" strokeweight=".5pt">
                <v:path arrowok="t"/>
                <v:textbox>
                  <w:txbxContent>
                    <w:p w:rsidR="00F66B8D" w:rsidRPr="00035E13" w:rsidRDefault="00F66B8D" w:rsidP="00F66B8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440C9A" w:rsidRPr="009C74DB">
        <w:rPr>
          <w:rFonts w:ascii="Arial" w:hAnsi="Arial" w:cs="Arial"/>
          <w:b/>
          <w:i/>
          <w:iCs/>
          <w:snapToGrid w:val="0"/>
          <w:sz w:val="24"/>
          <w:szCs w:val="24"/>
        </w:rPr>
        <w:t>ARTÍCULO 64.</w:t>
      </w:r>
      <w:r w:rsidR="00440C9A" w:rsidRPr="009C74DB">
        <w:rPr>
          <w:rFonts w:ascii="Arial" w:hAnsi="Arial" w:cs="Arial"/>
          <w:bCs/>
          <w:i/>
          <w:iCs/>
          <w:snapToGrid w:val="0"/>
          <w:sz w:val="24"/>
          <w:szCs w:val="24"/>
        </w:rPr>
        <w:t xml:space="preserve">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440C9A" w:rsidRPr="009C74DB" w:rsidRDefault="00440C9A" w:rsidP="00440C9A">
      <w:pPr>
        <w:ind w:left="567" w:right="615"/>
        <w:jc w:val="both"/>
        <w:rPr>
          <w:rFonts w:ascii="Arial" w:hAnsi="Arial" w:cs="Arial"/>
          <w:bCs/>
          <w:i/>
          <w:iCs/>
          <w:snapToGrid w:val="0"/>
          <w:sz w:val="24"/>
          <w:szCs w:val="24"/>
        </w:rPr>
      </w:pPr>
      <w:r w:rsidRPr="009C74DB">
        <w:rPr>
          <w:rFonts w:ascii="Arial" w:hAnsi="Arial" w:cs="Arial"/>
          <w:bCs/>
          <w:i/>
          <w:iCs/>
          <w:snapToGrid w:val="0"/>
          <w:sz w:val="24"/>
          <w:szCs w:val="24"/>
        </w:rPr>
        <w:t>Tratándose de establecimientos, sucursales, locales, puestos fijos o semifijos, lugares en que almacenen mercancías y en general, cualquier local o establecimiento que utilicen para el desempeño de sus actividades, los contribuyentes deberán presentar aviso de apertura o cierre de dichos lugares y conservar en los lugares citados, el aviso de apertura, debiendo exhibirlo a las autoridades fiscales cuando éstas lo soliciten.</w:t>
      </w:r>
    </w:p>
    <w:p w:rsidR="00440C9A" w:rsidRPr="009C74DB" w:rsidRDefault="00440C9A" w:rsidP="00440C9A">
      <w:pPr>
        <w:ind w:left="567" w:right="615"/>
        <w:jc w:val="both"/>
        <w:rPr>
          <w:rFonts w:ascii="Arial" w:hAnsi="Arial" w:cs="Arial"/>
          <w:bCs/>
          <w:i/>
          <w:iCs/>
          <w:snapToGrid w:val="0"/>
          <w:sz w:val="24"/>
          <w:szCs w:val="24"/>
        </w:rPr>
      </w:pPr>
      <w:r w:rsidRPr="009C74DB">
        <w:rPr>
          <w:rFonts w:ascii="Arial" w:hAnsi="Arial" w:cs="Arial"/>
          <w:bCs/>
          <w:i/>
          <w:iCs/>
          <w:snapToGrid w:val="0"/>
          <w:sz w:val="24"/>
          <w:szCs w:val="24"/>
        </w:rPr>
        <w:t>Para los efectos de actualización del registro estatal de contribuyentes y los procedimientos que realizan las autoridades fiscales, la solicitud o los avisos a que se refiere este artículo que se presenten en forma extemporánea, surtirán sus efectos a partir de la fecha en que sean presentados, aun cuando los hechos que los motivaron se hayan realizado en época diferente.</w:t>
      </w:r>
    </w:p>
    <w:p w:rsidR="00440C9A" w:rsidRPr="009C74DB" w:rsidRDefault="00440C9A" w:rsidP="00440C9A">
      <w:pPr>
        <w:ind w:left="567" w:right="615"/>
        <w:jc w:val="both"/>
        <w:rPr>
          <w:rFonts w:ascii="Arial" w:hAnsi="Arial" w:cs="Arial"/>
          <w:bCs/>
          <w:i/>
          <w:iCs/>
          <w:snapToGrid w:val="0"/>
          <w:sz w:val="24"/>
          <w:szCs w:val="24"/>
        </w:rPr>
      </w:pPr>
      <w:r w:rsidRPr="009C74DB">
        <w:rPr>
          <w:rFonts w:ascii="Arial" w:hAnsi="Arial" w:cs="Arial"/>
          <w:bCs/>
          <w:i/>
          <w:iCs/>
          <w:snapToGrid w:val="0"/>
          <w:sz w:val="24"/>
          <w:szCs w:val="24"/>
        </w:rPr>
        <w:t>Las autoridades fiscales podrán verificar la existencia y localización del domicilio fiscal manifestado por el contribuyente en el aviso respectivo. Las personas físicas que no se encuentren en los supuestos del párrafo primero de este artículo, podrán solicitar su inscripción al registro estatal de contribuyentes, cumpliendo los requisitos establecidos mediante Reglas que para tal efecto publique la Secretaría.</w:t>
      </w:r>
    </w:p>
    <w:p w:rsidR="00440C9A" w:rsidRPr="009C74DB" w:rsidRDefault="00440C9A" w:rsidP="00440C9A">
      <w:pPr>
        <w:ind w:left="567" w:right="615"/>
        <w:jc w:val="both"/>
        <w:rPr>
          <w:rFonts w:ascii="Arial" w:hAnsi="Arial" w:cs="Arial"/>
          <w:bCs/>
          <w:i/>
          <w:iCs/>
          <w:snapToGrid w:val="0"/>
          <w:sz w:val="24"/>
          <w:szCs w:val="24"/>
        </w:rPr>
      </w:pPr>
      <w:r w:rsidRPr="009C74DB">
        <w:rPr>
          <w:rFonts w:ascii="Arial" w:hAnsi="Arial" w:cs="Arial"/>
          <w:bCs/>
          <w:i/>
          <w:iCs/>
          <w:snapToGrid w:val="0"/>
          <w:sz w:val="24"/>
          <w:szCs w:val="24"/>
        </w:rPr>
        <w:t>La solicitud de inscripción y avisos de apertura o cierre de establecimientos deberán presentarse dentro del mes siguiente al día en que se inicien actividades de las que derive el cumplimiento de obligaciones fiscales, o del día en que se realice la situación jurídica o de hecho que lo genera.</w:t>
      </w:r>
    </w:p>
    <w:p w:rsidR="00440C9A" w:rsidRPr="009C74DB" w:rsidRDefault="00440C9A" w:rsidP="00440C9A">
      <w:pPr>
        <w:ind w:left="567" w:right="615"/>
        <w:jc w:val="both"/>
        <w:rPr>
          <w:rFonts w:ascii="Arial" w:hAnsi="Arial" w:cs="Arial"/>
          <w:bCs/>
          <w:i/>
          <w:iCs/>
          <w:snapToGrid w:val="0"/>
          <w:sz w:val="24"/>
          <w:szCs w:val="24"/>
        </w:rPr>
      </w:pPr>
      <w:r w:rsidRPr="009C74DB">
        <w:rPr>
          <w:rFonts w:ascii="Arial" w:hAnsi="Arial" w:cs="Arial"/>
          <w:bCs/>
          <w:i/>
          <w:iCs/>
          <w:snapToGrid w:val="0"/>
          <w:sz w:val="24"/>
          <w:szCs w:val="24"/>
        </w:rPr>
        <w:t>La Secretaría llevará de conformidad con este artículo y asignará la clave que corresponda conforme las Reglas emitidas para tal efecto, el registro estatal de contribuyentes que corresponda a cada persona inscrita, utilizando y basándose, en los datos que por los interesados le sean proporcionados. Para estos efectos, se podrá considerar y utilizar la clave del registro federal de contribuyentes cuando de forma general, haya sido autorizado por la Secretaría mediante Reglas.</w:t>
      </w:r>
    </w:p>
    <w:p w:rsidR="00440C9A" w:rsidRPr="009C74DB" w:rsidRDefault="00440C9A" w:rsidP="00440C9A">
      <w:pPr>
        <w:ind w:left="567" w:right="615"/>
        <w:jc w:val="both"/>
        <w:rPr>
          <w:rFonts w:ascii="Arial" w:hAnsi="Arial" w:cs="Arial"/>
          <w:bCs/>
          <w:i/>
          <w:iCs/>
          <w:snapToGrid w:val="0"/>
          <w:sz w:val="24"/>
          <w:szCs w:val="24"/>
        </w:rPr>
      </w:pPr>
      <w:r w:rsidRPr="009C74DB">
        <w:rPr>
          <w:rFonts w:ascii="Arial" w:hAnsi="Arial" w:cs="Arial"/>
          <w:bCs/>
          <w:i/>
          <w:iCs/>
          <w:snapToGrid w:val="0"/>
          <w:sz w:val="24"/>
          <w:szCs w:val="24"/>
        </w:rPr>
        <w:t xml:space="preserve">Los obligados a presentar los avisos a que se refiere el Reglamento de este Código, deberán citar la clave que se haya asignado en todo documento que se presente ante las autoridades fiscales, y en su caso, ante las jurisdiccionales, cuando en este último caso se trate de asuntos en los que la Secretaría sea parte. </w:t>
      </w:r>
    </w:p>
    <w:p w:rsidR="00440C9A" w:rsidRPr="009C74DB" w:rsidRDefault="00F66B8D" w:rsidP="00440C9A">
      <w:pPr>
        <w:ind w:left="567" w:right="615"/>
        <w:jc w:val="both"/>
        <w:rPr>
          <w:rFonts w:ascii="Arial" w:hAnsi="Arial" w:cs="Arial"/>
          <w:bCs/>
          <w:i/>
          <w:iCs/>
          <w:snapToGrid w:val="0"/>
          <w:sz w:val="24"/>
          <w:szCs w:val="24"/>
        </w:rPr>
      </w:pPr>
      <w:r>
        <w:rPr>
          <w:noProof/>
          <w:lang w:eastAsia="es-MX"/>
        </w:rPr>
        <mc:AlternateContent>
          <mc:Choice Requires="wps">
            <w:drawing>
              <wp:anchor distT="0" distB="0" distL="114300" distR="114300" simplePos="0" relativeHeight="251669504" behindDoc="1" locked="0" layoutInCell="1" allowOverlap="1" wp14:anchorId="2F1F6FFA" wp14:editId="641791F9">
                <wp:simplePos x="0" y="0"/>
                <wp:positionH relativeFrom="column">
                  <wp:posOffset>5486400</wp:posOffset>
                </wp:positionH>
                <wp:positionV relativeFrom="paragraph">
                  <wp:posOffset>402590</wp:posOffset>
                </wp:positionV>
                <wp:extent cx="1009650" cy="962025"/>
                <wp:effectExtent l="0" t="0" r="1905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F66B8D" w:rsidRPr="00035E13" w:rsidRDefault="00F66B8D" w:rsidP="00F66B8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1F6FFA" id="Cuadro de texto 7" o:spid="_x0000_s1031" type="#_x0000_t202" style="position:absolute;left:0;text-align:left;margin-left:6in;margin-top:31.7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" fillcolor="window" strokeweight=".5pt">
                <v:path arrowok="t"/>
                <v:textbox>
                  <w:txbxContent>
                    <w:p w:rsidR="00F66B8D" w:rsidRPr="00035E13" w:rsidRDefault="00F66B8D" w:rsidP="00F66B8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440C9A" w:rsidRPr="009C74DB">
        <w:rPr>
          <w:rFonts w:ascii="Arial" w:hAnsi="Arial" w:cs="Arial"/>
          <w:bCs/>
          <w:i/>
          <w:iCs/>
          <w:snapToGrid w:val="0"/>
          <w:sz w:val="24"/>
          <w:szCs w:val="24"/>
        </w:rPr>
        <w:t>Cuando a los obligados señalados en este artículo les hubieren iniciado facultades de comprobación, las autoridades fiscales estatales, aun en su carácter de autoridades fiscales federales en términos de los convenios celebrados con la Secretaría de Hacienda y Crédito Público, y se coloquen en cualquiera de los supuestos para presentar avisos al registro estatal de contribuyentes, deberán presentar los avisos con cinco días de anticipación a aquél en que se dé el supuesto que corresponda, y deberán proporcionar copia dentro del mismo término a las autoridades que directamente estén ejerciendo las referidas facultades de comprobación.</w:t>
      </w:r>
    </w:p>
    <w:p w:rsidR="00440C9A" w:rsidRPr="009C74DB" w:rsidRDefault="00440C9A" w:rsidP="00440C9A">
      <w:pPr>
        <w:spacing w:line="360" w:lineRule="auto"/>
        <w:ind w:right="51" w:firstLine="567"/>
        <w:jc w:val="both"/>
        <w:rPr>
          <w:rFonts w:ascii="Arial" w:hAnsi="Arial" w:cs="Arial"/>
          <w:bCs/>
          <w:snapToGrid w:val="0"/>
          <w:sz w:val="24"/>
          <w:szCs w:val="24"/>
        </w:rPr>
      </w:pPr>
      <w:r w:rsidRPr="009C74DB">
        <w:rPr>
          <w:rFonts w:ascii="Arial" w:hAnsi="Arial" w:cs="Arial"/>
          <w:bCs/>
          <w:snapToGrid w:val="0"/>
          <w:sz w:val="24"/>
          <w:szCs w:val="24"/>
        </w:rPr>
        <w:t xml:space="preserve">Derivado de lo anterior, efectivamente, una vez actualizado el supuesto jurídico o de hecho, el contribuyente tiene la obligación de solicitar dentro del plazo de un mes su inscripción al Registro Estatal de Contribuyentes, no obstante dicha situación se desconoce, ya que ni la hoy accionante ni la demandada señalan cuando se actualizó dicha hipótesis y con ello la fecha exacta en que comenzó a correr el término de un mes para solicitar la inscripción antes mencionada, ni mucho menos las razones inmediatas por las cuales consideró que a partir de esa fecha se consideró actualizada la obligación en comento por lo que la accionante al negar lisa y llanamente el acto u obligación a la que se está supuestamente sujeto, corresponde entonces a la autoridad demandada probar dicha situación, máxime que dentro del texto de la aludida multa, hace mención que dicha situación la conoció a través del intercambio de información con otra dependencias estatales o municipales, usando como fundamento los artículos 97 primer párrafo y 98 del Código Fiscal para el Estado de </w:t>
      </w:r>
      <w:r w:rsidR="009F6E19">
        <w:rPr>
          <w:rFonts w:ascii="Arial" w:hAnsi="Arial" w:cs="Arial"/>
          <w:bCs/>
          <w:snapToGrid w:val="0"/>
          <w:sz w:val="24"/>
          <w:szCs w:val="24"/>
        </w:rPr>
        <w:t>Oaxaca, que a la letra dicen:</w:t>
      </w:r>
    </w:p>
    <w:p w:rsidR="00440C9A" w:rsidRPr="009C74DB" w:rsidRDefault="00440C9A" w:rsidP="00440C9A">
      <w:pPr>
        <w:ind w:left="567" w:right="615"/>
        <w:jc w:val="both"/>
        <w:rPr>
          <w:rFonts w:ascii="Arial" w:hAnsi="Arial" w:cs="Arial"/>
          <w:bCs/>
          <w:i/>
          <w:iCs/>
          <w:snapToGrid w:val="0"/>
          <w:sz w:val="24"/>
          <w:szCs w:val="24"/>
        </w:rPr>
      </w:pPr>
      <w:r w:rsidRPr="009C74DB">
        <w:rPr>
          <w:rFonts w:ascii="Arial" w:hAnsi="Arial" w:cs="Arial"/>
          <w:b/>
          <w:i/>
          <w:iCs/>
          <w:snapToGrid w:val="0"/>
          <w:sz w:val="24"/>
          <w:szCs w:val="24"/>
        </w:rPr>
        <w:t>ARTÍCULO 97.</w:t>
      </w:r>
      <w:r w:rsidRPr="009C74DB">
        <w:rPr>
          <w:rFonts w:ascii="Arial" w:hAnsi="Arial" w:cs="Arial"/>
          <w:bCs/>
          <w:i/>
          <w:iCs/>
          <w:snapToGrid w:val="0"/>
          <w:sz w:val="24"/>
          <w:szCs w:val="24"/>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440C9A" w:rsidRPr="009C74DB" w:rsidRDefault="00440C9A" w:rsidP="00440C9A">
      <w:pPr>
        <w:ind w:left="567" w:right="615"/>
        <w:jc w:val="both"/>
        <w:rPr>
          <w:rFonts w:ascii="Arial" w:hAnsi="Arial" w:cs="Arial"/>
          <w:bCs/>
          <w:i/>
          <w:iCs/>
          <w:snapToGrid w:val="0"/>
          <w:sz w:val="24"/>
          <w:szCs w:val="24"/>
        </w:rPr>
      </w:pPr>
      <w:r w:rsidRPr="009C74DB">
        <w:rPr>
          <w:rFonts w:ascii="Arial" w:hAnsi="Arial" w:cs="Arial"/>
          <w:b/>
          <w:i/>
          <w:iCs/>
          <w:snapToGrid w:val="0"/>
          <w:sz w:val="24"/>
          <w:szCs w:val="24"/>
        </w:rPr>
        <w:t>ARTÍCULO 98.</w:t>
      </w:r>
      <w:r w:rsidRPr="009C74DB">
        <w:rPr>
          <w:rFonts w:ascii="Arial" w:hAnsi="Arial" w:cs="Arial"/>
          <w:bCs/>
          <w:i/>
          <w:iCs/>
          <w:snapToGrid w:val="0"/>
          <w:sz w:val="24"/>
          <w:szCs w:val="24"/>
        </w:rPr>
        <w:t xml:space="preserve"> Para determinar contribuciones omitidas, la Secretaría tendrá como ciertos los hechos u omisiones que hubieran sido conocidos por otras autoridades fiscales y le hayan sido dados a conocer en términos del artículo anterior al contribuyente afectado.</w:t>
      </w:r>
    </w:p>
    <w:p w:rsidR="00440C9A" w:rsidRPr="009C74DB" w:rsidRDefault="00F66B8D" w:rsidP="00440C9A">
      <w:pPr>
        <w:spacing w:line="360" w:lineRule="auto"/>
        <w:ind w:right="51"/>
        <w:jc w:val="both"/>
        <w:rPr>
          <w:rFonts w:ascii="Arial" w:hAnsi="Arial" w:cs="Arial"/>
          <w:bCs/>
          <w:snapToGrid w:val="0"/>
          <w:sz w:val="24"/>
          <w:szCs w:val="24"/>
        </w:rPr>
      </w:pPr>
      <w:r>
        <w:rPr>
          <w:noProof/>
          <w:lang w:eastAsia="es-MX"/>
        </w:rPr>
        <mc:AlternateContent>
          <mc:Choice Requires="wps">
            <w:drawing>
              <wp:anchor distT="0" distB="0" distL="114300" distR="114300" simplePos="0" relativeHeight="251671552" behindDoc="1" locked="0" layoutInCell="1" allowOverlap="1" wp14:anchorId="70E626B1" wp14:editId="48673A94">
                <wp:simplePos x="0" y="0"/>
                <wp:positionH relativeFrom="column">
                  <wp:posOffset>-1009650</wp:posOffset>
                </wp:positionH>
                <wp:positionV relativeFrom="paragraph">
                  <wp:posOffset>2809067</wp:posOffset>
                </wp:positionV>
                <wp:extent cx="1009650" cy="962025"/>
                <wp:effectExtent l="0" t="0" r="19050"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F66B8D" w:rsidRPr="00035E13" w:rsidRDefault="00F66B8D" w:rsidP="00F66B8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E626B1" id="Cuadro de texto 8" o:spid="_x0000_s1032" type="#_x0000_t202" style="position:absolute;left:0;text-align:left;margin-left:-79.5pt;margin-top:221.2pt;width:79.5pt;height:7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" fillcolor="window" strokeweight=".5pt">
                <v:path arrowok="t"/>
                <v:textbox>
                  <w:txbxContent>
                    <w:p w:rsidR="00F66B8D" w:rsidRPr="00035E13" w:rsidRDefault="00F66B8D" w:rsidP="00F66B8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440C9A" w:rsidRPr="009C74DB">
        <w:rPr>
          <w:rFonts w:ascii="Arial" w:hAnsi="Arial" w:cs="Arial"/>
          <w:bCs/>
          <w:snapToGrid w:val="0"/>
          <w:sz w:val="24"/>
          <w:szCs w:val="24"/>
        </w:rPr>
        <w:tab/>
        <w:t>De la lectura hecho a los artículos transcritos anteriormente, ciertamente la autoridad fiscal se encuentra legalmente facultada para hacer solicitudes de intercambio de información dentro del ejercicio de sus competencias para garantizar un adecuado ejercicio de sus funciones, no obstante, también es cierto que para garantizar la seguridad jurídica, así como el derecho audiencia contenidas en los artículos 14 y 16 Constitucionales que tienen todos los gobernados, esa autoridad posteriormente a la obtención de información derivado de sus facultades de intercambio de información, debió poner a disposición del afectado la información que obtuvo y que utilizó para colocar al hoy accionante en el supuesto jurídico que tiene como consecuencia la Inscripción al Registro Estatal de Contribuyentes, para que este manifestara lo que a su derecho convenga, y así conociera de forma amplia los documentos en los que se sustenta la determinación invocada</w:t>
      </w:r>
      <w:r w:rsidR="009F6E19">
        <w:rPr>
          <w:rFonts w:ascii="Arial" w:hAnsi="Arial" w:cs="Arial"/>
          <w:bCs/>
          <w:snapToGrid w:val="0"/>
          <w:sz w:val="24"/>
          <w:szCs w:val="24"/>
        </w:rPr>
        <w:t>.</w:t>
      </w:r>
    </w:p>
    <w:p w:rsidR="00440C9A" w:rsidRPr="009C74DB" w:rsidRDefault="00440C9A" w:rsidP="00440C9A">
      <w:pPr>
        <w:spacing w:line="360" w:lineRule="auto"/>
        <w:ind w:right="51" w:firstLine="567"/>
        <w:jc w:val="both"/>
        <w:rPr>
          <w:rFonts w:ascii="Arial" w:hAnsi="Arial" w:cs="Arial"/>
          <w:bCs/>
          <w:snapToGrid w:val="0"/>
          <w:sz w:val="24"/>
          <w:szCs w:val="24"/>
        </w:rPr>
      </w:pPr>
      <w:r w:rsidRPr="009C74DB">
        <w:rPr>
          <w:rFonts w:ascii="Arial" w:hAnsi="Arial" w:cs="Arial"/>
          <w:bCs/>
          <w:snapToGrid w:val="0"/>
          <w:sz w:val="24"/>
          <w:szCs w:val="24"/>
        </w:rPr>
        <w:t xml:space="preserve"> Siguiendo en la misma tesitura, y retomando lo dicho en el párrafo que antecede, si esa autoridad fiscal advirtió el hecho de que el contribuyente era omiso en sus obligaciones fiscales posteriormente al intercambio de información y de su revisión a los sistemas a los que cuenta y tiene acceso, debió primeramente hacerle del conocimiento esta situación, dando cumplimiento a lo estipulado en el artículo 97 primer párrafo así como en el artículo 113 primer y segundo párrafo del Código Fiscal para que dentro del plazo de quince días manifestara lo que a su derecho convenga, mismo</w:t>
      </w:r>
      <w:r w:rsidR="009F6E19">
        <w:rPr>
          <w:rFonts w:ascii="Arial" w:hAnsi="Arial" w:cs="Arial"/>
          <w:bCs/>
          <w:snapToGrid w:val="0"/>
          <w:sz w:val="24"/>
          <w:szCs w:val="24"/>
        </w:rPr>
        <w:t xml:space="preserve"> que a la letra dice:</w:t>
      </w:r>
    </w:p>
    <w:p w:rsidR="00440C9A" w:rsidRPr="009C74DB" w:rsidRDefault="00440C9A" w:rsidP="00440C9A">
      <w:pPr>
        <w:ind w:left="567" w:right="615"/>
        <w:jc w:val="both"/>
        <w:rPr>
          <w:rFonts w:ascii="Arial" w:hAnsi="Arial" w:cs="Arial"/>
          <w:bCs/>
          <w:i/>
          <w:iCs/>
          <w:snapToGrid w:val="0"/>
          <w:sz w:val="24"/>
          <w:szCs w:val="24"/>
        </w:rPr>
      </w:pPr>
      <w:r w:rsidRPr="009C74DB">
        <w:rPr>
          <w:rFonts w:ascii="Arial" w:hAnsi="Arial" w:cs="Arial"/>
          <w:b/>
          <w:i/>
          <w:iCs/>
          <w:snapToGrid w:val="0"/>
          <w:sz w:val="24"/>
          <w:szCs w:val="24"/>
        </w:rPr>
        <w:t>ARTÍCULO 113</w:t>
      </w:r>
      <w:r w:rsidRPr="009C74DB">
        <w:rPr>
          <w:rFonts w:ascii="Arial" w:hAnsi="Arial" w:cs="Arial"/>
          <w:bCs/>
          <w:i/>
          <w:iCs/>
          <w:snapToGrid w:val="0"/>
          <w:sz w:val="24"/>
          <w:szCs w:val="24"/>
        </w:rPr>
        <w:t>.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con aquéllos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rsidR="00440C9A" w:rsidRPr="009C74DB" w:rsidRDefault="00440C9A" w:rsidP="00440C9A">
      <w:pPr>
        <w:ind w:left="567" w:right="615"/>
        <w:jc w:val="both"/>
        <w:rPr>
          <w:rFonts w:ascii="Arial" w:hAnsi="Arial" w:cs="Arial"/>
          <w:bCs/>
          <w:i/>
          <w:iCs/>
          <w:snapToGrid w:val="0"/>
          <w:sz w:val="24"/>
          <w:szCs w:val="24"/>
        </w:rPr>
      </w:pPr>
      <w:r w:rsidRPr="009C74DB">
        <w:rPr>
          <w:rFonts w:ascii="Arial" w:hAnsi="Arial" w:cs="Arial"/>
          <w:bCs/>
          <w:i/>
          <w:iCs/>
          <w:snapToGrid w:val="0"/>
          <w:sz w:val="24"/>
          <w:szCs w:val="24"/>
        </w:rPr>
        <w:t xml:space="preserve">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 </w:t>
      </w:r>
    </w:p>
    <w:p w:rsidR="00440C9A" w:rsidRPr="009C74DB" w:rsidRDefault="00F66B8D" w:rsidP="00440C9A">
      <w:pPr>
        <w:spacing w:line="360" w:lineRule="auto"/>
        <w:ind w:right="51" w:firstLine="567"/>
        <w:jc w:val="both"/>
        <w:rPr>
          <w:rFonts w:ascii="Arial" w:hAnsi="Arial" w:cs="Arial"/>
          <w:bCs/>
          <w:snapToGrid w:val="0"/>
          <w:sz w:val="24"/>
          <w:szCs w:val="24"/>
        </w:rPr>
      </w:pPr>
      <w:r>
        <w:rPr>
          <w:noProof/>
          <w:lang w:eastAsia="es-MX"/>
        </w:rPr>
        <mc:AlternateContent>
          <mc:Choice Requires="wps">
            <w:drawing>
              <wp:anchor distT="0" distB="0" distL="114300" distR="114300" simplePos="0" relativeHeight="251673600" behindDoc="1" locked="0" layoutInCell="1" allowOverlap="1" wp14:anchorId="3E2797A5" wp14:editId="0FF1627F">
                <wp:simplePos x="0" y="0"/>
                <wp:positionH relativeFrom="column">
                  <wp:posOffset>5735782</wp:posOffset>
                </wp:positionH>
                <wp:positionV relativeFrom="paragraph">
                  <wp:posOffset>4025843</wp:posOffset>
                </wp:positionV>
                <wp:extent cx="1009650" cy="962025"/>
                <wp:effectExtent l="0" t="0" r="19050"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F66B8D" w:rsidRPr="00035E13" w:rsidRDefault="00F66B8D" w:rsidP="00F66B8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2797A5" id="Cuadro de texto 9" o:spid="_x0000_s1033" type="#_x0000_t202" style="position:absolute;left:0;text-align:left;margin-left:451.65pt;margin-top:317pt;width:79.5pt;height:75.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" fillcolor="window" strokeweight=".5pt">
                <v:path arrowok="t"/>
                <v:textbox>
                  <w:txbxContent>
                    <w:p w:rsidR="00F66B8D" w:rsidRPr="00035E13" w:rsidRDefault="00F66B8D" w:rsidP="00F66B8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440C9A" w:rsidRPr="009C74DB">
        <w:rPr>
          <w:rFonts w:ascii="Arial" w:hAnsi="Arial" w:cs="Arial"/>
          <w:bCs/>
          <w:snapToGrid w:val="0"/>
          <w:sz w:val="24"/>
          <w:szCs w:val="24"/>
        </w:rPr>
        <w:t>Lo anterior es así, ya que primeramente debió hacerle del conocimiento a la parte actora de que en fecha la autoridad demandada conoció que era omisa en el cumplimiento de sus obligaciones, y si esa autoridad al tener documentación comprobatoria de que para esa fecha era omisa en la obligación de inscribirse en el registro de referencia y con ello, el pago del impuesto de referencia, debió anexar esos documentos para colmar el requisito de fundamentación y motivación, además de generar certeza jurídica en la parte actora, otorgando el plazo correspondiente para que esta tuviera el derecho de audiencia a decir todo lo que a sus intereses conviniera,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 la actora de manifestar lo que a su derecho conviniera. Sirve de sustento la jurisprudencia con número de registro 252103 por los Tribunales Colegiados de Circuito, dentro del Semanario Judicial de la Federación, volumen 121-126, Sexta Parte, Séptima Época, página 280, materia Común, bajo el rubro y te</w:t>
      </w:r>
      <w:r w:rsidR="009F6E19">
        <w:rPr>
          <w:rFonts w:ascii="Arial" w:hAnsi="Arial" w:cs="Arial"/>
          <w:bCs/>
          <w:snapToGrid w:val="0"/>
          <w:sz w:val="24"/>
          <w:szCs w:val="24"/>
        </w:rPr>
        <w:t>xto siguiente:</w:t>
      </w:r>
    </w:p>
    <w:p w:rsidR="00440C9A" w:rsidRPr="009C74DB" w:rsidRDefault="00440C9A" w:rsidP="00440C9A">
      <w:pPr>
        <w:ind w:left="567" w:right="615"/>
        <w:jc w:val="both"/>
        <w:rPr>
          <w:rFonts w:ascii="Arial" w:hAnsi="Arial" w:cs="Arial"/>
          <w:bCs/>
          <w:snapToGrid w:val="0"/>
          <w:sz w:val="24"/>
          <w:szCs w:val="24"/>
        </w:rPr>
      </w:pPr>
      <w:r w:rsidRPr="009C74DB">
        <w:rPr>
          <w:rFonts w:ascii="Arial" w:hAnsi="Arial" w:cs="Arial"/>
          <w:b/>
          <w:snapToGrid w:val="0"/>
          <w:sz w:val="24"/>
          <w:szCs w:val="24"/>
        </w:rPr>
        <w:t>ACTOS VICIADOS, FRUTOS DE.</w:t>
      </w:r>
      <w:r w:rsidRPr="009C74DB">
        <w:rPr>
          <w:rFonts w:ascii="Arial" w:hAnsi="Arial" w:cs="Arial"/>
          <w:bCs/>
          <w:snapToGrid w:val="0"/>
          <w:sz w:val="24"/>
          <w:szCs w:val="24"/>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440C9A" w:rsidRPr="009C74DB" w:rsidRDefault="00440C9A" w:rsidP="00440C9A">
      <w:pPr>
        <w:spacing w:line="360" w:lineRule="auto"/>
        <w:ind w:right="51" w:firstLine="567"/>
        <w:jc w:val="both"/>
        <w:rPr>
          <w:rFonts w:ascii="Arial" w:hAnsi="Arial" w:cs="Arial"/>
          <w:bCs/>
          <w:snapToGrid w:val="0"/>
          <w:sz w:val="24"/>
          <w:szCs w:val="24"/>
        </w:rPr>
      </w:pPr>
      <w:r w:rsidRPr="009C74DB">
        <w:rPr>
          <w:rFonts w:ascii="Arial" w:hAnsi="Arial" w:cs="Arial"/>
          <w:bCs/>
          <w:snapToGrid w:val="0"/>
          <w:sz w:val="24"/>
          <w:szCs w:val="24"/>
        </w:rPr>
        <w:t>A todo lo antes expuesto, cabe hacer precisión que de los conceptos de impugnación estudiados sirve de apoyo por analogía jurídica sustancial la tesis número I 6oA. 33 A, con número de registro 187,531 por los Tribunales Colegiados de Circuito, en el Semanario Judicial de la Federación y su Gaceta, Marzo de 2002, página 1350, Novena Época, con el siguiente rubro y tex</w:t>
      </w:r>
      <w:r w:rsidR="009F6E19">
        <w:rPr>
          <w:rFonts w:ascii="Arial" w:hAnsi="Arial" w:cs="Arial"/>
          <w:bCs/>
          <w:snapToGrid w:val="0"/>
          <w:sz w:val="24"/>
          <w:szCs w:val="24"/>
        </w:rPr>
        <w:t>to:</w:t>
      </w:r>
    </w:p>
    <w:p w:rsidR="00440C9A" w:rsidRPr="009C74DB" w:rsidRDefault="00440C9A" w:rsidP="00440C9A">
      <w:pPr>
        <w:ind w:left="567" w:right="615"/>
        <w:jc w:val="both"/>
        <w:rPr>
          <w:rFonts w:ascii="Arial" w:hAnsi="Arial" w:cs="Arial"/>
          <w:bCs/>
          <w:snapToGrid w:val="0"/>
          <w:sz w:val="24"/>
          <w:szCs w:val="24"/>
        </w:rPr>
      </w:pPr>
      <w:r w:rsidRPr="009C74DB">
        <w:rPr>
          <w:rFonts w:ascii="Arial" w:hAnsi="Arial" w:cs="Arial"/>
          <w:b/>
          <w:snapToGrid w:val="0"/>
          <w:sz w:val="24"/>
          <w:szCs w:val="24"/>
        </w:rPr>
        <w:t>FUNDAMENTACIÓN Y MOTIVACIÓN, FALTA O INDEBIDA. EN CUANTO SON DISTINTAS, UNAS GENERAN NULIDAD LISA Y LLANA Y OTRAS PARA EFECTOS.</w:t>
      </w:r>
      <w:r w:rsidRPr="009C74DB">
        <w:rPr>
          <w:rFonts w:ascii="Arial" w:hAnsi="Arial" w:cs="Arial"/>
          <w:bCs/>
          <w:snapToGrid w:val="0"/>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w:t>
      </w:r>
      <w:r w:rsidR="00F66B8D">
        <w:rPr>
          <w:noProof/>
          <w:lang w:eastAsia="es-MX"/>
        </w:rPr>
        <mc:AlternateContent>
          <mc:Choice Requires="wps">
            <w:drawing>
              <wp:anchor distT="0" distB="0" distL="114300" distR="114300" simplePos="0" relativeHeight="251675648" behindDoc="1" locked="0" layoutInCell="1" allowOverlap="1" wp14:anchorId="1D51543B" wp14:editId="5419241D">
                <wp:simplePos x="0" y="0"/>
                <wp:positionH relativeFrom="column">
                  <wp:posOffset>-900372</wp:posOffset>
                </wp:positionH>
                <wp:positionV relativeFrom="paragraph">
                  <wp:posOffset>4001193</wp:posOffset>
                </wp:positionV>
                <wp:extent cx="1009650" cy="962025"/>
                <wp:effectExtent l="0" t="0" r="19050"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F66B8D" w:rsidRPr="00035E13" w:rsidRDefault="00F66B8D" w:rsidP="00F66B8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51543B" id="Cuadro de texto 10" o:spid="_x0000_s1034" type="#_x0000_t202" style="position:absolute;left:0;text-align:left;margin-left:-70.9pt;margin-top:315.05pt;width:79.5pt;height:75.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" fillcolor="window" strokeweight=".5pt">
                <v:path arrowok="t"/>
                <v:textbox>
                  <w:txbxContent>
                    <w:p w:rsidR="00F66B8D" w:rsidRPr="00035E13" w:rsidRDefault="00F66B8D" w:rsidP="00F66B8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9C74DB">
        <w:rPr>
          <w:rFonts w:ascii="Arial" w:hAnsi="Arial" w:cs="Arial"/>
          <w:bCs/>
          <w:snapToGrid w:val="0"/>
          <w:sz w:val="24"/>
          <w:szCs w:val="24"/>
        </w:rPr>
        <w:t xml:space="preserve">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440C9A" w:rsidRPr="009C74DB" w:rsidRDefault="00440C9A" w:rsidP="00440C9A">
      <w:pPr>
        <w:spacing w:line="360" w:lineRule="auto"/>
        <w:ind w:right="51" w:firstLine="567"/>
        <w:jc w:val="both"/>
        <w:rPr>
          <w:rFonts w:ascii="Arial" w:hAnsi="Arial" w:cs="Arial"/>
          <w:bCs/>
          <w:snapToGrid w:val="0"/>
          <w:sz w:val="24"/>
          <w:szCs w:val="24"/>
        </w:rPr>
      </w:pPr>
      <w:r w:rsidRPr="009C74DB">
        <w:rPr>
          <w:rFonts w:ascii="Arial" w:hAnsi="Arial" w:cs="Arial"/>
          <w:bCs/>
          <w:snapToGrid w:val="0"/>
          <w:sz w:val="24"/>
          <w:szCs w:val="24"/>
        </w:rPr>
        <w:t xml:space="preserve">En consecuencia, al no haber seguido el procedimiento estipulado en el artículo 113 del Código Fiscal para el Estado de Oaxaca, ni tampoco contener en la citada multa los anexos que robustecen su motivación, los conceptos de impugnación PRIMERO, SEGUNDO y CUARTO hecho valer por la parte actora, resultan </w:t>
      </w:r>
      <w:r w:rsidRPr="009C74DB">
        <w:rPr>
          <w:rFonts w:ascii="Arial" w:hAnsi="Arial" w:cs="Arial"/>
          <w:b/>
          <w:snapToGrid w:val="0"/>
          <w:sz w:val="24"/>
          <w:szCs w:val="24"/>
          <w:u w:val="single"/>
        </w:rPr>
        <w:t>FUNDADOS</w:t>
      </w:r>
      <w:r w:rsidRPr="009C74DB">
        <w:rPr>
          <w:rFonts w:ascii="Arial" w:hAnsi="Arial" w:cs="Arial"/>
          <w:bCs/>
          <w:snapToGrid w:val="0"/>
          <w:sz w:val="24"/>
          <w:szCs w:val="24"/>
        </w:rPr>
        <w:t xml:space="preserve">, por ello, esta Sala estima pertinente declarar la </w:t>
      </w:r>
      <w:r w:rsidRPr="009C74DB">
        <w:rPr>
          <w:rFonts w:ascii="Arial" w:hAnsi="Arial" w:cs="Arial"/>
          <w:b/>
          <w:snapToGrid w:val="0"/>
          <w:sz w:val="24"/>
          <w:szCs w:val="24"/>
        </w:rPr>
        <w:t>NULIDAD LISA Y LLANA</w:t>
      </w:r>
      <w:r w:rsidRPr="009C74DB">
        <w:rPr>
          <w:rFonts w:ascii="Arial" w:hAnsi="Arial" w:cs="Arial"/>
          <w:bCs/>
          <w:snapToGrid w:val="0"/>
          <w:sz w:val="24"/>
          <w:szCs w:val="24"/>
        </w:rPr>
        <w:t xml:space="preserve">, de la multa por infracción con número de control 14MI54ER191165 de fecha diecinueve de agosto de dos mil diecinueve, emitida por la maestra </w:t>
      </w:r>
      <w:r w:rsidRPr="00D04E71">
        <w:rPr>
          <w:rFonts w:ascii="Arial" w:hAnsi="Arial" w:cs="Arial"/>
          <w:bCs/>
          <w:snapToGrid w:val="0"/>
          <w:sz w:val="24"/>
          <w:szCs w:val="24"/>
        </w:rPr>
        <w:t>ELIZABETH MARTÍNEZ ARZOLA</w:t>
      </w:r>
      <w:r w:rsidRPr="009C74DB">
        <w:rPr>
          <w:rFonts w:ascii="Arial" w:hAnsi="Arial" w:cs="Arial"/>
          <w:bCs/>
          <w:snapToGrid w:val="0"/>
          <w:sz w:val="24"/>
          <w:szCs w:val="24"/>
        </w:rPr>
        <w:t xml:space="preserve">, Directora de Ingresos y Recaudación de la Subsecretaría de Ingresos de la Secretaría de Finanzas del Gobierno del Estado de Oaxaca, mediante la cual se impone una sanción económica en cantidad de 50 UMA $4,224.00 (cuatro mil doscientos veinticuatro pesos 00/100 moneda nacional), en consecuencia, </w:t>
      </w:r>
      <w:r w:rsidRPr="009C74DB">
        <w:rPr>
          <w:rFonts w:ascii="Arial" w:hAnsi="Arial" w:cs="Arial"/>
          <w:bCs/>
          <w:snapToGrid w:val="0"/>
          <w:sz w:val="24"/>
          <w:szCs w:val="24"/>
          <w:u w:val="single"/>
        </w:rPr>
        <w:t>se ordena a esa autoridad fiscal para que por sí misma o a través de quien sea competente realice la baja de la citada multa del sistema electrónico y/o documental que para tal efecto lleve esa autoridad</w:t>
      </w:r>
      <w:r w:rsidRPr="009C74DB">
        <w:rPr>
          <w:rFonts w:ascii="Arial" w:hAnsi="Arial" w:cs="Arial"/>
          <w:bCs/>
          <w:snapToGrid w:val="0"/>
          <w:sz w:val="24"/>
          <w:szCs w:val="24"/>
        </w:rPr>
        <w:t>.</w:t>
      </w:r>
    </w:p>
    <w:p w:rsidR="00440C9A" w:rsidRPr="009C74DB" w:rsidRDefault="00440C9A" w:rsidP="00440C9A">
      <w:pPr>
        <w:spacing w:line="360" w:lineRule="auto"/>
        <w:ind w:right="51" w:firstLine="567"/>
        <w:jc w:val="both"/>
        <w:rPr>
          <w:rFonts w:ascii="Arial" w:hAnsi="Arial" w:cs="Arial"/>
          <w:bCs/>
          <w:snapToGrid w:val="0"/>
          <w:sz w:val="24"/>
          <w:szCs w:val="24"/>
        </w:rPr>
      </w:pPr>
      <w:r w:rsidRPr="009C74DB">
        <w:rPr>
          <w:rFonts w:ascii="Arial" w:hAnsi="Arial" w:cs="Arial"/>
          <w:bCs/>
          <w:snapToGrid w:val="0"/>
          <w:sz w:val="24"/>
          <w:szCs w:val="24"/>
        </w:rPr>
        <w:t>Por lo anteriormente expuesto, fundado y motivado, en términos de los artículos 207, 208 fracciones II y VI, y 209 de la Ley de Procedimiento y Justicia Administrativa</w:t>
      </w:r>
      <w:r w:rsidR="009F6E19">
        <w:rPr>
          <w:rFonts w:ascii="Arial" w:hAnsi="Arial" w:cs="Arial"/>
          <w:bCs/>
          <w:snapToGrid w:val="0"/>
          <w:sz w:val="24"/>
          <w:szCs w:val="24"/>
        </w:rPr>
        <w:t xml:space="preserve"> para el Estado de Oaxaca, se;</w:t>
      </w:r>
    </w:p>
    <w:p w:rsidR="00440C9A" w:rsidRPr="009C74DB" w:rsidRDefault="00440C9A" w:rsidP="00440C9A">
      <w:pPr>
        <w:spacing w:line="360" w:lineRule="auto"/>
        <w:ind w:right="51" w:firstLine="567"/>
        <w:jc w:val="center"/>
        <w:rPr>
          <w:rFonts w:ascii="Arial" w:hAnsi="Arial" w:cs="Arial"/>
          <w:b/>
          <w:sz w:val="24"/>
          <w:szCs w:val="24"/>
        </w:rPr>
      </w:pPr>
      <w:r w:rsidRPr="009C74DB">
        <w:rPr>
          <w:rFonts w:ascii="Arial" w:hAnsi="Arial" w:cs="Arial"/>
          <w:b/>
          <w:sz w:val="24"/>
          <w:szCs w:val="24"/>
        </w:rPr>
        <w:t>R E S U E L V E:</w:t>
      </w:r>
    </w:p>
    <w:p w:rsidR="00440C9A" w:rsidRPr="009C74DB" w:rsidRDefault="00440C9A" w:rsidP="00440C9A">
      <w:pPr>
        <w:widowControl w:val="0"/>
        <w:spacing w:after="120" w:line="360" w:lineRule="auto"/>
        <w:ind w:right="51" w:firstLine="708"/>
        <w:jc w:val="both"/>
        <w:rPr>
          <w:rFonts w:ascii="Arial" w:eastAsia="Times New Roman" w:hAnsi="Arial" w:cs="Arial"/>
          <w:sz w:val="24"/>
          <w:szCs w:val="24"/>
          <w:lang w:val="es-ES" w:eastAsia="es-ES"/>
        </w:rPr>
      </w:pPr>
      <w:r w:rsidRPr="009C74DB">
        <w:rPr>
          <w:rFonts w:ascii="Arial" w:hAnsi="Arial" w:cs="Arial"/>
          <w:b/>
          <w:sz w:val="24"/>
          <w:szCs w:val="24"/>
        </w:rPr>
        <w:t>PRIMERO</w:t>
      </w:r>
      <w:r w:rsidRPr="009C74DB">
        <w:rPr>
          <w:rFonts w:cs="Arial"/>
          <w:i/>
          <w:sz w:val="24"/>
          <w:szCs w:val="24"/>
        </w:rPr>
        <w:t>.</w:t>
      </w:r>
      <w:r w:rsidRPr="009C74DB">
        <w:rPr>
          <w:rFonts w:cs="Arial"/>
          <w:sz w:val="24"/>
          <w:szCs w:val="24"/>
        </w:rPr>
        <w:t xml:space="preserve"> </w:t>
      </w:r>
      <w:r w:rsidRPr="009C74DB">
        <w:rPr>
          <w:rFonts w:ascii="Arial" w:eastAsia="Times New Roman" w:hAnsi="Arial" w:cs="Arial"/>
          <w:sz w:val="24"/>
          <w:szCs w:val="24"/>
          <w:lang w:val="es-ES" w:eastAsia="es-ES"/>
        </w:rPr>
        <w:t>Esta Sexta</w:t>
      </w:r>
      <w:r w:rsidRPr="009C74DB">
        <w:rPr>
          <w:rFonts w:ascii="Arial" w:eastAsia="Times New Roman" w:hAnsi="Arial" w:cs="Arial"/>
          <w:sz w:val="24"/>
          <w:szCs w:val="24"/>
          <w:lang w:eastAsia="es-ES"/>
        </w:rPr>
        <w:t xml:space="preserve"> </w:t>
      </w:r>
      <w:r w:rsidRPr="009C74DB">
        <w:rPr>
          <w:rFonts w:ascii="Arial" w:eastAsia="Times New Roman" w:hAnsi="Arial" w:cs="Arial"/>
          <w:sz w:val="24"/>
          <w:szCs w:val="24"/>
          <w:lang w:val="es-ES" w:eastAsia="es-ES"/>
        </w:rPr>
        <w:t>Sala</w:t>
      </w:r>
      <w:r w:rsidRPr="009C74DB">
        <w:rPr>
          <w:rFonts w:ascii="Arial" w:eastAsia="Times New Roman" w:hAnsi="Arial" w:cs="Arial"/>
          <w:sz w:val="24"/>
          <w:szCs w:val="24"/>
          <w:lang w:eastAsia="es-ES"/>
        </w:rPr>
        <w:t xml:space="preserve"> Unitaria </w:t>
      </w:r>
      <w:r w:rsidRPr="009C74DB">
        <w:rPr>
          <w:rFonts w:ascii="Arial" w:eastAsia="Times New Roman" w:hAnsi="Arial" w:cs="Arial"/>
          <w:sz w:val="24"/>
          <w:szCs w:val="24"/>
          <w:lang w:val="es-ES" w:eastAsia="es-ES"/>
        </w:rPr>
        <w:t>del Tribunal de Justicia Administrativa del Estado de Oaxaca, es competente para conocer y resolver el presente juicio</w:t>
      </w:r>
      <w:r w:rsidR="009F6E19">
        <w:rPr>
          <w:rFonts w:ascii="Arial" w:eastAsia="Times New Roman" w:hAnsi="Arial" w:cs="Arial"/>
          <w:sz w:val="24"/>
          <w:szCs w:val="24"/>
          <w:lang w:val="es-ES" w:eastAsia="es-ES"/>
        </w:rPr>
        <w:t>.</w:t>
      </w:r>
    </w:p>
    <w:p w:rsidR="00440C9A" w:rsidRPr="009C74DB" w:rsidRDefault="00440C9A" w:rsidP="00440C9A">
      <w:pPr>
        <w:pStyle w:val="Sangra2detindependiente1"/>
        <w:spacing w:after="240" w:line="360" w:lineRule="auto"/>
        <w:ind w:right="51" w:firstLine="567"/>
        <w:rPr>
          <w:rFonts w:cs="Arial"/>
          <w:b w:val="0"/>
          <w:bCs/>
          <w:i w:val="0"/>
          <w:szCs w:val="24"/>
        </w:rPr>
      </w:pPr>
      <w:r w:rsidRPr="009C74DB">
        <w:rPr>
          <w:rFonts w:cs="Arial"/>
          <w:i w:val="0"/>
          <w:szCs w:val="24"/>
        </w:rPr>
        <w:t xml:space="preserve">SEGUNDO. </w:t>
      </w:r>
      <w:r w:rsidRPr="009C74DB">
        <w:rPr>
          <w:rFonts w:cs="Arial"/>
          <w:b w:val="0"/>
          <w:bCs/>
          <w:i w:val="0"/>
          <w:szCs w:val="24"/>
        </w:rPr>
        <w:t>La personalidad de las partes quedó asentada en autos, dentro del considerando SEGUNDO de la presente resolución.</w:t>
      </w:r>
      <w:r w:rsidRPr="009C74DB">
        <w:rPr>
          <w:szCs w:val="24"/>
        </w:rPr>
        <w:t xml:space="preserve"> </w:t>
      </w:r>
    </w:p>
    <w:p w:rsidR="00440C9A" w:rsidRPr="009C74DB" w:rsidRDefault="00440C9A" w:rsidP="00440C9A">
      <w:pPr>
        <w:pStyle w:val="Sangra2detindependiente1"/>
        <w:spacing w:after="240" w:line="360" w:lineRule="auto"/>
        <w:ind w:right="51" w:firstLine="567"/>
        <w:rPr>
          <w:rFonts w:cs="Arial"/>
          <w:b w:val="0"/>
          <w:bCs/>
          <w:i w:val="0"/>
          <w:szCs w:val="24"/>
        </w:rPr>
      </w:pPr>
      <w:r w:rsidRPr="009C74DB">
        <w:rPr>
          <w:rFonts w:cs="Arial"/>
          <w:i w:val="0"/>
          <w:szCs w:val="24"/>
        </w:rPr>
        <w:t>TERCERO.</w:t>
      </w:r>
      <w:r w:rsidRPr="009C74DB">
        <w:rPr>
          <w:rFonts w:cs="Arial"/>
          <w:b w:val="0"/>
          <w:bCs/>
          <w:i w:val="0"/>
          <w:szCs w:val="24"/>
        </w:rPr>
        <w:t xml:space="preserve"> Esta Sala advierte que, en el presente juicio no se configura alguna causal de improcedencia o sobreseimiento, por lo tanto, </w:t>
      </w:r>
      <w:r w:rsidRPr="009C74DB">
        <w:rPr>
          <w:rFonts w:cs="Arial"/>
          <w:i w:val="0"/>
          <w:szCs w:val="24"/>
        </w:rPr>
        <w:t>NO SE SOBRESEE.</w:t>
      </w:r>
      <w:r w:rsidRPr="009C74DB">
        <w:rPr>
          <w:szCs w:val="24"/>
        </w:rPr>
        <w:t xml:space="preserve"> </w:t>
      </w:r>
    </w:p>
    <w:p w:rsidR="00440C9A" w:rsidRPr="009C74DB" w:rsidRDefault="00F66B8D" w:rsidP="00440C9A">
      <w:pPr>
        <w:pStyle w:val="Sangra2detindependiente1"/>
        <w:spacing w:after="240" w:line="360" w:lineRule="auto"/>
        <w:ind w:right="51" w:firstLine="567"/>
        <w:rPr>
          <w:rFonts w:cs="Arial"/>
          <w:i w:val="0"/>
          <w:szCs w:val="24"/>
        </w:rPr>
      </w:pPr>
      <w:r>
        <w:rPr>
          <w:noProof/>
        </w:rPr>
        <mc:AlternateContent>
          <mc:Choice Requires="wps">
            <w:drawing>
              <wp:anchor distT="0" distB="0" distL="114300" distR="114300" simplePos="0" relativeHeight="251677696" behindDoc="1" locked="0" layoutInCell="1" allowOverlap="1" wp14:anchorId="211207DC" wp14:editId="4BC43D11">
                <wp:simplePos x="0" y="0"/>
                <wp:positionH relativeFrom="column">
                  <wp:posOffset>5694218</wp:posOffset>
                </wp:positionH>
                <wp:positionV relativeFrom="paragraph">
                  <wp:posOffset>614680</wp:posOffset>
                </wp:positionV>
                <wp:extent cx="1009650" cy="962025"/>
                <wp:effectExtent l="0" t="0" r="19050"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F66B8D" w:rsidRPr="00035E13" w:rsidRDefault="00F66B8D" w:rsidP="00F66B8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207DC" id="Cuadro de texto 11" o:spid="_x0000_s1035" type="#_x0000_t202" style="position:absolute;left:0;text-align:left;margin-left:448.35pt;margin-top:48.4pt;width:79.5pt;height:75.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" fillcolor="window" strokeweight=".5pt">
                <v:path arrowok="t"/>
                <v:textbox>
                  <w:txbxContent>
                    <w:p w:rsidR="00F66B8D" w:rsidRPr="00035E13" w:rsidRDefault="00F66B8D" w:rsidP="00F66B8D">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440C9A" w:rsidRPr="009C74DB">
        <w:rPr>
          <w:rFonts w:cs="Arial"/>
          <w:i w:val="0"/>
          <w:szCs w:val="24"/>
        </w:rPr>
        <w:t>CUARTO.</w:t>
      </w:r>
      <w:r w:rsidR="00440C9A" w:rsidRPr="009C74DB">
        <w:rPr>
          <w:rFonts w:cs="Arial"/>
          <w:b w:val="0"/>
          <w:bCs/>
          <w:i w:val="0"/>
          <w:szCs w:val="24"/>
        </w:rPr>
        <w:t xml:space="preserve"> Se declara la </w:t>
      </w:r>
      <w:r w:rsidR="00440C9A" w:rsidRPr="009C74DB">
        <w:rPr>
          <w:rFonts w:cs="Arial"/>
          <w:i w:val="0"/>
          <w:szCs w:val="24"/>
        </w:rPr>
        <w:t xml:space="preserve">NULIDAD LISA Y LLANA, </w:t>
      </w:r>
      <w:r w:rsidR="00440C9A" w:rsidRPr="009C74DB">
        <w:rPr>
          <w:rFonts w:cs="Arial"/>
          <w:b w:val="0"/>
          <w:bCs/>
          <w:i w:val="0"/>
          <w:szCs w:val="24"/>
        </w:rPr>
        <w:t xml:space="preserve">de la multa por infracción con número de control 14MI54ER191165 de fecha diecinueve de agosto de dos mil diecinueve, emitida por la maestra </w:t>
      </w:r>
      <w:r w:rsidR="00440C9A" w:rsidRPr="00B30468">
        <w:rPr>
          <w:rFonts w:cs="Arial"/>
          <w:b w:val="0"/>
          <w:bCs/>
          <w:i w:val="0"/>
          <w:szCs w:val="24"/>
        </w:rPr>
        <w:t>ELIZABETH MARTÍNEZ ARZOLA</w:t>
      </w:r>
      <w:r w:rsidR="00440C9A" w:rsidRPr="009C74DB">
        <w:rPr>
          <w:rFonts w:cs="Arial"/>
          <w:b w:val="0"/>
          <w:bCs/>
          <w:i w:val="0"/>
          <w:szCs w:val="24"/>
        </w:rPr>
        <w:t xml:space="preserve">, Directora de Ingresos y Recaudación de la Subsecretaría de Ingresos de la Secretaría de Finanzas del Gobierno del Estado de Oaxaca, mediante la cual se impone una sanción económica en cantidad de 50 UMA $4,224.00 (cuatro mil doscientos veinticuatro pesos 00/100 moneda nacional), en consecuencia, </w:t>
      </w:r>
      <w:r w:rsidR="00440C9A" w:rsidRPr="009C74DB">
        <w:rPr>
          <w:rFonts w:cs="Arial"/>
          <w:b w:val="0"/>
          <w:bCs/>
          <w:i w:val="0"/>
          <w:szCs w:val="24"/>
          <w:u w:val="single"/>
        </w:rPr>
        <w:t>se ordena a esa autoridad fiscal para que por sí misma o a través de quien sea competente realice la baja de la citada multa del sistema electrónico y/o documental que para tal efecto lleve esa autoridad</w:t>
      </w:r>
      <w:r w:rsidR="00440C9A" w:rsidRPr="009C74DB">
        <w:rPr>
          <w:rFonts w:cs="Arial"/>
          <w:b w:val="0"/>
          <w:bCs/>
          <w:i w:val="0"/>
          <w:szCs w:val="24"/>
        </w:rPr>
        <w:t>, por las razones ya expuestas en el considerando QUINTO de esta sentencia.</w:t>
      </w:r>
    </w:p>
    <w:p w:rsidR="00440C9A" w:rsidRDefault="00440C9A" w:rsidP="00440C9A">
      <w:pPr>
        <w:pStyle w:val="Sangra2detindependiente1"/>
        <w:spacing w:after="240" w:line="360" w:lineRule="auto"/>
        <w:ind w:right="51" w:firstLine="567"/>
        <w:rPr>
          <w:rFonts w:cs="Arial"/>
          <w:b w:val="0"/>
          <w:i w:val="0"/>
          <w:szCs w:val="24"/>
          <w:lang w:val="es-MX"/>
        </w:rPr>
      </w:pPr>
      <w:r w:rsidRPr="009C74DB">
        <w:rPr>
          <w:rFonts w:cs="Arial"/>
          <w:bCs/>
          <w:i w:val="0"/>
          <w:szCs w:val="24"/>
          <w:lang w:val="es-MX"/>
        </w:rPr>
        <w:t>QUINTO.</w:t>
      </w:r>
      <w:r w:rsidRPr="009C74DB">
        <w:rPr>
          <w:rFonts w:cs="Arial"/>
          <w:b w:val="0"/>
          <w:i w:val="0"/>
          <w:szCs w:val="24"/>
          <w:lang w:val="es-MX"/>
        </w:rPr>
        <w:t xml:space="preserve"> Conforme a lo dispuesto en los artículos 142 fracción I y 143 fracciones I y II de la Ley de Justicia Administrativa para el Estado de Oaxaca, </w:t>
      </w:r>
      <w:r w:rsidRPr="009C74DB">
        <w:rPr>
          <w:rFonts w:cs="Arial"/>
          <w:bCs/>
          <w:i w:val="0"/>
          <w:szCs w:val="24"/>
          <w:lang w:val="es-MX"/>
        </w:rPr>
        <w:t>NOTIFÍQUESE y CÚMPLASE</w:t>
      </w:r>
      <w:r w:rsidRPr="009C74DB">
        <w:rPr>
          <w:rFonts w:cs="Arial"/>
          <w:b w:val="0"/>
          <w:i w:val="0"/>
          <w:szCs w:val="24"/>
          <w:lang w:val="es-MX"/>
        </w:rPr>
        <w:t>.</w:t>
      </w:r>
    </w:p>
    <w:p w:rsidR="0089401A" w:rsidRPr="007C56AA" w:rsidRDefault="0089401A" w:rsidP="0089401A">
      <w:pPr>
        <w:spacing w:line="360" w:lineRule="auto"/>
        <w:ind w:firstLine="567"/>
        <w:jc w:val="both"/>
        <w:rPr>
          <w:rFonts w:ascii="Tahoma" w:hAnsi="Tahoma" w:cs="Tahoma"/>
          <w:sz w:val="24"/>
          <w:szCs w:val="24"/>
        </w:rPr>
      </w:pPr>
      <w:r w:rsidRPr="007C56AA">
        <w:rPr>
          <w:rFonts w:ascii="Tahoma" w:eastAsia="Batang" w:hAnsi="Tahoma" w:cs="Tahoma"/>
          <w:sz w:val="24"/>
          <w:szCs w:val="24"/>
        </w:rPr>
        <w:tab/>
      </w:r>
      <w:bookmarkStart w:id="2" w:name="_Hlk49196234"/>
      <w:r w:rsidRPr="007C56AA">
        <w:rPr>
          <w:rFonts w:ascii="Tahoma" w:hAnsi="Tahoma" w:cs="Tahoma"/>
          <w:sz w:val="24"/>
          <w:szCs w:val="24"/>
        </w:rPr>
        <w:t xml:space="preserve">Así lo resuelve y firma el licenciado </w:t>
      </w:r>
      <w:r w:rsidRPr="007C56AA">
        <w:rPr>
          <w:rFonts w:ascii="Tahoma" w:hAnsi="Tahoma" w:cs="Tahoma"/>
          <w:b/>
          <w:sz w:val="24"/>
          <w:szCs w:val="24"/>
        </w:rPr>
        <w:t xml:space="preserve">RENATO GABRIEL IBÁÑEZ CASTELLANOS, </w:t>
      </w:r>
      <w:r w:rsidRPr="007C56AA">
        <w:rPr>
          <w:rFonts w:ascii="Tahoma" w:hAnsi="Tahoma" w:cs="Tahoma"/>
          <w:sz w:val="24"/>
          <w:szCs w:val="24"/>
        </w:rPr>
        <w:t xml:space="preserve">Secretario de Acuerdos autorizado por el Pleno del Tribunal de Justicia Administrativo del Estado de Oaxaca, para tramitar y resolver los asuntos que se llevan en esta Sexta Sala Unitaria, mediante Sesión Administrativa Extraordinaria del Pleno del mismo Tribunal de doce de agosto del presente año y en términos del artículo 20, fracciones XXII, de la Ley Orgánica del Tribunal de Justicia Administrativa del Estado de Oaxaca, en relación con el numeral 13, fracción XIV de su reglamento, hasta se adscriba titular de la Sala, quien actúa con la licenciada </w:t>
      </w:r>
      <w:r w:rsidRPr="007C56AA">
        <w:rPr>
          <w:rFonts w:ascii="Tahoma" w:hAnsi="Tahoma" w:cs="Tahoma"/>
          <w:b/>
          <w:sz w:val="24"/>
          <w:szCs w:val="24"/>
        </w:rPr>
        <w:t>DULCE ELOÍSA HUERTA CONTRERAS</w:t>
      </w:r>
      <w:r w:rsidRPr="007C56AA">
        <w:rPr>
          <w:rFonts w:ascii="Tahoma" w:hAnsi="Tahoma" w:cs="Tahoma"/>
          <w:sz w:val="24"/>
          <w:szCs w:val="24"/>
        </w:rPr>
        <w:t xml:space="preserve">, Actuaria que autoriza y da fe. </w:t>
      </w:r>
    </w:p>
    <w:bookmarkEnd w:id="2"/>
    <w:p w:rsidR="00440C9A" w:rsidRPr="009C74DB" w:rsidRDefault="00440C9A" w:rsidP="00F66B8D">
      <w:pPr>
        <w:pStyle w:val="Sangra2detindependiente1"/>
        <w:spacing w:line="360" w:lineRule="auto"/>
        <w:ind w:right="51" w:firstLine="0"/>
        <w:rPr>
          <w:rFonts w:cs="Arial"/>
          <w:i w:val="0"/>
          <w:szCs w:val="24"/>
        </w:rPr>
      </w:pPr>
    </w:p>
    <w:p w:rsidR="00346DC8" w:rsidRPr="009C74DB" w:rsidRDefault="00346DC8">
      <w:pPr>
        <w:rPr>
          <w:sz w:val="24"/>
          <w:szCs w:val="24"/>
          <w:lang w:val="es-ES_tradnl"/>
        </w:rPr>
      </w:pPr>
    </w:p>
    <w:sectPr w:rsidR="00346DC8" w:rsidRPr="009C74DB" w:rsidSect="0089401A">
      <w:footerReference w:type="default" r:id="rId6"/>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6C8C" w:rsidRDefault="00906C8C" w:rsidP="009C74DB">
      <w:pPr>
        <w:spacing w:after="0" w:line="240" w:lineRule="auto"/>
      </w:pPr>
      <w:r>
        <w:separator/>
      </w:r>
    </w:p>
  </w:endnote>
  <w:endnote w:type="continuationSeparator" w:id="0">
    <w:p w:rsidR="00906C8C" w:rsidRDefault="00906C8C" w:rsidP="009C7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2176618"/>
      <w:docPartObj>
        <w:docPartGallery w:val="Page Numbers (Bottom of Page)"/>
        <w:docPartUnique/>
      </w:docPartObj>
    </w:sdtPr>
    <w:sdtEndPr>
      <w:rPr>
        <w:rFonts w:ascii="Arial" w:hAnsi="Arial" w:cs="Arial"/>
        <w:sz w:val="24"/>
        <w:szCs w:val="24"/>
      </w:rPr>
    </w:sdtEndPr>
    <w:sdtContent>
      <w:p w:rsidR="0076338B" w:rsidRPr="00604752" w:rsidRDefault="00EC40C5">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F66B8D" w:rsidRPr="00F66B8D">
          <w:rPr>
            <w:rFonts w:ascii="Arial" w:hAnsi="Arial" w:cs="Arial"/>
            <w:noProof/>
            <w:sz w:val="24"/>
            <w:szCs w:val="24"/>
            <w:lang w:val="es-ES"/>
          </w:rPr>
          <w:t>2</w:t>
        </w:r>
        <w:r w:rsidRPr="00604752">
          <w:rPr>
            <w:rFonts w:ascii="Arial" w:hAnsi="Arial" w:cs="Arial"/>
            <w:sz w:val="24"/>
            <w:szCs w:val="24"/>
          </w:rPr>
          <w:fldChar w:fldCharType="end"/>
        </w:r>
      </w:p>
    </w:sdtContent>
  </w:sdt>
  <w:p w:rsidR="0076338B" w:rsidRDefault="00906C8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6C8C" w:rsidRDefault="00906C8C" w:rsidP="009C74DB">
      <w:pPr>
        <w:spacing w:after="0" w:line="240" w:lineRule="auto"/>
      </w:pPr>
      <w:r>
        <w:separator/>
      </w:r>
    </w:p>
  </w:footnote>
  <w:footnote w:type="continuationSeparator" w:id="0">
    <w:p w:rsidR="00906C8C" w:rsidRDefault="00906C8C" w:rsidP="009C74D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mirrorMargins/>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C9A"/>
    <w:rsid w:val="00092ACA"/>
    <w:rsid w:val="002C1213"/>
    <w:rsid w:val="002F308D"/>
    <w:rsid w:val="00346DC8"/>
    <w:rsid w:val="00351E17"/>
    <w:rsid w:val="003A7FDD"/>
    <w:rsid w:val="00440C9A"/>
    <w:rsid w:val="005649EC"/>
    <w:rsid w:val="005A16F5"/>
    <w:rsid w:val="00605068"/>
    <w:rsid w:val="00611445"/>
    <w:rsid w:val="0089401A"/>
    <w:rsid w:val="00906C8C"/>
    <w:rsid w:val="009C74DB"/>
    <w:rsid w:val="009F6E19"/>
    <w:rsid w:val="00A60CA8"/>
    <w:rsid w:val="00A97EF3"/>
    <w:rsid w:val="00B30468"/>
    <w:rsid w:val="00B91E2C"/>
    <w:rsid w:val="00D04E71"/>
    <w:rsid w:val="00D17CA8"/>
    <w:rsid w:val="00DD21D9"/>
    <w:rsid w:val="00EC40C5"/>
    <w:rsid w:val="00F66B8D"/>
    <w:rsid w:val="00F8202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C928155-383C-42C4-AB54-5C5D9C6C6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C9A"/>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C9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40C9A"/>
  </w:style>
  <w:style w:type="paragraph" w:styleId="Piedepgina">
    <w:name w:val="footer"/>
    <w:basedOn w:val="Normal"/>
    <w:link w:val="PiedepginaCar"/>
    <w:uiPriority w:val="99"/>
    <w:unhideWhenUsed/>
    <w:rsid w:val="00440C9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40C9A"/>
  </w:style>
  <w:style w:type="paragraph" w:customStyle="1" w:styleId="Sangra2detindependiente1">
    <w:name w:val="Sangría 2 de t. independiente1"/>
    <w:basedOn w:val="Normal"/>
    <w:rsid w:val="00440C9A"/>
    <w:pPr>
      <w:widowControl w:val="0"/>
      <w:spacing w:after="0" w:line="240" w:lineRule="auto"/>
      <w:ind w:firstLine="708"/>
      <w:jc w:val="both"/>
    </w:pPr>
    <w:rPr>
      <w:rFonts w:ascii="Arial" w:eastAsia="Times New Roman" w:hAnsi="Arial" w:cs="Times New Roman"/>
      <w:b/>
      <w:i/>
      <w:sz w:val="24"/>
      <w:szCs w:val="20"/>
      <w:lang w:val="es-ES_tradnl" w:eastAsia="es-MX"/>
    </w:rPr>
  </w:style>
  <w:style w:type="character" w:styleId="Refdecomentario">
    <w:name w:val="annotation reference"/>
    <w:basedOn w:val="Fuentedeprrafopredeter"/>
    <w:uiPriority w:val="99"/>
    <w:semiHidden/>
    <w:unhideWhenUsed/>
    <w:rsid w:val="00F66B8D"/>
    <w:rPr>
      <w:sz w:val="16"/>
      <w:szCs w:val="16"/>
    </w:rPr>
  </w:style>
  <w:style w:type="paragraph" w:styleId="Textocomentario">
    <w:name w:val="annotation text"/>
    <w:basedOn w:val="Normal"/>
    <w:link w:val="TextocomentarioCar"/>
    <w:uiPriority w:val="99"/>
    <w:semiHidden/>
    <w:unhideWhenUsed/>
    <w:rsid w:val="00F66B8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66B8D"/>
    <w:rPr>
      <w:sz w:val="20"/>
      <w:szCs w:val="20"/>
    </w:rPr>
  </w:style>
  <w:style w:type="paragraph" w:styleId="Asuntodelcomentario">
    <w:name w:val="annotation subject"/>
    <w:basedOn w:val="Textocomentario"/>
    <w:next w:val="Textocomentario"/>
    <w:link w:val="AsuntodelcomentarioCar"/>
    <w:uiPriority w:val="99"/>
    <w:semiHidden/>
    <w:unhideWhenUsed/>
    <w:rsid w:val="00F66B8D"/>
    <w:rPr>
      <w:b/>
      <w:bCs/>
    </w:rPr>
  </w:style>
  <w:style w:type="character" w:customStyle="1" w:styleId="AsuntodelcomentarioCar">
    <w:name w:val="Asunto del comentario Car"/>
    <w:basedOn w:val="TextocomentarioCar"/>
    <w:link w:val="Asuntodelcomentario"/>
    <w:uiPriority w:val="99"/>
    <w:semiHidden/>
    <w:rsid w:val="00F66B8D"/>
    <w:rPr>
      <w:b/>
      <w:bCs/>
      <w:sz w:val="20"/>
      <w:szCs w:val="20"/>
    </w:rPr>
  </w:style>
  <w:style w:type="paragraph" w:styleId="Textodeglobo">
    <w:name w:val="Balloon Text"/>
    <w:basedOn w:val="Normal"/>
    <w:link w:val="TextodegloboCar"/>
    <w:uiPriority w:val="99"/>
    <w:semiHidden/>
    <w:unhideWhenUsed/>
    <w:rsid w:val="00F66B8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6B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4302</Words>
  <Characters>23667</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27914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TCAC-Personal</cp:lastModifiedBy>
  <cp:revision>2</cp:revision>
  <dcterms:created xsi:type="dcterms:W3CDTF">2021-09-13T20:51:00Z</dcterms:created>
  <dcterms:modified xsi:type="dcterms:W3CDTF">2021-09-13T20:51:00Z</dcterms:modified>
</cp:coreProperties>
</file>