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843832">
        <w:rPr>
          <w:rFonts w:ascii="Arial" w:eastAsia="Times New Roman" w:hAnsi="Arial" w:cs="Arial"/>
          <w:sz w:val="24"/>
          <w:szCs w:val="24"/>
          <w:lang w:val="es-ES_tradnl" w:eastAsia="es-ES"/>
        </w:rPr>
        <w:t>149</w:t>
      </w:r>
      <w:r w:rsidR="00432E9E" w:rsidRPr="00432E9E">
        <w:rPr>
          <w:rFonts w:ascii="Arial" w:eastAsia="Times New Roman" w:hAnsi="Arial" w:cs="Arial"/>
          <w:bCs/>
          <w:sz w:val="24"/>
          <w:szCs w:val="24"/>
          <w:lang w:val="es-ES_tradnl" w:eastAsia="es-ES"/>
        </w:rPr>
        <w:t>/</w:t>
      </w:r>
      <w:r w:rsidR="00695FC9">
        <w:rPr>
          <w:rFonts w:ascii="Arial" w:eastAsia="Times New Roman" w:hAnsi="Arial" w:cs="Arial"/>
          <w:bCs/>
          <w:sz w:val="24"/>
          <w:szCs w:val="24"/>
          <w:lang w:val="es-ES_tradnl" w:eastAsia="es-ES"/>
        </w:rPr>
        <w:t>2020</w:t>
      </w:r>
      <w:r w:rsidRPr="00BB1B71">
        <w:rPr>
          <w:rFonts w:ascii="Arial" w:eastAsia="Times New Roman" w:hAnsi="Arial" w:cs="Arial"/>
          <w:bCs/>
          <w:sz w:val="24"/>
          <w:szCs w:val="24"/>
          <w:lang w:val="es-ES_tradnl" w:eastAsia="es-ES"/>
        </w:rPr>
        <w:t xml:space="preserve">. </w:t>
      </w:r>
    </w:p>
    <w:p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rsidR="001C4867" w:rsidRPr="00773A89"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E410E5">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w:t>
      </w:r>
    </w:p>
    <w:p w:rsidR="001C4867" w:rsidRPr="00BB1B71" w:rsidRDefault="001C4867" w:rsidP="001C4867">
      <w:pPr>
        <w:spacing w:after="0"/>
        <w:ind w:left="3686" w:right="51"/>
        <w:jc w:val="both"/>
        <w:rPr>
          <w:rFonts w:ascii="Arial" w:eastAsia="Times New Roman" w:hAnsi="Arial" w:cs="Arial"/>
          <w:sz w:val="24"/>
          <w:szCs w:val="24"/>
          <w:lang w:val="es-ES_tradnl" w:eastAsia="es-ES"/>
        </w:rPr>
      </w:pPr>
    </w:p>
    <w:p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009A19A0">
        <w:rPr>
          <w:rFonts w:ascii="Arial" w:eastAsia="Times New Roman" w:hAnsi="Arial" w:cs="Arial"/>
          <w:sz w:val="24"/>
          <w:szCs w:val="24"/>
          <w:lang w:val="es-ES_tradnl" w:eastAsia="es-ES"/>
        </w:rPr>
        <w:t>AYUNTAMIENTO DE SAN</w:t>
      </w:r>
      <w:r w:rsidR="00843832">
        <w:rPr>
          <w:rFonts w:ascii="Arial" w:eastAsia="Times New Roman" w:hAnsi="Arial" w:cs="Arial"/>
          <w:sz w:val="24"/>
          <w:szCs w:val="24"/>
          <w:lang w:val="es-ES_tradnl" w:eastAsia="es-ES"/>
        </w:rPr>
        <w:t>TA</w:t>
      </w:r>
      <w:r w:rsidR="009A19A0">
        <w:rPr>
          <w:rFonts w:ascii="Arial" w:eastAsia="Times New Roman" w:hAnsi="Arial" w:cs="Arial"/>
          <w:sz w:val="24"/>
          <w:szCs w:val="24"/>
          <w:lang w:val="es-ES_tradnl" w:eastAsia="es-ES"/>
        </w:rPr>
        <w:t xml:space="preserve"> </w:t>
      </w:r>
      <w:r w:rsidR="00843832">
        <w:rPr>
          <w:rFonts w:ascii="Arial" w:eastAsia="Times New Roman" w:hAnsi="Arial" w:cs="Arial"/>
          <w:sz w:val="24"/>
          <w:szCs w:val="24"/>
          <w:lang w:val="es-ES_tradnl" w:eastAsia="es-ES"/>
        </w:rPr>
        <w:t>MARÍA COLOTEPEC, POCHUTLA, OAXACA</w:t>
      </w:r>
      <w:bookmarkEnd w:id="0"/>
      <w:r w:rsidRPr="00BB1B71">
        <w:rPr>
          <w:rFonts w:ascii="Arial" w:eastAsia="Times New Roman" w:hAnsi="Arial" w:cs="Arial"/>
          <w:sz w:val="24"/>
          <w:szCs w:val="24"/>
          <w:lang w:val="es-ES_tradnl" w:eastAsia="es-ES"/>
        </w:rPr>
        <w:t>.</w:t>
      </w:r>
    </w:p>
    <w:p w:rsidR="00EA0AF9" w:rsidRDefault="00EA0AF9" w:rsidP="001C4867">
      <w:pPr>
        <w:spacing w:after="0"/>
        <w:ind w:left="3686" w:right="51"/>
        <w:jc w:val="both"/>
        <w:rPr>
          <w:rFonts w:ascii="Arial" w:eastAsia="Times New Roman" w:hAnsi="Arial" w:cs="Arial"/>
          <w:sz w:val="24"/>
          <w:szCs w:val="24"/>
          <w:lang w:val="es-ES_tradnl" w:eastAsia="es-ES"/>
        </w:rPr>
      </w:pPr>
    </w:p>
    <w:p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rsidR="001C4867" w:rsidRPr="00BB1B71" w:rsidRDefault="001C4867" w:rsidP="001C4867">
      <w:pPr>
        <w:spacing w:after="0"/>
        <w:ind w:left="3969" w:right="51"/>
        <w:jc w:val="both"/>
        <w:rPr>
          <w:rFonts w:ascii="Arial" w:eastAsia="Times New Roman" w:hAnsi="Arial" w:cs="Arial"/>
          <w:sz w:val="24"/>
          <w:szCs w:val="24"/>
          <w:lang w:val="es-ES_tradnl" w:eastAsia="es-ES"/>
        </w:rPr>
      </w:pPr>
    </w:p>
    <w:p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843832">
        <w:rPr>
          <w:rFonts w:ascii="Arial" w:eastAsia="Times New Roman" w:hAnsi="Arial" w:cs="Arial"/>
          <w:b/>
          <w:sz w:val="24"/>
          <w:szCs w:val="24"/>
          <w:lang w:val="es-ES" w:eastAsia="es-ES"/>
        </w:rPr>
        <w:t>VEINTIOCHO</w:t>
      </w:r>
      <w:r w:rsidR="009A19A0">
        <w:rPr>
          <w:rFonts w:ascii="Arial" w:eastAsia="Times New Roman" w:hAnsi="Arial" w:cs="Arial"/>
          <w:b/>
          <w:sz w:val="24"/>
          <w:szCs w:val="24"/>
          <w:lang w:val="es-ES" w:eastAsia="es-ES"/>
        </w:rPr>
        <w:t xml:space="preserve"> DE JUNIO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843832">
        <w:rPr>
          <w:rFonts w:ascii="Arial" w:eastAsia="Times New Roman" w:hAnsi="Arial" w:cs="Arial"/>
          <w:b/>
          <w:bCs/>
          <w:sz w:val="24"/>
          <w:szCs w:val="24"/>
          <w:lang w:val="es-ES_tradnl" w:eastAsia="es-ES"/>
        </w:rPr>
        <w:t>149</w:t>
      </w:r>
      <w:r w:rsidR="00695FC9">
        <w:rPr>
          <w:rFonts w:ascii="Arial" w:eastAsia="Times New Roman" w:hAnsi="Arial" w:cs="Arial"/>
          <w:b/>
          <w:bCs/>
          <w:sz w:val="24"/>
          <w:szCs w:val="24"/>
          <w:lang w:val="es-ES_tradnl" w:eastAsia="es-ES"/>
        </w:rPr>
        <w:t>/2020</w:t>
      </w:r>
      <w:r w:rsidR="007D1554">
        <w:rPr>
          <w:rFonts w:ascii="Arial" w:eastAsia="Times New Roman" w:hAnsi="Arial" w:cs="Arial"/>
          <w:sz w:val="24"/>
          <w:szCs w:val="24"/>
          <w:lang w:val="es-ES_tradnl" w:eastAsia="es-ES"/>
        </w:rPr>
        <w:t xml:space="preserve">, interpuesto por </w:t>
      </w:r>
      <w:r w:rsidR="00E410E5">
        <w:rPr>
          <w:rFonts w:ascii="Arial" w:eastAsia="Times New Roman" w:hAnsi="Arial" w:cs="Arial"/>
          <w:color w:val="FF0000"/>
          <w:sz w:val="24"/>
          <w:szCs w:val="24"/>
          <w:lang w:val="es-ES_tradnl" w:eastAsia="es-ES"/>
        </w:rPr>
        <w:t>**********</w:t>
      </w:r>
      <w:r w:rsidR="009A19A0">
        <w:rPr>
          <w:rFonts w:ascii="Arial" w:eastAsia="Times New Roman" w:hAnsi="Arial" w:cs="Arial"/>
          <w:sz w:val="24"/>
          <w:szCs w:val="24"/>
          <w:lang w:val="es-ES_tradnl" w:eastAsia="es-ES"/>
        </w:rPr>
        <w:t xml:space="preserve">, en contra del </w:t>
      </w:r>
      <w:r w:rsidR="00843832" w:rsidRPr="00843832">
        <w:rPr>
          <w:rFonts w:ascii="Arial" w:eastAsia="Times New Roman" w:hAnsi="Arial" w:cs="Arial"/>
          <w:b/>
          <w:sz w:val="24"/>
          <w:szCs w:val="24"/>
          <w:lang w:val="es-ES_tradnl" w:eastAsia="es-ES"/>
        </w:rPr>
        <w:t>AYUNTAMIENTO DE SANTA MARÍA COLOTEPEC, POCHUTLA, OAXACA</w:t>
      </w:r>
      <w:r w:rsidRPr="00BB1B71">
        <w:rPr>
          <w:rFonts w:ascii="Arial" w:eastAsia="Times New Roman" w:hAnsi="Arial" w:cs="Arial"/>
          <w:sz w:val="24"/>
          <w:szCs w:val="24"/>
          <w:lang w:val="es-ES_tradnl" w:eastAsia="es-ES"/>
        </w:rPr>
        <w:t xml:space="preserve">, y; </w:t>
      </w:r>
      <w:r w:rsidR="00E410E5">
        <w:rPr>
          <w:rFonts w:ascii="Arial" w:eastAsia="Times New Roman" w:hAnsi="Arial" w:cs="Arial"/>
          <w:sz w:val="24"/>
          <w:szCs w:val="24"/>
          <w:lang w:val="es-ES_tradnl" w:eastAsia="es-ES"/>
        </w:rPr>
        <w:t xml:space="preserve">- - - - - - - - - - - - - - - - - - - - - - - - - - - - - </w:t>
      </w:r>
    </w:p>
    <w:p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843832">
        <w:rPr>
          <w:rFonts w:ascii="Arial" w:hAnsi="Arial" w:cs="Arial"/>
          <w:bCs/>
          <w:spacing w:val="-3"/>
          <w:sz w:val="24"/>
          <w:szCs w:val="24"/>
          <w:lang w:val="es-ES_tradnl"/>
        </w:rPr>
        <w:t xml:space="preserve">Con fecha treinta de septiembre de dos mil veinte la </w:t>
      </w:r>
      <w:r w:rsidR="009A19A0">
        <w:rPr>
          <w:rFonts w:ascii="Arial" w:hAnsi="Arial" w:cs="Arial"/>
          <w:bCs/>
          <w:spacing w:val="-3"/>
          <w:sz w:val="24"/>
          <w:szCs w:val="24"/>
          <w:lang w:val="es-ES_tradnl"/>
        </w:rPr>
        <w:t>C</w:t>
      </w:r>
      <w:r w:rsidR="00A20362">
        <w:rPr>
          <w:rFonts w:ascii="Arial" w:hAnsi="Arial" w:cs="Arial"/>
          <w:bCs/>
          <w:spacing w:val="-3"/>
          <w:sz w:val="24"/>
          <w:szCs w:val="24"/>
          <w:lang w:val="es-ES_tradnl"/>
        </w:rPr>
        <w:t>.</w:t>
      </w:r>
      <w:r w:rsidRPr="00BB1B71">
        <w:rPr>
          <w:rFonts w:ascii="Arial" w:hAnsi="Arial" w:cs="Arial"/>
          <w:bCs/>
          <w:spacing w:val="-3"/>
          <w:sz w:val="24"/>
          <w:szCs w:val="24"/>
          <w:lang w:val="es-ES_tradnl"/>
        </w:rPr>
        <w:t xml:space="preserve"> </w:t>
      </w:r>
      <w:r w:rsidR="00E410E5">
        <w:rPr>
          <w:rFonts w:ascii="Arial" w:eastAsia="Times New Roman" w:hAnsi="Arial" w:cs="Arial"/>
          <w:color w:val="FF0000"/>
          <w:sz w:val="24"/>
          <w:szCs w:val="24"/>
          <w:lang w:val="es-ES_tradnl" w:eastAsia="es-ES"/>
        </w:rPr>
        <w:t>**********</w:t>
      </w:r>
      <w:r w:rsidR="00CC1CE7">
        <w:rPr>
          <w:rFonts w:ascii="Arial" w:eastAsia="Times New Roman" w:hAnsi="Arial" w:cs="Arial"/>
          <w:sz w:val="24"/>
          <w:szCs w:val="24"/>
          <w:lang w:val="es-ES_tradnl" w:eastAsia="es-ES"/>
        </w:rPr>
        <w:t>, por su propio derecho</w:t>
      </w:r>
      <w:r w:rsidR="002F388E">
        <w:rPr>
          <w:rFonts w:ascii="Arial" w:hAnsi="Arial" w:cs="Arial"/>
          <w:bCs/>
          <w:spacing w:val="-3"/>
          <w:sz w:val="24"/>
          <w:szCs w:val="24"/>
          <w:lang w:val="es-ES_tradnl"/>
        </w:rPr>
        <w:t xml:space="preserve">, </w:t>
      </w:r>
      <w:r w:rsidR="00843832">
        <w:rPr>
          <w:rFonts w:ascii="Arial" w:hAnsi="Arial" w:cs="Arial"/>
          <w:bCs/>
          <w:spacing w:val="-3"/>
          <w:sz w:val="24"/>
          <w:szCs w:val="24"/>
          <w:lang w:val="es-ES_tradnl"/>
        </w:rPr>
        <w:t>presentó</w:t>
      </w:r>
      <w:r w:rsidRPr="00BB1B71">
        <w:rPr>
          <w:rFonts w:ascii="Arial" w:hAnsi="Arial" w:cs="Arial"/>
          <w:bCs/>
          <w:spacing w:val="-3"/>
          <w:sz w:val="24"/>
          <w:szCs w:val="24"/>
          <w:lang w:val="es-ES_tradnl"/>
        </w:rPr>
        <w:t xml:space="preserve">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w:t>
      </w:r>
      <w:r w:rsidR="00CC1CE7">
        <w:rPr>
          <w:rFonts w:ascii="Arial" w:eastAsia="Arial" w:hAnsi="Arial" w:cs="Arial"/>
          <w:sz w:val="24"/>
          <w:szCs w:val="24"/>
        </w:rPr>
        <w:t>de</w:t>
      </w:r>
      <w:r w:rsidR="0023660D">
        <w:rPr>
          <w:rFonts w:ascii="Arial" w:eastAsia="Arial" w:hAnsi="Arial" w:cs="Arial"/>
          <w:sz w:val="24"/>
          <w:szCs w:val="24"/>
        </w:rPr>
        <w:t xml:space="preserve">: </w:t>
      </w:r>
      <w:r w:rsidR="0023660D" w:rsidRPr="0023660D">
        <w:rPr>
          <w:rFonts w:ascii="Arial" w:eastAsia="Arial" w:hAnsi="Arial" w:cs="Arial"/>
          <w:b/>
          <w:sz w:val="24"/>
          <w:szCs w:val="24"/>
        </w:rPr>
        <w:t>A)</w:t>
      </w:r>
      <w:r w:rsidR="0023660D">
        <w:rPr>
          <w:rFonts w:ascii="Arial" w:eastAsia="Arial" w:hAnsi="Arial" w:cs="Arial"/>
          <w:sz w:val="24"/>
          <w:szCs w:val="24"/>
        </w:rPr>
        <w:t xml:space="preserve"> E</w:t>
      </w:r>
      <w:r w:rsidR="00843832">
        <w:rPr>
          <w:rFonts w:ascii="Arial" w:eastAsia="Arial" w:hAnsi="Arial" w:cs="Arial"/>
          <w:sz w:val="24"/>
          <w:szCs w:val="24"/>
        </w:rPr>
        <w:t>l requerimiento verbal para que dentro del plazo</w:t>
      </w:r>
      <w:r w:rsidR="00AC1810">
        <w:rPr>
          <w:rFonts w:ascii="Arial" w:eastAsia="Arial" w:hAnsi="Arial" w:cs="Arial"/>
          <w:sz w:val="24"/>
          <w:szCs w:val="24"/>
        </w:rPr>
        <w:t xml:space="preserve"> de cuarenta y ocho horas </w:t>
      </w:r>
      <w:r w:rsidR="0023660D">
        <w:rPr>
          <w:rFonts w:ascii="Arial" w:eastAsia="Arial" w:hAnsi="Arial" w:cs="Arial"/>
          <w:sz w:val="24"/>
          <w:szCs w:val="24"/>
        </w:rPr>
        <w:t>acudiera</w:t>
      </w:r>
      <w:r w:rsidR="00AC1810">
        <w:rPr>
          <w:rFonts w:ascii="Arial" w:eastAsia="Arial" w:hAnsi="Arial" w:cs="Arial"/>
          <w:sz w:val="24"/>
          <w:szCs w:val="24"/>
        </w:rPr>
        <w:t xml:space="preserve"> a las oficinas de la Regiduría de Hacienda para realizar el pago de la licencia de funcionamiento del negocio karaoke bar familiar “</w:t>
      </w:r>
      <w:r w:rsidR="00E410E5">
        <w:rPr>
          <w:rFonts w:ascii="Arial" w:eastAsia="Arial" w:hAnsi="Arial" w:cs="Arial"/>
          <w:sz w:val="24"/>
          <w:szCs w:val="24"/>
        </w:rPr>
        <w:t>**********</w:t>
      </w:r>
      <w:r w:rsidR="00AC1810">
        <w:rPr>
          <w:rFonts w:ascii="Arial" w:eastAsia="Arial" w:hAnsi="Arial" w:cs="Arial"/>
          <w:sz w:val="24"/>
          <w:szCs w:val="24"/>
        </w:rPr>
        <w:t>”,</w:t>
      </w:r>
      <w:r w:rsidR="00AC1810" w:rsidRPr="008510E2">
        <w:rPr>
          <w:rFonts w:ascii="Arial" w:eastAsia="Arial" w:hAnsi="Arial" w:cs="Arial"/>
          <w:b/>
          <w:sz w:val="24"/>
          <w:szCs w:val="24"/>
        </w:rPr>
        <w:t xml:space="preserve"> B) </w:t>
      </w:r>
      <w:r w:rsidR="00AC1810">
        <w:rPr>
          <w:rFonts w:ascii="Arial" w:eastAsia="Arial" w:hAnsi="Arial" w:cs="Arial"/>
          <w:sz w:val="24"/>
          <w:szCs w:val="24"/>
        </w:rPr>
        <w:t xml:space="preserve">El cobro verbal por la cantidad de cincuenta mil pesos 00/100 M.N., </w:t>
      </w:r>
      <w:r w:rsidR="00AC1810" w:rsidRPr="008510E2">
        <w:rPr>
          <w:rFonts w:ascii="Arial" w:eastAsia="Arial" w:hAnsi="Arial" w:cs="Arial"/>
          <w:b/>
          <w:sz w:val="24"/>
          <w:szCs w:val="24"/>
        </w:rPr>
        <w:t>C)</w:t>
      </w:r>
      <w:r w:rsidR="00AC1810">
        <w:rPr>
          <w:rFonts w:ascii="Arial" w:eastAsia="Arial" w:hAnsi="Arial" w:cs="Arial"/>
          <w:sz w:val="24"/>
          <w:szCs w:val="24"/>
        </w:rPr>
        <w:t xml:space="preserve"> El apercibimiento </w:t>
      </w:r>
      <w:r w:rsidR="008510E2">
        <w:rPr>
          <w:rFonts w:ascii="Arial" w:eastAsia="Arial" w:hAnsi="Arial" w:cs="Arial"/>
          <w:sz w:val="24"/>
          <w:szCs w:val="24"/>
        </w:rPr>
        <w:t xml:space="preserve">verbal </w:t>
      </w:r>
      <w:r w:rsidR="00AC1810">
        <w:rPr>
          <w:rFonts w:ascii="Arial" w:eastAsia="Arial" w:hAnsi="Arial" w:cs="Arial"/>
          <w:sz w:val="24"/>
          <w:szCs w:val="24"/>
        </w:rPr>
        <w:t>de</w:t>
      </w:r>
      <w:r w:rsidR="008510E2">
        <w:rPr>
          <w:rFonts w:ascii="Arial" w:eastAsia="Arial" w:hAnsi="Arial" w:cs="Arial"/>
          <w:sz w:val="24"/>
          <w:szCs w:val="24"/>
        </w:rPr>
        <w:t xml:space="preserve"> la clausura del nego</w:t>
      </w:r>
      <w:r w:rsidR="00AC1810">
        <w:rPr>
          <w:rFonts w:ascii="Arial" w:eastAsia="Arial" w:hAnsi="Arial" w:cs="Arial"/>
          <w:sz w:val="24"/>
          <w:szCs w:val="24"/>
        </w:rPr>
        <w:t xml:space="preserve">cio </w:t>
      </w:r>
      <w:r w:rsidR="00AC1810" w:rsidRPr="00AC1810">
        <w:rPr>
          <w:rFonts w:ascii="Arial" w:eastAsia="Arial" w:hAnsi="Arial" w:cs="Arial"/>
          <w:sz w:val="24"/>
          <w:szCs w:val="24"/>
        </w:rPr>
        <w:t>karaoke bar familiar “</w:t>
      </w:r>
      <w:r w:rsidR="00E410E5">
        <w:rPr>
          <w:rFonts w:ascii="Arial" w:eastAsia="Arial" w:hAnsi="Arial" w:cs="Arial"/>
          <w:sz w:val="24"/>
          <w:szCs w:val="24"/>
        </w:rPr>
        <w:t>**********</w:t>
      </w:r>
      <w:r w:rsidR="00AC1810">
        <w:rPr>
          <w:rFonts w:ascii="Arial" w:eastAsia="Arial" w:hAnsi="Arial" w:cs="Arial"/>
          <w:sz w:val="24"/>
          <w:szCs w:val="24"/>
        </w:rPr>
        <w:t>”, actos atribuidos al Síndico,</w:t>
      </w:r>
      <w:r w:rsidR="008510E2">
        <w:rPr>
          <w:rFonts w:ascii="Arial" w:eastAsia="Arial" w:hAnsi="Arial" w:cs="Arial"/>
          <w:sz w:val="24"/>
          <w:szCs w:val="24"/>
        </w:rPr>
        <w:t xml:space="preserve"> President</w:t>
      </w:r>
      <w:r w:rsidR="00AC1810">
        <w:rPr>
          <w:rFonts w:ascii="Arial" w:eastAsia="Arial" w:hAnsi="Arial" w:cs="Arial"/>
          <w:sz w:val="24"/>
          <w:szCs w:val="24"/>
        </w:rPr>
        <w:t>e, Regidor de S</w:t>
      </w:r>
      <w:r w:rsidR="008510E2">
        <w:rPr>
          <w:rFonts w:ascii="Arial" w:eastAsia="Arial" w:hAnsi="Arial" w:cs="Arial"/>
          <w:sz w:val="24"/>
          <w:szCs w:val="24"/>
        </w:rPr>
        <w:t>a</w:t>
      </w:r>
      <w:r w:rsidR="00AC1810">
        <w:rPr>
          <w:rFonts w:ascii="Arial" w:eastAsia="Arial" w:hAnsi="Arial" w:cs="Arial"/>
          <w:sz w:val="24"/>
          <w:szCs w:val="24"/>
        </w:rPr>
        <w:t xml:space="preserve">lud Pública, Regidor de Hacienda, Inspector Municipal y Comandante de la </w:t>
      </w:r>
      <w:r w:rsidR="008510E2">
        <w:rPr>
          <w:rFonts w:ascii="Arial" w:eastAsia="Arial" w:hAnsi="Arial" w:cs="Arial"/>
          <w:sz w:val="24"/>
          <w:szCs w:val="24"/>
        </w:rPr>
        <w:t>Policía</w:t>
      </w:r>
      <w:r w:rsidR="00AC1810">
        <w:rPr>
          <w:rFonts w:ascii="Arial" w:eastAsia="Arial" w:hAnsi="Arial" w:cs="Arial"/>
          <w:sz w:val="24"/>
          <w:szCs w:val="24"/>
        </w:rPr>
        <w:t xml:space="preserve"> Municipal, todos del Municipio de Santa María</w:t>
      </w:r>
      <w:r w:rsidR="00DE2FE1">
        <w:rPr>
          <w:rFonts w:ascii="Arial" w:eastAsia="Arial" w:hAnsi="Arial" w:cs="Arial"/>
          <w:sz w:val="24"/>
          <w:szCs w:val="24"/>
        </w:rPr>
        <w:t xml:space="preserve"> Colotepec</w:t>
      </w:r>
      <w:r w:rsidR="00AC1810">
        <w:rPr>
          <w:rFonts w:ascii="Arial" w:eastAsia="Arial" w:hAnsi="Arial" w:cs="Arial"/>
          <w:sz w:val="24"/>
          <w:szCs w:val="24"/>
        </w:rPr>
        <w:t>, Pochutla, Oaxaca</w:t>
      </w:r>
      <w:r w:rsidR="00AD6569">
        <w:rPr>
          <w:rFonts w:ascii="Arial" w:hAnsi="Arial" w:cs="Arial"/>
          <w:bCs/>
          <w:spacing w:val="-3"/>
          <w:sz w:val="24"/>
          <w:szCs w:val="24"/>
          <w:lang w:val="es-ES_tradnl"/>
        </w:rPr>
        <w:t>.</w:t>
      </w:r>
    </w:p>
    <w:p w:rsidR="001C4867" w:rsidRPr="00BB1B71" w:rsidRDefault="00875701" w:rsidP="001C4867">
      <w:pPr>
        <w:spacing w:line="360" w:lineRule="auto"/>
        <w:ind w:firstLine="567"/>
        <w:jc w:val="both"/>
        <w:rPr>
          <w:rFonts w:ascii="Arial" w:hAnsi="Arial" w:cs="Arial"/>
          <w:bCs/>
          <w:spacing w:val="-3"/>
          <w:sz w:val="24"/>
          <w:szCs w:val="24"/>
          <w:lang w:val="es-ES_tradnl"/>
        </w:rPr>
      </w:pPr>
      <w:r w:rsidRPr="00875701">
        <w:rPr>
          <w:rFonts w:ascii="Arial" w:hAnsi="Arial" w:cs="Arial"/>
          <w:b/>
          <w:bCs/>
          <w:spacing w:val="-3"/>
          <w:sz w:val="24"/>
          <w:szCs w:val="24"/>
          <w:lang w:val="es-ES_tradnl"/>
        </w:rPr>
        <w:t>SEGUNDO.-</w:t>
      </w:r>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sidR="00C150D4">
        <w:rPr>
          <w:rFonts w:ascii="Arial" w:hAnsi="Arial" w:cs="Arial"/>
          <w:bCs/>
          <w:spacing w:val="-3"/>
          <w:sz w:val="24"/>
          <w:szCs w:val="24"/>
          <w:lang w:val="es-ES_tradnl"/>
        </w:rPr>
        <w:t xml:space="preserve">acuerdo de </w:t>
      </w:r>
      <w:r w:rsidR="008510E2">
        <w:rPr>
          <w:rFonts w:ascii="Arial" w:hAnsi="Arial" w:cs="Arial"/>
          <w:bCs/>
          <w:spacing w:val="-3"/>
          <w:sz w:val="24"/>
          <w:szCs w:val="24"/>
          <w:lang w:val="es-ES_tradnl"/>
        </w:rPr>
        <w:t>treinta de septiembre de dos mil veinte</w:t>
      </w:r>
      <w:r w:rsidR="00CC1CE7">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se admitió a trámite la demanda</w:t>
      </w:r>
      <w:r w:rsidR="008510E2">
        <w:rPr>
          <w:rFonts w:ascii="Arial" w:hAnsi="Arial" w:cs="Arial"/>
          <w:bCs/>
          <w:spacing w:val="-3"/>
          <w:sz w:val="24"/>
          <w:szCs w:val="24"/>
          <w:lang w:val="es-ES_tradnl"/>
        </w:rPr>
        <w:t xml:space="preserve"> únicamente en contra del requerimiento verbal de cobro por </w:t>
      </w:r>
      <w:r w:rsidR="008510E2" w:rsidRPr="008510E2">
        <w:rPr>
          <w:rFonts w:ascii="Arial" w:hAnsi="Arial" w:cs="Arial"/>
          <w:bCs/>
          <w:spacing w:val="-3"/>
          <w:sz w:val="24"/>
          <w:szCs w:val="24"/>
        </w:rPr>
        <w:t>la can</w:t>
      </w:r>
      <w:r w:rsidR="008510E2">
        <w:rPr>
          <w:rFonts w:ascii="Arial" w:hAnsi="Arial" w:cs="Arial"/>
          <w:bCs/>
          <w:spacing w:val="-3"/>
          <w:sz w:val="24"/>
          <w:szCs w:val="24"/>
        </w:rPr>
        <w:t xml:space="preserve">tidad de cincuenta mil pesos, por refrendo de la licencia para la continuación de operaciones de la negociación denominada </w:t>
      </w:r>
      <w:r w:rsidR="008510E2">
        <w:rPr>
          <w:rFonts w:ascii="Arial" w:eastAsia="Arial" w:hAnsi="Arial" w:cs="Arial"/>
          <w:sz w:val="24"/>
          <w:szCs w:val="24"/>
        </w:rPr>
        <w:t>karaoke bar familiar “</w:t>
      </w:r>
      <w:r w:rsidR="00E410E5">
        <w:rPr>
          <w:rFonts w:ascii="Arial" w:eastAsia="Arial" w:hAnsi="Arial" w:cs="Arial"/>
          <w:sz w:val="24"/>
          <w:szCs w:val="24"/>
        </w:rPr>
        <w:t>**********</w:t>
      </w:r>
      <w:r w:rsidR="008510E2">
        <w:rPr>
          <w:rFonts w:ascii="Arial" w:eastAsia="Arial" w:hAnsi="Arial" w:cs="Arial"/>
          <w:sz w:val="24"/>
          <w:szCs w:val="24"/>
        </w:rPr>
        <w:t xml:space="preserve">”, teniéndose como autoridad demandada al Regidor de Hacienda del Municipio de </w:t>
      </w:r>
      <w:r w:rsidR="008510E2" w:rsidRPr="008510E2">
        <w:rPr>
          <w:rFonts w:ascii="Arial" w:eastAsia="Arial" w:hAnsi="Arial" w:cs="Arial"/>
          <w:sz w:val="24"/>
          <w:szCs w:val="24"/>
        </w:rPr>
        <w:t>Santa María</w:t>
      </w:r>
      <w:r w:rsidR="008510E2">
        <w:rPr>
          <w:rFonts w:ascii="Arial" w:eastAsia="Arial" w:hAnsi="Arial" w:cs="Arial"/>
          <w:sz w:val="24"/>
          <w:szCs w:val="24"/>
        </w:rPr>
        <w:t xml:space="preserve"> Colotepec</w:t>
      </w:r>
      <w:r w:rsidR="008510E2" w:rsidRPr="008510E2">
        <w:rPr>
          <w:rFonts w:ascii="Arial" w:eastAsia="Arial" w:hAnsi="Arial" w:cs="Arial"/>
          <w:sz w:val="24"/>
          <w:szCs w:val="24"/>
        </w:rPr>
        <w:t>, Pochutla, Oaxaca</w:t>
      </w:r>
      <w:r w:rsidR="00DE2FE1">
        <w:rPr>
          <w:rFonts w:ascii="Arial" w:eastAsia="Arial" w:hAnsi="Arial" w:cs="Arial"/>
          <w:sz w:val="24"/>
          <w:szCs w:val="24"/>
        </w:rPr>
        <w:t xml:space="preserve">, a quien se </w:t>
      </w:r>
      <w:r w:rsidR="001C4867" w:rsidRPr="00BB1B71">
        <w:rPr>
          <w:rFonts w:ascii="Arial" w:hAnsi="Arial" w:cs="Arial"/>
          <w:bCs/>
          <w:spacing w:val="-3"/>
          <w:sz w:val="24"/>
          <w:szCs w:val="24"/>
          <w:lang w:val="es-ES_tradnl"/>
        </w:rPr>
        <w:t>orden</w:t>
      </w:r>
      <w:r w:rsidR="00DE2FE1">
        <w:rPr>
          <w:rFonts w:ascii="Arial" w:hAnsi="Arial" w:cs="Arial"/>
          <w:bCs/>
          <w:spacing w:val="-3"/>
          <w:sz w:val="24"/>
          <w:szCs w:val="24"/>
          <w:lang w:val="es-ES_tradnl"/>
        </w:rPr>
        <w:t xml:space="preserve">ó </w:t>
      </w:r>
      <w:r w:rsidR="001C4867" w:rsidRPr="00BB1B71">
        <w:rPr>
          <w:rFonts w:ascii="Arial" w:hAnsi="Arial" w:cs="Arial"/>
          <w:bCs/>
          <w:spacing w:val="-3"/>
          <w:sz w:val="24"/>
          <w:szCs w:val="24"/>
          <w:lang w:val="es-ES_tradnl"/>
        </w:rPr>
        <w:t xml:space="preserve">notificar, emplazar y correr traslado para que produjera su contestación en los términos de ley. </w:t>
      </w:r>
    </w:p>
    <w:p w:rsidR="00F76724" w:rsidRDefault="00875701" w:rsidP="001C4867">
      <w:pPr>
        <w:spacing w:line="360" w:lineRule="auto"/>
        <w:ind w:firstLine="567"/>
        <w:jc w:val="both"/>
        <w:rPr>
          <w:rFonts w:ascii="Arial" w:hAnsi="Arial" w:cs="Arial"/>
          <w:bCs/>
          <w:spacing w:val="-3"/>
          <w:sz w:val="24"/>
          <w:szCs w:val="24"/>
          <w:lang w:val="es-ES_tradnl"/>
        </w:rPr>
      </w:pPr>
      <w:proofErr w:type="gramStart"/>
      <w:r>
        <w:rPr>
          <w:rFonts w:ascii="Arial" w:hAnsi="Arial" w:cs="Arial"/>
          <w:b/>
          <w:spacing w:val="-3"/>
          <w:sz w:val="24"/>
          <w:szCs w:val="24"/>
          <w:lang w:val="es-ES_tradnl"/>
        </w:rPr>
        <w:lastRenderedPageBreak/>
        <w:t>TERCER</w:t>
      </w:r>
      <w:r w:rsidR="001C4867" w:rsidRPr="00BB1B71">
        <w:rPr>
          <w:rFonts w:ascii="Arial" w:hAnsi="Arial" w:cs="Arial"/>
          <w:b/>
          <w:spacing w:val="-3"/>
          <w:sz w:val="24"/>
          <w:szCs w:val="24"/>
          <w:lang w:val="es-ES_tradnl"/>
        </w:rPr>
        <w:t>O.-</w:t>
      </w:r>
      <w:proofErr w:type="gramEnd"/>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C150D4">
        <w:rPr>
          <w:rFonts w:ascii="Arial" w:hAnsi="Arial" w:cs="Arial"/>
          <w:bCs/>
          <w:spacing w:val="-3"/>
          <w:sz w:val="24"/>
          <w:szCs w:val="24"/>
          <w:lang w:val="es-ES_tradnl"/>
        </w:rPr>
        <w:t>ficio</w:t>
      </w:r>
      <w:r w:rsidR="00FF27CA">
        <w:rPr>
          <w:rFonts w:ascii="Arial" w:hAnsi="Arial" w:cs="Arial"/>
          <w:bCs/>
          <w:spacing w:val="-3"/>
          <w:sz w:val="24"/>
          <w:szCs w:val="24"/>
          <w:lang w:val="es-ES_tradnl"/>
        </w:rPr>
        <w:t xml:space="preserve"> </w:t>
      </w:r>
      <w:r w:rsidR="00C150D4">
        <w:rPr>
          <w:rFonts w:ascii="Arial" w:hAnsi="Arial" w:cs="Arial"/>
          <w:bCs/>
          <w:spacing w:val="-3"/>
          <w:sz w:val="24"/>
          <w:szCs w:val="24"/>
          <w:lang w:val="es-ES_tradnl"/>
        </w:rPr>
        <w:t>número</w:t>
      </w:r>
      <w:r w:rsidR="00397846">
        <w:rPr>
          <w:rFonts w:ascii="Arial" w:hAnsi="Arial" w:cs="Arial"/>
          <w:bCs/>
          <w:spacing w:val="-3"/>
          <w:sz w:val="24"/>
          <w:szCs w:val="24"/>
          <w:lang w:val="es-ES_tradnl"/>
        </w:rPr>
        <w:t xml:space="preserve"> </w:t>
      </w:r>
      <w:bookmarkStart w:id="1" w:name="_GoBack"/>
      <w:r w:rsidR="00E410E5">
        <w:rPr>
          <w:rFonts w:ascii="Arial" w:hAnsi="Arial" w:cs="Arial"/>
          <w:bCs/>
          <w:spacing w:val="-3"/>
          <w:sz w:val="24"/>
          <w:szCs w:val="24"/>
          <w:lang w:val="es-ES_tradnl"/>
        </w:rPr>
        <w:t>**********</w:t>
      </w:r>
      <w:bookmarkEnd w:id="1"/>
      <w:r w:rsidR="00FF27CA">
        <w:rPr>
          <w:rFonts w:ascii="Arial" w:hAnsi="Arial" w:cs="Arial"/>
          <w:bCs/>
          <w:spacing w:val="-3"/>
          <w:sz w:val="24"/>
          <w:szCs w:val="24"/>
          <w:lang w:val="es-ES_tradnl"/>
        </w:rPr>
        <w:t xml:space="preserve"> de</w:t>
      </w:r>
      <w:r>
        <w:rPr>
          <w:rFonts w:ascii="Arial" w:hAnsi="Arial" w:cs="Arial"/>
          <w:bCs/>
          <w:spacing w:val="-3"/>
          <w:sz w:val="24"/>
          <w:szCs w:val="24"/>
          <w:lang w:val="es-ES_tradnl"/>
        </w:rPr>
        <w:t xml:space="preserve"> </w:t>
      </w:r>
      <w:r w:rsidR="00397846">
        <w:rPr>
          <w:rFonts w:ascii="Arial" w:hAnsi="Arial" w:cs="Arial"/>
          <w:bCs/>
          <w:spacing w:val="-3"/>
          <w:sz w:val="24"/>
          <w:szCs w:val="24"/>
          <w:lang w:val="es-ES_tradnl"/>
        </w:rPr>
        <w:t xml:space="preserve">doce de diciembre de </w:t>
      </w:r>
      <w:r w:rsidR="00FF27CA">
        <w:rPr>
          <w:rFonts w:ascii="Arial" w:hAnsi="Arial" w:cs="Arial"/>
          <w:bCs/>
          <w:spacing w:val="-3"/>
          <w:sz w:val="24"/>
          <w:szCs w:val="24"/>
          <w:lang w:val="es-ES_tradnl"/>
        </w:rPr>
        <w:t xml:space="preserve">dos mil </w:t>
      </w:r>
      <w:r w:rsidR="00397846">
        <w:rPr>
          <w:rFonts w:ascii="Arial" w:hAnsi="Arial" w:cs="Arial"/>
          <w:bCs/>
          <w:spacing w:val="-3"/>
          <w:sz w:val="24"/>
          <w:szCs w:val="24"/>
          <w:lang w:val="es-ES_tradnl"/>
        </w:rPr>
        <w:t xml:space="preserve">veinte, el Regidor de Hacienda </w:t>
      </w:r>
      <w:r w:rsidR="00FF27CA">
        <w:rPr>
          <w:rFonts w:ascii="Arial" w:hAnsi="Arial" w:cs="Arial"/>
          <w:bCs/>
          <w:spacing w:val="-3"/>
          <w:sz w:val="24"/>
          <w:szCs w:val="24"/>
          <w:lang w:val="es-ES_tradnl"/>
        </w:rPr>
        <w:t xml:space="preserve">del H. Ayuntamiento de </w:t>
      </w:r>
      <w:r w:rsidR="00397846" w:rsidRPr="00397846">
        <w:rPr>
          <w:rFonts w:ascii="Arial" w:hAnsi="Arial" w:cs="Arial"/>
          <w:bCs/>
          <w:spacing w:val="-3"/>
          <w:sz w:val="24"/>
          <w:szCs w:val="24"/>
        </w:rPr>
        <w:t>Santa María Colotepec, Pochutla, Oaxaca</w:t>
      </w:r>
      <w:r w:rsidR="00012C47">
        <w:rPr>
          <w:rFonts w:ascii="Arial" w:hAnsi="Arial" w:cs="Arial"/>
          <w:bCs/>
          <w:spacing w:val="-3"/>
          <w:sz w:val="24"/>
          <w:szCs w:val="24"/>
          <w:lang w:val="es-ES_tradnl"/>
        </w:rPr>
        <w:t>, produj</w:t>
      </w:r>
      <w:r w:rsidR="00FF27CA">
        <w:rPr>
          <w:rFonts w:ascii="Arial" w:hAnsi="Arial" w:cs="Arial"/>
          <w:bCs/>
          <w:spacing w:val="-3"/>
          <w:sz w:val="24"/>
          <w:szCs w:val="24"/>
          <w:lang w:val="es-ES_tradnl"/>
        </w:rPr>
        <w:t>o</w:t>
      </w:r>
      <w:r w:rsidR="00E62D02">
        <w:rPr>
          <w:rFonts w:ascii="Arial" w:hAnsi="Arial" w:cs="Arial"/>
          <w:bCs/>
          <w:spacing w:val="-3"/>
          <w:sz w:val="24"/>
          <w:szCs w:val="24"/>
          <w:lang w:val="es-ES_tradnl"/>
        </w:rPr>
        <w:t xml:space="preserve"> su contestación de demanda.</w:t>
      </w:r>
    </w:p>
    <w:p w:rsidR="00F153C9" w:rsidRPr="00BB1B71" w:rsidRDefault="00F76724" w:rsidP="001C4867">
      <w:pPr>
        <w:spacing w:line="360" w:lineRule="auto"/>
        <w:ind w:firstLine="567"/>
        <w:jc w:val="both"/>
        <w:rPr>
          <w:rFonts w:ascii="Arial" w:hAnsi="Arial" w:cs="Arial"/>
          <w:bCs/>
          <w:spacing w:val="-3"/>
          <w:sz w:val="24"/>
          <w:szCs w:val="24"/>
          <w:lang w:val="es-ES_tradnl"/>
        </w:rPr>
      </w:pPr>
      <w:r w:rsidRPr="00F76724">
        <w:rPr>
          <w:rFonts w:ascii="Arial" w:hAnsi="Arial" w:cs="Arial"/>
          <w:b/>
          <w:bCs/>
          <w:spacing w:val="-3"/>
          <w:sz w:val="24"/>
          <w:szCs w:val="24"/>
          <w:lang w:val="es-ES_tradnl"/>
        </w:rPr>
        <w:t>CUARTO.-</w:t>
      </w:r>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sidR="00397846">
        <w:rPr>
          <w:rFonts w:ascii="Arial" w:hAnsi="Arial" w:cs="Arial"/>
          <w:bCs/>
          <w:spacing w:val="-3"/>
          <w:sz w:val="24"/>
          <w:szCs w:val="24"/>
          <w:lang w:val="es-ES_tradnl"/>
        </w:rPr>
        <w:t xml:space="preserve">diecisiete de marzo de </w:t>
      </w:r>
      <w:r>
        <w:rPr>
          <w:rFonts w:ascii="Arial" w:hAnsi="Arial" w:cs="Arial"/>
          <w:bCs/>
          <w:spacing w:val="-3"/>
          <w:sz w:val="24"/>
          <w:szCs w:val="24"/>
          <w:lang w:val="es-ES_tradnl"/>
        </w:rPr>
        <w:t xml:space="preserve">dos mil </w:t>
      </w:r>
      <w:r w:rsidR="00397846">
        <w:rPr>
          <w:rFonts w:ascii="Arial" w:hAnsi="Arial" w:cs="Arial"/>
          <w:bCs/>
          <w:spacing w:val="-3"/>
          <w:sz w:val="24"/>
          <w:szCs w:val="24"/>
          <w:lang w:val="es-ES_tradnl"/>
        </w:rPr>
        <w:t>veintiuno</w:t>
      </w:r>
      <w:r w:rsidR="002C4A68">
        <w:rPr>
          <w:rFonts w:ascii="Arial" w:hAnsi="Arial" w:cs="Arial"/>
          <w:bCs/>
          <w:spacing w:val="-3"/>
          <w:sz w:val="24"/>
          <w:szCs w:val="24"/>
          <w:lang w:val="es-ES_tradnl"/>
        </w:rPr>
        <w:t xml:space="preserve">, se </w:t>
      </w:r>
      <w:r w:rsidR="00397846">
        <w:rPr>
          <w:rFonts w:ascii="Arial" w:hAnsi="Arial" w:cs="Arial"/>
          <w:bCs/>
          <w:spacing w:val="-3"/>
          <w:sz w:val="24"/>
          <w:szCs w:val="24"/>
          <w:lang w:val="es-ES_tradnl"/>
        </w:rPr>
        <w:t>tuvo por contestada en tiempo y forma la demanda</w:t>
      </w:r>
      <w:r w:rsidR="001C4867" w:rsidRPr="00BB1B71">
        <w:rPr>
          <w:rFonts w:ascii="Arial" w:hAnsi="Arial" w:cs="Arial"/>
          <w:bCs/>
          <w:spacing w:val="-3"/>
          <w:sz w:val="24"/>
          <w:szCs w:val="24"/>
          <w:lang w:val="es-ES_tradnl"/>
        </w:rPr>
        <w:t>.</w:t>
      </w:r>
    </w:p>
    <w:p w:rsidR="00B35954" w:rsidRDefault="001F4C6A" w:rsidP="00EC41FD">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r w:rsidR="001C4867" w:rsidRPr="00BB1B71">
        <w:rPr>
          <w:rFonts w:ascii="Arial" w:hAnsi="Arial" w:cs="Arial"/>
          <w:bCs/>
          <w:spacing w:val="-3"/>
          <w:sz w:val="24"/>
          <w:szCs w:val="24"/>
          <w:lang w:val="es-ES_tradnl"/>
        </w:rPr>
        <w:t xml:space="preserve"> </w:t>
      </w:r>
      <w:r w:rsidR="00E2208C">
        <w:rPr>
          <w:rFonts w:ascii="Arial" w:hAnsi="Arial" w:cs="Arial"/>
          <w:bCs/>
          <w:spacing w:val="-3"/>
          <w:sz w:val="24"/>
          <w:szCs w:val="24"/>
          <w:lang w:val="es-ES_tradnl"/>
        </w:rPr>
        <w:t>En</w:t>
      </w:r>
      <w:r w:rsidR="00B07C1F">
        <w:rPr>
          <w:rFonts w:ascii="Arial" w:hAnsi="Arial" w:cs="Arial"/>
          <w:bCs/>
          <w:spacing w:val="-3"/>
          <w:sz w:val="24"/>
          <w:szCs w:val="24"/>
          <w:lang w:val="es-ES_tradnl"/>
        </w:rPr>
        <w:t xml:space="preserve"> acta levantada el </w:t>
      </w:r>
      <w:r w:rsidR="005C69CF">
        <w:rPr>
          <w:rFonts w:ascii="Arial" w:hAnsi="Arial" w:cs="Arial"/>
          <w:bCs/>
          <w:spacing w:val="-3"/>
          <w:sz w:val="24"/>
          <w:szCs w:val="24"/>
          <w:lang w:val="es-ES_tradnl"/>
        </w:rPr>
        <w:t>veintic</w:t>
      </w:r>
      <w:r w:rsidR="00397846">
        <w:rPr>
          <w:rFonts w:ascii="Arial" w:hAnsi="Arial" w:cs="Arial"/>
          <w:bCs/>
          <w:spacing w:val="-3"/>
          <w:sz w:val="24"/>
          <w:szCs w:val="24"/>
          <w:lang w:val="es-ES_tradnl"/>
        </w:rPr>
        <w:t>inco de marz</w:t>
      </w:r>
      <w:r w:rsidR="005C69CF">
        <w:rPr>
          <w:rFonts w:ascii="Arial" w:hAnsi="Arial" w:cs="Arial"/>
          <w:bCs/>
          <w:spacing w:val="-3"/>
          <w:sz w:val="24"/>
          <w:szCs w:val="24"/>
          <w:lang w:val="es-ES_tradnl"/>
        </w:rPr>
        <w:t xml:space="preserve">o </w:t>
      </w:r>
      <w:r w:rsidR="00E2208C">
        <w:rPr>
          <w:rFonts w:ascii="Arial" w:hAnsi="Arial" w:cs="Arial"/>
          <w:bCs/>
          <w:spacing w:val="-3"/>
          <w:sz w:val="24"/>
          <w:szCs w:val="24"/>
          <w:lang w:val="es-ES_tradnl"/>
        </w:rPr>
        <w:t>de dos mil veintidós</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rsidR="008E2FAE" w:rsidRDefault="001C4867" w:rsidP="008E2FAE">
      <w:pPr>
        <w:spacing w:line="360" w:lineRule="auto"/>
        <w:ind w:firstLine="567"/>
        <w:jc w:val="both"/>
        <w:rPr>
          <w:rFonts w:ascii="Arial" w:hAnsi="Arial" w:cs="Arial"/>
          <w:bCs/>
          <w:snapToGrid w:val="0"/>
          <w:sz w:val="24"/>
          <w:szCs w:val="24"/>
        </w:rPr>
      </w:pPr>
      <w:r w:rsidRPr="00BB1B71">
        <w:rPr>
          <w:rFonts w:ascii="Arial" w:hAnsi="Arial" w:cs="Arial"/>
          <w:b/>
          <w:sz w:val="24"/>
          <w:szCs w:val="24"/>
        </w:rPr>
        <w:t xml:space="preserve">PRIMERO. </w:t>
      </w:r>
      <w:r w:rsidR="008E2FAE">
        <w:rPr>
          <w:rFonts w:ascii="Arial" w:hAnsi="Arial" w:cs="Arial"/>
          <w:b/>
          <w:snapToGrid w:val="0"/>
          <w:sz w:val="24"/>
          <w:szCs w:val="24"/>
        </w:rPr>
        <w:t xml:space="preserve">Personalidad. </w:t>
      </w:r>
      <w:r w:rsidR="008E2FAE" w:rsidRPr="00BB1B71">
        <w:rPr>
          <w:rFonts w:ascii="Arial" w:hAnsi="Arial" w:cs="Arial"/>
          <w:bCs/>
          <w:snapToGrid w:val="0"/>
          <w:sz w:val="24"/>
          <w:szCs w:val="24"/>
        </w:rPr>
        <w:t>La personalidad de las partes quedó acr</w:t>
      </w:r>
      <w:r w:rsidR="008E2FAE">
        <w:rPr>
          <w:rFonts w:ascii="Arial" w:hAnsi="Arial" w:cs="Arial"/>
          <w:bCs/>
          <w:snapToGrid w:val="0"/>
          <w:sz w:val="24"/>
          <w:szCs w:val="24"/>
        </w:rPr>
        <w:t>editada en autos en términos de los</w:t>
      </w:r>
      <w:r w:rsidR="008E2FAE" w:rsidRPr="00BB1B71">
        <w:rPr>
          <w:rFonts w:ascii="Arial" w:hAnsi="Arial" w:cs="Arial"/>
          <w:bCs/>
          <w:snapToGrid w:val="0"/>
          <w:sz w:val="24"/>
          <w:szCs w:val="24"/>
        </w:rPr>
        <w:t xml:space="preserve"> artículo</w:t>
      </w:r>
      <w:r w:rsidR="008E2FAE">
        <w:rPr>
          <w:rFonts w:ascii="Arial" w:hAnsi="Arial" w:cs="Arial"/>
          <w:bCs/>
          <w:snapToGrid w:val="0"/>
          <w:sz w:val="24"/>
          <w:szCs w:val="24"/>
        </w:rPr>
        <w:t>s</w:t>
      </w:r>
      <w:r w:rsidR="008E2FAE" w:rsidRPr="00BB1B71">
        <w:rPr>
          <w:rFonts w:ascii="Arial" w:hAnsi="Arial" w:cs="Arial"/>
          <w:bCs/>
          <w:snapToGrid w:val="0"/>
          <w:sz w:val="24"/>
          <w:szCs w:val="24"/>
        </w:rPr>
        <w:t xml:space="preserve"> 148 y 151 de la Ley de Procedimiento y Justicia Administrativa para el Estado de Oaxaca</w:t>
      </w:r>
      <w:r w:rsidR="008E2FAE">
        <w:rPr>
          <w:rFonts w:ascii="Arial" w:hAnsi="Arial" w:cs="Arial"/>
          <w:bCs/>
          <w:snapToGrid w:val="0"/>
          <w:sz w:val="24"/>
          <w:szCs w:val="24"/>
        </w:rPr>
        <w:t>.</w:t>
      </w:r>
    </w:p>
    <w:p w:rsidR="008E2FAE" w:rsidRPr="00EC491A" w:rsidRDefault="000B6588" w:rsidP="008E2FAE">
      <w:pPr>
        <w:spacing w:after="160" w:line="360" w:lineRule="auto"/>
        <w:ind w:firstLine="567"/>
        <w:jc w:val="both"/>
        <w:rPr>
          <w:rFonts w:ascii="Arial" w:eastAsia="Times New Roman" w:hAnsi="Arial" w:cs="Arial"/>
          <w:sz w:val="24"/>
          <w:szCs w:val="24"/>
          <w:lang w:val="es-ES_tradnl" w:eastAsia="es-ES"/>
        </w:rPr>
      </w:pPr>
      <w:r w:rsidRPr="000B6588">
        <w:rPr>
          <w:rFonts w:ascii="Arial" w:hAnsi="Arial" w:cs="Arial"/>
          <w:b/>
          <w:bCs/>
          <w:snapToGrid w:val="0"/>
          <w:sz w:val="24"/>
          <w:szCs w:val="24"/>
        </w:rPr>
        <w:t>SEGUNDO.</w:t>
      </w:r>
      <w:r>
        <w:rPr>
          <w:rFonts w:ascii="Arial" w:hAnsi="Arial" w:cs="Arial"/>
          <w:bCs/>
          <w:snapToGrid w:val="0"/>
          <w:sz w:val="24"/>
          <w:szCs w:val="24"/>
        </w:rPr>
        <w:t xml:space="preserve">- </w:t>
      </w:r>
      <w:r w:rsidR="008E2FAE" w:rsidRPr="00EC491A">
        <w:rPr>
          <w:rFonts w:ascii="Arial" w:eastAsia="Times New Roman" w:hAnsi="Arial" w:cs="Arial"/>
          <w:b/>
          <w:sz w:val="24"/>
          <w:szCs w:val="24"/>
          <w:lang w:val="es-ES_tradnl" w:eastAsia="es-ES"/>
        </w:rPr>
        <w:t>Causales de</w:t>
      </w:r>
      <w:r w:rsidR="008E2FAE" w:rsidRPr="00EC491A">
        <w:rPr>
          <w:rFonts w:ascii="Arial" w:eastAsia="Times New Roman" w:hAnsi="Arial" w:cs="Arial"/>
          <w:sz w:val="24"/>
          <w:szCs w:val="24"/>
          <w:lang w:val="es-ES_tradnl" w:eastAsia="es-ES"/>
        </w:rPr>
        <w:t xml:space="preserve"> </w:t>
      </w:r>
      <w:r w:rsidR="008E2FAE" w:rsidRPr="00EC491A">
        <w:rPr>
          <w:rFonts w:ascii="Arial" w:eastAsia="Times New Roman" w:hAnsi="Arial" w:cs="Arial"/>
          <w:b/>
          <w:sz w:val="24"/>
          <w:szCs w:val="24"/>
          <w:lang w:val="es-ES_tradnl" w:eastAsia="es-ES"/>
        </w:rPr>
        <w:t xml:space="preserve">improcedencia y sobreseimiento. </w:t>
      </w:r>
      <w:r w:rsidR="008E2FAE" w:rsidRPr="00EC491A">
        <w:rPr>
          <w:rFonts w:ascii="Arial" w:eastAsia="Times New Roman" w:hAnsi="Arial" w:cs="Arial"/>
          <w:sz w:val="24"/>
          <w:szCs w:val="24"/>
          <w:lang w:val="es-ES_tradnl" w:eastAsia="es-ES"/>
        </w:rPr>
        <w:t>Por ser</w:t>
      </w:r>
      <w:r w:rsidR="008E2FAE" w:rsidRPr="00EC491A">
        <w:rPr>
          <w:rFonts w:ascii="Arial" w:eastAsia="Times New Roman" w:hAnsi="Arial" w:cs="Arial"/>
          <w:b/>
          <w:sz w:val="24"/>
          <w:szCs w:val="24"/>
          <w:lang w:val="es-ES_tradnl" w:eastAsia="es-ES"/>
        </w:rPr>
        <w:t xml:space="preserve"> </w:t>
      </w:r>
      <w:r w:rsidR="008E2FAE"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8E2FAE"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8E2FAE" w:rsidRPr="00EC491A">
        <w:rPr>
          <w:rFonts w:ascii="Arial" w:eastAsia="Times New Roman" w:hAnsi="Arial" w:cs="Arial"/>
          <w:sz w:val="24"/>
          <w:szCs w:val="24"/>
          <w:lang w:val="es-ES_tradnl" w:eastAsia="es-ES"/>
        </w:rPr>
        <w:t xml:space="preserve"> de la Ley de Procedimiento y Justici</w:t>
      </w:r>
      <w:r w:rsidR="008E2FAE">
        <w:rPr>
          <w:rFonts w:ascii="Arial" w:eastAsia="Times New Roman" w:hAnsi="Arial" w:cs="Arial"/>
          <w:sz w:val="24"/>
          <w:szCs w:val="24"/>
          <w:lang w:val="es-ES_tradnl" w:eastAsia="es-ES"/>
        </w:rPr>
        <w:t>a Administrativa para el Estado, se procede al estudio de las mismas.</w:t>
      </w:r>
    </w:p>
    <w:p w:rsidR="008E2FAE" w:rsidRDefault="00C16E14" w:rsidP="00AC292A">
      <w:pPr>
        <w:spacing w:line="360" w:lineRule="auto"/>
        <w:ind w:right="51" w:firstLine="567"/>
        <w:jc w:val="both"/>
        <w:rPr>
          <w:rFonts w:ascii="Arial" w:eastAsia="Arial" w:hAnsi="Arial" w:cs="Arial"/>
          <w:sz w:val="24"/>
          <w:szCs w:val="24"/>
        </w:rPr>
      </w:pPr>
      <w:r>
        <w:rPr>
          <w:rFonts w:ascii="Arial" w:hAnsi="Arial" w:cs="Arial"/>
          <w:bCs/>
          <w:snapToGrid w:val="0"/>
          <w:sz w:val="24"/>
          <w:szCs w:val="24"/>
        </w:rPr>
        <w:t xml:space="preserve">Como se </w:t>
      </w:r>
      <w:r w:rsidR="00397846">
        <w:rPr>
          <w:rFonts w:ascii="Arial" w:hAnsi="Arial" w:cs="Arial"/>
          <w:bCs/>
          <w:snapToGrid w:val="0"/>
          <w:sz w:val="24"/>
          <w:szCs w:val="24"/>
        </w:rPr>
        <w:t>refirió en los antecedentes PRIMERO y SEGUND</w:t>
      </w:r>
      <w:r>
        <w:rPr>
          <w:rFonts w:ascii="Arial" w:hAnsi="Arial" w:cs="Arial"/>
          <w:bCs/>
          <w:snapToGrid w:val="0"/>
          <w:sz w:val="24"/>
          <w:szCs w:val="24"/>
        </w:rPr>
        <w:t>O de esta resolución</w:t>
      </w:r>
      <w:r w:rsidR="00397846">
        <w:rPr>
          <w:rFonts w:ascii="Arial" w:hAnsi="Arial" w:cs="Arial"/>
          <w:bCs/>
          <w:snapToGrid w:val="0"/>
          <w:sz w:val="24"/>
          <w:szCs w:val="24"/>
        </w:rPr>
        <w:t xml:space="preserve">, la </w:t>
      </w:r>
      <w:r>
        <w:rPr>
          <w:rFonts w:ascii="Arial" w:hAnsi="Arial" w:cs="Arial"/>
          <w:bCs/>
          <w:snapToGrid w:val="0"/>
          <w:sz w:val="24"/>
          <w:szCs w:val="24"/>
        </w:rPr>
        <w:t xml:space="preserve">C. </w:t>
      </w:r>
      <w:r w:rsidR="00E410E5">
        <w:rPr>
          <w:rFonts w:ascii="Arial" w:eastAsia="Times New Roman" w:hAnsi="Arial" w:cs="Arial"/>
          <w:color w:val="FF0000"/>
          <w:sz w:val="24"/>
          <w:szCs w:val="24"/>
          <w:lang w:val="es-ES_tradnl" w:eastAsia="es-ES"/>
        </w:rPr>
        <w:t>**********</w:t>
      </w:r>
      <w:r w:rsidR="00397846" w:rsidRPr="00397846">
        <w:rPr>
          <w:rFonts w:ascii="Arial" w:eastAsia="Times New Roman" w:hAnsi="Arial" w:cs="Arial"/>
          <w:bCs/>
          <w:color w:val="FF0000"/>
          <w:sz w:val="24"/>
          <w:szCs w:val="24"/>
          <w:lang w:eastAsia="es-ES"/>
        </w:rPr>
        <w:t xml:space="preserve"> </w:t>
      </w:r>
      <w:r>
        <w:rPr>
          <w:rFonts w:ascii="Arial" w:hAnsi="Arial" w:cs="Arial"/>
          <w:bCs/>
          <w:snapToGrid w:val="0"/>
          <w:sz w:val="24"/>
          <w:szCs w:val="24"/>
        </w:rPr>
        <w:t>compareci</w:t>
      </w:r>
      <w:r w:rsidR="00397846">
        <w:rPr>
          <w:rFonts w:ascii="Arial" w:hAnsi="Arial" w:cs="Arial"/>
          <w:bCs/>
          <w:snapToGrid w:val="0"/>
          <w:sz w:val="24"/>
          <w:szCs w:val="24"/>
        </w:rPr>
        <w:t xml:space="preserve">ó </w:t>
      </w:r>
      <w:r>
        <w:rPr>
          <w:rFonts w:ascii="Arial" w:hAnsi="Arial" w:cs="Arial"/>
          <w:bCs/>
          <w:snapToGrid w:val="0"/>
          <w:sz w:val="24"/>
          <w:szCs w:val="24"/>
        </w:rPr>
        <w:t xml:space="preserve">a </w:t>
      </w:r>
      <w:r w:rsidR="00AC292A">
        <w:rPr>
          <w:rFonts w:ascii="Arial" w:hAnsi="Arial" w:cs="Arial"/>
          <w:bCs/>
          <w:snapToGrid w:val="0"/>
          <w:sz w:val="24"/>
          <w:szCs w:val="24"/>
        </w:rPr>
        <w:t xml:space="preserve">juicio a demandar la nulidad del </w:t>
      </w:r>
      <w:r w:rsidR="00D464A6" w:rsidRPr="00D464A6">
        <w:rPr>
          <w:rFonts w:ascii="Arial" w:hAnsi="Arial" w:cs="Arial"/>
          <w:bCs/>
          <w:snapToGrid w:val="0"/>
          <w:sz w:val="24"/>
          <w:szCs w:val="24"/>
          <w:lang w:val="es-ES_tradnl"/>
        </w:rPr>
        <w:t xml:space="preserve">requerimiento verbal de cobro por </w:t>
      </w:r>
      <w:r w:rsidR="00D464A6" w:rsidRPr="00D464A6">
        <w:rPr>
          <w:rFonts w:ascii="Arial" w:hAnsi="Arial" w:cs="Arial"/>
          <w:bCs/>
          <w:snapToGrid w:val="0"/>
          <w:sz w:val="24"/>
          <w:szCs w:val="24"/>
        </w:rPr>
        <w:t>la cantidad de cincuenta mil pesos, por refrendo de la licencia para la continuación de operaciones de la negociación denominada karaoke bar familiar “</w:t>
      </w:r>
      <w:r w:rsidR="00E410E5">
        <w:rPr>
          <w:rFonts w:ascii="Arial" w:hAnsi="Arial" w:cs="Arial"/>
          <w:bCs/>
          <w:snapToGrid w:val="0"/>
          <w:sz w:val="24"/>
          <w:szCs w:val="24"/>
        </w:rPr>
        <w:t>**********</w:t>
      </w:r>
      <w:r w:rsidR="00D464A6" w:rsidRPr="00D464A6">
        <w:rPr>
          <w:rFonts w:ascii="Arial" w:hAnsi="Arial" w:cs="Arial"/>
          <w:bCs/>
          <w:snapToGrid w:val="0"/>
          <w:sz w:val="24"/>
          <w:szCs w:val="24"/>
        </w:rPr>
        <w:t>”</w:t>
      </w:r>
      <w:r w:rsidR="00AC292A">
        <w:rPr>
          <w:rFonts w:ascii="Arial" w:eastAsia="Arial" w:hAnsi="Arial" w:cs="Arial"/>
          <w:sz w:val="24"/>
          <w:szCs w:val="24"/>
        </w:rPr>
        <w:t>.</w:t>
      </w:r>
    </w:p>
    <w:p w:rsidR="00EA48DD" w:rsidRDefault="00FC2064" w:rsidP="00AC292A">
      <w:pPr>
        <w:spacing w:line="360" w:lineRule="auto"/>
        <w:ind w:right="51" w:firstLine="567"/>
        <w:jc w:val="both"/>
        <w:rPr>
          <w:rFonts w:ascii="Arial" w:eastAsia="Arial" w:hAnsi="Arial" w:cs="Arial"/>
          <w:sz w:val="24"/>
          <w:szCs w:val="24"/>
        </w:rPr>
      </w:pPr>
      <w:r>
        <w:rPr>
          <w:rFonts w:ascii="Arial" w:eastAsia="Arial" w:hAnsi="Arial" w:cs="Arial"/>
          <w:sz w:val="24"/>
          <w:szCs w:val="24"/>
        </w:rPr>
        <w:t>En este tenor,</w:t>
      </w:r>
      <w:r w:rsidR="00CA47D2">
        <w:rPr>
          <w:rFonts w:ascii="Arial" w:eastAsia="Arial" w:hAnsi="Arial" w:cs="Arial"/>
          <w:sz w:val="24"/>
          <w:szCs w:val="24"/>
        </w:rPr>
        <w:t xml:space="preserve"> a efecto de determinar la competencia de este Tribunal para resolver sobre el acto impugnado,</w:t>
      </w:r>
      <w:r>
        <w:rPr>
          <w:rFonts w:ascii="Arial" w:eastAsia="Arial" w:hAnsi="Arial" w:cs="Arial"/>
          <w:sz w:val="24"/>
          <w:szCs w:val="24"/>
        </w:rPr>
        <w:t xml:space="preserve"> es menester realizar el análisis de los artículos</w:t>
      </w:r>
      <w:r w:rsidR="001440A1">
        <w:rPr>
          <w:rFonts w:ascii="Arial" w:eastAsia="Arial" w:hAnsi="Arial" w:cs="Arial"/>
          <w:sz w:val="24"/>
          <w:szCs w:val="24"/>
        </w:rPr>
        <w:t xml:space="preserve"> </w:t>
      </w:r>
      <w:r w:rsidR="00EA48DD">
        <w:rPr>
          <w:rFonts w:ascii="Arial" w:eastAsia="Arial" w:hAnsi="Arial" w:cs="Arial"/>
          <w:sz w:val="24"/>
          <w:szCs w:val="24"/>
        </w:rPr>
        <w:t>de la Ley de Procedimiento y Justicia Administrativa para el Esta</w:t>
      </w:r>
      <w:r w:rsidR="001440A1">
        <w:rPr>
          <w:rFonts w:ascii="Arial" w:eastAsia="Arial" w:hAnsi="Arial" w:cs="Arial"/>
          <w:sz w:val="24"/>
          <w:szCs w:val="24"/>
        </w:rPr>
        <w:t>d</w:t>
      </w:r>
      <w:r w:rsidR="00EA48DD">
        <w:rPr>
          <w:rFonts w:ascii="Arial" w:eastAsia="Arial" w:hAnsi="Arial" w:cs="Arial"/>
          <w:sz w:val="24"/>
          <w:szCs w:val="24"/>
        </w:rPr>
        <w:t>o de Oaxaca</w:t>
      </w:r>
      <w:r>
        <w:rPr>
          <w:rFonts w:ascii="Arial" w:eastAsia="Arial" w:hAnsi="Arial" w:cs="Arial"/>
          <w:sz w:val="24"/>
          <w:szCs w:val="24"/>
        </w:rPr>
        <w:t xml:space="preserve"> que enseguida se transcriben:</w:t>
      </w:r>
    </w:p>
    <w:p w:rsidR="00EA48DD" w:rsidRPr="00BF6392" w:rsidRDefault="001440A1" w:rsidP="00BF6392">
      <w:pPr>
        <w:spacing w:after="0" w:line="240" w:lineRule="auto"/>
        <w:ind w:left="567" w:right="332"/>
        <w:jc w:val="both"/>
        <w:rPr>
          <w:rFonts w:ascii="Arial" w:eastAsia="Arial" w:hAnsi="Arial" w:cs="Arial"/>
        </w:rPr>
      </w:pPr>
      <w:r w:rsidRPr="006748AD">
        <w:rPr>
          <w:rFonts w:ascii="Arial" w:eastAsia="Arial" w:hAnsi="Arial" w:cs="Arial"/>
          <w:b/>
          <w:bCs/>
        </w:rPr>
        <w:t xml:space="preserve">ARTÍCULO 1.- </w:t>
      </w:r>
      <w:r w:rsidRPr="006748AD">
        <w:rPr>
          <w:rFonts w:ascii="Arial" w:eastAsia="Arial" w:hAnsi="Arial" w:cs="Arial"/>
        </w:rPr>
        <w:t>L</w:t>
      </w:r>
      <w:r w:rsidRPr="00BF6392">
        <w:rPr>
          <w:rFonts w:ascii="Arial" w:eastAsia="Arial" w:hAnsi="Arial" w:cs="Arial"/>
        </w:rPr>
        <w:t>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una resolución administrativa de cualquier naturaleza; por los Ayuntamientos de los Municipios del Estado de Oaxaca, por las Dependencias de estos y por sus Entidades Paramunicipales. De igual forma regulará la organización y funcionamiento del Tribunal de Justicia Administrativa del Estado de Oaxaca y la impartición de la Justicia Administrativa en el Estado de Oaxaca.</w:t>
      </w:r>
    </w:p>
    <w:p w:rsidR="00C12848" w:rsidRDefault="00C12848" w:rsidP="00BF6392">
      <w:pPr>
        <w:autoSpaceDE w:val="0"/>
        <w:autoSpaceDN w:val="0"/>
        <w:adjustRightInd w:val="0"/>
        <w:spacing w:after="0" w:line="240" w:lineRule="auto"/>
        <w:ind w:left="567" w:right="332"/>
        <w:jc w:val="both"/>
        <w:rPr>
          <w:rFonts w:ascii="Arial" w:hAnsi="Arial" w:cs="Arial"/>
        </w:rPr>
      </w:pPr>
    </w:p>
    <w:p w:rsidR="00EA48DD" w:rsidRPr="00BF6392" w:rsidRDefault="001440A1" w:rsidP="00BF6392">
      <w:pPr>
        <w:autoSpaceDE w:val="0"/>
        <w:autoSpaceDN w:val="0"/>
        <w:adjustRightInd w:val="0"/>
        <w:spacing w:after="0" w:line="240" w:lineRule="auto"/>
        <w:ind w:left="567" w:right="332"/>
        <w:jc w:val="both"/>
        <w:rPr>
          <w:rFonts w:ascii="Arial" w:eastAsia="Arial" w:hAnsi="Arial" w:cs="Arial"/>
        </w:rPr>
      </w:pPr>
      <w:r w:rsidRPr="00BF6392">
        <w:rPr>
          <w:rFonts w:ascii="Arial" w:hAnsi="Arial" w:cs="Arial"/>
        </w:rPr>
        <w:t xml:space="preserve">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la Fiscalía General de Estado en ejercicio de sus funciones constitucionales de investigación de los </w:t>
      </w:r>
      <w:r w:rsidRPr="00BF6392">
        <w:rPr>
          <w:rFonts w:ascii="Arial" w:hAnsi="Arial" w:cs="Arial"/>
        </w:rPr>
        <w:lastRenderedPageBreak/>
        <w:t>delitos o de la representación social, ni con los conflictos suscitados entre los integrantes de los Ayuntamientos, así mismo tampoco se aplicará a los actos desplegados por la Comisión Estatal de Arbitraje Médico de Oaxaca, ni por la elección de las autoridades auxiliares de carácter municipal.</w:t>
      </w:r>
    </w:p>
    <w:p w:rsidR="001440A1" w:rsidRPr="00BF6392" w:rsidRDefault="001440A1" w:rsidP="00BF6392">
      <w:pPr>
        <w:spacing w:after="0" w:line="240" w:lineRule="auto"/>
        <w:ind w:left="567" w:right="332"/>
        <w:jc w:val="both"/>
        <w:rPr>
          <w:rFonts w:ascii="Arial" w:eastAsia="Arial" w:hAnsi="Arial" w:cs="Arial"/>
        </w:rPr>
      </w:pPr>
    </w:p>
    <w:p w:rsidR="001440A1" w:rsidRPr="00BF6392" w:rsidRDefault="001440A1" w:rsidP="00BF6392">
      <w:pPr>
        <w:spacing w:after="0" w:line="240" w:lineRule="auto"/>
        <w:ind w:left="567" w:right="332"/>
        <w:jc w:val="both"/>
        <w:rPr>
          <w:rFonts w:ascii="Arial" w:eastAsia="Arial" w:hAnsi="Arial" w:cs="Arial"/>
        </w:rPr>
      </w:pPr>
      <w:r w:rsidRPr="006748AD">
        <w:rPr>
          <w:rFonts w:ascii="Arial" w:eastAsia="Arial" w:hAnsi="Arial" w:cs="Arial"/>
          <w:b/>
          <w:bCs/>
        </w:rPr>
        <w:t>ARTÍCULO 2.-</w:t>
      </w:r>
      <w:r w:rsidRPr="00BF6392">
        <w:rPr>
          <w:rFonts w:ascii="Arial" w:eastAsia="Arial" w:hAnsi="Arial" w:cs="Arial"/>
          <w:b/>
          <w:bCs/>
        </w:rPr>
        <w:t xml:space="preserve"> </w:t>
      </w:r>
      <w:r w:rsidRPr="00BF6392">
        <w:rPr>
          <w:rFonts w:ascii="Arial" w:eastAsia="Arial" w:hAnsi="Arial" w:cs="Arial"/>
        </w:rPr>
        <w:t>Para los efectos de la presente Ley se entiende por:</w:t>
      </w:r>
    </w:p>
    <w:p w:rsidR="00C12848" w:rsidRDefault="00C12848" w:rsidP="00BF6392">
      <w:pPr>
        <w:spacing w:after="0" w:line="240" w:lineRule="auto"/>
        <w:ind w:left="567" w:right="332"/>
        <w:jc w:val="both"/>
        <w:rPr>
          <w:rFonts w:ascii="Arial" w:eastAsia="Arial" w:hAnsi="Arial" w:cs="Arial"/>
        </w:rPr>
      </w:pPr>
    </w:p>
    <w:p w:rsidR="001440A1" w:rsidRPr="00BF6392" w:rsidRDefault="001440A1" w:rsidP="00BF6392">
      <w:pPr>
        <w:spacing w:after="0" w:line="240" w:lineRule="auto"/>
        <w:ind w:left="567" w:right="332"/>
        <w:jc w:val="both"/>
        <w:rPr>
          <w:rFonts w:ascii="Arial" w:eastAsia="Arial" w:hAnsi="Arial" w:cs="Arial"/>
        </w:rPr>
      </w:pPr>
      <w:r w:rsidRPr="00BF6392">
        <w:rPr>
          <w:rFonts w:ascii="Arial" w:eastAsia="Arial" w:hAnsi="Arial" w:cs="Arial"/>
        </w:rPr>
        <w:t xml:space="preserve">I. </w:t>
      </w:r>
      <w:r w:rsidRPr="00BF6392">
        <w:rPr>
          <w:rFonts w:ascii="Arial" w:eastAsia="Arial" w:hAnsi="Arial" w:cs="Arial"/>
          <w:b/>
          <w:bCs/>
        </w:rPr>
        <w:t>Acto Administrativo</w:t>
      </w:r>
      <w:r w:rsidRPr="00BF6392">
        <w:rPr>
          <w:rFonts w:ascii="Arial" w:eastAsia="Arial" w:hAnsi="Arial" w:cs="Arial"/>
        </w:rPr>
        <w:t>: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w:t>
      </w:r>
    </w:p>
    <w:p w:rsidR="001440A1" w:rsidRPr="00BF6392" w:rsidRDefault="001440A1" w:rsidP="00BF6392">
      <w:pPr>
        <w:spacing w:after="0" w:line="240" w:lineRule="auto"/>
        <w:ind w:left="567" w:right="332"/>
        <w:jc w:val="both"/>
        <w:rPr>
          <w:rFonts w:ascii="Arial" w:eastAsia="Arial" w:hAnsi="Arial" w:cs="Arial"/>
        </w:rPr>
      </w:pPr>
      <w:r w:rsidRPr="00BF6392">
        <w:rPr>
          <w:rFonts w:ascii="Arial" w:eastAsia="Arial" w:hAnsi="Arial" w:cs="Arial"/>
        </w:rPr>
        <w:t>(…)</w:t>
      </w:r>
    </w:p>
    <w:p w:rsidR="00C12848" w:rsidRDefault="00C12848" w:rsidP="00BF6392">
      <w:pPr>
        <w:autoSpaceDE w:val="0"/>
        <w:autoSpaceDN w:val="0"/>
        <w:adjustRightInd w:val="0"/>
        <w:spacing w:after="0" w:line="240" w:lineRule="auto"/>
        <w:ind w:left="567" w:right="332"/>
        <w:jc w:val="both"/>
        <w:rPr>
          <w:rFonts w:ascii="Arial" w:hAnsi="Arial" w:cs="Arial"/>
        </w:rPr>
      </w:pPr>
    </w:p>
    <w:p w:rsidR="001440A1" w:rsidRPr="00BF6392" w:rsidRDefault="001440A1"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 xml:space="preserve">IV. </w:t>
      </w:r>
      <w:r w:rsidRPr="00BF6392">
        <w:rPr>
          <w:rFonts w:ascii="Arial" w:hAnsi="Arial" w:cs="Arial"/>
          <w:b/>
          <w:bCs/>
        </w:rPr>
        <w:t xml:space="preserve">Autoridad: </w:t>
      </w:r>
      <w:r w:rsidRPr="00BF6392">
        <w:rPr>
          <w:rFonts w:ascii="Arial" w:hAnsi="Arial" w:cs="Arial"/>
        </w:rPr>
        <w:t>La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origen al cumplimiento de la presente Ley o a ser parte en el Procedimiento Contencioso Administrativo;</w:t>
      </w:r>
    </w:p>
    <w:p w:rsidR="00121917" w:rsidRPr="00BF6392" w:rsidRDefault="00121917"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2A185E">
        <w:rPr>
          <w:rFonts w:ascii="Arial" w:hAnsi="Arial" w:cs="Arial"/>
          <w:b/>
          <w:bCs/>
        </w:rPr>
        <w:t>ARTÍCULO 133.</w:t>
      </w:r>
      <w:r w:rsidRPr="00BF6392">
        <w:rPr>
          <w:rFonts w:ascii="Arial" w:hAnsi="Arial" w:cs="Arial"/>
          <w:b/>
          <w:bCs/>
        </w:rPr>
        <w:t xml:space="preserve">- </w:t>
      </w:r>
      <w:r w:rsidRPr="00BF6392">
        <w:rPr>
          <w:rFonts w:ascii="Arial" w:hAnsi="Arial" w:cs="Arial"/>
        </w:rPr>
        <w:t>Las Salas Unitarias del Tribunal son competentes para conocer y resolver los juicios que se promuevan en contra de:</w:t>
      </w:r>
    </w:p>
    <w:p w:rsidR="00121917" w:rsidRPr="00BF6392" w:rsidRDefault="00121917"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rsidR="00121917" w:rsidRPr="00BF6392" w:rsidRDefault="00121917" w:rsidP="00BF6392">
      <w:pPr>
        <w:autoSpaceDE w:val="0"/>
        <w:autoSpaceDN w:val="0"/>
        <w:adjustRightInd w:val="0"/>
        <w:spacing w:after="0" w:line="240" w:lineRule="auto"/>
        <w:ind w:left="567" w:right="332"/>
        <w:jc w:val="both"/>
        <w:rPr>
          <w:rFonts w:ascii="Arial" w:hAnsi="Arial" w:cs="Arial"/>
        </w:rPr>
      </w:pPr>
    </w:p>
    <w:p w:rsidR="001440A1" w:rsidRPr="00BF6392" w:rsidRDefault="00121917" w:rsidP="00BF6392">
      <w:pPr>
        <w:autoSpaceDE w:val="0"/>
        <w:autoSpaceDN w:val="0"/>
        <w:adjustRightInd w:val="0"/>
        <w:spacing w:after="0" w:line="240" w:lineRule="auto"/>
        <w:ind w:left="567" w:right="332"/>
        <w:jc w:val="both"/>
        <w:rPr>
          <w:rFonts w:ascii="Arial" w:eastAsia="Arial" w:hAnsi="Arial" w:cs="Arial"/>
        </w:rPr>
      </w:pPr>
      <w:r w:rsidRPr="00BF6392">
        <w:rPr>
          <w:rFonts w:ascii="Arial" w:hAnsi="Arial" w:cs="Arial"/>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rsidR="001440A1" w:rsidRPr="00BF6392" w:rsidRDefault="001440A1" w:rsidP="00BF6392">
      <w:pPr>
        <w:spacing w:after="0" w:line="240" w:lineRule="auto"/>
        <w:ind w:left="567" w:right="332"/>
        <w:jc w:val="both"/>
        <w:rPr>
          <w:rFonts w:ascii="Arial" w:eastAsia="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III. Las resoluciones en materia de responsabilidad administrativa;</w:t>
      </w:r>
    </w:p>
    <w:p w:rsidR="00291436" w:rsidRPr="00BF6392" w:rsidRDefault="00291436"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IV. Las resoluciones que se dicten sobre interpretación y cumplimiento de contratos</w:t>
      </w:r>
      <w:r w:rsidR="00291436" w:rsidRPr="00BF6392">
        <w:rPr>
          <w:rFonts w:ascii="Arial" w:hAnsi="Arial" w:cs="Arial"/>
        </w:rPr>
        <w:t xml:space="preserve"> </w:t>
      </w:r>
      <w:r w:rsidRPr="00BF6392">
        <w:rPr>
          <w:rFonts w:ascii="Arial" w:hAnsi="Arial" w:cs="Arial"/>
        </w:rPr>
        <w:t>celebrados con la administración pública estatal y municipal;</w:t>
      </w:r>
    </w:p>
    <w:p w:rsidR="00291436" w:rsidRPr="00BF6392" w:rsidRDefault="00291436" w:rsidP="00BF6392">
      <w:pPr>
        <w:autoSpaceDE w:val="0"/>
        <w:autoSpaceDN w:val="0"/>
        <w:adjustRightInd w:val="0"/>
        <w:spacing w:after="0" w:line="240" w:lineRule="auto"/>
        <w:ind w:left="567" w:right="332"/>
        <w:jc w:val="both"/>
        <w:rPr>
          <w:rFonts w:ascii="Arial" w:hAnsi="Arial" w:cs="Arial"/>
        </w:rPr>
      </w:pPr>
    </w:p>
    <w:p w:rsidR="00121917" w:rsidRPr="0006283A"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 xml:space="preserve">V. </w:t>
      </w:r>
      <w:r w:rsidRPr="0006283A">
        <w:rPr>
          <w:rFonts w:ascii="Arial" w:hAnsi="Arial" w:cs="Arial"/>
        </w:rPr>
        <w:t>Los actos fiscales o administrativos que impliquen una resolución negativa ficta,</w:t>
      </w:r>
      <w:r w:rsidR="00291436" w:rsidRPr="0006283A">
        <w:rPr>
          <w:rFonts w:ascii="Arial" w:hAnsi="Arial" w:cs="Arial"/>
        </w:rPr>
        <w:t xml:space="preserve"> </w:t>
      </w:r>
      <w:r w:rsidRPr="0006283A">
        <w:rPr>
          <w:rFonts w:ascii="Arial" w:hAnsi="Arial" w:cs="Arial"/>
        </w:rPr>
        <w:t>configurándose ésta cuando las promociones o peticiones que se formulen ante las</w:t>
      </w:r>
      <w:r w:rsidR="00291436" w:rsidRPr="0006283A">
        <w:rPr>
          <w:rFonts w:ascii="Arial" w:hAnsi="Arial" w:cs="Arial"/>
        </w:rPr>
        <w:t xml:space="preserve"> </w:t>
      </w:r>
      <w:r w:rsidRPr="0006283A">
        <w:rPr>
          <w:rFonts w:ascii="Arial" w:hAnsi="Arial" w:cs="Arial"/>
        </w:rPr>
        <w:t>autoridades no sean resueltas en los plazos que la ley o reglamento fijen o a falta de</w:t>
      </w:r>
      <w:r w:rsidR="00291436" w:rsidRPr="0006283A">
        <w:rPr>
          <w:rFonts w:ascii="Arial" w:hAnsi="Arial" w:cs="Arial"/>
        </w:rPr>
        <w:t xml:space="preserve"> </w:t>
      </w:r>
      <w:r w:rsidRPr="0006283A">
        <w:rPr>
          <w:rFonts w:ascii="Arial" w:hAnsi="Arial" w:cs="Arial"/>
        </w:rPr>
        <w:t>dicho plazo en noventa días naturales; En el caso de positiva ficta, que emane de otra</w:t>
      </w:r>
      <w:r w:rsidR="00291436" w:rsidRPr="0006283A">
        <w:rPr>
          <w:rFonts w:ascii="Arial" w:hAnsi="Arial" w:cs="Arial"/>
        </w:rPr>
        <w:t xml:space="preserve"> </w:t>
      </w:r>
      <w:r w:rsidRPr="0006283A">
        <w:rPr>
          <w:rFonts w:ascii="Arial" w:hAnsi="Arial" w:cs="Arial"/>
        </w:rPr>
        <w:t>autoridad distinta a la fiscal, bastará que el actor presente su petición, apegada al</w:t>
      </w:r>
      <w:r w:rsidR="00291436" w:rsidRPr="0006283A">
        <w:rPr>
          <w:rFonts w:ascii="Arial" w:hAnsi="Arial" w:cs="Arial"/>
        </w:rPr>
        <w:t xml:space="preserve"> </w:t>
      </w:r>
      <w:r w:rsidRPr="0006283A">
        <w:rPr>
          <w:rFonts w:ascii="Arial" w:hAnsi="Arial" w:cs="Arial"/>
        </w:rPr>
        <w:t>artículo 13 de la Constitución Política del Estado Libre y Soberano de Oaxaca, y</w:t>
      </w:r>
      <w:r w:rsidR="00291436" w:rsidRPr="0006283A">
        <w:rPr>
          <w:rFonts w:ascii="Arial" w:hAnsi="Arial" w:cs="Arial"/>
        </w:rPr>
        <w:t xml:space="preserve"> </w:t>
      </w:r>
      <w:r w:rsidRPr="0006283A">
        <w:rPr>
          <w:rFonts w:ascii="Arial" w:hAnsi="Arial" w:cs="Arial"/>
        </w:rPr>
        <w:t>acredite con el sello de la oficina o por cualquier otro medio, que fue recibida por la</w:t>
      </w:r>
      <w:r w:rsidR="00291436" w:rsidRPr="0006283A">
        <w:rPr>
          <w:rFonts w:ascii="Arial" w:hAnsi="Arial" w:cs="Arial"/>
        </w:rPr>
        <w:t xml:space="preserve"> </w:t>
      </w:r>
      <w:r w:rsidRPr="0006283A">
        <w:rPr>
          <w:rFonts w:ascii="Arial" w:hAnsi="Arial" w:cs="Arial"/>
        </w:rPr>
        <w:t>demandada; y esta no dio satisfacción al Derecho de Petición, el Tribunal declarará</w:t>
      </w:r>
      <w:r w:rsidR="004B5898" w:rsidRPr="0006283A">
        <w:rPr>
          <w:rFonts w:ascii="Arial" w:hAnsi="Arial" w:cs="Arial"/>
        </w:rPr>
        <w:t xml:space="preserve"> </w:t>
      </w:r>
      <w:r w:rsidRPr="0006283A">
        <w:rPr>
          <w:rFonts w:ascii="Arial" w:hAnsi="Arial" w:cs="Arial"/>
        </w:rPr>
        <w:t>la existencia o inexistencia de la positiva ficta;</w:t>
      </w:r>
    </w:p>
    <w:p w:rsidR="004B5898" w:rsidRPr="0006283A"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VI. Las resoluciones administrativas y fiscales favorables a los particulares que se</w:t>
      </w:r>
      <w:r w:rsidR="004B5898" w:rsidRPr="00BF6392">
        <w:rPr>
          <w:rFonts w:ascii="Arial" w:hAnsi="Arial" w:cs="Arial"/>
        </w:rPr>
        <w:t xml:space="preserve"> </w:t>
      </w:r>
      <w:r w:rsidRPr="00BF6392">
        <w:rPr>
          <w:rFonts w:ascii="Arial" w:hAnsi="Arial" w:cs="Arial"/>
        </w:rPr>
        <w:t>promuevan por las autoridades para que puedan ser modificadas o nulificadas;</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VII. Las resoluciones que se dicten negando a los particulares la indemnización a que se</w:t>
      </w:r>
      <w:r w:rsidR="004B5898" w:rsidRPr="00BF6392">
        <w:rPr>
          <w:rFonts w:ascii="Arial" w:hAnsi="Arial" w:cs="Arial"/>
        </w:rPr>
        <w:t xml:space="preserve"> </w:t>
      </w:r>
      <w:r w:rsidRPr="00BF6392">
        <w:rPr>
          <w:rFonts w:ascii="Arial" w:hAnsi="Arial" w:cs="Arial"/>
        </w:rPr>
        <w:t>refiere la Ley de Responsabilidades de los Servidores Públicos del Estado y</w:t>
      </w:r>
      <w:r w:rsidR="004B5898" w:rsidRPr="00BF6392">
        <w:rPr>
          <w:rFonts w:ascii="Arial" w:hAnsi="Arial" w:cs="Arial"/>
        </w:rPr>
        <w:t xml:space="preserve"> </w:t>
      </w:r>
      <w:r w:rsidRPr="00BF6392">
        <w:rPr>
          <w:rFonts w:ascii="Arial" w:hAnsi="Arial" w:cs="Arial"/>
        </w:rPr>
        <w:t>Municipios de Oaxaca, o en los términos del último párrafo del Artículo 109 de la</w:t>
      </w:r>
      <w:r w:rsidR="004B5898" w:rsidRPr="00BF6392">
        <w:rPr>
          <w:rFonts w:ascii="Arial" w:hAnsi="Arial" w:cs="Arial"/>
        </w:rPr>
        <w:t xml:space="preserve"> </w:t>
      </w:r>
      <w:r w:rsidRPr="00BF6392">
        <w:rPr>
          <w:rFonts w:ascii="Arial" w:hAnsi="Arial" w:cs="Arial"/>
        </w:rPr>
        <w:t>Constitución Política de los Estados Unidos Mexicanos;</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VIII. El procedimiento administrativo de ejecución cuando el afectado en dicho</w:t>
      </w:r>
      <w:r w:rsidR="004B5898" w:rsidRPr="00BF6392">
        <w:rPr>
          <w:rFonts w:ascii="Arial" w:hAnsi="Arial" w:cs="Arial"/>
        </w:rPr>
        <w:t xml:space="preserve"> </w:t>
      </w:r>
      <w:r w:rsidRPr="00BF6392">
        <w:rPr>
          <w:rFonts w:ascii="Arial" w:hAnsi="Arial" w:cs="Arial"/>
        </w:rPr>
        <w:t>procedimiento opte por no interponer el recurso ordinario ante las autoridades</w:t>
      </w:r>
      <w:r w:rsidR="004B5898" w:rsidRPr="00BF6392">
        <w:rPr>
          <w:rFonts w:ascii="Arial" w:hAnsi="Arial" w:cs="Arial"/>
        </w:rPr>
        <w:t xml:space="preserve"> </w:t>
      </w:r>
      <w:r w:rsidRPr="00BF6392">
        <w:rPr>
          <w:rFonts w:ascii="Arial" w:hAnsi="Arial" w:cs="Arial"/>
        </w:rPr>
        <w:t>competentes y cuando afirme:</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a) Que el crédito que le exige se ha extinguido legalmente;</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lastRenderedPageBreak/>
        <w:t>b) Que el monto del crédito es inferior al exigible;</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c) Que es poseedor, a título de propietario, del bien embargado; y</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d) Que el procedimiento coactivo no se ajuste a la ley. En este caso, la oposición no se</w:t>
      </w:r>
      <w:r w:rsidR="004B5898" w:rsidRPr="00BF6392">
        <w:rPr>
          <w:rFonts w:ascii="Arial" w:hAnsi="Arial" w:cs="Arial"/>
        </w:rPr>
        <w:t xml:space="preserve"> </w:t>
      </w:r>
      <w:r w:rsidRPr="00BF6392">
        <w:rPr>
          <w:rFonts w:ascii="Arial" w:hAnsi="Arial" w:cs="Arial"/>
        </w:rPr>
        <w:t>podrá hacer valer, sino contra la resolución que apruebe el remate; salvo que se trate</w:t>
      </w:r>
      <w:r w:rsidR="004B5898" w:rsidRPr="00BF6392">
        <w:rPr>
          <w:rFonts w:ascii="Arial" w:hAnsi="Arial" w:cs="Arial"/>
        </w:rPr>
        <w:t xml:space="preserve"> </w:t>
      </w:r>
      <w:r w:rsidRPr="00BF6392">
        <w:rPr>
          <w:rFonts w:ascii="Arial" w:hAnsi="Arial" w:cs="Arial"/>
        </w:rPr>
        <w:t>de resoluciones cuya ejecución material sea imposible reparación.</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IX. Conocerá del recurso de queja, procediendo en los términos de esta Ley;</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X. Del resarcimiento de daños y perjuicios que las autoridades administrativas deban</w:t>
      </w:r>
      <w:r w:rsidR="004B5898" w:rsidRPr="00BF6392">
        <w:rPr>
          <w:rFonts w:ascii="Arial" w:hAnsi="Arial" w:cs="Arial"/>
        </w:rPr>
        <w:t xml:space="preserve"> </w:t>
      </w:r>
      <w:r w:rsidRPr="00BF6392">
        <w:rPr>
          <w:rFonts w:ascii="Arial" w:hAnsi="Arial" w:cs="Arial"/>
        </w:rPr>
        <w:t>pagar a los particulares, cuando aquellas, por la ejecución de obras, o por</w:t>
      </w:r>
      <w:r w:rsidR="004B5898" w:rsidRPr="00BF6392">
        <w:rPr>
          <w:rFonts w:ascii="Arial" w:hAnsi="Arial" w:cs="Arial"/>
        </w:rPr>
        <w:t xml:space="preserve"> </w:t>
      </w:r>
      <w:r w:rsidRPr="00BF6392">
        <w:rPr>
          <w:rFonts w:ascii="Arial" w:hAnsi="Arial" w:cs="Arial"/>
        </w:rPr>
        <w:t>irresponsabilidad en el incumplimiento de sus obligaciones, le causen a un particular</w:t>
      </w:r>
      <w:r w:rsidR="004B5898" w:rsidRPr="00BF6392">
        <w:rPr>
          <w:rFonts w:ascii="Arial" w:hAnsi="Arial" w:cs="Arial"/>
        </w:rPr>
        <w:t xml:space="preserve"> </w:t>
      </w:r>
      <w:r w:rsidRPr="00BF6392">
        <w:rPr>
          <w:rFonts w:ascii="Arial" w:hAnsi="Arial" w:cs="Arial"/>
        </w:rPr>
        <w:t>un menoscabo en su patrimonio pecuniario o moral;</w:t>
      </w:r>
    </w:p>
    <w:p w:rsidR="004B5898" w:rsidRPr="00BF6392" w:rsidRDefault="004B5898" w:rsidP="00BF6392">
      <w:pPr>
        <w:autoSpaceDE w:val="0"/>
        <w:autoSpaceDN w:val="0"/>
        <w:adjustRightInd w:val="0"/>
        <w:spacing w:after="0" w:line="240" w:lineRule="auto"/>
        <w:ind w:left="567" w:right="332"/>
        <w:jc w:val="both"/>
        <w:rPr>
          <w:rFonts w:ascii="Arial" w:hAnsi="Arial" w:cs="Arial"/>
        </w:rPr>
      </w:pPr>
    </w:p>
    <w:p w:rsidR="006F32AB"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XI. De la legalidad o nulidad de remates, subastas o similares, embargos y pretensiones</w:t>
      </w:r>
      <w:r w:rsidR="004B5898" w:rsidRPr="00BF6392">
        <w:rPr>
          <w:rFonts w:ascii="Arial" w:hAnsi="Arial" w:cs="Arial"/>
        </w:rPr>
        <w:t xml:space="preserve"> </w:t>
      </w:r>
      <w:r w:rsidRPr="00BF6392">
        <w:rPr>
          <w:rFonts w:ascii="Arial" w:hAnsi="Arial" w:cs="Arial"/>
        </w:rPr>
        <w:t>de requerimiento dictadas por autoridades diversas a las del Pode</w:t>
      </w:r>
      <w:r w:rsidR="004B5898" w:rsidRPr="00BF6392">
        <w:rPr>
          <w:rFonts w:ascii="Arial" w:hAnsi="Arial" w:cs="Arial"/>
        </w:rPr>
        <w:t xml:space="preserve">r Judicial del Estado; </w:t>
      </w:r>
      <w:r w:rsidRPr="00BF6392">
        <w:rPr>
          <w:rFonts w:ascii="Arial" w:hAnsi="Arial" w:cs="Arial"/>
        </w:rPr>
        <w:t>y</w:t>
      </w:r>
    </w:p>
    <w:p w:rsidR="00252AD8" w:rsidRPr="00BF6392" w:rsidRDefault="00252AD8" w:rsidP="00BF6392">
      <w:pPr>
        <w:spacing w:after="0" w:line="240" w:lineRule="auto"/>
        <w:ind w:left="567" w:right="332"/>
        <w:jc w:val="both"/>
        <w:rPr>
          <w:rFonts w:ascii="Arial" w:eastAsia="Arial" w:hAnsi="Arial" w:cs="Arial"/>
        </w:rPr>
      </w:pPr>
    </w:p>
    <w:p w:rsidR="004B5898" w:rsidRPr="00BF6392" w:rsidRDefault="00F80BCE" w:rsidP="00BF6392">
      <w:pPr>
        <w:spacing w:after="0" w:line="240" w:lineRule="auto"/>
        <w:ind w:left="567" w:right="332"/>
        <w:jc w:val="both"/>
        <w:rPr>
          <w:rFonts w:ascii="Arial" w:eastAsia="Arial" w:hAnsi="Arial" w:cs="Arial"/>
        </w:rPr>
      </w:pPr>
      <w:r w:rsidRPr="00BF6392">
        <w:rPr>
          <w:rFonts w:ascii="Arial" w:eastAsia="Arial" w:hAnsi="Arial" w:cs="Arial"/>
        </w:rPr>
        <w:t>XII. De los asuntos cuya resolución esté reservada al Tribunal conforme a lo dispuesto por ésta u otras leyes.</w:t>
      </w:r>
    </w:p>
    <w:p w:rsidR="00C12848" w:rsidRDefault="00C12848" w:rsidP="00BF6392">
      <w:pPr>
        <w:autoSpaceDE w:val="0"/>
        <w:autoSpaceDN w:val="0"/>
        <w:adjustRightInd w:val="0"/>
        <w:spacing w:after="0" w:line="240" w:lineRule="auto"/>
        <w:ind w:left="567" w:right="332"/>
        <w:jc w:val="both"/>
        <w:rPr>
          <w:rFonts w:ascii="Arial" w:hAnsi="Arial" w:cs="Arial"/>
          <w:b/>
          <w:bCs/>
        </w:rPr>
      </w:pPr>
    </w:p>
    <w:p w:rsidR="004B5898" w:rsidRPr="00BF6392" w:rsidRDefault="00F80BCE" w:rsidP="00BF6392">
      <w:pPr>
        <w:autoSpaceDE w:val="0"/>
        <w:autoSpaceDN w:val="0"/>
        <w:adjustRightInd w:val="0"/>
        <w:spacing w:after="0" w:line="240" w:lineRule="auto"/>
        <w:ind w:left="567" w:right="332"/>
        <w:jc w:val="both"/>
        <w:rPr>
          <w:rFonts w:ascii="Arial" w:hAnsi="Arial" w:cs="Arial"/>
        </w:rPr>
      </w:pPr>
      <w:r w:rsidRPr="002A185E">
        <w:rPr>
          <w:rFonts w:ascii="Arial" w:hAnsi="Arial" w:cs="Arial"/>
          <w:b/>
          <w:bCs/>
        </w:rPr>
        <w:t xml:space="preserve">ARTÍCULO 149.- </w:t>
      </w:r>
      <w:r w:rsidRPr="002A185E">
        <w:rPr>
          <w:rFonts w:ascii="Arial" w:hAnsi="Arial" w:cs="Arial"/>
        </w:rPr>
        <w:t>El juic</w:t>
      </w:r>
      <w:r w:rsidRPr="00BF6392">
        <w:rPr>
          <w:rFonts w:ascii="Arial" w:hAnsi="Arial" w:cs="Arial"/>
        </w:rPr>
        <w:t>io ante el Tribunal será de estricto derecho, pero se deberá suplir la deficiencia de la queja siempre que se trate del administrado.</w:t>
      </w:r>
    </w:p>
    <w:p w:rsidR="007D3B96" w:rsidRPr="00BF6392" w:rsidRDefault="007D3B96" w:rsidP="00BF6392">
      <w:pPr>
        <w:autoSpaceDE w:val="0"/>
        <w:autoSpaceDN w:val="0"/>
        <w:adjustRightInd w:val="0"/>
        <w:spacing w:after="0" w:line="240" w:lineRule="auto"/>
        <w:ind w:left="567" w:right="332"/>
        <w:jc w:val="both"/>
        <w:rPr>
          <w:rFonts w:ascii="Arial" w:hAnsi="Arial" w:cs="Arial"/>
        </w:rPr>
      </w:pPr>
    </w:p>
    <w:p w:rsidR="007D3B96"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b/>
          <w:bCs/>
        </w:rPr>
        <w:t xml:space="preserve">ARTÍCULO 177.- </w:t>
      </w:r>
      <w:r w:rsidRPr="00BF6392">
        <w:rPr>
          <w:rFonts w:ascii="Arial" w:hAnsi="Arial" w:cs="Arial"/>
        </w:rPr>
        <w:t>El escrito de demanda deberá contener:</w:t>
      </w:r>
    </w:p>
    <w:p w:rsidR="007D3B96"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w:t>
      </w:r>
    </w:p>
    <w:p w:rsidR="00C12848" w:rsidRDefault="00C12848" w:rsidP="00BF6392">
      <w:pPr>
        <w:autoSpaceDE w:val="0"/>
        <w:autoSpaceDN w:val="0"/>
        <w:adjustRightInd w:val="0"/>
        <w:spacing w:after="0" w:line="240" w:lineRule="auto"/>
        <w:ind w:left="567" w:right="332"/>
        <w:jc w:val="both"/>
        <w:rPr>
          <w:rFonts w:ascii="Arial" w:hAnsi="Arial" w:cs="Arial"/>
        </w:rPr>
      </w:pPr>
    </w:p>
    <w:p w:rsidR="003D7F22"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IV. La resolución o acto administrativo que se impugna;</w:t>
      </w:r>
    </w:p>
    <w:p w:rsidR="00C12848" w:rsidRDefault="00C12848" w:rsidP="00BF6392">
      <w:pPr>
        <w:autoSpaceDE w:val="0"/>
        <w:autoSpaceDN w:val="0"/>
        <w:adjustRightInd w:val="0"/>
        <w:spacing w:after="0" w:line="240" w:lineRule="auto"/>
        <w:ind w:left="567" w:right="332"/>
        <w:jc w:val="both"/>
        <w:rPr>
          <w:rFonts w:ascii="Arial" w:hAnsi="Arial" w:cs="Arial"/>
          <w:b/>
          <w:bCs/>
        </w:rPr>
      </w:pPr>
    </w:p>
    <w:p w:rsidR="003D7F22"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b/>
          <w:bCs/>
        </w:rPr>
        <w:t xml:space="preserve">ARTÍCULO 178.- </w:t>
      </w:r>
      <w:r w:rsidRPr="00BF6392">
        <w:rPr>
          <w:rFonts w:ascii="Arial" w:hAnsi="Arial" w:cs="Arial"/>
        </w:rPr>
        <w:t>A la demanda deberán anexarse:</w:t>
      </w:r>
    </w:p>
    <w:p w:rsidR="007D3B96"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w:t>
      </w:r>
    </w:p>
    <w:p w:rsidR="00C12848" w:rsidRDefault="00C12848" w:rsidP="00BF6392">
      <w:pPr>
        <w:autoSpaceDE w:val="0"/>
        <w:autoSpaceDN w:val="0"/>
        <w:adjustRightInd w:val="0"/>
        <w:spacing w:after="0" w:line="240" w:lineRule="auto"/>
        <w:ind w:left="567" w:right="332"/>
        <w:jc w:val="both"/>
        <w:rPr>
          <w:rFonts w:ascii="Arial" w:hAnsi="Arial" w:cs="Arial"/>
        </w:rPr>
      </w:pPr>
    </w:p>
    <w:p w:rsidR="003D7F2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II. Los documentos en que conste el acto impugnado y su notificación, cuando los tenga a su disposición el actor; o bien, señalar el lugar donde se encuentren, si no pudiera obtener copias certificadas de los mismos;</w:t>
      </w:r>
    </w:p>
    <w:p w:rsidR="0065412A" w:rsidRDefault="0065412A" w:rsidP="00234A80">
      <w:pPr>
        <w:tabs>
          <w:tab w:val="left" w:pos="8505"/>
        </w:tabs>
        <w:autoSpaceDE w:val="0"/>
        <w:autoSpaceDN w:val="0"/>
        <w:adjustRightInd w:val="0"/>
        <w:spacing w:after="0" w:line="240" w:lineRule="auto"/>
        <w:ind w:left="567" w:right="335"/>
        <w:jc w:val="both"/>
        <w:rPr>
          <w:rFonts w:ascii="Arial" w:hAnsi="Arial" w:cs="Arial"/>
        </w:rPr>
      </w:pPr>
    </w:p>
    <w:p w:rsidR="004B5898" w:rsidRDefault="00234A80" w:rsidP="00234A80">
      <w:pPr>
        <w:tabs>
          <w:tab w:val="left" w:pos="8505"/>
        </w:tabs>
        <w:autoSpaceDE w:val="0"/>
        <w:autoSpaceDN w:val="0"/>
        <w:adjustRightInd w:val="0"/>
        <w:spacing w:after="0" w:line="240" w:lineRule="auto"/>
        <w:ind w:left="567" w:right="335"/>
        <w:jc w:val="both"/>
        <w:rPr>
          <w:rFonts w:ascii="Arial" w:eastAsia="Arial" w:hAnsi="Arial" w:cs="Arial"/>
          <w:sz w:val="24"/>
          <w:szCs w:val="24"/>
        </w:rPr>
      </w:pPr>
      <w:r>
        <w:rPr>
          <w:rFonts w:ascii="Arial" w:hAnsi="Arial" w:cs="Arial"/>
          <w:b/>
          <w:bCs/>
        </w:rPr>
        <w:t xml:space="preserve">ARTÍCULO 179.- </w:t>
      </w:r>
      <w:r>
        <w:rPr>
          <w:rFonts w:ascii="Arial" w:hAnsi="Arial" w:cs="Arial"/>
        </w:rPr>
        <w:t>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p w:rsidR="00234A80" w:rsidRDefault="00234A80" w:rsidP="00C02A9D">
      <w:pPr>
        <w:spacing w:line="360" w:lineRule="auto"/>
        <w:ind w:right="51" w:firstLine="567"/>
        <w:jc w:val="both"/>
        <w:rPr>
          <w:rFonts w:ascii="Arial" w:eastAsia="Arial" w:hAnsi="Arial" w:cs="Arial"/>
          <w:sz w:val="24"/>
          <w:szCs w:val="24"/>
        </w:rPr>
      </w:pPr>
    </w:p>
    <w:p w:rsidR="00C02A9D" w:rsidRDefault="00C02A9D" w:rsidP="00C02A9D">
      <w:pPr>
        <w:spacing w:line="360" w:lineRule="auto"/>
        <w:ind w:right="51" w:firstLine="567"/>
        <w:jc w:val="both"/>
        <w:rPr>
          <w:rFonts w:ascii="Arial" w:eastAsia="Arial" w:hAnsi="Arial" w:cs="Arial"/>
          <w:sz w:val="24"/>
          <w:szCs w:val="24"/>
        </w:rPr>
      </w:pPr>
      <w:r>
        <w:rPr>
          <w:rFonts w:ascii="Arial" w:eastAsia="Arial" w:hAnsi="Arial" w:cs="Arial"/>
          <w:sz w:val="24"/>
          <w:szCs w:val="24"/>
        </w:rPr>
        <w:t>De conformidad con dichos preceptos legales, e</w:t>
      </w:r>
      <w:r w:rsidR="00496C93">
        <w:rPr>
          <w:rFonts w:ascii="Arial" w:eastAsia="Arial" w:hAnsi="Arial" w:cs="Arial"/>
          <w:sz w:val="24"/>
          <w:szCs w:val="24"/>
        </w:rPr>
        <w:t>l juicio ante este</w:t>
      </w:r>
      <w:r w:rsidRPr="00C02A9D">
        <w:rPr>
          <w:rFonts w:ascii="Arial" w:eastAsia="Arial" w:hAnsi="Arial" w:cs="Arial"/>
          <w:sz w:val="24"/>
          <w:szCs w:val="24"/>
        </w:rPr>
        <w:t xml:space="preserve"> Tribunal </w:t>
      </w:r>
      <w:r w:rsidRPr="001F22FE">
        <w:rPr>
          <w:rFonts w:ascii="Arial" w:eastAsia="Arial" w:hAnsi="Arial" w:cs="Arial"/>
          <w:b/>
          <w:sz w:val="24"/>
          <w:szCs w:val="24"/>
          <w:u w:val="single"/>
        </w:rPr>
        <w:t>será de estricto derecho</w:t>
      </w:r>
      <w:r w:rsidR="00496C93">
        <w:rPr>
          <w:rFonts w:ascii="Arial" w:eastAsia="Arial" w:hAnsi="Arial" w:cs="Arial"/>
          <w:sz w:val="24"/>
          <w:szCs w:val="24"/>
        </w:rPr>
        <w:t>, estableciendo el artículo 1</w:t>
      </w:r>
      <w:r w:rsidR="00182417">
        <w:rPr>
          <w:rFonts w:ascii="Arial" w:eastAsia="Arial" w:hAnsi="Arial" w:cs="Arial"/>
          <w:sz w:val="24"/>
          <w:szCs w:val="24"/>
        </w:rPr>
        <w:t>°</w:t>
      </w:r>
      <w:r w:rsidR="00496C93">
        <w:rPr>
          <w:rFonts w:ascii="Arial" w:eastAsia="Arial" w:hAnsi="Arial" w:cs="Arial"/>
          <w:sz w:val="24"/>
          <w:szCs w:val="24"/>
        </w:rPr>
        <w:t xml:space="preserve"> antes transcrito que la</w:t>
      </w:r>
      <w:r w:rsidRPr="00C02A9D">
        <w:rPr>
          <w:rFonts w:ascii="Arial" w:eastAsia="Arial" w:hAnsi="Arial" w:cs="Arial"/>
          <w:sz w:val="24"/>
          <w:szCs w:val="24"/>
        </w:rPr>
        <w:t xml:space="preserve"> Ley </w:t>
      </w:r>
      <w:r w:rsidR="001F22FE">
        <w:rPr>
          <w:rFonts w:ascii="Arial" w:eastAsia="Arial" w:hAnsi="Arial" w:cs="Arial"/>
          <w:sz w:val="24"/>
          <w:szCs w:val="24"/>
        </w:rPr>
        <w:t xml:space="preserve">de Procedimiento y Justicia Administrativa para el Estado de Oaxaca, </w:t>
      </w:r>
      <w:r w:rsidRPr="00C02A9D">
        <w:rPr>
          <w:rFonts w:ascii="Arial" w:eastAsia="Arial" w:hAnsi="Arial" w:cs="Arial"/>
          <w:sz w:val="24"/>
          <w:szCs w:val="24"/>
        </w:rPr>
        <w:t xml:space="preserve">es de orden público y de interés social, </w:t>
      </w:r>
      <w:r w:rsidR="001F22FE">
        <w:rPr>
          <w:rFonts w:ascii="Arial" w:eastAsia="Arial" w:hAnsi="Arial" w:cs="Arial"/>
          <w:sz w:val="24"/>
          <w:szCs w:val="24"/>
        </w:rPr>
        <w:t xml:space="preserve">y </w:t>
      </w:r>
      <w:r w:rsidRPr="00C02A9D">
        <w:rPr>
          <w:rFonts w:ascii="Arial" w:eastAsia="Arial" w:hAnsi="Arial" w:cs="Arial"/>
          <w:sz w:val="24"/>
          <w:szCs w:val="24"/>
        </w:rPr>
        <w:t xml:space="preserve">se aplicará en todo el Estado de Oaxaca </w:t>
      </w:r>
      <w:r w:rsidRPr="001F22FE">
        <w:rPr>
          <w:rFonts w:ascii="Arial" w:eastAsia="Arial" w:hAnsi="Arial" w:cs="Arial"/>
          <w:b/>
          <w:sz w:val="24"/>
          <w:szCs w:val="24"/>
        </w:rPr>
        <w:t>en los actos administrativos y los procedimientos que desarrollen</w:t>
      </w:r>
      <w:r w:rsidRPr="00C02A9D">
        <w:rPr>
          <w:rFonts w:ascii="Arial" w:eastAsia="Arial" w:hAnsi="Arial" w:cs="Arial"/>
          <w:sz w:val="24"/>
          <w:szCs w:val="24"/>
        </w:rPr>
        <w:t xml:space="preserve"> las Dependencias del Poder Ejecutivo del Gobierno del Estado, Entidades Paraestatales y Órganos Desconcentrados de la Administración Pública Estatal; </w:t>
      </w:r>
      <w:r w:rsidRPr="00654BFC">
        <w:rPr>
          <w:rFonts w:ascii="Arial" w:eastAsia="Arial" w:hAnsi="Arial" w:cs="Arial"/>
          <w:b/>
          <w:sz w:val="24"/>
          <w:szCs w:val="24"/>
        </w:rPr>
        <w:t>cuando estas emitan una resolución administrativa de cualquier naturaleza</w:t>
      </w:r>
      <w:r w:rsidRPr="00C02A9D">
        <w:rPr>
          <w:rFonts w:ascii="Arial" w:eastAsia="Arial" w:hAnsi="Arial" w:cs="Arial"/>
          <w:sz w:val="24"/>
          <w:szCs w:val="24"/>
        </w:rPr>
        <w:t xml:space="preserve">; </w:t>
      </w:r>
      <w:r w:rsidRPr="001F22FE">
        <w:rPr>
          <w:rFonts w:ascii="Arial" w:eastAsia="Arial" w:hAnsi="Arial" w:cs="Arial"/>
          <w:b/>
          <w:sz w:val="24"/>
          <w:szCs w:val="24"/>
        </w:rPr>
        <w:t>por los Ayuntamientos de los Municipios del Estado de Oaxaca</w:t>
      </w:r>
      <w:r w:rsidRPr="00C02A9D">
        <w:rPr>
          <w:rFonts w:ascii="Arial" w:eastAsia="Arial" w:hAnsi="Arial" w:cs="Arial"/>
          <w:sz w:val="24"/>
          <w:szCs w:val="24"/>
        </w:rPr>
        <w:t>, por las Dependencias de estos y por sus Entidades Paramunicipales. De igual forma</w:t>
      </w:r>
      <w:r w:rsidR="006748AD">
        <w:rPr>
          <w:rFonts w:ascii="Arial" w:eastAsia="Arial" w:hAnsi="Arial" w:cs="Arial"/>
          <w:sz w:val="24"/>
          <w:szCs w:val="24"/>
        </w:rPr>
        <w:t xml:space="preserve"> </w:t>
      </w:r>
      <w:r w:rsidR="006748AD" w:rsidRPr="00182417">
        <w:rPr>
          <w:rFonts w:ascii="Arial" w:eastAsia="Arial" w:hAnsi="Arial" w:cs="Arial"/>
          <w:b/>
          <w:sz w:val="24"/>
          <w:szCs w:val="24"/>
        </w:rPr>
        <w:t>la referida ley</w:t>
      </w:r>
      <w:r w:rsidRPr="00182417">
        <w:rPr>
          <w:rFonts w:ascii="Arial" w:eastAsia="Arial" w:hAnsi="Arial" w:cs="Arial"/>
          <w:b/>
          <w:sz w:val="24"/>
          <w:szCs w:val="24"/>
        </w:rPr>
        <w:t xml:space="preserve"> reg</w:t>
      </w:r>
      <w:r w:rsidRPr="001F22FE">
        <w:rPr>
          <w:rFonts w:ascii="Arial" w:eastAsia="Arial" w:hAnsi="Arial" w:cs="Arial"/>
          <w:b/>
          <w:sz w:val="24"/>
          <w:szCs w:val="24"/>
        </w:rPr>
        <w:t>ulará</w:t>
      </w:r>
      <w:r w:rsidRPr="00C02A9D">
        <w:rPr>
          <w:rFonts w:ascii="Arial" w:eastAsia="Arial" w:hAnsi="Arial" w:cs="Arial"/>
          <w:sz w:val="24"/>
          <w:szCs w:val="24"/>
        </w:rPr>
        <w:t xml:space="preserve"> la organización y funcionamiento del Tribunal de Justicia Administrativa del Estado de Oaxaca y </w:t>
      </w:r>
      <w:r w:rsidRPr="001F22FE">
        <w:rPr>
          <w:rFonts w:ascii="Arial" w:eastAsia="Arial" w:hAnsi="Arial" w:cs="Arial"/>
          <w:b/>
          <w:sz w:val="24"/>
          <w:szCs w:val="24"/>
        </w:rPr>
        <w:t>la impartición de la Justicia Administrativa en el Estado de Oaxaca</w:t>
      </w:r>
      <w:r w:rsidRPr="00C02A9D">
        <w:rPr>
          <w:rFonts w:ascii="Arial" w:eastAsia="Arial" w:hAnsi="Arial" w:cs="Arial"/>
          <w:sz w:val="24"/>
          <w:szCs w:val="24"/>
        </w:rPr>
        <w:t>.</w:t>
      </w:r>
    </w:p>
    <w:p w:rsidR="001F22FE" w:rsidRPr="001F22FE" w:rsidRDefault="001F22FE" w:rsidP="001F22FE">
      <w:pPr>
        <w:spacing w:line="360" w:lineRule="auto"/>
        <w:ind w:right="51" w:firstLine="567"/>
        <w:jc w:val="both"/>
        <w:rPr>
          <w:rFonts w:ascii="Arial" w:eastAsia="Arial" w:hAnsi="Arial" w:cs="Arial"/>
          <w:sz w:val="24"/>
          <w:szCs w:val="24"/>
        </w:rPr>
      </w:pPr>
      <w:r>
        <w:rPr>
          <w:rFonts w:ascii="Arial" w:eastAsia="Arial" w:hAnsi="Arial" w:cs="Arial"/>
          <w:sz w:val="24"/>
          <w:szCs w:val="24"/>
        </w:rPr>
        <w:lastRenderedPageBreak/>
        <w:t xml:space="preserve">Por su parte el artículo 133 </w:t>
      </w:r>
      <w:r w:rsidR="00654BFC">
        <w:rPr>
          <w:rFonts w:ascii="Arial" w:eastAsia="Arial" w:hAnsi="Arial" w:cs="Arial"/>
          <w:sz w:val="24"/>
          <w:szCs w:val="24"/>
        </w:rPr>
        <w:t xml:space="preserve">fracción I </w:t>
      </w:r>
      <w:r>
        <w:rPr>
          <w:rFonts w:ascii="Arial" w:eastAsia="Arial" w:hAnsi="Arial" w:cs="Arial"/>
          <w:sz w:val="24"/>
          <w:szCs w:val="24"/>
        </w:rPr>
        <w:t xml:space="preserve">en análisis, establece la </w:t>
      </w:r>
      <w:r w:rsidRPr="00654BFC">
        <w:rPr>
          <w:rFonts w:ascii="Arial" w:eastAsia="Arial" w:hAnsi="Arial" w:cs="Arial"/>
          <w:b/>
          <w:sz w:val="24"/>
          <w:szCs w:val="24"/>
        </w:rPr>
        <w:t xml:space="preserve">competencia de las Salas Unitarias del Tribunal para conocer y resolver los juicios que se promuevan en </w:t>
      </w:r>
      <w:r w:rsidR="00654BFC" w:rsidRPr="00654BFC">
        <w:rPr>
          <w:rFonts w:ascii="Arial" w:eastAsia="Arial" w:hAnsi="Arial" w:cs="Arial"/>
          <w:b/>
          <w:sz w:val="24"/>
          <w:szCs w:val="24"/>
        </w:rPr>
        <w:t>contra de l</w:t>
      </w:r>
      <w:r w:rsidRPr="00654BFC">
        <w:rPr>
          <w:rFonts w:ascii="Arial" w:eastAsia="Arial" w:hAnsi="Arial" w:cs="Arial"/>
          <w:b/>
          <w:sz w:val="24"/>
          <w:szCs w:val="24"/>
        </w:rPr>
        <w:t>os actos y resoluciones emanados de las autoridades</w:t>
      </w:r>
      <w:r w:rsidRPr="001F22FE">
        <w:rPr>
          <w:rFonts w:ascii="Arial" w:eastAsia="Arial" w:hAnsi="Arial" w:cs="Arial"/>
          <w:sz w:val="24"/>
          <w:szCs w:val="24"/>
        </w:rPr>
        <w:t xml:space="preserve"> del Poder Ejecutivo, </w:t>
      </w:r>
      <w:r w:rsidRPr="00654BFC">
        <w:rPr>
          <w:rFonts w:ascii="Arial" w:eastAsia="Arial" w:hAnsi="Arial" w:cs="Arial"/>
          <w:b/>
          <w:sz w:val="24"/>
          <w:szCs w:val="24"/>
        </w:rPr>
        <w:t>de los Municipios</w:t>
      </w:r>
      <w:r w:rsidRPr="001F22FE">
        <w:rPr>
          <w:rFonts w:ascii="Arial" w:eastAsia="Arial" w:hAnsi="Arial" w:cs="Arial"/>
          <w:sz w:val="24"/>
          <w:szCs w:val="24"/>
        </w:rPr>
        <w:t xml:space="preserve"> y de sus organismos descentralizados y desconcentrados, </w:t>
      </w:r>
      <w:r w:rsidRPr="00654BFC">
        <w:rPr>
          <w:rFonts w:ascii="Arial" w:eastAsia="Arial" w:hAnsi="Arial" w:cs="Arial"/>
          <w:b/>
          <w:sz w:val="24"/>
          <w:szCs w:val="24"/>
        </w:rPr>
        <w:t>cuando éstos actúen como autoridades, dictándolas, ordenándolas, ejecutándolas o tratando de ejecutarlas y que causen agravios a los particulares</w:t>
      </w:r>
      <w:r w:rsidRPr="001F22FE">
        <w:rPr>
          <w:rFonts w:ascii="Arial" w:eastAsia="Arial" w:hAnsi="Arial" w:cs="Arial"/>
          <w:sz w:val="24"/>
          <w:szCs w:val="24"/>
        </w:rPr>
        <w:t xml:space="preserve">, por no ajustarse a los elementos y requisitos de validez previstos por el artículo 17 de </w:t>
      </w:r>
      <w:r w:rsidR="00654BFC">
        <w:rPr>
          <w:rFonts w:ascii="Arial" w:eastAsia="Arial" w:hAnsi="Arial" w:cs="Arial"/>
          <w:sz w:val="24"/>
          <w:szCs w:val="24"/>
        </w:rPr>
        <w:t>dicha ley.</w:t>
      </w:r>
    </w:p>
    <w:p w:rsidR="008976EB" w:rsidRDefault="008976EB" w:rsidP="008976EB">
      <w:pPr>
        <w:spacing w:line="360" w:lineRule="auto"/>
        <w:ind w:right="51" w:firstLine="567"/>
        <w:jc w:val="both"/>
        <w:rPr>
          <w:rFonts w:ascii="Arial" w:eastAsia="Arial" w:hAnsi="Arial" w:cs="Arial"/>
          <w:sz w:val="24"/>
          <w:szCs w:val="24"/>
        </w:rPr>
      </w:pPr>
      <w:r>
        <w:rPr>
          <w:rFonts w:ascii="Arial" w:eastAsia="Arial" w:hAnsi="Arial" w:cs="Arial"/>
          <w:sz w:val="24"/>
          <w:szCs w:val="24"/>
        </w:rPr>
        <w:t>Debiéndose de entender, de conformidad con el artículo 2 fracci</w:t>
      </w:r>
      <w:r w:rsidR="00B16DD0">
        <w:rPr>
          <w:rFonts w:ascii="Arial" w:eastAsia="Arial" w:hAnsi="Arial" w:cs="Arial"/>
          <w:sz w:val="24"/>
          <w:szCs w:val="24"/>
        </w:rPr>
        <w:t>ones</w:t>
      </w:r>
      <w:r>
        <w:rPr>
          <w:rFonts w:ascii="Arial" w:eastAsia="Arial" w:hAnsi="Arial" w:cs="Arial"/>
          <w:sz w:val="24"/>
          <w:szCs w:val="24"/>
        </w:rPr>
        <w:t xml:space="preserve"> I </w:t>
      </w:r>
      <w:r w:rsidR="00B16DD0">
        <w:rPr>
          <w:rFonts w:ascii="Arial" w:eastAsia="Arial" w:hAnsi="Arial" w:cs="Arial"/>
          <w:sz w:val="24"/>
          <w:szCs w:val="24"/>
        </w:rPr>
        <w:t xml:space="preserve">y IV </w:t>
      </w:r>
      <w:r>
        <w:rPr>
          <w:rFonts w:ascii="Arial" w:eastAsia="Arial" w:hAnsi="Arial" w:cs="Arial"/>
          <w:sz w:val="24"/>
          <w:szCs w:val="24"/>
        </w:rPr>
        <w:t xml:space="preserve">de la Ley que se estudia, por </w:t>
      </w:r>
      <w:r w:rsidRPr="008976EB">
        <w:rPr>
          <w:rFonts w:ascii="Arial" w:eastAsia="Arial" w:hAnsi="Arial" w:cs="Arial"/>
          <w:b/>
          <w:bCs/>
          <w:sz w:val="24"/>
          <w:szCs w:val="24"/>
        </w:rPr>
        <w:t>Acto Administrativo</w:t>
      </w:r>
      <w:r>
        <w:rPr>
          <w:rFonts w:ascii="Arial" w:eastAsia="Arial" w:hAnsi="Arial" w:cs="Arial"/>
          <w:sz w:val="24"/>
          <w:szCs w:val="24"/>
        </w:rPr>
        <w:t>,</w:t>
      </w:r>
      <w:r w:rsidRPr="008976EB">
        <w:rPr>
          <w:rFonts w:ascii="Arial" w:eastAsia="Arial" w:hAnsi="Arial" w:cs="Arial"/>
          <w:sz w:val="24"/>
          <w:szCs w:val="24"/>
        </w:rPr>
        <w:t xml:space="preserve">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w:t>
      </w:r>
      <w:r w:rsidR="00B16DD0">
        <w:rPr>
          <w:rFonts w:ascii="Arial" w:eastAsia="Arial" w:hAnsi="Arial" w:cs="Arial"/>
          <w:sz w:val="24"/>
          <w:szCs w:val="24"/>
        </w:rPr>
        <w:t xml:space="preserve">una situación jurídica concreta; y por </w:t>
      </w:r>
      <w:r w:rsidR="00B16DD0">
        <w:rPr>
          <w:rFonts w:ascii="Arial" w:eastAsia="Arial" w:hAnsi="Arial" w:cs="Arial"/>
          <w:b/>
          <w:bCs/>
          <w:sz w:val="24"/>
          <w:szCs w:val="24"/>
        </w:rPr>
        <w:t xml:space="preserve">Autoridad, </w:t>
      </w:r>
      <w:r w:rsidR="00B16DD0" w:rsidRPr="00B16DD0">
        <w:rPr>
          <w:rFonts w:ascii="Arial" w:eastAsia="Arial" w:hAnsi="Arial" w:cs="Arial"/>
          <w:bCs/>
          <w:sz w:val="24"/>
          <w:szCs w:val="24"/>
        </w:rPr>
        <w:t>l</w:t>
      </w:r>
      <w:r w:rsidRPr="008976EB">
        <w:rPr>
          <w:rFonts w:ascii="Arial" w:eastAsia="Arial" w:hAnsi="Arial" w:cs="Arial"/>
          <w:sz w:val="24"/>
          <w:szCs w:val="24"/>
        </w:rPr>
        <w:t>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w:t>
      </w:r>
      <w:r w:rsidR="00B16DD0">
        <w:rPr>
          <w:rFonts w:ascii="Arial" w:eastAsia="Arial" w:hAnsi="Arial" w:cs="Arial"/>
          <w:sz w:val="24"/>
          <w:szCs w:val="24"/>
        </w:rPr>
        <w:t>n al cumplimiento de la</w:t>
      </w:r>
      <w:r w:rsidRPr="008976EB">
        <w:rPr>
          <w:rFonts w:ascii="Arial" w:eastAsia="Arial" w:hAnsi="Arial" w:cs="Arial"/>
          <w:sz w:val="24"/>
          <w:szCs w:val="24"/>
        </w:rPr>
        <w:t xml:space="preserve"> Ley </w:t>
      </w:r>
      <w:r w:rsidR="00B16DD0">
        <w:rPr>
          <w:rFonts w:ascii="Arial" w:eastAsia="Arial" w:hAnsi="Arial" w:cs="Arial"/>
          <w:sz w:val="24"/>
          <w:szCs w:val="24"/>
        </w:rPr>
        <w:t xml:space="preserve">de la materia </w:t>
      </w:r>
      <w:r w:rsidRPr="008976EB">
        <w:rPr>
          <w:rFonts w:ascii="Arial" w:eastAsia="Arial" w:hAnsi="Arial" w:cs="Arial"/>
          <w:sz w:val="24"/>
          <w:szCs w:val="24"/>
        </w:rPr>
        <w:t>o a ser parte en el Procedimiento Contencioso Administrativo</w:t>
      </w:r>
      <w:r w:rsidR="00B16DD0">
        <w:rPr>
          <w:rFonts w:ascii="Arial" w:eastAsia="Arial" w:hAnsi="Arial" w:cs="Arial"/>
          <w:sz w:val="24"/>
          <w:szCs w:val="24"/>
        </w:rPr>
        <w:t>.</w:t>
      </w:r>
    </w:p>
    <w:p w:rsidR="00BF6392" w:rsidRDefault="009E0BC7" w:rsidP="00AC292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Con lo que se </w:t>
      </w:r>
      <w:r w:rsidR="00ED103A" w:rsidRPr="00ED103A">
        <w:rPr>
          <w:rFonts w:ascii="Arial" w:eastAsia="Arial" w:hAnsi="Arial" w:cs="Arial"/>
          <w:sz w:val="24"/>
          <w:szCs w:val="24"/>
        </w:rPr>
        <w:t xml:space="preserve">presupone </w:t>
      </w:r>
      <w:r w:rsidR="00CE47F3">
        <w:rPr>
          <w:rFonts w:ascii="Arial" w:eastAsia="Arial" w:hAnsi="Arial" w:cs="Arial"/>
          <w:sz w:val="24"/>
          <w:szCs w:val="24"/>
        </w:rPr>
        <w:t>que, para que el actor pueda</w:t>
      </w:r>
      <w:r w:rsidR="00223966">
        <w:rPr>
          <w:rFonts w:ascii="Arial" w:eastAsia="Arial" w:hAnsi="Arial" w:cs="Arial"/>
          <w:sz w:val="24"/>
          <w:szCs w:val="24"/>
        </w:rPr>
        <w:t xml:space="preserve"> </w:t>
      </w:r>
      <w:r w:rsidR="00CE47F3">
        <w:rPr>
          <w:rFonts w:ascii="Arial" w:eastAsia="Arial" w:hAnsi="Arial" w:cs="Arial"/>
          <w:sz w:val="24"/>
          <w:szCs w:val="24"/>
        </w:rPr>
        <w:t>acudir a</w:t>
      </w:r>
      <w:r w:rsidR="00ED103A" w:rsidRPr="00ED103A">
        <w:rPr>
          <w:rFonts w:ascii="Arial" w:eastAsia="Arial" w:hAnsi="Arial" w:cs="Arial"/>
          <w:sz w:val="24"/>
          <w:szCs w:val="24"/>
        </w:rPr>
        <w:t xml:space="preserve"> juicio </w:t>
      </w:r>
      <w:r w:rsidR="00CE47F3">
        <w:rPr>
          <w:rFonts w:ascii="Arial" w:eastAsia="Arial" w:hAnsi="Arial" w:cs="Arial"/>
          <w:sz w:val="24"/>
          <w:szCs w:val="24"/>
        </w:rPr>
        <w:t>ante este Tribunal</w:t>
      </w:r>
      <w:r w:rsidR="00ED103A" w:rsidRPr="00ED103A">
        <w:rPr>
          <w:rFonts w:ascii="Arial" w:eastAsia="Arial" w:hAnsi="Arial" w:cs="Arial"/>
          <w:sz w:val="24"/>
          <w:szCs w:val="24"/>
        </w:rPr>
        <w:t xml:space="preserve">, </w:t>
      </w:r>
      <w:r w:rsidR="002B682B">
        <w:rPr>
          <w:rFonts w:ascii="Arial" w:eastAsia="Arial" w:hAnsi="Arial" w:cs="Arial"/>
          <w:sz w:val="24"/>
          <w:szCs w:val="24"/>
        </w:rPr>
        <w:t>debe existir</w:t>
      </w:r>
      <w:r w:rsidR="00CE47F3">
        <w:rPr>
          <w:rFonts w:ascii="Arial" w:eastAsia="Arial" w:hAnsi="Arial" w:cs="Arial"/>
          <w:sz w:val="24"/>
          <w:szCs w:val="24"/>
        </w:rPr>
        <w:t xml:space="preserve"> </w:t>
      </w:r>
      <w:r w:rsidR="00B13BB6">
        <w:rPr>
          <w:rFonts w:ascii="Arial" w:eastAsia="Arial" w:hAnsi="Arial" w:cs="Arial"/>
          <w:sz w:val="24"/>
          <w:szCs w:val="24"/>
        </w:rPr>
        <w:t>una resolución emitida de forma expresa o configurarse de manera ficta</w:t>
      </w:r>
      <w:r w:rsidR="00CE47F3">
        <w:rPr>
          <w:rFonts w:ascii="Arial" w:eastAsia="Arial" w:hAnsi="Arial" w:cs="Arial"/>
          <w:sz w:val="24"/>
          <w:szCs w:val="24"/>
        </w:rPr>
        <w:t xml:space="preserve">, que le cause una afectación directa; </w:t>
      </w:r>
      <w:r w:rsidR="00C806AA">
        <w:rPr>
          <w:rFonts w:ascii="Arial" w:eastAsia="Arial" w:hAnsi="Arial" w:cs="Arial"/>
          <w:sz w:val="24"/>
          <w:szCs w:val="24"/>
        </w:rPr>
        <w:t>al ser este tipo de resoluciones las que prevé la ley de la materia</w:t>
      </w:r>
      <w:r w:rsidR="00CE47F3">
        <w:rPr>
          <w:rFonts w:ascii="Arial" w:eastAsia="Arial" w:hAnsi="Arial" w:cs="Arial"/>
          <w:sz w:val="24"/>
          <w:szCs w:val="24"/>
        </w:rPr>
        <w:t xml:space="preserve"> como </w:t>
      </w:r>
      <w:r w:rsidR="00C806AA">
        <w:rPr>
          <w:rFonts w:ascii="Arial" w:eastAsia="Arial" w:hAnsi="Arial" w:cs="Arial"/>
          <w:sz w:val="24"/>
          <w:szCs w:val="24"/>
        </w:rPr>
        <w:t xml:space="preserve">competencia a </w:t>
      </w:r>
      <w:r w:rsidR="00CE47F3">
        <w:rPr>
          <w:rFonts w:ascii="Arial" w:eastAsia="Arial" w:hAnsi="Arial" w:cs="Arial"/>
          <w:sz w:val="24"/>
          <w:szCs w:val="24"/>
        </w:rPr>
        <w:t>efecto de que este Tribunal se avoque al</w:t>
      </w:r>
      <w:r w:rsidR="00C806AA">
        <w:rPr>
          <w:rFonts w:ascii="Arial" w:eastAsia="Arial" w:hAnsi="Arial" w:cs="Arial"/>
          <w:sz w:val="24"/>
          <w:szCs w:val="24"/>
        </w:rPr>
        <w:t xml:space="preserve"> estudi</w:t>
      </w:r>
      <w:r w:rsidR="00CE47F3">
        <w:rPr>
          <w:rFonts w:ascii="Arial" w:eastAsia="Arial" w:hAnsi="Arial" w:cs="Arial"/>
          <w:sz w:val="24"/>
          <w:szCs w:val="24"/>
        </w:rPr>
        <w:t>ó de</w:t>
      </w:r>
      <w:r w:rsidR="00C806AA">
        <w:rPr>
          <w:rFonts w:ascii="Arial" w:eastAsia="Arial" w:hAnsi="Arial" w:cs="Arial"/>
          <w:sz w:val="24"/>
          <w:szCs w:val="24"/>
        </w:rPr>
        <w:t xml:space="preserve"> la legalidad o ilegalidad de las mismas,</w:t>
      </w:r>
      <w:r w:rsidR="00CE47F3">
        <w:rPr>
          <w:rFonts w:ascii="Arial" w:eastAsia="Arial" w:hAnsi="Arial" w:cs="Arial"/>
          <w:sz w:val="24"/>
          <w:szCs w:val="24"/>
        </w:rPr>
        <w:t xml:space="preserve"> satisfaciendo la pretensión del accionante</w:t>
      </w:r>
      <w:r w:rsidR="00C806AA">
        <w:rPr>
          <w:rFonts w:ascii="Arial" w:eastAsia="Arial" w:hAnsi="Arial" w:cs="Arial"/>
          <w:sz w:val="24"/>
          <w:szCs w:val="24"/>
        </w:rPr>
        <w:t xml:space="preserve"> en caso de co</w:t>
      </w:r>
      <w:r w:rsidR="00CE47F3">
        <w:rPr>
          <w:rFonts w:ascii="Arial" w:eastAsia="Arial" w:hAnsi="Arial" w:cs="Arial"/>
          <w:sz w:val="24"/>
          <w:szCs w:val="24"/>
        </w:rPr>
        <w:t>ncederle</w:t>
      </w:r>
      <w:r w:rsidR="00C806AA">
        <w:rPr>
          <w:rFonts w:ascii="Arial" w:eastAsia="Arial" w:hAnsi="Arial" w:cs="Arial"/>
          <w:sz w:val="24"/>
          <w:szCs w:val="24"/>
        </w:rPr>
        <w:t xml:space="preserve"> la raz</w:t>
      </w:r>
      <w:r w:rsidR="00B85039">
        <w:rPr>
          <w:rFonts w:ascii="Arial" w:eastAsia="Arial" w:hAnsi="Arial" w:cs="Arial"/>
          <w:sz w:val="24"/>
          <w:szCs w:val="24"/>
        </w:rPr>
        <w:t>ón, con lo que logran acceder</w:t>
      </w:r>
      <w:r w:rsidR="00C806AA">
        <w:rPr>
          <w:rFonts w:ascii="Arial" w:eastAsia="Arial" w:hAnsi="Arial" w:cs="Arial"/>
          <w:sz w:val="24"/>
          <w:szCs w:val="24"/>
        </w:rPr>
        <w:t xml:space="preserve"> a una justicia real y sustantiva.</w:t>
      </w:r>
    </w:p>
    <w:p w:rsidR="00C11C3C" w:rsidRDefault="00056E46" w:rsidP="00BE00C6">
      <w:pPr>
        <w:spacing w:line="360" w:lineRule="auto"/>
        <w:ind w:right="51" w:firstLine="567"/>
        <w:jc w:val="both"/>
        <w:rPr>
          <w:rFonts w:ascii="Arial" w:hAnsi="Arial" w:cs="Arial"/>
          <w:sz w:val="24"/>
          <w:szCs w:val="24"/>
        </w:rPr>
      </w:pPr>
      <w:r>
        <w:rPr>
          <w:rFonts w:ascii="Arial" w:eastAsia="Arial" w:hAnsi="Arial" w:cs="Arial"/>
          <w:sz w:val="24"/>
          <w:szCs w:val="24"/>
        </w:rPr>
        <w:t xml:space="preserve">Pues incluso de los artículos 177 fracción </w:t>
      </w:r>
      <w:r w:rsidR="00AA5F09">
        <w:rPr>
          <w:rFonts w:ascii="Arial" w:eastAsia="Arial" w:hAnsi="Arial" w:cs="Arial"/>
          <w:sz w:val="24"/>
          <w:szCs w:val="24"/>
        </w:rPr>
        <w:t>IV,</w:t>
      </w:r>
      <w:r>
        <w:rPr>
          <w:rFonts w:ascii="Arial" w:eastAsia="Arial" w:hAnsi="Arial" w:cs="Arial"/>
          <w:sz w:val="24"/>
          <w:szCs w:val="24"/>
        </w:rPr>
        <w:t xml:space="preserve"> 178 fracción II</w:t>
      </w:r>
      <w:r w:rsidR="00AA5F09">
        <w:rPr>
          <w:rFonts w:ascii="Arial" w:eastAsia="Arial" w:hAnsi="Arial" w:cs="Arial"/>
          <w:sz w:val="24"/>
          <w:szCs w:val="24"/>
        </w:rPr>
        <w:t xml:space="preserve"> y 179</w:t>
      </w:r>
      <w:r>
        <w:rPr>
          <w:rFonts w:ascii="Arial" w:eastAsia="Arial" w:hAnsi="Arial" w:cs="Arial"/>
          <w:sz w:val="24"/>
          <w:szCs w:val="24"/>
        </w:rPr>
        <w:t xml:space="preserve"> antes transcritos</w:t>
      </w:r>
      <w:r w:rsidR="00BE00C6">
        <w:rPr>
          <w:rFonts w:ascii="Arial" w:eastAsia="Arial" w:hAnsi="Arial" w:cs="Arial"/>
          <w:sz w:val="24"/>
          <w:szCs w:val="24"/>
        </w:rPr>
        <w:t>, se advierte</w:t>
      </w:r>
      <w:r w:rsidR="00AA5F09">
        <w:rPr>
          <w:rFonts w:ascii="Arial" w:eastAsia="Arial" w:hAnsi="Arial" w:cs="Arial"/>
          <w:sz w:val="24"/>
          <w:szCs w:val="24"/>
        </w:rPr>
        <w:t>n</w:t>
      </w:r>
      <w:r w:rsidR="00BE00C6">
        <w:rPr>
          <w:rFonts w:ascii="Arial" w:eastAsia="Arial" w:hAnsi="Arial" w:cs="Arial"/>
          <w:sz w:val="24"/>
          <w:szCs w:val="24"/>
        </w:rPr>
        <w:t xml:space="preserve"> como requisito para la procedencia del juicio de nulidad</w:t>
      </w:r>
      <w:r w:rsidR="00AA5F09">
        <w:rPr>
          <w:rFonts w:ascii="Arial" w:eastAsia="Arial" w:hAnsi="Arial" w:cs="Arial"/>
          <w:sz w:val="24"/>
          <w:szCs w:val="24"/>
        </w:rPr>
        <w:t>,</w:t>
      </w:r>
      <w:r w:rsidR="00BE00C6">
        <w:rPr>
          <w:rFonts w:ascii="Arial" w:eastAsia="Arial" w:hAnsi="Arial" w:cs="Arial"/>
          <w:sz w:val="24"/>
          <w:szCs w:val="24"/>
        </w:rPr>
        <w:t xml:space="preserve"> que el escrito de </w:t>
      </w:r>
      <w:r w:rsidR="00BE00C6" w:rsidRPr="00BE00C6">
        <w:rPr>
          <w:rFonts w:ascii="Arial" w:eastAsia="Arial" w:hAnsi="Arial" w:cs="Arial"/>
          <w:sz w:val="24"/>
          <w:szCs w:val="24"/>
        </w:rPr>
        <w:t xml:space="preserve">demanda contenga la resolución o acto administrativo que se impugna, </w:t>
      </w:r>
      <w:r w:rsidR="00BE00C6" w:rsidRPr="00C11C3C">
        <w:rPr>
          <w:rFonts w:ascii="Arial" w:eastAsia="Arial" w:hAnsi="Arial" w:cs="Arial"/>
          <w:b/>
          <w:sz w:val="24"/>
          <w:szCs w:val="24"/>
          <w:u w:val="single"/>
        </w:rPr>
        <w:t xml:space="preserve">debiéndose anexar al mismo </w:t>
      </w:r>
      <w:r w:rsidR="001C002B" w:rsidRPr="00C11C3C">
        <w:rPr>
          <w:rFonts w:ascii="Arial" w:eastAsia="Arial" w:hAnsi="Arial" w:cs="Arial"/>
          <w:b/>
          <w:sz w:val="24"/>
          <w:szCs w:val="24"/>
          <w:u w:val="single"/>
        </w:rPr>
        <w:t>l</w:t>
      </w:r>
      <w:r w:rsidRPr="00C11C3C">
        <w:rPr>
          <w:rFonts w:ascii="Arial" w:hAnsi="Arial" w:cs="Arial"/>
          <w:b/>
          <w:sz w:val="24"/>
          <w:szCs w:val="24"/>
          <w:u w:val="single"/>
        </w:rPr>
        <w:t>os documentos en que conste</w:t>
      </w:r>
      <w:r w:rsidR="001C002B" w:rsidRPr="00C11C3C">
        <w:rPr>
          <w:rFonts w:ascii="Arial" w:hAnsi="Arial" w:cs="Arial"/>
          <w:b/>
          <w:sz w:val="24"/>
          <w:szCs w:val="24"/>
          <w:u w:val="single"/>
        </w:rPr>
        <w:t xml:space="preserve">n </w:t>
      </w:r>
      <w:r w:rsidRPr="00C11C3C">
        <w:rPr>
          <w:rFonts w:ascii="Arial" w:hAnsi="Arial" w:cs="Arial"/>
          <w:b/>
          <w:sz w:val="24"/>
          <w:szCs w:val="24"/>
          <w:u w:val="single"/>
        </w:rPr>
        <w:t>y su notificación</w:t>
      </w:r>
      <w:r w:rsidRPr="00BE00C6">
        <w:rPr>
          <w:rFonts w:ascii="Arial" w:hAnsi="Arial" w:cs="Arial"/>
          <w:sz w:val="24"/>
          <w:szCs w:val="24"/>
        </w:rPr>
        <w:t xml:space="preserve">, cuando </w:t>
      </w:r>
      <w:r w:rsidR="001C002B">
        <w:rPr>
          <w:rFonts w:ascii="Arial" w:hAnsi="Arial" w:cs="Arial"/>
          <w:sz w:val="24"/>
          <w:szCs w:val="24"/>
        </w:rPr>
        <w:t xml:space="preserve">estén a </w:t>
      </w:r>
      <w:r w:rsidRPr="00BE00C6">
        <w:rPr>
          <w:rFonts w:ascii="Arial" w:hAnsi="Arial" w:cs="Arial"/>
          <w:sz w:val="24"/>
          <w:szCs w:val="24"/>
        </w:rPr>
        <w:t xml:space="preserve">disposición </w:t>
      </w:r>
      <w:r w:rsidR="001C002B">
        <w:rPr>
          <w:rFonts w:ascii="Arial" w:hAnsi="Arial" w:cs="Arial"/>
          <w:sz w:val="24"/>
          <w:szCs w:val="24"/>
        </w:rPr>
        <w:t>del actor,</w:t>
      </w:r>
      <w:r w:rsidRPr="00BE00C6">
        <w:rPr>
          <w:rFonts w:ascii="Arial" w:hAnsi="Arial" w:cs="Arial"/>
          <w:sz w:val="24"/>
          <w:szCs w:val="24"/>
        </w:rPr>
        <w:t xml:space="preserve"> o bien, señalar el lugar donde se encuentren, si no pudiera obtener copias certificadas de los mismos;</w:t>
      </w:r>
      <w:r w:rsidR="00234A80">
        <w:rPr>
          <w:rFonts w:ascii="Arial" w:hAnsi="Arial" w:cs="Arial"/>
          <w:sz w:val="24"/>
          <w:szCs w:val="24"/>
        </w:rPr>
        <w:t xml:space="preserve"> </w:t>
      </w:r>
      <w:r w:rsidR="00F51636">
        <w:rPr>
          <w:rFonts w:ascii="Arial" w:hAnsi="Arial" w:cs="Arial"/>
          <w:sz w:val="24"/>
          <w:szCs w:val="24"/>
        </w:rPr>
        <w:t>Siendo la consecuencia legal, de</w:t>
      </w:r>
      <w:r w:rsidR="00234A80">
        <w:rPr>
          <w:rFonts w:ascii="Arial" w:hAnsi="Arial" w:cs="Arial"/>
          <w:sz w:val="24"/>
          <w:szCs w:val="24"/>
        </w:rPr>
        <w:t xml:space="preserve"> no </w:t>
      </w:r>
      <w:r w:rsidR="00C11C3C">
        <w:rPr>
          <w:rFonts w:ascii="Arial" w:hAnsi="Arial" w:cs="Arial"/>
          <w:sz w:val="24"/>
          <w:szCs w:val="24"/>
        </w:rPr>
        <w:t>satisfacer los requisitos de la demanda o no anexar los documentos que se precisan en el artículo 178 en mención, desechar la demanda</w:t>
      </w:r>
      <w:r w:rsidR="00234A80">
        <w:rPr>
          <w:rFonts w:ascii="Arial" w:hAnsi="Arial" w:cs="Arial"/>
          <w:sz w:val="24"/>
          <w:szCs w:val="24"/>
        </w:rPr>
        <w:t>da</w:t>
      </w:r>
      <w:r w:rsidR="00C11C3C">
        <w:rPr>
          <w:rFonts w:ascii="Arial" w:hAnsi="Arial" w:cs="Arial"/>
          <w:sz w:val="24"/>
          <w:szCs w:val="24"/>
        </w:rPr>
        <w:t>, en el caso de no dar cumplimiento</w:t>
      </w:r>
      <w:r w:rsidR="00AA5F09">
        <w:rPr>
          <w:rFonts w:ascii="Arial" w:hAnsi="Arial" w:cs="Arial"/>
          <w:sz w:val="24"/>
          <w:szCs w:val="24"/>
        </w:rPr>
        <w:t xml:space="preserve"> al requerimiento que la</w:t>
      </w:r>
      <w:r w:rsidR="00C11C3C">
        <w:rPr>
          <w:rFonts w:ascii="Arial" w:hAnsi="Arial" w:cs="Arial"/>
          <w:sz w:val="24"/>
          <w:szCs w:val="24"/>
        </w:rPr>
        <w:t xml:space="preserve"> Sala</w:t>
      </w:r>
      <w:r w:rsidR="00AA5F09">
        <w:rPr>
          <w:rFonts w:ascii="Arial" w:hAnsi="Arial" w:cs="Arial"/>
          <w:sz w:val="24"/>
          <w:szCs w:val="24"/>
        </w:rPr>
        <w:t xml:space="preserve"> debe efectuar</w:t>
      </w:r>
      <w:r w:rsidR="00C11C3C">
        <w:rPr>
          <w:rFonts w:ascii="Arial" w:hAnsi="Arial" w:cs="Arial"/>
          <w:sz w:val="24"/>
          <w:szCs w:val="24"/>
        </w:rPr>
        <w:t xml:space="preserve"> para subsanar las omisiones.</w:t>
      </w:r>
    </w:p>
    <w:p w:rsidR="00221537" w:rsidRDefault="00D50AF9" w:rsidP="00221537">
      <w:pPr>
        <w:spacing w:line="360" w:lineRule="auto"/>
        <w:ind w:right="51" w:firstLine="567"/>
        <w:jc w:val="both"/>
        <w:rPr>
          <w:rFonts w:ascii="Arial" w:eastAsia="Arial" w:hAnsi="Arial" w:cs="Arial"/>
          <w:sz w:val="24"/>
          <w:szCs w:val="24"/>
        </w:rPr>
      </w:pPr>
      <w:r>
        <w:rPr>
          <w:rFonts w:ascii="Arial" w:hAnsi="Arial" w:cs="Arial"/>
          <w:sz w:val="24"/>
          <w:szCs w:val="24"/>
        </w:rPr>
        <w:lastRenderedPageBreak/>
        <w:t>La conclusión alcanzada por esta Juzgadora, en base a los artículos analizados que regulan la procedencia y el desarrollo del juicio de nulidad</w:t>
      </w:r>
      <w:r w:rsidR="00221537">
        <w:rPr>
          <w:rFonts w:ascii="Arial" w:hAnsi="Arial" w:cs="Arial"/>
          <w:sz w:val="24"/>
          <w:szCs w:val="24"/>
        </w:rPr>
        <w:t xml:space="preserve">, </w:t>
      </w:r>
      <w:r w:rsidR="00221537" w:rsidRPr="00BB68F0">
        <w:rPr>
          <w:rFonts w:ascii="Arial" w:eastAsia="Arial" w:hAnsi="Arial" w:cs="Arial"/>
          <w:sz w:val="24"/>
          <w:szCs w:val="24"/>
        </w:rPr>
        <w:t>es congruente con el derecho de acceso a la justicia, el cual no tiene el alcance de que se actúe sin observancia de los requisitos formales previstos por el legislador.</w:t>
      </w:r>
    </w:p>
    <w:p w:rsidR="00177263" w:rsidRDefault="00177263" w:rsidP="00221537">
      <w:pPr>
        <w:spacing w:line="360" w:lineRule="auto"/>
        <w:ind w:right="51" w:firstLine="567"/>
        <w:jc w:val="both"/>
        <w:rPr>
          <w:rFonts w:ascii="Arial" w:eastAsia="Arial" w:hAnsi="Arial" w:cs="Arial"/>
          <w:sz w:val="24"/>
          <w:szCs w:val="24"/>
        </w:rPr>
      </w:pPr>
      <w:r>
        <w:rPr>
          <w:rFonts w:ascii="Arial" w:eastAsia="Arial" w:hAnsi="Arial" w:cs="Arial"/>
          <w:sz w:val="24"/>
          <w:szCs w:val="24"/>
        </w:rPr>
        <w:t>Resulta</w:t>
      </w:r>
      <w:r w:rsidR="00B73E63">
        <w:rPr>
          <w:rFonts w:ascii="Arial" w:eastAsia="Arial" w:hAnsi="Arial" w:cs="Arial"/>
          <w:sz w:val="24"/>
          <w:szCs w:val="24"/>
        </w:rPr>
        <w:t>n</w:t>
      </w:r>
      <w:r>
        <w:rPr>
          <w:rFonts w:ascii="Arial" w:eastAsia="Arial" w:hAnsi="Arial" w:cs="Arial"/>
          <w:sz w:val="24"/>
          <w:szCs w:val="24"/>
        </w:rPr>
        <w:t xml:space="preserve"> aplicable</w:t>
      </w:r>
      <w:r w:rsidR="00B73E63">
        <w:rPr>
          <w:rFonts w:ascii="Arial" w:eastAsia="Arial" w:hAnsi="Arial" w:cs="Arial"/>
          <w:sz w:val="24"/>
          <w:szCs w:val="24"/>
        </w:rPr>
        <w:t>s los</w:t>
      </w:r>
      <w:r>
        <w:rPr>
          <w:rFonts w:ascii="Arial" w:eastAsia="Arial" w:hAnsi="Arial" w:cs="Arial"/>
          <w:sz w:val="24"/>
          <w:szCs w:val="24"/>
        </w:rPr>
        <w:t xml:space="preserve"> siguiente</w:t>
      </w:r>
      <w:r w:rsidR="00B73E63">
        <w:rPr>
          <w:rFonts w:ascii="Arial" w:eastAsia="Arial" w:hAnsi="Arial" w:cs="Arial"/>
          <w:sz w:val="24"/>
          <w:szCs w:val="24"/>
        </w:rPr>
        <w:t>s</w:t>
      </w:r>
      <w:r>
        <w:rPr>
          <w:rFonts w:ascii="Arial" w:eastAsia="Arial" w:hAnsi="Arial" w:cs="Arial"/>
          <w:sz w:val="24"/>
          <w:szCs w:val="24"/>
        </w:rPr>
        <w:t xml:space="preserve"> criterio</w:t>
      </w:r>
      <w:r w:rsidR="00B73E63">
        <w:rPr>
          <w:rFonts w:ascii="Arial" w:eastAsia="Arial" w:hAnsi="Arial" w:cs="Arial"/>
          <w:sz w:val="24"/>
          <w:szCs w:val="24"/>
        </w:rPr>
        <w:t>s</w:t>
      </w:r>
      <w:r>
        <w:rPr>
          <w:rFonts w:ascii="Arial" w:eastAsia="Arial" w:hAnsi="Arial" w:cs="Arial"/>
          <w:sz w:val="24"/>
          <w:szCs w:val="24"/>
        </w:rPr>
        <w:t>:</w:t>
      </w:r>
    </w:p>
    <w:p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Registro digital: </w:t>
      </w:r>
      <w:r w:rsidR="00177263" w:rsidRPr="00993C56">
        <w:rPr>
          <w:rFonts w:ascii="Arial" w:eastAsia="Arial" w:hAnsi="Arial" w:cs="Arial"/>
        </w:rPr>
        <w:t>2024831</w:t>
      </w:r>
    </w:p>
    <w:p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Instancia: </w:t>
      </w:r>
      <w:r w:rsidR="00177263" w:rsidRPr="00993C56">
        <w:rPr>
          <w:rFonts w:ascii="Arial" w:eastAsia="Arial" w:hAnsi="Arial" w:cs="Arial"/>
        </w:rPr>
        <w:t>Primera Sala</w:t>
      </w: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b/>
          <w:bCs/>
        </w:rPr>
        <w:t>Undécima Época</w:t>
      </w:r>
    </w:p>
    <w:p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Materia(s): </w:t>
      </w:r>
      <w:r w:rsidR="00177263" w:rsidRPr="00993C56">
        <w:rPr>
          <w:rFonts w:ascii="Arial" w:eastAsia="Arial" w:hAnsi="Arial" w:cs="Arial"/>
        </w:rPr>
        <w:t>Común</w:t>
      </w:r>
    </w:p>
    <w:p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Tesis: </w:t>
      </w:r>
      <w:r w:rsidR="00177263" w:rsidRPr="00993C56">
        <w:rPr>
          <w:rFonts w:ascii="Arial" w:eastAsia="Arial" w:hAnsi="Arial" w:cs="Arial"/>
        </w:rPr>
        <w:t>1a./J. 85/2022 (11a.)</w:t>
      </w: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b/>
          <w:bCs/>
        </w:rPr>
        <w:t>F</w:t>
      </w:r>
      <w:r w:rsidR="00993C56">
        <w:rPr>
          <w:rFonts w:ascii="Arial" w:eastAsia="Arial" w:hAnsi="Arial" w:cs="Arial"/>
          <w:b/>
          <w:bCs/>
        </w:rPr>
        <w:t xml:space="preserve">uente: </w:t>
      </w:r>
      <w:r w:rsidRPr="00993C56">
        <w:rPr>
          <w:rFonts w:ascii="Arial" w:eastAsia="Arial" w:hAnsi="Arial" w:cs="Arial"/>
        </w:rPr>
        <w:t>Semanario Judicial de la Federación.</w:t>
      </w:r>
    </w:p>
    <w:p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Tipo: </w:t>
      </w:r>
      <w:r w:rsidR="00177263" w:rsidRPr="00993C56">
        <w:rPr>
          <w:rFonts w:ascii="Arial" w:eastAsia="Arial" w:hAnsi="Arial" w:cs="Arial"/>
        </w:rPr>
        <w:t>Jurisprudencia</w:t>
      </w:r>
    </w:p>
    <w:p w:rsidR="00993C56" w:rsidRDefault="00993C56" w:rsidP="00993C56">
      <w:pPr>
        <w:spacing w:after="0" w:line="240" w:lineRule="auto"/>
        <w:ind w:left="567" w:right="332"/>
        <w:jc w:val="both"/>
        <w:rPr>
          <w:rFonts w:ascii="Arial" w:eastAsia="Arial" w:hAnsi="Arial" w:cs="Arial"/>
          <w:b/>
          <w:bCs/>
        </w:rPr>
      </w:pPr>
    </w:p>
    <w:p w:rsidR="00177263" w:rsidRPr="00993C56" w:rsidRDefault="00177263" w:rsidP="00993C56">
      <w:pPr>
        <w:spacing w:after="0" w:line="240" w:lineRule="auto"/>
        <w:ind w:left="567" w:right="332"/>
        <w:jc w:val="both"/>
        <w:rPr>
          <w:rFonts w:ascii="Arial" w:eastAsia="Arial" w:hAnsi="Arial" w:cs="Arial"/>
          <w:b/>
          <w:bCs/>
        </w:rPr>
      </w:pPr>
      <w:r w:rsidRPr="00993C56">
        <w:rPr>
          <w:rFonts w:ascii="Arial" w:eastAsia="Arial" w:hAnsi="Arial" w:cs="Arial"/>
          <w:b/>
          <w:bCs/>
        </w:rPr>
        <w:t>CONTROL DE CONSTITUCIONALIDAD Y CONVENCIONALIDAD EX OFFICIO. NO IMPLICA QUE DEBA EJERCERSE SIEMPRE, SIN CONSIDERAR PRESUPUESTOS FORMALES Y MATERIALES DE ADMISIBILIDAD Y PROCEDENCIA DE LAS ACCIONES INTENTADAS.</w:t>
      </w:r>
    </w:p>
    <w:p w:rsidR="00993C56" w:rsidRDefault="00993C56" w:rsidP="00993C56">
      <w:pPr>
        <w:spacing w:after="0" w:line="240" w:lineRule="auto"/>
        <w:ind w:left="567" w:right="332"/>
        <w:jc w:val="both"/>
        <w:rPr>
          <w:rFonts w:ascii="Arial" w:eastAsia="Arial" w:hAnsi="Arial" w:cs="Arial"/>
        </w:rPr>
      </w:pP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Hechos: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 al resolverlos el Tribunal de Alzada modificó la sentencia recurrida. En contra de esa resolución, el demandado promovió juicio de amparo directo en el que formuló diversos conceptos de violación, entre ellos, el relativo a la inconstitucionalidad del artículo 2150 del Código Civil para el Estado de Baja California, cuya resolución constituye la materia de estudio en el presente amparo directo en revisión.</w:t>
      </w:r>
    </w:p>
    <w:p w:rsidR="00177263" w:rsidRPr="00993C56" w:rsidRDefault="00177263" w:rsidP="00993C56">
      <w:pPr>
        <w:spacing w:after="0" w:line="240" w:lineRule="auto"/>
        <w:ind w:left="567" w:right="332"/>
        <w:jc w:val="both"/>
        <w:rPr>
          <w:rFonts w:ascii="Arial" w:eastAsia="Arial" w:hAnsi="Arial" w:cs="Arial"/>
        </w:rPr>
      </w:pP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Criterio jurídico: La Primera Sala de la Suprema Corte de Justicia de la Nación determina que los Jueces y las Juezas, en el ámbito de su competencia, antes de proceder al control ex officio de constitucionalidad y convencionalidad, deben resolver cualquier problema relacionado con los presupuestos de procedencia o de admisibilidad de las acciones que las partes promueven.</w:t>
      </w:r>
    </w:p>
    <w:p w:rsidR="00177263" w:rsidRPr="00993C56" w:rsidRDefault="00177263" w:rsidP="00993C56">
      <w:pPr>
        <w:spacing w:after="0" w:line="240" w:lineRule="auto"/>
        <w:ind w:left="567" w:right="332"/>
        <w:jc w:val="both"/>
        <w:rPr>
          <w:rFonts w:ascii="Arial" w:eastAsia="Arial" w:hAnsi="Arial" w:cs="Arial"/>
        </w:rPr>
      </w:pP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Justificación: La expresión "ex officio" que se predica del control judicial significa que los Jueces tienen la facultad de controlar las normas que van a aplicar de cara a la Constitución y a los tratados internacionales sobre derechos humanos de los que el Estado Mexicano sea Parte, por el simple hecho de ser Jueces o Juezas, pero no que necesariamente deban hacer ese control en tres pasos (interpretación conforme en sentido amplio, interpretación conforme en sentido estricto e inaplicación) en todos los casos, sino en aquellos en los que, de forma incidental, sea solicitado por las partes o adviertan que la norma amerita dicho control, sin hacer a un lado los presupuestos formales y materiales de admisibilidad. Al respecto, la propia Corte Interamericana de Derechos Humanos ha señalado que: "No implica que ese control deba ejercerse siempre, sin considerar otros presupuestos formales y materiales de admisibilidad y procedencia de ese tipo de acciones".</w:t>
      </w:r>
    </w:p>
    <w:p w:rsidR="00177263" w:rsidRPr="00993C56" w:rsidRDefault="00177263" w:rsidP="00993C56">
      <w:pPr>
        <w:spacing w:after="0" w:line="240" w:lineRule="auto"/>
        <w:ind w:left="567" w:right="332"/>
        <w:jc w:val="both"/>
        <w:rPr>
          <w:rFonts w:ascii="Arial" w:eastAsia="Arial" w:hAnsi="Arial" w:cs="Arial"/>
        </w:rPr>
      </w:pP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PRIMERA SALA.</w:t>
      </w:r>
    </w:p>
    <w:p w:rsidR="00177263" w:rsidRPr="00993C56" w:rsidRDefault="00177263" w:rsidP="00993C56">
      <w:pPr>
        <w:spacing w:after="0" w:line="240" w:lineRule="auto"/>
        <w:ind w:left="567" w:right="332"/>
        <w:jc w:val="both"/>
        <w:rPr>
          <w:rFonts w:ascii="Arial" w:eastAsia="Arial" w:hAnsi="Arial" w:cs="Arial"/>
        </w:rPr>
      </w:pP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Amparo directo en revisión 2283/2013. Roberto Esteban Chávez Salinas. 23 de marzo de 2022. Cinco votos de las Ministras Norma Lucía Piña Hernández, quien está con el sentido, pero se aparta de algunos párrafos, y Ana Margarita Ríos Farjat, quien está con el sentido, pero se aparta de algunos párrafos, y los Ministros Juan Luis González Alcántara Carrancá, Jorge Mario Pardo Rebolledo, quien formuló voto concurrente, y Alfredo Gutiérrez Ortiz Mena. Ponente: Ministro Juan Luis González Alcántara Carrancá. Secretarios: Pablo Francisco Muñoz Díaz y Fernando Sosa Pastrana.</w:t>
      </w:r>
    </w:p>
    <w:p w:rsidR="00177263" w:rsidRPr="00993C56" w:rsidRDefault="00177263" w:rsidP="00993C56">
      <w:pPr>
        <w:spacing w:after="0" w:line="240" w:lineRule="auto"/>
        <w:ind w:left="567" w:right="332"/>
        <w:jc w:val="both"/>
        <w:rPr>
          <w:rFonts w:ascii="Arial" w:eastAsia="Arial" w:hAnsi="Arial" w:cs="Arial"/>
        </w:rPr>
      </w:pPr>
    </w:p>
    <w:p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Tesis de jurisprudencia 85/2022 (11a.). Aprobada por la Primera Sala de este Alto Tribunal, en sesión privada de ocho de junio de dos mil veintidós.</w:t>
      </w:r>
    </w:p>
    <w:p w:rsidR="00177263" w:rsidRPr="007573B7" w:rsidRDefault="00177263" w:rsidP="007573B7">
      <w:pPr>
        <w:spacing w:after="0" w:line="240" w:lineRule="auto"/>
        <w:ind w:left="567" w:right="335"/>
        <w:jc w:val="both"/>
        <w:rPr>
          <w:rFonts w:ascii="Arial" w:eastAsia="Arial" w:hAnsi="Arial" w:cs="Arial"/>
        </w:rPr>
      </w:pPr>
    </w:p>
    <w:p w:rsidR="00177263" w:rsidRPr="007573B7" w:rsidRDefault="00177263" w:rsidP="007573B7">
      <w:pPr>
        <w:spacing w:after="0" w:line="240" w:lineRule="auto"/>
        <w:ind w:left="567" w:right="335"/>
        <w:jc w:val="both"/>
        <w:rPr>
          <w:rFonts w:ascii="Arial" w:eastAsia="Arial" w:hAnsi="Arial" w:cs="Arial"/>
        </w:rPr>
      </w:pPr>
      <w:r w:rsidRPr="007573B7">
        <w:rPr>
          <w:rFonts w:ascii="Arial" w:eastAsia="Arial" w:hAnsi="Arial" w:cs="Arial"/>
        </w:rPr>
        <w:t>Esta tesis se publicó el viernes 17 de junio de 2022 a las 10:23 horas en el Semanario Judicial de la Federación y, por ende, se considera de aplicación obligatoria a partir del lunes 20 de junio de 2022, para los efectos previstos en el punto noveno del Acuerdo General Plenario 1/2021.</w:t>
      </w:r>
    </w:p>
    <w:p w:rsidR="007573B7" w:rsidRPr="007573B7" w:rsidRDefault="007573B7" w:rsidP="007573B7">
      <w:pPr>
        <w:spacing w:after="0" w:line="240" w:lineRule="auto"/>
        <w:ind w:left="567" w:right="335"/>
        <w:jc w:val="both"/>
        <w:rPr>
          <w:rFonts w:ascii="Arial" w:eastAsia="Arial" w:hAnsi="Arial" w:cs="Arial"/>
        </w:rPr>
      </w:pPr>
    </w:p>
    <w:p w:rsidR="007573B7" w:rsidRPr="007573B7" w:rsidRDefault="007573B7" w:rsidP="007573B7">
      <w:pPr>
        <w:spacing w:after="0" w:line="240" w:lineRule="auto"/>
        <w:ind w:left="567" w:right="335"/>
        <w:jc w:val="both"/>
        <w:rPr>
          <w:rFonts w:ascii="Arial" w:eastAsia="Arial" w:hAnsi="Arial" w:cs="Arial"/>
        </w:rPr>
      </w:pPr>
    </w:p>
    <w:p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Registro digital: </w:t>
      </w:r>
      <w:r w:rsidR="007573B7" w:rsidRPr="007573B7">
        <w:rPr>
          <w:rFonts w:ascii="Arial" w:eastAsia="Arial" w:hAnsi="Arial" w:cs="Arial"/>
        </w:rPr>
        <w:t>2010419</w:t>
      </w:r>
    </w:p>
    <w:p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Instancia: </w:t>
      </w:r>
      <w:r w:rsidR="007573B7" w:rsidRPr="007573B7">
        <w:rPr>
          <w:rFonts w:ascii="Arial" w:eastAsia="Arial" w:hAnsi="Arial" w:cs="Arial"/>
        </w:rPr>
        <w:t>Primera Sala</w:t>
      </w:r>
    </w:p>
    <w:p w:rsidR="007573B7" w:rsidRP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b/>
          <w:bCs/>
        </w:rPr>
        <w:t>Décima Época</w:t>
      </w:r>
    </w:p>
    <w:p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Materia(s): </w:t>
      </w:r>
      <w:r w:rsidR="007573B7" w:rsidRPr="007573B7">
        <w:rPr>
          <w:rFonts w:ascii="Arial" w:eastAsia="Arial" w:hAnsi="Arial" w:cs="Arial"/>
        </w:rPr>
        <w:t>Común</w:t>
      </w:r>
    </w:p>
    <w:p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Tesis: </w:t>
      </w:r>
      <w:r w:rsidR="007573B7" w:rsidRPr="007573B7">
        <w:rPr>
          <w:rFonts w:ascii="Arial" w:eastAsia="Arial" w:hAnsi="Arial" w:cs="Arial"/>
        </w:rPr>
        <w:t>1a. CCCXLV/2015 (10a.)</w:t>
      </w:r>
    </w:p>
    <w:p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Fuente: </w:t>
      </w:r>
      <w:r w:rsidR="007573B7" w:rsidRPr="007573B7">
        <w:rPr>
          <w:rFonts w:ascii="Arial" w:eastAsia="Arial" w:hAnsi="Arial" w:cs="Arial"/>
        </w:rPr>
        <w:t>Gaceta del Semanario Judicial de la Federación.</w:t>
      </w:r>
      <w:r w:rsidR="007573B7" w:rsidRPr="007573B7">
        <w:rPr>
          <w:rFonts w:ascii="Arial" w:eastAsia="Arial" w:hAnsi="Arial" w:cs="Arial"/>
        </w:rPr>
        <w:br/>
        <w:t>Libro 24, Noviembre de 2015, Tomo I , página 962</w:t>
      </w:r>
    </w:p>
    <w:p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Tipo: </w:t>
      </w:r>
      <w:r w:rsidR="007573B7" w:rsidRPr="007573B7">
        <w:rPr>
          <w:rFonts w:ascii="Arial" w:eastAsia="Arial" w:hAnsi="Arial" w:cs="Arial"/>
        </w:rPr>
        <w:t>Aislada</w:t>
      </w:r>
    </w:p>
    <w:p w:rsidR="00B73E63" w:rsidRDefault="00B73E63" w:rsidP="007573B7">
      <w:pPr>
        <w:spacing w:after="0" w:line="240" w:lineRule="auto"/>
        <w:ind w:left="567" w:right="335"/>
        <w:jc w:val="both"/>
        <w:rPr>
          <w:rFonts w:ascii="Arial" w:eastAsia="Arial" w:hAnsi="Arial" w:cs="Arial"/>
          <w:b/>
          <w:bCs/>
        </w:rPr>
      </w:pPr>
    </w:p>
    <w:p w:rsidR="007573B7" w:rsidRPr="007573B7" w:rsidRDefault="007573B7" w:rsidP="007573B7">
      <w:pPr>
        <w:spacing w:after="0" w:line="240" w:lineRule="auto"/>
        <w:ind w:left="567" w:right="335"/>
        <w:jc w:val="both"/>
        <w:rPr>
          <w:rFonts w:ascii="Arial" w:eastAsia="Arial" w:hAnsi="Arial" w:cs="Arial"/>
          <w:b/>
          <w:bCs/>
        </w:rPr>
      </w:pPr>
      <w:r w:rsidRPr="007573B7">
        <w:rPr>
          <w:rFonts w:ascii="Arial" w:eastAsia="Arial" w:hAnsi="Arial" w:cs="Arial"/>
          <w:b/>
          <w:bCs/>
        </w:rPr>
        <w:t>CONTROL DE CONVENCIONALIDAD. SU APLICACIÓN NO IMPLICA QUE EL JUZGADOR PUEDA OBVIAR LAS REGLAS PROCESALES.</w:t>
      </w:r>
    </w:p>
    <w:p w:rsidR="007573B7" w:rsidRPr="007573B7" w:rsidRDefault="007573B7" w:rsidP="007573B7">
      <w:pPr>
        <w:spacing w:after="0" w:line="240" w:lineRule="auto"/>
        <w:ind w:left="567" w:right="335"/>
        <w:jc w:val="both"/>
        <w:rPr>
          <w:rFonts w:ascii="Arial" w:eastAsia="Arial" w:hAnsi="Arial" w:cs="Arial"/>
        </w:rPr>
      </w:pPr>
    </w:p>
    <w:p w:rsidR="007573B7" w:rsidRP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rPr>
        <w:t>El control de convencionalidad no implica que el juzgador pueda obviar, a conveniencia, el debido proceso ni sus formalidades. Así, esta Primera Sala de la Suprema Corte de Justicia de la Nación estima que existiendo los canales procesales y judiciales que brinden acceso a la justicia, el juez que conoce de un caso debe ceñirse a aplicar el control de convencionalidad en el ámbito de sus competencias, sin obviar dichos canales.</w:t>
      </w:r>
    </w:p>
    <w:p w:rsidR="007573B7" w:rsidRPr="007573B7" w:rsidRDefault="007573B7" w:rsidP="007573B7">
      <w:pPr>
        <w:spacing w:after="0" w:line="240" w:lineRule="auto"/>
        <w:ind w:left="567" w:right="335"/>
        <w:jc w:val="both"/>
        <w:rPr>
          <w:rFonts w:ascii="Arial" w:eastAsia="Arial" w:hAnsi="Arial" w:cs="Arial"/>
        </w:rPr>
      </w:pPr>
    </w:p>
    <w:p w:rsidR="007573B7" w:rsidRP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rPr>
        <w:t>Amparo en revisión 476/2014. 22 de abril de 2015. Cinco votos de los Ministros Arturo Zaldívar Lelo de Larrea, José Ramón Cossío Díaz, Jorge Mario Pardo Rebolledo, Olga Sánchez Cordero de García Villegas y Alfredo Gutiérrez Ortiz Mena. Ponente: Alfredo Gutiérrez Ortiz Mena. Secretaria: Karla I. Quintana Osuna.</w:t>
      </w:r>
    </w:p>
    <w:p w:rsidR="007573B7" w:rsidRPr="007573B7" w:rsidRDefault="007573B7" w:rsidP="007573B7">
      <w:pPr>
        <w:spacing w:after="0" w:line="240" w:lineRule="auto"/>
        <w:ind w:left="567" w:right="335"/>
        <w:jc w:val="both"/>
        <w:rPr>
          <w:rFonts w:ascii="Arial" w:eastAsia="Arial" w:hAnsi="Arial" w:cs="Arial"/>
        </w:rPr>
      </w:pPr>
    </w:p>
    <w:p w:rsid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rPr>
        <w:t>Esta tesis se publicó el viernes 13 de noviembre de 2015 a las 10:06 horas en el Semanario Judicial de la Federación.</w:t>
      </w:r>
    </w:p>
    <w:p w:rsidR="0006283A" w:rsidRDefault="0006283A" w:rsidP="007573B7">
      <w:pPr>
        <w:spacing w:after="0" w:line="240" w:lineRule="auto"/>
        <w:ind w:left="567" w:right="335"/>
        <w:jc w:val="both"/>
        <w:rPr>
          <w:rFonts w:ascii="Arial" w:eastAsia="Arial" w:hAnsi="Arial" w:cs="Arial"/>
        </w:rPr>
      </w:pPr>
    </w:p>
    <w:p w:rsidR="0006283A" w:rsidRPr="007573B7" w:rsidRDefault="0006283A" w:rsidP="007573B7">
      <w:pPr>
        <w:spacing w:after="0" w:line="240" w:lineRule="auto"/>
        <w:ind w:left="567" w:right="335"/>
        <w:jc w:val="both"/>
        <w:rPr>
          <w:rFonts w:ascii="Arial" w:eastAsia="Arial" w:hAnsi="Arial" w:cs="Arial"/>
        </w:rPr>
      </w:pPr>
    </w:p>
    <w:p w:rsidR="00AC45D7" w:rsidRDefault="00AC45D7" w:rsidP="00F22530">
      <w:pPr>
        <w:spacing w:line="360" w:lineRule="auto"/>
        <w:ind w:right="51" w:firstLine="567"/>
        <w:jc w:val="both"/>
        <w:rPr>
          <w:rFonts w:ascii="Arial" w:hAnsi="Arial" w:cs="Arial"/>
          <w:sz w:val="24"/>
          <w:szCs w:val="24"/>
        </w:rPr>
      </w:pPr>
      <w:r>
        <w:rPr>
          <w:rFonts w:ascii="Arial" w:hAnsi="Arial" w:cs="Arial"/>
          <w:sz w:val="24"/>
          <w:szCs w:val="24"/>
        </w:rPr>
        <w:t>En efecto, de conformidad con el artículo 17 de la Constitución Política de los Estados Unidos Mexicanos</w:t>
      </w:r>
      <w:r w:rsidR="00B14107">
        <w:rPr>
          <w:rFonts w:ascii="Arial" w:hAnsi="Arial" w:cs="Arial"/>
          <w:sz w:val="24"/>
          <w:szCs w:val="24"/>
        </w:rPr>
        <w:t>, t</w:t>
      </w:r>
      <w:r w:rsidR="00B14107" w:rsidRPr="00B14107">
        <w:rPr>
          <w:rFonts w:ascii="Arial" w:hAnsi="Arial" w:cs="Arial"/>
          <w:sz w:val="24"/>
          <w:szCs w:val="24"/>
        </w:rPr>
        <w:t xml:space="preserve">oda persona tiene derecho a que se le administre justicia por tribunales que estarán expeditos para impartirla en los plazos y términos que fijen las leyes, emitiendo sus resoluciones de manera pronta, completa e </w:t>
      </w:r>
      <w:r w:rsidR="00B14107">
        <w:rPr>
          <w:rFonts w:ascii="Arial" w:hAnsi="Arial" w:cs="Arial"/>
          <w:sz w:val="24"/>
          <w:szCs w:val="24"/>
        </w:rPr>
        <w:t>i</w:t>
      </w:r>
      <w:r w:rsidR="007E5ABC">
        <w:rPr>
          <w:rFonts w:ascii="Arial" w:hAnsi="Arial" w:cs="Arial"/>
          <w:sz w:val="24"/>
          <w:szCs w:val="24"/>
        </w:rPr>
        <w:t>mparcial; sin que ello implique</w:t>
      </w:r>
      <w:r w:rsidR="007E5ABC" w:rsidRPr="007E5ABC">
        <w:rPr>
          <w:rFonts w:ascii="Arial" w:hAnsi="Arial" w:cs="Arial"/>
          <w:sz w:val="24"/>
          <w:szCs w:val="24"/>
        </w:rPr>
        <w:t xml:space="preserve"> hacer a un lado los presupuestos formales y materiales de admisibilidad</w:t>
      </w:r>
      <w:r w:rsidR="00FD3D58">
        <w:rPr>
          <w:rFonts w:ascii="Arial" w:hAnsi="Arial" w:cs="Arial"/>
          <w:sz w:val="24"/>
          <w:szCs w:val="24"/>
        </w:rPr>
        <w:t>.</w:t>
      </w:r>
    </w:p>
    <w:p w:rsidR="00FD3D58" w:rsidRPr="00FD3D58" w:rsidRDefault="00FD3D58" w:rsidP="00FD3D58">
      <w:pPr>
        <w:spacing w:line="360" w:lineRule="auto"/>
        <w:ind w:right="51" w:firstLine="567"/>
        <w:jc w:val="both"/>
        <w:rPr>
          <w:rFonts w:ascii="Arial" w:hAnsi="Arial" w:cs="Arial"/>
          <w:sz w:val="24"/>
          <w:szCs w:val="24"/>
        </w:rPr>
      </w:pPr>
      <w:r w:rsidRPr="00FD3D58">
        <w:rPr>
          <w:rFonts w:ascii="Arial" w:hAnsi="Arial" w:cs="Arial"/>
          <w:sz w:val="24"/>
          <w:szCs w:val="24"/>
        </w:rPr>
        <w:t>Máxime que existen los medios legales que permiten que los accionantes puedan acceder a este Tribunal a efecto de que, en el caso de asistirles la razón, se satisfaga su pretensión.</w:t>
      </w:r>
    </w:p>
    <w:p w:rsidR="00221537" w:rsidRDefault="00221537" w:rsidP="00234A80">
      <w:pPr>
        <w:spacing w:line="360" w:lineRule="auto"/>
        <w:ind w:right="51" w:firstLine="567"/>
        <w:jc w:val="both"/>
        <w:rPr>
          <w:rFonts w:ascii="Arial" w:hAnsi="Arial" w:cs="Arial"/>
          <w:sz w:val="24"/>
          <w:szCs w:val="24"/>
        </w:rPr>
      </w:pPr>
      <w:r>
        <w:rPr>
          <w:rFonts w:ascii="Arial" w:hAnsi="Arial" w:cs="Arial"/>
          <w:sz w:val="24"/>
          <w:szCs w:val="24"/>
        </w:rPr>
        <w:t>Se dice lo anterior, con sustento a lo regulado por los siguientes ordenamientos:</w:t>
      </w:r>
    </w:p>
    <w:p w:rsidR="00B16DD0" w:rsidRPr="00102DF8" w:rsidRDefault="00102DF8" w:rsidP="00102DF8">
      <w:pPr>
        <w:spacing w:after="0" w:line="240" w:lineRule="auto"/>
        <w:ind w:left="567" w:right="335"/>
        <w:jc w:val="center"/>
        <w:rPr>
          <w:rFonts w:ascii="Arial" w:eastAsia="Arial" w:hAnsi="Arial" w:cs="Arial"/>
          <w:b/>
        </w:rPr>
      </w:pPr>
      <w:r w:rsidRPr="00102DF8">
        <w:rPr>
          <w:rFonts w:ascii="Arial" w:eastAsia="Arial" w:hAnsi="Arial" w:cs="Arial"/>
          <w:b/>
        </w:rPr>
        <w:t>LEY DE PROCEDIMIENTO Y JUSTICIA ADMINISTRATIVA PARA EL ESTADO DE OAXACA</w:t>
      </w:r>
    </w:p>
    <w:p w:rsidR="00102DF8" w:rsidRDefault="00102DF8" w:rsidP="00102DF8">
      <w:pPr>
        <w:autoSpaceDE w:val="0"/>
        <w:autoSpaceDN w:val="0"/>
        <w:adjustRightInd w:val="0"/>
        <w:spacing w:after="0" w:line="240" w:lineRule="auto"/>
        <w:ind w:left="567" w:right="335"/>
        <w:jc w:val="both"/>
        <w:rPr>
          <w:rFonts w:ascii="Arial" w:hAnsi="Arial" w:cs="Arial"/>
          <w:b/>
          <w:bCs/>
        </w:rPr>
      </w:pPr>
    </w:p>
    <w:p w:rsidR="00252AD8" w:rsidRPr="00102DF8" w:rsidRDefault="00252AD8"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23.- </w:t>
      </w:r>
      <w:r w:rsidRPr="00102DF8">
        <w:rPr>
          <w:rFonts w:ascii="Arial" w:hAnsi="Arial" w:cs="Arial"/>
        </w:rPr>
        <w:t xml:space="preserve">El administrado deberá promover lo que a sus derechos convenga ante las autoridades responsables a las que se refiere el ámbito de aplicación de la presente Ley, y la autoridad deberá respetar el derecho de petición a la que se constriñen los artículos 8 de la Constitución Política de los Estados </w:t>
      </w:r>
      <w:r w:rsidRPr="00102DF8">
        <w:rPr>
          <w:rFonts w:ascii="Arial" w:hAnsi="Arial" w:cs="Arial"/>
        </w:rPr>
        <w:lastRenderedPageBreak/>
        <w:t>Unidos Mexicanos y 13 de la Constitución Política del Estado Libre y Soberano de Oaxaca, pero si no lo hicieren, operará de inmediato la negativa ficta.</w:t>
      </w:r>
    </w:p>
    <w:p w:rsidR="00924AC5" w:rsidRPr="00102DF8" w:rsidRDefault="00924AC5" w:rsidP="00102DF8">
      <w:pPr>
        <w:autoSpaceDE w:val="0"/>
        <w:autoSpaceDN w:val="0"/>
        <w:adjustRightInd w:val="0"/>
        <w:spacing w:after="0" w:line="240" w:lineRule="auto"/>
        <w:ind w:left="567" w:right="335"/>
        <w:jc w:val="both"/>
        <w:rPr>
          <w:rFonts w:ascii="Arial" w:hAnsi="Arial" w:cs="Arial"/>
        </w:rPr>
      </w:pPr>
    </w:p>
    <w:p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26. </w:t>
      </w:r>
      <w:r w:rsidRPr="00102DF8">
        <w:rPr>
          <w:rFonts w:ascii="Arial" w:hAnsi="Arial" w:cs="Arial"/>
        </w:rPr>
        <w:t>Salvo que en otra disposición legal o administrativa de carácter general se establezca otro plazo para algún supuesto en particular, la dependencia, entidad u organismo descentralizado, desconcentrado, paraestatal o paramunicipal deberá resolver lo conducente en un plazo no mayor a noventa días naturales. Transcurrido el plazo aplicable, sin que se haya dictado resolución, ésta se entenderá en sentido positivo o negativo al promovente, en términos de lo que disponga la Ley. A petición del interesado, se deberá expedir constancia de tal circunstancia dentro de los dos días hábiles siguientes a la presentación de la solicitud respectiva ante quien deba resolver. Igual constancia deberá expedirse cuando otras disposiciones prevean que transcurrido el plazo aplicable la resolución deba entenderse en sentido negativo.</w:t>
      </w:r>
    </w:p>
    <w:p w:rsidR="00924AC5" w:rsidRPr="00102DF8" w:rsidRDefault="00924AC5" w:rsidP="00102DF8">
      <w:pPr>
        <w:autoSpaceDE w:val="0"/>
        <w:autoSpaceDN w:val="0"/>
        <w:adjustRightInd w:val="0"/>
        <w:spacing w:after="0" w:line="240" w:lineRule="auto"/>
        <w:ind w:left="567" w:right="335"/>
        <w:jc w:val="both"/>
        <w:rPr>
          <w:rFonts w:ascii="Arial" w:hAnsi="Arial" w:cs="Arial"/>
        </w:rPr>
      </w:pPr>
    </w:p>
    <w:p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En el caso de que se recurra al sentido positivo o negativo según sea el caso, por falta de resolución, y ésta a su vez no se resuelva dentro del mismo término, se entenderá confirmado el sentido de la misma.</w:t>
      </w:r>
    </w:p>
    <w:p w:rsidR="00924AC5" w:rsidRDefault="00924AC5" w:rsidP="00102DF8">
      <w:pPr>
        <w:autoSpaceDE w:val="0"/>
        <w:autoSpaceDN w:val="0"/>
        <w:adjustRightInd w:val="0"/>
        <w:spacing w:after="0" w:line="240" w:lineRule="auto"/>
        <w:ind w:left="567" w:right="335"/>
        <w:jc w:val="both"/>
        <w:rPr>
          <w:rFonts w:ascii="Arial" w:hAnsi="Arial" w:cs="Arial"/>
        </w:rPr>
      </w:pPr>
    </w:p>
    <w:p w:rsidR="0006283A" w:rsidRPr="00BF6392" w:rsidRDefault="0006283A" w:rsidP="0006283A">
      <w:pPr>
        <w:autoSpaceDE w:val="0"/>
        <w:autoSpaceDN w:val="0"/>
        <w:adjustRightInd w:val="0"/>
        <w:spacing w:after="0" w:line="240" w:lineRule="auto"/>
        <w:ind w:left="567" w:right="332"/>
        <w:jc w:val="both"/>
        <w:rPr>
          <w:rFonts w:ascii="Arial" w:hAnsi="Arial" w:cs="Arial"/>
        </w:rPr>
      </w:pPr>
      <w:r w:rsidRPr="002A185E">
        <w:rPr>
          <w:rFonts w:ascii="Arial" w:hAnsi="Arial" w:cs="Arial"/>
          <w:b/>
          <w:bCs/>
        </w:rPr>
        <w:t>ARTÍCULO 133.</w:t>
      </w:r>
      <w:r w:rsidRPr="00BF6392">
        <w:rPr>
          <w:rFonts w:ascii="Arial" w:hAnsi="Arial" w:cs="Arial"/>
          <w:b/>
          <w:bCs/>
        </w:rPr>
        <w:t xml:space="preserve">- </w:t>
      </w:r>
      <w:r w:rsidRPr="00BF6392">
        <w:rPr>
          <w:rFonts w:ascii="Arial" w:hAnsi="Arial" w:cs="Arial"/>
        </w:rPr>
        <w:t>Las Salas Unitarias del Tribunal son competentes para conocer y resolver los juicios que se promuevan en contra de:</w:t>
      </w:r>
    </w:p>
    <w:p w:rsidR="0006283A" w:rsidRDefault="0006283A" w:rsidP="0006283A">
      <w:pPr>
        <w:autoSpaceDE w:val="0"/>
        <w:autoSpaceDN w:val="0"/>
        <w:adjustRightInd w:val="0"/>
        <w:spacing w:after="0" w:line="240" w:lineRule="auto"/>
        <w:ind w:left="567" w:right="332"/>
        <w:jc w:val="both"/>
        <w:rPr>
          <w:rFonts w:ascii="Arial" w:hAnsi="Arial" w:cs="Arial"/>
        </w:rPr>
      </w:pPr>
      <w:r>
        <w:rPr>
          <w:rFonts w:ascii="Arial" w:hAnsi="Arial" w:cs="Arial"/>
        </w:rPr>
        <w:t>(…)</w:t>
      </w:r>
    </w:p>
    <w:p w:rsidR="0006283A" w:rsidRPr="00BF6392" w:rsidRDefault="0006283A" w:rsidP="0006283A">
      <w:pPr>
        <w:autoSpaceDE w:val="0"/>
        <w:autoSpaceDN w:val="0"/>
        <w:adjustRightInd w:val="0"/>
        <w:spacing w:after="0" w:line="240" w:lineRule="auto"/>
        <w:ind w:left="567" w:right="332"/>
        <w:jc w:val="both"/>
        <w:rPr>
          <w:rFonts w:ascii="Arial" w:hAnsi="Arial" w:cs="Arial"/>
        </w:rPr>
      </w:pPr>
    </w:p>
    <w:p w:rsidR="0006283A" w:rsidRPr="0006283A" w:rsidRDefault="0006283A" w:rsidP="0006283A">
      <w:pPr>
        <w:autoSpaceDE w:val="0"/>
        <w:autoSpaceDN w:val="0"/>
        <w:adjustRightInd w:val="0"/>
        <w:spacing w:after="0" w:line="240" w:lineRule="auto"/>
        <w:ind w:left="567" w:right="332"/>
        <w:jc w:val="both"/>
        <w:rPr>
          <w:rFonts w:ascii="Arial" w:hAnsi="Arial" w:cs="Arial"/>
        </w:rPr>
      </w:pPr>
      <w:r w:rsidRPr="0006283A">
        <w:rPr>
          <w:rFonts w:ascii="Arial" w:hAnsi="Arial" w:cs="Arial"/>
          <w:b/>
        </w:rPr>
        <w:t>V.</w:t>
      </w:r>
      <w:r>
        <w:rPr>
          <w:rFonts w:ascii="Arial" w:hAnsi="Arial" w:cs="Arial"/>
        </w:rPr>
        <w:t xml:space="preserve"> </w:t>
      </w:r>
      <w:r w:rsidRPr="0006283A">
        <w:rPr>
          <w:rFonts w:ascii="Arial" w:hAnsi="Arial" w:cs="Arial"/>
        </w:rPr>
        <w:t>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rsidR="0006283A" w:rsidRPr="00102DF8" w:rsidRDefault="0006283A" w:rsidP="00102DF8">
      <w:pPr>
        <w:autoSpaceDE w:val="0"/>
        <w:autoSpaceDN w:val="0"/>
        <w:adjustRightInd w:val="0"/>
        <w:spacing w:after="0" w:line="240" w:lineRule="auto"/>
        <w:ind w:left="567" w:right="335"/>
        <w:jc w:val="both"/>
        <w:rPr>
          <w:rFonts w:ascii="Arial" w:hAnsi="Arial" w:cs="Arial"/>
        </w:rPr>
      </w:pPr>
    </w:p>
    <w:p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56. </w:t>
      </w:r>
      <w:r w:rsidRPr="00102DF8">
        <w:rPr>
          <w:rFonts w:ascii="Arial" w:hAnsi="Arial" w:cs="Arial"/>
        </w:rPr>
        <w:t>Los escritos dirigidos a alguna autoridad de la Administración Pública Estatal o Municipal deberán presentarse directamente en sus oficinas autorizadas para tales efectos o en oficinas de correos, salvo el caso del escrito inicial de impugnación, el cual deberá presentarse precisamente en las oficinas administrativas correspondientes de la autoridad competente.</w:t>
      </w:r>
    </w:p>
    <w:p w:rsidR="00924AC5" w:rsidRPr="00102DF8" w:rsidRDefault="00924AC5" w:rsidP="00102DF8">
      <w:pPr>
        <w:autoSpaceDE w:val="0"/>
        <w:autoSpaceDN w:val="0"/>
        <w:adjustRightInd w:val="0"/>
        <w:spacing w:after="0" w:line="240" w:lineRule="auto"/>
        <w:ind w:left="567" w:right="335"/>
        <w:jc w:val="both"/>
        <w:rPr>
          <w:rFonts w:ascii="Arial" w:hAnsi="Arial" w:cs="Arial"/>
        </w:rPr>
      </w:pPr>
    </w:p>
    <w:p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En ningún caso se podrán rechazar los escritos en las unidades de recepción de documentos.</w:t>
      </w:r>
    </w:p>
    <w:p w:rsidR="00924AC5" w:rsidRPr="00102DF8" w:rsidRDefault="00924AC5" w:rsidP="00102DF8">
      <w:pPr>
        <w:autoSpaceDE w:val="0"/>
        <w:autoSpaceDN w:val="0"/>
        <w:adjustRightInd w:val="0"/>
        <w:spacing w:after="0" w:line="240" w:lineRule="auto"/>
        <w:ind w:left="567" w:right="335"/>
        <w:jc w:val="both"/>
        <w:rPr>
          <w:rFonts w:ascii="Arial" w:hAnsi="Arial" w:cs="Arial"/>
        </w:rPr>
      </w:pPr>
    </w:p>
    <w:p w:rsidR="001F16A7" w:rsidRPr="00102DF8" w:rsidRDefault="001F16A7"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98.- </w:t>
      </w:r>
      <w:r w:rsidRPr="00102DF8">
        <w:rPr>
          <w:rFonts w:ascii="Arial" w:hAnsi="Arial" w:cs="Arial"/>
        </w:rPr>
        <w:t>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p w:rsidR="001F16A7" w:rsidRPr="00102DF8" w:rsidRDefault="001F16A7" w:rsidP="00102DF8">
      <w:pPr>
        <w:tabs>
          <w:tab w:val="left" w:pos="1954"/>
        </w:tabs>
        <w:autoSpaceDE w:val="0"/>
        <w:autoSpaceDN w:val="0"/>
        <w:adjustRightInd w:val="0"/>
        <w:spacing w:after="0" w:line="240" w:lineRule="auto"/>
        <w:ind w:left="567" w:right="335"/>
        <w:jc w:val="both"/>
        <w:rPr>
          <w:rFonts w:ascii="Arial" w:hAnsi="Arial" w:cs="Arial"/>
        </w:rPr>
      </w:pPr>
    </w:p>
    <w:p w:rsidR="00924AC5" w:rsidRPr="00102DF8" w:rsidRDefault="001F16A7"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Para poder acudir al Juicio de Amparo, será necesario agotar los medios de impugnación previstos en esta ley.</w:t>
      </w:r>
    </w:p>
    <w:p w:rsidR="00221537" w:rsidRDefault="00221537" w:rsidP="002B1AB3">
      <w:pPr>
        <w:spacing w:after="160" w:line="360" w:lineRule="auto"/>
        <w:ind w:firstLine="567"/>
        <w:jc w:val="both"/>
        <w:rPr>
          <w:rFonts w:ascii="Arial" w:eastAsia="Times New Roman" w:hAnsi="Arial" w:cs="Arial"/>
          <w:sz w:val="24"/>
          <w:szCs w:val="24"/>
          <w:lang w:val="es-ES_tradnl" w:eastAsia="es-ES"/>
        </w:rPr>
      </w:pPr>
    </w:p>
    <w:p w:rsidR="00221537" w:rsidRDefault="009E7B30"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Así tenemos que la Ley de </w:t>
      </w:r>
      <w:r w:rsidR="00223966">
        <w:rPr>
          <w:rFonts w:ascii="Arial" w:eastAsia="Times New Roman" w:hAnsi="Arial" w:cs="Arial"/>
          <w:sz w:val="24"/>
          <w:szCs w:val="24"/>
          <w:lang w:val="es-ES_tradnl" w:eastAsia="es-ES"/>
        </w:rPr>
        <w:t xml:space="preserve">Procedimiento y </w:t>
      </w:r>
      <w:r>
        <w:rPr>
          <w:rFonts w:ascii="Arial" w:eastAsia="Times New Roman" w:hAnsi="Arial" w:cs="Arial"/>
          <w:sz w:val="24"/>
          <w:szCs w:val="24"/>
          <w:lang w:val="es-ES_tradnl" w:eastAsia="es-ES"/>
        </w:rPr>
        <w:t>Justicia Administrativa para el Estado de Oaxaca</w:t>
      </w:r>
      <w:r w:rsidR="005F69E2">
        <w:rPr>
          <w:rFonts w:ascii="Arial" w:eastAsia="Times New Roman" w:hAnsi="Arial" w:cs="Arial"/>
          <w:sz w:val="24"/>
          <w:szCs w:val="24"/>
          <w:lang w:val="es-ES_tradnl" w:eastAsia="es-ES"/>
        </w:rPr>
        <w:t xml:space="preserve"> dispone en su artículo 23 que</w:t>
      </w:r>
      <w:r w:rsidR="00576869">
        <w:rPr>
          <w:rFonts w:ascii="Arial" w:eastAsia="Times New Roman" w:hAnsi="Arial" w:cs="Arial"/>
          <w:sz w:val="24"/>
          <w:szCs w:val="24"/>
          <w:lang w:val="es-ES_tradnl" w:eastAsia="es-ES"/>
        </w:rPr>
        <w:t xml:space="preserve">, </w:t>
      </w:r>
      <w:r w:rsidR="00576869" w:rsidRPr="00576869">
        <w:rPr>
          <w:rFonts w:ascii="Arial" w:eastAsia="Times New Roman" w:hAnsi="Arial" w:cs="Arial"/>
          <w:b/>
          <w:sz w:val="24"/>
          <w:szCs w:val="24"/>
          <w:u w:val="single"/>
          <w:lang w:val="es-ES_tradnl" w:eastAsia="es-ES"/>
        </w:rPr>
        <w:t>e</w:t>
      </w:r>
      <w:r w:rsidR="005F69E2" w:rsidRPr="00576869">
        <w:rPr>
          <w:rFonts w:ascii="Arial" w:eastAsia="Times New Roman" w:hAnsi="Arial" w:cs="Arial"/>
          <w:b/>
          <w:sz w:val="24"/>
          <w:szCs w:val="24"/>
          <w:u w:val="single"/>
          <w:lang w:eastAsia="es-ES"/>
        </w:rPr>
        <w:t>l administrado deberá promover lo que a sus derechos convenga ante las autoridades responsables</w:t>
      </w:r>
      <w:r w:rsidR="005F69E2" w:rsidRPr="005F69E2">
        <w:rPr>
          <w:rFonts w:ascii="Arial" w:eastAsia="Times New Roman" w:hAnsi="Arial" w:cs="Arial"/>
          <w:sz w:val="24"/>
          <w:szCs w:val="24"/>
          <w:lang w:eastAsia="es-ES"/>
        </w:rPr>
        <w:t xml:space="preserve"> a las que se refiere el ámbito de aplicación de la presente Ley, y </w:t>
      </w:r>
      <w:r w:rsidR="005F69E2" w:rsidRPr="00576869">
        <w:rPr>
          <w:rFonts w:ascii="Arial" w:eastAsia="Times New Roman" w:hAnsi="Arial" w:cs="Arial"/>
          <w:b/>
          <w:sz w:val="24"/>
          <w:szCs w:val="24"/>
          <w:u w:val="single"/>
          <w:lang w:eastAsia="es-ES"/>
        </w:rPr>
        <w:t>la autoridad deberá respetar el derecho de petición</w:t>
      </w:r>
      <w:r w:rsidR="005F69E2" w:rsidRPr="005F69E2">
        <w:rPr>
          <w:rFonts w:ascii="Arial" w:eastAsia="Times New Roman" w:hAnsi="Arial" w:cs="Arial"/>
          <w:sz w:val="24"/>
          <w:szCs w:val="24"/>
          <w:lang w:eastAsia="es-ES"/>
        </w:rPr>
        <w:t xml:space="preserve"> a la que se constriñen los artículos 8 de la Constitución Política de los Estados Unidos Mexicanos y 13 de la Constitución Política del Estado Libre y Soberano de Oaxaca, </w:t>
      </w:r>
      <w:r w:rsidR="005F69E2" w:rsidRPr="00576869">
        <w:rPr>
          <w:rFonts w:ascii="Arial" w:eastAsia="Times New Roman" w:hAnsi="Arial" w:cs="Arial"/>
          <w:b/>
          <w:sz w:val="24"/>
          <w:szCs w:val="24"/>
          <w:u w:val="single"/>
          <w:lang w:eastAsia="es-ES"/>
        </w:rPr>
        <w:t>pero si no lo hicieren, operará de inmediato la negativa ficta</w:t>
      </w:r>
      <w:r w:rsidR="0049074C">
        <w:rPr>
          <w:rFonts w:ascii="Arial" w:eastAsia="Times New Roman" w:hAnsi="Arial" w:cs="Arial"/>
          <w:b/>
          <w:sz w:val="24"/>
          <w:szCs w:val="24"/>
          <w:u w:val="single"/>
          <w:lang w:eastAsia="es-ES"/>
        </w:rPr>
        <w:t>.</w:t>
      </w:r>
    </w:p>
    <w:p w:rsidR="003951A1" w:rsidRPr="003951A1" w:rsidRDefault="003951A1" w:rsidP="003951A1">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lastRenderedPageBreak/>
        <w:t xml:space="preserve">Reglamentándose en el artículo 56 en cita, que </w:t>
      </w:r>
      <w:r w:rsidRPr="0006283A">
        <w:rPr>
          <w:rFonts w:ascii="Arial" w:eastAsia="Times New Roman" w:hAnsi="Arial" w:cs="Arial"/>
          <w:b/>
          <w:sz w:val="24"/>
          <w:szCs w:val="24"/>
          <w:lang w:val="es-ES_tradnl" w:eastAsia="es-ES"/>
        </w:rPr>
        <w:t>l</w:t>
      </w:r>
      <w:r w:rsidRPr="0006283A">
        <w:rPr>
          <w:rFonts w:ascii="Arial" w:eastAsia="Times New Roman" w:hAnsi="Arial" w:cs="Arial"/>
          <w:b/>
          <w:sz w:val="24"/>
          <w:szCs w:val="24"/>
          <w:lang w:eastAsia="es-ES"/>
        </w:rPr>
        <w:t>os escritos dirigidos a alguna autoridad de la Administración Pública</w:t>
      </w:r>
      <w:r w:rsidRPr="003951A1">
        <w:rPr>
          <w:rFonts w:ascii="Arial" w:eastAsia="Times New Roman" w:hAnsi="Arial" w:cs="Arial"/>
          <w:sz w:val="24"/>
          <w:szCs w:val="24"/>
          <w:lang w:eastAsia="es-ES"/>
        </w:rPr>
        <w:t xml:space="preserve"> Estatal o </w:t>
      </w:r>
      <w:r w:rsidRPr="0006283A">
        <w:rPr>
          <w:rFonts w:ascii="Arial" w:eastAsia="Times New Roman" w:hAnsi="Arial" w:cs="Arial"/>
          <w:b/>
          <w:sz w:val="24"/>
          <w:szCs w:val="24"/>
          <w:lang w:eastAsia="es-ES"/>
        </w:rPr>
        <w:t>Municipal deberán presentarse directamente en sus oficinas autorizadas para tales efectos o en oficinas de correos</w:t>
      </w:r>
      <w:r w:rsidRPr="003951A1">
        <w:rPr>
          <w:rFonts w:ascii="Arial" w:eastAsia="Times New Roman" w:hAnsi="Arial" w:cs="Arial"/>
          <w:sz w:val="24"/>
          <w:szCs w:val="24"/>
          <w:lang w:eastAsia="es-ES"/>
        </w:rPr>
        <w:t>, salvo el caso del escrito inicial de impugnación, el cual deberá presentarse precisamente en las oficinas administrativas correspondientes de la autoridad competente.</w:t>
      </w:r>
      <w:r>
        <w:rPr>
          <w:rFonts w:ascii="Arial" w:eastAsia="Times New Roman" w:hAnsi="Arial" w:cs="Arial"/>
          <w:sz w:val="24"/>
          <w:szCs w:val="24"/>
          <w:lang w:eastAsia="es-ES"/>
        </w:rPr>
        <w:t xml:space="preserve"> </w:t>
      </w:r>
      <w:r w:rsidRPr="0006283A">
        <w:rPr>
          <w:rFonts w:ascii="Arial" w:eastAsia="Times New Roman" w:hAnsi="Arial" w:cs="Arial"/>
          <w:b/>
          <w:sz w:val="24"/>
          <w:szCs w:val="24"/>
          <w:lang w:eastAsia="es-ES"/>
        </w:rPr>
        <w:t>En ningún caso se podrán rechazar los escritos en las unidades de recepción de documentos</w:t>
      </w:r>
      <w:r w:rsidRPr="003951A1">
        <w:rPr>
          <w:rFonts w:ascii="Arial" w:eastAsia="Times New Roman" w:hAnsi="Arial" w:cs="Arial"/>
          <w:sz w:val="24"/>
          <w:szCs w:val="24"/>
          <w:lang w:eastAsia="es-ES"/>
        </w:rPr>
        <w:t>.</w:t>
      </w:r>
    </w:p>
    <w:p w:rsidR="001C31C5" w:rsidRPr="001C31C5" w:rsidRDefault="001C31C5" w:rsidP="001C31C5">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P</w:t>
      </w:r>
      <w:r w:rsidR="003951A1">
        <w:rPr>
          <w:rFonts w:ascii="Arial" w:eastAsia="Times New Roman" w:hAnsi="Arial" w:cs="Arial"/>
          <w:sz w:val="24"/>
          <w:szCs w:val="24"/>
          <w:lang w:val="es-ES_tradnl" w:eastAsia="es-ES"/>
        </w:rPr>
        <w:t xml:space="preserve">or su parte </w:t>
      </w:r>
      <w:r>
        <w:rPr>
          <w:rFonts w:ascii="Arial" w:eastAsia="Times New Roman" w:hAnsi="Arial" w:cs="Arial"/>
          <w:sz w:val="24"/>
          <w:szCs w:val="24"/>
          <w:lang w:val="es-ES_tradnl" w:eastAsia="es-ES"/>
        </w:rPr>
        <w:t>el artículo 26 de dicho ordenamiento</w:t>
      </w:r>
      <w:r w:rsidR="003B6A3A">
        <w:rPr>
          <w:rFonts w:ascii="Arial" w:eastAsia="Times New Roman" w:hAnsi="Arial" w:cs="Arial"/>
          <w:sz w:val="24"/>
          <w:szCs w:val="24"/>
          <w:lang w:val="es-ES_tradnl" w:eastAsia="es-ES"/>
        </w:rPr>
        <w:t>,</w:t>
      </w:r>
      <w:r w:rsidR="0006283A">
        <w:rPr>
          <w:rFonts w:ascii="Arial" w:eastAsia="Times New Roman" w:hAnsi="Arial" w:cs="Arial"/>
          <w:sz w:val="24"/>
          <w:szCs w:val="24"/>
          <w:lang w:val="es-ES_tradnl" w:eastAsia="es-ES"/>
        </w:rPr>
        <w:t xml:space="preserve"> refiere</w:t>
      </w:r>
      <w:r>
        <w:rPr>
          <w:rFonts w:ascii="Arial" w:eastAsia="Times New Roman" w:hAnsi="Arial" w:cs="Arial"/>
          <w:sz w:val="24"/>
          <w:szCs w:val="24"/>
          <w:lang w:val="es-ES_tradnl" w:eastAsia="es-ES"/>
        </w:rPr>
        <w:t xml:space="preserve"> que </w:t>
      </w:r>
      <w:r w:rsidRPr="0006283A">
        <w:rPr>
          <w:rFonts w:ascii="Arial" w:eastAsia="Times New Roman" w:hAnsi="Arial" w:cs="Arial"/>
          <w:b/>
          <w:sz w:val="24"/>
          <w:szCs w:val="24"/>
          <w:lang w:val="es-ES_tradnl" w:eastAsia="es-ES"/>
        </w:rPr>
        <w:t xml:space="preserve">el plazo para que </w:t>
      </w:r>
      <w:r w:rsidRPr="0006283A">
        <w:rPr>
          <w:rFonts w:ascii="Arial" w:eastAsia="Times New Roman" w:hAnsi="Arial" w:cs="Arial"/>
          <w:b/>
          <w:sz w:val="24"/>
          <w:szCs w:val="24"/>
          <w:lang w:eastAsia="es-ES"/>
        </w:rPr>
        <w:t>la dependencia, entidad u organismo descentralizado, desconcentrado, paraestatal o paramunicipal</w:t>
      </w:r>
      <w:r w:rsidR="00F25002" w:rsidRPr="0006283A">
        <w:rPr>
          <w:rFonts w:ascii="Arial" w:eastAsia="Times New Roman" w:hAnsi="Arial" w:cs="Arial"/>
          <w:b/>
          <w:sz w:val="24"/>
          <w:szCs w:val="24"/>
          <w:lang w:eastAsia="es-ES"/>
        </w:rPr>
        <w:t>, resuelva la petición del administrado</w:t>
      </w:r>
      <w:r w:rsidR="00F25002">
        <w:rPr>
          <w:rFonts w:ascii="Arial" w:eastAsia="Times New Roman" w:hAnsi="Arial" w:cs="Arial"/>
          <w:sz w:val="24"/>
          <w:szCs w:val="24"/>
          <w:lang w:eastAsia="es-ES"/>
        </w:rPr>
        <w:t xml:space="preserve"> (s</w:t>
      </w:r>
      <w:r w:rsidRPr="001C31C5">
        <w:rPr>
          <w:rFonts w:ascii="Arial" w:eastAsia="Times New Roman" w:hAnsi="Arial" w:cs="Arial"/>
          <w:sz w:val="24"/>
          <w:szCs w:val="24"/>
          <w:lang w:eastAsia="es-ES"/>
        </w:rPr>
        <w:t>alvo que en otra disposición legal o admin</w:t>
      </w:r>
      <w:r w:rsidR="00F25002">
        <w:rPr>
          <w:rFonts w:ascii="Arial" w:eastAsia="Times New Roman" w:hAnsi="Arial" w:cs="Arial"/>
          <w:sz w:val="24"/>
          <w:szCs w:val="24"/>
          <w:lang w:eastAsia="es-ES"/>
        </w:rPr>
        <w:t>istrativa de carácter general</w:t>
      </w:r>
      <w:r w:rsidRPr="001C31C5">
        <w:rPr>
          <w:rFonts w:ascii="Arial" w:eastAsia="Times New Roman" w:hAnsi="Arial" w:cs="Arial"/>
          <w:sz w:val="24"/>
          <w:szCs w:val="24"/>
          <w:lang w:eastAsia="es-ES"/>
        </w:rPr>
        <w:t xml:space="preserve"> establezca otro plazo para algún supuesto en particular</w:t>
      </w:r>
      <w:r w:rsidR="00F25002">
        <w:rPr>
          <w:rFonts w:ascii="Arial" w:eastAsia="Times New Roman" w:hAnsi="Arial" w:cs="Arial"/>
          <w:sz w:val="24"/>
          <w:szCs w:val="24"/>
          <w:lang w:eastAsia="es-ES"/>
        </w:rPr>
        <w:t>)</w:t>
      </w:r>
      <w:r w:rsidRPr="001C31C5">
        <w:rPr>
          <w:rFonts w:ascii="Arial" w:eastAsia="Times New Roman" w:hAnsi="Arial" w:cs="Arial"/>
          <w:sz w:val="24"/>
          <w:szCs w:val="24"/>
          <w:lang w:eastAsia="es-ES"/>
        </w:rPr>
        <w:t xml:space="preserve">, </w:t>
      </w:r>
      <w:r w:rsidRPr="002D31AA">
        <w:rPr>
          <w:rFonts w:ascii="Arial" w:eastAsia="Times New Roman" w:hAnsi="Arial" w:cs="Arial"/>
          <w:b/>
          <w:sz w:val="24"/>
          <w:szCs w:val="24"/>
          <w:lang w:eastAsia="es-ES"/>
        </w:rPr>
        <w:t>no</w:t>
      </w:r>
      <w:r w:rsidR="0049074C" w:rsidRPr="002D31AA">
        <w:rPr>
          <w:rFonts w:ascii="Arial" w:eastAsia="Times New Roman" w:hAnsi="Arial" w:cs="Arial"/>
          <w:b/>
          <w:sz w:val="24"/>
          <w:szCs w:val="24"/>
          <w:lang w:eastAsia="es-ES"/>
        </w:rPr>
        <w:t xml:space="preserve"> será</w:t>
      </w:r>
      <w:r w:rsidRPr="002D31AA">
        <w:rPr>
          <w:rFonts w:ascii="Arial" w:eastAsia="Times New Roman" w:hAnsi="Arial" w:cs="Arial"/>
          <w:b/>
          <w:sz w:val="24"/>
          <w:szCs w:val="24"/>
          <w:lang w:eastAsia="es-ES"/>
        </w:rPr>
        <w:t xml:space="preserve"> mayor a noventa días naturales</w:t>
      </w:r>
      <w:r w:rsidR="0049074C" w:rsidRPr="002D31AA">
        <w:rPr>
          <w:rFonts w:ascii="Arial" w:eastAsia="Times New Roman" w:hAnsi="Arial" w:cs="Arial"/>
          <w:b/>
          <w:sz w:val="24"/>
          <w:szCs w:val="24"/>
          <w:lang w:eastAsia="es-ES"/>
        </w:rPr>
        <w:t>, y t</w:t>
      </w:r>
      <w:r w:rsidRPr="002D31AA">
        <w:rPr>
          <w:rFonts w:ascii="Arial" w:eastAsia="Times New Roman" w:hAnsi="Arial" w:cs="Arial"/>
          <w:b/>
          <w:sz w:val="24"/>
          <w:szCs w:val="24"/>
          <w:lang w:eastAsia="es-ES"/>
        </w:rPr>
        <w:t>ranscurrido el plazo aplicable, sin que se haya dictado resolución, ésta se entenderá en sentido positivo o negativo al promovente</w:t>
      </w:r>
      <w:r w:rsidRPr="001C31C5">
        <w:rPr>
          <w:rFonts w:ascii="Arial" w:eastAsia="Times New Roman" w:hAnsi="Arial" w:cs="Arial"/>
          <w:sz w:val="24"/>
          <w:szCs w:val="24"/>
          <w:lang w:eastAsia="es-ES"/>
        </w:rPr>
        <w:t>, en términos de lo que disponga la Ley. A petición del interesado, se deberá expedir constancia de tal circunstancia dentro de los dos días hábiles siguientes a la presentación de la solicitud respectiva ante quien deba resolver. Igual constancia deberá expedirse cuando otras disposiciones prevean que transcurrido el plazo aplicable la resolución deba entenderse en sentido negativo.</w:t>
      </w:r>
    </w:p>
    <w:p w:rsidR="001C31C5" w:rsidRPr="001C31C5" w:rsidRDefault="001C31C5" w:rsidP="001C31C5">
      <w:pPr>
        <w:spacing w:after="160" w:line="360" w:lineRule="auto"/>
        <w:ind w:firstLine="567"/>
        <w:jc w:val="both"/>
        <w:rPr>
          <w:rFonts w:ascii="Arial" w:eastAsia="Times New Roman" w:hAnsi="Arial" w:cs="Arial"/>
          <w:sz w:val="24"/>
          <w:szCs w:val="24"/>
          <w:lang w:eastAsia="es-ES"/>
        </w:rPr>
      </w:pPr>
      <w:r w:rsidRPr="001C31C5">
        <w:rPr>
          <w:rFonts w:ascii="Arial" w:eastAsia="Times New Roman" w:hAnsi="Arial" w:cs="Arial"/>
          <w:sz w:val="24"/>
          <w:szCs w:val="24"/>
          <w:lang w:eastAsia="es-ES"/>
        </w:rPr>
        <w:t>En el caso de que se recurra al sentido positivo o negativo según sea el caso, por falta de resolución, y ésta a su vez no se resuelva dentro del mismo término, se entenderá confirmado el sentido de la misma.</w:t>
      </w:r>
    </w:p>
    <w:p w:rsidR="0049074C" w:rsidRPr="0049074C" w:rsidRDefault="0049074C" w:rsidP="0049074C">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Disponiéndose en el artículo 98 del ordenamiento que se analiza que l</w:t>
      </w:r>
      <w:r w:rsidRPr="0049074C">
        <w:rPr>
          <w:rFonts w:ascii="Arial" w:eastAsia="Times New Roman" w:hAnsi="Arial" w:cs="Arial"/>
          <w:sz w:val="24"/>
          <w:szCs w:val="24"/>
          <w:lang w:eastAsia="es-ES"/>
        </w:rPr>
        <w:t>os interesados afectados por los actos y resoluciones de las autoridades administrativas que pongan fin al procedimiento administrativo, a una instancia o resuelvan un expediente, podrán interponer recurso de revisión o intentar las vías judiciales-administrativas corres</w:t>
      </w:r>
      <w:r w:rsidR="00757B9C">
        <w:rPr>
          <w:rFonts w:ascii="Arial" w:eastAsia="Times New Roman" w:hAnsi="Arial" w:cs="Arial"/>
          <w:sz w:val="24"/>
          <w:szCs w:val="24"/>
          <w:lang w:eastAsia="es-ES"/>
        </w:rPr>
        <w:t>pondientes ante este</w:t>
      </w:r>
      <w:r w:rsidRPr="0049074C">
        <w:rPr>
          <w:rFonts w:ascii="Arial" w:eastAsia="Times New Roman" w:hAnsi="Arial" w:cs="Arial"/>
          <w:sz w:val="24"/>
          <w:szCs w:val="24"/>
          <w:lang w:eastAsia="es-ES"/>
        </w:rPr>
        <w:t xml:space="preserve"> Tribunal.</w:t>
      </w:r>
    </w:p>
    <w:p w:rsidR="00576869" w:rsidRDefault="002D31AA" w:rsidP="002D31AA">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Por último</w:t>
      </w:r>
      <w:r w:rsidR="007E11D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el artículo 133 fracción V antes transcrito, establece </w:t>
      </w:r>
      <w:r w:rsidR="006F0E79">
        <w:rPr>
          <w:rFonts w:ascii="Arial" w:eastAsia="Times New Roman" w:hAnsi="Arial" w:cs="Arial"/>
          <w:sz w:val="24"/>
          <w:szCs w:val="24"/>
          <w:lang w:val="es-ES_tradnl" w:eastAsia="es-ES"/>
        </w:rPr>
        <w:t xml:space="preserve">que </w:t>
      </w:r>
      <w:r w:rsidR="006F0E79" w:rsidRPr="007E11D9">
        <w:rPr>
          <w:rFonts w:ascii="Arial" w:eastAsia="Times New Roman" w:hAnsi="Arial" w:cs="Arial"/>
          <w:b/>
          <w:sz w:val="24"/>
          <w:szCs w:val="24"/>
          <w:lang w:val="es-ES_tradnl" w:eastAsia="es-ES"/>
        </w:rPr>
        <w:t>l</w:t>
      </w:r>
      <w:r w:rsidR="006F0E79" w:rsidRPr="007E11D9">
        <w:rPr>
          <w:rFonts w:ascii="Arial" w:eastAsia="Times New Roman" w:hAnsi="Arial" w:cs="Arial"/>
          <w:b/>
          <w:sz w:val="24"/>
          <w:szCs w:val="24"/>
          <w:lang w:eastAsia="es-ES"/>
        </w:rPr>
        <w:t>as Salas Unitarias de este</w:t>
      </w:r>
      <w:r w:rsidRPr="007E11D9">
        <w:rPr>
          <w:rFonts w:ascii="Arial" w:eastAsia="Times New Roman" w:hAnsi="Arial" w:cs="Arial"/>
          <w:b/>
          <w:sz w:val="24"/>
          <w:szCs w:val="24"/>
          <w:lang w:eastAsia="es-ES"/>
        </w:rPr>
        <w:t xml:space="preserve"> Tribunal son competentes para conocer y resolver los juicios que se promuevan en contra de</w:t>
      </w:r>
      <w:r w:rsidR="006F0E79" w:rsidRPr="007E11D9">
        <w:rPr>
          <w:rFonts w:ascii="Arial" w:eastAsia="Times New Roman" w:hAnsi="Arial" w:cs="Arial"/>
          <w:b/>
          <w:sz w:val="24"/>
          <w:szCs w:val="24"/>
          <w:lang w:eastAsia="es-ES"/>
        </w:rPr>
        <w:t xml:space="preserve"> l</w:t>
      </w:r>
      <w:r w:rsidRPr="007E11D9">
        <w:rPr>
          <w:rFonts w:ascii="Arial" w:eastAsia="Times New Roman" w:hAnsi="Arial" w:cs="Arial"/>
          <w:b/>
          <w:sz w:val="24"/>
          <w:szCs w:val="24"/>
          <w:lang w:eastAsia="es-ES"/>
        </w:rPr>
        <w:t>os actos fiscales o administrativos que implique</w:t>
      </w:r>
      <w:r w:rsidR="007E11D9" w:rsidRPr="007E11D9">
        <w:rPr>
          <w:rFonts w:ascii="Arial" w:eastAsia="Times New Roman" w:hAnsi="Arial" w:cs="Arial"/>
          <w:b/>
          <w:sz w:val="24"/>
          <w:szCs w:val="24"/>
          <w:lang w:eastAsia="es-ES"/>
        </w:rPr>
        <w:t>n una resolución negativa ficta</w:t>
      </w:r>
      <w:r w:rsidR="007E11D9">
        <w:rPr>
          <w:rFonts w:ascii="Arial" w:eastAsia="Times New Roman" w:hAnsi="Arial" w:cs="Arial"/>
          <w:sz w:val="24"/>
          <w:szCs w:val="24"/>
          <w:lang w:eastAsia="es-ES"/>
        </w:rPr>
        <w:t>.</w:t>
      </w:r>
    </w:p>
    <w:p w:rsidR="007E11D9" w:rsidRDefault="007E11D9" w:rsidP="002D31AA">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esta tesitura, existen disposiciones reglamentarias a efecto de que los accionantes puedan acceder a la administración de justicia, normas procedimentales que no pueden dejar de observarse bajo el principio de acceso a la justicia, de lo contrario se vulnera la seguridad jurídica de que se respeten las normas procedimentales establecidas por los legisladores.</w:t>
      </w:r>
    </w:p>
    <w:p w:rsidR="007326EC" w:rsidRDefault="00DC7BB8" w:rsidP="008E7776">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efec</w:t>
      </w:r>
      <w:r w:rsidR="001D63DD">
        <w:rPr>
          <w:rFonts w:ascii="Arial" w:eastAsia="Times New Roman" w:hAnsi="Arial" w:cs="Arial"/>
          <w:sz w:val="24"/>
          <w:szCs w:val="24"/>
          <w:lang w:eastAsia="es-ES"/>
        </w:rPr>
        <w:t xml:space="preserve">to, </w:t>
      </w:r>
      <w:r w:rsidR="00D464A6">
        <w:rPr>
          <w:rFonts w:ascii="Arial" w:eastAsia="Times New Roman" w:hAnsi="Arial" w:cs="Arial"/>
          <w:sz w:val="24"/>
          <w:szCs w:val="24"/>
          <w:lang w:eastAsia="es-ES"/>
        </w:rPr>
        <w:t>la procedencia del juicio ante este Tribunal</w:t>
      </w:r>
      <w:r w:rsidR="007326EC" w:rsidRPr="007326EC">
        <w:rPr>
          <w:rFonts w:ascii="Arial" w:eastAsia="Times New Roman" w:hAnsi="Arial" w:cs="Arial"/>
          <w:sz w:val="24"/>
          <w:szCs w:val="24"/>
          <w:lang w:eastAsia="es-ES"/>
        </w:rPr>
        <w:t xml:space="preserve"> está acotada a que se colme</w:t>
      </w:r>
      <w:r w:rsidR="007326EC">
        <w:rPr>
          <w:rFonts w:ascii="Arial" w:eastAsia="Times New Roman" w:hAnsi="Arial" w:cs="Arial"/>
          <w:sz w:val="24"/>
          <w:szCs w:val="24"/>
          <w:lang w:eastAsia="es-ES"/>
        </w:rPr>
        <w:t xml:space="preserve">n los requisitos que establecen los </w:t>
      </w:r>
      <w:r w:rsidR="007326EC" w:rsidRPr="007326EC">
        <w:rPr>
          <w:rFonts w:ascii="Arial" w:eastAsia="Times New Roman" w:hAnsi="Arial" w:cs="Arial"/>
          <w:sz w:val="24"/>
          <w:szCs w:val="24"/>
          <w:lang w:eastAsia="es-ES"/>
        </w:rPr>
        <w:t>artículo</w:t>
      </w:r>
      <w:r w:rsidR="007326EC">
        <w:rPr>
          <w:rFonts w:ascii="Arial" w:eastAsia="Times New Roman" w:hAnsi="Arial" w:cs="Arial"/>
          <w:sz w:val="24"/>
          <w:szCs w:val="24"/>
          <w:lang w:eastAsia="es-ES"/>
        </w:rPr>
        <w:t xml:space="preserve">s ya analizados de la Ley de </w:t>
      </w:r>
      <w:r w:rsidR="007326EC">
        <w:rPr>
          <w:rFonts w:ascii="Arial" w:eastAsia="Times New Roman" w:hAnsi="Arial" w:cs="Arial"/>
          <w:sz w:val="24"/>
          <w:szCs w:val="24"/>
          <w:lang w:eastAsia="es-ES"/>
        </w:rPr>
        <w:lastRenderedPageBreak/>
        <w:t>Procedimiento y Justicia Administrativa para el Estado de Oaxaca</w:t>
      </w:r>
      <w:r w:rsidR="007326EC" w:rsidRPr="007326EC">
        <w:rPr>
          <w:rFonts w:ascii="Arial" w:eastAsia="Times New Roman" w:hAnsi="Arial" w:cs="Arial"/>
          <w:sz w:val="24"/>
          <w:szCs w:val="24"/>
          <w:lang w:eastAsia="es-ES"/>
        </w:rPr>
        <w:t>, hipótesis que no se surte en e</w:t>
      </w:r>
      <w:r w:rsidR="007326EC">
        <w:rPr>
          <w:rFonts w:ascii="Arial" w:eastAsia="Times New Roman" w:hAnsi="Arial" w:cs="Arial"/>
          <w:sz w:val="24"/>
          <w:szCs w:val="24"/>
          <w:lang w:eastAsia="es-ES"/>
        </w:rPr>
        <w:t>l caso.</w:t>
      </w:r>
    </w:p>
    <w:p w:rsidR="006D171F" w:rsidRDefault="006D171F" w:rsidP="008E7776">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Resulta ilustrativo el siguiente criterio:</w:t>
      </w:r>
    </w:p>
    <w:p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Registro digital: </w:t>
      </w:r>
      <w:r w:rsidRPr="006D171F">
        <w:rPr>
          <w:rFonts w:ascii="Arial" w:eastAsia="Times New Roman" w:hAnsi="Arial" w:cs="Arial"/>
          <w:lang w:eastAsia="es-ES"/>
        </w:rPr>
        <w:t>2017685</w:t>
      </w:r>
    </w:p>
    <w:p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Instancia: </w:t>
      </w:r>
      <w:r w:rsidRPr="006D171F">
        <w:rPr>
          <w:rFonts w:ascii="Arial" w:eastAsia="Times New Roman" w:hAnsi="Arial" w:cs="Arial"/>
          <w:lang w:eastAsia="es-ES"/>
        </w:rPr>
        <w:t>Segunda Sala</w:t>
      </w:r>
    </w:p>
    <w:p w:rsidR="006D171F" w:rsidRPr="006D171F" w:rsidRDefault="006D171F" w:rsidP="006D171F">
      <w:pPr>
        <w:spacing w:after="0" w:line="240" w:lineRule="auto"/>
        <w:ind w:left="567" w:right="335"/>
        <w:jc w:val="both"/>
        <w:rPr>
          <w:rFonts w:ascii="Arial" w:eastAsia="Times New Roman" w:hAnsi="Arial" w:cs="Arial"/>
          <w:lang w:eastAsia="es-ES"/>
        </w:rPr>
      </w:pPr>
      <w:r w:rsidRPr="006D171F">
        <w:rPr>
          <w:rFonts w:ascii="Arial" w:eastAsia="Times New Roman" w:hAnsi="Arial" w:cs="Arial"/>
          <w:b/>
          <w:bCs/>
          <w:lang w:eastAsia="es-ES"/>
        </w:rPr>
        <w:t>Décima Época</w:t>
      </w:r>
    </w:p>
    <w:p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6D171F">
        <w:rPr>
          <w:rFonts w:ascii="Arial" w:eastAsia="Times New Roman" w:hAnsi="Arial" w:cs="Arial"/>
          <w:lang w:eastAsia="es-ES"/>
        </w:rPr>
        <w:t>Administrativa</w:t>
      </w:r>
    </w:p>
    <w:p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Tesis: </w:t>
      </w:r>
      <w:r w:rsidRPr="006D171F">
        <w:rPr>
          <w:rFonts w:ascii="Arial" w:eastAsia="Times New Roman" w:hAnsi="Arial" w:cs="Arial"/>
          <w:lang w:eastAsia="es-ES"/>
        </w:rPr>
        <w:t>2a./J. 84/2018 (10a.)</w:t>
      </w:r>
    </w:p>
    <w:p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6D171F">
        <w:rPr>
          <w:rFonts w:ascii="Arial" w:eastAsia="Times New Roman" w:hAnsi="Arial" w:cs="Arial"/>
          <w:lang w:eastAsia="es-ES"/>
        </w:rPr>
        <w:t>Gaceta del Semanario Judicial de la Federación.</w:t>
      </w:r>
      <w:r w:rsidRPr="006D171F">
        <w:rPr>
          <w:rFonts w:ascii="Arial" w:eastAsia="Times New Roman" w:hAnsi="Arial" w:cs="Arial"/>
          <w:lang w:eastAsia="es-ES"/>
        </w:rPr>
        <w:br/>
        <w:t>Libro 57, Agosto de 2018, Tomo I, página 1101</w:t>
      </w:r>
    </w:p>
    <w:p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Tipo: </w:t>
      </w:r>
      <w:r w:rsidRPr="006D171F">
        <w:rPr>
          <w:rFonts w:ascii="Arial" w:eastAsia="Times New Roman" w:hAnsi="Arial" w:cs="Arial"/>
          <w:lang w:eastAsia="es-ES"/>
        </w:rPr>
        <w:t>Jurisprudencia</w:t>
      </w:r>
    </w:p>
    <w:p w:rsidR="006D171F" w:rsidRDefault="006D171F" w:rsidP="006D171F">
      <w:pPr>
        <w:spacing w:after="0" w:line="240" w:lineRule="auto"/>
        <w:ind w:left="567" w:right="335"/>
        <w:jc w:val="both"/>
        <w:rPr>
          <w:rFonts w:ascii="Arial" w:eastAsia="Times New Roman" w:hAnsi="Arial" w:cs="Arial"/>
          <w:b/>
          <w:bCs/>
          <w:lang w:eastAsia="es-ES"/>
        </w:rPr>
      </w:pPr>
    </w:p>
    <w:p w:rsidR="006D171F" w:rsidRPr="006D171F" w:rsidRDefault="006D171F" w:rsidP="006D171F">
      <w:pPr>
        <w:spacing w:after="0" w:line="240" w:lineRule="auto"/>
        <w:ind w:left="567" w:right="335"/>
        <w:jc w:val="both"/>
        <w:rPr>
          <w:rFonts w:ascii="Arial" w:eastAsia="Times New Roman" w:hAnsi="Arial" w:cs="Arial"/>
          <w:b/>
          <w:bCs/>
          <w:lang w:eastAsia="es-ES"/>
        </w:rPr>
      </w:pPr>
      <w:r w:rsidRPr="006D171F">
        <w:rPr>
          <w:rFonts w:ascii="Arial" w:eastAsia="Times New Roman" w:hAnsi="Arial" w:cs="Arial"/>
          <w:b/>
          <w:bCs/>
          <w:lang w:eastAsia="es-ES"/>
        </w:rPr>
        <w:t>JUICIO CONTENCIOSO ADMINISTRATIVO. PARA QUE PROCEDA CONTRA LA OMISIÓN, ACTUALIZACIÓN Y CÁLCULO DE INCREMENTOS A LAS PENSIONES CONCEDIDAS POR EL INSTITUTO DE SEGURIDAD Y SERVICIOS SOCIALES DE LOS TRABAJADORES DEL ESTADO, PREVIAMENTE DEBE EXISTIR UNA RESOLUCIÓN EXPRESA O FICTA QUE HAYA DADO RESPUESTA A LA PETICIÓN DEL PENSIONADO.</w:t>
      </w:r>
    </w:p>
    <w:p w:rsidR="006D171F" w:rsidRPr="006D171F" w:rsidRDefault="006D171F" w:rsidP="006D171F">
      <w:pPr>
        <w:spacing w:after="0" w:line="240" w:lineRule="auto"/>
        <w:ind w:left="567" w:right="335"/>
        <w:jc w:val="both"/>
        <w:rPr>
          <w:rFonts w:ascii="Arial" w:eastAsia="Times New Roman" w:hAnsi="Arial" w:cs="Arial"/>
          <w:lang w:eastAsia="es-ES"/>
        </w:rPr>
      </w:pPr>
    </w:p>
    <w:p w:rsidR="006D171F" w:rsidRPr="006D171F" w:rsidRDefault="006D171F" w:rsidP="006D171F">
      <w:pPr>
        <w:spacing w:after="0" w:line="240" w:lineRule="auto"/>
        <w:ind w:left="567" w:right="335"/>
        <w:jc w:val="both"/>
        <w:rPr>
          <w:rFonts w:ascii="Arial" w:eastAsia="Times New Roman" w:hAnsi="Arial" w:cs="Arial"/>
          <w:lang w:eastAsia="es-ES"/>
        </w:rPr>
      </w:pPr>
      <w:r w:rsidRPr="006D171F">
        <w:rPr>
          <w:rFonts w:ascii="Arial" w:eastAsia="Times New Roman" w:hAnsi="Arial" w:cs="Arial"/>
          <w:lang w:eastAsia="es-ES"/>
        </w:rPr>
        <w:t>De los artículos </w:t>
      </w:r>
      <w:hyperlink r:id="rId8" w:history="1">
        <w:r w:rsidRPr="006D171F">
          <w:rPr>
            <w:rStyle w:val="Hipervnculo"/>
            <w:rFonts w:ascii="Arial" w:eastAsia="Times New Roman" w:hAnsi="Arial" w:cs="Arial"/>
            <w:bCs/>
            <w:color w:val="auto"/>
            <w:u w:val="none"/>
            <w:lang w:eastAsia="es-ES"/>
          </w:rPr>
          <w:t>14, fracción VI, de Ley Orgánica del Tribunal Federal de Justicia Fiscal y Administrativa</w:t>
        </w:r>
      </w:hyperlink>
      <w:r w:rsidRPr="006D171F">
        <w:rPr>
          <w:rFonts w:ascii="Arial" w:eastAsia="Times New Roman" w:hAnsi="Arial" w:cs="Arial"/>
          <w:lang w:eastAsia="es-ES"/>
        </w:rPr>
        <w:t> abrogada, </w:t>
      </w:r>
      <w:hyperlink r:id="rId9" w:history="1">
        <w:r w:rsidRPr="006D171F">
          <w:rPr>
            <w:rStyle w:val="Hipervnculo"/>
            <w:rFonts w:ascii="Arial" w:eastAsia="Times New Roman" w:hAnsi="Arial" w:cs="Arial"/>
            <w:bCs/>
            <w:color w:val="auto"/>
            <w:u w:val="none"/>
            <w:lang w:eastAsia="es-ES"/>
          </w:rPr>
          <w:t>2o., 3o., 14, fracción II, y 15, fracciones III y IV, de la Ley Federal de Procedimiento Contencioso Administrativo</w:t>
        </w:r>
      </w:hyperlink>
      <w:r w:rsidRPr="006D171F">
        <w:rPr>
          <w:rFonts w:ascii="Arial" w:eastAsia="Times New Roman" w:hAnsi="Arial" w:cs="Arial"/>
          <w:lang w:eastAsia="es-ES"/>
        </w:rPr>
        <w:t xml:space="preserve">, se advierte que el Tribunal Federal de Justicia Fiscal y Administrativa (actualmente Tribunal Federal de Justicia Administrativa) conocerá del juicio contencioso administrativo promovido contra las resoluciones definitivas dictadas en materia de pensiones civiles, sea con cargo al erario federal o al Instituto de Seguridad y Servicios Sociales de los Trabajadores del Estado. </w:t>
      </w:r>
      <w:r w:rsidRPr="006D171F">
        <w:rPr>
          <w:rFonts w:ascii="Arial" w:eastAsia="Times New Roman" w:hAnsi="Arial" w:cs="Arial"/>
          <w:b/>
          <w:sz w:val="24"/>
          <w:szCs w:val="24"/>
          <w:lang w:eastAsia="es-ES"/>
        </w:rPr>
        <w:t>De dichas normas se deduce que tratándose de la impugnación de la actualización y cálculo de incrementos a una pensión se requiere de una resolución dictada por el Instituto referido, lo que presupone que el actor, antes de acudir al juicio contencioso administrativo federal, debió gestionar ante la autoridad administrativa que se le otorgaran dichos incrementos, a fin de que se pronunciara de manera expresa o ficta su negativa a acordar de manera favorable la instancia ante aquélla planteada</w:t>
      </w:r>
      <w:r w:rsidRPr="006D171F">
        <w:rPr>
          <w:rFonts w:ascii="Arial" w:eastAsia="Times New Roman" w:hAnsi="Arial" w:cs="Arial"/>
          <w:lang w:eastAsia="es-ES"/>
        </w:rPr>
        <w:t>, máxime que en las tesis aislada </w:t>
      </w:r>
      <w:hyperlink r:id="rId10" w:tgtFrame="_blank" w:history="1">
        <w:r w:rsidRPr="006D171F">
          <w:rPr>
            <w:rStyle w:val="Hipervnculo"/>
            <w:rFonts w:ascii="Arial" w:eastAsia="Times New Roman" w:hAnsi="Arial" w:cs="Arial"/>
            <w:b/>
            <w:bCs/>
            <w:lang w:eastAsia="es-ES"/>
          </w:rPr>
          <w:t>2a. X/2003</w:t>
        </w:r>
      </w:hyperlink>
      <w:r w:rsidRPr="006D171F">
        <w:rPr>
          <w:rFonts w:ascii="Arial" w:eastAsia="Times New Roman" w:hAnsi="Arial" w:cs="Arial"/>
          <w:lang w:eastAsia="es-ES"/>
        </w:rPr>
        <w:t> y de jurisprudencia </w:t>
      </w:r>
      <w:hyperlink r:id="rId11" w:tgtFrame="_blank" w:history="1">
        <w:r w:rsidRPr="006D171F">
          <w:rPr>
            <w:rStyle w:val="Hipervnculo"/>
            <w:rFonts w:ascii="Arial" w:eastAsia="Times New Roman" w:hAnsi="Arial" w:cs="Arial"/>
            <w:b/>
            <w:bCs/>
            <w:lang w:eastAsia="es-ES"/>
          </w:rPr>
          <w:t>2a./J. 80/2017 (10a.)</w:t>
        </w:r>
      </w:hyperlink>
      <w:r w:rsidRPr="006D171F">
        <w:rPr>
          <w:rFonts w:ascii="Arial" w:eastAsia="Times New Roman" w:hAnsi="Arial" w:cs="Arial"/>
          <w:lang w:eastAsia="es-ES"/>
        </w:rPr>
        <w:t>, la Segunda Sala de la Suprema Corte de Justicia de la Nación sostuvo que para la procedencia del juicio contencioso administrativo se requiere que se haya emitido un acto administrativo de autoridad, una resolución definitiva o la última resolución dictada para poner fin a un procedimiento, para que sea susceptible de impugnarse ante el Tribunal mencionado.</w:t>
      </w:r>
    </w:p>
    <w:p w:rsidR="006D171F" w:rsidRPr="006D171F" w:rsidRDefault="006D171F" w:rsidP="006D171F">
      <w:pPr>
        <w:spacing w:after="0" w:line="240" w:lineRule="auto"/>
        <w:ind w:left="567" w:right="335"/>
        <w:jc w:val="both"/>
        <w:rPr>
          <w:rFonts w:ascii="Arial" w:eastAsia="Times New Roman" w:hAnsi="Arial" w:cs="Arial"/>
          <w:lang w:eastAsia="es-ES"/>
        </w:rPr>
      </w:pPr>
    </w:p>
    <w:p w:rsidR="006D171F" w:rsidRPr="006D171F" w:rsidRDefault="006D171F" w:rsidP="006D171F">
      <w:pPr>
        <w:spacing w:after="0" w:line="240" w:lineRule="auto"/>
        <w:ind w:left="567" w:right="335"/>
        <w:jc w:val="both"/>
        <w:rPr>
          <w:rFonts w:ascii="Arial" w:eastAsia="Times New Roman" w:hAnsi="Arial" w:cs="Arial"/>
          <w:lang w:eastAsia="es-ES"/>
        </w:rPr>
      </w:pPr>
      <w:r w:rsidRPr="006D171F">
        <w:rPr>
          <w:rFonts w:ascii="Arial" w:eastAsia="Times New Roman" w:hAnsi="Arial" w:cs="Arial"/>
          <w:lang w:eastAsia="es-ES"/>
        </w:rPr>
        <w:t xml:space="preserve">Contradicción de tesis 124/2018. Entre las sustentadas por el Primer Tribunal Colegiado de Circuito del Centro Auxiliar de la Novena Región, con residencia en Zacatecas, Zacatecas, el Segundo Tribunal Colegiado del Vigésimo Quinto Circuito y el Vigésimo Tribunal Colegiado en Materia Administrativa del Primer Circuito. 27 de junio de 2018. Cinco votos de los Ministros Alberto Pérez </w:t>
      </w:r>
      <w:proofErr w:type="spellStart"/>
      <w:r w:rsidRPr="006D171F">
        <w:rPr>
          <w:rFonts w:ascii="Arial" w:eastAsia="Times New Roman" w:hAnsi="Arial" w:cs="Arial"/>
          <w:lang w:eastAsia="es-ES"/>
        </w:rPr>
        <w:t>Dayán</w:t>
      </w:r>
      <w:proofErr w:type="spellEnd"/>
      <w:r w:rsidRPr="006D171F">
        <w:rPr>
          <w:rFonts w:ascii="Arial" w:eastAsia="Times New Roman" w:hAnsi="Arial" w:cs="Arial"/>
          <w:lang w:eastAsia="es-ES"/>
        </w:rPr>
        <w:t xml:space="preserve">, Javier </w:t>
      </w:r>
      <w:proofErr w:type="spellStart"/>
      <w:r w:rsidRPr="006D171F">
        <w:rPr>
          <w:rFonts w:ascii="Arial" w:eastAsia="Times New Roman" w:hAnsi="Arial" w:cs="Arial"/>
          <w:lang w:eastAsia="es-ES"/>
        </w:rPr>
        <w:t>Laynez</w:t>
      </w:r>
      <w:proofErr w:type="spellEnd"/>
      <w:r w:rsidRPr="006D171F">
        <w:rPr>
          <w:rFonts w:ascii="Arial" w:eastAsia="Times New Roman" w:hAnsi="Arial" w:cs="Arial"/>
          <w:lang w:eastAsia="es-ES"/>
        </w:rPr>
        <w:t xml:space="preserve"> </w:t>
      </w:r>
      <w:proofErr w:type="spellStart"/>
      <w:r w:rsidRPr="006D171F">
        <w:rPr>
          <w:rFonts w:ascii="Arial" w:eastAsia="Times New Roman" w:hAnsi="Arial" w:cs="Arial"/>
          <w:lang w:eastAsia="es-ES"/>
        </w:rPr>
        <w:t>Potisek</w:t>
      </w:r>
      <w:proofErr w:type="spellEnd"/>
      <w:r w:rsidRPr="006D171F">
        <w:rPr>
          <w:rFonts w:ascii="Arial" w:eastAsia="Times New Roman" w:hAnsi="Arial" w:cs="Arial"/>
          <w:lang w:eastAsia="es-ES"/>
        </w:rPr>
        <w:t>, José Fernando Franco González Salas, Margarita Beatriz Luna Ramos y Eduardo Medina Mora I. Ponente: Margarita Beatriz Luna Ramos. Secretaria: Teresa Sánchez Medellín.</w:t>
      </w:r>
    </w:p>
    <w:p w:rsidR="006D171F" w:rsidRDefault="006D171F" w:rsidP="008E7776">
      <w:pPr>
        <w:spacing w:after="160" w:line="360" w:lineRule="auto"/>
        <w:ind w:firstLine="567"/>
        <w:jc w:val="both"/>
        <w:rPr>
          <w:rFonts w:ascii="Arial" w:eastAsia="Times New Roman" w:hAnsi="Arial" w:cs="Arial"/>
          <w:sz w:val="24"/>
          <w:szCs w:val="24"/>
          <w:lang w:eastAsia="es-ES"/>
        </w:rPr>
      </w:pPr>
    </w:p>
    <w:p w:rsidR="00221537" w:rsidRDefault="006D7347" w:rsidP="008E7776">
      <w:pPr>
        <w:spacing w:after="160" w:line="360" w:lineRule="auto"/>
        <w:ind w:firstLine="567"/>
        <w:jc w:val="both"/>
        <w:rPr>
          <w:rFonts w:ascii="Arial" w:hAnsi="Arial" w:cs="Arial"/>
          <w:sz w:val="24"/>
          <w:szCs w:val="24"/>
        </w:rPr>
      </w:pPr>
      <w:r>
        <w:rPr>
          <w:rFonts w:ascii="Arial" w:eastAsia="Times New Roman" w:hAnsi="Arial" w:cs="Arial"/>
          <w:sz w:val="24"/>
          <w:szCs w:val="24"/>
          <w:lang w:eastAsia="es-ES"/>
        </w:rPr>
        <w:t xml:space="preserve">Del </w:t>
      </w:r>
      <w:r w:rsidRPr="008E7776">
        <w:rPr>
          <w:rFonts w:ascii="Arial" w:eastAsia="Times New Roman" w:hAnsi="Arial" w:cs="Arial"/>
          <w:sz w:val="24"/>
          <w:szCs w:val="24"/>
          <w:lang w:eastAsia="es-ES"/>
        </w:rPr>
        <w:t xml:space="preserve">análisis realizado en la presente resolución a los ordenamientos </w:t>
      </w:r>
      <w:r w:rsidR="00A73F4A" w:rsidRPr="008E7776">
        <w:rPr>
          <w:rFonts w:ascii="Arial" w:eastAsia="Times New Roman" w:hAnsi="Arial" w:cs="Arial"/>
          <w:sz w:val="24"/>
          <w:szCs w:val="24"/>
          <w:lang w:eastAsia="es-ES"/>
        </w:rPr>
        <w:t xml:space="preserve">precisados </w:t>
      </w:r>
      <w:r w:rsidRPr="008E7776">
        <w:rPr>
          <w:rFonts w:ascii="Arial" w:eastAsia="Times New Roman" w:hAnsi="Arial" w:cs="Arial"/>
          <w:sz w:val="24"/>
          <w:szCs w:val="24"/>
          <w:lang w:eastAsia="es-ES"/>
        </w:rPr>
        <w:t>se concluye que el juicio intentado resulta improceden</w:t>
      </w:r>
      <w:r w:rsidR="00A73F4A" w:rsidRPr="008E7776">
        <w:rPr>
          <w:rFonts w:ascii="Arial" w:eastAsia="Times New Roman" w:hAnsi="Arial" w:cs="Arial"/>
          <w:sz w:val="24"/>
          <w:szCs w:val="24"/>
          <w:lang w:eastAsia="es-ES"/>
        </w:rPr>
        <w:t xml:space="preserve">te </w:t>
      </w:r>
      <w:r w:rsidR="00120F19" w:rsidRPr="008E7776">
        <w:rPr>
          <w:rFonts w:ascii="Arial" w:eastAsia="Times New Roman" w:hAnsi="Arial" w:cs="Arial"/>
          <w:sz w:val="24"/>
          <w:szCs w:val="24"/>
          <w:lang w:eastAsia="es-ES"/>
        </w:rPr>
        <w:t>en términos del artículo 161 fracción X</w:t>
      </w:r>
      <w:r w:rsidR="008E7776" w:rsidRPr="008E7776">
        <w:rPr>
          <w:rFonts w:ascii="Arial" w:eastAsia="Times New Roman" w:hAnsi="Arial" w:cs="Arial"/>
          <w:sz w:val="24"/>
          <w:szCs w:val="24"/>
          <w:lang w:eastAsia="es-ES"/>
        </w:rPr>
        <w:t xml:space="preserve"> de la Ley de Procedimiento y Justicia Administrativa para el Estado de Oaxaca, que dispone que es</w:t>
      </w:r>
      <w:r w:rsidR="00221537" w:rsidRPr="008E7776">
        <w:rPr>
          <w:rFonts w:ascii="Arial" w:hAnsi="Arial" w:cs="Arial"/>
          <w:sz w:val="24"/>
          <w:szCs w:val="24"/>
        </w:rPr>
        <w:t xml:space="preserve"> improcedente el juici</w:t>
      </w:r>
      <w:r w:rsidR="008E7776" w:rsidRPr="008E7776">
        <w:rPr>
          <w:rFonts w:ascii="Arial" w:hAnsi="Arial" w:cs="Arial"/>
          <w:sz w:val="24"/>
          <w:szCs w:val="24"/>
        </w:rPr>
        <w:t>o ante el Tribunal contra actos, e</w:t>
      </w:r>
      <w:r w:rsidR="00221537" w:rsidRPr="008E7776">
        <w:rPr>
          <w:rFonts w:ascii="Arial" w:hAnsi="Arial" w:cs="Arial"/>
          <w:sz w:val="24"/>
          <w:szCs w:val="24"/>
        </w:rPr>
        <w:t>n los demás casos en que la improcedencia resulte de alguna disposición de esta Ley o de cualquiera otra de naturaleza fiscal o administrativa.</w:t>
      </w:r>
    </w:p>
    <w:p w:rsidR="004B006A" w:rsidRPr="008E7776" w:rsidRDefault="004B006A" w:rsidP="008E7776">
      <w:pPr>
        <w:spacing w:after="160" w:line="360" w:lineRule="auto"/>
        <w:ind w:firstLine="567"/>
        <w:jc w:val="both"/>
        <w:rPr>
          <w:rFonts w:ascii="Arial" w:hAnsi="Arial" w:cs="Arial"/>
          <w:sz w:val="24"/>
          <w:szCs w:val="24"/>
        </w:rPr>
      </w:pPr>
      <w:r>
        <w:rPr>
          <w:rFonts w:ascii="Arial" w:hAnsi="Arial" w:cs="Arial"/>
          <w:sz w:val="24"/>
          <w:szCs w:val="24"/>
        </w:rPr>
        <w:lastRenderedPageBreak/>
        <w:t xml:space="preserve">Debiéndose en consecuencia sobreseer el juicio con fundamento en el artículo 162 fracción VI del citado ordenamiento legal, mismo que dispone: </w:t>
      </w:r>
    </w:p>
    <w:p w:rsidR="00221537" w:rsidRPr="00BF6392" w:rsidRDefault="00221537" w:rsidP="00221537">
      <w:pPr>
        <w:autoSpaceDE w:val="0"/>
        <w:autoSpaceDN w:val="0"/>
        <w:adjustRightInd w:val="0"/>
        <w:spacing w:after="0" w:line="240" w:lineRule="auto"/>
        <w:ind w:left="567" w:right="332"/>
        <w:jc w:val="both"/>
        <w:rPr>
          <w:rFonts w:ascii="Arial" w:hAnsi="Arial" w:cs="Arial"/>
        </w:rPr>
      </w:pPr>
    </w:p>
    <w:p w:rsidR="00221537" w:rsidRPr="00BF6392" w:rsidRDefault="00221537" w:rsidP="00221537">
      <w:pPr>
        <w:autoSpaceDE w:val="0"/>
        <w:autoSpaceDN w:val="0"/>
        <w:adjustRightInd w:val="0"/>
        <w:spacing w:after="0" w:line="240" w:lineRule="auto"/>
        <w:ind w:left="567" w:right="332"/>
        <w:jc w:val="both"/>
        <w:rPr>
          <w:rFonts w:ascii="Arial" w:eastAsia="Arial" w:hAnsi="Arial" w:cs="Arial"/>
        </w:rPr>
      </w:pPr>
      <w:r w:rsidRPr="00BF6392">
        <w:rPr>
          <w:rFonts w:ascii="Arial" w:hAnsi="Arial" w:cs="Arial"/>
          <w:b/>
          <w:bCs/>
        </w:rPr>
        <w:t xml:space="preserve">ARTÍCULO 162.- </w:t>
      </w:r>
      <w:r w:rsidRPr="00BF6392">
        <w:rPr>
          <w:rFonts w:ascii="Arial" w:hAnsi="Arial" w:cs="Arial"/>
        </w:rPr>
        <w:t>Procede el sobreseimiento del juicio:</w:t>
      </w:r>
    </w:p>
    <w:p w:rsidR="00221537" w:rsidRPr="00BF6392" w:rsidRDefault="00221537" w:rsidP="00221537">
      <w:pPr>
        <w:autoSpaceDE w:val="0"/>
        <w:autoSpaceDN w:val="0"/>
        <w:adjustRightInd w:val="0"/>
        <w:spacing w:after="0" w:line="240" w:lineRule="auto"/>
        <w:ind w:left="567" w:right="332"/>
        <w:jc w:val="both"/>
        <w:rPr>
          <w:rFonts w:ascii="Arial" w:eastAsia="Arial" w:hAnsi="Arial" w:cs="Arial"/>
        </w:rPr>
      </w:pPr>
      <w:r w:rsidRPr="00BF6392">
        <w:rPr>
          <w:rFonts w:ascii="Arial" w:eastAsia="Arial" w:hAnsi="Arial" w:cs="Arial"/>
        </w:rPr>
        <w:t>(…)</w:t>
      </w:r>
    </w:p>
    <w:p w:rsidR="00221537" w:rsidRPr="00BF6392" w:rsidRDefault="00221537" w:rsidP="00221537">
      <w:pPr>
        <w:autoSpaceDE w:val="0"/>
        <w:autoSpaceDN w:val="0"/>
        <w:adjustRightInd w:val="0"/>
        <w:spacing w:after="0" w:line="240" w:lineRule="auto"/>
        <w:ind w:left="567" w:right="332"/>
        <w:jc w:val="both"/>
        <w:rPr>
          <w:rFonts w:ascii="Arial" w:hAnsi="Arial" w:cs="Arial"/>
        </w:rPr>
      </w:pPr>
      <w:r w:rsidRPr="00BF6392">
        <w:rPr>
          <w:rFonts w:ascii="Arial" w:hAnsi="Arial" w:cs="Arial"/>
        </w:rPr>
        <w:t>VI. En los demás casos en los que por disposición legal exista impedimento para emitir resoluciones en cuanto al fondo; y</w:t>
      </w:r>
    </w:p>
    <w:p w:rsidR="00221537" w:rsidRDefault="00221537" w:rsidP="002B1AB3">
      <w:pPr>
        <w:spacing w:after="160" w:line="360" w:lineRule="auto"/>
        <w:ind w:firstLine="567"/>
        <w:jc w:val="both"/>
        <w:rPr>
          <w:rFonts w:ascii="Arial" w:eastAsia="Times New Roman" w:hAnsi="Arial" w:cs="Arial"/>
          <w:sz w:val="24"/>
          <w:szCs w:val="24"/>
          <w:lang w:val="es-ES_tradnl" w:eastAsia="es-ES"/>
        </w:rPr>
      </w:pPr>
    </w:p>
    <w:p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 xml:space="preserve">nes I, II y III, </w:t>
      </w:r>
      <w:r w:rsidR="0029637B">
        <w:rPr>
          <w:rFonts w:ascii="Arial" w:hAnsi="Arial" w:cs="Arial"/>
          <w:sz w:val="24"/>
          <w:szCs w:val="24"/>
        </w:rPr>
        <w:t>161 fracciones IX y X, y 162 fracción V</w:t>
      </w:r>
      <w:r w:rsidRPr="00523CFA">
        <w:rPr>
          <w:rFonts w:ascii="Arial" w:hAnsi="Arial" w:cs="Arial"/>
          <w:sz w:val="24"/>
          <w:szCs w:val="24"/>
        </w:rPr>
        <w:t>, de la Ley de Procedimiento y Justicia Administrativa para el Estado de Oaxaca, se</w:t>
      </w:r>
      <w:r w:rsidR="00C618BA">
        <w:rPr>
          <w:rFonts w:ascii="Arial" w:eastAsia="Arial" w:hAnsi="Arial" w:cs="Arial"/>
          <w:color w:val="000000"/>
          <w:sz w:val="24"/>
          <w:szCs w:val="24"/>
        </w:rPr>
        <w:t xml:space="preserve">; - . - . - . - . - . - . - . - . - . - . - . - . </w:t>
      </w:r>
      <w:r w:rsidR="0029637B">
        <w:rPr>
          <w:rFonts w:ascii="Arial" w:eastAsia="Arial" w:hAnsi="Arial" w:cs="Arial"/>
          <w:color w:val="000000"/>
          <w:sz w:val="24"/>
          <w:szCs w:val="24"/>
        </w:rPr>
        <w:t xml:space="preserve">- . - . - </w:t>
      </w:r>
    </w:p>
    <w:p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rsidR="009E06CF" w:rsidRDefault="004210CB" w:rsidP="009E06CF">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w:t>
      </w:r>
      <w:r w:rsidR="009E06CF">
        <w:rPr>
          <w:rFonts w:ascii="Arial" w:eastAsia="Arial" w:hAnsi="Arial" w:cs="Arial"/>
          <w:color w:val="000000"/>
          <w:sz w:val="24"/>
          <w:szCs w:val="24"/>
        </w:rPr>
        <w:t>n base a las consideraciones alcanzadas en el presente fallo e</w:t>
      </w:r>
      <w:r w:rsidRPr="004210CB">
        <w:rPr>
          <w:rFonts w:ascii="Arial" w:eastAsia="Arial" w:hAnsi="Arial" w:cs="Arial"/>
          <w:color w:val="000000"/>
          <w:sz w:val="24"/>
          <w:szCs w:val="24"/>
        </w:rPr>
        <w:t>sta Sexta Sala Unitaria de este Tribunal de Justicia Administrati</w:t>
      </w:r>
      <w:r w:rsidR="009E06CF">
        <w:rPr>
          <w:rFonts w:ascii="Arial" w:eastAsia="Arial" w:hAnsi="Arial" w:cs="Arial"/>
          <w:color w:val="000000"/>
          <w:sz w:val="24"/>
          <w:szCs w:val="24"/>
        </w:rPr>
        <w:t>va para el Estado de Oaxaca, resulto in</w:t>
      </w:r>
      <w:r w:rsidRPr="004210CB">
        <w:rPr>
          <w:rFonts w:ascii="Arial" w:eastAsia="Arial" w:hAnsi="Arial" w:cs="Arial"/>
          <w:color w:val="000000"/>
          <w:sz w:val="24"/>
          <w:szCs w:val="24"/>
        </w:rPr>
        <w:t>competente para conocer y resolver del presente a</w:t>
      </w:r>
      <w:r w:rsidR="009E06CF">
        <w:rPr>
          <w:rFonts w:ascii="Arial" w:eastAsia="Arial" w:hAnsi="Arial" w:cs="Arial"/>
          <w:color w:val="000000"/>
          <w:sz w:val="24"/>
          <w:szCs w:val="24"/>
        </w:rPr>
        <w:t xml:space="preserve">sunto. - - - - - - </w:t>
      </w:r>
    </w:p>
    <w:p w:rsidR="004210CB" w:rsidRPr="004210CB" w:rsidRDefault="004210CB" w:rsidP="009E06CF">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autos.- - - - .</w:t>
      </w:r>
    </w:p>
    <w:p w:rsidR="004210CB" w:rsidRPr="0029637B" w:rsidRDefault="004210CB" w:rsidP="009E06CF">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bCs/>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w:t>
      </w:r>
      <w:r w:rsidR="0029637B" w:rsidRPr="0029637B">
        <w:rPr>
          <w:rFonts w:ascii="Arial" w:eastAsia="Arial" w:hAnsi="Arial" w:cs="Arial"/>
          <w:bCs/>
          <w:color w:val="000000"/>
          <w:sz w:val="24"/>
          <w:szCs w:val="24"/>
        </w:rPr>
        <w:t>En el presente juicio se configuran las causales de improcedencia y sobreseimiento estipulad</w:t>
      </w:r>
      <w:r w:rsidR="009E06CF">
        <w:rPr>
          <w:rFonts w:ascii="Arial" w:eastAsia="Arial" w:hAnsi="Arial" w:cs="Arial"/>
          <w:bCs/>
          <w:color w:val="000000"/>
          <w:sz w:val="24"/>
          <w:szCs w:val="24"/>
        </w:rPr>
        <w:t>a</w:t>
      </w:r>
      <w:r w:rsidR="0029637B">
        <w:rPr>
          <w:rFonts w:ascii="Arial" w:eastAsia="Arial" w:hAnsi="Arial" w:cs="Arial"/>
          <w:bCs/>
          <w:color w:val="000000"/>
          <w:sz w:val="24"/>
          <w:szCs w:val="24"/>
        </w:rPr>
        <w:t xml:space="preserve">s </w:t>
      </w:r>
      <w:r w:rsidR="009E06CF">
        <w:rPr>
          <w:rFonts w:ascii="Arial" w:eastAsia="Arial" w:hAnsi="Arial" w:cs="Arial"/>
          <w:bCs/>
          <w:color w:val="000000"/>
          <w:sz w:val="24"/>
          <w:szCs w:val="24"/>
        </w:rPr>
        <w:t>en los artículos 161 fracciones</w:t>
      </w:r>
      <w:r w:rsidR="0029637B">
        <w:rPr>
          <w:rFonts w:ascii="Arial" w:eastAsia="Arial" w:hAnsi="Arial" w:cs="Arial"/>
          <w:bCs/>
          <w:color w:val="000000"/>
          <w:sz w:val="24"/>
          <w:szCs w:val="24"/>
        </w:rPr>
        <w:t xml:space="preserve"> X, y 162 fracción V</w:t>
      </w:r>
      <w:r w:rsidR="009E06CF">
        <w:rPr>
          <w:rFonts w:ascii="Arial" w:eastAsia="Arial" w:hAnsi="Arial" w:cs="Arial"/>
          <w:bCs/>
          <w:color w:val="000000"/>
          <w:sz w:val="24"/>
          <w:szCs w:val="24"/>
        </w:rPr>
        <w:t>I</w:t>
      </w:r>
      <w:r w:rsidR="00FD6538">
        <w:rPr>
          <w:rFonts w:ascii="Arial" w:eastAsia="Arial" w:hAnsi="Arial" w:cs="Arial"/>
          <w:bCs/>
          <w:color w:val="000000"/>
          <w:sz w:val="24"/>
          <w:szCs w:val="24"/>
        </w:rPr>
        <w:t xml:space="preserve"> </w:t>
      </w:r>
      <w:r w:rsidR="0029637B" w:rsidRPr="0029637B">
        <w:rPr>
          <w:rFonts w:ascii="Arial" w:eastAsia="Arial" w:hAnsi="Arial" w:cs="Arial"/>
          <w:bCs/>
          <w:color w:val="000000"/>
          <w:sz w:val="24"/>
          <w:szCs w:val="24"/>
        </w:rPr>
        <w:t xml:space="preserve">de la Ley de Procedimiento y Justicia Administrativa para el Estado de Oaxaca, por lo tanto, </w:t>
      </w:r>
      <w:r w:rsidR="0029637B" w:rsidRPr="00FD6538">
        <w:rPr>
          <w:rFonts w:ascii="Arial" w:eastAsia="Arial" w:hAnsi="Arial" w:cs="Arial"/>
          <w:b/>
          <w:color w:val="000000"/>
          <w:sz w:val="24"/>
          <w:szCs w:val="24"/>
        </w:rPr>
        <w:t>SE SOBRESEE</w:t>
      </w:r>
      <w:r w:rsidR="0029637B" w:rsidRPr="0029637B">
        <w:rPr>
          <w:rFonts w:ascii="Arial" w:eastAsia="Arial" w:hAnsi="Arial" w:cs="Arial"/>
          <w:bCs/>
          <w:color w:val="000000"/>
          <w:sz w:val="24"/>
          <w:szCs w:val="24"/>
        </w:rPr>
        <w:t xml:space="preserve"> el presente juicio por las consideraciones estip</w:t>
      </w:r>
      <w:r w:rsidR="00E67107">
        <w:rPr>
          <w:rFonts w:ascii="Arial" w:eastAsia="Arial" w:hAnsi="Arial" w:cs="Arial"/>
          <w:bCs/>
          <w:color w:val="000000"/>
          <w:sz w:val="24"/>
          <w:szCs w:val="24"/>
        </w:rPr>
        <w:t>u</w:t>
      </w:r>
      <w:r w:rsidR="00981494">
        <w:rPr>
          <w:rFonts w:ascii="Arial" w:eastAsia="Arial" w:hAnsi="Arial" w:cs="Arial"/>
          <w:bCs/>
          <w:color w:val="000000"/>
          <w:sz w:val="24"/>
          <w:szCs w:val="24"/>
        </w:rPr>
        <w:t>ladas en el considerando SEGUNDO</w:t>
      </w:r>
      <w:r w:rsidR="0029637B" w:rsidRPr="0029637B">
        <w:rPr>
          <w:rFonts w:ascii="Arial" w:eastAsia="Arial" w:hAnsi="Arial" w:cs="Arial"/>
          <w:bCs/>
          <w:color w:val="000000"/>
          <w:sz w:val="24"/>
          <w:szCs w:val="24"/>
        </w:rPr>
        <w:t xml:space="preserve"> de esta sentencia.</w:t>
      </w:r>
      <w:r w:rsidRPr="004210CB">
        <w:rPr>
          <w:rFonts w:ascii="Arial" w:eastAsia="Arial" w:hAnsi="Arial" w:cs="Arial"/>
          <w:color w:val="000000"/>
          <w:sz w:val="24"/>
          <w:szCs w:val="24"/>
        </w:rPr>
        <w:t xml:space="preserve"> -</w:t>
      </w:r>
      <w:r w:rsidR="00E67107">
        <w:rPr>
          <w:rFonts w:ascii="Arial" w:eastAsia="Arial" w:hAnsi="Arial" w:cs="Arial"/>
          <w:color w:val="000000"/>
          <w:sz w:val="24"/>
          <w:szCs w:val="24"/>
        </w:rPr>
        <w:t xml:space="preserve"> - - - - - - - - - - - - - - </w:t>
      </w:r>
      <w:r w:rsidR="009E06CF">
        <w:rPr>
          <w:rFonts w:ascii="Arial" w:eastAsia="Arial" w:hAnsi="Arial" w:cs="Arial"/>
          <w:color w:val="000000"/>
          <w:sz w:val="24"/>
          <w:szCs w:val="24"/>
        </w:rPr>
        <w:t xml:space="preserve">- - - - - - - - - - - - - </w:t>
      </w:r>
    </w:p>
    <w:p w:rsidR="004210CB" w:rsidRPr="004210CB" w:rsidRDefault="00FD6538"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w:t>
      </w:r>
      <w:r w:rsidR="004210CB" w:rsidRPr="004210CB">
        <w:rPr>
          <w:rFonts w:ascii="Arial" w:eastAsia="Arial" w:hAnsi="Arial" w:cs="Arial"/>
          <w:b/>
          <w:color w:val="000000"/>
          <w:sz w:val="24"/>
          <w:szCs w:val="24"/>
        </w:rPr>
        <w:t xml:space="preserve">TO. </w:t>
      </w:r>
      <w:r w:rsidR="004210CB"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004210CB" w:rsidRPr="004210CB">
        <w:rPr>
          <w:rFonts w:ascii="Arial" w:eastAsia="Arial" w:hAnsi="Arial" w:cs="Arial"/>
          <w:b/>
          <w:color w:val="000000"/>
          <w:sz w:val="24"/>
          <w:szCs w:val="24"/>
        </w:rPr>
        <w:t>notifíquese personalmente al actor y por oficio a la autoridad demandada</w:t>
      </w:r>
      <w:r w:rsidR="004210CB" w:rsidRPr="004210CB">
        <w:rPr>
          <w:rFonts w:ascii="Arial" w:eastAsia="Arial" w:hAnsi="Arial" w:cs="Arial"/>
          <w:color w:val="000000"/>
          <w:sz w:val="24"/>
          <w:szCs w:val="24"/>
        </w:rPr>
        <w:t>, cúmplase. - - - - - - - - - - - - - - - - - - - - - - - - - - - - - - - - - - - - - - - - - - - - - - - - - - - -.</w:t>
      </w:r>
    </w:p>
    <w:p w:rsid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Sect="00F153C9">
      <w:headerReference w:type="default" r:id="rId12"/>
      <w:footerReference w:type="default" r:id="rId13"/>
      <w:headerReference w:type="first" r:id="rId14"/>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825" w:rsidRDefault="00722825" w:rsidP="00F153C9">
      <w:pPr>
        <w:spacing w:after="0" w:line="240" w:lineRule="auto"/>
      </w:pPr>
      <w:r>
        <w:separator/>
      </w:r>
    </w:p>
  </w:endnote>
  <w:endnote w:type="continuationSeparator" w:id="0">
    <w:p w:rsidR="00722825" w:rsidRDefault="00722825"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C92" w:rsidRPr="00604752" w:rsidRDefault="006A0C92" w:rsidP="00E410E5">
    <w:pPr>
      <w:pStyle w:val="Piedepgina"/>
      <w:rPr>
        <w:rFonts w:ascii="Arial" w:hAnsi="Arial" w:cs="Arial"/>
        <w:sz w:val="24"/>
        <w:szCs w:val="24"/>
      </w:rPr>
    </w:pPr>
  </w:p>
  <w:p w:rsidR="006A0C92" w:rsidRDefault="006A0C92">
    <w:pPr>
      <w:pStyle w:val="Piedepgina"/>
    </w:pPr>
  </w:p>
  <w:p w:rsidR="006A0C92" w:rsidRDefault="006A0C9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825" w:rsidRDefault="00722825" w:rsidP="00F153C9">
      <w:pPr>
        <w:spacing w:after="0" w:line="240" w:lineRule="auto"/>
      </w:pPr>
      <w:r>
        <w:separator/>
      </w:r>
    </w:p>
  </w:footnote>
  <w:footnote w:type="continuationSeparator" w:id="0">
    <w:p w:rsidR="00722825" w:rsidRDefault="00722825" w:rsidP="00F1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0E5" w:rsidRPr="00E410E5" w:rsidRDefault="00E410E5">
    <w:pPr>
      <w:pStyle w:val="Encabezado"/>
      <w:jc w:val="center"/>
      <w:rPr>
        <w:sz w:val="24"/>
        <w:szCs w:val="24"/>
      </w:rPr>
    </w:pPr>
    <w:r>
      <w:rPr>
        <w:rFonts w:ascii="Times New Roman" w:hAnsi="Times New Roman"/>
        <w:noProof/>
        <w:sz w:val="24"/>
        <w:szCs w:val="24"/>
        <w:lang w:eastAsia="es-MX"/>
      </w:rPr>
      <mc:AlternateContent>
        <mc:Choice Requires="wps">
          <w:drawing>
            <wp:anchor distT="0" distB="0" distL="114300" distR="114300" simplePos="0" relativeHeight="251661312" behindDoc="1" locked="0" layoutInCell="1" allowOverlap="1" wp14:anchorId="26112135" wp14:editId="7A33C23F">
              <wp:simplePos x="0" y="0"/>
              <wp:positionH relativeFrom="leftMargin">
                <wp:posOffset>62230</wp:posOffset>
              </wp:positionH>
              <wp:positionV relativeFrom="paragraph">
                <wp:posOffset>-400685</wp:posOffset>
              </wp:positionV>
              <wp:extent cx="1009650" cy="997585"/>
              <wp:effectExtent l="0" t="0" r="19050" b="1206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rsidR="00E410E5" w:rsidRDefault="00E410E5" w:rsidP="00E410E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12135" id="_x0000_t202" coordsize="21600,21600" o:spt="202" path="m,l,21600r21600,l21600,xe">
              <v:stroke joinstyle="miter"/>
              <v:path gradientshapeok="t" o:connecttype="rect"/>
            </v:shapetype>
            <v:shape id="Cuadro de texto 3" o:spid="_x0000_s1026" type="#_x0000_t202" style="position:absolute;left:0;text-align:left;margin-left:4.9pt;margin-top:-31.55pt;width:79.5pt;height:78.5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" fillcolor="window" strokeweight=".5pt">
              <v:path arrowok="t"/>
              <v:textbox>
                <w:txbxContent>
                  <w:p w:rsidR="00E410E5" w:rsidRDefault="00E410E5" w:rsidP="00E410E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428194863"/>
        <w:docPartObj>
          <w:docPartGallery w:val="Page Numbers (Top of Page)"/>
          <w:docPartUnique/>
        </w:docPartObj>
      </w:sdtPr>
      <w:sdtEndPr>
        <w:rPr>
          <w:sz w:val="24"/>
          <w:szCs w:val="24"/>
        </w:rPr>
      </w:sdtEndPr>
      <w:sdtContent>
        <w:r w:rsidRPr="00E410E5">
          <w:rPr>
            <w:sz w:val="24"/>
            <w:szCs w:val="24"/>
          </w:rPr>
          <w:fldChar w:fldCharType="begin"/>
        </w:r>
        <w:r w:rsidRPr="00E410E5">
          <w:rPr>
            <w:sz w:val="24"/>
            <w:szCs w:val="24"/>
          </w:rPr>
          <w:instrText>PAGE   \* MERGEFORMAT</w:instrText>
        </w:r>
        <w:r w:rsidRPr="00E410E5">
          <w:rPr>
            <w:sz w:val="24"/>
            <w:szCs w:val="24"/>
          </w:rPr>
          <w:fldChar w:fldCharType="separate"/>
        </w:r>
        <w:r w:rsidR="00321475" w:rsidRPr="00321475">
          <w:rPr>
            <w:noProof/>
            <w:sz w:val="24"/>
            <w:szCs w:val="24"/>
            <w:lang w:val="es-ES"/>
          </w:rPr>
          <w:t>11</w:t>
        </w:r>
        <w:r w:rsidRPr="00E410E5">
          <w:rPr>
            <w:sz w:val="24"/>
            <w:szCs w:val="24"/>
          </w:rPr>
          <w:fldChar w:fldCharType="end"/>
        </w:r>
      </w:sdtContent>
    </w:sdt>
  </w:p>
  <w:p w:rsidR="00E410E5" w:rsidRDefault="00E410E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2443916"/>
      <w:docPartObj>
        <w:docPartGallery w:val="Page Numbers (Top of Page)"/>
        <w:docPartUnique/>
      </w:docPartObj>
    </w:sdtPr>
    <w:sdtEndPr>
      <w:rPr>
        <w:sz w:val="24"/>
        <w:szCs w:val="24"/>
      </w:rPr>
    </w:sdtEndPr>
    <w:sdtContent>
      <w:p w:rsidR="00E410E5" w:rsidRPr="00E410E5" w:rsidRDefault="00E410E5">
        <w:pPr>
          <w:pStyle w:val="Encabezado"/>
          <w:jc w:val="center"/>
          <w:rPr>
            <w:sz w:val="24"/>
            <w:szCs w:val="24"/>
          </w:rPr>
        </w:pPr>
        <w:r w:rsidRPr="00E410E5">
          <w:rPr>
            <w:rFonts w:ascii="Times New Roman" w:hAnsi="Times New Roman"/>
            <w:noProof/>
            <w:sz w:val="24"/>
            <w:szCs w:val="24"/>
            <w:lang w:eastAsia="es-MX"/>
          </w:rPr>
          <mc:AlternateContent>
            <mc:Choice Requires="wps">
              <w:drawing>
                <wp:anchor distT="0" distB="0" distL="114300" distR="114300" simplePos="0" relativeHeight="251659264" behindDoc="1" locked="0" layoutInCell="1" allowOverlap="1" wp14:anchorId="00B1CDD3" wp14:editId="4031D060">
                  <wp:simplePos x="0" y="0"/>
                  <wp:positionH relativeFrom="leftMargin">
                    <wp:align>right</wp:align>
                  </wp:positionH>
                  <wp:positionV relativeFrom="paragraph">
                    <wp:posOffset>-257810</wp:posOffset>
                  </wp:positionV>
                  <wp:extent cx="1009650" cy="997585"/>
                  <wp:effectExtent l="0" t="0" r="19050" b="120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rsidR="00E410E5" w:rsidRDefault="00E410E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B1CDD3" id="_x0000_t202" coordsize="21600,21600" o:spt="202" path="m,l,21600r21600,l21600,xe">
                  <v:stroke joinstyle="miter"/>
                  <v:path gradientshapeok="t" o:connecttype="rect"/>
                </v:shapetype>
                <v:shape id="Cuadro de texto 2" o:spid="_x0000_s1027" type="#_x0000_t202" style="position:absolute;left:0;text-align:left;margin-left:28.3pt;margin-top:-20.3pt;width:79.5pt;height:78.5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" fillcolor="window" strokeweight=".5pt">
                  <v:path arrowok="t"/>
                  <v:textbox>
                    <w:txbxContent>
                      <w:p w:rsidR="00E410E5" w:rsidRDefault="00E410E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Pr="00E410E5">
          <w:rPr>
            <w:sz w:val="24"/>
            <w:szCs w:val="24"/>
          </w:rPr>
          <w:fldChar w:fldCharType="begin"/>
        </w:r>
        <w:r w:rsidRPr="00E410E5">
          <w:rPr>
            <w:sz w:val="24"/>
            <w:szCs w:val="24"/>
          </w:rPr>
          <w:instrText>PAGE   \* MERGEFORMAT</w:instrText>
        </w:r>
        <w:r w:rsidRPr="00E410E5">
          <w:rPr>
            <w:sz w:val="24"/>
            <w:szCs w:val="24"/>
          </w:rPr>
          <w:fldChar w:fldCharType="separate"/>
        </w:r>
        <w:r w:rsidR="00321475" w:rsidRPr="00321475">
          <w:rPr>
            <w:noProof/>
            <w:sz w:val="24"/>
            <w:szCs w:val="24"/>
            <w:lang w:val="es-ES"/>
          </w:rPr>
          <w:t>1</w:t>
        </w:r>
        <w:r w:rsidRPr="00E410E5">
          <w:rPr>
            <w:sz w:val="24"/>
            <w:szCs w:val="24"/>
          </w:rPr>
          <w:fldChar w:fldCharType="end"/>
        </w:r>
      </w:p>
    </w:sdtContent>
  </w:sdt>
  <w:p w:rsidR="00E410E5" w:rsidRDefault="00E410E5" w:rsidP="00E410E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null="1"/>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null="1"/>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1997470"/>
    <w:multiLevelType w:val="hybridMultilevel"/>
    <w:tmpl w:val="02921400"/>
    <w:lvl w:ilvl="0" w:tplc="206AEF0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7" w15:restartNumberingAfterBreak="0">
    <w:nsid w:val="4B8D16A5"/>
    <w:multiLevelType w:val="hybridMultilevel"/>
    <w:tmpl w:val="FC1EBDBC"/>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abstractNum w:abstractNumId="8"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15:restartNumberingAfterBreak="0">
    <w:nsid w:val="635633BD"/>
    <w:multiLevelType w:val="hybridMultilevel"/>
    <w:tmpl w:val="8CB20CE2"/>
    <w:lvl w:ilvl="0" w:tplc="75EA3224">
      <w:start w:val="1"/>
      <w:numFmt w:val="decimal"/>
      <w:lvlText w:val="%1."/>
      <w:lvlJc w:val="left"/>
      <w:pPr>
        <w:ind w:left="927" w:hanging="36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11"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FB63938"/>
    <w:multiLevelType w:val="hybridMultilevel"/>
    <w:tmpl w:val="B2224C7E"/>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10"/>
  </w:num>
  <w:num w:numId="6">
    <w:abstractNumId w:val="2"/>
  </w:num>
  <w:num w:numId="7">
    <w:abstractNumId w:val="5"/>
  </w:num>
  <w:num w:numId="8">
    <w:abstractNumId w:val="8"/>
  </w:num>
  <w:num w:numId="9">
    <w:abstractNumId w:val="11"/>
  </w:num>
  <w:num w:numId="10">
    <w:abstractNumId w:val="9"/>
  </w:num>
  <w:num w:numId="11">
    <w:abstractNumId w:val="7"/>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67"/>
    <w:rsid w:val="00004560"/>
    <w:rsid w:val="00005B33"/>
    <w:rsid w:val="00012C47"/>
    <w:rsid w:val="0001339E"/>
    <w:rsid w:val="000177FF"/>
    <w:rsid w:val="00021E9C"/>
    <w:rsid w:val="000227DD"/>
    <w:rsid w:val="00024CB1"/>
    <w:rsid w:val="00033D9A"/>
    <w:rsid w:val="00035A40"/>
    <w:rsid w:val="00036C6D"/>
    <w:rsid w:val="0004291F"/>
    <w:rsid w:val="00054367"/>
    <w:rsid w:val="000544E3"/>
    <w:rsid w:val="00054F3A"/>
    <w:rsid w:val="000557FA"/>
    <w:rsid w:val="00056E46"/>
    <w:rsid w:val="0006283A"/>
    <w:rsid w:val="00064D5A"/>
    <w:rsid w:val="00065F69"/>
    <w:rsid w:val="00076010"/>
    <w:rsid w:val="00080BAA"/>
    <w:rsid w:val="00082709"/>
    <w:rsid w:val="00082ACA"/>
    <w:rsid w:val="00092ACA"/>
    <w:rsid w:val="000A5D4A"/>
    <w:rsid w:val="000B4598"/>
    <w:rsid w:val="000B590E"/>
    <w:rsid w:val="000B6029"/>
    <w:rsid w:val="000B6588"/>
    <w:rsid w:val="000C1B0B"/>
    <w:rsid w:val="000C2A2F"/>
    <w:rsid w:val="000C4359"/>
    <w:rsid w:val="000C50FB"/>
    <w:rsid w:val="000D4FC4"/>
    <w:rsid w:val="000D5344"/>
    <w:rsid w:val="000D6E95"/>
    <w:rsid w:val="000E2D0C"/>
    <w:rsid w:val="000F3F80"/>
    <w:rsid w:val="00102989"/>
    <w:rsid w:val="00102DF8"/>
    <w:rsid w:val="001110B5"/>
    <w:rsid w:val="001159AA"/>
    <w:rsid w:val="00115CB8"/>
    <w:rsid w:val="00120F19"/>
    <w:rsid w:val="00121917"/>
    <w:rsid w:val="00122971"/>
    <w:rsid w:val="00125BE9"/>
    <w:rsid w:val="0012741C"/>
    <w:rsid w:val="001330B4"/>
    <w:rsid w:val="00135BAB"/>
    <w:rsid w:val="00143037"/>
    <w:rsid w:val="001440A1"/>
    <w:rsid w:val="00157597"/>
    <w:rsid w:val="001603CB"/>
    <w:rsid w:val="00163A0B"/>
    <w:rsid w:val="00170440"/>
    <w:rsid w:val="001760AF"/>
    <w:rsid w:val="00177263"/>
    <w:rsid w:val="00182417"/>
    <w:rsid w:val="00182AF8"/>
    <w:rsid w:val="00183FEE"/>
    <w:rsid w:val="0018400A"/>
    <w:rsid w:val="00185A5F"/>
    <w:rsid w:val="0019012F"/>
    <w:rsid w:val="0019101E"/>
    <w:rsid w:val="00193C29"/>
    <w:rsid w:val="001A19F7"/>
    <w:rsid w:val="001B07DB"/>
    <w:rsid w:val="001B222B"/>
    <w:rsid w:val="001B4717"/>
    <w:rsid w:val="001C002B"/>
    <w:rsid w:val="001C31C5"/>
    <w:rsid w:val="001C4867"/>
    <w:rsid w:val="001C561A"/>
    <w:rsid w:val="001C6727"/>
    <w:rsid w:val="001C7DAE"/>
    <w:rsid w:val="001D0310"/>
    <w:rsid w:val="001D2940"/>
    <w:rsid w:val="001D63DD"/>
    <w:rsid w:val="001E70AC"/>
    <w:rsid w:val="001F16A7"/>
    <w:rsid w:val="001F22FE"/>
    <w:rsid w:val="001F40D0"/>
    <w:rsid w:val="001F4C6A"/>
    <w:rsid w:val="001F7452"/>
    <w:rsid w:val="002058DB"/>
    <w:rsid w:val="002063C8"/>
    <w:rsid w:val="002210ED"/>
    <w:rsid w:val="00221537"/>
    <w:rsid w:val="00223420"/>
    <w:rsid w:val="00223966"/>
    <w:rsid w:val="002302EE"/>
    <w:rsid w:val="00232A40"/>
    <w:rsid w:val="00234A80"/>
    <w:rsid w:val="002353F5"/>
    <w:rsid w:val="0023660D"/>
    <w:rsid w:val="00242D48"/>
    <w:rsid w:val="00243210"/>
    <w:rsid w:val="002474D9"/>
    <w:rsid w:val="00250354"/>
    <w:rsid w:val="00250638"/>
    <w:rsid w:val="00252AD8"/>
    <w:rsid w:val="00252CBC"/>
    <w:rsid w:val="002547AA"/>
    <w:rsid w:val="0027053D"/>
    <w:rsid w:val="00282CC3"/>
    <w:rsid w:val="00283BBD"/>
    <w:rsid w:val="00285F2D"/>
    <w:rsid w:val="00287DDC"/>
    <w:rsid w:val="00291436"/>
    <w:rsid w:val="00292844"/>
    <w:rsid w:val="0029637B"/>
    <w:rsid w:val="0029659E"/>
    <w:rsid w:val="002965AD"/>
    <w:rsid w:val="002A185E"/>
    <w:rsid w:val="002A458F"/>
    <w:rsid w:val="002A526D"/>
    <w:rsid w:val="002B086B"/>
    <w:rsid w:val="002B1AB3"/>
    <w:rsid w:val="002B5432"/>
    <w:rsid w:val="002B56F0"/>
    <w:rsid w:val="002B682B"/>
    <w:rsid w:val="002B7D49"/>
    <w:rsid w:val="002C089D"/>
    <w:rsid w:val="002C1213"/>
    <w:rsid w:val="002C1C36"/>
    <w:rsid w:val="002C338F"/>
    <w:rsid w:val="002C4A68"/>
    <w:rsid w:val="002D31AA"/>
    <w:rsid w:val="002E3D1E"/>
    <w:rsid w:val="002E7CD4"/>
    <w:rsid w:val="002F0AF0"/>
    <w:rsid w:val="002F308D"/>
    <w:rsid w:val="002F388E"/>
    <w:rsid w:val="002F4225"/>
    <w:rsid w:val="00302E7A"/>
    <w:rsid w:val="00305E45"/>
    <w:rsid w:val="00311D91"/>
    <w:rsid w:val="003126A6"/>
    <w:rsid w:val="0031660D"/>
    <w:rsid w:val="003200B5"/>
    <w:rsid w:val="00321475"/>
    <w:rsid w:val="0032757B"/>
    <w:rsid w:val="00333D50"/>
    <w:rsid w:val="00337E15"/>
    <w:rsid w:val="0034632E"/>
    <w:rsid w:val="00346DC8"/>
    <w:rsid w:val="00351E17"/>
    <w:rsid w:val="00356898"/>
    <w:rsid w:val="00356C93"/>
    <w:rsid w:val="00367757"/>
    <w:rsid w:val="003734B2"/>
    <w:rsid w:val="00375C27"/>
    <w:rsid w:val="0037611C"/>
    <w:rsid w:val="0037705B"/>
    <w:rsid w:val="00380EFB"/>
    <w:rsid w:val="00385187"/>
    <w:rsid w:val="003931C3"/>
    <w:rsid w:val="0039360F"/>
    <w:rsid w:val="003951A1"/>
    <w:rsid w:val="00397846"/>
    <w:rsid w:val="003A2133"/>
    <w:rsid w:val="003A300F"/>
    <w:rsid w:val="003A7FDD"/>
    <w:rsid w:val="003B0F61"/>
    <w:rsid w:val="003B481B"/>
    <w:rsid w:val="003B6A3A"/>
    <w:rsid w:val="003C0B76"/>
    <w:rsid w:val="003C1E72"/>
    <w:rsid w:val="003C4922"/>
    <w:rsid w:val="003C5674"/>
    <w:rsid w:val="003C6696"/>
    <w:rsid w:val="003C7D9A"/>
    <w:rsid w:val="003D20D0"/>
    <w:rsid w:val="003D21F4"/>
    <w:rsid w:val="003D5F5C"/>
    <w:rsid w:val="003D60D6"/>
    <w:rsid w:val="003D7F22"/>
    <w:rsid w:val="003E5D7D"/>
    <w:rsid w:val="003E6D0A"/>
    <w:rsid w:val="003F1A44"/>
    <w:rsid w:val="003F55E2"/>
    <w:rsid w:val="003F758A"/>
    <w:rsid w:val="00404EDE"/>
    <w:rsid w:val="00414C01"/>
    <w:rsid w:val="004210CB"/>
    <w:rsid w:val="00422D12"/>
    <w:rsid w:val="00432E9E"/>
    <w:rsid w:val="0043316B"/>
    <w:rsid w:val="00435823"/>
    <w:rsid w:val="00442A88"/>
    <w:rsid w:val="00445072"/>
    <w:rsid w:val="0045169C"/>
    <w:rsid w:val="004631EA"/>
    <w:rsid w:val="0046470F"/>
    <w:rsid w:val="00465B77"/>
    <w:rsid w:val="004720A7"/>
    <w:rsid w:val="00482788"/>
    <w:rsid w:val="004851E9"/>
    <w:rsid w:val="0049074C"/>
    <w:rsid w:val="004920D7"/>
    <w:rsid w:val="00492ABF"/>
    <w:rsid w:val="00493B0E"/>
    <w:rsid w:val="00496C93"/>
    <w:rsid w:val="004A19A4"/>
    <w:rsid w:val="004B006A"/>
    <w:rsid w:val="004B1460"/>
    <w:rsid w:val="004B32A5"/>
    <w:rsid w:val="004B5898"/>
    <w:rsid w:val="004B7B8A"/>
    <w:rsid w:val="004C3BDA"/>
    <w:rsid w:val="004D7492"/>
    <w:rsid w:val="004D768B"/>
    <w:rsid w:val="004E5C14"/>
    <w:rsid w:val="00506240"/>
    <w:rsid w:val="00513DE2"/>
    <w:rsid w:val="00513E50"/>
    <w:rsid w:val="00516292"/>
    <w:rsid w:val="00517BF8"/>
    <w:rsid w:val="0052138B"/>
    <w:rsid w:val="00523CFA"/>
    <w:rsid w:val="005242E1"/>
    <w:rsid w:val="005324D3"/>
    <w:rsid w:val="00541A1B"/>
    <w:rsid w:val="005512DB"/>
    <w:rsid w:val="00551CB2"/>
    <w:rsid w:val="00554B29"/>
    <w:rsid w:val="00556244"/>
    <w:rsid w:val="00556738"/>
    <w:rsid w:val="00557E42"/>
    <w:rsid w:val="005649EC"/>
    <w:rsid w:val="005664A7"/>
    <w:rsid w:val="00573A18"/>
    <w:rsid w:val="00576869"/>
    <w:rsid w:val="00577FFC"/>
    <w:rsid w:val="00584ADC"/>
    <w:rsid w:val="00591979"/>
    <w:rsid w:val="005A16F5"/>
    <w:rsid w:val="005A1BDB"/>
    <w:rsid w:val="005A2ED2"/>
    <w:rsid w:val="005B0A96"/>
    <w:rsid w:val="005B0C2D"/>
    <w:rsid w:val="005B1B39"/>
    <w:rsid w:val="005C31FC"/>
    <w:rsid w:val="005C3356"/>
    <w:rsid w:val="005C468E"/>
    <w:rsid w:val="005C5B6D"/>
    <w:rsid w:val="005C69CF"/>
    <w:rsid w:val="005E03C2"/>
    <w:rsid w:val="005E048D"/>
    <w:rsid w:val="005E3F86"/>
    <w:rsid w:val="005E4C32"/>
    <w:rsid w:val="005F68F2"/>
    <w:rsid w:val="005F69E2"/>
    <w:rsid w:val="006029FA"/>
    <w:rsid w:val="00605068"/>
    <w:rsid w:val="00611445"/>
    <w:rsid w:val="006264A4"/>
    <w:rsid w:val="00632A56"/>
    <w:rsid w:val="0063540D"/>
    <w:rsid w:val="00643A7B"/>
    <w:rsid w:val="00645C5E"/>
    <w:rsid w:val="006529E6"/>
    <w:rsid w:val="0065412A"/>
    <w:rsid w:val="00654BFC"/>
    <w:rsid w:val="006565ED"/>
    <w:rsid w:val="00657E66"/>
    <w:rsid w:val="00664CFF"/>
    <w:rsid w:val="00666344"/>
    <w:rsid w:val="006732D5"/>
    <w:rsid w:val="006748AD"/>
    <w:rsid w:val="00675494"/>
    <w:rsid w:val="00676231"/>
    <w:rsid w:val="00677A12"/>
    <w:rsid w:val="0068308A"/>
    <w:rsid w:val="00683EB9"/>
    <w:rsid w:val="00686312"/>
    <w:rsid w:val="00695FC9"/>
    <w:rsid w:val="006A0C92"/>
    <w:rsid w:val="006A1406"/>
    <w:rsid w:val="006B21F7"/>
    <w:rsid w:val="006C12B4"/>
    <w:rsid w:val="006C3055"/>
    <w:rsid w:val="006C415F"/>
    <w:rsid w:val="006D171F"/>
    <w:rsid w:val="006D7347"/>
    <w:rsid w:val="006E3CE3"/>
    <w:rsid w:val="006E3E12"/>
    <w:rsid w:val="006F0E79"/>
    <w:rsid w:val="006F32AB"/>
    <w:rsid w:val="0070169C"/>
    <w:rsid w:val="0071317F"/>
    <w:rsid w:val="00722825"/>
    <w:rsid w:val="007302F4"/>
    <w:rsid w:val="007326EC"/>
    <w:rsid w:val="00735451"/>
    <w:rsid w:val="007410B0"/>
    <w:rsid w:val="00742DF1"/>
    <w:rsid w:val="00744312"/>
    <w:rsid w:val="00752679"/>
    <w:rsid w:val="00752C55"/>
    <w:rsid w:val="007573B7"/>
    <w:rsid w:val="00757B9C"/>
    <w:rsid w:val="007608DB"/>
    <w:rsid w:val="00761130"/>
    <w:rsid w:val="00762301"/>
    <w:rsid w:val="007629F3"/>
    <w:rsid w:val="00766387"/>
    <w:rsid w:val="00773A89"/>
    <w:rsid w:val="007752AA"/>
    <w:rsid w:val="00783C45"/>
    <w:rsid w:val="00785F53"/>
    <w:rsid w:val="00795034"/>
    <w:rsid w:val="007A4472"/>
    <w:rsid w:val="007B150A"/>
    <w:rsid w:val="007B386D"/>
    <w:rsid w:val="007B6770"/>
    <w:rsid w:val="007C3155"/>
    <w:rsid w:val="007D0253"/>
    <w:rsid w:val="007D1554"/>
    <w:rsid w:val="007D3B96"/>
    <w:rsid w:val="007E11D9"/>
    <w:rsid w:val="007E15C4"/>
    <w:rsid w:val="007E20F9"/>
    <w:rsid w:val="007E4205"/>
    <w:rsid w:val="007E59DB"/>
    <w:rsid w:val="007E5ABC"/>
    <w:rsid w:val="007E6303"/>
    <w:rsid w:val="00803E3F"/>
    <w:rsid w:val="00806A85"/>
    <w:rsid w:val="00807600"/>
    <w:rsid w:val="00807924"/>
    <w:rsid w:val="00813B78"/>
    <w:rsid w:val="00824CFC"/>
    <w:rsid w:val="00827277"/>
    <w:rsid w:val="00830934"/>
    <w:rsid w:val="008327CF"/>
    <w:rsid w:val="00843832"/>
    <w:rsid w:val="00843F6F"/>
    <w:rsid w:val="008453D8"/>
    <w:rsid w:val="00846AFA"/>
    <w:rsid w:val="008471D5"/>
    <w:rsid w:val="00847480"/>
    <w:rsid w:val="008510E2"/>
    <w:rsid w:val="0085463C"/>
    <w:rsid w:val="00862623"/>
    <w:rsid w:val="008655FD"/>
    <w:rsid w:val="00870541"/>
    <w:rsid w:val="00870FA4"/>
    <w:rsid w:val="00875701"/>
    <w:rsid w:val="00882368"/>
    <w:rsid w:val="0089028E"/>
    <w:rsid w:val="00892252"/>
    <w:rsid w:val="008955FD"/>
    <w:rsid w:val="008976EB"/>
    <w:rsid w:val="008A0628"/>
    <w:rsid w:val="008A4C01"/>
    <w:rsid w:val="008A6808"/>
    <w:rsid w:val="008B1709"/>
    <w:rsid w:val="008B205A"/>
    <w:rsid w:val="008B5AB2"/>
    <w:rsid w:val="008B6F19"/>
    <w:rsid w:val="008E2FAE"/>
    <w:rsid w:val="008E7776"/>
    <w:rsid w:val="008F3844"/>
    <w:rsid w:val="008F3C66"/>
    <w:rsid w:val="008F5067"/>
    <w:rsid w:val="00900936"/>
    <w:rsid w:val="00900A99"/>
    <w:rsid w:val="00906961"/>
    <w:rsid w:val="00911652"/>
    <w:rsid w:val="009121DE"/>
    <w:rsid w:val="009148DA"/>
    <w:rsid w:val="00924AC5"/>
    <w:rsid w:val="0092798D"/>
    <w:rsid w:val="00927C1C"/>
    <w:rsid w:val="00934BA8"/>
    <w:rsid w:val="0093531E"/>
    <w:rsid w:val="00941D77"/>
    <w:rsid w:val="00944E7F"/>
    <w:rsid w:val="00952A92"/>
    <w:rsid w:val="00955597"/>
    <w:rsid w:val="0096456D"/>
    <w:rsid w:val="0097014F"/>
    <w:rsid w:val="00971780"/>
    <w:rsid w:val="00980662"/>
    <w:rsid w:val="00981494"/>
    <w:rsid w:val="00984FA5"/>
    <w:rsid w:val="0099173A"/>
    <w:rsid w:val="00993C56"/>
    <w:rsid w:val="0099448A"/>
    <w:rsid w:val="00994906"/>
    <w:rsid w:val="009A19A0"/>
    <w:rsid w:val="009A6209"/>
    <w:rsid w:val="009A6662"/>
    <w:rsid w:val="009B0161"/>
    <w:rsid w:val="009B4557"/>
    <w:rsid w:val="009C0DE2"/>
    <w:rsid w:val="009C3496"/>
    <w:rsid w:val="009C51C4"/>
    <w:rsid w:val="009D5BB3"/>
    <w:rsid w:val="009E06CF"/>
    <w:rsid w:val="009E0BC7"/>
    <w:rsid w:val="009E4CFD"/>
    <w:rsid w:val="009E7B30"/>
    <w:rsid w:val="009F01DE"/>
    <w:rsid w:val="009F2633"/>
    <w:rsid w:val="009F6DBC"/>
    <w:rsid w:val="00A00165"/>
    <w:rsid w:val="00A07492"/>
    <w:rsid w:val="00A1275C"/>
    <w:rsid w:val="00A20362"/>
    <w:rsid w:val="00A31004"/>
    <w:rsid w:val="00A559B1"/>
    <w:rsid w:val="00A55EAC"/>
    <w:rsid w:val="00A56AE0"/>
    <w:rsid w:val="00A60CA8"/>
    <w:rsid w:val="00A63130"/>
    <w:rsid w:val="00A72EEB"/>
    <w:rsid w:val="00A73AD7"/>
    <w:rsid w:val="00A73F4A"/>
    <w:rsid w:val="00A82BE2"/>
    <w:rsid w:val="00A83C95"/>
    <w:rsid w:val="00A86BB8"/>
    <w:rsid w:val="00A90C04"/>
    <w:rsid w:val="00A9165A"/>
    <w:rsid w:val="00A96C29"/>
    <w:rsid w:val="00A97EF3"/>
    <w:rsid w:val="00AA27EB"/>
    <w:rsid w:val="00AA4CCD"/>
    <w:rsid w:val="00AA5F09"/>
    <w:rsid w:val="00AB6BF6"/>
    <w:rsid w:val="00AB7FEB"/>
    <w:rsid w:val="00AC1810"/>
    <w:rsid w:val="00AC2301"/>
    <w:rsid w:val="00AC292A"/>
    <w:rsid w:val="00AC45D7"/>
    <w:rsid w:val="00AC4AF4"/>
    <w:rsid w:val="00AC5AF4"/>
    <w:rsid w:val="00AD1ED1"/>
    <w:rsid w:val="00AD29F3"/>
    <w:rsid w:val="00AD6569"/>
    <w:rsid w:val="00AE758C"/>
    <w:rsid w:val="00AF5648"/>
    <w:rsid w:val="00B00DD7"/>
    <w:rsid w:val="00B07550"/>
    <w:rsid w:val="00B07C1F"/>
    <w:rsid w:val="00B103BC"/>
    <w:rsid w:val="00B108F2"/>
    <w:rsid w:val="00B13756"/>
    <w:rsid w:val="00B13BB6"/>
    <w:rsid w:val="00B14107"/>
    <w:rsid w:val="00B14701"/>
    <w:rsid w:val="00B16DD0"/>
    <w:rsid w:val="00B2379F"/>
    <w:rsid w:val="00B259D5"/>
    <w:rsid w:val="00B33A40"/>
    <w:rsid w:val="00B35954"/>
    <w:rsid w:val="00B42017"/>
    <w:rsid w:val="00B50177"/>
    <w:rsid w:val="00B56885"/>
    <w:rsid w:val="00B6342A"/>
    <w:rsid w:val="00B6380A"/>
    <w:rsid w:val="00B73E63"/>
    <w:rsid w:val="00B74D9F"/>
    <w:rsid w:val="00B85039"/>
    <w:rsid w:val="00B91B5E"/>
    <w:rsid w:val="00B91E2C"/>
    <w:rsid w:val="00B94E84"/>
    <w:rsid w:val="00B95366"/>
    <w:rsid w:val="00B95B34"/>
    <w:rsid w:val="00BA37BD"/>
    <w:rsid w:val="00BB1B71"/>
    <w:rsid w:val="00BB5848"/>
    <w:rsid w:val="00BB68F0"/>
    <w:rsid w:val="00BC37C2"/>
    <w:rsid w:val="00BC44CC"/>
    <w:rsid w:val="00BC5CF5"/>
    <w:rsid w:val="00BD57F3"/>
    <w:rsid w:val="00BE00C6"/>
    <w:rsid w:val="00BE06A2"/>
    <w:rsid w:val="00BE160C"/>
    <w:rsid w:val="00BE6526"/>
    <w:rsid w:val="00BF372B"/>
    <w:rsid w:val="00BF4652"/>
    <w:rsid w:val="00BF6392"/>
    <w:rsid w:val="00C00E83"/>
    <w:rsid w:val="00C01860"/>
    <w:rsid w:val="00C02A9D"/>
    <w:rsid w:val="00C07980"/>
    <w:rsid w:val="00C10D61"/>
    <w:rsid w:val="00C11C3C"/>
    <w:rsid w:val="00C12508"/>
    <w:rsid w:val="00C12848"/>
    <w:rsid w:val="00C12BCD"/>
    <w:rsid w:val="00C150D4"/>
    <w:rsid w:val="00C16E14"/>
    <w:rsid w:val="00C244CD"/>
    <w:rsid w:val="00C339BA"/>
    <w:rsid w:val="00C34995"/>
    <w:rsid w:val="00C444B1"/>
    <w:rsid w:val="00C54B90"/>
    <w:rsid w:val="00C618BA"/>
    <w:rsid w:val="00C62196"/>
    <w:rsid w:val="00C62271"/>
    <w:rsid w:val="00C64A51"/>
    <w:rsid w:val="00C65EE1"/>
    <w:rsid w:val="00C67D71"/>
    <w:rsid w:val="00C73A31"/>
    <w:rsid w:val="00C767E2"/>
    <w:rsid w:val="00C806AA"/>
    <w:rsid w:val="00C91DC6"/>
    <w:rsid w:val="00CA47D2"/>
    <w:rsid w:val="00CA55C5"/>
    <w:rsid w:val="00CB380D"/>
    <w:rsid w:val="00CB6293"/>
    <w:rsid w:val="00CC02D4"/>
    <w:rsid w:val="00CC1CE7"/>
    <w:rsid w:val="00CC3121"/>
    <w:rsid w:val="00CC38B4"/>
    <w:rsid w:val="00CC49A5"/>
    <w:rsid w:val="00CD46B0"/>
    <w:rsid w:val="00CE47F3"/>
    <w:rsid w:val="00CE4F5A"/>
    <w:rsid w:val="00CE7503"/>
    <w:rsid w:val="00CF63FD"/>
    <w:rsid w:val="00D0149B"/>
    <w:rsid w:val="00D0610D"/>
    <w:rsid w:val="00D15254"/>
    <w:rsid w:val="00D16DEC"/>
    <w:rsid w:val="00D17957"/>
    <w:rsid w:val="00D24DBA"/>
    <w:rsid w:val="00D25E2F"/>
    <w:rsid w:val="00D31C7A"/>
    <w:rsid w:val="00D32386"/>
    <w:rsid w:val="00D32CF6"/>
    <w:rsid w:val="00D43C80"/>
    <w:rsid w:val="00D464A6"/>
    <w:rsid w:val="00D50AF9"/>
    <w:rsid w:val="00D60413"/>
    <w:rsid w:val="00D60CE2"/>
    <w:rsid w:val="00D615C6"/>
    <w:rsid w:val="00D63C2D"/>
    <w:rsid w:val="00D654F1"/>
    <w:rsid w:val="00D70384"/>
    <w:rsid w:val="00D71E41"/>
    <w:rsid w:val="00D71EF8"/>
    <w:rsid w:val="00D747D6"/>
    <w:rsid w:val="00D80C5E"/>
    <w:rsid w:val="00D80E26"/>
    <w:rsid w:val="00D81B83"/>
    <w:rsid w:val="00D8237C"/>
    <w:rsid w:val="00D86D8C"/>
    <w:rsid w:val="00D93215"/>
    <w:rsid w:val="00DB1DEA"/>
    <w:rsid w:val="00DB43C2"/>
    <w:rsid w:val="00DB45C1"/>
    <w:rsid w:val="00DC7BB8"/>
    <w:rsid w:val="00DD0B86"/>
    <w:rsid w:val="00DD21D9"/>
    <w:rsid w:val="00DE045F"/>
    <w:rsid w:val="00DE195A"/>
    <w:rsid w:val="00DE2FE1"/>
    <w:rsid w:val="00DE4D2D"/>
    <w:rsid w:val="00DE7003"/>
    <w:rsid w:val="00DF43C6"/>
    <w:rsid w:val="00DF5F54"/>
    <w:rsid w:val="00DF7238"/>
    <w:rsid w:val="00E008FB"/>
    <w:rsid w:val="00E01B3F"/>
    <w:rsid w:val="00E11E3F"/>
    <w:rsid w:val="00E17C78"/>
    <w:rsid w:val="00E2208C"/>
    <w:rsid w:val="00E2749E"/>
    <w:rsid w:val="00E27BEE"/>
    <w:rsid w:val="00E324DF"/>
    <w:rsid w:val="00E36247"/>
    <w:rsid w:val="00E40E24"/>
    <w:rsid w:val="00E410E5"/>
    <w:rsid w:val="00E440B1"/>
    <w:rsid w:val="00E46AFE"/>
    <w:rsid w:val="00E46D10"/>
    <w:rsid w:val="00E473D7"/>
    <w:rsid w:val="00E54817"/>
    <w:rsid w:val="00E54944"/>
    <w:rsid w:val="00E567A6"/>
    <w:rsid w:val="00E6134A"/>
    <w:rsid w:val="00E62702"/>
    <w:rsid w:val="00E62D02"/>
    <w:rsid w:val="00E635B8"/>
    <w:rsid w:val="00E6608F"/>
    <w:rsid w:val="00E67107"/>
    <w:rsid w:val="00E72F3A"/>
    <w:rsid w:val="00E75154"/>
    <w:rsid w:val="00E934EF"/>
    <w:rsid w:val="00EA0AF9"/>
    <w:rsid w:val="00EA4425"/>
    <w:rsid w:val="00EA48DD"/>
    <w:rsid w:val="00EA5B95"/>
    <w:rsid w:val="00EA6EE9"/>
    <w:rsid w:val="00EA7127"/>
    <w:rsid w:val="00EB4E7E"/>
    <w:rsid w:val="00EB5F85"/>
    <w:rsid w:val="00EB6232"/>
    <w:rsid w:val="00EC213A"/>
    <w:rsid w:val="00EC319F"/>
    <w:rsid w:val="00EC41FD"/>
    <w:rsid w:val="00EC491A"/>
    <w:rsid w:val="00ED0CC3"/>
    <w:rsid w:val="00ED103A"/>
    <w:rsid w:val="00ED21B1"/>
    <w:rsid w:val="00EF0E6E"/>
    <w:rsid w:val="00EF48A2"/>
    <w:rsid w:val="00EF5BBC"/>
    <w:rsid w:val="00EF70F2"/>
    <w:rsid w:val="00F02205"/>
    <w:rsid w:val="00F153C9"/>
    <w:rsid w:val="00F16016"/>
    <w:rsid w:val="00F1753E"/>
    <w:rsid w:val="00F20802"/>
    <w:rsid w:val="00F22530"/>
    <w:rsid w:val="00F25002"/>
    <w:rsid w:val="00F25337"/>
    <w:rsid w:val="00F257F3"/>
    <w:rsid w:val="00F31BCC"/>
    <w:rsid w:val="00F34CD4"/>
    <w:rsid w:val="00F3771F"/>
    <w:rsid w:val="00F41184"/>
    <w:rsid w:val="00F434D3"/>
    <w:rsid w:val="00F44248"/>
    <w:rsid w:val="00F47C1B"/>
    <w:rsid w:val="00F51636"/>
    <w:rsid w:val="00F531AB"/>
    <w:rsid w:val="00F57930"/>
    <w:rsid w:val="00F667CC"/>
    <w:rsid w:val="00F72A4E"/>
    <w:rsid w:val="00F759E8"/>
    <w:rsid w:val="00F76724"/>
    <w:rsid w:val="00F80BCE"/>
    <w:rsid w:val="00F82028"/>
    <w:rsid w:val="00F83A3C"/>
    <w:rsid w:val="00F848B6"/>
    <w:rsid w:val="00F85C91"/>
    <w:rsid w:val="00F86EC6"/>
    <w:rsid w:val="00F9549B"/>
    <w:rsid w:val="00F96B02"/>
    <w:rsid w:val="00FA069E"/>
    <w:rsid w:val="00FA4419"/>
    <w:rsid w:val="00FB46E3"/>
    <w:rsid w:val="00FB53BB"/>
    <w:rsid w:val="00FB5B62"/>
    <w:rsid w:val="00FC2064"/>
    <w:rsid w:val="00FC2AE5"/>
    <w:rsid w:val="00FC5B3A"/>
    <w:rsid w:val="00FD3D58"/>
    <w:rsid w:val="00FD6538"/>
    <w:rsid w:val="00FE2F6F"/>
    <w:rsid w:val="00FE39C3"/>
    <w:rsid w:val="00FE591B"/>
    <w:rsid w:val="00FF0B0A"/>
    <w:rsid w:val="00FF27CA"/>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F55D9"/>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74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 w:type="paragraph" w:customStyle="1" w:styleId="lead">
    <w:name w:val="lead"/>
    <w:basedOn w:val="Normal"/>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809">
      <w:bodyDiv w:val="1"/>
      <w:marLeft w:val="0"/>
      <w:marRight w:val="0"/>
      <w:marTop w:val="0"/>
      <w:marBottom w:val="0"/>
      <w:divBdr>
        <w:top w:val="none" w:sz="0" w:space="0" w:color="auto"/>
        <w:left w:val="none" w:sz="0" w:space="0" w:color="auto"/>
        <w:bottom w:val="none" w:sz="0" w:space="0" w:color="auto"/>
        <w:right w:val="none" w:sz="0" w:space="0" w:color="auto"/>
      </w:divBdr>
      <w:divsChild>
        <w:div w:id="36587979">
          <w:marLeft w:val="0"/>
          <w:marRight w:val="0"/>
          <w:marTop w:val="0"/>
          <w:marBottom w:val="0"/>
          <w:divBdr>
            <w:top w:val="none" w:sz="0" w:space="0" w:color="auto"/>
            <w:left w:val="none" w:sz="0" w:space="0" w:color="auto"/>
            <w:bottom w:val="none" w:sz="0" w:space="0" w:color="auto"/>
            <w:right w:val="none" w:sz="0" w:space="0" w:color="auto"/>
          </w:divBdr>
        </w:div>
        <w:div w:id="109515290">
          <w:marLeft w:val="0"/>
          <w:marRight w:val="0"/>
          <w:marTop w:val="0"/>
          <w:marBottom w:val="0"/>
          <w:divBdr>
            <w:top w:val="none" w:sz="0" w:space="0" w:color="auto"/>
            <w:left w:val="none" w:sz="0" w:space="0" w:color="auto"/>
            <w:bottom w:val="none" w:sz="0" w:space="0" w:color="auto"/>
            <w:right w:val="none" w:sz="0" w:space="0" w:color="auto"/>
          </w:divBdr>
        </w:div>
        <w:div w:id="218054448">
          <w:marLeft w:val="0"/>
          <w:marRight w:val="0"/>
          <w:marTop w:val="0"/>
          <w:marBottom w:val="0"/>
          <w:divBdr>
            <w:top w:val="none" w:sz="0" w:space="0" w:color="auto"/>
            <w:left w:val="none" w:sz="0" w:space="0" w:color="auto"/>
            <w:bottom w:val="none" w:sz="0" w:space="0" w:color="auto"/>
            <w:right w:val="none" w:sz="0" w:space="0" w:color="auto"/>
          </w:divBdr>
        </w:div>
        <w:div w:id="596254593">
          <w:marLeft w:val="0"/>
          <w:marRight w:val="0"/>
          <w:marTop w:val="0"/>
          <w:marBottom w:val="0"/>
          <w:divBdr>
            <w:top w:val="none" w:sz="0" w:space="0" w:color="auto"/>
            <w:left w:val="none" w:sz="0" w:space="0" w:color="auto"/>
            <w:bottom w:val="none" w:sz="0" w:space="0" w:color="auto"/>
            <w:right w:val="none" w:sz="0" w:space="0" w:color="auto"/>
          </w:divBdr>
        </w:div>
        <w:div w:id="386611029">
          <w:marLeft w:val="0"/>
          <w:marRight w:val="0"/>
          <w:marTop w:val="0"/>
          <w:marBottom w:val="0"/>
          <w:divBdr>
            <w:top w:val="none" w:sz="0" w:space="0" w:color="auto"/>
            <w:left w:val="none" w:sz="0" w:space="0" w:color="auto"/>
            <w:bottom w:val="none" w:sz="0" w:space="0" w:color="auto"/>
            <w:right w:val="none" w:sz="0" w:space="0" w:color="auto"/>
          </w:divBdr>
        </w:div>
        <w:div w:id="1624118481">
          <w:marLeft w:val="0"/>
          <w:marRight w:val="0"/>
          <w:marTop w:val="0"/>
          <w:marBottom w:val="0"/>
          <w:divBdr>
            <w:top w:val="none" w:sz="0" w:space="0" w:color="auto"/>
            <w:left w:val="none" w:sz="0" w:space="0" w:color="auto"/>
            <w:bottom w:val="none" w:sz="0" w:space="0" w:color="auto"/>
            <w:right w:val="none" w:sz="0" w:space="0" w:color="auto"/>
          </w:divBdr>
        </w:div>
        <w:div w:id="806357586">
          <w:marLeft w:val="0"/>
          <w:marRight w:val="0"/>
          <w:marTop w:val="0"/>
          <w:marBottom w:val="0"/>
          <w:divBdr>
            <w:top w:val="none" w:sz="0" w:space="0" w:color="auto"/>
            <w:left w:val="none" w:sz="0" w:space="0" w:color="auto"/>
            <w:bottom w:val="none" w:sz="0" w:space="0" w:color="auto"/>
            <w:right w:val="none" w:sz="0" w:space="0" w:color="auto"/>
          </w:divBdr>
        </w:div>
      </w:divsChild>
    </w:div>
    <w:div w:id="28839065">
      <w:bodyDiv w:val="1"/>
      <w:marLeft w:val="0"/>
      <w:marRight w:val="0"/>
      <w:marTop w:val="0"/>
      <w:marBottom w:val="0"/>
      <w:divBdr>
        <w:top w:val="none" w:sz="0" w:space="0" w:color="auto"/>
        <w:left w:val="none" w:sz="0" w:space="0" w:color="auto"/>
        <w:bottom w:val="none" w:sz="0" w:space="0" w:color="auto"/>
        <w:right w:val="none" w:sz="0" w:space="0" w:color="auto"/>
      </w:divBdr>
      <w:divsChild>
        <w:div w:id="989401138">
          <w:marLeft w:val="0"/>
          <w:marRight w:val="0"/>
          <w:marTop w:val="0"/>
          <w:marBottom w:val="0"/>
          <w:divBdr>
            <w:top w:val="none" w:sz="0" w:space="0" w:color="auto"/>
            <w:left w:val="none" w:sz="0" w:space="0" w:color="auto"/>
            <w:bottom w:val="none" w:sz="0" w:space="0" w:color="auto"/>
            <w:right w:val="none" w:sz="0" w:space="0" w:color="auto"/>
          </w:divBdr>
          <w:divsChild>
            <w:div w:id="2015498366">
              <w:marLeft w:val="0"/>
              <w:marRight w:val="0"/>
              <w:marTop w:val="0"/>
              <w:marBottom w:val="0"/>
              <w:divBdr>
                <w:top w:val="none" w:sz="0" w:space="0" w:color="auto"/>
                <w:left w:val="none" w:sz="0" w:space="0" w:color="auto"/>
                <w:bottom w:val="none" w:sz="0" w:space="0" w:color="auto"/>
                <w:right w:val="none" w:sz="0" w:space="0" w:color="auto"/>
              </w:divBdr>
            </w:div>
          </w:divsChild>
        </w:div>
        <w:div w:id="1387608330">
          <w:marLeft w:val="0"/>
          <w:marRight w:val="0"/>
          <w:marTop w:val="0"/>
          <w:marBottom w:val="0"/>
          <w:divBdr>
            <w:top w:val="none" w:sz="0" w:space="0" w:color="auto"/>
            <w:left w:val="none" w:sz="0" w:space="0" w:color="auto"/>
            <w:bottom w:val="none" w:sz="0" w:space="0" w:color="auto"/>
            <w:right w:val="none" w:sz="0" w:space="0" w:color="auto"/>
          </w:divBdr>
          <w:divsChild>
            <w:div w:id="1649750190">
              <w:marLeft w:val="0"/>
              <w:marRight w:val="0"/>
              <w:marTop w:val="0"/>
              <w:marBottom w:val="0"/>
              <w:divBdr>
                <w:top w:val="none" w:sz="0" w:space="0" w:color="auto"/>
                <w:left w:val="none" w:sz="0" w:space="0" w:color="auto"/>
                <w:bottom w:val="none" w:sz="0" w:space="0" w:color="auto"/>
                <w:right w:val="none" w:sz="0" w:space="0" w:color="auto"/>
              </w:divBdr>
            </w:div>
            <w:div w:id="503475913">
              <w:marLeft w:val="0"/>
              <w:marRight w:val="0"/>
              <w:marTop w:val="0"/>
              <w:marBottom w:val="0"/>
              <w:divBdr>
                <w:top w:val="none" w:sz="0" w:space="0" w:color="auto"/>
                <w:left w:val="none" w:sz="0" w:space="0" w:color="auto"/>
                <w:bottom w:val="none" w:sz="0" w:space="0" w:color="auto"/>
                <w:right w:val="none" w:sz="0" w:space="0" w:color="auto"/>
              </w:divBdr>
            </w:div>
            <w:div w:id="849879178">
              <w:marLeft w:val="0"/>
              <w:marRight w:val="0"/>
              <w:marTop w:val="0"/>
              <w:marBottom w:val="0"/>
              <w:divBdr>
                <w:top w:val="none" w:sz="0" w:space="0" w:color="auto"/>
                <w:left w:val="none" w:sz="0" w:space="0" w:color="auto"/>
                <w:bottom w:val="none" w:sz="0" w:space="0" w:color="auto"/>
                <w:right w:val="none" w:sz="0" w:space="0" w:color="auto"/>
              </w:divBdr>
            </w:div>
          </w:divsChild>
        </w:div>
        <w:div w:id="1059938515">
          <w:marLeft w:val="0"/>
          <w:marRight w:val="0"/>
          <w:marTop w:val="0"/>
          <w:marBottom w:val="0"/>
          <w:divBdr>
            <w:top w:val="none" w:sz="0" w:space="0" w:color="auto"/>
            <w:left w:val="none" w:sz="0" w:space="0" w:color="auto"/>
            <w:bottom w:val="none" w:sz="0" w:space="0" w:color="auto"/>
            <w:right w:val="none" w:sz="0" w:space="0" w:color="auto"/>
          </w:divBdr>
          <w:divsChild>
            <w:div w:id="1507281548">
              <w:marLeft w:val="0"/>
              <w:marRight w:val="0"/>
              <w:marTop w:val="0"/>
              <w:marBottom w:val="0"/>
              <w:divBdr>
                <w:top w:val="none" w:sz="0" w:space="0" w:color="auto"/>
                <w:left w:val="none" w:sz="0" w:space="0" w:color="auto"/>
                <w:bottom w:val="none" w:sz="0" w:space="0" w:color="auto"/>
                <w:right w:val="none" w:sz="0" w:space="0" w:color="auto"/>
              </w:divBdr>
            </w:div>
            <w:div w:id="1916938855">
              <w:marLeft w:val="0"/>
              <w:marRight w:val="0"/>
              <w:marTop w:val="0"/>
              <w:marBottom w:val="0"/>
              <w:divBdr>
                <w:top w:val="none" w:sz="0" w:space="0" w:color="auto"/>
                <w:left w:val="none" w:sz="0" w:space="0" w:color="auto"/>
                <w:bottom w:val="none" w:sz="0" w:space="0" w:color="auto"/>
                <w:right w:val="none" w:sz="0" w:space="0" w:color="auto"/>
              </w:divBdr>
            </w:div>
            <w:div w:id="1483542938">
              <w:marLeft w:val="0"/>
              <w:marRight w:val="0"/>
              <w:marTop w:val="0"/>
              <w:marBottom w:val="0"/>
              <w:divBdr>
                <w:top w:val="none" w:sz="0" w:space="0" w:color="auto"/>
                <w:left w:val="none" w:sz="0" w:space="0" w:color="auto"/>
                <w:bottom w:val="none" w:sz="0" w:space="0" w:color="auto"/>
                <w:right w:val="none" w:sz="0" w:space="0" w:color="auto"/>
              </w:divBdr>
            </w:div>
          </w:divsChild>
        </w:div>
        <w:div w:id="345912607">
          <w:marLeft w:val="0"/>
          <w:marRight w:val="0"/>
          <w:marTop w:val="0"/>
          <w:marBottom w:val="0"/>
          <w:divBdr>
            <w:top w:val="none" w:sz="0" w:space="0" w:color="auto"/>
            <w:left w:val="none" w:sz="0" w:space="0" w:color="auto"/>
            <w:bottom w:val="none" w:sz="0" w:space="0" w:color="auto"/>
            <w:right w:val="none" w:sz="0" w:space="0" w:color="auto"/>
          </w:divBdr>
        </w:div>
        <w:div w:id="201484279">
          <w:marLeft w:val="0"/>
          <w:marRight w:val="0"/>
          <w:marTop w:val="0"/>
          <w:marBottom w:val="0"/>
          <w:divBdr>
            <w:top w:val="none" w:sz="0" w:space="0" w:color="auto"/>
            <w:left w:val="none" w:sz="0" w:space="0" w:color="auto"/>
            <w:bottom w:val="none" w:sz="0" w:space="0" w:color="auto"/>
            <w:right w:val="none" w:sz="0" w:space="0" w:color="auto"/>
          </w:divBdr>
        </w:div>
        <w:div w:id="298994213">
          <w:marLeft w:val="0"/>
          <w:marRight w:val="0"/>
          <w:marTop w:val="0"/>
          <w:marBottom w:val="0"/>
          <w:divBdr>
            <w:top w:val="none" w:sz="0" w:space="0" w:color="auto"/>
            <w:left w:val="none" w:sz="0" w:space="0" w:color="auto"/>
            <w:bottom w:val="none" w:sz="0" w:space="0" w:color="auto"/>
            <w:right w:val="none" w:sz="0" w:space="0" w:color="auto"/>
          </w:divBdr>
        </w:div>
      </w:divsChild>
    </w:div>
    <w:div w:id="91362861">
      <w:bodyDiv w:val="1"/>
      <w:marLeft w:val="0"/>
      <w:marRight w:val="0"/>
      <w:marTop w:val="0"/>
      <w:marBottom w:val="0"/>
      <w:divBdr>
        <w:top w:val="none" w:sz="0" w:space="0" w:color="auto"/>
        <w:left w:val="none" w:sz="0" w:space="0" w:color="auto"/>
        <w:bottom w:val="none" w:sz="0" w:space="0" w:color="auto"/>
        <w:right w:val="none" w:sz="0" w:space="0" w:color="auto"/>
      </w:divBdr>
      <w:divsChild>
        <w:div w:id="1145656710">
          <w:marLeft w:val="0"/>
          <w:marRight w:val="0"/>
          <w:marTop w:val="0"/>
          <w:marBottom w:val="0"/>
          <w:divBdr>
            <w:top w:val="none" w:sz="0" w:space="0" w:color="auto"/>
            <w:left w:val="none" w:sz="0" w:space="0" w:color="auto"/>
            <w:bottom w:val="none" w:sz="0" w:space="0" w:color="auto"/>
            <w:right w:val="none" w:sz="0" w:space="0" w:color="auto"/>
          </w:divBdr>
          <w:divsChild>
            <w:div w:id="37364433">
              <w:marLeft w:val="0"/>
              <w:marRight w:val="0"/>
              <w:marTop w:val="0"/>
              <w:marBottom w:val="0"/>
              <w:divBdr>
                <w:top w:val="none" w:sz="0" w:space="0" w:color="auto"/>
                <w:left w:val="none" w:sz="0" w:space="0" w:color="auto"/>
                <w:bottom w:val="none" w:sz="0" w:space="0" w:color="auto"/>
                <w:right w:val="none" w:sz="0" w:space="0" w:color="auto"/>
              </w:divBdr>
            </w:div>
          </w:divsChild>
        </w:div>
        <w:div w:id="66847967">
          <w:marLeft w:val="0"/>
          <w:marRight w:val="0"/>
          <w:marTop w:val="0"/>
          <w:marBottom w:val="0"/>
          <w:divBdr>
            <w:top w:val="none" w:sz="0" w:space="0" w:color="auto"/>
            <w:left w:val="none" w:sz="0" w:space="0" w:color="auto"/>
            <w:bottom w:val="none" w:sz="0" w:space="0" w:color="auto"/>
            <w:right w:val="none" w:sz="0" w:space="0" w:color="auto"/>
          </w:divBdr>
          <w:divsChild>
            <w:div w:id="635109840">
              <w:marLeft w:val="0"/>
              <w:marRight w:val="0"/>
              <w:marTop w:val="0"/>
              <w:marBottom w:val="0"/>
              <w:divBdr>
                <w:top w:val="none" w:sz="0" w:space="0" w:color="auto"/>
                <w:left w:val="none" w:sz="0" w:space="0" w:color="auto"/>
                <w:bottom w:val="none" w:sz="0" w:space="0" w:color="auto"/>
                <w:right w:val="none" w:sz="0" w:space="0" w:color="auto"/>
              </w:divBdr>
            </w:div>
            <w:div w:id="147940619">
              <w:marLeft w:val="0"/>
              <w:marRight w:val="0"/>
              <w:marTop w:val="0"/>
              <w:marBottom w:val="0"/>
              <w:divBdr>
                <w:top w:val="none" w:sz="0" w:space="0" w:color="auto"/>
                <w:left w:val="none" w:sz="0" w:space="0" w:color="auto"/>
                <w:bottom w:val="none" w:sz="0" w:space="0" w:color="auto"/>
                <w:right w:val="none" w:sz="0" w:space="0" w:color="auto"/>
              </w:divBdr>
            </w:div>
            <w:div w:id="67002151">
              <w:marLeft w:val="0"/>
              <w:marRight w:val="0"/>
              <w:marTop w:val="0"/>
              <w:marBottom w:val="0"/>
              <w:divBdr>
                <w:top w:val="none" w:sz="0" w:space="0" w:color="auto"/>
                <w:left w:val="none" w:sz="0" w:space="0" w:color="auto"/>
                <w:bottom w:val="none" w:sz="0" w:space="0" w:color="auto"/>
                <w:right w:val="none" w:sz="0" w:space="0" w:color="auto"/>
              </w:divBdr>
            </w:div>
          </w:divsChild>
        </w:div>
        <w:div w:id="1090469683">
          <w:marLeft w:val="0"/>
          <w:marRight w:val="0"/>
          <w:marTop w:val="0"/>
          <w:marBottom w:val="0"/>
          <w:divBdr>
            <w:top w:val="none" w:sz="0" w:space="0" w:color="auto"/>
            <w:left w:val="none" w:sz="0" w:space="0" w:color="auto"/>
            <w:bottom w:val="none" w:sz="0" w:space="0" w:color="auto"/>
            <w:right w:val="none" w:sz="0" w:space="0" w:color="auto"/>
          </w:divBdr>
          <w:divsChild>
            <w:div w:id="1657371426">
              <w:marLeft w:val="0"/>
              <w:marRight w:val="0"/>
              <w:marTop w:val="0"/>
              <w:marBottom w:val="0"/>
              <w:divBdr>
                <w:top w:val="none" w:sz="0" w:space="0" w:color="auto"/>
                <w:left w:val="none" w:sz="0" w:space="0" w:color="auto"/>
                <w:bottom w:val="none" w:sz="0" w:space="0" w:color="auto"/>
                <w:right w:val="none" w:sz="0" w:space="0" w:color="auto"/>
              </w:divBdr>
            </w:div>
            <w:div w:id="2092653562">
              <w:marLeft w:val="0"/>
              <w:marRight w:val="0"/>
              <w:marTop w:val="0"/>
              <w:marBottom w:val="0"/>
              <w:divBdr>
                <w:top w:val="none" w:sz="0" w:space="0" w:color="auto"/>
                <w:left w:val="none" w:sz="0" w:space="0" w:color="auto"/>
                <w:bottom w:val="none" w:sz="0" w:space="0" w:color="auto"/>
                <w:right w:val="none" w:sz="0" w:space="0" w:color="auto"/>
              </w:divBdr>
            </w:div>
            <w:div w:id="979504200">
              <w:marLeft w:val="0"/>
              <w:marRight w:val="0"/>
              <w:marTop w:val="0"/>
              <w:marBottom w:val="0"/>
              <w:divBdr>
                <w:top w:val="none" w:sz="0" w:space="0" w:color="auto"/>
                <w:left w:val="none" w:sz="0" w:space="0" w:color="auto"/>
                <w:bottom w:val="none" w:sz="0" w:space="0" w:color="auto"/>
                <w:right w:val="none" w:sz="0" w:space="0" w:color="auto"/>
              </w:divBdr>
            </w:div>
          </w:divsChild>
        </w:div>
        <w:div w:id="270624382">
          <w:marLeft w:val="0"/>
          <w:marRight w:val="0"/>
          <w:marTop w:val="0"/>
          <w:marBottom w:val="0"/>
          <w:divBdr>
            <w:top w:val="none" w:sz="0" w:space="0" w:color="auto"/>
            <w:left w:val="none" w:sz="0" w:space="0" w:color="auto"/>
            <w:bottom w:val="none" w:sz="0" w:space="0" w:color="auto"/>
            <w:right w:val="none" w:sz="0" w:space="0" w:color="auto"/>
          </w:divBdr>
        </w:div>
        <w:div w:id="544177727">
          <w:marLeft w:val="0"/>
          <w:marRight w:val="0"/>
          <w:marTop w:val="0"/>
          <w:marBottom w:val="0"/>
          <w:divBdr>
            <w:top w:val="none" w:sz="0" w:space="0" w:color="auto"/>
            <w:left w:val="none" w:sz="0" w:space="0" w:color="auto"/>
            <w:bottom w:val="none" w:sz="0" w:space="0" w:color="auto"/>
            <w:right w:val="none" w:sz="0" w:space="0" w:color="auto"/>
          </w:divBdr>
        </w:div>
        <w:div w:id="1489127735">
          <w:marLeft w:val="0"/>
          <w:marRight w:val="0"/>
          <w:marTop w:val="0"/>
          <w:marBottom w:val="0"/>
          <w:divBdr>
            <w:top w:val="none" w:sz="0" w:space="0" w:color="auto"/>
            <w:left w:val="none" w:sz="0" w:space="0" w:color="auto"/>
            <w:bottom w:val="none" w:sz="0" w:space="0" w:color="auto"/>
            <w:right w:val="none" w:sz="0" w:space="0" w:color="auto"/>
          </w:divBdr>
        </w:div>
        <w:div w:id="1847598519">
          <w:marLeft w:val="0"/>
          <w:marRight w:val="0"/>
          <w:marTop w:val="0"/>
          <w:marBottom w:val="0"/>
          <w:divBdr>
            <w:top w:val="none" w:sz="0" w:space="0" w:color="auto"/>
            <w:left w:val="none" w:sz="0" w:space="0" w:color="auto"/>
            <w:bottom w:val="none" w:sz="0" w:space="0" w:color="auto"/>
            <w:right w:val="none" w:sz="0" w:space="0" w:color="auto"/>
          </w:divBdr>
        </w:div>
      </w:divsChild>
    </w:div>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48985871">
      <w:bodyDiv w:val="1"/>
      <w:marLeft w:val="0"/>
      <w:marRight w:val="0"/>
      <w:marTop w:val="0"/>
      <w:marBottom w:val="0"/>
      <w:divBdr>
        <w:top w:val="none" w:sz="0" w:space="0" w:color="auto"/>
        <w:left w:val="none" w:sz="0" w:space="0" w:color="auto"/>
        <w:bottom w:val="none" w:sz="0" w:space="0" w:color="auto"/>
        <w:right w:val="none" w:sz="0" w:space="0" w:color="auto"/>
      </w:divBdr>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214784116">
      <w:bodyDiv w:val="1"/>
      <w:marLeft w:val="0"/>
      <w:marRight w:val="0"/>
      <w:marTop w:val="0"/>
      <w:marBottom w:val="0"/>
      <w:divBdr>
        <w:top w:val="none" w:sz="0" w:space="0" w:color="auto"/>
        <w:left w:val="none" w:sz="0" w:space="0" w:color="auto"/>
        <w:bottom w:val="none" w:sz="0" w:space="0" w:color="auto"/>
        <w:right w:val="none" w:sz="0" w:space="0" w:color="auto"/>
      </w:divBdr>
    </w:div>
    <w:div w:id="299311208">
      <w:bodyDiv w:val="1"/>
      <w:marLeft w:val="0"/>
      <w:marRight w:val="0"/>
      <w:marTop w:val="0"/>
      <w:marBottom w:val="0"/>
      <w:divBdr>
        <w:top w:val="none" w:sz="0" w:space="0" w:color="auto"/>
        <w:left w:val="none" w:sz="0" w:space="0" w:color="auto"/>
        <w:bottom w:val="none" w:sz="0" w:space="0" w:color="auto"/>
        <w:right w:val="none" w:sz="0" w:space="0" w:color="auto"/>
      </w:divBdr>
      <w:divsChild>
        <w:div w:id="1077627423">
          <w:marLeft w:val="0"/>
          <w:marRight w:val="0"/>
          <w:marTop w:val="0"/>
          <w:marBottom w:val="0"/>
          <w:divBdr>
            <w:top w:val="none" w:sz="0" w:space="0" w:color="auto"/>
            <w:left w:val="none" w:sz="0" w:space="0" w:color="auto"/>
            <w:bottom w:val="none" w:sz="0" w:space="0" w:color="auto"/>
            <w:right w:val="none" w:sz="0" w:space="0" w:color="auto"/>
          </w:divBdr>
          <w:divsChild>
            <w:div w:id="1946157511">
              <w:marLeft w:val="0"/>
              <w:marRight w:val="0"/>
              <w:marTop w:val="0"/>
              <w:marBottom w:val="0"/>
              <w:divBdr>
                <w:top w:val="none" w:sz="0" w:space="0" w:color="auto"/>
                <w:left w:val="none" w:sz="0" w:space="0" w:color="auto"/>
                <w:bottom w:val="none" w:sz="0" w:space="0" w:color="auto"/>
                <w:right w:val="none" w:sz="0" w:space="0" w:color="auto"/>
              </w:divBdr>
            </w:div>
          </w:divsChild>
        </w:div>
        <w:div w:id="1216624158">
          <w:marLeft w:val="0"/>
          <w:marRight w:val="0"/>
          <w:marTop w:val="0"/>
          <w:marBottom w:val="0"/>
          <w:divBdr>
            <w:top w:val="none" w:sz="0" w:space="0" w:color="auto"/>
            <w:left w:val="none" w:sz="0" w:space="0" w:color="auto"/>
            <w:bottom w:val="none" w:sz="0" w:space="0" w:color="auto"/>
            <w:right w:val="none" w:sz="0" w:space="0" w:color="auto"/>
          </w:divBdr>
          <w:divsChild>
            <w:div w:id="351299277">
              <w:marLeft w:val="0"/>
              <w:marRight w:val="0"/>
              <w:marTop w:val="0"/>
              <w:marBottom w:val="0"/>
              <w:divBdr>
                <w:top w:val="none" w:sz="0" w:space="0" w:color="auto"/>
                <w:left w:val="none" w:sz="0" w:space="0" w:color="auto"/>
                <w:bottom w:val="none" w:sz="0" w:space="0" w:color="auto"/>
                <w:right w:val="none" w:sz="0" w:space="0" w:color="auto"/>
              </w:divBdr>
            </w:div>
            <w:div w:id="1990476791">
              <w:marLeft w:val="0"/>
              <w:marRight w:val="0"/>
              <w:marTop w:val="0"/>
              <w:marBottom w:val="0"/>
              <w:divBdr>
                <w:top w:val="none" w:sz="0" w:space="0" w:color="auto"/>
                <w:left w:val="none" w:sz="0" w:space="0" w:color="auto"/>
                <w:bottom w:val="none" w:sz="0" w:space="0" w:color="auto"/>
                <w:right w:val="none" w:sz="0" w:space="0" w:color="auto"/>
              </w:divBdr>
            </w:div>
            <w:div w:id="1987280146">
              <w:marLeft w:val="0"/>
              <w:marRight w:val="0"/>
              <w:marTop w:val="0"/>
              <w:marBottom w:val="0"/>
              <w:divBdr>
                <w:top w:val="none" w:sz="0" w:space="0" w:color="auto"/>
                <w:left w:val="none" w:sz="0" w:space="0" w:color="auto"/>
                <w:bottom w:val="none" w:sz="0" w:space="0" w:color="auto"/>
                <w:right w:val="none" w:sz="0" w:space="0" w:color="auto"/>
              </w:divBdr>
            </w:div>
          </w:divsChild>
        </w:div>
        <w:div w:id="1183470076">
          <w:marLeft w:val="0"/>
          <w:marRight w:val="0"/>
          <w:marTop w:val="0"/>
          <w:marBottom w:val="0"/>
          <w:divBdr>
            <w:top w:val="none" w:sz="0" w:space="0" w:color="auto"/>
            <w:left w:val="none" w:sz="0" w:space="0" w:color="auto"/>
            <w:bottom w:val="none" w:sz="0" w:space="0" w:color="auto"/>
            <w:right w:val="none" w:sz="0" w:space="0" w:color="auto"/>
          </w:divBdr>
          <w:divsChild>
            <w:div w:id="990718306">
              <w:marLeft w:val="0"/>
              <w:marRight w:val="0"/>
              <w:marTop w:val="0"/>
              <w:marBottom w:val="0"/>
              <w:divBdr>
                <w:top w:val="none" w:sz="0" w:space="0" w:color="auto"/>
                <w:left w:val="none" w:sz="0" w:space="0" w:color="auto"/>
                <w:bottom w:val="none" w:sz="0" w:space="0" w:color="auto"/>
                <w:right w:val="none" w:sz="0" w:space="0" w:color="auto"/>
              </w:divBdr>
            </w:div>
            <w:div w:id="986468901">
              <w:marLeft w:val="0"/>
              <w:marRight w:val="0"/>
              <w:marTop w:val="0"/>
              <w:marBottom w:val="0"/>
              <w:divBdr>
                <w:top w:val="none" w:sz="0" w:space="0" w:color="auto"/>
                <w:left w:val="none" w:sz="0" w:space="0" w:color="auto"/>
                <w:bottom w:val="none" w:sz="0" w:space="0" w:color="auto"/>
                <w:right w:val="none" w:sz="0" w:space="0" w:color="auto"/>
              </w:divBdr>
            </w:div>
            <w:div w:id="2124765659">
              <w:marLeft w:val="0"/>
              <w:marRight w:val="0"/>
              <w:marTop w:val="0"/>
              <w:marBottom w:val="0"/>
              <w:divBdr>
                <w:top w:val="none" w:sz="0" w:space="0" w:color="auto"/>
                <w:left w:val="none" w:sz="0" w:space="0" w:color="auto"/>
                <w:bottom w:val="none" w:sz="0" w:space="0" w:color="auto"/>
                <w:right w:val="none" w:sz="0" w:space="0" w:color="auto"/>
              </w:divBdr>
            </w:div>
          </w:divsChild>
        </w:div>
        <w:div w:id="1558475109">
          <w:marLeft w:val="0"/>
          <w:marRight w:val="0"/>
          <w:marTop w:val="0"/>
          <w:marBottom w:val="0"/>
          <w:divBdr>
            <w:top w:val="none" w:sz="0" w:space="0" w:color="auto"/>
            <w:left w:val="none" w:sz="0" w:space="0" w:color="auto"/>
            <w:bottom w:val="none" w:sz="0" w:space="0" w:color="auto"/>
            <w:right w:val="none" w:sz="0" w:space="0" w:color="auto"/>
          </w:divBdr>
        </w:div>
        <w:div w:id="1752000355">
          <w:marLeft w:val="0"/>
          <w:marRight w:val="0"/>
          <w:marTop w:val="0"/>
          <w:marBottom w:val="0"/>
          <w:divBdr>
            <w:top w:val="none" w:sz="0" w:space="0" w:color="auto"/>
            <w:left w:val="none" w:sz="0" w:space="0" w:color="auto"/>
            <w:bottom w:val="none" w:sz="0" w:space="0" w:color="auto"/>
            <w:right w:val="none" w:sz="0" w:space="0" w:color="auto"/>
          </w:divBdr>
        </w:div>
        <w:div w:id="1815220896">
          <w:marLeft w:val="0"/>
          <w:marRight w:val="0"/>
          <w:marTop w:val="0"/>
          <w:marBottom w:val="0"/>
          <w:divBdr>
            <w:top w:val="none" w:sz="0" w:space="0" w:color="auto"/>
            <w:left w:val="none" w:sz="0" w:space="0" w:color="auto"/>
            <w:bottom w:val="none" w:sz="0" w:space="0" w:color="auto"/>
            <w:right w:val="none" w:sz="0" w:space="0" w:color="auto"/>
          </w:divBdr>
        </w:div>
      </w:divsChild>
    </w:div>
    <w:div w:id="376974056">
      <w:bodyDiv w:val="1"/>
      <w:marLeft w:val="0"/>
      <w:marRight w:val="0"/>
      <w:marTop w:val="0"/>
      <w:marBottom w:val="0"/>
      <w:divBdr>
        <w:top w:val="none" w:sz="0" w:space="0" w:color="auto"/>
        <w:left w:val="none" w:sz="0" w:space="0" w:color="auto"/>
        <w:bottom w:val="none" w:sz="0" w:space="0" w:color="auto"/>
        <w:right w:val="none" w:sz="0" w:space="0" w:color="auto"/>
      </w:divBdr>
    </w:div>
    <w:div w:id="487137953">
      <w:bodyDiv w:val="1"/>
      <w:marLeft w:val="0"/>
      <w:marRight w:val="0"/>
      <w:marTop w:val="0"/>
      <w:marBottom w:val="0"/>
      <w:divBdr>
        <w:top w:val="none" w:sz="0" w:space="0" w:color="auto"/>
        <w:left w:val="none" w:sz="0" w:space="0" w:color="auto"/>
        <w:bottom w:val="none" w:sz="0" w:space="0" w:color="auto"/>
        <w:right w:val="none" w:sz="0" w:space="0" w:color="auto"/>
      </w:divBdr>
    </w:div>
    <w:div w:id="523130087">
      <w:bodyDiv w:val="1"/>
      <w:marLeft w:val="0"/>
      <w:marRight w:val="0"/>
      <w:marTop w:val="0"/>
      <w:marBottom w:val="0"/>
      <w:divBdr>
        <w:top w:val="none" w:sz="0" w:space="0" w:color="auto"/>
        <w:left w:val="none" w:sz="0" w:space="0" w:color="auto"/>
        <w:bottom w:val="none" w:sz="0" w:space="0" w:color="auto"/>
        <w:right w:val="none" w:sz="0" w:space="0" w:color="auto"/>
      </w:divBdr>
      <w:divsChild>
        <w:div w:id="2037147509">
          <w:marLeft w:val="0"/>
          <w:marRight w:val="0"/>
          <w:marTop w:val="0"/>
          <w:marBottom w:val="0"/>
          <w:divBdr>
            <w:top w:val="none" w:sz="0" w:space="0" w:color="auto"/>
            <w:left w:val="none" w:sz="0" w:space="0" w:color="auto"/>
            <w:bottom w:val="none" w:sz="0" w:space="0" w:color="auto"/>
            <w:right w:val="none" w:sz="0" w:space="0" w:color="auto"/>
          </w:divBdr>
          <w:divsChild>
            <w:div w:id="1599408398">
              <w:marLeft w:val="0"/>
              <w:marRight w:val="0"/>
              <w:marTop w:val="0"/>
              <w:marBottom w:val="0"/>
              <w:divBdr>
                <w:top w:val="none" w:sz="0" w:space="0" w:color="auto"/>
                <w:left w:val="none" w:sz="0" w:space="0" w:color="auto"/>
                <w:bottom w:val="none" w:sz="0" w:space="0" w:color="auto"/>
                <w:right w:val="none" w:sz="0" w:space="0" w:color="auto"/>
              </w:divBdr>
            </w:div>
          </w:divsChild>
        </w:div>
        <w:div w:id="637342879">
          <w:marLeft w:val="0"/>
          <w:marRight w:val="0"/>
          <w:marTop w:val="0"/>
          <w:marBottom w:val="0"/>
          <w:divBdr>
            <w:top w:val="none" w:sz="0" w:space="0" w:color="auto"/>
            <w:left w:val="none" w:sz="0" w:space="0" w:color="auto"/>
            <w:bottom w:val="none" w:sz="0" w:space="0" w:color="auto"/>
            <w:right w:val="none" w:sz="0" w:space="0" w:color="auto"/>
          </w:divBdr>
          <w:divsChild>
            <w:div w:id="522743554">
              <w:marLeft w:val="0"/>
              <w:marRight w:val="0"/>
              <w:marTop w:val="0"/>
              <w:marBottom w:val="0"/>
              <w:divBdr>
                <w:top w:val="none" w:sz="0" w:space="0" w:color="auto"/>
                <w:left w:val="none" w:sz="0" w:space="0" w:color="auto"/>
                <w:bottom w:val="none" w:sz="0" w:space="0" w:color="auto"/>
                <w:right w:val="none" w:sz="0" w:space="0" w:color="auto"/>
              </w:divBdr>
            </w:div>
            <w:div w:id="1342466902">
              <w:marLeft w:val="0"/>
              <w:marRight w:val="0"/>
              <w:marTop w:val="0"/>
              <w:marBottom w:val="0"/>
              <w:divBdr>
                <w:top w:val="none" w:sz="0" w:space="0" w:color="auto"/>
                <w:left w:val="none" w:sz="0" w:space="0" w:color="auto"/>
                <w:bottom w:val="none" w:sz="0" w:space="0" w:color="auto"/>
                <w:right w:val="none" w:sz="0" w:space="0" w:color="auto"/>
              </w:divBdr>
            </w:div>
            <w:div w:id="1970210697">
              <w:marLeft w:val="0"/>
              <w:marRight w:val="0"/>
              <w:marTop w:val="0"/>
              <w:marBottom w:val="0"/>
              <w:divBdr>
                <w:top w:val="none" w:sz="0" w:space="0" w:color="auto"/>
                <w:left w:val="none" w:sz="0" w:space="0" w:color="auto"/>
                <w:bottom w:val="none" w:sz="0" w:space="0" w:color="auto"/>
                <w:right w:val="none" w:sz="0" w:space="0" w:color="auto"/>
              </w:divBdr>
            </w:div>
          </w:divsChild>
        </w:div>
        <w:div w:id="2108846789">
          <w:marLeft w:val="0"/>
          <w:marRight w:val="0"/>
          <w:marTop w:val="0"/>
          <w:marBottom w:val="0"/>
          <w:divBdr>
            <w:top w:val="none" w:sz="0" w:space="0" w:color="auto"/>
            <w:left w:val="none" w:sz="0" w:space="0" w:color="auto"/>
            <w:bottom w:val="none" w:sz="0" w:space="0" w:color="auto"/>
            <w:right w:val="none" w:sz="0" w:space="0" w:color="auto"/>
          </w:divBdr>
          <w:divsChild>
            <w:div w:id="436828695">
              <w:marLeft w:val="0"/>
              <w:marRight w:val="0"/>
              <w:marTop w:val="0"/>
              <w:marBottom w:val="0"/>
              <w:divBdr>
                <w:top w:val="none" w:sz="0" w:space="0" w:color="auto"/>
                <w:left w:val="none" w:sz="0" w:space="0" w:color="auto"/>
                <w:bottom w:val="none" w:sz="0" w:space="0" w:color="auto"/>
                <w:right w:val="none" w:sz="0" w:space="0" w:color="auto"/>
              </w:divBdr>
            </w:div>
            <w:div w:id="1575970413">
              <w:marLeft w:val="0"/>
              <w:marRight w:val="0"/>
              <w:marTop w:val="0"/>
              <w:marBottom w:val="0"/>
              <w:divBdr>
                <w:top w:val="none" w:sz="0" w:space="0" w:color="auto"/>
                <w:left w:val="none" w:sz="0" w:space="0" w:color="auto"/>
                <w:bottom w:val="none" w:sz="0" w:space="0" w:color="auto"/>
                <w:right w:val="none" w:sz="0" w:space="0" w:color="auto"/>
              </w:divBdr>
            </w:div>
            <w:div w:id="31424147">
              <w:marLeft w:val="0"/>
              <w:marRight w:val="0"/>
              <w:marTop w:val="0"/>
              <w:marBottom w:val="0"/>
              <w:divBdr>
                <w:top w:val="none" w:sz="0" w:space="0" w:color="auto"/>
                <w:left w:val="none" w:sz="0" w:space="0" w:color="auto"/>
                <w:bottom w:val="none" w:sz="0" w:space="0" w:color="auto"/>
                <w:right w:val="none" w:sz="0" w:space="0" w:color="auto"/>
              </w:divBdr>
            </w:div>
          </w:divsChild>
        </w:div>
        <w:div w:id="592319120">
          <w:marLeft w:val="0"/>
          <w:marRight w:val="0"/>
          <w:marTop w:val="0"/>
          <w:marBottom w:val="0"/>
          <w:divBdr>
            <w:top w:val="none" w:sz="0" w:space="0" w:color="auto"/>
            <w:left w:val="none" w:sz="0" w:space="0" w:color="auto"/>
            <w:bottom w:val="none" w:sz="0" w:space="0" w:color="auto"/>
            <w:right w:val="none" w:sz="0" w:space="0" w:color="auto"/>
          </w:divBdr>
        </w:div>
        <w:div w:id="701781737">
          <w:marLeft w:val="0"/>
          <w:marRight w:val="0"/>
          <w:marTop w:val="0"/>
          <w:marBottom w:val="0"/>
          <w:divBdr>
            <w:top w:val="none" w:sz="0" w:space="0" w:color="auto"/>
            <w:left w:val="none" w:sz="0" w:space="0" w:color="auto"/>
            <w:bottom w:val="none" w:sz="0" w:space="0" w:color="auto"/>
            <w:right w:val="none" w:sz="0" w:space="0" w:color="auto"/>
          </w:divBdr>
        </w:div>
        <w:div w:id="1276253516">
          <w:marLeft w:val="0"/>
          <w:marRight w:val="0"/>
          <w:marTop w:val="0"/>
          <w:marBottom w:val="0"/>
          <w:divBdr>
            <w:top w:val="none" w:sz="0" w:space="0" w:color="auto"/>
            <w:left w:val="none" w:sz="0" w:space="0" w:color="auto"/>
            <w:bottom w:val="none" w:sz="0" w:space="0" w:color="auto"/>
            <w:right w:val="none" w:sz="0" w:space="0" w:color="auto"/>
          </w:divBdr>
        </w:div>
      </w:divsChild>
    </w:div>
    <w:div w:id="636448421">
      <w:bodyDiv w:val="1"/>
      <w:marLeft w:val="0"/>
      <w:marRight w:val="0"/>
      <w:marTop w:val="0"/>
      <w:marBottom w:val="0"/>
      <w:divBdr>
        <w:top w:val="none" w:sz="0" w:space="0" w:color="auto"/>
        <w:left w:val="none" w:sz="0" w:space="0" w:color="auto"/>
        <w:bottom w:val="none" w:sz="0" w:space="0" w:color="auto"/>
        <w:right w:val="none" w:sz="0" w:space="0" w:color="auto"/>
      </w:divBdr>
    </w:div>
    <w:div w:id="889342426">
      <w:bodyDiv w:val="1"/>
      <w:marLeft w:val="0"/>
      <w:marRight w:val="0"/>
      <w:marTop w:val="0"/>
      <w:marBottom w:val="0"/>
      <w:divBdr>
        <w:top w:val="none" w:sz="0" w:space="0" w:color="auto"/>
        <w:left w:val="none" w:sz="0" w:space="0" w:color="auto"/>
        <w:bottom w:val="none" w:sz="0" w:space="0" w:color="auto"/>
        <w:right w:val="none" w:sz="0" w:space="0" w:color="auto"/>
      </w:divBdr>
      <w:divsChild>
        <w:div w:id="1686202393">
          <w:marLeft w:val="0"/>
          <w:marRight w:val="0"/>
          <w:marTop w:val="0"/>
          <w:marBottom w:val="0"/>
          <w:divBdr>
            <w:top w:val="none" w:sz="0" w:space="0" w:color="auto"/>
            <w:left w:val="none" w:sz="0" w:space="0" w:color="auto"/>
            <w:bottom w:val="none" w:sz="0" w:space="0" w:color="auto"/>
            <w:right w:val="none" w:sz="0" w:space="0" w:color="auto"/>
          </w:divBdr>
        </w:div>
        <w:div w:id="660700813">
          <w:marLeft w:val="0"/>
          <w:marRight w:val="0"/>
          <w:marTop w:val="0"/>
          <w:marBottom w:val="0"/>
          <w:divBdr>
            <w:top w:val="none" w:sz="0" w:space="0" w:color="auto"/>
            <w:left w:val="none" w:sz="0" w:space="0" w:color="auto"/>
            <w:bottom w:val="none" w:sz="0" w:space="0" w:color="auto"/>
            <w:right w:val="none" w:sz="0" w:space="0" w:color="auto"/>
          </w:divBdr>
        </w:div>
        <w:div w:id="584997248">
          <w:marLeft w:val="0"/>
          <w:marRight w:val="0"/>
          <w:marTop w:val="0"/>
          <w:marBottom w:val="0"/>
          <w:divBdr>
            <w:top w:val="none" w:sz="0" w:space="0" w:color="auto"/>
            <w:left w:val="none" w:sz="0" w:space="0" w:color="auto"/>
            <w:bottom w:val="none" w:sz="0" w:space="0" w:color="auto"/>
            <w:right w:val="none" w:sz="0" w:space="0" w:color="auto"/>
          </w:divBdr>
        </w:div>
        <w:div w:id="900410349">
          <w:marLeft w:val="0"/>
          <w:marRight w:val="0"/>
          <w:marTop w:val="0"/>
          <w:marBottom w:val="0"/>
          <w:divBdr>
            <w:top w:val="none" w:sz="0" w:space="0" w:color="auto"/>
            <w:left w:val="none" w:sz="0" w:space="0" w:color="auto"/>
            <w:bottom w:val="none" w:sz="0" w:space="0" w:color="auto"/>
            <w:right w:val="none" w:sz="0" w:space="0" w:color="auto"/>
          </w:divBdr>
        </w:div>
        <w:div w:id="816841961">
          <w:marLeft w:val="0"/>
          <w:marRight w:val="0"/>
          <w:marTop w:val="0"/>
          <w:marBottom w:val="0"/>
          <w:divBdr>
            <w:top w:val="none" w:sz="0" w:space="0" w:color="auto"/>
            <w:left w:val="none" w:sz="0" w:space="0" w:color="auto"/>
            <w:bottom w:val="none" w:sz="0" w:space="0" w:color="auto"/>
            <w:right w:val="none" w:sz="0" w:space="0" w:color="auto"/>
          </w:divBdr>
        </w:div>
        <w:div w:id="1785224413">
          <w:marLeft w:val="0"/>
          <w:marRight w:val="0"/>
          <w:marTop w:val="0"/>
          <w:marBottom w:val="0"/>
          <w:divBdr>
            <w:top w:val="none" w:sz="0" w:space="0" w:color="auto"/>
            <w:left w:val="none" w:sz="0" w:space="0" w:color="auto"/>
            <w:bottom w:val="none" w:sz="0" w:space="0" w:color="auto"/>
            <w:right w:val="none" w:sz="0" w:space="0" w:color="auto"/>
          </w:divBdr>
        </w:div>
        <w:div w:id="878972323">
          <w:marLeft w:val="0"/>
          <w:marRight w:val="0"/>
          <w:marTop w:val="0"/>
          <w:marBottom w:val="0"/>
          <w:divBdr>
            <w:top w:val="none" w:sz="0" w:space="0" w:color="auto"/>
            <w:left w:val="none" w:sz="0" w:space="0" w:color="auto"/>
            <w:bottom w:val="none" w:sz="0" w:space="0" w:color="auto"/>
            <w:right w:val="none" w:sz="0" w:space="0" w:color="auto"/>
          </w:divBdr>
        </w:div>
      </w:divsChild>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973292723">
      <w:bodyDiv w:val="1"/>
      <w:marLeft w:val="0"/>
      <w:marRight w:val="0"/>
      <w:marTop w:val="0"/>
      <w:marBottom w:val="0"/>
      <w:divBdr>
        <w:top w:val="none" w:sz="0" w:space="0" w:color="auto"/>
        <w:left w:val="none" w:sz="0" w:space="0" w:color="auto"/>
        <w:bottom w:val="none" w:sz="0" w:space="0" w:color="auto"/>
        <w:right w:val="none" w:sz="0" w:space="0" w:color="auto"/>
      </w:divBdr>
      <w:divsChild>
        <w:div w:id="1551725549">
          <w:marLeft w:val="0"/>
          <w:marRight w:val="0"/>
          <w:marTop w:val="0"/>
          <w:marBottom w:val="0"/>
          <w:divBdr>
            <w:top w:val="none" w:sz="0" w:space="0" w:color="auto"/>
            <w:left w:val="none" w:sz="0" w:space="0" w:color="auto"/>
            <w:bottom w:val="none" w:sz="0" w:space="0" w:color="auto"/>
            <w:right w:val="none" w:sz="0" w:space="0" w:color="auto"/>
          </w:divBdr>
        </w:div>
        <w:div w:id="1760101810">
          <w:marLeft w:val="0"/>
          <w:marRight w:val="0"/>
          <w:marTop w:val="0"/>
          <w:marBottom w:val="0"/>
          <w:divBdr>
            <w:top w:val="none" w:sz="0" w:space="0" w:color="auto"/>
            <w:left w:val="none" w:sz="0" w:space="0" w:color="auto"/>
            <w:bottom w:val="none" w:sz="0" w:space="0" w:color="auto"/>
            <w:right w:val="none" w:sz="0" w:space="0" w:color="auto"/>
          </w:divBdr>
        </w:div>
        <w:div w:id="214969686">
          <w:marLeft w:val="0"/>
          <w:marRight w:val="0"/>
          <w:marTop w:val="0"/>
          <w:marBottom w:val="0"/>
          <w:divBdr>
            <w:top w:val="none" w:sz="0" w:space="0" w:color="auto"/>
            <w:left w:val="none" w:sz="0" w:space="0" w:color="auto"/>
            <w:bottom w:val="none" w:sz="0" w:space="0" w:color="auto"/>
            <w:right w:val="none" w:sz="0" w:space="0" w:color="auto"/>
          </w:divBdr>
        </w:div>
        <w:div w:id="1376462722">
          <w:marLeft w:val="0"/>
          <w:marRight w:val="0"/>
          <w:marTop w:val="0"/>
          <w:marBottom w:val="0"/>
          <w:divBdr>
            <w:top w:val="none" w:sz="0" w:space="0" w:color="auto"/>
            <w:left w:val="none" w:sz="0" w:space="0" w:color="auto"/>
            <w:bottom w:val="none" w:sz="0" w:space="0" w:color="auto"/>
            <w:right w:val="none" w:sz="0" w:space="0" w:color="auto"/>
          </w:divBdr>
        </w:div>
        <w:div w:id="738090061">
          <w:marLeft w:val="0"/>
          <w:marRight w:val="0"/>
          <w:marTop w:val="0"/>
          <w:marBottom w:val="0"/>
          <w:divBdr>
            <w:top w:val="none" w:sz="0" w:space="0" w:color="auto"/>
            <w:left w:val="none" w:sz="0" w:space="0" w:color="auto"/>
            <w:bottom w:val="none" w:sz="0" w:space="0" w:color="auto"/>
            <w:right w:val="none" w:sz="0" w:space="0" w:color="auto"/>
          </w:divBdr>
        </w:div>
        <w:div w:id="206769982">
          <w:marLeft w:val="0"/>
          <w:marRight w:val="0"/>
          <w:marTop w:val="0"/>
          <w:marBottom w:val="0"/>
          <w:divBdr>
            <w:top w:val="none" w:sz="0" w:space="0" w:color="auto"/>
            <w:left w:val="none" w:sz="0" w:space="0" w:color="auto"/>
            <w:bottom w:val="none" w:sz="0" w:space="0" w:color="auto"/>
            <w:right w:val="none" w:sz="0" w:space="0" w:color="auto"/>
          </w:divBdr>
        </w:div>
        <w:div w:id="1523858101">
          <w:marLeft w:val="0"/>
          <w:marRight w:val="0"/>
          <w:marTop w:val="0"/>
          <w:marBottom w:val="0"/>
          <w:divBdr>
            <w:top w:val="none" w:sz="0" w:space="0" w:color="auto"/>
            <w:left w:val="none" w:sz="0" w:space="0" w:color="auto"/>
            <w:bottom w:val="none" w:sz="0" w:space="0" w:color="auto"/>
            <w:right w:val="none" w:sz="0" w:space="0" w:color="auto"/>
          </w:divBdr>
        </w:div>
      </w:divsChild>
    </w:div>
    <w:div w:id="977298262">
      <w:bodyDiv w:val="1"/>
      <w:marLeft w:val="0"/>
      <w:marRight w:val="0"/>
      <w:marTop w:val="0"/>
      <w:marBottom w:val="0"/>
      <w:divBdr>
        <w:top w:val="none" w:sz="0" w:space="0" w:color="auto"/>
        <w:left w:val="none" w:sz="0" w:space="0" w:color="auto"/>
        <w:bottom w:val="none" w:sz="0" w:space="0" w:color="auto"/>
        <w:right w:val="none" w:sz="0" w:space="0" w:color="auto"/>
      </w:divBdr>
      <w:divsChild>
        <w:div w:id="655450003">
          <w:marLeft w:val="0"/>
          <w:marRight w:val="0"/>
          <w:marTop w:val="0"/>
          <w:marBottom w:val="0"/>
          <w:divBdr>
            <w:top w:val="none" w:sz="0" w:space="0" w:color="auto"/>
            <w:left w:val="none" w:sz="0" w:space="0" w:color="auto"/>
            <w:bottom w:val="none" w:sz="0" w:space="0" w:color="auto"/>
            <w:right w:val="none" w:sz="0" w:space="0" w:color="auto"/>
          </w:divBdr>
        </w:div>
        <w:div w:id="1062564713">
          <w:marLeft w:val="0"/>
          <w:marRight w:val="0"/>
          <w:marTop w:val="0"/>
          <w:marBottom w:val="0"/>
          <w:divBdr>
            <w:top w:val="none" w:sz="0" w:space="0" w:color="auto"/>
            <w:left w:val="none" w:sz="0" w:space="0" w:color="auto"/>
            <w:bottom w:val="none" w:sz="0" w:space="0" w:color="auto"/>
            <w:right w:val="none" w:sz="0" w:space="0" w:color="auto"/>
          </w:divBdr>
        </w:div>
        <w:div w:id="974944695">
          <w:marLeft w:val="0"/>
          <w:marRight w:val="0"/>
          <w:marTop w:val="0"/>
          <w:marBottom w:val="0"/>
          <w:divBdr>
            <w:top w:val="none" w:sz="0" w:space="0" w:color="auto"/>
            <w:left w:val="none" w:sz="0" w:space="0" w:color="auto"/>
            <w:bottom w:val="none" w:sz="0" w:space="0" w:color="auto"/>
            <w:right w:val="none" w:sz="0" w:space="0" w:color="auto"/>
          </w:divBdr>
        </w:div>
        <w:div w:id="317616696">
          <w:marLeft w:val="0"/>
          <w:marRight w:val="0"/>
          <w:marTop w:val="0"/>
          <w:marBottom w:val="0"/>
          <w:divBdr>
            <w:top w:val="none" w:sz="0" w:space="0" w:color="auto"/>
            <w:left w:val="none" w:sz="0" w:space="0" w:color="auto"/>
            <w:bottom w:val="none" w:sz="0" w:space="0" w:color="auto"/>
            <w:right w:val="none" w:sz="0" w:space="0" w:color="auto"/>
          </w:divBdr>
        </w:div>
        <w:div w:id="148325368">
          <w:marLeft w:val="0"/>
          <w:marRight w:val="0"/>
          <w:marTop w:val="0"/>
          <w:marBottom w:val="0"/>
          <w:divBdr>
            <w:top w:val="none" w:sz="0" w:space="0" w:color="auto"/>
            <w:left w:val="none" w:sz="0" w:space="0" w:color="auto"/>
            <w:bottom w:val="none" w:sz="0" w:space="0" w:color="auto"/>
            <w:right w:val="none" w:sz="0" w:space="0" w:color="auto"/>
          </w:divBdr>
        </w:div>
        <w:div w:id="523442879">
          <w:marLeft w:val="0"/>
          <w:marRight w:val="0"/>
          <w:marTop w:val="0"/>
          <w:marBottom w:val="0"/>
          <w:divBdr>
            <w:top w:val="none" w:sz="0" w:space="0" w:color="auto"/>
            <w:left w:val="none" w:sz="0" w:space="0" w:color="auto"/>
            <w:bottom w:val="none" w:sz="0" w:space="0" w:color="auto"/>
            <w:right w:val="none" w:sz="0" w:space="0" w:color="auto"/>
          </w:divBdr>
        </w:div>
        <w:div w:id="373698184">
          <w:marLeft w:val="0"/>
          <w:marRight w:val="0"/>
          <w:marTop w:val="0"/>
          <w:marBottom w:val="0"/>
          <w:divBdr>
            <w:top w:val="none" w:sz="0" w:space="0" w:color="auto"/>
            <w:left w:val="none" w:sz="0" w:space="0" w:color="auto"/>
            <w:bottom w:val="none" w:sz="0" w:space="0" w:color="auto"/>
            <w:right w:val="none" w:sz="0" w:space="0" w:color="auto"/>
          </w:divBdr>
        </w:div>
      </w:divsChild>
    </w:div>
    <w:div w:id="998115881">
      <w:bodyDiv w:val="1"/>
      <w:marLeft w:val="0"/>
      <w:marRight w:val="0"/>
      <w:marTop w:val="0"/>
      <w:marBottom w:val="0"/>
      <w:divBdr>
        <w:top w:val="none" w:sz="0" w:space="0" w:color="auto"/>
        <w:left w:val="none" w:sz="0" w:space="0" w:color="auto"/>
        <w:bottom w:val="none" w:sz="0" w:space="0" w:color="auto"/>
        <w:right w:val="none" w:sz="0" w:space="0" w:color="auto"/>
      </w:divBdr>
    </w:div>
    <w:div w:id="1004355264">
      <w:bodyDiv w:val="1"/>
      <w:marLeft w:val="0"/>
      <w:marRight w:val="0"/>
      <w:marTop w:val="0"/>
      <w:marBottom w:val="0"/>
      <w:divBdr>
        <w:top w:val="none" w:sz="0" w:space="0" w:color="auto"/>
        <w:left w:val="none" w:sz="0" w:space="0" w:color="auto"/>
        <w:bottom w:val="none" w:sz="0" w:space="0" w:color="auto"/>
        <w:right w:val="none" w:sz="0" w:space="0" w:color="auto"/>
      </w:divBdr>
      <w:divsChild>
        <w:div w:id="1586454281">
          <w:marLeft w:val="0"/>
          <w:marRight w:val="0"/>
          <w:marTop w:val="0"/>
          <w:marBottom w:val="0"/>
          <w:divBdr>
            <w:top w:val="none" w:sz="0" w:space="0" w:color="auto"/>
            <w:left w:val="none" w:sz="0" w:space="0" w:color="auto"/>
            <w:bottom w:val="none" w:sz="0" w:space="0" w:color="auto"/>
            <w:right w:val="none" w:sz="0" w:space="0" w:color="auto"/>
          </w:divBdr>
          <w:divsChild>
            <w:div w:id="1397895667">
              <w:marLeft w:val="0"/>
              <w:marRight w:val="0"/>
              <w:marTop w:val="0"/>
              <w:marBottom w:val="0"/>
              <w:divBdr>
                <w:top w:val="none" w:sz="0" w:space="0" w:color="auto"/>
                <w:left w:val="none" w:sz="0" w:space="0" w:color="auto"/>
                <w:bottom w:val="none" w:sz="0" w:space="0" w:color="auto"/>
                <w:right w:val="none" w:sz="0" w:space="0" w:color="auto"/>
              </w:divBdr>
            </w:div>
          </w:divsChild>
        </w:div>
        <w:div w:id="1748729228">
          <w:marLeft w:val="0"/>
          <w:marRight w:val="0"/>
          <w:marTop w:val="0"/>
          <w:marBottom w:val="0"/>
          <w:divBdr>
            <w:top w:val="none" w:sz="0" w:space="0" w:color="auto"/>
            <w:left w:val="none" w:sz="0" w:space="0" w:color="auto"/>
            <w:bottom w:val="none" w:sz="0" w:space="0" w:color="auto"/>
            <w:right w:val="none" w:sz="0" w:space="0" w:color="auto"/>
          </w:divBdr>
          <w:divsChild>
            <w:div w:id="1992370976">
              <w:marLeft w:val="0"/>
              <w:marRight w:val="0"/>
              <w:marTop w:val="0"/>
              <w:marBottom w:val="0"/>
              <w:divBdr>
                <w:top w:val="none" w:sz="0" w:space="0" w:color="auto"/>
                <w:left w:val="none" w:sz="0" w:space="0" w:color="auto"/>
                <w:bottom w:val="none" w:sz="0" w:space="0" w:color="auto"/>
                <w:right w:val="none" w:sz="0" w:space="0" w:color="auto"/>
              </w:divBdr>
            </w:div>
            <w:div w:id="165750051">
              <w:marLeft w:val="0"/>
              <w:marRight w:val="0"/>
              <w:marTop w:val="0"/>
              <w:marBottom w:val="0"/>
              <w:divBdr>
                <w:top w:val="none" w:sz="0" w:space="0" w:color="auto"/>
                <w:left w:val="none" w:sz="0" w:space="0" w:color="auto"/>
                <w:bottom w:val="none" w:sz="0" w:space="0" w:color="auto"/>
                <w:right w:val="none" w:sz="0" w:space="0" w:color="auto"/>
              </w:divBdr>
            </w:div>
            <w:div w:id="1152254055">
              <w:marLeft w:val="0"/>
              <w:marRight w:val="0"/>
              <w:marTop w:val="0"/>
              <w:marBottom w:val="0"/>
              <w:divBdr>
                <w:top w:val="none" w:sz="0" w:space="0" w:color="auto"/>
                <w:left w:val="none" w:sz="0" w:space="0" w:color="auto"/>
                <w:bottom w:val="none" w:sz="0" w:space="0" w:color="auto"/>
                <w:right w:val="none" w:sz="0" w:space="0" w:color="auto"/>
              </w:divBdr>
            </w:div>
          </w:divsChild>
        </w:div>
        <w:div w:id="2054423949">
          <w:marLeft w:val="0"/>
          <w:marRight w:val="0"/>
          <w:marTop w:val="0"/>
          <w:marBottom w:val="0"/>
          <w:divBdr>
            <w:top w:val="none" w:sz="0" w:space="0" w:color="auto"/>
            <w:left w:val="none" w:sz="0" w:space="0" w:color="auto"/>
            <w:bottom w:val="none" w:sz="0" w:space="0" w:color="auto"/>
            <w:right w:val="none" w:sz="0" w:space="0" w:color="auto"/>
          </w:divBdr>
          <w:divsChild>
            <w:div w:id="267851551">
              <w:marLeft w:val="0"/>
              <w:marRight w:val="0"/>
              <w:marTop w:val="0"/>
              <w:marBottom w:val="0"/>
              <w:divBdr>
                <w:top w:val="none" w:sz="0" w:space="0" w:color="auto"/>
                <w:left w:val="none" w:sz="0" w:space="0" w:color="auto"/>
                <w:bottom w:val="none" w:sz="0" w:space="0" w:color="auto"/>
                <w:right w:val="none" w:sz="0" w:space="0" w:color="auto"/>
              </w:divBdr>
            </w:div>
            <w:div w:id="411439133">
              <w:marLeft w:val="0"/>
              <w:marRight w:val="0"/>
              <w:marTop w:val="0"/>
              <w:marBottom w:val="0"/>
              <w:divBdr>
                <w:top w:val="none" w:sz="0" w:space="0" w:color="auto"/>
                <w:left w:val="none" w:sz="0" w:space="0" w:color="auto"/>
                <w:bottom w:val="none" w:sz="0" w:space="0" w:color="auto"/>
                <w:right w:val="none" w:sz="0" w:space="0" w:color="auto"/>
              </w:divBdr>
            </w:div>
            <w:div w:id="832524830">
              <w:marLeft w:val="0"/>
              <w:marRight w:val="0"/>
              <w:marTop w:val="0"/>
              <w:marBottom w:val="0"/>
              <w:divBdr>
                <w:top w:val="none" w:sz="0" w:space="0" w:color="auto"/>
                <w:left w:val="none" w:sz="0" w:space="0" w:color="auto"/>
                <w:bottom w:val="none" w:sz="0" w:space="0" w:color="auto"/>
                <w:right w:val="none" w:sz="0" w:space="0" w:color="auto"/>
              </w:divBdr>
            </w:div>
          </w:divsChild>
        </w:div>
        <w:div w:id="2101871414">
          <w:marLeft w:val="0"/>
          <w:marRight w:val="0"/>
          <w:marTop w:val="0"/>
          <w:marBottom w:val="0"/>
          <w:divBdr>
            <w:top w:val="none" w:sz="0" w:space="0" w:color="auto"/>
            <w:left w:val="none" w:sz="0" w:space="0" w:color="auto"/>
            <w:bottom w:val="none" w:sz="0" w:space="0" w:color="auto"/>
            <w:right w:val="none" w:sz="0" w:space="0" w:color="auto"/>
          </w:divBdr>
        </w:div>
        <w:div w:id="1205674652">
          <w:marLeft w:val="0"/>
          <w:marRight w:val="0"/>
          <w:marTop w:val="0"/>
          <w:marBottom w:val="0"/>
          <w:divBdr>
            <w:top w:val="none" w:sz="0" w:space="0" w:color="auto"/>
            <w:left w:val="none" w:sz="0" w:space="0" w:color="auto"/>
            <w:bottom w:val="none" w:sz="0" w:space="0" w:color="auto"/>
            <w:right w:val="none" w:sz="0" w:space="0" w:color="auto"/>
          </w:divBdr>
        </w:div>
        <w:div w:id="1219785741">
          <w:marLeft w:val="0"/>
          <w:marRight w:val="0"/>
          <w:marTop w:val="0"/>
          <w:marBottom w:val="0"/>
          <w:divBdr>
            <w:top w:val="none" w:sz="0" w:space="0" w:color="auto"/>
            <w:left w:val="none" w:sz="0" w:space="0" w:color="auto"/>
            <w:bottom w:val="none" w:sz="0" w:space="0" w:color="auto"/>
            <w:right w:val="none" w:sz="0" w:space="0" w:color="auto"/>
          </w:divBdr>
        </w:div>
        <w:div w:id="981934004">
          <w:marLeft w:val="0"/>
          <w:marRight w:val="0"/>
          <w:marTop w:val="0"/>
          <w:marBottom w:val="0"/>
          <w:divBdr>
            <w:top w:val="none" w:sz="0" w:space="0" w:color="auto"/>
            <w:left w:val="none" w:sz="0" w:space="0" w:color="auto"/>
            <w:bottom w:val="none" w:sz="0" w:space="0" w:color="auto"/>
            <w:right w:val="none" w:sz="0" w:space="0" w:color="auto"/>
          </w:divBdr>
        </w:div>
      </w:divsChild>
    </w:div>
    <w:div w:id="1072970422">
      <w:bodyDiv w:val="1"/>
      <w:marLeft w:val="0"/>
      <w:marRight w:val="0"/>
      <w:marTop w:val="0"/>
      <w:marBottom w:val="0"/>
      <w:divBdr>
        <w:top w:val="none" w:sz="0" w:space="0" w:color="auto"/>
        <w:left w:val="none" w:sz="0" w:space="0" w:color="auto"/>
        <w:bottom w:val="none" w:sz="0" w:space="0" w:color="auto"/>
        <w:right w:val="none" w:sz="0" w:space="0" w:color="auto"/>
      </w:divBdr>
    </w:div>
    <w:div w:id="1102260210">
      <w:bodyDiv w:val="1"/>
      <w:marLeft w:val="0"/>
      <w:marRight w:val="0"/>
      <w:marTop w:val="0"/>
      <w:marBottom w:val="0"/>
      <w:divBdr>
        <w:top w:val="none" w:sz="0" w:space="0" w:color="auto"/>
        <w:left w:val="none" w:sz="0" w:space="0" w:color="auto"/>
        <w:bottom w:val="none" w:sz="0" w:space="0" w:color="auto"/>
        <w:right w:val="none" w:sz="0" w:space="0" w:color="auto"/>
      </w:divBdr>
      <w:divsChild>
        <w:div w:id="1029600527">
          <w:marLeft w:val="0"/>
          <w:marRight w:val="0"/>
          <w:marTop w:val="0"/>
          <w:marBottom w:val="0"/>
          <w:divBdr>
            <w:top w:val="none" w:sz="0" w:space="0" w:color="auto"/>
            <w:left w:val="none" w:sz="0" w:space="0" w:color="auto"/>
            <w:bottom w:val="none" w:sz="0" w:space="0" w:color="auto"/>
            <w:right w:val="none" w:sz="0" w:space="0" w:color="auto"/>
          </w:divBdr>
          <w:divsChild>
            <w:div w:id="600139268">
              <w:marLeft w:val="0"/>
              <w:marRight w:val="0"/>
              <w:marTop w:val="0"/>
              <w:marBottom w:val="0"/>
              <w:divBdr>
                <w:top w:val="none" w:sz="0" w:space="0" w:color="auto"/>
                <w:left w:val="none" w:sz="0" w:space="0" w:color="auto"/>
                <w:bottom w:val="none" w:sz="0" w:space="0" w:color="auto"/>
                <w:right w:val="none" w:sz="0" w:space="0" w:color="auto"/>
              </w:divBdr>
            </w:div>
          </w:divsChild>
        </w:div>
        <w:div w:id="1211577894">
          <w:marLeft w:val="0"/>
          <w:marRight w:val="0"/>
          <w:marTop w:val="0"/>
          <w:marBottom w:val="0"/>
          <w:divBdr>
            <w:top w:val="none" w:sz="0" w:space="0" w:color="auto"/>
            <w:left w:val="none" w:sz="0" w:space="0" w:color="auto"/>
            <w:bottom w:val="none" w:sz="0" w:space="0" w:color="auto"/>
            <w:right w:val="none" w:sz="0" w:space="0" w:color="auto"/>
          </w:divBdr>
          <w:divsChild>
            <w:div w:id="1591888628">
              <w:marLeft w:val="0"/>
              <w:marRight w:val="0"/>
              <w:marTop w:val="0"/>
              <w:marBottom w:val="0"/>
              <w:divBdr>
                <w:top w:val="none" w:sz="0" w:space="0" w:color="auto"/>
                <w:left w:val="none" w:sz="0" w:space="0" w:color="auto"/>
                <w:bottom w:val="none" w:sz="0" w:space="0" w:color="auto"/>
                <w:right w:val="none" w:sz="0" w:space="0" w:color="auto"/>
              </w:divBdr>
            </w:div>
            <w:div w:id="24141958">
              <w:marLeft w:val="0"/>
              <w:marRight w:val="0"/>
              <w:marTop w:val="0"/>
              <w:marBottom w:val="0"/>
              <w:divBdr>
                <w:top w:val="none" w:sz="0" w:space="0" w:color="auto"/>
                <w:left w:val="none" w:sz="0" w:space="0" w:color="auto"/>
                <w:bottom w:val="none" w:sz="0" w:space="0" w:color="auto"/>
                <w:right w:val="none" w:sz="0" w:space="0" w:color="auto"/>
              </w:divBdr>
            </w:div>
            <w:div w:id="588999175">
              <w:marLeft w:val="0"/>
              <w:marRight w:val="0"/>
              <w:marTop w:val="0"/>
              <w:marBottom w:val="0"/>
              <w:divBdr>
                <w:top w:val="none" w:sz="0" w:space="0" w:color="auto"/>
                <w:left w:val="none" w:sz="0" w:space="0" w:color="auto"/>
                <w:bottom w:val="none" w:sz="0" w:space="0" w:color="auto"/>
                <w:right w:val="none" w:sz="0" w:space="0" w:color="auto"/>
              </w:divBdr>
            </w:div>
          </w:divsChild>
        </w:div>
        <w:div w:id="1142961167">
          <w:marLeft w:val="0"/>
          <w:marRight w:val="0"/>
          <w:marTop w:val="0"/>
          <w:marBottom w:val="0"/>
          <w:divBdr>
            <w:top w:val="none" w:sz="0" w:space="0" w:color="auto"/>
            <w:left w:val="none" w:sz="0" w:space="0" w:color="auto"/>
            <w:bottom w:val="none" w:sz="0" w:space="0" w:color="auto"/>
            <w:right w:val="none" w:sz="0" w:space="0" w:color="auto"/>
          </w:divBdr>
          <w:divsChild>
            <w:div w:id="1725637676">
              <w:marLeft w:val="0"/>
              <w:marRight w:val="0"/>
              <w:marTop w:val="0"/>
              <w:marBottom w:val="0"/>
              <w:divBdr>
                <w:top w:val="none" w:sz="0" w:space="0" w:color="auto"/>
                <w:left w:val="none" w:sz="0" w:space="0" w:color="auto"/>
                <w:bottom w:val="none" w:sz="0" w:space="0" w:color="auto"/>
                <w:right w:val="none" w:sz="0" w:space="0" w:color="auto"/>
              </w:divBdr>
            </w:div>
            <w:div w:id="974332413">
              <w:marLeft w:val="0"/>
              <w:marRight w:val="0"/>
              <w:marTop w:val="0"/>
              <w:marBottom w:val="0"/>
              <w:divBdr>
                <w:top w:val="none" w:sz="0" w:space="0" w:color="auto"/>
                <w:left w:val="none" w:sz="0" w:space="0" w:color="auto"/>
                <w:bottom w:val="none" w:sz="0" w:space="0" w:color="auto"/>
                <w:right w:val="none" w:sz="0" w:space="0" w:color="auto"/>
              </w:divBdr>
            </w:div>
            <w:div w:id="1829007973">
              <w:marLeft w:val="0"/>
              <w:marRight w:val="0"/>
              <w:marTop w:val="0"/>
              <w:marBottom w:val="0"/>
              <w:divBdr>
                <w:top w:val="none" w:sz="0" w:space="0" w:color="auto"/>
                <w:left w:val="none" w:sz="0" w:space="0" w:color="auto"/>
                <w:bottom w:val="none" w:sz="0" w:space="0" w:color="auto"/>
                <w:right w:val="none" w:sz="0" w:space="0" w:color="auto"/>
              </w:divBdr>
            </w:div>
          </w:divsChild>
        </w:div>
        <w:div w:id="977227595">
          <w:marLeft w:val="0"/>
          <w:marRight w:val="0"/>
          <w:marTop w:val="0"/>
          <w:marBottom w:val="0"/>
          <w:divBdr>
            <w:top w:val="none" w:sz="0" w:space="0" w:color="auto"/>
            <w:left w:val="none" w:sz="0" w:space="0" w:color="auto"/>
            <w:bottom w:val="none" w:sz="0" w:space="0" w:color="auto"/>
            <w:right w:val="none" w:sz="0" w:space="0" w:color="auto"/>
          </w:divBdr>
        </w:div>
        <w:div w:id="2096432796">
          <w:marLeft w:val="0"/>
          <w:marRight w:val="0"/>
          <w:marTop w:val="0"/>
          <w:marBottom w:val="0"/>
          <w:divBdr>
            <w:top w:val="none" w:sz="0" w:space="0" w:color="auto"/>
            <w:left w:val="none" w:sz="0" w:space="0" w:color="auto"/>
            <w:bottom w:val="none" w:sz="0" w:space="0" w:color="auto"/>
            <w:right w:val="none" w:sz="0" w:space="0" w:color="auto"/>
          </w:divBdr>
        </w:div>
        <w:div w:id="244388880">
          <w:marLeft w:val="0"/>
          <w:marRight w:val="0"/>
          <w:marTop w:val="0"/>
          <w:marBottom w:val="0"/>
          <w:divBdr>
            <w:top w:val="none" w:sz="0" w:space="0" w:color="auto"/>
            <w:left w:val="none" w:sz="0" w:space="0" w:color="auto"/>
            <w:bottom w:val="none" w:sz="0" w:space="0" w:color="auto"/>
            <w:right w:val="none" w:sz="0" w:space="0" w:color="auto"/>
          </w:divBdr>
        </w:div>
      </w:divsChild>
    </w:div>
    <w:div w:id="1118182851">
      <w:bodyDiv w:val="1"/>
      <w:marLeft w:val="0"/>
      <w:marRight w:val="0"/>
      <w:marTop w:val="0"/>
      <w:marBottom w:val="0"/>
      <w:divBdr>
        <w:top w:val="none" w:sz="0" w:space="0" w:color="auto"/>
        <w:left w:val="none" w:sz="0" w:space="0" w:color="auto"/>
        <w:bottom w:val="none" w:sz="0" w:space="0" w:color="auto"/>
        <w:right w:val="none" w:sz="0" w:space="0" w:color="auto"/>
      </w:divBdr>
    </w:div>
    <w:div w:id="1141072611">
      <w:bodyDiv w:val="1"/>
      <w:marLeft w:val="0"/>
      <w:marRight w:val="0"/>
      <w:marTop w:val="0"/>
      <w:marBottom w:val="0"/>
      <w:divBdr>
        <w:top w:val="none" w:sz="0" w:space="0" w:color="auto"/>
        <w:left w:val="none" w:sz="0" w:space="0" w:color="auto"/>
        <w:bottom w:val="none" w:sz="0" w:space="0" w:color="auto"/>
        <w:right w:val="none" w:sz="0" w:space="0" w:color="auto"/>
      </w:divBdr>
      <w:divsChild>
        <w:div w:id="1639916970">
          <w:marLeft w:val="0"/>
          <w:marRight w:val="0"/>
          <w:marTop w:val="0"/>
          <w:marBottom w:val="0"/>
          <w:divBdr>
            <w:top w:val="none" w:sz="0" w:space="0" w:color="auto"/>
            <w:left w:val="none" w:sz="0" w:space="0" w:color="auto"/>
            <w:bottom w:val="none" w:sz="0" w:space="0" w:color="auto"/>
            <w:right w:val="none" w:sz="0" w:space="0" w:color="auto"/>
          </w:divBdr>
        </w:div>
        <w:div w:id="267549768">
          <w:marLeft w:val="0"/>
          <w:marRight w:val="0"/>
          <w:marTop w:val="0"/>
          <w:marBottom w:val="0"/>
          <w:divBdr>
            <w:top w:val="none" w:sz="0" w:space="0" w:color="auto"/>
            <w:left w:val="none" w:sz="0" w:space="0" w:color="auto"/>
            <w:bottom w:val="none" w:sz="0" w:space="0" w:color="auto"/>
            <w:right w:val="none" w:sz="0" w:space="0" w:color="auto"/>
          </w:divBdr>
        </w:div>
        <w:div w:id="2060860433">
          <w:marLeft w:val="0"/>
          <w:marRight w:val="0"/>
          <w:marTop w:val="0"/>
          <w:marBottom w:val="0"/>
          <w:divBdr>
            <w:top w:val="none" w:sz="0" w:space="0" w:color="auto"/>
            <w:left w:val="none" w:sz="0" w:space="0" w:color="auto"/>
            <w:bottom w:val="none" w:sz="0" w:space="0" w:color="auto"/>
            <w:right w:val="none" w:sz="0" w:space="0" w:color="auto"/>
          </w:divBdr>
        </w:div>
        <w:div w:id="1629357458">
          <w:marLeft w:val="0"/>
          <w:marRight w:val="0"/>
          <w:marTop w:val="0"/>
          <w:marBottom w:val="0"/>
          <w:divBdr>
            <w:top w:val="none" w:sz="0" w:space="0" w:color="auto"/>
            <w:left w:val="none" w:sz="0" w:space="0" w:color="auto"/>
            <w:bottom w:val="none" w:sz="0" w:space="0" w:color="auto"/>
            <w:right w:val="none" w:sz="0" w:space="0" w:color="auto"/>
          </w:divBdr>
        </w:div>
        <w:div w:id="958487110">
          <w:marLeft w:val="0"/>
          <w:marRight w:val="0"/>
          <w:marTop w:val="0"/>
          <w:marBottom w:val="0"/>
          <w:divBdr>
            <w:top w:val="none" w:sz="0" w:space="0" w:color="auto"/>
            <w:left w:val="none" w:sz="0" w:space="0" w:color="auto"/>
            <w:bottom w:val="none" w:sz="0" w:space="0" w:color="auto"/>
            <w:right w:val="none" w:sz="0" w:space="0" w:color="auto"/>
          </w:divBdr>
        </w:div>
        <w:div w:id="1480271288">
          <w:marLeft w:val="0"/>
          <w:marRight w:val="0"/>
          <w:marTop w:val="0"/>
          <w:marBottom w:val="0"/>
          <w:divBdr>
            <w:top w:val="none" w:sz="0" w:space="0" w:color="auto"/>
            <w:left w:val="none" w:sz="0" w:space="0" w:color="auto"/>
            <w:bottom w:val="none" w:sz="0" w:space="0" w:color="auto"/>
            <w:right w:val="none" w:sz="0" w:space="0" w:color="auto"/>
          </w:divBdr>
        </w:div>
        <w:div w:id="643389615">
          <w:marLeft w:val="0"/>
          <w:marRight w:val="0"/>
          <w:marTop w:val="0"/>
          <w:marBottom w:val="0"/>
          <w:divBdr>
            <w:top w:val="none" w:sz="0" w:space="0" w:color="auto"/>
            <w:left w:val="none" w:sz="0" w:space="0" w:color="auto"/>
            <w:bottom w:val="none" w:sz="0" w:space="0" w:color="auto"/>
            <w:right w:val="none" w:sz="0" w:space="0" w:color="auto"/>
          </w:divBdr>
        </w:div>
      </w:divsChild>
    </w:div>
    <w:div w:id="1167861482">
      <w:bodyDiv w:val="1"/>
      <w:marLeft w:val="0"/>
      <w:marRight w:val="0"/>
      <w:marTop w:val="0"/>
      <w:marBottom w:val="0"/>
      <w:divBdr>
        <w:top w:val="none" w:sz="0" w:space="0" w:color="auto"/>
        <w:left w:val="none" w:sz="0" w:space="0" w:color="auto"/>
        <w:bottom w:val="none" w:sz="0" w:space="0" w:color="auto"/>
        <w:right w:val="none" w:sz="0" w:space="0" w:color="auto"/>
      </w:divBdr>
      <w:divsChild>
        <w:div w:id="1809855702">
          <w:marLeft w:val="0"/>
          <w:marRight w:val="0"/>
          <w:marTop w:val="0"/>
          <w:marBottom w:val="0"/>
          <w:divBdr>
            <w:top w:val="none" w:sz="0" w:space="0" w:color="auto"/>
            <w:left w:val="none" w:sz="0" w:space="0" w:color="auto"/>
            <w:bottom w:val="none" w:sz="0" w:space="0" w:color="auto"/>
            <w:right w:val="none" w:sz="0" w:space="0" w:color="auto"/>
          </w:divBdr>
          <w:divsChild>
            <w:div w:id="383991738">
              <w:marLeft w:val="0"/>
              <w:marRight w:val="0"/>
              <w:marTop w:val="0"/>
              <w:marBottom w:val="0"/>
              <w:divBdr>
                <w:top w:val="none" w:sz="0" w:space="0" w:color="auto"/>
                <w:left w:val="none" w:sz="0" w:space="0" w:color="auto"/>
                <w:bottom w:val="none" w:sz="0" w:space="0" w:color="auto"/>
                <w:right w:val="none" w:sz="0" w:space="0" w:color="auto"/>
              </w:divBdr>
            </w:div>
          </w:divsChild>
        </w:div>
        <w:div w:id="1862930668">
          <w:marLeft w:val="0"/>
          <w:marRight w:val="0"/>
          <w:marTop w:val="0"/>
          <w:marBottom w:val="0"/>
          <w:divBdr>
            <w:top w:val="none" w:sz="0" w:space="0" w:color="auto"/>
            <w:left w:val="none" w:sz="0" w:space="0" w:color="auto"/>
            <w:bottom w:val="none" w:sz="0" w:space="0" w:color="auto"/>
            <w:right w:val="none" w:sz="0" w:space="0" w:color="auto"/>
          </w:divBdr>
          <w:divsChild>
            <w:div w:id="341511600">
              <w:marLeft w:val="0"/>
              <w:marRight w:val="0"/>
              <w:marTop w:val="0"/>
              <w:marBottom w:val="0"/>
              <w:divBdr>
                <w:top w:val="none" w:sz="0" w:space="0" w:color="auto"/>
                <w:left w:val="none" w:sz="0" w:space="0" w:color="auto"/>
                <w:bottom w:val="none" w:sz="0" w:space="0" w:color="auto"/>
                <w:right w:val="none" w:sz="0" w:space="0" w:color="auto"/>
              </w:divBdr>
            </w:div>
            <w:div w:id="862085522">
              <w:marLeft w:val="0"/>
              <w:marRight w:val="0"/>
              <w:marTop w:val="0"/>
              <w:marBottom w:val="0"/>
              <w:divBdr>
                <w:top w:val="none" w:sz="0" w:space="0" w:color="auto"/>
                <w:left w:val="none" w:sz="0" w:space="0" w:color="auto"/>
                <w:bottom w:val="none" w:sz="0" w:space="0" w:color="auto"/>
                <w:right w:val="none" w:sz="0" w:space="0" w:color="auto"/>
              </w:divBdr>
            </w:div>
            <w:div w:id="1071005663">
              <w:marLeft w:val="0"/>
              <w:marRight w:val="0"/>
              <w:marTop w:val="0"/>
              <w:marBottom w:val="0"/>
              <w:divBdr>
                <w:top w:val="none" w:sz="0" w:space="0" w:color="auto"/>
                <w:left w:val="none" w:sz="0" w:space="0" w:color="auto"/>
                <w:bottom w:val="none" w:sz="0" w:space="0" w:color="auto"/>
                <w:right w:val="none" w:sz="0" w:space="0" w:color="auto"/>
              </w:divBdr>
            </w:div>
          </w:divsChild>
        </w:div>
        <w:div w:id="1943683435">
          <w:marLeft w:val="0"/>
          <w:marRight w:val="0"/>
          <w:marTop w:val="0"/>
          <w:marBottom w:val="0"/>
          <w:divBdr>
            <w:top w:val="none" w:sz="0" w:space="0" w:color="auto"/>
            <w:left w:val="none" w:sz="0" w:space="0" w:color="auto"/>
            <w:bottom w:val="none" w:sz="0" w:space="0" w:color="auto"/>
            <w:right w:val="none" w:sz="0" w:space="0" w:color="auto"/>
          </w:divBdr>
          <w:divsChild>
            <w:div w:id="902299751">
              <w:marLeft w:val="0"/>
              <w:marRight w:val="0"/>
              <w:marTop w:val="0"/>
              <w:marBottom w:val="0"/>
              <w:divBdr>
                <w:top w:val="none" w:sz="0" w:space="0" w:color="auto"/>
                <w:left w:val="none" w:sz="0" w:space="0" w:color="auto"/>
                <w:bottom w:val="none" w:sz="0" w:space="0" w:color="auto"/>
                <w:right w:val="none" w:sz="0" w:space="0" w:color="auto"/>
              </w:divBdr>
            </w:div>
            <w:div w:id="2074742136">
              <w:marLeft w:val="0"/>
              <w:marRight w:val="0"/>
              <w:marTop w:val="0"/>
              <w:marBottom w:val="0"/>
              <w:divBdr>
                <w:top w:val="none" w:sz="0" w:space="0" w:color="auto"/>
                <w:left w:val="none" w:sz="0" w:space="0" w:color="auto"/>
                <w:bottom w:val="none" w:sz="0" w:space="0" w:color="auto"/>
                <w:right w:val="none" w:sz="0" w:space="0" w:color="auto"/>
              </w:divBdr>
            </w:div>
            <w:div w:id="1060204631">
              <w:marLeft w:val="0"/>
              <w:marRight w:val="0"/>
              <w:marTop w:val="0"/>
              <w:marBottom w:val="0"/>
              <w:divBdr>
                <w:top w:val="none" w:sz="0" w:space="0" w:color="auto"/>
                <w:left w:val="none" w:sz="0" w:space="0" w:color="auto"/>
                <w:bottom w:val="none" w:sz="0" w:space="0" w:color="auto"/>
                <w:right w:val="none" w:sz="0" w:space="0" w:color="auto"/>
              </w:divBdr>
            </w:div>
          </w:divsChild>
        </w:div>
        <w:div w:id="907299294">
          <w:marLeft w:val="0"/>
          <w:marRight w:val="0"/>
          <w:marTop w:val="0"/>
          <w:marBottom w:val="0"/>
          <w:divBdr>
            <w:top w:val="none" w:sz="0" w:space="0" w:color="auto"/>
            <w:left w:val="none" w:sz="0" w:space="0" w:color="auto"/>
            <w:bottom w:val="none" w:sz="0" w:space="0" w:color="auto"/>
            <w:right w:val="none" w:sz="0" w:space="0" w:color="auto"/>
          </w:divBdr>
        </w:div>
        <w:div w:id="1970092074">
          <w:marLeft w:val="0"/>
          <w:marRight w:val="0"/>
          <w:marTop w:val="0"/>
          <w:marBottom w:val="0"/>
          <w:divBdr>
            <w:top w:val="none" w:sz="0" w:space="0" w:color="auto"/>
            <w:left w:val="none" w:sz="0" w:space="0" w:color="auto"/>
            <w:bottom w:val="none" w:sz="0" w:space="0" w:color="auto"/>
            <w:right w:val="none" w:sz="0" w:space="0" w:color="auto"/>
          </w:divBdr>
        </w:div>
        <w:div w:id="870534759">
          <w:marLeft w:val="0"/>
          <w:marRight w:val="0"/>
          <w:marTop w:val="0"/>
          <w:marBottom w:val="0"/>
          <w:divBdr>
            <w:top w:val="none" w:sz="0" w:space="0" w:color="auto"/>
            <w:left w:val="none" w:sz="0" w:space="0" w:color="auto"/>
            <w:bottom w:val="none" w:sz="0" w:space="0" w:color="auto"/>
            <w:right w:val="none" w:sz="0" w:space="0" w:color="auto"/>
          </w:divBdr>
        </w:div>
        <w:div w:id="1794667106">
          <w:marLeft w:val="0"/>
          <w:marRight w:val="0"/>
          <w:marTop w:val="0"/>
          <w:marBottom w:val="0"/>
          <w:divBdr>
            <w:top w:val="none" w:sz="0" w:space="0" w:color="auto"/>
            <w:left w:val="none" w:sz="0" w:space="0" w:color="auto"/>
            <w:bottom w:val="none" w:sz="0" w:space="0" w:color="auto"/>
            <w:right w:val="none" w:sz="0" w:space="0" w:color="auto"/>
          </w:divBdr>
        </w:div>
      </w:divsChild>
    </w:div>
    <w:div w:id="1176580883">
      <w:bodyDiv w:val="1"/>
      <w:marLeft w:val="0"/>
      <w:marRight w:val="0"/>
      <w:marTop w:val="0"/>
      <w:marBottom w:val="0"/>
      <w:divBdr>
        <w:top w:val="none" w:sz="0" w:space="0" w:color="auto"/>
        <w:left w:val="none" w:sz="0" w:space="0" w:color="auto"/>
        <w:bottom w:val="none" w:sz="0" w:space="0" w:color="auto"/>
        <w:right w:val="none" w:sz="0" w:space="0" w:color="auto"/>
      </w:divBdr>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16086690">
      <w:bodyDiv w:val="1"/>
      <w:marLeft w:val="0"/>
      <w:marRight w:val="0"/>
      <w:marTop w:val="0"/>
      <w:marBottom w:val="0"/>
      <w:divBdr>
        <w:top w:val="none" w:sz="0" w:space="0" w:color="auto"/>
        <w:left w:val="none" w:sz="0" w:space="0" w:color="auto"/>
        <w:bottom w:val="none" w:sz="0" w:space="0" w:color="auto"/>
        <w:right w:val="none" w:sz="0" w:space="0" w:color="auto"/>
      </w:divBdr>
      <w:divsChild>
        <w:div w:id="913130197">
          <w:marLeft w:val="0"/>
          <w:marRight w:val="0"/>
          <w:marTop w:val="0"/>
          <w:marBottom w:val="0"/>
          <w:divBdr>
            <w:top w:val="none" w:sz="0" w:space="0" w:color="auto"/>
            <w:left w:val="none" w:sz="0" w:space="0" w:color="auto"/>
            <w:bottom w:val="none" w:sz="0" w:space="0" w:color="auto"/>
            <w:right w:val="none" w:sz="0" w:space="0" w:color="auto"/>
          </w:divBdr>
          <w:divsChild>
            <w:div w:id="1141266556">
              <w:marLeft w:val="0"/>
              <w:marRight w:val="0"/>
              <w:marTop w:val="0"/>
              <w:marBottom w:val="0"/>
              <w:divBdr>
                <w:top w:val="none" w:sz="0" w:space="0" w:color="auto"/>
                <w:left w:val="none" w:sz="0" w:space="0" w:color="auto"/>
                <w:bottom w:val="none" w:sz="0" w:space="0" w:color="auto"/>
                <w:right w:val="none" w:sz="0" w:space="0" w:color="auto"/>
              </w:divBdr>
            </w:div>
          </w:divsChild>
        </w:div>
        <w:div w:id="490408484">
          <w:marLeft w:val="0"/>
          <w:marRight w:val="0"/>
          <w:marTop w:val="0"/>
          <w:marBottom w:val="0"/>
          <w:divBdr>
            <w:top w:val="none" w:sz="0" w:space="0" w:color="auto"/>
            <w:left w:val="none" w:sz="0" w:space="0" w:color="auto"/>
            <w:bottom w:val="none" w:sz="0" w:space="0" w:color="auto"/>
            <w:right w:val="none" w:sz="0" w:space="0" w:color="auto"/>
          </w:divBdr>
          <w:divsChild>
            <w:div w:id="289865807">
              <w:marLeft w:val="0"/>
              <w:marRight w:val="0"/>
              <w:marTop w:val="0"/>
              <w:marBottom w:val="0"/>
              <w:divBdr>
                <w:top w:val="none" w:sz="0" w:space="0" w:color="auto"/>
                <w:left w:val="none" w:sz="0" w:space="0" w:color="auto"/>
                <w:bottom w:val="none" w:sz="0" w:space="0" w:color="auto"/>
                <w:right w:val="none" w:sz="0" w:space="0" w:color="auto"/>
              </w:divBdr>
            </w:div>
            <w:div w:id="1489635391">
              <w:marLeft w:val="0"/>
              <w:marRight w:val="0"/>
              <w:marTop w:val="0"/>
              <w:marBottom w:val="0"/>
              <w:divBdr>
                <w:top w:val="none" w:sz="0" w:space="0" w:color="auto"/>
                <w:left w:val="none" w:sz="0" w:space="0" w:color="auto"/>
                <w:bottom w:val="none" w:sz="0" w:space="0" w:color="auto"/>
                <w:right w:val="none" w:sz="0" w:space="0" w:color="auto"/>
              </w:divBdr>
            </w:div>
            <w:div w:id="1428162027">
              <w:marLeft w:val="0"/>
              <w:marRight w:val="0"/>
              <w:marTop w:val="0"/>
              <w:marBottom w:val="0"/>
              <w:divBdr>
                <w:top w:val="none" w:sz="0" w:space="0" w:color="auto"/>
                <w:left w:val="none" w:sz="0" w:space="0" w:color="auto"/>
                <w:bottom w:val="none" w:sz="0" w:space="0" w:color="auto"/>
                <w:right w:val="none" w:sz="0" w:space="0" w:color="auto"/>
              </w:divBdr>
            </w:div>
          </w:divsChild>
        </w:div>
        <w:div w:id="2010674363">
          <w:marLeft w:val="0"/>
          <w:marRight w:val="0"/>
          <w:marTop w:val="0"/>
          <w:marBottom w:val="0"/>
          <w:divBdr>
            <w:top w:val="none" w:sz="0" w:space="0" w:color="auto"/>
            <w:left w:val="none" w:sz="0" w:space="0" w:color="auto"/>
            <w:bottom w:val="none" w:sz="0" w:space="0" w:color="auto"/>
            <w:right w:val="none" w:sz="0" w:space="0" w:color="auto"/>
          </w:divBdr>
          <w:divsChild>
            <w:div w:id="431702460">
              <w:marLeft w:val="0"/>
              <w:marRight w:val="0"/>
              <w:marTop w:val="0"/>
              <w:marBottom w:val="0"/>
              <w:divBdr>
                <w:top w:val="none" w:sz="0" w:space="0" w:color="auto"/>
                <w:left w:val="none" w:sz="0" w:space="0" w:color="auto"/>
                <w:bottom w:val="none" w:sz="0" w:space="0" w:color="auto"/>
                <w:right w:val="none" w:sz="0" w:space="0" w:color="auto"/>
              </w:divBdr>
            </w:div>
            <w:div w:id="1586452583">
              <w:marLeft w:val="0"/>
              <w:marRight w:val="0"/>
              <w:marTop w:val="0"/>
              <w:marBottom w:val="0"/>
              <w:divBdr>
                <w:top w:val="none" w:sz="0" w:space="0" w:color="auto"/>
                <w:left w:val="none" w:sz="0" w:space="0" w:color="auto"/>
                <w:bottom w:val="none" w:sz="0" w:space="0" w:color="auto"/>
                <w:right w:val="none" w:sz="0" w:space="0" w:color="auto"/>
              </w:divBdr>
            </w:div>
            <w:div w:id="234559586">
              <w:marLeft w:val="0"/>
              <w:marRight w:val="0"/>
              <w:marTop w:val="0"/>
              <w:marBottom w:val="0"/>
              <w:divBdr>
                <w:top w:val="none" w:sz="0" w:space="0" w:color="auto"/>
                <w:left w:val="none" w:sz="0" w:space="0" w:color="auto"/>
                <w:bottom w:val="none" w:sz="0" w:space="0" w:color="auto"/>
                <w:right w:val="none" w:sz="0" w:space="0" w:color="auto"/>
              </w:divBdr>
            </w:div>
          </w:divsChild>
        </w:div>
        <w:div w:id="1593657591">
          <w:marLeft w:val="0"/>
          <w:marRight w:val="0"/>
          <w:marTop w:val="0"/>
          <w:marBottom w:val="0"/>
          <w:divBdr>
            <w:top w:val="none" w:sz="0" w:space="0" w:color="auto"/>
            <w:left w:val="none" w:sz="0" w:space="0" w:color="auto"/>
            <w:bottom w:val="none" w:sz="0" w:space="0" w:color="auto"/>
            <w:right w:val="none" w:sz="0" w:space="0" w:color="auto"/>
          </w:divBdr>
        </w:div>
        <w:div w:id="1227648299">
          <w:marLeft w:val="0"/>
          <w:marRight w:val="0"/>
          <w:marTop w:val="0"/>
          <w:marBottom w:val="0"/>
          <w:divBdr>
            <w:top w:val="none" w:sz="0" w:space="0" w:color="auto"/>
            <w:left w:val="none" w:sz="0" w:space="0" w:color="auto"/>
            <w:bottom w:val="none" w:sz="0" w:space="0" w:color="auto"/>
            <w:right w:val="none" w:sz="0" w:space="0" w:color="auto"/>
          </w:divBdr>
        </w:div>
        <w:div w:id="1139228793">
          <w:marLeft w:val="0"/>
          <w:marRight w:val="0"/>
          <w:marTop w:val="0"/>
          <w:marBottom w:val="0"/>
          <w:divBdr>
            <w:top w:val="none" w:sz="0" w:space="0" w:color="auto"/>
            <w:left w:val="none" w:sz="0" w:space="0" w:color="auto"/>
            <w:bottom w:val="none" w:sz="0" w:space="0" w:color="auto"/>
            <w:right w:val="none" w:sz="0" w:space="0" w:color="auto"/>
          </w:divBdr>
        </w:div>
        <w:div w:id="1825969449">
          <w:marLeft w:val="0"/>
          <w:marRight w:val="0"/>
          <w:marTop w:val="0"/>
          <w:marBottom w:val="0"/>
          <w:divBdr>
            <w:top w:val="none" w:sz="0" w:space="0" w:color="auto"/>
            <w:left w:val="none" w:sz="0" w:space="0" w:color="auto"/>
            <w:bottom w:val="none" w:sz="0" w:space="0" w:color="auto"/>
            <w:right w:val="none" w:sz="0" w:space="0" w:color="auto"/>
          </w:divBdr>
        </w:div>
      </w:divsChild>
    </w:div>
    <w:div w:id="1221818412">
      <w:bodyDiv w:val="1"/>
      <w:marLeft w:val="0"/>
      <w:marRight w:val="0"/>
      <w:marTop w:val="0"/>
      <w:marBottom w:val="0"/>
      <w:divBdr>
        <w:top w:val="none" w:sz="0" w:space="0" w:color="auto"/>
        <w:left w:val="none" w:sz="0" w:space="0" w:color="auto"/>
        <w:bottom w:val="none" w:sz="0" w:space="0" w:color="auto"/>
        <w:right w:val="none" w:sz="0" w:space="0" w:color="auto"/>
      </w:divBdr>
      <w:divsChild>
        <w:div w:id="2079402922">
          <w:marLeft w:val="0"/>
          <w:marRight w:val="0"/>
          <w:marTop w:val="0"/>
          <w:marBottom w:val="0"/>
          <w:divBdr>
            <w:top w:val="none" w:sz="0" w:space="0" w:color="auto"/>
            <w:left w:val="none" w:sz="0" w:space="0" w:color="auto"/>
            <w:bottom w:val="none" w:sz="0" w:space="0" w:color="auto"/>
            <w:right w:val="none" w:sz="0" w:space="0" w:color="auto"/>
          </w:divBdr>
          <w:divsChild>
            <w:div w:id="1118600060">
              <w:marLeft w:val="0"/>
              <w:marRight w:val="0"/>
              <w:marTop w:val="0"/>
              <w:marBottom w:val="0"/>
              <w:divBdr>
                <w:top w:val="none" w:sz="0" w:space="0" w:color="auto"/>
                <w:left w:val="none" w:sz="0" w:space="0" w:color="auto"/>
                <w:bottom w:val="none" w:sz="0" w:space="0" w:color="auto"/>
                <w:right w:val="none" w:sz="0" w:space="0" w:color="auto"/>
              </w:divBdr>
            </w:div>
          </w:divsChild>
        </w:div>
        <w:div w:id="1212381457">
          <w:marLeft w:val="0"/>
          <w:marRight w:val="0"/>
          <w:marTop w:val="0"/>
          <w:marBottom w:val="0"/>
          <w:divBdr>
            <w:top w:val="none" w:sz="0" w:space="0" w:color="auto"/>
            <w:left w:val="none" w:sz="0" w:space="0" w:color="auto"/>
            <w:bottom w:val="none" w:sz="0" w:space="0" w:color="auto"/>
            <w:right w:val="none" w:sz="0" w:space="0" w:color="auto"/>
          </w:divBdr>
          <w:divsChild>
            <w:div w:id="1063218781">
              <w:marLeft w:val="0"/>
              <w:marRight w:val="0"/>
              <w:marTop w:val="0"/>
              <w:marBottom w:val="0"/>
              <w:divBdr>
                <w:top w:val="none" w:sz="0" w:space="0" w:color="auto"/>
                <w:left w:val="none" w:sz="0" w:space="0" w:color="auto"/>
                <w:bottom w:val="none" w:sz="0" w:space="0" w:color="auto"/>
                <w:right w:val="none" w:sz="0" w:space="0" w:color="auto"/>
              </w:divBdr>
            </w:div>
            <w:div w:id="552083647">
              <w:marLeft w:val="0"/>
              <w:marRight w:val="0"/>
              <w:marTop w:val="0"/>
              <w:marBottom w:val="0"/>
              <w:divBdr>
                <w:top w:val="none" w:sz="0" w:space="0" w:color="auto"/>
                <w:left w:val="none" w:sz="0" w:space="0" w:color="auto"/>
                <w:bottom w:val="none" w:sz="0" w:space="0" w:color="auto"/>
                <w:right w:val="none" w:sz="0" w:space="0" w:color="auto"/>
              </w:divBdr>
            </w:div>
            <w:div w:id="1477529934">
              <w:marLeft w:val="0"/>
              <w:marRight w:val="0"/>
              <w:marTop w:val="0"/>
              <w:marBottom w:val="0"/>
              <w:divBdr>
                <w:top w:val="none" w:sz="0" w:space="0" w:color="auto"/>
                <w:left w:val="none" w:sz="0" w:space="0" w:color="auto"/>
                <w:bottom w:val="none" w:sz="0" w:space="0" w:color="auto"/>
                <w:right w:val="none" w:sz="0" w:space="0" w:color="auto"/>
              </w:divBdr>
            </w:div>
          </w:divsChild>
        </w:div>
        <w:div w:id="597913549">
          <w:marLeft w:val="0"/>
          <w:marRight w:val="0"/>
          <w:marTop w:val="0"/>
          <w:marBottom w:val="0"/>
          <w:divBdr>
            <w:top w:val="none" w:sz="0" w:space="0" w:color="auto"/>
            <w:left w:val="none" w:sz="0" w:space="0" w:color="auto"/>
            <w:bottom w:val="none" w:sz="0" w:space="0" w:color="auto"/>
            <w:right w:val="none" w:sz="0" w:space="0" w:color="auto"/>
          </w:divBdr>
          <w:divsChild>
            <w:div w:id="684556214">
              <w:marLeft w:val="0"/>
              <w:marRight w:val="0"/>
              <w:marTop w:val="0"/>
              <w:marBottom w:val="0"/>
              <w:divBdr>
                <w:top w:val="none" w:sz="0" w:space="0" w:color="auto"/>
                <w:left w:val="none" w:sz="0" w:space="0" w:color="auto"/>
                <w:bottom w:val="none" w:sz="0" w:space="0" w:color="auto"/>
                <w:right w:val="none" w:sz="0" w:space="0" w:color="auto"/>
              </w:divBdr>
            </w:div>
            <w:div w:id="636759758">
              <w:marLeft w:val="0"/>
              <w:marRight w:val="0"/>
              <w:marTop w:val="0"/>
              <w:marBottom w:val="0"/>
              <w:divBdr>
                <w:top w:val="none" w:sz="0" w:space="0" w:color="auto"/>
                <w:left w:val="none" w:sz="0" w:space="0" w:color="auto"/>
                <w:bottom w:val="none" w:sz="0" w:space="0" w:color="auto"/>
                <w:right w:val="none" w:sz="0" w:space="0" w:color="auto"/>
              </w:divBdr>
            </w:div>
            <w:div w:id="989987774">
              <w:marLeft w:val="0"/>
              <w:marRight w:val="0"/>
              <w:marTop w:val="0"/>
              <w:marBottom w:val="0"/>
              <w:divBdr>
                <w:top w:val="none" w:sz="0" w:space="0" w:color="auto"/>
                <w:left w:val="none" w:sz="0" w:space="0" w:color="auto"/>
                <w:bottom w:val="none" w:sz="0" w:space="0" w:color="auto"/>
                <w:right w:val="none" w:sz="0" w:space="0" w:color="auto"/>
              </w:divBdr>
            </w:div>
          </w:divsChild>
        </w:div>
        <w:div w:id="1031956728">
          <w:marLeft w:val="0"/>
          <w:marRight w:val="0"/>
          <w:marTop w:val="0"/>
          <w:marBottom w:val="0"/>
          <w:divBdr>
            <w:top w:val="none" w:sz="0" w:space="0" w:color="auto"/>
            <w:left w:val="none" w:sz="0" w:space="0" w:color="auto"/>
            <w:bottom w:val="none" w:sz="0" w:space="0" w:color="auto"/>
            <w:right w:val="none" w:sz="0" w:space="0" w:color="auto"/>
          </w:divBdr>
        </w:div>
        <w:div w:id="610667520">
          <w:marLeft w:val="0"/>
          <w:marRight w:val="0"/>
          <w:marTop w:val="0"/>
          <w:marBottom w:val="0"/>
          <w:divBdr>
            <w:top w:val="none" w:sz="0" w:space="0" w:color="auto"/>
            <w:left w:val="none" w:sz="0" w:space="0" w:color="auto"/>
            <w:bottom w:val="none" w:sz="0" w:space="0" w:color="auto"/>
            <w:right w:val="none" w:sz="0" w:space="0" w:color="auto"/>
          </w:divBdr>
        </w:div>
        <w:div w:id="1992559935">
          <w:marLeft w:val="0"/>
          <w:marRight w:val="0"/>
          <w:marTop w:val="0"/>
          <w:marBottom w:val="0"/>
          <w:divBdr>
            <w:top w:val="none" w:sz="0" w:space="0" w:color="auto"/>
            <w:left w:val="none" w:sz="0" w:space="0" w:color="auto"/>
            <w:bottom w:val="none" w:sz="0" w:space="0" w:color="auto"/>
            <w:right w:val="none" w:sz="0" w:space="0" w:color="auto"/>
          </w:divBdr>
        </w:div>
      </w:divsChild>
    </w:div>
    <w:div w:id="1227686271">
      <w:bodyDiv w:val="1"/>
      <w:marLeft w:val="0"/>
      <w:marRight w:val="0"/>
      <w:marTop w:val="0"/>
      <w:marBottom w:val="0"/>
      <w:divBdr>
        <w:top w:val="none" w:sz="0" w:space="0" w:color="auto"/>
        <w:left w:val="none" w:sz="0" w:space="0" w:color="auto"/>
        <w:bottom w:val="none" w:sz="0" w:space="0" w:color="auto"/>
        <w:right w:val="none" w:sz="0" w:space="0" w:color="auto"/>
      </w:divBdr>
      <w:divsChild>
        <w:div w:id="2086797772">
          <w:marLeft w:val="0"/>
          <w:marRight w:val="0"/>
          <w:marTop w:val="0"/>
          <w:marBottom w:val="0"/>
          <w:divBdr>
            <w:top w:val="none" w:sz="0" w:space="0" w:color="auto"/>
            <w:left w:val="none" w:sz="0" w:space="0" w:color="auto"/>
            <w:bottom w:val="none" w:sz="0" w:space="0" w:color="auto"/>
            <w:right w:val="none" w:sz="0" w:space="0" w:color="auto"/>
          </w:divBdr>
          <w:divsChild>
            <w:div w:id="886767793">
              <w:marLeft w:val="0"/>
              <w:marRight w:val="0"/>
              <w:marTop w:val="0"/>
              <w:marBottom w:val="0"/>
              <w:divBdr>
                <w:top w:val="none" w:sz="0" w:space="0" w:color="auto"/>
                <w:left w:val="none" w:sz="0" w:space="0" w:color="auto"/>
                <w:bottom w:val="none" w:sz="0" w:space="0" w:color="auto"/>
                <w:right w:val="none" w:sz="0" w:space="0" w:color="auto"/>
              </w:divBdr>
            </w:div>
          </w:divsChild>
        </w:div>
        <w:div w:id="1634364169">
          <w:marLeft w:val="0"/>
          <w:marRight w:val="0"/>
          <w:marTop w:val="0"/>
          <w:marBottom w:val="0"/>
          <w:divBdr>
            <w:top w:val="none" w:sz="0" w:space="0" w:color="auto"/>
            <w:left w:val="none" w:sz="0" w:space="0" w:color="auto"/>
            <w:bottom w:val="none" w:sz="0" w:space="0" w:color="auto"/>
            <w:right w:val="none" w:sz="0" w:space="0" w:color="auto"/>
          </w:divBdr>
          <w:divsChild>
            <w:div w:id="4092779">
              <w:marLeft w:val="0"/>
              <w:marRight w:val="0"/>
              <w:marTop w:val="0"/>
              <w:marBottom w:val="0"/>
              <w:divBdr>
                <w:top w:val="none" w:sz="0" w:space="0" w:color="auto"/>
                <w:left w:val="none" w:sz="0" w:space="0" w:color="auto"/>
                <w:bottom w:val="none" w:sz="0" w:space="0" w:color="auto"/>
                <w:right w:val="none" w:sz="0" w:space="0" w:color="auto"/>
              </w:divBdr>
            </w:div>
            <w:div w:id="1820919849">
              <w:marLeft w:val="0"/>
              <w:marRight w:val="0"/>
              <w:marTop w:val="0"/>
              <w:marBottom w:val="0"/>
              <w:divBdr>
                <w:top w:val="none" w:sz="0" w:space="0" w:color="auto"/>
                <w:left w:val="none" w:sz="0" w:space="0" w:color="auto"/>
                <w:bottom w:val="none" w:sz="0" w:space="0" w:color="auto"/>
                <w:right w:val="none" w:sz="0" w:space="0" w:color="auto"/>
              </w:divBdr>
            </w:div>
            <w:div w:id="559947617">
              <w:marLeft w:val="0"/>
              <w:marRight w:val="0"/>
              <w:marTop w:val="0"/>
              <w:marBottom w:val="0"/>
              <w:divBdr>
                <w:top w:val="none" w:sz="0" w:space="0" w:color="auto"/>
                <w:left w:val="none" w:sz="0" w:space="0" w:color="auto"/>
                <w:bottom w:val="none" w:sz="0" w:space="0" w:color="auto"/>
                <w:right w:val="none" w:sz="0" w:space="0" w:color="auto"/>
              </w:divBdr>
            </w:div>
          </w:divsChild>
        </w:div>
        <w:div w:id="203257558">
          <w:marLeft w:val="0"/>
          <w:marRight w:val="0"/>
          <w:marTop w:val="0"/>
          <w:marBottom w:val="0"/>
          <w:divBdr>
            <w:top w:val="none" w:sz="0" w:space="0" w:color="auto"/>
            <w:left w:val="none" w:sz="0" w:space="0" w:color="auto"/>
            <w:bottom w:val="none" w:sz="0" w:space="0" w:color="auto"/>
            <w:right w:val="none" w:sz="0" w:space="0" w:color="auto"/>
          </w:divBdr>
          <w:divsChild>
            <w:div w:id="1931161420">
              <w:marLeft w:val="0"/>
              <w:marRight w:val="0"/>
              <w:marTop w:val="0"/>
              <w:marBottom w:val="0"/>
              <w:divBdr>
                <w:top w:val="none" w:sz="0" w:space="0" w:color="auto"/>
                <w:left w:val="none" w:sz="0" w:space="0" w:color="auto"/>
                <w:bottom w:val="none" w:sz="0" w:space="0" w:color="auto"/>
                <w:right w:val="none" w:sz="0" w:space="0" w:color="auto"/>
              </w:divBdr>
            </w:div>
            <w:div w:id="2118865536">
              <w:marLeft w:val="0"/>
              <w:marRight w:val="0"/>
              <w:marTop w:val="0"/>
              <w:marBottom w:val="0"/>
              <w:divBdr>
                <w:top w:val="none" w:sz="0" w:space="0" w:color="auto"/>
                <w:left w:val="none" w:sz="0" w:space="0" w:color="auto"/>
                <w:bottom w:val="none" w:sz="0" w:space="0" w:color="auto"/>
                <w:right w:val="none" w:sz="0" w:space="0" w:color="auto"/>
              </w:divBdr>
            </w:div>
            <w:div w:id="327364275">
              <w:marLeft w:val="0"/>
              <w:marRight w:val="0"/>
              <w:marTop w:val="0"/>
              <w:marBottom w:val="0"/>
              <w:divBdr>
                <w:top w:val="none" w:sz="0" w:space="0" w:color="auto"/>
                <w:left w:val="none" w:sz="0" w:space="0" w:color="auto"/>
                <w:bottom w:val="none" w:sz="0" w:space="0" w:color="auto"/>
                <w:right w:val="none" w:sz="0" w:space="0" w:color="auto"/>
              </w:divBdr>
            </w:div>
          </w:divsChild>
        </w:div>
        <w:div w:id="553128643">
          <w:marLeft w:val="0"/>
          <w:marRight w:val="0"/>
          <w:marTop w:val="0"/>
          <w:marBottom w:val="0"/>
          <w:divBdr>
            <w:top w:val="none" w:sz="0" w:space="0" w:color="auto"/>
            <w:left w:val="none" w:sz="0" w:space="0" w:color="auto"/>
            <w:bottom w:val="none" w:sz="0" w:space="0" w:color="auto"/>
            <w:right w:val="none" w:sz="0" w:space="0" w:color="auto"/>
          </w:divBdr>
        </w:div>
        <w:div w:id="1308361705">
          <w:marLeft w:val="0"/>
          <w:marRight w:val="0"/>
          <w:marTop w:val="0"/>
          <w:marBottom w:val="0"/>
          <w:divBdr>
            <w:top w:val="none" w:sz="0" w:space="0" w:color="auto"/>
            <w:left w:val="none" w:sz="0" w:space="0" w:color="auto"/>
            <w:bottom w:val="none" w:sz="0" w:space="0" w:color="auto"/>
            <w:right w:val="none" w:sz="0" w:space="0" w:color="auto"/>
          </w:divBdr>
        </w:div>
        <w:div w:id="157813386">
          <w:marLeft w:val="0"/>
          <w:marRight w:val="0"/>
          <w:marTop w:val="0"/>
          <w:marBottom w:val="0"/>
          <w:divBdr>
            <w:top w:val="none" w:sz="0" w:space="0" w:color="auto"/>
            <w:left w:val="none" w:sz="0" w:space="0" w:color="auto"/>
            <w:bottom w:val="none" w:sz="0" w:space="0" w:color="auto"/>
            <w:right w:val="none" w:sz="0" w:space="0" w:color="auto"/>
          </w:divBdr>
        </w:div>
        <w:div w:id="1811751013">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301962948">
      <w:bodyDiv w:val="1"/>
      <w:marLeft w:val="0"/>
      <w:marRight w:val="0"/>
      <w:marTop w:val="0"/>
      <w:marBottom w:val="0"/>
      <w:divBdr>
        <w:top w:val="none" w:sz="0" w:space="0" w:color="auto"/>
        <w:left w:val="none" w:sz="0" w:space="0" w:color="auto"/>
        <w:bottom w:val="none" w:sz="0" w:space="0" w:color="auto"/>
        <w:right w:val="none" w:sz="0" w:space="0" w:color="auto"/>
      </w:divBdr>
    </w:div>
    <w:div w:id="1312752885">
      <w:bodyDiv w:val="1"/>
      <w:marLeft w:val="0"/>
      <w:marRight w:val="0"/>
      <w:marTop w:val="0"/>
      <w:marBottom w:val="0"/>
      <w:divBdr>
        <w:top w:val="none" w:sz="0" w:space="0" w:color="auto"/>
        <w:left w:val="none" w:sz="0" w:space="0" w:color="auto"/>
        <w:bottom w:val="none" w:sz="0" w:space="0" w:color="auto"/>
        <w:right w:val="none" w:sz="0" w:space="0" w:color="auto"/>
      </w:divBdr>
    </w:div>
    <w:div w:id="1333793916">
      <w:bodyDiv w:val="1"/>
      <w:marLeft w:val="0"/>
      <w:marRight w:val="0"/>
      <w:marTop w:val="0"/>
      <w:marBottom w:val="0"/>
      <w:divBdr>
        <w:top w:val="none" w:sz="0" w:space="0" w:color="auto"/>
        <w:left w:val="none" w:sz="0" w:space="0" w:color="auto"/>
        <w:bottom w:val="none" w:sz="0" w:space="0" w:color="auto"/>
        <w:right w:val="none" w:sz="0" w:space="0" w:color="auto"/>
      </w:divBdr>
      <w:divsChild>
        <w:div w:id="1307201111">
          <w:marLeft w:val="0"/>
          <w:marRight w:val="0"/>
          <w:marTop w:val="0"/>
          <w:marBottom w:val="0"/>
          <w:divBdr>
            <w:top w:val="none" w:sz="0" w:space="0" w:color="auto"/>
            <w:left w:val="none" w:sz="0" w:space="0" w:color="auto"/>
            <w:bottom w:val="none" w:sz="0" w:space="0" w:color="auto"/>
            <w:right w:val="none" w:sz="0" w:space="0" w:color="auto"/>
          </w:divBdr>
        </w:div>
        <w:div w:id="91750871">
          <w:marLeft w:val="0"/>
          <w:marRight w:val="0"/>
          <w:marTop w:val="0"/>
          <w:marBottom w:val="0"/>
          <w:divBdr>
            <w:top w:val="none" w:sz="0" w:space="0" w:color="auto"/>
            <w:left w:val="none" w:sz="0" w:space="0" w:color="auto"/>
            <w:bottom w:val="none" w:sz="0" w:space="0" w:color="auto"/>
            <w:right w:val="none" w:sz="0" w:space="0" w:color="auto"/>
          </w:divBdr>
        </w:div>
        <w:div w:id="730231317">
          <w:marLeft w:val="0"/>
          <w:marRight w:val="0"/>
          <w:marTop w:val="0"/>
          <w:marBottom w:val="0"/>
          <w:divBdr>
            <w:top w:val="none" w:sz="0" w:space="0" w:color="auto"/>
            <w:left w:val="none" w:sz="0" w:space="0" w:color="auto"/>
            <w:bottom w:val="none" w:sz="0" w:space="0" w:color="auto"/>
            <w:right w:val="none" w:sz="0" w:space="0" w:color="auto"/>
          </w:divBdr>
        </w:div>
        <w:div w:id="1232622255">
          <w:marLeft w:val="0"/>
          <w:marRight w:val="0"/>
          <w:marTop w:val="0"/>
          <w:marBottom w:val="0"/>
          <w:divBdr>
            <w:top w:val="none" w:sz="0" w:space="0" w:color="auto"/>
            <w:left w:val="none" w:sz="0" w:space="0" w:color="auto"/>
            <w:bottom w:val="none" w:sz="0" w:space="0" w:color="auto"/>
            <w:right w:val="none" w:sz="0" w:space="0" w:color="auto"/>
          </w:divBdr>
        </w:div>
        <w:div w:id="492643075">
          <w:marLeft w:val="0"/>
          <w:marRight w:val="0"/>
          <w:marTop w:val="0"/>
          <w:marBottom w:val="0"/>
          <w:divBdr>
            <w:top w:val="none" w:sz="0" w:space="0" w:color="auto"/>
            <w:left w:val="none" w:sz="0" w:space="0" w:color="auto"/>
            <w:bottom w:val="none" w:sz="0" w:space="0" w:color="auto"/>
            <w:right w:val="none" w:sz="0" w:space="0" w:color="auto"/>
          </w:divBdr>
        </w:div>
        <w:div w:id="1193149172">
          <w:marLeft w:val="0"/>
          <w:marRight w:val="0"/>
          <w:marTop w:val="0"/>
          <w:marBottom w:val="0"/>
          <w:divBdr>
            <w:top w:val="none" w:sz="0" w:space="0" w:color="auto"/>
            <w:left w:val="none" w:sz="0" w:space="0" w:color="auto"/>
            <w:bottom w:val="none" w:sz="0" w:space="0" w:color="auto"/>
            <w:right w:val="none" w:sz="0" w:space="0" w:color="auto"/>
          </w:divBdr>
        </w:div>
        <w:div w:id="1245529785">
          <w:marLeft w:val="0"/>
          <w:marRight w:val="0"/>
          <w:marTop w:val="0"/>
          <w:marBottom w:val="0"/>
          <w:divBdr>
            <w:top w:val="none" w:sz="0" w:space="0" w:color="auto"/>
            <w:left w:val="none" w:sz="0" w:space="0" w:color="auto"/>
            <w:bottom w:val="none" w:sz="0" w:space="0" w:color="auto"/>
            <w:right w:val="none" w:sz="0" w:space="0" w:color="auto"/>
          </w:divBdr>
        </w:div>
      </w:divsChild>
    </w:div>
    <w:div w:id="1401756439">
      <w:bodyDiv w:val="1"/>
      <w:marLeft w:val="0"/>
      <w:marRight w:val="0"/>
      <w:marTop w:val="0"/>
      <w:marBottom w:val="0"/>
      <w:divBdr>
        <w:top w:val="none" w:sz="0" w:space="0" w:color="auto"/>
        <w:left w:val="none" w:sz="0" w:space="0" w:color="auto"/>
        <w:bottom w:val="none" w:sz="0" w:space="0" w:color="auto"/>
        <w:right w:val="none" w:sz="0" w:space="0" w:color="auto"/>
      </w:divBdr>
      <w:divsChild>
        <w:div w:id="426467840">
          <w:marLeft w:val="0"/>
          <w:marRight w:val="0"/>
          <w:marTop w:val="0"/>
          <w:marBottom w:val="0"/>
          <w:divBdr>
            <w:top w:val="none" w:sz="0" w:space="0" w:color="auto"/>
            <w:left w:val="none" w:sz="0" w:space="0" w:color="auto"/>
            <w:bottom w:val="none" w:sz="0" w:space="0" w:color="auto"/>
            <w:right w:val="none" w:sz="0" w:space="0" w:color="auto"/>
          </w:divBdr>
        </w:div>
        <w:div w:id="877661579">
          <w:marLeft w:val="0"/>
          <w:marRight w:val="0"/>
          <w:marTop w:val="0"/>
          <w:marBottom w:val="0"/>
          <w:divBdr>
            <w:top w:val="none" w:sz="0" w:space="0" w:color="auto"/>
            <w:left w:val="none" w:sz="0" w:space="0" w:color="auto"/>
            <w:bottom w:val="none" w:sz="0" w:space="0" w:color="auto"/>
            <w:right w:val="none" w:sz="0" w:space="0" w:color="auto"/>
          </w:divBdr>
        </w:div>
        <w:div w:id="385380040">
          <w:marLeft w:val="0"/>
          <w:marRight w:val="0"/>
          <w:marTop w:val="0"/>
          <w:marBottom w:val="0"/>
          <w:divBdr>
            <w:top w:val="none" w:sz="0" w:space="0" w:color="auto"/>
            <w:left w:val="none" w:sz="0" w:space="0" w:color="auto"/>
            <w:bottom w:val="none" w:sz="0" w:space="0" w:color="auto"/>
            <w:right w:val="none" w:sz="0" w:space="0" w:color="auto"/>
          </w:divBdr>
        </w:div>
        <w:div w:id="84692883">
          <w:marLeft w:val="0"/>
          <w:marRight w:val="0"/>
          <w:marTop w:val="0"/>
          <w:marBottom w:val="0"/>
          <w:divBdr>
            <w:top w:val="none" w:sz="0" w:space="0" w:color="auto"/>
            <w:left w:val="none" w:sz="0" w:space="0" w:color="auto"/>
            <w:bottom w:val="none" w:sz="0" w:space="0" w:color="auto"/>
            <w:right w:val="none" w:sz="0" w:space="0" w:color="auto"/>
          </w:divBdr>
        </w:div>
        <w:div w:id="1229851187">
          <w:marLeft w:val="0"/>
          <w:marRight w:val="0"/>
          <w:marTop w:val="0"/>
          <w:marBottom w:val="0"/>
          <w:divBdr>
            <w:top w:val="none" w:sz="0" w:space="0" w:color="auto"/>
            <w:left w:val="none" w:sz="0" w:space="0" w:color="auto"/>
            <w:bottom w:val="none" w:sz="0" w:space="0" w:color="auto"/>
            <w:right w:val="none" w:sz="0" w:space="0" w:color="auto"/>
          </w:divBdr>
        </w:div>
        <w:div w:id="1625651417">
          <w:marLeft w:val="0"/>
          <w:marRight w:val="0"/>
          <w:marTop w:val="0"/>
          <w:marBottom w:val="0"/>
          <w:divBdr>
            <w:top w:val="none" w:sz="0" w:space="0" w:color="auto"/>
            <w:left w:val="none" w:sz="0" w:space="0" w:color="auto"/>
            <w:bottom w:val="none" w:sz="0" w:space="0" w:color="auto"/>
            <w:right w:val="none" w:sz="0" w:space="0" w:color="auto"/>
          </w:divBdr>
        </w:div>
        <w:div w:id="1278685383">
          <w:marLeft w:val="0"/>
          <w:marRight w:val="0"/>
          <w:marTop w:val="0"/>
          <w:marBottom w:val="0"/>
          <w:divBdr>
            <w:top w:val="none" w:sz="0" w:space="0" w:color="auto"/>
            <w:left w:val="none" w:sz="0" w:space="0" w:color="auto"/>
            <w:bottom w:val="none" w:sz="0" w:space="0" w:color="auto"/>
            <w:right w:val="none" w:sz="0" w:space="0" w:color="auto"/>
          </w:divBdr>
        </w:div>
      </w:divsChild>
    </w:div>
    <w:div w:id="1449012924">
      <w:bodyDiv w:val="1"/>
      <w:marLeft w:val="0"/>
      <w:marRight w:val="0"/>
      <w:marTop w:val="0"/>
      <w:marBottom w:val="0"/>
      <w:divBdr>
        <w:top w:val="none" w:sz="0" w:space="0" w:color="auto"/>
        <w:left w:val="none" w:sz="0" w:space="0" w:color="auto"/>
        <w:bottom w:val="none" w:sz="0" w:space="0" w:color="auto"/>
        <w:right w:val="none" w:sz="0" w:space="0" w:color="auto"/>
      </w:divBdr>
      <w:divsChild>
        <w:div w:id="84813980">
          <w:marLeft w:val="0"/>
          <w:marRight w:val="0"/>
          <w:marTop w:val="0"/>
          <w:marBottom w:val="0"/>
          <w:divBdr>
            <w:top w:val="none" w:sz="0" w:space="0" w:color="auto"/>
            <w:left w:val="none" w:sz="0" w:space="0" w:color="auto"/>
            <w:bottom w:val="none" w:sz="0" w:space="0" w:color="auto"/>
            <w:right w:val="none" w:sz="0" w:space="0" w:color="auto"/>
          </w:divBdr>
          <w:divsChild>
            <w:div w:id="1802646361">
              <w:marLeft w:val="0"/>
              <w:marRight w:val="0"/>
              <w:marTop w:val="0"/>
              <w:marBottom w:val="0"/>
              <w:divBdr>
                <w:top w:val="none" w:sz="0" w:space="0" w:color="auto"/>
                <w:left w:val="none" w:sz="0" w:space="0" w:color="auto"/>
                <w:bottom w:val="none" w:sz="0" w:space="0" w:color="auto"/>
                <w:right w:val="none" w:sz="0" w:space="0" w:color="auto"/>
              </w:divBdr>
            </w:div>
          </w:divsChild>
        </w:div>
        <w:div w:id="1656257951">
          <w:marLeft w:val="0"/>
          <w:marRight w:val="0"/>
          <w:marTop w:val="0"/>
          <w:marBottom w:val="0"/>
          <w:divBdr>
            <w:top w:val="none" w:sz="0" w:space="0" w:color="auto"/>
            <w:left w:val="none" w:sz="0" w:space="0" w:color="auto"/>
            <w:bottom w:val="none" w:sz="0" w:space="0" w:color="auto"/>
            <w:right w:val="none" w:sz="0" w:space="0" w:color="auto"/>
          </w:divBdr>
          <w:divsChild>
            <w:div w:id="2137871262">
              <w:marLeft w:val="0"/>
              <w:marRight w:val="0"/>
              <w:marTop w:val="0"/>
              <w:marBottom w:val="0"/>
              <w:divBdr>
                <w:top w:val="none" w:sz="0" w:space="0" w:color="auto"/>
                <w:left w:val="none" w:sz="0" w:space="0" w:color="auto"/>
                <w:bottom w:val="none" w:sz="0" w:space="0" w:color="auto"/>
                <w:right w:val="none" w:sz="0" w:space="0" w:color="auto"/>
              </w:divBdr>
            </w:div>
            <w:div w:id="1921089125">
              <w:marLeft w:val="0"/>
              <w:marRight w:val="0"/>
              <w:marTop w:val="0"/>
              <w:marBottom w:val="0"/>
              <w:divBdr>
                <w:top w:val="none" w:sz="0" w:space="0" w:color="auto"/>
                <w:left w:val="none" w:sz="0" w:space="0" w:color="auto"/>
                <w:bottom w:val="none" w:sz="0" w:space="0" w:color="auto"/>
                <w:right w:val="none" w:sz="0" w:space="0" w:color="auto"/>
              </w:divBdr>
            </w:div>
            <w:div w:id="541090071">
              <w:marLeft w:val="0"/>
              <w:marRight w:val="0"/>
              <w:marTop w:val="0"/>
              <w:marBottom w:val="0"/>
              <w:divBdr>
                <w:top w:val="none" w:sz="0" w:space="0" w:color="auto"/>
                <w:left w:val="none" w:sz="0" w:space="0" w:color="auto"/>
                <w:bottom w:val="none" w:sz="0" w:space="0" w:color="auto"/>
                <w:right w:val="none" w:sz="0" w:space="0" w:color="auto"/>
              </w:divBdr>
            </w:div>
          </w:divsChild>
        </w:div>
        <w:div w:id="1979723008">
          <w:marLeft w:val="0"/>
          <w:marRight w:val="0"/>
          <w:marTop w:val="0"/>
          <w:marBottom w:val="0"/>
          <w:divBdr>
            <w:top w:val="none" w:sz="0" w:space="0" w:color="auto"/>
            <w:left w:val="none" w:sz="0" w:space="0" w:color="auto"/>
            <w:bottom w:val="none" w:sz="0" w:space="0" w:color="auto"/>
            <w:right w:val="none" w:sz="0" w:space="0" w:color="auto"/>
          </w:divBdr>
          <w:divsChild>
            <w:div w:id="1940288282">
              <w:marLeft w:val="0"/>
              <w:marRight w:val="0"/>
              <w:marTop w:val="0"/>
              <w:marBottom w:val="0"/>
              <w:divBdr>
                <w:top w:val="none" w:sz="0" w:space="0" w:color="auto"/>
                <w:left w:val="none" w:sz="0" w:space="0" w:color="auto"/>
                <w:bottom w:val="none" w:sz="0" w:space="0" w:color="auto"/>
                <w:right w:val="none" w:sz="0" w:space="0" w:color="auto"/>
              </w:divBdr>
            </w:div>
            <w:div w:id="1747802346">
              <w:marLeft w:val="0"/>
              <w:marRight w:val="0"/>
              <w:marTop w:val="0"/>
              <w:marBottom w:val="0"/>
              <w:divBdr>
                <w:top w:val="none" w:sz="0" w:space="0" w:color="auto"/>
                <w:left w:val="none" w:sz="0" w:space="0" w:color="auto"/>
                <w:bottom w:val="none" w:sz="0" w:space="0" w:color="auto"/>
                <w:right w:val="none" w:sz="0" w:space="0" w:color="auto"/>
              </w:divBdr>
            </w:div>
            <w:div w:id="565457650">
              <w:marLeft w:val="0"/>
              <w:marRight w:val="0"/>
              <w:marTop w:val="0"/>
              <w:marBottom w:val="0"/>
              <w:divBdr>
                <w:top w:val="none" w:sz="0" w:space="0" w:color="auto"/>
                <w:left w:val="none" w:sz="0" w:space="0" w:color="auto"/>
                <w:bottom w:val="none" w:sz="0" w:space="0" w:color="auto"/>
                <w:right w:val="none" w:sz="0" w:space="0" w:color="auto"/>
              </w:divBdr>
            </w:div>
          </w:divsChild>
        </w:div>
        <w:div w:id="1533763922">
          <w:marLeft w:val="0"/>
          <w:marRight w:val="0"/>
          <w:marTop w:val="0"/>
          <w:marBottom w:val="0"/>
          <w:divBdr>
            <w:top w:val="none" w:sz="0" w:space="0" w:color="auto"/>
            <w:left w:val="none" w:sz="0" w:space="0" w:color="auto"/>
            <w:bottom w:val="none" w:sz="0" w:space="0" w:color="auto"/>
            <w:right w:val="none" w:sz="0" w:space="0" w:color="auto"/>
          </w:divBdr>
        </w:div>
        <w:div w:id="987169170">
          <w:marLeft w:val="0"/>
          <w:marRight w:val="0"/>
          <w:marTop w:val="0"/>
          <w:marBottom w:val="0"/>
          <w:divBdr>
            <w:top w:val="none" w:sz="0" w:space="0" w:color="auto"/>
            <w:left w:val="none" w:sz="0" w:space="0" w:color="auto"/>
            <w:bottom w:val="none" w:sz="0" w:space="0" w:color="auto"/>
            <w:right w:val="none" w:sz="0" w:space="0" w:color="auto"/>
          </w:divBdr>
        </w:div>
        <w:div w:id="1310869101">
          <w:marLeft w:val="0"/>
          <w:marRight w:val="0"/>
          <w:marTop w:val="0"/>
          <w:marBottom w:val="0"/>
          <w:divBdr>
            <w:top w:val="none" w:sz="0" w:space="0" w:color="auto"/>
            <w:left w:val="none" w:sz="0" w:space="0" w:color="auto"/>
            <w:bottom w:val="none" w:sz="0" w:space="0" w:color="auto"/>
            <w:right w:val="none" w:sz="0" w:space="0" w:color="auto"/>
          </w:divBdr>
        </w:div>
      </w:divsChild>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661034528">
      <w:bodyDiv w:val="1"/>
      <w:marLeft w:val="0"/>
      <w:marRight w:val="0"/>
      <w:marTop w:val="0"/>
      <w:marBottom w:val="0"/>
      <w:divBdr>
        <w:top w:val="none" w:sz="0" w:space="0" w:color="auto"/>
        <w:left w:val="none" w:sz="0" w:space="0" w:color="auto"/>
        <w:bottom w:val="none" w:sz="0" w:space="0" w:color="auto"/>
        <w:right w:val="none" w:sz="0" w:space="0" w:color="auto"/>
      </w:divBdr>
      <w:divsChild>
        <w:div w:id="84344913">
          <w:marLeft w:val="0"/>
          <w:marRight w:val="0"/>
          <w:marTop w:val="0"/>
          <w:marBottom w:val="0"/>
          <w:divBdr>
            <w:top w:val="none" w:sz="0" w:space="0" w:color="auto"/>
            <w:left w:val="none" w:sz="0" w:space="0" w:color="auto"/>
            <w:bottom w:val="none" w:sz="0" w:space="0" w:color="auto"/>
            <w:right w:val="none" w:sz="0" w:space="0" w:color="auto"/>
          </w:divBdr>
        </w:div>
        <w:div w:id="880214073">
          <w:marLeft w:val="0"/>
          <w:marRight w:val="0"/>
          <w:marTop w:val="0"/>
          <w:marBottom w:val="0"/>
          <w:divBdr>
            <w:top w:val="none" w:sz="0" w:space="0" w:color="auto"/>
            <w:left w:val="none" w:sz="0" w:space="0" w:color="auto"/>
            <w:bottom w:val="none" w:sz="0" w:space="0" w:color="auto"/>
            <w:right w:val="none" w:sz="0" w:space="0" w:color="auto"/>
          </w:divBdr>
        </w:div>
        <w:div w:id="544634329">
          <w:marLeft w:val="0"/>
          <w:marRight w:val="0"/>
          <w:marTop w:val="0"/>
          <w:marBottom w:val="0"/>
          <w:divBdr>
            <w:top w:val="none" w:sz="0" w:space="0" w:color="auto"/>
            <w:left w:val="none" w:sz="0" w:space="0" w:color="auto"/>
            <w:bottom w:val="none" w:sz="0" w:space="0" w:color="auto"/>
            <w:right w:val="none" w:sz="0" w:space="0" w:color="auto"/>
          </w:divBdr>
        </w:div>
        <w:div w:id="1050883386">
          <w:marLeft w:val="0"/>
          <w:marRight w:val="0"/>
          <w:marTop w:val="0"/>
          <w:marBottom w:val="0"/>
          <w:divBdr>
            <w:top w:val="none" w:sz="0" w:space="0" w:color="auto"/>
            <w:left w:val="none" w:sz="0" w:space="0" w:color="auto"/>
            <w:bottom w:val="none" w:sz="0" w:space="0" w:color="auto"/>
            <w:right w:val="none" w:sz="0" w:space="0" w:color="auto"/>
          </w:divBdr>
        </w:div>
        <w:div w:id="190529926">
          <w:marLeft w:val="0"/>
          <w:marRight w:val="0"/>
          <w:marTop w:val="0"/>
          <w:marBottom w:val="0"/>
          <w:divBdr>
            <w:top w:val="none" w:sz="0" w:space="0" w:color="auto"/>
            <w:left w:val="none" w:sz="0" w:space="0" w:color="auto"/>
            <w:bottom w:val="none" w:sz="0" w:space="0" w:color="auto"/>
            <w:right w:val="none" w:sz="0" w:space="0" w:color="auto"/>
          </w:divBdr>
        </w:div>
        <w:div w:id="1087267121">
          <w:marLeft w:val="0"/>
          <w:marRight w:val="0"/>
          <w:marTop w:val="0"/>
          <w:marBottom w:val="0"/>
          <w:divBdr>
            <w:top w:val="none" w:sz="0" w:space="0" w:color="auto"/>
            <w:left w:val="none" w:sz="0" w:space="0" w:color="auto"/>
            <w:bottom w:val="none" w:sz="0" w:space="0" w:color="auto"/>
            <w:right w:val="none" w:sz="0" w:space="0" w:color="auto"/>
          </w:divBdr>
        </w:div>
        <w:div w:id="920681860">
          <w:marLeft w:val="0"/>
          <w:marRight w:val="0"/>
          <w:marTop w:val="0"/>
          <w:marBottom w:val="0"/>
          <w:divBdr>
            <w:top w:val="none" w:sz="0" w:space="0" w:color="auto"/>
            <w:left w:val="none" w:sz="0" w:space="0" w:color="auto"/>
            <w:bottom w:val="none" w:sz="0" w:space="0" w:color="auto"/>
            <w:right w:val="none" w:sz="0" w:space="0" w:color="auto"/>
          </w:divBdr>
        </w:div>
      </w:divsChild>
    </w:div>
    <w:div w:id="1692410614">
      <w:bodyDiv w:val="1"/>
      <w:marLeft w:val="0"/>
      <w:marRight w:val="0"/>
      <w:marTop w:val="0"/>
      <w:marBottom w:val="0"/>
      <w:divBdr>
        <w:top w:val="none" w:sz="0" w:space="0" w:color="auto"/>
        <w:left w:val="none" w:sz="0" w:space="0" w:color="auto"/>
        <w:bottom w:val="none" w:sz="0" w:space="0" w:color="auto"/>
        <w:right w:val="none" w:sz="0" w:space="0" w:color="auto"/>
      </w:divBdr>
      <w:divsChild>
        <w:div w:id="1160542476">
          <w:marLeft w:val="0"/>
          <w:marRight w:val="0"/>
          <w:marTop w:val="0"/>
          <w:marBottom w:val="0"/>
          <w:divBdr>
            <w:top w:val="none" w:sz="0" w:space="0" w:color="auto"/>
            <w:left w:val="none" w:sz="0" w:space="0" w:color="auto"/>
            <w:bottom w:val="none" w:sz="0" w:space="0" w:color="auto"/>
            <w:right w:val="none" w:sz="0" w:space="0" w:color="auto"/>
          </w:divBdr>
          <w:divsChild>
            <w:div w:id="614337635">
              <w:marLeft w:val="0"/>
              <w:marRight w:val="0"/>
              <w:marTop w:val="0"/>
              <w:marBottom w:val="0"/>
              <w:divBdr>
                <w:top w:val="none" w:sz="0" w:space="0" w:color="auto"/>
                <w:left w:val="none" w:sz="0" w:space="0" w:color="auto"/>
                <w:bottom w:val="none" w:sz="0" w:space="0" w:color="auto"/>
                <w:right w:val="none" w:sz="0" w:space="0" w:color="auto"/>
              </w:divBdr>
              <w:divsChild>
                <w:div w:id="2010863429">
                  <w:marLeft w:val="0"/>
                  <w:marRight w:val="0"/>
                  <w:marTop w:val="0"/>
                  <w:marBottom w:val="0"/>
                  <w:divBdr>
                    <w:top w:val="none" w:sz="0" w:space="0" w:color="auto"/>
                    <w:left w:val="none" w:sz="0" w:space="0" w:color="auto"/>
                    <w:bottom w:val="none" w:sz="0" w:space="0" w:color="auto"/>
                    <w:right w:val="none" w:sz="0" w:space="0" w:color="auto"/>
                  </w:divBdr>
                </w:div>
              </w:divsChild>
            </w:div>
            <w:div w:id="1115829280">
              <w:marLeft w:val="0"/>
              <w:marRight w:val="0"/>
              <w:marTop w:val="0"/>
              <w:marBottom w:val="0"/>
              <w:divBdr>
                <w:top w:val="none" w:sz="0" w:space="0" w:color="auto"/>
                <w:left w:val="none" w:sz="0" w:space="0" w:color="auto"/>
                <w:bottom w:val="none" w:sz="0" w:space="0" w:color="auto"/>
                <w:right w:val="none" w:sz="0" w:space="0" w:color="auto"/>
              </w:divBdr>
              <w:divsChild>
                <w:div w:id="724717321">
                  <w:marLeft w:val="0"/>
                  <w:marRight w:val="0"/>
                  <w:marTop w:val="0"/>
                  <w:marBottom w:val="0"/>
                  <w:divBdr>
                    <w:top w:val="none" w:sz="0" w:space="0" w:color="auto"/>
                    <w:left w:val="none" w:sz="0" w:space="0" w:color="auto"/>
                    <w:bottom w:val="none" w:sz="0" w:space="0" w:color="auto"/>
                    <w:right w:val="none" w:sz="0" w:space="0" w:color="auto"/>
                  </w:divBdr>
                </w:div>
                <w:div w:id="822888693">
                  <w:marLeft w:val="0"/>
                  <w:marRight w:val="0"/>
                  <w:marTop w:val="0"/>
                  <w:marBottom w:val="0"/>
                  <w:divBdr>
                    <w:top w:val="none" w:sz="0" w:space="0" w:color="auto"/>
                    <w:left w:val="none" w:sz="0" w:space="0" w:color="auto"/>
                    <w:bottom w:val="none" w:sz="0" w:space="0" w:color="auto"/>
                    <w:right w:val="none" w:sz="0" w:space="0" w:color="auto"/>
                  </w:divBdr>
                </w:div>
                <w:div w:id="1861123776">
                  <w:marLeft w:val="0"/>
                  <w:marRight w:val="0"/>
                  <w:marTop w:val="0"/>
                  <w:marBottom w:val="0"/>
                  <w:divBdr>
                    <w:top w:val="none" w:sz="0" w:space="0" w:color="auto"/>
                    <w:left w:val="none" w:sz="0" w:space="0" w:color="auto"/>
                    <w:bottom w:val="none" w:sz="0" w:space="0" w:color="auto"/>
                    <w:right w:val="none" w:sz="0" w:space="0" w:color="auto"/>
                  </w:divBdr>
                </w:div>
              </w:divsChild>
            </w:div>
            <w:div w:id="1059674163">
              <w:marLeft w:val="0"/>
              <w:marRight w:val="0"/>
              <w:marTop w:val="0"/>
              <w:marBottom w:val="0"/>
              <w:divBdr>
                <w:top w:val="none" w:sz="0" w:space="0" w:color="auto"/>
                <w:left w:val="none" w:sz="0" w:space="0" w:color="auto"/>
                <w:bottom w:val="none" w:sz="0" w:space="0" w:color="auto"/>
                <w:right w:val="none" w:sz="0" w:space="0" w:color="auto"/>
              </w:divBdr>
              <w:divsChild>
                <w:div w:id="941104784">
                  <w:marLeft w:val="0"/>
                  <w:marRight w:val="0"/>
                  <w:marTop w:val="0"/>
                  <w:marBottom w:val="0"/>
                  <w:divBdr>
                    <w:top w:val="none" w:sz="0" w:space="0" w:color="auto"/>
                    <w:left w:val="none" w:sz="0" w:space="0" w:color="auto"/>
                    <w:bottom w:val="none" w:sz="0" w:space="0" w:color="auto"/>
                    <w:right w:val="none" w:sz="0" w:space="0" w:color="auto"/>
                  </w:divBdr>
                </w:div>
                <w:div w:id="5862171">
                  <w:marLeft w:val="0"/>
                  <w:marRight w:val="0"/>
                  <w:marTop w:val="0"/>
                  <w:marBottom w:val="0"/>
                  <w:divBdr>
                    <w:top w:val="none" w:sz="0" w:space="0" w:color="auto"/>
                    <w:left w:val="none" w:sz="0" w:space="0" w:color="auto"/>
                    <w:bottom w:val="none" w:sz="0" w:space="0" w:color="auto"/>
                    <w:right w:val="none" w:sz="0" w:space="0" w:color="auto"/>
                  </w:divBdr>
                </w:div>
                <w:div w:id="20137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9447">
          <w:marLeft w:val="0"/>
          <w:marRight w:val="0"/>
          <w:marTop w:val="0"/>
          <w:marBottom w:val="0"/>
          <w:divBdr>
            <w:top w:val="none" w:sz="0" w:space="0" w:color="auto"/>
            <w:left w:val="none" w:sz="0" w:space="0" w:color="auto"/>
            <w:bottom w:val="none" w:sz="0" w:space="0" w:color="auto"/>
            <w:right w:val="none" w:sz="0" w:space="0" w:color="auto"/>
          </w:divBdr>
        </w:div>
        <w:div w:id="339738736">
          <w:marLeft w:val="0"/>
          <w:marRight w:val="0"/>
          <w:marTop w:val="0"/>
          <w:marBottom w:val="0"/>
          <w:divBdr>
            <w:top w:val="none" w:sz="0" w:space="0" w:color="auto"/>
            <w:left w:val="none" w:sz="0" w:space="0" w:color="auto"/>
            <w:bottom w:val="none" w:sz="0" w:space="0" w:color="auto"/>
            <w:right w:val="none" w:sz="0" w:space="0" w:color="auto"/>
          </w:divBdr>
        </w:div>
        <w:div w:id="1108499580">
          <w:marLeft w:val="0"/>
          <w:marRight w:val="0"/>
          <w:marTop w:val="0"/>
          <w:marBottom w:val="0"/>
          <w:divBdr>
            <w:top w:val="none" w:sz="0" w:space="0" w:color="auto"/>
            <w:left w:val="none" w:sz="0" w:space="0" w:color="auto"/>
            <w:bottom w:val="none" w:sz="0" w:space="0" w:color="auto"/>
            <w:right w:val="none" w:sz="0" w:space="0" w:color="auto"/>
          </w:divBdr>
        </w:div>
        <w:div w:id="810169877">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28597172">
      <w:bodyDiv w:val="1"/>
      <w:marLeft w:val="0"/>
      <w:marRight w:val="0"/>
      <w:marTop w:val="0"/>
      <w:marBottom w:val="0"/>
      <w:divBdr>
        <w:top w:val="none" w:sz="0" w:space="0" w:color="auto"/>
        <w:left w:val="none" w:sz="0" w:space="0" w:color="auto"/>
        <w:bottom w:val="none" w:sz="0" w:space="0" w:color="auto"/>
        <w:right w:val="none" w:sz="0" w:space="0" w:color="auto"/>
      </w:divBdr>
      <w:divsChild>
        <w:div w:id="1543667572">
          <w:marLeft w:val="0"/>
          <w:marRight w:val="0"/>
          <w:marTop w:val="0"/>
          <w:marBottom w:val="0"/>
          <w:divBdr>
            <w:top w:val="none" w:sz="0" w:space="0" w:color="auto"/>
            <w:left w:val="none" w:sz="0" w:space="0" w:color="auto"/>
            <w:bottom w:val="none" w:sz="0" w:space="0" w:color="auto"/>
            <w:right w:val="none" w:sz="0" w:space="0" w:color="auto"/>
          </w:divBdr>
        </w:div>
        <w:div w:id="994452945">
          <w:marLeft w:val="0"/>
          <w:marRight w:val="0"/>
          <w:marTop w:val="0"/>
          <w:marBottom w:val="0"/>
          <w:divBdr>
            <w:top w:val="none" w:sz="0" w:space="0" w:color="auto"/>
            <w:left w:val="none" w:sz="0" w:space="0" w:color="auto"/>
            <w:bottom w:val="none" w:sz="0" w:space="0" w:color="auto"/>
            <w:right w:val="none" w:sz="0" w:space="0" w:color="auto"/>
          </w:divBdr>
        </w:div>
        <w:div w:id="1124544096">
          <w:marLeft w:val="0"/>
          <w:marRight w:val="0"/>
          <w:marTop w:val="0"/>
          <w:marBottom w:val="0"/>
          <w:divBdr>
            <w:top w:val="none" w:sz="0" w:space="0" w:color="auto"/>
            <w:left w:val="none" w:sz="0" w:space="0" w:color="auto"/>
            <w:bottom w:val="none" w:sz="0" w:space="0" w:color="auto"/>
            <w:right w:val="none" w:sz="0" w:space="0" w:color="auto"/>
          </w:divBdr>
        </w:div>
        <w:div w:id="1019044757">
          <w:marLeft w:val="0"/>
          <w:marRight w:val="0"/>
          <w:marTop w:val="0"/>
          <w:marBottom w:val="0"/>
          <w:divBdr>
            <w:top w:val="none" w:sz="0" w:space="0" w:color="auto"/>
            <w:left w:val="none" w:sz="0" w:space="0" w:color="auto"/>
            <w:bottom w:val="none" w:sz="0" w:space="0" w:color="auto"/>
            <w:right w:val="none" w:sz="0" w:space="0" w:color="auto"/>
          </w:divBdr>
        </w:div>
        <w:div w:id="55010214">
          <w:marLeft w:val="0"/>
          <w:marRight w:val="0"/>
          <w:marTop w:val="0"/>
          <w:marBottom w:val="0"/>
          <w:divBdr>
            <w:top w:val="none" w:sz="0" w:space="0" w:color="auto"/>
            <w:left w:val="none" w:sz="0" w:space="0" w:color="auto"/>
            <w:bottom w:val="none" w:sz="0" w:space="0" w:color="auto"/>
            <w:right w:val="none" w:sz="0" w:space="0" w:color="auto"/>
          </w:divBdr>
        </w:div>
        <w:div w:id="207184271">
          <w:marLeft w:val="0"/>
          <w:marRight w:val="0"/>
          <w:marTop w:val="0"/>
          <w:marBottom w:val="0"/>
          <w:divBdr>
            <w:top w:val="none" w:sz="0" w:space="0" w:color="auto"/>
            <w:left w:val="none" w:sz="0" w:space="0" w:color="auto"/>
            <w:bottom w:val="none" w:sz="0" w:space="0" w:color="auto"/>
            <w:right w:val="none" w:sz="0" w:space="0" w:color="auto"/>
          </w:divBdr>
        </w:div>
        <w:div w:id="1429931224">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 w:id="1898128134">
      <w:bodyDiv w:val="1"/>
      <w:marLeft w:val="0"/>
      <w:marRight w:val="0"/>
      <w:marTop w:val="0"/>
      <w:marBottom w:val="0"/>
      <w:divBdr>
        <w:top w:val="none" w:sz="0" w:space="0" w:color="auto"/>
        <w:left w:val="none" w:sz="0" w:space="0" w:color="auto"/>
        <w:bottom w:val="none" w:sz="0" w:space="0" w:color="auto"/>
        <w:right w:val="none" w:sz="0" w:space="0" w:color="auto"/>
      </w:divBdr>
      <w:divsChild>
        <w:div w:id="1002859001">
          <w:marLeft w:val="0"/>
          <w:marRight w:val="0"/>
          <w:marTop w:val="0"/>
          <w:marBottom w:val="0"/>
          <w:divBdr>
            <w:top w:val="none" w:sz="0" w:space="0" w:color="auto"/>
            <w:left w:val="none" w:sz="0" w:space="0" w:color="auto"/>
            <w:bottom w:val="none" w:sz="0" w:space="0" w:color="auto"/>
            <w:right w:val="none" w:sz="0" w:space="0" w:color="auto"/>
          </w:divBdr>
        </w:div>
        <w:div w:id="518399825">
          <w:marLeft w:val="0"/>
          <w:marRight w:val="0"/>
          <w:marTop w:val="0"/>
          <w:marBottom w:val="0"/>
          <w:divBdr>
            <w:top w:val="none" w:sz="0" w:space="0" w:color="auto"/>
            <w:left w:val="none" w:sz="0" w:space="0" w:color="auto"/>
            <w:bottom w:val="none" w:sz="0" w:space="0" w:color="auto"/>
            <w:right w:val="none" w:sz="0" w:space="0" w:color="auto"/>
          </w:divBdr>
        </w:div>
        <w:div w:id="1653411521">
          <w:marLeft w:val="0"/>
          <w:marRight w:val="0"/>
          <w:marTop w:val="0"/>
          <w:marBottom w:val="0"/>
          <w:divBdr>
            <w:top w:val="none" w:sz="0" w:space="0" w:color="auto"/>
            <w:left w:val="none" w:sz="0" w:space="0" w:color="auto"/>
            <w:bottom w:val="none" w:sz="0" w:space="0" w:color="auto"/>
            <w:right w:val="none" w:sz="0" w:space="0" w:color="auto"/>
          </w:divBdr>
        </w:div>
        <w:div w:id="416245582">
          <w:marLeft w:val="0"/>
          <w:marRight w:val="0"/>
          <w:marTop w:val="0"/>
          <w:marBottom w:val="0"/>
          <w:divBdr>
            <w:top w:val="none" w:sz="0" w:space="0" w:color="auto"/>
            <w:left w:val="none" w:sz="0" w:space="0" w:color="auto"/>
            <w:bottom w:val="none" w:sz="0" w:space="0" w:color="auto"/>
            <w:right w:val="none" w:sz="0" w:space="0" w:color="auto"/>
          </w:divBdr>
        </w:div>
        <w:div w:id="1424254674">
          <w:marLeft w:val="0"/>
          <w:marRight w:val="0"/>
          <w:marTop w:val="0"/>
          <w:marBottom w:val="0"/>
          <w:divBdr>
            <w:top w:val="none" w:sz="0" w:space="0" w:color="auto"/>
            <w:left w:val="none" w:sz="0" w:space="0" w:color="auto"/>
            <w:bottom w:val="none" w:sz="0" w:space="0" w:color="auto"/>
            <w:right w:val="none" w:sz="0" w:space="0" w:color="auto"/>
          </w:divBdr>
        </w:div>
        <w:div w:id="648363724">
          <w:marLeft w:val="0"/>
          <w:marRight w:val="0"/>
          <w:marTop w:val="0"/>
          <w:marBottom w:val="0"/>
          <w:divBdr>
            <w:top w:val="none" w:sz="0" w:space="0" w:color="auto"/>
            <w:left w:val="none" w:sz="0" w:space="0" w:color="auto"/>
            <w:bottom w:val="none" w:sz="0" w:space="0" w:color="auto"/>
            <w:right w:val="none" w:sz="0" w:space="0" w:color="auto"/>
          </w:divBdr>
        </w:div>
        <w:div w:id="1074014771">
          <w:marLeft w:val="0"/>
          <w:marRight w:val="0"/>
          <w:marTop w:val="0"/>
          <w:marBottom w:val="0"/>
          <w:divBdr>
            <w:top w:val="none" w:sz="0" w:space="0" w:color="auto"/>
            <w:left w:val="none" w:sz="0" w:space="0" w:color="auto"/>
            <w:bottom w:val="none" w:sz="0" w:space="0" w:color="auto"/>
            <w:right w:val="none" w:sz="0" w:space="0" w:color="auto"/>
          </w:divBdr>
        </w:div>
      </w:divsChild>
    </w:div>
    <w:div w:id="1898736617">
      <w:bodyDiv w:val="1"/>
      <w:marLeft w:val="0"/>
      <w:marRight w:val="0"/>
      <w:marTop w:val="0"/>
      <w:marBottom w:val="0"/>
      <w:divBdr>
        <w:top w:val="none" w:sz="0" w:space="0" w:color="auto"/>
        <w:left w:val="none" w:sz="0" w:space="0" w:color="auto"/>
        <w:bottom w:val="none" w:sz="0" w:space="0" w:color="auto"/>
        <w:right w:val="none" w:sz="0" w:space="0" w:color="auto"/>
      </w:divBdr>
      <w:divsChild>
        <w:div w:id="1005935164">
          <w:marLeft w:val="0"/>
          <w:marRight w:val="0"/>
          <w:marTop w:val="0"/>
          <w:marBottom w:val="0"/>
          <w:divBdr>
            <w:top w:val="none" w:sz="0" w:space="0" w:color="auto"/>
            <w:left w:val="none" w:sz="0" w:space="0" w:color="auto"/>
            <w:bottom w:val="none" w:sz="0" w:space="0" w:color="auto"/>
            <w:right w:val="none" w:sz="0" w:space="0" w:color="auto"/>
          </w:divBdr>
        </w:div>
        <w:div w:id="1628465143">
          <w:marLeft w:val="0"/>
          <w:marRight w:val="0"/>
          <w:marTop w:val="0"/>
          <w:marBottom w:val="0"/>
          <w:divBdr>
            <w:top w:val="none" w:sz="0" w:space="0" w:color="auto"/>
            <w:left w:val="none" w:sz="0" w:space="0" w:color="auto"/>
            <w:bottom w:val="none" w:sz="0" w:space="0" w:color="auto"/>
            <w:right w:val="none" w:sz="0" w:space="0" w:color="auto"/>
          </w:divBdr>
        </w:div>
        <w:div w:id="72968306">
          <w:marLeft w:val="0"/>
          <w:marRight w:val="0"/>
          <w:marTop w:val="0"/>
          <w:marBottom w:val="0"/>
          <w:divBdr>
            <w:top w:val="none" w:sz="0" w:space="0" w:color="auto"/>
            <w:left w:val="none" w:sz="0" w:space="0" w:color="auto"/>
            <w:bottom w:val="none" w:sz="0" w:space="0" w:color="auto"/>
            <w:right w:val="none" w:sz="0" w:space="0" w:color="auto"/>
          </w:divBdr>
        </w:div>
        <w:div w:id="1994986429">
          <w:marLeft w:val="0"/>
          <w:marRight w:val="0"/>
          <w:marTop w:val="0"/>
          <w:marBottom w:val="0"/>
          <w:divBdr>
            <w:top w:val="none" w:sz="0" w:space="0" w:color="auto"/>
            <w:left w:val="none" w:sz="0" w:space="0" w:color="auto"/>
            <w:bottom w:val="none" w:sz="0" w:space="0" w:color="auto"/>
            <w:right w:val="none" w:sz="0" w:space="0" w:color="auto"/>
          </w:divBdr>
        </w:div>
        <w:div w:id="12747531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887764945">
          <w:marLeft w:val="0"/>
          <w:marRight w:val="0"/>
          <w:marTop w:val="0"/>
          <w:marBottom w:val="0"/>
          <w:divBdr>
            <w:top w:val="none" w:sz="0" w:space="0" w:color="auto"/>
            <w:left w:val="none" w:sz="0" w:space="0" w:color="auto"/>
            <w:bottom w:val="none" w:sz="0" w:space="0" w:color="auto"/>
            <w:right w:val="none" w:sz="0" w:space="0" w:color="auto"/>
          </w:divBdr>
        </w:div>
      </w:divsChild>
    </w:div>
    <w:div w:id="1999262261">
      <w:bodyDiv w:val="1"/>
      <w:marLeft w:val="0"/>
      <w:marRight w:val="0"/>
      <w:marTop w:val="0"/>
      <w:marBottom w:val="0"/>
      <w:divBdr>
        <w:top w:val="none" w:sz="0" w:space="0" w:color="auto"/>
        <w:left w:val="none" w:sz="0" w:space="0" w:color="auto"/>
        <w:bottom w:val="none" w:sz="0" w:space="0" w:color="auto"/>
        <w:right w:val="none" w:sz="0" w:space="0" w:color="auto"/>
      </w:divBdr>
      <w:divsChild>
        <w:div w:id="75170697">
          <w:marLeft w:val="0"/>
          <w:marRight w:val="0"/>
          <w:marTop w:val="0"/>
          <w:marBottom w:val="0"/>
          <w:divBdr>
            <w:top w:val="none" w:sz="0" w:space="0" w:color="auto"/>
            <w:left w:val="none" w:sz="0" w:space="0" w:color="auto"/>
            <w:bottom w:val="none" w:sz="0" w:space="0" w:color="auto"/>
            <w:right w:val="none" w:sz="0" w:space="0" w:color="auto"/>
          </w:divBdr>
        </w:div>
        <w:div w:id="825169302">
          <w:marLeft w:val="0"/>
          <w:marRight w:val="0"/>
          <w:marTop w:val="0"/>
          <w:marBottom w:val="0"/>
          <w:divBdr>
            <w:top w:val="none" w:sz="0" w:space="0" w:color="auto"/>
            <w:left w:val="none" w:sz="0" w:space="0" w:color="auto"/>
            <w:bottom w:val="none" w:sz="0" w:space="0" w:color="auto"/>
            <w:right w:val="none" w:sz="0" w:space="0" w:color="auto"/>
          </w:divBdr>
        </w:div>
        <w:div w:id="826941504">
          <w:marLeft w:val="0"/>
          <w:marRight w:val="0"/>
          <w:marTop w:val="0"/>
          <w:marBottom w:val="0"/>
          <w:divBdr>
            <w:top w:val="none" w:sz="0" w:space="0" w:color="auto"/>
            <w:left w:val="none" w:sz="0" w:space="0" w:color="auto"/>
            <w:bottom w:val="none" w:sz="0" w:space="0" w:color="auto"/>
            <w:right w:val="none" w:sz="0" w:space="0" w:color="auto"/>
          </w:divBdr>
        </w:div>
        <w:div w:id="1350256390">
          <w:marLeft w:val="0"/>
          <w:marRight w:val="0"/>
          <w:marTop w:val="0"/>
          <w:marBottom w:val="0"/>
          <w:divBdr>
            <w:top w:val="none" w:sz="0" w:space="0" w:color="auto"/>
            <w:left w:val="none" w:sz="0" w:space="0" w:color="auto"/>
            <w:bottom w:val="none" w:sz="0" w:space="0" w:color="auto"/>
            <w:right w:val="none" w:sz="0" w:space="0" w:color="auto"/>
          </w:divBdr>
        </w:div>
        <w:div w:id="1288000898">
          <w:marLeft w:val="0"/>
          <w:marRight w:val="0"/>
          <w:marTop w:val="0"/>
          <w:marBottom w:val="0"/>
          <w:divBdr>
            <w:top w:val="none" w:sz="0" w:space="0" w:color="auto"/>
            <w:left w:val="none" w:sz="0" w:space="0" w:color="auto"/>
            <w:bottom w:val="none" w:sz="0" w:space="0" w:color="auto"/>
            <w:right w:val="none" w:sz="0" w:space="0" w:color="auto"/>
          </w:divBdr>
        </w:div>
        <w:div w:id="2117360701">
          <w:marLeft w:val="0"/>
          <w:marRight w:val="0"/>
          <w:marTop w:val="0"/>
          <w:marBottom w:val="0"/>
          <w:divBdr>
            <w:top w:val="none" w:sz="0" w:space="0" w:color="auto"/>
            <w:left w:val="none" w:sz="0" w:space="0" w:color="auto"/>
            <w:bottom w:val="none" w:sz="0" w:space="0" w:color="auto"/>
            <w:right w:val="none" w:sz="0" w:space="0" w:color="auto"/>
          </w:divBdr>
        </w:div>
        <w:div w:id="644697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tesis/20147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jf2.scjn.gob.mx/detalle/tesis/184733"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E5160-E879-42C7-8275-8EDA1057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4292</TotalTime>
  <Pages>11</Pages>
  <Words>5019</Words>
  <Characters>27608</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cp:lastModifiedBy>
  <cp:revision>462</cp:revision>
  <cp:lastPrinted>2023-01-11T16:47:00Z</cp:lastPrinted>
  <dcterms:created xsi:type="dcterms:W3CDTF">2020-10-07T18:51:00Z</dcterms:created>
  <dcterms:modified xsi:type="dcterms:W3CDTF">2023-01-11T16:48:00Z</dcterms:modified>
</cp:coreProperties>
</file>