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9B34F" w14:textId="77777777" w:rsidR="00B66B63" w:rsidRDefault="00B66B63"/>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B66B63" w14:paraId="3E6A0440" w14:textId="77777777" w:rsidTr="00FF083D">
        <w:tc>
          <w:tcPr>
            <w:tcW w:w="2356" w:type="dxa"/>
          </w:tcPr>
          <w:p w14:paraId="3BCA4E8B" w14:textId="3923C891" w:rsidR="006D1DB2" w:rsidRPr="00516E4D" w:rsidRDefault="00FF21E2" w:rsidP="006D1DB2">
            <w:pPr>
              <w:spacing w:after="0" w:line="240" w:lineRule="auto"/>
              <w:rPr>
                <w:rFonts w:ascii="Arial" w:eastAsiaTheme="minorHAnsi" w:hAnsi="Arial" w:cs="Arial"/>
                <w:b/>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 </w:t>
            </w:r>
          </w:p>
        </w:tc>
        <w:tc>
          <w:tcPr>
            <w:tcW w:w="7426" w:type="dxa"/>
          </w:tcPr>
          <w:p w14:paraId="5B33FDAA" w14:textId="77777777" w:rsidR="006D1DB2" w:rsidRPr="00B66B63" w:rsidRDefault="006D1DB2" w:rsidP="006D1DB2">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B66B63">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B66B63"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w:t>
            </w:r>
          </w:p>
          <w:p w14:paraId="6C8EA220" w14:textId="37FACA45" w:rsidR="006D1DB2" w:rsidRPr="00B66B63"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RECURSO DE REVISIÓN: </w:t>
            </w:r>
            <w:r w:rsidR="00DE2DA5" w:rsidRPr="00B66B63">
              <w:rPr>
                <w:rFonts w:ascii="Arial" w:eastAsia="PMingLiU" w:hAnsi="Arial" w:cs="Arial"/>
                <w:b/>
                <w:iCs/>
                <w:caps/>
                <w:color w:val="000000" w:themeColor="text1"/>
                <w:sz w:val="26"/>
                <w:szCs w:val="26"/>
                <w:lang w:val="es-PE" w:eastAsia="zh-TW"/>
              </w:rPr>
              <w:t>0</w:t>
            </w:r>
            <w:r w:rsidR="000F5A75" w:rsidRPr="00B66B63">
              <w:rPr>
                <w:rFonts w:ascii="Arial" w:eastAsia="PMingLiU" w:hAnsi="Arial" w:cs="Arial"/>
                <w:b/>
                <w:iCs/>
                <w:caps/>
                <w:color w:val="000000" w:themeColor="text1"/>
                <w:sz w:val="26"/>
                <w:szCs w:val="26"/>
                <w:lang w:val="es-PE" w:eastAsia="zh-TW"/>
              </w:rPr>
              <w:t>164/2021</w:t>
            </w:r>
            <w:r w:rsidRPr="00B66B63">
              <w:rPr>
                <w:rFonts w:ascii="Arial" w:eastAsia="PMingLiU" w:hAnsi="Arial" w:cs="Arial"/>
                <w:b/>
                <w:iCs/>
                <w:caps/>
                <w:color w:val="000000" w:themeColor="text1"/>
                <w:sz w:val="26"/>
                <w:szCs w:val="26"/>
                <w:lang w:val="es-PE" w:eastAsia="zh-TW"/>
              </w:rPr>
              <w:t>.</w:t>
            </w:r>
          </w:p>
          <w:p w14:paraId="36EE9F3C" w14:textId="77777777" w:rsidR="006D1DB2" w:rsidRPr="00B66B63"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7B5F9324" w14:textId="32FF4D28" w:rsidR="006D1DB2" w:rsidRPr="00B66B63"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EXPEDIENTE</w:t>
            </w:r>
            <w:r w:rsidRPr="00B66B63">
              <w:rPr>
                <w:rFonts w:ascii="Arial" w:eastAsia="PMingLiU" w:hAnsi="Arial" w:cs="Arial"/>
                <w:b/>
                <w:iCs/>
                <w:caps/>
                <w:color w:val="000000" w:themeColor="text1"/>
                <w:sz w:val="26"/>
                <w:szCs w:val="26"/>
                <w:lang w:val="es-ES" w:eastAsia="zh-TW"/>
              </w:rPr>
              <w:t>:</w:t>
            </w:r>
            <w:r w:rsidRPr="00B66B63">
              <w:rPr>
                <w:rFonts w:ascii="Arial" w:eastAsia="PMingLiU" w:hAnsi="Arial" w:cs="Arial"/>
                <w:b/>
                <w:iCs/>
                <w:caps/>
                <w:color w:val="000000" w:themeColor="text1"/>
                <w:sz w:val="26"/>
                <w:szCs w:val="26"/>
                <w:lang w:val="es-PE" w:eastAsia="zh-TW"/>
              </w:rPr>
              <w:t xml:space="preserve"> </w:t>
            </w:r>
            <w:r w:rsidR="00DE2DA5" w:rsidRPr="00B66B63">
              <w:rPr>
                <w:rFonts w:ascii="Arial" w:eastAsia="PMingLiU" w:hAnsi="Arial" w:cs="Arial"/>
                <w:b/>
                <w:iCs/>
                <w:caps/>
                <w:color w:val="000000" w:themeColor="text1"/>
                <w:sz w:val="26"/>
                <w:szCs w:val="26"/>
                <w:lang w:val="es-PE" w:eastAsia="zh-TW"/>
              </w:rPr>
              <w:t>00</w:t>
            </w:r>
            <w:r w:rsidR="008A0C54" w:rsidRPr="00B66B63">
              <w:rPr>
                <w:rFonts w:ascii="Arial" w:eastAsia="PMingLiU" w:hAnsi="Arial" w:cs="Arial"/>
                <w:b/>
                <w:iCs/>
                <w:caps/>
                <w:color w:val="000000" w:themeColor="text1"/>
                <w:sz w:val="26"/>
                <w:szCs w:val="26"/>
                <w:lang w:val="es-PE" w:eastAsia="zh-TW"/>
              </w:rPr>
              <w:t>8</w:t>
            </w:r>
            <w:r w:rsidR="000F5A75" w:rsidRPr="00B66B63">
              <w:rPr>
                <w:rFonts w:ascii="Arial" w:eastAsia="PMingLiU" w:hAnsi="Arial" w:cs="Arial"/>
                <w:b/>
                <w:iCs/>
                <w:caps/>
                <w:color w:val="000000" w:themeColor="text1"/>
                <w:sz w:val="26"/>
                <w:szCs w:val="26"/>
                <w:lang w:val="es-PE" w:eastAsia="zh-TW"/>
              </w:rPr>
              <w:t>2</w:t>
            </w:r>
            <w:r w:rsidR="008A0C54" w:rsidRPr="00B66B63">
              <w:rPr>
                <w:rFonts w:ascii="Arial" w:eastAsia="PMingLiU" w:hAnsi="Arial" w:cs="Arial"/>
                <w:b/>
                <w:iCs/>
                <w:caps/>
                <w:color w:val="000000" w:themeColor="text1"/>
                <w:sz w:val="26"/>
                <w:szCs w:val="26"/>
                <w:lang w:val="es-PE" w:eastAsia="zh-TW"/>
              </w:rPr>
              <w:t>/2019</w:t>
            </w:r>
            <w:r w:rsidR="0069649D" w:rsidRPr="00B66B63">
              <w:rPr>
                <w:rFonts w:ascii="Arial" w:eastAsia="PMingLiU" w:hAnsi="Arial" w:cs="Arial"/>
                <w:b/>
                <w:iCs/>
                <w:caps/>
                <w:color w:val="000000" w:themeColor="text1"/>
                <w:sz w:val="26"/>
                <w:szCs w:val="26"/>
                <w:lang w:val="es-PE" w:eastAsia="zh-TW"/>
              </w:rPr>
              <w:t xml:space="preserve"> de la </w:t>
            </w:r>
            <w:r w:rsidR="000F5A75" w:rsidRPr="00B66B63">
              <w:rPr>
                <w:rFonts w:ascii="Arial" w:eastAsia="PMingLiU" w:hAnsi="Arial" w:cs="Arial"/>
                <w:b/>
                <w:iCs/>
                <w:caps/>
                <w:color w:val="000000" w:themeColor="text1"/>
                <w:sz w:val="26"/>
                <w:szCs w:val="26"/>
                <w:lang w:val="es-PE" w:eastAsia="zh-TW"/>
              </w:rPr>
              <w:t xml:space="preserve">TERCERA </w:t>
            </w:r>
            <w:r w:rsidR="0069649D" w:rsidRPr="00B66B63">
              <w:rPr>
                <w:rFonts w:ascii="Arial" w:eastAsia="PMingLiU" w:hAnsi="Arial" w:cs="Arial"/>
                <w:b/>
                <w:iCs/>
                <w:caps/>
                <w:color w:val="000000" w:themeColor="text1"/>
                <w:sz w:val="26"/>
                <w:szCs w:val="26"/>
                <w:lang w:val="es-PE" w:eastAsia="zh-TW"/>
              </w:rPr>
              <w:t>sala unitaria de primera instancia</w:t>
            </w:r>
            <w:r w:rsidR="00CD42C6" w:rsidRPr="00B66B63">
              <w:rPr>
                <w:rFonts w:ascii="Arial" w:eastAsia="PMingLiU" w:hAnsi="Arial" w:cs="Arial"/>
                <w:b/>
                <w:iCs/>
                <w:caps/>
                <w:color w:val="000000" w:themeColor="text1"/>
                <w:sz w:val="26"/>
                <w:szCs w:val="26"/>
                <w:lang w:val="es-PE" w:eastAsia="zh-TW"/>
              </w:rPr>
              <w:t>.</w:t>
            </w:r>
          </w:p>
          <w:p w14:paraId="1C9CBDD2" w14:textId="77777777" w:rsidR="006D1DB2" w:rsidRPr="00B66B63"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442AF0F0" w14:textId="1500B755" w:rsidR="006D1DB2" w:rsidRPr="00B66B63" w:rsidRDefault="006D1DB2" w:rsidP="008A0C54">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ponente: </w:t>
            </w:r>
            <w:r w:rsidR="008A0C54" w:rsidRPr="00B66B63">
              <w:rPr>
                <w:rFonts w:ascii="Arial" w:eastAsia="PMingLiU" w:hAnsi="Arial" w:cs="Arial"/>
                <w:b/>
                <w:iCs/>
                <w:caps/>
                <w:color w:val="000000" w:themeColor="text1"/>
                <w:sz w:val="26"/>
                <w:szCs w:val="26"/>
                <w:lang w:val="es-PE" w:eastAsia="zh-TW"/>
              </w:rPr>
              <w:t>magistrada gloria del carmen camacho meza.</w:t>
            </w:r>
          </w:p>
        </w:tc>
      </w:tr>
      <w:tr w:rsidR="00516E4D" w:rsidRPr="00B66B63" w14:paraId="19A33175" w14:textId="77777777" w:rsidTr="00FF083D">
        <w:tc>
          <w:tcPr>
            <w:tcW w:w="2356" w:type="dxa"/>
          </w:tcPr>
          <w:p w14:paraId="0431D5A8" w14:textId="77777777" w:rsidR="006D1DB2" w:rsidRPr="00B66B63"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B66B63"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B66B63">
              <w:rPr>
                <w:rFonts w:ascii="Arial" w:eastAsiaTheme="minorHAnsi" w:hAnsi="Arial" w:cs="Arial"/>
                <w:b/>
                <w:i/>
                <w:iCs/>
                <w:caps/>
                <w:color w:val="000000" w:themeColor="text1"/>
                <w:sz w:val="26"/>
                <w:szCs w:val="26"/>
                <w:lang w:val="es-ES" w:eastAsia="en-US"/>
              </w:rPr>
              <w:t xml:space="preserve">                                   </w:t>
            </w:r>
          </w:p>
        </w:tc>
      </w:tr>
      <w:tr w:rsidR="00516E4D" w:rsidRPr="00B66B63" w14:paraId="2E221892" w14:textId="77777777" w:rsidTr="00FF083D">
        <w:tc>
          <w:tcPr>
            <w:tcW w:w="2356" w:type="dxa"/>
          </w:tcPr>
          <w:p w14:paraId="24AD2348" w14:textId="77777777" w:rsidR="006D1DB2" w:rsidRPr="00B66B63"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B66B63"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6A4501E7" w:rsidR="006D1DB2" w:rsidRPr="00B66B63" w:rsidRDefault="006D1DB2" w:rsidP="006E0CDD">
      <w:pPr>
        <w:spacing w:after="0" w:line="360" w:lineRule="auto"/>
        <w:jc w:val="both"/>
        <w:rPr>
          <w:rFonts w:ascii="Arial" w:eastAsiaTheme="minorHAnsi" w:hAnsi="Arial" w:cs="Arial"/>
          <w:color w:val="000000" w:themeColor="text1"/>
          <w:sz w:val="26"/>
          <w:szCs w:val="26"/>
          <w:lang w:val="es-ES" w:eastAsia="en-US"/>
        </w:rPr>
      </w:pPr>
      <w:r w:rsidRPr="00B66B63">
        <w:rPr>
          <w:rFonts w:ascii="Arial" w:eastAsiaTheme="minorHAnsi" w:hAnsi="Arial" w:cs="Arial"/>
          <w:b/>
          <w:color w:val="000000" w:themeColor="text1"/>
          <w:sz w:val="26"/>
          <w:szCs w:val="26"/>
          <w:lang w:val="es-ES" w:eastAsia="en-US"/>
        </w:rPr>
        <w:t>OAXACA DE JUÁREZ, OAXACA</w:t>
      </w:r>
      <w:r w:rsidR="005C161B" w:rsidRPr="00B66B63">
        <w:rPr>
          <w:rFonts w:ascii="Arial" w:eastAsiaTheme="minorHAnsi" w:hAnsi="Arial" w:cs="Arial"/>
          <w:b/>
          <w:color w:val="000000" w:themeColor="text1"/>
          <w:sz w:val="26"/>
          <w:szCs w:val="26"/>
          <w:lang w:val="es-ES" w:eastAsia="en-US"/>
        </w:rPr>
        <w:t xml:space="preserve">, A </w:t>
      </w:r>
      <w:r w:rsidR="006E0CDD">
        <w:rPr>
          <w:rFonts w:ascii="Arial" w:eastAsiaTheme="minorHAnsi" w:hAnsi="Arial" w:cs="Arial"/>
          <w:b/>
          <w:color w:val="000000" w:themeColor="text1"/>
          <w:sz w:val="26"/>
          <w:szCs w:val="26"/>
          <w:lang w:val="es-ES" w:eastAsia="en-US"/>
        </w:rPr>
        <w:t xml:space="preserve">UNO DE SEPTIEMBRE DE </w:t>
      </w:r>
      <w:r w:rsidRPr="00B66B63">
        <w:rPr>
          <w:rFonts w:ascii="Arial" w:eastAsiaTheme="minorHAnsi" w:hAnsi="Arial" w:cs="Arial"/>
          <w:b/>
          <w:color w:val="000000" w:themeColor="text1"/>
          <w:sz w:val="26"/>
          <w:szCs w:val="26"/>
          <w:lang w:val="es-ES" w:eastAsia="en-US"/>
        </w:rPr>
        <w:t>DOS MIL VEINT</w:t>
      </w:r>
      <w:r w:rsidR="00712009" w:rsidRPr="00B66B63">
        <w:rPr>
          <w:rFonts w:ascii="Arial" w:eastAsiaTheme="minorHAnsi" w:hAnsi="Arial" w:cs="Arial"/>
          <w:b/>
          <w:color w:val="000000" w:themeColor="text1"/>
          <w:sz w:val="26"/>
          <w:szCs w:val="26"/>
          <w:lang w:val="es-ES" w:eastAsia="en-US"/>
        </w:rPr>
        <w:t>I</w:t>
      </w:r>
      <w:r w:rsidR="008A0C54" w:rsidRPr="00B66B63">
        <w:rPr>
          <w:rFonts w:ascii="Arial" w:eastAsiaTheme="minorHAnsi" w:hAnsi="Arial" w:cs="Arial"/>
          <w:b/>
          <w:color w:val="000000" w:themeColor="text1"/>
          <w:sz w:val="26"/>
          <w:szCs w:val="26"/>
          <w:lang w:val="es-ES" w:eastAsia="en-US"/>
        </w:rPr>
        <w:t>DÓS</w:t>
      </w:r>
      <w:r w:rsidR="00712009" w:rsidRPr="00B66B63">
        <w:rPr>
          <w:rFonts w:ascii="Arial" w:eastAsiaTheme="minorHAnsi" w:hAnsi="Arial" w:cs="Arial"/>
          <w:b/>
          <w:color w:val="000000" w:themeColor="text1"/>
          <w:sz w:val="26"/>
          <w:szCs w:val="26"/>
          <w:lang w:val="es-ES" w:eastAsia="en-US"/>
        </w:rPr>
        <w:t>.</w:t>
      </w:r>
      <w:r w:rsidR="00691229" w:rsidRPr="00B66B63">
        <w:rPr>
          <w:rFonts w:ascii="Arial" w:eastAsiaTheme="minorHAnsi" w:hAnsi="Arial" w:cs="Arial"/>
          <w:b/>
          <w:color w:val="000000" w:themeColor="text1"/>
          <w:sz w:val="26"/>
          <w:szCs w:val="26"/>
          <w:lang w:val="es-ES" w:eastAsia="en-US"/>
        </w:rPr>
        <w:t xml:space="preserve"> </w:t>
      </w:r>
      <w:r w:rsidR="00C97F40" w:rsidRPr="00B66B63">
        <w:rPr>
          <w:rFonts w:ascii="Arial" w:eastAsiaTheme="minorHAnsi" w:hAnsi="Arial" w:cs="Arial"/>
          <w:color w:val="000000" w:themeColor="text1"/>
          <w:sz w:val="26"/>
          <w:szCs w:val="26"/>
          <w:lang w:val="es-ES" w:eastAsia="en-US"/>
        </w:rPr>
        <w:t xml:space="preserve">- - - - - - - - - - - - - - - - - - - - - - - - - - - - - - - - - - - - - - - </w:t>
      </w:r>
    </w:p>
    <w:p w14:paraId="6B9CEB22" w14:textId="0CF2C8BB" w:rsidR="006D1DB2" w:rsidRPr="00B66B63" w:rsidRDefault="008A0C54" w:rsidP="00A8157F">
      <w:pPr>
        <w:spacing w:before="120" w:after="0" w:line="360" w:lineRule="auto"/>
        <w:ind w:firstLine="708"/>
        <w:jc w:val="both"/>
        <w:rPr>
          <w:rFonts w:ascii="Arial" w:eastAsiaTheme="minorHAnsi" w:hAnsi="Arial" w:cs="Arial"/>
          <w:color w:val="000000" w:themeColor="text1"/>
          <w:sz w:val="26"/>
          <w:szCs w:val="26"/>
          <w:lang w:eastAsia="en-US"/>
        </w:rPr>
      </w:pPr>
      <w:r w:rsidRPr="00B66B63">
        <w:rPr>
          <w:rFonts w:ascii="Arial" w:eastAsia="Calibri" w:hAnsi="Arial" w:cs="Arial"/>
          <w:color w:val="000000" w:themeColor="text1"/>
          <w:sz w:val="26"/>
          <w:szCs w:val="26"/>
          <w:lang w:eastAsia="en-US"/>
        </w:rPr>
        <w:t>Por recibido el cuaderno de r</w:t>
      </w:r>
      <w:r w:rsidR="006D1DB2" w:rsidRPr="00B66B63">
        <w:rPr>
          <w:rFonts w:ascii="Arial" w:eastAsia="Calibri" w:hAnsi="Arial" w:cs="Arial"/>
          <w:color w:val="000000" w:themeColor="text1"/>
          <w:sz w:val="26"/>
          <w:szCs w:val="26"/>
          <w:lang w:eastAsia="en-US"/>
        </w:rPr>
        <w:t xml:space="preserve">evisión </w:t>
      </w:r>
      <w:r w:rsidR="000F5A75" w:rsidRPr="00B66B63">
        <w:rPr>
          <w:rFonts w:ascii="Arial" w:eastAsia="PMingLiU" w:hAnsi="Arial" w:cs="Arial"/>
          <w:b/>
          <w:iCs/>
          <w:caps/>
          <w:color w:val="000000" w:themeColor="text1"/>
          <w:sz w:val="26"/>
          <w:szCs w:val="26"/>
          <w:lang w:val="es-PE" w:eastAsia="zh-TW"/>
        </w:rPr>
        <w:t>0164/2021</w:t>
      </w:r>
      <w:r w:rsidR="006D1DB2" w:rsidRPr="00B66B63">
        <w:rPr>
          <w:rFonts w:ascii="Arial" w:eastAsia="PMingLiU" w:hAnsi="Arial" w:cs="Arial"/>
          <w:b/>
          <w:iCs/>
          <w:caps/>
          <w:color w:val="000000" w:themeColor="text1"/>
          <w:sz w:val="26"/>
          <w:szCs w:val="26"/>
          <w:lang w:val="es-PE" w:eastAsia="zh-TW"/>
        </w:rPr>
        <w:t xml:space="preserve"> </w:t>
      </w:r>
      <w:r w:rsidR="006D1DB2" w:rsidRPr="00B66B63">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00266B2D">
        <w:rPr>
          <w:rFonts w:ascii="Arial" w:eastAsia="Calibri" w:hAnsi="Arial" w:cs="Arial"/>
          <w:b/>
          <w:bCs/>
          <w:color w:val="000000" w:themeColor="text1"/>
          <w:sz w:val="26"/>
          <w:szCs w:val="26"/>
          <w:lang w:eastAsia="en-US"/>
        </w:rPr>
        <w:t>*******</w:t>
      </w:r>
      <w:r w:rsidR="006927E4" w:rsidRPr="00B66B63">
        <w:rPr>
          <w:rFonts w:ascii="Arial" w:eastAsiaTheme="minorHAnsi" w:hAnsi="Arial" w:cs="Arial"/>
          <w:b/>
          <w:bCs/>
          <w:color w:val="000000" w:themeColor="text1"/>
          <w:sz w:val="26"/>
          <w:szCs w:val="26"/>
          <w:lang w:eastAsia="en-US"/>
        </w:rPr>
        <w:t>,</w:t>
      </w:r>
      <w:r w:rsidR="006D1DB2" w:rsidRPr="00B66B63">
        <w:rPr>
          <w:rFonts w:ascii="Arial" w:eastAsiaTheme="minorHAnsi" w:hAnsi="Arial" w:cs="Arial"/>
          <w:b/>
          <w:bCs/>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 xml:space="preserve">en contra de la sentencia de fecha </w:t>
      </w:r>
      <w:r w:rsidR="000F5A75" w:rsidRPr="00B66B63">
        <w:rPr>
          <w:rFonts w:ascii="Arial" w:eastAsia="Calibri" w:hAnsi="Arial" w:cs="Arial"/>
          <w:color w:val="000000" w:themeColor="text1"/>
          <w:sz w:val="26"/>
          <w:szCs w:val="26"/>
          <w:lang w:eastAsia="en-US"/>
        </w:rPr>
        <w:t>diecisiete de marzo de dos mil veintiuno</w:t>
      </w:r>
      <w:r w:rsidR="006D1DB2" w:rsidRPr="00B66B63">
        <w:rPr>
          <w:rFonts w:ascii="Arial" w:eastAsia="Calibri" w:hAnsi="Arial" w:cs="Arial"/>
          <w:color w:val="000000" w:themeColor="text1"/>
          <w:sz w:val="26"/>
          <w:szCs w:val="26"/>
          <w:lang w:eastAsia="en-US"/>
        </w:rPr>
        <w:t xml:space="preserve">, </w:t>
      </w:r>
      <w:r w:rsidR="0069649D" w:rsidRPr="00B66B63">
        <w:rPr>
          <w:rFonts w:ascii="Arial" w:hAnsi="Arial" w:cs="Arial"/>
          <w:color w:val="000000" w:themeColor="text1"/>
          <w:sz w:val="26"/>
          <w:szCs w:val="26"/>
        </w:rPr>
        <w:t>dictada</w:t>
      </w:r>
      <w:r w:rsidR="00DE2DA5" w:rsidRPr="00B66B63">
        <w:rPr>
          <w:rFonts w:ascii="Arial" w:hAnsi="Arial" w:cs="Arial"/>
          <w:bCs/>
          <w:color w:val="000000" w:themeColor="text1"/>
          <w:sz w:val="26"/>
          <w:szCs w:val="26"/>
        </w:rPr>
        <w:t xml:space="preserve"> </w:t>
      </w:r>
      <w:r w:rsidR="009B302B" w:rsidRPr="00B66B63">
        <w:rPr>
          <w:rFonts w:ascii="Arial" w:hAnsi="Arial" w:cs="Arial"/>
          <w:bCs/>
          <w:color w:val="000000" w:themeColor="text1"/>
          <w:sz w:val="26"/>
          <w:szCs w:val="26"/>
        </w:rPr>
        <w:t xml:space="preserve">en el expediente </w:t>
      </w:r>
      <w:r w:rsidR="009B302B" w:rsidRPr="00B66B63">
        <w:rPr>
          <w:rFonts w:ascii="Arial" w:eastAsia="PMingLiU" w:hAnsi="Arial" w:cs="Arial"/>
          <w:b/>
          <w:iCs/>
          <w:caps/>
          <w:color w:val="000000" w:themeColor="text1"/>
          <w:sz w:val="26"/>
          <w:szCs w:val="26"/>
          <w:lang w:val="es-PE" w:eastAsia="zh-TW"/>
        </w:rPr>
        <w:t xml:space="preserve">0082/2019 </w:t>
      </w:r>
      <w:r w:rsidR="009B302B" w:rsidRPr="00B66B63">
        <w:rPr>
          <w:rFonts w:ascii="Arial" w:hAnsi="Arial" w:cs="Arial"/>
          <w:bCs/>
          <w:color w:val="000000" w:themeColor="text1"/>
          <w:sz w:val="26"/>
          <w:szCs w:val="26"/>
        </w:rPr>
        <w:t xml:space="preserve">de la </w:t>
      </w:r>
      <w:r w:rsidR="006A1C2A" w:rsidRPr="00B66B63">
        <w:rPr>
          <w:rFonts w:ascii="Arial" w:hAnsi="Arial" w:cs="Arial"/>
          <w:bCs/>
          <w:color w:val="000000" w:themeColor="text1"/>
          <w:sz w:val="26"/>
          <w:szCs w:val="26"/>
        </w:rPr>
        <w:t>Tercera</w:t>
      </w:r>
      <w:r w:rsidR="0069649D" w:rsidRPr="00B66B63">
        <w:rPr>
          <w:rFonts w:ascii="Arial" w:hAnsi="Arial" w:cs="Arial"/>
          <w:bCs/>
          <w:color w:val="000000" w:themeColor="text1"/>
          <w:sz w:val="26"/>
          <w:szCs w:val="26"/>
        </w:rPr>
        <w:t xml:space="preserve"> Sala Unitaria de Primera Instancia</w:t>
      </w:r>
      <w:r w:rsidR="00A8157F" w:rsidRPr="00B66B63">
        <w:rPr>
          <w:rFonts w:ascii="Arial" w:hAnsi="Arial" w:cs="Arial"/>
          <w:bCs/>
          <w:color w:val="000000" w:themeColor="text1"/>
          <w:sz w:val="26"/>
          <w:szCs w:val="26"/>
        </w:rPr>
        <w:t>,</w:t>
      </w:r>
      <w:r w:rsidR="006D1DB2" w:rsidRPr="00B66B63">
        <w:rPr>
          <w:rFonts w:ascii="Arial" w:eastAsia="Calibri" w:hAnsi="Arial" w:cs="Arial"/>
          <w:b/>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 xml:space="preserve">relativo al juicio promovido por </w:t>
      </w:r>
      <w:r w:rsidR="000F5A75" w:rsidRPr="00B66B63">
        <w:rPr>
          <w:rFonts w:ascii="Arial" w:eastAsia="Calibri" w:hAnsi="Arial" w:cs="Arial"/>
          <w:b/>
          <w:color w:val="000000" w:themeColor="text1"/>
          <w:sz w:val="26"/>
          <w:szCs w:val="26"/>
          <w:lang w:eastAsia="en-US"/>
        </w:rPr>
        <w:t xml:space="preserve">el </w:t>
      </w:r>
      <w:r w:rsidR="00CF7D2C" w:rsidRPr="00B66B63">
        <w:rPr>
          <w:rFonts w:ascii="Arial" w:eastAsia="Calibri" w:hAnsi="Arial" w:cs="Arial"/>
          <w:b/>
          <w:color w:val="000000" w:themeColor="text1"/>
          <w:sz w:val="26"/>
          <w:szCs w:val="26"/>
          <w:lang w:eastAsia="en-US"/>
        </w:rPr>
        <w:t>RECURRENTE</w:t>
      </w:r>
      <w:r w:rsidR="006D1DB2" w:rsidRPr="00B66B63">
        <w:rPr>
          <w:rFonts w:ascii="Arial" w:eastAsia="Calibri" w:hAnsi="Arial" w:cs="Arial"/>
          <w:b/>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en contra de</w:t>
      </w:r>
      <w:r w:rsidR="00DE2DA5" w:rsidRPr="00B66B63">
        <w:rPr>
          <w:rFonts w:ascii="Arial" w:eastAsia="Calibri" w:hAnsi="Arial" w:cs="Arial"/>
          <w:color w:val="000000" w:themeColor="text1"/>
          <w:sz w:val="26"/>
          <w:szCs w:val="26"/>
          <w:lang w:eastAsia="en-US"/>
        </w:rPr>
        <w:t xml:space="preserve">l </w:t>
      </w:r>
      <w:r w:rsidR="006E0104" w:rsidRPr="00B66B63">
        <w:rPr>
          <w:rFonts w:ascii="Arial" w:eastAsia="Calibri" w:hAnsi="Arial" w:cs="Arial"/>
          <w:b/>
          <w:color w:val="000000" w:themeColor="text1"/>
          <w:sz w:val="26"/>
          <w:szCs w:val="26"/>
          <w:lang w:eastAsia="en-US"/>
        </w:rPr>
        <w:t>DIRECTOR DE RESPONSABILIDADES ADMINISTRATIVAS Y SITUACIÓN PATRIMONIAL DE LA SUBSECRETARÍA DE RESPONSABILIDADES ADMINISTRATIVAS Y ANTICORRUPCIÓN DE LA SECRETARÍA DE CONTRALORÍA Y TRANSPARENCIA GUBERNAMENTAL DEL PODER EJECUTIVO DEL ESTADO DE OAXACA</w:t>
      </w:r>
      <w:r w:rsidR="00DE2DA5" w:rsidRPr="00B66B63">
        <w:rPr>
          <w:rFonts w:ascii="Arial" w:eastAsia="Calibri" w:hAnsi="Arial" w:cs="Arial"/>
          <w:b/>
          <w:color w:val="000000" w:themeColor="text1"/>
          <w:sz w:val="26"/>
          <w:szCs w:val="26"/>
          <w:lang w:eastAsia="en-US"/>
        </w:rPr>
        <w:t>;</w:t>
      </w:r>
      <w:r w:rsidR="006927E4" w:rsidRPr="00B66B63">
        <w:rPr>
          <w:rFonts w:ascii="Arial" w:eastAsia="Calibri" w:hAnsi="Arial" w:cs="Arial"/>
          <w:b/>
          <w:color w:val="000000" w:themeColor="text1"/>
          <w:sz w:val="26"/>
          <w:szCs w:val="26"/>
          <w:lang w:eastAsia="en-US"/>
        </w:rPr>
        <w:t xml:space="preserve"> </w:t>
      </w:r>
      <w:r w:rsidR="0047404D">
        <w:rPr>
          <w:rFonts w:ascii="Arial" w:eastAsia="Calibri" w:hAnsi="Arial" w:cs="Arial"/>
          <w:bCs/>
          <w:sz w:val="26"/>
          <w:szCs w:val="26"/>
          <w:lang w:eastAsia="en-US"/>
        </w:rPr>
        <w:t>por</w:t>
      </w:r>
      <w:r w:rsidR="0047404D" w:rsidRPr="00A979D7">
        <w:rPr>
          <w:rFonts w:ascii="Arial" w:eastAsiaTheme="minorHAnsi" w:hAnsi="Arial" w:cs="Arial"/>
          <w:sz w:val="26"/>
          <w:szCs w:val="26"/>
          <w:lang w:eastAsia="en-US"/>
        </w:rPr>
        <w:t xml:space="preserve"> lo que con fundamento en los artículos </w:t>
      </w:r>
      <w:r w:rsidR="0047404D" w:rsidRPr="00B66B63">
        <w:rPr>
          <w:rFonts w:ascii="Arial" w:hAnsi="Arial" w:cs="Arial"/>
          <w:sz w:val="26"/>
          <w:szCs w:val="26"/>
        </w:rPr>
        <w:t xml:space="preserve">236, 238 de la Ley de Procedimiento y Justicia Administrativa para el Estado de Oaxaca y </w:t>
      </w:r>
      <w:r w:rsidR="0047404D" w:rsidRPr="00B66B63">
        <w:rPr>
          <w:rFonts w:ascii="Arial" w:hAnsi="Arial" w:cs="Arial"/>
          <w:bCs/>
          <w:iCs/>
          <w:sz w:val="26"/>
          <w:szCs w:val="26"/>
        </w:rPr>
        <w:t xml:space="preserve">24, fracciones I y III de la Ley Orgánica del Tribunal de Justicia Administrativa del Estado de Oaxaca, </w:t>
      </w:r>
      <w:r w:rsidR="0047404D">
        <w:rPr>
          <w:rFonts w:ascii="Arial" w:eastAsiaTheme="minorHAnsi" w:hAnsi="Arial" w:cs="Arial"/>
          <w:sz w:val="26"/>
          <w:szCs w:val="26"/>
          <w:lang w:eastAsia="en-US"/>
        </w:rPr>
        <w:t xml:space="preserve">se da tramite. Por consiguiente se procede a dictar </w:t>
      </w:r>
      <w:r w:rsidR="0047404D" w:rsidRPr="00263566">
        <w:rPr>
          <w:rFonts w:ascii="Arial" w:eastAsiaTheme="minorHAnsi" w:hAnsi="Arial" w:cs="Arial"/>
          <w:sz w:val="26"/>
          <w:szCs w:val="26"/>
          <w:lang w:eastAsia="en-US"/>
        </w:rPr>
        <w:t>resolución en los siguientes términos:-</w:t>
      </w:r>
      <w:r w:rsidR="0047404D">
        <w:rPr>
          <w:rFonts w:ascii="Arial" w:eastAsiaTheme="minorHAnsi" w:hAnsi="Arial" w:cs="Arial"/>
          <w:sz w:val="26"/>
          <w:szCs w:val="26"/>
          <w:lang w:eastAsia="en-US"/>
        </w:rPr>
        <w:t xml:space="preserve"> - - - - - - - - - - - - </w:t>
      </w:r>
      <w:r w:rsidR="00266B2D">
        <w:rPr>
          <w:rFonts w:ascii="Arial" w:eastAsiaTheme="minorHAnsi" w:hAnsi="Arial" w:cs="Arial"/>
          <w:sz w:val="26"/>
          <w:szCs w:val="26"/>
          <w:lang w:eastAsia="en-US"/>
        </w:rPr>
        <w:t>- - - - - - - - - - - - - - - - - - - -</w:t>
      </w:r>
    </w:p>
    <w:p w14:paraId="47E50ECA" w14:textId="44C35D0A" w:rsidR="006D1DB2" w:rsidRPr="00B66B63" w:rsidRDefault="006D1DB2" w:rsidP="00A8157F">
      <w:pPr>
        <w:spacing w:before="120" w:after="0" w:line="360" w:lineRule="auto"/>
        <w:jc w:val="center"/>
        <w:rPr>
          <w:rFonts w:ascii="Arial" w:eastAsiaTheme="minorHAnsi" w:hAnsi="Arial" w:cs="Arial"/>
          <w:b/>
          <w:bCs/>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R E S U L T A N D O</w:t>
      </w:r>
    </w:p>
    <w:p w14:paraId="19F331A7" w14:textId="590B5532" w:rsidR="006927E4"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 xml:space="preserve">PRIMERO. </w:t>
      </w:r>
      <w:r w:rsidRPr="00B66B63">
        <w:rPr>
          <w:rFonts w:ascii="Arial" w:eastAsiaTheme="minorHAnsi" w:hAnsi="Arial" w:cs="Arial"/>
          <w:color w:val="000000" w:themeColor="text1"/>
          <w:sz w:val="26"/>
          <w:szCs w:val="26"/>
          <w:lang w:val="es-ES" w:eastAsia="en-US"/>
        </w:rPr>
        <w:t xml:space="preserve">Inconforme con la sentencia de </w:t>
      </w:r>
      <w:r w:rsidR="000F5A75" w:rsidRPr="00B66B63">
        <w:rPr>
          <w:rFonts w:ascii="Arial" w:eastAsiaTheme="minorHAnsi" w:hAnsi="Arial" w:cs="Arial"/>
          <w:color w:val="000000" w:themeColor="text1"/>
          <w:sz w:val="26"/>
          <w:szCs w:val="26"/>
          <w:lang w:val="es-ES" w:eastAsia="en-US"/>
        </w:rPr>
        <w:t>diecisiete de marzo de dos mil veintiuno</w:t>
      </w:r>
      <w:r w:rsidRPr="00B66B63">
        <w:rPr>
          <w:rFonts w:ascii="Arial" w:eastAsiaTheme="minorHAnsi" w:hAnsi="Arial" w:cs="Arial"/>
          <w:color w:val="000000" w:themeColor="text1"/>
          <w:sz w:val="26"/>
          <w:szCs w:val="26"/>
          <w:lang w:val="es-ES" w:eastAsia="en-US"/>
        </w:rPr>
        <w:t xml:space="preserve">, dictada por </w:t>
      </w:r>
      <w:r w:rsidR="006927E4" w:rsidRPr="00B66B63">
        <w:rPr>
          <w:rFonts w:ascii="Arial" w:eastAsia="Calibri" w:hAnsi="Arial" w:cs="Arial"/>
          <w:color w:val="000000" w:themeColor="text1"/>
          <w:sz w:val="26"/>
          <w:szCs w:val="26"/>
          <w:lang w:eastAsia="en-US"/>
        </w:rPr>
        <w:t xml:space="preserve">la </w:t>
      </w:r>
      <w:r w:rsidR="000F5A75" w:rsidRPr="00B66B63">
        <w:rPr>
          <w:rFonts w:ascii="Arial" w:eastAsia="Calibri" w:hAnsi="Arial" w:cs="Arial"/>
          <w:color w:val="000000" w:themeColor="text1"/>
          <w:sz w:val="26"/>
          <w:szCs w:val="26"/>
          <w:lang w:eastAsia="en-US"/>
        </w:rPr>
        <w:t>Tercera</w:t>
      </w:r>
      <w:r w:rsidR="00DB421A" w:rsidRPr="00B66B63">
        <w:rPr>
          <w:rFonts w:ascii="Arial" w:eastAsia="Calibri" w:hAnsi="Arial" w:cs="Arial"/>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Sala Unitaria de Primera Instancia de este Tribunal</w:t>
      </w:r>
      <w:r w:rsidR="00772E56" w:rsidRPr="00B66B63">
        <w:rPr>
          <w:rFonts w:ascii="Arial" w:eastAsiaTheme="minorHAnsi" w:hAnsi="Arial" w:cs="Arial"/>
          <w:color w:val="000000" w:themeColor="text1"/>
          <w:sz w:val="26"/>
          <w:szCs w:val="26"/>
          <w:lang w:eastAsia="en-US"/>
        </w:rPr>
        <w:t>,</w:t>
      </w:r>
      <w:r w:rsidR="00772E56" w:rsidRPr="00B66B63">
        <w:rPr>
          <w:rFonts w:ascii="Arial" w:eastAsiaTheme="minorHAnsi" w:hAnsi="Arial" w:cs="Arial"/>
          <w:b/>
          <w:bCs/>
          <w:color w:val="000000" w:themeColor="text1"/>
          <w:sz w:val="26"/>
          <w:szCs w:val="26"/>
          <w:lang w:eastAsia="en-US"/>
        </w:rPr>
        <w:t xml:space="preserve"> </w:t>
      </w:r>
      <w:r w:rsidR="00266B2D">
        <w:rPr>
          <w:rFonts w:ascii="Arial" w:eastAsia="Calibri" w:hAnsi="Arial" w:cs="Arial"/>
          <w:b/>
          <w:bCs/>
          <w:color w:val="000000" w:themeColor="text1"/>
          <w:sz w:val="26"/>
          <w:szCs w:val="26"/>
          <w:lang w:eastAsia="en-US"/>
        </w:rPr>
        <w:t>*******</w:t>
      </w:r>
      <w:r w:rsidR="00772E56" w:rsidRPr="00B66B63">
        <w:rPr>
          <w:rFonts w:ascii="Arial" w:eastAsiaTheme="minorHAnsi" w:hAnsi="Arial" w:cs="Arial"/>
          <w:b/>
          <w:bCs/>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interpuso en su contra recurso de revisión.</w:t>
      </w:r>
      <w:r w:rsidR="00DB421A" w:rsidRPr="00B66B63">
        <w:rPr>
          <w:rFonts w:ascii="Arial" w:eastAsiaTheme="minorHAnsi" w:hAnsi="Arial" w:cs="Arial"/>
          <w:color w:val="000000" w:themeColor="text1"/>
          <w:sz w:val="26"/>
          <w:szCs w:val="26"/>
          <w:lang w:val="es-ES" w:eastAsia="en-US"/>
        </w:rPr>
        <w:t xml:space="preserve"> - - - - - - </w:t>
      </w:r>
      <w:r w:rsidR="000F5A75" w:rsidRPr="00B66B63">
        <w:rPr>
          <w:rFonts w:ascii="Arial" w:eastAsiaTheme="minorHAnsi" w:hAnsi="Arial" w:cs="Arial"/>
          <w:color w:val="000000" w:themeColor="text1"/>
          <w:sz w:val="26"/>
          <w:szCs w:val="26"/>
          <w:lang w:val="es-ES" w:eastAsia="en-US"/>
        </w:rPr>
        <w:t xml:space="preserve"> - - - - - - - - - - - - - - - - - - - - - - - - - - </w:t>
      </w:r>
      <w:r w:rsidR="00266B2D">
        <w:rPr>
          <w:rFonts w:ascii="Arial" w:eastAsiaTheme="minorHAnsi" w:hAnsi="Arial" w:cs="Arial"/>
          <w:color w:val="000000" w:themeColor="text1"/>
          <w:sz w:val="26"/>
          <w:szCs w:val="26"/>
          <w:lang w:val="es-ES" w:eastAsia="en-US"/>
        </w:rPr>
        <w:t xml:space="preserve">- - - - - - - - - - - - - </w:t>
      </w:r>
    </w:p>
    <w:p w14:paraId="7F2B82EE" w14:textId="3C46DA3F" w:rsidR="006D1DB2"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B66B63">
        <w:rPr>
          <w:rFonts w:ascii="Arial" w:eastAsiaTheme="minorHAnsi" w:hAnsi="Arial" w:cs="Arial"/>
          <w:b/>
          <w:bCs/>
          <w:color w:val="000000" w:themeColor="text1"/>
          <w:sz w:val="26"/>
          <w:szCs w:val="26"/>
          <w:lang w:eastAsia="en-US"/>
        </w:rPr>
        <w:t xml:space="preserve">SEGUNDO. </w:t>
      </w:r>
      <w:r w:rsidRPr="00B66B63">
        <w:rPr>
          <w:rFonts w:ascii="Arial" w:eastAsiaTheme="minorHAnsi" w:hAnsi="Arial" w:cs="Arial"/>
          <w:color w:val="000000" w:themeColor="text1"/>
          <w:sz w:val="26"/>
          <w:szCs w:val="26"/>
          <w:lang w:eastAsia="en-US"/>
        </w:rPr>
        <w:t>Los puntos resolutivos de la sentencia recurrida, son los siguientes</w:t>
      </w:r>
      <w:r w:rsidR="006927E4" w:rsidRPr="00B66B63">
        <w:rPr>
          <w:rFonts w:ascii="Arial" w:eastAsiaTheme="minorHAnsi" w:hAnsi="Arial" w:cs="Arial"/>
          <w:color w:val="000000" w:themeColor="text1"/>
          <w:sz w:val="26"/>
          <w:szCs w:val="26"/>
          <w:lang w:eastAsia="en-US"/>
        </w:rPr>
        <w:t>:</w:t>
      </w:r>
    </w:p>
    <w:p w14:paraId="1DFB4398" w14:textId="108826F7" w:rsidR="009A41FB" w:rsidRPr="00B66B63" w:rsidRDefault="006D1DB2" w:rsidP="009A41FB">
      <w:pPr>
        <w:spacing w:before="120" w:after="0" w:line="360" w:lineRule="auto"/>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sz w:val="24"/>
          <w:szCs w:val="24"/>
          <w:lang w:eastAsia="en-US"/>
        </w:rPr>
        <w:t>“</w:t>
      </w:r>
      <w:r w:rsidR="00245EE0" w:rsidRPr="00B66B63">
        <w:rPr>
          <w:rFonts w:ascii="Arial" w:eastAsia="Calibri" w:hAnsi="Arial" w:cs="Arial"/>
          <w:b/>
          <w:bCs/>
          <w:i/>
          <w:iCs/>
          <w:color w:val="000000" w:themeColor="text1"/>
          <w:lang w:eastAsia="en-US"/>
        </w:rPr>
        <w:t>PRIMERO.</w:t>
      </w:r>
      <w:r w:rsidRPr="00B66B63">
        <w:rPr>
          <w:rFonts w:ascii="Arial" w:eastAsia="Calibri" w:hAnsi="Arial" w:cs="Arial"/>
          <w:b/>
          <w:bCs/>
          <w:i/>
          <w:iCs/>
          <w:color w:val="000000" w:themeColor="text1"/>
          <w:lang w:eastAsia="en-US"/>
        </w:rPr>
        <w:t xml:space="preserve"> </w:t>
      </w:r>
      <w:r w:rsidR="00245EE0" w:rsidRPr="00B66B63">
        <w:rPr>
          <w:rFonts w:ascii="Arial" w:eastAsia="Calibri" w:hAnsi="Arial" w:cs="Arial"/>
          <w:bCs/>
          <w:i/>
          <w:iCs/>
          <w:color w:val="000000" w:themeColor="text1"/>
          <w:lang w:eastAsia="en-US"/>
        </w:rPr>
        <w:t>Esta</w:t>
      </w:r>
      <w:r w:rsidR="00691229" w:rsidRPr="00B66B63">
        <w:rPr>
          <w:rFonts w:ascii="Arial" w:eastAsia="Calibri" w:hAnsi="Arial" w:cs="Arial"/>
          <w:bCs/>
          <w:i/>
          <w:iCs/>
          <w:color w:val="000000" w:themeColor="text1"/>
          <w:lang w:eastAsia="en-US"/>
        </w:rPr>
        <w:t xml:space="preserve"> </w:t>
      </w:r>
      <w:r w:rsidR="000F5A75" w:rsidRPr="00B66B63">
        <w:rPr>
          <w:rFonts w:ascii="Arial" w:eastAsia="Calibri" w:hAnsi="Arial" w:cs="Arial"/>
          <w:bCs/>
          <w:i/>
          <w:iCs/>
          <w:color w:val="000000" w:themeColor="text1"/>
          <w:lang w:eastAsia="en-US"/>
        </w:rPr>
        <w:t>Tercera</w:t>
      </w:r>
      <w:r w:rsidR="009A41FB" w:rsidRPr="00B66B63">
        <w:rPr>
          <w:rFonts w:ascii="Arial" w:eastAsia="Calibri" w:hAnsi="Arial" w:cs="Arial"/>
          <w:bCs/>
          <w:i/>
          <w:iCs/>
          <w:color w:val="000000" w:themeColor="text1"/>
          <w:lang w:eastAsia="en-US"/>
        </w:rPr>
        <w:t xml:space="preserve"> </w:t>
      </w:r>
      <w:r w:rsidR="00691229" w:rsidRPr="00B66B63">
        <w:rPr>
          <w:rFonts w:ascii="Arial" w:eastAsia="Calibri" w:hAnsi="Arial" w:cs="Arial"/>
          <w:bCs/>
          <w:i/>
          <w:iCs/>
          <w:color w:val="000000" w:themeColor="text1"/>
          <w:lang w:eastAsia="en-US"/>
        </w:rPr>
        <w:t xml:space="preserve">Sala </w:t>
      </w:r>
      <w:r w:rsidR="000F5A75" w:rsidRPr="00B66B63">
        <w:rPr>
          <w:rFonts w:ascii="Arial" w:eastAsia="Calibri" w:hAnsi="Arial" w:cs="Arial"/>
          <w:bCs/>
          <w:i/>
          <w:iCs/>
          <w:color w:val="000000" w:themeColor="text1"/>
          <w:lang w:eastAsia="en-US"/>
        </w:rPr>
        <w:t xml:space="preserve">de Primera </w:t>
      </w:r>
      <w:r w:rsidR="000F5A75" w:rsidRPr="0095617E">
        <w:rPr>
          <w:rFonts w:ascii="Arial" w:eastAsia="Calibri" w:hAnsi="Arial" w:cs="Arial"/>
          <w:bCs/>
          <w:i/>
          <w:iCs/>
          <w:color w:val="000000" w:themeColor="text1"/>
          <w:lang w:eastAsia="en-US"/>
        </w:rPr>
        <w:t>Instancia del Tribunal de Justicia Administrativa del Estado de Oaxaca, e</w:t>
      </w:r>
      <w:r w:rsidR="00D27996" w:rsidRPr="0095617E">
        <w:rPr>
          <w:rFonts w:ascii="Arial" w:eastAsia="Calibri" w:hAnsi="Arial" w:cs="Arial"/>
          <w:bCs/>
          <w:i/>
          <w:iCs/>
          <w:color w:val="000000" w:themeColor="text1"/>
          <w:lang w:eastAsia="en-US"/>
        </w:rPr>
        <w:t>s</w:t>
      </w:r>
      <w:r w:rsidR="000F5A75" w:rsidRPr="0095617E">
        <w:rPr>
          <w:rFonts w:ascii="Arial" w:eastAsia="Calibri" w:hAnsi="Arial" w:cs="Arial"/>
          <w:bCs/>
          <w:i/>
          <w:iCs/>
          <w:color w:val="000000" w:themeColor="text1"/>
          <w:lang w:eastAsia="en-US"/>
        </w:rPr>
        <w:t xml:space="preserve"> </w:t>
      </w:r>
      <w:r w:rsidR="000F5A75" w:rsidRPr="0095617E">
        <w:rPr>
          <w:rFonts w:ascii="Arial" w:eastAsia="Calibri" w:hAnsi="Arial" w:cs="Arial"/>
          <w:bCs/>
          <w:i/>
          <w:iCs/>
          <w:color w:val="000000" w:themeColor="text1"/>
          <w:lang w:eastAsia="en-US"/>
        </w:rPr>
        <w:lastRenderedPageBreak/>
        <w:t>legalmente competente para conocer y resolver del presente</w:t>
      </w:r>
      <w:r w:rsidR="000F5A75" w:rsidRPr="00B66B63">
        <w:rPr>
          <w:rFonts w:ascii="Arial" w:eastAsia="Calibri" w:hAnsi="Arial" w:cs="Arial"/>
          <w:bCs/>
          <w:i/>
          <w:iCs/>
          <w:color w:val="000000" w:themeColor="text1"/>
          <w:lang w:eastAsia="en-US"/>
        </w:rPr>
        <w:t xml:space="preserve"> Juicio de Nulidad.</w:t>
      </w:r>
      <w:r w:rsidR="009A41FB" w:rsidRPr="00B66B63">
        <w:rPr>
          <w:rFonts w:ascii="Arial" w:eastAsia="Calibri" w:hAnsi="Arial" w:cs="Arial"/>
          <w:bCs/>
          <w:i/>
          <w:iCs/>
          <w:color w:val="000000" w:themeColor="text1"/>
          <w:lang w:eastAsia="en-US"/>
        </w:rPr>
        <w:t>- - - - - - - - - - - - - - - - - -</w:t>
      </w:r>
      <w:r w:rsidR="000F5A75" w:rsidRPr="00B66B63">
        <w:rPr>
          <w:rFonts w:ascii="Arial" w:eastAsia="Calibri" w:hAnsi="Arial" w:cs="Arial"/>
          <w:bCs/>
          <w:i/>
          <w:iCs/>
          <w:color w:val="000000" w:themeColor="text1"/>
          <w:lang w:eastAsia="en-US"/>
        </w:rPr>
        <w:t>- - - - - - - - - - - - - - - -</w:t>
      </w:r>
    </w:p>
    <w:p w14:paraId="434AF154" w14:textId="0CCFFA36" w:rsidR="006D1DB2" w:rsidRPr="00B66B63" w:rsidRDefault="00691229" w:rsidP="009A41FB">
      <w:pPr>
        <w:spacing w:before="120" w:after="0" w:line="360" w:lineRule="auto"/>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lang w:eastAsia="en-US"/>
        </w:rPr>
        <w:t xml:space="preserve"> </w:t>
      </w:r>
      <w:r w:rsidR="00245EE0" w:rsidRPr="00B66B63">
        <w:rPr>
          <w:rFonts w:ascii="Arial" w:eastAsia="Calibri" w:hAnsi="Arial" w:cs="Arial"/>
          <w:bCs/>
          <w:i/>
          <w:iCs/>
          <w:color w:val="000000" w:themeColor="text1"/>
          <w:lang w:eastAsia="en-US"/>
        </w:rPr>
        <w:t xml:space="preserve"> </w:t>
      </w:r>
      <w:r w:rsidR="00A20C8D" w:rsidRPr="00B66B63">
        <w:rPr>
          <w:rFonts w:ascii="Arial" w:eastAsia="Calibri" w:hAnsi="Arial" w:cs="Arial"/>
          <w:b/>
          <w:bCs/>
          <w:i/>
          <w:iCs/>
          <w:color w:val="000000" w:themeColor="text1"/>
          <w:lang w:eastAsia="en-US"/>
        </w:rPr>
        <w:t>SEGUNDO.</w:t>
      </w:r>
      <w:r w:rsidR="00E92B12" w:rsidRPr="00B66B63">
        <w:rPr>
          <w:rFonts w:ascii="Arial" w:eastAsia="Calibri" w:hAnsi="Arial" w:cs="Arial"/>
          <w:b/>
          <w:bCs/>
          <w:i/>
          <w:iCs/>
          <w:color w:val="000000" w:themeColor="text1"/>
          <w:lang w:eastAsia="en-US"/>
        </w:rPr>
        <w:t xml:space="preserve"> </w:t>
      </w:r>
      <w:r w:rsidR="00FF56FC" w:rsidRPr="00B66B63">
        <w:rPr>
          <w:rFonts w:ascii="Arial" w:eastAsia="Calibri" w:hAnsi="Arial" w:cs="Arial"/>
          <w:bCs/>
          <w:i/>
          <w:iCs/>
          <w:color w:val="000000" w:themeColor="text1"/>
          <w:lang w:eastAsia="en-US"/>
        </w:rPr>
        <w:t>No se actualizó causal de improcedencia alguna, por lo que NO SE SOBRESEE EL JUICIO, en términos del considerando QUINTO de esta resolución.</w:t>
      </w:r>
      <w:r w:rsidR="009A41FB" w:rsidRPr="00B66B63">
        <w:rPr>
          <w:rFonts w:ascii="Arial" w:eastAsia="Calibri" w:hAnsi="Arial" w:cs="Arial"/>
          <w:bCs/>
          <w:i/>
          <w:iCs/>
          <w:color w:val="000000" w:themeColor="text1"/>
          <w:lang w:eastAsia="en-US"/>
        </w:rPr>
        <w:t xml:space="preserve">- - - - - - - - - - - - - </w:t>
      </w:r>
    </w:p>
    <w:p w14:paraId="11C2CFB0" w14:textId="6806F346" w:rsidR="009A41FB" w:rsidRPr="00B66B63" w:rsidRDefault="00245EE0" w:rsidP="00FF56FC">
      <w:pPr>
        <w:spacing w:before="120" w:after="0" w:line="360" w:lineRule="auto"/>
        <w:ind w:left="1134" w:right="902" w:firstLine="426"/>
        <w:jc w:val="both"/>
        <w:rPr>
          <w:rFonts w:ascii="Arial" w:eastAsia="Calibri" w:hAnsi="Arial" w:cs="Arial"/>
          <w:i/>
          <w:iCs/>
          <w:color w:val="000000" w:themeColor="text1"/>
          <w:lang w:eastAsia="en-US"/>
        </w:rPr>
      </w:pPr>
      <w:r w:rsidRPr="00B66B63">
        <w:rPr>
          <w:rFonts w:ascii="Arial" w:eastAsia="Calibri" w:hAnsi="Arial" w:cs="Arial"/>
          <w:b/>
          <w:bCs/>
          <w:i/>
          <w:iCs/>
          <w:color w:val="000000" w:themeColor="text1"/>
          <w:lang w:eastAsia="en-US"/>
        </w:rPr>
        <w:t>TERCERO.</w:t>
      </w:r>
      <w:r w:rsidRPr="00B66B63">
        <w:rPr>
          <w:rFonts w:ascii="Arial" w:eastAsia="Calibri" w:hAnsi="Arial" w:cs="Arial"/>
          <w:bCs/>
          <w:i/>
          <w:iCs/>
          <w:color w:val="000000" w:themeColor="text1"/>
          <w:lang w:eastAsia="en-US"/>
        </w:rPr>
        <w:t xml:space="preserve"> </w:t>
      </w:r>
      <w:r w:rsidR="00E92B12" w:rsidRPr="00B66B63">
        <w:rPr>
          <w:rFonts w:ascii="Arial" w:eastAsia="Calibri" w:hAnsi="Arial" w:cs="Arial"/>
          <w:i/>
          <w:iCs/>
          <w:color w:val="000000" w:themeColor="text1"/>
          <w:lang w:eastAsia="en-US"/>
        </w:rPr>
        <w:t xml:space="preserve">Se declara la </w:t>
      </w:r>
      <w:r w:rsidR="00FF56FC" w:rsidRPr="00B66B63">
        <w:rPr>
          <w:rFonts w:ascii="Arial" w:eastAsia="Calibri" w:hAnsi="Arial" w:cs="Arial"/>
          <w:b/>
          <w:bCs/>
          <w:i/>
          <w:iCs/>
          <w:color w:val="000000" w:themeColor="text1"/>
          <w:lang w:eastAsia="en-US"/>
        </w:rPr>
        <w:t>VALIDEZ</w:t>
      </w:r>
      <w:r w:rsidR="00E92B12" w:rsidRPr="00B66B63">
        <w:rPr>
          <w:rFonts w:ascii="Arial" w:eastAsia="Calibri" w:hAnsi="Arial" w:cs="Arial"/>
          <w:i/>
          <w:iCs/>
          <w:color w:val="000000" w:themeColor="text1"/>
          <w:lang w:eastAsia="en-US"/>
        </w:rPr>
        <w:t xml:space="preserve"> </w:t>
      </w:r>
      <w:r w:rsidRPr="00B66B63">
        <w:rPr>
          <w:rFonts w:ascii="Arial" w:eastAsia="Calibri" w:hAnsi="Arial" w:cs="Arial"/>
          <w:i/>
          <w:iCs/>
          <w:color w:val="000000" w:themeColor="text1"/>
          <w:lang w:eastAsia="en-US"/>
        </w:rPr>
        <w:t>de la resolución</w:t>
      </w:r>
      <w:r w:rsidR="00FF56FC" w:rsidRPr="00B66B63">
        <w:rPr>
          <w:rFonts w:ascii="Arial" w:eastAsia="Calibri" w:hAnsi="Arial" w:cs="Arial"/>
          <w:i/>
          <w:iCs/>
          <w:color w:val="000000" w:themeColor="text1"/>
          <w:lang w:eastAsia="en-US"/>
        </w:rPr>
        <w:t xml:space="preserve"> dictada con fecha veintiuno de febrero de dos mil diecinueve (21/02/2019), por el Director de Responsabilidades Administrativas y </w:t>
      </w:r>
      <w:r w:rsidR="00113D91">
        <w:rPr>
          <w:rFonts w:ascii="Arial" w:eastAsia="Calibri" w:hAnsi="Arial" w:cs="Arial"/>
          <w:i/>
          <w:iCs/>
          <w:color w:val="000000" w:themeColor="text1"/>
          <w:lang w:eastAsia="en-US"/>
        </w:rPr>
        <w:t>Situación Patrimonial de la Subs</w:t>
      </w:r>
      <w:r w:rsidR="00FF56FC" w:rsidRPr="00B66B63">
        <w:rPr>
          <w:rFonts w:ascii="Arial" w:eastAsia="Calibri" w:hAnsi="Arial" w:cs="Arial"/>
          <w:i/>
          <w:iCs/>
          <w:color w:val="000000" w:themeColor="text1"/>
          <w:lang w:eastAsia="en-US"/>
        </w:rPr>
        <w:t xml:space="preserve">ecretaría de Responsabilidades Administrativas y Anticorrupción, de la Secretaría de la </w:t>
      </w:r>
      <w:r w:rsidR="006A1C2A" w:rsidRPr="00B66B63">
        <w:rPr>
          <w:rFonts w:ascii="Arial" w:eastAsia="Calibri" w:hAnsi="Arial" w:cs="Arial"/>
          <w:i/>
          <w:iCs/>
          <w:color w:val="000000" w:themeColor="text1"/>
          <w:lang w:eastAsia="en-US"/>
        </w:rPr>
        <w:t>C</w:t>
      </w:r>
      <w:r w:rsidR="00FF56FC" w:rsidRPr="00B66B63">
        <w:rPr>
          <w:rFonts w:ascii="Arial" w:eastAsia="Calibri" w:hAnsi="Arial" w:cs="Arial"/>
          <w:i/>
          <w:iCs/>
          <w:color w:val="000000" w:themeColor="text1"/>
          <w:lang w:eastAsia="en-US"/>
        </w:rPr>
        <w:t xml:space="preserve">ontraloría y Transparencia Gubernamental del Gobierno del Estado de Oaxaca, en el expediente administrativo </w:t>
      </w:r>
      <w:r w:rsidR="00266B2D">
        <w:rPr>
          <w:rFonts w:ascii="Arial" w:eastAsia="Calibri" w:hAnsi="Arial" w:cs="Arial"/>
          <w:i/>
          <w:iCs/>
          <w:color w:val="000000" w:themeColor="text1"/>
          <w:lang w:eastAsia="en-US"/>
        </w:rPr>
        <w:t>*******</w:t>
      </w:r>
      <w:r w:rsidR="00FF56FC" w:rsidRPr="00B66B63">
        <w:rPr>
          <w:rFonts w:ascii="Arial" w:eastAsia="Calibri" w:hAnsi="Arial" w:cs="Arial"/>
          <w:i/>
          <w:iCs/>
          <w:color w:val="000000" w:themeColor="text1"/>
          <w:lang w:eastAsia="en-US"/>
        </w:rPr>
        <w:t>; lo anterior en (sic) términos precisados en el considerando SEXTO de esta resolución.</w:t>
      </w:r>
      <w:r w:rsidRPr="00B66B63">
        <w:rPr>
          <w:rFonts w:ascii="Arial" w:eastAsia="Calibri" w:hAnsi="Arial" w:cs="Arial"/>
          <w:i/>
          <w:iCs/>
          <w:color w:val="000000" w:themeColor="text1"/>
          <w:lang w:eastAsia="en-US"/>
        </w:rPr>
        <w:t xml:space="preserve"> </w:t>
      </w:r>
      <w:r w:rsidR="00FF56FC" w:rsidRPr="00B66B63">
        <w:rPr>
          <w:rFonts w:ascii="Arial" w:eastAsia="Calibri" w:hAnsi="Arial" w:cs="Arial"/>
          <w:i/>
          <w:iCs/>
          <w:color w:val="000000" w:themeColor="text1"/>
          <w:lang w:eastAsia="en-US"/>
        </w:rPr>
        <w:t>- - - - - - - - - - - - - - - -</w:t>
      </w:r>
    </w:p>
    <w:p w14:paraId="0060B260" w14:textId="32961695" w:rsidR="00E92B12" w:rsidRPr="00B66B63" w:rsidRDefault="000C16F1" w:rsidP="000C16F1">
      <w:pPr>
        <w:spacing w:before="120" w:after="0" w:line="360" w:lineRule="auto"/>
        <w:ind w:left="1134" w:right="902" w:firstLine="425"/>
        <w:jc w:val="both"/>
        <w:rPr>
          <w:rFonts w:ascii="Arial" w:eastAsia="Calibri" w:hAnsi="Arial" w:cs="Arial"/>
          <w:bCs/>
          <w:i/>
          <w:iCs/>
          <w:color w:val="000000" w:themeColor="text1"/>
          <w:lang w:eastAsia="en-US"/>
        </w:rPr>
      </w:pPr>
      <w:r w:rsidRPr="00B66B63">
        <w:rPr>
          <w:rFonts w:ascii="Arial" w:eastAsia="Calibri" w:hAnsi="Arial" w:cs="Arial"/>
          <w:b/>
          <w:i/>
          <w:iCs/>
          <w:color w:val="000000" w:themeColor="text1"/>
          <w:lang w:eastAsia="en-US"/>
        </w:rPr>
        <w:t>CUARTO</w:t>
      </w:r>
      <w:r w:rsidR="00323BE2" w:rsidRPr="00B66B63">
        <w:rPr>
          <w:rFonts w:ascii="Arial" w:eastAsia="Calibri" w:hAnsi="Arial" w:cs="Arial"/>
          <w:b/>
          <w:i/>
          <w:iCs/>
          <w:color w:val="000000" w:themeColor="text1"/>
          <w:lang w:eastAsia="en-US"/>
        </w:rPr>
        <w:t>.</w:t>
      </w:r>
      <w:r w:rsidR="009A41FB" w:rsidRPr="00B66B63">
        <w:rPr>
          <w:rFonts w:ascii="Arial" w:eastAsia="Calibri" w:hAnsi="Arial" w:cs="Arial"/>
          <w:b/>
          <w:i/>
          <w:iCs/>
          <w:color w:val="000000" w:themeColor="text1"/>
          <w:lang w:eastAsia="en-US"/>
        </w:rPr>
        <w:t xml:space="preserve"> </w:t>
      </w:r>
      <w:r w:rsidRPr="00B66B63">
        <w:rPr>
          <w:rFonts w:ascii="Arial" w:eastAsia="Calibri" w:hAnsi="Arial" w:cs="Arial"/>
          <w:i/>
          <w:iCs/>
          <w:color w:val="000000" w:themeColor="text1"/>
          <w:lang w:eastAsia="en-US"/>
        </w:rPr>
        <w:t xml:space="preserve">Con las medidas de salud determinadas por el Pleno de este Tribunal, en el Protocolo para la Reincorporación del Personal y Atención a los Usuarios, emitido en el Acuerdo General de Pleno AG/TJAO/12/2020, </w:t>
      </w:r>
      <w:r w:rsidR="00E92B12" w:rsidRPr="00B66B63">
        <w:rPr>
          <w:rFonts w:ascii="Arial" w:eastAsia="Calibri" w:hAnsi="Arial" w:cs="Arial"/>
          <w:b/>
          <w:bCs/>
          <w:i/>
          <w:iCs/>
          <w:color w:val="000000" w:themeColor="text1"/>
          <w:lang w:eastAsia="en-US"/>
        </w:rPr>
        <w:t xml:space="preserve">NOTIFÍQUESE </w:t>
      </w:r>
      <w:r w:rsidR="00323BE2" w:rsidRPr="00B66B63">
        <w:rPr>
          <w:rFonts w:ascii="Arial" w:eastAsia="Calibri" w:hAnsi="Arial" w:cs="Arial"/>
          <w:b/>
          <w:bCs/>
          <w:i/>
          <w:iCs/>
          <w:color w:val="000000" w:themeColor="text1"/>
          <w:lang w:eastAsia="en-US"/>
        </w:rPr>
        <w:t xml:space="preserve">PERSONALMENTE A LA </w:t>
      </w:r>
      <w:r w:rsidRPr="00B66B63">
        <w:rPr>
          <w:rFonts w:ascii="Arial" w:eastAsia="Calibri" w:hAnsi="Arial" w:cs="Arial"/>
          <w:b/>
          <w:bCs/>
          <w:i/>
          <w:iCs/>
          <w:color w:val="000000" w:themeColor="text1"/>
          <w:lang w:eastAsia="en-US"/>
        </w:rPr>
        <w:t xml:space="preserve">PARTE </w:t>
      </w:r>
      <w:r w:rsidR="00323BE2" w:rsidRPr="00B66B63">
        <w:rPr>
          <w:rFonts w:ascii="Arial" w:eastAsia="Calibri" w:hAnsi="Arial" w:cs="Arial"/>
          <w:b/>
          <w:bCs/>
          <w:i/>
          <w:iCs/>
          <w:color w:val="000000" w:themeColor="text1"/>
          <w:lang w:eastAsia="en-US"/>
        </w:rPr>
        <w:t xml:space="preserve">ACTORA Y POR OFICIO A LA AUTORIDAD DEMANDADA. </w:t>
      </w:r>
      <w:r w:rsidR="001E22E5" w:rsidRPr="00B66B63">
        <w:rPr>
          <w:rFonts w:ascii="Arial" w:eastAsia="Calibri" w:hAnsi="Arial" w:cs="Arial"/>
          <w:b/>
          <w:i/>
          <w:iCs/>
          <w:color w:val="000000" w:themeColor="text1"/>
          <w:lang w:eastAsia="en-US"/>
        </w:rPr>
        <w:t>CÚMPLASE</w:t>
      </w:r>
      <w:proofErr w:type="gramStart"/>
      <w:r w:rsidRPr="00B66B63">
        <w:rPr>
          <w:rFonts w:ascii="Arial" w:eastAsia="Calibri" w:hAnsi="Arial" w:cs="Arial"/>
          <w:b/>
          <w:i/>
          <w:iCs/>
          <w:color w:val="000000" w:themeColor="text1"/>
          <w:lang w:eastAsia="en-US"/>
        </w:rPr>
        <w:t>.</w:t>
      </w:r>
      <w:r w:rsidR="00323BE2" w:rsidRPr="00B66B63">
        <w:rPr>
          <w:rFonts w:ascii="Arial" w:eastAsia="Calibri" w:hAnsi="Arial" w:cs="Arial"/>
          <w:bCs/>
          <w:i/>
          <w:iCs/>
          <w:color w:val="000000" w:themeColor="text1"/>
          <w:lang w:eastAsia="en-US"/>
        </w:rPr>
        <w:t>’’</w:t>
      </w:r>
      <w:proofErr w:type="gramEnd"/>
      <w:r w:rsidR="006810CE" w:rsidRPr="00B66B63">
        <w:rPr>
          <w:rFonts w:ascii="Arial" w:eastAsia="Calibri" w:hAnsi="Arial" w:cs="Arial"/>
          <w:bCs/>
          <w:i/>
          <w:iCs/>
          <w:color w:val="000000" w:themeColor="text1"/>
          <w:lang w:eastAsia="en-US"/>
        </w:rPr>
        <w:t xml:space="preserve"> - - - - - -</w:t>
      </w:r>
      <w:r w:rsidR="00323BE2" w:rsidRPr="00B66B63">
        <w:rPr>
          <w:rFonts w:ascii="Arial" w:eastAsia="Calibri" w:hAnsi="Arial" w:cs="Arial"/>
          <w:bCs/>
          <w:i/>
          <w:iCs/>
          <w:color w:val="000000" w:themeColor="text1"/>
          <w:lang w:eastAsia="en-US"/>
        </w:rPr>
        <w:t xml:space="preserve"> - - - - - </w:t>
      </w:r>
    </w:p>
    <w:p w14:paraId="09D9EBE3" w14:textId="1CA9281C" w:rsidR="00561E8A" w:rsidRPr="00B66B63"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B66B63">
        <w:rPr>
          <w:rFonts w:ascii="Arial" w:eastAsia="Times New Roman" w:hAnsi="Arial" w:cs="Arial"/>
          <w:b/>
          <w:bCs/>
          <w:color w:val="000000" w:themeColor="text1"/>
          <w:sz w:val="26"/>
          <w:szCs w:val="26"/>
          <w:lang w:val="es-ES" w:eastAsia="es-ES"/>
        </w:rPr>
        <w:t xml:space="preserve"> </w:t>
      </w:r>
      <w:r w:rsidR="006D1DB2" w:rsidRPr="00B66B63">
        <w:rPr>
          <w:rFonts w:ascii="Arial" w:eastAsia="Times New Roman" w:hAnsi="Arial" w:cs="Arial"/>
          <w:b/>
          <w:bCs/>
          <w:color w:val="000000" w:themeColor="text1"/>
          <w:sz w:val="26"/>
          <w:szCs w:val="26"/>
          <w:lang w:val="es-ES" w:eastAsia="es-ES"/>
        </w:rPr>
        <w:t>C O N S I D E R A N D O</w:t>
      </w:r>
    </w:p>
    <w:p w14:paraId="6410B378" w14:textId="0A0EB22B" w:rsidR="00E3516B" w:rsidRPr="00B66B63" w:rsidRDefault="006D1DB2" w:rsidP="00762F3A">
      <w:pPr>
        <w:spacing w:before="120" w:after="0" w:line="360" w:lineRule="auto"/>
        <w:ind w:firstLine="709"/>
        <w:jc w:val="both"/>
        <w:rPr>
          <w:rFonts w:ascii="Arial" w:eastAsiaTheme="minorHAnsi" w:hAnsi="Arial" w:cs="Arial"/>
          <w:bCs/>
          <w:iCs/>
          <w:color w:val="000000" w:themeColor="text1"/>
          <w:sz w:val="26"/>
          <w:szCs w:val="26"/>
          <w:lang w:eastAsia="es-ES"/>
        </w:rPr>
      </w:pPr>
      <w:r w:rsidRPr="00B66B63">
        <w:rPr>
          <w:rFonts w:ascii="Arial" w:eastAsiaTheme="minorHAnsi" w:hAnsi="Arial" w:cs="Arial"/>
          <w:b/>
          <w:bCs/>
          <w:iCs/>
          <w:color w:val="000000" w:themeColor="text1"/>
          <w:sz w:val="26"/>
          <w:szCs w:val="26"/>
          <w:lang w:eastAsia="en-US"/>
        </w:rPr>
        <w:t xml:space="preserve">PRIMERO. </w:t>
      </w:r>
      <w:r w:rsidR="001010D6" w:rsidRPr="00B66B63">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4 fracción VIII, 23, 24</w:t>
      </w:r>
      <w:r w:rsidR="00FA1BD8" w:rsidRPr="00B66B63">
        <w:rPr>
          <w:rFonts w:ascii="Arial" w:hAnsi="Arial" w:cs="Arial"/>
          <w:bCs/>
          <w:iCs/>
          <w:sz w:val="26"/>
          <w:szCs w:val="26"/>
        </w:rPr>
        <w:t>,</w:t>
      </w:r>
      <w:r w:rsidR="001010D6" w:rsidRPr="00B66B63">
        <w:rPr>
          <w:rFonts w:ascii="Arial" w:hAnsi="Arial" w:cs="Arial"/>
          <w:bCs/>
          <w:iCs/>
          <w:sz w:val="26"/>
          <w:szCs w:val="26"/>
        </w:rPr>
        <w:t xml:space="preserve"> fracci</w:t>
      </w:r>
      <w:r w:rsidR="00FA1BD8" w:rsidRPr="00B66B63">
        <w:rPr>
          <w:rFonts w:ascii="Arial" w:hAnsi="Arial" w:cs="Arial"/>
          <w:bCs/>
          <w:iCs/>
          <w:sz w:val="26"/>
          <w:szCs w:val="26"/>
        </w:rPr>
        <w:t xml:space="preserve">ones </w:t>
      </w:r>
      <w:r w:rsidR="001010D6" w:rsidRPr="00B66B63">
        <w:rPr>
          <w:rFonts w:ascii="Arial" w:hAnsi="Arial" w:cs="Arial"/>
          <w:bCs/>
          <w:iCs/>
          <w:sz w:val="26"/>
          <w:szCs w:val="26"/>
        </w:rPr>
        <w:t>I</w:t>
      </w:r>
      <w:r w:rsidR="00FA1BD8" w:rsidRPr="00B66B63">
        <w:rPr>
          <w:rFonts w:ascii="Arial" w:hAnsi="Arial" w:cs="Arial"/>
          <w:bCs/>
          <w:iCs/>
          <w:sz w:val="26"/>
          <w:szCs w:val="26"/>
        </w:rPr>
        <w:t xml:space="preserve"> y III</w:t>
      </w:r>
      <w:r w:rsidR="001010D6" w:rsidRPr="00B66B63">
        <w:rPr>
          <w:rFonts w:ascii="Arial" w:hAnsi="Arial" w:cs="Arial"/>
          <w:bCs/>
          <w:iCs/>
          <w:sz w:val="26"/>
          <w:szCs w:val="26"/>
        </w:rPr>
        <w:t>, 25 fracción I y 27 de la Ley Orgánica del Tribunal de Justicia Administrativa del Estado de Oaxaca, publicada en el Periódico Oficial del Estado de Oaxaca, el siete de agosto de dos mil veintiuno; así como los diversos</w:t>
      </w:r>
      <w:r w:rsidR="001010D6" w:rsidRPr="00B66B63">
        <w:rPr>
          <w:rFonts w:ascii="Arial" w:hAnsi="Arial" w:cs="Arial"/>
          <w:bCs/>
          <w:iCs/>
          <w:sz w:val="26"/>
          <w:szCs w:val="26"/>
          <w:lang w:eastAsia="es-ES"/>
        </w:rPr>
        <w:t xml:space="preserve"> 125</w:t>
      </w:r>
      <w:r w:rsidR="001010D6" w:rsidRPr="00B66B63">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w:t>
      </w:r>
      <w:r w:rsidR="00696EAE" w:rsidRPr="00B66B63">
        <w:rPr>
          <w:rFonts w:ascii="Arial" w:hAnsi="Arial" w:cs="Arial"/>
          <w:bCs/>
          <w:iCs/>
          <w:sz w:val="26"/>
          <w:szCs w:val="26"/>
        </w:rPr>
        <w:t>de diecisiete de marzo de dos mil veintiuno</w:t>
      </w:r>
      <w:r w:rsidR="001010D6" w:rsidRPr="00B66B63">
        <w:rPr>
          <w:rFonts w:ascii="Arial" w:hAnsi="Arial" w:cs="Arial"/>
          <w:bCs/>
          <w:iCs/>
          <w:sz w:val="26"/>
          <w:szCs w:val="26"/>
        </w:rPr>
        <w:t xml:space="preserve">, dictada por la </w:t>
      </w:r>
      <w:r w:rsidR="00696EAE" w:rsidRPr="00B66B63">
        <w:rPr>
          <w:rFonts w:ascii="Arial" w:hAnsi="Arial" w:cs="Arial"/>
          <w:bCs/>
          <w:iCs/>
          <w:sz w:val="26"/>
          <w:szCs w:val="26"/>
        </w:rPr>
        <w:t>Tercera</w:t>
      </w:r>
      <w:r w:rsidR="001010D6" w:rsidRPr="00B66B63">
        <w:rPr>
          <w:rFonts w:ascii="Arial" w:hAnsi="Arial" w:cs="Arial"/>
          <w:bCs/>
          <w:iCs/>
          <w:sz w:val="26"/>
          <w:szCs w:val="26"/>
        </w:rPr>
        <w:t xml:space="preserve"> Sala Unitaria de Primera Instancia de este Tribunal, en el expediente </w:t>
      </w:r>
      <w:r w:rsidR="00696EAE" w:rsidRPr="00B66B63">
        <w:rPr>
          <w:rFonts w:ascii="Arial" w:hAnsi="Arial" w:cs="Arial"/>
          <w:b/>
          <w:bCs/>
          <w:iCs/>
          <w:sz w:val="26"/>
          <w:szCs w:val="26"/>
        </w:rPr>
        <w:t>0082/2019</w:t>
      </w:r>
      <w:r w:rsidR="001010D6" w:rsidRPr="00B66B63">
        <w:rPr>
          <w:rFonts w:ascii="Arial" w:hAnsi="Arial" w:cs="Arial"/>
          <w:sz w:val="26"/>
          <w:szCs w:val="26"/>
        </w:rPr>
        <w:t xml:space="preserve"> - - - - - - - - - - - - - - - - - - - - - - - - - - - - - - - - - - - - </w:t>
      </w:r>
    </w:p>
    <w:p w14:paraId="640D0340" w14:textId="1E968CF2" w:rsidR="0056581A" w:rsidRPr="00B66B63" w:rsidRDefault="006D1DB2" w:rsidP="00762F3A">
      <w:pPr>
        <w:spacing w:before="120" w:after="0" w:line="360" w:lineRule="auto"/>
        <w:ind w:firstLine="708"/>
        <w:jc w:val="both"/>
        <w:rPr>
          <w:rFonts w:ascii="Arial" w:hAnsi="Arial" w:cs="Arial"/>
          <w:color w:val="000000" w:themeColor="text1"/>
          <w:sz w:val="26"/>
          <w:szCs w:val="26"/>
        </w:rPr>
      </w:pPr>
      <w:r w:rsidRPr="00B66B63">
        <w:rPr>
          <w:rFonts w:ascii="Arial" w:eastAsiaTheme="minorHAnsi" w:hAnsi="Arial" w:cs="Arial"/>
          <w:b/>
          <w:bCs/>
          <w:color w:val="000000" w:themeColor="text1"/>
          <w:sz w:val="26"/>
          <w:szCs w:val="26"/>
          <w:lang w:eastAsia="en-US"/>
        </w:rPr>
        <w:t>SEGUNDO.</w:t>
      </w:r>
      <w:r w:rsidRPr="00B66B63">
        <w:rPr>
          <w:rFonts w:ascii="Arial" w:eastAsia="Calibri" w:hAnsi="Arial" w:cs="Arial"/>
          <w:bCs/>
          <w:color w:val="000000" w:themeColor="text1"/>
          <w:sz w:val="26"/>
          <w:szCs w:val="26"/>
        </w:rPr>
        <w:t xml:space="preserve"> </w:t>
      </w:r>
      <w:r w:rsidR="00646C86" w:rsidRPr="00B66B63">
        <w:rPr>
          <w:rFonts w:ascii="Arial" w:hAnsi="Arial" w:cs="Arial"/>
          <w:bCs/>
          <w:color w:val="000000" w:themeColor="text1"/>
          <w:sz w:val="26"/>
          <w:szCs w:val="26"/>
        </w:rPr>
        <w:t xml:space="preserve">El </w:t>
      </w:r>
      <w:r w:rsidR="0056581A" w:rsidRPr="00B66B63">
        <w:rPr>
          <w:rFonts w:ascii="Arial" w:hAnsi="Arial" w:cs="Arial"/>
          <w:bCs/>
          <w:color w:val="000000" w:themeColor="text1"/>
          <w:sz w:val="26"/>
          <w:szCs w:val="26"/>
        </w:rPr>
        <w:t>agravio hecho valer se encuentra expuesto en el escrito respectivo del recurrente, por lo que no existe necesidad de transcribirlo al no transgredirse derecho alguno, como tampoco se vulnera disposición expresa que imponga tal obligación</w:t>
      </w:r>
      <w:r w:rsidR="0056581A" w:rsidRPr="00B66B63">
        <w:rPr>
          <w:rFonts w:ascii="Arial" w:hAnsi="Arial" w:cs="Arial"/>
          <w:color w:val="000000" w:themeColor="text1"/>
          <w:sz w:val="26"/>
          <w:szCs w:val="26"/>
        </w:rPr>
        <w:t>. En apoyo a lo anterior, se invoca el criterio Jurisprudencial</w:t>
      </w:r>
      <w:r w:rsidR="0056581A" w:rsidRPr="00B66B63">
        <w:rPr>
          <w:rFonts w:ascii="Arial" w:hAnsi="Arial" w:cs="Arial"/>
          <w:bCs/>
          <w:color w:val="000000" w:themeColor="text1"/>
          <w:sz w:val="26"/>
          <w:szCs w:val="26"/>
        </w:rPr>
        <w:t xml:space="preserve"> 2a./J. 58/2010 emitida por </w:t>
      </w:r>
      <w:r w:rsidR="0056581A" w:rsidRPr="00B66B63">
        <w:rPr>
          <w:rFonts w:ascii="Arial" w:hAnsi="Arial" w:cs="Arial"/>
          <w:bCs/>
          <w:color w:val="000000" w:themeColor="text1"/>
          <w:sz w:val="26"/>
          <w:szCs w:val="26"/>
        </w:rPr>
        <w:lastRenderedPageBreak/>
        <w:t>la Segunda Sala de la Suprema Corte de Justicia de la Nación, con número de registro 164618, publicada en la Gaceta del Semanario Judicial de la Federa</w:t>
      </w:r>
      <w:r w:rsidR="00E905B8" w:rsidRPr="00B66B63">
        <w:rPr>
          <w:rFonts w:ascii="Arial" w:hAnsi="Arial" w:cs="Arial"/>
          <w:bCs/>
          <w:color w:val="000000" w:themeColor="text1"/>
          <w:sz w:val="26"/>
          <w:szCs w:val="26"/>
        </w:rPr>
        <w:t>ción, Tomo XXXI, m</w:t>
      </w:r>
      <w:r w:rsidR="0056581A" w:rsidRPr="00B66B63">
        <w:rPr>
          <w:rFonts w:ascii="Arial" w:hAnsi="Arial" w:cs="Arial"/>
          <w:bCs/>
          <w:color w:val="000000" w:themeColor="text1"/>
          <w:sz w:val="26"/>
          <w:szCs w:val="26"/>
        </w:rPr>
        <w:t>ayo de 2010, visible a página 830, Novena Época, bajo el rubro y texto siguiente:</w:t>
      </w:r>
      <w:r w:rsidR="00E905B8" w:rsidRPr="00B66B63">
        <w:rPr>
          <w:rFonts w:ascii="Arial" w:hAnsi="Arial" w:cs="Arial"/>
          <w:bCs/>
          <w:color w:val="000000" w:themeColor="text1"/>
          <w:sz w:val="26"/>
          <w:szCs w:val="26"/>
        </w:rPr>
        <w:t xml:space="preserve">- - - - - - - - - - - - - - - </w:t>
      </w:r>
    </w:p>
    <w:p w14:paraId="1CF25707" w14:textId="61E9F02A" w:rsidR="006D1DB2" w:rsidRPr="00B66B63" w:rsidRDefault="0056581A" w:rsidP="00A82C58">
      <w:pPr>
        <w:spacing w:before="240" w:after="0" w:line="240" w:lineRule="auto"/>
        <w:ind w:left="567" w:right="902"/>
        <w:jc w:val="both"/>
        <w:rPr>
          <w:rFonts w:ascii="Arial" w:eastAsia="Calibri" w:hAnsi="Arial" w:cs="Arial"/>
          <w:bCs/>
          <w:i/>
          <w:color w:val="000000" w:themeColor="text1"/>
        </w:rPr>
      </w:pPr>
      <w:r w:rsidRPr="00B66B63">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66B63">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B66B63">
        <w:rPr>
          <w:rFonts w:ascii="Arial" w:eastAsia="Calibri" w:hAnsi="Arial" w:cs="Arial"/>
          <w:bCs/>
          <w:i/>
          <w:color w:val="000000" w:themeColor="text1"/>
        </w:rPr>
        <w:t>litis</w:t>
      </w:r>
      <w:proofErr w:type="spellEnd"/>
      <w:r w:rsidRPr="00B66B63">
        <w:rPr>
          <w:rFonts w:ascii="Arial" w:eastAsia="Calibri" w:hAnsi="Arial" w:cs="Arial"/>
          <w:bCs/>
          <w:i/>
          <w:color w:val="000000" w:themeColor="text1"/>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703D2BD" w14:textId="43FAC4EC" w:rsidR="00646C86" w:rsidRPr="00B66B63" w:rsidRDefault="006D1DB2" w:rsidP="00A82C58">
      <w:pPr>
        <w:spacing w:before="240" w:after="0" w:line="360" w:lineRule="auto"/>
        <w:ind w:firstLine="709"/>
        <w:jc w:val="both"/>
        <w:rPr>
          <w:rFonts w:ascii="Arial" w:eastAsia="Calibri" w:hAnsi="Arial" w:cs="Arial"/>
          <w:bCs/>
          <w:color w:val="000000" w:themeColor="text1"/>
          <w:sz w:val="26"/>
          <w:szCs w:val="26"/>
          <w:lang w:eastAsia="en-US"/>
        </w:rPr>
      </w:pPr>
      <w:r w:rsidRPr="00B66B63">
        <w:rPr>
          <w:rFonts w:ascii="Arial" w:eastAsia="Calibri" w:hAnsi="Arial" w:cs="Arial"/>
          <w:b/>
          <w:bCs/>
          <w:color w:val="000000" w:themeColor="text1"/>
          <w:sz w:val="26"/>
          <w:szCs w:val="26"/>
        </w:rPr>
        <w:t xml:space="preserve">TERCERO. </w:t>
      </w:r>
      <w:r w:rsidR="00503C7E">
        <w:rPr>
          <w:rFonts w:ascii="Arial" w:eastAsia="Calibri" w:hAnsi="Arial" w:cs="Arial"/>
          <w:bCs/>
          <w:color w:val="000000" w:themeColor="text1"/>
          <w:sz w:val="26"/>
          <w:szCs w:val="26"/>
        </w:rPr>
        <w:t xml:space="preserve">En su </w:t>
      </w:r>
      <w:r w:rsidR="00503C7E" w:rsidRPr="00164DB6">
        <w:rPr>
          <w:rFonts w:ascii="Arial" w:eastAsia="Calibri" w:hAnsi="Arial" w:cs="Arial"/>
          <w:b/>
          <w:bCs/>
          <w:color w:val="000000" w:themeColor="text1"/>
          <w:sz w:val="26"/>
          <w:szCs w:val="26"/>
        </w:rPr>
        <w:t>único</w:t>
      </w:r>
      <w:r w:rsidR="00503C7E">
        <w:rPr>
          <w:rFonts w:ascii="Arial" w:eastAsia="Calibri" w:hAnsi="Arial" w:cs="Arial"/>
          <w:bCs/>
          <w:color w:val="000000" w:themeColor="text1"/>
          <w:sz w:val="26"/>
          <w:szCs w:val="26"/>
        </w:rPr>
        <w:t xml:space="preserve"> agravio, m</w:t>
      </w:r>
      <w:r w:rsidR="00E15DB7" w:rsidRPr="00B66B63">
        <w:rPr>
          <w:rFonts w:ascii="Arial" w:eastAsia="Calibri" w:hAnsi="Arial" w:cs="Arial"/>
          <w:bCs/>
          <w:color w:val="000000" w:themeColor="text1"/>
          <w:sz w:val="26"/>
          <w:szCs w:val="26"/>
          <w:lang w:eastAsia="en-US"/>
        </w:rPr>
        <w:t xml:space="preserve">anifiesta el recurrente que </w:t>
      </w:r>
      <w:r w:rsidR="00A82C58" w:rsidRPr="00B66B63">
        <w:rPr>
          <w:rFonts w:ascii="Arial" w:eastAsia="Calibri" w:hAnsi="Arial" w:cs="Arial"/>
          <w:bCs/>
          <w:color w:val="000000" w:themeColor="text1"/>
          <w:sz w:val="26"/>
          <w:szCs w:val="26"/>
          <w:lang w:eastAsia="en-US"/>
        </w:rPr>
        <w:t xml:space="preserve">la Sala emisora de la sentencia recurrida, no efectúa un análisis exhaustivo de las constancias que integran los autos fuente del acto reclamado, porque sus razonamientos son parciales </w:t>
      </w:r>
      <w:r w:rsidR="006F2E82" w:rsidRPr="00B66B63">
        <w:rPr>
          <w:rFonts w:ascii="Arial" w:eastAsia="Calibri" w:hAnsi="Arial" w:cs="Arial"/>
          <w:bCs/>
          <w:color w:val="000000" w:themeColor="text1"/>
          <w:sz w:val="26"/>
          <w:szCs w:val="26"/>
          <w:lang w:eastAsia="en-US"/>
        </w:rPr>
        <w:t>al no estudiar</w:t>
      </w:r>
      <w:r w:rsidR="00A82C58" w:rsidRPr="00B66B63">
        <w:rPr>
          <w:rFonts w:ascii="Arial" w:eastAsia="Calibri" w:hAnsi="Arial" w:cs="Arial"/>
          <w:bCs/>
          <w:color w:val="000000" w:themeColor="text1"/>
          <w:sz w:val="26"/>
          <w:szCs w:val="26"/>
          <w:lang w:eastAsia="en-US"/>
        </w:rPr>
        <w:t xml:space="preserve"> los argumentos de la autoridad demandada, pues no dice nada al respecto y no especifica con precisión, ni funda ni motiva</w:t>
      </w:r>
      <w:r w:rsidR="006F2E82" w:rsidRPr="00B66B63">
        <w:rPr>
          <w:rFonts w:ascii="Arial" w:eastAsia="Calibri" w:hAnsi="Arial" w:cs="Arial"/>
          <w:bCs/>
          <w:color w:val="000000" w:themeColor="text1"/>
          <w:sz w:val="26"/>
          <w:szCs w:val="26"/>
          <w:lang w:eastAsia="en-US"/>
        </w:rPr>
        <w:t>,</w:t>
      </w:r>
      <w:r w:rsidR="00A82C58" w:rsidRPr="00B66B63">
        <w:rPr>
          <w:rFonts w:ascii="Arial" w:eastAsia="Calibri" w:hAnsi="Arial" w:cs="Arial"/>
          <w:bCs/>
          <w:color w:val="000000" w:themeColor="text1"/>
          <w:sz w:val="26"/>
          <w:szCs w:val="26"/>
          <w:lang w:eastAsia="en-US"/>
        </w:rPr>
        <w:t xml:space="preserve"> porqu</w:t>
      </w:r>
      <w:r w:rsidR="007720F2" w:rsidRPr="00B66B63">
        <w:rPr>
          <w:rFonts w:ascii="Arial" w:eastAsia="Calibri" w:hAnsi="Arial" w:cs="Arial"/>
          <w:bCs/>
          <w:color w:val="000000" w:themeColor="text1"/>
          <w:sz w:val="26"/>
          <w:szCs w:val="26"/>
          <w:lang w:eastAsia="en-US"/>
        </w:rPr>
        <w:t>é</w:t>
      </w:r>
      <w:r w:rsidR="00A82C58" w:rsidRPr="00B66B63">
        <w:rPr>
          <w:rFonts w:ascii="Arial" w:eastAsia="Calibri" w:hAnsi="Arial" w:cs="Arial"/>
          <w:bCs/>
          <w:color w:val="000000" w:themeColor="text1"/>
          <w:sz w:val="26"/>
          <w:szCs w:val="26"/>
          <w:lang w:eastAsia="en-US"/>
        </w:rPr>
        <w:t xml:space="preserve"> llegó a determinar la validez de la resolución dictada el veintiuno de febrero de dos mil diecinueve por el Directo</w:t>
      </w:r>
      <w:r w:rsidR="006A1C2A" w:rsidRPr="00B66B63">
        <w:rPr>
          <w:rFonts w:ascii="Arial" w:eastAsia="Calibri" w:hAnsi="Arial" w:cs="Arial"/>
          <w:bCs/>
          <w:color w:val="000000" w:themeColor="text1"/>
          <w:sz w:val="26"/>
          <w:szCs w:val="26"/>
          <w:lang w:eastAsia="en-US"/>
        </w:rPr>
        <w:t>r</w:t>
      </w:r>
      <w:r w:rsidR="00A82C58" w:rsidRPr="00B66B63">
        <w:rPr>
          <w:rFonts w:ascii="Arial" w:eastAsia="Calibri" w:hAnsi="Arial" w:cs="Arial"/>
          <w:bCs/>
          <w:color w:val="000000" w:themeColor="text1"/>
          <w:sz w:val="26"/>
          <w:szCs w:val="26"/>
          <w:lang w:eastAsia="en-US"/>
        </w:rPr>
        <w:t xml:space="preserve"> de Responsabilidades Administrativas y Situación Patrimonial de la Subsecretaría de Responsabilidades Administrativas y Anticorrupción de la Secretaría de Contraloría y Transparencia Gubernamental del Poder Ejecutivo del Estado de Oaxaca, en la que </w:t>
      </w:r>
      <w:r w:rsidR="006F2E82" w:rsidRPr="00B66B63">
        <w:rPr>
          <w:rFonts w:ascii="Arial" w:eastAsia="Calibri" w:hAnsi="Arial" w:cs="Arial"/>
          <w:bCs/>
          <w:color w:val="000000" w:themeColor="text1"/>
          <w:sz w:val="26"/>
          <w:szCs w:val="26"/>
          <w:lang w:eastAsia="en-US"/>
        </w:rPr>
        <w:t>se</w:t>
      </w:r>
      <w:r w:rsidR="00A82C58" w:rsidRPr="00B66B63">
        <w:rPr>
          <w:rFonts w:ascii="Arial" w:eastAsia="Calibri" w:hAnsi="Arial" w:cs="Arial"/>
          <w:bCs/>
          <w:color w:val="000000" w:themeColor="text1"/>
          <w:sz w:val="26"/>
          <w:szCs w:val="26"/>
          <w:lang w:eastAsia="en-US"/>
        </w:rPr>
        <w:t xml:space="preserve"> </w:t>
      </w:r>
      <w:r w:rsidR="006F2E82" w:rsidRPr="00B66B63">
        <w:rPr>
          <w:rFonts w:ascii="Arial" w:eastAsia="Calibri" w:hAnsi="Arial" w:cs="Arial"/>
          <w:bCs/>
          <w:color w:val="000000" w:themeColor="text1"/>
          <w:sz w:val="26"/>
          <w:szCs w:val="26"/>
          <w:lang w:eastAsia="en-US"/>
        </w:rPr>
        <w:t xml:space="preserve">le </w:t>
      </w:r>
      <w:r w:rsidR="00A82C58" w:rsidRPr="00B66B63">
        <w:rPr>
          <w:rFonts w:ascii="Arial" w:eastAsia="Calibri" w:hAnsi="Arial" w:cs="Arial"/>
          <w:bCs/>
          <w:color w:val="000000" w:themeColor="text1"/>
          <w:sz w:val="26"/>
          <w:szCs w:val="26"/>
          <w:lang w:eastAsia="en-US"/>
        </w:rPr>
        <w:t>impone como sanción administrativa, la inhabilitación por el término de dos años para desempeñar empleos, cargos o comisiones en el servicio público; así como</w:t>
      </w:r>
      <w:r w:rsidR="006F2E82" w:rsidRPr="00B66B63">
        <w:rPr>
          <w:rFonts w:ascii="Arial" w:eastAsia="Calibri" w:hAnsi="Arial" w:cs="Arial"/>
          <w:bCs/>
          <w:color w:val="000000" w:themeColor="text1"/>
          <w:sz w:val="26"/>
          <w:szCs w:val="26"/>
          <w:lang w:eastAsia="en-US"/>
        </w:rPr>
        <w:t>,</w:t>
      </w:r>
      <w:r w:rsidR="00A82C58" w:rsidRPr="00B66B63">
        <w:rPr>
          <w:rFonts w:ascii="Arial" w:eastAsia="Calibri" w:hAnsi="Arial" w:cs="Arial"/>
          <w:bCs/>
          <w:color w:val="000000" w:themeColor="text1"/>
          <w:sz w:val="26"/>
          <w:szCs w:val="26"/>
          <w:lang w:eastAsia="en-US"/>
        </w:rPr>
        <w:t xml:space="preserve"> sanción económica por la cantidad de $</w:t>
      </w:r>
      <w:r w:rsidR="00266B2D">
        <w:rPr>
          <w:rFonts w:ascii="Arial" w:eastAsia="Calibri" w:hAnsi="Arial" w:cs="Arial"/>
          <w:bCs/>
          <w:color w:val="000000" w:themeColor="text1"/>
          <w:sz w:val="26"/>
          <w:szCs w:val="26"/>
          <w:lang w:eastAsia="en-US"/>
        </w:rPr>
        <w:t>*******</w:t>
      </w:r>
      <w:r w:rsidR="00A82C58" w:rsidRPr="00B66B63">
        <w:rPr>
          <w:rFonts w:ascii="Arial" w:eastAsia="Calibri" w:hAnsi="Arial" w:cs="Arial"/>
          <w:bCs/>
          <w:color w:val="000000" w:themeColor="text1"/>
          <w:sz w:val="26"/>
          <w:szCs w:val="26"/>
          <w:lang w:eastAsia="en-US"/>
        </w:rPr>
        <w:t>). - - - - - - - - - - -</w:t>
      </w:r>
      <w:r w:rsidR="006F2E82" w:rsidRPr="00B66B63">
        <w:rPr>
          <w:rFonts w:ascii="Arial" w:eastAsia="Calibri" w:hAnsi="Arial" w:cs="Arial"/>
          <w:bCs/>
          <w:color w:val="000000" w:themeColor="text1"/>
          <w:sz w:val="26"/>
          <w:szCs w:val="26"/>
          <w:lang w:eastAsia="en-US"/>
        </w:rPr>
        <w:t xml:space="preserve"> - - - - - - - - - - - - - - - - - - </w:t>
      </w:r>
      <w:r w:rsidR="00266B2D">
        <w:rPr>
          <w:rFonts w:ascii="Arial" w:eastAsia="Calibri" w:hAnsi="Arial" w:cs="Arial"/>
          <w:bCs/>
          <w:color w:val="000000" w:themeColor="text1"/>
          <w:sz w:val="26"/>
          <w:szCs w:val="26"/>
          <w:lang w:eastAsia="en-US"/>
        </w:rPr>
        <w:t>- - -</w:t>
      </w:r>
    </w:p>
    <w:p w14:paraId="41D23753" w14:textId="06B2D8E8" w:rsidR="00A82C58" w:rsidRPr="00B66B63" w:rsidRDefault="00A82C58" w:rsidP="006F2E82">
      <w:pPr>
        <w:spacing w:before="120" w:after="0" w:line="360" w:lineRule="auto"/>
        <w:ind w:firstLine="709"/>
        <w:jc w:val="both"/>
        <w:rPr>
          <w:rFonts w:ascii="Arial" w:eastAsia="Calibri" w:hAnsi="Arial" w:cs="Arial"/>
          <w:bCs/>
          <w:i/>
          <w:color w:val="000000" w:themeColor="text1"/>
          <w:sz w:val="24"/>
          <w:szCs w:val="24"/>
          <w:lang w:eastAsia="en-US"/>
        </w:rPr>
      </w:pPr>
      <w:r w:rsidRPr="00B66B63">
        <w:rPr>
          <w:rFonts w:ascii="Arial" w:eastAsia="Calibri" w:hAnsi="Arial" w:cs="Arial"/>
          <w:bCs/>
          <w:color w:val="000000" w:themeColor="text1"/>
          <w:sz w:val="26"/>
          <w:szCs w:val="26"/>
          <w:lang w:eastAsia="en-US"/>
        </w:rPr>
        <w:t>Refiere que</w:t>
      </w:r>
      <w:r w:rsidR="006F2E82" w:rsidRPr="00B66B63">
        <w:rPr>
          <w:rFonts w:ascii="Arial" w:eastAsia="Calibri" w:hAnsi="Arial" w:cs="Arial"/>
          <w:bCs/>
          <w:color w:val="000000" w:themeColor="text1"/>
          <w:sz w:val="26"/>
          <w:szCs w:val="26"/>
          <w:lang w:eastAsia="en-US"/>
        </w:rPr>
        <w:t>,</w:t>
      </w:r>
      <w:r w:rsidRPr="00B66B63">
        <w:rPr>
          <w:rFonts w:ascii="Arial" w:eastAsia="Calibri" w:hAnsi="Arial" w:cs="Arial"/>
          <w:bCs/>
          <w:color w:val="000000" w:themeColor="text1"/>
          <w:sz w:val="26"/>
          <w:szCs w:val="26"/>
          <w:lang w:eastAsia="en-US"/>
        </w:rPr>
        <w:t xml:space="preserve"> la Sala de Primera Instancia concluye que los conceptos de impugnación que hizo valer en su demanda </w:t>
      </w:r>
      <w:r w:rsidR="006F2E82" w:rsidRPr="00B66B63">
        <w:rPr>
          <w:rFonts w:ascii="Arial" w:eastAsia="Calibri" w:hAnsi="Arial" w:cs="Arial"/>
          <w:bCs/>
          <w:color w:val="000000" w:themeColor="text1"/>
          <w:sz w:val="26"/>
          <w:szCs w:val="26"/>
          <w:lang w:eastAsia="en-US"/>
        </w:rPr>
        <w:t>resultan inoperantes,</w:t>
      </w:r>
      <w:r w:rsidRPr="00B66B63">
        <w:rPr>
          <w:rFonts w:ascii="Arial" w:eastAsia="Calibri" w:hAnsi="Arial" w:cs="Arial"/>
          <w:bCs/>
          <w:color w:val="000000" w:themeColor="text1"/>
          <w:sz w:val="26"/>
          <w:szCs w:val="26"/>
          <w:lang w:eastAsia="en-US"/>
        </w:rPr>
        <w:t xml:space="preserve"> por supuestamente omitir precisar cuál es la parte de la resolución impugnada que le causa agravios, cuando en su demanda inicial sí quedaron plasmados</w:t>
      </w:r>
      <w:r w:rsidR="009F1139" w:rsidRPr="00B66B63">
        <w:rPr>
          <w:rFonts w:ascii="Arial" w:eastAsia="Calibri" w:hAnsi="Arial" w:cs="Arial"/>
          <w:bCs/>
          <w:color w:val="000000" w:themeColor="text1"/>
          <w:sz w:val="26"/>
          <w:szCs w:val="26"/>
          <w:lang w:eastAsia="en-US"/>
        </w:rPr>
        <w:t>; por tanto, señala que le causa agravi</w:t>
      </w:r>
      <w:r w:rsidR="006A1C2A" w:rsidRPr="00B66B63">
        <w:rPr>
          <w:rFonts w:ascii="Arial" w:eastAsia="Calibri" w:hAnsi="Arial" w:cs="Arial"/>
          <w:bCs/>
          <w:color w:val="000000" w:themeColor="text1"/>
          <w:sz w:val="26"/>
          <w:szCs w:val="26"/>
          <w:lang w:eastAsia="en-US"/>
        </w:rPr>
        <w:t>o</w:t>
      </w:r>
      <w:r w:rsidR="009F1139" w:rsidRPr="00B66B63">
        <w:rPr>
          <w:rFonts w:ascii="Arial" w:eastAsia="Calibri" w:hAnsi="Arial" w:cs="Arial"/>
          <w:bCs/>
          <w:color w:val="000000" w:themeColor="text1"/>
          <w:sz w:val="26"/>
          <w:szCs w:val="26"/>
          <w:lang w:eastAsia="en-US"/>
        </w:rPr>
        <w:t xml:space="preserve"> </w:t>
      </w:r>
      <w:r w:rsidR="009F1139" w:rsidRPr="00B66B63">
        <w:rPr>
          <w:rFonts w:ascii="Arial" w:eastAsia="Calibri" w:hAnsi="Arial" w:cs="Arial"/>
          <w:bCs/>
          <w:color w:val="000000" w:themeColor="text1"/>
          <w:sz w:val="26"/>
          <w:szCs w:val="26"/>
          <w:lang w:eastAsia="en-US"/>
        </w:rPr>
        <w:lastRenderedPageBreak/>
        <w:t>que la A quo no entró al estudio exhaustivo de la sanción administrativa disciplinaria y la sanción económica que le fue</w:t>
      </w:r>
      <w:r w:rsidR="006F2E82" w:rsidRPr="00B66B63">
        <w:rPr>
          <w:rFonts w:ascii="Arial" w:eastAsia="Calibri" w:hAnsi="Arial" w:cs="Arial"/>
          <w:bCs/>
          <w:color w:val="000000" w:themeColor="text1"/>
          <w:sz w:val="26"/>
          <w:szCs w:val="26"/>
          <w:lang w:eastAsia="en-US"/>
        </w:rPr>
        <w:t>ron</w:t>
      </w:r>
      <w:r w:rsidR="009F1139" w:rsidRPr="00B66B63">
        <w:rPr>
          <w:rFonts w:ascii="Arial" w:eastAsia="Calibri" w:hAnsi="Arial" w:cs="Arial"/>
          <w:bCs/>
          <w:color w:val="000000" w:themeColor="text1"/>
          <w:sz w:val="26"/>
          <w:szCs w:val="26"/>
          <w:lang w:eastAsia="en-US"/>
        </w:rPr>
        <w:t xml:space="preserve"> impuestas.- - - - - - - -</w:t>
      </w:r>
      <w:r w:rsidR="009F1139" w:rsidRPr="00B66B63">
        <w:rPr>
          <w:rFonts w:ascii="Arial" w:eastAsia="Calibri" w:hAnsi="Arial" w:cs="Arial"/>
          <w:bCs/>
          <w:color w:val="000000" w:themeColor="text1"/>
          <w:sz w:val="26"/>
          <w:szCs w:val="26"/>
          <w:lang w:eastAsia="en-US"/>
        </w:rPr>
        <w:tab/>
        <w:t xml:space="preserve">De igual forma, indica que la Sala emisora hizo a un lado el imperativo legal contenido en el artículo 206 de la Ley de Procedimiento y Justicia Administrativa para el Estado de Oaxaca, pues dejó de aplicar la suplencia de la deficiencia de la queja planteada en el presente asunto, para </w:t>
      </w:r>
      <w:r w:rsidR="00F321C1" w:rsidRPr="00B66B63">
        <w:rPr>
          <w:rFonts w:ascii="Arial" w:eastAsia="Calibri" w:hAnsi="Arial" w:cs="Arial"/>
          <w:bCs/>
          <w:color w:val="000000" w:themeColor="text1"/>
          <w:sz w:val="26"/>
          <w:szCs w:val="26"/>
          <w:lang w:eastAsia="en-US"/>
        </w:rPr>
        <w:t>insistir</w:t>
      </w:r>
      <w:r w:rsidR="009F1139" w:rsidRPr="00B66B63">
        <w:rPr>
          <w:rFonts w:ascii="Arial" w:eastAsia="Calibri" w:hAnsi="Arial" w:cs="Arial"/>
          <w:bCs/>
          <w:color w:val="000000" w:themeColor="text1"/>
          <w:sz w:val="26"/>
          <w:szCs w:val="26"/>
          <w:lang w:eastAsia="en-US"/>
        </w:rPr>
        <w:t xml:space="preserve"> que </w:t>
      </w:r>
      <w:r w:rsidR="00F321C1" w:rsidRPr="00B66B63">
        <w:rPr>
          <w:rFonts w:ascii="Arial" w:eastAsia="Calibri" w:hAnsi="Arial" w:cs="Arial"/>
          <w:bCs/>
          <w:color w:val="000000" w:themeColor="text1"/>
          <w:sz w:val="26"/>
          <w:szCs w:val="26"/>
          <w:lang w:eastAsia="en-US"/>
        </w:rPr>
        <w:t>no hay</w:t>
      </w:r>
      <w:r w:rsidR="009F1139" w:rsidRPr="00B66B63">
        <w:rPr>
          <w:rFonts w:ascii="Arial" w:eastAsia="Calibri" w:hAnsi="Arial" w:cs="Arial"/>
          <w:bCs/>
          <w:color w:val="000000" w:themeColor="text1"/>
          <w:sz w:val="26"/>
          <w:szCs w:val="26"/>
          <w:lang w:eastAsia="en-US"/>
        </w:rPr>
        <w:t xml:space="preserve"> agravios en el libelo de su demanda, lo cual señala es incongruente, por lo que transgrede el precepto 2, párrafo tercero de la Constitución Política del Estado Libre y Soberano de Oaxaca, que literalmente dice: </w:t>
      </w:r>
      <w:r w:rsidR="009F1139" w:rsidRPr="00B66B63">
        <w:rPr>
          <w:rFonts w:ascii="Arial" w:eastAsia="Calibri" w:hAnsi="Arial" w:cs="Arial"/>
          <w:bCs/>
          <w:i/>
          <w:color w:val="000000" w:themeColor="text1"/>
          <w:sz w:val="24"/>
          <w:szCs w:val="24"/>
          <w:lang w:eastAsia="en-US"/>
        </w:rPr>
        <w:t>“…El Poder Público y sus representantes sólo pueden hacer lo que la Ley les autoriza y deben de hacer lo que la ley les ordena…”- - - - - - - - - - - - - - - - - - - - - - - - - -</w:t>
      </w:r>
      <w:r w:rsidR="00F321C1" w:rsidRPr="00B66B63">
        <w:rPr>
          <w:rFonts w:ascii="Arial" w:eastAsia="Calibri" w:hAnsi="Arial" w:cs="Arial"/>
          <w:bCs/>
          <w:i/>
          <w:color w:val="000000" w:themeColor="text1"/>
          <w:sz w:val="24"/>
          <w:szCs w:val="24"/>
          <w:lang w:eastAsia="en-US"/>
        </w:rPr>
        <w:t xml:space="preserve"> - - - - - - - - - - - - - - - - - - - - - - --</w:t>
      </w:r>
    </w:p>
    <w:p w14:paraId="7FBC40A3" w14:textId="7067AFE1" w:rsidR="001547F0" w:rsidRPr="00B66B63" w:rsidRDefault="00A6491F" w:rsidP="00EE0EF5">
      <w:pPr>
        <w:spacing w:before="120" w:after="0" w:line="360" w:lineRule="auto"/>
        <w:ind w:firstLine="708"/>
        <w:jc w:val="both"/>
        <w:rPr>
          <w:rFonts w:ascii="Arial" w:hAnsi="Arial" w:cs="Arial"/>
          <w:sz w:val="26"/>
          <w:szCs w:val="26"/>
        </w:rPr>
      </w:pPr>
      <w:r w:rsidRPr="00B66B63">
        <w:rPr>
          <w:rFonts w:ascii="Arial" w:hAnsi="Arial" w:cs="Arial"/>
          <w:sz w:val="26"/>
          <w:szCs w:val="26"/>
        </w:rPr>
        <w:t>D</w:t>
      </w:r>
      <w:r w:rsidR="001547F0" w:rsidRPr="00B66B63">
        <w:rPr>
          <w:rFonts w:ascii="Arial" w:hAnsi="Arial" w:cs="Arial"/>
          <w:sz w:val="26"/>
          <w:szCs w:val="26"/>
        </w:rPr>
        <w:t>el</w:t>
      </w:r>
      <w:r w:rsidR="00EE0EF5" w:rsidRPr="00B66B63">
        <w:rPr>
          <w:rFonts w:ascii="Arial" w:hAnsi="Arial" w:cs="Arial"/>
          <w:sz w:val="26"/>
          <w:szCs w:val="26"/>
        </w:rPr>
        <w:t xml:space="preserve"> análisis de las constancias de autos que fueron remitidas para la substanciación del presente asunto con valor probatorio pleno conforme lo dispuesto por el artículo 203</w:t>
      </w:r>
      <w:r w:rsidR="00E05E8C" w:rsidRPr="00B66B63">
        <w:rPr>
          <w:rStyle w:val="Refdenotaalpie"/>
          <w:rFonts w:ascii="Arial" w:hAnsi="Arial" w:cs="Arial"/>
          <w:sz w:val="26"/>
          <w:szCs w:val="26"/>
        </w:rPr>
        <w:footnoteReference w:id="1"/>
      </w:r>
      <w:r w:rsidR="00EE0EF5" w:rsidRPr="00B66B63">
        <w:rPr>
          <w:rFonts w:ascii="Arial" w:hAnsi="Arial" w:cs="Arial"/>
          <w:sz w:val="26"/>
          <w:szCs w:val="26"/>
        </w:rPr>
        <w:t xml:space="preserve">, fracción I de la Ley de Procedimiento y Justicia Administrativa para el Estado de Oaxaca por tratarse de actuaciones judiciales; se advierte </w:t>
      </w:r>
      <w:r w:rsidR="001547F0" w:rsidRPr="00B66B63">
        <w:rPr>
          <w:rFonts w:ascii="Arial" w:hAnsi="Arial" w:cs="Arial"/>
          <w:sz w:val="26"/>
          <w:szCs w:val="26"/>
        </w:rPr>
        <w:t>que la Primera Instancia resolvió lo siguiente:</w:t>
      </w:r>
    </w:p>
    <w:p w14:paraId="66E81730" w14:textId="1637FAB3" w:rsidR="00EE0EF5" w:rsidRPr="00B66B63" w:rsidRDefault="00EE0EF5" w:rsidP="001547F0">
      <w:pPr>
        <w:spacing w:after="120" w:line="360" w:lineRule="auto"/>
        <w:ind w:left="851" w:right="760" w:firstLine="284"/>
        <w:jc w:val="both"/>
        <w:rPr>
          <w:rFonts w:ascii="Arial" w:eastAsia="Calibri" w:hAnsi="Arial" w:cs="Arial"/>
          <w:bCs/>
          <w:i/>
          <w:color w:val="000000" w:themeColor="text1"/>
          <w:lang w:eastAsia="en-US"/>
        </w:rPr>
      </w:pPr>
      <w:r w:rsidRPr="00B66B63">
        <w:rPr>
          <w:rFonts w:ascii="Arial" w:eastAsia="Calibri" w:hAnsi="Arial" w:cs="Arial"/>
          <w:bCs/>
          <w:i/>
          <w:color w:val="000000" w:themeColor="text1"/>
          <w:lang w:eastAsia="en-US"/>
        </w:rPr>
        <w:t>‘’</w:t>
      </w:r>
      <w:r w:rsidR="001547F0" w:rsidRPr="00B66B63">
        <w:rPr>
          <w:rFonts w:ascii="Arial" w:eastAsia="Calibri" w:hAnsi="Arial" w:cs="Arial"/>
          <w:b/>
          <w:bCs/>
          <w:i/>
          <w:color w:val="000000" w:themeColor="text1"/>
          <w:lang w:eastAsia="en-US"/>
        </w:rPr>
        <w:t xml:space="preserve">SEXTO.- </w:t>
      </w:r>
      <w:r w:rsidR="001547F0" w:rsidRPr="00B66B63">
        <w:rPr>
          <w:rFonts w:ascii="Arial" w:eastAsia="Calibri" w:hAnsi="Arial" w:cs="Arial"/>
          <w:bCs/>
          <w:i/>
          <w:color w:val="000000" w:themeColor="text1"/>
          <w:lang w:eastAsia="en-US"/>
        </w:rPr>
        <w:t>El actor en este asunto, expresó únicamente un concepto de impugnación, argumentando que la resolución impugnada no está debidamente fundada y motivada, pues no se ajusta a lo prescrito en los artículos 14 y 16 de la Constitución Política de los Estados Unidos Mexicanos, y que la autoridad demandada no practicó todas las diligencias tendientes a investigar la presunta responsabilidad que se le atribuyó, violentando las formalidades esenciales del procedimiento.</w:t>
      </w:r>
    </w:p>
    <w:p w14:paraId="433512D8" w14:textId="76838803" w:rsidR="001547F0" w:rsidRPr="00B66B63" w:rsidRDefault="001547F0" w:rsidP="001547F0">
      <w:pPr>
        <w:spacing w:after="120" w:line="360" w:lineRule="auto"/>
        <w:ind w:left="851" w:right="760" w:firstLine="284"/>
        <w:jc w:val="both"/>
        <w:rPr>
          <w:rFonts w:ascii="Arial" w:eastAsia="Calibri" w:hAnsi="Arial" w:cs="Arial"/>
          <w:bCs/>
          <w:i/>
          <w:color w:val="000000" w:themeColor="text1"/>
          <w:lang w:eastAsia="en-US"/>
        </w:rPr>
      </w:pPr>
      <w:r w:rsidRPr="00B66B63">
        <w:rPr>
          <w:rFonts w:ascii="Arial" w:eastAsia="Calibri" w:hAnsi="Arial" w:cs="Arial"/>
          <w:bCs/>
          <w:i/>
          <w:color w:val="000000" w:themeColor="text1"/>
          <w:lang w:eastAsia="en-US"/>
        </w:rPr>
        <w:t xml:space="preserve">Ahora bien, el máximo Tribunal del País, ha considerado, que de acuerdo con la conceptualización que han desarrollado diversos juristas de la doctrina moderna, respecto de los elemento de la causa </w:t>
      </w:r>
      <w:proofErr w:type="spellStart"/>
      <w:r w:rsidRPr="00B66B63">
        <w:rPr>
          <w:rFonts w:ascii="Arial" w:eastAsia="Calibri" w:hAnsi="Arial" w:cs="Arial"/>
          <w:bCs/>
          <w:i/>
          <w:color w:val="000000" w:themeColor="text1"/>
          <w:lang w:eastAsia="en-US"/>
        </w:rPr>
        <w:t>petendi</w:t>
      </w:r>
      <w:proofErr w:type="spellEnd"/>
      <w:r w:rsidRPr="00B66B63">
        <w:rPr>
          <w:rFonts w:ascii="Arial" w:eastAsia="Calibri" w:hAnsi="Arial" w:cs="Arial"/>
          <w:bCs/>
          <w:i/>
          <w:color w:val="000000" w:themeColor="text1"/>
          <w:lang w:eastAsia="en-US"/>
        </w:rPr>
        <w:t xml:space="preserve">, se colige que ésta se compone de un hecho y un razonamiento con el que se explique la legalidad aducida; que </w:t>
      </w:r>
      <w:r w:rsidRPr="00B66B63">
        <w:rPr>
          <w:rFonts w:ascii="Arial" w:eastAsia="Calibri" w:hAnsi="Arial" w:cs="Arial"/>
          <w:b/>
          <w:bCs/>
          <w:i/>
          <w:color w:val="000000" w:themeColor="text1"/>
          <w:lang w:eastAsia="en-US"/>
        </w:rPr>
        <w:t xml:space="preserve">la causa de pedir no implica, </w:t>
      </w:r>
      <w:r w:rsidRPr="00B66B63">
        <w:rPr>
          <w:rFonts w:ascii="Arial" w:eastAsia="Calibri" w:hAnsi="Arial" w:cs="Arial"/>
          <w:bCs/>
          <w:i/>
          <w:color w:val="000000" w:themeColor="text1"/>
          <w:lang w:eastAsia="en-US"/>
        </w:rPr>
        <w:t xml:space="preserve">que los quejosos o recurrentes pueden limitarse a realizar meras afirmaciones sin sustento o fundamento, pues a ellos corresponde exponer, razonadamente, por qué estiman inconstitucionales o ilegales los actos que reclaman o recurren; que conforme a lo que autores destacados han expuesto, se establece que un razonamiento jurídico, presupone algún problema o cuestión </w:t>
      </w:r>
      <w:r w:rsidRPr="00B66B63">
        <w:rPr>
          <w:rFonts w:ascii="Arial" w:eastAsia="Calibri" w:hAnsi="Arial" w:cs="Arial"/>
          <w:bCs/>
          <w:i/>
          <w:color w:val="000000" w:themeColor="text1"/>
          <w:lang w:eastAsia="en-US"/>
        </w:rPr>
        <w:lastRenderedPageBreak/>
        <w:t xml:space="preserve">al cual, mediantes las distintas formas interpretativas o argumentativas que proporciona la lógica formal, material o pragmática, se alcanza una respuesta a partir de inferencias obtenidas de las premisa o juicios dados (hechos y fundamento). Lo que, trasladado al campo judicial, es específico, a los motivos de inconformidad, un verdadero razonamiento (independientemente del modelo argumentativo que se utilice), se traduce a la mínima necesidad de explicar </w:t>
      </w:r>
      <w:r w:rsidR="00F67FA1" w:rsidRPr="00B66B63">
        <w:rPr>
          <w:rFonts w:ascii="Arial" w:eastAsia="Calibri" w:hAnsi="Arial" w:cs="Arial"/>
          <w:bCs/>
          <w:i/>
          <w:color w:val="000000" w:themeColor="text1"/>
          <w:lang w:eastAsia="en-US"/>
        </w:rPr>
        <w:t xml:space="preserve">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w:t>
      </w:r>
      <w:r w:rsidR="00F67FA1" w:rsidRPr="00B66B63">
        <w:rPr>
          <w:rFonts w:ascii="Arial" w:eastAsia="Calibri" w:hAnsi="Arial" w:cs="Arial"/>
          <w:b/>
          <w:bCs/>
          <w:i/>
          <w:color w:val="000000" w:themeColor="text1"/>
          <w:lang w:eastAsia="en-US"/>
        </w:rPr>
        <w:t xml:space="preserve">debe calificarse como inoperante; </w:t>
      </w:r>
      <w:r w:rsidR="00F67FA1" w:rsidRPr="00B66B63">
        <w:rPr>
          <w:rFonts w:ascii="Arial" w:eastAsia="Calibri" w:hAnsi="Arial" w:cs="Arial"/>
          <w:bCs/>
          <w:i/>
          <w:color w:val="000000" w:themeColor="text1"/>
          <w:lang w:eastAsia="en-US"/>
        </w:rPr>
        <w:t>sin que sea dable entrar a su estudio so pretexto de la causa de pedir, ya que ésta se conforma de la expresión de un hecho concreto y un razonamiento, entendido en la que el quejoso o recurrente</w:t>
      </w:r>
      <w:r w:rsidRPr="00B66B63">
        <w:rPr>
          <w:rFonts w:ascii="Arial" w:eastAsia="Calibri" w:hAnsi="Arial" w:cs="Arial"/>
          <w:bCs/>
          <w:i/>
          <w:color w:val="000000" w:themeColor="text1"/>
          <w:lang w:eastAsia="en-US"/>
        </w:rPr>
        <w:t xml:space="preserve"> </w:t>
      </w:r>
      <w:r w:rsidR="00F67FA1" w:rsidRPr="00B66B63">
        <w:rPr>
          <w:rFonts w:ascii="Arial" w:eastAsia="Calibri" w:hAnsi="Arial" w:cs="Arial"/>
          <w:bCs/>
          <w:i/>
          <w:color w:val="000000" w:themeColor="text1"/>
          <w:lang w:eastAsia="en-US"/>
        </w:rPr>
        <w:t xml:space="preserve">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(2011038) (sic); situación que ocurre en el presente asunto, en el que </w:t>
      </w:r>
      <w:r w:rsidR="00F67FA1" w:rsidRPr="00B66B63">
        <w:rPr>
          <w:rFonts w:ascii="Arial" w:eastAsia="Calibri" w:hAnsi="Arial" w:cs="Arial"/>
          <w:b/>
          <w:bCs/>
          <w:i/>
          <w:color w:val="000000" w:themeColor="text1"/>
          <w:lang w:eastAsia="en-US"/>
        </w:rPr>
        <w:t xml:space="preserve">los agravios expuestos por el actor en los conceptos de impugnación de su escrito de demanda, resultan inoperantes, </w:t>
      </w:r>
      <w:r w:rsidR="00F67FA1" w:rsidRPr="00B66B63">
        <w:rPr>
          <w:rFonts w:ascii="Arial" w:eastAsia="Calibri" w:hAnsi="Arial" w:cs="Arial"/>
          <w:bCs/>
          <w:i/>
          <w:color w:val="000000" w:themeColor="text1"/>
          <w:lang w:eastAsia="en-US"/>
        </w:rPr>
        <w:t xml:space="preserve">pues el actor </w:t>
      </w:r>
      <w:r w:rsidR="00266B2D">
        <w:rPr>
          <w:rFonts w:ascii="Arial" w:eastAsia="Calibri" w:hAnsi="Arial" w:cs="Arial"/>
          <w:bCs/>
          <w:i/>
          <w:color w:val="000000" w:themeColor="text1"/>
          <w:lang w:eastAsia="en-US"/>
        </w:rPr>
        <w:t>*******</w:t>
      </w:r>
      <w:r w:rsidR="00F67FA1" w:rsidRPr="00B66B63">
        <w:rPr>
          <w:rFonts w:ascii="Arial" w:eastAsia="Calibri" w:hAnsi="Arial" w:cs="Arial"/>
          <w:bCs/>
          <w:i/>
          <w:color w:val="000000" w:themeColor="text1"/>
          <w:lang w:eastAsia="en-US"/>
        </w:rPr>
        <w:t>, omitió precisar, cuál es la parte de la resolución impugnada que le causa agravio, citar el precepto legal violado y explicar el concepto por el cual fu</w:t>
      </w:r>
      <w:r w:rsidR="006A1C2A" w:rsidRPr="00B66B63">
        <w:rPr>
          <w:rFonts w:ascii="Arial" w:eastAsia="Calibri" w:hAnsi="Arial" w:cs="Arial"/>
          <w:bCs/>
          <w:i/>
          <w:color w:val="000000" w:themeColor="text1"/>
          <w:lang w:eastAsia="en-US"/>
        </w:rPr>
        <w:t>e</w:t>
      </w:r>
      <w:r w:rsidR="00F67FA1" w:rsidRPr="00B66B63">
        <w:rPr>
          <w:rFonts w:ascii="Arial" w:eastAsia="Calibri" w:hAnsi="Arial" w:cs="Arial"/>
          <w:bCs/>
          <w:i/>
          <w:color w:val="000000" w:themeColor="text1"/>
          <w:lang w:eastAsia="en-US"/>
        </w:rPr>
        <w:t xml:space="preserve"> infringido,  pues únicamente se limitó a expresar que la resolución impugnada se aparta de los designios de los artículos 14 y 16 de la Constitución Política de los Estados Unidos Mexicanos, sin expresar las razones que lo llevan a esa conclusión, confrontando los argumentos plasmadas (sic) por la autoridad demandada en la resolución impugnada; y a argumentar que en el procedimiento administrativo iniciado en su contra, no se practicaron todas las diligencias tendientes a la investigación de su presunta responsabilidad, sin explicar cuáles son esas diligencias, y en que normatividad se establecen.</w:t>
      </w:r>
    </w:p>
    <w:p w14:paraId="5585A19E" w14:textId="09A93EB6" w:rsidR="001547F0" w:rsidRPr="00B66B63" w:rsidRDefault="00DE40B7" w:rsidP="009D4277">
      <w:pPr>
        <w:spacing w:after="120" w:line="360" w:lineRule="auto"/>
        <w:ind w:left="851" w:right="760" w:firstLine="284"/>
        <w:jc w:val="both"/>
        <w:rPr>
          <w:rFonts w:ascii="Arial" w:eastAsia="Calibri" w:hAnsi="Arial" w:cs="Arial"/>
          <w:bCs/>
          <w:i/>
          <w:color w:val="000000" w:themeColor="text1"/>
          <w:lang w:eastAsia="en-US"/>
        </w:rPr>
      </w:pPr>
      <w:r w:rsidRPr="00B66B63">
        <w:rPr>
          <w:rFonts w:ascii="Arial" w:eastAsia="Calibri" w:hAnsi="Arial" w:cs="Arial"/>
          <w:bCs/>
          <w:i/>
          <w:color w:val="000000" w:themeColor="text1"/>
          <w:lang w:eastAsia="en-US"/>
        </w:rPr>
        <w:t xml:space="preserve">Ante lo inoperante de los agravios esgrimidos por el actor, </w:t>
      </w:r>
      <w:r w:rsidRPr="00B66B63">
        <w:rPr>
          <w:rFonts w:ascii="Arial" w:eastAsia="Calibri" w:hAnsi="Arial" w:cs="Arial"/>
          <w:b/>
          <w:bCs/>
          <w:i/>
          <w:color w:val="000000" w:themeColor="text1"/>
          <w:lang w:eastAsia="en-US"/>
        </w:rPr>
        <w:t xml:space="preserve">las razones y fundamentos legales plasmados </w:t>
      </w:r>
      <w:r w:rsidRPr="00B66B63">
        <w:rPr>
          <w:rFonts w:ascii="Arial" w:eastAsia="Calibri" w:hAnsi="Arial" w:cs="Arial"/>
          <w:bCs/>
          <w:i/>
          <w:color w:val="000000" w:themeColor="text1"/>
          <w:lang w:eastAsia="en-US"/>
        </w:rPr>
        <w:t xml:space="preserve">en la resolución dictada con fecha veintiuno de febrero de dos mil diecinueve </w:t>
      </w:r>
      <w:r w:rsidRPr="00B66B63">
        <w:rPr>
          <w:rFonts w:ascii="Arial" w:eastAsia="Calibri" w:hAnsi="Arial" w:cs="Arial"/>
          <w:bCs/>
          <w:i/>
          <w:color w:val="000000" w:themeColor="text1"/>
          <w:lang w:eastAsia="en-US"/>
        </w:rPr>
        <w:lastRenderedPageBreak/>
        <w:t xml:space="preserve">(21/02/2019), por el Director de Responsabilidades Administrativas y Situación Patrimonial, de la Subsecretaría de Responsabilidades Administrativas y Anticorrupción, de la Secretaría de </w:t>
      </w:r>
      <w:r w:rsidR="009D4277" w:rsidRPr="00B66B63">
        <w:rPr>
          <w:rFonts w:ascii="Arial" w:eastAsia="Calibri" w:hAnsi="Arial" w:cs="Arial"/>
          <w:bCs/>
          <w:i/>
          <w:color w:val="000000" w:themeColor="text1"/>
          <w:lang w:eastAsia="en-US"/>
        </w:rPr>
        <w:t>C</w:t>
      </w:r>
      <w:r w:rsidRPr="00B66B63">
        <w:rPr>
          <w:rFonts w:ascii="Arial" w:eastAsia="Calibri" w:hAnsi="Arial" w:cs="Arial"/>
          <w:bCs/>
          <w:i/>
          <w:color w:val="000000" w:themeColor="text1"/>
          <w:lang w:eastAsia="en-US"/>
        </w:rPr>
        <w:t xml:space="preserve">ontraloría y Transparencia Gubernamental del </w:t>
      </w:r>
      <w:r w:rsidR="009D4277" w:rsidRPr="00B66B63">
        <w:rPr>
          <w:rFonts w:ascii="Arial" w:eastAsia="Calibri" w:hAnsi="Arial" w:cs="Arial"/>
          <w:bCs/>
          <w:i/>
          <w:color w:val="000000" w:themeColor="text1"/>
          <w:lang w:eastAsia="en-US"/>
        </w:rPr>
        <w:t>G</w:t>
      </w:r>
      <w:r w:rsidRPr="00B66B63">
        <w:rPr>
          <w:rFonts w:ascii="Arial" w:eastAsia="Calibri" w:hAnsi="Arial" w:cs="Arial"/>
          <w:bCs/>
          <w:i/>
          <w:color w:val="000000" w:themeColor="text1"/>
          <w:lang w:eastAsia="en-US"/>
        </w:rPr>
        <w:t xml:space="preserve">obierno del Estado de Oaxaca, en el expediente administrativo </w:t>
      </w:r>
      <w:r w:rsidR="00266B2D">
        <w:rPr>
          <w:rFonts w:ascii="Arial" w:eastAsia="Calibri" w:hAnsi="Arial" w:cs="Arial"/>
          <w:bCs/>
          <w:i/>
          <w:color w:val="000000" w:themeColor="text1"/>
          <w:lang w:eastAsia="en-US"/>
        </w:rPr>
        <w:t>*******</w:t>
      </w:r>
      <w:r w:rsidRPr="00B66B63">
        <w:rPr>
          <w:rFonts w:ascii="Arial" w:eastAsia="Calibri" w:hAnsi="Arial" w:cs="Arial"/>
          <w:bCs/>
          <w:i/>
          <w:color w:val="000000" w:themeColor="text1"/>
          <w:lang w:eastAsia="en-US"/>
        </w:rPr>
        <w:t xml:space="preserve">, que lo llevaron a determinar que el actor </w:t>
      </w:r>
      <w:r w:rsidR="00266B2D">
        <w:rPr>
          <w:rFonts w:ascii="Arial" w:eastAsia="Calibri" w:hAnsi="Arial" w:cs="Arial"/>
          <w:bCs/>
          <w:i/>
          <w:color w:val="000000" w:themeColor="text1"/>
          <w:lang w:eastAsia="en-US"/>
        </w:rPr>
        <w:t>*******</w:t>
      </w:r>
      <w:r w:rsidRPr="00B66B63">
        <w:rPr>
          <w:rFonts w:ascii="Arial" w:eastAsia="Calibri" w:hAnsi="Arial" w:cs="Arial"/>
          <w:bCs/>
          <w:i/>
          <w:color w:val="000000" w:themeColor="text1"/>
          <w:lang w:eastAsia="en-US"/>
        </w:rPr>
        <w:t>, del uno de enero de dos mil trece (01/01/2013), a diciembre de dos mil quince (12/20/2015), percibió al mismo tiempo remuneraciones económicas en dos instituciones públicas, como son la Procuraduría de la Defensa del Indígena del Estado de Oaxaca, y en el Instituto Estatal de Educación Pública de Oaxaca, y con ello se hizo acreedor a una sanción económica, consistente en la inhabilitación para desempeñar un empleo, cargo o comisión al servicio del Estado o Municipios de Oaxaca, por el periodo de dos años, además de la sanción económica por la cantidad de $</w:t>
      </w:r>
      <w:r w:rsidR="00266B2D">
        <w:rPr>
          <w:rFonts w:ascii="Arial" w:eastAsia="Calibri" w:hAnsi="Arial" w:cs="Arial"/>
          <w:bCs/>
          <w:i/>
          <w:color w:val="000000" w:themeColor="text1"/>
          <w:lang w:eastAsia="en-US"/>
        </w:rPr>
        <w:t>*******</w:t>
      </w:r>
      <w:r w:rsidRPr="00B66B63">
        <w:rPr>
          <w:rFonts w:ascii="Arial" w:eastAsia="Calibri" w:hAnsi="Arial" w:cs="Arial"/>
          <w:bCs/>
          <w:i/>
          <w:color w:val="000000" w:themeColor="text1"/>
          <w:lang w:eastAsia="en-US"/>
        </w:rPr>
        <w:t xml:space="preserve">), </w:t>
      </w:r>
      <w:r w:rsidRPr="00B66B63">
        <w:rPr>
          <w:rFonts w:ascii="Arial" w:eastAsia="Calibri" w:hAnsi="Arial" w:cs="Arial"/>
          <w:b/>
          <w:bCs/>
          <w:i/>
          <w:color w:val="000000" w:themeColor="text1"/>
          <w:lang w:eastAsia="en-US"/>
        </w:rPr>
        <w:t xml:space="preserve">no fueron confrontados en este juicio por el actor, con argumentos jurídicos y eficaces que lograran su destrucción, </w:t>
      </w:r>
      <w:r w:rsidRPr="00B66B63">
        <w:rPr>
          <w:rFonts w:ascii="Arial" w:eastAsia="Calibri" w:hAnsi="Arial" w:cs="Arial"/>
          <w:bCs/>
          <w:i/>
          <w:color w:val="000000" w:themeColor="text1"/>
          <w:lang w:eastAsia="en-US"/>
        </w:rPr>
        <w:t xml:space="preserve">y si bien es cierto, el artículo 206 de la Ley de Procedimiento y Justicia Administrativa para el Estado de Oaxaca, dispone que al pronunciar sentencia, esta instancia debe suplir la deficiencia de la queja planteada por el actor en su demanda, siempre y cuando de los hechos narrados se deduzca el agravio, lo cierto es, que este Juzgador no advierte de los hechos narrados por el actor en el escrito de demanda, agravios que pudieran ser sujetos de suplencia de la deficiencia de la queja en su favor, pues en dicho apartado de la demanda (“HECHOS QUE CONSTITUYEN LOS ANTECEDENTES DE LA DEMANDA”.), el actor únicamente manifestó que fue sujeto del procedimiento administrativo de responsabilidad </w:t>
      </w:r>
      <w:r w:rsidR="00266B2D">
        <w:rPr>
          <w:rFonts w:ascii="Arial" w:eastAsia="Calibri" w:hAnsi="Arial" w:cs="Arial"/>
          <w:bCs/>
          <w:i/>
          <w:color w:val="000000" w:themeColor="text1"/>
          <w:lang w:eastAsia="en-US"/>
        </w:rPr>
        <w:t>*******</w:t>
      </w:r>
      <w:r w:rsidRPr="00B66B63">
        <w:rPr>
          <w:rFonts w:ascii="Arial" w:eastAsia="Calibri" w:hAnsi="Arial" w:cs="Arial"/>
          <w:bCs/>
          <w:i/>
          <w:color w:val="000000" w:themeColor="text1"/>
          <w:lang w:eastAsia="en-US"/>
        </w:rPr>
        <w:t xml:space="preserve">, que se tramitó ante la Dirección </w:t>
      </w:r>
      <w:r w:rsidR="009D4277" w:rsidRPr="00B66B63">
        <w:rPr>
          <w:rFonts w:ascii="Arial" w:eastAsia="Calibri" w:hAnsi="Arial" w:cs="Arial"/>
          <w:bCs/>
          <w:i/>
          <w:color w:val="000000" w:themeColor="text1"/>
          <w:lang w:eastAsia="en-US"/>
        </w:rPr>
        <w:t xml:space="preserve">de Responsabilidades Administrativas y Anticorrupción,  de la Subsecretaría de Responsabilidades Administrativas y Anticorrupción, de la Secretaría de Contraloría y Transparencia Gubernamental del Gobierno del Poder Ejecutivo del Estado de Oaxaca, y que en el resolutivo segundo de la resolución impugnada, se le impuso un sanción económica;  consecuentemente, ante lo inoperantes de los conceptos de impugnación expuestos por el actor, y la inexistencia de los agravios que se adviertan de los hechos narrados en el escrito de demanda, que permitan suplir la deficiencia de la queja en su favor, se declara la </w:t>
      </w:r>
      <w:r w:rsidR="009D4277" w:rsidRPr="00B66B63">
        <w:rPr>
          <w:rFonts w:ascii="Arial" w:eastAsia="Calibri" w:hAnsi="Arial" w:cs="Arial"/>
          <w:b/>
          <w:bCs/>
          <w:i/>
          <w:color w:val="000000" w:themeColor="text1"/>
          <w:lang w:eastAsia="en-US"/>
        </w:rPr>
        <w:t xml:space="preserve">VALIDEZ </w:t>
      </w:r>
      <w:r w:rsidR="009D4277" w:rsidRPr="00B66B63">
        <w:rPr>
          <w:rFonts w:ascii="Arial" w:eastAsia="Calibri" w:hAnsi="Arial" w:cs="Arial"/>
          <w:bCs/>
          <w:i/>
          <w:color w:val="000000" w:themeColor="text1"/>
          <w:lang w:eastAsia="en-US"/>
        </w:rPr>
        <w:t xml:space="preserve">de la resolución dictada con fecha veintiuno de febrero de dos mil diecinueve (21/02/2019), por el Director de Responsabilidades Administrativas y Anticorrupción,  de la Subsecretaría de Responsabilidades Administrativas y Anticorrupción, de la Secretaría de Contraloría y Transparencia Gubernamental del Gobierno del Poder Ejecutivo del Estado de Oaxaca, en el expediente administrativo </w:t>
      </w:r>
      <w:r w:rsidR="00266B2D">
        <w:rPr>
          <w:rFonts w:ascii="Arial" w:eastAsia="Calibri" w:hAnsi="Arial" w:cs="Arial"/>
          <w:bCs/>
          <w:i/>
          <w:color w:val="000000" w:themeColor="text1"/>
          <w:lang w:eastAsia="en-US"/>
        </w:rPr>
        <w:t>*******</w:t>
      </w:r>
      <w:r w:rsidR="009D4277" w:rsidRPr="00B66B63">
        <w:rPr>
          <w:rFonts w:ascii="Arial" w:eastAsia="Calibri" w:hAnsi="Arial" w:cs="Arial"/>
          <w:bCs/>
          <w:i/>
          <w:color w:val="000000" w:themeColor="text1"/>
          <w:lang w:eastAsia="en-US"/>
        </w:rPr>
        <w:t xml:space="preserve">, de conformidad con </w:t>
      </w:r>
      <w:r w:rsidR="009D4277" w:rsidRPr="00B66B63">
        <w:rPr>
          <w:rFonts w:ascii="Arial" w:eastAsia="Calibri" w:hAnsi="Arial" w:cs="Arial"/>
          <w:bCs/>
          <w:i/>
          <w:color w:val="000000" w:themeColor="text1"/>
          <w:lang w:eastAsia="en-US"/>
        </w:rPr>
        <w:lastRenderedPageBreak/>
        <w:t>lo dispuesto en el artículo 209 de la Ley de Procedimiento y Justicia Administrativa para el Estado de Oaxaca. Sirve de aployo a lo anterior, las Jurisprudencia con datos de identificación. Gaceta del Semanario Judicial de la Federación Libro 22, Septiembre de 2015, Tomo III, Décima Época, pág. 1683, registro 2010038, Jurisprudencia común, Tribunales Colegiados de Circuito, de rubro: “CONCEPTOS O AGRAVIOS INPERANTES, QUÉ DEBE ENTENDERSE POR “RAZONAMIENTO” COMO COMPONENTE DE LA CAUSA DE PEDIR PARA QUE PROCEDA SU ESTUDIO”.</w:t>
      </w:r>
    </w:p>
    <w:p w14:paraId="12CAF2B9" w14:textId="7B45B162" w:rsidR="009D4277" w:rsidRPr="00B66B63" w:rsidRDefault="009D4277" w:rsidP="009D4277">
      <w:pPr>
        <w:spacing w:after="120" w:line="360" w:lineRule="auto"/>
        <w:ind w:left="851" w:right="760" w:firstLine="284"/>
        <w:jc w:val="both"/>
        <w:rPr>
          <w:rFonts w:ascii="Arial" w:eastAsia="Calibri" w:hAnsi="Arial" w:cs="Arial"/>
          <w:bCs/>
          <w:i/>
          <w:color w:val="000000" w:themeColor="text1"/>
          <w:lang w:eastAsia="en-US"/>
        </w:rPr>
      </w:pPr>
      <w:r w:rsidRPr="00B66B63">
        <w:rPr>
          <w:rFonts w:ascii="Arial" w:eastAsia="Calibri" w:hAnsi="Arial" w:cs="Arial"/>
          <w:bCs/>
          <w:i/>
          <w:color w:val="000000" w:themeColor="text1"/>
          <w:lang w:eastAsia="en-US"/>
        </w:rPr>
        <w:t>Apéndice de 2011, Tomo II. Procesal Constitucional 1. Común Segunda Parte-TCC Segunda Sección-Improcedencia y sobreseimiento, Novena Época, p</w:t>
      </w:r>
      <w:r w:rsidR="008614B0" w:rsidRPr="00B66B63">
        <w:rPr>
          <w:rFonts w:ascii="Arial" w:eastAsia="Calibri" w:hAnsi="Arial" w:cs="Arial"/>
          <w:bCs/>
          <w:i/>
          <w:color w:val="000000" w:themeColor="text1"/>
          <w:lang w:eastAsia="en-US"/>
        </w:rPr>
        <w:t>ág. 2080</w:t>
      </w:r>
      <w:r w:rsidR="009D4290" w:rsidRPr="00B66B63">
        <w:rPr>
          <w:rFonts w:ascii="Arial" w:eastAsia="Calibri" w:hAnsi="Arial" w:cs="Arial"/>
          <w:bCs/>
          <w:i/>
          <w:color w:val="000000" w:themeColor="text1"/>
          <w:lang w:eastAsia="en-US"/>
        </w:rPr>
        <w:t>, registro 1003712, Jurisprudencia Común, Tribunales Colegiados de Circuito de rubro: “CONCEPTOS DE VIOLACIÓN O AGRAVIOS SON INOPERANTES CUANDO LOS ARGUMENTOS EXPUESTOS POR EL QUEJOSO O EL RECURRENTE SON AMBIGUOS Y SUPERFICIALES.” y,</w:t>
      </w:r>
    </w:p>
    <w:p w14:paraId="4493F5B3" w14:textId="25064C2D" w:rsidR="009D4290" w:rsidRPr="00B66B63" w:rsidRDefault="009D4290" w:rsidP="009D4277">
      <w:pPr>
        <w:spacing w:after="120" w:line="360" w:lineRule="auto"/>
        <w:ind w:left="851" w:right="760" w:firstLine="284"/>
        <w:jc w:val="both"/>
        <w:rPr>
          <w:rFonts w:ascii="Arial" w:hAnsi="Arial" w:cs="Arial"/>
          <w:bCs/>
          <w:color w:val="000000" w:themeColor="text1"/>
          <w:sz w:val="26"/>
          <w:szCs w:val="26"/>
        </w:rPr>
      </w:pPr>
      <w:r w:rsidRPr="00B66B63">
        <w:rPr>
          <w:rFonts w:ascii="Arial" w:eastAsia="Calibri" w:hAnsi="Arial" w:cs="Arial"/>
          <w:bCs/>
          <w:i/>
          <w:color w:val="000000" w:themeColor="text1"/>
          <w:lang w:eastAsia="en-US"/>
        </w:rPr>
        <w:t>Apéndice de 1995, Tomo VI, Parte SCJN, Octava Época pág. 23, registro 393992, Jurisprudencia Común, Tercera Sala, de rubro: “AGRAVIOS INOPERANTES. LO SON AQUELLOS QUE NO COMBATEN LAS CONSIDERACIONES DE LA SENTENCIA RECURRIDA Y NO SE DA NINGUNO DE LOS SUPUESTOS DE SUPLENCIA DE LA DEFICIENCIA DE LOS MISMOS.”</w:t>
      </w:r>
    </w:p>
    <w:p w14:paraId="2FB1A8A5" w14:textId="0F003812" w:rsidR="00E825FF" w:rsidRPr="00B66B63" w:rsidRDefault="00A6491F" w:rsidP="0056149F">
      <w:pPr>
        <w:spacing w:before="120" w:after="0" w:line="360" w:lineRule="auto"/>
        <w:ind w:firstLine="708"/>
        <w:jc w:val="both"/>
        <w:rPr>
          <w:rFonts w:ascii="Arial" w:hAnsi="Arial" w:cs="Arial"/>
          <w:sz w:val="26"/>
          <w:szCs w:val="26"/>
        </w:rPr>
      </w:pPr>
      <w:r w:rsidRPr="00B66B63">
        <w:rPr>
          <w:rFonts w:ascii="Arial" w:eastAsia="Calibri" w:hAnsi="Arial" w:cs="Arial"/>
          <w:bCs/>
          <w:sz w:val="26"/>
          <w:szCs w:val="26"/>
        </w:rPr>
        <w:t xml:space="preserve">Resulta </w:t>
      </w:r>
      <w:r w:rsidRPr="00B66B63">
        <w:rPr>
          <w:rFonts w:ascii="Arial" w:eastAsia="Calibri" w:hAnsi="Arial" w:cs="Arial"/>
          <w:b/>
          <w:bCs/>
          <w:sz w:val="26"/>
          <w:szCs w:val="26"/>
        </w:rPr>
        <w:t xml:space="preserve">FUNDADO </w:t>
      </w:r>
      <w:r w:rsidRPr="00B66B63">
        <w:rPr>
          <w:rFonts w:ascii="Arial" w:eastAsia="Calibri" w:hAnsi="Arial" w:cs="Arial"/>
          <w:bCs/>
          <w:sz w:val="26"/>
          <w:szCs w:val="26"/>
        </w:rPr>
        <w:t xml:space="preserve">el agravio en estudio, </w:t>
      </w:r>
      <w:r w:rsidRPr="00B66B63">
        <w:rPr>
          <w:rFonts w:ascii="Arial" w:hAnsi="Arial" w:cs="Arial"/>
          <w:sz w:val="26"/>
          <w:szCs w:val="26"/>
        </w:rPr>
        <w:t>en razón de que</w:t>
      </w:r>
      <w:r w:rsidR="006F5F55" w:rsidRPr="00B66B63">
        <w:rPr>
          <w:rFonts w:ascii="Arial" w:hAnsi="Arial" w:cs="Arial"/>
          <w:sz w:val="26"/>
          <w:szCs w:val="26"/>
        </w:rPr>
        <w:t xml:space="preserve"> si bien </w:t>
      </w:r>
      <w:r w:rsidR="007A71A7" w:rsidRPr="00B66B63">
        <w:rPr>
          <w:rFonts w:ascii="Arial" w:hAnsi="Arial" w:cs="Arial"/>
          <w:sz w:val="26"/>
          <w:szCs w:val="26"/>
        </w:rPr>
        <w:t>c</w:t>
      </w:r>
      <w:r w:rsidR="0056149F" w:rsidRPr="00B66B63">
        <w:rPr>
          <w:rFonts w:ascii="Arial" w:hAnsi="Arial" w:cs="Arial"/>
          <w:sz w:val="26"/>
          <w:szCs w:val="26"/>
        </w:rPr>
        <w:t>onforme al principio d</w:t>
      </w:r>
      <w:r w:rsidR="007A71A7" w:rsidRPr="00B66B63">
        <w:rPr>
          <w:rFonts w:ascii="Arial" w:hAnsi="Arial" w:cs="Arial"/>
          <w:sz w:val="26"/>
          <w:szCs w:val="26"/>
        </w:rPr>
        <w:t>e</w:t>
      </w:r>
      <w:r w:rsidR="0056149F" w:rsidRPr="00B66B63">
        <w:rPr>
          <w:rFonts w:ascii="Arial" w:hAnsi="Arial" w:cs="Arial"/>
          <w:sz w:val="26"/>
          <w:szCs w:val="26"/>
        </w:rPr>
        <w:t xml:space="preserve"> estricto derecho que rige el juicio contencioso administrativo, la controversia debe resolverse de acuerdo con los planteami</w:t>
      </w:r>
      <w:r w:rsidR="007A71A7" w:rsidRPr="00B66B63">
        <w:rPr>
          <w:rFonts w:ascii="Arial" w:hAnsi="Arial" w:cs="Arial"/>
          <w:sz w:val="26"/>
          <w:szCs w:val="26"/>
        </w:rPr>
        <w:t xml:space="preserve">entos formulados por las partes; </w:t>
      </w:r>
      <w:r w:rsidR="006F5F55" w:rsidRPr="00B66B63">
        <w:rPr>
          <w:rFonts w:ascii="Arial" w:hAnsi="Arial" w:cs="Arial"/>
          <w:sz w:val="26"/>
          <w:szCs w:val="26"/>
        </w:rPr>
        <w:t>sin embargo, de conformidad con lo establecido en el artículo 206</w:t>
      </w:r>
      <w:r w:rsidR="006F5F55" w:rsidRPr="00B66B63">
        <w:rPr>
          <w:rStyle w:val="Refdenotaalpie"/>
          <w:rFonts w:ascii="Arial" w:hAnsi="Arial" w:cs="Arial"/>
          <w:sz w:val="26"/>
          <w:szCs w:val="26"/>
        </w:rPr>
        <w:footnoteReference w:id="2"/>
      </w:r>
      <w:r w:rsidR="006F5F55" w:rsidRPr="00B66B63">
        <w:rPr>
          <w:rFonts w:ascii="Arial" w:hAnsi="Arial" w:cs="Arial"/>
          <w:sz w:val="26"/>
          <w:szCs w:val="26"/>
        </w:rPr>
        <w:t xml:space="preserve"> de la Ley de Procedimiento y Justicia Administrativa para el Estado de Oaxaca,</w:t>
      </w:r>
      <w:r w:rsidR="00434AF0" w:rsidRPr="00B66B63">
        <w:rPr>
          <w:rFonts w:ascii="Arial" w:hAnsi="Arial" w:cs="Arial"/>
          <w:sz w:val="26"/>
          <w:szCs w:val="26"/>
        </w:rPr>
        <w:t xml:space="preserve"> </w:t>
      </w:r>
      <w:r w:rsidR="00661A37" w:rsidRPr="00B66B63">
        <w:rPr>
          <w:rFonts w:ascii="Arial" w:hAnsi="Arial" w:cs="Arial"/>
          <w:sz w:val="26"/>
          <w:szCs w:val="26"/>
        </w:rPr>
        <w:t>la Sala de Primera Instancia pued</w:t>
      </w:r>
      <w:r w:rsidR="006A1C2A" w:rsidRPr="00B66B63">
        <w:rPr>
          <w:rFonts w:ascii="Arial" w:hAnsi="Arial" w:cs="Arial"/>
          <w:sz w:val="26"/>
          <w:szCs w:val="26"/>
        </w:rPr>
        <w:t>e</w:t>
      </w:r>
      <w:r w:rsidR="00661A37" w:rsidRPr="00B66B63">
        <w:rPr>
          <w:rFonts w:ascii="Arial" w:hAnsi="Arial" w:cs="Arial"/>
          <w:sz w:val="26"/>
          <w:szCs w:val="26"/>
        </w:rPr>
        <w:t xml:space="preserve"> proceder a la suplencia de la deficiencia de la queja planteada por el actor en su demanda</w:t>
      </w:r>
      <w:r w:rsidR="007720F2" w:rsidRPr="00B66B63">
        <w:rPr>
          <w:rFonts w:ascii="Arial" w:hAnsi="Arial" w:cs="Arial"/>
          <w:sz w:val="26"/>
          <w:szCs w:val="26"/>
        </w:rPr>
        <w:t>,</w:t>
      </w:r>
      <w:r w:rsidR="00661A37" w:rsidRPr="00B66B63">
        <w:rPr>
          <w:rFonts w:ascii="Arial" w:hAnsi="Arial" w:cs="Arial"/>
          <w:sz w:val="26"/>
          <w:szCs w:val="26"/>
        </w:rPr>
        <w:t xml:space="preserve"> </w:t>
      </w:r>
      <w:r w:rsidR="00434AF0" w:rsidRPr="00B66B63">
        <w:rPr>
          <w:rFonts w:ascii="Arial" w:hAnsi="Arial" w:cs="Arial"/>
          <w:sz w:val="26"/>
          <w:szCs w:val="26"/>
        </w:rPr>
        <w:t xml:space="preserve">siempre y cuando de los hechos </w:t>
      </w:r>
      <w:r w:rsidR="005B6E06" w:rsidRPr="00B66B63">
        <w:rPr>
          <w:rFonts w:ascii="Arial" w:hAnsi="Arial" w:cs="Arial"/>
          <w:sz w:val="26"/>
          <w:szCs w:val="26"/>
        </w:rPr>
        <w:t xml:space="preserve">narrados se deduzca el agravio, resolviendo el juicio considerando la </w:t>
      </w:r>
      <w:r w:rsidR="00661A37" w:rsidRPr="00B66B63">
        <w:rPr>
          <w:rFonts w:ascii="Arial" w:hAnsi="Arial" w:cs="Arial"/>
          <w:sz w:val="26"/>
          <w:szCs w:val="26"/>
        </w:rPr>
        <w:t>causa de pedir,</w:t>
      </w:r>
      <w:r w:rsidR="005B6E06" w:rsidRPr="00B66B63">
        <w:rPr>
          <w:rFonts w:ascii="Arial" w:hAnsi="Arial" w:cs="Arial"/>
          <w:sz w:val="26"/>
          <w:szCs w:val="26"/>
        </w:rPr>
        <w:t xml:space="preserve"> deducido de los hechos narrados en la </w:t>
      </w:r>
      <w:r w:rsidR="00E825FF" w:rsidRPr="00B66B63">
        <w:rPr>
          <w:rFonts w:ascii="Arial" w:hAnsi="Arial" w:cs="Arial"/>
          <w:sz w:val="26"/>
          <w:szCs w:val="26"/>
        </w:rPr>
        <w:t>demanda</w:t>
      </w:r>
      <w:r w:rsidR="005B6E06" w:rsidRPr="00B66B63">
        <w:rPr>
          <w:rFonts w:ascii="Arial" w:hAnsi="Arial" w:cs="Arial"/>
          <w:sz w:val="26"/>
          <w:szCs w:val="26"/>
        </w:rPr>
        <w:t xml:space="preserve"> y</w:t>
      </w:r>
      <w:r w:rsidR="00E825FF" w:rsidRPr="00B66B63">
        <w:rPr>
          <w:rFonts w:ascii="Arial" w:hAnsi="Arial" w:cs="Arial"/>
          <w:sz w:val="26"/>
          <w:szCs w:val="26"/>
        </w:rPr>
        <w:t xml:space="preserve"> que </w:t>
      </w:r>
      <w:r w:rsidR="007A71A7" w:rsidRPr="00B66B63">
        <w:rPr>
          <w:rFonts w:ascii="Arial" w:hAnsi="Arial" w:cs="Arial"/>
          <w:sz w:val="26"/>
          <w:szCs w:val="26"/>
        </w:rPr>
        <w:t>derive</w:t>
      </w:r>
      <w:r w:rsidR="00E825FF" w:rsidRPr="00B66B63">
        <w:rPr>
          <w:rFonts w:ascii="Arial" w:hAnsi="Arial" w:cs="Arial"/>
          <w:sz w:val="26"/>
          <w:szCs w:val="26"/>
        </w:rPr>
        <w:t xml:space="preserve"> el agravio ocasiona por la resolución impugnada.- - - - - - </w:t>
      </w:r>
      <w:r w:rsidR="007A71A7" w:rsidRPr="00B66B63">
        <w:rPr>
          <w:rFonts w:ascii="Arial" w:hAnsi="Arial" w:cs="Arial"/>
          <w:sz w:val="26"/>
          <w:szCs w:val="26"/>
        </w:rPr>
        <w:t>- - -</w:t>
      </w:r>
      <w:r w:rsidR="005B6E06" w:rsidRPr="00B66B63">
        <w:rPr>
          <w:rFonts w:ascii="Arial" w:hAnsi="Arial" w:cs="Arial"/>
          <w:sz w:val="26"/>
          <w:szCs w:val="26"/>
        </w:rPr>
        <w:t xml:space="preserve"> - - -</w:t>
      </w:r>
    </w:p>
    <w:p w14:paraId="27CBBAD7" w14:textId="039F92B8" w:rsidR="00133D3A" w:rsidRPr="00B66B63" w:rsidRDefault="00133D3A" w:rsidP="007B1E08">
      <w:pPr>
        <w:autoSpaceDE w:val="0"/>
        <w:autoSpaceDN w:val="0"/>
        <w:adjustRightInd w:val="0"/>
        <w:spacing w:before="120" w:after="0" w:line="360" w:lineRule="auto"/>
        <w:ind w:firstLine="708"/>
        <w:jc w:val="both"/>
        <w:rPr>
          <w:rFonts w:ascii="Arial" w:hAnsi="Arial" w:cs="Arial"/>
          <w:color w:val="000000"/>
          <w:sz w:val="26"/>
          <w:szCs w:val="26"/>
        </w:rPr>
      </w:pPr>
      <w:r w:rsidRPr="00B66B63">
        <w:rPr>
          <w:rFonts w:ascii="Arial" w:hAnsi="Arial" w:cs="Arial"/>
          <w:color w:val="000000"/>
          <w:sz w:val="26"/>
          <w:szCs w:val="26"/>
        </w:rPr>
        <w:t xml:space="preserve">Tratándose de la suplencia de la queja deficiente, la Suprema Corte de Justicia de la Nación señala que pueden ocurrir dos situaciones: </w:t>
      </w:r>
      <w:r w:rsidRPr="00B66B63">
        <w:rPr>
          <w:rFonts w:ascii="Arial" w:hAnsi="Arial" w:cs="Arial"/>
          <w:i/>
          <w:color w:val="000000"/>
        </w:rPr>
        <w:t>“</w:t>
      </w:r>
      <w:r w:rsidRPr="00B66B63">
        <w:rPr>
          <w:rFonts w:ascii="Arial" w:hAnsi="Arial" w:cs="Arial"/>
          <w:b/>
          <w:i/>
          <w:color w:val="000000"/>
        </w:rPr>
        <w:t>1.</w:t>
      </w:r>
      <w:r w:rsidRPr="00B66B63">
        <w:rPr>
          <w:rFonts w:ascii="Arial" w:hAnsi="Arial" w:cs="Arial"/>
          <w:i/>
          <w:color w:val="000000"/>
        </w:rPr>
        <w:t xml:space="preserve"> Que sí existan motivos de disconformidad, dirigidos a mostrar la ilegalidad de la resolución que se recurre, pero que no son totalmente idóneos,</w:t>
      </w:r>
      <w:r w:rsidR="007B1E08" w:rsidRPr="00B66B63">
        <w:rPr>
          <w:rFonts w:ascii="Arial" w:hAnsi="Arial" w:cs="Arial"/>
          <w:i/>
          <w:color w:val="000000"/>
        </w:rPr>
        <w:t xml:space="preserve"> </w:t>
      </w:r>
      <w:r w:rsidRPr="00B66B63">
        <w:rPr>
          <w:rFonts w:ascii="Arial" w:hAnsi="Arial" w:cs="Arial"/>
          <w:i/>
          <w:color w:val="000000"/>
        </w:rPr>
        <w:t xml:space="preserve">en fundamentos y motivos, para llevar a conceder la protección constitucional, o </w:t>
      </w:r>
      <w:r w:rsidRPr="00B66B63">
        <w:rPr>
          <w:rFonts w:ascii="Arial" w:hAnsi="Arial" w:cs="Arial"/>
          <w:i/>
          <w:color w:val="000000"/>
        </w:rPr>
        <w:lastRenderedPageBreak/>
        <w:t>modificar o revocar</w:t>
      </w:r>
      <w:r w:rsidR="007B1E08" w:rsidRPr="00B66B63">
        <w:rPr>
          <w:rFonts w:ascii="Arial" w:hAnsi="Arial" w:cs="Arial"/>
          <w:i/>
          <w:color w:val="000000"/>
        </w:rPr>
        <w:t xml:space="preserve"> </w:t>
      </w:r>
      <w:r w:rsidRPr="00B66B63">
        <w:rPr>
          <w:rFonts w:ascii="Arial" w:hAnsi="Arial" w:cs="Arial"/>
          <w:i/>
          <w:color w:val="000000"/>
        </w:rPr>
        <w:t xml:space="preserve">la resolución recurrida; y, </w:t>
      </w:r>
      <w:r w:rsidRPr="00B66B63">
        <w:rPr>
          <w:rFonts w:ascii="Arial" w:hAnsi="Arial" w:cs="Arial"/>
          <w:b/>
          <w:i/>
          <w:color w:val="000000"/>
        </w:rPr>
        <w:t>2.</w:t>
      </w:r>
      <w:r w:rsidRPr="00B66B63">
        <w:rPr>
          <w:rFonts w:ascii="Arial" w:hAnsi="Arial" w:cs="Arial"/>
          <w:i/>
          <w:color w:val="000000"/>
        </w:rPr>
        <w:t xml:space="preserve"> Que no exista algún planteamiento que el órgano jurisdiccional, como la</w:t>
      </w:r>
      <w:r w:rsidR="007B1E08" w:rsidRPr="00B66B63">
        <w:rPr>
          <w:rFonts w:ascii="Arial" w:hAnsi="Arial" w:cs="Arial"/>
          <w:i/>
          <w:color w:val="000000"/>
        </w:rPr>
        <w:t xml:space="preserve"> </w:t>
      </w:r>
      <w:r w:rsidRPr="00B66B63">
        <w:rPr>
          <w:rFonts w:ascii="Arial" w:hAnsi="Arial" w:cs="Arial"/>
          <w:i/>
          <w:color w:val="000000"/>
        </w:rPr>
        <w:t>autoridad encargada de aplicar el derecho, tiene conocimiento que llevaría a conceder la protección</w:t>
      </w:r>
      <w:r w:rsidR="007B1E08" w:rsidRPr="00B66B63">
        <w:rPr>
          <w:rFonts w:ascii="Arial" w:hAnsi="Arial" w:cs="Arial"/>
          <w:i/>
          <w:color w:val="000000"/>
        </w:rPr>
        <w:t xml:space="preserve"> </w:t>
      </w:r>
      <w:r w:rsidRPr="00B66B63">
        <w:rPr>
          <w:rFonts w:ascii="Arial" w:hAnsi="Arial" w:cs="Arial"/>
          <w:i/>
          <w:color w:val="000000"/>
        </w:rPr>
        <w:t>constitucional, a modificar o a revocar la resolución recurrida, en los supuestos que marca la propia</w:t>
      </w:r>
      <w:r w:rsidR="007B1E08" w:rsidRPr="00B66B63">
        <w:rPr>
          <w:rFonts w:ascii="Arial" w:hAnsi="Arial" w:cs="Arial"/>
          <w:i/>
          <w:color w:val="000000"/>
        </w:rPr>
        <w:t xml:space="preserve"> </w:t>
      </w:r>
      <w:r w:rsidRPr="00B66B63">
        <w:rPr>
          <w:rFonts w:ascii="Arial" w:hAnsi="Arial" w:cs="Arial"/>
          <w:i/>
          <w:color w:val="000000"/>
        </w:rPr>
        <w:t>Ley de Amparo, por haberse violado, en perjuicio de la parte quejosa o recurrente, las normas</w:t>
      </w:r>
      <w:r w:rsidR="007B1E08" w:rsidRPr="00B66B63">
        <w:rPr>
          <w:rFonts w:ascii="Arial" w:hAnsi="Arial" w:cs="Arial"/>
          <w:i/>
          <w:color w:val="000000"/>
        </w:rPr>
        <w:t xml:space="preserve"> </w:t>
      </w:r>
      <w:r w:rsidRPr="00B66B63">
        <w:rPr>
          <w:rFonts w:ascii="Arial" w:hAnsi="Arial" w:cs="Arial"/>
          <w:i/>
          <w:color w:val="000000"/>
        </w:rPr>
        <w:t>constitucionales o legales, sustantivas o adjetivas, que llevaron a transgredir sus derechos.</w:t>
      </w:r>
      <w:r w:rsidR="007B1E08" w:rsidRPr="00B66B63">
        <w:rPr>
          <w:rFonts w:ascii="Arial" w:hAnsi="Arial" w:cs="Arial"/>
          <w:i/>
          <w:color w:val="000000"/>
        </w:rPr>
        <w:t xml:space="preserve">” </w:t>
      </w:r>
      <w:r w:rsidR="007B1E08" w:rsidRPr="00B66B63">
        <w:rPr>
          <w:rFonts w:ascii="Arial" w:hAnsi="Arial" w:cs="Arial"/>
          <w:color w:val="000000"/>
          <w:sz w:val="26"/>
          <w:szCs w:val="26"/>
        </w:rPr>
        <w:t xml:space="preserve">Señalando que en </w:t>
      </w:r>
      <w:r w:rsidRPr="00B66B63">
        <w:rPr>
          <w:rFonts w:ascii="Arial" w:hAnsi="Arial" w:cs="Arial"/>
          <w:color w:val="000000"/>
          <w:sz w:val="26"/>
          <w:szCs w:val="26"/>
        </w:rPr>
        <w:t xml:space="preserve">el primer caso, el órgano jurisdiccional deberá integrar lo que le faltó al </w:t>
      </w:r>
      <w:r w:rsidR="007B1E08" w:rsidRPr="00B66B63">
        <w:rPr>
          <w:rFonts w:ascii="Arial" w:hAnsi="Arial" w:cs="Arial"/>
          <w:color w:val="000000"/>
          <w:sz w:val="26"/>
          <w:szCs w:val="26"/>
        </w:rPr>
        <w:t>actor</w:t>
      </w:r>
      <w:r w:rsidRPr="00B66B63">
        <w:rPr>
          <w:rFonts w:ascii="Arial" w:hAnsi="Arial" w:cs="Arial"/>
          <w:color w:val="000000"/>
          <w:sz w:val="26"/>
          <w:szCs w:val="26"/>
        </w:rPr>
        <w:t>, esto es, a los conceptos de violación, en tanto que en el segundo,</w:t>
      </w:r>
      <w:r w:rsidR="007B1E08" w:rsidRPr="00B66B63">
        <w:rPr>
          <w:rFonts w:ascii="Arial" w:hAnsi="Arial" w:cs="Arial"/>
          <w:color w:val="000000"/>
          <w:sz w:val="26"/>
          <w:szCs w:val="26"/>
        </w:rPr>
        <w:t xml:space="preserve"> </w:t>
      </w:r>
      <w:r w:rsidRPr="00B66B63">
        <w:rPr>
          <w:rFonts w:ascii="Arial" w:hAnsi="Arial" w:cs="Arial"/>
          <w:color w:val="000000"/>
          <w:sz w:val="26"/>
          <w:szCs w:val="26"/>
        </w:rPr>
        <w:t>deberá remediar la carencia total de una disconformidad que le beneficiaría.</w:t>
      </w:r>
      <w:r w:rsidR="007B1E08" w:rsidRPr="00B66B63">
        <w:rPr>
          <w:rFonts w:ascii="Arial" w:hAnsi="Arial" w:cs="Arial"/>
          <w:color w:val="000000"/>
          <w:sz w:val="26"/>
          <w:szCs w:val="26"/>
        </w:rPr>
        <w:t>- - - - - - - - - - - - - - - - - - - - - -</w:t>
      </w:r>
    </w:p>
    <w:p w14:paraId="1E4F9C05" w14:textId="3CD78D75" w:rsidR="00DC3C7C" w:rsidRPr="00B66B63" w:rsidRDefault="00DC3C7C" w:rsidP="007B1E08">
      <w:pPr>
        <w:autoSpaceDE w:val="0"/>
        <w:autoSpaceDN w:val="0"/>
        <w:adjustRightInd w:val="0"/>
        <w:spacing w:before="120" w:after="0" w:line="360" w:lineRule="auto"/>
        <w:ind w:firstLine="708"/>
        <w:jc w:val="both"/>
        <w:rPr>
          <w:rFonts w:ascii="Arial" w:hAnsi="Arial" w:cs="Arial"/>
          <w:color w:val="000000"/>
          <w:sz w:val="26"/>
          <w:szCs w:val="26"/>
        </w:rPr>
      </w:pPr>
      <w:r w:rsidRPr="00B66B63">
        <w:rPr>
          <w:rFonts w:ascii="Arial" w:hAnsi="Arial" w:cs="Arial"/>
          <w:color w:val="000000"/>
          <w:sz w:val="26"/>
          <w:szCs w:val="26"/>
        </w:rPr>
        <w:t xml:space="preserve">En el presente asunto, se </w:t>
      </w:r>
      <w:r w:rsidRPr="0095617E">
        <w:rPr>
          <w:rFonts w:ascii="Arial" w:hAnsi="Arial" w:cs="Arial"/>
          <w:color w:val="000000"/>
          <w:sz w:val="26"/>
          <w:szCs w:val="26"/>
        </w:rPr>
        <w:t xml:space="preserve">da el </w:t>
      </w:r>
      <w:r w:rsidR="00FB6D3A" w:rsidRPr="0095617E">
        <w:rPr>
          <w:rFonts w:ascii="Arial" w:hAnsi="Arial" w:cs="Arial"/>
          <w:color w:val="000000"/>
          <w:sz w:val="26"/>
          <w:szCs w:val="26"/>
        </w:rPr>
        <w:t>primer</w:t>
      </w:r>
      <w:r w:rsidRPr="0095617E">
        <w:rPr>
          <w:rFonts w:ascii="Arial" w:hAnsi="Arial" w:cs="Arial"/>
          <w:color w:val="000000"/>
          <w:sz w:val="26"/>
          <w:szCs w:val="26"/>
        </w:rPr>
        <w:t xml:space="preserve"> supuesto</w:t>
      </w:r>
      <w:r w:rsidR="00D21906" w:rsidRPr="0095617E">
        <w:rPr>
          <w:rFonts w:ascii="Arial" w:hAnsi="Arial" w:cs="Arial"/>
          <w:color w:val="000000"/>
          <w:sz w:val="26"/>
          <w:szCs w:val="26"/>
        </w:rPr>
        <w:t>,</w:t>
      </w:r>
      <w:r w:rsidRPr="0095617E">
        <w:rPr>
          <w:rFonts w:ascii="Arial" w:hAnsi="Arial" w:cs="Arial"/>
          <w:color w:val="000000"/>
          <w:sz w:val="26"/>
          <w:szCs w:val="26"/>
        </w:rPr>
        <w:t xml:space="preserve"> dado que el concepto de impugnación que efectúa </w:t>
      </w:r>
      <w:r w:rsidR="00266B2D">
        <w:rPr>
          <w:rFonts w:ascii="Arial" w:hAnsi="Arial" w:cs="Arial"/>
          <w:b/>
          <w:color w:val="000000"/>
          <w:sz w:val="26"/>
          <w:szCs w:val="26"/>
        </w:rPr>
        <w:t>*******</w:t>
      </w:r>
      <w:r w:rsidRPr="0095617E">
        <w:rPr>
          <w:rFonts w:ascii="Arial" w:hAnsi="Arial" w:cs="Arial"/>
          <w:b/>
          <w:color w:val="000000"/>
          <w:sz w:val="26"/>
          <w:szCs w:val="26"/>
        </w:rPr>
        <w:t xml:space="preserve"> </w:t>
      </w:r>
      <w:r w:rsidRPr="0095617E">
        <w:rPr>
          <w:rFonts w:ascii="Arial" w:hAnsi="Arial" w:cs="Arial"/>
          <w:color w:val="000000"/>
          <w:sz w:val="26"/>
          <w:szCs w:val="26"/>
        </w:rPr>
        <w:t>en su demanda de nulidad, únicamente señaló lo siguiente:- - - - - - - - - - - - - -</w:t>
      </w:r>
      <w:r w:rsidR="00266B2D">
        <w:rPr>
          <w:rFonts w:ascii="Arial" w:hAnsi="Arial" w:cs="Arial"/>
          <w:color w:val="000000"/>
          <w:sz w:val="26"/>
          <w:szCs w:val="26"/>
        </w:rPr>
        <w:t xml:space="preserve"> - - - - - - - - - - - - - - - </w:t>
      </w:r>
    </w:p>
    <w:p w14:paraId="5CADD2B0" w14:textId="7C790A9C" w:rsidR="00DC3C7C" w:rsidRPr="00B66B63" w:rsidRDefault="00DC3C7C" w:rsidP="00DC3C7C">
      <w:pPr>
        <w:autoSpaceDE w:val="0"/>
        <w:autoSpaceDN w:val="0"/>
        <w:adjustRightInd w:val="0"/>
        <w:spacing w:before="120" w:after="0" w:line="360" w:lineRule="auto"/>
        <w:ind w:left="851" w:right="900"/>
        <w:jc w:val="both"/>
        <w:rPr>
          <w:rFonts w:ascii="Arial" w:hAnsi="Arial" w:cs="Arial"/>
          <w:b/>
          <w:i/>
          <w:color w:val="000000"/>
        </w:rPr>
      </w:pPr>
      <w:r w:rsidRPr="00B66B63">
        <w:rPr>
          <w:rFonts w:ascii="Arial" w:hAnsi="Arial" w:cs="Arial"/>
          <w:color w:val="000000"/>
          <w:sz w:val="26"/>
          <w:szCs w:val="26"/>
        </w:rPr>
        <w:t xml:space="preserve"> </w:t>
      </w:r>
      <w:r w:rsidRPr="00B66B63">
        <w:rPr>
          <w:rFonts w:ascii="Arial" w:hAnsi="Arial" w:cs="Arial"/>
          <w:i/>
          <w:color w:val="000000"/>
        </w:rPr>
        <w:t>“</w:t>
      </w:r>
      <w:r w:rsidR="005D4DEB" w:rsidRPr="00B66B63">
        <w:rPr>
          <w:rFonts w:ascii="Arial" w:hAnsi="Arial" w:cs="Arial"/>
          <w:b/>
          <w:i/>
          <w:color w:val="000000"/>
        </w:rPr>
        <w:t>VIII. CONCEPTOS DE IMPUGNACIÓN.</w:t>
      </w:r>
    </w:p>
    <w:p w14:paraId="63D84FC4" w14:textId="7BE965FE" w:rsidR="005D4DEB" w:rsidRPr="00B66B63" w:rsidRDefault="005D4DEB" w:rsidP="005D4DEB">
      <w:pPr>
        <w:autoSpaceDE w:val="0"/>
        <w:autoSpaceDN w:val="0"/>
        <w:adjustRightInd w:val="0"/>
        <w:spacing w:after="0" w:line="240" w:lineRule="auto"/>
        <w:ind w:left="851" w:right="902"/>
        <w:jc w:val="both"/>
        <w:rPr>
          <w:rFonts w:ascii="Arial" w:hAnsi="Arial" w:cs="Arial"/>
          <w:i/>
          <w:color w:val="000000"/>
        </w:rPr>
      </w:pPr>
      <w:r w:rsidRPr="00B66B63">
        <w:rPr>
          <w:rFonts w:ascii="Arial" w:hAnsi="Arial" w:cs="Arial"/>
          <w:i/>
          <w:color w:val="000000"/>
        </w:rPr>
        <w:t xml:space="preserve">La Resolución impugnada fue expedida sin estar debidamente fundada ni motivada, toda vez que de acuerdo a lo señalado por el artículo 16 de la Constitución Política de los Estados Unidos Mexicanos, todo acto de molestia emitido por la autoridad competente debe de estar fundado y motivado, toda vez que de forma ilegal me impone la </w:t>
      </w:r>
      <w:r w:rsidRPr="00B66B63">
        <w:rPr>
          <w:rFonts w:ascii="Arial" w:hAnsi="Arial" w:cs="Arial"/>
          <w:b/>
          <w:i/>
          <w:color w:val="000000"/>
        </w:rPr>
        <w:t>inhabilitación por el término de dos años, para desempeñar empleos, cargos o comisiones en el servicio público. Así como Sanción Económica por la cantidad de $</w:t>
      </w:r>
      <w:r w:rsidR="00266B2D">
        <w:rPr>
          <w:rFonts w:ascii="Arial" w:hAnsi="Arial" w:cs="Arial"/>
          <w:b/>
          <w:i/>
          <w:color w:val="000000"/>
        </w:rPr>
        <w:t>*******</w:t>
      </w:r>
      <w:r w:rsidRPr="00B66B63">
        <w:rPr>
          <w:rFonts w:ascii="Arial" w:hAnsi="Arial" w:cs="Arial"/>
          <w:b/>
          <w:i/>
          <w:color w:val="000000"/>
        </w:rPr>
        <w:t xml:space="preserve">). </w:t>
      </w:r>
      <w:proofErr w:type="gramStart"/>
      <w:r w:rsidRPr="00B66B63">
        <w:rPr>
          <w:rFonts w:ascii="Arial" w:hAnsi="Arial" w:cs="Arial"/>
          <w:i/>
          <w:color w:val="000000"/>
        </w:rPr>
        <w:t>ya</w:t>
      </w:r>
      <w:proofErr w:type="gramEnd"/>
      <w:r w:rsidRPr="00B66B63">
        <w:rPr>
          <w:rFonts w:ascii="Arial" w:hAnsi="Arial" w:cs="Arial"/>
          <w:i/>
          <w:color w:val="000000"/>
        </w:rPr>
        <w:t xml:space="preserve"> que durante la sustanciación del procedimiento la autoridad </w:t>
      </w:r>
      <w:proofErr w:type="spellStart"/>
      <w:r w:rsidRPr="00B66B63">
        <w:rPr>
          <w:rFonts w:ascii="Arial" w:hAnsi="Arial" w:cs="Arial"/>
          <w:i/>
          <w:color w:val="000000"/>
        </w:rPr>
        <w:t>enjuiciante</w:t>
      </w:r>
      <w:proofErr w:type="spellEnd"/>
      <w:r w:rsidRPr="00B66B63">
        <w:rPr>
          <w:rFonts w:ascii="Arial" w:hAnsi="Arial" w:cs="Arial"/>
          <w:i/>
          <w:color w:val="000000"/>
        </w:rPr>
        <w:t xml:space="preserve"> ahora responsable no practicó todas las diligencias tendientes a investigar la presunta responsabilidad del servidor público denunciado, así como requerir a éste y a las dependencias o entidades involucradas la información y documentación que se relacione con la presunta responsabilidad</w:t>
      </w:r>
      <w:r w:rsidR="00426963" w:rsidRPr="00B66B63">
        <w:rPr>
          <w:rFonts w:ascii="Arial" w:hAnsi="Arial" w:cs="Arial"/>
          <w:i/>
          <w:color w:val="000000"/>
        </w:rPr>
        <w:t>, estando obligadas éstas a proporcionarlas de manera oportuna, violentando con su proceder las reglas de la legalidad y debido proceso. Toda vez que al órgano inquisidor le corresponde integrar debidamente el expediente administrativo, cumpliendo con las formalidades legales del procedimiento.</w:t>
      </w:r>
      <w:r w:rsidRPr="00B66B63">
        <w:rPr>
          <w:rFonts w:ascii="Arial" w:hAnsi="Arial" w:cs="Arial"/>
          <w:i/>
          <w:color w:val="000000"/>
        </w:rPr>
        <w:t xml:space="preserve"> </w:t>
      </w:r>
    </w:p>
    <w:p w14:paraId="5C830388" w14:textId="1C6233D0" w:rsidR="00F2446E" w:rsidRPr="00B66B63" w:rsidRDefault="00426963" w:rsidP="005D4DEB">
      <w:pPr>
        <w:autoSpaceDE w:val="0"/>
        <w:autoSpaceDN w:val="0"/>
        <w:adjustRightInd w:val="0"/>
        <w:spacing w:after="0" w:line="240" w:lineRule="auto"/>
        <w:ind w:left="851" w:right="902"/>
        <w:jc w:val="both"/>
        <w:rPr>
          <w:rFonts w:ascii="Arial" w:hAnsi="Arial" w:cs="Arial"/>
          <w:i/>
          <w:color w:val="000000"/>
        </w:rPr>
      </w:pPr>
      <w:r w:rsidRPr="00B66B63">
        <w:rPr>
          <w:rFonts w:ascii="Arial" w:hAnsi="Arial" w:cs="Arial"/>
          <w:i/>
          <w:color w:val="000000"/>
        </w:rPr>
        <w:tab/>
        <w:t xml:space="preserve">Por lo que el procedimiento administrativo de responsabilidades </w:t>
      </w:r>
      <w:proofErr w:type="spellStart"/>
      <w:r w:rsidRPr="00B66B63">
        <w:rPr>
          <w:rFonts w:ascii="Arial" w:hAnsi="Arial" w:cs="Arial"/>
          <w:i/>
          <w:color w:val="000000"/>
        </w:rPr>
        <w:t>apert</w:t>
      </w:r>
      <w:r w:rsidR="003978D1" w:rsidRPr="00B66B63">
        <w:rPr>
          <w:rFonts w:ascii="Arial" w:hAnsi="Arial" w:cs="Arial"/>
          <w:i/>
          <w:color w:val="000000"/>
        </w:rPr>
        <w:t>urado</w:t>
      </w:r>
      <w:proofErr w:type="spellEnd"/>
      <w:r w:rsidR="003978D1" w:rsidRPr="00B66B63">
        <w:rPr>
          <w:rFonts w:ascii="Arial" w:hAnsi="Arial" w:cs="Arial"/>
          <w:i/>
          <w:color w:val="000000"/>
        </w:rPr>
        <w:t xml:space="preserve"> en mi contra es ilegal, pu</w:t>
      </w:r>
      <w:r w:rsidRPr="00B66B63">
        <w:rPr>
          <w:rFonts w:ascii="Arial" w:hAnsi="Arial" w:cs="Arial"/>
          <w:i/>
          <w:color w:val="000000"/>
        </w:rPr>
        <w:t xml:space="preserve">es la autoridad inquisidora y </w:t>
      </w:r>
      <w:proofErr w:type="spellStart"/>
      <w:r w:rsidRPr="00B66B63">
        <w:rPr>
          <w:rFonts w:ascii="Arial" w:hAnsi="Arial" w:cs="Arial"/>
          <w:i/>
          <w:color w:val="000000"/>
        </w:rPr>
        <w:t>e</w:t>
      </w:r>
      <w:r w:rsidR="003978D1" w:rsidRPr="00B66B63">
        <w:rPr>
          <w:rFonts w:ascii="Arial" w:hAnsi="Arial" w:cs="Arial"/>
          <w:i/>
          <w:color w:val="000000"/>
        </w:rPr>
        <w:t>njuiciante</w:t>
      </w:r>
      <w:proofErr w:type="spellEnd"/>
      <w:r w:rsidR="003978D1" w:rsidRPr="00B66B63">
        <w:rPr>
          <w:rFonts w:ascii="Arial" w:hAnsi="Arial" w:cs="Arial"/>
          <w:i/>
          <w:color w:val="000000"/>
        </w:rPr>
        <w:t>, no funda ni motiva su actuación, dando como resultado que no cumplió con las formalidades esenciales que todo procedimiento debe de observar, previstas en los artículos 14 y 16 de la Constitución Política de los Estados Unidos Mexicanos, en el sentido de fundar y motivar la causa legal del procedimiento.</w:t>
      </w:r>
    </w:p>
    <w:p w14:paraId="447A2174" w14:textId="470425DD" w:rsidR="003978D1" w:rsidRPr="00B66B63" w:rsidRDefault="003978D1" w:rsidP="005D4DEB">
      <w:pPr>
        <w:autoSpaceDE w:val="0"/>
        <w:autoSpaceDN w:val="0"/>
        <w:adjustRightInd w:val="0"/>
        <w:spacing w:after="0" w:line="240" w:lineRule="auto"/>
        <w:ind w:left="851" w:right="902"/>
        <w:jc w:val="both"/>
        <w:rPr>
          <w:rFonts w:ascii="Arial" w:hAnsi="Arial" w:cs="Arial"/>
          <w:i/>
          <w:color w:val="000000"/>
        </w:rPr>
      </w:pPr>
      <w:r w:rsidRPr="00B66B63">
        <w:rPr>
          <w:rFonts w:ascii="Arial" w:hAnsi="Arial" w:cs="Arial"/>
          <w:i/>
          <w:color w:val="000000"/>
        </w:rPr>
        <w:tab/>
        <w:t xml:space="preserve">Ignorando este mandato Constitucional dicha autoridad ahora demandada al dictar la Resolución que impugno ante este H. Tribunal, pues omite pronunciarlo con la debida fundamentación y motivación, violando así las garantías que la Constitución Política de los Estados Unidos Mexicanos establece a favor </w:t>
      </w:r>
      <w:r w:rsidR="004A0009" w:rsidRPr="00B66B63">
        <w:rPr>
          <w:rFonts w:ascii="Arial" w:hAnsi="Arial" w:cs="Arial"/>
          <w:i/>
          <w:color w:val="000000"/>
        </w:rPr>
        <w:t>de sus gobernados, y viola las reglas esenciales del procedimiento, razón por la cual es procedente se me conceda la Nulidad lisa y llana de la Resolución Combatida.</w:t>
      </w:r>
    </w:p>
    <w:p w14:paraId="052D792A" w14:textId="7B0D00A4" w:rsidR="004A0009" w:rsidRPr="00B66B63" w:rsidRDefault="004A0009" w:rsidP="005D4DEB">
      <w:pPr>
        <w:autoSpaceDE w:val="0"/>
        <w:autoSpaceDN w:val="0"/>
        <w:adjustRightInd w:val="0"/>
        <w:spacing w:after="0" w:line="240" w:lineRule="auto"/>
        <w:ind w:left="851" w:right="902"/>
        <w:jc w:val="both"/>
        <w:rPr>
          <w:rFonts w:ascii="Arial" w:hAnsi="Arial" w:cs="Arial"/>
          <w:i/>
          <w:color w:val="000000"/>
          <w:sz w:val="20"/>
          <w:szCs w:val="20"/>
        </w:rPr>
      </w:pPr>
      <w:r w:rsidRPr="00B66B63">
        <w:rPr>
          <w:rFonts w:ascii="Arial" w:hAnsi="Arial" w:cs="Arial"/>
          <w:i/>
          <w:color w:val="000000"/>
        </w:rPr>
        <w:tab/>
        <w:t xml:space="preserve">Por lo que la autoridad responsable </w:t>
      </w:r>
      <w:r w:rsidR="00C06276" w:rsidRPr="00B66B63">
        <w:rPr>
          <w:rFonts w:ascii="Arial" w:hAnsi="Arial" w:cs="Arial"/>
          <w:i/>
          <w:color w:val="000000"/>
        </w:rPr>
        <w:t>conculca</w:t>
      </w:r>
      <w:r w:rsidR="00EE7E68" w:rsidRPr="00B66B63">
        <w:rPr>
          <w:rFonts w:ascii="Arial" w:hAnsi="Arial" w:cs="Arial"/>
          <w:i/>
          <w:color w:val="000000"/>
        </w:rPr>
        <w:t xml:space="preserve"> lo dispuesto por el imperativo legal Constitucional que les impone el artículo 2 párrafo tercero de la Constitución Política del Estado Libre y Soberano de Oaxaca, que literalmente dice: “…</w:t>
      </w:r>
      <w:r w:rsidR="00EE7E68" w:rsidRPr="00B66B63">
        <w:rPr>
          <w:rFonts w:ascii="Arial" w:hAnsi="Arial" w:cs="Arial"/>
          <w:i/>
          <w:color w:val="000000"/>
          <w:sz w:val="20"/>
          <w:szCs w:val="20"/>
        </w:rPr>
        <w:t>El Poder Público y sus representantes sólo pueden hacer lo que la Ley les autoriza y deben de hacer lo que la ley les ordena…”</w:t>
      </w:r>
    </w:p>
    <w:p w14:paraId="6EE8E665" w14:textId="4A381529" w:rsidR="00FA46B6" w:rsidRPr="00B66B63" w:rsidRDefault="00FA46B6" w:rsidP="005D4DEB">
      <w:pPr>
        <w:autoSpaceDE w:val="0"/>
        <w:autoSpaceDN w:val="0"/>
        <w:adjustRightInd w:val="0"/>
        <w:spacing w:after="0" w:line="240" w:lineRule="auto"/>
        <w:ind w:left="851" w:right="902"/>
        <w:jc w:val="both"/>
        <w:rPr>
          <w:rFonts w:ascii="Arial" w:hAnsi="Arial" w:cs="Arial"/>
          <w:i/>
          <w:color w:val="000000"/>
        </w:rPr>
      </w:pPr>
      <w:r w:rsidRPr="00B66B63">
        <w:rPr>
          <w:rFonts w:ascii="Arial" w:hAnsi="Arial" w:cs="Arial"/>
          <w:i/>
          <w:color w:val="000000"/>
        </w:rPr>
        <w:tab/>
        <w:t xml:space="preserve">En consecuencia, la resolución impugnada es un acto excesivo, y no está debidamente fundada ni motivada, toda vez que </w:t>
      </w:r>
      <w:r w:rsidRPr="00B66B63">
        <w:rPr>
          <w:rFonts w:ascii="Arial" w:hAnsi="Arial" w:cs="Arial"/>
          <w:i/>
          <w:color w:val="000000"/>
        </w:rPr>
        <w:lastRenderedPageBreak/>
        <w:t>de acurdo a lo señalado por el artículo 16 de la Constitución Política de los Estados Unidos Mexicanos, todo acto de molestia emitido por la autoridad competente debe de estar fundado y motivado, motivo por el cual esa Honorable Sala debe declarar la nulidad lisa y llana de la referida resolución. Lo anterior de acuerdo con la siguiente Jurisprudencia del rubro y tenor siguiente:</w:t>
      </w:r>
    </w:p>
    <w:p w14:paraId="6490B011" w14:textId="00EE0E4A" w:rsidR="00FA46B6" w:rsidRPr="00B66B63" w:rsidRDefault="00FA46B6" w:rsidP="005D4DEB">
      <w:pPr>
        <w:autoSpaceDE w:val="0"/>
        <w:autoSpaceDN w:val="0"/>
        <w:adjustRightInd w:val="0"/>
        <w:spacing w:after="0" w:line="240" w:lineRule="auto"/>
        <w:ind w:left="851" w:right="902"/>
        <w:jc w:val="both"/>
        <w:rPr>
          <w:rFonts w:ascii="Arial" w:hAnsi="Arial" w:cs="Arial"/>
          <w:i/>
          <w:color w:val="000000"/>
        </w:rPr>
      </w:pPr>
      <w:r w:rsidRPr="00B66B63">
        <w:rPr>
          <w:rFonts w:ascii="Arial" w:hAnsi="Arial" w:cs="Arial"/>
          <w:i/>
          <w:color w:val="000000"/>
        </w:rPr>
        <w:tab/>
        <w:t>[…]</w:t>
      </w:r>
    </w:p>
    <w:p w14:paraId="47A6DCB0" w14:textId="01D4034F" w:rsidR="00FA46B6" w:rsidRPr="00B66B63" w:rsidRDefault="00FA46B6" w:rsidP="005D4DEB">
      <w:pPr>
        <w:autoSpaceDE w:val="0"/>
        <w:autoSpaceDN w:val="0"/>
        <w:adjustRightInd w:val="0"/>
        <w:spacing w:after="0" w:line="240" w:lineRule="auto"/>
        <w:ind w:left="851" w:right="902"/>
        <w:jc w:val="both"/>
        <w:rPr>
          <w:rFonts w:ascii="Arial" w:hAnsi="Arial" w:cs="Arial"/>
          <w:i/>
          <w:color w:val="000000"/>
          <w:sz w:val="20"/>
          <w:szCs w:val="20"/>
        </w:rPr>
      </w:pPr>
      <w:r w:rsidRPr="00B66B63">
        <w:rPr>
          <w:rFonts w:ascii="Arial" w:hAnsi="Arial" w:cs="Arial"/>
          <w:i/>
          <w:color w:val="000000"/>
        </w:rPr>
        <w:tab/>
      </w:r>
      <w:r w:rsidRPr="00B66B63">
        <w:rPr>
          <w:rFonts w:ascii="Arial" w:hAnsi="Arial" w:cs="Arial"/>
          <w:i/>
          <w:color w:val="000000"/>
          <w:sz w:val="20"/>
          <w:szCs w:val="20"/>
        </w:rPr>
        <w:t>FUNDAMENTACIÓN Y MOTIVACIÓN. […]”</w:t>
      </w:r>
    </w:p>
    <w:p w14:paraId="47444406" w14:textId="77777777" w:rsidR="003978D1" w:rsidRPr="00B66B63" w:rsidRDefault="003978D1" w:rsidP="005D4DEB">
      <w:pPr>
        <w:autoSpaceDE w:val="0"/>
        <w:autoSpaceDN w:val="0"/>
        <w:adjustRightInd w:val="0"/>
        <w:spacing w:after="0" w:line="240" w:lineRule="auto"/>
        <w:ind w:left="851" w:right="902"/>
        <w:jc w:val="both"/>
        <w:rPr>
          <w:rFonts w:ascii="Arial" w:hAnsi="Arial" w:cs="Arial"/>
          <w:i/>
          <w:color w:val="000000"/>
        </w:rPr>
      </w:pPr>
    </w:p>
    <w:p w14:paraId="6FF2BDA6" w14:textId="0E7F6F16" w:rsidR="00720D16" w:rsidRPr="0095617E" w:rsidRDefault="00426963" w:rsidP="000F0EF2">
      <w:pPr>
        <w:autoSpaceDE w:val="0"/>
        <w:autoSpaceDN w:val="0"/>
        <w:adjustRightInd w:val="0"/>
        <w:spacing w:before="120" w:after="0" w:line="360" w:lineRule="auto"/>
        <w:ind w:right="49" w:firstLine="567"/>
        <w:jc w:val="both"/>
        <w:rPr>
          <w:rFonts w:ascii="Arial" w:eastAsia="Calibri" w:hAnsi="Arial" w:cs="Arial"/>
          <w:bCs/>
          <w:color w:val="000000" w:themeColor="text1"/>
          <w:sz w:val="26"/>
          <w:szCs w:val="26"/>
          <w:lang w:eastAsia="en-US"/>
        </w:rPr>
      </w:pPr>
      <w:r w:rsidRPr="00B66B63">
        <w:rPr>
          <w:rFonts w:ascii="Arial" w:hAnsi="Arial" w:cs="Arial"/>
          <w:i/>
          <w:color w:val="000000"/>
        </w:rPr>
        <w:t xml:space="preserve"> </w:t>
      </w:r>
      <w:r w:rsidR="00E745A9" w:rsidRPr="00B66B63">
        <w:rPr>
          <w:rFonts w:ascii="Arial" w:hAnsi="Arial" w:cs="Arial"/>
          <w:color w:val="000000"/>
          <w:sz w:val="26"/>
          <w:szCs w:val="26"/>
        </w:rPr>
        <w:t xml:space="preserve">Como se advierte de lo anteriormente transcrito, </w:t>
      </w:r>
      <w:r w:rsidR="000F0EF2" w:rsidRPr="00B66B63">
        <w:rPr>
          <w:rFonts w:ascii="Arial" w:hAnsi="Arial" w:cs="Arial"/>
          <w:color w:val="000000"/>
          <w:sz w:val="26"/>
          <w:szCs w:val="26"/>
        </w:rPr>
        <w:t xml:space="preserve">existen motivos de disconformidad que hace valer </w:t>
      </w:r>
      <w:r w:rsidR="00266B2D">
        <w:rPr>
          <w:rFonts w:ascii="Arial" w:hAnsi="Arial" w:cs="Arial"/>
          <w:b/>
          <w:color w:val="000000"/>
          <w:sz w:val="26"/>
          <w:szCs w:val="26"/>
        </w:rPr>
        <w:t>*******</w:t>
      </w:r>
      <w:r w:rsidR="000F0EF2" w:rsidRPr="00B66B63">
        <w:rPr>
          <w:rFonts w:ascii="Arial" w:hAnsi="Arial" w:cs="Arial"/>
          <w:b/>
          <w:color w:val="000000"/>
          <w:sz w:val="26"/>
          <w:szCs w:val="26"/>
        </w:rPr>
        <w:t>,</w:t>
      </w:r>
      <w:r w:rsidR="000F0EF2" w:rsidRPr="00B66B63">
        <w:rPr>
          <w:rFonts w:ascii="Arial" w:hAnsi="Arial" w:cs="Arial"/>
          <w:color w:val="000000"/>
          <w:sz w:val="26"/>
          <w:szCs w:val="26"/>
        </w:rPr>
        <w:t xml:space="preserve"> los </w:t>
      </w:r>
      <w:r w:rsidR="000F0EF2" w:rsidRPr="00B66B63">
        <w:rPr>
          <w:rFonts w:ascii="Arial" w:eastAsia="Calibri" w:hAnsi="Arial" w:cs="Arial"/>
          <w:bCs/>
          <w:color w:val="000000" w:themeColor="text1"/>
          <w:sz w:val="26"/>
          <w:szCs w:val="26"/>
          <w:lang w:eastAsia="en-US"/>
        </w:rPr>
        <w:t xml:space="preserve">cuales están dirigidos a mostrar la ilegalidad </w:t>
      </w:r>
      <w:r w:rsidR="000F0EF2" w:rsidRPr="00B66B63">
        <w:rPr>
          <w:rFonts w:ascii="Arial" w:hAnsi="Arial" w:cs="Arial"/>
          <w:color w:val="000000"/>
          <w:sz w:val="26"/>
          <w:szCs w:val="26"/>
        </w:rPr>
        <w:t xml:space="preserve">de la resolución </w:t>
      </w:r>
      <w:r w:rsidR="000F0EF2" w:rsidRPr="00B66B63">
        <w:rPr>
          <w:rFonts w:ascii="Arial" w:eastAsia="Calibri" w:hAnsi="Arial" w:cs="Arial"/>
          <w:bCs/>
          <w:color w:val="000000" w:themeColor="text1"/>
          <w:sz w:val="26"/>
          <w:szCs w:val="26"/>
          <w:lang w:eastAsia="en-US"/>
        </w:rPr>
        <w:t xml:space="preserve">dictada con fecha veintiuno de febrero de dos mil diecinueve, por el Director de Responsabilidades Administrativas y Anticorrupción,  de la Subsecretaría de Responsabilidades Administrativas y Anticorrupción, de la Secretaría de Contraloría y Transparencia Gubernamental del Gobierno del Poder Ejecutivo del Estado de Oaxaca, en el expediente administrativo </w:t>
      </w:r>
      <w:r w:rsidR="00266B2D">
        <w:rPr>
          <w:rFonts w:ascii="Arial" w:eastAsia="Calibri" w:hAnsi="Arial" w:cs="Arial"/>
          <w:bCs/>
          <w:color w:val="000000" w:themeColor="text1"/>
          <w:sz w:val="26"/>
          <w:szCs w:val="26"/>
          <w:lang w:eastAsia="en-US"/>
        </w:rPr>
        <w:t>*******</w:t>
      </w:r>
      <w:r w:rsidR="000F0EF2" w:rsidRPr="00B66B63">
        <w:rPr>
          <w:rFonts w:ascii="Arial" w:eastAsia="Calibri" w:hAnsi="Arial" w:cs="Arial"/>
          <w:bCs/>
          <w:color w:val="000000" w:themeColor="text1"/>
          <w:sz w:val="26"/>
          <w:szCs w:val="26"/>
          <w:lang w:eastAsia="en-US"/>
        </w:rPr>
        <w:t>, pero que no son totalmente idóneos en fundamentos y motivos para llevar a declarar la nulidad lisa y llana de la resolución impugnada</w:t>
      </w:r>
      <w:r w:rsidR="00720D16" w:rsidRPr="00B66B63">
        <w:rPr>
          <w:rFonts w:ascii="Arial" w:eastAsia="Calibri" w:hAnsi="Arial" w:cs="Arial"/>
          <w:bCs/>
          <w:color w:val="000000" w:themeColor="text1"/>
          <w:sz w:val="26"/>
          <w:szCs w:val="26"/>
          <w:lang w:eastAsia="en-US"/>
        </w:rPr>
        <w:t>, por tanto, la Sala de Primera Instancia debe integrar lo que le falt</w:t>
      </w:r>
      <w:r w:rsidR="006A1C2A" w:rsidRPr="00B66B63">
        <w:rPr>
          <w:rFonts w:ascii="Arial" w:eastAsia="Calibri" w:hAnsi="Arial" w:cs="Arial"/>
          <w:bCs/>
          <w:color w:val="000000" w:themeColor="text1"/>
          <w:sz w:val="26"/>
          <w:szCs w:val="26"/>
          <w:lang w:eastAsia="en-US"/>
        </w:rPr>
        <w:t>ó</w:t>
      </w:r>
      <w:r w:rsidR="00720D16" w:rsidRPr="00B66B63">
        <w:rPr>
          <w:rFonts w:ascii="Arial" w:eastAsia="Calibri" w:hAnsi="Arial" w:cs="Arial"/>
          <w:bCs/>
          <w:color w:val="000000" w:themeColor="text1"/>
          <w:sz w:val="26"/>
          <w:szCs w:val="26"/>
          <w:lang w:eastAsia="en-US"/>
        </w:rPr>
        <w:t xml:space="preserve"> al actor a efecto de suplir la deficiencia de la queja y resolver el juicio respecto de la causa de pedir, </w:t>
      </w:r>
      <w:r w:rsidR="00720D16" w:rsidRPr="00B66B63">
        <w:rPr>
          <w:rFonts w:ascii="Arial" w:hAnsi="Arial" w:cs="Arial"/>
          <w:bCs/>
          <w:sz w:val="26"/>
          <w:szCs w:val="26"/>
        </w:rPr>
        <w:t xml:space="preserve">lo que </w:t>
      </w:r>
      <w:r w:rsidR="00720D16" w:rsidRPr="00B66B63">
        <w:rPr>
          <w:rFonts w:ascii="Arial" w:hAnsi="Arial" w:cs="Arial"/>
          <w:sz w:val="26"/>
          <w:szCs w:val="26"/>
        </w:rPr>
        <w:t xml:space="preserve">implica que la </w:t>
      </w:r>
      <w:r w:rsidR="00720D16" w:rsidRPr="0095617E">
        <w:rPr>
          <w:rFonts w:ascii="Arial" w:hAnsi="Arial" w:cs="Arial"/>
          <w:sz w:val="26"/>
          <w:szCs w:val="26"/>
        </w:rPr>
        <w:t>interpretación jurídica siempre debe buscar el mayor beneficio</w:t>
      </w:r>
      <w:r w:rsidR="007720F2" w:rsidRPr="0095617E">
        <w:rPr>
          <w:rFonts w:ascii="Arial" w:hAnsi="Arial" w:cs="Arial"/>
          <w:sz w:val="26"/>
          <w:szCs w:val="26"/>
        </w:rPr>
        <w:t xml:space="preserve"> </w:t>
      </w:r>
      <w:r w:rsidR="006A1C2A" w:rsidRPr="0095617E">
        <w:rPr>
          <w:rFonts w:ascii="Arial" w:hAnsi="Arial" w:cs="Arial"/>
          <w:sz w:val="26"/>
          <w:szCs w:val="26"/>
        </w:rPr>
        <w:t xml:space="preserve">para el </w:t>
      </w:r>
      <w:proofErr w:type="spellStart"/>
      <w:r w:rsidR="006A1C2A" w:rsidRPr="0095617E">
        <w:rPr>
          <w:rFonts w:ascii="Arial" w:hAnsi="Arial" w:cs="Arial"/>
          <w:sz w:val="26"/>
          <w:szCs w:val="26"/>
        </w:rPr>
        <w:t>gobernado</w:t>
      </w:r>
      <w:proofErr w:type="spellEnd"/>
      <w:r w:rsidR="00720D16" w:rsidRPr="0095617E">
        <w:rPr>
          <w:rFonts w:ascii="Arial" w:hAnsi="Arial" w:cs="Arial"/>
          <w:sz w:val="26"/>
          <w:szCs w:val="26"/>
        </w:rPr>
        <w:t xml:space="preserve">, acudiendo a la norma más amplia o a la interpretación más favorable al </w:t>
      </w:r>
      <w:r w:rsidR="00D21906" w:rsidRPr="0095617E">
        <w:rPr>
          <w:rFonts w:ascii="Arial" w:eastAsia="Calibri" w:hAnsi="Arial" w:cs="Arial"/>
          <w:bCs/>
          <w:color w:val="000000" w:themeColor="text1"/>
          <w:sz w:val="26"/>
          <w:szCs w:val="26"/>
          <w:lang w:eastAsia="en-US"/>
        </w:rPr>
        <w:t xml:space="preserve">mismo. </w:t>
      </w:r>
      <w:r w:rsidR="00266B2D">
        <w:rPr>
          <w:rFonts w:ascii="Arial" w:eastAsia="Calibri" w:hAnsi="Arial" w:cs="Arial"/>
          <w:bCs/>
          <w:color w:val="000000" w:themeColor="text1"/>
          <w:sz w:val="26"/>
          <w:szCs w:val="26"/>
          <w:lang w:eastAsia="en-US"/>
        </w:rPr>
        <w:t xml:space="preserve">- - - - - </w:t>
      </w:r>
    </w:p>
    <w:p w14:paraId="328A6CAC" w14:textId="460F3AEB" w:rsidR="00720D16" w:rsidRPr="00B66B63" w:rsidRDefault="00720D16" w:rsidP="00720D16">
      <w:pPr>
        <w:autoSpaceDE w:val="0"/>
        <w:autoSpaceDN w:val="0"/>
        <w:adjustRightInd w:val="0"/>
        <w:spacing w:before="120" w:after="0" w:line="360" w:lineRule="auto"/>
        <w:ind w:right="49" w:firstLine="567"/>
        <w:jc w:val="both"/>
        <w:rPr>
          <w:rFonts w:ascii="Arial" w:hAnsi="Arial" w:cs="Arial"/>
          <w:color w:val="212529"/>
          <w:sz w:val="26"/>
          <w:szCs w:val="26"/>
        </w:rPr>
      </w:pPr>
      <w:r w:rsidRPr="0095617E">
        <w:rPr>
          <w:rFonts w:ascii="Arial" w:eastAsia="Calibri" w:hAnsi="Arial" w:cs="Arial"/>
          <w:bCs/>
          <w:color w:val="000000" w:themeColor="text1"/>
          <w:sz w:val="26"/>
          <w:szCs w:val="26"/>
          <w:lang w:eastAsia="en-US"/>
        </w:rPr>
        <w:t xml:space="preserve">Sirve de apoyo a lo anterior, la Jurisprudencia con número de registro </w:t>
      </w:r>
      <w:r w:rsidRPr="0095617E">
        <w:rPr>
          <w:rStyle w:val="bold"/>
          <w:rFonts w:ascii="Arial" w:hAnsi="Arial" w:cs="Arial"/>
          <w:bCs/>
          <w:color w:val="212529"/>
          <w:sz w:val="26"/>
          <w:szCs w:val="26"/>
        </w:rPr>
        <w:t>digital: </w:t>
      </w:r>
      <w:r w:rsidRPr="0095617E">
        <w:rPr>
          <w:rFonts w:ascii="Arial" w:hAnsi="Arial" w:cs="Arial"/>
          <w:color w:val="212529"/>
          <w:sz w:val="26"/>
          <w:szCs w:val="26"/>
        </w:rPr>
        <w:t xml:space="preserve">2024049, Tribunales Colegiados de Circuito, </w:t>
      </w:r>
      <w:r w:rsidRPr="0095617E">
        <w:rPr>
          <w:rStyle w:val="bold"/>
          <w:rFonts w:ascii="Arial" w:hAnsi="Arial" w:cs="Arial"/>
          <w:bCs/>
          <w:color w:val="212529"/>
          <w:sz w:val="26"/>
          <w:szCs w:val="26"/>
        </w:rPr>
        <w:t>Undécima Época, Materia(s): </w:t>
      </w:r>
      <w:r w:rsidRPr="0095617E">
        <w:rPr>
          <w:rFonts w:ascii="Arial" w:hAnsi="Arial" w:cs="Arial"/>
          <w:color w:val="212529"/>
          <w:sz w:val="26"/>
          <w:szCs w:val="26"/>
        </w:rPr>
        <w:t xml:space="preserve">Común, </w:t>
      </w:r>
      <w:r w:rsidRPr="0095617E">
        <w:rPr>
          <w:rStyle w:val="bold"/>
          <w:rFonts w:ascii="Arial" w:hAnsi="Arial" w:cs="Arial"/>
          <w:bCs/>
          <w:color w:val="212529"/>
          <w:sz w:val="26"/>
          <w:szCs w:val="26"/>
        </w:rPr>
        <w:t>Tesis: </w:t>
      </w:r>
      <w:r w:rsidRPr="0095617E">
        <w:rPr>
          <w:rFonts w:ascii="Arial" w:hAnsi="Arial" w:cs="Arial"/>
          <w:color w:val="212529"/>
          <w:sz w:val="26"/>
          <w:szCs w:val="26"/>
        </w:rPr>
        <w:t>II.1o.</w:t>
      </w:r>
      <w:r w:rsidRPr="00B66B63">
        <w:rPr>
          <w:rFonts w:ascii="Arial" w:hAnsi="Arial" w:cs="Arial"/>
          <w:color w:val="212529"/>
          <w:sz w:val="26"/>
          <w:szCs w:val="26"/>
        </w:rPr>
        <w:t>A. J/2 K (11a.),</w:t>
      </w:r>
      <w:r w:rsidRPr="00B66B63">
        <w:rPr>
          <w:rStyle w:val="bold"/>
          <w:rFonts w:ascii="Arial" w:hAnsi="Arial" w:cs="Arial"/>
          <w:bCs/>
          <w:color w:val="212529"/>
          <w:sz w:val="26"/>
          <w:szCs w:val="26"/>
        </w:rPr>
        <w:t> </w:t>
      </w:r>
      <w:r w:rsidRPr="00B66B63">
        <w:rPr>
          <w:rFonts w:ascii="Arial" w:hAnsi="Arial" w:cs="Arial"/>
          <w:color w:val="212529"/>
          <w:sz w:val="26"/>
          <w:szCs w:val="26"/>
        </w:rPr>
        <w:t>Gaceta del Semanario Judicial de la Federación.</w:t>
      </w:r>
      <w:r w:rsidRPr="00B66B63">
        <w:rPr>
          <w:rFonts w:ascii="Arial" w:hAnsi="Arial" w:cs="Arial"/>
          <w:color w:val="212529"/>
          <w:sz w:val="26"/>
          <w:szCs w:val="26"/>
        </w:rPr>
        <w:br/>
      </w:r>
      <w:r w:rsidRPr="00B66B63">
        <w:rPr>
          <w:rStyle w:val="ng-star-inserted"/>
          <w:rFonts w:ascii="Arial" w:hAnsi="Arial" w:cs="Arial"/>
          <w:color w:val="212529"/>
          <w:sz w:val="26"/>
          <w:szCs w:val="26"/>
        </w:rPr>
        <w:t>Libro 9, enero de 2022, Tomo IV, página dos mil novecientos diez, de rubro y texto siguientes:</w:t>
      </w:r>
    </w:p>
    <w:p w14:paraId="0377E1F2" w14:textId="77777777" w:rsidR="00720D16" w:rsidRPr="00B66B63" w:rsidRDefault="00720D16" w:rsidP="00720D16">
      <w:pPr>
        <w:pStyle w:val="NormalWeb"/>
        <w:shd w:val="clear" w:color="auto" w:fill="FFFFFF"/>
        <w:spacing w:before="120" w:beforeAutospacing="0" w:after="0" w:afterAutospacing="0"/>
        <w:ind w:left="851" w:right="902"/>
        <w:jc w:val="both"/>
        <w:rPr>
          <w:rFonts w:ascii="Arial" w:hAnsi="Arial" w:cs="Arial"/>
          <w:b/>
          <w:bCs/>
          <w:i/>
          <w:color w:val="212529"/>
          <w:sz w:val="22"/>
          <w:szCs w:val="22"/>
        </w:rPr>
      </w:pPr>
      <w:r w:rsidRPr="00B66B63">
        <w:rPr>
          <w:rFonts w:ascii="Arial" w:hAnsi="Arial" w:cs="Arial"/>
          <w:b/>
          <w:bCs/>
          <w:i/>
          <w:color w:val="212529"/>
          <w:sz w:val="22"/>
          <w:szCs w:val="22"/>
        </w:rPr>
        <w:t>“SUPLENCIA DE LA QUEJA DEFICIENTE EN EL AMPARO. OPERA CUANDO LOS CONCEPTOS DE VIOLACIÓN O AGRAVIOS SON IMPERFECTOS, YA SEA POR DEFECTO EN LOS ARGUMENTOS O ANTE LA CARENCIA TOTAL DE UNA DISCONFORMIDAD QUE BENEFICIARÍA AL INTERESADO.</w:t>
      </w:r>
    </w:p>
    <w:p w14:paraId="2923C420" w14:textId="77777777" w:rsidR="00720D16" w:rsidRPr="00B66B63" w:rsidRDefault="00720D16" w:rsidP="00720D16">
      <w:pPr>
        <w:pStyle w:val="NormalWeb"/>
        <w:shd w:val="clear" w:color="auto" w:fill="FFFFFF"/>
        <w:spacing w:before="120" w:beforeAutospacing="0" w:after="0" w:afterAutospacing="0"/>
        <w:ind w:left="851" w:right="902"/>
        <w:jc w:val="both"/>
        <w:rPr>
          <w:rFonts w:ascii="Arial" w:hAnsi="Arial" w:cs="Arial"/>
          <w:i/>
          <w:color w:val="212529"/>
          <w:sz w:val="22"/>
          <w:szCs w:val="22"/>
        </w:rPr>
      </w:pPr>
      <w:r w:rsidRPr="00B66B63">
        <w:rPr>
          <w:rFonts w:ascii="Arial" w:hAnsi="Arial" w:cs="Arial"/>
          <w:i/>
          <w:color w:val="212529"/>
          <w:sz w:val="22"/>
          <w:szCs w:val="22"/>
        </w:rPr>
        <w:t xml:space="preserve">Hechos: Diversas personas físicas promovieron juicio de amparo indirecto e inconformes con los acuerdos del Juez de Distrito, en relación con sus escritos de demanda, interpusieron recurso de queja. Asimismo, otra persona física, al estimar que resultaba adversa la resolución definitiva dictada en el recurso de revisión que interpuso ante el Tribunal de Justicia Administrativa del Estado de México, promovió juicio de amparo directo. No obstante, los argumentos que hicieron valer los </w:t>
      </w:r>
      <w:proofErr w:type="spellStart"/>
      <w:r w:rsidRPr="00B66B63">
        <w:rPr>
          <w:rFonts w:ascii="Arial" w:hAnsi="Arial" w:cs="Arial"/>
          <w:i/>
          <w:color w:val="212529"/>
          <w:sz w:val="22"/>
          <w:szCs w:val="22"/>
        </w:rPr>
        <w:t>promoventes</w:t>
      </w:r>
      <w:proofErr w:type="spellEnd"/>
      <w:r w:rsidRPr="00B66B63">
        <w:rPr>
          <w:rFonts w:ascii="Arial" w:hAnsi="Arial" w:cs="Arial"/>
          <w:i/>
          <w:color w:val="212529"/>
          <w:sz w:val="22"/>
          <w:szCs w:val="22"/>
        </w:rPr>
        <w:t xml:space="preserve"> requieren integrarse debidamente para establecer los fundamentos y motivos que lleven a demostrar la razón de su queja.</w:t>
      </w:r>
    </w:p>
    <w:p w14:paraId="5C27D6D7" w14:textId="77777777" w:rsidR="00720D16" w:rsidRPr="00B66B63" w:rsidRDefault="00720D16" w:rsidP="00720D16">
      <w:pPr>
        <w:pStyle w:val="NormalWeb"/>
        <w:shd w:val="clear" w:color="auto" w:fill="FFFFFF"/>
        <w:spacing w:before="120" w:beforeAutospacing="0" w:after="0" w:afterAutospacing="0"/>
        <w:ind w:left="851" w:right="902"/>
        <w:jc w:val="both"/>
        <w:rPr>
          <w:rFonts w:ascii="Arial" w:hAnsi="Arial" w:cs="Arial"/>
          <w:i/>
          <w:color w:val="212529"/>
          <w:sz w:val="22"/>
          <w:szCs w:val="22"/>
        </w:rPr>
      </w:pPr>
      <w:r w:rsidRPr="00B66B63">
        <w:rPr>
          <w:rFonts w:ascii="Arial" w:hAnsi="Arial" w:cs="Arial"/>
          <w:i/>
          <w:color w:val="212529"/>
          <w:sz w:val="22"/>
          <w:szCs w:val="22"/>
        </w:rPr>
        <w:t xml:space="preserve">Criterio jurídico: Este Tribunal Colegiado de Circuito determina que opera la suplencia de la queja deficiente en el amparo cuando los conceptos de violación o agravios son imperfectos, ya sea por </w:t>
      </w:r>
      <w:r w:rsidRPr="00B66B63">
        <w:rPr>
          <w:rFonts w:ascii="Arial" w:hAnsi="Arial" w:cs="Arial"/>
          <w:i/>
          <w:color w:val="212529"/>
          <w:sz w:val="22"/>
          <w:szCs w:val="22"/>
        </w:rPr>
        <w:lastRenderedPageBreak/>
        <w:t>defecto en los argumentos o ante la ausencia de éstos, por lo que el órgano jurisdiccional tiene la obligación, en el primer supuesto, de integrar lo que le faltó y, en el segundo, de remediar la carencia total de una disconformidad que beneficiaría a la parte inconforme.</w:t>
      </w:r>
    </w:p>
    <w:p w14:paraId="7F69E06D" w14:textId="77777777" w:rsidR="00720D16" w:rsidRPr="00B66B63" w:rsidRDefault="00720D16" w:rsidP="00F7078C">
      <w:pPr>
        <w:autoSpaceDE w:val="0"/>
        <w:autoSpaceDN w:val="0"/>
        <w:adjustRightInd w:val="0"/>
        <w:spacing w:before="240" w:after="0" w:line="240" w:lineRule="auto"/>
        <w:ind w:left="851" w:right="902" w:firstLine="708"/>
        <w:jc w:val="both"/>
        <w:rPr>
          <w:rFonts w:ascii="Arial" w:hAnsi="Arial" w:cs="Arial"/>
          <w:i/>
          <w:color w:val="000000"/>
        </w:rPr>
      </w:pPr>
      <w:r w:rsidRPr="00B66B63">
        <w:rPr>
          <w:rFonts w:ascii="Arial" w:hAnsi="Arial" w:cs="Arial"/>
          <w:i/>
          <w:color w:val="212529"/>
        </w:rPr>
        <w:t>Justificación: Lo anterior, porque en el </w:t>
      </w:r>
      <w:hyperlink r:id="rId8" w:history="1">
        <w:r w:rsidRPr="00B66B63">
          <w:rPr>
            <w:rStyle w:val="Hipervnculo"/>
            <w:rFonts w:ascii="Arial" w:hAnsi="Arial" w:cs="Arial"/>
            <w:b/>
            <w:bCs/>
            <w:i/>
            <w:color w:val="007BFF"/>
          </w:rPr>
          <w:t>primer párrafo del artículo 79 de la Ley de Amparo</w:t>
        </w:r>
      </w:hyperlink>
      <w:r w:rsidRPr="00B66B63">
        <w:rPr>
          <w:rFonts w:ascii="Arial" w:hAnsi="Arial" w:cs="Arial"/>
          <w:i/>
          <w:color w:val="212529"/>
        </w:rPr>
        <w:t> se establece la obligación de los órganos jurisdiccionales de amparo, de suplir la queja deficiente de los conceptos de violación o agravios. Ahora bien, conforme al Diccionario de la Lengua Española de la Real Academia Española, "suplir" significa "integrar lo que falta en algo o remediar la carencia de ello", en tanto que la acción de "quejarse" es "manifestar disconformidad con algo o alguien" y, finalmente, "deficiencia" implica "imperfección", esto es, "falta o defecto de algo". Así, suplir la queja deficiente implica integrar o remediar una disconformidad de los conceptos de violación o agravios, cuando sean imperfectos, por falta o defecto en sus argumentos. Luego, tratándose de la suplencia de la queja deficiente pueden ocurrir dos situaciones: 1. Que sí existan motivos de disconformidad, dirigidos a mostrar la ilegalidad de la resolución que se recurre, pero que no son totalmente idóneos, en fundamentos y motivos, para llevar a conceder la protección constitucional, o modificar o revocar la resolución recurrida; y, 2. Que no exista algún planteamiento que el órgano jurisdiccional, como la autoridad encargada de aplicar el derecho, tiene conocimiento que llevaría a conceder la protección constitucional, a modificar o a revocar la resolución recurrida, en los supuestos que marca la propia Ley de Amparo, por haberse violado, en perjuicio de la parte quejosa o recurrente, las normas constitucionales o legales, sustantivas o adjetivas, que llevaron a transgredir sus derechos. Consecuentemente, en el primer caso, el órgano jurisdiccional de amparo deberá integrar lo que le faltó al quejoso, esto es, a los conceptos de violación o agravios, en tanto que, en el segundo, deberá remediar la carencia total de una disconformidad que le beneficiaría.</w:t>
      </w:r>
    </w:p>
    <w:p w14:paraId="32304694" w14:textId="6DA251BD" w:rsidR="00720D16" w:rsidRPr="00B66B63" w:rsidRDefault="00391F86" w:rsidP="00F7078C">
      <w:pPr>
        <w:autoSpaceDE w:val="0"/>
        <w:autoSpaceDN w:val="0"/>
        <w:adjustRightInd w:val="0"/>
        <w:spacing w:before="240" w:after="0" w:line="360" w:lineRule="auto"/>
        <w:ind w:right="49" w:firstLine="567"/>
        <w:jc w:val="both"/>
        <w:rPr>
          <w:rFonts w:ascii="Arial" w:eastAsia="Calibri" w:hAnsi="Arial" w:cs="Arial"/>
          <w:bCs/>
          <w:color w:val="000000" w:themeColor="text1"/>
          <w:sz w:val="26"/>
          <w:szCs w:val="26"/>
          <w:lang w:eastAsia="en-US"/>
        </w:rPr>
      </w:pPr>
      <w:r w:rsidRPr="00B66B63">
        <w:rPr>
          <w:rFonts w:ascii="Arial" w:eastAsia="Calibri" w:hAnsi="Arial" w:cs="Arial"/>
          <w:bCs/>
          <w:color w:val="000000" w:themeColor="text1"/>
          <w:sz w:val="26"/>
          <w:szCs w:val="26"/>
          <w:lang w:eastAsia="en-US"/>
        </w:rPr>
        <w:tab/>
      </w:r>
      <w:r w:rsidR="00B06C56" w:rsidRPr="00B66B63">
        <w:rPr>
          <w:rFonts w:ascii="Arial" w:eastAsia="Calibri" w:hAnsi="Arial" w:cs="Arial"/>
          <w:bCs/>
          <w:color w:val="000000" w:themeColor="text1"/>
          <w:sz w:val="26"/>
          <w:szCs w:val="26"/>
          <w:lang w:eastAsia="en-US"/>
        </w:rPr>
        <w:t>De igual forma,</w:t>
      </w:r>
      <w:r w:rsidRPr="00B66B63">
        <w:rPr>
          <w:rFonts w:ascii="Arial" w:eastAsia="Calibri" w:hAnsi="Arial" w:cs="Arial"/>
          <w:bCs/>
          <w:color w:val="000000" w:themeColor="text1"/>
          <w:sz w:val="26"/>
          <w:szCs w:val="26"/>
          <w:lang w:eastAsia="en-US"/>
        </w:rPr>
        <w:t xml:space="preserve"> se cita </w:t>
      </w:r>
      <w:r w:rsidR="00720D16" w:rsidRPr="00B66B63">
        <w:rPr>
          <w:rFonts w:ascii="Arial" w:eastAsia="Calibri" w:hAnsi="Arial" w:cs="Arial"/>
          <w:sz w:val="26"/>
          <w:szCs w:val="26"/>
        </w:rPr>
        <w:t>la Tesis Jurisprudencial 2a./J. 63/98, publicada por la Segunda Sala de la Suprema Corte de Justicia de la Nación, en el Tomo VIII, Septiembre de 1998, página 323, del Semanario Judicial de la Federación y su Gaceta, Novena Época, con registro digital 195518, de rubro y texto siguiente</w:t>
      </w:r>
      <w:r w:rsidRPr="00B66B63">
        <w:rPr>
          <w:rFonts w:ascii="Arial" w:eastAsia="Calibri" w:hAnsi="Arial" w:cs="Arial"/>
          <w:sz w:val="26"/>
          <w:szCs w:val="26"/>
        </w:rPr>
        <w:t>s</w:t>
      </w:r>
      <w:r w:rsidR="00720D16" w:rsidRPr="00B66B63">
        <w:rPr>
          <w:rFonts w:ascii="Arial" w:eastAsia="Calibri" w:hAnsi="Arial" w:cs="Arial"/>
          <w:sz w:val="26"/>
          <w:szCs w:val="26"/>
        </w:rPr>
        <w:t>:</w:t>
      </w:r>
    </w:p>
    <w:p w14:paraId="01105DDC" w14:textId="77777777" w:rsidR="00720D16" w:rsidRPr="00B66B63" w:rsidRDefault="00720D16" w:rsidP="00FE049D">
      <w:pPr>
        <w:pStyle w:val="Sinespaciado"/>
        <w:tabs>
          <w:tab w:val="left" w:pos="709"/>
        </w:tabs>
        <w:spacing w:before="120"/>
        <w:ind w:left="567" w:right="902"/>
        <w:jc w:val="both"/>
        <w:rPr>
          <w:rFonts w:ascii="Arial" w:eastAsia="Calibri" w:hAnsi="Arial" w:cs="Arial"/>
          <w:i/>
        </w:rPr>
      </w:pPr>
      <w:r w:rsidRPr="00B66B63">
        <w:rPr>
          <w:rFonts w:ascii="Arial" w:hAnsi="Arial" w:cs="Arial"/>
          <w:b/>
          <w:bCs/>
          <w:i/>
        </w:rPr>
        <w:t>“CONCEPTOS DE VIOLACIÓN. PARA QUE SE ESTUDIEN, BASTA CON EXPRESAR CLARAMENTE EN LA DEMANDA DE GARANTÍAS LA CAUSA DE PEDIR.</w:t>
      </w:r>
      <w:r w:rsidRPr="00B66B63">
        <w:rPr>
          <w:rFonts w:ascii="Arial" w:hAnsi="Arial" w:cs="Arial"/>
          <w:i/>
        </w:rPr>
        <w:t xml:space="preserve"> Esta Segunda Sala de la Suprema Corte de Justicia de la Nación, abandona el criterio formalista sustentado por la anterior Tercera Sala de este Alto Tribunal, contenido en la tesis de jurisprudencia número 3a</w:t>
      </w:r>
      <w:proofErr w:type="gramStart"/>
      <w:r w:rsidRPr="00B66B63">
        <w:rPr>
          <w:rFonts w:ascii="Arial" w:hAnsi="Arial" w:cs="Arial"/>
          <w:i/>
        </w:rPr>
        <w:t>./</w:t>
      </w:r>
      <w:proofErr w:type="gramEnd"/>
      <w:r w:rsidRPr="00B66B63">
        <w:rPr>
          <w:rFonts w:ascii="Arial" w:hAnsi="Arial" w:cs="Arial"/>
          <w:i/>
        </w:rPr>
        <w:t xml:space="preserve">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w:t>
      </w:r>
      <w:r w:rsidRPr="00B66B63">
        <w:rPr>
          <w:rFonts w:ascii="Arial" w:hAnsi="Arial" w:cs="Arial"/>
          <w:i/>
        </w:rPr>
        <w:lastRenderedPageBreak/>
        <w:t>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6BED617A" w14:textId="77777777" w:rsidR="00720D16" w:rsidRPr="00B66B63" w:rsidRDefault="00720D16" w:rsidP="0078679B">
      <w:pPr>
        <w:pStyle w:val="Sinespaciado"/>
        <w:tabs>
          <w:tab w:val="left" w:pos="709"/>
          <w:tab w:val="left" w:pos="7088"/>
        </w:tabs>
        <w:spacing w:before="120" w:line="360" w:lineRule="auto"/>
        <w:ind w:right="333"/>
        <w:jc w:val="both"/>
        <w:rPr>
          <w:rFonts w:ascii="Arial" w:eastAsia="Calibri" w:hAnsi="Arial" w:cs="Arial"/>
          <w:sz w:val="26"/>
          <w:szCs w:val="26"/>
        </w:rPr>
      </w:pPr>
      <w:r w:rsidRPr="00B66B63">
        <w:rPr>
          <w:rFonts w:ascii="Arial" w:eastAsia="Calibri" w:hAnsi="Arial" w:cs="Arial"/>
          <w:sz w:val="26"/>
          <w:szCs w:val="26"/>
        </w:rPr>
        <w:t xml:space="preserve">      Así como la Jurisprudencia 1a./J. 17/2000 de la Primera Sala de la Suprema Corte de Justicia de la Nación, consultable en la página 189, tomo XII, octubre de 2000, Novena Época del Semanario Judicial de la Federación y su Gaceta, con registro digital 191048, de rubro y texto siguiente:</w:t>
      </w:r>
    </w:p>
    <w:p w14:paraId="0CC16F63" w14:textId="77777777" w:rsidR="00720D16" w:rsidRPr="00B66B63" w:rsidRDefault="00720D16" w:rsidP="00655ED7">
      <w:pPr>
        <w:pStyle w:val="Sinespaciado"/>
        <w:tabs>
          <w:tab w:val="left" w:pos="709"/>
          <w:tab w:val="left" w:pos="7088"/>
        </w:tabs>
        <w:spacing w:line="276" w:lineRule="auto"/>
        <w:ind w:left="851" w:right="900"/>
        <w:jc w:val="both"/>
        <w:rPr>
          <w:rFonts w:ascii="Arial" w:eastAsia="Calibri" w:hAnsi="Arial" w:cs="Arial"/>
          <w:i/>
        </w:rPr>
      </w:pPr>
      <w:r w:rsidRPr="00B66B63">
        <w:rPr>
          <w:rFonts w:eastAsia="Calibri" w:cs="Arial"/>
          <w:sz w:val="24"/>
          <w:szCs w:val="24"/>
        </w:rPr>
        <w:t xml:space="preserve">   “</w:t>
      </w:r>
      <w:r w:rsidRPr="00B66B63">
        <w:rPr>
          <w:rFonts w:ascii="Arial" w:eastAsia="Calibri" w:hAnsi="Arial" w:cs="Arial"/>
          <w:b/>
          <w:bCs/>
          <w:i/>
        </w:rPr>
        <w:t xml:space="preserve">SUPLENCIA DE LA QUEJA DEFICIENTE EN MATERIA ADMINISTRATIVA. PROCEDENCIA. </w:t>
      </w:r>
      <w:r w:rsidRPr="00B66B63">
        <w:rPr>
          <w:rFonts w:ascii="Arial" w:eastAsia="Calibri" w:hAnsi="Arial" w:cs="Arial"/>
          <w:i/>
        </w:rPr>
        <w:t xml:space="preserve">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w:t>
      </w:r>
      <w:proofErr w:type="spellStart"/>
      <w:r w:rsidRPr="00B66B63">
        <w:rPr>
          <w:rFonts w:ascii="Arial" w:eastAsia="Calibri" w:hAnsi="Arial" w:cs="Arial"/>
          <w:i/>
        </w:rPr>
        <w:t>litis</w:t>
      </w:r>
      <w:proofErr w:type="spellEnd"/>
      <w:r w:rsidRPr="00B66B63">
        <w:rPr>
          <w:rFonts w:ascii="Arial" w:eastAsia="Calibri" w:hAnsi="Arial" w:cs="Arial"/>
          <w:i/>
        </w:rPr>
        <w:t xml:space="preserve"> planteada, porque de ser así, ya no se estaría ante la presencia de una violación manifiesta de la ley que deje sin defensa al quejoso o agraviado.”</w:t>
      </w:r>
    </w:p>
    <w:p w14:paraId="1FDFCA90" w14:textId="77777777" w:rsidR="00655ED7" w:rsidRPr="00B66B63" w:rsidRDefault="00655ED7" w:rsidP="00655ED7">
      <w:pPr>
        <w:pStyle w:val="Sinespaciado"/>
        <w:tabs>
          <w:tab w:val="left" w:pos="709"/>
          <w:tab w:val="left" w:pos="7088"/>
        </w:tabs>
        <w:spacing w:line="276" w:lineRule="auto"/>
        <w:ind w:left="851" w:right="900"/>
        <w:jc w:val="both"/>
        <w:rPr>
          <w:rFonts w:ascii="Arial" w:eastAsia="Calibri" w:hAnsi="Arial" w:cs="Arial"/>
          <w:i/>
        </w:rPr>
      </w:pPr>
    </w:p>
    <w:p w14:paraId="70AD72CD" w14:textId="77777777" w:rsidR="00D93FC7" w:rsidRPr="005128B1" w:rsidRDefault="00D27996" w:rsidP="00D93FC7">
      <w:pPr>
        <w:spacing w:after="0" w:line="360" w:lineRule="auto"/>
        <w:ind w:firstLine="708"/>
        <w:jc w:val="both"/>
        <w:rPr>
          <w:rFonts w:ascii="Arial" w:hAnsi="Arial" w:cs="Arial"/>
          <w:sz w:val="26"/>
          <w:szCs w:val="26"/>
        </w:rPr>
      </w:pPr>
      <w:r w:rsidRPr="00D27996">
        <w:rPr>
          <w:rFonts w:ascii="Arial" w:eastAsia="Calibri" w:hAnsi="Arial" w:cs="Arial"/>
          <w:bCs/>
          <w:sz w:val="26"/>
          <w:szCs w:val="26"/>
        </w:rPr>
        <w:t>Luego</w:t>
      </w:r>
      <w:r w:rsidR="00174B60" w:rsidRPr="00D27996">
        <w:rPr>
          <w:rFonts w:ascii="Arial" w:eastAsia="Calibri" w:hAnsi="Arial" w:cs="Arial"/>
          <w:sz w:val="26"/>
          <w:szCs w:val="26"/>
        </w:rPr>
        <w:t>,</w:t>
      </w:r>
      <w:r w:rsidR="00174B60" w:rsidRPr="00B66B63">
        <w:rPr>
          <w:rFonts w:ascii="Arial" w:eastAsia="Calibri" w:hAnsi="Arial" w:cs="Arial"/>
          <w:bCs/>
          <w:sz w:val="26"/>
          <w:szCs w:val="26"/>
        </w:rPr>
        <w:t xml:space="preserve"> </w:t>
      </w:r>
      <w:r w:rsidR="00FE049D" w:rsidRPr="00B66B63">
        <w:rPr>
          <w:rFonts w:ascii="Arial" w:eastAsia="Calibri" w:hAnsi="Arial" w:cs="Arial"/>
          <w:bCs/>
          <w:sz w:val="26"/>
          <w:szCs w:val="26"/>
        </w:rPr>
        <w:t>s</w:t>
      </w:r>
      <w:r w:rsidR="00FE049D" w:rsidRPr="00B66B63">
        <w:rPr>
          <w:rFonts w:ascii="Arial" w:eastAsia="Times New Roman" w:hAnsi="Arial" w:cs="Arial"/>
          <w:bCs/>
          <w:sz w:val="26"/>
          <w:szCs w:val="26"/>
          <w:lang w:eastAsia="es-ES"/>
        </w:rPr>
        <w:t xml:space="preserve">i bien la segunda instancia debe limitar su análisis a lo esbozado en los agravios ciñéndose así a analizar la presunta ilegalidad de la resolutora en primer grado, debe considerarse que la primera instancia al haber reconocido la legalidad y validez de la resolución impugnada ha agotado su jurisdicción, por ello, a fin de corregir la ilegalidad cometida procede </w:t>
      </w:r>
      <w:r w:rsidR="009D67E8">
        <w:rPr>
          <w:rFonts w:ascii="Arial" w:eastAsia="Times New Roman" w:hAnsi="Arial" w:cs="Arial"/>
          <w:b/>
          <w:bCs/>
          <w:sz w:val="26"/>
          <w:szCs w:val="26"/>
          <w:lang w:eastAsia="es-ES"/>
        </w:rPr>
        <w:t xml:space="preserve">REVOCAR </w:t>
      </w:r>
      <w:r w:rsidR="009D67E8">
        <w:rPr>
          <w:rFonts w:ascii="Arial" w:eastAsia="Times New Roman" w:hAnsi="Arial" w:cs="Arial"/>
          <w:bCs/>
          <w:sz w:val="26"/>
          <w:szCs w:val="26"/>
          <w:lang w:eastAsia="es-ES"/>
        </w:rPr>
        <w:t xml:space="preserve">la sentencia recurrida, por lo que </w:t>
      </w:r>
      <w:r w:rsidR="00FE049D" w:rsidRPr="00B66B63">
        <w:rPr>
          <w:rFonts w:ascii="Arial" w:eastAsia="Times New Roman" w:hAnsi="Arial" w:cs="Arial"/>
          <w:bCs/>
          <w:sz w:val="26"/>
          <w:szCs w:val="26"/>
          <w:lang w:eastAsia="es-ES"/>
        </w:rPr>
        <w:t xml:space="preserve">esta Sala Superior </w:t>
      </w:r>
      <w:r w:rsidR="00FE049D" w:rsidRPr="004E3EDF">
        <w:rPr>
          <w:rFonts w:ascii="Arial" w:eastAsia="Times New Roman" w:hAnsi="Arial" w:cs="Arial"/>
          <w:b/>
          <w:bCs/>
          <w:sz w:val="26"/>
          <w:szCs w:val="26"/>
          <w:lang w:eastAsia="es-ES"/>
        </w:rPr>
        <w:t xml:space="preserve">reasuma jurisdicción </w:t>
      </w:r>
      <w:r w:rsidR="00FE049D" w:rsidRPr="00B66B63">
        <w:rPr>
          <w:rFonts w:ascii="Arial" w:eastAsia="Times New Roman" w:hAnsi="Arial" w:cs="Arial"/>
          <w:bCs/>
          <w:sz w:val="26"/>
          <w:szCs w:val="26"/>
          <w:lang w:eastAsia="es-ES"/>
        </w:rPr>
        <w:t>y analice el acto sometido a la consideración de la primera instancia, sin que ello implique una suplencia de la queja en los agravios expuestos con la revisión.</w:t>
      </w:r>
      <w:r w:rsidR="00174B60" w:rsidRPr="00B66B63">
        <w:rPr>
          <w:rFonts w:ascii="Arial" w:eastAsia="Times New Roman" w:hAnsi="Arial" w:cs="Arial"/>
          <w:bCs/>
          <w:sz w:val="26"/>
          <w:szCs w:val="26"/>
          <w:lang w:eastAsia="es-ES"/>
        </w:rPr>
        <w:t xml:space="preserve"> </w:t>
      </w:r>
      <w:r w:rsidR="00D93FC7" w:rsidRPr="005128B1">
        <w:rPr>
          <w:rFonts w:ascii="Arial" w:eastAsia="Times New Roman" w:hAnsi="Arial" w:cs="Arial"/>
          <w:bCs/>
          <w:sz w:val="26"/>
          <w:szCs w:val="26"/>
          <w:lang w:eastAsia="es-ES"/>
        </w:rPr>
        <w:t>Estas consideraciones encuentran apoyo, por identidad en el tema, en la jurisprudencia con r</w:t>
      </w:r>
      <w:r w:rsidR="00D93FC7" w:rsidRPr="005128B1">
        <w:rPr>
          <w:rFonts w:ascii="Arial" w:hAnsi="Arial" w:cs="Arial"/>
          <w:sz w:val="26"/>
          <w:szCs w:val="26"/>
        </w:rPr>
        <w:t xml:space="preserve">egistro digital: 2024533, sustentada por el Décimo </w:t>
      </w:r>
      <w:r w:rsidR="00D93FC7" w:rsidRPr="005128B1">
        <w:rPr>
          <w:rFonts w:ascii="Arial" w:hAnsi="Arial" w:cs="Arial"/>
          <w:sz w:val="26"/>
          <w:szCs w:val="26"/>
        </w:rPr>
        <w:lastRenderedPageBreak/>
        <w:t>Primer Tribunal Colegiado en Materia Civil del Primer Circuito, Undécima Época, Tesis: I.11o.C. J/8 C (11a.), Gaceta del Semanario Judicial de la Federación. Libro 12, abril de 2022, Tomo III, página 2600, de rubro y texto siguientes:</w:t>
      </w:r>
    </w:p>
    <w:p w14:paraId="491A2958" w14:textId="77777777" w:rsidR="00D93FC7" w:rsidRPr="005128B1" w:rsidRDefault="00D93FC7" w:rsidP="00D93FC7">
      <w:pPr>
        <w:spacing w:after="0" w:line="240" w:lineRule="auto"/>
        <w:jc w:val="both"/>
      </w:pPr>
    </w:p>
    <w:p w14:paraId="0BB0ED03" w14:textId="77777777" w:rsidR="00D93FC7" w:rsidRPr="005128B1" w:rsidRDefault="00D93FC7" w:rsidP="00D93FC7">
      <w:pPr>
        <w:spacing w:after="0"/>
        <w:ind w:left="851" w:right="900"/>
        <w:jc w:val="both"/>
        <w:rPr>
          <w:rFonts w:ascii="Arial" w:hAnsi="Arial" w:cs="Arial"/>
          <w:i/>
        </w:rPr>
      </w:pPr>
      <w:r w:rsidRPr="005128B1">
        <w:rPr>
          <w:rFonts w:ascii="Arial" w:hAnsi="Arial" w:cs="Arial"/>
          <w:i/>
        </w:rPr>
        <w:t>“</w:t>
      </w:r>
      <w:r w:rsidRPr="005128B1">
        <w:rPr>
          <w:rFonts w:ascii="Arial" w:hAnsi="Arial" w:cs="Arial"/>
          <w:b/>
          <w:i/>
        </w:rPr>
        <w:t>RECURSO DE APELACIÓN. CUANDO EL TRIBUNAL DE ALZADA REVOCA LA SENTENCIA IMPUGNADA Y REASUME JURISDICCIÓN, ESTÁ OBLIGADO A ESTUDIAR TODOS LOS ELEMENTOS DE LA ACCIÓN AUN CUANDO ELLO NO HAYA SIDO IMPUGNADO (LEGISLACIÓN APLICABLE PARA LA CIUDAD DE MÉXICO).</w:t>
      </w:r>
      <w:r w:rsidRPr="005128B1">
        <w:rPr>
          <w:rFonts w:ascii="Arial" w:hAnsi="Arial" w:cs="Arial"/>
          <w:i/>
        </w:rPr>
        <w:t xml:space="preserve"> Del artículo 688 del Código de Procedimientos Civiles para el Distrito Federal, aplicable para la Ciudad de México, se advierte que la apelación es un medio de impugnación ordinario por el cual el tribunal de alzada puede confirmar, modificar o revocar las resoluciones emitidas por el inferior. Por lo que tratándose de apelaciones contra el fallo definitivo de primera instancia, el tribunal de alzada debe estudiar los agravios formulados por el inconforme y de considerarlos fundados debe revocar la resolución apelada y, con plenitud de jurisdicción, proceder a analizar si fueron o no comprobados los presupuestos procesales, las condiciones o requisitos de procedencia de la acción y superadas éstas, sus elementos, en los que deberá analizar conjuntamente las excepciones y las pruebas que se hubieran rendido para tales fines; ello aun en el supuesto de que el Juez de la causa se hubiera pronunciado sobre aquéllos y esto no hubiese sido impugnado por la parte que venció. Esto es así, pues en nuestro sistema jurídico no existe el reenvío, ya que los tribunales superiores de justicia, de conformidad con la división de poderes, son los encargados de ejercer la función jurisdiccional, quienes si bien la delegan a los Jueces de primera instancia, dicha jurisdicción les es devuelta a través del recurso de apelación. Ahora bien, la plenitud de jurisdicción establecida en la ley se refiere a un derecho pleno o total para decidir, no solamente la controversia jurisdiccional, sino también para subsanar ciertas deficiencias en el trámite y sustanciación de los recursos o juicios correspondientes. Esta figura jurídica de la "plenitud de jurisdicción" se identifica como el acto procesal que tiende a conseguir resultados definitivos en el menor tiempo posible, de modo que la sentencia debe otorgar una reparación total e inmediata, mediante la sustitución a la autoridad responsable en la que ésta debió hacer en el acto o resolución materia de la impugnación, para reparar directamente la infracción cometida. Dicha postura tiene su fundamento en la disposición expresa de la ley, así como en la facultad de los tribunales de revocar o modificar los actos y resoluciones </w:t>
      </w:r>
      <w:proofErr w:type="gramStart"/>
      <w:r w:rsidRPr="005128B1">
        <w:rPr>
          <w:rFonts w:ascii="Arial" w:hAnsi="Arial" w:cs="Arial"/>
          <w:i/>
        </w:rPr>
        <w:t>impugnados</w:t>
      </w:r>
      <w:proofErr w:type="gramEnd"/>
      <w:r w:rsidRPr="005128B1">
        <w:rPr>
          <w:rFonts w:ascii="Arial" w:hAnsi="Arial" w:cs="Arial"/>
          <w:i/>
        </w:rPr>
        <w:t xml:space="preserve"> e, incluso, restituir al promovente en el uso y goce del derecho violado. Así, con base en dicho principio, el tribunal revisor no sólo puede anular o revocar la decisión de su inferior, sino que, inclusive, tiene facultades para corregir y modificar dichos actos y reducirlos al marco legal. Por consiguiente, en el caso de que el tribunal ad </w:t>
      </w:r>
      <w:proofErr w:type="spellStart"/>
      <w:r w:rsidRPr="005128B1">
        <w:rPr>
          <w:rFonts w:ascii="Arial" w:hAnsi="Arial" w:cs="Arial"/>
          <w:i/>
        </w:rPr>
        <w:t>quem</w:t>
      </w:r>
      <w:proofErr w:type="spellEnd"/>
      <w:r w:rsidRPr="005128B1">
        <w:rPr>
          <w:rFonts w:ascii="Arial" w:hAnsi="Arial" w:cs="Arial"/>
          <w:i/>
        </w:rPr>
        <w:t xml:space="preserve"> determina revocar la resolución recurrida emitida por el Juez de primera instancia, en ese momento reasume totalmente la jurisdicción y, por tanto, se encuentra facultado y obligado a estudiar de oficio los presupuestos procesales, las condiciones o requisitos de procedencia de la acción, y superadas éstas, sus elementos, así como las excepciones y las pruebas rendidas para </w:t>
      </w:r>
      <w:r w:rsidRPr="005128B1">
        <w:rPr>
          <w:rFonts w:ascii="Arial" w:hAnsi="Arial" w:cs="Arial"/>
          <w:i/>
        </w:rPr>
        <w:lastRenderedPageBreak/>
        <w:t>estas dos últimas cuestiones, y no dejar inaudita a la contraparte que obtuvo sentencia favorable.”</w:t>
      </w:r>
    </w:p>
    <w:p w14:paraId="1D814FFA" w14:textId="77777777" w:rsidR="00D93FC7" w:rsidRPr="005128B1" w:rsidRDefault="00D93FC7" w:rsidP="00D93FC7">
      <w:pPr>
        <w:spacing w:before="120" w:after="0" w:line="360" w:lineRule="auto"/>
        <w:ind w:firstLine="708"/>
        <w:jc w:val="both"/>
        <w:rPr>
          <w:rFonts w:ascii="Arial" w:hAnsi="Arial" w:cs="Arial"/>
          <w:sz w:val="26"/>
          <w:szCs w:val="26"/>
        </w:rPr>
      </w:pPr>
      <w:r w:rsidRPr="005128B1">
        <w:rPr>
          <w:rFonts w:ascii="Arial" w:eastAsia="Times New Roman" w:hAnsi="Arial" w:cs="Arial"/>
          <w:bCs/>
          <w:sz w:val="26"/>
          <w:szCs w:val="26"/>
          <w:lang w:eastAsia="es-ES"/>
        </w:rPr>
        <w:t>Así como la Jurisprudencia con r</w:t>
      </w:r>
      <w:r w:rsidRPr="005128B1">
        <w:rPr>
          <w:rFonts w:ascii="Arial" w:hAnsi="Arial" w:cs="Arial"/>
          <w:sz w:val="26"/>
          <w:szCs w:val="26"/>
        </w:rPr>
        <w:t>egistro digital: 2022863 del Décimo Primer Tribunal Colegiado en Materia Civil del Primer Circuito, Décima Época, Tesis: I.11o.C. J/7 C (10a.), Gaceta del Semanario Judicial de la Federación. Libro 84, marzo de 2021, Tomo III, página 2707, con rubro y texto siguientes:</w:t>
      </w:r>
    </w:p>
    <w:p w14:paraId="04E5F307" w14:textId="77777777" w:rsidR="00D93FC7" w:rsidRPr="005128B1" w:rsidRDefault="00D93FC7" w:rsidP="00D93FC7">
      <w:pPr>
        <w:ind w:left="851" w:right="900"/>
        <w:jc w:val="both"/>
        <w:rPr>
          <w:rFonts w:ascii="Arial" w:hAnsi="Arial" w:cs="Arial"/>
          <w:i/>
        </w:rPr>
      </w:pPr>
      <w:r w:rsidRPr="005128B1">
        <w:rPr>
          <w:rFonts w:ascii="Arial" w:hAnsi="Arial" w:cs="Arial"/>
          <w:b/>
          <w:i/>
        </w:rPr>
        <w:t>“TRIBUNAL DE APELACIÓN. AL SER QUIEN TIENE LA JURISDICCIÓN ORIGINARIA PARA RESOLVER LA CONTROVERSIA, NO PUEDE REENVIAR EL ASUNTO AL JUEZ DE PRIMER GRADO, SALVO QUE SE ORDENE REPONER EL PROCEDIMIENTO (</w:t>
      </w:r>
      <w:r w:rsidRPr="005128B1">
        <w:rPr>
          <w:rFonts w:ascii="Arial" w:hAnsi="Arial" w:cs="Arial"/>
          <w:i/>
        </w:rPr>
        <w:t xml:space="preserve">LEGISLACIÓN APLICABLE PARA LA CIUDAD DE MÉXICO). La apelación constituye el recurso vertical más importante de los regulados por el Código de Procedimientos Civiles para el Distrito Federal, aplicable para la Ciudad de México, pues a través de él se pueden impugnar, entre otras resoluciones, las que generen un agravio a las partes o las señaladas en la legislación. Así, los recursos verticales, también conocidos como de alzada o de segunda instancia, tienen como característica primordial que su conocimiento y resolución corresponden a un tribunal superior de instancia del juzgador que emitió la resolución materia de la impugnación. Ahora bien, conforme a la doctrina procesal, el tribunal de alzada o de segunda instancia es quien tiene la jurisdicción originaria para resolver la controversia de que se trata, pero la delega en un juzgador de primer grado quien, por virtud de ello, se encargará de sustanciar el proceso y emitir una resolución que dirima la contienda, pero si a través del estudio de los agravios aquél llega a determinar que son erróneas o incongruentes las consideraciones emitidas por el juzgador de primer grado, reasumirá su jurisdicción originaria para juzgar el asunto y dictará la resolución que corresponda en sustitución de la recurrida. Ello origina que en los recursos de alzada no proceda el reenvío, pues una vez detectada la infracción en que hubiese incurrido el juzgador primario, el tribunal de alzada no puede devolverle el asunto a éste para que emita otra resolución en la que repare la violación en que incurrió, sino que debe reasumir la jurisdicción que le corresponde y emitir la nueva decisión. Lo anterior tiene como excepción los casos en que deba reponerse el procedimiento, pues en esa hipótesis se debe revocar la determinación impugnada y ordenar al juzgador primario que lleve a cabo los actos procesales procedentes, si no son de aquellos que, conforme a la legislación procesal, deban efectuarse por el propio tribunal de alzada antes de dictar la sentencia de apelación de fondo. Así, a través de la interposición del recurso de apelación, los recurrentes se "alzan" a fin de que el tribunal de segundo grado revise la legalidad de la decisión del juzgador primario. De acuerdo con la mecánica que se comenta, la sentencia que se dicte en el juicio, así como cualquier resolución intermedia que emita el Juez de primer grado y que pueda ser impugnable en apelación –según el tipo de resolución de que se trate y la naturaleza del juicio respectivo–, constituirá una decisión preliminar, pues si las partes la recurren a través de un recurso vertical, la resolución que emite el tribunal de alzada sustituye procesalmente a la impugnada. De esa forma, las decisiones del Juez primario sólo adquieren firmeza si las partes no las recurren en el plazo previsto en la legislación </w:t>
      </w:r>
      <w:r w:rsidRPr="005128B1">
        <w:rPr>
          <w:rFonts w:ascii="Arial" w:hAnsi="Arial" w:cs="Arial"/>
          <w:i/>
        </w:rPr>
        <w:lastRenderedPageBreak/>
        <w:t>correspondiente, pues si las impugnan a través de un recurso de alzada, entonces, dado el fenómeno de sustitución procesal que opera en este tipo de recursos, lo que adquiere firmeza -por ministerio de ley- es la resolución emitida por el tribunal de alzada.”</w:t>
      </w:r>
    </w:p>
    <w:p w14:paraId="05B39DBC" w14:textId="684E1F1C" w:rsidR="005830DB" w:rsidRPr="005830DB" w:rsidRDefault="00655ED7" w:rsidP="00D27996">
      <w:pPr>
        <w:pStyle w:val="Sinespaciado"/>
        <w:spacing w:before="120" w:line="360" w:lineRule="auto"/>
        <w:ind w:firstLine="708"/>
        <w:jc w:val="both"/>
        <w:rPr>
          <w:rFonts w:ascii="Arial" w:eastAsia="Calibri" w:hAnsi="Arial" w:cs="Arial"/>
          <w:bCs/>
          <w:sz w:val="26"/>
          <w:szCs w:val="26"/>
        </w:rPr>
      </w:pPr>
      <w:r w:rsidRPr="0095617E">
        <w:rPr>
          <w:rFonts w:ascii="Arial" w:hAnsi="Arial" w:cs="Arial"/>
          <w:b/>
          <w:sz w:val="26"/>
          <w:szCs w:val="26"/>
        </w:rPr>
        <w:t xml:space="preserve">CUARTO.- </w:t>
      </w:r>
      <w:r w:rsidR="00D27996" w:rsidRPr="0095617E">
        <w:rPr>
          <w:rFonts w:ascii="Arial" w:hAnsi="Arial" w:cs="Arial"/>
          <w:sz w:val="26"/>
          <w:szCs w:val="26"/>
        </w:rPr>
        <w:t>Ahora bien,</w:t>
      </w:r>
      <w:r w:rsidR="00D27996" w:rsidRPr="0095617E">
        <w:rPr>
          <w:rFonts w:ascii="Arial" w:hAnsi="Arial" w:cs="Arial"/>
          <w:b/>
          <w:sz w:val="26"/>
          <w:szCs w:val="26"/>
        </w:rPr>
        <w:t xml:space="preserve"> </w:t>
      </w:r>
      <w:r w:rsidR="005830DB" w:rsidRPr="0095617E">
        <w:rPr>
          <w:rFonts w:ascii="Arial" w:eastAsia="Calibri" w:hAnsi="Arial" w:cs="Arial"/>
          <w:bCs/>
          <w:sz w:val="26"/>
          <w:szCs w:val="26"/>
        </w:rPr>
        <w:t xml:space="preserve">en virtud de que la </w:t>
      </w:r>
      <w:r w:rsidR="005830DB" w:rsidRPr="0095617E">
        <w:rPr>
          <w:rFonts w:ascii="Arial" w:eastAsia="Calibri" w:hAnsi="Arial" w:cs="Arial"/>
          <w:b/>
          <w:bCs/>
          <w:sz w:val="26"/>
          <w:szCs w:val="26"/>
        </w:rPr>
        <w:t xml:space="preserve">competencia de la autoridad demandada </w:t>
      </w:r>
      <w:r w:rsidR="005830DB" w:rsidRPr="0095617E">
        <w:rPr>
          <w:rFonts w:ascii="Arial" w:eastAsia="Calibri" w:hAnsi="Arial" w:cs="Arial"/>
          <w:bCs/>
          <w:sz w:val="26"/>
          <w:szCs w:val="26"/>
        </w:rPr>
        <w:t>es el primer presupuesto para la emisión del acto de molestia, se procede a su estudio, que es preferente, de orden público y de análisis oficioso.  Sirve de apoyo, la Jurisprudencia con</w:t>
      </w:r>
      <w:r w:rsidR="005830DB" w:rsidRPr="005830DB">
        <w:rPr>
          <w:rFonts w:ascii="Arial" w:eastAsia="Calibri" w:hAnsi="Arial" w:cs="Arial"/>
          <w:bCs/>
          <w:sz w:val="26"/>
          <w:szCs w:val="26"/>
        </w:rPr>
        <w:t xml:space="preserve"> número de registro 170827, de la </w:t>
      </w:r>
      <w:r w:rsidR="005830DB">
        <w:rPr>
          <w:rFonts w:ascii="Arial" w:eastAsia="Calibri" w:hAnsi="Arial" w:cs="Arial"/>
          <w:bCs/>
          <w:sz w:val="26"/>
          <w:szCs w:val="26"/>
        </w:rPr>
        <w:t>N</w:t>
      </w:r>
      <w:r w:rsidR="005830DB" w:rsidRPr="005830DB">
        <w:rPr>
          <w:rFonts w:ascii="Arial" w:eastAsia="Calibri" w:hAnsi="Arial" w:cs="Arial"/>
          <w:bCs/>
          <w:sz w:val="26"/>
          <w:szCs w:val="26"/>
        </w:rPr>
        <w:t xml:space="preserve">ovena </w:t>
      </w:r>
      <w:r w:rsidR="005830DB">
        <w:rPr>
          <w:rFonts w:ascii="Arial" w:eastAsia="Calibri" w:hAnsi="Arial" w:cs="Arial"/>
          <w:bCs/>
          <w:sz w:val="26"/>
          <w:szCs w:val="26"/>
        </w:rPr>
        <w:t>Ép</w:t>
      </w:r>
      <w:r w:rsidR="004D6DE7">
        <w:rPr>
          <w:rFonts w:ascii="Arial" w:eastAsia="Calibri" w:hAnsi="Arial" w:cs="Arial"/>
          <w:bCs/>
          <w:sz w:val="26"/>
          <w:szCs w:val="26"/>
        </w:rPr>
        <w:t>oca, A</w:t>
      </w:r>
      <w:r w:rsidR="005830DB" w:rsidRPr="005830DB">
        <w:rPr>
          <w:rFonts w:ascii="Arial" w:eastAsia="Calibri" w:hAnsi="Arial" w:cs="Arial"/>
          <w:bCs/>
          <w:sz w:val="26"/>
          <w:szCs w:val="26"/>
        </w:rPr>
        <w:t>dministrativa, sustentada por la Segunda Sala de la Suprema Corte de Justicia de la Nación, visible en el Semanario Judicial de la Federación y su Gaceta, tomo XXVI, diciembre de 2007, página 154, con el texto y rubro siguientes:</w:t>
      </w:r>
    </w:p>
    <w:p w14:paraId="56B6EA7F" w14:textId="3E1218FB" w:rsidR="005830DB" w:rsidRPr="005830DB" w:rsidRDefault="005830DB" w:rsidP="005830DB">
      <w:pPr>
        <w:spacing w:after="0" w:line="240" w:lineRule="auto"/>
        <w:ind w:left="851" w:right="902"/>
        <w:jc w:val="both"/>
        <w:rPr>
          <w:rFonts w:ascii="Arial" w:eastAsia="Calibri" w:hAnsi="Arial" w:cs="Arial"/>
          <w:bCs/>
          <w:i/>
        </w:rPr>
      </w:pPr>
      <w:r w:rsidRPr="005830DB">
        <w:rPr>
          <w:rFonts w:ascii="Arial" w:eastAsia="Calibri" w:hAnsi="Arial" w:cs="Arial"/>
          <w:bCs/>
          <w:i/>
        </w:rPr>
        <w:t>“</w:t>
      </w:r>
      <w:r w:rsidRPr="005830DB">
        <w:rPr>
          <w:rFonts w:ascii="Arial" w:eastAsia="Calibri" w:hAnsi="Arial" w:cs="Arial"/>
          <w:b/>
          <w:i/>
        </w:rPr>
        <w:t>COMPETENCIA. SU ESTUDIO OFICIOSO RESPECTO DE LA AUTORIDAD DEMANDADA EN EL JUICIO CONTENCIOSO ADMINISTRATIVO, DEBE SER ANALIZADA POR LAS SALAS DEL TRIBUNAL FEDERAL DE JUSTICIA FISCAL Y ADMINISTRATIVA</w:t>
      </w:r>
      <w:r w:rsidRPr="005830DB">
        <w:rPr>
          <w:rFonts w:ascii="Arial" w:eastAsia="Calibri" w:hAnsi="Arial" w:cs="Arial"/>
          <w:bCs/>
          <w:i/>
        </w:rPr>
        <w:t>.</w:t>
      </w:r>
      <w:r w:rsidRPr="005830DB">
        <w:rPr>
          <w:rFonts w:ascii="Arial" w:hAnsi="Arial" w:cs="Arial"/>
          <w:i/>
          <w:color w:val="212529"/>
          <w:shd w:val="clear" w:color="auto" w:fill="FFFFFF"/>
        </w:rPr>
        <w:t xml:space="preserve"> </w:t>
      </w:r>
      <w:r w:rsidRPr="0075084A">
        <w:rPr>
          <w:rFonts w:ascii="Arial" w:hAnsi="Arial" w:cs="Arial"/>
          <w:i/>
          <w:color w:val="212529"/>
          <w:shd w:val="clear" w:color="auto" w:fill="FFFFFF"/>
        </w:rPr>
        <w:t xml:space="preserve">El </w:t>
      </w:r>
      <w:r w:rsidRPr="0075084A">
        <w:rPr>
          <w:rFonts w:ascii="Arial" w:hAnsi="Arial" w:cs="Arial"/>
          <w:i/>
          <w:shd w:val="clear" w:color="auto" w:fill="FFFFFF"/>
        </w:rPr>
        <w:t>artículo </w:t>
      </w:r>
      <w:hyperlink r:id="rId9" w:history="1">
        <w:r w:rsidRPr="0075084A">
          <w:rPr>
            <w:rStyle w:val="Hipervnculo"/>
            <w:rFonts w:ascii="Arial" w:hAnsi="Arial" w:cs="Arial"/>
            <w:bCs/>
            <w:i/>
            <w:color w:val="auto"/>
            <w:u w:val="none"/>
            <w:shd w:val="clear" w:color="auto" w:fill="FFFFFF"/>
          </w:rPr>
          <w:t>238, penúltimo párrafo, del Código Fiscal de la Federación</w:t>
        </w:r>
      </w:hyperlink>
      <w:r w:rsidRPr="0075084A">
        <w:rPr>
          <w:rFonts w:ascii="Arial" w:hAnsi="Arial" w:cs="Arial"/>
          <w:i/>
          <w:shd w:val="clear" w:color="auto" w:fill="FFFFFF"/>
        </w:rPr>
        <w:t> y su correlativo </w:t>
      </w:r>
      <w:hyperlink r:id="rId10" w:history="1">
        <w:r w:rsidRPr="0075084A">
          <w:rPr>
            <w:rStyle w:val="Hipervnculo"/>
            <w:rFonts w:ascii="Arial" w:hAnsi="Arial" w:cs="Arial"/>
            <w:bCs/>
            <w:i/>
            <w:color w:val="auto"/>
            <w:u w:val="none"/>
            <w:shd w:val="clear" w:color="auto" w:fill="FFFFFF"/>
          </w:rPr>
          <w:t>51, penúltimo párrafo, de la Ley Federal de Procedimiento Contencioso Administrativo</w:t>
        </w:r>
      </w:hyperlink>
      <w:r w:rsidRPr="0075084A">
        <w:rPr>
          <w:rFonts w:ascii="Arial" w:hAnsi="Arial" w:cs="Arial"/>
          <w:i/>
          <w:shd w:val="clear" w:color="auto" w:fill="FFFFFF"/>
        </w:rPr>
        <w:t xml:space="preserve">, establece que ese Tribunal podrá hacer valer de oficio, por ser de orden público, la incompetencia </w:t>
      </w:r>
      <w:r w:rsidRPr="0075084A">
        <w:rPr>
          <w:rFonts w:ascii="Arial" w:hAnsi="Arial" w:cs="Arial"/>
          <w:i/>
          <w:color w:val="212529"/>
          <w:shd w:val="clear" w:color="auto" w:fill="FFFFFF"/>
        </w:rPr>
        <w:t>de</w:t>
      </w:r>
      <w:r w:rsidRPr="005830DB">
        <w:rPr>
          <w:rFonts w:ascii="Arial" w:hAnsi="Arial" w:cs="Arial"/>
          <w:i/>
          <w:color w:val="212529"/>
          <w:shd w:val="clear" w:color="auto" w:fill="FFFFFF"/>
        </w:rPr>
        <w:t xml:space="preserv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7EFB5577" w14:textId="35984A2B" w:rsidR="00B66B63" w:rsidRPr="00B66B63" w:rsidRDefault="004D6DE7" w:rsidP="00B66B63">
      <w:pPr>
        <w:spacing w:before="240" w:line="360" w:lineRule="auto"/>
        <w:ind w:right="49" w:firstLine="709"/>
        <w:jc w:val="both"/>
        <w:rPr>
          <w:rFonts w:ascii="Arial" w:hAnsi="Arial" w:cs="Arial"/>
          <w:bCs/>
          <w:sz w:val="26"/>
          <w:szCs w:val="26"/>
        </w:rPr>
      </w:pPr>
      <w:r>
        <w:rPr>
          <w:rFonts w:ascii="Arial" w:hAnsi="Arial" w:cs="Arial"/>
          <w:bCs/>
          <w:sz w:val="26"/>
          <w:szCs w:val="26"/>
        </w:rPr>
        <w:t>Así como la</w:t>
      </w:r>
      <w:r w:rsidR="00B66B63" w:rsidRPr="00B66B63">
        <w:rPr>
          <w:rFonts w:ascii="Arial" w:hAnsi="Arial" w:cs="Arial"/>
          <w:bCs/>
          <w:sz w:val="26"/>
          <w:szCs w:val="26"/>
        </w:rPr>
        <w:t xml:space="preserve"> Jurisprudencia de número de registro 172812, del Tercer Tribunal Colegiado del Octavo Circuito, publicado en el Semanario Judicial de la Federación y su Gaceta, en el Tomo XXV, de abril de 2007, en la página 1377, Materia Administrativa, bajo el rubro y texto del tenor literal siguiente:</w:t>
      </w:r>
    </w:p>
    <w:p w14:paraId="328432FA" w14:textId="53153F0D" w:rsidR="00B66B63" w:rsidRPr="00B66B63" w:rsidRDefault="00B66B63" w:rsidP="004D6DE7">
      <w:pPr>
        <w:spacing w:after="120" w:line="240" w:lineRule="auto"/>
        <w:ind w:left="709" w:right="760"/>
        <w:jc w:val="both"/>
        <w:rPr>
          <w:rFonts w:ascii="Arial" w:hAnsi="Arial" w:cs="Arial"/>
          <w:bCs/>
          <w:i/>
        </w:rPr>
      </w:pPr>
      <w:r w:rsidRPr="00B66B63">
        <w:rPr>
          <w:rFonts w:ascii="Arial" w:hAnsi="Arial" w:cs="Arial"/>
          <w:bCs/>
          <w:i/>
        </w:rPr>
        <w:t>“</w:t>
      </w:r>
      <w:r w:rsidRPr="00B66B63">
        <w:rPr>
          <w:rFonts w:ascii="Arial" w:hAnsi="Arial" w:cs="Arial"/>
          <w:b/>
          <w:bCs/>
          <w:i/>
        </w:rPr>
        <w:t xml:space="preserve">COMPETENCIA DE LAS AUTORIDADES ADMINISTRATIVAS. AL SER UN PRESUPUESTO PROCESAL CUYO ESTUDIO ES DE ORDEN PÚBLICO LAS SALAS DEL TRIBUNAL FEDERAL DE JUSTICIA FISCAL Y ADMINISTRATIVA DEBEN ANALIZARLA DE OFICIO, SIN DISTINGUIR SI SE TRATA DE LA INDEBIDA, </w:t>
      </w:r>
      <w:r w:rsidRPr="00B66B63">
        <w:rPr>
          <w:rFonts w:ascii="Arial" w:hAnsi="Arial" w:cs="Arial"/>
          <w:b/>
          <w:bCs/>
          <w:i/>
        </w:rPr>
        <w:lastRenderedPageBreak/>
        <w:t>INSUFICIENTE O DE LA FALTA DE FUNDAMENTACIÓN DE AQUÉLLA.</w:t>
      </w:r>
      <w:r w:rsidR="004D6DE7">
        <w:rPr>
          <w:rFonts w:ascii="Arial" w:hAnsi="Arial" w:cs="Arial"/>
          <w:b/>
          <w:bCs/>
          <w:i/>
        </w:rPr>
        <w:t xml:space="preserve"> </w:t>
      </w:r>
      <w:r w:rsidRPr="00B66B63">
        <w:rPr>
          <w:rFonts w:ascii="Arial" w:hAnsi="Arial" w:cs="Arial"/>
          <w:bCs/>
          <w:i/>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B66B63">
        <w:rPr>
          <w:rFonts w:ascii="Arial" w:hAnsi="Arial" w:cs="Arial"/>
          <w:bCs/>
          <w:i/>
        </w:rPr>
        <w:t>subincisos</w:t>
      </w:r>
      <w:proofErr w:type="spellEnd"/>
      <w:r w:rsidRPr="00B66B63">
        <w:rPr>
          <w:rFonts w:ascii="Arial" w:hAnsi="Arial" w:cs="Arial"/>
          <w:bCs/>
          <w:i/>
        </w:rPr>
        <w:t xml:space="preserve">,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w:t>
      </w:r>
      <w:r w:rsidRPr="00B66B63">
        <w:rPr>
          <w:rFonts w:ascii="Arial" w:hAnsi="Arial" w:cs="Arial"/>
          <w:bCs/>
          <w:i/>
        </w:rPr>
        <w:lastRenderedPageBreak/>
        <w:t>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14A45DF7" w14:textId="69205BAB" w:rsidR="00B66B63" w:rsidRPr="00B66B63" w:rsidRDefault="00B66B63" w:rsidP="00B66B63">
      <w:pPr>
        <w:spacing w:before="240" w:line="360" w:lineRule="auto"/>
        <w:ind w:right="49" w:firstLine="709"/>
        <w:jc w:val="both"/>
        <w:rPr>
          <w:rFonts w:ascii="Arial" w:eastAsia="Calibri" w:hAnsi="Arial" w:cs="Arial"/>
          <w:bCs/>
          <w:sz w:val="26"/>
          <w:szCs w:val="26"/>
          <w:lang w:eastAsia="en-US"/>
        </w:rPr>
      </w:pPr>
      <w:r w:rsidRPr="00B66B63">
        <w:rPr>
          <w:rFonts w:ascii="Arial" w:hAnsi="Arial" w:cs="Arial"/>
          <w:bCs/>
          <w:sz w:val="26"/>
          <w:szCs w:val="26"/>
        </w:rPr>
        <w:t xml:space="preserve">Así, tenemos que </w:t>
      </w:r>
      <w:r w:rsidRPr="00B66B63">
        <w:rPr>
          <w:rFonts w:ascii="Arial" w:eastAsia="Calibri" w:hAnsi="Arial" w:cs="Arial"/>
          <w:bCs/>
          <w:sz w:val="26"/>
          <w:szCs w:val="26"/>
          <w:lang w:eastAsia="en-US"/>
        </w:rPr>
        <w:t xml:space="preserve">mediante resolución en sede administrativa de </w:t>
      </w:r>
      <w:r w:rsidR="004D6DE7">
        <w:rPr>
          <w:rFonts w:ascii="Arial" w:eastAsia="Calibri" w:hAnsi="Arial" w:cs="Arial"/>
          <w:b/>
          <w:bCs/>
          <w:sz w:val="26"/>
          <w:szCs w:val="26"/>
          <w:lang w:eastAsia="en-US"/>
        </w:rPr>
        <w:t xml:space="preserve">veintiuno de febrero </w:t>
      </w:r>
      <w:r w:rsidRPr="00B66B63">
        <w:rPr>
          <w:rFonts w:ascii="Arial" w:eastAsia="Calibri" w:hAnsi="Arial" w:cs="Arial"/>
          <w:b/>
          <w:bCs/>
          <w:sz w:val="26"/>
          <w:szCs w:val="26"/>
          <w:lang w:eastAsia="en-US"/>
        </w:rPr>
        <w:t xml:space="preserve">de </w:t>
      </w:r>
      <w:r w:rsidRPr="0095617E">
        <w:rPr>
          <w:rFonts w:ascii="Arial" w:eastAsia="Calibri" w:hAnsi="Arial" w:cs="Arial"/>
          <w:b/>
          <w:bCs/>
          <w:sz w:val="26"/>
          <w:szCs w:val="26"/>
          <w:lang w:eastAsia="en-US"/>
        </w:rPr>
        <w:t>dos mil diecinueve</w:t>
      </w:r>
      <w:r w:rsidR="004D6DE7" w:rsidRPr="0095617E">
        <w:rPr>
          <w:rFonts w:ascii="Arial" w:eastAsia="Calibri" w:hAnsi="Arial" w:cs="Arial"/>
          <w:b/>
          <w:bCs/>
          <w:sz w:val="26"/>
          <w:szCs w:val="26"/>
          <w:lang w:eastAsia="en-US"/>
        </w:rPr>
        <w:t>,</w:t>
      </w:r>
      <w:r w:rsidRPr="0095617E">
        <w:rPr>
          <w:rStyle w:val="Refdenotaalpie"/>
          <w:rFonts w:ascii="Arial" w:eastAsia="Calibri" w:hAnsi="Arial" w:cs="Arial"/>
          <w:b/>
          <w:bCs/>
          <w:sz w:val="26"/>
          <w:szCs w:val="26"/>
          <w:lang w:eastAsia="en-US"/>
        </w:rPr>
        <w:footnoteReference w:id="3"/>
      </w:r>
      <w:r w:rsidR="004D6DE7" w:rsidRPr="0095617E">
        <w:rPr>
          <w:rFonts w:ascii="Arial" w:eastAsia="Calibri" w:hAnsi="Arial" w:cs="Arial"/>
          <w:bCs/>
          <w:sz w:val="26"/>
          <w:szCs w:val="26"/>
          <w:lang w:eastAsia="en-US"/>
        </w:rPr>
        <w:t>se</w:t>
      </w:r>
      <w:r w:rsidRPr="0095617E">
        <w:rPr>
          <w:rFonts w:ascii="Arial" w:eastAsia="Calibri" w:hAnsi="Arial" w:cs="Arial"/>
          <w:bCs/>
          <w:sz w:val="26"/>
          <w:szCs w:val="26"/>
          <w:lang w:eastAsia="en-US"/>
        </w:rPr>
        <w:t xml:space="preserve"> resolvió</w:t>
      </w:r>
      <w:r w:rsidRPr="0095617E">
        <w:rPr>
          <w:rFonts w:ascii="Arial" w:eastAsia="Calibri" w:hAnsi="Arial" w:cs="Arial"/>
          <w:b/>
          <w:bCs/>
          <w:sz w:val="26"/>
          <w:szCs w:val="26"/>
          <w:lang w:eastAsia="en-US"/>
        </w:rPr>
        <w:t xml:space="preserve"> </w:t>
      </w:r>
      <w:r w:rsidRPr="0095617E">
        <w:rPr>
          <w:rFonts w:ascii="Arial" w:eastAsia="Calibri" w:hAnsi="Arial" w:cs="Arial"/>
          <w:bCs/>
          <w:sz w:val="26"/>
          <w:szCs w:val="26"/>
          <w:lang w:eastAsia="en-US"/>
        </w:rPr>
        <w:t xml:space="preserve">el procedimiento de responsabilidad administrativa </w:t>
      </w:r>
      <w:r w:rsidR="00266B2D">
        <w:rPr>
          <w:rFonts w:ascii="Arial" w:eastAsia="Calibri" w:hAnsi="Arial" w:cs="Arial"/>
          <w:bCs/>
          <w:sz w:val="26"/>
          <w:szCs w:val="26"/>
          <w:lang w:eastAsia="en-US"/>
        </w:rPr>
        <w:t>*******</w:t>
      </w:r>
      <w:r w:rsidRPr="0095617E">
        <w:rPr>
          <w:rFonts w:ascii="Arial" w:eastAsia="Calibri" w:hAnsi="Arial" w:cs="Arial"/>
          <w:bCs/>
          <w:sz w:val="26"/>
          <w:szCs w:val="26"/>
          <w:lang w:eastAsia="en-US"/>
        </w:rPr>
        <w:t>, en el cual, se estableció competencia específica, al tenor siguiente:</w:t>
      </w:r>
      <w:r w:rsidRPr="00B66B63">
        <w:rPr>
          <w:rFonts w:ascii="Arial" w:eastAsia="Calibri" w:hAnsi="Arial" w:cs="Arial"/>
          <w:bCs/>
          <w:sz w:val="26"/>
          <w:szCs w:val="26"/>
          <w:lang w:eastAsia="en-US"/>
        </w:rPr>
        <w:t xml:space="preserve"> </w:t>
      </w:r>
    </w:p>
    <w:p w14:paraId="00B5889A" w14:textId="77777777" w:rsidR="00B66B63" w:rsidRPr="00B66B63" w:rsidRDefault="00B66B63" w:rsidP="00B66B63">
      <w:pPr>
        <w:spacing w:before="240" w:after="0" w:line="360" w:lineRule="auto"/>
        <w:ind w:left="709" w:right="758"/>
        <w:jc w:val="both"/>
        <w:rPr>
          <w:rFonts w:ascii="Arial" w:eastAsia="Calibri" w:hAnsi="Arial" w:cs="Arial"/>
          <w:bCs/>
          <w:lang w:val="es-ES" w:eastAsia="en-US"/>
        </w:rPr>
      </w:pPr>
      <w:r w:rsidRPr="00B66B63">
        <w:rPr>
          <w:rFonts w:ascii="Arial" w:eastAsia="Calibri" w:hAnsi="Arial" w:cs="Arial"/>
          <w:bCs/>
          <w:i/>
          <w:lang w:val="es-ES" w:eastAsia="en-US"/>
        </w:rPr>
        <w:t xml:space="preserve"> “…y artículos 1, 2, 4, fracción XIV</w:t>
      </w:r>
      <w:r w:rsidRPr="00B66B63">
        <w:rPr>
          <w:rFonts w:ascii="Arial" w:eastAsia="Calibri" w:hAnsi="Arial" w:cs="Arial"/>
          <w:b/>
          <w:bCs/>
          <w:i/>
          <w:u w:val="single"/>
          <w:lang w:val="es-ES" w:eastAsia="en-US"/>
        </w:rPr>
        <w:t>, 5 numerales 1.2.1, 1.2.1.6, 36 fracción III, IV V, XXII y XXVIII, y 40 fracción X, del Reglamento Interno de la Secretaria de la Contraloría y Transparencia Gubernamental del Poder Ejecutivo del Estado de Oaxaca</w:t>
      </w:r>
      <w:r w:rsidRPr="00B66B63">
        <w:rPr>
          <w:rFonts w:ascii="Arial" w:eastAsia="Calibri" w:hAnsi="Arial" w:cs="Arial"/>
          <w:bCs/>
          <w:i/>
          <w:lang w:val="es-ES" w:eastAsia="en-US"/>
        </w:rPr>
        <w:t xml:space="preserve"> (vigente hasta el dos de enero de dos mil dieciocho)…”</w:t>
      </w:r>
      <w:r w:rsidRPr="00B66B63">
        <w:rPr>
          <w:rFonts w:ascii="Arial" w:eastAsia="Calibri" w:hAnsi="Arial" w:cs="Arial"/>
          <w:bCs/>
          <w:lang w:val="es-ES" w:eastAsia="en-US"/>
        </w:rPr>
        <w:t>. -Énfasis añadido-.</w:t>
      </w:r>
    </w:p>
    <w:p w14:paraId="5356AB3E" w14:textId="205517B3" w:rsidR="00B66B63" w:rsidRPr="00B66B63" w:rsidRDefault="00B66B63" w:rsidP="00B66B63">
      <w:pPr>
        <w:spacing w:before="240" w:line="360" w:lineRule="auto"/>
        <w:ind w:right="49" w:firstLine="709"/>
        <w:jc w:val="both"/>
        <w:rPr>
          <w:rFonts w:ascii="Arial" w:eastAsia="Calibri" w:hAnsi="Arial" w:cs="Arial"/>
          <w:bCs/>
          <w:sz w:val="26"/>
          <w:szCs w:val="26"/>
          <w:lang w:eastAsia="en-US"/>
        </w:rPr>
      </w:pPr>
      <w:r w:rsidRPr="00B66B63">
        <w:rPr>
          <w:rFonts w:ascii="Arial" w:eastAsia="Calibri" w:hAnsi="Arial" w:cs="Arial"/>
          <w:bCs/>
          <w:sz w:val="26"/>
          <w:szCs w:val="26"/>
          <w:lang w:eastAsia="en-US"/>
        </w:rPr>
        <w:t xml:space="preserve">Como se observa de la anterior transcripción, la Secretaría de la Contraloría y Transparencia Gubernamental del Estado de Oaxaca a través de la Dirección de Responsabilidades Administrativas y Situación Patrimonial, fundó su competencia para </w:t>
      </w:r>
      <w:r w:rsidRPr="00B66B63">
        <w:rPr>
          <w:rFonts w:ascii="Arial" w:eastAsia="Calibri" w:hAnsi="Arial" w:cs="Arial"/>
          <w:b/>
          <w:bCs/>
          <w:sz w:val="26"/>
          <w:szCs w:val="26"/>
          <w:lang w:eastAsia="en-US"/>
        </w:rPr>
        <w:t>resolver</w:t>
      </w:r>
      <w:r w:rsidRPr="00B66B63">
        <w:rPr>
          <w:rFonts w:ascii="Arial" w:eastAsia="Calibri" w:hAnsi="Arial" w:cs="Arial"/>
          <w:bCs/>
          <w:sz w:val="26"/>
          <w:szCs w:val="26"/>
          <w:lang w:eastAsia="en-US"/>
        </w:rPr>
        <w:t xml:space="preserve"> el procedimiento de responsabilidad administrativa conforme a los artículos 5, numerales 1.2.1, 1.2.1.6, 36, fracciones III, IV, V, XXII y XXVIII y 40, fracción X del Reglamento Interno de la Secretaría de la Contraloría y Transparencia Gubernamental del Poder </w:t>
      </w:r>
      <w:r w:rsidR="00BF0835">
        <w:rPr>
          <w:rFonts w:ascii="Arial" w:eastAsia="Calibri" w:hAnsi="Arial" w:cs="Arial"/>
          <w:bCs/>
          <w:sz w:val="26"/>
          <w:szCs w:val="26"/>
          <w:lang w:eastAsia="en-US"/>
        </w:rPr>
        <w:t xml:space="preserve">Ejecutivo del Estado de Oaxaca, </w:t>
      </w:r>
      <w:r w:rsidR="00BF0835" w:rsidRPr="00B66B63">
        <w:rPr>
          <w:rFonts w:ascii="Arial" w:eastAsia="Calibri" w:hAnsi="Arial" w:cs="Arial"/>
          <w:bCs/>
          <w:sz w:val="26"/>
          <w:szCs w:val="26"/>
          <w:lang w:eastAsia="en-US"/>
        </w:rPr>
        <w:t>preceptos legales que</w:t>
      </w:r>
      <w:r w:rsidR="00BF0835">
        <w:rPr>
          <w:rFonts w:ascii="Arial" w:eastAsia="Calibri" w:hAnsi="Arial" w:cs="Arial"/>
          <w:bCs/>
          <w:sz w:val="26"/>
          <w:szCs w:val="26"/>
          <w:lang w:eastAsia="en-US"/>
        </w:rPr>
        <w:t xml:space="preserve"> </w:t>
      </w:r>
      <w:r w:rsidR="00BF0835" w:rsidRPr="00B66B63">
        <w:rPr>
          <w:rFonts w:ascii="Arial" w:eastAsia="Calibri" w:hAnsi="Arial" w:cs="Arial"/>
          <w:b/>
          <w:bCs/>
          <w:sz w:val="26"/>
          <w:szCs w:val="26"/>
          <w:lang w:eastAsia="en-US"/>
        </w:rPr>
        <w:t xml:space="preserve">no le otorgan facultades </w:t>
      </w:r>
      <w:r w:rsidR="00BF0835">
        <w:rPr>
          <w:rFonts w:ascii="Arial" w:eastAsia="Calibri" w:hAnsi="Arial" w:cs="Arial"/>
          <w:b/>
          <w:bCs/>
          <w:sz w:val="26"/>
          <w:szCs w:val="26"/>
          <w:lang w:eastAsia="en-US"/>
        </w:rPr>
        <w:t xml:space="preserve">a dicha autoridad </w:t>
      </w:r>
      <w:r w:rsidR="00BF0835" w:rsidRPr="00B66B63">
        <w:rPr>
          <w:rFonts w:ascii="Arial" w:eastAsia="Calibri" w:hAnsi="Arial" w:cs="Arial"/>
          <w:b/>
          <w:bCs/>
          <w:sz w:val="26"/>
          <w:szCs w:val="26"/>
          <w:lang w:eastAsia="en-US"/>
        </w:rPr>
        <w:t>para resolver procedimientos de responsabilidad administrativa</w:t>
      </w:r>
      <w:r w:rsidR="00BF0835">
        <w:rPr>
          <w:rFonts w:ascii="Arial" w:eastAsia="Calibri" w:hAnsi="Arial" w:cs="Arial"/>
          <w:b/>
          <w:bCs/>
          <w:sz w:val="26"/>
          <w:szCs w:val="26"/>
          <w:lang w:eastAsia="en-US"/>
        </w:rPr>
        <w:t xml:space="preserve">; </w:t>
      </w:r>
      <w:r w:rsidR="00BF0835">
        <w:rPr>
          <w:rFonts w:ascii="Arial" w:eastAsia="Calibri" w:hAnsi="Arial" w:cs="Arial"/>
          <w:bCs/>
          <w:sz w:val="26"/>
          <w:szCs w:val="26"/>
          <w:lang w:eastAsia="en-US"/>
        </w:rPr>
        <w:t xml:space="preserve">en virtud de que, </w:t>
      </w:r>
      <w:r w:rsidR="00056C90">
        <w:rPr>
          <w:rFonts w:ascii="Arial" w:eastAsia="Calibri" w:hAnsi="Arial" w:cs="Arial"/>
          <w:bCs/>
          <w:sz w:val="26"/>
          <w:szCs w:val="26"/>
          <w:lang w:eastAsia="en-US"/>
        </w:rPr>
        <w:t>la resolución impugnada</w:t>
      </w:r>
      <w:r w:rsidR="00BF0835">
        <w:rPr>
          <w:rFonts w:ascii="Arial" w:eastAsia="Calibri" w:hAnsi="Arial" w:cs="Arial"/>
          <w:bCs/>
          <w:sz w:val="26"/>
          <w:szCs w:val="26"/>
          <w:lang w:eastAsia="en-US"/>
        </w:rPr>
        <w:t xml:space="preserve"> se emitió </w:t>
      </w:r>
      <w:r w:rsidR="00056C90">
        <w:rPr>
          <w:rFonts w:ascii="Arial" w:eastAsia="Calibri" w:hAnsi="Arial" w:cs="Arial"/>
          <w:bCs/>
          <w:sz w:val="26"/>
          <w:szCs w:val="26"/>
          <w:lang w:eastAsia="en-US"/>
        </w:rPr>
        <w:t>el veintiuno de febrero de dos mil diecinueve</w:t>
      </w:r>
      <w:r w:rsidR="00BF0835">
        <w:rPr>
          <w:rFonts w:ascii="Arial" w:eastAsia="Calibri" w:hAnsi="Arial" w:cs="Arial"/>
          <w:bCs/>
          <w:sz w:val="26"/>
          <w:szCs w:val="26"/>
          <w:lang w:eastAsia="en-US"/>
        </w:rPr>
        <w:t xml:space="preserve"> y </w:t>
      </w:r>
      <w:r w:rsidR="00056C90">
        <w:rPr>
          <w:rFonts w:ascii="Arial" w:eastAsia="Calibri" w:hAnsi="Arial" w:cs="Arial"/>
          <w:bCs/>
          <w:sz w:val="26"/>
          <w:szCs w:val="26"/>
          <w:lang w:eastAsia="en-US"/>
        </w:rPr>
        <w:t xml:space="preserve">el </w:t>
      </w:r>
      <w:r w:rsidR="00056C90" w:rsidRPr="00B66B63">
        <w:rPr>
          <w:rFonts w:ascii="Arial" w:eastAsia="Calibri" w:hAnsi="Arial" w:cs="Arial"/>
          <w:bCs/>
          <w:sz w:val="26"/>
          <w:szCs w:val="26"/>
          <w:lang w:eastAsia="en-US"/>
        </w:rPr>
        <w:t>Reglamento Interno de la Secretaría de la Contraloría y Transparencia Gubernamental del Poder Ejecutivo del Estado de Oaxaca</w:t>
      </w:r>
      <w:r w:rsidR="00056C90">
        <w:rPr>
          <w:rFonts w:ascii="Arial" w:eastAsia="Calibri" w:hAnsi="Arial" w:cs="Arial"/>
          <w:bCs/>
          <w:sz w:val="26"/>
          <w:szCs w:val="26"/>
          <w:lang w:eastAsia="en-US"/>
        </w:rPr>
        <w:t>, que se encontraba vigente en ese momento</w:t>
      </w:r>
      <w:r w:rsidR="00BF0835">
        <w:rPr>
          <w:rFonts w:ascii="Arial" w:eastAsia="Calibri" w:hAnsi="Arial" w:cs="Arial"/>
          <w:bCs/>
          <w:sz w:val="26"/>
          <w:szCs w:val="26"/>
          <w:lang w:eastAsia="en-US"/>
        </w:rPr>
        <w:t>,</w:t>
      </w:r>
      <w:r w:rsidR="00056C90">
        <w:rPr>
          <w:rFonts w:ascii="Arial" w:eastAsia="Calibri" w:hAnsi="Arial" w:cs="Arial"/>
          <w:bCs/>
          <w:sz w:val="26"/>
          <w:szCs w:val="26"/>
          <w:lang w:eastAsia="en-US"/>
        </w:rPr>
        <w:t xml:space="preserve"> e</w:t>
      </w:r>
      <w:r w:rsidR="00BF0835">
        <w:rPr>
          <w:rFonts w:ascii="Arial" w:eastAsia="Calibri" w:hAnsi="Arial" w:cs="Arial"/>
          <w:bCs/>
          <w:sz w:val="26"/>
          <w:szCs w:val="26"/>
          <w:lang w:eastAsia="en-US"/>
        </w:rPr>
        <w:t xml:space="preserve">ra </w:t>
      </w:r>
      <w:r w:rsidR="00056C90">
        <w:rPr>
          <w:rFonts w:ascii="Arial" w:eastAsia="Calibri" w:hAnsi="Arial" w:cs="Arial"/>
          <w:bCs/>
          <w:sz w:val="26"/>
          <w:szCs w:val="26"/>
          <w:lang w:eastAsia="en-US"/>
        </w:rPr>
        <w:t xml:space="preserve">el publicado </w:t>
      </w:r>
      <w:r w:rsidRPr="00B66B63">
        <w:rPr>
          <w:rFonts w:ascii="Arial" w:eastAsia="Calibri" w:hAnsi="Arial" w:cs="Arial"/>
          <w:bCs/>
          <w:sz w:val="26"/>
          <w:szCs w:val="26"/>
          <w:lang w:eastAsia="en-US"/>
        </w:rPr>
        <w:t>en el Periódico Oficial del Estado de Oaxaca</w:t>
      </w:r>
      <w:r w:rsidRPr="00B66B63">
        <w:rPr>
          <w:rFonts w:ascii="Arial" w:eastAsia="Calibri" w:hAnsi="Arial" w:cs="Arial"/>
          <w:b/>
          <w:bCs/>
          <w:sz w:val="26"/>
          <w:szCs w:val="26"/>
          <w:lang w:eastAsia="en-US"/>
        </w:rPr>
        <w:t xml:space="preserve"> </w:t>
      </w:r>
      <w:r w:rsidRPr="00B66B63">
        <w:rPr>
          <w:rFonts w:ascii="Arial" w:eastAsia="Calibri" w:hAnsi="Arial" w:cs="Arial"/>
          <w:bCs/>
          <w:sz w:val="26"/>
          <w:szCs w:val="26"/>
          <w:lang w:eastAsia="en-US"/>
        </w:rPr>
        <w:t>el dos de enero de dos mil dieciocho</w:t>
      </w:r>
      <w:r w:rsidR="00BF0835">
        <w:rPr>
          <w:rFonts w:ascii="Arial" w:eastAsia="Calibri" w:hAnsi="Arial" w:cs="Arial"/>
          <w:bCs/>
          <w:sz w:val="26"/>
          <w:szCs w:val="26"/>
          <w:lang w:eastAsia="en-US"/>
        </w:rPr>
        <w:t>; por lo que se tiene que dichos preceptos establecen lo siguiente</w:t>
      </w:r>
      <w:r w:rsidRPr="00B66B63">
        <w:rPr>
          <w:rFonts w:ascii="Arial" w:eastAsia="Calibri" w:hAnsi="Arial" w:cs="Arial"/>
          <w:bCs/>
          <w:sz w:val="26"/>
          <w:szCs w:val="26"/>
          <w:lang w:eastAsia="en-US"/>
        </w:rPr>
        <w:t>:</w:t>
      </w:r>
    </w:p>
    <w:p w14:paraId="3EF446CF"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r w:rsidRPr="00164C1C">
        <w:rPr>
          <w:rFonts w:ascii="Arial" w:eastAsia="Calibri" w:hAnsi="Arial" w:cs="Arial"/>
          <w:b/>
          <w:bCs/>
          <w:i/>
          <w:lang w:eastAsia="en-US"/>
        </w:rPr>
        <w:t>Artículo 5.</w:t>
      </w:r>
      <w:r w:rsidRPr="00164C1C">
        <w:rPr>
          <w:rFonts w:ascii="Arial" w:eastAsia="Calibri" w:hAnsi="Arial" w:cs="Arial"/>
          <w:bCs/>
          <w:i/>
          <w:lang w:eastAsia="en-US"/>
        </w:rPr>
        <w:t xml:space="preserve"> Para el ejercicio de las facultades y el despacho de los asuntos que le competen, la Secretaría contará con las áreas administrativas siguientes:</w:t>
      </w:r>
    </w:p>
    <w:p w14:paraId="3C4D5282"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7D6320DC"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1.2.1. Dirección de Contraloría Social</w:t>
      </w:r>
    </w:p>
    <w:p w14:paraId="5EF09DBE"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4FE06BBF" w14:textId="77777777" w:rsidR="00B66B63" w:rsidRPr="00164C1C" w:rsidRDefault="00B66B63" w:rsidP="00164C1C">
      <w:pPr>
        <w:spacing w:after="120" w:line="240" w:lineRule="auto"/>
        <w:ind w:right="49" w:firstLine="709"/>
        <w:jc w:val="both"/>
        <w:rPr>
          <w:rFonts w:ascii="Arial" w:eastAsia="Calibri" w:hAnsi="Arial" w:cs="Arial"/>
          <w:b/>
          <w:bCs/>
          <w:lang w:eastAsia="en-US"/>
        </w:rPr>
      </w:pPr>
      <w:r w:rsidRPr="00164C1C">
        <w:rPr>
          <w:rFonts w:ascii="Arial" w:eastAsia="Calibri" w:hAnsi="Arial" w:cs="Arial"/>
          <w:b/>
          <w:bCs/>
          <w:lang w:eastAsia="en-US"/>
        </w:rPr>
        <w:lastRenderedPageBreak/>
        <w:t>-No existe el numeral 1.2.1.6-.</w:t>
      </w:r>
    </w:p>
    <w:p w14:paraId="6F92638A"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
          <w:bCs/>
          <w:i/>
          <w:lang w:eastAsia="en-US"/>
        </w:rPr>
        <w:t>Artículo 36.</w:t>
      </w:r>
      <w:r w:rsidRPr="00164C1C">
        <w:rPr>
          <w:rFonts w:ascii="Arial" w:eastAsia="Calibri" w:hAnsi="Arial" w:cs="Arial"/>
          <w:bCs/>
          <w:i/>
          <w:lang w:eastAsia="en-US"/>
        </w:rPr>
        <w:t xml:space="preserve"> Al frente de los Departamentos de Auditoria A1, A2, B1, B2 y C habrá un jefe de Departamento por cada uno de ellos, quienes dependerán, respectivamente, de los Coordinadores de Auditoria A1, A2, B1, B2 y C y tendrán las siguientes facultades: </w:t>
      </w:r>
    </w:p>
    <w:p w14:paraId="5E018736"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7BAD19FA"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III. Elaborar el programa de trabajo, carta de planeación, cronograma, y demás documentos generados para el proceso de auditoria; apoyándose para tal efecto de los auditores;</w:t>
      </w:r>
    </w:p>
    <w:p w14:paraId="3ACA7339"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IV. Ejecutar las auditorias, inspecciones, supervisiones, revisiones, investigaciones y seguimientos, que habrán de realizarse a los órganos públicos, para la comprobación y verificación de la aplicación de las disposiciones legales aplicables; así como para la fiscalización de los programas, proyectos y acciones ejecutadas con recursos públicos federales y estatales;</w:t>
      </w:r>
    </w:p>
    <w:p w14:paraId="03B31EAA"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 xml:space="preserve">V. Ejecutar auditorias, estudios y evaluaciones de políticas públicas, programas de gobierno, programas presupuestarios, proyectos especiales, políticas y estrategias regionales; </w:t>
      </w:r>
    </w:p>
    <w:p w14:paraId="09AC01C7"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26CCF49A"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XXII. Fungir como auditor público en las inspecciones, evaluaciones, auditorias, revisiones, verificaciones, investigaciones y seguimientos que le instruya el Director;</w:t>
      </w:r>
    </w:p>
    <w:p w14:paraId="1FD09276"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1F8F7C88"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XXVIII. Elaborar los proyectos de informes y/o dictámenes instruidos por su superior jerárquico inmediato;</w:t>
      </w:r>
    </w:p>
    <w:p w14:paraId="5EA921B4" w14:textId="77777777" w:rsidR="00B66B63" w:rsidRPr="00164C1C" w:rsidRDefault="00B66B63" w:rsidP="00164C1C">
      <w:pPr>
        <w:spacing w:after="120" w:line="240" w:lineRule="auto"/>
        <w:ind w:left="709" w:right="758"/>
        <w:jc w:val="both"/>
        <w:rPr>
          <w:rFonts w:ascii="Arial" w:eastAsia="Calibri" w:hAnsi="Arial" w:cs="Arial"/>
          <w:bCs/>
          <w:lang w:eastAsia="en-US"/>
        </w:rPr>
      </w:pPr>
      <w:r w:rsidRPr="00164C1C">
        <w:rPr>
          <w:rFonts w:ascii="Arial" w:eastAsia="Calibri" w:hAnsi="Arial" w:cs="Arial"/>
          <w:bCs/>
          <w:i/>
          <w:lang w:eastAsia="en-US"/>
        </w:rPr>
        <w:t>(…)</w:t>
      </w:r>
    </w:p>
    <w:p w14:paraId="197EEE5A"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
          <w:bCs/>
          <w:i/>
          <w:lang w:eastAsia="en-US"/>
        </w:rPr>
        <w:t>Artículo 40.</w:t>
      </w:r>
      <w:r w:rsidRPr="00164C1C">
        <w:rPr>
          <w:rFonts w:ascii="Arial" w:eastAsia="Calibri" w:hAnsi="Arial" w:cs="Arial"/>
          <w:bCs/>
          <w:i/>
          <w:lang w:eastAsia="en-US"/>
        </w:rPr>
        <w:t xml:space="preserve"> Al frente del Departamento de Calidad de Obra habrá un Jefe de Departamento quien dependerá directamente del Director de Auditoria C y tendrá las siguientes facultades: </w:t>
      </w:r>
    </w:p>
    <w:p w14:paraId="358AC51E"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X. Atender y dar seguimiento en tiempo y forma a las quejas y denuncias en materia de calidad de obra pública y servicios relacionados con las mismas, ejecutados por los órganos públicos y Municipios;</w:t>
      </w:r>
    </w:p>
    <w:p w14:paraId="27B8E23F"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7ACC5643" w14:textId="77777777" w:rsidR="00B66B63" w:rsidRPr="00164C1C" w:rsidRDefault="00B66B63" w:rsidP="00164C1C">
      <w:pPr>
        <w:spacing w:after="120" w:line="240" w:lineRule="auto"/>
        <w:ind w:left="709" w:right="758"/>
        <w:jc w:val="both"/>
        <w:rPr>
          <w:rFonts w:ascii="Arial" w:eastAsia="Calibri" w:hAnsi="Arial" w:cs="Arial"/>
          <w:bCs/>
          <w:i/>
          <w:lang w:eastAsia="en-US"/>
        </w:rPr>
      </w:pPr>
      <w:r w:rsidRPr="00164C1C">
        <w:rPr>
          <w:rFonts w:ascii="Arial" w:eastAsia="Calibri" w:hAnsi="Arial" w:cs="Arial"/>
          <w:bCs/>
          <w:i/>
          <w:lang w:eastAsia="en-US"/>
        </w:rPr>
        <w:t>…”</w:t>
      </w:r>
    </w:p>
    <w:p w14:paraId="0C163E35" w14:textId="1080DAAB" w:rsidR="00B66B63" w:rsidRPr="0095617E" w:rsidRDefault="00B66B63" w:rsidP="00C90893">
      <w:pPr>
        <w:spacing w:after="120" w:line="360" w:lineRule="auto"/>
        <w:ind w:right="51" w:firstLine="709"/>
        <w:jc w:val="both"/>
        <w:rPr>
          <w:rFonts w:ascii="Arial" w:eastAsia="Calibri" w:hAnsi="Arial" w:cs="Arial"/>
          <w:bCs/>
          <w:sz w:val="26"/>
          <w:szCs w:val="26"/>
          <w:lang w:eastAsia="en-US"/>
        </w:rPr>
      </w:pPr>
      <w:r w:rsidRPr="00B66B63">
        <w:rPr>
          <w:rFonts w:ascii="Arial" w:eastAsia="Calibri" w:hAnsi="Arial" w:cs="Arial"/>
          <w:bCs/>
          <w:sz w:val="26"/>
          <w:szCs w:val="26"/>
          <w:lang w:eastAsia="en-US"/>
        </w:rPr>
        <w:t xml:space="preserve">Conforme a estos artículos se tiene que el Director de Responsabilidades Administrativas y Situación Patrimonial dependiente de la Secretaría de la Contraloría y Transparencia Gubernamental del Estado de Oaxaca, al momento de fundar las facultades para emitir la resolución administrativa de </w:t>
      </w:r>
      <w:r w:rsidR="00C90893">
        <w:rPr>
          <w:rFonts w:ascii="Arial" w:eastAsia="Calibri" w:hAnsi="Arial" w:cs="Arial"/>
          <w:bCs/>
          <w:sz w:val="26"/>
          <w:szCs w:val="26"/>
          <w:lang w:eastAsia="en-US"/>
        </w:rPr>
        <w:t xml:space="preserve">veintiuno de febrero </w:t>
      </w:r>
      <w:r w:rsidRPr="00B66B63">
        <w:rPr>
          <w:rFonts w:ascii="Arial" w:eastAsia="Calibri" w:hAnsi="Arial" w:cs="Arial"/>
          <w:bCs/>
          <w:sz w:val="26"/>
          <w:szCs w:val="26"/>
          <w:lang w:eastAsia="en-US"/>
        </w:rPr>
        <w:t xml:space="preserve">de dos mil diecinueve, contenida en el expediente de procedimiento de responsabilidad administrativa de número </w:t>
      </w:r>
      <w:r w:rsidR="00266B2D">
        <w:rPr>
          <w:rFonts w:ascii="Arial" w:eastAsia="Calibri" w:hAnsi="Arial" w:cs="Arial"/>
          <w:bCs/>
          <w:sz w:val="26"/>
          <w:szCs w:val="26"/>
          <w:lang w:eastAsia="en-US"/>
        </w:rPr>
        <w:t>*******</w:t>
      </w:r>
      <w:r w:rsidRPr="00B66B63">
        <w:rPr>
          <w:rFonts w:ascii="Arial" w:eastAsia="Calibri" w:hAnsi="Arial" w:cs="Arial"/>
          <w:bCs/>
          <w:sz w:val="26"/>
          <w:szCs w:val="26"/>
          <w:lang w:eastAsia="en-US"/>
        </w:rPr>
        <w:t xml:space="preserve">, </w:t>
      </w:r>
      <w:r w:rsidR="003E7A1E" w:rsidRPr="003E7A1E">
        <w:rPr>
          <w:rFonts w:ascii="Arial" w:eastAsia="Calibri" w:hAnsi="Arial" w:cs="Arial"/>
          <w:bCs/>
          <w:sz w:val="26"/>
          <w:szCs w:val="26"/>
          <w:lang w:eastAsia="en-US"/>
        </w:rPr>
        <w:t>se</w:t>
      </w:r>
      <w:r w:rsidRPr="00B66B63">
        <w:rPr>
          <w:rFonts w:ascii="Arial" w:eastAsia="Calibri" w:hAnsi="Arial" w:cs="Arial"/>
          <w:bCs/>
          <w:sz w:val="26"/>
          <w:szCs w:val="26"/>
          <w:lang w:eastAsia="en-US"/>
        </w:rPr>
        <w:t xml:space="preserve"> apoyó </w:t>
      </w:r>
      <w:r w:rsidR="003E7A1E">
        <w:rPr>
          <w:rFonts w:ascii="Arial" w:eastAsia="Calibri" w:hAnsi="Arial" w:cs="Arial"/>
          <w:bCs/>
          <w:sz w:val="26"/>
          <w:szCs w:val="26"/>
          <w:lang w:eastAsia="en-US"/>
        </w:rPr>
        <w:t xml:space="preserve">en los </w:t>
      </w:r>
      <w:r w:rsidRPr="00B66B63">
        <w:rPr>
          <w:rFonts w:ascii="Arial" w:eastAsia="Calibri" w:hAnsi="Arial" w:cs="Arial"/>
          <w:bCs/>
          <w:sz w:val="26"/>
          <w:szCs w:val="26"/>
          <w:lang w:eastAsia="en-US"/>
        </w:rPr>
        <w:t xml:space="preserve">artículos y numerales del Reglamento </w:t>
      </w:r>
      <w:r w:rsidRPr="007775AC">
        <w:rPr>
          <w:rFonts w:ascii="Arial" w:eastAsia="Calibri" w:hAnsi="Arial" w:cs="Arial"/>
          <w:bCs/>
          <w:sz w:val="26"/>
          <w:szCs w:val="26"/>
          <w:lang w:eastAsia="en-US"/>
        </w:rPr>
        <w:t xml:space="preserve">Interno </w:t>
      </w:r>
      <w:r w:rsidR="008A6587" w:rsidRPr="007775AC">
        <w:rPr>
          <w:rFonts w:ascii="Arial" w:eastAsia="Calibri" w:hAnsi="Arial" w:cs="Arial"/>
          <w:bCs/>
          <w:sz w:val="24"/>
          <w:szCs w:val="24"/>
        </w:rPr>
        <w:t>(</w:t>
      </w:r>
      <w:r w:rsidR="008A6587" w:rsidRPr="007775AC">
        <w:rPr>
          <w:rFonts w:ascii="Arial" w:eastAsia="Calibri" w:hAnsi="Arial" w:cs="Arial"/>
          <w:bCs/>
          <w:i/>
          <w:sz w:val="24"/>
          <w:szCs w:val="24"/>
          <w:lang w:val="es-ES" w:eastAsia="en-US"/>
        </w:rPr>
        <w:t>publicada en el Periódico Oficial del Estado de Oaxaca, el día dos de enero de febrero de dos mil dieciséis</w:t>
      </w:r>
      <w:r w:rsidRPr="007775AC">
        <w:rPr>
          <w:rFonts w:ascii="Arial" w:eastAsia="Calibri" w:hAnsi="Arial" w:cs="Arial"/>
          <w:bCs/>
          <w:i/>
          <w:sz w:val="24"/>
          <w:szCs w:val="24"/>
          <w:lang w:eastAsia="en-US"/>
        </w:rPr>
        <w:t>)</w:t>
      </w:r>
      <w:r w:rsidRPr="0095617E">
        <w:rPr>
          <w:rFonts w:ascii="Arial" w:eastAsia="Calibri" w:hAnsi="Arial" w:cs="Arial"/>
          <w:bCs/>
          <w:sz w:val="26"/>
          <w:szCs w:val="26"/>
          <w:lang w:eastAsia="en-US"/>
        </w:rPr>
        <w:t xml:space="preserve"> </w:t>
      </w:r>
      <w:r w:rsidR="007F14FD" w:rsidRPr="0095617E">
        <w:rPr>
          <w:rFonts w:ascii="Arial" w:eastAsia="Calibri" w:hAnsi="Arial" w:cs="Arial"/>
          <w:bCs/>
          <w:sz w:val="26"/>
          <w:szCs w:val="26"/>
          <w:lang w:eastAsia="en-US"/>
        </w:rPr>
        <w:t>transcritos, que</w:t>
      </w:r>
      <w:r w:rsidR="00127893" w:rsidRPr="0095617E">
        <w:rPr>
          <w:rFonts w:ascii="Arial" w:eastAsia="Calibri" w:hAnsi="Arial" w:cs="Arial"/>
          <w:bCs/>
          <w:sz w:val="26"/>
          <w:szCs w:val="26"/>
          <w:lang w:eastAsia="en-US"/>
        </w:rPr>
        <w:t xml:space="preserve"> se</w:t>
      </w:r>
      <w:r w:rsidR="007F14FD" w:rsidRPr="0095617E">
        <w:rPr>
          <w:rFonts w:ascii="Arial" w:eastAsia="Calibri" w:hAnsi="Arial" w:cs="Arial"/>
          <w:bCs/>
          <w:sz w:val="26"/>
          <w:szCs w:val="26"/>
          <w:lang w:eastAsia="en-US"/>
        </w:rPr>
        <w:t xml:space="preserve"> </w:t>
      </w:r>
      <w:r w:rsidRPr="0095617E">
        <w:rPr>
          <w:rFonts w:ascii="Arial" w:eastAsia="Calibri" w:hAnsi="Arial" w:cs="Arial"/>
          <w:bCs/>
          <w:sz w:val="26"/>
          <w:szCs w:val="26"/>
          <w:lang w:eastAsia="en-US"/>
        </w:rPr>
        <w:t>refieren a la Dirección de Contraloría Social, a los Departamentos de Audito</w:t>
      </w:r>
      <w:r w:rsidR="00D27996" w:rsidRPr="0095617E">
        <w:rPr>
          <w:rFonts w:ascii="Arial" w:eastAsia="Calibri" w:hAnsi="Arial" w:cs="Arial"/>
          <w:bCs/>
          <w:sz w:val="26"/>
          <w:szCs w:val="26"/>
          <w:lang w:eastAsia="en-US"/>
        </w:rPr>
        <w:t>rí</w:t>
      </w:r>
      <w:r w:rsidRPr="0095617E">
        <w:rPr>
          <w:rFonts w:ascii="Arial" w:eastAsia="Calibri" w:hAnsi="Arial" w:cs="Arial"/>
          <w:bCs/>
          <w:sz w:val="26"/>
          <w:szCs w:val="26"/>
          <w:lang w:eastAsia="en-US"/>
        </w:rPr>
        <w:t xml:space="preserve">a A1, A2, B1, B2 y C y al Departamento de Calidad de Obra; luego, </w:t>
      </w:r>
      <w:r w:rsidRPr="0095617E">
        <w:rPr>
          <w:rFonts w:ascii="Arial" w:eastAsia="Calibri" w:hAnsi="Arial" w:cs="Arial"/>
          <w:b/>
          <w:bCs/>
          <w:sz w:val="26"/>
          <w:szCs w:val="26"/>
          <w:lang w:eastAsia="en-US"/>
        </w:rPr>
        <w:t xml:space="preserve">la fundamentación de su competencia es indebida </w:t>
      </w:r>
      <w:r w:rsidRPr="0095617E">
        <w:rPr>
          <w:rFonts w:ascii="Arial" w:eastAsia="Calibri" w:hAnsi="Arial" w:cs="Arial"/>
          <w:bCs/>
          <w:sz w:val="26"/>
          <w:szCs w:val="26"/>
          <w:lang w:eastAsia="en-US"/>
        </w:rPr>
        <w:t xml:space="preserve">y por ende, la resolución administrativa se encuentra viciada de origen al haber sido </w:t>
      </w:r>
      <w:r w:rsidR="00D27996" w:rsidRPr="0095617E">
        <w:rPr>
          <w:rFonts w:ascii="Arial" w:eastAsia="Calibri" w:hAnsi="Arial" w:cs="Arial"/>
          <w:bCs/>
          <w:sz w:val="26"/>
          <w:szCs w:val="26"/>
          <w:lang w:eastAsia="en-US"/>
        </w:rPr>
        <w:t>emitida</w:t>
      </w:r>
      <w:r w:rsidRPr="0095617E">
        <w:rPr>
          <w:rFonts w:ascii="Arial" w:eastAsia="Calibri" w:hAnsi="Arial" w:cs="Arial"/>
          <w:bCs/>
          <w:sz w:val="26"/>
          <w:szCs w:val="26"/>
          <w:lang w:eastAsia="en-US"/>
        </w:rPr>
        <w:t xml:space="preserve"> por una autoridad que no cuenta con facultades para ello y que </w:t>
      </w:r>
      <w:r w:rsidRPr="0095617E">
        <w:rPr>
          <w:rFonts w:ascii="Arial" w:eastAsia="Calibri" w:hAnsi="Arial" w:cs="Arial"/>
          <w:bCs/>
          <w:sz w:val="26"/>
          <w:szCs w:val="26"/>
          <w:lang w:eastAsia="en-US"/>
        </w:rPr>
        <w:lastRenderedPageBreak/>
        <w:t xml:space="preserve">además, fundó su atribución en preceptos legales que </w:t>
      </w:r>
      <w:r w:rsidR="00D27996" w:rsidRPr="0095617E">
        <w:rPr>
          <w:rFonts w:ascii="Arial" w:eastAsia="Calibri" w:hAnsi="Arial" w:cs="Arial"/>
          <w:bCs/>
          <w:sz w:val="26"/>
          <w:szCs w:val="26"/>
          <w:lang w:eastAsia="en-US"/>
        </w:rPr>
        <w:t>señalan</w:t>
      </w:r>
      <w:r w:rsidRPr="0095617E">
        <w:rPr>
          <w:rFonts w:ascii="Arial" w:eastAsia="Calibri" w:hAnsi="Arial" w:cs="Arial"/>
          <w:bCs/>
          <w:sz w:val="26"/>
          <w:szCs w:val="26"/>
          <w:lang w:eastAsia="en-US"/>
        </w:rPr>
        <w:t xml:space="preserve"> a otros órganos distintos</w:t>
      </w:r>
      <w:r w:rsidR="00D27996" w:rsidRPr="0095617E">
        <w:rPr>
          <w:rFonts w:ascii="Arial" w:eastAsia="Calibri" w:hAnsi="Arial" w:cs="Arial"/>
          <w:bCs/>
          <w:sz w:val="26"/>
          <w:szCs w:val="26"/>
          <w:lang w:eastAsia="en-US"/>
        </w:rPr>
        <w:t xml:space="preserve"> y</w:t>
      </w:r>
      <w:r w:rsidRPr="0095617E">
        <w:rPr>
          <w:rFonts w:ascii="Arial" w:eastAsia="Calibri" w:hAnsi="Arial" w:cs="Arial"/>
          <w:bCs/>
          <w:sz w:val="26"/>
          <w:szCs w:val="26"/>
          <w:lang w:eastAsia="en-US"/>
        </w:rPr>
        <w:t xml:space="preserve"> que realizan funciones que no guardan relación alguna con procedimientos de responsabilidade</w:t>
      </w:r>
      <w:r w:rsidR="00266B2D">
        <w:rPr>
          <w:rFonts w:ascii="Arial" w:eastAsia="Calibri" w:hAnsi="Arial" w:cs="Arial"/>
          <w:bCs/>
          <w:sz w:val="26"/>
          <w:szCs w:val="26"/>
          <w:lang w:eastAsia="en-US"/>
        </w:rPr>
        <w:t xml:space="preserve">s administrativas.- - - - - </w:t>
      </w:r>
    </w:p>
    <w:p w14:paraId="4C5D2017" w14:textId="4DC9299A" w:rsidR="00B66B63" w:rsidRPr="00B66B63" w:rsidRDefault="00B66B63" w:rsidP="00C90893">
      <w:pPr>
        <w:spacing w:before="120" w:after="0" w:line="360" w:lineRule="auto"/>
        <w:ind w:right="51" w:firstLine="709"/>
        <w:jc w:val="both"/>
        <w:rPr>
          <w:rFonts w:ascii="Arial" w:eastAsia="Calibri" w:hAnsi="Arial" w:cs="Arial"/>
          <w:bCs/>
          <w:sz w:val="26"/>
          <w:szCs w:val="26"/>
          <w:lang w:eastAsia="en-US"/>
        </w:rPr>
      </w:pPr>
      <w:r w:rsidRPr="0095617E">
        <w:rPr>
          <w:rFonts w:ascii="Arial" w:eastAsia="Calibri" w:hAnsi="Arial" w:cs="Arial"/>
          <w:bCs/>
          <w:sz w:val="26"/>
          <w:szCs w:val="26"/>
          <w:lang w:eastAsia="en-US"/>
        </w:rPr>
        <w:t xml:space="preserve">En consecuencia, la autoridad administrativa </w:t>
      </w:r>
      <w:r w:rsidRPr="0095617E">
        <w:rPr>
          <w:rFonts w:ascii="Arial" w:eastAsia="Calibri" w:hAnsi="Arial" w:cs="Arial"/>
          <w:b/>
          <w:bCs/>
          <w:sz w:val="26"/>
          <w:szCs w:val="26"/>
          <w:lang w:eastAsia="en-US"/>
        </w:rPr>
        <w:t>incumplió</w:t>
      </w:r>
      <w:r w:rsidRPr="0095617E">
        <w:rPr>
          <w:rFonts w:ascii="Arial" w:eastAsia="Calibri" w:hAnsi="Arial" w:cs="Arial"/>
          <w:bCs/>
          <w:sz w:val="26"/>
          <w:szCs w:val="26"/>
          <w:lang w:eastAsia="en-US"/>
        </w:rPr>
        <w:t xml:space="preserve"> con el</w:t>
      </w:r>
      <w:r w:rsidRPr="00B66B63">
        <w:rPr>
          <w:rFonts w:ascii="Arial" w:eastAsia="Calibri" w:hAnsi="Arial" w:cs="Arial"/>
          <w:bCs/>
          <w:sz w:val="26"/>
          <w:szCs w:val="26"/>
          <w:lang w:eastAsia="en-US"/>
        </w:rPr>
        <w:t xml:space="preserve"> máximo principio de legalidad, que lo constriñe a la obligación de fundar y motivar debidamente sus determinaciones, porque el artículo 16 de la Constitución</w:t>
      </w:r>
      <w:r w:rsidR="00C90893">
        <w:rPr>
          <w:rFonts w:ascii="Arial" w:eastAsia="Calibri" w:hAnsi="Arial" w:cs="Arial"/>
          <w:bCs/>
          <w:sz w:val="26"/>
          <w:szCs w:val="26"/>
          <w:lang w:eastAsia="en-US"/>
        </w:rPr>
        <w:t xml:space="preserve"> Política de los Estados Unidos Mexicanos</w:t>
      </w:r>
      <w:r w:rsidRPr="00B66B63">
        <w:rPr>
          <w:rFonts w:ascii="Arial" w:eastAsia="Calibri" w:hAnsi="Arial" w:cs="Arial"/>
          <w:bCs/>
          <w:sz w:val="26"/>
          <w:szCs w:val="26"/>
          <w:lang w:eastAsia="en-US"/>
        </w:rPr>
        <w:t>, en relación inmediata con el precepto legal 17</w:t>
      </w:r>
      <w:r w:rsidR="00C90893">
        <w:rPr>
          <w:rFonts w:ascii="Arial" w:eastAsia="Calibri" w:hAnsi="Arial" w:cs="Arial"/>
          <w:bCs/>
          <w:sz w:val="26"/>
          <w:szCs w:val="26"/>
          <w:lang w:eastAsia="en-US"/>
        </w:rPr>
        <w:t>,</w:t>
      </w:r>
      <w:r w:rsidRPr="00B66B63">
        <w:rPr>
          <w:rFonts w:ascii="Arial" w:eastAsia="Calibri" w:hAnsi="Arial" w:cs="Arial"/>
          <w:bCs/>
          <w:sz w:val="26"/>
          <w:szCs w:val="26"/>
          <w:lang w:eastAsia="en-US"/>
        </w:rPr>
        <w:t xml:space="preserve"> fracción V de la Ley de Procedimiento y Justicia Administrativa para el Estado de Oaxaca, exige</w:t>
      </w:r>
      <w:r w:rsidRPr="00133F10">
        <w:rPr>
          <w:rFonts w:ascii="Arial" w:eastAsia="Calibri" w:hAnsi="Arial" w:cs="Arial"/>
          <w:bCs/>
          <w:strike/>
          <w:sz w:val="26"/>
          <w:szCs w:val="26"/>
          <w:lang w:eastAsia="en-US"/>
        </w:rPr>
        <w:t xml:space="preserve"> </w:t>
      </w:r>
      <w:r w:rsidRPr="00B66B63">
        <w:rPr>
          <w:rFonts w:ascii="Arial" w:eastAsia="Calibri" w:hAnsi="Arial" w:cs="Arial"/>
          <w:bCs/>
          <w:sz w:val="26"/>
          <w:szCs w:val="26"/>
          <w:lang w:eastAsia="en-US"/>
        </w:rPr>
        <w:t xml:space="preserve">que los actos de las autoridades administrativas cumplan con los elementos mínimos para su validez, a saber, constar por escrito, ser emitidos por autoridad competente y estar fundados y motivados, entendiéndose por esto, </w:t>
      </w:r>
      <w:r w:rsidRPr="00B66B63">
        <w:rPr>
          <w:rFonts w:ascii="Arial" w:eastAsia="Calibri" w:hAnsi="Arial" w:cs="Arial"/>
          <w:b/>
          <w:bCs/>
          <w:sz w:val="26"/>
          <w:szCs w:val="26"/>
          <w:lang w:eastAsia="en-US"/>
        </w:rPr>
        <w:t>la cita exacta de los preceptos legales en que basan su actuación así como la expresión de las razones particulares, circunstancias especiales o causas inmediatas que expliquen la citación de los artículos, además que exista una adecuación entre los fundamentos señalados y los motivos aducidos, para que entonces se cumpla con tal formalidad, lo que en el caso no acontece.</w:t>
      </w:r>
      <w:r w:rsidRPr="00B66B63">
        <w:rPr>
          <w:rFonts w:ascii="Arial" w:eastAsia="Calibri" w:hAnsi="Arial" w:cs="Arial"/>
          <w:bCs/>
          <w:sz w:val="26"/>
          <w:szCs w:val="26"/>
          <w:lang w:eastAsia="en-US"/>
        </w:rPr>
        <w:t>- - - - - - - - - - - - - - - - - - - - - - - - - - - -</w:t>
      </w:r>
      <w:r w:rsidR="00C90893">
        <w:rPr>
          <w:rFonts w:ascii="Arial" w:eastAsia="Calibri" w:hAnsi="Arial" w:cs="Arial"/>
          <w:bCs/>
          <w:sz w:val="26"/>
          <w:szCs w:val="26"/>
          <w:lang w:eastAsia="en-US"/>
        </w:rPr>
        <w:t xml:space="preserve"> - - - - - - </w:t>
      </w:r>
      <w:r w:rsidRPr="00B66B63">
        <w:rPr>
          <w:rFonts w:ascii="Arial" w:eastAsia="Calibri" w:hAnsi="Arial" w:cs="Arial"/>
          <w:bCs/>
          <w:sz w:val="26"/>
          <w:szCs w:val="26"/>
          <w:lang w:eastAsia="en-US"/>
        </w:rPr>
        <w:t xml:space="preserve"> </w:t>
      </w:r>
    </w:p>
    <w:p w14:paraId="2BA4EBF9" w14:textId="680C931F" w:rsidR="00B66B63" w:rsidRDefault="00B66B63" w:rsidP="00C90893">
      <w:pPr>
        <w:spacing w:before="120" w:after="0" w:line="360" w:lineRule="auto"/>
        <w:ind w:right="49" w:firstLine="709"/>
        <w:jc w:val="both"/>
        <w:rPr>
          <w:rFonts w:ascii="Arial" w:hAnsi="Arial" w:cs="Arial"/>
          <w:sz w:val="26"/>
          <w:szCs w:val="26"/>
        </w:rPr>
      </w:pPr>
      <w:r w:rsidRPr="00B66B63">
        <w:rPr>
          <w:rFonts w:ascii="Arial" w:hAnsi="Arial" w:cs="Arial"/>
          <w:bCs/>
          <w:sz w:val="26"/>
          <w:szCs w:val="26"/>
        </w:rPr>
        <w:t>Esta consider</w:t>
      </w:r>
      <w:r w:rsidR="00C90893">
        <w:rPr>
          <w:rFonts w:ascii="Arial" w:hAnsi="Arial" w:cs="Arial"/>
          <w:bCs/>
          <w:sz w:val="26"/>
          <w:szCs w:val="26"/>
        </w:rPr>
        <w:t>ación encuentra su apoyo en la J</w:t>
      </w:r>
      <w:r w:rsidRPr="00B66B63">
        <w:rPr>
          <w:rFonts w:ascii="Arial" w:hAnsi="Arial" w:cs="Arial"/>
          <w:bCs/>
          <w:sz w:val="26"/>
          <w:szCs w:val="26"/>
        </w:rPr>
        <w:t xml:space="preserve">urisprudencia </w:t>
      </w:r>
      <w:r w:rsidRPr="00B66B63">
        <w:rPr>
          <w:rFonts w:ascii="Arial" w:hAnsi="Arial" w:cs="Arial"/>
          <w:sz w:val="26"/>
          <w:szCs w:val="26"/>
        </w:rPr>
        <w:t xml:space="preserve">I.4o.A. J/43 del </w:t>
      </w:r>
      <w:r w:rsidRPr="00B66B63">
        <w:rPr>
          <w:rFonts w:ascii="Arial" w:hAnsi="Arial" w:cs="Arial"/>
          <w:sz w:val="26"/>
          <w:szCs w:val="26"/>
          <w:lang w:val="es-ES"/>
        </w:rPr>
        <w:t xml:space="preserve">Cuarto </w:t>
      </w:r>
      <w:r w:rsidRPr="00B66B63">
        <w:rPr>
          <w:rFonts w:ascii="Arial" w:eastAsia="Calibri" w:hAnsi="Arial" w:cs="Arial"/>
          <w:bCs/>
          <w:sz w:val="26"/>
          <w:szCs w:val="26"/>
          <w:lang w:eastAsia="en-US"/>
        </w:rPr>
        <w:t>Tribunal</w:t>
      </w:r>
      <w:r w:rsidRPr="00B66B63">
        <w:rPr>
          <w:rFonts w:ascii="Arial" w:hAnsi="Arial" w:cs="Arial"/>
          <w:sz w:val="26"/>
          <w:szCs w:val="26"/>
          <w:lang w:val="es-ES"/>
        </w:rPr>
        <w:t xml:space="preserve"> Colegiado en Materia Administrativa del Primer Circuito, </w:t>
      </w:r>
      <w:r w:rsidRPr="00B66B63">
        <w:rPr>
          <w:rFonts w:ascii="Arial" w:hAnsi="Arial" w:cs="Arial"/>
          <w:sz w:val="26"/>
          <w:szCs w:val="26"/>
        </w:rPr>
        <w:t>publicado en el Semanario Judicial de la Federación y su Gaceta, en el Tomo XXIII, de Mayo de 2006, Materia: Común, en la página 1531, del tenor literal siguiente:</w:t>
      </w:r>
    </w:p>
    <w:p w14:paraId="452DAC76" w14:textId="0A639693" w:rsidR="00B66B63" w:rsidRDefault="00B66B63" w:rsidP="00C90893">
      <w:pPr>
        <w:spacing w:after="120" w:line="240" w:lineRule="auto"/>
        <w:ind w:left="709" w:right="760"/>
        <w:jc w:val="both"/>
        <w:rPr>
          <w:rFonts w:ascii="Arial" w:eastAsia="Calibri" w:hAnsi="Arial" w:cs="Arial"/>
          <w:bCs/>
          <w:i/>
          <w:lang w:eastAsia="en-US"/>
        </w:rPr>
      </w:pPr>
      <w:r w:rsidRPr="00B66B63">
        <w:rPr>
          <w:rFonts w:ascii="Arial" w:eastAsia="Calibri" w:hAnsi="Arial" w:cs="Arial"/>
          <w:bCs/>
          <w:i/>
          <w:lang w:eastAsia="en-US"/>
        </w:rPr>
        <w:t>“</w:t>
      </w:r>
      <w:r w:rsidRPr="00B66B63">
        <w:rPr>
          <w:rFonts w:ascii="Arial" w:eastAsia="Calibri" w:hAnsi="Arial" w:cs="Arial"/>
          <w:b/>
          <w:bCs/>
          <w:i/>
          <w:lang w:eastAsia="en-US"/>
        </w:rPr>
        <w:t>FUNDAMENTACIÓN Y MOTIVACIÓN. EL ASPECTO FORMAL DE LA GARANTÍA Y SU FINALIDAD SE TRADUCEN EN EXPLICAR, JUSTIFICAR, POSIBILITAR LA DEFENSA Y COMUNICAR LA DECISIÓN.</w:t>
      </w:r>
      <w:r w:rsidR="00C90893">
        <w:rPr>
          <w:rFonts w:ascii="Arial" w:eastAsia="Calibri" w:hAnsi="Arial" w:cs="Arial"/>
          <w:b/>
          <w:bCs/>
          <w:i/>
          <w:lang w:eastAsia="en-US"/>
        </w:rPr>
        <w:t xml:space="preserve"> </w:t>
      </w:r>
      <w:r w:rsidRPr="00B66B63">
        <w:rPr>
          <w:rFonts w:ascii="Arial" w:eastAsia="Calibri" w:hAnsi="Arial" w:cs="Arial"/>
          <w:bCs/>
          <w:i/>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6798D04" w14:textId="77777777" w:rsidR="00C90893" w:rsidRPr="00B66B63" w:rsidRDefault="00C90893" w:rsidP="00C90893">
      <w:pPr>
        <w:spacing w:after="120" w:line="240" w:lineRule="auto"/>
        <w:ind w:left="709" w:right="760"/>
        <w:jc w:val="both"/>
        <w:rPr>
          <w:rFonts w:ascii="Arial" w:eastAsia="Calibri" w:hAnsi="Arial" w:cs="Arial"/>
          <w:bCs/>
          <w:i/>
          <w:lang w:eastAsia="en-US"/>
        </w:rPr>
      </w:pPr>
    </w:p>
    <w:p w14:paraId="043DF81F" w14:textId="456FB8FF" w:rsidR="00B66B63" w:rsidRPr="00B66B63" w:rsidRDefault="00B66B63" w:rsidP="00C90893">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En congruencia con lo anterior, resulta innegable que para estimar satisfecha la garantía de la debida fundamentación, que establece dicho precepto constitucional,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B66B63">
        <w:rPr>
          <w:rFonts w:ascii="Arial" w:hAnsi="Arial" w:cs="Arial"/>
          <w:bCs/>
          <w:sz w:val="26"/>
          <w:szCs w:val="26"/>
        </w:rPr>
        <w:t>subincisos</w:t>
      </w:r>
      <w:proofErr w:type="spellEnd"/>
      <w:r w:rsidRPr="00B66B63">
        <w:rPr>
          <w:rFonts w:ascii="Arial" w:hAnsi="Arial" w:cs="Arial"/>
          <w:bCs/>
          <w:sz w:val="26"/>
          <w:szCs w:val="26"/>
        </w:rPr>
        <w:t xml:space="preserve"> en que apoya su actuación; pues de no ser así, se dejaría al gobernado en estado de indefensión, toda vez que se traduciría en que éste ignorara si el proceder de la autoridad se </w:t>
      </w:r>
      <w:r w:rsidRPr="0095617E">
        <w:rPr>
          <w:rFonts w:ascii="Arial" w:hAnsi="Arial" w:cs="Arial"/>
          <w:bCs/>
          <w:sz w:val="26"/>
          <w:szCs w:val="26"/>
        </w:rPr>
        <w:t xml:space="preserve">encuentra o no dentro del ámbito competencial respectivo y, en consecuencia, si está o no ajustado a derecho; esto es así, porque no es permisible </w:t>
      </w:r>
      <w:r w:rsidR="00FB277B" w:rsidRPr="0095617E">
        <w:rPr>
          <w:rFonts w:ascii="Arial" w:hAnsi="Arial" w:cs="Arial"/>
          <w:bCs/>
          <w:sz w:val="26"/>
          <w:szCs w:val="26"/>
        </w:rPr>
        <w:t>amparar</w:t>
      </w:r>
      <w:r w:rsidRPr="0095617E">
        <w:rPr>
          <w:rFonts w:ascii="Arial" w:hAnsi="Arial" w:cs="Arial"/>
          <w:bCs/>
          <w:sz w:val="26"/>
          <w:szCs w:val="26"/>
        </w:rPr>
        <w:t xml:space="preserve"> en la garantía individual en cuestión, ninguna clase de ambigüedad, ya que su finalidad consiste, esencialmente, en una exacta individualización del acto de autoridad, de acuerdo a la hipótesis jurídica en que se ubique el</w:t>
      </w:r>
      <w:r w:rsidRPr="00B66B63">
        <w:rPr>
          <w:rFonts w:ascii="Arial" w:hAnsi="Arial" w:cs="Arial"/>
          <w:bCs/>
          <w:sz w:val="26"/>
          <w:szCs w:val="26"/>
        </w:rPr>
        <w:t xml:space="preserve"> administrado en relación con las facultades de la autoridad, por razones de seguridad jurídica.- - - - - - - - - - - - - - - - </w:t>
      </w:r>
      <w:r w:rsidR="00B805AF">
        <w:rPr>
          <w:rFonts w:ascii="Arial" w:hAnsi="Arial" w:cs="Arial"/>
          <w:bCs/>
          <w:sz w:val="26"/>
          <w:szCs w:val="26"/>
        </w:rPr>
        <w:t xml:space="preserve">- - - - - - - - - - - - - - - - - - - - </w:t>
      </w:r>
    </w:p>
    <w:p w14:paraId="58647B27" w14:textId="6B90951D" w:rsidR="00B66B63" w:rsidRPr="00B66B63" w:rsidRDefault="00B66B63" w:rsidP="00C90893">
      <w:pPr>
        <w:spacing w:after="120" w:line="360" w:lineRule="auto"/>
        <w:ind w:right="51" w:firstLine="709"/>
        <w:jc w:val="both"/>
        <w:rPr>
          <w:rFonts w:ascii="Arial" w:hAnsi="Arial" w:cs="Arial"/>
          <w:bCs/>
          <w:sz w:val="26"/>
          <w:szCs w:val="26"/>
        </w:rPr>
      </w:pPr>
      <w:r w:rsidRPr="00B66B63">
        <w:rPr>
          <w:rFonts w:ascii="Arial" w:hAnsi="Arial" w:cs="Arial"/>
          <w:bCs/>
          <w:sz w:val="26"/>
          <w:szCs w:val="26"/>
        </w:rPr>
        <w:t>Si</w:t>
      </w:r>
      <w:r w:rsidR="00C90893">
        <w:rPr>
          <w:rFonts w:ascii="Arial" w:hAnsi="Arial" w:cs="Arial"/>
          <w:bCs/>
          <w:sz w:val="26"/>
          <w:szCs w:val="26"/>
        </w:rPr>
        <w:t>rve de apoyo a lo anterior, la J</w:t>
      </w:r>
      <w:r w:rsidRPr="00B66B63">
        <w:rPr>
          <w:rFonts w:ascii="Arial" w:hAnsi="Arial" w:cs="Arial"/>
          <w:bCs/>
          <w:sz w:val="26"/>
          <w:szCs w:val="26"/>
        </w:rPr>
        <w:t>urisprudencia de número de registro 177347, de la Segunda Sala de la Suprema Corte de Justicia de la Nación, visibl</w:t>
      </w:r>
      <w:r w:rsidR="00C90893">
        <w:rPr>
          <w:rFonts w:ascii="Arial" w:hAnsi="Arial" w:cs="Arial"/>
          <w:bCs/>
          <w:sz w:val="26"/>
          <w:szCs w:val="26"/>
        </w:rPr>
        <w:t>e en la página 310, Tomo XXII, s</w:t>
      </w:r>
      <w:r w:rsidRPr="00B66B63">
        <w:rPr>
          <w:rFonts w:ascii="Arial" w:hAnsi="Arial" w:cs="Arial"/>
          <w:bCs/>
          <w:sz w:val="26"/>
          <w:szCs w:val="26"/>
        </w:rPr>
        <w:t xml:space="preserve">eptiembre de 2005, Materia Administrativa, Novena Época, que dice: </w:t>
      </w:r>
    </w:p>
    <w:p w14:paraId="122B1913" w14:textId="76692461" w:rsidR="00B66B63" w:rsidRDefault="00B66B63" w:rsidP="00253FD9">
      <w:pPr>
        <w:spacing w:after="0" w:line="240" w:lineRule="auto"/>
        <w:ind w:left="709" w:right="760"/>
        <w:jc w:val="both"/>
        <w:rPr>
          <w:rFonts w:ascii="Arial" w:hAnsi="Arial" w:cs="Arial"/>
          <w:bCs/>
          <w:i/>
        </w:rPr>
      </w:pPr>
      <w:r w:rsidRPr="00B66B63">
        <w:rPr>
          <w:rFonts w:ascii="Arial" w:hAnsi="Arial" w:cs="Arial"/>
          <w:bCs/>
          <w:i/>
        </w:rPr>
        <w:t>“</w:t>
      </w:r>
      <w:r w:rsidRPr="00B66B63">
        <w:rPr>
          <w:rFonts w:ascii="Arial" w:hAnsi="Arial" w:cs="Arial"/>
          <w:b/>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C90893">
        <w:rPr>
          <w:rFonts w:ascii="Arial" w:hAnsi="Arial" w:cs="Arial"/>
          <w:b/>
          <w:bCs/>
          <w:i/>
        </w:rPr>
        <w:t xml:space="preserve"> </w:t>
      </w:r>
      <w:r w:rsidRPr="00B66B63">
        <w:rPr>
          <w:rFonts w:ascii="Arial" w:hAnsi="Arial" w:cs="Arial"/>
          <w:bCs/>
          <w:i/>
        </w:rPr>
        <w:t>De lo dispuesto en la tesis de jurisprudencia P</w:t>
      </w:r>
      <w:proofErr w:type="gramStart"/>
      <w:r w:rsidRPr="00B66B63">
        <w:rPr>
          <w:rFonts w:ascii="Arial" w:hAnsi="Arial" w:cs="Arial"/>
          <w:bCs/>
          <w:i/>
        </w:rPr>
        <w:t>./</w:t>
      </w:r>
      <w:proofErr w:type="gramEnd"/>
      <w:r w:rsidRPr="00B66B63">
        <w:rPr>
          <w:rFonts w:ascii="Arial" w:hAnsi="Arial" w:cs="Arial"/>
          <w:bCs/>
          <w:i/>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w:t>
      </w:r>
      <w:r w:rsidRPr="00B66B63">
        <w:rPr>
          <w:rFonts w:ascii="Arial" w:hAnsi="Arial" w:cs="Arial"/>
          <w:bCs/>
          <w:i/>
        </w:rPr>
        <w:lastRenderedPageBreak/>
        <w:t xml:space="preserve">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B66B63">
        <w:rPr>
          <w:rFonts w:ascii="Arial" w:hAnsi="Arial" w:cs="Arial"/>
          <w:bCs/>
          <w:i/>
        </w:rPr>
        <w:t>subinciso</w:t>
      </w:r>
      <w:proofErr w:type="spellEnd"/>
      <w:r w:rsidRPr="00B66B63">
        <w:rPr>
          <w:rFonts w:ascii="Arial" w:hAnsi="Arial" w:cs="Arial"/>
          <w:bCs/>
          <w:i/>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5A68928E" w14:textId="77777777" w:rsidR="00253FD9" w:rsidRDefault="00253FD9" w:rsidP="00253FD9">
      <w:pPr>
        <w:spacing w:after="0" w:line="360" w:lineRule="auto"/>
        <w:ind w:right="49" w:firstLine="709"/>
        <w:jc w:val="both"/>
        <w:rPr>
          <w:rFonts w:ascii="Arial" w:hAnsi="Arial" w:cs="Arial"/>
          <w:bCs/>
          <w:sz w:val="26"/>
          <w:szCs w:val="26"/>
        </w:rPr>
      </w:pPr>
    </w:p>
    <w:p w14:paraId="49912E09" w14:textId="3B69BDF3" w:rsidR="00253FD9" w:rsidRPr="00253FD9" w:rsidRDefault="00253FD9" w:rsidP="00253FD9">
      <w:pPr>
        <w:spacing w:after="0" w:line="360" w:lineRule="auto"/>
        <w:ind w:firstLine="708"/>
        <w:jc w:val="both"/>
        <w:rPr>
          <w:rFonts w:ascii="Arial" w:hAnsi="Arial" w:cs="Arial"/>
          <w:sz w:val="26"/>
          <w:szCs w:val="26"/>
        </w:rPr>
      </w:pPr>
      <w:r>
        <w:rPr>
          <w:rFonts w:ascii="Arial" w:hAnsi="Arial" w:cs="Arial"/>
          <w:bCs/>
          <w:sz w:val="26"/>
          <w:szCs w:val="26"/>
        </w:rPr>
        <w:t>Así como la Jurisprudencia con número de r</w:t>
      </w:r>
      <w:r w:rsidRPr="00253FD9">
        <w:rPr>
          <w:rFonts w:ascii="Arial" w:hAnsi="Arial" w:cs="Arial"/>
          <w:sz w:val="26"/>
          <w:szCs w:val="26"/>
        </w:rPr>
        <w:t>egistro digital: 2021656</w:t>
      </w:r>
      <w:r>
        <w:rPr>
          <w:rFonts w:ascii="Arial" w:hAnsi="Arial" w:cs="Arial"/>
          <w:sz w:val="26"/>
          <w:szCs w:val="26"/>
        </w:rPr>
        <w:t xml:space="preserve">, </w:t>
      </w:r>
      <w:r w:rsidRPr="00253FD9">
        <w:rPr>
          <w:rFonts w:ascii="Arial" w:hAnsi="Arial" w:cs="Arial"/>
          <w:sz w:val="26"/>
          <w:szCs w:val="26"/>
        </w:rPr>
        <w:t>Suprema Corte de Justicia de la Nación</w:t>
      </w:r>
      <w:r>
        <w:rPr>
          <w:rFonts w:ascii="Arial" w:hAnsi="Arial" w:cs="Arial"/>
          <w:sz w:val="26"/>
          <w:szCs w:val="26"/>
        </w:rPr>
        <w:t>, Primer Tribunal C</w:t>
      </w:r>
      <w:r w:rsidRPr="00253FD9">
        <w:rPr>
          <w:rFonts w:ascii="Arial" w:hAnsi="Arial" w:cs="Arial"/>
          <w:sz w:val="26"/>
          <w:szCs w:val="26"/>
        </w:rPr>
        <w:t xml:space="preserve">olegiado del </w:t>
      </w:r>
      <w:r>
        <w:rPr>
          <w:rFonts w:ascii="Arial" w:hAnsi="Arial" w:cs="Arial"/>
          <w:sz w:val="26"/>
          <w:szCs w:val="26"/>
        </w:rPr>
        <w:t xml:space="preserve">Vigésimo Tercer Circuito, </w:t>
      </w:r>
      <w:r w:rsidRPr="00253FD9">
        <w:rPr>
          <w:rFonts w:ascii="Arial" w:hAnsi="Arial" w:cs="Arial"/>
          <w:sz w:val="26"/>
          <w:szCs w:val="26"/>
        </w:rPr>
        <w:t>Décima Época</w:t>
      </w:r>
      <w:r>
        <w:rPr>
          <w:rFonts w:ascii="Arial" w:hAnsi="Arial" w:cs="Arial"/>
          <w:sz w:val="26"/>
          <w:szCs w:val="26"/>
        </w:rPr>
        <w:t xml:space="preserve">, </w:t>
      </w:r>
      <w:r w:rsidRPr="00253FD9">
        <w:rPr>
          <w:rFonts w:ascii="Arial" w:hAnsi="Arial" w:cs="Arial"/>
          <w:sz w:val="26"/>
          <w:szCs w:val="26"/>
        </w:rPr>
        <w:t>Materias(s): Constitucional, Administrativa, Común</w:t>
      </w:r>
      <w:r>
        <w:rPr>
          <w:rFonts w:ascii="Arial" w:hAnsi="Arial" w:cs="Arial"/>
          <w:sz w:val="26"/>
          <w:szCs w:val="26"/>
        </w:rPr>
        <w:t xml:space="preserve">, </w:t>
      </w:r>
      <w:r w:rsidRPr="00253FD9">
        <w:rPr>
          <w:rFonts w:ascii="Arial" w:hAnsi="Arial" w:cs="Arial"/>
          <w:sz w:val="26"/>
          <w:szCs w:val="26"/>
        </w:rPr>
        <w:t>Tesis: XXIII.1o. J/1 A (10a.)</w:t>
      </w:r>
      <w:r>
        <w:rPr>
          <w:rFonts w:ascii="Arial" w:hAnsi="Arial" w:cs="Arial"/>
          <w:sz w:val="26"/>
          <w:szCs w:val="26"/>
        </w:rPr>
        <w:t xml:space="preserve">, </w:t>
      </w:r>
      <w:r w:rsidRPr="00253FD9">
        <w:rPr>
          <w:rFonts w:ascii="Arial" w:hAnsi="Arial" w:cs="Arial"/>
          <w:sz w:val="26"/>
          <w:szCs w:val="26"/>
        </w:rPr>
        <w:t>Fuente: Gaceta del Semanario Judici</w:t>
      </w:r>
      <w:r>
        <w:rPr>
          <w:rFonts w:ascii="Arial" w:hAnsi="Arial" w:cs="Arial"/>
          <w:sz w:val="26"/>
          <w:szCs w:val="26"/>
        </w:rPr>
        <w:t>al de la Federación. Libro 75, f</w:t>
      </w:r>
      <w:r w:rsidRPr="00253FD9">
        <w:rPr>
          <w:rFonts w:ascii="Arial" w:hAnsi="Arial" w:cs="Arial"/>
          <w:sz w:val="26"/>
          <w:szCs w:val="26"/>
        </w:rPr>
        <w:t>ebrero de 2020, Tomo III, página 2147</w:t>
      </w:r>
      <w:r>
        <w:rPr>
          <w:rFonts w:ascii="Arial" w:hAnsi="Arial" w:cs="Arial"/>
          <w:sz w:val="26"/>
          <w:szCs w:val="26"/>
        </w:rPr>
        <w:t>, de rubro y texto siguientes:</w:t>
      </w:r>
    </w:p>
    <w:p w14:paraId="11222FAD" w14:textId="612E7D9B" w:rsidR="00253FD9" w:rsidRPr="00253FD9" w:rsidRDefault="00253FD9" w:rsidP="00253FD9">
      <w:pPr>
        <w:ind w:left="851" w:right="900"/>
        <w:jc w:val="both"/>
        <w:rPr>
          <w:rFonts w:ascii="Arial" w:hAnsi="Arial" w:cs="Arial"/>
          <w:i/>
        </w:rPr>
      </w:pPr>
      <w:r>
        <w:rPr>
          <w:rFonts w:ascii="Arial" w:hAnsi="Arial" w:cs="Arial"/>
          <w:b/>
          <w:i/>
        </w:rPr>
        <w:t>“</w:t>
      </w:r>
      <w:r w:rsidRPr="00253FD9">
        <w:rPr>
          <w:rFonts w:ascii="Arial" w:hAnsi="Arial" w:cs="Arial"/>
          <w:b/>
          <w:i/>
        </w:rPr>
        <w:t>FUNDAMENTACIÓN DE LA COMPETENCIA DE LAS AUTORIDADES ADMINISTRATIVAS. ALCANCE Y APLICABILIDAD DE LA JURISPRUDENCIA 2a</w:t>
      </w:r>
      <w:proofErr w:type="gramStart"/>
      <w:r w:rsidRPr="00253FD9">
        <w:rPr>
          <w:rFonts w:ascii="Arial" w:hAnsi="Arial" w:cs="Arial"/>
          <w:b/>
          <w:i/>
        </w:rPr>
        <w:t>./</w:t>
      </w:r>
      <w:proofErr w:type="gramEnd"/>
      <w:r w:rsidRPr="00253FD9">
        <w:rPr>
          <w:rFonts w:ascii="Arial" w:hAnsi="Arial" w:cs="Arial"/>
          <w:b/>
          <w:i/>
        </w:rPr>
        <w:t xml:space="preserve">J. 115/2005. </w:t>
      </w:r>
      <w:r w:rsidRPr="00253FD9">
        <w:rPr>
          <w:rFonts w:ascii="Arial" w:hAnsi="Arial" w:cs="Arial"/>
          <w:i/>
        </w:rPr>
        <w:t xml:space="preserve">Si bien es cierto que en la jurisprudencia citada, la Segunda Sala de la Suprema Corte de Justicia de la Nación sostuvo que 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w:t>
      </w:r>
      <w:proofErr w:type="spellStart"/>
      <w:r w:rsidRPr="00253FD9">
        <w:rPr>
          <w:rFonts w:ascii="Arial" w:hAnsi="Arial" w:cs="Arial"/>
          <w:i/>
        </w:rPr>
        <w:t>subinciso</w:t>
      </w:r>
      <w:proofErr w:type="spellEnd"/>
      <w:r w:rsidRPr="00253FD9">
        <w:rPr>
          <w:rFonts w:ascii="Arial" w:hAnsi="Arial" w:cs="Arial"/>
          <w:i/>
        </w:rPr>
        <w:t xml:space="preserve">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también lo es que dicha obligación no constituye un dogma que obligue a las autoridades a exponer en sus actos, fundamentos o afirmaciones cuya constatación resulte evidente, y puedan entenderse con facilidad mediante el uso del buen entendimiento y la sana crítica.</w:t>
      </w:r>
      <w:r>
        <w:rPr>
          <w:rFonts w:ascii="Arial" w:hAnsi="Arial" w:cs="Arial"/>
          <w:i/>
        </w:rPr>
        <w:t>”</w:t>
      </w:r>
    </w:p>
    <w:p w14:paraId="1A6DA37B" w14:textId="7D14110B" w:rsidR="00B66B63" w:rsidRPr="00B66B63" w:rsidRDefault="00B66B63" w:rsidP="00253FD9">
      <w:pPr>
        <w:spacing w:after="120" w:line="360" w:lineRule="auto"/>
        <w:ind w:right="51" w:firstLine="709"/>
        <w:jc w:val="both"/>
        <w:rPr>
          <w:rFonts w:ascii="Arial" w:hAnsi="Arial" w:cs="Arial"/>
          <w:bCs/>
          <w:sz w:val="26"/>
          <w:szCs w:val="26"/>
        </w:rPr>
      </w:pPr>
      <w:r w:rsidRPr="00B66B63">
        <w:rPr>
          <w:rFonts w:ascii="Arial" w:hAnsi="Arial" w:cs="Arial"/>
          <w:bCs/>
          <w:sz w:val="26"/>
          <w:szCs w:val="26"/>
        </w:rPr>
        <w:lastRenderedPageBreak/>
        <w:t>De lo dispuesto en la</w:t>
      </w:r>
      <w:r w:rsidR="00253FD9">
        <w:rPr>
          <w:rFonts w:ascii="Arial" w:hAnsi="Arial" w:cs="Arial"/>
          <w:bCs/>
          <w:sz w:val="26"/>
          <w:szCs w:val="26"/>
        </w:rPr>
        <w:t>s</w:t>
      </w:r>
      <w:r w:rsidRPr="00B66B63">
        <w:rPr>
          <w:rFonts w:ascii="Arial" w:hAnsi="Arial" w:cs="Arial"/>
          <w:bCs/>
          <w:sz w:val="26"/>
          <w:szCs w:val="26"/>
        </w:rPr>
        <w:t xml:space="preserve"> </w:t>
      </w:r>
      <w:r w:rsidR="00253FD9">
        <w:rPr>
          <w:rFonts w:ascii="Arial" w:hAnsi="Arial" w:cs="Arial"/>
          <w:bCs/>
          <w:sz w:val="26"/>
          <w:szCs w:val="26"/>
        </w:rPr>
        <w:t>citadas Jurisprudencias</w:t>
      </w:r>
      <w:r w:rsidRPr="00B66B63">
        <w:rPr>
          <w:rFonts w:ascii="Arial" w:hAnsi="Arial" w:cs="Arial"/>
          <w:bCs/>
          <w:sz w:val="26"/>
          <w:szCs w:val="26"/>
        </w:rPr>
        <w:t>, así como de las consideraciones en las cuales se sustent</w:t>
      </w:r>
      <w:r w:rsidR="00253FD9">
        <w:rPr>
          <w:rFonts w:ascii="Arial" w:hAnsi="Arial" w:cs="Arial"/>
          <w:bCs/>
          <w:sz w:val="26"/>
          <w:szCs w:val="26"/>
        </w:rPr>
        <w:t>aron</w:t>
      </w:r>
      <w:r w:rsidRPr="00B66B63">
        <w:rPr>
          <w:rFonts w:ascii="Arial" w:hAnsi="Arial" w:cs="Arial"/>
          <w:bCs/>
          <w:sz w:val="26"/>
          <w:szCs w:val="26"/>
        </w:rPr>
        <w:t xml:space="preserve"> dicho</w:t>
      </w:r>
      <w:r w:rsidR="00253FD9">
        <w:rPr>
          <w:rFonts w:ascii="Arial" w:hAnsi="Arial" w:cs="Arial"/>
          <w:bCs/>
          <w:sz w:val="26"/>
          <w:szCs w:val="26"/>
        </w:rPr>
        <w:t>s</w:t>
      </w:r>
      <w:r w:rsidRPr="00B66B63">
        <w:rPr>
          <w:rFonts w:ascii="Arial" w:hAnsi="Arial" w:cs="Arial"/>
          <w:bCs/>
          <w:sz w:val="26"/>
          <w:szCs w:val="26"/>
        </w:rPr>
        <w:t xml:space="preserve"> criterio</w:t>
      </w:r>
      <w:r w:rsidR="00253FD9">
        <w:rPr>
          <w:rFonts w:ascii="Arial" w:hAnsi="Arial" w:cs="Arial"/>
          <w:bCs/>
          <w:sz w:val="26"/>
          <w:szCs w:val="26"/>
        </w:rPr>
        <w:t>s</w:t>
      </w:r>
      <w:r w:rsidRPr="00B66B63">
        <w:rPr>
          <w:rFonts w:ascii="Arial" w:hAnsi="Arial" w:cs="Arial"/>
          <w:bCs/>
          <w:sz w:val="26"/>
          <w:szCs w:val="26"/>
        </w:rPr>
        <w:t xml:space="preserve">,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 - - - - - - - - - - - - - - - - - - - - - - - - - - - - - - - - - - - - - - - - - - </w:t>
      </w:r>
    </w:p>
    <w:p w14:paraId="7B255449" w14:textId="77777777" w:rsidR="00B66B63" w:rsidRPr="00B66B63" w:rsidRDefault="00B66B63" w:rsidP="00253FD9">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 - - - - - </w:t>
      </w:r>
    </w:p>
    <w:p w14:paraId="621F73F9" w14:textId="32CEC215" w:rsidR="00B66B63" w:rsidRPr="00B66B63" w:rsidRDefault="00B66B63" w:rsidP="00253FD9">
      <w:pPr>
        <w:spacing w:after="120" w:line="360" w:lineRule="auto"/>
        <w:ind w:right="51" w:firstLine="709"/>
        <w:jc w:val="both"/>
        <w:rPr>
          <w:rFonts w:ascii="Arial" w:hAnsi="Arial" w:cs="Arial"/>
          <w:bCs/>
          <w:sz w:val="26"/>
          <w:szCs w:val="26"/>
        </w:rPr>
      </w:pPr>
      <w:r w:rsidRPr="00B66B63">
        <w:rPr>
          <w:rFonts w:ascii="Arial" w:hAnsi="Arial" w:cs="Arial"/>
          <w:bCs/>
          <w:sz w:val="26"/>
          <w:szCs w:val="26"/>
        </w:rPr>
        <w:t>La indebida fundamentación, tema que aquí nos ocupa, implica que en el acto sí</w:t>
      </w:r>
      <w:r w:rsidRPr="00B66B63">
        <w:rPr>
          <w:rFonts w:ascii="Arial" w:hAnsi="Arial" w:cs="Arial"/>
          <w:b/>
          <w:bCs/>
          <w:sz w:val="26"/>
          <w:szCs w:val="26"/>
        </w:rPr>
        <w:t xml:space="preserve"> </w:t>
      </w:r>
      <w:r w:rsidRPr="00B66B63">
        <w:rPr>
          <w:rFonts w:ascii="Arial" w:hAnsi="Arial" w:cs="Arial"/>
          <w:bCs/>
          <w:sz w:val="26"/>
          <w:szCs w:val="26"/>
        </w:rPr>
        <w:t>se citan preceptos legales, pero éstos son inaplicables al caso particular, como ya se hizo saber en párrafos anteriores; en este orden de ideas, al actualizarse la hipótesis de indebida fundamentación y motivación de la resolución administrativa impugnada, tal circunstancia se ubica en el supuesto previsto en las fracciones I, II y VI</w:t>
      </w:r>
      <w:r w:rsidR="00253FD9">
        <w:rPr>
          <w:rFonts w:ascii="Arial" w:hAnsi="Arial" w:cs="Arial"/>
          <w:bCs/>
          <w:sz w:val="26"/>
          <w:szCs w:val="26"/>
        </w:rPr>
        <w:t>,</w:t>
      </w:r>
      <w:r w:rsidRPr="00B66B63">
        <w:rPr>
          <w:rFonts w:ascii="Arial" w:hAnsi="Arial" w:cs="Arial"/>
          <w:bCs/>
          <w:sz w:val="26"/>
          <w:szCs w:val="26"/>
        </w:rPr>
        <w:t xml:space="preserve"> del artículo 208</w:t>
      </w:r>
      <w:r w:rsidRPr="00B66B63">
        <w:rPr>
          <w:rStyle w:val="Refdenotaalpie"/>
          <w:rFonts w:ascii="Arial" w:hAnsi="Arial" w:cs="Arial"/>
          <w:bCs/>
          <w:sz w:val="26"/>
          <w:szCs w:val="26"/>
        </w:rPr>
        <w:footnoteReference w:id="4"/>
      </w:r>
      <w:r w:rsidRPr="00B66B63">
        <w:rPr>
          <w:rFonts w:ascii="Arial" w:hAnsi="Arial" w:cs="Arial"/>
          <w:bCs/>
          <w:sz w:val="26"/>
          <w:szCs w:val="26"/>
        </w:rPr>
        <w:t xml:space="preserve"> de la Ley de Procedimiento y Justicia Administrativa para el Estado de Oaxaca</w:t>
      </w:r>
      <w:r w:rsidR="00253FD9">
        <w:rPr>
          <w:rFonts w:ascii="Arial" w:hAnsi="Arial" w:cs="Arial"/>
          <w:bCs/>
          <w:sz w:val="26"/>
          <w:szCs w:val="26"/>
        </w:rPr>
        <w:t>,</w:t>
      </w:r>
      <w:r w:rsidRPr="00B66B63">
        <w:rPr>
          <w:rFonts w:ascii="Arial" w:hAnsi="Arial" w:cs="Arial"/>
          <w:bCs/>
          <w:sz w:val="26"/>
          <w:szCs w:val="26"/>
        </w:rPr>
        <w:t xml:space="preserve"> y por tanto, la nulidad debe ser lisa y llana.- </w:t>
      </w:r>
    </w:p>
    <w:p w14:paraId="6BB0F03F" w14:textId="1B593D6B" w:rsidR="00B66B63" w:rsidRPr="00B66B63" w:rsidRDefault="00B66B63" w:rsidP="00253FD9">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Resulta aplicable a lo anterior, la Jurisprudencia 2a./J. 99/2007 de número de registro: 172182, emitida por la Segunda Sala del Alto Tribunal, visible en la página 287 del Tomo XXV, de </w:t>
      </w:r>
      <w:r w:rsidR="00253FD9">
        <w:rPr>
          <w:rFonts w:ascii="Arial" w:hAnsi="Arial" w:cs="Arial"/>
          <w:bCs/>
          <w:sz w:val="26"/>
          <w:szCs w:val="26"/>
        </w:rPr>
        <w:t>j</w:t>
      </w:r>
      <w:r w:rsidRPr="00B66B63">
        <w:rPr>
          <w:rFonts w:ascii="Arial" w:hAnsi="Arial" w:cs="Arial"/>
          <w:bCs/>
          <w:sz w:val="26"/>
          <w:szCs w:val="26"/>
        </w:rPr>
        <w:t>unio de 2007, Novena Época del Semanario Judicial de la Federación y su Gaceta, que dice:</w:t>
      </w:r>
    </w:p>
    <w:p w14:paraId="01C15315" w14:textId="16E854DE" w:rsidR="00B66B63" w:rsidRDefault="00B66B63" w:rsidP="00253FD9">
      <w:pPr>
        <w:spacing w:after="0" w:line="240" w:lineRule="auto"/>
        <w:ind w:left="709" w:right="760"/>
        <w:jc w:val="both"/>
        <w:rPr>
          <w:rFonts w:ascii="Arial" w:hAnsi="Arial" w:cs="Arial"/>
          <w:bCs/>
        </w:rPr>
      </w:pPr>
      <w:r w:rsidRPr="00B66B63">
        <w:rPr>
          <w:rFonts w:ascii="Arial" w:hAnsi="Arial" w:cs="Arial"/>
          <w:bCs/>
          <w:i/>
        </w:rPr>
        <w:t>“</w:t>
      </w:r>
      <w:r w:rsidRPr="00B66B63">
        <w:rPr>
          <w:rFonts w:ascii="Arial" w:hAnsi="Arial" w:cs="Arial"/>
          <w:b/>
          <w:bCs/>
          <w:i/>
        </w:rPr>
        <w:t xml:space="preserve">NULIDAD. LA DECRETADA POR INSUFICIENCIA EN LA FUNDAMENTACIÓN DE LA COMPETENCIA DE LA AUTORIDAD </w:t>
      </w:r>
      <w:r w:rsidRPr="00B66B63">
        <w:rPr>
          <w:rFonts w:ascii="Arial" w:hAnsi="Arial" w:cs="Arial"/>
          <w:b/>
          <w:bCs/>
          <w:i/>
        </w:rPr>
        <w:lastRenderedPageBreak/>
        <w:t>ADMINISTRATIVA, DEBE SER LISA Y LLANA.</w:t>
      </w:r>
      <w:r w:rsidR="00253FD9">
        <w:rPr>
          <w:rFonts w:ascii="Arial" w:hAnsi="Arial" w:cs="Arial"/>
          <w:b/>
          <w:bCs/>
          <w:i/>
        </w:rPr>
        <w:t xml:space="preserve"> </w:t>
      </w:r>
      <w:r w:rsidRPr="00B66B63">
        <w:rPr>
          <w:rFonts w:ascii="Arial" w:hAnsi="Arial" w:cs="Arial"/>
          <w:bCs/>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w:t>
      </w:r>
      <w:r w:rsidRPr="00B66B63">
        <w:rPr>
          <w:rFonts w:ascii="Arial" w:hAnsi="Arial" w:cs="Arial"/>
          <w:b/>
          <w:bCs/>
          <w:i/>
          <w:u w:val="single"/>
        </w:rPr>
        <w:t xml:space="preserve">no cite con precisión el apartado, fracción, inciso o </w:t>
      </w:r>
      <w:proofErr w:type="spellStart"/>
      <w:r w:rsidRPr="00B66B63">
        <w:rPr>
          <w:rFonts w:ascii="Arial" w:hAnsi="Arial" w:cs="Arial"/>
          <w:b/>
          <w:bCs/>
          <w:i/>
          <w:u w:val="single"/>
        </w:rPr>
        <w:t>subinciso</w:t>
      </w:r>
      <w:proofErr w:type="spellEnd"/>
      <w:r w:rsidRPr="00B66B63">
        <w:rPr>
          <w:rFonts w:ascii="Arial" w:hAnsi="Arial" w:cs="Arial"/>
          <w:b/>
          <w:bCs/>
          <w:i/>
          <w:u w:val="single"/>
        </w:rPr>
        <w:t xml:space="preserve"> correspondiente </w:t>
      </w:r>
      <w:r w:rsidRPr="00B66B63">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B66B63">
        <w:rPr>
          <w:rFonts w:ascii="Arial" w:hAnsi="Arial" w:cs="Arial"/>
          <w:b/>
          <w:bCs/>
          <w:i/>
          <w:u w:val="single"/>
        </w:rPr>
        <w:t>deberá declarar la nulidad lisa y llana del acto administrativo emitido por aquélla</w:t>
      </w:r>
      <w:r w:rsidRPr="00B66B63">
        <w:rPr>
          <w:rFonts w:ascii="Arial" w:hAnsi="Arial" w:cs="Arial"/>
          <w:bCs/>
          <w:i/>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B66B63">
        <w:rPr>
          <w:rFonts w:ascii="Arial" w:hAnsi="Arial" w:cs="Arial"/>
          <w:bCs/>
        </w:rPr>
        <w:t xml:space="preserve"> –Lo resaltado y subrayado es propio-.</w:t>
      </w:r>
    </w:p>
    <w:p w14:paraId="1BA6A2C1" w14:textId="77777777" w:rsidR="00253FD9" w:rsidRPr="00B66B63" w:rsidRDefault="00253FD9" w:rsidP="00253FD9">
      <w:pPr>
        <w:spacing w:after="0" w:line="240" w:lineRule="auto"/>
        <w:ind w:left="709" w:right="760"/>
        <w:jc w:val="both"/>
        <w:rPr>
          <w:rFonts w:ascii="Arial" w:hAnsi="Arial" w:cs="Arial"/>
          <w:bCs/>
        </w:rPr>
      </w:pPr>
    </w:p>
    <w:p w14:paraId="709CEF51" w14:textId="4C995FB2" w:rsidR="00B66B63" w:rsidRPr="00B66B63" w:rsidRDefault="00B66B63" w:rsidP="00CF1EFD">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En ese orden de ideas, se conviene que el hecho de </w:t>
      </w:r>
      <w:r w:rsidR="00253FD9">
        <w:rPr>
          <w:rFonts w:ascii="Arial" w:hAnsi="Arial" w:cs="Arial"/>
          <w:bCs/>
          <w:sz w:val="26"/>
          <w:szCs w:val="26"/>
        </w:rPr>
        <w:t xml:space="preserve">que la </w:t>
      </w:r>
      <w:r w:rsidR="00253FD9" w:rsidRPr="0095617E">
        <w:rPr>
          <w:rFonts w:ascii="Arial" w:hAnsi="Arial" w:cs="Arial"/>
          <w:bCs/>
          <w:sz w:val="26"/>
          <w:szCs w:val="26"/>
        </w:rPr>
        <w:t>autoridad demanda</w:t>
      </w:r>
      <w:r w:rsidR="00FB277B" w:rsidRPr="0095617E">
        <w:rPr>
          <w:rFonts w:ascii="Arial" w:hAnsi="Arial" w:cs="Arial"/>
          <w:bCs/>
          <w:sz w:val="26"/>
          <w:szCs w:val="26"/>
        </w:rPr>
        <w:t>da</w:t>
      </w:r>
      <w:r w:rsidR="00253FD9" w:rsidRPr="0095617E">
        <w:rPr>
          <w:rFonts w:ascii="Arial" w:hAnsi="Arial" w:cs="Arial"/>
          <w:bCs/>
          <w:sz w:val="26"/>
          <w:szCs w:val="26"/>
        </w:rPr>
        <w:t xml:space="preserve"> haya </w:t>
      </w:r>
      <w:r w:rsidRPr="0095617E">
        <w:rPr>
          <w:rFonts w:ascii="Arial" w:hAnsi="Arial" w:cs="Arial"/>
          <w:bCs/>
          <w:sz w:val="26"/>
          <w:szCs w:val="26"/>
        </w:rPr>
        <w:t>señalado</w:t>
      </w:r>
      <w:r w:rsidRPr="00B66B63">
        <w:rPr>
          <w:rFonts w:ascii="Arial" w:hAnsi="Arial" w:cs="Arial"/>
          <w:bCs/>
          <w:sz w:val="26"/>
          <w:szCs w:val="26"/>
        </w:rPr>
        <w:t xml:space="preserve"> en forma indebida</w:t>
      </w:r>
      <w:r w:rsidR="00253FD9">
        <w:rPr>
          <w:rFonts w:ascii="Arial" w:hAnsi="Arial" w:cs="Arial"/>
          <w:bCs/>
          <w:sz w:val="26"/>
          <w:szCs w:val="26"/>
        </w:rPr>
        <w:t>,</w:t>
      </w:r>
      <w:r w:rsidRPr="00B66B63">
        <w:rPr>
          <w:rFonts w:ascii="Arial" w:hAnsi="Arial" w:cs="Arial"/>
          <w:bCs/>
          <w:sz w:val="26"/>
          <w:szCs w:val="26"/>
        </w:rPr>
        <w:t xml:space="preserve"> el dispositivo legal que </w:t>
      </w:r>
      <w:r w:rsidR="00253FD9">
        <w:rPr>
          <w:rFonts w:ascii="Arial" w:hAnsi="Arial" w:cs="Arial"/>
          <w:bCs/>
          <w:sz w:val="26"/>
          <w:szCs w:val="26"/>
        </w:rPr>
        <w:t xml:space="preserve">le </w:t>
      </w:r>
      <w:r w:rsidRPr="00B66B63">
        <w:rPr>
          <w:rFonts w:ascii="Arial" w:hAnsi="Arial" w:cs="Arial"/>
          <w:bCs/>
          <w:sz w:val="26"/>
          <w:szCs w:val="26"/>
        </w:rPr>
        <w:t xml:space="preserve">otorgara competencia para </w:t>
      </w:r>
      <w:r w:rsidR="00253FD9">
        <w:rPr>
          <w:rFonts w:ascii="Arial" w:hAnsi="Arial" w:cs="Arial"/>
          <w:bCs/>
          <w:sz w:val="26"/>
          <w:szCs w:val="26"/>
        </w:rPr>
        <w:t>emitir</w:t>
      </w:r>
      <w:r w:rsidRPr="00B66B63">
        <w:rPr>
          <w:rFonts w:ascii="Arial" w:hAnsi="Arial" w:cs="Arial"/>
          <w:bCs/>
          <w:sz w:val="26"/>
          <w:szCs w:val="26"/>
        </w:rPr>
        <w:t xml:space="preserve"> </w:t>
      </w:r>
      <w:r w:rsidR="00253FD9">
        <w:rPr>
          <w:rFonts w:ascii="Arial" w:hAnsi="Arial" w:cs="Arial"/>
          <w:bCs/>
          <w:sz w:val="26"/>
          <w:szCs w:val="26"/>
        </w:rPr>
        <w:t>la</w:t>
      </w:r>
      <w:r w:rsidRPr="00B66B63">
        <w:rPr>
          <w:rFonts w:ascii="Arial" w:hAnsi="Arial" w:cs="Arial"/>
          <w:bCs/>
          <w:sz w:val="26"/>
          <w:szCs w:val="26"/>
        </w:rPr>
        <w:t xml:space="preserve"> resolución </w:t>
      </w:r>
      <w:r w:rsidR="00CF1EFD">
        <w:rPr>
          <w:rFonts w:ascii="Arial" w:hAnsi="Arial" w:cs="Arial"/>
          <w:bCs/>
          <w:sz w:val="26"/>
          <w:szCs w:val="26"/>
        </w:rPr>
        <w:t>impugnada</w:t>
      </w:r>
      <w:r w:rsidRPr="00B66B63">
        <w:rPr>
          <w:rFonts w:ascii="Arial" w:hAnsi="Arial" w:cs="Arial"/>
          <w:bCs/>
          <w:sz w:val="26"/>
          <w:szCs w:val="26"/>
        </w:rPr>
        <w:t>, actualiza la causal de anulación prevista en las fracciones I, II, VI y último párrafo del artículo 208 de la Ley de Procedimiento y Justicia Administrativa para el Estado de Oaxaca, lo que conlleva a declarar la nulidad lisa y llana</w:t>
      </w:r>
      <w:r w:rsidR="00253FD9">
        <w:rPr>
          <w:rFonts w:ascii="Arial" w:hAnsi="Arial" w:cs="Arial"/>
          <w:bCs/>
          <w:sz w:val="26"/>
          <w:szCs w:val="26"/>
        </w:rPr>
        <w:t xml:space="preserve"> de la resolución dictada el veintiuno de febrero de dos mil diecinueve</w:t>
      </w:r>
      <w:r w:rsidRPr="00B66B63">
        <w:rPr>
          <w:rFonts w:ascii="Arial" w:hAnsi="Arial" w:cs="Arial"/>
          <w:bCs/>
          <w:sz w:val="26"/>
          <w:szCs w:val="26"/>
        </w:rPr>
        <w:t xml:space="preserve">, pues en el caso, se insiste, lo que aconteció fue que la autoridad administrativa citó fundamentos indebidos o inaplicables para acreditar su competencia para resolver un procedimiento de responsabilidad administrativa, lo que da como resultado que el </w:t>
      </w:r>
      <w:r w:rsidRPr="00B66B63">
        <w:rPr>
          <w:rFonts w:ascii="Arial" w:hAnsi="Arial" w:cs="Arial"/>
          <w:b/>
          <w:bCs/>
          <w:sz w:val="26"/>
          <w:szCs w:val="26"/>
        </w:rPr>
        <w:t xml:space="preserve">acto administrativo sea ilegal por la indebida o insuficiente fundamentación y </w:t>
      </w:r>
      <w:r w:rsidRPr="0095617E">
        <w:rPr>
          <w:rFonts w:ascii="Arial" w:hAnsi="Arial" w:cs="Arial"/>
          <w:b/>
          <w:bCs/>
          <w:sz w:val="26"/>
          <w:szCs w:val="26"/>
        </w:rPr>
        <w:t>motivación, lo que resulta decretar</w:t>
      </w:r>
      <w:r w:rsidRPr="00B66B63">
        <w:rPr>
          <w:rFonts w:ascii="Arial" w:hAnsi="Arial" w:cs="Arial"/>
          <w:b/>
          <w:bCs/>
          <w:sz w:val="26"/>
          <w:szCs w:val="26"/>
        </w:rPr>
        <w:t xml:space="preserve"> su nulidad lisa y llana.</w:t>
      </w:r>
      <w:r w:rsidRPr="00B66B63">
        <w:rPr>
          <w:rFonts w:ascii="Arial" w:hAnsi="Arial" w:cs="Arial"/>
          <w:bCs/>
          <w:sz w:val="26"/>
          <w:szCs w:val="26"/>
        </w:rPr>
        <w:t xml:space="preserve">- - - - - - - - - - - - - - - - - - - - - - - - - - - - - - - - - - - </w:t>
      </w:r>
      <w:r w:rsidR="00CF1EFD">
        <w:rPr>
          <w:rFonts w:ascii="Arial" w:hAnsi="Arial" w:cs="Arial"/>
          <w:bCs/>
          <w:sz w:val="26"/>
          <w:szCs w:val="26"/>
        </w:rPr>
        <w:t>- - - - - - - -</w:t>
      </w:r>
    </w:p>
    <w:p w14:paraId="4F95FA73" w14:textId="77777777" w:rsidR="00B66B63" w:rsidRPr="00B66B63" w:rsidRDefault="00B66B63" w:rsidP="00CF1EFD">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Como puede advertirse del precepto legal antes señalado, en los juicios contenciosos administrativos, la indebida o insuficiente fundamentación y motivación del acto impugnado genera su nulidad; e, incluso, tratándose de la ausencia total o parcial de fundamentación o motivación de la competencia de la autoridad, ésta puede hacerse valer oficiosamente por el Tribunal.- - - - - - - - - - - - - - - - - - - - - - - - - - - - - - - </w:t>
      </w:r>
    </w:p>
    <w:p w14:paraId="47B600A4" w14:textId="5B00C1B4" w:rsidR="00B66B63" w:rsidRPr="00B66B63" w:rsidRDefault="00B66B63" w:rsidP="00CF1EFD">
      <w:pPr>
        <w:spacing w:after="120" w:line="360" w:lineRule="auto"/>
        <w:ind w:right="51" w:firstLine="709"/>
        <w:jc w:val="both"/>
        <w:rPr>
          <w:rFonts w:ascii="Arial" w:hAnsi="Arial" w:cs="Arial"/>
          <w:bCs/>
          <w:sz w:val="26"/>
          <w:szCs w:val="26"/>
        </w:rPr>
      </w:pPr>
      <w:r w:rsidRPr="00B66B63">
        <w:rPr>
          <w:rFonts w:ascii="Arial" w:hAnsi="Arial" w:cs="Arial"/>
          <w:bCs/>
          <w:sz w:val="26"/>
          <w:szCs w:val="26"/>
        </w:rPr>
        <w:t xml:space="preserve">Por tanto, </w:t>
      </w:r>
      <w:r w:rsidRPr="00B66B63">
        <w:rPr>
          <w:rFonts w:ascii="Arial" w:hAnsi="Arial" w:cs="Arial"/>
          <w:b/>
          <w:bCs/>
          <w:sz w:val="26"/>
          <w:szCs w:val="26"/>
        </w:rPr>
        <w:t xml:space="preserve">resulta efectiva la nulidad lisa y llana de la resolución administrativa de </w:t>
      </w:r>
      <w:r w:rsidR="00CF1EFD">
        <w:rPr>
          <w:rFonts w:ascii="Arial" w:hAnsi="Arial" w:cs="Arial"/>
          <w:b/>
          <w:bCs/>
          <w:sz w:val="26"/>
          <w:szCs w:val="26"/>
        </w:rPr>
        <w:t xml:space="preserve">veintiuno de febrero </w:t>
      </w:r>
      <w:r w:rsidRPr="00B66B63">
        <w:rPr>
          <w:rFonts w:ascii="Arial" w:hAnsi="Arial" w:cs="Arial"/>
          <w:b/>
          <w:bCs/>
          <w:sz w:val="26"/>
          <w:szCs w:val="26"/>
        </w:rPr>
        <w:t xml:space="preserve">de dos mil </w:t>
      </w:r>
      <w:r w:rsidRPr="00B66B63">
        <w:rPr>
          <w:rFonts w:ascii="Arial" w:hAnsi="Arial" w:cs="Arial"/>
          <w:b/>
          <w:bCs/>
          <w:sz w:val="26"/>
          <w:szCs w:val="26"/>
        </w:rPr>
        <w:lastRenderedPageBreak/>
        <w:t>diecinueve</w:t>
      </w:r>
      <w:r w:rsidRPr="00B66B63">
        <w:rPr>
          <w:rFonts w:ascii="Arial" w:hAnsi="Arial" w:cs="Arial"/>
          <w:bCs/>
          <w:sz w:val="26"/>
          <w:szCs w:val="26"/>
        </w:rPr>
        <w:t xml:space="preserve">; luego, tal declaración de nulidad es considerada conforme a derecho por esta Sala Superior. - - - - - - - - - - - - - - - - - - - - - - - - - - - </w:t>
      </w:r>
    </w:p>
    <w:p w14:paraId="2C437EE1" w14:textId="5EBB6395" w:rsidR="00B66B63" w:rsidRPr="00B66B63" w:rsidRDefault="00B66B63" w:rsidP="00CF1EFD">
      <w:pPr>
        <w:spacing w:before="120" w:after="0" w:line="360" w:lineRule="auto"/>
        <w:ind w:right="51" w:firstLine="709"/>
        <w:jc w:val="both"/>
        <w:rPr>
          <w:rFonts w:ascii="Arial" w:hAnsi="Arial" w:cs="Arial"/>
          <w:bCs/>
          <w:sz w:val="26"/>
          <w:szCs w:val="26"/>
        </w:rPr>
      </w:pPr>
      <w:r w:rsidRPr="00B66B63">
        <w:rPr>
          <w:rFonts w:ascii="Arial" w:hAnsi="Arial" w:cs="Arial"/>
          <w:bCs/>
          <w:sz w:val="26"/>
          <w:szCs w:val="26"/>
        </w:rPr>
        <w:t xml:space="preserve">Es así que, cuando la nulidad </w:t>
      </w:r>
      <w:r w:rsidRPr="0095617E">
        <w:rPr>
          <w:rFonts w:ascii="Arial" w:hAnsi="Arial" w:cs="Arial"/>
          <w:bCs/>
          <w:sz w:val="26"/>
          <w:szCs w:val="26"/>
        </w:rPr>
        <w:t xml:space="preserve">de una resolución administrativa se declara por violación material de la obligación constitucional de fundar, o sea por aplicar inexactamente los preceptos legales, o por dejar de aplicarlos y aplicar otros en su lugar, en estos casos resulta ser </w:t>
      </w:r>
      <w:r w:rsidRPr="0095617E">
        <w:rPr>
          <w:rFonts w:ascii="Arial" w:hAnsi="Arial" w:cs="Arial"/>
          <w:b/>
          <w:bCs/>
          <w:sz w:val="26"/>
          <w:szCs w:val="26"/>
        </w:rPr>
        <w:t>lisa y llana</w:t>
      </w:r>
      <w:r w:rsidRPr="0095617E">
        <w:rPr>
          <w:rFonts w:ascii="Arial" w:hAnsi="Arial" w:cs="Arial"/>
          <w:bCs/>
          <w:sz w:val="26"/>
          <w:szCs w:val="26"/>
        </w:rPr>
        <w:t>, pero además es de tal naturaleza sustancial que ya no es posible que la autoridad sancione nuevamente al servidor público, con aplicación de nuevos preceptos sustantivos que lo funden, pues a más</w:t>
      </w:r>
      <w:r w:rsidRPr="00B66B63">
        <w:rPr>
          <w:rFonts w:ascii="Arial" w:hAnsi="Arial" w:cs="Arial"/>
          <w:bCs/>
          <w:sz w:val="26"/>
          <w:szCs w:val="26"/>
        </w:rPr>
        <w:t xml:space="preserve"> de que esto daría lugar a un número interminable de posibilidades de sanción, resultaría el absurdo de que los juicios y medios de defensa hechos valer contra procedimiento administrativos sancionadores pudiesen ser utilizados por las autoridades para ir renovando y afinando la aplicación de los preceptos en que se apoya; si en la contestación de la demanda de nulidad no puede mejorarse el fundamento del acto impugnado, menos podrá hacerse después de la sentencia que declaró incorrectamente fundado dicho acto.- - - - - - - - - </w:t>
      </w:r>
      <w:r w:rsidR="00FB277B">
        <w:rPr>
          <w:rFonts w:ascii="Arial" w:hAnsi="Arial" w:cs="Arial"/>
          <w:bCs/>
          <w:sz w:val="26"/>
          <w:szCs w:val="26"/>
        </w:rPr>
        <w:t>- - - - - - - - - - - - - - - - -</w:t>
      </w:r>
    </w:p>
    <w:p w14:paraId="34673569" w14:textId="25F046BE" w:rsidR="00B66B63" w:rsidRPr="00B66B63" w:rsidRDefault="00CF1EFD" w:rsidP="00CF1EFD">
      <w:pPr>
        <w:widowControl w:val="0"/>
        <w:autoSpaceDE w:val="0"/>
        <w:autoSpaceDN w:val="0"/>
        <w:adjustRightInd w:val="0"/>
        <w:spacing w:before="120" w:after="0" w:line="360" w:lineRule="auto"/>
        <w:ind w:right="49" w:firstLine="708"/>
        <w:jc w:val="both"/>
        <w:rPr>
          <w:rFonts w:ascii="Arial" w:hAnsi="Arial"/>
          <w:sz w:val="26"/>
          <w:szCs w:val="26"/>
        </w:rPr>
      </w:pPr>
      <w:r>
        <w:rPr>
          <w:rFonts w:ascii="Arial" w:hAnsi="Arial" w:cs="Arial"/>
          <w:sz w:val="26"/>
          <w:szCs w:val="26"/>
        </w:rPr>
        <w:t>Tiene</w:t>
      </w:r>
      <w:r w:rsidR="00B66B63" w:rsidRPr="00B66B63">
        <w:rPr>
          <w:rFonts w:ascii="Arial" w:hAnsi="Arial" w:cs="Arial"/>
          <w:sz w:val="26"/>
          <w:szCs w:val="26"/>
        </w:rPr>
        <w:t xml:space="preserve"> de apoyo a lo anterior</w:t>
      </w:r>
      <w:r>
        <w:rPr>
          <w:rFonts w:ascii="Arial" w:hAnsi="Arial" w:cs="Arial"/>
          <w:sz w:val="26"/>
          <w:szCs w:val="26"/>
        </w:rPr>
        <w:t>,</w:t>
      </w:r>
      <w:r w:rsidR="00B66B63" w:rsidRPr="00B66B63">
        <w:rPr>
          <w:rFonts w:ascii="Arial" w:hAnsi="Arial" w:cs="Arial"/>
          <w:sz w:val="26"/>
          <w:szCs w:val="26"/>
        </w:rPr>
        <w:t xml:space="preserve"> la Jurisprudencia de número de registro 160327 de la Décima Época, emitida por la Segunda Sala de la Suprema Corte de Justicia de la Nación, visible en el Semanario Judicial de la Federación y su Gaceta, Tomo 2, Materia Administrativa; de rubro y texto siguiente</w:t>
      </w:r>
      <w:r>
        <w:rPr>
          <w:rFonts w:ascii="Arial" w:hAnsi="Arial" w:cs="Arial"/>
          <w:sz w:val="26"/>
          <w:szCs w:val="26"/>
        </w:rPr>
        <w:t>s</w:t>
      </w:r>
      <w:r w:rsidR="00B66B63" w:rsidRPr="00B66B63">
        <w:rPr>
          <w:rFonts w:ascii="Arial" w:hAnsi="Arial" w:cs="Arial"/>
          <w:sz w:val="26"/>
          <w:szCs w:val="26"/>
        </w:rPr>
        <w:t xml:space="preserve">: </w:t>
      </w:r>
    </w:p>
    <w:p w14:paraId="7678D568" w14:textId="77777777" w:rsidR="00B66B63" w:rsidRPr="00B66B63" w:rsidRDefault="00B66B63" w:rsidP="00B66B63">
      <w:pPr>
        <w:spacing w:after="0" w:line="240" w:lineRule="auto"/>
        <w:jc w:val="both"/>
        <w:rPr>
          <w:rFonts w:ascii="Arial" w:hAnsi="Arial" w:cs="Arial"/>
          <w:b/>
          <w:bCs/>
          <w:caps/>
          <w:sz w:val="26"/>
        </w:rPr>
      </w:pPr>
    </w:p>
    <w:p w14:paraId="4AE293C9" w14:textId="77777777" w:rsidR="00C518DF" w:rsidRDefault="00B66B63" w:rsidP="00CF1EFD">
      <w:pPr>
        <w:spacing w:after="0" w:line="240" w:lineRule="auto"/>
        <w:ind w:left="709" w:right="760"/>
        <w:jc w:val="both"/>
        <w:rPr>
          <w:rFonts w:ascii="Arial" w:hAnsi="Arial" w:cs="Arial"/>
          <w:i/>
        </w:rPr>
      </w:pPr>
      <w:r w:rsidRPr="00B66B63">
        <w:rPr>
          <w:rFonts w:ascii="Arial" w:hAnsi="Arial" w:cs="Arial"/>
          <w:i/>
        </w:rPr>
        <w:t>“</w:t>
      </w:r>
      <w:r w:rsidRPr="00B66B63">
        <w:rPr>
          <w:rFonts w:ascii="Arial" w:hAnsi="Arial" w:cs="Arial"/>
          <w:b/>
          <w:i/>
        </w:rPr>
        <w:t>COMPETENCIA DE LAS AUTORIDADES ADMINISTRATIVAS. INAPLICABILIDAD DE LOS SUPUESTOS PREVISTOS EN EL ARTÍCULO 51, SEGUNDO PÁRRAFO, INCISO D), DE LA LEY FEDERAL DE PROCEDIMIENTO CONTENCIOSO ADMINISTRATIVO.</w:t>
      </w:r>
      <w:r w:rsidR="00CF1EFD">
        <w:rPr>
          <w:rFonts w:ascii="Arial" w:hAnsi="Arial" w:cs="Arial"/>
          <w:b/>
          <w:i/>
        </w:rPr>
        <w:t xml:space="preserve"> </w:t>
      </w:r>
      <w:r w:rsidRPr="00B66B63">
        <w:rPr>
          <w:rFonts w:ascii="Arial" w:hAnsi="Arial" w:cs="Arial"/>
          <w:b/>
          <w:i/>
          <w:u w:val="single"/>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w:t>
      </w:r>
      <w:r w:rsidRPr="00B66B63">
        <w:rPr>
          <w:rFonts w:ascii="Arial" w:hAnsi="Arial" w:cs="Arial"/>
          <w:i/>
        </w:rPr>
        <w:t xml:space="preserve">, </w:t>
      </w:r>
      <w:r w:rsidRPr="00B66B63">
        <w:rPr>
          <w:rFonts w:ascii="Arial" w:hAnsi="Arial" w:cs="Arial"/>
          <w:b/>
          <w:i/>
          <w:u w:val="single"/>
        </w:rPr>
        <w:t>obligándolo a declarar la nulidad del acto o resolución en su integridad</w:t>
      </w:r>
      <w:r w:rsidRPr="00B66B63">
        <w:rPr>
          <w:rFonts w:ascii="Arial" w:hAnsi="Arial" w:cs="Arial"/>
          <w:i/>
        </w:rPr>
        <w:t xml:space="preserve">, por lo que la nulidad decretada en esos casos constituye un supuesto en el cual la violación formal cometida no resulta, por regla general, subsanable. Ahora bien, el párrafo segundo, inciso d), del artículo 51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w:t>
      </w:r>
      <w:r w:rsidRPr="00B66B63">
        <w:rPr>
          <w:rFonts w:ascii="Arial" w:hAnsi="Arial" w:cs="Arial"/>
          <w:i/>
        </w:rPr>
        <w:lastRenderedPageBreak/>
        <w:t xml:space="preserve">referidos supuestos legales, además de que tal disposición no puede interpretarse extensivamente porque atentaría contra el principio de legalidad previsto en el artículo 16 de la Constitución Política de los Estados Unidos Mexicanos.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 </w:t>
      </w:r>
    </w:p>
    <w:p w14:paraId="57AAB51A" w14:textId="714C6660" w:rsidR="00B66B63" w:rsidRDefault="00B66B63" w:rsidP="00CF1EFD">
      <w:pPr>
        <w:spacing w:after="0" w:line="240" w:lineRule="auto"/>
        <w:ind w:left="709" w:right="760"/>
        <w:jc w:val="both"/>
        <w:rPr>
          <w:rFonts w:ascii="Arial" w:hAnsi="Arial" w:cs="Arial"/>
          <w:b/>
          <w:bCs/>
        </w:rPr>
      </w:pPr>
      <w:r w:rsidRPr="00B66B63">
        <w:rPr>
          <w:rFonts w:ascii="Arial" w:hAnsi="Arial" w:cs="Arial"/>
          <w:b/>
          <w:bCs/>
          <w:caps/>
        </w:rPr>
        <w:t>-</w:t>
      </w:r>
      <w:r w:rsidRPr="00B66B63">
        <w:rPr>
          <w:rFonts w:ascii="Arial" w:hAnsi="Arial" w:cs="Arial"/>
          <w:b/>
          <w:bCs/>
        </w:rPr>
        <w:t>Lo resaltado y subrayado es propio-.</w:t>
      </w:r>
    </w:p>
    <w:p w14:paraId="6068DA66" w14:textId="77777777" w:rsidR="00CF1EFD" w:rsidRPr="00B66B63" w:rsidRDefault="00CF1EFD" w:rsidP="00CF1EFD">
      <w:pPr>
        <w:spacing w:after="0" w:line="240" w:lineRule="auto"/>
        <w:ind w:left="709" w:right="760"/>
        <w:jc w:val="both"/>
        <w:rPr>
          <w:rFonts w:ascii="Arial" w:hAnsi="Arial" w:cs="Arial"/>
          <w:b/>
          <w:i/>
        </w:rPr>
      </w:pPr>
    </w:p>
    <w:p w14:paraId="580FF593" w14:textId="62A5634A" w:rsidR="00B66B63" w:rsidRPr="00B66B63" w:rsidRDefault="00C518DF" w:rsidP="00C518DF">
      <w:pPr>
        <w:spacing w:line="360" w:lineRule="auto"/>
        <w:ind w:right="49" w:firstLine="709"/>
        <w:jc w:val="both"/>
        <w:rPr>
          <w:rFonts w:ascii="Arial" w:hAnsi="Arial" w:cs="Arial"/>
          <w:sz w:val="26"/>
          <w:szCs w:val="26"/>
        </w:rPr>
      </w:pPr>
      <w:r>
        <w:rPr>
          <w:rFonts w:ascii="Arial" w:hAnsi="Arial" w:cs="Arial"/>
          <w:bCs/>
          <w:sz w:val="26"/>
          <w:szCs w:val="26"/>
        </w:rPr>
        <w:t>En consecuencia, al dejar</w:t>
      </w:r>
      <w:r w:rsidR="00B66B63" w:rsidRPr="00B66B63">
        <w:rPr>
          <w:rFonts w:ascii="Arial" w:hAnsi="Arial" w:cs="Arial"/>
          <w:sz w:val="26"/>
          <w:szCs w:val="26"/>
        </w:rPr>
        <w:t xml:space="preserve"> de atender </w:t>
      </w:r>
      <w:r>
        <w:rPr>
          <w:rFonts w:ascii="Arial" w:hAnsi="Arial" w:cs="Arial"/>
          <w:sz w:val="26"/>
          <w:szCs w:val="26"/>
        </w:rPr>
        <w:t xml:space="preserve">las autoridad demandada, </w:t>
      </w:r>
      <w:r w:rsidR="00B66B63" w:rsidRPr="0095617E">
        <w:rPr>
          <w:rFonts w:ascii="Arial" w:hAnsi="Arial" w:cs="Arial"/>
          <w:sz w:val="26"/>
          <w:szCs w:val="26"/>
        </w:rPr>
        <w:t xml:space="preserve">lo ordenado por el artículo 16 de la Constitución Federal, en relación con </w:t>
      </w:r>
      <w:r w:rsidR="00FB277B" w:rsidRPr="0095617E">
        <w:rPr>
          <w:rFonts w:ascii="Arial" w:hAnsi="Arial" w:cs="Arial"/>
          <w:sz w:val="26"/>
          <w:szCs w:val="26"/>
        </w:rPr>
        <w:t>el artículo</w:t>
      </w:r>
      <w:r w:rsidR="00B66B63" w:rsidRPr="0095617E">
        <w:rPr>
          <w:rFonts w:ascii="Arial" w:hAnsi="Arial" w:cs="Arial"/>
          <w:sz w:val="26"/>
          <w:szCs w:val="26"/>
        </w:rPr>
        <w:t xml:space="preserve"> 17</w:t>
      </w:r>
      <w:r w:rsidRPr="0095617E">
        <w:rPr>
          <w:rFonts w:ascii="Arial" w:hAnsi="Arial" w:cs="Arial"/>
          <w:sz w:val="26"/>
          <w:szCs w:val="26"/>
        </w:rPr>
        <w:t>,</w:t>
      </w:r>
      <w:r w:rsidR="00B66B63" w:rsidRPr="0095617E">
        <w:rPr>
          <w:rFonts w:ascii="Arial" w:hAnsi="Arial" w:cs="Arial"/>
          <w:sz w:val="26"/>
          <w:szCs w:val="26"/>
        </w:rPr>
        <w:t xml:space="preserve"> fracción V de la </w:t>
      </w:r>
      <w:r w:rsidR="00B66B63" w:rsidRPr="0095617E">
        <w:rPr>
          <w:rFonts w:ascii="Arial" w:eastAsia="Times New Roman" w:hAnsi="Arial" w:cs="Arial"/>
          <w:sz w:val="26"/>
          <w:szCs w:val="26"/>
        </w:rPr>
        <w:t xml:space="preserve">Ley de Procedimiento y Justicia Administrativa para el Estado de Oaxaca, </w:t>
      </w:r>
      <w:r w:rsidRPr="0095617E">
        <w:rPr>
          <w:rFonts w:ascii="Arial" w:eastAsia="Times New Roman" w:hAnsi="Arial" w:cs="Arial"/>
          <w:sz w:val="26"/>
          <w:szCs w:val="26"/>
        </w:rPr>
        <w:t xml:space="preserve">y </w:t>
      </w:r>
      <w:r w:rsidRPr="0095617E">
        <w:rPr>
          <w:rFonts w:ascii="Arial" w:hAnsi="Arial" w:cs="Arial"/>
          <w:b/>
          <w:sz w:val="26"/>
          <w:szCs w:val="26"/>
        </w:rPr>
        <w:t xml:space="preserve">citar preceptos legales inaplicables al caso en particular, </w:t>
      </w:r>
      <w:r w:rsidR="00B66B63" w:rsidRPr="0095617E">
        <w:rPr>
          <w:rFonts w:ascii="Arial" w:hAnsi="Arial" w:cs="Arial"/>
          <w:sz w:val="26"/>
          <w:szCs w:val="26"/>
        </w:rPr>
        <w:t>constituye una ausencia de</w:t>
      </w:r>
      <w:r w:rsidR="00B66B63" w:rsidRPr="00B66B63">
        <w:rPr>
          <w:rFonts w:ascii="Arial" w:hAnsi="Arial" w:cs="Arial"/>
          <w:sz w:val="26"/>
          <w:szCs w:val="26"/>
        </w:rPr>
        <w:t xml:space="preserve"> formalidad por indebida fundamentación </w:t>
      </w:r>
      <w:r>
        <w:rPr>
          <w:rFonts w:ascii="Arial" w:hAnsi="Arial" w:cs="Arial"/>
          <w:sz w:val="26"/>
          <w:szCs w:val="26"/>
        </w:rPr>
        <w:t>y motivación del acto impugnado.</w:t>
      </w:r>
      <w:r w:rsidR="00B66B63" w:rsidRPr="00B66B63">
        <w:rPr>
          <w:rFonts w:ascii="Arial" w:hAnsi="Arial" w:cs="Arial"/>
          <w:sz w:val="26"/>
          <w:szCs w:val="26"/>
        </w:rPr>
        <w:t xml:space="preserve"> - - - - - - - - - - - - - - - - - - - - - - - - - - - - - - - - - - - - - - - - - - - </w:t>
      </w:r>
    </w:p>
    <w:p w14:paraId="774CDF77" w14:textId="27573FFB" w:rsidR="00B66B63" w:rsidRPr="00B66B63" w:rsidRDefault="00B66B63" w:rsidP="00B66B63">
      <w:pPr>
        <w:spacing w:after="160" w:line="360" w:lineRule="auto"/>
        <w:ind w:right="49" w:firstLine="567"/>
        <w:jc w:val="both"/>
        <w:rPr>
          <w:rFonts w:ascii="Arial" w:hAnsi="Arial" w:cs="Arial"/>
          <w:bCs/>
          <w:sz w:val="26"/>
          <w:szCs w:val="26"/>
        </w:rPr>
      </w:pPr>
      <w:r w:rsidRPr="00B66B63">
        <w:rPr>
          <w:rFonts w:ascii="Arial" w:hAnsi="Arial" w:cs="Arial"/>
          <w:bCs/>
          <w:sz w:val="26"/>
          <w:szCs w:val="26"/>
        </w:rPr>
        <w:t xml:space="preserve">En consecuencia, </w:t>
      </w:r>
      <w:r w:rsidR="00371392" w:rsidRPr="00B66B63">
        <w:rPr>
          <w:rFonts w:ascii="Arial" w:hAnsi="Arial" w:cs="Arial"/>
          <w:bCs/>
          <w:sz w:val="26"/>
          <w:szCs w:val="26"/>
        </w:rPr>
        <w:t xml:space="preserve">procede </w:t>
      </w:r>
      <w:r w:rsidR="00371392" w:rsidRPr="00DE3972">
        <w:rPr>
          <w:rFonts w:ascii="Arial" w:hAnsi="Arial" w:cs="Arial"/>
          <w:bCs/>
          <w:sz w:val="26"/>
          <w:szCs w:val="26"/>
        </w:rPr>
        <w:t>declarar la</w:t>
      </w:r>
      <w:r w:rsidR="00371392" w:rsidRPr="00B66B63">
        <w:rPr>
          <w:rFonts w:ascii="Arial" w:hAnsi="Arial" w:cs="Arial"/>
          <w:b/>
          <w:bCs/>
          <w:sz w:val="26"/>
          <w:szCs w:val="26"/>
        </w:rPr>
        <w:t xml:space="preserve"> NULIDAD LISA y LLANA </w:t>
      </w:r>
      <w:r w:rsidR="00371392" w:rsidRPr="00B66B63">
        <w:rPr>
          <w:rFonts w:ascii="Arial" w:hAnsi="Arial" w:cs="Arial"/>
          <w:bCs/>
          <w:sz w:val="26"/>
          <w:szCs w:val="26"/>
        </w:rPr>
        <w:t xml:space="preserve">de esta </w:t>
      </w:r>
      <w:r w:rsidR="00371392">
        <w:rPr>
          <w:rFonts w:ascii="Arial" w:hAnsi="Arial" w:cs="Arial"/>
          <w:bCs/>
          <w:sz w:val="26"/>
          <w:szCs w:val="26"/>
        </w:rPr>
        <w:t>de</w:t>
      </w:r>
      <w:r w:rsidRPr="00B66B63">
        <w:rPr>
          <w:rFonts w:ascii="Arial" w:hAnsi="Arial" w:cs="Arial"/>
          <w:bCs/>
          <w:sz w:val="26"/>
          <w:szCs w:val="26"/>
        </w:rPr>
        <w:t xml:space="preserve"> la resolución de </w:t>
      </w:r>
      <w:r w:rsidR="005958C7">
        <w:rPr>
          <w:rFonts w:ascii="Arial" w:hAnsi="Arial" w:cs="Arial"/>
          <w:bCs/>
          <w:sz w:val="26"/>
          <w:szCs w:val="26"/>
        </w:rPr>
        <w:t xml:space="preserve">veintiuno de febrero </w:t>
      </w:r>
      <w:r w:rsidRPr="00B66B63">
        <w:rPr>
          <w:rFonts w:ascii="Arial" w:hAnsi="Arial" w:cs="Arial"/>
          <w:bCs/>
          <w:sz w:val="26"/>
          <w:szCs w:val="26"/>
        </w:rPr>
        <w:t xml:space="preserve">de dos mil diecinueve, dictada por el Director de Responsabilidades Administrativas y Situación Patrimonial dependiente de la Secretaría de la Contraloría y Transparencia Gubernamental del Estado de Oaxaca, </w:t>
      </w:r>
      <w:r w:rsidR="00371392" w:rsidRPr="00B66B63">
        <w:rPr>
          <w:rFonts w:ascii="Arial" w:hAnsi="Arial" w:cs="Arial"/>
          <w:bCs/>
          <w:sz w:val="26"/>
          <w:szCs w:val="26"/>
        </w:rPr>
        <w:t>al advertirse una indebida fundamentación</w:t>
      </w:r>
      <w:r w:rsidR="00371392">
        <w:rPr>
          <w:rFonts w:ascii="Arial" w:hAnsi="Arial" w:cs="Arial"/>
          <w:bCs/>
          <w:sz w:val="26"/>
          <w:szCs w:val="26"/>
        </w:rPr>
        <w:t>; lo anterior</w:t>
      </w:r>
      <w:r w:rsidRPr="00B66B63">
        <w:rPr>
          <w:rFonts w:ascii="Arial" w:hAnsi="Arial" w:cs="Arial"/>
          <w:bCs/>
          <w:sz w:val="26"/>
          <w:szCs w:val="26"/>
        </w:rPr>
        <w:t xml:space="preserve">, en términos de lo dispuesto por el artículo 208, primer párrafo, fracciones I, II, VI y último párrafo </w:t>
      </w:r>
      <w:r w:rsidRPr="00B66B63">
        <w:rPr>
          <w:rFonts w:ascii="Arial" w:hAnsi="Arial" w:cs="Arial"/>
          <w:sz w:val="26"/>
          <w:szCs w:val="26"/>
        </w:rPr>
        <w:t xml:space="preserve">de la Ley de Procedimiento y Justicia Administrativa para el Estado de Oaxaca; </w:t>
      </w:r>
      <w:r w:rsidRPr="00B66B63">
        <w:rPr>
          <w:rFonts w:ascii="Arial" w:hAnsi="Arial" w:cs="Arial"/>
          <w:bCs/>
          <w:sz w:val="26"/>
          <w:szCs w:val="26"/>
        </w:rPr>
        <w:t>cumpliendo así, con las formalidades esenciales de las garantías de legalidad, certeza y seguridad jurídica</w:t>
      </w:r>
      <w:r w:rsidR="005958C7">
        <w:rPr>
          <w:rFonts w:ascii="Arial" w:hAnsi="Arial" w:cs="Arial"/>
          <w:bCs/>
          <w:sz w:val="26"/>
          <w:szCs w:val="26"/>
        </w:rPr>
        <w:t>;</w:t>
      </w:r>
      <w:r w:rsidRPr="00B66B63">
        <w:rPr>
          <w:rFonts w:ascii="Arial" w:hAnsi="Arial" w:cs="Arial"/>
          <w:bCs/>
          <w:sz w:val="26"/>
          <w:szCs w:val="26"/>
        </w:rPr>
        <w:t xml:space="preserve"> es decir, que todo acto de autoridad necesariamente debe emitirse por quien para ello esté facultado, expresándose el carácter con que se suscribe y el dispositivo, acuerdo o decreto que otorgue tal legitimación,</w:t>
      </w:r>
      <w:r w:rsidRPr="00B66B63">
        <w:rPr>
          <w:rFonts w:ascii="Arial" w:eastAsia="Calibri" w:hAnsi="Arial" w:cs="Arial"/>
          <w:bCs/>
          <w:sz w:val="26"/>
          <w:szCs w:val="26"/>
        </w:rPr>
        <w:t xml:space="preserve"> los cuales constituyen requisitos formales exigidos por las leyes, diversos a la fundamentación de la competencia</w:t>
      </w:r>
      <w:r w:rsidR="005958C7">
        <w:rPr>
          <w:rFonts w:ascii="Arial" w:eastAsia="Calibri" w:hAnsi="Arial" w:cs="Arial"/>
          <w:bCs/>
          <w:sz w:val="26"/>
          <w:szCs w:val="26"/>
        </w:rPr>
        <w:t>. D</w:t>
      </w:r>
      <w:r w:rsidRPr="00B66B63">
        <w:rPr>
          <w:rFonts w:ascii="Arial" w:hAnsi="Arial" w:cs="Arial"/>
          <w:bCs/>
          <w:sz w:val="26"/>
          <w:szCs w:val="26"/>
        </w:rPr>
        <w:t xml:space="preserve">e lo contrario, se dejaría al administrado en estado de indefensión, ya que al no conocer el apoyo que faculte a la autoridad para emitir el acto, ni el carácter con que lo emita, es evidente que no </w:t>
      </w:r>
      <w:r w:rsidRPr="00B66B63">
        <w:rPr>
          <w:rFonts w:ascii="Arial" w:hAnsi="Arial" w:cs="Arial"/>
          <w:bCs/>
          <w:sz w:val="26"/>
          <w:szCs w:val="26"/>
        </w:rPr>
        <w:lastRenderedPageBreak/>
        <w:t xml:space="preserve">se le otorga la oportunidad de examinar si su actuación se encuentra o no dentro del ámbito competencial respectivo.- </w:t>
      </w:r>
      <w:r w:rsidR="00371392">
        <w:rPr>
          <w:rFonts w:ascii="Arial" w:hAnsi="Arial" w:cs="Arial"/>
          <w:bCs/>
          <w:sz w:val="26"/>
          <w:szCs w:val="26"/>
        </w:rPr>
        <w:t>- - - - - - - - - - - - - - - - - -</w:t>
      </w:r>
    </w:p>
    <w:p w14:paraId="5B25DAFB" w14:textId="34A2F762" w:rsidR="00B66B63" w:rsidRPr="00B66B63" w:rsidRDefault="00B66B63" w:rsidP="00B66B63">
      <w:pPr>
        <w:spacing w:after="160" w:line="360" w:lineRule="auto"/>
        <w:ind w:right="49" w:firstLine="567"/>
        <w:jc w:val="both"/>
        <w:rPr>
          <w:rFonts w:ascii="Arial" w:eastAsia="Calibri" w:hAnsi="Arial" w:cs="Arial"/>
          <w:bCs/>
          <w:sz w:val="26"/>
          <w:szCs w:val="26"/>
        </w:rPr>
      </w:pPr>
      <w:r w:rsidRPr="00B66B63">
        <w:rPr>
          <w:rFonts w:ascii="Arial" w:eastAsia="Calibri" w:hAnsi="Arial" w:cs="Arial"/>
          <w:bCs/>
          <w:sz w:val="26"/>
          <w:szCs w:val="26"/>
        </w:rPr>
        <w:t xml:space="preserve">Lo anterior, encuentra sustento en la </w:t>
      </w:r>
      <w:r w:rsidR="005958C7">
        <w:rPr>
          <w:rFonts w:ascii="Arial" w:eastAsia="Calibri" w:hAnsi="Arial" w:cs="Arial"/>
          <w:bCs/>
          <w:sz w:val="26"/>
          <w:szCs w:val="26"/>
        </w:rPr>
        <w:t>J</w:t>
      </w:r>
      <w:r w:rsidRPr="00B66B63">
        <w:rPr>
          <w:rFonts w:ascii="Arial" w:eastAsia="Calibri" w:hAnsi="Arial" w:cs="Arial"/>
          <w:bCs/>
          <w:sz w:val="26"/>
          <w:szCs w:val="26"/>
        </w:rPr>
        <w:t xml:space="preserve">urisprudencia 2a./J.52/2001, con número de registro 188431, perteneciente a la Novena Época, emitida Segunda Sala de la Suprema Corte de Justicia de la Nación, visible en el Semanario Judicial de la Federación y su Gaceta, Tomo XIV, </w:t>
      </w:r>
      <w:r w:rsidR="005958C7">
        <w:rPr>
          <w:rFonts w:ascii="Arial" w:eastAsia="Calibri" w:hAnsi="Arial" w:cs="Arial"/>
          <w:bCs/>
          <w:sz w:val="26"/>
          <w:szCs w:val="26"/>
        </w:rPr>
        <w:t>n</w:t>
      </w:r>
      <w:r w:rsidRPr="00B66B63">
        <w:rPr>
          <w:rFonts w:ascii="Arial" w:eastAsia="Calibri" w:hAnsi="Arial" w:cs="Arial"/>
          <w:bCs/>
          <w:sz w:val="26"/>
          <w:szCs w:val="26"/>
        </w:rPr>
        <w:t>oviembre de 2001, Materia Administrativa, página: 32, de rubro y texto siguientes:</w:t>
      </w:r>
      <w:r w:rsidR="00BA58B7">
        <w:rPr>
          <w:rFonts w:ascii="Arial" w:eastAsia="Calibri" w:hAnsi="Arial" w:cs="Arial"/>
          <w:bCs/>
          <w:sz w:val="26"/>
          <w:szCs w:val="26"/>
        </w:rPr>
        <w:t xml:space="preserve">- - - - - - - - - - - - - - - - - - - - - - - - - - - - - - - - - - - - - - - - </w:t>
      </w:r>
    </w:p>
    <w:p w14:paraId="22835F2E" w14:textId="1AFBB766" w:rsidR="00B66B63" w:rsidRPr="00B66B63" w:rsidRDefault="00B66B63" w:rsidP="005958C7">
      <w:pPr>
        <w:widowControl w:val="0"/>
        <w:spacing w:after="0" w:line="240" w:lineRule="auto"/>
        <w:ind w:left="709" w:right="760"/>
        <w:jc w:val="both"/>
        <w:rPr>
          <w:rFonts w:ascii="Arial" w:eastAsia="Calibri" w:hAnsi="Arial" w:cs="Arial"/>
          <w:bCs/>
          <w:i/>
        </w:rPr>
      </w:pPr>
      <w:r w:rsidRPr="00B66B63">
        <w:rPr>
          <w:rFonts w:ascii="Arial" w:eastAsia="Calibri" w:hAnsi="Arial" w:cs="Arial"/>
          <w:b/>
          <w:bCs/>
          <w:i/>
        </w:rPr>
        <w:t>“COMPETENCIA DE LAS AUTORIDADES ADMINISTRATIVAS. LA NULIDAD DECRETADA POR NO HABERLA FUNDADO NO PUEDE SER PARA EFECTOS, EXCEPTO EN LOS CASOS EN QUE LA RESOLUCIÓN IMPUGNADA RECAIGA A UNA PETICIÓN, INSTANCIA O RECURSO.</w:t>
      </w:r>
      <w:r w:rsidR="005958C7">
        <w:rPr>
          <w:rFonts w:ascii="Arial" w:eastAsia="Calibri" w:hAnsi="Arial" w:cs="Arial"/>
          <w:b/>
          <w:bCs/>
          <w:i/>
        </w:rPr>
        <w:t xml:space="preserve"> </w:t>
      </w:r>
      <w:r w:rsidRPr="00B66B63">
        <w:rPr>
          <w:rFonts w:ascii="Arial" w:eastAsia="Calibri" w:hAnsi="Arial" w:cs="Arial"/>
          <w:bCs/>
          <w:i/>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14:paraId="10BE90BA" w14:textId="68546F8E" w:rsidR="008F730D" w:rsidRPr="00B66B63" w:rsidRDefault="008F730D" w:rsidP="008F730D">
      <w:pPr>
        <w:widowControl w:val="0"/>
        <w:spacing w:before="240" w:line="360" w:lineRule="auto"/>
        <w:ind w:right="49"/>
        <w:jc w:val="both"/>
        <w:rPr>
          <w:rFonts w:ascii="Arial" w:hAnsi="Arial" w:cs="Arial"/>
          <w:sz w:val="26"/>
          <w:szCs w:val="26"/>
        </w:rPr>
      </w:pPr>
      <w:r w:rsidRPr="00B66B63">
        <w:rPr>
          <w:rFonts w:ascii="Arial" w:eastAsia="Calibri" w:hAnsi="Arial" w:cs="Arial"/>
          <w:bCs/>
          <w:color w:val="000000"/>
          <w:sz w:val="26"/>
          <w:szCs w:val="26"/>
        </w:rPr>
        <w:tab/>
      </w:r>
      <w:r w:rsidR="00E530C8">
        <w:rPr>
          <w:rFonts w:ascii="Arial" w:hAnsi="Arial" w:cs="Arial"/>
          <w:sz w:val="26"/>
          <w:szCs w:val="26"/>
        </w:rPr>
        <w:t>Por lo anteriormente expuesto</w:t>
      </w:r>
      <w:r w:rsidRPr="00B66B63">
        <w:rPr>
          <w:rFonts w:ascii="Arial" w:hAnsi="Arial" w:cs="Arial"/>
          <w:sz w:val="26"/>
          <w:szCs w:val="26"/>
        </w:rPr>
        <w:t>, con</w:t>
      </w:r>
      <w:r w:rsidR="00FA1BD8" w:rsidRPr="00B66B63">
        <w:rPr>
          <w:rFonts w:ascii="Arial" w:hAnsi="Arial" w:cs="Arial"/>
          <w:sz w:val="26"/>
          <w:szCs w:val="26"/>
        </w:rPr>
        <w:t xml:space="preserve"> fundamento en los artículos 236</w:t>
      </w:r>
      <w:r w:rsidRPr="00B66B63">
        <w:rPr>
          <w:rFonts w:ascii="Arial" w:hAnsi="Arial" w:cs="Arial"/>
          <w:sz w:val="26"/>
          <w:szCs w:val="26"/>
        </w:rPr>
        <w:t xml:space="preserve"> y 238 de la Ley de Procedimiento y Justicia Administrativa para el Estado de Oaxaca, se:- </w:t>
      </w:r>
      <w:r w:rsidR="00E530C8">
        <w:rPr>
          <w:rFonts w:ascii="Arial" w:hAnsi="Arial" w:cs="Arial"/>
          <w:sz w:val="26"/>
          <w:szCs w:val="26"/>
        </w:rPr>
        <w:t>- - - - - - - - - - - - - -  - - - -  - - - - - - - - - - - - - - - -</w:t>
      </w:r>
    </w:p>
    <w:p w14:paraId="79C2FBEB" w14:textId="203D563A" w:rsidR="008F730D" w:rsidRPr="00B66B63" w:rsidRDefault="00F64500" w:rsidP="00F64500">
      <w:pPr>
        <w:spacing w:before="120" w:after="0" w:line="360" w:lineRule="auto"/>
        <w:jc w:val="center"/>
        <w:rPr>
          <w:rFonts w:ascii="Arial" w:eastAsia="Calibri" w:hAnsi="Arial" w:cs="Arial"/>
          <w:b/>
          <w:bCs/>
          <w:sz w:val="26"/>
          <w:szCs w:val="26"/>
        </w:rPr>
      </w:pPr>
      <w:r>
        <w:rPr>
          <w:rFonts w:ascii="Arial" w:eastAsia="Calibri" w:hAnsi="Arial" w:cs="Arial"/>
          <w:b/>
          <w:bCs/>
          <w:sz w:val="26"/>
          <w:szCs w:val="26"/>
        </w:rPr>
        <w:t>R E S U E L V E</w:t>
      </w:r>
    </w:p>
    <w:p w14:paraId="4EC72B17" w14:textId="06B70B9C" w:rsidR="00E745A9" w:rsidRPr="00B66B63" w:rsidRDefault="008F730D" w:rsidP="006D1A3E">
      <w:pPr>
        <w:autoSpaceDE w:val="0"/>
        <w:autoSpaceDN w:val="0"/>
        <w:adjustRightInd w:val="0"/>
        <w:spacing w:before="120" w:after="0" w:line="360" w:lineRule="auto"/>
        <w:ind w:right="49" w:firstLine="567"/>
        <w:jc w:val="both"/>
        <w:rPr>
          <w:rFonts w:ascii="Arial" w:hAnsi="Arial" w:cs="Arial"/>
          <w:color w:val="000000"/>
          <w:sz w:val="26"/>
          <w:szCs w:val="26"/>
        </w:rPr>
      </w:pPr>
      <w:r w:rsidRPr="00B66B63">
        <w:rPr>
          <w:rFonts w:ascii="Arial" w:hAnsi="Arial" w:cs="Arial"/>
          <w:b/>
          <w:sz w:val="26"/>
          <w:szCs w:val="26"/>
        </w:rPr>
        <w:t>PRIMERO</w:t>
      </w:r>
      <w:r w:rsidRPr="00B66B63">
        <w:rPr>
          <w:rFonts w:ascii="Arial" w:hAnsi="Arial" w:cs="Arial"/>
          <w:sz w:val="26"/>
          <w:szCs w:val="26"/>
        </w:rPr>
        <w:t xml:space="preserve">. Se </w:t>
      </w:r>
      <w:r w:rsidRPr="00B66B63">
        <w:rPr>
          <w:rFonts w:ascii="Arial" w:hAnsi="Arial" w:cs="Arial"/>
          <w:b/>
          <w:sz w:val="26"/>
          <w:szCs w:val="26"/>
        </w:rPr>
        <w:t>REVOCA</w:t>
      </w:r>
      <w:r w:rsidRPr="00B66B63">
        <w:rPr>
          <w:rFonts w:ascii="Arial" w:hAnsi="Arial" w:cs="Arial"/>
          <w:sz w:val="26"/>
          <w:szCs w:val="26"/>
        </w:rPr>
        <w:t xml:space="preserve"> la </w:t>
      </w:r>
      <w:r w:rsidR="006D1A3E" w:rsidRPr="00B66B63">
        <w:rPr>
          <w:rFonts w:ascii="Arial" w:hAnsi="Arial" w:cs="Arial"/>
          <w:sz w:val="26"/>
          <w:szCs w:val="26"/>
        </w:rPr>
        <w:t>sentencia de diecisiete de marzo d</w:t>
      </w:r>
      <w:r w:rsidRPr="00B66B63">
        <w:rPr>
          <w:rFonts w:ascii="Arial" w:hAnsi="Arial" w:cs="Arial"/>
          <w:sz w:val="26"/>
          <w:szCs w:val="26"/>
        </w:rPr>
        <w:t>e dos mil veintiuno, por las razones expuestas en el considerando que</w:t>
      </w:r>
      <w:r w:rsidR="006D1A3E" w:rsidRPr="00B66B63">
        <w:rPr>
          <w:rFonts w:ascii="Arial" w:hAnsi="Arial" w:cs="Arial"/>
          <w:sz w:val="26"/>
          <w:szCs w:val="26"/>
        </w:rPr>
        <w:t xml:space="preserve"> antecede.- - - - - - - - - - - - - - - - - - - - - - - - - - - - - - - - - - - - - - - - - - - - - </w:t>
      </w:r>
    </w:p>
    <w:p w14:paraId="0A487660" w14:textId="1D7F3A52" w:rsidR="00E530C8" w:rsidRPr="00E530C8" w:rsidRDefault="00793502" w:rsidP="00934864">
      <w:pPr>
        <w:spacing w:before="120" w:after="0" w:line="360" w:lineRule="auto"/>
        <w:ind w:right="51"/>
        <w:jc w:val="both"/>
        <w:rPr>
          <w:rFonts w:ascii="Arial" w:eastAsia="Calibri" w:hAnsi="Arial" w:cs="Arial"/>
          <w:color w:val="000000" w:themeColor="text1"/>
          <w:sz w:val="26"/>
          <w:szCs w:val="26"/>
          <w:lang w:eastAsia="en-US"/>
        </w:rPr>
      </w:pPr>
      <w:r w:rsidRPr="00B66B63">
        <w:rPr>
          <w:rFonts w:ascii="Arial" w:eastAsiaTheme="minorHAnsi" w:hAnsi="Arial" w:cs="Arial"/>
          <w:color w:val="000000" w:themeColor="text1"/>
          <w:sz w:val="26"/>
          <w:szCs w:val="26"/>
          <w:lang w:eastAsia="en-US"/>
        </w:rPr>
        <w:tab/>
      </w:r>
      <w:r w:rsidR="006D1DB2" w:rsidRPr="00B66B63">
        <w:rPr>
          <w:rFonts w:ascii="Arial" w:eastAsia="Calibri" w:hAnsi="Arial" w:cs="Arial"/>
          <w:b/>
          <w:color w:val="000000" w:themeColor="text1"/>
          <w:sz w:val="26"/>
          <w:szCs w:val="26"/>
          <w:lang w:eastAsia="en-US"/>
        </w:rPr>
        <w:t xml:space="preserve">SEGUNDO. </w:t>
      </w:r>
      <w:r w:rsidR="00E530C8">
        <w:rPr>
          <w:rFonts w:ascii="Arial" w:eastAsia="Calibri" w:hAnsi="Arial" w:cs="Arial"/>
          <w:color w:val="000000" w:themeColor="text1"/>
          <w:sz w:val="26"/>
          <w:szCs w:val="26"/>
          <w:lang w:eastAsia="en-US"/>
        </w:rPr>
        <w:t xml:space="preserve">Se declara la </w:t>
      </w:r>
      <w:r w:rsidR="00E530C8" w:rsidRPr="00B66B63">
        <w:rPr>
          <w:rFonts w:ascii="Arial" w:hAnsi="Arial" w:cs="Arial"/>
          <w:b/>
          <w:bCs/>
          <w:sz w:val="26"/>
          <w:szCs w:val="26"/>
        </w:rPr>
        <w:t xml:space="preserve">NULIDAD LISA Y LLANA de la </w:t>
      </w:r>
      <w:r w:rsidR="00E530C8" w:rsidRPr="0095617E">
        <w:rPr>
          <w:rFonts w:ascii="Arial" w:hAnsi="Arial" w:cs="Arial"/>
          <w:b/>
          <w:bCs/>
          <w:sz w:val="26"/>
          <w:szCs w:val="26"/>
        </w:rPr>
        <w:t xml:space="preserve">resolución de veintiuno de febrero de dos mil diecinueve, </w:t>
      </w:r>
      <w:r w:rsidR="00E530C8" w:rsidRPr="0095617E">
        <w:rPr>
          <w:rFonts w:ascii="Arial" w:hAnsi="Arial" w:cs="Arial"/>
          <w:bCs/>
          <w:sz w:val="26"/>
          <w:szCs w:val="26"/>
        </w:rPr>
        <w:t xml:space="preserve">dictada por el </w:t>
      </w:r>
      <w:r w:rsidR="00FB277B" w:rsidRPr="0095617E">
        <w:rPr>
          <w:rFonts w:ascii="Arial" w:hAnsi="Arial" w:cs="Arial"/>
          <w:bCs/>
          <w:sz w:val="26"/>
          <w:szCs w:val="26"/>
        </w:rPr>
        <w:t xml:space="preserve">Director de Responsabilidades Administrativas y Situación Patrimonial dependiente de la Secretaría de la Contraloría y </w:t>
      </w:r>
      <w:r w:rsidR="00FB277B" w:rsidRPr="0095617E">
        <w:rPr>
          <w:rFonts w:ascii="Arial" w:hAnsi="Arial" w:cs="Arial"/>
          <w:bCs/>
          <w:sz w:val="26"/>
          <w:szCs w:val="26"/>
        </w:rPr>
        <w:lastRenderedPageBreak/>
        <w:t>Transparencia Gubernamental del Estado de Oaxaca</w:t>
      </w:r>
      <w:r w:rsidR="00CE57CD" w:rsidRPr="0095617E">
        <w:rPr>
          <w:rFonts w:ascii="Arial" w:eastAsia="Calibri" w:hAnsi="Arial" w:cs="Arial"/>
          <w:bCs/>
          <w:color w:val="000000" w:themeColor="text1"/>
          <w:sz w:val="26"/>
          <w:szCs w:val="26"/>
          <w:lang w:eastAsia="en-US"/>
        </w:rPr>
        <w:t xml:space="preserve">, </w:t>
      </w:r>
      <w:r w:rsidR="00E530C8" w:rsidRPr="0095617E">
        <w:rPr>
          <w:rFonts w:ascii="Arial" w:hAnsi="Arial" w:cs="Arial"/>
          <w:bCs/>
          <w:sz w:val="26"/>
          <w:szCs w:val="26"/>
        </w:rPr>
        <w:t xml:space="preserve">dentro del </w:t>
      </w:r>
      <w:r w:rsidR="00360F50" w:rsidRPr="0095617E">
        <w:rPr>
          <w:rFonts w:ascii="Arial" w:hAnsi="Arial" w:cs="Arial"/>
          <w:bCs/>
          <w:sz w:val="26"/>
          <w:szCs w:val="26"/>
        </w:rPr>
        <w:t xml:space="preserve">procedimiento de responsabilidad administrativa número </w:t>
      </w:r>
      <w:r w:rsidR="00266B2D">
        <w:rPr>
          <w:rFonts w:ascii="Arial" w:hAnsi="Arial" w:cs="Arial"/>
          <w:bCs/>
          <w:sz w:val="26"/>
          <w:szCs w:val="26"/>
        </w:rPr>
        <w:t>*******</w:t>
      </w:r>
      <w:r w:rsidR="00360F50" w:rsidRPr="0095617E">
        <w:rPr>
          <w:rFonts w:ascii="Arial" w:hAnsi="Arial" w:cs="Arial"/>
          <w:bCs/>
          <w:sz w:val="26"/>
          <w:szCs w:val="26"/>
        </w:rPr>
        <w:t xml:space="preserve">, por las razones expuestas en el considerando </w:t>
      </w:r>
      <w:r w:rsidR="00360F50" w:rsidRPr="0095617E">
        <w:rPr>
          <w:rFonts w:ascii="Arial" w:hAnsi="Arial" w:cs="Arial"/>
          <w:b/>
          <w:bCs/>
          <w:sz w:val="26"/>
          <w:szCs w:val="26"/>
        </w:rPr>
        <w:t xml:space="preserve">quinto </w:t>
      </w:r>
      <w:r w:rsidR="00360F50" w:rsidRPr="0095617E">
        <w:rPr>
          <w:rFonts w:ascii="Arial" w:hAnsi="Arial" w:cs="Arial"/>
          <w:bCs/>
          <w:sz w:val="26"/>
          <w:szCs w:val="26"/>
        </w:rPr>
        <w:t>de esta resolución.-</w:t>
      </w:r>
      <w:r w:rsidR="00266B2D">
        <w:rPr>
          <w:rFonts w:ascii="Arial" w:hAnsi="Arial" w:cs="Arial"/>
          <w:bCs/>
          <w:sz w:val="26"/>
          <w:szCs w:val="26"/>
        </w:rPr>
        <w:t xml:space="preserve"> - - - </w:t>
      </w:r>
    </w:p>
    <w:p w14:paraId="36D466E6" w14:textId="54C91647" w:rsidR="00793502" w:rsidRPr="00B66B63" w:rsidRDefault="00E530C8" w:rsidP="00E530C8">
      <w:pPr>
        <w:spacing w:before="120" w:after="0" w:line="360" w:lineRule="auto"/>
        <w:ind w:right="51" w:firstLine="708"/>
        <w:jc w:val="both"/>
        <w:rPr>
          <w:rFonts w:ascii="Arial" w:eastAsiaTheme="minorHAnsi" w:hAnsi="Arial" w:cs="Arial"/>
          <w:color w:val="000000" w:themeColor="text1"/>
          <w:sz w:val="26"/>
          <w:szCs w:val="26"/>
          <w:lang w:eastAsia="en-US"/>
        </w:rPr>
      </w:pPr>
      <w:r>
        <w:rPr>
          <w:rFonts w:ascii="Arial" w:eastAsia="Calibri" w:hAnsi="Arial" w:cs="Arial"/>
          <w:b/>
          <w:color w:val="000000" w:themeColor="text1"/>
          <w:sz w:val="26"/>
          <w:szCs w:val="26"/>
          <w:lang w:eastAsia="en-US"/>
        </w:rPr>
        <w:t xml:space="preserve">TERCERO.- </w:t>
      </w:r>
      <w:r w:rsidR="006D1DB2" w:rsidRPr="00B66B63">
        <w:rPr>
          <w:rFonts w:ascii="Arial" w:eastAsiaTheme="minorHAnsi" w:hAnsi="Arial" w:cs="Arial"/>
          <w:b/>
          <w:color w:val="000000" w:themeColor="text1"/>
          <w:sz w:val="26"/>
          <w:szCs w:val="26"/>
          <w:lang w:eastAsia="en-US"/>
        </w:rPr>
        <w:t xml:space="preserve">NOTIFÍQUESE Y CÚMPLASE, </w:t>
      </w:r>
      <w:r w:rsidR="006D1DB2" w:rsidRPr="00B66B63">
        <w:rPr>
          <w:rFonts w:ascii="Arial" w:eastAsiaTheme="minorHAnsi" w:hAnsi="Arial" w:cs="Arial"/>
          <w:color w:val="000000" w:themeColor="text1"/>
          <w:sz w:val="26"/>
          <w:szCs w:val="26"/>
          <w:lang w:eastAsia="en-US"/>
        </w:rPr>
        <w:t xml:space="preserve">remítase copia certificada de la presente resolución a la </w:t>
      </w:r>
      <w:r w:rsidR="006D1A3E" w:rsidRPr="00B66B63">
        <w:rPr>
          <w:rFonts w:ascii="Arial" w:eastAsiaTheme="minorHAnsi" w:hAnsi="Arial" w:cs="Arial"/>
          <w:color w:val="000000" w:themeColor="text1"/>
          <w:sz w:val="26"/>
          <w:szCs w:val="26"/>
          <w:lang w:eastAsia="en-US"/>
        </w:rPr>
        <w:t>Tercera</w:t>
      </w:r>
      <w:r w:rsidR="006D1DB2" w:rsidRPr="00B66B63">
        <w:rPr>
          <w:rFonts w:ascii="Arial" w:eastAsiaTheme="minorHAnsi" w:hAnsi="Arial" w:cs="Arial"/>
          <w:color w:val="000000" w:themeColor="text1"/>
          <w:sz w:val="26"/>
          <w:szCs w:val="26"/>
          <w:lang w:eastAsia="en-US"/>
        </w:rPr>
        <w:t xml:space="preserve"> Sala Unitaria de Primera Instancia de este Tribunal y en su oportunidad archívese el presente cuaderno de revisión como asunto </w:t>
      </w:r>
      <w:r w:rsidR="00204E39" w:rsidRPr="00B66B63">
        <w:rPr>
          <w:rFonts w:ascii="Arial" w:eastAsiaTheme="minorHAnsi" w:hAnsi="Arial" w:cs="Arial"/>
          <w:color w:val="000000" w:themeColor="text1"/>
          <w:sz w:val="26"/>
          <w:szCs w:val="26"/>
          <w:lang w:eastAsia="en-US"/>
        </w:rPr>
        <w:t>concluido. -</w:t>
      </w:r>
      <w:r w:rsidR="00A16498" w:rsidRPr="00B66B63">
        <w:rPr>
          <w:rFonts w:ascii="Arial" w:eastAsiaTheme="minorHAnsi" w:hAnsi="Arial" w:cs="Arial"/>
          <w:color w:val="000000" w:themeColor="text1"/>
          <w:sz w:val="26"/>
          <w:szCs w:val="26"/>
          <w:lang w:eastAsia="en-US"/>
        </w:rPr>
        <w:t xml:space="preserve"> - - </w:t>
      </w:r>
      <w:r w:rsidR="00124BB0" w:rsidRPr="00B66B63">
        <w:rPr>
          <w:rFonts w:ascii="Arial" w:eastAsiaTheme="minorHAnsi" w:hAnsi="Arial" w:cs="Arial"/>
          <w:color w:val="000000" w:themeColor="text1"/>
          <w:sz w:val="26"/>
          <w:szCs w:val="26"/>
          <w:lang w:eastAsia="en-US"/>
        </w:rPr>
        <w:t xml:space="preserve">- - - - - - - - - </w:t>
      </w:r>
    </w:p>
    <w:p w14:paraId="4C36F99F" w14:textId="77777777" w:rsidR="003459EA" w:rsidRDefault="00FC56E5" w:rsidP="003459EA">
      <w:pPr>
        <w:spacing w:before="120" w:after="0" w:line="360" w:lineRule="auto"/>
        <w:ind w:firstLine="567"/>
        <w:jc w:val="both"/>
        <w:rPr>
          <w:rFonts w:ascii="Arial" w:hAnsi="Arial" w:cs="Arial"/>
          <w:sz w:val="26"/>
          <w:szCs w:val="26"/>
        </w:rPr>
      </w:pPr>
      <w:r>
        <w:rPr>
          <w:rFonts w:ascii="Arial" w:hAnsi="Arial" w:cs="Arial"/>
          <w:sz w:val="26"/>
          <w:szCs w:val="26"/>
        </w:rPr>
        <w:tab/>
      </w:r>
      <w:r w:rsidR="003459EA">
        <w:rPr>
          <w:rFonts w:ascii="Arial" w:hAnsi="Arial" w:cs="Arial"/>
          <w:sz w:val="26"/>
          <w:szCs w:val="26"/>
        </w:rPr>
        <w:t>Por unanimidad de votos, lo resolvieron y firmaron los Magistrados integrantes de la Sala Superior, Manuel Velasco Alcántara, Gloria del Carmen Camacho Meza (</w:t>
      </w:r>
      <w:r w:rsidR="003459EA" w:rsidRPr="00152002">
        <w:rPr>
          <w:rFonts w:ascii="Arial" w:hAnsi="Arial" w:cs="Arial"/>
          <w:b/>
          <w:bCs/>
          <w:sz w:val="26"/>
          <w:szCs w:val="26"/>
        </w:rPr>
        <w:t>ponente)</w:t>
      </w:r>
      <w:r w:rsidR="003459EA">
        <w:rPr>
          <w:rFonts w:ascii="Arial" w:hAnsi="Arial" w:cs="Arial"/>
          <w:sz w:val="26"/>
          <w:szCs w:val="26"/>
        </w:rPr>
        <w:t>, Paulo José Luis Tapia Palacios y Magistrado Elías Cortés López, con excusa aprobada del</w:t>
      </w:r>
      <w:r w:rsidR="003459EA" w:rsidRPr="00E86FD6">
        <w:rPr>
          <w:rFonts w:ascii="Arial" w:hAnsi="Arial" w:cs="Arial"/>
          <w:sz w:val="26"/>
          <w:szCs w:val="26"/>
        </w:rPr>
        <w:t xml:space="preserve"> </w:t>
      </w:r>
      <w:r w:rsidR="003459EA">
        <w:rPr>
          <w:rFonts w:ascii="Arial" w:hAnsi="Arial" w:cs="Arial"/>
          <w:sz w:val="26"/>
          <w:szCs w:val="26"/>
        </w:rPr>
        <w:t>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741338ED" w14:textId="77777777" w:rsidR="003459EA" w:rsidRDefault="003459EA" w:rsidP="003459EA">
      <w:pPr>
        <w:spacing w:before="120" w:after="0" w:line="360" w:lineRule="auto"/>
        <w:jc w:val="both"/>
        <w:rPr>
          <w:rFonts w:ascii="Arial" w:hAnsi="Arial" w:cs="Arial"/>
          <w:sz w:val="26"/>
          <w:szCs w:val="26"/>
        </w:rPr>
      </w:pPr>
    </w:p>
    <w:p w14:paraId="4BB9593D" w14:textId="77777777" w:rsidR="00A52CC9" w:rsidRDefault="00A52CC9" w:rsidP="003459EA">
      <w:pPr>
        <w:spacing w:before="120" w:after="0" w:line="360" w:lineRule="auto"/>
        <w:jc w:val="both"/>
        <w:rPr>
          <w:rFonts w:ascii="Arial" w:hAnsi="Arial" w:cs="Arial"/>
          <w:sz w:val="26"/>
          <w:szCs w:val="26"/>
        </w:rPr>
      </w:pPr>
    </w:p>
    <w:p w14:paraId="67C91ADE" w14:textId="77777777" w:rsidR="00A52CC9" w:rsidRDefault="00A52CC9" w:rsidP="003459EA">
      <w:pPr>
        <w:spacing w:before="120" w:after="0" w:line="360" w:lineRule="auto"/>
        <w:jc w:val="both"/>
        <w:rPr>
          <w:rFonts w:ascii="Arial" w:hAnsi="Arial" w:cs="Arial"/>
          <w:sz w:val="26"/>
          <w:szCs w:val="26"/>
        </w:rPr>
      </w:pPr>
    </w:p>
    <w:p w14:paraId="207BD915" w14:textId="77777777" w:rsidR="003459EA" w:rsidRPr="00711E09" w:rsidRDefault="003459EA" w:rsidP="003459EA">
      <w:pPr>
        <w:spacing w:before="120" w:after="0" w:line="360" w:lineRule="auto"/>
        <w:ind w:firstLine="567"/>
        <w:jc w:val="both"/>
        <w:rPr>
          <w:rFonts w:ascii="Arial" w:hAnsi="Arial" w:cs="Arial"/>
          <w:sz w:val="26"/>
          <w:szCs w:val="26"/>
        </w:rPr>
      </w:pPr>
    </w:p>
    <w:p w14:paraId="4A43AD35" w14:textId="77777777" w:rsidR="003459EA" w:rsidRPr="001D77D7" w:rsidRDefault="003459EA" w:rsidP="003459EA">
      <w:pPr>
        <w:spacing w:after="0" w:line="240" w:lineRule="auto"/>
        <w:rPr>
          <w:rFonts w:ascii="Arial" w:eastAsia="Times New Roman" w:hAnsi="Arial" w:cs="Arial"/>
          <w:sz w:val="26"/>
          <w:szCs w:val="26"/>
          <w:lang w:val="es-ES"/>
        </w:rPr>
      </w:pPr>
    </w:p>
    <w:p w14:paraId="21589509" w14:textId="77777777" w:rsidR="003459EA" w:rsidRPr="00A979D7" w:rsidRDefault="003459EA" w:rsidP="003459EA">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5E5A3862" w14:textId="77777777" w:rsidR="003459EA" w:rsidRDefault="003459EA" w:rsidP="003459EA">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4631F7B2" w14:textId="77777777" w:rsidR="003459EA" w:rsidRDefault="003459EA" w:rsidP="00A52CC9">
      <w:pPr>
        <w:spacing w:line="240" w:lineRule="auto"/>
        <w:ind w:firstLine="567"/>
        <w:rPr>
          <w:rFonts w:ascii="Arial" w:hAnsi="Arial" w:cs="Arial"/>
          <w:sz w:val="26"/>
          <w:szCs w:val="26"/>
        </w:rPr>
      </w:pPr>
    </w:p>
    <w:p w14:paraId="05F83751" w14:textId="77777777" w:rsidR="003459EA" w:rsidRDefault="003459EA" w:rsidP="003459EA">
      <w:pPr>
        <w:spacing w:line="240" w:lineRule="auto"/>
        <w:ind w:firstLine="567"/>
        <w:jc w:val="center"/>
        <w:rPr>
          <w:rFonts w:ascii="Arial" w:hAnsi="Arial" w:cs="Arial"/>
          <w:sz w:val="26"/>
          <w:szCs w:val="26"/>
        </w:rPr>
      </w:pPr>
    </w:p>
    <w:p w14:paraId="1E6ED520" w14:textId="77777777" w:rsidR="003459EA" w:rsidRDefault="003459EA" w:rsidP="003459EA">
      <w:pPr>
        <w:spacing w:line="240" w:lineRule="auto"/>
        <w:ind w:firstLine="567"/>
        <w:jc w:val="center"/>
        <w:rPr>
          <w:rFonts w:ascii="Arial" w:hAnsi="Arial" w:cs="Arial"/>
          <w:sz w:val="26"/>
          <w:szCs w:val="26"/>
        </w:rPr>
      </w:pPr>
    </w:p>
    <w:p w14:paraId="1CF2F708" w14:textId="77777777" w:rsidR="003459EA" w:rsidRDefault="003459EA" w:rsidP="003459EA">
      <w:pPr>
        <w:spacing w:line="240" w:lineRule="auto"/>
        <w:ind w:firstLine="567"/>
        <w:jc w:val="center"/>
        <w:rPr>
          <w:rFonts w:ascii="Arial" w:hAnsi="Arial" w:cs="Arial"/>
          <w:sz w:val="26"/>
          <w:szCs w:val="26"/>
        </w:rPr>
      </w:pPr>
    </w:p>
    <w:p w14:paraId="2918AFBC" w14:textId="77777777" w:rsidR="00A52CC9" w:rsidRDefault="00A52CC9" w:rsidP="003459EA">
      <w:pPr>
        <w:spacing w:line="240" w:lineRule="auto"/>
        <w:ind w:firstLine="567"/>
        <w:jc w:val="center"/>
        <w:rPr>
          <w:rFonts w:ascii="Arial" w:hAnsi="Arial" w:cs="Arial"/>
          <w:sz w:val="26"/>
          <w:szCs w:val="26"/>
        </w:rPr>
      </w:pPr>
    </w:p>
    <w:p w14:paraId="2FFBAF8B" w14:textId="77777777" w:rsidR="003459EA" w:rsidRDefault="003459EA" w:rsidP="003459EA">
      <w:pPr>
        <w:spacing w:line="240" w:lineRule="auto"/>
        <w:ind w:firstLine="567"/>
        <w:jc w:val="center"/>
        <w:rPr>
          <w:rFonts w:ascii="Arial" w:hAnsi="Arial" w:cs="Arial"/>
          <w:sz w:val="26"/>
          <w:szCs w:val="26"/>
        </w:rPr>
      </w:pPr>
    </w:p>
    <w:p w14:paraId="658A45D4" w14:textId="77777777" w:rsidR="003459EA" w:rsidRDefault="003459EA" w:rsidP="003459EA">
      <w:pPr>
        <w:spacing w:line="240" w:lineRule="auto"/>
        <w:ind w:firstLine="567"/>
        <w:jc w:val="center"/>
        <w:rPr>
          <w:rFonts w:ascii="Arial" w:hAnsi="Arial" w:cs="Arial"/>
          <w:sz w:val="26"/>
          <w:szCs w:val="26"/>
        </w:rPr>
      </w:pPr>
      <w:r>
        <w:rPr>
          <w:rFonts w:ascii="Arial" w:hAnsi="Arial" w:cs="Arial"/>
          <w:sz w:val="26"/>
          <w:szCs w:val="26"/>
        </w:rPr>
        <w:t>MAGISTRADA GLORIA DEL CARMEN CAMACHO MEZA</w:t>
      </w:r>
    </w:p>
    <w:p w14:paraId="04A5CA29" w14:textId="77777777" w:rsidR="003459EA" w:rsidRDefault="003459EA" w:rsidP="003459EA">
      <w:pPr>
        <w:spacing w:after="120"/>
        <w:jc w:val="center"/>
        <w:rPr>
          <w:rFonts w:ascii="Arial" w:hAnsi="Arial" w:cs="Arial"/>
          <w:b/>
          <w:bCs/>
          <w:sz w:val="14"/>
          <w:szCs w:val="14"/>
        </w:rPr>
      </w:pPr>
    </w:p>
    <w:p w14:paraId="674928D6" w14:textId="77777777" w:rsidR="003459EA" w:rsidRDefault="003459EA" w:rsidP="003459EA">
      <w:pPr>
        <w:spacing w:after="120"/>
        <w:jc w:val="center"/>
        <w:rPr>
          <w:rFonts w:ascii="Arial" w:hAnsi="Arial" w:cs="Arial"/>
          <w:sz w:val="26"/>
          <w:szCs w:val="26"/>
        </w:rPr>
      </w:pPr>
      <w:r>
        <w:rPr>
          <w:rFonts w:ascii="Arial" w:hAnsi="Arial" w:cs="Arial"/>
          <w:b/>
          <w:bCs/>
          <w:sz w:val="14"/>
          <w:szCs w:val="14"/>
        </w:rPr>
        <w:t xml:space="preserve">                      </w:t>
      </w:r>
    </w:p>
    <w:p w14:paraId="0E2E6CBC" w14:textId="77777777" w:rsidR="00A52CC9" w:rsidRDefault="00A52CC9" w:rsidP="00A52CC9">
      <w:pPr>
        <w:spacing w:after="120"/>
        <w:jc w:val="center"/>
        <w:rPr>
          <w:rFonts w:ascii="Arial" w:hAnsi="Arial" w:cs="Arial"/>
          <w:b/>
          <w:sz w:val="16"/>
          <w:szCs w:val="16"/>
        </w:rPr>
      </w:pPr>
    </w:p>
    <w:p w14:paraId="19EFBA0D" w14:textId="77777777" w:rsidR="003459EA" w:rsidRDefault="003459EA" w:rsidP="003459EA">
      <w:pPr>
        <w:spacing w:after="120"/>
        <w:rPr>
          <w:rFonts w:ascii="Arial" w:hAnsi="Arial" w:cs="Arial"/>
          <w:sz w:val="26"/>
          <w:szCs w:val="26"/>
        </w:rPr>
      </w:pPr>
    </w:p>
    <w:p w14:paraId="1CC14816" w14:textId="77777777" w:rsidR="003459EA" w:rsidRDefault="003459EA" w:rsidP="003459EA">
      <w:pPr>
        <w:tabs>
          <w:tab w:val="left" w:pos="1680"/>
          <w:tab w:val="center" w:pos="4277"/>
        </w:tabs>
        <w:spacing w:after="120" w:line="360" w:lineRule="auto"/>
        <w:rPr>
          <w:rFonts w:ascii="Arial" w:hAnsi="Arial" w:cs="Arial"/>
          <w:sz w:val="26"/>
          <w:szCs w:val="26"/>
        </w:rPr>
      </w:pPr>
      <w:r>
        <w:rPr>
          <w:rFonts w:ascii="Arial" w:hAnsi="Arial" w:cs="Arial"/>
          <w:sz w:val="26"/>
          <w:szCs w:val="26"/>
        </w:rPr>
        <w:t xml:space="preserve">       </w:t>
      </w:r>
    </w:p>
    <w:p w14:paraId="260E2BF6" w14:textId="77777777" w:rsidR="00A52CC9" w:rsidRDefault="00A52CC9" w:rsidP="003459EA">
      <w:pPr>
        <w:tabs>
          <w:tab w:val="left" w:pos="1680"/>
          <w:tab w:val="center" w:pos="4277"/>
        </w:tabs>
        <w:spacing w:after="120" w:line="360" w:lineRule="auto"/>
        <w:rPr>
          <w:rFonts w:ascii="Arial" w:hAnsi="Arial" w:cs="Arial"/>
          <w:sz w:val="26"/>
          <w:szCs w:val="26"/>
        </w:rPr>
      </w:pPr>
    </w:p>
    <w:p w14:paraId="08B930AC" w14:textId="77777777" w:rsidR="00A52CC9" w:rsidRDefault="00A52CC9" w:rsidP="003459EA">
      <w:pPr>
        <w:tabs>
          <w:tab w:val="left" w:pos="1680"/>
          <w:tab w:val="center" w:pos="4277"/>
        </w:tabs>
        <w:spacing w:after="120" w:line="360" w:lineRule="auto"/>
        <w:rPr>
          <w:rFonts w:ascii="Arial" w:hAnsi="Arial" w:cs="Arial"/>
          <w:sz w:val="26"/>
          <w:szCs w:val="26"/>
        </w:rPr>
      </w:pPr>
    </w:p>
    <w:p w14:paraId="1A08B9A2" w14:textId="77777777" w:rsidR="00266B2D" w:rsidRPr="00A52CC9" w:rsidRDefault="00266B2D" w:rsidP="00266B2D">
      <w:pPr>
        <w:spacing w:after="120"/>
        <w:jc w:val="center"/>
        <w:rPr>
          <w:rFonts w:ascii="Arial" w:hAnsi="Arial" w:cs="Arial"/>
          <w:b/>
          <w:sz w:val="16"/>
          <w:szCs w:val="16"/>
        </w:rPr>
      </w:pPr>
      <w:r w:rsidRPr="00A52CC9">
        <w:rPr>
          <w:rFonts w:ascii="Arial" w:hAnsi="Arial" w:cs="Arial"/>
          <w:b/>
          <w:sz w:val="16"/>
          <w:szCs w:val="16"/>
        </w:rPr>
        <w:lastRenderedPageBreak/>
        <w:t>LAS PRESENTES FIRMAS CORRESPONDEN A LA RES</w:t>
      </w:r>
      <w:bookmarkStart w:id="0" w:name="_GoBack"/>
      <w:bookmarkEnd w:id="0"/>
      <w:r w:rsidRPr="00A52CC9">
        <w:rPr>
          <w:rFonts w:ascii="Arial" w:hAnsi="Arial" w:cs="Arial"/>
          <w:b/>
          <w:sz w:val="16"/>
          <w:szCs w:val="16"/>
        </w:rPr>
        <w:t>OLUCIÓN DEL RECURSO DE REVISIÓN 0164/2021.</w:t>
      </w:r>
    </w:p>
    <w:p w14:paraId="3DF732C8" w14:textId="77777777" w:rsidR="003459EA" w:rsidRDefault="003459EA" w:rsidP="003459EA">
      <w:pPr>
        <w:tabs>
          <w:tab w:val="left" w:pos="1680"/>
          <w:tab w:val="center" w:pos="4277"/>
        </w:tabs>
        <w:spacing w:after="120" w:line="360" w:lineRule="auto"/>
        <w:jc w:val="center"/>
        <w:rPr>
          <w:rFonts w:ascii="Arial" w:hAnsi="Arial" w:cs="Arial"/>
          <w:sz w:val="26"/>
          <w:szCs w:val="26"/>
        </w:rPr>
      </w:pPr>
    </w:p>
    <w:p w14:paraId="4F6404BD" w14:textId="77777777" w:rsidR="003459EA" w:rsidRDefault="003459EA" w:rsidP="003459EA">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 xml:space="preserve">    MAGISTRADO PAULO JOSÉ LUIS TAPIA PALACIOS</w:t>
      </w:r>
    </w:p>
    <w:p w14:paraId="4B169795" w14:textId="77777777" w:rsidR="003459EA" w:rsidRDefault="003459EA" w:rsidP="003459EA">
      <w:pPr>
        <w:tabs>
          <w:tab w:val="left" w:pos="1680"/>
          <w:tab w:val="center" w:pos="4277"/>
        </w:tabs>
        <w:spacing w:after="120" w:line="360" w:lineRule="auto"/>
        <w:jc w:val="center"/>
        <w:rPr>
          <w:rFonts w:ascii="Arial" w:hAnsi="Arial" w:cs="Arial"/>
          <w:sz w:val="26"/>
          <w:szCs w:val="26"/>
        </w:rPr>
      </w:pPr>
    </w:p>
    <w:p w14:paraId="3CC20F90" w14:textId="77777777" w:rsidR="003459EA" w:rsidRDefault="003459EA" w:rsidP="003459EA">
      <w:pPr>
        <w:tabs>
          <w:tab w:val="left" w:pos="1680"/>
          <w:tab w:val="center" w:pos="4277"/>
        </w:tabs>
        <w:spacing w:after="120" w:line="360" w:lineRule="auto"/>
        <w:rPr>
          <w:rFonts w:ascii="Arial" w:hAnsi="Arial" w:cs="Arial"/>
          <w:sz w:val="26"/>
          <w:szCs w:val="26"/>
        </w:rPr>
      </w:pPr>
    </w:p>
    <w:p w14:paraId="7BDBD862" w14:textId="77777777" w:rsidR="003459EA" w:rsidRDefault="003459EA" w:rsidP="003459EA">
      <w:pPr>
        <w:tabs>
          <w:tab w:val="left" w:pos="1680"/>
          <w:tab w:val="center" w:pos="4277"/>
        </w:tabs>
        <w:spacing w:after="120" w:line="360" w:lineRule="auto"/>
        <w:rPr>
          <w:rFonts w:ascii="Arial" w:hAnsi="Arial" w:cs="Arial"/>
          <w:sz w:val="26"/>
          <w:szCs w:val="26"/>
        </w:rPr>
      </w:pPr>
    </w:p>
    <w:p w14:paraId="3C0915F9" w14:textId="77777777" w:rsidR="003459EA" w:rsidRDefault="003459EA" w:rsidP="003459EA">
      <w:pPr>
        <w:tabs>
          <w:tab w:val="left" w:pos="1680"/>
          <w:tab w:val="center" w:pos="4277"/>
        </w:tabs>
        <w:spacing w:after="120" w:line="360" w:lineRule="auto"/>
        <w:jc w:val="center"/>
        <w:rPr>
          <w:rFonts w:ascii="Arial" w:hAnsi="Arial" w:cs="Arial"/>
          <w:sz w:val="26"/>
          <w:szCs w:val="26"/>
        </w:rPr>
      </w:pPr>
    </w:p>
    <w:p w14:paraId="439CBA5D" w14:textId="77777777" w:rsidR="003459EA" w:rsidRDefault="003459EA" w:rsidP="003459EA">
      <w:pPr>
        <w:tabs>
          <w:tab w:val="left" w:pos="1680"/>
          <w:tab w:val="center" w:pos="4277"/>
        </w:tabs>
        <w:spacing w:after="120" w:line="360" w:lineRule="auto"/>
        <w:rPr>
          <w:rFonts w:ascii="Arial" w:hAnsi="Arial" w:cs="Arial"/>
          <w:sz w:val="26"/>
          <w:szCs w:val="26"/>
        </w:rPr>
      </w:pPr>
      <w:r>
        <w:rPr>
          <w:rFonts w:ascii="Arial" w:hAnsi="Arial" w:cs="Arial"/>
          <w:sz w:val="26"/>
          <w:szCs w:val="26"/>
        </w:rPr>
        <w:t xml:space="preserve">                         MAGISTRADO ELÍAS CORTÉS LÓPEZ</w:t>
      </w:r>
    </w:p>
    <w:p w14:paraId="6EA65182" w14:textId="77777777" w:rsidR="003459EA" w:rsidRDefault="003459EA" w:rsidP="003459EA">
      <w:pPr>
        <w:tabs>
          <w:tab w:val="left" w:pos="1680"/>
          <w:tab w:val="center" w:pos="4277"/>
        </w:tabs>
        <w:spacing w:after="120" w:line="360" w:lineRule="auto"/>
        <w:rPr>
          <w:rFonts w:ascii="Arial" w:hAnsi="Arial" w:cs="Arial"/>
          <w:sz w:val="26"/>
          <w:szCs w:val="26"/>
        </w:rPr>
      </w:pPr>
    </w:p>
    <w:p w14:paraId="7D91CC41" w14:textId="77777777" w:rsidR="003459EA" w:rsidRDefault="003459EA" w:rsidP="003459EA">
      <w:pPr>
        <w:tabs>
          <w:tab w:val="left" w:pos="1680"/>
          <w:tab w:val="center" w:pos="4277"/>
        </w:tabs>
        <w:spacing w:after="120" w:line="360" w:lineRule="auto"/>
        <w:rPr>
          <w:rFonts w:ascii="Arial" w:hAnsi="Arial" w:cs="Arial"/>
          <w:sz w:val="26"/>
          <w:szCs w:val="26"/>
        </w:rPr>
      </w:pPr>
    </w:p>
    <w:p w14:paraId="438CE1B8" w14:textId="77777777" w:rsidR="00A52CC9" w:rsidRDefault="00A52CC9" w:rsidP="003459EA">
      <w:pPr>
        <w:tabs>
          <w:tab w:val="left" w:pos="1680"/>
          <w:tab w:val="center" w:pos="4277"/>
        </w:tabs>
        <w:spacing w:after="120" w:line="360" w:lineRule="auto"/>
        <w:rPr>
          <w:rFonts w:ascii="Arial" w:hAnsi="Arial" w:cs="Arial"/>
          <w:sz w:val="26"/>
          <w:szCs w:val="26"/>
        </w:rPr>
      </w:pPr>
    </w:p>
    <w:p w14:paraId="5D55C655" w14:textId="77777777" w:rsidR="003459EA" w:rsidRDefault="003459EA" w:rsidP="003459EA">
      <w:pPr>
        <w:tabs>
          <w:tab w:val="left" w:pos="1680"/>
          <w:tab w:val="center" w:pos="4277"/>
        </w:tabs>
        <w:spacing w:after="120" w:line="360" w:lineRule="auto"/>
        <w:rPr>
          <w:rFonts w:ascii="Arial" w:hAnsi="Arial" w:cs="Arial"/>
          <w:sz w:val="26"/>
          <w:szCs w:val="26"/>
        </w:rPr>
      </w:pPr>
    </w:p>
    <w:p w14:paraId="3EA69A4C" w14:textId="77777777" w:rsidR="003459EA" w:rsidRDefault="003459EA" w:rsidP="003459EA">
      <w:pPr>
        <w:spacing w:after="0" w:line="240" w:lineRule="auto"/>
        <w:rPr>
          <w:rFonts w:ascii="Arial" w:hAnsi="Arial" w:cs="Arial"/>
          <w:sz w:val="26"/>
          <w:szCs w:val="26"/>
          <w:lang w:val="es-ES"/>
        </w:rPr>
      </w:pPr>
      <w:r>
        <w:rPr>
          <w:rFonts w:ascii="Arial" w:hAnsi="Arial" w:cs="Arial"/>
          <w:sz w:val="26"/>
          <w:szCs w:val="26"/>
          <w:lang w:val="es-ES"/>
        </w:rPr>
        <w:t xml:space="preserve">                  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187A3346" w14:textId="77777777" w:rsidR="003459EA" w:rsidRPr="00303738" w:rsidRDefault="003459EA" w:rsidP="003459EA">
      <w:pPr>
        <w:spacing w:after="0" w:line="240" w:lineRule="auto"/>
        <w:rPr>
          <w:rStyle w:val="registros-movil-hide"/>
          <w:rFonts w:ascii="Arial" w:hAnsi="Arial" w:cs="Arial"/>
          <w:sz w:val="26"/>
          <w:szCs w:val="26"/>
        </w:rPr>
      </w:pPr>
      <w:r>
        <w:rPr>
          <w:rFonts w:ascii="Arial" w:hAnsi="Arial" w:cs="Arial"/>
          <w:sz w:val="26"/>
          <w:szCs w:val="26"/>
          <w:lang w:val="es-ES"/>
        </w:rPr>
        <w:t xml:space="preserve">                    SECRETARIO</w:t>
      </w:r>
      <w:r w:rsidRPr="00A979D7">
        <w:rPr>
          <w:rFonts w:ascii="Arial" w:hAnsi="Arial" w:cs="Arial"/>
          <w:sz w:val="26"/>
          <w:szCs w:val="26"/>
          <w:lang w:val="es-ES"/>
        </w:rPr>
        <w:t xml:space="preserve"> GENERAL DE ACUERDOS</w:t>
      </w:r>
    </w:p>
    <w:p w14:paraId="50453FE0" w14:textId="19361E59" w:rsidR="00BA258A" w:rsidRPr="00516E4D" w:rsidRDefault="00BA258A" w:rsidP="003459EA">
      <w:pPr>
        <w:widowControl w:val="0"/>
        <w:tabs>
          <w:tab w:val="left" w:pos="0"/>
        </w:tabs>
        <w:spacing w:before="120" w:after="0" w:line="360" w:lineRule="auto"/>
        <w:ind w:right="18"/>
        <w:jc w:val="both"/>
        <w:rPr>
          <w:color w:val="000000" w:themeColor="text1"/>
        </w:rPr>
      </w:pPr>
    </w:p>
    <w:sectPr w:rsidR="00BA258A" w:rsidRPr="00516E4D" w:rsidSect="0024672A">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1617F" w14:textId="77777777" w:rsidR="00E37490" w:rsidRDefault="00E37490">
      <w:pPr>
        <w:spacing w:after="0" w:line="240" w:lineRule="auto"/>
      </w:pPr>
      <w:r>
        <w:separator/>
      </w:r>
    </w:p>
  </w:endnote>
  <w:endnote w:type="continuationSeparator" w:id="0">
    <w:p w14:paraId="3E4BFDC1" w14:textId="77777777" w:rsidR="00E37490" w:rsidRDefault="00E37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81797" w:rsidRDefault="00581797">
    <w:pPr>
      <w:pStyle w:val="Piedepgina"/>
      <w:jc w:val="center"/>
    </w:pPr>
  </w:p>
  <w:p w14:paraId="195FF414" w14:textId="77777777" w:rsidR="00581797" w:rsidRDefault="005817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5FB0C" w14:textId="77777777" w:rsidR="00E37490" w:rsidRDefault="00E37490">
      <w:pPr>
        <w:spacing w:after="0" w:line="240" w:lineRule="auto"/>
      </w:pPr>
      <w:r>
        <w:separator/>
      </w:r>
    </w:p>
  </w:footnote>
  <w:footnote w:type="continuationSeparator" w:id="0">
    <w:p w14:paraId="387C853E" w14:textId="77777777" w:rsidR="00E37490" w:rsidRDefault="00E37490">
      <w:pPr>
        <w:spacing w:after="0" w:line="240" w:lineRule="auto"/>
      </w:pPr>
      <w:r>
        <w:continuationSeparator/>
      </w:r>
    </w:p>
  </w:footnote>
  <w:footnote w:id="1">
    <w:p w14:paraId="47437F39" w14:textId="77777777" w:rsidR="00581797" w:rsidRDefault="00581797" w:rsidP="00E05E8C">
      <w:pPr>
        <w:pStyle w:val="Textonotapie"/>
        <w:jc w:val="both"/>
        <w:rPr>
          <w:rFonts w:ascii="Arial" w:hAnsi="Arial" w:cs="Arial"/>
          <w:sz w:val="18"/>
          <w:szCs w:val="18"/>
        </w:rPr>
      </w:pPr>
      <w:r>
        <w:rPr>
          <w:rStyle w:val="Refdenotaalpie"/>
        </w:rPr>
        <w:footnoteRef/>
      </w:r>
      <w:r>
        <w:t xml:space="preserve"> </w:t>
      </w:r>
      <w:r w:rsidRPr="00E05E8C">
        <w:rPr>
          <w:rFonts w:ascii="Arial" w:hAnsi="Arial" w:cs="Arial"/>
          <w:b/>
          <w:sz w:val="18"/>
          <w:szCs w:val="18"/>
        </w:rPr>
        <w:t>ARTÍCULO 203</w:t>
      </w:r>
      <w:r w:rsidRPr="00E05E8C">
        <w:rPr>
          <w:rFonts w:ascii="Arial" w:hAnsi="Arial" w:cs="Arial"/>
          <w:sz w:val="18"/>
          <w:szCs w:val="18"/>
        </w:rPr>
        <w:t>.- La valoración de las pruebas se hará de acuerdo con las siguientes reglas:</w:t>
      </w:r>
    </w:p>
    <w:p w14:paraId="271C6792" w14:textId="77777777" w:rsidR="00581797" w:rsidRDefault="00581797" w:rsidP="00E05E8C">
      <w:pPr>
        <w:pStyle w:val="Textonotapie"/>
        <w:jc w:val="both"/>
        <w:rPr>
          <w:rFonts w:ascii="Arial" w:hAnsi="Arial" w:cs="Arial"/>
          <w:sz w:val="18"/>
          <w:szCs w:val="18"/>
        </w:rPr>
      </w:pPr>
    </w:p>
    <w:p w14:paraId="5AE9396D" w14:textId="07BE0B5B" w:rsidR="00581797" w:rsidRPr="00E05E8C" w:rsidRDefault="00581797" w:rsidP="00E05E8C">
      <w:pPr>
        <w:pStyle w:val="Textonotapie"/>
        <w:jc w:val="both"/>
        <w:rPr>
          <w:rFonts w:ascii="Arial" w:hAnsi="Arial" w:cs="Arial"/>
          <w:sz w:val="18"/>
          <w:szCs w:val="18"/>
        </w:rPr>
      </w:pPr>
      <w:r w:rsidRPr="00E05E8C">
        <w:rPr>
          <w:rFonts w:ascii="Arial" w:hAnsi="Arial" w:cs="Arial"/>
          <w:sz w:val="18"/>
          <w:szCs w:val="18"/>
        </w:rPr>
        <w:t>I. Harán prueba plena la confesión expresa de las partes y los actos contenidos en documentos públicos, si en éstos últimos se contienen declaraciones de verdad o manifestaciones de hechos de particulares</w:t>
      </w:r>
    </w:p>
  </w:footnote>
  <w:footnote w:id="2">
    <w:p w14:paraId="1E9CBCF5" w14:textId="1C38F143" w:rsidR="00581797" w:rsidRPr="006F5F55" w:rsidRDefault="00581797" w:rsidP="006F5F55">
      <w:pPr>
        <w:pStyle w:val="Textonotapie"/>
        <w:jc w:val="both"/>
        <w:rPr>
          <w:rFonts w:ascii="Arial" w:hAnsi="Arial" w:cs="Arial"/>
          <w:sz w:val="18"/>
          <w:szCs w:val="18"/>
        </w:rPr>
      </w:pPr>
      <w:r>
        <w:rPr>
          <w:rStyle w:val="Refdenotaalpie"/>
        </w:rPr>
        <w:footnoteRef/>
      </w:r>
      <w:r>
        <w:t xml:space="preserve"> </w:t>
      </w:r>
      <w:r w:rsidRPr="006F5F55">
        <w:rPr>
          <w:rFonts w:ascii="Arial" w:hAnsi="Arial" w:cs="Arial"/>
          <w:b/>
          <w:sz w:val="18"/>
          <w:szCs w:val="18"/>
        </w:rPr>
        <w:t>ARTÍCULO 206.-</w:t>
      </w:r>
      <w:r w:rsidRPr="006F5F55">
        <w:rPr>
          <w:rFonts w:ascii="Arial" w:hAnsi="Arial" w:cs="Arial"/>
          <w:sz w:val="18"/>
          <w:szCs w:val="18"/>
        </w:rPr>
        <w:t xml:space="preserve"> La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 w:id="3">
    <w:p w14:paraId="5932233E" w14:textId="600B38AB" w:rsidR="00B66B63" w:rsidRDefault="00B66B63" w:rsidP="00B66B63">
      <w:pPr>
        <w:pStyle w:val="Textonotapie"/>
      </w:pPr>
      <w:r>
        <w:rPr>
          <w:rStyle w:val="Refdenotaalpie"/>
        </w:rPr>
        <w:footnoteRef/>
      </w:r>
      <w:r>
        <w:t xml:space="preserve"> </w:t>
      </w:r>
      <w:r>
        <w:rPr>
          <w:rFonts w:ascii="Arial" w:hAnsi="Arial" w:cs="Arial"/>
          <w:i/>
          <w:sz w:val="16"/>
          <w:szCs w:val="16"/>
        </w:rPr>
        <w:t xml:space="preserve">Visible en fojas </w:t>
      </w:r>
      <w:r w:rsidR="004D6DE7">
        <w:rPr>
          <w:rFonts w:ascii="Arial" w:hAnsi="Arial" w:cs="Arial"/>
          <w:i/>
          <w:sz w:val="16"/>
          <w:szCs w:val="16"/>
        </w:rPr>
        <w:t>435</w:t>
      </w:r>
      <w:r>
        <w:rPr>
          <w:rFonts w:ascii="Arial" w:hAnsi="Arial" w:cs="Arial"/>
          <w:i/>
          <w:sz w:val="16"/>
          <w:szCs w:val="16"/>
        </w:rPr>
        <w:t xml:space="preserve"> a la </w:t>
      </w:r>
      <w:r w:rsidR="004D6DE7">
        <w:rPr>
          <w:rFonts w:ascii="Arial" w:hAnsi="Arial" w:cs="Arial"/>
          <w:i/>
          <w:sz w:val="16"/>
          <w:szCs w:val="16"/>
        </w:rPr>
        <w:t xml:space="preserve">452 </w:t>
      </w:r>
      <w:r>
        <w:rPr>
          <w:rFonts w:ascii="Arial" w:hAnsi="Arial" w:cs="Arial"/>
          <w:i/>
          <w:sz w:val="16"/>
          <w:szCs w:val="16"/>
        </w:rPr>
        <w:t xml:space="preserve">del </w:t>
      </w:r>
      <w:r w:rsidR="004D6DE7">
        <w:rPr>
          <w:rFonts w:ascii="Arial" w:hAnsi="Arial" w:cs="Arial"/>
          <w:i/>
          <w:sz w:val="16"/>
          <w:szCs w:val="16"/>
        </w:rPr>
        <w:t>expediente administrativo 48/RA-B/2016</w:t>
      </w:r>
      <w:r>
        <w:rPr>
          <w:rFonts w:ascii="Arial" w:hAnsi="Arial" w:cs="Arial"/>
          <w:i/>
          <w:sz w:val="16"/>
          <w:szCs w:val="16"/>
        </w:rPr>
        <w:t>.</w:t>
      </w:r>
    </w:p>
  </w:footnote>
  <w:footnote w:id="4">
    <w:p w14:paraId="710CEF15" w14:textId="77777777" w:rsidR="009D67E8" w:rsidRPr="001E506A" w:rsidRDefault="00B66B63" w:rsidP="009D67E8">
      <w:pPr>
        <w:autoSpaceDE w:val="0"/>
        <w:autoSpaceDN w:val="0"/>
        <w:adjustRightInd w:val="0"/>
        <w:spacing w:after="0" w:line="240" w:lineRule="auto"/>
        <w:jc w:val="both"/>
        <w:rPr>
          <w:rFonts w:ascii="Arial" w:hAnsi="Arial" w:cs="Arial"/>
          <w:i/>
          <w:color w:val="000000"/>
          <w:sz w:val="16"/>
          <w:szCs w:val="16"/>
        </w:rPr>
      </w:pPr>
      <w:r>
        <w:rPr>
          <w:rStyle w:val="Refdenotaalpie"/>
        </w:rPr>
        <w:footnoteRef/>
      </w:r>
      <w:r>
        <w:t xml:space="preserve"> </w:t>
      </w:r>
      <w:r w:rsidR="009D67E8" w:rsidRPr="001E506A">
        <w:rPr>
          <w:rFonts w:ascii="Arial" w:hAnsi="Arial" w:cs="Arial"/>
          <w:b/>
          <w:bCs/>
          <w:i/>
          <w:color w:val="000000"/>
          <w:sz w:val="16"/>
          <w:szCs w:val="16"/>
        </w:rPr>
        <w:t>ARTÍCULO 208</w:t>
      </w:r>
      <w:r w:rsidR="009D67E8" w:rsidRPr="001E506A">
        <w:rPr>
          <w:rFonts w:ascii="Arial" w:hAnsi="Arial" w:cs="Arial"/>
          <w:i/>
          <w:color w:val="000000"/>
          <w:sz w:val="16"/>
          <w:szCs w:val="16"/>
        </w:rPr>
        <w:t>.- Se declarará que un acto administrativo es ilegal si de esa ilegalidad nace su</w:t>
      </w:r>
      <w:r w:rsidR="009D67E8">
        <w:rPr>
          <w:rFonts w:ascii="Arial" w:hAnsi="Arial" w:cs="Arial"/>
          <w:i/>
          <w:color w:val="000000"/>
          <w:sz w:val="16"/>
          <w:szCs w:val="16"/>
        </w:rPr>
        <w:t xml:space="preserve"> </w:t>
      </w:r>
      <w:r w:rsidR="009D67E8" w:rsidRPr="001E506A">
        <w:rPr>
          <w:rFonts w:ascii="Arial" w:hAnsi="Arial" w:cs="Arial"/>
          <w:i/>
          <w:color w:val="000000"/>
          <w:sz w:val="16"/>
          <w:szCs w:val="16"/>
        </w:rPr>
        <w:t>nulidad relativa o absoluta, cuando se demuestre alguna de las siguientes causales:</w:t>
      </w:r>
    </w:p>
    <w:p w14:paraId="183CDB03" w14:textId="77777777" w:rsidR="009D67E8" w:rsidRPr="001E506A" w:rsidRDefault="009D67E8" w:rsidP="009D67E8">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I. Incompetencia del funcionario que lo haya ordenado, o tramitado el procedimiento del</w:t>
      </w:r>
      <w:r>
        <w:rPr>
          <w:rFonts w:ascii="Arial" w:hAnsi="Arial" w:cs="Arial"/>
          <w:i/>
          <w:color w:val="000000"/>
          <w:sz w:val="16"/>
          <w:szCs w:val="16"/>
        </w:rPr>
        <w:t xml:space="preserve"> </w:t>
      </w:r>
      <w:r w:rsidRPr="001E506A">
        <w:rPr>
          <w:rFonts w:ascii="Arial" w:hAnsi="Arial" w:cs="Arial"/>
          <w:i/>
          <w:color w:val="000000"/>
          <w:sz w:val="16"/>
          <w:szCs w:val="16"/>
        </w:rPr>
        <w:t>que deriva la resolución impugnada;</w:t>
      </w:r>
    </w:p>
    <w:p w14:paraId="71AAC898" w14:textId="77777777" w:rsidR="009D67E8" w:rsidRPr="001E506A" w:rsidRDefault="009D67E8" w:rsidP="009D67E8">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II. Omisión de los requisitos formales exigidos por las leyes que afecten las defensas del</w:t>
      </w:r>
      <w:r>
        <w:rPr>
          <w:rFonts w:ascii="Arial" w:hAnsi="Arial" w:cs="Arial"/>
          <w:i/>
          <w:color w:val="000000"/>
          <w:sz w:val="16"/>
          <w:szCs w:val="16"/>
        </w:rPr>
        <w:t xml:space="preserve"> </w:t>
      </w:r>
      <w:r w:rsidRPr="001E506A">
        <w:rPr>
          <w:rFonts w:ascii="Arial" w:hAnsi="Arial" w:cs="Arial"/>
          <w:i/>
          <w:color w:val="000000"/>
          <w:sz w:val="16"/>
          <w:szCs w:val="16"/>
        </w:rPr>
        <w:t>particular y trasciendan al sentido de la resolución impugnada, inclusive la ausencia de</w:t>
      </w:r>
      <w:r>
        <w:rPr>
          <w:rFonts w:ascii="Arial" w:hAnsi="Arial" w:cs="Arial"/>
          <w:i/>
          <w:color w:val="000000"/>
          <w:sz w:val="16"/>
          <w:szCs w:val="16"/>
        </w:rPr>
        <w:t xml:space="preserve"> </w:t>
      </w:r>
      <w:r w:rsidRPr="001E506A">
        <w:rPr>
          <w:rFonts w:ascii="Arial" w:hAnsi="Arial" w:cs="Arial"/>
          <w:i/>
          <w:color w:val="000000"/>
          <w:sz w:val="16"/>
          <w:szCs w:val="16"/>
        </w:rPr>
        <w:t>fundamento o motivación, en su caso;</w:t>
      </w:r>
    </w:p>
    <w:p w14:paraId="3FDE6C80" w14:textId="77777777" w:rsidR="009D67E8" w:rsidRPr="001E506A" w:rsidRDefault="009D67E8" w:rsidP="009D67E8">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w:t>
      </w:r>
    </w:p>
    <w:p w14:paraId="52F538F3" w14:textId="77777777" w:rsidR="009D67E8" w:rsidRPr="001E506A" w:rsidRDefault="009D67E8" w:rsidP="009D67E8">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VI. Si el acto administrativo no cumple con alguno de los elementos y requisitos exigidos</w:t>
      </w:r>
      <w:r>
        <w:rPr>
          <w:rFonts w:ascii="Arial" w:hAnsi="Arial" w:cs="Arial"/>
          <w:i/>
          <w:color w:val="000000"/>
          <w:sz w:val="16"/>
          <w:szCs w:val="16"/>
        </w:rPr>
        <w:t xml:space="preserve"> </w:t>
      </w:r>
      <w:r w:rsidRPr="001E506A">
        <w:rPr>
          <w:rFonts w:ascii="Arial" w:hAnsi="Arial" w:cs="Arial"/>
          <w:i/>
          <w:color w:val="000000"/>
          <w:sz w:val="16"/>
          <w:szCs w:val="16"/>
        </w:rPr>
        <w:t>en esta Ley; y</w:t>
      </w:r>
    </w:p>
    <w:p w14:paraId="2496A2F0" w14:textId="77777777" w:rsidR="009D67E8" w:rsidRPr="001E506A" w:rsidRDefault="009D67E8" w:rsidP="009D67E8">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w:t>
      </w:r>
    </w:p>
    <w:p w14:paraId="41F590CD" w14:textId="77777777" w:rsidR="009D67E8" w:rsidRPr="001E506A" w:rsidRDefault="009D67E8" w:rsidP="009D67E8">
      <w:pPr>
        <w:autoSpaceDE w:val="0"/>
        <w:autoSpaceDN w:val="0"/>
        <w:adjustRightInd w:val="0"/>
        <w:spacing w:after="0" w:line="240" w:lineRule="auto"/>
        <w:jc w:val="both"/>
        <w:rPr>
          <w:rFonts w:ascii="Arial" w:hAnsi="Arial" w:cs="Arial"/>
          <w:i/>
          <w:color w:val="000000"/>
          <w:sz w:val="16"/>
          <w:szCs w:val="16"/>
        </w:rPr>
      </w:pPr>
      <w:r w:rsidRPr="001E506A">
        <w:rPr>
          <w:rFonts w:ascii="Arial" w:hAnsi="Arial" w:cs="Arial"/>
          <w:i/>
          <w:color w:val="000000"/>
          <w:sz w:val="16"/>
          <w:szCs w:val="16"/>
        </w:rPr>
        <w:t>El Tribunal podrá hacer valer de oficio, por ser de orden público, la incompetencia de la autoridad</w:t>
      </w:r>
      <w:r>
        <w:rPr>
          <w:rFonts w:ascii="Arial" w:hAnsi="Arial" w:cs="Arial"/>
          <w:i/>
          <w:color w:val="000000"/>
          <w:sz w:val="16"/>
          <w:szCs w:val="16"/>
        </w:rPr>
        <w:t xml:space="preserve"> </w:t>
      </w:r>
      <w:r w:rsidRPr="001E506A">
        <w:rPr>
          <w:rFonts w:ascii="Arial" w:hAnsi="Arial" w:cs="Arial"/>
          <w:i/>
          <w:color w:val="000000"/>
          <w:sz w:val="16"/>
          <w:szCs w:val="16"/>
        </w:rPr>
        <w:t>para dictar la resolución impugnada y la ausencia total o parcial de fundamentación o motivación</w:t>
      </w:r>
      <w:r>
        <w:rPr>
          <w:rFonts w:ascii="Arial" w:hAnsi="Arial" w:cs="Arial"/>
          <w:i/>
          <w:color w:val="000000"/>
          <w:sz w:val="16"/>
          <w:szCs w:val="16"/>
        </w:rPr>
        <w:t xml:space="preserve"> </w:t>
      </w:r>
      <w:r w:rsidRPr="001E506A">
        <w:rPr>
          <w:rFonts w:ascii="Arial" w:hAnsi="Arial" w:cs="Arial"/>
          <w:i/>
          <w:color w:val="000000"/>
          <w:sz w:val="16"/>
          <w:szCs w:val="16"/>
        </w:rPr>
        <w:t>en dicha resolución.</w:t>
      </w:r>
    </w:p>
    <w:p w14:paraId="04C0EA7C" w14:textId="77777777" w:rsidR="009D67E8" w:rsidRDefault="009D67E8" w:rsidP="009D67E8">
      <w:pPr>
        <w:autoSpaceDE w:val="0"/>
        <w:autoSpaceDN w:val="0"/>
        <w:adjustRightInd w:val="0"/>
        <w:spacing w:after="0" w:line="240" w:lineRule="auto"/>
        <w:rPr>
          <w:rFonts w:ascii="Arial" w:hAnsi="Arial" w:cs="Arial"/>
          <w:color w:val="000000"/>
        </w:rPr>
      </w:pPr>
    </w:p>
    <w:p w14:paraId="6F03BAAE" w14:textId="4771BA82" w:rsidR="00B66B63" w:rsidRDefault="00B66B63" w:rsidP="009D67E8">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581797" w:rsidRDefault="002F4D9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81797">
          <w:fldChar w:fldCharType="begin"/>
        </w:r>
        <w:r w:rsidR="00581797">
          <w:instrText>PAGE   \* MERGEFORMAT</w:instrText>
        </w:r>
        <w:r w:rsidR="00581797">
          <w:fldChar w:fldCharType="separate"/>
        </w:r>
        <w:r w:rsidRPr="002F4D98">
          <w:rPr>
            <w:noProof/>
            <w:lang w:val="es-ES"/>
          </w:rPr>
          <w:t>10</w:t>
        </w:r>
        <w:r w:rsidR="00581797">
          <w:fldChar w:fldCharType="end"/>
        </w:r>
      </w:p>
    </w:sdtContent>
  </w:sdt>
  <w:p w14:paraId="0E68208C" w14:textId="77777777" w:rsidR="00581797" w:rsidRDefault="0058179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581797" w:rsidRDefault="002F4D9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81797">
          <w:fldChar w:fldCharType="begin"/>
        </w:r>
        <w:r w:rsidR="00581797">
          <w:instrText>PAGE   \* MERGEFORMAT</w:instrText>
        </w:r>
        <w:r w:rsidR="00581797">
          <w:fldChar w:fldCharType="separate"/>
        </w:r>
        <w:r w:rsidRPr="002F4D98">
          <w:rPr>
            <w:noProof/>
            <w:lang w:val="es-ES"/>
          </w:rPr>
          <w:t>11</w:t>
        </w:r>
        <w:r w:rsidR="00581797">
          <w:fldChar w:fldCharType="end"/>
        </w:r>
      </w:sdtContent>
    </w:sdt>
  </w:p>
  <w:p w14:paraId="51E22156" w14:textId="3A6DF5B8" w:rsidR="00581797" w:rsidRDefault="00266B2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54D65BD" wp14:editId="2D69444C">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544DFD2" w14:textId="77777777" w:rsidR="00266B2D" w:rsidRDefault="00266B2D" w:rsidP="00266B2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D65BD"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544DFD2" w14:textId="77777777" w:rsidR="00266B2D" w:rsidRDefault="00266B2D" w:rsidP="00266B2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81797"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81797" w:rsidRDefault="002F4D9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FA65B0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750590B"/>
    <w:multiLevelType w:val="hybridMultilevel"/>
    <w:tmpl w:val="C0DEB2E2"/>
    <w:lvl w:ilvl="0" w:tplc="BB424642">
      <w:start w:val="1"/>
      <w:numFmt w:val="decimal"/>
      <w:lvlText w:val="%1)"/>
      <w:lvlJc w:val="left"/>
      <w:pPr>
        <w:ind w:left="4329" w:hanging="360"/>
      </w:pPr>
      <w:rPr>
        <w:rFonts w:hint="default"/>
      </w:rPr>
    </w:lvl>
    <w:lvl w:ilvl="1" w:tplc="080A0019" w:tentative="1">
      <w:start w:val="1"/>
      <w:numFmt w:val="lowerLetter"/>
      <w:lvlText w:val="%2."/>
      <w:lvlJc w:val="left"/>
      <w:pPr>
        <w:ind w:left="5049" w:hanging="360"/>
      </w:pPr>
    </w:lvl>
    <w:lvl w:ilvl="2" w:tplc="080A001B" w:tentative="1">
      <w:start w:val="1"/>
      <w:numFmt w:val="lowerRoman"/>
      <w:lvlText w:val="%3."/>
      <w:lvlJc w:val="right"/>
      <w:pPr>
        <w:ind w:left="5769" w:hanging="180"/>
      </w:pPr>
    </w:lvl>
    <w:lvl w:ilvl="3" w:tplc="080A000F" w:tentative="1">
      <w:start w:val="1"/>
      <w:numFmt w:val="decimal"/>
      <w:lvlText w:val="%4."/>
      <w:lvlJc w:val="left"/>
      <w:pPr>
        <w:ind w:left="6489" w:hanging="360"/>
      </w:pPr>
    </w:lvl>
    <w:lvl w:ilvl="4" w:tplc="080A0019" w:tentative="1">
      <w:start w:val="1"/>
      <w:numFmt w:val="lowerLetter"/>
      <w:lvlText w:val="%5."/>
      <w:lvlJc w:val="left"/>
      <w:pPr>
        <w:ind w:left="7209" w:hanging="360"/>
      </w:pPr>
    </w:lvl>
    <w:lvl w:ilvl="5" w:tplc="080A001B" w:tentative="1">
      <w:start w:val="1"/>
      <w:numFmt w:val="lowerRoman"/>
      <w:lvlText w:val="%6."/>
      <w:lvlJc w:val="right"/>
      <w:pPr>
        <w:ind w:left="7929" w:hanging="180"/>
      </w:pPr>
    </w:lvl>
    <w:lvl w:ilvl="6" w:tplc="080A000F" w:tentative="1">
      <w:start w:val="1"/>
      <w:numFmt w:val="decimal"/>
      <w:lvlText w:val="%7."/>
      <w:lvlJc w:val="left"/>
      <w:pPr>
        <w:ind w:left="8649" w:hanging="360"/>
      </w:pPr>
    </w:lvl>
    <w:lvl w:ilvl="7" w:tplc="080A0019" w:tentative="1">
      <w:start w:val="1"/>
      <w:numFmt w:val="lowerLetter"/>
      <w:lvlText w:val="%8."/>
      <w:lvlJc w:val="left"/>
      <w:pPr>
        <w:ind w:left="9369" w:hanging="360"/>
      </w:pPr>
    </w:lvl>
    <w:lvl w:ilvl="8" w:tplc="080A001B" w:tentative="1">
      <w:start w:val="1"/>
      <w:numFmt w:val="lowerRoman"/>
      <w:lvlText w:val="%9."/>
      <w:lvlJc w:val="right"/>
      <w:pPr>
        <w:ind w:left="10089" w:hanging="180"/>
      </w:pPr>
    </w:lvl>
  </w:abstractNum>
  <w:abstractNum w:abstractNumId="17">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EDE653A"/>
    <w:multiLevelType w:val="hybridMultilevel"/>
    <w:tmpl w:val="AE6CE98C"/>
    <w:lvl w:ilvl="0" w:tplc="5270F912">
      <w:numFmt w:val="bullet"/>
      <w:lvlText w:val="-"/>
      <w:lvlJc w:val="left"/>
      <w:pPr>
        <w:ind w:left="1069" w:hanging="360"/>
      </w:pPr>
      <w:rPr>
        <w:rFonts w:ascii="Arial" w:eastAsiaTheme="minorEastAsia"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20"/>
  </w:num>
  <w:num w:numId="2">
    <w:abstractNumId w:val="6"/>
  </w:num>
  <w:num w:numId="3">
    <w:abstractNumId w:val="2"/>
  </w:num>
  <w:num w:numId="4">
    <w:abstractNumId w:val="14"/>
  </w:num>
  <w:num w:numId="5">
    <w:abstractNumId w:val="19"/>
  </w:num>
  <w:num w:numId="6">
    <w:abstractNumId w:val="10"/>
  </w:num>
  <w:num w:numId="7">
    <w:abstractNumId w:val="9"/>
  </w:num>
  <w:num w:numId="8">
    <w:abstractNumId w:val="5"/>
  </w:num>
  <w:num w:numId="9">
    <w:abstractNumId w:val="8"/>
  </w:num>
  <w:num w:numId="10">
    <w:abstractNumId w:val="12"/>
  </w:num>
  <w:num w:numId="11">
    <w:abstractNumId w:val="15"/>
  </w:num>
  <w:num w:numId="12">
    <w:abstractNumId w:val="1"/>
  </w:num>
  <w:num w:numId="13">
    <w:abstractNumId w:val="17"/>
  </w:num>
  <w:num w:numId="14">
    <w:abstractNumId w:val="18"/>
  </w:num>
  <w:num w:numId="15">
    <w:abstractNumId w:val="4"/>
  </w:num>
  <w:num w:numId="16">
    <w:abstractNumId w:val="3"/>
  </w:num>
  <w:num w:numId="17">
    <w:abstractNumId w:val="21"/>
  </w:num>
  <w:num w:numId="18">
    <w:abstractNumId w:val="13"/>
  </w:num>
  <w:num w:numId="19">
    <w:abstractNumId w:val="11"/>
  </w:num>
  <w:num w:numId="20">
    <w:abstractNumId w:val="7"/>
  </w:num>
  <w:num w:numId="21">
    <w:abstractNumId w:val="0"/>
  </w:num>
  <w:num w:numId="22">
    <w:abstractNumId w:val="1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B"/>
    <w:rsid w:val="00000AF2"/>
    <w:rsid w:val="00000BFF"/>
    <w:rsid w:val="00000EAB"/>
    <w:rsid w:val="0000187B"/>
    <w:rsid w:val="00001FA6"/>
    <w:rsid w:val="0000259B"/>
    <w:rsid w:val="00002B85"/>
    <w:rsid w:val="00002D8A"/>
    <w:rsid w:val="000036A8"/>
    <w:rsid w:val="00003CC3"/>
    <w:rsid w:val="00004038"/>
    <w:rsid w:val="0000488B"/>
    <w:rsid w:val="00004B3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5148"/>
    <w:rsid w:val="0001695E"/>
    <w:rsid w:val="00016C0B"/>
    <w:rsid w:val="00016E88"/>
    <w:rsid w:val="000174F5"/>
    <w:rsid w:val="00020258"/>
    <w:rsid w:val="00020680"/>
    <w:rsid w:val="00020D86"/>
    <w:rsid w:val="00021365"/>
    <w:rsid w:val="00021989"/>
    <w:rsid w:val="00021B04"/>
    <w:rsid w:val="00021C5F"/>
    <w:rsid w:val="00022BBC"/>
    <w:rsid w:val="00022DC0"/>
    <w:rsid w:val="00023F33"/>
    <w:rsid w:val="00024545"/>
    <w:rsid w:val="000245D7"/>
    <w:rsid w:val="000259B5"/>
    <w:rsid w:val="00025BEB"/>
    <w:rsid w:val="000262A2"/>
    <w:rsid w:val="000264DD"/>
    <w:rsid w:val="00026C11"/>
    <w:rsid w:val="00027A9F"/>
    <w:rsid w:val="000306D4"/>
    <w:rsid w:val="00030BAF"/>
    <w:rsid w:val="00031951"/>
    <w:rsid w:val="000324B9"/>
    <w:rsid w:val="000329BA"/>
    <w:rsid w:val="00032D83"/>
    <w:rsid w:val="000330FB"/>
    <w:rsid w:val="000338EE"/>
    <w:rsid w:val="000344D1"/>
    <w:rsid w:val="00034F3F"/>
    <w:rsid w:val="0003629C"/>
    <w:rsid w:val="00036809"/>
    <w:rsid w:val="00036823"/>
    <w:rsid w:val="000368C1"/>
    <w:rsid w:val="000369AF"/>
    <w:rsid w:val="00037279"/>
    <w:rsid w:val="00037443"/>
    <w:rsid w:val="00037843"/>
    <w:rsid w:val="00037C6A"/>
    <w:rsid w:val="00040C69"/>
    <w:rsid w:val="000419E9"/>
    <w:rsid w:val="00041EAA"/>
    <w:rsid w:val="00042473"/>
    <w:rsid w:val="00043077"/>
    <w:rsid w:val="000441B5"/>
    <w:rsid w:val="00044592"/>
    <w:rsid w:val="00044C5F"/>
    <w:rsid w:val="000450F5"/>
    <w:rsid w:val="000466B1"/>
    <w:rsid w:val="000466D5"/>
    <w:rsid w:val="00051F40"/>
    <w:rsid w:val="000525F8"/>
    <w:rsid w:val="0005285F"/>
    <w:rsid w:val="00053207"/>
    <w:rsid w:val="0005370C"/>
    <w:rsid w:val="000540E8"/>
    <w:rsid w:val="00054705"/>
    <w:rsid w:val="00054D3C"/>
    <w:rsid w:val="00055248"/>
    <w:rsid w:val="00055950"/>
    <w:rsid w:val="00055F66"/>
    <w:rsid w:val="000562FB"/>
    <w:rsid w:val="000565B2"/>
    <w:rsid w:val="000567EB"/>
    <w:rsid w:val="00056C90"/>
    <w:rsid w:val="00060DBB"/>
    <w:rsid w:val="00061268"/>
    <w:rsid w:val="00061610"/>
    <w:rsid w:val="0006167E"/>
    <w:rsid w:val="000616B5"/>
    <w:rsid w:val="00061C4C"/>
    <w:rsid w:val="0006202A"/>
    <w:rsid w:val="000620CD"/>
    <w:rsid w:val="00062802"/>
    <w:rsid w:val="00062BE3"/>
    <w:rsid w:val="00064906"/>
    <w:rsid w:val="00064FD9"/>
    <w:rsid w:val="0006662C"/>
    <w:rsid w:val="00067B5A"/>
    <w:rsid w:val="000700F0"/>
    <w:rsid w:val="00070777"/>
    <w:rsid w:val="00070AA4"/>
    <w:rsid w:val="0007108C"/>
    <w:rsid w:val="00071C6F"/>
    <w:rsid w:val="00071D08"/>
    <w:rsid w:val="00071E8C"/>
    <w:rsid w:val="00071F15"/>
    <w:rsid w:val="000728B9"/>
    <w:rsid w:val="00072B4A"/>
    <w:rsid w:val="00072ED2"/>
    <w:rsid w:val="000737BF"/>
    <w:rsid w:val="00074A23"/>
    <w:rsid w:val="00074B28"/>
    <w:rsid w:val="00074C62"/>
    <w:rsid w:val="000755A5"/>
    <w:rsid w:val="000756DE"/>
    <w:rsid w:val="00076647"/>
    <w:rsid w:val="00076CEA"/>
    <w:rsid w:val="00077661"/>
    <w:rsid w:val="00077DFD"/>
    <w:rsid w:val="00080A85"/>
    <w:rsid w:val="0008122B"/>
    <w:rsid w:val="0008141F"/>
    <w:rsid w:val="00082418"/>
    <w:rsid w:val="00082683"/>
    <w:rsid w:val="00082F62"/>
    <w:rsid w:val="00083375"/>
    <w:rsid w:val="00083849"/>
    <w:rsid w:val="00083E7D"/>
    <w:rsid w:val="00085132"/>
    <w:rsid w:val="0008514D"/>
    <w:rsid w:val="00085F74"/>
    <w:rsid w:val="00087470"/>
    <w:rsid w:val="000875DB"/>
    <w:rsid w:val="000900BD"/>
    <w:rsid w:val="000904A5"/>
    <w:rsid w:val="0009077C"/>
    <w:rsid w:val="00090D7D"/>
    <w:rsid w:val="000910E0"/>
    <w:rsid w:val="00091B93"/>
    <w:rsid w:val="00091CC0"/>
    <w:rsid w:val="000939DB"/>
    <w:rsid w:val="00093C95"/>
    <w:rsid w:val="00094EB2"/>
    <w:rsid w:val="00095419"/>
    <w:rsid w:val="00095F42"/>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A8F"/>
    <w:rsid w:val="000A6C87"/>
    <w:rsid w:val="000A6E5C"/>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6F1"/>
    <w:rsid w:val="000C1E6B"/>
    <w:rsid w:val="000C238B"/>
    <w:rsid w:val="000C2764"/>
    <w:rsid w:val="000C3DC9"/>
    <w:rsid w:val="000C4139"/>
    <w:rsid w:val="000C419E"/>
    <w:rsid w:val="000C47B5"/>
    <w:rsid w:val="000C5414"/>
    <w:rsid w:val="000C5BCE"/>
    <w:rsid w:val="000C5DC1"/>
    <w:rsid w:val="000C6670"/>
    <w:rsid w:val="000D04BF"/>
    <w:rsid w:val="000D153E"/>
    <w:rsid w:val="000D170C"/>
    <w:rsid w:val="000D1CF0"/>
    <w:rsid w:val="000D2A1F"/>
    <w:rsid w:val="000D3E85"/>
    <w:rsid w:val="000D4261"/>
    <w:rsid w:val="000D42B5"/>
    <w:rsid w:val="000D4AFE"/>
    <w:rsid w:val="000D5397"/>
    <w:rsid w:val="000D558F"/>
    <w:rsid w:val="000D5746"/>
    <w:rsid w:val="000D6E87"/>
    <w:rsid w:val="000D7314"/>
    <w:rsid w:val="000D7B89"/>
    <w:rsid w:val="000D7C8C"/>
    <w:rsid w:val="000E1E0D"/>
    <w:rsid w:val="000E343A"/>
    <w:rsid w:val="000E35E9"/>
    <w:rsid w:val="000E3FF4"/>
    <w:rsid w:val="000E40FD"/>
    <w:rsid w:val="000E4AC8"/>
    <w:rsid w:val="000E4C30"/>
    <w:rsid w:val="000E5501"/>
    <w:rsid w:val="000E5766"/>
    <w:rsid w:val="000E5B3C"/>
    <w:rsid w:val="000E5B66"/>
    <w:rsid w:val="000E5E4A"/>
    <w:rsid w:val="000E74F5"/>
    <w:rsid w:val="000E76CE"/>
    <w:rsid w:val="000E7DB2"/>
    <w:rsid w:val="000F0C84"/>
    <w:rsid w:val="000F0D7B"/>
    <w:rsid w:val="000F0EF2"/>
    <w:rsid w:val="000F11DE"/>
    <w:rsid w:val="000F2020"/>
    <w:rsid w:val="000F2949"/>
    <w:rsid w:val="000F2B5A"/>
    <w:rsid w:val="000F2D32"/>
    <w:rsid w:val="000F4347"/>
    <w:rsid w:val="000F50E8"/>
    <w:rsid w:val="000F54B0"/>
    <w:rsid w:val="000F5A75"/>
    <w:rsid w:val="000F5C41"/>
    <w:rsid w:val="000F5DE0"/>
    <w:rsid w:val="000F62C3"/>
    <w:rsid w:val="000F74B5"/>
    <w:rsid w:val="000F75AF"/>
    <w:rsid w:val="000F77DE"/>
    <w:rsid w:val="001002F5"/>
    <w:rsid w:val="001010D6"/>
    <w:rsid w:val="001019F2"/>
    <w:rsid w:val="001025E5"/>
    <w:rsid w:val="00102AFD"/>
    <w:rsid w:val="001041F6"/>
    <w:rsid w:val="00105BE0"/>
    <w:rsid w:val="0010644A"/>
    <w:rsid w:val="0010719A"/>
    <w:rsid w:val="001074C2"/>
    <w:rsid w:val="001108F3"/>
    <w:rsid w:val="00110B09"/>
    <w:rsid w:val="00110C32"/>
    <w:rsid w:val="00111563"/>
    <w:rsid w:val="00111BFC"/>
    <w:rsid w:val="00111CBB"/>
    <w:rsid w:val="0011210D"/>
    <w:rsid w:val="00112765"/>
    <w:rsid w:val="001128FF"/>
    <w:rsid w:val="00112BF7"/>
    <w:rsid w:val="00113361"/>
    <w:rsid w:val="00113A46"/>
    <w:rsid w:val="00113D91"/>
    <w:rsid w:val="00114AC5"/>
    <w:rsid w:val="001162E0"/>
    <w:rsid w:val="00116579"/>
    <w:rsid w:val="0011786C"/>
    <w:rsid w:val="00117B17"/>
    <w:rsid w:val="00121DE8"/>
    <w:rsid w:val="00122F5E"/>
    <w:rsid w:val="001237B4"/>
    <w:rsid w:val="001239B6"/>
    <w:rsid w:val="001244EC"/>
    <w:rsid w:val="00124BB0"/>
    <w:rsid w:val="001257D3"/>
    <w:rsid w:val="00126005"/>
    <w:rsid w:val="00126EEE"/>
    <w:rsid w:val="00126EEF"/>
    <w:rsid w:val="00126F80"/>
    <w:rsid w:val="00127248"/>
    <w:rsid w:val="00127893"/>
    <w:rsid w:val="00127B1F"/>
    <w:rsid w:val="00127C05"/>
    <w:rsid w:val="00130500"/>
    <w:rsid w:val="0013065F"/>
    <w:rsid w:val="00130683"/>
    <w:rsid w:val="001307F3"/>
    <w:rsid w:val="001312BC"/>
    <w:rsid w:val="00131911"/>
    <w:rsid w:val="00131CDF"/>
    <w:rsid w:val="00132391"/>
    <w:rsid w:val="00133BFB"/>
    <w:rsid w:val="00133D3A"/>
    <w:rsid w:val="00133DCC"/>
    <w:rsid w:val="00133F10"/>
    <w:rsid w:val="00134A68"/>
    <w:rsid w:val="00134AB5"/>
    <w:rsid w:val="00135132"/>
    <w:rsid w:val="0013555E"/>
    <w:rsid w:val="00135B0C"/>
    <w:rsid w:val="001362CA"/>
    <w:rsid w:val="00136897"/>
    <w:rsid w:val="0013695E"/>
    <w:rsid w:val="00136AF0"/>
    <w:rsid w:val="00136FB8"/>
    <w:rsid w:val="001374CB"/>
    <w:rsid w:val="0014043C"/>
    <w:rsid w:val="00140BC4"/>
    <w:rsid w:val="00140D7E"/>
    <w:rsid w:val="00140E24"/>
    <w:rsid w:val="00142417"/>
    <w:rsid w:val="00142BA6"/>
    <w:rsid w:val="00143682"/>
    <w:rsid w:val="001441D3"/>
    <w:rsid w:val="001450E2"/>
    <w:rsid w:val="001460CF"/>
    <w:rsid w:val="00146509"/>
    <w:rsid w:val="0014671A"/>
    <w:rsid w:val="00146991"/>
    <w:rsid w:val="00147371"/>
    <w:rsid w:val="001479E9"/>
    <w:rsid w:val="00147CCC"/>
    <w:rsid w:val="00147FEF"/>
    <w:rsid w:val="0015050B"/>
    <w:rsid w:val="00151A88"/>
    <w:rsid w:val="00152DA5"/>
    <w:rsid w:val="00152F51"/>
    <w:rsid w:val="00152FB6"/>
    <w:rsid w:val="0015351E"/>
    <w:rsid w:val="00153BE4"/>
    <w:rsid w:val="00154024"/>
    <w:rsid w:val="001542BE"/>
    <w:rsid w:val="00154490"/>
    <w:rsid w:val="001547F0"/>
    <w:rsid w:val="0015579B"/>
    <w:rsid w:val="00156250"/>
    <w:rsid w:val="00156F22"/>
    <w:rsid w:val="00156FF3"/>
    <w:rsid w:val="001570E1"/>
    <w:rsid w:val="00161661"/>
    <w:rsid w:val="0016171F"/>
    <w:rsid w:val="00161F6F"/>
    <w:rsid w:val="001621EF"/>
    <w:rsid w:val="001636A4"/>
    <w:rsid w:val="001636D5"/>
    <w:rsid w:val="00163EBF"/>
    <w:rsid w:val="00164BCE"/>
    <w:rsid w:val="00164C1C"/>
    <w:rsid w:val="00164DB6"/>
    <w:rsid w:val="001659D0"/>
    <w:rsid w:val="0016604B"/>
    <w:rsid w:val="0016700D"/>
    <w:rsid w:val="00167ADD"/>
    <w:rsid w:val="001702C6"/>
    <w:rsid w:val="001711A1"/>
    <w:rsid w:val="001712D4"/>
    <w:rsid w:val="00172205"/>
    <w:rsid w:val="0017260E"/>
    <w:rsid w:val="001729D0"/>
    <w:rsid w:val="00172B51"/>
    <w:rsid w:val="00172C89"/>
    <w:rsid w:val="001743D6"/>
    <w:rsid w:val="00174B60"/>
    <w:rsid w:val="0017568D"/>
    <w:rsid w:val="00175C14"/>
    <w:rsid w:val="001761CB"/>
    <w:rsid w:val="0017651E"/>
    <w:rsid w:val="001778B4"/>
    <w:rsid w:val="001778C4"/>
    <w:rsid w:val="001779CB"/>
    <w:rsid w:val="00177B53"/>
    <w:rsid w:val="001826D0"/>
    <w:rsid w:val="0018345B"/>
    <w:rsid w:val="0018356C"/>
    <w:rsid w:val="0018358B"/>
    <w:rsid w:val="0018454F"/>
    <w:rsid w:val="001846BB"/>
    <w:rsid w:val="00184D29"/>
    <w:rsid w:val="001854BD"/>
    <w:rsid w:val="00185DC5"/>
    <w:rsid w:val="00186701"/>
    <w:rsid w:val="00186FB3"/>
    <w:rsid w:val="0018765B"/>
    <w:rsid w:val="0019204E"/>
    <w:rsid w:val="00192287"/>
    <w:rsid w:val="001923AE"/>
    <w:rsid w:val="001924B2"/>
    <w:rsid w:val="00193379"/>
    <w:rsid w:val="00194B7B"/>
    <w:rsid w:val="00194D1F"/>
    <w:rsid w:val="001951A3"/>
    <w:rsid w:val="00195583"/>
    <w:rsid w:val="001A0745"/>
    <w:rsid w:val="001A1302"/>
    <w:rsid w:val="001A16CC"/>
    <w:rsid w:val="001A18E1"/>
    <w:rsid w:val="001A2144"/>
    <w:rsid w:val="001A2A26"/>
    <w:rsid w:val="001A2FDB"/>
    <w:rsid w:val="001A3755"/>
    <w:rsid w:val="001A4127"/>
    <w:rsid w:val="001A4168"/>
    <w:rsid w:val="001A4E1C"/>
    <w:rsid w:val="001A554E"/>
    <w:rsid w:val="001A5E6B"/>
    <w:rsid w:val="001A6EBE"/>
    <w:rsid w:val="001A6F68"/>
    <w:rsid w:val="001A77FB"/>
    <w:rsid w:val="001B009D"/>
    <w:rsid w:val="001B13DB"/>
    <w:rsid w:val="001B17F6"/>
    <w:rsid w:val="001B341D"/>
    <w:rsid w:val="001B3A10"/>
    <w:rsid w:val="001B5CBD"/>
    <w:rsid w:val="001B6E63"/>
    <w:rsid w:val="001B7CDB"/>
    <w:rsid w:val="001B7EF3"/>
    <w:rsid w:val="001C0151"/>
    <w:rsid w:val="001C0C36"/>
    <w:rsid w:val="001C100F"/>
    <w:rsid w:val="001C1402"/>
    <w:rsid w:val="001C16E0"/>
    <w:rsid w:val="001C1FDF"/>
    <w:rsid w:val="001C208D"/>
    <w:rsid w:val="001C2557"/>
    <w:rsid w:val="001C25AB"/>
    <w:rsid w:val="001C2644"/>
    <w:rsid w:val="001C2B0B"/>
    <w:rsid w:val="001C2B81"/>
    <w:rsid w:val="001C36D8"/>
    <w:rsid w:val="001C39B4"/>
    <w:rsid w:val="001C3A80"/>
    <w:rsid w:val="001C421F"/>
    <w:rsid w:val="001C422B"/>
    <w:rsid w:val="001C4609"/>
    <w:rsid w:val="001C502D"/>
    <w:rsid w:val="001C53B0"/>
    <w:rsid w:val="001C7394"/>
    <w:rsid w:val="001C7EC3"/>
    <w:rsid w:val="001D049F"/>
    <w:rsid w:val="001D07F6"/>
    <w:rsid w:val="001D0DCF"/>
    <w:rsid w:val="001D31A6"/>
    <w:rsid w:val="001D3B81"/>
    <w:rsid w:val="001D40CC"/>
    <w:rsid w:val="001D4D61"/>
    <w:rsid w:val="001D4D8C"/>
    <w:rsid w:val="001D5282"/>
    <w:rsid w:val="001D529D"/>
    <w:rsid w:val="001D577C"/>
    <w:rsid w:val="001D694C"/>
    <w:rsid w:val="001D754A"/>
    <w:rsid w:val="001E0A4C"/>
    <w:rsid w:val="001E22E5"/>
    <w:rsid w:val="001E288A"/>
    <w:rsid w:val="001E2A02"/>
    <w:rsid w:val="001E2B84"/>
    <w:rsid w:val="001E338B"/>
    <w:rsid w:val="001E3B11"/>
    <w:rsid w:val="001E4C02"/>
    <w:rsid w:val="001E564E"/>
    <w:rsid w:val="001E65E8"/>
    <w:rsid w:val="001E6AE5"/>
    <w:rsid w:val="001E7020"/>
    <w:rsid w:val="001E71C3"/>
    <w:rsid w:val="001E71FD"/>
    <w:rsid w:val="001E77A9"/>
    <w:rsid w:val="001E7BD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FD3"/>
    <w:rsid w:val="00204E39"/>
    <w:rsid w:val="00205A55"/>
    <w:rsid w:val="00206222"/>
    <w:rsid w:val="0020694D"/>
    <w:rsid w:val="00206AEC"/>
    <w:rsid w:val="00206B99"/>
    <w:rsid w:val="002073D2"/>
    <w:rsid w:val="002078AA"/>
    <w:rsid w:val="00210261"/>
    <w:rsid w:val="0021074F"/>
    <w:rsid w:val="002111AC"/>
    <w:rsid w:val="0021188E"/>
    <w:rsid w:val="00212E08"/>
    <w:rsid w:val="0021302A"/>
    <w:rsid w:val="00213783"/>
    <w:rsid w:val="00213C05"/>
    <w:rsid w:val="00214685"/>
    <w:rsid w:val="002147E4"/>
    <w:rsid w:val="00214CE8"/>
    <w:rsid w:val="0021510C"/>
    <w:rsid w:val="002161AD"/>
    <w:rsid w:val="00216595"/>
    <w:rsid w:val="002165D6"/>
    <w:rsid w:val="00216AB7"/>
    <w:rsid w:val="002170A5"/>
    <w:rsid w:val="00217F57"/>
    <w:rsid w:val="00221687"/>
    <w:rsid w:val="00221709"/>
    <w:rsid w:val="00222590"/>
    <w:rsid w:val="00222A05"/>
    <w:rsid w:val="00222E1E"/>
    <w:rsid w:val="0022341D"/>
    <w:rsid w:val="0022360E"/>
    <w:rsid w:val="00223F75"/>
    <w:rsid w:val="00224412"/>
    <w:rsid w:val="002246DF"/>
    <w:rsid w:val="002248E9"/>
    <w:rsid w:val="00225069"/>
    <w:rsid w:val="00225769"/>
    <w:rsid w:val="0022686C"/>
    <w:rsid w:val="00227445"/>
    <w:rsid w:val="00227471"/>
    <w:rsid w:val="00230D10"/>
    <w:rsid w:val="00231036"/>
    <w:rsid w:val="00232D7F"/>
    <w:rsid w:val="0023417B"/>
    <w:rsid w:val="002350A1"/>
    <w:rsid w:val="002350F0"/>
    <w:rsid w:val="002369EA"/>
    <w:rsid w:val="002371FF"/>
    <w:rsid w:val="00237902"/>
    <w:rsid w:val="00237985"/>
    <w:rsid w:val="00237D5A"/>
    <w:rsid w:val="00237DC2"/>
    <w:rsid w:val="00240C99"/>
    <w:rsid w:val="0024189D"/>
    <w:rsid w:val="00241BC3"/>
    <w:rsid w:val="00241C7D"/>
    <w:rsid w:val="00241F55"/>
    <w:rsid w:val="00242699"/>
    <w:rsid w:val="002434A0"/>
    <w:rsid w:val="00243566"/>
    <w:rsid w:val="002437EB"/>
    <w:rsid w:val="00243E9B"/>
    <w:rsid w:val="00243EE9"/>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3FD9"/>
    <w:rsid w:val="002541B3"/>
    <w:rsid w:val="00254A66"/>
    <w:rsid w:val="002558BB"/>
    <w:rsid w:val="00256B3C"/>
    <w:rsid w:val="00256E7D"/>
    <w:rsid w:val="00256F27"/>
    <w:rsid w:val="00257816"/>
    <w:rsid w:val="00257C5E"/>
    <w:rsid w:val="00260433"/>
    <w:rsid w:val="0026044B"/>
    <w:rsid w:val="0026116F"/>
    <w:rsid w:val="002617F9"/>
    <w:rsid w:val="00262666"/>
    <w:rsid w:val="00262D7C"/>
    <w:rsid w:val="00263720"/>
    <w:rsid w:val="00265161"/>
    <w:rsid w:val="00265F1B"/>
    <w:rsid w:val="002665A2"/>
    <w:rsid w:val="00266B2D"/>
    <w:rsid w:val="00267221"/>
    <w:rsid w:val="00270087"/>
    <w:rsid w:val="00270831"/>
    <w:rsid w:val="0027275E"/>
    <w:rsid w:val="00272A7D"/>
    <w:rsid w:val="00273171"/>
    <w:rsid w:val="002748AA"/>
    <w:rsid w:val="00275418"/>
    <w:rsid w:val="002805AC"/>
    <w:rsid w:val="00280919"/>
    <w:rsid w:val="0028094C"/>
    <w:rsid w:val="00281661"/>
    <w:rsid w:val="00282C81"/>
    <w:rsid w:val="0028360B"/>
    <w:rsid w:val="00283B3F"/>
    <w:rsid w:val="00283E68"/>
    <w:rsid w:val="002841EE"/>
    <w:rsid w:val="002844AF"/>
    <w:rsid w:val="00284891"/>
    <w:rsid w:val="00285556"/>
    <w:rsid w:val="00285B3A"/>
    <w:rsid w:val="00285C9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685"/>
    <w:rsid w:val="002A18E6"/>
    <w:rsid w:val="002A1AAC"/>
    <w:rsid w:val="002A220E"/>
    <w:rsid w:val="002A2985"/>
    <w:rsid w:val="002A2DB9"/>
    <w:rsid w:val="002A2E60"/>
    <w:rsid w:val="002A4088"/>
    <w:rsid w:val="002A4403"/>
    <w:rsid w:val="002A4AD1"/>
    <w:rsid w:val="002A4AE9"/>
    <w:rsid w:val="002A4B47"/>
    <w:rsid w:val="002A5750"/>
    <w:rsid w:val="002A657D"/>
    <w:rsid w:val="002A6B3D"/>
    <w:rsid w:val="002A6E86"/>
    <w:rsid w:val="002A6EF0"/>
    <w:rsid w:val="002A7C20"/>
    <w:rsid w:val="002B0967"/>
    <w:rsid w:val="002B168A"/>
    <w:rsid w:val="002B1C00"/>
    <w:rsid w:val="002B1C2A"/>
    <w:rsid w:val="002B2706"/>
    <w:rsid w:val="002B3BA3"/>
    <w:rsid w:val="002B4040"/>
    <w:rsid w:val="002B5156"/>
    <w:rsid w:val="002B5C09"/>
    <w:rsid w:val="002B5C82"/>
    <w:rsid w:val="002B6893"/>
    <w:rsid w:val="002B6B9D"/>
    <w:rsid w:val="002B6C19"/>
    <w:rsid w:val="002B6D0D"/>
    <w:rsid w:val="002B79C4"/>
    <w:rsid w:val="002C01BF"/>
    <w:rsid w:val="002C06FE"/>
    <w:rsid w:val="002C1F32"/>
    <w:rsid w:val="002C2043"/>
    <w:rsid w:val="002C2259"/>
    <w:rsid w:val="002C3470"/>
    <w:rsid w:val="002C348A"/>
    <w:rsid w:val="002C41D3"/>
    <w:rsid w:val="002C4419"/>
    <w:rsid w:val="002C4824"/>
    <w:rsid w:val="002C5030"/>
    <w:rsid w:val="002C509D"/>
    <w:rsid w:val="002C5540"/>
    <w:rsid w:val="002C59AF"/>
    <w:rsid w:val="002C62F6"/>
    <w:rsid w:val="002C6CED"/>
    <w:rsid w:val="002C6F55"/>
    <w:rsid w:val="002C796D"/>
    <w:rsid w:val="002D0290"/>
    <w:rsid w:val="002D0C9B"/>
    <w:rsid w:val="002D1979"/>
    <w:rsid w:val="002D268B"/>
    <w:rsid w:val="002D276A"/>
    <w:rsid w:val="002D2CEE"/>
    <w:rsid w:val="002D31A6"/>
    <w:rsid w:val="002D3701"/>
    <w:rsid w:val="002D39DE"/>
    <w:rsid w:val="002D3CF1"/>
    <w:rsid w:val="002D3F79"/>
    <w:rsid w:val="002D413F"/>
    <w:rsid w:val="002D4B99"/>
    <w:rsid w:val="002D6E4D"/>
    <w:rsid w:val="002D724E"/>
    <w:rsid w:val="002D7BA0"/>
    <w:rsid w:val="002E1666"/>
    <w:rsid w:val="002E24E8"/>
    <w:rsid w:val="002E2566"/>
    <w:rsid w:val="002E2968"/>
    <w:rsid w:val="002E3127"/>
    <w:rsid w:val="002E3358"/>
    <w:rsid w:val="002E3511"/>
    <w:rsid w:val="002E3777"/>
    <w:rsid w:val="002E3B43"/>
    <w:rsid w:val="002E3D1C"/>
    <w:rsid w:val="002E5953"/>
    <w:rsid w:val="002E5971"/>
    <w:rsid w:val="002E5EAB"/>
    <w:rsid w:val="002E6032"/>
    <w:rsid w:val="002E60D4"/>
    <w:rsid w:val="002E773F"/>
    <w:rsid w:val="002E791E"/>
    <w:rsid w:val="002F0085"/>
    <w:rsid w:val="002F02E0"/>
    <w:rsid w:val="002F1480"/>
    <w:rsid w:val="002F19AF"/>
    <w:rsid w:val="002F1B7B"/>
    <w:rsid w:val="002F1BE5"/>
    <w:rsid w:val="002F1C6A"/>
    <w:rsid w:val="002F1FCB"/>
    <w:rsid w:val="002F20C1"/>
    <w:rsid w:val="002F2240"/>
    <w:rsid w:val="002F282F"/>
    <w:rsid w:val="002F2BC5"/>
    <w:rsid w:val="002F32F4"/>
    <w:rsid w:val="002F3B18"/>
    <w:rsid w:val="002F3DC5"/>
    <w:rsid w:val="002F4D98"/>
    <w:rsid w:val="002F4F72"/>
    <w:rsid w:val="002F511C"/>
    <w:rsid w:val="002F5E12"/>
    <w:rsid w:val="002F67C7"/>
    <w:rsid w:val="002F6EC3"/>
    <w:rsid w:val="002F7173"/>
    <w:rsid w:val="002F7484"/>
    <w:rsid w:val="002F77C3"/>
    <w:rsid w:val="00301CB4"/>
    <w:rsid w:val="00302960"/>
    <w:rsid w:val="00302EBD"/>
    <w:rsid w:val="0030330D"/>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2A56"/>
    <w:rsid w:val="003134A3"/>
    <w:rsid w:val="00313A44"/>
    <w:rsid w:val="00314F14"/>
    <w:rsid w:val="003150CD"/>
    <w:rsid w:val="003154AB"/>
    <w:rsid w:val="003155CF"/>
    <w:rsid w:val="00315BA3"/>
    <w:rsid w:val="00315D94"/>
    <w:rsid w:val="00316707"/>
    <w:rsid w:val="0031749B"/>
    <w:rsid w:val="00317B07"/>
    <w:rsid w:val="00317BDE"/>
    <w:rsid w:val="00317DC3"/>
    <w:rsid w:val="0032088F"/>
    <w:rsid w:val="00321643"/>
    <w:rsid w:val="00321A91"/>
    <w:rsid w:val="00321E0C"/>
    <w:rsid w:val="00321E63"/>
    <w:rsid w:val="00322486"/>
    <w:rsid w:val="0032287E"/>
    <w:rsid w:val="00323295"/>
    <w:rsid w:val="00323848"/>
    <w:rsid w:val="00323AF5"/>
    <w:rsid w:val="00323BE2"/>
    <w:rsid w:val="00323FF5"/>
    <w:rsid w:val="0032464C"/>
    <w:rsid w:val="00324B78"/>
    <w:rsid w:val="003253CA"/>
    <w:rsid w:val="00326D5E"/>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93C"/>
    <w:rsid w:val="00342B26"/>
    <w:rsid w:val="00342CE5"/>
    <w:rsid w:val="003439DA"/>
    <w:rsid w:val="00343BE2"/>
    <w:rsid w:val="003448FF"/>
    <w:rsid w:val="00345946"/>
    <w:rsid w:val="003459EA"/>
    <w:rsid w:val="00345C53"/>
    <w:rsid w:val="00346754"/>
    <w:rsid w:val="00347AAB"/>
    <w:rsid w:val="00347FD3"/>
    <w:rsid w:val="0035006A"/>
    <w:rsid w:val="003509B6"/>
    <w:rsid w:val="00350B13"/>
    <w:rsid w:val="00351774"/>
    <w:rsid w:val="0035205E"/>
    <w:rsid w:val="00352CC2"/>
    <w:rsid w:val="00352DE7"/>
    <w:rsid w:val="0035300A"/>
    <w:rsid w:val="0035347E"/>
    <w:rsid w:val="00354946"/>
    <w:rsid w:val="003549F9"/>
    <w:rsid w:val="00355E72"/>
    <w:rsid w:val="0035644F"/>
    <w:rsid w:val="0035659D"/>
    <w:rsid w:val="00360F50"/>
    <w:rsid w:val="003611E4"/>
    <w:rsid w:val="0036133D"/>
    <w:rsid w:val="003617D9"/>
    <w:rsid w:val="00361938"/>
    <w:rsid w:val="003625FB"/>
    <w:rsid w:val="003633B9"/>
    <w:rsid w:val="003636DE"/>
    <w:rsid w:val="003646B9"/>
    <w:rsid w:val="003646E5"/>
    <w:rsid w:val="003652C6"/>
    <w:rsid w:val="003654A6"/>
    <w:rsid w:val="003660A9"/>
    <w:rsid w:val="003661A1"/>
    <w:rsid w:val="00366829"/>
    <w:rsid w:val="003668C0"/>
    <w:rsid w:val="0036711C"/>
    <w:rsid w:val="00367273"/>
    <w:rsid w:val="00370629"/>
    <w:rsid w:val="0037087F"/>
    <w:rsid w:val="003708D3"/>
    <w:rsid w:val="003710EA"/>
    <w:rsid w:val="00371249"/>
    <w:rsid w:val="00371392"/>
    <w:rsid w:val="003716CC"/>
    <w:rsid w:val="003726E1"/>
    <w:rsid w:val="00374012"/>
    <w:rsid w:val="003743D7"/>
    <w:rsid w:val="003749C0"/>
    <w:rsid w:val="003750D6"/>
    <w:rsid w:val="003752B5"/>
    <w:rsid w:val="0037599C"/>
    <w:rsid w:val="00375FDD"/>
    <w:rsid w:val="0037683B"/>
    <w:rsid w:val="0037753A"/>
    <w:rsid w:val="003804A7"/>
    <w:rsid w:val="0038174D"/>
    <w:rsid w:val="00381DC3"/>
    <w:rsid w:val="0038228C"/>
    <w:rsid w:val="00382BDE"/>
    <w:rsid w:val="003859C4"/>
    <w:rsid w:val="00385EA5"/>
    <w:rsid w:val="00385FE0"/>
    <w:rsid w:val="00386F92"/>
    <w:rsid w:val="003874C3"/>
    <w:rsid w:val="00387725"/>
    <w:rsid w:val="00387C65"/>
    <w:rsid w:val="00390CDE"/>
    <w:rsid w:val="00391F86"/>
    <w:rsid w:val="00392B20"/>
    <w:rsid w:val="00394516"/>
    <w:rsid w:val="003953D1"/>
    <w:rsid w:val="003958EC"/>
    <w:rsid w:val="00395AA9"/>
    <w:rsid w:val="003961E1"/>
    <w:rsid w:val="003974F9"/>
    <w:rsid w:val="003975E1"/>
    <w:rsid w:val="003978D1"/>
    <w:rsid w:val="00397ABF"/>
    <w:rsid w:val="003A0AA1"/>
    <w:rsid w:val="003A0FE5"/>
    <w:rsid w:val="003A24EC"/>
    <w:rsid w:val="003A29E5"/>
    <w:rsid w:val="003A394D"/>
    <w:rsid w:val="003A3EA0"/>
    <w:rsid w:val="003A6262"/>
    <w:rsid w:val="003A645D"/>
    <w:rsid w:val="003A6728"/>
    <w:rsid w:val="003A685F"/>
    <w:rsid w:val="003B0033"/>
    <w:rsid w:val="003B0A5E"/>
    <w:rsid w:val="003B0AA1"/>
    <w:rsid w:val="003B0AB6"/>
    <w:rsid w:val="003B0AD5"/>
    <w:rsid w:val="003B0B21"/>
    <w:rsid w:val="003B160A"/>
    <w:rsid w:val="003B16F0"/>
    <w:rsid w:val="003B210B"/>
    <w:rsid w:val="003B2131"/>
    <w:rsid w:val="003B27A5"/>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0E78"/>
    <w:rsid w:val="003D1CAA"/>
    <w:rsid w:val="003D4395"/>
    <w:rsid w:val="003D474C"/>
    <w:rsid w:val="003D5398"/>
    <w:rsid w:val="003D5BAD"/>
    <w:rsid w:val="003D5F20"/>
    <w:rsid w:val="003D6E19"/>
    <w:rsid w:val="003D737D"/>
    <w:rsid w:val="003D7E33"/>
    <w:rsid w:val="003E011E"/>
    <w:rsid w:val="003E0C30"/>
    <w:rsid w:val="003E0F2A"/>
    <w:rsid w:val="003E1CD9"/>
    <w:rsid w:val="003E2CF8"/>
    <w:rsid w:val="003E3169"/>
    <w:rsid w:val="003E35FB"/>
    <w:rsid w:val="003E3675"/>
    <w:rsid w:val="003E3999"/>
    <w:rsid w:val="003E43BE"/>
    <w:rsid w:val="003E4A4E"/>
    <w:rsid w:val="003E504F"/>
    <w:rsid w:val="003E5B98"/>
    <w:rsid w:val="003E62FB"/>
    <w:rsid w:val="003E66EC"/>
    <w:rsid w:val="003E6A41"/>
    <w:rsid w:val="003E6CCD"/>
    <w:rsid w:val="003E7801"/>
    <w:rsid w:val="003E7A1E"/>
    <w:rsid w:val="003F0AF5"/>
    <w:rsid w:val="003F14E4"/>
    <w:rsid w:val="003F1FC5"/>
    <w:rsid w:val="003F369B"/>
    <w:rsid w:val="003F3E65"/>
    <w:rsid w:val="003F42FC"/>
    <w:rsid w:val="003F4833"/>
    <w:rsid w:val="003F4A26"/>
    <w:rsid w:val="003F4B68"/>
    <w:rsid w:val="003F532D"/>
    <w:rsid w:val="003F7A40"/>
    <w:rsid w:val="004003E7"/>
    <w:rsid w:val="00400CE8"/>
    <w:rsid w:val="00401B8F"/>
    <w:rsid w:val="00401FEB"/>
    <w:rsid w:val="004022FC"/>
    <w:rsid w:val="00402763"/>
    <w:rsid w:val="004027A1"/>
    <w:rsid w:val="004042B6"/>
    <w:rsid w:val="004051E8"/>
    <w:rsid w:val="00405E13"/>
    <w:rsid w:val="00406284"/>
    <w:rsid w:val="00406A7E"/>
    <w:rsid w:val="00406B2A"/>
    <w:rsid w:val="00406B80"/>
    <w:rsid w:val="00406C21"/>
    <w:rsid w:val="00406FC8"/>
    <w:rsid w:val="0040758D"/>
    <w:rsid w:val="00407734"/>
    <w:rsid w:val="00407A5C"/>
    <w:rsid w:val="00410DDE"/>
    <w:rsid w:val="00411707"/>
    <w:rsid w:val="0041258E"/>
    <w:rsid w:val="00412C2F"/>
    <w:rsid w:val="0041356D"/>
    <w:rsid w:val="004136A5"/>
    <w:rsid w:val="00413A87"/>
    <w:rsid w:val="0041486D"/>
    <w:rsid w:val="0041584F"/>
    <w:rsid w:val="00415924"/>
    <w:rsid w:val="004161B2"/>
    <w:rsid w:val="004165A7"/>
    <w:rsid w:val="00416F89"/>
    <w:rsid w:val="00417593"/>
    <w:rsid w:val="00417B7B"/>
    <w:rsid w:val="00420F39"/>
    <w:rsid w:val="004211BE"/>
    <w:rsid w:val="0042205F"/>
    <w:rsid w:val="00423C26"/>
    <w:rsid w:val="00423E43"/>
    <w:rsid w:val="00424077"/>
    <w:rsid w:val="00424839"/>
    <w:rsid w:val="00424D35"/>
    <w:rsid w:val="00424DC8"/>
    <w:rsid w:val="004256FF"/>
    <w:rsid w:val="004258D6"/>
    <w:rsid w:val="004264F9"/>
    <w:rsid w:val="00426590"/>
    <w:rsid w:val="00426777"/>
    <w:rsid w:val="00426963"/>
    <w:rsid w:val="00427031"/>
    <w:rsid w:val="00427142"/>
    <w:rsid w:val="00427899"/>
    <w:rsid w:val="00427DBB"/>
    <w:rsid w:val="00427FBB"/>
    <w:rsid w:val="00430399"/>
    <w:rsid w:val="00430504"/>
    <w:rsid w:val="00430E42"/>
    <w:rsid w:val="0043209C"/>
    <w:rsid w:val="004322A6"/>
    <w:rsid w:val="004331A2"/>
    <w:rsid w:val="00433351"/>
    <w:rsid w:val="004340BA"/>
    <w:rsid w:val="004348C5"/>
    <w:rsid w:val="00434AF0"/>
    <w:rsid w:val="00435D11"/>
    <w:rsid w:val="00436B6F"/>
    <w:rsid w:val="00437D5A"/>
    <w:rsid w:val="0044044F"/>
    <w:rsid w:val="00441DE8"/>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502C5"/>
    <w:rsid w:val="004509CE"/>
    <w:rsid w:val="00450E5F"/>
    <w:rsid w:val="004515BE"/>
    <w:rsid w:val="004518AA"/>
    <w:rsid w:val="00452B43"/>
    <w:rsid w:val="00452B9F"/>
    <w:rsid w:val="00454957"/>
    <w:rsid w:val="004557F7"/>
    <w:rsid w:val="00455A62"/>
    <w:rsid w:val="00456294"/>
    <w:rsid w:val="004572E7"/>
    <w:rsid w:val="00457778"/>
    <w:rsid w:val="00457FE0"/>
    <w:rsid w:val="00461033"/>
    <w:rsid w:val="00461308"/>
    <w:rsid w:val="00461FB3"/>
    <w:rsid w:val="004622C6"/>
    <w:rsid w:val="0046279F"/>
    <w:rsid w:val="00463325"/>
    <w:rsid w:val="00463D48"/>
    <w:rsid w:val="00464148"/>
    <w:rsid w:val="004647B9"/>
    <w:rsid w:val="00464F06"/>
    <w:rsid w:val="004652D5"/>
    <w:rsid w:val="00465BF5"/>
    <w:rsid w:val="004660A6"/>
    <w:rsid w:val="004668E6"/>
    <w:rsid w:val="004673D5"/>
    <w:rsid w:val="00470671"/>
    <w:rsid w:val="0047274B"/>
    <w:rsid w:val="00472B3D"/>
    <w:rsid w:val="00472D90"/>
    <w:rsid w:val="004733D2"/>
    <w:rsid w:val="00473EB5"/>
    <w:rsid w:val="0047404D"/>
    <w:rsid w:val="0047647A"/>
    <w:rsid w:val="004771E5"/>
    <w:rsid w:val="00477357"/>
    <w:rsid w:val="00477E07"/>
    <w:rsid w:val="00480A69"/>
    <w:rsid w:val="004813E0"/>
    <w:rsid w:val="00483B0E"/>
    <w:rsid w:val="00484AE9"/>
    <w:rsid w:val="00484B78"/>
    <w:rsid w:val="00485508"/>
    <w:rsid w:val="0048659E"/>
    <w:rsid w:val="00486775"/>
    <w:rsid w:val="00486F06"/>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009"/>
    <w:rsid w:val="004A0617"/>
    <w:rsid w:val="004A0701"/>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06B"/>
    <w:rsid w:val="004B3095"/>
    <w:rsid w:val="004B4654"/>
    <w:rsid w:val="004B5540"/>
    <w:rsid w:val="004B5F62"/>
    <w:rsid w:val="004B6361"/>
    <w:rsid w:val="004B6800"/>
    <w:rsid w:val="004B69CB"/>
    <w:rsid w:val="004B6B98"/>
    <w:rsid w:val="004B712A"/>
    <w:rsid w:val="004B748E"/>
    <w:rsid w:val="004B7C5E"/>
    <w:rsid w:val="004C05E4"/>
    <w:rsid w:val="004C1578"/>
    <w:rsid w:val="004C1927"/>
    <w:rsid w:val="004C194C"/>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6DE7"/>
    <w:rsid w:val="004D79AB"/>
    <w:rsid w:val="004E0DB7"/>
    <w:rsid w:val="004E13BA"/>
    <w:rsid w:val="004E1A6E"/>
    <w:rsid w:val="004E1B12"/>
    <w:rsid w:val="004E32FC"/>
    <w:rsid w:val="004E3E15"/>
    <w:rsid w:val="004E3EDF"/>
    <w:rsid w:val="004E44FF"/>
    <w:rsid w:val="004E4A63"/>
    <w:rsid w:val="004E531A"/>
    <w:rsid w:val="004E6061"/>
    <w:rsid w:val="004E6502"/>
    <w:rsid w:val="004E744E"/>
    <w:rsid w:val="004E769D"/>
    <w:rsid w:val="004F026D"/>
    <w:rsid w:val="004F0402"/>
    <w:rsid w:val="004F07B7"/>
    <w:rsid w:val="004F12C9"/>
    <w:rsid w:val="004F14C7"/>
    <w:rsid w:val="004F1B13"/>
    <w:rsid w:val="004F2282"/>
    <w:rsid w:val="004F28AC"/>
    <w:rsid w:val="004F2A92"/>
    <w:rsid w:val="004F2C78"/>
    <w:rsid w:val="004F2E5D"/>
    <w:rsid w:val="004F2E7C"/>
    <w:rsid w:val="004F3D6B"/>
    <w:rsid w:val="004F421C"/>
    <w:rsid w:val="004F4289"/>
    <w:rsid w:val="004F48BF"/>
    <w:rsid w:val="004F5821"/>
    <w:rsid w:val="004F674E"/>
    <w:rsid w:val="004F6C74"/>
    <w:rsid w:val="005001E5"/>
    <w:rsid w:val="00500A0B"/>
    <w:rsid w:val="00500C4C"/>
    <w:rsid w:val="005015B3"/>
    <w:rsid w:val="005016CA"/>
    <w:rsid w:val="00502093"/>
    <w:rsid w:val="00502177"/>
    <w:rsid w:val="0050345B"/>
    <w:rsid w:val="005034CB"/>
    <w:rsid w:val="00503C7E"/>
    <w:rsid w:val="00503E39"/>
    <w:rsid w:val="00504E19"/>
    <w:rsid w:val="005063B6"/>
    <w:rsid w:val="00506A1C"/>
    <w:rsid w:val="0050734D"/>
    <w:rsid w:val="00507AB3"/>
    <w:rsid w:val="00510956"/>
    <w:rsid w:val="00510F23"/>
    <w:rsid w:val="0051133B"/>
    <w:rsid w:val="005115C3"/>
    <w:rsid w:val="005116D0"/>
    <w:rsid w:val="00514516"/>
    <w:rsid w:val="00515288"/>
    <w:rsid w:val="00515AE1"/>
    <w:rsid w:val="00515B21"/>
    <w:rsid w:val="00515BA5"/>
    <w:rsid w:val="00515CF2"/>
    <w:rsid w:val="00516E4D"/>
    <w:rsid w:val="00517079"/>
    <w:rsid w:val="00520023"/>
    <w:rsid w:val="005201C4"/>
    <w:rsid w:val="00520569"/>
    <w:rsid w:val="0052112A"/>
    <w:rsid w:val="005212AE"/>
    <w:rsid w:val="00521670"/>
    <w:rsid w:val="005229B8"/>
    <w:rsid w:val="00522C1A"/>
    <w:rsid w:val="00523091"/>
    <w:rsid w:val="005242CB"/>
    <w:rsid w:val="00524D42"/>
    <w:rsid w:val="00526C87"/>
    <w:rsid w:val="00526DC4"/>
    <w:rsid w:val="005274E0"/>
    <w:rsid w:val="00527F7B"/>
    <w:rsid w:val="005300DF"/>
    <w:rsid w:val="005315C5"/>
    <w:rsid w:val="00531B2A"/>
    <w:rsid w:val="00531B72"/>
    <w:rsid w:val="00531C8C"/>
    <w:rsid w:val="005324A4"/>
    <w:rsid w:val="00532BEE"/>
    <w:rsid w:val="00532D69"/>
    <w:rsid w:val="00532E56"/>
    <w:rsid w:val="00533B21"/>
    <w:rsid w:val="00533D34"/>
    <w:rsid w:val="00533EE1"/>
    <w:rsid w:val="00534D86"/>
    <w:rsid w:val="0053715D"/>
    <w:rsid w:val="00537700"/>
    <w:rsid w:val="0053780E"/>
    <w:rsid w:val="00537BB3"/>
    <w:rsid w:val="00537DB4"/>
    <w:rsid w:val="00540317"/>
    <w:rsid w:val="0054049A"/>
    <w:rsid w:val="0054184C"/>
    <w:rsid w:val="00541B18"/>
    <w:rsid w:val="00541B9E"/>
    <w:rsid w:val="00541D68"/>
    <w:rsid w:val="00542646"/>
    <w:rsid w:val="005433E7"/>
    <w:rsid w:val="00543994"/>
    <w:rsid w:val="00543C2D"/>
    <w:rsid w:val="00543DE7"/>
    <w:rsid w:val="0054479C"/>
    <w:rsid w:val="00544E43"/>
    <w:rsid w:val="00545C29"/>
    <w:rsid w:val="005466E0"/>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49F"/>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0D7D"/>
    <w:rsid w:val="0057187A"/>
    <w:rsid w:val="005720EB"/>
    <w:rsid w:val="0057235B"/>
    <w:rsid w:val="0057273D"/>
    <w:rsid w:val="005731B2"/>
    <w:rsid w:val="00573350"/>
    <w:rsid w:val="00573D28"/>
    <w:rsid w:val="00573E34"/>
    <w:rsid w:val="005740D5"/>
    <w:rsid w:val="005740DA"/>
    <w:rsid w:val="00577656"/>
    <w:rsid w:val="0057772B"/>
    <w:rsid w:val="00580176"/>
    <w:rsid w:val="005802AF"/>
    <w:rsid w:val="00581327"/>
    <w:rsid w:val="00581797"/>
    <w:rsid w:val="005817AB"/>
    <w:rsid w:val="005818C6"/>
    <w:rsid w:val="0058293F"/>
    <w:rsid w:val="00582C57"/>
    <w:rsid w:val="005830DB"/>
    <w:rsid w:val="00584BAB"/>
    <w:rsid w:val="00584EFB"/>
    <w:rsid w:val="0058621D"/>
    <w:rsid w:val="00586D4F"/>
    <w:rsid w:val="00586D72"/>
    <w:rsid w:val="00586E4F"/>
    <w:rsid w:val="00587330"/>
    <w:rsid w:val="00587984"/>
    <w:rsid w:val="00587A84"/>
    <w:rsid w:val="00590AF7"/>
    <w:rsid w:val="005911BC"/>
    <w:rsid w:val="00592360"/>
    <w:rsid w:val="00593333"/>
    <w:rsid w:val="005958C7"/>
    <w:rsid w:val="005960D3"/>
    <w:rsid w:val="005973A7"/>
    <w:rsid w:val="005A06DC"/>
    <w:rsid w:val="005A0825"/>
    <w:rsid w:val="005A09A3"/>
    <w:rsid w:val="005A1FEE"/>
    <w:rsid w:val="005A273F"/>
    <w:rsid w:val="005A2F57"/>
    <w:rsid w:val="005A3583"/>
    <w:rsid w:val="005A3955"/>
    <w:rsid w:val="005A4118"/>
    <w:rsid w:val="005A43F0"/>
    <w:rsid w:val="005A453F"/>
    <w:rsid w:val="005A493F"/>
    <w:rsid w:val="005A6A9E"/>
    <w:rsid w:val="005A752F"/>
    <w:rsid w:val="005B1E67"/>
    <w:rsid w:val="005B2365"/>
    <w:rsid w:val="005B296A"/>
    <w:rsid w:val="005B3184"/>
    <w:rsid w:val="005B36F5"/>
    <w:rsid w:val="005B3BB9"/>
    <w:rsid w:val="005B3F3B"/>
    <w:rsid w:val="005B5FC8"/>
    <w:rsid w:val="005B65E3"/>
    <w:rsid w:val="005B6E06"/>
    <w:rsid w:val="005B6E2C"/>
    <w:rsid w:val="005B7438"/>
    <w:rsid w:val="005B7761"/>
    <w:rsid w:val="005C08BA"/>
    <w:rsid w:val="005C0DC0"/>
    <w:rsid w:val="005C161B"/>
    <w:rsid w:val="005C194D"/>
    <w:rsid w:val="005C21B5"/>
    <w:rsid w:val="005C3179"/>
    <w:rsid w:val="005C3604"/>
    <w:rsid w:val="005C414E"/>
    <w:rsid w:val="005C464F"/>
    <w:rsid w:val="005C565F"/>
    <w:rsid w:val="005C5B71"/>
    <w:rsid w:val="005C639C"/>
    <w:rsid w:val="005C7062"/>
    <w:rsid w:val="005C714B"/>
    <w:rsid w:val="005C795A"/>
    <w:rsid w:val="005D1573"/>
    <w:rsid w:val="005D2CDE"/>
    <w:rsid w:val="005D2DDC"/>
    <w:rsid w:val="005D341C"/>
    <w:rsid w:val="005D3A26"/>
    <w:rsid w:val="005D3C96"/>
    <w:rsid w:val="005D3D39"/>
    <w:rsid w:val="005D487F"/>
    <w:rsid w:val="005D4DEB"/>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9F"/>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B98"/>
    <w:rsid w:val="00614079"/>
    <w:rsid w:val="00614188"/>
    <w:rsid w:val="00614E2D"/>
    <w:rsid w:val="00615362"/>
    <w:rsid w:val="006153A0"/>
    <w:rsid w:val="006157B6"/>
    <w:rsid w:val="00615A62"/>
    <w:rsid w:val="00615EBC"/>
    <w:rsid w:val="00616739"/>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1E2"/>
    <w:rsid w:val="00631207"/>
    <w:rsid w:val="00631DC1"/>
    <w:rsid w:val="0063273E"/>
    <w:rsid w:val="00633242"/>
    <w:rsid w:val="00633FA0"/>
    <w:rsid w:val="00634534"/>
    <w:rsid w:val="00634EF5"/>
    <w:rsid w:val="006360A5"/>
    <w:rsid w:val="00636401"/>
    <w:rsid w:val="00636905"/>
    <w:rsid w:val="00636A93"/>
    <w:rsid w:val="00636DF9"/>
    <w:rsid w:val="0063772A"/>
    <w:rsid w:val="00640533"/>
    <w:rsid w:val="006418C8"/>
    <w:rsid w:val="006427D9"/>
    <w:rsid w:val="00642BAE"/>
    <w:rsid w:val="00642CAD"/>
    <w:rsid w:val="00643498"/>
    <w:rsid w:val="00643D25"/>
    <w:rsid w:val="006448DB"/>
    <w:rsid w:val="00644D3E"/>
    <w:rsid w:val="00645AB9"/>
    <w:rsid w:val="00645E2A"/>
    <w:rsid w:val="006460CB"/>
    <w:rsid w:val="00646267"/>
    <w:rsid w:val="006462EB"/>
    <w:rsid w:val="00646C86"/>
    <w:rsid w:val="00646D5C"/>
    <w:rsid w:val="00646DD7"/>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BA3"/>
    <w:rsid w:val="00655ED7"/>
    <w:rsid w:val="006560E3"/>
    <w:rsid w:val="006564ED"/>
    <w:rsid w:val="00656C6E"/>
    <w:rsid w:val="0066116D"/>
    <w:rsid w:val="00661960"/>
    <w:rsid w:val="00661A37"/>
    <w:rsid w:val="00663F47"/>
    <w:rsid w:val="00664AC4"/>
    <w:rsid w:val="00664FB0"/>
    <w:rsid w:val="0066505B"/>
    <w:rsid w:val="00665156"/>
    <w:rsid w:val="00665ACE"/>
    <w:rsid w:val="00666B06"/>
    <w:rsid w:val="0066701C"/>
    <w:rsid w:val="006671D4"/>
    <w:rsid w:val="0066750D"/>
    <w:rsid w:val="00667F2F"/>
    <w:rsid w:val="006710B8"/>
    <w:rsid w:val="00671338"/>
    <w:rsid w:val="00672CE0"/>
    <w:rsid w:val="00672F8D"/>
    <w:rsid w:val="006730DE"/>
    <w:rsid w:val="006730F3"/>
    <w:rsid w:val="00673B33"/>
    <w:rsid w:val="006747AB"/>
    <w:rsid w:val="0067628C"/>
    <w:rsid w:val="00676465"/>
    <w:rsid w:val="006775C4"/>
    <w:rsid w:val="0068056E"/>
    <w:rsid w:val="00680E5C"/>
    <w:rsid w:val="00680F0F"/>
    <w:rsid w:val="006810CE"/>
    <w:rsid w:val="00681AC1"/>
    <w:rsid w:val="00681EE7"/>
    <w:rsid w:val="00682165"/>
    <w:rsid w:val="00682DEF"/>
    <w:rsid w:val="00683178"/>
    <w:rsid w:val="0068325D"/>
    <w:rsid w:val="00683736"/>
    <w:rsid w:val="00683C85"/>
    <w:rsid w:val="00684F50"/>
    <w:rsid w:val="00685785"/>
    <w:rsid w:val="00686F6A"/>
    <w:rsid w:val="00687828"/>
    <w:rsid w:val="00687BEB"/>
    <w:rsid w:val="006903AA"/>
    <w:rsid w:val="00691229"/>
    <w:rsid w:val="00691515"/>
    <w:rsid w:val="00692778"/>
    <w:rsid w:val="006927E4"/>
    <w:rsid w:val="00692B2A"/>
    <w:rsid w:val="006937A1"/>
    <w:rsid w:val="00693C87"/>
    <w:rsid w:val="00693CC2"/>
    <w:rsid w:val="00693F50"/>
    <w:rsid w:val="00694688"/>
    <w:rsid w:val="00694863"/>
    <w:rsid w:val="006948AC"/>
    <w:rsid w:val="00694C91"/>
    <w:rsid w:val="00694D2F"/>
    <w:rsid w:val="00695D24"/>
    <w:rsid w:val="00696139"/>
    <w:rsid w:val="0069649D"/>
    <w:rsid w:val="00696607"/>
    <w:rsid w:val="00696616"/>
    <w:rsid w:val="00696D5C"/>
    <w:rsid w:val="00696EAE"/>
    <w:rsid w:val="00696F11"/>
    <w:rsid w:val="006973E2"/>
    <w:rsid w:val="00697607"/>
    <w:rsid w:val="0069771F"/>
    <w:rsid w:val="00697D08"/>
    <w:rsid w:val="00697D57"/>
    <w:rsid w:val="00697FF7"/>
    <w:rsid w:val="006A07C1"/>
    <w:rsid w:val="006A136B"/>
    <w:rsid w:val="006A13DE"/>
    <w:rsid w:val="006A19D5"/>
    <w:rsid w:val="006A1C2A"/>
    <w:rsid w:val="006A251F"/>
    <w:rsid w:val="006A28FD"/>
    <w:rsid w:val="006A326C"/>
    <w:rsid w:val="006A33DB"/>
    <w:rsid w:val="006A4C52"/>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E00"/>
    <w:rsid w:val="006C2F23"/>
    <w:rsid w:val="006C372B"/>
    <w:rsid w:val="006C408C"/>
    <w:rsid w:val="006C44AE"/>
    <w:rsid w:val="006C456A"/>
    <w:rsid w:val="006C564D"/>
    <w:rsid w:val="006C671F"/>
    <w:rsid w:val="006C6F3C"/>
    <w:rsid w:val="006C6FB7"/>
    <w:rsid w:val="006C7EF7"/>
    <w:rsid w:val="006D007C"/>
    <w:rsid w:val="006D06F5"/>
    <w:rsid w:val="006D120B"/>
    <w:rsid w:val="006D1A3E"/>
    <w:rsid w:val="006D1DB2"/>
    <w:rsid w:val="006D1F9F"/>
    <w:rsid w:val="006D318A"/>
    <w:rsid w:val="006D3FF8"/>
    <w:rsid w:val="006D428F"/>
    <w:rsid w:val="006D54E1"/>
    <w:rsid w:val="006D5A11"/>
    <w:rsid w:val="006D668F"/>
    <w:rsid w:val="006D78DA"/>
    <w:rsid w:val="006E0104"/>
    <w:rsid w:val="006E0406"/>
    <w:rsid w:val="006E09D6"/>
    <w:rsid w:val="006E0CDD"/>
    <w:rsid w:val="006E1695"/>
    <w:rsid w:val="006E197B"/>
    <w:rsid w:val="006E1AC8"/>
    <w:rsid w:val="006E22C9"/>
    <w:rsid w:val="006E2B27"/>
    <w:rsid w:val="006E58AF"/>
    <w:rsid w:val="006E5EBC"/>
    <w:rsid w:val="006E698C"/>
    <w:rsid w:val="006E6A36"/>
    <w:rsid w:val="006E77AA"/>
    <w:rsid w:val="006E7F21"/>
    <w:rsid w:val="006F015E"/>
    <w:rsid w:val="006F0329"/>
    <w:rsid w:val="006F0771"/>
    <w:rsid w:val="006F0913"/>
    <w:rsid w:val="006F0BF7"/>
    <w:rsid w:val="006F2087"/>
    <w:rsid w:val="006F2412"/>
    <w:rsid w:val="006F2E82"/>
    <w:rsid w:val="006F3230"/>
    <w:rsid w:val="006F345D"/>
    <w:rsid w:val="006F3B23"/>
    <w:rsid w:val="006F3FE0"/>
    <w:rsid w:val="006F462B"/>
    <w:rsid w:val="006F5F55"/>
    <w:rsid w:val="006F6131"/>
    <w:rsid w:val="006F650D"/>
    <w:rsid w:val="006F68C0"/>
    <w:rsid w:val="006F68E5"/>
    <w:rsid w:val="006F7AB4"/>
    <w:rsid w:val="00700013"/>
    <w:rsid w:val="007007EB"/>
    <w:rsid w:val="00701329"/>
    <w:rsid w:val="007017F0"/>
    <w:rsid w:val="007018FE"/>
    <w:rsid w:val="00701D51"/>
    <w:rsid w:val="00702862"/>
    <w:rsid w:val="00702BFD"/>
    <w:rsid w:val="007037DD"/>
    <w:rsid w:val="00703AE1"/>
    <w:rsid w:val="00703B2F"/>
    <w:rsid w:val="0070428E"/>
    <w:rsid w:val="007042B5"/>
    <w:rsid w:val="00704634"/>
    <w:rsid w:val="00705D6A"/>
    <w:rsid w:val="00705E84"/>
    <w:rsid w:val="00706144"/>
    <w:rsid w:val="007061EE"/>
    <w:rsid w:val="007063E6"/>
    <w:rsid w:val="00707031"/>
    <w:rsid w:val="00707245"/>
    <w:rsid w:val="00707B5A"/>
    <w:rsid w:val="00710B09"/>
    <w:rsid w:val="00711EB9"/>
    <w:rsid w:val="00712009"/>
    <w:rsid w:val="0071287D"/>
    <w:rsid w:val="00712D50"/>
    <w:rsid w:val="00713419"/>
    <w:rsid w:val="007135A0"/>
    <w:rsid w:val="00713957"/>
    <w:rsid w:val="00714402"/>
    <w:rsid w:val="00714488"/>
    <w:rsid w:val="007148AB"/>
    <w:rsid w:val="00715319"/>
    <w:rsid w:val="00715EBB"/>
    <w:rsid w:val="00717609"/>
    <w:rsid w:val="00717898"/>
    <w:rsid w:val="00720D16"/>
    <w:rsid w:val="0072215B"/>
    <w:rsid w:val="00722B88"/>
    <w:rsid w:val="0072304C"/>
    <w:rsid w:val="0072341A"/>
    <w:rsid w:val="0072368F"/>
    <w:rsid w:val="00723EC1"/>
    <w:rsid w:val="00724552"/>
    <w:rsid w:val="00724C1C"/>
    <w:rsid w:val="007252A6"/>
    <w:rsid w:val="007269CC"/>
    <w:rsid w:val="00726E02"/>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6F71"/>
    <w:rsid w:val="00740D93"/>
    <w:rsid w:val="007426D1"/>
    <w:rsid w:val="00743665"/>
    <w:rsid w:val="00743E50"/>
    <w:rsid w:val="00743F9C"/>
    <w:rsid w:val="00744DC2"/>
    <w:rsid w:val="00744E48"/>
    <w:rsid w:val="00744EED"/>
    <w:rsid w:val="00746015"/>
    <w:rsid w:val="00746730"/>
    <w:rsid w:val="007471DD"/>
    <w:rsid w:val="0075084A"/>
    <w:rsid w:val="00750C13"/>
    <w:rsid w:val="00751760"/>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1559"/>
    <w:rsid w:val="00761C9D"/>
    <w:rsid w:val="00762460"/>
    <w:rsid w:val="00762B99"/>
    <w:rsid w:val="00762F3A"/>
    <w:rsid w:val="007656A2"/>
    <w:rsid w:val="00766389"/>
    <w:rsid w:val="007677CD"/>
    <w:rsid w:val="00767FE0"/>
    <w:rsid w:val="00770340"/>
    <w:rsid w:val="00770536"/>
    <w:rsid w:val="00770AC5"/>
    <w:rsid w:val="007711A1"/>
    <w:rsid w:val="00771AF2"/>
    <w:rsid w:val="007720F2"/>
    <w:rsid w:val="00772268"/>
    <w:rsid w:val="007722CF"/>
    <w:rsid w:val="00772E06"/>
    <w:rsid w:val="00772E56"/>
    <w:rsid w:val="00773C44"/>
    <w:rsid w:val="00774396"/>
    <w:rsid w:val="007743DD"/>
    <w:rsid w:val="0077543B"/>
    <w:rsid w:val="00775496"/>
    <w:rsid w:val="007758EE"/>
    <w:rsid w:val="00775BD0"/>
    <w:rsid w:val="007771C3"/>
    <w:rsid w:val="007775AC"/>
    <w:rsid w:val="007779BF"/>
    <w:rsid w:val="00777B9A"/>
    <w:rsid w:val="00777CFA"/>
    <w:rsid w:val="00777F6C"/>
    <w:rsid w:val="007806D4"/>
    <w:rsid w:val="00781E84"/>
    <w:rsid w:val="00781EFF"/>
    <w:rsid w:val="00782019"/>
    <w:rsid w:val="00782710"/>
    <w:rsid w:val="007841D1"/>
    <w:rsid w:val="00784FD7"/>
    <w:rsid w:val="0078679B"/>
    <w:rsid w:val="00786A0E"/>
    <w:rsid w:val="00787328"/>
    <w:rsid w:val="00787ABD"/>
    <w:rsid w:val="00787FF8"/>
    <w:rsid w:val="007904C9"/>
    <w:rsid w:val="00790CF4"/>
    <w:rsid w:val="00790DA7"/>
    <w:rsid w:val="00791DC7"/>
    <w:rsid w:val="00791F5C"/>
    <w:rsid w:val="007927EC"/>
    <w:rsid w:val="00792E46"/>
    <w:rsid w:val="00792E5F"/>
    <w:rsid w:val="00793502"/>
    <w:rsid w:val="00793C07"/>
    <w:rsid w:val="00795A12"/>
    <w:rsid w:val="007960DF"/>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1A7"/>
    <w:rsid w:val="007A726F"/>
    <w:rsid w:val="007A757A"/>
    <w:rsid w:val="007A7BDA"/>
    <w:rsid w:val="007B08F4"/>
    <w:rsid w:val="007B0A40"/>
    <w:rsid w:val="007B14D2"/>
    <w:rsid w:val="007B1E08"/>
    <w:rsid w:val="007B2ED6"/>
    <w:rsid w:val="007B34BC"/>
    <w:rsid w:val="007B39C4"/>
    <w:rsid w:val="007B452B"/>
    <w:rsid w:val="007B4EEE"/>
    <w:rsid w:val="007B5EBB"/>
    <w:rsid w:val="007B65D2"/>
    <w:rsid w:val="007B6AD5"/>
    <w:rsid w:val="007B6BCB"/>
    <w:rsid w:val="007B6ED0"/>
    <w:rsid w:val="007C04A2"/>
    <w:rsid w:val="007C1271"/>
    <w:rsid w:val="007C23C0"/>
    <w:rsid w:val="007C272F"/>
    <w:rsid w:val="007C313D"/>
    <w:rsid w:val="007C3B2E"/>
    <w:rsid w:val="007C405D"/>
    <w:rsid w:val="007C4D7C"/>
    <w:rsid w:val="007C5545"/>
    <w:rsid w:val="007C587A"/>
    <w:rsid w:val="007C5D0A"/>
    <w:rsid w:val="007C79F5"/>
    <w:rsid w:val="007C7A6B"/>
    <w:rsid w:val="007C7D74"/>
    <w:rsid w:val="007D0A0F"/>
    <w:rsid w:val="007D131D"/>
    <w:rsid w:val="007D1719"/>
    <w:rsid w:val="007D303D"/>
    <w:rsid w:val="007D3918"/>
    <w:rsid w:val="007D3939"/>
    <w:rsid w:val="007D3BCC"/>
    <w:rsid w:val="007D3CE0"/>
    <w:rsid w:val="007D404D"/>
    <w:rsid w:val="007D45CB"/>
    <w:rsid w:val="007D4645"/>
    <w:rsid w:val="007D5692"/>
    <w:rsid w:val="007D58EB"/>
    <w:rsid w:val="007D6461"/>
    <w:rsid w:val="007D6564"/>
    <w:rsid w:val="007E071B"/>
    <w:rsid w:val="007E3210"/>
    <w:rsid w:val="007E32FC"/>
    <w:rsid w:val="007E4266"/>
    <w:rsid w:val="007E4EA5"/>
    <w:rsid w:val="007E5A5C"/>
    <w:rsid w:val="007E6D9D"/>
    <w:rsid w:val="007E6F31"/>
    <w:rsid w:val="007E7A9C"/>
    <w:rsid w:val="007F0BA9"/>
    <w:rsid w:val="007F14CC"/>
    <w:rsid w:val="007F14FD"/>
    <w:rsid w:val="007F17A3"/>
    <w:rsid w:val="007F17A5"/>
    <w:rsid w:val="007F1A1A"/>
    <w:rsid w:val="007F1ECE"/>
    <w:rsid w:val="007F289D"/>
    <w:rsid w:val="007F2DD4"/>
    <w:rsid w:val="007F35C6"/>
    <w:rsid w:val="007F37B3"/>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97"/>
    <w:rsid w:val="00811182"/>
    <w:rsid w:val="00811407"/>
    <w:rsid w:val="00811762"/>
    <w:rsid w:val="00811B44"/>
    <w:rsid w:val="008122E4"/>
    <w:rsid w:val="00812D5A"/>
    <w:rsid w:val="00813494"/>
    <w:rsid w:val="00813755"/>
    <w:rsid w:val="008161D5"/>
    <w:rsid w:val="00817A06"/>
    <w:rsid w:val="00817BE6"/>
    <w:rsid w:val="0082001A"/>
    <w:rsid w:val="008205D0"/>
    <w:rsid w:val="0082070E"/>
    <w:rsid w:val="00820D99"/>
    <w:rsid w:val="00820E06"/>
    <w:rsid w:val="008211F5"/>
    <w:rsid w:val="00823032"/>
    <w:rsid w:val="00823863"/>
    <w:rsid w:val="008240AB"/>
    <w:rsid w:val="008241FC"/>
    <w:rsid w:val="00824B51"/>
    <w:rsid w:val="00825D5D"/>
    <w:rsid w:val="00825DF2"/>
    <w:rsid w:val="00826459"/>
    <w:rsid w:val="008264A3"/>
    <w:rsid w:val="00826F27"/>
    <w:rsid w:val="008270BC"/>
    <w:rsid w:val="008309C8"/>
    <w:rsid w:val="008309F3"/>
    <w:rsid w:val="00830F61"/>
    <w:rsid w:val="008312B3"/>
    <w:rsid w:val="0083287B"/>
    <w:rsid w:val="00832A83"/>
    <w:rsid w:val="00832D2B"/>
    <w:rsid w:val="00833114"/>
    <w:rsid w:val="008357D2"/>
    <w:rsid w:val="0083580C"/>
    <w:rsid w:val="00836E6B"/>
    <w:rsid w:val="008370CF"/>
    <w:rsid w:val="00837CEF"/>
    <w:rsid w:val="00840C89"/>
    <w:rsid w:val="0084114B"/>
    <w:rsid w:val="0084128B"/>
    <w:rsid w:val="00842756"/>
    <w:rsid w:val="008430AD"/>
    <w:rsid w:val="008433AE"/>
    <w:rsid w:val="0084355F"/>
    <w:rsid w:val="00843569"/>
    <w:rsid w:val="00843D17"/>
    <w:rsid w:val="0084471E"/>
    <w:rsid w:val="00845A0E"/>
    <w:rsid w:val="008460D0"/>
    <w:rsid w:val="0084703C"/>
    <w:rsid w:val="008473A8"/>
    <w:rsid w:val="00847424"/>
    <w:rsid w:val="008474F5"/>
    <w:rsid w:val="00847B25"/>
    <w:rsid w:val="00850259"/>
    <w:rsid w:val="008504C8"/>
    <w:rsid w:val="00851000"/>
    <w:rsid w:val="00851789"/>
    <w:rsid w:val="008531B1"/>
    <w:rsid w:val="00853389"/>
    <w:rsid w:val="008546D1"/>
    <w:rsid w:val="00854886"/>
    <w:rsid w:val="00855029"/>
    <w:rsid w:val="0085507C"/>
    <w:rsid w:val="0085563E"/>
    <w:rsid w:val="00855F6D"/>
    <w:rsid w:val="008601DA"/>
    <w:rsid w:val="00861070"/>
    <w:rsid w:val="008614B0"/>
    <w:rsid w:val="00861653"/>
    <w:rsid w:val="00861978"/>
    <w:rsid w:val="008625C0"/>
    <w:rsid w:val="00863418"/>
    <w:rsid w:val="008634C5"/>
    <w:rsid w:val="00863FB1"/>
    <w:rsid w:val="00864F72"/>
    <w:rsid w:val="0086531E"/>
    <w:rsid w:val="0086586D"/>
    <w:rsid w:val="00865B42"/>
    <w:rsid w:val="00866DED"/>
    <w:rsid w:val="00866DF0"/>
    <w:rsid w:val="008672F5"/>
    <w:rsid w:val="008707B1"/>
    <w:rsid w:val="00870822"/>
    <w:rsid w:val="0087089C"/>
    <w:rsid w:val="008709B3"/>
    <w:rsid w:val="00870DB7"/>
    <w:rsid w:val="0087122C"/>
    <w:rsid w:val="0087135B"/>
    <w:rsid w:val="00871CF9"/>
    <w:rsid w:val="008721B7"/>
    <w:rsid w:val="008728A9"/>
    <w:rsid w:val="00872D12"/>
    <w:rsid w:val="00873D60"/>
    <w:rsid w:val="008740F9"/>
    <w:rsid w:val="00874818"/>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1F1"/>
    <w:rsid w:val="008866BD"/>
    <w:rsid w:val="00887311"/>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0C54"/>
    <w:rsid w:val="008A12C7"/>
    <w:rsid w:val="008A23DD"/>
    <w:rsid w:val="008A249E"/>
    <w:rsid w:val="008A2CEE"/>
    <w:rsid w:val="008A4B81"/>
    <w:rsid w:val="008A4EE6"/>
    <w:rsid w:val="008A6544"/>
    <w:rsid w:val="008A6587"/>
    <w:rsid w:val="008A65C4"/>
    <w:rsid w:val="008A7EC3"/>
    <w:rsid w:val="008A7F72"/>
    <w:rsid w:val="008B0699"/>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0FB"/>
    <w:rsid w:val="008D1236"/>
    <w:rsid w:val="008D1EDE"/>
    <w:rsid w:val="008D25A8"/>
    <w:rsid w:val="008D32AD"/>
    <w:rsid w:val="008D3620"/>
    <w:rsid w:val="008D458F"/>
    <w:rsid w:val="008D52D9"/>
    <w:rsid w:val="008D5733"/>
    <w:rsid w:val="008D5826"/>
    <w:rsid w:val="008D58E5"/>
    <w:rsid w:val="008D5905"/>
    <w:rsid w:val="008D5FF2"/>
    <w:rsid w:val="008D6772"/>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30D"/>
    <w:rsid w:val="008F743B"/>
    <w:rsid w:val="009011B4"/>
    <w:rsid w:val="0090168E"/>
    <w:rsid w:val="00901AE0"/>
    <w:rsid w:val="009020E0"/>
    <w:rsid w:val="00902DF6"/>
    <w:rsid w:val="00902FFF"/>
    <w:rsid w:val="00903765"/>
    <w:rsid w:val="00903E8E"/>
    <w:rsid w:val="00903F4A"/>
    <w:rsid w:val="00904997"/>
    <w:rsid w:val="00905D8A"/>
    <w:rsid w:val="0090696C"/>
    <w:rsid w:val="00907C15"/>
    <w:rsid w:val="009112BF"/>
    <w:rsid w:val="009116CC"/>
    <w:rsid w:val="0091170B"/>
    <w:rsid w:val="00911817"/>
    <w:rsid w:val="00912F68"/>
    <w:rsid w:val="009133A9"/>
    <w:rsid w:val="00913418"/>
    <w:rsid w:val="009137F9"/>
    <w:rsid w:val="00913C08"/>
    <w:rsid w:val="00915282"/>
    <w:rsid w:val="0091567A"/>
    <w:rsid w:val="00920287"/>
    <w:rsid w:val="00920947"/>
    <w:rsid w:val="0092099A"/>
    <w:rsid w:val="00920C90"/>
    <w:rsid w:val="00921076"/>
    <w:rsid w:val="00921E9D"/>
    <w:rsid w:val="009220E0"/>
    <w:rsid w:val="0092244D"/>
    <w:rsid w:val="00922487"/>
    <w:rsid w:val="00922CE2"/>
    <w:rsid w:val="00922FD0"/>
    <w:rsid w:val="0092383C"/>
    <w:rsid w:val="00923E83"/>
    <w:rsid w:val="00923FD8"/>
    <w:rsid w:val="009250CB"/>
    <w:rsid w:val="00926AC7"/>
    <w:rsid w:val="00926FCD"/>
    <w:rsid w:val="00927607"/>
    <w:rsid w:val="009307F4"/>
    <w:rsid w:val="009317C8"/>
    <w:rsid w:val="00931D14"/>
    <w:rsid w:val="009322BE"/>
    <w:rsid w:val="00933060"/>
    <w:rsid w:val="00933673"/>
    <w:rsid w:val="00933CBF"/>
    <w:rsid w:val="00934282"/>
    <w:rsid w:val="00934719"/>
    <w:rsid w:val="00934864"/>
    <w:rsid w:val="00934B4F"/>
    <w:rsid w:val="00935580"/>
    <w:rsid w:val="00935C0C"/>
    <w:rsid w:val="00936747"/>
    <w:rsid w:val="00937A05"/>
    <w:rsid w:val="00937A28"/>
    <w:rsid w:val="00937B14"/>
    <w:rsid w:val="00937D05"/>
    <w:rsid w:val="009401E4"/>
    <w:rsid w:val="0094044A"/>
    <w:rsid w:val="00940C5D"/>
    <w:rsid w:val="00941603"/>
    <w:rsid w:val="00941839"/>
    <w:rsid w:val="0094205B"/>
    <w:rsid w:val="00942CAB"/>
    <w:rsid w:val="00942E61"/>
    <w:rsid w:val="0094320E"/>
    <w:rsid w:val="00945247"/>
    <w:rsid w:val="00945295"/>
    <w:rsid w:val="0094562D"/>
    <w:rsid w:val="00946AC9"/>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F56"/>
    <w:rsid w:val="00954F7D"/>
    <w:rsid w:val="00955D30"/>
    <w:rsid w:val="0095617E"/>
    <w:rsid w:val="00956727"/>
    <w:rsid w:val="00957E51"/>
    <w:rsid w:val="009608E8"/>
    <w:rsid w:val="00960E04"/>
    <w:rsid w:val="0096112B"/>
    <w:rsid w:val="009629EE"/>
    <w:rsid w:val="0096309B"/>
    <w:rsid w:val="00964A87"/>
    <w:rsid w:val="00964B1E"/>
    <w:rsid w:val="00964CE3"/>
    <w:rsid w:val="00965204"/>
    <w:rsid w:val="00965931"/>
    <w:rsid w:val="00965DB7"/>
    <w:rsid w:val="009663A9"/>
    <w:rsid w:val="00966C28"/>
    <w:rsid w:val="009700BB"/>
    <w:rsid w:val="00971321"/>
    <w:rsid w:val="00971C88"/>
    <w:rsid w:val="00972B61"/>
    <w:rsid w:val="009730F2"/>
    <w:rsid w:val="00974250"/>
    <w:rsid w:val="00974667"/>
    <w:rsid w:val="00974F50"/>
    <w:rsid w:val="009756EC"/>
    <w:rsid w:val="009757EE"/>
    <w:rsid w:val="0097584C"/>
    <w:rsid w:val="00976FCC"/>
    <w:rsid w:val="0097768E"/>
    <w:rsid w:val="00977702"/>
    <w:rsid w:val="009818A2"/>
    <w:rsid w:val="00981BCF"/>
    <w:rsid w:val="009823F3"/>
    <w:rsid w:val="009829E2"/>
    <w:rsid w:val="00983525"/>
    <w:rsid w:val="009844CE"/>
    <w:rsid w:val="00984590"/>
    <w:rsid w:val="00984F92"/>
    <w:rsid w:val="00984FB7"/>
    <w:rsid w:val="009855CB"/>
    <w:rsid w:val="00985932"/>
    <w:rsid w:val="009865CA"/>
    <w:rsid w:val="009868FC"/>
    <w:rsid w:val="00986D6A"/>
    <w:rsid w:val="0098701D"/>
    <w:rsid w:val="00990013"/>
    <w:rsid w:val="00990A44"/>
    <w:rsid w:val="00990D44"/>
    <w:rsid w:val="00991E94"/>
    <w:rsid w:val="00992712"/>
    <w:rsid w:val="00993E7E"/>
    <w:rsid w:val="0099690A"/>
    <w:rsid w:val="00997136"/>
    <w:rsid w:val="009971A7"/>
    <w:rsid w:val="009A2180"/>
    <w:rsid w:val="009A33BE"/>
    <w:rsid w:val="009A3F67"/>
    <w:rsid w:val="009A41FB"/>
    <w:rsid w:val="009B0C38"/>
    <w:rsid w:val="009B1120"/>
    <w:rsid w:val="009B113C"/>
    <w:rsid w:val="009B127F"/>
    <w:rsid w:val="009B15EE"/>
    <w:rsid w:val="009B19C2"/>
    <w:rsid w:val="009B1EAF"/>
    <w:rsid w:val="009B229F"/>
    <w:rsid w:val="009B2AE4"/>
    <w:rsid w:val="009B302B"/>
    <w:rsid w:val="009B30D4"/>
    <w:rsid w:val="009B38A3"/>
    <w:rsid w:val="009B38C8"/>
    <w:rsid w:val="009B3CD4"/>
    <w:rsid w:val="009B470D"/>
    <w:rsid w:val="009B4E0E"/>
    <w:rsid w:val="009B5202"/>
    <w:rsid w:val="009B537A"/>
    <w:rsid w:val="009B6107"/>
    <w:rsid w:val="009B622A"/>
    <w:rsid w:val="009B6D2C"/>
    <w:rsid w:val="009C0461"/>
    <w:rsid w:val="009C16E5"/>
    <w:rsid w:val="009C1BBD"/>
    <w:rsid w:val="009C24D1"/>
    <w:rsid w:val="009C3841"/>
    <w:rsid w:val="009C4D0D"/>
    <w:rsid w:val="009C562A"/>
    <w:rsid w:val="009C607A"/>
    <w:rsid w:val="009C6929"/>
    <w:rsid w:val="009C6A52"/>
    <w:rsid w:val="009C72C2"/>
    <w:rsid w:val="009C778C"/>
    <w:rsid w:val="009D183B"/>
    <w:rsid w:val="009D20C4"/>
    <w:rsid w:val="009D2378"/>
    <w:rsid w:val="009D267D"/>
    <w:rsid w:val="009D2A60"/>
    <w:rsid w:val="009D30C1"/>
    <w:rsid w:val="009D3356"/>
    <w:rsid w:val="009D3CB7"/>
    <w:rsid w:val="009D3DBF"/>
    <w:rsid w:val="009D4277"/>
    <w:rsid w:val="009D4290"/>
    <w:rsid w:val="009D4901"/>
    <w:rsid w:val="009D4C43"/>
    <w:rsid w:val="009D5068"/>
    <w:rsid w:val="009D5186"/>
    <w:rsid w:val="009D5281"/>
    <w:rsid w:val="009D5AC5"/>
    <w:rsid w:val="009D5D6A"/>
    <w:rsid w:val="009D623E"/>
    <w:rsid w:val="009D6566"/>
    <w:rsid w:val="009D67E8"/>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139"/>
    <w:rsid w:val="009F1587"/>
    <w:rsid w:val="009F2EEE"/>
    <w:rsid w:val="009F344F"/>
    <w:rsid w:val="009F3537"/>
    <w:rsid w:val="009F3962"/>
    <w:rsid w:val="009F3A8E"/>
    <w:rsid w:val="009F3B12"/>
    <w:rsid w:val="009F4300"/>
    <w:rsid w:val="009F46F3"/>
    <w:rsid w:val="009F49B9"/>
    <w:rsid w:val="009F4CDD"/>
    <w:rsid w:val="009F52DB"/>
    <w:rsid w:val="009F5F75"/>
    <w:rsid w:val="009F6D03"/>
    <w:rsid w:val="009F74A6"/>
    <w:rsid w:val="009F75C0"/>
    <w:rsid w:val="009F7671"/>
    <w:rsid w:val="009F76D2"/>
    <w:rsid w:val="00A00067"/>
    <w:rsid w:val="00A00402"/>
    <w:rsid w:val="00A00501"/>
    <w:rsid w:val="00A01117"/>
    <w:rsid w:val="00A020DE"/>
    <w:rsid w:val="00A022D9"/>
    <w:rsid w:val="00A023EE"/>
    <w:rsid w:val="00A0357E"/>
    <w:rsid w:val="00A03C20"/>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641B"/>
    <w:rsid w:val="00A16498"/>
    <w:rsid w:val="00A164A6"/>
    <w:rsid w:val="00A165FE"/>
    <w:rsid w:val="00A16EFC"/>
    <w:rsid w:val="00A17A7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7138"/>
    <w:rsid w:val="00A30066"/>
    <w:rsid w:val="00A30D30"/>
    <w:rsid w:val="00A31158"/>
    <w:rsid w:val="00A3215A"/>
    <w:rsid w:val="00A32881"/>
    <w:rsid w:val="00A3359F"/>
    <w:rsid w:val="00A33F3B"/>
    <w:rsid w:val="00A352E3"/>
    <w:rsid w:val="00A35446"/>
    <w:rsid w:val="00A3583F"/>
    <w:rsid w:val="00A36062"/>
    <w:rsid w:val="00A36936"/>
    <w:rsid w:val="00A37825"/>
    <w:rsid w:val="00A37897"/>
    <w:rsid w:val="00A4105D"/>
    <w:rsid w:val="00A41757"/>
    <w:rsid w:val="00A417FE"/>
    <w:rsid w:val="00A41FA8"/>
    <w:rsid w:val="00A421DA"/>
    <w:rsid w:val="00A426F3"/>
    <w:rsid w:val="00A42E01"/>
    <w:rsid w:val="00A44166"/>
    <w:rsid w:val="00A448E0"/>
    <w:rsid w:val="00A456F5"/>
    <w:rsid w:val="00A45C71"/>
    <w:rsid w:val="00A4628E"/>
    <w:rsid w:val="00A47209"/>
    <w:rsid w:val="00A47455"/>
    <w:rsid w:val="00A47AB7"/>
    <w:rsid w:val="00A51781"/>
    <w:rsid w:val="00A5203E"/>
    <w:rsid w:val="00A521B2"/>
    <w:rsid w:val="00A52320"/>
    <w:rsid w:val="00A52762"/>
    <w:rsid w:val="00A52CC9"/>
    <w:rsid w:val="00A531B9"/>
    <w:rsid w:val="00A537AD"/>
    <w:rsid w:val="00A54A2D"/>
    <w:rsid w:val="00A54AAC"/>
    <w:rsid w:val="00A5562B"/>
    <w:rsid w:val="00A55915"/>
    <w:rsid w:val="00A55A68"/>
    <w:rsid w:val="00A56094"/>
    <w:rsid w:val="00A5618E"/>
    <w:rsid w:val="00A5698E"/>
    <w:rsid w:val="00A56B70"/>
    <w:rsid w:val="00A575B4"/>
    <w:rsid w:val="00A57676"/>
    <w:rsid w:val="00A5790B"/>
    <w:rsid w:val="00A605AE"/>
    <w:rsid w:val="00A608CD"/>
    <w:rsid w:val="00A62E0E"/>
    <w:rsid w:val="00A64280"/>
    <w:rsid w:val="00A643EA"/>
    <w:rsid w:val="00A64769"/>
    <w:rsid w:val="00A6491F"/>
    <w:rsid w:val="00A64C7D"/>
    <w:rsid w:val="00A64E0F"/>
    <w:rsid w:val="00A654A2"/>
    <w:rsid w:val="00A654DF"/>
    <w:rsid w:val="00A655E9"/>
    <w:rsid w:val="00A66CB2"/>
    <w:rsid w:val="00A703F5"/>
    <w:rsid w:val="00A71119"/>
    <w:rsid w:val="00A723F5"/>
    <w:rsid w:val="00A725BD"/>
    <w:rsid w:val="00A72E3D"/>
    <w:rsid w:val="00A72EE1"/>
    <w:rsid w:val="00A73B00"/>
    <w:rsid w:val="00A73E3E"/>
    <w:rsid w:val="00A746E4"/>
    <w:rsid w:val="00A761F4"/>
    <w:rsid w:val="00A76CB8"/>
    <w:rsid w:val="00A77448"/>
    <w:rsid w:val="00A77B65"/>
    <w:rsid w:val="00A77EC2"/>
    <w:rsid w:val="00A8007D"/>
    <w:rsid w:val="00A80761"/>
    <w:rsid w:val="00A80DC8"/>
    <w:rsid w:val="00A812F5"/>
    <w:rsid w:val="00A814C5"/>
    <w:rsid w:val="00A8157F"/>
    <w:rsid w:val="00A81C21"/>
    <w:rsid w:val="00A81F37"/>
    <w:rsid w:val="00A82953"/>
    <w:rsid w:val="00A82B2C"/>
    <w:rsid w:val="00A82C58"/>
    <w:rsid w:val="00A833A8"/>
    <w:rsid w:val="00A83D36"/>
    <w:rsid w:val="00A8427B"/>
    <w:rsid w:val="00A84B23"/>
    <w:rsid w:val="00A84B4C"/>
    <w:rsid w:val="00A85897"/>
    <w:rsid w:val="00A86E22"/>
    <w:rsid w:val="00A87174"/>
    <w:rsid w:val="00A87279"/>
    <w:rsid w:val="00A87E95"/>
    <w:rsid w:val="00A900FE"/>
    <w:rsid w:val="00A90D9C"/>
    <w:rsid w:val="00A9199E"/>
    <w:rsid w:val="00A92C9A"/>
    <w:rsid w:val="00A9370A"/>
    <w:rsid w:val="00A94E2C"/>
    <w:rsid w:val="00A94F2D"/>
    <w:rsid w:val="00A95DD5"/>
    <w:rsid w:val="00A96022"/>
    <w:rsid w:val="00A966F4"/>
    <w:rsid w:val="00A96770"/>
    <w:rsid w:val="00A97932"/>
    <w:rsid w:val="00AA0197"/>
    <w:rsid w:val="00AA0208"/>
    <w:rsid w:val="00AA029D"/>
    <w:rsid w:val="00AA11A2"/>
    <w:rsid w:val="00AA1394"/>
    <w:rsid w:val="00AA20E4"/>
    <w:rsid w:val="00AA221F"/>
    <w:rsid w:val="00AA2C0B"/>
    <w:rsid w:val="00AA2CA6"/>
    <w:rsid w:val="00AA3786"/>
    <w:rsid w:val="00AA38B9"/>
    <w:rsid w:val="00AA3E7F"/>
    <w:rsid w:val="00AA438D"/>
    <w:rsid w:val="00AA4A99"/>
    <w:rsid w:val="00AA55E0"/>
    <w:rsid w:val="00AA5BC8"/>
    <w:rsid w:val="00AA61B7"/>
    <w:rsid w:val="00AA689B"/>
    <w:rsid w:val="00AA7023"/>
    <w:rsid w:val="00AB00F1"/>
    <w:rsid w:val="00AB0CE7"/>
    <w:rsid w:val="00AB11B8"/>
    <w:rsid w:val="00AB3569"/>
    <w:rsid w:val="00AB4BAD"/>
    <w:rsid w:val="00AB511E"/>
    <w:rsid w:val="00AB5A17"/>
    <w:rsid w:val="00AB5C16"/>
    <w:rsid w:val="00AB5C8E"/>
    <w:rsid w:val="00AB628D"/>
    <w:rsid w:val="00AC00B1"/>
    <w:rsid w:val="00AC0229"/>
    <w:rsid w:val="00AC12CF"/>
    <w:rsid w:val="00AC154D"/>
    <w:rsid w:val="00AC2548"/>
    <w:rsid w:val="00AC3C32"/>
    <w:rsid w:val="00AC3DB8"/>
    <w:rsid w:val="00AD100C"/>
    <w:rsid w:val="00AD1099"/>
    <w:rsid w:val="00AD2540"/>
    <w:rsid w:val="00AD38ED"/>
    <w:rsid w:val="00AD39D6"/>
    <w:rsid w:val="00AD3C97"/>
    <w:rsid w:val="00AD4282"/>
    <w:rsid w:val="00AD5A42"/>
    <w:rsid w:val="00AD6965"/>
    <w:rsid w:val="00AD7073"/>
    <w:rsid w:val="00AD77FD"/>
    <w:rsid w:val="00AD79E2"/>
    <w:rsid w:val="00AD7FFB"/>
    <w:rsid w:val="00AE1573"/>
    <w:rsid w:val="00AE1837"/>
    <w:rsid w:val="00AE1C5C"/>
    <w:rsid w:val="00AE271F"/>
    <w:rsid w:val="00AE3826"/>
    <w:rsid w:val="00AE3DF5"/>
    <w:rsid w:val="00AE4CFF"/>
    <w:rsid w:val="00AE4E46"/>
    <w:rsid w:val="00AE52B0"/>
    <w:rsid w:val="00AE54F8"/>
    <w:rsid w:val="00AE5C7F"/>
    <w:rsid w:val="00AE607D"/>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1FDA"/>
    <w:rsid w:val="00B02152"/>
    <w:rsid w:val="00B0229E"/>
    <w:rsid w:val="00B022BB"/>
    <w:rsid w:val="00B02BB1"/>
    <w:rsid w:val="00B02FB6"/>
    <w:rsid w:val="00B03908"/>
    <w:rsid w:val="00B03ACC"/>
    <w:rsid w:val="00B03B08"/>
    <w:rsid w:val="00B040E1"/>
    <w:rsid w:val="00B04123"/>
    <w:rsid w:val="00B0461E"/>
    <w:rsid w:val="00B049EC"/>
    <w:rsid w:val="00B04DD6"/>
    <w:rsid w:val="00B050D6"/>
    <w:rsid w:val="00B05E3E"/>
    <w:rsid w:val="00B06C56"/>
    <w:rsid w:val="00B0768C"/>
    <w:rsid w:val="00B10264"/>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023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0E0E"/>
    <w:rsid w:val="00B41119"/>
    <w:rsid w:val="00B41312"/>
    <w:rsid w:val="00B417BF"/>
    <w:rsid w:val="00B42215"/>
    <w:rsid w:val="00B438BE"/>
    <w:rsid w:val="00B44AF3"/>
    <w:rsid w:val="00B453AD"/>
    <w:rsid w:val="00B45776"/>
    <w:rsid w:val="00B462D1"/>
    <w:rsid w:val="00B50080"/>
    <w:rsid w:val="00B50446"/>
    <w:rsid w:val="00B51A2B"/>
    <w:rsid w:val="00B51B10"/>
    <w:rsid w:val="00B523D2"/>
    <w:rsid w:val="00B523E5"/>
    <w:rsid w:val="00B528A3"/>
    <w:rsid w:val="00B52E31"/>
    <w:rsid w:val="00B5349D"/>
    <w:rsid w:val="00B534E9"/>
    <w:rsid w:val="00B53AE7"/>
    <w:rsid w:val="00B53C66"/>
    <w:rsid w:val="00B54BDD"/>
    <w:rsid w:val="00B54C89"/>
    <w:rsid w:val="00B54DD6"/>
    <w:rsid w:val="00B5501D"/>
    <w:rsid w:val="00B558B6"/>
    <w:rsid w:val="00B55AEC"/>
    <w:rsid w:val="00B55C20"/>
    <w:rsid w:val="00B56166"/>
    <w:rsid w:val="00B565A9"/>
    <w:rsid w:val="00B5681F"/>
    <w:rsid w:val="00B56F11"/>
    <w:rsid w:val="00B57B69"/>
    <w:rsid w:val="00B6034F"/>
    <w:rsid w:val="00B60890"/>
    <w:rsid w:val="00B60E54"/>
    <w:rsid w:val="00B6152A"/>
    <w:rsid w:val="00B61A36"/>
    <w:rsid w:val="00B6219D"/>
    <w:rsid w:val="00B62B0D"/>
    <w:rsid w:val="00B62E87"/>
    <w:rsid w:val="00B635E2"/>
    <w:rsid w:val="00B636E6"/>
    <w:rsid w:val="00B64DB8"/>
    <w:rsid w:val="00B655DA"/>
    <w:rsid w:val="00B6596E"/>
    <w:rsid w:val="00B65D72"/>
    <w:rsid w:val="00B65FA2"/>
    <w:rsid w:val="00B661AF"/>
    <w:rsid w:val="00B66B63"/>
    <w:rsid w:val="00B672F3"/>
    <w:rsid w:val="00B6786A"/>
    <w:rsid w:val="00B67AA4"/>
    <w:rsid w:val="00B7058E"/>
    <w:rsid w:val="00B70EC1"/>
    <w:rsid w:val="00B70F1D"/>
    <w:rsid w:val="00B7103E"/>
    <w:rsid w:val="00B71AA4"/>
    <w:rsid w:val="00B72097"/>
    <w:rsid w:val="00B7246F"/>
    <w:rsid w:val="00B72FDD"/>
    <w:rsid w:val="00B735DA"/>
    <w:rsid w:val="00B73AD3"/>
    <w:rsid w:val="00B75827"/>
    <w:rsid w:val="00B759C6"/>
    <w:rsid w:val="00B766B9"/>
    <w:rsid w:val="00B76E0C"/>
    <w:rsid w:val="00B7789B"/>
    <w:rsid w:val="00B77DF2"/>
    <w:rsid w:val="00B8020F"/>
    <w:rsid w:val="00B805AF"/>
    <w:rsid w:val="00B8071F"/>
    <w:rsid w:val="00B814A1"/>
    <w:rsid w:val="00B82205"/>
    <w:rsid w:val="00B8238D"/>
    <w:rsid w:val="00B82642"/>
    <w:rsid w:val="00B832CE"/>
    <w:rsid w:val="00B83A0B"/>
    <w:rsid w:val="00B8477B"/>
    <w:rsid w:val="00B84DE7"/>
    <w:rsid w:val="00B854B7"/>
    <w:rsid w:val="00B8650B"/>
    <w:rsid w:val="00B86570"/>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8B7"/>
    <w:rsid w:val="00BA59AD"/>
    <w:rsid w:val="00BA63BB"/>
    <w:rsid w:val="00BA65C8"/>
    <w:rsid w:val="00BA6A89"/>
    <w:rsid w:val="00BA6F7A"/>
    <w:rsid w:val="00BA79B7"/>
    <w:rsid w:val="00BB0D35"/>
    <w:rsid w:val="00BB13C5"/>
    <w:rsid w:val="00BB1812"/>
    <w:rsid w:val="00BB23CB"/>
    <w:rsid w:val="00BB2532"/>
    <w:rsid w:val="00BB2686"/>
    <w:rsid w:val="00BB3395"/>
    <w:rsid w:val="00BB37EA"/>
    <w:rsid w:val="00BB3A96"/>
    <w:rsid w:val="00BB4D08"/>
    <w:rsid w:val="00BB6A68"/>
    <w:rsid w:val="00BB739C"/>
    <w:rsid w:val="00BB78F3"/>
    <w:rsid w:val="00BB7905"/>
    <w:rsid w:val="00BC0108"/>
    <w:rsid w:val="00BC088B"/>
    <w:rsid w:val="00BC1305"/>
    <w:rsid w:val="00BC2587"/>
    <w:rsid w:val="00BC342A"/>
    <w:rsid w:val="00BC40F2"/>
    <w:rsid w:val="00BC4527"/>
    <w:rsid w:val="00BC45CE"/>
    <w:rsid w:val="00BC4F3D"/>
    <w:rsid w:val="00BC64CE"/>
    <w:rsid w:val="00BC68AD"/>
    <w:rsid w:val="00BC7112"/>
    <w:rsid w:val="00BC7268"/>
    <w:rsid w:val="00BD0C00"/>
    <w:rsid w:val="00BD0DA0"/>
    <w:rsid w:val="00BD1400"/>
    <w:rsid w:val="00BD3693"/>
    <w:rsid w:val="00BD438C"/>
    <w:rsid w:val="00BD492B"/>
    <w:rsid w:val="00BD4F9A"/>
    <w:rsid w:val="00BD5E19"/>
    <w:rsid w:val="00BD6D4E"/>
    <w:rsid w:val="00BD71F1"/>
    <w:rsid w:val="00BD74CF"/>
    <w:rsid w:val="00BE00F6"/>
    <w:rsid w:val="00BE0325"/>
    <w:rsid w:val="00BE05C0"/>
    <w:rsid w:val="00BE06F2"/>
    <w:rsid w:val="00BE145A"/>
    <w:rsid w:val="00BE1BBE"/>
    <w:rsid w:val="00BE1FE4"/>
    <w:rsid w:val="00BE2C9F"/>
    <w:rsid w:val="00BE36D5"/>
    <w:rsid w:val="00BE43C3"/>
    <w:rsid w:val="00BE4FDC"/>
    <w:rsid w:val="00BE6056"/>
    <w:rsid w:val="00BE6217"/>
    <w:rsid w:val="00BE7C10"/>
    <w:rsid w:val="00BF01B9"/>
    <w:rsid w:val="00BF0835"/>
    <w:rsid w:val="00BF0D7C"/>
    <w:rsid w:val="00BF1235"/>
    <w:rsid w:val="00BF1F39"/>
    <w:rsid w:val="00BF2AD9"/>
    <w:rsid w:val="00BF2FDA"/>
    <w:rsid w:val="00BF3998"/>
    <w:rsid w:val="00BF5877"/>
    <w:rsid w:val="00BF5B6B"/>
    <w:rsid w:val="00BF5E25"/>
    <w:rsid w:val="00BF68A1"/>
    <w:rsid w:val="00C006E1"/>
    <w:rsid w:val="00C013E9"/>
    <w:rsid w:val="00C01536"/>
    <w:rsid w:val="00C0185C"/>
    <w:rsid w:val="00C01AE5"/>
    <w:rsid w:val="00C0372A"/>
    <w:rsid w:val="00C045DA"/>
    <w:rsid w:val="00C04F09"/>
    <w:rsid w:val="00C056CD"/>
    <w:rsid w:val="00C05725"/>
    <w:rsid w:val="00C060AE"/>
    <w:rsid w:val="00C06237"/>
    <w:rsid w:val="00C06276"/>
    <w:rsid w:val="00C06404"/>
    <w:rsid w:val="00C06502"/>
    <w:rsid w:val="00C067A6"/>
    <w:rsid w:val="00C06FC7"/>
    <w:rsid w:val="00C0780B"/>
    <w:rsid w:val="00C07A28"/>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DE5"/>
    <w:rsid w:val="00C2196F"/>
    <w:rsid w:val="00C219E2"/>
    <w:rsid w:val="00C22D5B"/>
    <w:rsid w:val="00C22D64"/>
    <w:rsid w:val="00C22F22"/>
    <w:rsid w:val="00C2365F"/>
    <w:rsid w:val="00C236ED"/>
    <w:rsid w:val="00C23BF3"/>
    <w:rsid w:val="00C23FDB"/>
    <w:rsid w:val="00C24B6B"/>
    <w:rsid w:val="00C25A02"/>
    <w:rsid w:val="00C268F6"/>
    <w:rsid w:val="00C26CF9"/>
    <w:rsid w:val="00C27CCB"/>
    <w:rsid w:val="00C27D1A"/>
    <w:rsid w:val="00C3089D"/>
    <w:rsid w:val="00C31200"/>
    <w:rsid w:val="00C31A08"/>
    <w:rsid w:val="00C31BE7"/>
    <w:rsid w:val="00C32229"/>
    <w:rsid w:val="00C32DE7"/>
    <w:rsid w:val="00C32F73"/>
    <w:rsid w:val="00C32FD3"/>
    <w:rsid w:val="00C334F2"/>
    <w:rsid w:val="00C33BCC"/>
    <w:rsid w:val="00C341CB"/>
    <w:rsid w:val="00C34676"/>
    <w:rsid w:val="00C346CB"/>
    <w:rsid w:val="00C3542E"/>
    <w:rsid w:val="00C35B5E"/>
    <w:rsid w:val="00C370A0"/>
    <w:rsid w:val="00C4017A"/>
    <w:rsid w:val="00C404FF"/>
    <w:rsid w:val="00C40770"/>
    <w:rsid w:val="00C41357"/>
    <w:rsid w:val="00C41799"/>
    <w:rsid w:val="00C422DB"/>
    <w:rsid w:val="00C4244D"/>
    <w:rsid w:val="00C42C2F"/>
    <w:rsid w:val="00C43B8F"/>
    <w:rsid w:val="00C45268"/>
    <w:rsid w:val="00C455CD"/>
    <w:rsid w:val="00C45BBF"/>
    <w:rsid w:val="00C46708"/>
    <w:rsid w:val="00C474EF"/>
    <w:rsid w:val="00C500D2"/>
    <w:rsid w:val="00C50922"/>
    <w:rsid w:val="00C51440"/>
    <w:rsid w:val="00C518DF"/>
    <w:rsid w:val="00C51985"/>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3CE"/>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43A"/>
    <w:rsid w:val="00C83651"/>
    <w:rsid w:val="00C83754"/>
    <w:rsid w:val="00C83F2B"/>
    <w:rsid w:val="00C84998"/>
    <w:rsid w:val="00C855DB"/>
    <w:rsid w:val="00C85B4F"/>
    <w:rsid w:val="00C90893"/>
    <w:rsid w:val="00C90D3D"/>
    <w:rsid w:val="00C9111E"/>
    <w:rsid w:val="00C91446"/>
    <w:rsid w:val="00C919AB"/>
    <w:rsid w:val="00C91E15"/>
    <w:rsid w:val="00C92681"/>
    <w:rsid w:val="00C94994"/>
    <w:rsid w:val="00C94C04"/>
    <w:rsid w:val="00C951B8"/>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A6E2B"/>
    <w:rsid w:val="00CB1AC1"/>
    <w:rsid w:val="00CB26F2"/>
    <w:rsid w:val="00CB2BAE"/>
    <w:rsid w:val="00CB3166"/>
    <w:rsid w:val="00CB3BFE"/>
    <w:rsid w:val="00CB40D4"/>
    <w:rsid w:val="00CB554E"/>
    <w:rsid w:val="00CB638D"/>
    <w:rsid w:val="00CB6900"/>
    <w:rsid w:val="00CB6EB4"/>
    <w:rsid w:val="00CB7439"/>
    <w:rsid w:val="00CB748E"/>
    <w:rsid w:val="00CB7C3A"/>
    <w:rsid w:val="00CC0DDC"/>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7CD"/>
    <w:rsid w:val="00CE5D6F"/>
    <w:rsid w:val="00CE5E91"/>
    <w:rsid w:val="00CE6BD7"/>
    <w:rsid w:val="00CF01EA"/>
    <w:rsid w:val="00CF10EF"/>
    <w:rsid w:val="00CF1EFD"/>
    <w:rsid w:val="00CF1F53"/>
    <w:rsid w:val="00CF1FAE"/>
    <w:rsid w:val="00CF3B7D"/>
    <w:rsid w:val="00CF3BED"/>
    <w:rsid w:val="00CF4A6D"/>
    <w:rsid w:val="00CF593F"/>
    <w:rsid w:val="00CF5B89"/>
    <w:rsid w:val="00CF6510"/>
    <w:rsid w:val="00CF65E5"/>
    <w:rsid w:val="00CF66B8"/>
    <w:rsid w:val="00CF6971"/>
    <w:rsid w:val="00CF6D04"/>
    <w:rsid w:val="00CF7327"/>
    <w:rsid w:val="00CF779F"/>
    <w:rsid w:val="00CF7C57"/>
    <w:rsid w:val="00CF7D2C"/>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72EF"/>
    <w:rsid w:val="00D07394"/>
    <w:rsid w:val="00D07985"/>
    <w:rsid w:val="00D07A9C"/>
    <w:rsid w:val="00D10A14"/>
    <w:rsid w:val="00D113FF"/>
    <w:rsid w:val="00D11E7B"/>
    <w:rsid w:val="00D12C52"/>
    <w:rsid w:val="00D12D84"/>
    <w:rsid w:val="00D13D70"/>
    <w:rsid w:val="00D14E13"/>
    <w:rsid w:val="00D1533E"/>
    <w:rsid w:val="00D16547"/>
    <w:rsid w:val="00D20368"/>
    <w:rsid w:val="00D209D8"/>
    <w:rsid w:val="00D20B6C"/>
    <w:rsid w:val="00D20DAB"/>
    <w:rsid w:val="00D2186C"/>
    <w:rsid w:val="00D21906"/>
    <w:rsid w:val="00D227BF"/>
    <w:rsid w:val="00D2301C"/>
    <w:rsid w:val="00D239A5"/>
    <w:rsid w:val="00D24260"/>
    <w:rsid w:val="00D2457A"/>
    <w:rsid w:val="00D25024"/>
    <w:rsid w:val="00D25A36"/>
    <w:rsid w:val="00D25E2B"/>
    <w:rsid w:val="00D26250"/>
    <w:rsid w:val="00D2737B"/>
    <w:rsid w:val="00D27976"/>
    <w:rsid w:val="00D27996"/>
    <w:rsid w:val="00D3007F"/>
    <w:rsid w:val="00D30447"/>
    <w:rsid w:val="00D30DBA"/>
    <w:rsid w:val="00D30EC7"/>
    <w:rsid w:val="00D33362"/>
    <w:rsid w:val="00D33C0D"/>
    <w:rsid w:val="00D34C41"/>
    <w:rsid w:val="00D35BC6"/>
    <w:rsid w:val="00D3635F"/>
    <w:rsid w:val="00D36532"/>
    <w:rsid w:val="00D365E2"/>
    <w:rsid w:val="00D367F9"/>
    <w:rsid w:val="00D37FBA"/>
    <w:rsid w:val="00D40A87"/>
    <w:rsid w:val="00D413E4"/>
    <w:rsid w:val="00D418AA"/>
    <w:rsid w:val="00D41CA2"/>
    <w:rsid w:val="00D42026"/>
    <w:rsid w:val="00D424A2"/>
    <w:rsid w:val="00D4251B"/>
    <w:rsid w:val="00D42ECA"/>
    <w:rsid w:val="00D432F5"/>
    <w:rsid w:val="00D442A2"/>
    <w:rsid w:val="00D44BD1"/>
    <w:rsid w:val="00D45359"/>
    <w:rsid w:val="00D467AE"/>
    <w:rsid w:val="00D47AB6"/>
    <w:rsid w:val="00D507D9"/>
    <w:rsid w:val="00D50BC3"/>
    <w:rsid w:val="00D51E12"/>
    <w:rsid w:val="00D52E63"/>
    <w:rsid w:val="00D53E86"/>
    <w:rsid w:val="00D544AF"/>
    <w:rsid w:val="00D545A8"/>
    <w:rsid w:val="00D548A5"/>
    <w:rsid w:val="00D548E5"/>
    <w:rsid w:val="00D556EA"/>
    <w:rsid w:val="00D55BD9"/>
    <w:rsid w:val="00D55F0A"/>
    <w:rsid w:val="00D56163"/>
    <w:rsid w:val="00D566F5"/>
    <w:rsid w:val="00D56BF3"/>
    <w:rsid w:val="00D60503"/>
    <w:rsid w:val="00D62605"/>
    <w:rsid w:val="00D62AEC"/>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08D6"/>
    <w:rsid w:val="00D90D45"/>
    <w:rsid w:val="00D9154A"/>
    <w:rsid w:val="00D923F4"/>
    <w:rsid w:val="00D92514"/>
    <w:rsid w:val="00D93271"/>
    <w:rsid w:val="00D93F15"/>
    <w:rsid w:val="00D93FC7"/>
    <w:rsid w:val="00D9475D"/>
    <w:rsid w:val="00D95567"/>
    <w:rsid w:val="00D96319"/>
    <w:rsid w:val="00D967A2"/>
    <w:rsid w:val="00DA020A"/>
    <w:rsid w:val="00DA07B6"/>
    <w:rsid w:val="00DA0CA2"/>
    <w:rsid w:val="00DA158D"/>
    <w:rsid w:val="00DA1D14"/>
    <w:rsid w:val="00DA3B52"/>
    <w:rsid w:val="00DA4151"/>
    <w:rsid w:val="00DA4340"/>
    <w:rsid w:val="00DA4B87"/>
    <w:rsid w:val="00DA5129"/>
    <w:rsid w:val="00DA54E7"/>
    <w:rsid w:val="00DA5795"/>
    <w:rsid w:val="00DA5945"/>
    <w:rsid w:val="00DA63A9"/>
    <w:rsid w:val="00DA640D"/>
    <w:rsid w:val="00DA717D"/>
    <w:rsid w:val="00DA7986"/>
    <w:rsid w:val="00DA7A5F"/>
    <w:rsid w:val="00DB05C4"/>
    <w:rsid w:val="00DB0766"/>
    <w:rsid w:val="00DB07C2"/>
    <w:rsid w:val="00DB08D9"/>
    <w:rsid w:val="00DB0E2F"/>
    <w:rsid w:val="00DB0F5D"/>
    <w:rsid w:val="00DB1351"/>
    <w:rsid w:val="00DB16DB"/>
    <w:rsid w:val="00DB2AE9"/>
    <w:rsid w:val="00DB2C6D"/>
    <w:rsid w:val="00DB3037"/>
    <w:rsid w:val="00DB421A"/>
    <w:rsid w:val="00DB45FD"/>
    <w:rsid w:val="00DB48F6"/>
    <w:rsid w:val="00DB4D86"/>
    <w:rsid w:val="00DB516F"/>
    <w:rsid w:val="00DB5F26"/>
    <w:rsid w:val="00DB6A81"/>
    <w:rsid w:val="00DB77AF"/>
    <w:rsid w:val="00DB7F38"/>
    <w:rsid w:val="00DC09F8"/>
    <w:rsid w:val="00DC0D1A"/>
    <w:rsid w:val="00DC1C5C"/>
    <w:rsid w:val="00DC2465"/>
    <w:rsid w:val="00DC24B0"/>
    <w:rsid w:val="00DC252B"/>
    <w:rsid w:val="00DC2811"/>
    <w:rsid w:val="00DC3C7C"/>
    <w:rsid w:val="00DC458D"/>
    <w:rsid w:val="00DC459F"/>
    <w:rsid w:val="00DC4BE1"/>
    <w:rsid w:val="00DC5054"/>
    <w:rsid w:val="00DC596B"/>
    <w:rsid w:val="00DC6F7A"/>
    <w:rsid w:val="00DC78C5"/>
    <w:rsid w:val="00DC7910"/>
    <w:rsid w:val="00DC7CCB"/>
    <w:rsid w:val="00DD016C"/>
    <w:rsid w:val="00DD01A7"/>
    <w:rsid w:val="00DD054C"/>
    <w:rsid w:val="00DD0B1B"/>
    <w:rsid w:val="00DD1994"/>
    <w:rsid w:val="00DD1BAF"/>
    <w:rsid w:val="00DD2585"/>
    <w:rsid w:val="00DD2D97"/>
    <w:rsid w:val="00DD32BB"/>
    <w:rsid w:val="00DD3AC7"/>
    <w:rsid w:val="00DD3C71"/>
    <w:rsid w:val="00DD3CB3"/>
    <w:rsid w:val="00DD3D23"/>
    <w:rsid w:val="00DD476F"/>
    <w:rsid w:val="00DD4E98"/>
    <w:rsid w:val="00DD51F5"/>
    <w:rsid w:val="00DD5490"/>
    <w:rsid w:val="00DD583D"/>
    <w:rsid w:val="00DD58B8"/>
    <w:rsid w:val="00DD5EFB"/>
    <w:rsid w:val="00DD618F"/>
    <w:rsid w:val="00DD6784"/>
    <w:rsid w:val="00DD7A5E"/>
    <w:rsid w:val="00DD7A78"/>
    <w:rsid w:val="00DE00A6"/>
    <w:rsid w:val="00DE00F6"/>
    <w:rsid w:val="00DE0B6F"/>
    <w:rsid w:val="00DE1132"/>
    <w:rsid w:val="00DE1607"/>
    <w:rsid w:val="00DE1CE4"/>
    <w:rsid w:val="00DE1E31"/>
    <w:rsid w:val="00DE2C26"/>
    <w:rsid w:val="00DE2CFB"/>
    <w:rsid w:val="00DE2DA5"/>
    <w:rsid w:val="00DE303C"/>
    <w:rsid w:val="00DE3972"/>
    <w:rsid w:val="00DE40B7"/>
    <w:rsid w:val="00DE414D"/>
    <w:rsid w:val="00DE5048"/>
    <w:rsid w:val="00DE68DD"/>
    <w:rsid w:val="00DE77DC"/>
    <w:rsid w:val="00DF0FAE"/>
    <w:rsid w:val="00DF1506"/>
    <w:rsid w:val="00DF1F74"/>
    <w:rsid w:val="00DF2FA1"/>
    <w:rsid w:val="00DF44FD"/>
    <w:rsid w:val="00DF4ABE"/>
    <w:rsid w:val="00DF4C6E"/>
    <w:rsid w:val="00DF5862"/>
    <w:rsid w:val="00DF5E93"/>
    <w:rsid w:val="00DF637C"/>
    <w:rsid w:val="00DF66BB"/>
    <w:rsid w:val="00DF6F05"/>
    <w:rsid w:val="00DF7D41"/>
    <w:rsid w:val="00DF7D55"/>
    <w:rsid w:val="00E00E3A"/>
    <w:rsid w:val="00E013E9"/>
    <w:rsid w:val="00E013EF"/>
    <w:rsid w:val="00E017F2"/>
    <w:rsid w:val="00E01B2C"/>
    <w:rsid w:val="00E0267C"/>
    <w:rsid w:val="00E0292C"/>
    <w:rsid w:val="00E02932"/>
    <w:rsid w:val="00E02CE1"/>
    <w:rsid w:val="00E02D9E"/>
    <w:rsid w:val="00E03B4B"/>
    <w:rsid w:val="00E043FA"/>
    <w:rsid w:val="00E047C2"/>
    <w:rsid w:val="00E04ACE"/>
    <w:rsid w:val="00E05E8C"/>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5DB7"/>
    <w:rsid w:val="00E16411"/>
    <w:rsid w:val="00E16654"/>
    <w:rsid w:val="00E16E12"/>
    <w:rsid w:val="00E17B49"/>
    <w:rsid w:val="00E17DE3"/>
    <w:rsid w:val="00E17F03"/>
    <w:rsid w:val="00E2102F"/>
    <w:rsid w:val="00E21212"/>
    <w:rsid w:val="00E21C76"/>
    <w:rsid w:val="00E21CDD"/>
    <w:rsid w:val="00E21E11"/>
    <w:rsid w:val="00E233C9"/>
    <w:rsid w:val="00E23438"/>
    <w:rsid w:val="00E24415"/>
    <w:rsid w:val="00E24854"/>
    <w:rsid w:val="00E24D01"/>
    <w:rsid w:val="00E25521"/>
    <w:rsid w:val="00E25917"/>
    <w:rsid w:val="00E25EB6"/>
    <w:rsid w:val="00E261E0"/>
    <w:rsid w:val="00E26580"/>
    <w:rsid w:val="00E2721C"/>
    <w:rsid w:val="00E27B4B"/>
    <w:rsid w:val="00E30BB9"/>
    <w:rsid w:val="00E311CE"/>
    <w:rsid w:val="00E31D2B"/>
    <w:rsid w:val="00E31E30"/>
    <w:rsid w:val="00E31E40"/>
    <w:rsid w:val="00E33520"/>
    <w:rsid w:val="00E33741"/>
    <w:rsid w:val="00E33D3D"/>
    <w:rsid w:val="00E34A21"/>
    <w:rsid w:val="00E3516B"/>
    <w:rsid w:val="00E352EA"/>
    <w:rsid w:val="00E35EC1"/>
    <w:rsid w:val="00E35F95"/>
    <w:rsid w:val="00E3623E"/>
    <w:rsid w:val="00E369E0"/>
    <w:rsid w:val="00E36F87"/>
    <w:rsid w:val="00E36FAF"/>
    <w:rsid w:val="00E37490"/>
    <w:rsid w:val="00E37775"/>
    <w:rsid w:val="00E37879"/>
    <w:rsid w:val="00E4029A"/>
    <w:rsid w:val="00E410B5"/>
    <w:rsid w:val="00E41DFA"/>
    <w:rsid w:val="00E4205C"/>
    <w:rsid w:val="00E42264"/>
    <w:rsid w:val="00E42920"/>
    <w:rsid w:val="00E42D1E"/>
    <w:rsid w:val="00E43435"/>
    <w:rsid w:val="00E44376"/>
    <w:rsid w:val="00E44850"/>
    <w:rsid w:val="00E455A1"/>
    <w:rsid w:val="00E45DD9"/>
    <w:rsid w:val="00E45DF0"/>
    <w:rsid w:val="00E45F05"/>
    <w:rsid w:val="00E46655"/>
    <w:rsid w:val="00E47A30"/>
    <w:rsid w:val="00E50E09"/>
    <w:rsid w:val="00E5105D"/>
    <w:rsid w:val="00E530C8"/>
    <w:rsid w:val="00E540CA"/>
    <w:rsid w:val="00E54462"/>
    <w:rsid w:val="00E54583"/>
    <w:rsid w:val="00E55F46"/>
    <w:rsid w:val="00E5633C"/>
    <w:rsid w:val="00E56E97"/>
    <w:rsid w:val="00E56EE4"/>
    <w:rsid w:val="00E5703B"/>
    <w:rsid w:val="00E60594"/>
    <w:rsid w:val="00E60A17"/>
    <w:rsid w:val="00E62073"/>
    <w:rsid w:val="00E621FE"/>
    <w:rsid w:val="00E62CBA"/>
    <w:rsid w:val="00E648F7"/>
    <w:rsid w:val="00E64CC9"/>
    <w:rsid w:val="00E65E40"/>
    <w:rsid w:val="00E67861"/>
    <w:rsid w:val="00E67D3C"/>
    <w:rsid w:val="00E702B9"/>
    <w:rsid w:val="00E70DF5"/>
    <w:rsid w:val="00E71269"/>
    <w:rsid w:val="00E71EAE"/>
    <w:rsid w:val="00E72137"/>
    <w:rsid w:val="00E72B8B"/>
    <w:rsid w:val="00E745A9"/>
    <w:rsid w:val="00E75146"/>
    <w:rsid w:val="00E755AB"/>
    <w:rsid w:val="00E75B19"/>
    <w:rsid w:val="00E75BB5"/>
    <w:rsid w:val="00E7676F"/>
    <w:rsid w:val="00E7767C"/>
    <w:rsid w:val="00E77805"/>
    <w:rsid w:val="00E779A2"/>
    <w:rsid w:val="00E77C72"/>
    <w:rsid w:val="00E801F8"/>
    <w:rsid w:val="00E80D82"/>
    <w:rsid w:val="00E8167D"/>
    <w:rsid w:val="00E81BCF"/>
    <w:rsid w:val="00E8217A"/>
    <w:rsid w:val="00E825FF"/>
    <w:rsid w:val="00E82708"/>
    <w:rsid w:val="00E8399A"/>
    <w:rsid w:val="00E839A4"/>
    <w:rsid w:val="00E839CE"/>
    <w:rsid w:val="00E83AB6"/>
    <w:rsid w:val="00E85670"/>
    <w:rsid w:val="00E86711"/>
    <w:rsid w:val="00E86798"/>
    <w:rsid w:val="00E905B8"/>
    <w:rsid w:val="00E90CAB"/>
    <w:rsid w:val="00E90E54"/>
    <w:rsid w:val="00E9118C"/>
    <w:rsid w:val="00E914A9"/>
    <w:rsid w:val="00E92595"/>
    <w:rsid w:val="00E92B12"/>
    <w:rsid w:val="00E92FE6"/>
    <w:rsid w:val="00E93342"/>
    <w:rsid w:val="00E94929"/>
    <w:rsid w:val="00E9535A"/>
    <w:rsid w:val="00E9569C"/>
    <w:rsid w:val="00E968B6"/>
    <w:rsid w:val="00E96D3C"/>
    <w:rsid w:val="00E97434"/>
    <w:rsid w:val="00E97839"/>
    <w:rsid w:val="00E97BE5"/>
    <w:rsid w:val="00EA108B"/>
    <w:rsid w:val="00EA1A0E"/>
    <w:rsid w:val="00EA2148"/>
    <w:rsid w:val="00EA27F2"/>
    <w:rsid w:val="00EA2C19"/>
    <w:rsid w:val="00EA2E2F"/>
    <w:rsid w:val="00EA3031"/>
    <w:rsid w:val="00EA3072"/>
    <w:rsid w:val="00EA3B39"/>
    <w:rsid w:val="00EA3BBF"/>
    <w:rsid w:val="00EA3EA7"/>
    <w:rsid w:val="00EA4F63"/>
    <w:rsid w:val="00EA689E"/>
    <w:rsid w:val="00EA6E5E"/>
    <w:rsid w:val="00EA7C5F"/>
    <w:rsid w:val="00EA7D2C"/>
    <w:rsid w:val="00EA7FAC"/>
    <w:rsid w:val="00EB0480"/>
    <w:rsid w:val="00EB0E25"/>
    <w:rsid w:val="00EB1AFA"/>
    <w:rsid w:val="00EB1BF9"/>
    <w:rsid w:val="00EB1D2C"/>
    <w:rsid w:val="00EB2497"/>
    <w:rsid w:val="00EB2A4F"/>
    <w:rsid w:val="00EB2ACC"/>
    <w:rsid w:val="00EB2D9B"/>
    <w:rsid w:val="00EB2E1A"/>
    <w:rsid w:val="00EB2F4D"/>
    <w:rsid w:val="00EB3C52"/>
    <w:rsid w:val="00EB3DD8"/>
    <w:rsid w:val="00EB51C7"/>
    <w:rsid w:val="00EB5858"/>
    <w:rsid w:val="00EB5DEF"/>
    <w:rsid w:val="00EB61E5"/>
    <w:rsid w:val="00EB67AA"/>
    <w:rsid w:val="00EB6F88"/>
    <w:rsid w:val="00EB70B5"/>
    <w:rsid w:val="00EB73C8"/>
    <w:rsid w:val="00EB780C"/>
    <w:rsid w:val="00EC14DF"/>
    <w:rsid w:val="00EC2DB4"/>
    <w:rsid w:val="00EC45FC"/>
    <w:rsid w:val="00EC4A4E"/>
    <w:rsid w:val="00EC4B0C"/>
    <w:rsid w:val="00EC5A01"/>
    <w:rsid w:val="00EC5CC8"/>
    <w:rsid w:val="00EC6864"/>
    <w:rsid w:val="00EC6A8E"/>
    <w:rsid w:val="00EC6B14"/>
    <w:rsid w:val="00EC6BCB"/>
    <w:rsid w:val="00EC721D"/>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0EF5"/>
    <w:rsid w:val="00EE187B"/>
    <w:rsid w:val="00EE205A"/>
    <w:rsid w:val="00EE236A"/>
    <w:rsid w:val="00EE2649"/>
    <w:rsid w:val="00EE3015"/>
    <w:rsid w:val="00EE31AF"/>
    <w:rsid w:val="00EE34A1"/>
    <w:rsid w:val="00EE41A1"/>
    <w:rsid w:val="00EE50C5"/>
    <w:rsid w:val="00EE536C"/>
    <w:rsid w:val="00EE53E7"/>
    <w:rsid w:val="00EE71BF"/>
    <w:rsid w:val="00EE73E5"/>
    <w:rsid w:val="00EE7B44"/>
    <w:rsid w:val="00EE7D04"/>
    <w:rsid w:val="00EE7E68"/>
    <w:rsid w:val="00EE7FB9"/>
    <w:rsid w:val="00EF09AC"/>
    <w:rsid w:val="00EF14D1"/>
    <w:rsid w:val="00EF1DD2"/>
    <w:rsid w:val="00EF264F"/>
    <w:rsid w:val="00EF58F2"/>
    <w:rsid w:val="00EF60C8"/>
    <w:rsid w:val="00EF6733"/>
    <w:rsid w:val="00EF6AD7"/>
    <w:rsid w:val="00F006A9"/>
    <w:rsid w:val="00F00834"/>
    <w:rsid w:val="00F009EB"/>
    <w:rsid w:val="00F017FB"/>
    <w:rsid w:val="00F019A1"/>
    <w:rsid w:val="00F01F7A"/>
    <w:rsid w:val="00F02736"/>
    <w:rsid w:val="00F02A35"/>
    <w:rsid w:val="00F02DE0"/>
    <w:rsid w:val="00F030A2"/>
    <w:rsid w:val="00F0344E"/>
    <w:rsid w:val="00F03930"/>
    <w:rsid w:val="00F04BB2"/>
    <w:rsid w:val="00F04DD4"/>
    <w:rsid w:val="00F04F64"/>
    <w:rsid w:val="00F053FC"/>
    <w:rsid w:val="00F05564"/>
    <w:rsid w:val="00F0557E"/>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A7E"/>
    <w:rsid w:val="00F224D7"/>
    <w:rsid w:val="00F226DE"/>
    <w:rsid w:val="00F227F6"/>
    <w:rsid w:val="00F22851"/>
    <w:rsid w:val="00F2446E"/>
    <w:rsid w:val="00F24944"/>
    <w:rsid w:val="00F2516C"/>
    <w:rsid w:val="00F2560A"/>
    <w:rsid w:val="00F25B7F"/>
    <w:rsid w:val="00F2644C"/>
    <w:rsid w:val="00F26992"/>
    <w:rsid w:val="00F26F0E"/>
    <w:rsid w:val="00F2789C"/>
    <w:rsid w:val="00F27989"/>
    <w:rsid w:val="00F310A3"/>
    <w:rsid w:val="00F31B8A"/>
    <w:rsid w:val="00F31FDD"/>
    <w:rsid w:val="00F321C1"/>
    <w:rsid w:val="00F323A8"/>
    <w:rsid w:val="00F334EB"/>
    <w:rsid w:val="00F33C13"/>
    <w:rsid w:val="00F34DC1"/>
    <w:rsid w:val="00F34DEA"/>
    <w:rsid w:val="00F35DBE"/>
    <w:rsid w:val="00F36B23"/>
    <w:rsid w:val="00F3704B"/>
    <w:rsid w:val="00F370C9"/>
    <w:rsid w:val="00F37101"/>
    <w:rsid w:val="00F37676"/>
    <w:rsid w:val="00F377CE"/>
    <w:rsid w:val="00F40094"/>
    <w:rsid w:val="00F40646"/>
    <w:rsid w:val="00F40C99"/>
    <w:rsid w:val="00F42591"/>
    <w:rsid w:val="00F426C8"/>
    <w:rsid w:val="00F4377C"/>
    <w:rsid w:val="00F44809"/>
    <w:rsid w:val="00F45459"/>
    <w:rsid w:val="00F46004"/>
    <w:rsid w:val="00F46D5A"/>
    <w:rsid w:val="00F47305"/>
    <w:rsid w:val="00F5036E"/>
    <w:rsid w:val="00F519A9"/>
    <w:rsid w:val="00F52AF5"/>
    <w:rsid w:val="00F53204"/>
    <w:rsid w:val="00F53860"/>
    <w:rsid w:val="00F54021"/>
    <w:rsid w:val="00F542AA"/>
    <w:rsid w:val="00F543D3"/>
    <w:rsid w:val="00F54DE1"/>
    <w:rsid w:val="00F551B0"/>
    <w:rsid w:val="00F55311"/>
    <w:rsid w:val="00F55452"/>
    <w:rsid w:val="00F55CC1"/>
    <w:rsid w:val="00F56A49"/>
    <w:rsid w:val="00F5708A"/>
    <w:rsid w:val="00F573A6"/>
    <w:rsid w:val="00F574ED"/>
    <w:rsid w:val="00F60D33"/>
    <w:rsid w:val="00F61136"/>
    <w:rsid w:val="00F6166A"/>
    <w:rsid w:val="00F624A5"/>
    <w:rsid w:val="00F62D15"/>
    <w:rsid w:val="00F62EAD"/>
    <w:rsid w:val="00F6398A"/>
    <w:rsid w:val="00F63C51"/>
    <w:rsid w:val="00F64500"/>
    <w:rsid w:val="00F64C5A"/>
    <w:rsid w:val="00F66D81"/>
    <w:rsid w:val="00F67C3E"/>
    <w:rsid w:val="00F67C74"/>
    <w:rsid w:val="00F67FA1"/>
    <w:rsid w:val="00F70281"/>
    <w:rsid w:val="00F7028A"/>
    <w:rsid w:val="00F7078C"/>
    <w:rsid w:val="00F707C2"/>
    <w:rsid w:val="00F707EE"/>
    <w:rsid w:val="00F70F37"/>
    <w:rsid w:val="00F710EA"/>
    <w:rsid w:val="00F72802"/>
    <w:rsid w:val="00F73249"/>
    <w:rsid w:val="00F74615"/>
    <w:rsid w:val="00F74CF0"/>
    <w:rsid w:val="00F75115"/>
    <w:rsid w:val="00F75C21"/>
    <w:rsid w:val="00F75D29"/>
    <w:rsid w:val="00F75F03"/>
    <w:rsid w:val="00F7600F"/>
    <w:rsid w:val="00F77624"/>
    <w:rsid w:val="00F8047B"/>
    <w:rsid w:val="00F804E8"/>
    <w:rsid w:val="00F80DF4"/>
    <w:rsid w:val="00F8181F"/>
    <w:rsid w:val="00F8258C"/>
    <w:rsid w:val="00F826FD"/>
    <w:rsid w:val="00F82BC8"/>
    <w:rsid w:val="00F82E77"/>
    <w:rsid w:val="00F838C1"/>
    <w:rsid w:val="00F83C99"/>
    <w:rsid w:val="00F84C3A"/>
    <w:rsid w:val="00F85662"/>
    <w:rsid w:val="00F86437"/>
    <w:rsid w:val="00F86E1B"/>
    <w:rsid w:val="00F87998"/>
    <w:rsid w:val="00F902E3"/>
    <w:rsid w:val="00F921D2"/>
    <w:rsid w:val="00F92334"/>
    <w:rsid w:val="00F937E1"/>
    <w:rsid w:val="00F93EFB"/>
    <w:rsid w:val="00F94647"/>
    <w:rsid w:val="00F94D40"/>
    <w:rsid w:val="00F9524E"/>
    <w:rsid w:val="00F958CB"/>
    <w:rsid w:val="00F95981"/>
    <w:rsid w:val="00F95BEE"/>
    <w:rsid w:val="00F95E95"/>
    <w:rsid w:val="00F966D6"/>
    <w:rsid w:val="00F96B6E"/>
    <w:rsid w:val="00F971CA"/>
    <w:rsid w:val="00F97B8D"/>
    <w:rsid w:val="00FA001C"/>
    <w:rsid w:val="00FA0211"/>
    <w:rsid w:val="00FA076F"/>
    <w:rsid w:val="00FA197C"/>
    <w:rsid w:val="00FA1B8A"/>
    <w:rsid w:val="00FA1BD8"/>
    <w:rsid w:val="00FA39AD"/>
    <w:rsid w:val="00FA3C84"/>
    <w:rsid w:val="00FA46B6"/>
    <w:rsid w:val="00FA46ED"/>
    <w:rsid w:val="00FA4914"/>
    <w:rsid w:val="00FA4A5E"/>
    <w:rsid w:val="00FA4B22"/>
    <w:rsid w:val="00FA5829"/>
    <w:rsid w:val="00FA607B"/>
    <w:rsid w:val="00FA6C25"/>
    <w:rsid w:val="00FA746C"/>
    <w:rsid w:val="00FA7B8D"/>
    <w:rsid w:val="00FB0C83"/>
    <w:rsid w:val="00FB1043"/>
    <w:rsid w:val="00FB20F3"/>
    <w:rsid w:val="00FB277B"/>
    <w:rsid w:val="00FB2BEB"/>
    <w:rsid w:val="00FB2E54"/>
    <w:rsid w:val="00FB43AC"/>
    <w:rsid w:val="00FB47EA"/>
    <w:rsid w:val="00FB567E"/>
    <w:rsid w:val="00FB66F7"/>
    <w:rsid w:val="00FB6D3A"/>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E5"/>
    <w:rsid w:val="00FC6C11"/>
    <w:rsid w:val="00FC6F6C"/>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301"/>
    <w:rsid w:val="00FD6629"/>
    <w:rsid w:val="00FD66FE"/>
    <w:rsid w:val="00FD6B5B"/>
    <w:rsid w:val="00FE049D"/>
    <w:rsid w:val="00FE05FC"/>
    <w:rsid w:val="00FE0693"/>
    <w:rsid w:val="00FE086E"/>
    <w:rsid w:val="00FE0AF4"/>
    <w:rsid w:val="00FE127F"/>
    <w:rsid w:val="00FE27EE"/>
    <w:rsid w:val="00FE30E1"/>
    <w:rsid w:val="00FE3B16"/>
    <w:rsid w:val="00FE520C"/>
    <w:rsid w:val="00FE6160"/>
    <w:rsid w:val="00FE65C5"/>
    <w:rsid w:val="00FE6DA0"/>
    <w:rsid w:val="00FF0132"/>
    <w:rsid w:val="00FF083D"/>
    <w:rsid w:val="00FF0C49"/>
    <w:rsid w:val="00FF0FDB"/>
    <w:rsid w:val="00FF1282"/>
    <w:rsid w:val="00FF1339"/>
    <w:rsid w:val="00FF1682"/>
    <w:rsid w:val="00FF21E2"/>
    <w:rsid w:val="00FF33D3"/>
    <w:rsid w:val="00FF479B"/>
    <w:rsid w:val="00FF5100"/>
    <w:rsid w:val="00FF56FC"/>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 w:type="paragraph" w:customStyle="1" w:styleId="parrafo">
    <w:name w:val="parrafo"/>
    <w:basedOn w:val="Normal"/>
    <w:rsid w:val="00E825FF"/>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A643EA"/>
    <w:pPr>
      <w:numPr>
        <w:numId w:val="21"/>
      </w:numPr>
      <w:contextualSpacing/>
    </w:pPr>
  </w:style>
  <w:style w:type="character" w:customStyle="1" w:styleId="lbl-encabezado-negro">
    <w:name w:val="lbl-encabezado-negro"/>
    <w:basedOn w:val="Fuentedeprrafopredeter"/>
    <w:rsid w:val="00946AC9"/>
  </w:style>
  <w:style w:type="character" w:customStyle="1" w:styleId="registros-movil-hide">
    <w:name w:val="registros-movil-hide"/>
    <w:basedOn w:val="Fuentedeprrafopredeter"/>
    <w:rsid w:val="00345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514223603">
      <w:bodyDiv w:val="1"/>
      <w:marLeft w:val="0"/>
      <w:marRight w:val="0"/>
      <w:marTop w:val="0"/>
      <w:marBottom w:val="0"/>
      <w:divBdr>
        <w:top w:val="none" w:sz="0" w:space="0" w:color="auto"/>
        <w:left w:val="none" w:sz="0" w:space="0" w:color="auto"/>
        <w:bottom w:val="none" w:sz="0" w:space="0" w:color="auto"/>
        <w:right w:val="none" w:sz="0" w:space="0" w:color="auto"/>
      </w:divBdr>
      <w:divsChild>
        <w:div w:id="1837846449">
          <w:marLeft w:val="0"/>
          <w:marRight w:val="0"/>
          <w:marTop w:val="0"/>
          <w:marBottom w:val="0"/>
          <w:divBdr>
            <w:top w:val="none" w:sz="0" w:space="0" w:color="auto"/>
            <w:left w:val="none" w:sz="0" w:space="0" w:color="auto"/>
            <w:bottom w:val="none" w:sz="0" w:space="0" w:color="auto"/>
            <w:right w:val="none" w:sz="0" w:space="0" w:color="auto"/>
          </w:divBdr>
        </w:div>
        <w:div w:id="1768841693">
          <w:marLeft w:val="0"/>
          <w:marRight w:val="0"/>
          <w:marTop w:val="0"/>
          <w:marBottom w:val="0"/>
          <w:divBdr>
            <w:top w:val="none" w:sz="0" w:space="0" w:color="auto"/>
            <w:left w:val="none" w:sz="0" w:space="0" w:color="auto"/>
            <w:bottom w:val="none" w:sz="0" w:space="0" w:color="auto"/>
            <w:right w:val="none" w:sz="0" w:space="0" w:color="auto"/>
          </w:divBdr>
        </w:div>
        <w:div w:id="120463672">
          <w:marLeft w:val="0"/>
          <w:marRight w:val="0"/>
          <w:marTop w:val="0"/>
          <w:marBottom w:val="0"/>
          <w:divBdr>
            <w:top w:val="none" w:sz="0" w:space="0" w:color="auto"/>
            <w:left w:val="none" w:sz="0" w:space="0" w:color="auto"/>
            <w:bottom w:val="none" w:sz="0" w:space="0" w:color="auto"/>
            <w:right w:val="none" w:sz="0" w:space="0" w:color="auto"/>
          </w:divBdr>
        </w:div>
        <w:div w:id="1997298491">
          <w:marLeft w:val="0"/>
          <w:marRight w:val="0"/>
          <w:marTop w:val="0"/>
          <w:marBottom w:val="0"/>
          <w:divBdr>
            <w:top w:val="none" w:sz="0" w:space="0" w:color="auto"/>
            <w:left w:val="none" w:sz="0" w:space="0" w:color="auto"/>
            <w:bottom w:val="none" w:sz="0" w:space="0" w:color="auto"/>
            <w:right w:val="none" w:sz="0" w:space="0" w:color="auto"/>
          </w:divBdr>
        </w:div>
        <w:div w:id="310642105">
          <w:marLeft w:val="0"/>
          <w:marRight w:val="0"/>
          <w:marTop w:val="0"/>
          <w:marBottom w:val="0"/>
          <w:divBdr>
            <w:top w:val="none" w:sz="0" w:space="0" w:color="auto"/>
            <w:left w:val="none" w:sz="0" w:space="0" w:color="auto"/>
            <w:bottom w:val="none" w:sz="0" w:space="0" w:color="auto"/>
            <w:right w:val="none" w:sz="0" w:space="0" w:color="auto"/>
          </w:divBdr>
        </w:div>
        <w:div w:id="85272628">
          <w:marLeft w:val="0"/>
          <w:marRight w:val="0"/>
          <w:marTop w:val="0"/>
          <w:marBottom w:val="0"/>
          <w:divBdr>
            <w:top w:val="none" w:sz="0" w:space="0" w:color="auto"/>
            <w:left w:val="none" w:sz="0" w:space="0" w:color="auto"/>
            <w:bottom w:val="none" w:sz="0" w:space="0" w:color="auto"/>
            <w:right w:val="none" w:sz="0" w:space="0" w:color="auto"/>
          </w:divBdr>
        </w:div>
        <w:div w:id="1440949798">
          <w:marLeft w:val="0"/>
          <w:marRight w:val="0"/>
          <w:marTop w:val="0"/>
          <w:marBottom w:val="0"/>
          <w:divBdr>
            <w:top w:val="none" w:sz="0" w:space="0" w:color="auto"/>
            <w:left w:val="none" w:sz="0" w:space="0" w:color="auto"/>
            <w:bottom w:val="none" w:sz="0" w:space="0" w:color="auto"/>
            <w:right w:val="none" w:sz="0" w:space="0" w:color="auto"/>
          </w:divBdr>
        </w:div>
      </w:divsChild>
    </w:div>
    <w:div w:id="732628993">
      <w:bodyDiv w:val="1"/>
      <w:marLeft w:val="0"/>
      <w:marRight w:val="0"/>
      <w:marTop w:val="0"/>
      <w:marBottom w:val="0"/>
      <w:divBdr>
        <w:top w:val="none" w:sz="0" w:space="0" w:color="auto"/>
        <w:left w:val="none" w:sz="0" w:space="0" w:color="auto"/>
        <w:bottom w:val="none" w:sz="0" w:space="0" w:color="auto"/>
        <w:right w:val="none" w:sz="0" w:space="0" w:color="auto"/>
      </w:divBdr>
    </w:div>
    <w:div w:id="921530429">
      <w:bodyDiv w:val="1"/>
      <w:marLeft w:val="0"/>
      <w:marRight w:val="0"/>
      <w:marTop w:val="0"/>
      <w:marBottom w:val="0"/>
      <w:divBdr>
        <w:top w:val="none" w:sz="0" w:space="0" w:color="auto"/>
        <w:left w:val="none" w:sz="0" w:space="0" w:color="auto"/>
        <w:bottom w:val="none" w:sz="0" w:space="0" w:color="auto"/>
        <w:right w:val="none" w:sz="0" w:space="0" w:color="auto"/>
      </w:divBdr>
    </w:div>
    <w:div w:id="136493951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141847318">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54146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BC476-6F03-43FE-9501-38212D192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27</Pages>
  <Words>11663</Words>
  <Characters>64151</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44</cp:revision>
  <cp:lastPrinted>2022-08-30T14:51:00Z</cp:lastPrinted>
  <dcterms:created xsi:type="dcterms:W3CDTF">2022-07-07T00:51:00Z</dcterms:created>
  <dcterms:modified xsi:type="dcterms:W3CDTF">2023-02-16T19:35:00Z</dcterms:modified>
</cp:coreProperties>
</file>