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421A6"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4E3BA28A"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VEINTISÉIS DE FEBRERO DE DOS MIL VEINTIUNO (26/02/2021</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0D75BAD" w14:textId="007C58EB"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171/2021</w:t>
      </w:r>
      <w:r w:rsidRPr="001042B6">
        <w:rPr>
          <w:rFonts w:ascii="Arial" w:hAnsi="Arial" w:cs="Arial"/>
          <w:sz w:val="24"/>
          <w:szCs w:val="24"/>
        </w:rPr>
        <w:t>, promovido por l</w:t>
      </w:r>
      <w:r>
        <w:rPr>
          <w:rFonts w:ascii="Arial" w:hAnsi="Arial" w:cs="Arial"/>
          <w:sz w:val="24"/>
          <w:szCs w:val="24"/>
        </w:rPr>
        <w:t>a Ciudadana</w:t>
      </w:r>
      <w:r w:rsidRPr="001042B6">
        <w:rPr>
          <w:rFonts w:ascii="Arial" w:hAnsi="Arial" w:cs="Arial"/>
          <w:sz w:val="24"/>
          <w:szCs w:val="24"/>
        </w:rPr>
        <w:t xml:space="preserve"> </w:t>
      </w:r>
      <w:r w:rsidR="00DA7743">
        <w:rPr>
          <w:rFonts w:ascii="Arial" w:hAnsi="Arial" w:cs="Arial"/>
          <w:sz w:val="24"/>
          <w:szCs w:val="24"/>
        </w:rPr>
        <w:t>***** ***** ***** *****</w:t>
      </w:r>
      <w:r>
        <w:rPr>
          <w:rFonts w:ascii="Arial" w:hAnsi="Arial" w:cs="Arial"/>
          <w:sz w:val="24"/>
          <w:szCs w:val="24"/>
        </w:rPr>
        <w:t xml:space="preserve">, solicitando la nulidad del acta de infracción con  número de folio </w:t>
      </w:r>
      <w:r w:rsidR="00DA7743">
        <w:rPr>
          <w:rFonts w:ascii="Arial" w:hAnsi="Arial" w:cs="Arial"/>
          <w:sz w:val="24"/>
          <w:szCs w:val="24"/>
        </w:rPr>
        <w:t>*****</w:t>
      </w:r>
      <w:r>
        <w:rPr>
          <w:rFonts w:ascii="Arial" w:hAnsi="Arial" w:cs="Arial"/>
          <w:sz w:val="24"/>
          <w:szCs w:val="24"/>
        </w:rPr>
        <w:t xml:space="preserve">, de fecha </w:t>
      </w:r>
      <w:r w:rsidR="00DA7743">
        <w:rPr>
          <w:rFonts w:ascii="Arial" w:hAnsi="Arial" w:cs="Arial"/>
          <w:sz w:val="24"/>
          <w:szCs w:val="24"/>
        </w:rPr>
        <w:t>***** de ***** de dos mil veinte (**/**/2020)</w:t>
      </w:r>
      <w:r>
        <w:rPr>
          <w:rFonts w:ascii="Arial" w:hAnsi="Arial" w:cs="Arial"/>
          <w:sz w:val="24"/>
          <w:szCs w:val="24"/>
        </w:rPr>
        <w:t xml:space="preserve">, emitida por JUAN SEBASTIAN FLORENTINO GALLEGOS, Policía Vial </w:t>
      </w:r>
      <w:r w:rsidR="00F74FF0">
        <w:rPr>
          <w:rFonts w:ascii="Arial" w:hAnsi="Arial" w:cs="Arial"/>
          <w:sz w:val="24"/>
          <w:szCs w:val="24"/>
        </w:rPr>
        <w:t xml:space="preserve">con </w:t>
      </w:r>
      <w:r>
        <w:rPr>
          <w:rFonts w:ascii="Arial" w:hAnsi="Arial" w:cs="Arial"/>
          <w:sz w:val="24"/>
          <w:szCs w:val="24"/>
        </w:rPr>
        <w:t>número estadístico PV-118, de la Dirección de Seguridad Pública, Vialidad y Protección Ciudadana del Municipio de Oaxaca de Juárez; y, - - - - - - - - - - - -</w:t>
      </w:r>
      <w:r w:rsidRPr="001042B6">
        <w:rPr>
          <w:rFonts w:ascii="Arial" w:hAnsi="Arial" w:cs="Arial"/>
          <w:sz w:val="24"/>
          <w:szCs w:val="24"/>
        </w:rPr>
        <w:t xml:space="preserve"> - - - - - - - - - - </w:t>
      </w:r>
      <w:r>
        <w:rPr>
          <w:rFonts w:ascii="Arial" w:hAnsi="Arial" w:cs="Arial"/>
          <w:sz w:val="24"/>
          <w:szCs w:val="24"/>
        </w:rPr>
        <w:t xml:space="preserve">- - - - - - - - - - - - - - - - - - - - - - - - - </w:t>
      </w:r>
    </w:p>
    <w:p w14:paraId="40E4E9FE"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28F18F90"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tres de diciembre de dos mil veinte (03/12/2020),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cuatro del mismo mes y año (04/12/2020),</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w:t>
      </w:r>
      <w:r>
        <w:rPr>
          <w:rFonts w:ascii="Arial" w:hAnsi="Arial" w:cs="Arial"/>
          <w:sz w:val="24"/>
          <w:szCs w:val="24"/>
        </w:rPr>
        <w:t>- - - - - - - - - - - - - - - - - - - - - - - - - - - - - - - - - - -</w:t>
      </w:r>
    </w:p>
    <w:p w14:paraId="561D5C6E"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diecisiete de febrero de dos mil veintiuno (17/02/2021)</w:t>
      </w:r>
      <w:r w:rsidR="00F74FF0">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se tuvo a la autoridad demandada </w:t>
      </w:r>
      <w:r>
        <w:rPr>
          <w:rFonts w:ascii="Arial" w:hAnsi="Arial" w:cs="Arial"/>
          <w:sz w:val="24"/>
          <w:szCs w:val="24"/>
        </w:rPr>
        <w:t xml:space="preserve">JUAN SEBASTIAN FLORENTINO GALLEGOS, Policía Vial </w:t>
      </w:r>
      <w:r w:rsidR="00F74FF0">
        <w:rPr>
          <w:rFonts w:ascii="Arial" w:hAnsi="Arial" w:cs="Arial"/>
          <w:sz w:val="24"/>
          <w:szCs w:val="24"/>
        </w:rPr>
        <w:t xml:space="preserve">con </w:t>
      </w:r>
      <w:r>
        <w:rPr>
          <w:rFonts w:ascii="Arial" w:hAnsi="Arial" w:cs="Arial"/>
          <w:sz w:val="24"/>
          <w:szCs w:val="24"/>
        </w:rPr>
        <w:t>número estadístico PV-118, de la Dirección de Seguridad Pública, Vialidad y Protección Ciudadana del Municipio de Oaxaca de Juárez, contestando en tiempo la demanda</w:t>
      </w:r>
      <w:r w:rsidRPr="001042B6">
        <w:rPr>
          <w:rFonts w:ascii="Arial" w:hAnsi="Arial" w:cs="Arial"/>
          <w:sz w:val="24"/>
          <w:szCs w:val="24"/>
        </w:rPr>
        <w:t xml:space="preserve">, </w:t>
      </w:r>
      <w:r>
        <w:rPr>
          <w:rFonts w:ascii="Arial" w:hAnsi="Arial" w:cs="Arial"/>
          <w:sz w:val="24"/>
          <w:szCs w:val="24"/>
        </w:rPr>
        <w:t xml:space="preserve">además </w:t>
      </w:r>
      <w:r w:rsidRPr="001042B6">
        <w:rPr>
          <w:rFonts w:ascii="Arial" w:hAnsi="Arial" w:cs="Arial"/>
          <w:sz w:val="24"/>
          <w:szCs w:val="24"/>
        </w:rPr>
        <w:t>se señaló fecha y hora para</w:t>
      </w:r>
      <w:r>
        <w:rPr>
          <w:rFonts w:ascii="Arial" w:hAnsi="Arial" w:cs="Arial"/>
          <w:sz w:val="24"/>
          <w:szCs w:val="24"/>
        </w:rPr>
        <w:t xml:space="preserve"> la celebración de</w:t>
      </w:r>
      <w:r w:rsidRPr="001042B6">
        <w:rPr>
          <w:rFonts w:ascii="Arial" w:hAnsi="Arial" w:cs="Arial"/>
          <w:sz w:val="24"/>
          <w:szCs w:val="24"/>
        </w:rPr>
        <w:t xml:space="preserve"> la </w:t>
      </w:r>
      <w:r w:rsidRPr="00A461FD">
        <w:rPr>
          <w:rFonts w:ascii="Arial" w:hAnsi="Arial" w:cs="Arial"/>
          <w:sz w:val="24"/>
          <w:szCs w:val="24"/>
        </w:rPr>
        <w:t>audiencia</w:t>
      </w:r>
      <w:r w:rsidRPr="001042B6">
        <w:rPr>
          <w:rFonts w:ascii="Arial" w:hAnsi="Arial" w:cs="Arial"/>
          <w:sz w:val="24"/>
          <w:szCs w:val="24"/>
        </w:rPr>
        <w:t xml:space="preserve"> final. - - - - - - - - - - </w:t>
      </w:r>
    </w:p>
    <w:p w14:paraId="3F6FCEFD"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Pr>
          <w:rFonts w:ascii="Arial" w:hAnsi="Arial" w:cs="Arial"/>
          <w:sz w:val="24"/>
          <w:szCs w:val="24"/>
        </w:rPr>
        <w:t xml:space="preserve">veinticinco de febrero de dos mil veintiuno (25/02/2021),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w:t>
      </w:r>
    </w:p>
    <w:p w14:paraId="3F649062"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003DC97"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sidRPr="001042B6">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Pr>
          <w:rFonts w:ascii="Arial" w:hAnsi="Arial" w:cs="Arial"/>
          <w:sz w:val="24"/>
          <w:szCs w:val="24"/>
        </w:rPr>
        <w:t>municipal</w:t>
      </w:r>
      <w:r w:rsidRPr="001042B6">
        <w:rPr>
          <w:rFonts w:ascii="Arial" w:hAnsi="Arial" w:cs="Arial"/>
          <w:sz w:val="24"/>
          <w:szCs w:val="24"/>
        </w:rPr>
        <w:t xml:space="preserve">,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7F32504A"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83F1301" w14:textId="6C411B5B" w:rsidR="00C61E6F" w:rsidRDefault="00C61E6F" w:rsidP="00C61E6F">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DA7743">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DA7743">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DA7743">
        <w:rPr>
          <w:rFonts w:ascii="Arial" w:hAnsi="Arial" w:cs="Arial"/>
          <w:sz w:val="24"/>
          <w:szCs w:val="24"/>
        </w:rPr>
        <w:t>***** de ***** de dos mil veinte (**/**/2020)</w:t>
      </w:r>
      <w:r w:rsidRPr="002246C1">
        <w:rPr>
          <w:rFonts w:ascii="Arial" w:hAnsi="Arial" w:cs="Arial"/>
          <w:sz w:val="24"/>
          <w:szCs w:val="24"/>
        </w:rPr>
        <w:t>,  suscrita por JUAN</w:t>
      </w:r>
      <w:r>
        <w:rPr>
          <w:rFonts w:ascii="Arial" w:hAnsi="Arial" w:cs="Arial"/>
          <w:sz w:val="24"/>
          <w:szCs w:val="24"/>
        </w:rPr>
        <w:t xml:space="preserve"> SEBASTIAN FLORENTINO GALLEGOS, Policía Vial con número estadístico PV-118, de la Dirección de Seguridad Pública, Vialidad y Protección Ciudadana del Municipio de Oaxaca de Juárez (acto impugnado)</w:t>
      </w:r>
      <w:r w:rsidR="006D3D74">
        <w:rPr>
          <w:rFonts w:ascii="Arial" w:hAnsi="Arial" w:cs="Arial"/>
          <w:sz w:val="24"/>
          <w:szCs w:val="24"/>
        </w:rPr>
        <w:t>, probanza que hizo</w:t>
      </w:r>
      <w:r>
        <w:rPr>
          <w:rFonts w:ascii="Arial" w:hAnsi="Arial" w:cs="Arial"/>
          <w:sz w:val="24"/>
          <w:szCs w:val="24"/>
        </w:rPr>
        <w:t xml:space="preserve"> suya la autoridad demandada; </w:t>
      </w:r>
      <w:r w:rsidRPr="00EE301E">
        <w:rPr>
          <w:rFonts w:ascii="Arial" w:hAnsi="Arial" w:cs="Arial"/>
          <w:b/>
          <w:sz w:val="24"/>
          <w:szCs w:val="24"/>
        </w:rPr>
        <w:t>2.-</w:t>
      </w:r>
      <w:r>
        <w:rPr>
          <w:rFonts w:ascii="Arial" w:hAnsi="Arial" w:cs="Arial"/>
          <w:sz w:val="24"/>
          <w:szCs w:val="24"/>
        </w:rPr>
        <w:t xml:space="preserve"> Copia simple de tarjeta de circulación expedida por el Gobierno del Estado de Puebla, con número de folio </w:t>
      </w:r>
      <w:r w:rsidR="00DA7743">
        <w:rPr>
          <w:rFonts w:ascii="Arial" w:hAnsi="Arial" w:cs="Arial"/>
          <w:sz w:val="24"/>
          <w:szCs w:val="24"/>
        </w:rPr>
        <w:t>*****</w:t>
      </w:r>
      <w:r>
        <w:rPr>
          <w:rFonts w:ascii="Arial" w:hAnsi="Arial" w:cs="Arial"/>
          <w:sz w:val="24"/>
          <w:szCs w:val="24"/>
        </w:rPr>
        <w:t xml:space="preserve">; </w:t>
      </w:r>
      <w:r w:rsidRPr="00EE301E">
        <w:rPr>
          <w:rFonts w:ascii="Arial" w:hAnsi="Arial" w:cs="Arial"/>
          <w:b/>
          <w:sz w:val="24"/>
          <w:szCs w:val="24"/>
        </w:rPr>
        <w:t>3.-</w:t>
      </w:r>
      <w:r>
        <w:rPr>
          <w:rFonts w:ascii="Arial" w:hAnsi="Arial" w:cs="Arial"/>
          <w:sz w:val="24"/>
          <w:szCs w:val="24"/>
        </w:rPr>
        <w:t xml:space="preserve"> Copia simple de factura expedida por HIDRO-MAC SA de CV., respecto del vehículo marca Volkswagen Vento, </w:t>
      </w:r>
      <w:r w:rsidR="006D3D74">
        <w:rPr>
          <w:rFonts w:ascii="Arial" w:hAnsi="Arial" w:cs="Arial"/>
          <w:sz w:val="24"/>
          <w:szCs w:val="24"/>
        </w:rPr>
        <w:t xml:space="preserve">modelo </w:t>
      </w:r>
      <w:r>
        <w:rPr>
          <w:rFonts w:ascii="Arial" w:hAnsi="Arial" w:cs="Arial"/>
          <w:sz w:val="24"/>
          <w:szCs w:val="24"/>
        </w:rPr>
        <w:t>dos mil quince, que al reverso contiene un endoso a favor de la actora.</w:t>
      </w:r>
    </w:p>
    <w:p w14:paraId="36C8EB66"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 xml:space="preserve">A la autoridad demanda se le admitió la </w:t>
      </w:r>
      <w:r w:rsidRPr="00D363B3">
        <w:rPr>
          <w:rFonts w:ascii="Arial" w:hAnsi="Arial" w:cs="Arial"/>
          <w:b/>
          <w:sz w:val="24"/>
          <w:szCs w:val="24"/>
        </w:rPr>
        <w:t>DOCUMENTAL</w:t>
      </w:r>
      <w:r>
        <w:rPr>
          <w:rFonts w:ascii="Arial" w:hAnsi="Arial" w:cs="Arial"/>
          <w:sz w:val="24"/>
          <w:szCs w:val="24"/>
        </w:rPr>
        <w:t xml:space="preserve"> consistente en: </w:t>
      </w:r>
      <w:r w:rsidRPr="00E01868">
        <w:rPr>
          <w:rFonts w:ascii="Arial" w:hAnsi="Arial" w:cs="Arial"/>
          <w:b/>
          <w:sz w:val="24"/>
          <w:szCs w:val="24"/>
        </w:rPr>
        <w:t>1.-</w:t>
      </w:r>
      <w:r>
        <w:rPr>
          <w:rFonts w:ascii="Arial" w:hAnsi="Arial" w:cs="Arial"/>
          <w:sz w:val="24"/>
          <w:szCs w:val="24"/>
        </w:rPr>
        <w:t xml:space="preserve"> Copia simple de nombramiento expedido a favor de </w:t>
      </w:r>
      <w:r w:rsidRPr="002246C1">
        <w:rPr>
          <w:rFonts w:ascii="Arial" w:hAnsi="Arial" w:cs="Arial"/>
          <w:sz w:val="24"/>
          <w:szCs w:val="24"/>
        </w:rPr>
        <w:t>JUAN</w:t>
      </w:r>
      <w:r>
        <w:rPr>
          <w:rFonts w:ascii="Arial" w:hAnsi="Arial" w:cs="Arial"/>
          <w:sz w:val="24"/>
          <w:szCs w:val="24"/>
        </w:rPr>
        <w:t xml:space="preserve"> SEBASTIAN FLORENTINO GALLEGOS, Policía Vial con número estadístico PV-118, de la Dirección de Seguridad Pública, Vialidad y Protección Ciudadana del Municipio de Oaxaca de Juárez.</w:t>
      </w:r>
    </w:p>
    <w:p w14:paraId="54FB8052"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 xml:space="preserve">Al acta de infracción remitida por la actora, se le otorga </w:t>
      </w:r>
      <w:r w:rsidRPr="00D363B3">
        <w:rPr>
          <w:rFonts w:ascii="Arial" w:hAnsi="Arial" w:cs="Arial"/>
          <w:b/>
          <w:sz w:val="24"/>
          <w:szCs w:val="24"/>
        </w:rPr>
        <w:t>pleno valor probatorio</w:t>
      </w:r>
      <w:r>
        <w:rPr>
          <w:rFonts w:ascii="Arial" w:hAnsi="Arial" w:cs="Arial"/>
          <w:sz w:val="24"/>
          <w:szCs w:val="24"/>
        </w:rPr>
        <w:t xml:space="preserve">, pues se trata de un documento original y público en el que se advierte el nombre del servidor público que la emite, además de su firma y la </w:t>
      </w:r>
      <w:r>
        <w:rPr>
          <w:rFonts w:ascii="Arial" w:hAnsi="Arial" w:cs="Arial"/>
          <w:sz w:val="24"/>
          <w:szCs w:val="24"/>
        </w:rPr>
        <w:lastRenderedPageBreak/>
        <w:t>dependencia la que pertenece, de ahí la convicción sobre su existencia y la veracidad de su contenido.</w:t>
      </w:r>
    </w:p>
    <w:p w14:paraId="4F76A294"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 xml:space="preserve">Respecto de los documentos en copia simple remitidos por la actora y la autoridad demandada se les otorga </w:t>
      </w:r>
      <w:r w:rsidRPr="006D3D74">
        <w:rPr>
          <w:rFonts w:ascii="Arial" w:hAnsi="Arial" w:cs="Arial"/>
          <w:b/>
          <w:sz w:val="24"/>
          <w:szCs w:val="24"/>
        </w:rPr>
        <w:t>valor probatorio indiciario</w:t>
      </w:r>
      <w:r>
        <w:rPr>
          <w:rFonts w:ascii="Arial" w:hAnsi="Arial" w:cs="Arial"/>
          <w:sz w:val="24"/>
          <w:szCs w:val="24"/>
        </w:rPr>
        <w:t>, pues no se trata de documentos aislados, por el contrario, se encuentran concatenados con el acta de infracción que en original fue remitida por la actora, en la que se advierten datos precisos coincidentes con los de los documentos simples en estudio, como son las características del vehículo que participó en el evento, y el nombre del agente de Policía Vial que conoció de ello, de ahí que no se trate de documentos aislados, y el valor otorgado. Sirve de apoyo a lo anterior, la Jurisprudencia sustentada por la Suprema Corte de Justicia de la Nación, con datos de identificación: Semanario Judicial de la Federación y su Gaceta, Tomo XXV, Mayo de 2007, Novena Época, pág. 1759, registro 172557, Jurisprudencia (Civil) Tribunales Colegiados de Circuito y bajo el rubro: “</w:t>
      </w:r>
      <w:r w:rsidRPr="001C53DA">
        <w:rPr>
          <w:rFonts w:ascii="Arial" w:hAnsi="Arial" w:cs="Arial"/>
          <w:i/>
          <w:sz w:val="24"/>
          <w:szCs w:val="24"/>
        </w:rPr>
        <w:t>COPIAS FOTOSTÁTICAS SIMPLES. VALOR PROBATORIO DE LAS, CUANDO SE ENCUENTRAN ADMINICULADAS CON OTRAS PRUEBAS</w:t>
      </w:r>
      <w:r>
        <w:rPr>
          <w:rFonts w:ascii="Arial" w:hAnsi="Arial" w:cs="Arial"/>
          <w:sz w:val="24"/>
          <w:szCs w:val="24"/>
        </w:rPr>
        <w:t>.”</w:t>
      </w:r>
    </w:p>
    <w:p w14:paraId="1547EAF9"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 el citado artículo 203 fracción I de la Ley de Procedimiento y Justicia Administrativa para el Estado de Oaxaca.</w:t>
      </w:r>
    </w:p>
    <w:p w14:paraId="030E18D2"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son afirmaciones expresas por ellas. </w:t>
      </w:r>
    </w:p>
    <w:p w14:paraId="4EDAD2E8"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w:t>
      </w:r>
    </w:p>
    <w:p w14:paraId="3BD9E4FA" w14:textId="77777777" w:rsidR="00C61E6F" w:rsidRPr="001042B6" w:rsidRDefault="00C61E6F" w:rsidP="00C61E6F">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6D3D74">
        <w:rPr>
          <w:rFonts w:ascii="Arial" w:hAnsi="Arial" w:cs="Arial"/>
          <w:sz w:val="24"/>
        </w:rPr>
        <w:t>Este</w:t>
      </w:r>
      <w:r w:rsidRPr="001042B6">
        <w:rPr>
          <w:rFonts w:ascii="Arial" w:hAnsi="Arial" w:cs="Arial"/>
          <w:sz w:val="24"/>
        </w:rPr>
        <w:t xml:space="preserve"> Juzgador, no realiza la transcripción de los agravios vertidos por la actora, toda vez que no existe disposición legal que obligue a </w:t>
      </w:r>
      <w:r w:rsidRPr="001042B6">
        <w:rPr>
          <w:rFonts w:ascii="Arial" w:hAnsi="Arial" w:cs="Arial"/>
          <w:sz w:val="24"/>
        </w:rPr>
        <w:lastRenderedPageBreak/>
        <w:t xml:space="preserve">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31321B5F" w14:textId="2CEC98BF"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DA7743">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se hizo responsable del acta de infracción que impugna, además, que de la copia simple de la factura </w:t>
      </w:r>
      <w:r w:rsidR="00A3104C">
        <w:rPr>
          <w:rFonts w:ascii="Arial" w:hAnsi="Arial" w:cs="Arial"/>
          <w:sz w:val="24"/>
          <w:szCs w:val="24"/>
        </w:rPr>
        <w:t xml:space="preserve">que remitió, se advierte un </w:t>
      </w:r>
      <w:r>
        <w:rPr>
          <w:rFonts w:ascii="Arial" w:hAnsi="Arial" w:cs="Arial"/>
          <w:sz w:val="24"/>
          <w:szCs w:val="24"/>
        </w:rPr>
        <w:t xml:space="preserve">endoso a su favor, </w:t>
      </w:r>
      <w:r w:rsidR="00A3104C">
        <w:rPr>
          <w:rFonts w:ascii="Arial" w:hAnsi="Arial" w:cs="Arial"/>
          <w:sz w:val="24"/>
          <w:szCs w:val="24"/>
        </w:rPr>
        <w:t xml:space="preserve">y toda vez que se trata del mismo </w:t>
      </w:r>
      <w:r>
        <w:rPr>
          <w:rFonts w:ascii="Arial" w:hAnsi="Arial" w:cs="Arial"/>
          <w:sz w:val="24"/>
          <w:szCs w:val="24"/>
        </w:rPr>
        <w:t xml:space="preserve">vehículo que participó en el evento, </w:t>
      </w:r>
      <w:r w:rsidR="00A3104C">
        <w:rPr>
          <w:rFonts w:ascii="Arial" w:hAnsi="Arial" w:cs="Arial"/>
          <w:sz w:val="24"/>
          <w:szCs w:val="24"/>
        </w:rPr>
        <w:t>surg</w:t>
      </w:r>
      <w:r w:rsidRPr="001042B6">
        <w:rPr>
          <w:rFonts w:ascii="Arial" w:hAnsi="Arial" w:cs="Arial"/>
          <w:sz w:val="24"/>
          <w:szCs w:val="24"/>
        </w:rPr>
        <w:t xml:space="preserve">e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6A50C91A"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r w:rsidR="00A3104C">
        <w:rPr>
          <w:rFonts w:ascii="Arial" w:hAnsi="Arial" w:cs="Arial"/>
          <w:sz w:val="24"/>
        </w:rPr>
        <w:t>- - - - - - - - - - - - - - - - -</w:t>
      </w:r>
    </w:p>
    <w:p w14:paraId="383FD020"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2021C3" w14:textId="77777777" w:rsidR="00C61E6F" w:rsidRDefault="00C61E6F" w:rsidP="00C61E6F">
      <w:pPr>
        <w:pStyle w:val="corte4fondoCarCarCar"/>
        <w:spacing w:before="240"/>
        <w:ind w:firstLine="708"/>
        <w:rPr>
          <w:rFonts w:cs="Arial"/>
          <w:bCs/>
          <w:sz w:val="24"/>
        </w:rPr>
      </w:pPr>
      <w:r w:rsidRPr="001042B6">
        <w:rPr>
          <w:rFonts w:cs="Arial"/>
          <w:bCs/>
          <w:sz w:val="24"/>
        </w:rPr>
        <w:t xml:space="preserve">La autoridad demanda </w:t>
      </w:r>
      <w:r w:rsidRPr="004037C9">
        <w:rPr>
          <w:rFonts w:cs="Arial"/>
          <w:bCs/>
          <w:sz w:val="24"/>
        </w:rPr>
        <w:t>hizo valer tres excepciones, la</w:t>
      </w:r>
      <w:r>
        <w:rPr>
          <w:rFonts w:cs="Arial"/>
          <w:bCs/>
          <w:sz w:val="24"/>
        </w:rPr>
        <w:t xml:space="preserve"> de consentimiento del acto, y la falta de acción y derecho</w:t>
      </w:r>
      <w:r w:rsidR="00553A88">
        <w:rPr>
          <w:rFonts w:cs="Arial"/>
          <w:bCs/>
          <w:sz w:val="24"/>
        </w:rPr>
        <w:t>, misma que repitió</w:t>
      </w:r>
      <w:r>
        <w:rPr>
          <w:rFonts w:cs="Arial"/>
          <w:bCs/>
          <w:sz w:val="24"/>
        </w:rPr>
        <w:t>, además</w:t>
      </w:r>
      <w:r w:rsidR="00553A88">
        <w:rPr>
          <w:rFonts w:cs="Arial"/>
          <w:bCs/>
          <w:sz w:val="24"/>
        </w:rPr>
        <w:t>,</w:t>
      </w:r>
      <w:r>
        <w:rPr>
          <w:rFonts w:cs="Arial"/>
          <w:bCs/>
          <w:sz w:val="24"/>
        </w:rPr>
        <w:t xml:space="preserve"> considera que en este asunto se actualizan las causales de improcedencia previstas en las fracciones V, VI, y X del artículo 61 de la Ley de Procedimiento y Justicia Administrativa para el </w:t>
      </w:r>
      <w:r w:rsidRPr="0027000D">
        <w:rPr>
          <w:rFonts w:cs="Arial"/>
          <w:bCs/>
          <w:sz w:val="24"/>
        </w:rPr>
        <w:t>Estado de Oaxaca</w:t>
      </w:r>
      <w:r>
        <w:rPr>
          <w:rFonts w:cs="Arial"/>
          <w:bCs/>
          <w:sz w:val="24"/>
        </w:rPr>
        <w:t>.</w:t>
      </w:r>
    </w:p>
    <w:p w14:paraId="02BBE9EB" w14:textId="77777777" w:rsidR="00C61E6F" w:rsidRDefault="00C61E6F" w:rsidP="00C61E6F">
      <w:pPr>
        <w:pStyle w:val="corte4fondoCarCarCar"/>
        <w:spacing w:before="240"/>
        <w:ind w:firstLine="708"/>
        <w:rPr>
          <w:rFonts w:cs="Arial"/>
          <w:bCs/>
          <w:sz w:val="24"/>
        </w:rPr>
      </w:pPr>
      <w:r>
        <w:rPr>
          <w:rFonts w:cs="Arial"/>
          <w:bCs/>
          <w:sz w:val="24"/>
        </w:rPr>
        <w:t xml:space="preserve">Las excepciones planteadas no se actualizan, esto es así, pues los argumentos que vierte se refieren a sostener la legalidad del acta de infracción impugnada, circunstancias que atañen al fondo del asunto, estudio </w:t>
      </w:r>
      <w:r>
        <w:rPr>
          <w:rFonts w:cs="Arial"/>
          <w:bCs/>
          <w:sz w:val="24"/>
        </w:rPr>
        <w:lastRenderedPageBreak/>
        <w:t xml:space="preserve">de lo que se encargará este juzgador en líneas posteriores, </w:t>
      </w:r>
      <w:r w:rsidR="00553A88">
        <w:rPr>
          <w:rFonts w:cs="Arial"/>
          <w:bCs/>
          <w:sz w:val="24"/>
        </w:rPr>
        <w:t>pero sobre todo</w:t>
      </w:r>
      <w:r>
        <w:rPr>
          <w:rFonts w:cs="Arial"/>
          <w:bCs/>
          <w:sz w:val="24"/>
        </w:rPr>
        <w:t xml:space="preserve"> debe decirse, que en el considerando anterior, se estableció que</w:t>
      </w:r>
      <w:r w:rsidR="00553A88">
        <w:rPr>
          <w:rFonts w:cs="Arial"/>
          <w:bCs/>
          <w:sz w:val="24"/>
        </w:rPr>
        <w:t xml:space="preserve"> la actora tiene derecho de</w:t>
      </w:r>
      <w:r>
        <w:rPr>
          <w:rFonts w:cs="Arial"/>
          <w:bCs/>
          <w:sz w:val="24"/>
        </w:rPr>
        <w:t xml:space="preserve"> impugnar el acta de infracción, pues al ser propietaria del vehículo que participó en el evento, le asiste el interés jurídico de defender los derechos que estima violentados en su contra, de ahí que no se actualicen las excepciones invocadas por la autoridad demandada.</w:t>
      </w:r>
    </w:p>
    <w:p w14:paraId="7E099910" w14:textId="77777777" w:rsidR="00C61E6F" w:rsidRPr="001D6227" w:rsidRDefault="00C61E6F" w:rsidP="00C61E6F">
      <w:pPr>
        <w:pStyle w:val="corte4fondoCarCarCar"/>
        <w:spacing w:before="240"/>
        <w:ind w:firstLine="708"/>
        <w:rPr>
          <w:rFonts w:cs="Arial"/>
          <w:sz w:val="24"/>
        </w:rPr>
      </w:pPr>
      <w:r>
        <w:rPr>
          <w:rFonts w:cs="Arial"/>
          <w:bCs/>
          <w:sz w:val="24"/>
        </w:rPr>
        <w:t xml:space="preserve">Respecto de la actualización de las causales de improcedencia del juicio previstas en las fracciones V, VI </w:t>
      </w:r>
      <w:r w:rsidR="00553A88">
        <w:rPr>
          <w:rFonts w:cs="Arial"/>
          <w:bCs/>
          <w:sz w:val="24"/>
        </w:rPr>
        <w:t>y</w:t>
      </w:r>
      <w:r>
        <w:rPr>
          <w:rFonts w:cs="Arial"/>
          <w:bCs/>
          <w:sz w:val="24"/>
        </w:rPr>
        <w:t xml:space="preserve"> X del artículo 161 de la Ley que rige a este Tribunal, debe decirse que este Juzgador toma en cuenta que </w:t>
      </w:r>
      <w:r>
        <w:rPr>
          <w:rFonts w:cs="Arial"/>
          <w:sz w:val="24"/>
        </w:rPr>
        <w:t>la</w:t>
      </w:r>
      <w:r>
        <w:rPr>
          <w:rFonts w:cs="Arial"/>
          <w:b/>
          <w:sz w:val="24"/>
        </w:rPr>
        <w:t xml:space="preserve"> fracción V,</w:t>
      </w:r>
      <w:r>
        <w:rPr>
          <w:rFonts w:cs="Arial"/>
          <w:sz w:val="24"/>
        </w:rPr>
        <w:t xml:space="preserve"> </w:t>
      </w:r>
      <w:r w:rsidRPr="00127C9A">
        <w:rPr>
          <w:rFonts w:cs="Arial"/>
          <w:sz w:val="24"/>
        </w:rPr>
        <w:t>establece la improcedencia contra actos consumados de un modo irreparable</w:t>
      </w:r>
      <w:r>
        <w:rPr>
          <w:rFonts w:cs="Arial"/>
          <w:sz w:val="24"/>
        </w:rPr>
        <w:t>, y que en el caso, dicha hipótesis no se actualiza, pues atendiendo</w:t>
      </w:r>
      <w:r>
        <w:rPr>
          <w:rFonts w:cs="Arial"/>
          <w:color w:val="000000"/>
          <w:sz w:val="24"/>
        </w:rPr>
        <w:t xml:space="preserve"> a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jurídica y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w:t>
      </w:r>
      <w:r>
        <w:rPr>
          <w:rFonts w:cs="Arial"/>
          <w:color w:val="000000"/>
          <w:sz w:val="24"/>
        </w:rPr>
        <w:t>, de ahí que el acta de infracción impugnada encuadre en los supuestos del acto consumado de modo reparable, haciendo que la causal invocada no se actualice</w:t>
      </w:r>
      <w:r w:rsidRPr="00DF4A02">
        <w:rPr>
          <w:rFonts w:cs="Arial"/>
          <w:color w:val="000000"/>
          <w:sz w:val="24"/>
        </w:rPr>
        <w:t xml:space="preserve">. Criterio sustentado en la tesis jurisprudencial con datos de identificación: Semanario Judicial de la Federación, Tomo XIV, Diciembre de 1994, Octava Época, pág. 325, número de registro 209662, Tesis Aislada (Común), Tribunales </w:t>
      </w:r>
      <w:r w:rsidRPr="00DF4A02">
        <w:rPr>
          <w:rFonts w:cs="Arial"/>
          <w:color w:val="000000"/>
          <w:sz w:val="24"/>
        </w:rPr>
        <w:lastRenderedPageBreak/>
        <w:t>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14:paraId="5141F098" w14:textId="77777777" w:rsidR="00C61E6F" w:rsidRDefault="00C61E6F" w:rsidP="00C61E6F">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cuando no se promueva el juicio dentro del término</w:t>
      </w:r>
      <w:r>
        <w:rPr>
          <w:rFonts w:ascii="Arial" w:hAnsi="Arial" w:cs="Arial"/>
          <w:sz w:val="24"/>
          <w:szCs w:val="24"/>
        </w:rPr>
        <w:t>,</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 xml:space="preserve"> actora al no estar conforme con la</w:t>
      </w:r>
      <w:r>
        <w:rPr>
          <w:rFonts w:ascii="Arial" w:hAnsi="Arial" w:cs="Arial"/>
          <w:sz w:val="24"/>
          <w:szCs w:val="24"/>
        </w:rPr>
        <w:t xml:space="preserve"> infracción de tránsito</w:t>
      </w:r>
      <w:r w:rsidRPr="00DF4A02">
        <w:rPr>
          <w:rFonts w:ascii="Arial" w:hAnsi="Arial" w:cs="Arial"/>
          <w:sz w:val="24"/>
          <w:szCs w:val="24"/>
        </w:rPr>
        <w:t>, interpuso en tiempo el Juicio de Nulidad</w:t>
      </w:r>
      <w:r>
        <w:rPr>
          <w:rFonts w:ascii="Arial" w:hAnsi="Arial" w:cs="Arial"/>
          <w:sz w:val="24"/>
          <w:szCs w:val="24"/>
        </w:rPr>
        <w:t xml:space="preserve"> como se advirtió en el acuerdo dictado el día diecisiete de febrero de dos mil veintiuno (17/02/2021, foja 20 de autos)</w:t>
      </w:r>
      <w:r w:rsidRPr="00DF4A02">
        <w:rPr>
          <w:rFonts w:ascii="Arial" w:hAnsi="Arial" w:cs="Arial"/>
          <w:sz w:val="24"/>
          <w:szCs w:val="24"/>
        </w:rPr>
        <w:t>, haciendo claras manifestac</w:t>
      </w:r>
      <w:r>
        <w:rPr>
          <w:rFonts w:ascii="Arial" w:hAnsi="Arial" w:cs="Arial"/>
          <w:sz w:val="24"/>
          <w:szCs w:val="24"/>
        </w:rPr>
        <w:t xml:space="preserve">iones en su escrito de demanda, al sentir violentada su esfera jurídica; circunstancia que pone de manifiesto que la parte actora no </w:t>
      </w:r>
      <w:r w:rsidRPr="00DF4A02">
        <w:rPr>
          <w:rFonts w:ascii="Arial" w:hAnsi="Arial" w:cs="Arial"/>
          <w:sz w:val="24"/>
          <w:szCs w:val="24"/>
        </w:rPr>
        <w:t>ha consentido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w:t>
      </w:r>
      <w:r>
        <w:rPr>
          <w:rFonts w:ascii="Arial" w:hAnsi="Arial" w:cs="Arial"/>
          <w:sz w:val="24"/>
          <w:szCs w:val="24"/>
        </w:rPr>
        <w:t>,</w:t>
      </w:r>
      <w:r w:rsidRPr="00DF4A02">
        <w:rPr>
          <w:rFonts w:ascii="Arial" w:hAnsi="Arial" w:cs="Arial"/>
          <w:sz w:val="24"/>
          <w:szCs w:val="24"/>
        </w:rPr>
        <w:t xml:space="preserve"> no se advierte la existencia de constancia,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scrito de demanda establecido en el artículo 16</w:t>
      </w:r>
      <w:r w:rsidRPr="00DF4A02">
        <w:rPr>
          <w:rFonts w:ascii="Arial" w:hAnsi="Arial" w:cs="Arial"/>
          <w:sz w:val="24"/>
          <w:szCs w:val="24"/>
        </w:rPr>
        <w:t xml:space="preserve">6, de la Ley de </w:t>
      </w:r>
      <w:r>
        <w:rPr>
          <w:rFonts w:ascii="Arial" w:hAnsi="Arial" w:cs="Arial"/>
          <w:sz w:val="24"/>
          <w:szCs w:val="24"/>
        </w:rPr>
        <w:t xml:space="preserve">Procedimiento y </w:t>
      </w:r>
      <w:r w:rsidRPr="00DF4A02">
        <w:rPr>
          <w:rFonts w:ascii="Arial" w:hAnsi="Arial" w:cs="Arial"/>
          <w:sz w:val="24"/>
          <w:szCs w:val="24"/>
        </w:rPr>
        <w:t>Justicia Administrativa</w:t>
      </w:r>
      <w:r>
        <w:rPr>
          <w:rFonts w:ascii="Arial" w:hAnsi="Arial" w:cs="Arial"/>
          <w:sz w:val="24"/>
          <w:szCs w:val="24"/>
        </w:rPr>
        <w:t>.</w:t>
      </w:r>
    </w:p>
    <w:p w14:paraId="69B7DE3E" w14:textId="77777777" w:rsidR="00C61E6F" w:rsidRDefault="00C61E6F" w:rsidP="00C61E6F">
      <w:pPr>
        <w:pStyle w:val="corte4fondoCarCarCar"/>
        <w:spacing w:before="240"/>
        <w:ind w:firstLine="708"/>
        <w:rPr>
          <w:rFonts w:cs="Arial"/>
          <w:bCs/>
          <w:sz w:val="24"/>
        </w:rPr>
      </w:pPr>
      <w:r w:rsidRPr="00DF4A02">
        <w:rPr>
          <w:rFonts w:cs="Arial"/>
          <w:sz w:val="24"/>
        </w:rPr>
        <w:t>Finalmente</w:t>
      </w:r>
      <w:r>
        <w:rPr>
          <w:rFonts w:cs="Arial"/>
          <w:sz w:val="24"/>
        </w:rPr>
        <w:t>,</w:t>
      </w:r>
      <w:r w:rsidRPr="00DF4A02">
        <w:rPr>
          <w:rFonts w:cs="Arial"/>
          <w:sz w:val="24"/>
        </w:rPr>
        <w:t xml:space="preserve"> por lo que respecta a la hipótesis contenida en la</w:t>
      </w:r>
      <w:r w:rsidRPr="00DF4A02">
        <w:rPr>
          <w:rFonts w:cs="Arial"/>
          <w:b/>
          <w:sz w:val="24"/>
        </w:rPr>
        <w:t xml:space="preserve"> fracción X, </w:t>
      </w:r>
      <w:r w:rsidRPr="00B0064B">
        <w:rPr>
          <w:rFonts w:cs="Arial"/>
          <w:sz w:val="24"/>
        </w:rPr>
        <w:t>referente a</w:t>
      </w:r>
      <w:r w:rsidRPr="00127C9A">
        <w:rPr>
          <w:rFonts w:cs="Arial"/>
          <w:sz w:val="24"/>
        </w:rPr>
        <w:t xml:space="preserve"> lo</w:t>
      </w:r>
      <w:r>
        <w:rPr>
          <w:rFonts w:cs="Arial"/>
          <w:sz w:val="24"/>
        </w:rPr>
        <w:t>s casos en que la improcedencia resulte de alguna</w:t>
      </w:r>
      <w:r w:rsidRPr="00127C9A">
        <w:rPr>
          <w:rFonts w:cs="Arial"/>
          <w:sz w:val="24"/>
        </w:rPr>
        <w:t xml:space="preserve"> disposición</w:t>
      </w:r>
      <w:r w:rsidRPr="00DF4A02">
        <w:rPr>
          <w:rFonts w:cs="Arial"/>
          <w:sz w:val="24"/>
        </w:rPr>
        <w:t xml:space="preserve"> </w:t>
      </w:r>
      <w:r w:rsidRPr="00F94096">
        <w:rPr>
          <w:rFonts w:cs="Arial"/>
          <w:sz w:val="24"/>
        </w:rPr>
        <w:t>de la ley de la materia o de cualquier otra naturaleza fiscal o administrativa</w:t>
      </w:r>
      <w:r>
        <w:rPr>
          <w:rFonts w:cs="Arial"/>
          <w:sz w:val="24"/>
        </w:rPr>
        <w:t>,</w:t>
      </w:r>
      <w:r w:rsidRPr="00DF4A02">
        <w:rPr>
          <w:rFonts w:cs="Arial"/>
          <w:sz w:val="24"/>
        </w:rPr>
        <w:t xml:space="preserve"> debe </w:t>
      </w:r>
      <w:r w:rsidRPr="00E50E83">
        <w:rPr>
          <w:rFonts w:cs="Arial"/>
          <w:sz w:val="24"/>
        </w:rPr>
        <w:t xml:space="preserve">decirse, que la autoridad demandada, no realizó ningún señalamiento que implique un alegato para ser estudiado. Luego entonces, al no actualizarse ninguna de las hipótesis señaladas por la demandada como causales de improcedencia, este Juicio de Nulidad </w:t>
      </w:r>
      <w:r w:rsidRPr="00E50E83">
        <w:rPr>
          <w:rFonts w:cs="Arial"/>
          <w:b/>
          <w:sz w:val="24"/>
        </w:rPr>
        <w:t>NO SE SOBRESEE</w:t>
      </w:r>
      <w:r w:rsidRPr="00E50E83">
        <w:rPr>
          <w:rFonts w:cs="Arial"/>
          <w:sz w:val="24"/>
        </w:rPr>
        <w:t xml:space="preserve">. - - - - </w:t>
      </w:r>
    </w:p>
    <w:p w14:paraId="4DD5E75C" w14:textId="77777777" w:rsidR="00C61E6F" w:rsidRDefault="00C61E6F" w:rsidP="00C61E6F">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Este Juzgador toma en cuenta las manifestaciones de ambas partes, advirtiendo </w:t>
      </w:r>
      <w:r>
        <w:rPr>
          <w:rFonts w:ascii="Arial" w:hAnsi="Arial" w:cs="Arial"/>
          <w:sz w:val="24"/>
          <w:szCs w:val="24"/>
        </w:rPr>
        <w:tab/>
        <w:t xml:space="preserve">que la autoridad demandada efectivamente elaboró un acta de infracción, en ejercicio de la potestad pública conferida y actuando para que los conductores no infrinjan el Reglamento de Vialidad para el Municipio de Oaxaca de Juárez, tal y como lo dispone el artículo 16 fracción II de dicho ordenamiento legal; sin embargo, dicho acto administrativo, como se verá en líneas siguientes, violenta las disposiciones contenidas en los Artículos 14 y  16 de la Carta Magna, que imponen a toda autoridad la obligación de fundar y motivar sus determinaciones, lo que implica que en las actas de infracción se deben señalar cuáles son las circunstancias de hecho y de derecho, inmediatas anteriores al acto administrativo que lo originaron (motivación), y el fundamento legal en que se apoyen (fundamentación). </w:t>
      </w:r>
    </w:p>
    <w:p w14:paraId="22199169" w14:textId="77777777" w:rsidR="00553A88" w:rsidRDefault="00C61E6F" w:rsidP="00553A8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ab/>
      </w:r>
      <w:r w:rsidR="00553A88">
        <w:rPr>
          <w:rFonts w:ascii="Arial" w:hAnsi="Arial" w:cs="Arial"/>
          <w:sz w:val="24"/>
          <w:szCs w:val="24"/>
        </w:rPr>
        <w:t xml:space="preserve">Por </w:t>
      </w:r>
      <w:r w:rsidR="00553A88" w:rsidRPr="00F4415C">
        <w:rPr>
          <w:rFonts w:ascii="Arial" w:hAnsi="Arial" w:cs="Arial"/>
          <w:b/>
          <w:sz w:val="24"/>
          <w:szCs w:val="24"/>
        </w:rPr>
        <w:t>fundamentación</w:t>
      </w:r>
      <w:r w:rsidR="00553A88">
        <w:rPr>
          <w:rFonts w:ascii="Arial" w:hAnsi="Arial" w:cs="Arial"/>
          <w:sz w:val="24"/>
          <w:szCs w:val="24"/>
        </w:rPr>
        <w:t xml:space="preserve"> del acto de autoridad, debe entenderse al precepto legal aplicable al caso concreto, </w:t>
      </w:r>
      <w:r w:rsidR="00553A88" w:rsidRPr="00375713">
        <w:rPr>
          <w:rFonts w:ascii="Arial" w:hAnsi="Arial" w:cs="Arial"/>
          <w:sz w:val="24"/>
          <w:szCs w:val="24"/>
        </w:rPr>
        <w:t xml:space="preserve">debiendo precisarse el párrafo, la fracción, el inciso o sub-inciso, </w:t>
      </w:r>
      <w:r w:rsidR="00553A88">
        <w:rPr>
          <w:rFonts w:ascii="Arial" w:hAnsi="Arial" w:cs="Arial"/>
          <w:sz w:val="24"/>
          <w:szCs w:val="24"/>
        </w:rPr>
        <w:t xml:space="preserve">circunstancia que permita al administrado, conocer </w:t>
      </w:r>
      <w:r w:rsidR="00553A88" w:rsidRPr="00CB32B0">
        <w:rPr>
          <w:rFonts w:ascii="Arial" w:hAnsi="Arial" w:cs="Arial"/>
          <w:sz w:val="24"/>
          <w:szCs w:val="24"/>
        </w:rPr>
        <w:t>los preceptos en que la autoridad sustentó su ac</w:t>
      </w:r>
      <w:r w:rsidR="00553A88">
        <w:rPr>
          <w:rFonts w:ascii="Arial" w:hAnsi="Arial" w:cs="Arial"/>
          <w:sz w:val="24"/>
          <w:szCs w:val="24"/>
        </w:rPr>
        <w:t xml:space="preserve">tuar, a fin de poder combatirlos; por </w:t>
      </w:r>
      <w:r w:rsidR="00553A88" w:rsidRPr="00F4415C">
        <w:rPr>
          <w:rFonts w:ascii="Arial" w:hAnsi="Arial" w:cs="Arial"/>
          <w:b/>
          <w:sz w:val="24"/>
          <w:szCs w:val="24"/>
        </w:rPr>
        <w:t>motivación</w:t>
      </w:r>
      <w:r w:rsidR="0013537E">
        <w:rPr>
          <w:rFonts w:ascii="Arial" w:hAnsi="Arial" w:cs="Arial"/>
          <w:b/>
          <w:sz w:val="24"/>
          <w:szCs w:val="24"/>
        </w:rPr>
        <w:t>,</w:t>
      </w:r>
      <w:r w:rsidR="00553A88">
        <w:rPr>
          <w:rFonts w:ascii="Arial" w:hAnsi="Arial" w:cs="Arial"/>
          <w:sz w:val="24"/>
          <w:szCs w:val="24"/>
        </w:rPr>
        <w:t xml:space="preserve"> la </w:t>
      </w:r>
      <w:r w:rsidR="00553A88" w:rsidRPr="00375713">
        <w:rPr>
          <w:rFonts w:ascii="Arial" w:hAnsi="Arial" w:cs="Arial"/>
          <w:sz w:val="24"/>
          <w:szCs w:val="24"/>
        </w:rPr>
        <w:t xml:space="preserve">expresión de manera precisa </w:t>
      </w:r>
      <w:r w:rsidR="00553A88">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00553A88" w:rsidRPr="00F4415C">
        <w:rPr>
          <w:rFonts w:ascii="Arial" w:hAnsi="Arial" w:cs="Arial"/>
          <w:b/>
          <w:sz w:val="24"/>
          <w:szCs w:val="24"/>
        </w:rPr>
        <w:t>configuración de las hipótesis normativas</w:t>
      </w:r>
      <w:r w:rsidR="00553A88">
        <w:rPr>
          <w:rFonts w:ascii="Arial" w:hAnsi="Arial" w:cs="Arial"/>
          <w:sz w:val="24"/>
          <w:szCs w:val="24"/>
        </w:rPr>
        <w:t xml:space="preserve">. </w:t>
      </w:r>
    </w:p>
    <w:p w14:paraId="49EC2C94" w14:textId="77777777" w:rsidR="00C61E6F" w:rsidRDefault="00736266" w:rsidP="00C61E6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61E6F">
        <w:rPr>
          <w:rFonts w:ascii="Arial" w:hAnsi="Arial" w:cs="Arial"/>
          <w:sz w:val="24"/>
          <w:szCs w:val="24"/>
        </w:rPr>
        <w:t xml:space="preserve">Ahora bien, el formato del acta de infracción en estudio, contempla dos rubros específicos, uno para la fundamentación y otro para la motivación, observándose que en el apartado correspondiente a la </w:t>
      </w:r>
      <w:r w:rsidR="00C61E6F" w:rsidRPr="00E80CB5">
        <w:rPr>
          <w:rFonts w:ascii="Arial" w:hAnsi="Arial" w:cs="Arial"/>
          <w:b/>
          <w:sz w:val="24"/>
          <w:szCs w:val="24"/>
          <w:u w:val="single"/>
        </w:rPr>
        <w:t>fundamentación</w:t>
      </w:r>
      <w:r w:rsidR="00C61E6F">
        <w:rPr>
          <w:rFonts w:ascii="Arial" w:hAnsi="Arial" w:cs="Arial"/>
          <w:sz w:val="24"/>
          <w:szCs w:val="24"/>
        </w:rPr>
        <w:t xml:space="preserve">, la demandada no plasmó artículo alguno; y en el apartado correspondiente a la </w:t>
      </w:r>
      <w:r w:rsidR="00C61E6F" w:rsidRPr="00E80CB5">
        <w:rPr>
          <w:rFonts w:ascii="Arial" w:hAnsi="Arial" w:cs="Arial"/>
          <w:b/>
          <w:sz w:val="24"/>
          <w:szCs w:val="24"/>
          <w:u w:val="single"/>
        </w:rPr>
        <w:t>motivación</w:t>
      </w:r>
      <w:r w:rsidR="00C61E6F">
        <w:rPr>
          <w:rFonts w:ascii="Arial" w:hAnsi="Arial" w:cs="Arial"/>
          <w:sz w:val="24"/>
          <w:szCs w:val="24"/>
        </w:rPr>
        <w:t>,</w:t>
      </w:r>
      <w:r w:rsidR="00C61E6F" w:rsidRPr="005E1441">
        <w:rPr>
          <w:rFonts w:ascii="Arial" w:hAnsi="Arial" w:cs="Arial"/>
          <w:b/>
          <w:sz w:val="24"/>
          <w:szCs w:val="24"/>
        </w:rPr>
        <w:t xml:space="preserve"> </w:t>
      </w:r>
      <w:r w:rsidR="00C61E6F" w:rsidRPr="00E80CB5">
        <w:rPr>
          <w:rFonts w:ascii="Arial" w:hAnsi="Arial" w:cs="Arial"/>
          <w:sz w:val="24"/>
          <w:szCs w:val="24"/>
        </w:rPr>
        <w:t>asentó</w:t>
      </w:r>
      <w:r w:rsidR="00C61E6F">
        <w:rPr>
          <w:rFonts w:ascii="Arial" w:hAnsi="Arial" w:cs="Arial"/>
          <w:b/>
          <w:sz w:val="24"/>
          <w:szCs w:val="24"/>
        </w:rPr>
        <w:t>: “</w:t>
      </w:r>
      <w:r w:rsidR="00C61E6F" w:rsidRPr="00DC25C2">
        <w:rPr>
          <w:rFonts w:ascii="Arial" w:hAnsi="Arial" w:cs="Arial"/>
          <w:i/>
          <w:sz w:val="24"/>
          <w:szCs w:val="24"/>
        </w:rPr>
        <w:t>Por estacionarse en lugar Prohibido, Artículo 86 fracción XXXIII</w:t>
      </w:r>
      <w:r w:rsidR="00C61E6F">
        <w:rPr>
          <w:rFonts w:ascii="Arial" w:hAnsi="Arial" w:cs="Arial"/>
          <w:b/>
          <w:sz w:val="24"/>
          <w:szCs w:val="24"/>
        </w:rPr>
        <w:t>”</w:t>
      </w:r>
      <w:r w:rsidR="00C61E6F">
        <w:rPr>
          <w:rFonts w:ascii="Arial" w:hAnsi="Arial" w:cs="Arial"/>
          <w:sz w:val="24"/>
          <w:szCs w:val="24"/>
        </w:rPr>
        <w:t>.</w:t>
      </w:r>
    </w:p>
    <w:p w14:paraId="047715E4" w14:textId="77777777" w:rsidR="00C61E6F" w:rsidRDefault="00C61E6F" w:rsidP="0013537E">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El artículo 86 fracción XXXIII del Reglamento de Vialidad para el Municipio de Oaxaca de Juárez, Oaxaca, dispone: </w:t>
      </w:r>
    </w:p>
    <w:p w14:paraId="678F836C" w14:textId="77777777" w:rsidR="00C61E6F" w:rsidRPr="00CA6733" w:rsidRDefault="00C61E6F" w:rsidP="0013537E">
      <w:pPr>
        <w:tabs>
          <w:tab w:val="center" w:pos="4574"/>
        </w:tabs>
        <w:spacing w:after="0" w:line="240" w:lineRule="auto"/>
        <w:ind w:firstLine="708"/>
        <w:jc w:val="both"/>
        <w:rPr>
          <w:rFonts w:ascii="Arial" w:hAnsi="Arial" w:cs="Arial"/>
          <w:i/>
          <w:sz w:val="24"/>
          <w:szCs w:val="24"/>
        </w:rPr>
      </w:pPr>
      <w:r>
        <w:rPr>
          <w:rFonts w:ascii="Arial" w:hAnsi="Arial" w:cs="Arial"/>
          <w:sz w:val="24"/>
          <w:szCs w:val="24"/>
        </w:rPr>
        <w:t>“</w:t>
      </w:r>
      <w:r w:rsidRPr="00CA6733">
        <w:rPr>
          <w:rFonts w:ascii="Arial" w:hAnsi="Arial" w:cs="Arial"/>
          <w:b/>
          <w:i/>
          <w:sz w:val="24"/>
          <w:szCs w:val="24"/>
        </w:rPr>
        <w:t>ARTÍCULO 86.-</w:t>
      </w:r>
      <w:r w:rsidRPr="00CA6733">
        <w:rPr>
          <w:rFonts w:ascii="Arial" w:hAnsi="Arial" w:cs="Arial"/>
          <w:i/>
          <w:sz w:val="24"/>
          <w:szCs w:val="24"/>
        </w:rPr>
        <w:t xml:space="preserve"> Queda prohibido el estacionamiento: </w:t>
      </w:r>
    </w:p>
    <w:p w14:paraId="07B1BDE6" w14:textId="77777777" w:rsidR="00C61E6F" w:rsidRPr="00CA6733" w:rsidRDefault="00C61E6F" w:rsidP="0013537E">
      <w:pPr>
        <w:tabs>
          <w:tab w:val="center" w:pos="4574"/>
        </w:tabs>
        <w:spacing w:after="0" w:line="240" w:lineRule="auto"/>
        <w:ind w:firstLine="708"/>
        <w:jc w:val="both"/>
        <w:rPr>
          <w:rFonts w:ascii="Arial" w:hAnsi="Arial" w:cs="Arial"/>
          <w:i/>
          <w:sz w:val="24"/>
          <w:szCs w:val="24"/>
        </w:rPr>
      </w:pPr>
      <w:r w:rsidRPr="00CA6733">
        <w:rPr>
          <w:rFonts w:ascii="Arial" w:hAnsi="Arial" w:cs="Arial"/>
          <w:i/>
          <w:sz w:val="24"/>
          <w:szCs w:val="24"/>
        </w:rPr>
        <w:t>…</w:t>
      </w:r>
    </w:p>
    <w:p w14:paraId="48CED71A" w14:textId="77777777" w:rsidR="00C61E6F" w:rsidRPr="00CA6733" w:rsidRDefault="00C61E6F" w:rsidP="0013537E">
      <w:pPr>
        <w:tabs>
          <w:tab w:val="center" w:pos="4574"/>
        </w:tabs>
        <w:spacing w:after="0" w:line="240" w:lineRule="auto"/>
        <w:ind w:firstLine="708"/>
        <w:jc w:val="both"/>
        <w:rPr>
          <w:rFonts w:ascii="Arial" w:hAnsi="Arial" w:cs="Arial"/>
          <w:i/>
          <w:sz w:val="24"/>
          <w:szCs w:val="24"/>
        </w:rPr>
      </w:pPr>
      <w:r w:rsidRPr="00CA6733">
        <w:rPr>
          <w:rFonts w:ascii="Arial" w:hAnsi="Arial" w:cs="Arial"/>
          <w:i/>
          <w:sz w:val="24"/>
          <w:szCs w:val="24"/>
        </w:rPr>
        <w:t>XXXIII.-En los demás lugares que determine la Comisaría de Vialidad y donde exista señalamiento restrictivo.”</w:t>
      </w:r>
    </w:p>
    <w:p w14:paraId="421EE347" w14:textId="77777777" w:rsidR="0013537E" w:rsidRDefault="0013537E" w:rsidP="00C61E6F">
      <w:pPr>
        <w:tabs>
          <w:tab w:val="center" w:pos="4574"/>
        </w:tabs>
        <w:spacing w:line="360" w:lineRule="auto"/>
        <w:ind w:firstLine="708"/>
        <w:jc w:val="both"/>
        <w:rPr>
          <w:rFonts w:ascii="Arial" w:hAnsi="Arial" w:cs="Arial"/>
          <w:sz w:val="24"/>
          <w:szCs w:val="24"/>
        </w:rPr>
      </w:pPr>
    </w:p>
    <w:p w14:paraId="3601E4AC" w14:textId="77777777" w:rsidR="0053471F" w:rsidRDefault="00C61E6F" w:rsidP="0053471F">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 que efectivamente, dicho numeral establece una prohibición de estacionarse en determinados lugares, a decir, aquellos que estén así identificados por la Comisaria de Vialidad y donde exista el señalamiento respectivo, sin embargo, en el acta de infracción impugnada, el Policía Vial demandado omitió expresar las circunstancias de hecho y de derecho, inmediatas anteriores al acto administrativo que lo originaron, es decir, l</w:t>
      </w:r>
      <w:r w:rsidRPr="0095574A">
        <w:rPr>
          <w:rFonts w:ascii="Arial" w:hAnsi="Arial" w:cs="Arial"/>
          <w:sz w:val="24"/>
          <w:szCs w:val="24"/>
        </w:rPr>
        <w:t>as razones que hayan considerado para estimar que el caso puede subsumirse en la hipótesis</w:t>
      </w:r>
      <w:r>
        <w:rPr>
          <w:rFonts w:ascii="Arial" w:hAnsi="Arial" w:cs="Arial"/>
          <w:sz w:val="24"/>
          <w:szCs w:val="24"/>
        </w:rPr>
        <w:t xml:space="preserve"> prevista en esa norma jurídica, </w:t>
      </w:r>
      <w:r w:rsidR="0013537E">
        <w:rPr>
          <w:rFonts w:ascii="Arial" w:hAnsi="Arial" w:cs="Arial"/>
          <w:sz w:val="24"/>
          <w:szCs w:val="24"/>
        </w:rPr>
        <w:t xml:space="preserve">y ante tal omisión, se </w:t>
      </w:r>
      <w:r>
        <w:rPr>
          <w:rFonts w:ascii="Arial" w:hAnsi="Arial" w:cs="Arial"/>
          <w:sz w:val="24"/>
          <w:szCs w:val="24"/>
        </w:rPr>
        <w:t>impide que se actualice la hipótesis normativa, pue</w:t>
      </w:r>
      <w:r w:rsidR="0013537E">
        <w:rPr>
          <w:rFonts w:ascii="Arial" w:hAnsi="Arial" w:cs="Arial"/>
          <w:sz w:val="24"/>
          <w:szCs w:val="24"/>
        </w:rPr>
        <w:t>s el Policía Vial demandado,</w:t>
      </w:r>
      <w:r>
        <w:rPr>
          <w:rFonts w:ascii="Arial" w:hAnsi="Arial" w:cs="Arial"/>
          <w:sz w:val="24"/>
          <w:szCs w:val="24"/>
        </w:rPr>
        <w:t xml:space="preserve"> únicamente se concretó a reproducir la prohibición contenida en la norma, cuando lo realmente importante, para tener debidamente motivada el acta de infracción en estudio, era señalar cual era el señalamiento restrictivo determinado por la Comisaria de Vialidad, que impedía a los conductores estacionar sus vehículos en el lugar en que se encontró estacionado el vehículo de la actora, pues de conformidad con el artículo 100 fracción I, inciso b) del Reglamento de Vialidad para el Municipio </w:t>
      </w:r>
      <w:r>
        <w:rPr>
          <w:rFonts w:ascii="Arial" w:hAnsi="Arial" w:cs="Arial"/>
          <w:sz w:val="24"/>
          <w:szCs w:val="24"/>
        </w:rPr>
        <w:lastRenderedPageBreak/>
        <w:t xml:space="preserve">de Oaxaca de Juárez, Oaxaca, las señales, marcas, semáforos, y cualquier otro dispositivo adyacente a las carreteras, son dispositivos para el control del tránsito,  por lo que la falta de descripción del señalamiento existente en el lugar en que se encontró estacionado el vehículo de la actora, implica que solo se haya invocado el fundamento, más no que ello implique la motivación, y tomando en cuenta que ha sido criterio del máximo Tribunal del País, que </w:t>
      </w:r>
      <w:r w:rsidRPr="009C1A89">
        <w:rPr>
          <w:rFonts w:ascii="Arial" w:hAnsi="Arial" w:cs="Arial"/>
          <w:sz w:val="24"/>
          <w:szCs w:val="24"/>
        </w:rPr>
        <w:t>la sola cita, en una resolución, de un artículo de una ley</w:t>
      </w:r>
      <w:r>
        <w:rPr>
          <w:rFonts w:ascii="Arial" w:hAnsi="Arial" w:cs="Arial"/>
          <w:sz w:val="24"/>
          <w:szCs w:val="24"/>
        </w:rPr>
        <w:t>,</w:t>
      </w:r>
      <w:r w:rsidRPr="009C1A89">
        <w:rPr>
          <w:rFonts w:ascii="Arial" w:hAnsi="Arial" w:cs="Arial"/>
          <w:sz w:val="24"/>
          <w:szCs w:val="24"/>
        </w:rPr>
        <w:t xml:space="preserve"> constituye un dato que, por sí solo, resulta insuficiente para acreditar tal cuestión, pues lo relevante para ello consiste en demostrar que, en el caso concreto, fueron aplicadas las consecuencias jurídicas que siguen a la configuración de la hipótes</w:t>
      </w:r>
      <w:r>
        <w:rPr>
          <w:rFonts w:ascii="Arial" w:hAnsi="Arial" w:cs="Arial"/>
          <w:sz w:val="24"/>
          <w:szCs w:val="24"/>
        </w:rPr>
        <w:t xml:space="preserve">is normativa descrita en la ley, lo que en el presente asunto no ocurrió, de ahí la ilegalidad del acta de infracción en estudio, pues violenta lo dispuesto en la fracción V del artículo 17 de la Ley de Procedimiento y Justicia Administrativa para el Estado de Oaxaca, que impone a las autoridades fundar y motivar sus actos, máxime que en el presente Juicio la suplencia de la deficiencia de la queja únicamente se encuentra prevista en favor del administrado, conforme al artículo 149 de la Ley de Procedimiento y Justicia Administrativa para el Estado de Oaxaca. </w:t>
      </w:r>
      <w:r w:rsidR="0053471F">
        <w:rPr>
          <w:rFonts w:ascii="Arial" w:hAnsi="Arial" w:cs="Arial"/>
          <w:sz w:val="24"/>
          <w:szCs w:val="24"/>
        </w:rPr>
        <w:t>Sirve de apoyo a lo anterior, la Jurisprudencia con datos de identificación: Semanario Judicial de la Federación y su Gaceta, Libro XIII, Octubre de 2012, Tomo 2, página 812, Décima Época, registro digital 159929, Jurisprudencia Común, Primera Sala, de rubro: “</w:t>
      </w:r>
      <w:r w:rsidR="0053471F" w:rsidRPr="00191B5E">
        <w:rPr>
          <w:rFonts w:ascii="Arial" w:hAnsi="Arial" w:cs="Arial"/>
          <w:i/>
          <w:sz w:val="24"/>
          <w:szCs w:val="24"/>
        </w:rPr>
        <w:t>LEYES. SU SOLA CITA NO CONSTITUYE UN ACTO DE APLICACIÓN</w:t>
      </w:r>
      <w:r w:rsidR="0053471F">
        <w:rPr>
          <w:rFonts w:ascii="Arial" w:hAnsi="Arial" w:cs="Arial"/>
          <w:sz w:val="24"/>
          <w:szCs w:val="24"/>
        </w:rPr>
        <w:t>.”</w:t>
      </w:r>
    </w:p>
    <w:p w14:paraId="01AE781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Ante tales omisiones, sin duda dejó en estado de indefensión a la actora, al impedirle la oportunidad de alegar en su defensa, violentando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14:paraId="1D411F5C" w14:textId="3C299865"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en el artículo 129 del citado Reglamento, establece las circunstancias que debieron haber sido observadas por el Policía Vial al elaborar el acta de infracción, advirtiendo este Juzgador que se dejó de observar lo establecido en los incisos j) y k), de dicho numeral, al carecer de </w:t>
      </w:r>
      <w:r>
        <w:rPr>
          <w:rFonts w:ascii="Arial" w:hAnsi="Arial" w:cs="Arial"/>
          <w:sz w:val="24"/>
          <w:szCs w:val="24"/>
        </w:rPr>
        <w:lastRenderedPageBreak/>
        <w:t xml:space="preserve">debida motivación el acta levantada con motivo de la infracción, porque las circunstancias que rodearon el hecho, constituyen la base para </w:t>
      </w:r>
      <w:r w:rsidRPr="00D6687F">
        <w:rPr>
          <w:rFonts w:ascii="Arial" w:hAnsi="Arial" w:cs="Arial"/>
          <w:sz w:val="24"/>
          <w:szCs w:val="24"/>
        </w:rPr>
        <w:t>determinar que ef</w:t>
      </w:r>
      <w:r w:rsidRPr="008B42FD">
        <w:rPr>
          <w:rFonts w:ascii="Arial" w:hAnsi="Arial" w:cs="Arial"/>
          <w:sz w:val="24"/>
          <w:szCs w:val="24"/>
        </w:rPr>
        <w:t>ectiva</w:t>
      </w:r>
      <w:r w:rsidRPr="00D6687F">
        <w:rPr>
          <w:rFonts w:ascii="Arial" w:hAnsi="Arial" w:cs="Arial"/>
          <w:sz w:val="24"/>
          <w:szCs w:val="24"/>
        </w:rPr>
        <w:t>mente</w:t>
      </w:r>
      <w:r>
        <w:rPr>
          <w:rFonts w:ascii="Arial" w:hAnsi="Arial" w:cs="Arial"/>
          <w:sz w:val="24"/>
          <w:szCs w:val="24"/>
        </w:rPr>
        <w:t xml:space="preserve"> la conductora </w:t>
      </w:r>
      <w:r w:rsidRPr="00172716">
        <w:rPr>
          <w:rFonts w:ascii="Arial" w:hAnsi="Arial" w:cs="Arial"/>
          <w:sz w:val="24"/>
          <w:szCs w:val="24"/>
        </w:rPr>
        <w:t>de</w:t>
      </w:r>
      <w:r>
        <w:rPr>
          <w:rFonts w:ascii="Arial" w:hAnsi="Arial" w:cs="Arial"/>
          <w:sz w:val="24"/>
          <w:szCs w:val="24"/>
        </w:rPr>
        <w:t xml:space="preserve">l automóvil de uso particular, </w:t>
      </w:r>
      <w:r w:rsidRPr="00722B62">
        <w:rPr>
          <w:rFonts w:ascii="Arial" w:hAnsi="Arial" w:cs="Arial"/>
          <w:sz w:val="24"/>
          <w:szCs w:val="24"/>
        </w:rPr>
        <w:t xml:space="preserve">marca </w:t>
      </w:r>
      <w:r>
        <w:rPr>
          <w:rFonts w:ascii="Arial" w:hAnsi="Arial" w:cs="Arial"/>
          <w:sz w:val="24"/>
          <w:szCs w:val="24"/>
        </w:rPr>
        <w:t xml:space="preserve">Volkswagen, Vento, color blanco, con placas de circulación </w:t>
      </w:r>
      <w:r w:rsidR="00DA7743">
        <w:rPr>
          <w:rFonts w:ascii="Arial" w:hAnsi="Arial" w:cs="Arial"/>
          <w:sz w:val="24"/>
          <w:szCs w:val="24"/>
        </w:rPr>
        <w:t>*******</w:t>
      </w:r>
      <w:r>
        <w:rPr>
          <w:rFonts w:ascii="Arial" w:hAnsi="Arial" w:cs="Arial"/>
          <w:sz w:val="24"/>
          <w:szCs w:val="24"/>
        </w:rPr>
        <w:t xml:space="preserve"> del Estado de Puebla,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administrativa interna, o con la mención de varios preceptos, o de varias fracciones, o de varios incisos, sin precisar con exactitud cuál fue la conducta realizada y cuál fue la disposición legal aplicable;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la obligación de que toda autoridad al emitir un acto administrativo, se encuentre fundado y motivado,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14:paraId="665CD793" w14:textId="74944296"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que rige a este Tribunal, declarar </w:t>
      </w:r>
      <w:r>
        <w:rPr>
          <w:rFonts w:ascii="Arial" w:hAnsi="Arial" w:cs="Arial"/>
          <w:b/>
          <w:sz w:val="24"/>
          <w:szCs w:val="24"/>
        </w:rPr>
        <w:t xml:space="preserve">la NULIDAD LISA Y LLANA del acta de infracción con número de folio </w:t>
      </w:r>
      <w:r w:rsidR="00DA7743">
        <w:rPr>
          <w:rFonts w:ascii="Arial" w:hAnsi="Arial" w:cs="Arial"/>
          <w:b/>
          <w:sz w:val="24"/>
          <w:szCs w:val="24"/>
        </w:rPr>
        <w:t>*****</w:t>
      </w:r>
      <w:r>
        <w:rPr>
          <w:rFonts w:ascii="Arial" w:hAnsi="Arial" w:cs="Arial"/>
          <w:b/>
          <w:sz w:val="24"/>
          <w:szCs w:val="24"/>
        </w:rPr>
        <w:t xml:space="preserve">, de </w:t>
      </w:r>
      <w:r w:rsidR="00DA7743">
        <w:rPr>
          <w:rFonts w:ascii="Arial" w:hAnsi="Arial" w:cs="Arial"/>
          <w:b/>
          <w:sz w:val="24"/>
          <w:szCs w:val="24"/>
        </w:rPr>
        <w:t>***** de ***** de dos mil veinte (**/**/2020)</w:t>
      </w:r>
      <w:r>
        <w:rPr>
          <w:rFonts w:ascii="Arial" w:hAnsi="Arial" w:cs="Arial"/>
          <w:b/>
          <w:sz w:val="24"/>
          <w:szCs w:val="24"/>
        </w:rPr>
        <w:t xml:space="preserve">, </w:t>
      </w:r>
      <w:r w:rsidRPr="00533A65">
        <w:rPr>
          <w:rFonts w:ascii="Arial" w:hAnsi="Arial" w:cs="Arial"/>
          <w:sz w:val="24"/>
          <w:szCs w:val="24"/>
        </w:rPr>
        <w:t>relacionada al</w:t>
      </w:r>
      <w:r>
        <w:rPr>
          <w:rFonts w:ascii="Arial" w:hAnsi="Arial" w:cs="Arial"/>
          <w:sz w:val="24"/>
          <w:szCs w:val="24"/>
        </w:rPr>
        <w:t xml:space="preserve"> automóvil de uso particular, marca Volkswagen, Vento, color blanco, con placas de circulación </w:t>
      </w:r>
      <w:r w:rsidR="00DA7743">
        <w:rPr>
          <w:rFonts w:ascii="Arial" w:hAnsi="Arial" w:cs="Arial"/>
          <w:sz w:val="24"/>
          <w:szCs w:val="24"/>
        </w:rPr>
        <w:t>*******</w:t>
      </w:r>
      <w:r>
        <w:rPr>
          <w:rFonts w:ascii="Arial" w:hAnsi="Arial" w:cs="Arial"/>
          <w:sz w:val="24"/>
          <w:szCs w:val="24"/>
        </w:rPr>
        <w:t xml:space="preserve"> del Estado de Puebla,</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JUAN SEBASTIAN FLORENTINO GALLEGOS,</w:t>
      </w:r>
      <w:r w:rsidRPr="00DA48D3">
        <w:rPr>
          <w:rFonts w:ascii="Arial" w:hAnsi="Arial" w:cs="Arial"/>
          <w:sz w:val="24"/>
        </w:rPr>
        <w:t xml:space="preserve"> Policí</w:t>
      </w:r>
      <w:r>
        <w:rPr>
          <w:rFonts w:ascii="Arial" w:hAnsi="Arial" w:cs="Arial"/>
          <w:sz w:val="24"/>
        </w:rPr>
        <w:t>a Vial con número estadístico 118</w:t>
      </w:r>
      <w:r w:rsidRPr="00DA48D3">
        <w:rPr>
          <w:rFonts w:ascii="Arial" w:hAnsi="Arial" w:cs="Arial"/>
          <w:sz w:val="24"/>
        </w:rPr>
        <w:t>, de la Comisaría de Vialidad del Municipio de Oaxaca de Juárez</w:t>
      </w:r>
      <w:r>
        <w:rPr>
          <w:rFonts w:ascii="Arial" w:hAnsi="Arial" w:cs="Arial"/>
          <w:sz w:val="24"/>
        </w:rPr>
        <w:t>, Oaxaca</w:t>
      </w:r>
      <w:r>
        <w:rPr>
          <w:rFonts w:ascii="Arial" w:hAnsi="Arial" w:cs="Arial"/>
          <w:sz w:val="24"/>
          <w:szCs w:val="24"/>
        </w:rPr>
        <w:t xml:space="preserve">; y por ello, </w:t>
      </w:r>
      <w:r w:rsidRPr="00A8222B">
        <w:rPr>
          <w:rFonts w:ascii="Arial" w:hAnsi="Arial" w:cs="Arial"/>
          <w:b/>
          <w:sz w:val="24"/>
          <w:szCs w:val="24"/>
        </w:rPr>
        <w:t xml:space="preserve">se ordena a la citada autoridad demandada </w:t>
      </w:r>
      <w:r>
        <w:rPr>
          <w:rFonts w:ascii="Arial" w:hAnsi="Arial" w:cs="Arial"/>
          <w:sz w:val="24"/>
          <w:szCs w:val="24"/>
        </w:rPr>
        <w:t xml:space="preserve">dar de baja del sistema informático con que cuenta la Dirección de Seguridad, Vialidad y Protección Ciudadana del Municipio de Oaxaca de Juárez, </w:t>
      </w:r>
      <w:r>
        <w:rPr>
          <w:rFonts w:ascii="Arial" w:hAnsi="Arial" w:cs="Arial"/>
          <w:sz w:val="24"/>
          <w:szCs w:val="24"/>
        </w:rPr>
        <w:lastRenderedPageBreak/>
        <w:t>Oaxaca, el acta de infracción aquí declarada ilegal, lo cual deberá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12C71A5E" w14:textId="77777777" w:rsidR="00C61E6F" w:rsidRPr="001042B6" w:rsidRDefault="00C61E6F" w:rsidP="00C61E6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este resolutor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45086">
        <w:rPr>
          <w:rFonts w:ascii="Arial" w:hAnsi="Arial" w:cs="Arial"/>
          <w:i/>
          <w:sz w:val="24"/>
          <w:szCs w:val="24"/>
        </w:rPr>
        <w:t>DE ANULACIÓN. LA EXIGENCIA DE EXAMINARLOS EXHAUSTIVAMENTE DEBE PONDERARSE A LA LUZ DE CADA CONTROVERSIA EN PARTICULAR”</w:t>
      </w:r>
      <w:r w:rsidRPr="00545086">
        <w:rPr>
          <w:rFonts w:ascii="Arial" w:hAnsi="Arial" w:cs="Arial"/>
          <w:sz w:val="24"/>
          <w:szCs w:val="24"/>
        </w:rPr>
        <w:t>.</w:t>
      </w:r>
    </w:p>
    <w:p w14:paraId="7B4B3434"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0F1EA79A"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6108A66"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639A4185"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FD07CAF" w14:textId="59FF09F6"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DA7743">
        <w:rPr>
          <w:rFonts w:ascii="Arial" w:hAnsi="Arial" w:cs="Arial"/>
          <w:b/>
          <w:sz w:val="24"/>
          <w:szCs w:val="24"/>
        </w:rPr>
        <w:t>*****</w:t>
      </w:r>
      <w:r>
        <w:rPr>
          <w:rFonts w:ascii="Arial" w:hAnsi="Arial" w:cs="Arial"/>
          <w:b/>
          <w:sz w:val="24"/>
          <w:szCs w:val="24"/>
        </w:rPr>
        <w:t xml:space="preserve">, de </w:t>
      </w:r>
      <w:r w:rsidR="00DA7743">
        <w:rPr>
          <w:rFonts w:ascii="Arial" w:hAnsi="Arial" w:cs="Arial"/>
          <w:b/>
          <w:sz w:val="24"/>
          <w:szCs w:val="24"/>
        </w:rPr>
        <w:t>***** de ***** de dos mil veinte (**/**/2020)</w:t>
      </w:r>
      <w:r>
        <w:rPr>
          <w:rFonts w:ascii="Arial" w:hAnsi="Arial" w:cs="Arial"/>
          <w:b/>
          <w:sz w:val="24"/>
          <w:szCs w:val="24"/>
        </w:rPr>
        <w:t xml:space="preserve">, </w:t>
      </w:r>
      <w:r w:rsidRPr="00533A65">
        <w:rPr>
          <w:rFonts w:ascii="Arial" w:hAnsi="Arial" w:cs="Arial"/>
          <w:sz w:val="24"/>
          <w:szCs w:val="24"/>
        </w:rPr>
        <w:t>relacionada al</w:t>
      </w:r>
      <w:r>
        <w:rPr>
          <w:rFonts w:ascii="Arial" w:hAnsi="Arial" w:cs="Arial"/>
          <w:sz w:val="24"/>
          <w:szCs w:val="24"/>
        </w:rPr>
        <w:t xml:space="preserve"> automóvil de uso particular, marca Volkswagen, Vento, color blanco, con placas de circulación </w:t>
      </w:r>
      <w:r w:rsidR="00DA7743">
        <w:rPr>
          <w:rFonts w:ascii="Arial" w:hAnsi="Arial" w:cs="Arial"/>
          <w:sz w:val="24"/>
          <w:szCs w:val="24"/>
        </w:rPr>
        <w:t>*******</w:t>
      </w:r>
      <w:r>
        <w:rPr>
          <w:rFonts w:ascii="Arial" w:hAnsi="Arial" w:cs="Arial"/>
          <w:sz w:val="24"/>
          <w:szCs w:val="24"/>
        </w:rPr>
        <w:t xml:space="preserve"> del Estado de Puebla,</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JUAN SEBASTIAN FLORENTINO GALLEGOS,</w:t>
      </w:r>
      <w:r w:rsidRPr="00DA48D3">
        <w:rPr>
          <w:rFonts w:ascii="Arial" w:hAnsi="Arial" w:cs="Arial"/>
          <w:sz w:val="24"/>
        </w:rPr>
        <w:t xml:space="preserve"> Policí</w:t>
      </w:r>
      <w:r>
        <w:rPr>
          <w:rFonts w:ascii="Arial" w:hAnsi="Arial" w:cs="Arial"/>
          <w:sz w:val="24"/>
        </w:rPr>
        <w:t>a Vial con número estadístico 118</w:t>
      </w:r>
      <w:r w:rsidRPr="00DA48D3">
        <w:rPr>
          <w:rFonts w:ascii="Arial" w:hAnsi="Arial" w:cs="Arial"/>
          <w:sz w:val="24"/>
        </w:rPr>
        <w:t>, de la Comisaría de Vialidad del Municipio de Oaxaca de Juárez</w:t>
      </w:r>
      <w:r>
        <w:rPr>
          <w:rFonts w:ascii="Arial" w:hAnsi="Arial" w:cs="Arial"/>
          <w:sz w:val="24"/>
        </w:rPr>
        <w:t>, Oaxaca</w:t>
      </w:r>
      <w:r>
        <w:rPr>
          <w:rFonts w:ascii="Arial" w:hAnsi="Arial" w:cs="Arial"/>
          <w:sz w:val="24"/>
          <w:szCs w:val="24"/>
        </w:rPr>
        <w:t xml:space="preserve">; y por ello, se ordena a la citada autoridad demandada dar de baja del sistema informático con que cuenta la Dirección de Seguridad, Vialidad y Protección Ciudadana del Municipio de Oaxaca de Juárez, Oaxaca, el acta de infracción aquí declarada ilegal; lo anterior en términos precisados en el considerando SEXTO de esta resolución. - - - - - - - </w:t>
      </w:r>
    </w:p>
    <w:p w14:paraId="6C4C1898" w14:textId="77777777" w:rsidR="00C61E6F" w:rsidRDefault="00C61E6F" w:rsidP="00C61E6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E5862F3" w14:textId="77777777" w:rsidR="00C61E6F" w:rsidRPr="00961528" w:rsidRDefault="00C61E6F" w:rsidP="00C61E6F">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p w14:paraId="5FD8D520"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C750618" w14:textId="77777777" w:rsidR="00C61E6F" w:rsidRDefault="00C61E6F" w:rsidP="00C61E6F">
      <w:pPr>
        <w:tabs>
          <w:tab w:val="center" w:pos="4574"/>
        </w:tabs>
        <w:spacing w:line="360" w:lineRule="auto"/>
        <w:ind w:firstLine="708"/>
        <w:jc w:val="both"/>
        <w:rPr>
          <w:rFonts w:ascii="Arial" w:hAnsi="Arial" w:cs="Arial"/>
          <w:sz w:val="24"/>
          <w:szCs w:val="24"/>
        </w:rPr>
      </w:pPr>
    </w:p>
    <w:p w14:paraId="5077758C" w14:textId="77777777" w:rsidR="00C61E6F" w:rsidRPr="007354DA" w:rsidRDefault="00C61E6F" w:rsidP="00C61E6F"/>
    <w:p w14:paraId="11E569DB" w14:textId="77777777" w:rsidR="00EB0680" w:rsidRPr="0007623E" w:rsidRDefault="00EB0680" w:rsidP="0007623E"/>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A248F" w14:textId="77777777" w:rsidR="00BD2E39" w:rsidRDefault="00BD2E39" w:rsidP="007A5B5E">
      <w:pPr>
        <w:spacing w:after="0" w:line="240" w:lineRule="auto"/>
      </w:pPr>
      <w:r>
        <w:separator/>
      </w:r>
    </w:p>
  </w:endnote>
  <w:endnote w:type="continuationSeparator" w:id="0">
    <w:p w14:paraId="399C22D7"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B1C097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AE31B97" wp14:editId="15A6265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B7000D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5713D" w:rsidRPr="0035713D">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31B9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3B7000D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5713D" w:rsidRPr="0035713D">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AC2EA" w14:textId="77777777" w:rsidR="00BD2E39" w:rsidRDefault="00BD2E39" w:rsidP="007A5B5E">
      <w:pPr>
        <w:spacing w:after="0" w:line="240" w:lineRule="auto"/>
      </w:pPr>
      <w:r>
        <w:separator/>
      </w:r>
    </w:p>
  </w:footnote>
  <w:footnote w:type="continuationSeparator" w:id="0">
    <w:p w14:paraId="585506A4"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9740" w14:textId="77777777" w:rsidR="00BD2E39" w:rsidRDefault="009A26EE">
    <w:pPr>
      <w:pStyle w:val="Encabezado"/>
    </w:pPr>
    <w:r>
      <w:rPr>
        <w:noProof/>
        <w:lang w:eastAsia="es-MX"/>
      </w:rPr>
      <w:pict w14:anchorId="50398C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70FC" w14:textId="181BBA46"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4AC3FFA1" wp14:editId="2FC5783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DC7973D" w14:textId="77777777" w:rsidR="00BD2E39" w:rsidRDefault="00BD2E39" w:rsidP="002960E1">
                          <w:r>
                            <w:rPr>
                              <w:noProof/>
                              <w:lang w:eastAsia="es-MX"/>
                            </w:rPr>
                            <w:drawing>
                              <wp:inline distT="0" distB="0" distL="0" distR="0" wp14:anchorId="676B534D" wp14:editId="1B679CC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C3FFA1"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DC7973D" w14:textId="77777777" w:rsidR="00BD2E39" w:rsidRDefault="00BD2E39" w:rsidP="002960E1">
                    <w:r>
                      <w:rPr>
                        <w:noProof/>
                        <w:lang w:eastAsia="es-MX"/>
                      </w:rPr>
                      <w:drawing>
                        <wp:inline distT="0" distB="0" distL="0" distR="0" wp14:anchorId="676B534D" wp14:editId="1B679CC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7623E">
      <w:rPr>
        <w:rFonts w:ascii="Bookman Old Style" w:hAnsi="Bookman Old Style"/>
        <w:b/>
        <w:sz w:val="24"/>
        <w:szCs w:val="24"/>
      </w:rPr>
      <w:t>171</w:t>
    </w:r>
    <w:r w:rsidRPr="00391F24">
      <w:rPr>
        <w:rFonts w:ascii="Bookman Old Style" w:hAnsi="Bookman Old Style"/>
        <w:b/>
        <w:sz w:val="24"/>
        <w:szCs w:val="24"/>
      </w:rPr>
      <w:t>/</w:t>
    </w:r>
    <w:r w:rsidR="00B544E2">
      <w:rPr>
        <w:rFonts w:ascii="Bookman Old Style" w:hAnsi="Bookman Old Style"/>
        <w:b/>
        <w:sz w:val="24"/>
        <w:szCs w:val="24"/>
      </w:rPr>
      <w:t>2020</w:t>
    </w:r>
  </w:p>
  <w:p w14:paraId="03BA5662" w14:textId="7AC5BD35" w:rsidR="00BD2E39" w:rsidRPr="00071C38" w:rsidRDefault="00DA774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5C02AA80" wp14:editId="748C10ED">
              <wp:simplePos x="0" y="0"/>
              <wp:positionH relativeFrom="leftMargin">
                <wp:posOffset>182880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8BC4F02" w14:textId="77777777" w:rsidR="00DA7743" w:rsidRPr="003B6E97" w:rsidRDefault="00DA7743" w:rsidP="00DA774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02AA80" id="Cuadro de texto 3" o:spid="_x0000_s1027" type="#_x0000_t202" style="position:absolute;left:0;text-align:left;margin-left:14.4pt;margin-top:323.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">
              <v:textbox>
                <w:txbxContent>
                  <w:p w14:paraId="18BC4F02" w14:textId="77777777" w:rsidR="00DA7743" w:rsidRPr="003B6E97" w:rsidRDefault="00DA7743" w:rsidP="00DA774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1BC1FD17" wp14:editId="7C1709E2">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45CD" w14:textId="77777777" w:rsidR="00BD2E39" w:rsidRDefault="009A26EE">
    <w:pPr>
      <w:pStyle w:val="Encabezado"/>
    </w:pPr>
    <w:r>
      <w:rPr>
        <w:noProof/>
        <w:lang w:eastAsia="es-MX"/>
      </w:rPr>
      <w:pict w14:anchorId="22194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6EE"/>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A7743"/>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45C9"/>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ECF5FF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31950-345D-455D-9A9A-6EE47F46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1886</TotalTime>
  <Pages>11</Pages>
  <Words>4201</Words>
  <Characters>23107</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1209</cp:revision>
  <cp:lastPrinted>2021-03-01T14:50:00Z</cp:lastPrinted>
  <dcterms:created xsi:type="dcterms:W3CDTF">2019-07-08T16:38:00Z</dcterms:created>
  <dcterms:modified xsi:type="dcterms:W3CDTF">2022-02-01T19:40:00Z</dcterms:modified>
</cp:coreProperties>
</file>