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E218EC">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5D891F8" w:rsidR="003B6CF0" w:rsidRPr="00CB6405" w:rsidRDefault="003B6CF0" w:rsidP="00E218EC">
      <w:pPr>
        <w:spacing w:line="240" w:lineRule="auto"/>
        <w:ind w:left="2552"/>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D180A">
        <w:rPr>
          <w:rFonts w:ascii="Arial" w:hAnsi="Arial" w:cs="Arial"/>
          <w:b/>
          <w:sz w:val="26"/>
          <w:szCs w:val="26"/>
        </w:rPr>
        <w:t>1</w:t>
      </w:r>
      <w:r w:rsidR="001F1AF8">
        <w:rPr>
          <w:rFonts w:ascii="Arial" w:hAnsi="Arial" w:cs="Arial"/>
          <w:b/>
          <w:sz w:val="26"/>
          <w:szCs w:val="26"/>
        </w:rPr>
        <w:t>72</w:t>
      </w:r>
      <w:r w:rsidR="00B62FC6">
        <w:rPr>
          <w:rFonts w:ascii="Arial" w:hAnsi="Arial" w:cs="Arial"/>
          <w:b/>
          <w:sz w:val="26"/>
          <w:szCs w:val="26"/>
        </w:rPr>
        <w:t>/2021</w:t>
      </w:r>
      <w:r>
        <w:rPr>
          <w:rFonts w:ascii="Arial" w:hAnsi="Arial" w:cs="Arial"/>
          <w:b/>
          <w:sz w:val="26"/>
          <w:szCs w:val="26"/>
        </w:rPr>
        <w:t>.</w:t>
      </w:r>
    </w:p>
    <w:p w14:paraId="4DFA70CD" w14:textId="6BA0580D" w:rsidR="003B6CF0" w:rsidRDefault="003B6CF0" w:rsidP="00E218EC">
      <w:pPr>
        <w:spacing w:line="240" w:lineRule="auto"/>
        <w:ind w:left="255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ED180A">
        <w:rPr>
          <w:rFonts w:ascii="Arial" w:hAnsi="Arial" w:cs="Arial"/>
          <w:b/>
          <w:sz w:val="26"/>
          <w:szCs w:val="26"/>
        </w:rPr>
        <w:t>01</w:t>
      </w:r>
      <w:r w:rsidR="001F1AF8">
        <w:rPr>
          <w:rFonts w:ascii="Arial" w:hAnsi="Arial" w:cs="Arial"/>
          <w:b/>
          <w:sz w:val="26"/>
          <w:szCs w:val="26"/>
        </w:rPr>
        <w:t>82</w:t>
      </w:r>
      <w:r>
        <w:rPr>
          <w:rFonts w:ascii="Arial" w:hAnsi="Arial" w:cs="Arial"/>
          <w:b/>
          <w:sz w:val="26"/>
          <w:szCs w:val="26"/>
        </w:rPr>
        <w:t>/</w:t>
      </w:r>
      <w:r w:rsidRPr="00CB6405">
        <w:rPr>
          <w:rFonts w:ascii="Arial" w:hAnsi="Arial" w:cs="Arial"/>
          <w:b/>
          <w:sz w:val="26"/>
          <w:szCs w:val="26"/>
        </w:rPr>
        <w:t>20</w:t>
      </w:r>
      <w:r w:rsidR="00261FBC">
        <w:rPr>
          <w:rFonts w:ascii="Arial" w:hAnsi="Arial" w:cs="Arial"/>
          <w:b/>
          <w:sz w:val="26"/>
          <w:szCs w:val="26"/>
        </w:rPr>
        <w:t>2</w:t>
      </w:r>
      <w:r w:rsidR="001F1AF8">
        <w:rPr>
          <w:rFonts w:ascii="Arial" w:hAnsi="Arial" w:cs="Arial"/>
          <w:b/>
          <w:sz w:val="26"/>
          <w:szCs w:val="26"/>
        </w:rPr>
        <w:t>0</w:t>
      </w:r>
      <w:r w:rsidRPr="00CB6405">
        <w:rPr>
          <w:rFonts w:ascii="Arial" w:hAnsi="Arial" w:cs="Arial"/>
          <w:b/>
          <w:sz w:val="26"/>
          <w:szCs w:val="26"/>
        </w:rPr>
        <w:t xml:space="preserve"> </w:t>
      </w:r>
      <w:r w:rsidR="00AA50C3">
        <w:rPr>
          <w:rFonts w:ascii="Arial" w:hAnsi="Arial" w:cs="Arial"/>
          <w:b/>
          <w:sz w:val="26"/>
          <w:szCs w:val="26"/>
        </w:rPr>
        <w:t xml:space="preserve">DE LA </w:t>
      </w:r>
      <w:r w:rsidR="00261FBC">
        <w:rPr>
          <w:rFonts w:ascii="Arial" w:hAnsi="Arial" w:cs="Arial"/>
          <w:b/>
          <w:sz w:val="26"/>
          <w:szCs w:val="26"/>
        </w:rPr>
        <w:t>PRIMERA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08D6E3F9" w:rsidR="003B6CF0" w:rsidRDefault="003B6CF0" w:rsidP="00E218EC">
      <w:pPr>
        <w:spacing w:line="240" w:lineRule="auto"/>
        <w:ind w:left="255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3DE7165A" w14:textId="3D1C6D3C"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EC7D59">
        <w:rPr>
          <w:rFonts w:ascii="Arial" w:hAnsi="Arial" w:cs="Arial"/>
          <w:b/>
          <w:sz w:val="26"/>
          <w:szCs w:val="26"/>
        </w:rPr>
        <w:t xml:space="preserve">SIETE DE SEPTIEMBRE </w:t>
      </w:r>
      <w:r w:rsidR="00AA50C3">
        <w:rPr>
          <w:rFonts w:ascii="Arial" w:hAnsi="Arial" w:cs="Arial"/>
          <w:b/>
          <w:sz w:val="26"/>
          <w:szCs w:val="26"/>
        </w:rPr>
        <w:t>DE DOS MIL VEINTIDÓS</w:t>
      </w:r>
      <w:r>
        <w:rPr>
          <w:rFonts w:ascii="Arial" w:hAnsi="Arial" w:cs="Arial"/>
          <w:b/>
          <w:sz w:val="26"/>
          <w:szCs w:val="26"/>
        </w:rPr>
        <w:t xml:space="preserve">. - - - - - - - - - - - - - - - - - - - - - - - - - - - - - - - - - - - - - - - </w:t>
      </w:r>
    </w:p>
    <w:p w14:paraId="655159DA" w14:textId="448CD91E" w:rsidR="003B6CF0" w:rsidRDefault="003B6CF0" w:rsidP="00E218EC">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ED180A">
        <w:rPr>
          <w:rFonts w:ascii="Arial" w:hAnsi="Arial" w:cs="Arial"/>
          <w:b/>
          <w:sz w:val="26"/>
          <w:szCs w:val="26"/>
        </w:rPr>
        <w:t>1</w:t>
      </w:r>
      <w:r w:rsidR="000764F2">
        <w:rPr>
          <w:rFonts w:ascii="Arial" w:hAnsi="Arial" w:cs="Arial"/>
          <w:b/>
          <w:sz w:val="26"/>
          <w:szCs w:val="26"/>
        </w:rPr>
        <w:t>72</w:t>
      </w:r>
      <w:r w:rsidRPr="00CB6405">
        <w:rPr>
          <w:rFonts w:ascii="Arial" w:hAnsi="Arial" w:cs="Arial"/>
          <w:b/>
          <w:sz w:val="26"/>
          <w:szCs w:val="26"/>
        </w:rPr>
        <w:t>/20</w:t>
      </w:r>
      <w:r>
        <w:rPr>
          <w:rFonts w:ascii="Arial" w:hAnsi="Arial" w:cs="Arial"/>
          <w:b/>
          <w:sz w:val="26"/>
          <w:szCs w:val="26"/>
        </w:rPr>
        <w:t>2</w:t>
      </w:r>
      <w:r w:rsidR="00B62FC6">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ED180A">
        <w:rPr>
          <w:rFonts w:ascii="Arial" w:hAnsi="Arial" w:cs="Arial"/>
          <w:sz w:val="26"/>
          <w:szCs w:val="26"/>
        </w:rPr>
        <w:t xml:space="preserve"> </w:t>
      </w:r>
      <w:r w:rsidR="00254168" w:rsidRPr="00254168">
        <w:rPr>
          <w:rFonts w:ascii="Arial" w:hAnsi="Arial" w:cs="Arial"/>
          <w:bCs/>
          <w:sz w:val="26"/>
          <w:szCs w:val="26"/>
        </w:rPr>
        <w:t>el</w:t>
      </w:r>
      <w:r w:rsidR="000764F2">
        <w:rPr>
          <w:rFonts w:ascii="Arial" w:hAnsi="Arial" w:cs="Arial"/>
          <w:b/>
          <w:sz w:val="26"/>
          <w:szCs w:val="26"/>
        </w:rPr>
        <w:t xml:space="preserve"> </w:t>
      </w:r>
      <w:bookmarkStart w:id="0" w:name="_Hlk108890339"/>
      <w:r w:rsidR="000764F2">
        <w:rPr>
          <w:rFonts w:ascii="Arial" w:hAnsi="Arial" w:cs="Arial"/>
          <w:b/>
          <w:sz w:val="26"/>
          <w:szCs w:val="26"/>
        </w:rPr>
        <w:t>DIRECTOR DE RECURSOS HUMANOS DE LA SECRETARÍA DE ADMINISTRACIÓN DEL GOBIERNO DEL ESTADO DE OAXACA</w:t>
      </w:r>
      <w:bookmarkEnd w:id="0"/>
      <w:r w:rsidR="000764F2">
        <w:rPr>
          <w:rFonts w:ascii="Arial" w:hAnsi="Arial" w:cs="Arial"/>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CF07B7">
        <w:rPr>
          <w:rFonts w:ascii="Arial" w:hAnsi="Arial" w:cs="Arial"/>
          <w:sz w:val="26"/>
          <w:szCs w:val="26"/>
        </w:rPr>
        <w:t>l</w:t>
      </w:r>
      <w:r w:rsidR="00023549">
        <w:rPr>
          <w:rFonts w:ascii="Arial" w:hAnsi="Arial" w:cs="Arial"/>
          <w:sz w:val="26"/>
          <w:szCs w:val="26"/>
        </w:rPr>
        <w:t xml:space="preserve"> </w:t>
      </w:r>
      <w:r w:rsidR="007007A1">
        <w:rPr>
          <w:rFonts w:ascii="Arial" w:hAnsi="Arial" w:cs="Arial"/>
          <w:sz w:val="26"/>
          <w:szCs w:val="26"/>
        </w:rPr>
        <w:t>a</w:t>
      </w:r>
      <w:r w:rsidR="00023549">
        <w:rPr>
          <w:rFonts w:ascii="Arial" w:hAnsi="Arial" w:cs="Arial"/>
          <w:sz w:val="26"/>
          <w:szCs w:val="26"/>
        </w:rPr>
        <w:t>cuerdo</w:t>
      </w:r>
      <w:r w:rsidR="00AC648A">
        <w:rPr>
          <w:rFonts w:ascii="Arial" w:hAnsi="Arial" w:cs="Arial"/>
          <w:sz w:val="26"/>
          <w:szCs w:val="26"/>
        </w:rPr>
        <w:t xml:space="preserve"> de </w:t>
      </w:r>
      <w:r w:rsidR="000764F2">
        <w:rPr>
          <w:rFonts w:ascii="Arial" w:hAnsi="Arial" w:cs="Arial"/>
          <w:sz w:val="26"/>
          <w:szCs w:val="26"/>
        </w:rPr>
        <w:t>treinta</w:t>
      </w:r>
      <w:r w:rsidR="00ED180A">
        <w:rPr>
          <w:rFonts w:ascii="Arial" w:hAnsi="Arial" w:cs="Arial"/>
          <w:sz w:val="26"/>
          <w:szCs w:val="26"/>
        </w:rPr>
        <w:t xml:space="preserve"> de abril </w:t>
      </w:r>
      <w:r>
        <w:rPr>
          <w:rFonts w:ascii="Arial" w:hAnsi="Arial" w:cs="Arial"/>
          <w:sz w:val="26"/>
          <w:szCs w:val="26"/>
        </w:rPr>
        <w:t xml:space="preserve">de dos mil </w:t>
      </w:r>
      <w:r w:rsidR="000E0AAB">
        <w:rPr>
          <w:rFonts w:ascii="Arial" w:hAnsi="Arial" w:cs="Arial"/>
          <w:sz w:val="26"/>
          <w:szCs w:val="26"/>
        </w:rPr>
        <w:t>v</w:t>
      </w:r>
      <w:r w:rsidR="00D3539A">
        <w:rPr>
          <w:rFonts w:ascii="Arial" w:hAnsi="Arial" w:cs="Arial"/>
          <w:sz w:val="26"/>
          <w:szCs w:val="26"/>
        </w:rPr>
        <w:t>e</w:t>
      </w:r>
      <w:r w:rsidR="00ED3EBD">
        <w:rPr>
          <w:rFonts w:ascii="Arial" w:hAnsi="Arial" w:cs="Arial"/>
          <w:sz w:val="26"/>
          <w:szCs w:val="26"/>
        </w:rPr>
        <w:t>intiuno</w:t>
      </w:r>
      <w:r>
        <w:rPr>
          <w:rFonts w:ascii="Arial" w:hAnsi="Arial" w:cs="Arial"/>
          <w:sz w:val="26"/>
          <w:szCs w:val="26"/>
        </w:rPr>
        <w:t>, dictad</w:t>
      </w:r>
      <w:r w:rsidR="00023549">
        <w:rPr>
          <w:rFonts w:ascii="Arial" w:hAnsi="Arial" w:cs="Arial"/>
          <w:sz w:val="26"/>
          <w:szCs w:val="26"/>
        </w:rPr>
        <w:t>o</w:t>
      </w:r>
      <w:r>
        <w:rPr>
          <w:rFonts w:ascii="Arial" w:hAnsi="Arial" w:cs="Arial"/>
          <w:sz w:val="26"/>
          <w:szCs w:val="26"/>
        </w:rPr>
        <w:t xml:space="preserve"> en el expediente </w:t>
      </w:r>
      <w:r w:rsidR="00ED180A">
        <w:rPr>
          <w:rFonts w:ascii="Arial" w:hAnsi="Arial" w:cs="Arial"/>
          <w:b/>
          <w:sz w:val="26"/>
          <w:szCs w:val="26"/>
        </w:rPr>
        <w:t>01</w:t>
      </w:r>
      <w:r w:rsidR="000764F2">
        <w:rPr>
          <w:rFonts w:ascii="Arial" w:hAnsi="Arial" w:cs="Arial"/>
          <w:b/>
          <w:sz w:val="26"/>
          <w:szCs w:val="26"/>
        </w:rPr>
        <w:t>82</w:t>
      </w:r>
      <w:r w:rsidR="007007A1">
        <w:rPr>
          <w:rFonts w:ascii="Arial" w:hAnsi="Arial" w:cs="Arial"/>
          <w:b/>
          <w:sz w:val="26"/>
          <w:szCs w:val="26"/>
        </w:rPr>
        <w:t>/20</w:t>
      </w:r>
      <w:r w:rsidR="000764F2">
        <w:rPr>
          <w:rFonts w:ascii="Arial" w:hAnsi="Arial" w:cs="Arial"/>
          <w:b/>
          <w:sz w:val="26"/>
          <w:szCs w:val="26"/>
        </w:rPr>
        <w:t>20</w:t>
      </w:r>
      <w:r w:rsidR="00D70AA1">
        <w:rPr>
          <w:rFonts w:ascii="Arial" w:hAnsi="Arial" w:cs="Arial"/>
          <w:b/>
          <w:sz w:val="26"/>
          <w:szCs w:val="26"/>
        </w:rPr>
        <w:t xml:space="preserve"> </w:t>
      </w:r>
      <w:r w:rsidR="007007A1">
        <w:rPr>
          <w:rFonts w:ascii="Arial" w:hAnsi="Arial" w:cs="Arial"/>
          <w:sz w:val="26"/>
          <w:szCs w:val="26"/>
        </w:rPr>
        <w:t xml:space="preserve">del índice de la </w:t>
      </w:r>
      <w:r w:rsidR="00D70AA1">
        <w:rPr>
          <w:rFonts w:ascii="Arial" w:hAnsi="Arial" w:cs="Arial"/>
          <w:sz w:val="26"/>
          <w:szCs w:val="26"/>
        </w:rPr>
        <w:t>Primera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0764F2">
        <w:rPr>
          <w:rFonts w:ascii="Arial" w:hAnsi="Arial" w:cs="Arial"/>
          <w:sz w:val="26"/>
          <w:szCs w:val="26"/>
        </w:rPr>
        <w:t xml:space="preserve"> </w:t>
      </w:r>
      <w:r w:rsidR="00D412F4">
        <w:rPr>
          <w:rFonts w:ascii="Arial" w:hAnsi="Arial" w:cs="Arial"/>
          <w:b/>
          <w:sz w:val="26"/>
          <w:szCs w:val="26"/>
        </w:rPr>
        <w:t>*******</w:t>
      </w:r>
      <w:r w:rsidR="00ED180A">
        <w:rPr>
          <w:rFonts w:ascii="Arial" w:hAnsi="Arial" w:cs="Arial"/>
          <w:b/>
          <w:sz w:val="26"/>
          <w:szCs w:val="26"/>
        </w:rPr>
        <w:t>,</w:t>
      </w:r>
      <w:r w:rsidR="00D70AA1">
        <w:rPr>
          <w:rFonts w:ascii="Arial" w:hAnsi="Arial" w:cs="Arial"/>
          <w:sz w:val="26"/>
          <w:szCs w:val="26"/>
        </w:rPr>
        <w:t xml:space="preserve"> </w:t>
      </w:r>
      <w:r w:rsidR="006300F5">
        <w:rPr>
          <w:rFonts w:ascii="Arial" w:hAnsi="Arial" w:cs="Arial"/>
          <w:sz w:val="26"/>
          <w:szCs w:val="26"/>
        </w:rPr>
        <w:t>en contra del</w:t>
      </w:r>
      <w:r w:rsidR="000764F2">
        <w:rPr>
          <w:rFonts w:ascii="Arial" w:hAnsi="Arial" w:cs="Arial"/>
          <w:b/>
          <w:sz w:val="26"/>
          <w:szCs w:val="26"/>
        </w:rPr>
        <w:t xml:space="preserve"> DIRECTOR DE RECURSOS HUMANOS DE LA SECRETARÍA DE ADMINISTRACIÓN DEL GOBIERNO DEL ESTADO DE OAXACA</w:t>
      </w:r>
      <w:r w:rsidR="000764F2">
        <w:rPr>
          <w:rFonts w:ascii="Arial" w:hAnsi="Arial" w:cs="Arial"/>
          <w:sz w:val="26"/>
          <w:szCs w:val="26"/>
        </w:rPr>
        <w:t xml:space="preserve">; </w:t>
      </w:r>
      <w:r>
        <w:rPr>
          <w:rFonts w:ascii="Arial" w:hAnsi="Arial" w:cs="Arial"/>
          <w:sz w:val="26"/>
          <w:szCs w:val="26"/>
        </w:rPr>
        <w:t>por lo que, co</w:t>
      </w:r>
      <w:r w:rsidR="00D70AA1">
        <w:rPr>
          <w:rFonts w:ascii="Arial" w:hAnsi="Arial" w:cs="Arial"/>
          <w:sz w:val="26"/>
          <w:szCs w:val="26"/>
        </w:rPr>
        <w:t>n fundamento en los artículos 23</w:t>
      </w:r>
      <w:r w:rsidR="00ED180A">
        <w:rPr>
          <w:rFonts w:ascii="Arial" w:hAnsi="Arial" w:cs="Arial"/>
          <w:sz w:val="26"/>
          <w:szCs w:val="26"/>
        </w:rPr>
        <w:t>6</w:t>
      </w:r>
      <w:r>
        <w:rPr>
          <w:rFonts w:ascii="Arial" w:hAnsi="Arial" w:cs="Arial"/>
          <w:sz w:val="26"/>
          <w:szCs w:val="26"/>
        </w:rPr>
        <w:t xml:space="preserve"> y 2</w:t>
      </w:r>
      <w:r w:rsidR="00D70AA1">
        <w:rPr>
          <w:rFonts w:ascii="Arial" w:hAnsi="Arial" w:cs="Arial"/>
          <w:sz w:val="26"/>
          <w:szCs w:val="26"/>
        </w:rPr>
        <w:t>3</w:t>
      </w:r>
      <w:r w:rsidRPr="00671697">
        <w:rPr>
          <w:rFonts w:ascii="Arial" w:hAnsi="Arial" w:cs="Arial"/>
          <w:sz w:val="26"/>
          <w:szCs w:val="26"/>
        </w:rPr>
        <w:t>8</w:t>
      </w:r>
      <w:r>
        <w:rPr>
          <w:rFonts w:ascii="Arial" w:hAnsi="Arial" w:cs="Arial"/>
          <w:sz w:val="26"/>
          <w:szCs w:val="26"/>
        </w:rPr>
        <w:t xml:space="preserve"> de la Ley de </w:t>
      </w:r>
      <w:r w:rsidR="00D70AA1">
        <w:rPr>
          <w:rFonts w:ascii="Arial" w:hAnsi="Arial" w:cs="Arial"/>
          <w:sz w:val="26"/>
          <w:szCs w:val="26"/>
        </w:rPr>
        <w:t xml:space="preserve">Procedimiento y </w:t>
      </w:r>
      <w:r>
        <w:rPr>
          <w:rFonts w:ascii="Arial" w:hAnsi="Arial" w:cs="Arial"/>
          <w:sz w:val="26"/>
          <w:szCs w:val="26"/>
        </w:rPr>
        <w:t xml:space="preserve">Justicia Administrativa para el Estado de Oaxaca </w:t>
      </w:r>
      <w:r w:rsidR="00ED180A">
        <w:rPr>
          <w:rFonts w:ascii="Arial" w:hAnsi="Arial" w:cs="Arial"/>
          <w:sz w:val="26"/>
          <w:szCs w:val="26"/>
        </w:rPr>
        <w:t xml:space="preserve">y </w:t>
      </w:r>
      <w:r w:rsidR="00ED180A">
        <w:rPr>
          <w:rFonts w:ascii="Arial" w:hAnsi="Arial" w:cs="Arial"/>
          <w:bCs/>
          <w:iCs/>
          <w:sz w:val="26"/>
          <w:szCs w:val="26"/>
        </w:rPr>
        <w:t xml:space="preserve">24 fracciones I y III </w:t>
      </w:r>
      <w:r w:rsidR="00ED180A" w:rsidRPr="00455424">
        <w:rPr>
          <w:rFonts w:ascii="Arial" w:hAnsi="Arial" w:cs="Arial"/>
          <w:bCs/>
          <w:iCs/>
          <w:sz w:val="26"/>
          <w:szCs w:val="26"/>
        </w:rPr>
        <w:t>de la Ley Orgánica del Tribunal de Justicia Administrativa del Estado de Oaxaca</w:t>
      </w:r>
      <w:r w:rsidR="00ED180A">
        <w:rPr>
          <w:rFonts w:ascii="Arial" w:hAnsi="Arial" w:cs="Arial"/>
          <w:bCs/>
          <w:iCs/>
          <w:sz w:val="26"/>
          <w:szCs w:val="26"/>
        </w:rPr>
        <w:t xml:space="preserve">, </w:t>
      </w:r>
      <w:r>
        <w:rPr>
          <w:rFonts w:ascii="Arial" w:hAnsi="Arial" w:cs="Arial"/>
          <w:sz w:val="26"/>
          <w:szCs w:val="26"/>
        </w:rPr>
        <w:t>se procede a dictar resolución en los siguientes términos:</w:t>
      </w:r>
      <w:r w:rsidR="00E218EC">
        <w:rPr>
          <w:rFonts w:ascii="Arial" w:hAnsi="Arial" w:cs="Arial"/>
          <w:sz w:val="26"/>
          <w:szCs w:val="26"/>
        </w:rPr>
        <w:t xml:space="preserve"> </w:t>
      </w:r>
      <w:bookmarkStart w:id="1" w:name="_Hlk115357522"/>
      <w:r w:rsidR="00E218EC">
        <w:rPr>
          <w:rFonts w:ascii="Arial" w:hAnsi="Arial" w:cs="Arial"/>
          <w:sz w:val="26"/>
          <w:szCs w:val="26"/>
        </w:rPr>
        <w:t xml:space="preserve">- - - - </w:t>
      </w:r>
      <w:bookmarkEnd w:id="1"/>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44521871"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023549">
        <w:rPr>
          <w:rFonts w:ascii="Arial" w:hAnsi="Arial" w:cs="Arial"/>
          <w:sz w:val="26"/>
          <w:szCs w:val="26"/>
        </w:rPr>
        <w:t>e</w:t>
      </w:r>
      <w:r>
        <w:rPr>
          <w:rFonts w:ascii="Arial" w:hAnsi="Arial" w:cs="Arial"/>
          <w:sz w:val="26"/>
          <w:szCs w:val="26"/>
        </w:rPr>
        <w:t>l a</w:t>
      </w:r>
      <w:r w:rsidR="00023549">
        <w:rPr>
          <w:rFonts w:ascii="Arial" w:hAnsi="Arial" w:cs="Arial"/>
          <w:sz w:val="26"/>
          <w:szCs w:val="26"/>
        </w:rPr>
        <w:t>cuerdo</w:t>
      </w:r>
      <w:r w:rsidR="00B62FC6">
        <w:rPr>
          <w:rFonts w:ascii="Arial" w:hAnsi="Arial" w:cs="Arial"/>
          <w:sz w:val="26"/>
          <w:szCs w:val="26"/>
        </w:rPr>
        <w:t xml:space="preserve"> de</w:t>
      </w:r>
      <w:r w:rsidR="00D70AA1">
        <w:rPr>
          <w:rFonts w:ascii="Arial" w:hAnsi="Arial" w:cs="Arial"/>
          <w:sz w:val="26"/>
          <w:szCs w:val="26"/>
        </w:rPr>
        <w:t xml:space="preserve"> </w:t>
      </w:r>
      <w:r w:rsidR="00254168">
        <w:rPr>
          <w:rFonts w:ascii="Arial" w:hAnsi="Arial" w:cs="Arial"/>
          <w:sz w:val="26"/>
          <w:szCs w:val="26"/>
        </w:rPr>
        <w:t>treinta</w:t>
      </w:r>
      <w:r w:rsidR="000A2F99">
        <w:rPr>
          <w:rFonts w:ascii="Arial" w:hAnsi="Arial" w:cs="Arial"/>
          <w:sz w:val="26"/>
          <w:szCs w:val="26"/>
        </w:rPr>
        <w:t xml:space="preserve"> de abril </w:t>
      </w:r>
      <w:r w:rsidR="00D70AA1">
        <w:rPr>
          <w:rFonts w:ascii="Arial" w:hAnsi="Arial" w:cs="Arial"/>
          <w:sz w:val="26"/>
          <w:szCs w:val="26"/>
        </w:rPr>
        <w:t xml:space="preserve">de dos mil veintiuno, </w:t>
      </w:r>
      <w:r w:rsidRPr="00CB6405">
        <w:rPr>
          <w:rFonts w:ascii="Arial" w:hAnsi="Arial" w:cs="Arial"/>
          <w:sz w:val="26"/>
          <w:szCs w:val="26"/>
        </w:rPr>
        <w:t>dictad</w:t>
      </w:r>
      <w:r w:rsidR="00023549">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D70AA1">
        <w:rPr>
          <w:rFonts w:ascii="Arial" w:hAnsi="Arial" w:cs="Arial"/>
          <w:sz w:val="26"/>
          <w:szCs w:val="26"/>
        </w:rPr>
        <w:t xml:space="preserve">Primera </w:t>
      </w:r>
      <w:r w:rsidRPr="00CB6405">
        <w:rPr>
          <w:rFonts w:ascii="Arial" w:hAnsi="Arial" w:cs="Arial"/>
          <w:sz w:val="26"/>
          <w:szCs w:val="26"/>
        </w:rPr>
        <w:t>Sala</w:t>
      </w:r>
      <w:r>
        <w:rPr>
          <w:rFonts w:ascii="Arial" w:hAnsi="Arial" w:cs="Arial"/>
          <w:sz w:val="26"/>
          <w:szCs w:val="26"/>
        </w:rPr>
        <w:t xml:space="preserve"> Unitaria de Primera Instancia, </w:t>
      </w:r>
      <w:bookmarkStart w:id="2" w:name="_Hlk108888940"/>
      <w:r w:rsidR="00254168">
        <w:rPr>
          <w:rFonts w:ascii="Arial" w:hAnsi="Arial" w:cs="Arial"/>
          <w:b/>
          <w:sz w:val="26"/>
          <w:szCs w:val="26"/>
        </w:rPr>
        <w:t>DIRECTOR DE RECURSOS HUMANOS DE LA SECRETARÍA DE ADMINISTRACIÓN DEL GOBIERNO DEL ESTADO</w:t>
      </w:r>
      <w:bookmarkEnd w:id="2"/>
      <w:r w:rsidR="00254168">
        <w:rPr>
          <w:rFonts w:ascii="Arial" w:hAnsi="Arial" w:cs="Arial"/>
          <w:b/>
          <w:sz w:val="26"/>
          <w:szCs w:val="26"/>
        </w:rPr>
        <w:t xml:space="preserve"> DE OAXACA</w:t>
      </w:r>
      <w:r w:rsidR="00254168">
        <w:rPr>
          <w:rFonts w:ascii="Arial" w:hAnsi="Arial" w:cs="Arial"/>
          <w:sz w:val="26"/>
          <w:szCs w:val="26"/>
        </w:rPr>
        <w:t xml:space="preserve">, </w:t>
      </w:r>
      <w:r w:rsidR="00D70AA1" w:rsidRPr="00D70AA1">
        <w:rPr>
          <w:rFonts w:ascii="Arial" w:hAnsi="Arial" w:cs="Arial"/>
          <w:sz w:val="26"/>
          <w:szCs w:val="26"/>
        </w:rPr>
        <w:t>promovieron</w:t>
      </w:r>
      <w:r w:rsidR="00D70AA1">
        <w:rPr>
          <w:rFonts w:ascii="Arial" w:hAnsi="Arial" w:cs="Arial"/>
          <w:b/>
          <w:sz w:val="26"/>
          <w:szCs w:val="26"/>
        </w:rPr>
        <w:t xml:space="preserve"> </w:t>
      </w:r>
      <w:r w:rsidRPr="00CB6405">
        <w:rPr>
          <w:rFonts w:ascii="Arial" w:hAnsi="Arial" w:cs="Arial"/>
          <w:sz w:val="26"/>
          <w:szCs w:val="26"/>
        </w:rPr>
        <w:t>en su contra recurso de revisión.</w:t>
      </w:r>
      <w:r w:rsidR="00E218EC">
        <w:rPr>
          <w:rFonts w:ascii="Arial" w:hAnsi="Arial" w:cs="Arial"/>
          <w:sz w:val="26"/>
          <w:szCs w:val="26"/>
        </w:rPr>
        <w:t xml:space="preserve"> - - - - - - - - - - - - - - - - - - -</w:t>
      </w:r>
    </w:p>
    <w:p w14:paraId="2AD9988A" w14:textId="10B4120C" w:rsidR="00023549" w:rsidRDefault="003B6CF0" w:rsidP="00E218EC">
      <w:pPr>
        <w:spacing w:line="360" w:lineRule="auto"/>
        <w:ind w:left="567"/>
        <w:jc w:val="both"/>
        <w:rPr>
          <w:rFonts w:ascii="Arial" w:hAnsi="Arial" w:cs="Arial"/>
          <w:bCs/>
          <w:iCs/>
          <w:sz w:val="26"/>
          <w:szCs w:val="26"/>
        </w:rPr>
      </w:pPr>
      <w:r w:rsidRPr="003B084B">
        <w:rPr>
          <w:rFonts w:ascii="Arial" w:hAnsi="Arial" w:cs="Arial"/>
          <w:b/>
          <w:bCs/>
          <w:iCs/>
          <w:sz w:val="26"/>
          <w:szCs w:val="26"/>
        </w:rPr>
        <w:t xml:space="preserve">SEGUNDO. </w:t>
      </w:r>
      <w:r w:rsidR="00CD3BA5">
        <w:rPr>
          <w:rFonts w:ascii="Arial" w:hAnsi="Arial" w:cs="Arial"/>
          <w:bCs/>
          <w:iCs/>
          <w:sz w:val="26"/>
          <w:szCs w:val="26"/>
        </w:rPr>
        <w:t>El texto</w:t>
      </w:r>
      <w:r w:rsidR="00D70AA1">
        <w:rPr>
          <w:rFonts w:ascii="Arial" w:hAnsi="Arial" w:cs="Arial"/>
          <w:bCs/>
          <w:iCs/>
          <w:sz w:val="26"/>
          <w:szCs w:val="26"/>
        </w:rPr>
        <w:t xml:space="preserve"> del acuerdo recurrido es la </w:t>
      </w:r>
      <w:r w:rsidR="00023549">
        <w:rPr>
          <w:rFonts w:ascii="Arial" w:hAnsi="Arial" w:cs="Arial"/>
          <w:bCs/>
          <w:iCs/>
          <w:sz w:val="26"/>
          <w:szCs w:val="26"/>
        </w:rPr>
        <w:t>siguiente</w:t>
      </w:r>
      <w:r w:rsidR="00023549" w:rsidRPr="003B084B">
        <w:rPr>
          <w:rFonts w:ascii="Arial" w:hAnsi="Arial" w:cs="Arial"/>
          <w:bCs/>
          <w:iCs/>
          <w:sz w:val="26"/>
          <w:szCs w:val="26"/>
        </w:rPr>
        <w:t>:</w:t>
      </w:r>
    </w:p>
    <w:p w14:paraId="6725203D" w14:textId="27C46BE6" w:rsidR="00254168" w:rsidRPr="00740A59" w:rsidRDefault="00254168" w:rsidP="00E218EC">
      <w:pPr>
        <w:spacing w:after="0"/>
        <w:ind w:left="567"/>
        <w:jc w:val="both"/>
        <w:rPr>
          <w:rFonts w:ascii="Arial" w:hAnsi="Arial" w:cs="Arial"/>
          <w:bCs/>
          <w:i/>
        </w:rPr>
      </w:pPr>
      <w:r w:rsidRPr="00740A59">
        <w:rPr>
          <w:rFonts w:ascii="Arial" w:hAnsi="Arial" w:cs="Arial"/>
          <w:i/>
        </w:rPr>
        <w:t xml:space="preserve">“Se recibió en la Oficialía de Partes de Términos de Primera y Segunda Instancia de este Tribunal, el veintitrés de abril del año en curso, el oficio número </w:t>
      </w:r>
      <w:r w:rsidR="00D412F4">
        <w:rPr>
          <w:rFonts w:ascii="Arial" w:hAnsi="Arial" w:cs="Arial"/>
          <w:i/>
        </w:rPr>
        <w:t>*******</w:t>
      </w:r>
      <w:r w:rsidRPr="00740A59">
        <w:rPr>
          <w:rFonts w:ascii="Arial" w:hAnsi="Arial" w:cs="Arial"/>
          <w:i/>
        </w:rPr>
        <w:t xml:space="preserve"> suscrito por el </w:t>
      </w:r>
      <w:r w:rsidRPr="00740A59">
        <w:rPr>
          <w:rFonts w:ascii="Arial" w:hAnsi="Arial" w:cs="Arial"/>
          <w:b/>
          <w:i/>
        </w:rPr>
        <w:t xml:space="preserve">Director de Recursos Humanos de la Secretaría de Administración del Gobierno del Estado, </w:t>
      </w:r>
      <w:r w:rsidRPr="00740A59">
        <w:rPr>
          <w:rFonts w:ascii="Arial" w:hAnsi="Arial" w:cs="Arial"/>
          <w:bCs/>
          <w:i/>
        </w:rPr>
        <w:t xml:space="preserve">personalidad que acredita en términos del artículo 151 de la Ley de la Materia, por lo que, con ese carácter se le tiene en tiempo, </w:t>
      </w:r>
      <w:r w:rsidRPr="00740A59">
        <w:rPr>
          <w:rFonts w:ascii="Arial" w:hAnsi="Arial" w:cs="Arial"/>
          <w:b/>
          <w:i/>
        </w:rPr>
        <w:t>contestando la demanda de nulidad,</w:t>
      </w:r>
      <w:r w:rsidRPr="00740A59">
        <w:rPr>
          <w:rFonts w:ascii="Arial" w:hAnsi="Arial" w:cs="Arial"/>
          <w:bCs/>
          <w:i/>
        </w:rPr>
        <w:t xml:space="preserve"> haciendo valer sus excepciones</w:t>
      </w:r>
      <w:r w:rsidR="00775489" w:rsidRPr="00740A59">
        <w:rPr>
          <w:rFonts w:ascii="Arial" w:hAnsi="Arial" w:cs="Arial"/>
          <w:bCs/>
          <w:i/>
        </w:rPr>
        <w:t xml:space="preserve"> y defensas las cuales serán analizadas por este Juzgador al dictarse sentencia en el presente asunto; así mismo, se le tiene ofreciendo sus </w:t>
      </w:r>
      <w:r w:rsidR="00775489" w:rsidRPr="00740A59">
        <w:rPr>
          <w:rFonts w:ascii="Arial" w:hAnsi="Arial" w:cs="Arial"/>
          <w:bCs/>
          <w:i/>
        </w:rPr>
        <w:lastRenderedPageBreak/>
        <w:t xml:space="preserve">pruebas, de las cuales se admiten las siguientes: </w:t>
      </w:r>
      <w:r w:rsidR="00775489" w:rsidRPr="00740A59">
        <w:rPr>
          <w:rFonts w:ascii="Arial" w:hAnsi="Arial" w:cs="Arial"/>
          <w:b/>
          <w:i/>
        </w:rPr>
        <w:t>1.</w:t>
      </w:r>
      <w:r w:rsidR="00775489" w:rsidRPr="00740A59">
        <w:rPr>
          <w:rFonts w:ascii="Arial" w:hAnsi="Arial" w:cs="Arial"/>
          <w:bCs/>
          <w:i/>
        </w:rPr>
        <w:t xml:space="preserve"> Cuadernillo de copias certificadas que contiene: </w:t>
      </w:r>
      <w:r w:rsidR="00775489" w:rsidRPr="00740A59">
        <w:rPr>
          <w:rFonts w:ascii="Arial" w:hAnsi="Arial" w:cs="Arial"/>
          <w:b/>
          <w:i/>
        </w:rPr>
        <w:t>a)</w:t>
      </w:r>
      <w:r w:rsidR="00775489" w:rsidRPr="00740A59">
        <w:rPr>
          <w:rFonts w:ascii="Arial" w:hAnsi="Arial" w:cs="Arial"/>
          <w:bCs/>
          <w:i/>
        </w:rPr>
        <w:t xml:space="preserve"> el oficio número </w:t>
      </w:r>
      <w:r w:rsidR="00D412F4">
        <w:rPr>
          <w:rFonts w:ascii="Arial" w:hAnsi="Arial" w:cs="Arial"/>
          <w:b/>
          <w:i/>
        </w:rPr>
        <w:t>*******</w:t>
      </w:r>
      <w:r w:rsidR="00775489" w:rsidRPr="00740A59">
        <w:rPr>
          <w:rFonts w:ascii="Arial" w:hAnsi="Arial" w:cs="Arial"/>
          <w:b/>
          <w:i/>
        </w:rPr>
        <w:t>,</w:t>
      </w:r>
      <w:r w:rsidR="00775489" w:rsidRPr="00740A59">
        <w:rPr>
          <w:rFonts w:ascii="Arial" w:hAnsi="Arial" w:cs="Arial"/>
          <w:bCs/>
          <w:i/>
        </w:rPr>
        <w:t xml:space="preserve"> de veintiséis de junio de dos mil veinte suscrito por el Director de Recursos Humanos de la Secretaría de Administración del Gobierno del Estado; </w:t>
      </w:r>
      <w:r w:rsidR="00775489" w:rsidRPr="00740A59">
        <w:rPr>
          <w:rFonts w:ascii="Arial" w:hAnsi="Arial" w:cs="Arial"/>
          <w:b/>
          <w:i/>
        </w:rPr>
        <w:t xml:space="preserve">b) </w:t>
      </w:r>
      <w:r w:rsidR="00775489" w:rsidRPr="00740A59">
        <w:rPr>
          <w:rFonts w:ascii="Arial" w:hAnsi="Arial" w:cs="Arial"/>
          <w:bCs/>
          <w:i/>
        </w:rPr>
        <w:t>escrito de solicitud de treinta de diciembre de dos mil diecinueve, dirigido al Director de Recursos Humanos de la Secretaría de Administración del Gobierno del Estado</w:t>
      </w:r>
      <w:r w:rsidR="008F56C8" w:rsidRPr="00740A59">
        <w:rPr>
          <w:rFonts w:ascii="Arial" w:hAnsi="Arial" w:cs="Arial"/>
          <w:bCs/>
          <w:i/>
        </w:rPr>
        <w:t xml:space="preserve">; c) nombramiento de diecinueve de febrero de dos mil diecinueve, emitido por el entonces Procurador General de Justicia del Estado; </w:t>
      </w:r>
      <w:r w:rsidR="008F56C8" w:rsidRPr="00740A59">
        <w:rPr>
          <w:rFonts w:ascii="Arial" w:hAnsi="Arial" w:cs="Arial"/>
          <w:b/>
          <w:i/>
        </w:rPr>
        <w:t>2.</w:t>
      </w:r>
      <w:r w:rsidR="008F56C8" w:rsidRPr="00740A59">
        <w:rPr>
          <w:rFonts w:ascii="Arial" w:hAnsi="Arial" w:cs="Arial"/>
          <w:bCs/>
          <w:i/>
        </w:rPr>
        <w:t xml:space="preserve"> Copia certificada del convenio de colaboración interinstitucional de veintinueve de marzo de dos mil diecinueve, suscrito por el Poder Ejecutivo del Gobierno del Estado y la Fiscalía General del Estado; </w:t>
      </w:r>
      <w:r w:rsidR="008F56C8" w:rsidRPr="00740A59">
        <w:rPr>
          <w:rFonts w:ascii="Arial" w:hAnsi="Arial" w:cs="Arial"/>
          <w:b/>
          <w:i/>
        </w:rPr>
        <w:t>3.</w:t>
      </w:r>
      <w:r w:rsidR="008F56C8" w:rsidRPr="00740A59">
        <w:rPr>
          <w:rFonts w:ascii="Arial" w:hAnsi="Arial" w:cs="Arial"/>
          <w:bCs/>
          <w:i/>
        </w:rPr>
        <w:t xml:space="preserve"> Copia certificada del Convenio de diecisiete de marzo de mil novecientos ochenta y nueve, celebrado por una parte por el Gobierno del Estado de Oaxaca y el Sindicato de Trabajadores al Servicio de los Poderes del Estado e Instituciones Descentralizadas de carácter estatal; </w:t>
      </w:r>
      <w:r w:rsidR="008F56C8" w:rsidRPr="00740A59">
        <w:rPr>
          <w:rFonts w:ascii="Arial" w:hAnsi="Arial" w:cs="Arial"/>
          <w:b/>
          <w:i/>
        </w:rPr>
        <w:t>3.</w:t>
      </w:r>
      <w:r w:rsidR="008F56C8" w:rsidRPr="00740A59">
        <w:rPr>
          <w:rFonts w:ascii="Arial" w:hAnsi="Arial" w:cs="Arial"/>
          <w:bCs/>
          <w:i/>
        </w:rPr>
        <w:t xml:space="preserve"> </w:t>
      </w:r>
      <w:r w:rsidR="00914B11" w:rsidRPr="00740A59">
        <w:rPr>
          <w:rFonts w:ascii="Arial" w:hAnsi="Arial" w:cs="Arial"/>
          <w:bCs/>
          <w:i/>
        </w:rPr>
        <w:t xml:space="preserve">(sic) </w:t>
      </w:r>
      <w:r w:rsidR="008F56C8" w:rsidRPr="00740A59">
        <w:rPr>
          <w:rFonts w:ascii="Arial" w:hAnsi="Arial" w:cs="Arial"/>
          <w:bCs/>
          <w:i/>
        </w:rPr>
        <w:t xml:space="preserve">La </w:t>
      </w:r>
      <w:proofErr w:type="spellStart"/>
      <w:r w:rsidR="008F56C8" w:rsidRPr="00740A59">
        <w:rPr>
          <w:rFonts w:ascii="Arial" w:hAnsi="Arial" w:cs="Arial"/>
          <w:bCs/>
          <w:i/>
        </w:rPr>
        <w:t>presuncional</w:t>
      </w:r>
      <w:proofErr w:type="spellEnd"/>
      <w:r w:rsidR="008F56C8" w:rsidRPr="00740A59">
        <w:rPr>
          <w:rFonts w:ascii="Arial" w:hAnsi="Arial" w:cs="Arial"/>
          <w:bCs/>
          <w:i/>
        </w:rPr>
        <w:t xml:space="preserve"> legal y humana; y 4. La instrumental de actuaciones. Por lo que con la copia </w:t>
      </w:r>
      <w:r w:rsidR="00914B11" w:rsidRPr="00740A59">
        <w:rPr>
          <w:rFonts w:ascii="Arial" w:hAnsi="Arial" w:cs="Arial"/>
          <w:bCs/>
          <w:i/>
        </w:rPr>
        <w:t xml:space="preserve">simple que acompaña </w:t>
      </w:r>
      <w:r w:rsidR="00914B11" w:rsidRPr="00740A59">
        <w:rPr>
          <w:rFonts w:ascii="Arial" w:hAnsi="Arial" w:cs="Arial"/>
          <w:b/>
          <w:i/>
        </w:rPr>
        <w:t>se ordena correr traslado</w:t>
      </w:r>
      <w:r w:rsidR="00914B11" w:rsidRPr="00740A59">
        <w:rPr>
          <w:rFonts w:ascii="Arial" w:hAnsi="Arial" w:cs="Arial"/>
          <w:bCs/>
          <w:i/>
        </w:rPr>
        <w:t xml:space="preserve"> a la parte actora, para los efectos legales correspondientes; lo anterior con fundamento en los artículos 151, 183, 184, 185, 187, 188 y 189 de la Ley de Procedimiento y Justicia Administrativa para el Estado de Oaxaca. </w:t>
      </w:r>
    </w:p>
    <w:p w14:paraId="568D7A36" w14:textId="59E7F861" w:rsidR="00914B11" w:rsidRPr="00740A59" w:rsidRDefault="00914B11" w:rsidP="00E218EC">
      <w:pPr>
        <w:spacing w:after="0"/>
        <w:ind w:left="567"/>
        <w:jc w:val="both"/>
        <w:rPr>
          <w:rFonts w:ascii="Arial" w:hAnsi="Arial" w:cs="Arial"/>
          <w:bCs/>
          <w:i/>
        </w:rPr>
      </w:pPr>
      <w:r w:rsidRPr="00740A59">
        <w:rPr>
          <w:rFonts w:ascii="Arial" w:hAnsi="Arial" w:cs="Arial"/>
          <w:bCs/>
          <w:i/>
        </w:rPr>
        <w:t>(…)</w:t>
      </w:r>
    </w:p>
    <w:p w14:paraId="33309394" w14:textId="6DCF440B" w:rsidR="00914B11" w:rsidRPr="00740A59" w:rsidRDefault="00914B11" w:rsidP="00E218EC">
      <w:pPr>
        <w:spacing w:after="0"/>
        <w:ind w:left="567"/>
        <w:jc w:val="both"/>
        <w:rPr>
          <w:rFonts w:ascii="Arial" w:hAnsi="Arial" w:cs="Arial"/>
          <w:bCs/>
          <w:i/>
        </w:rPr>
      </w:pPr>
      <w:r w:rsidRPr="00740A59">
        <w:rPr>
          <w:rFonts w:ascii="Arial" w:hAnsi="Arial" w:cs="Arial"/>
          <w:bCs/>
          <w:i/>
        </w:rPr>
        <w:t>En consecuencia, y para el efecto de no causar mayores dilaciones procesales en perjuicio de las partes, se señalan LAS CATORCE HORAS DEL OCHO DE JULIO, por así permitirlo las labores de esta Sala dada la carga de trabajo</w:t>
      </w:r>
      <w:r w:rsidR="00740A59" w:rsidRPr="00740A59">
        <w:rPr>
          <w:rFonts w:ascii="Arial" w:hAnsi="Arial" w:cs="Arial"/>
          <w:bCs/>
          <w:i/>
        </w:rPr>
        <w:t xml:space="preserve"> que existe en la misma, para la celebración de la Audiencia Final, en la que se desahogarán las pruebas ofrecidas por las partes y se recibirán los alegatos los cuales deberán ser formulados mediante escrito, lo anterior con fundamento en el artículo 174 de la Ley de la materia. (…)</w:t>
      </w:r>
    </w:p>
    <w:p w14:paraId="36EF0AC2" w14:textId="5E2D9A0E" w:rsidR="003B6CF0" w:rsidRPr="00CB6405" w:rsidRDefault="00D70AA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0CA1C3E" w14:textId="6F6B9A08" w:rsidR="00D70AA1" w:rsidRPr="00B434C8" w:rsidRDefault="00D70AA1" w:rsidP="00D70AA1">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F37539">
        <w:rPr>
          <w:rFonts w:ascii="Arial" w:hAnsi="Arial" w:cs="Arial"/>
          <w:bCs/>
          <w:iCs/>
          <w:sz w:val="26"/>
          <w:szCs w:val="26"/>
        </w:rPr>
        <w:t>3, 24 fraccio</w:t>
      </w:r>
      <w:r>
        <w:rPr>
          <w:rFonts w:ascii="Arial" w:hAnsi="Arial" w:cs="Arial"/>
          <w:bCs/>
          <w:iCs/>
          <w:sz w:val="26"/>
          <w:szCs w:val="26"/>
        </w:rPr>
        <w:t>n</w:t>
      </w:r>
      <w:r w:rsidR="00F37539">
        <w:rPr>
          <w:rFonts w:ascii="Arial" w:hAnsi="Arial" w:cs="Arial"/>
          <w:bCs/>
          <w:iCs/>
          <w:sz w:val="26"/>
          <w:szCs w:val="26"/>
        </w:rPr>
        <w:t>es</w:t>
      </w:r>
      <w:r>
        <w:rPr>
          <w:rFonts w:ascii="Arial" w:hAnsi="Arial" w:cs="Arial"/>
          <w:bCs/>
          <w:iCs/>
          <w:sz w:val="26"/>
          <w:szCs w:val="26"/>
        </w:rPr>
        <w:t xml:space="preserve"> I</w:t>
      </w:r>
      <w:r w:rsidR="00F37539">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w:t>
      </w:r>
      <w:r w:rsidR="00F37539">
        <w:rPr>
          <w:rFonts w:ascii="Arial" w:hAnsi="Arial" w:cs="Arial"/>
          <w:bCs/>
          <w:iCs/>
          <w:sz w:val="26"/>
          <w:szCs w:val="26"/>
        </w:rPr>
        <w:t>inistrativa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w:t>
      </w:r>
      <w:r w:rsidR="00FA07F6">
        <w:rPr>
          <w:rFonts w:ascii="Arial" w:hAnsi="Arial" w:cs="Arial"/>
          <w:bCs/>
          <w:iCs/>
          <w:sz w:val="26"/>
          <w:szCs w:val="26"/>
        </w:rPr>
        <w:t xml:space="preserve">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82308E">
        <w:rPr>
          <w:rFonts w:ascii="Arial" w:hAnsi="Arial" w:cs="Arial"/>
          <w:bCs/>
          <w:iCs/>
          <w:sz w:val="26"/>
          <w:szCs w:val="26"/>
        </w:rPr>
        <w:t xml:space="preserve">l </w:t>
      </w:r>
      <w:r w:rsidR="0082308E">
        <w:rPr>
          <w:rFonts w:ascii="Arial" w:hAnsi="Arial" w:cs="Arial"/>
          <w:sz w:val="26"/>
          <w:szCs w:val="26"/>
        </w:rPr>
        <w:t xml:space="preserve">acuerdo de </w:t>
      </w:r>
      <w:r w:rsidR="00740A59">
        <w:rPr>
          <w:rFonts w:ascii="Arial" w:hAnsi="Arial" w:cs="Arial"/>
          <w:sz w:val="26"/>
          <w:szCs w:val="26"/>
        </w:rPr>
        <w:t xml:space="preserve">treinta </w:t>
      </w:r>
      <w:r w:rsidR="00F37539">
        <w:rPr>
          <w:rFonts w:ascii="Arial" w:hAnsi="Arial" w:cs="Arial"/>
          <w:sz w:val="26"/>
          <w:szCs w:val="26"/>
        </w:rPr>
        <w:t xml:space="preserve">de abril </w:t>
      </w:r>
      <w:r w:rsidR="0082308E">
        <w:rPr>
          <w:rFonts w:ascii="Arial" w:hAnsi="Arial" w:cs="Arial"/>
          <w:sz w:val="26"/>
          <w:szCs w:val="26"/>
        </w:rPr>
        <w:t xml:space="preserve">de dos mil veintiuno, </w:t>
      </w:r>
      <w:r w:rsidRPr="008E3662">
        <w:rPr>
          <w:rFonts w:ascii="Arial" w:hAnsi="Arial" w:cs="Arial"/>
          <w:bCs/>
          <w:iCs/>
          <w:sz w:val="26"/>
          <w:szCs w:val="26"/>
        </w:rPr>
        <w:t>dictad</w:t>
      </w:r>
      <w:r w:rsidR="0082308E">
        <w:rPr>
          <w:rFonts w:ascii="Arial" w:hAnsi="Arial" w:cs="Arial"/>
          <w:bCs/>
          <w:iCs/>
          <w:sz w:val="26"/>
          <w:szCs w:val="26"/>
        </w:rPr>
        <w:t>o</w:t>
      </w:r>
      <w:r w:rsidRPr="008E3662">
        <w:rPr>
          <w:rFonts w:ascii="Arial" w:hAnsi="Arial" w:cs="Arial"/>
          <w:bCs/>
          <w:iCs/>
          <w:sz w:val="26"/>
          <w:szCs w:val="26"/>
        </w:rPr>
        <w:t xml:space="preserve"> por la </w:t>
      </w:r>
      <w:r>
        <w:rPr>
          <w:rFonts w:ascii="Arial" w:hAnsi="Arial" w:cs="Arial"/>
          <w:bCs/>
          <w:iCs/>
          <w:sz w:val="26"/>
          <w:szCs w:val="26"/>
        </w:rPr>
        <w:t>Primer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F37539">
        <w:rPr>
          <w:rFonts w:ascii="Arial" w:hAnsi="Arial" w:cs="Arial"/>
          <w:b/>
          <w:bCs/>
          <w:iCs/>
          <w:sz w:val="26"/>
          <w:szCs w:val="26"/>
        </w:rPr>
        <w:t>1</w:t>
      </w:r>
      <w:r w:rsidR="00740A59">
        <w:rPr>
          <w:rFonts w:ascii="Arial" w:hAnsi="Arial" w:cs="Arial"/>
          <w:b/>
          <w:bCs/>
          <w:iCs/>
          <w:sz w:val="26"/>
          <w:szCs w:val="26"/>
        </w:rPr>
        <w:t>82</w:t>
      </w:r>
      <w:r w:rsidR="00F37539">
        <w:rPr>
          <w:rFonts w:ascii="Arial" w:hAnsi="Arial" w:cs="Arial"/>
          <w:b/>
          <w:bCs/>
          <w:iCs/>
          <w:sz w:val="26"/>
          <w:szCs w:val="26"/>
        </w:rPr>
        <w:t>/20</w:t>
      </w:r>
      <w:r w:rsidR="00740A59">
        <w:rPr>
          <w:rFonts w:ascii="Arial" w:hAnsi="Arial" w:cs="Arial"/>
          <w:b/>
          <w:bCs/>
          <w:iCs/>
          <w:sz w:val="26"/>
          <w:szCs w:val="26"/>
        </w:rPr>
        <w:t>20</w:t>
      </w:r>
      <w:r w:rsidRPr="00AE78C3">
        <w:rPr>
          <w:rFonts w:ascii="Arial" w:hAnsi="Arial" w:cs="Arial"/>
          <w:b/>
          <w:bCs/>
          <w:iCs/>
          <w:sz w:val="26"/>
          <w:szCs w:val="26"/>
        </w:rPr>
        <w:t>.</w:t>
      </w:r>
      <w:r w:rsidR="00E218EC">
        <w:rPr>
          <w:rFonts w:ascii="Arial" w:hAnsi="Arial" w:cs="Arial"/>
          <w:b/>
          <w:bCs/>
          <w:iCs/>
          <w:sz w:val="26"/>
          <w:szCs w:val="26"/>
        </w:rPr>
        <w:t xml:space="preserve"> </w:t>
      </w:r>
      <w:r w:rsidR="00E218EC" w:rsidRPr="00E218EC">
        <w:rPr>
          <w:rFonts w:ascii="Arial" w:hAnsi="Arial" w:cs="Arial"/>
          <w:iCs/>
          <w:sz w:val="26"/>
          <w:szCs w:val="26"/>
        </w:rPr>
        <w:t>- - - - - - - -</w:t>
      </w:r>
      <w:r w:rsidR="00E218EC">
        <w:rPr>
          <w:rFonts w:ascii="Arial" w:hAnsi="Arial" w:cs="Arial"/>
          <w:b/>
          <w:bCs/>
          <w:iCs/>
          <w:sz w:val="26"/>
          <w:szCs w:val="26"/>
        </w:rPr>
        <w:t xml:space="preserve"> </w:t>
      </w:r>
    </w:p>
    <w:p w14:paraId="24AA5589" w14:textId="77777777" w:rsidR="00D70AA1" w:rsidRPr="00011CEC" w:rsidRDefault="00D70AA1" w:rsidP="00D70AA1">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w:t>
      </w:r>
      <w:r w:rsidRPr="00011CEC">
        <w:rPr>
          <w:rFonts w:ascii="Arial" w:eastAsia="Times New Roman" w:hAnsi="Arial" w:cs="Arial"/>
          <w:sz w:val="26"/>
          <w:szCs w:val="26"/>
        </w:rPr>
        <w:lastRenderedPageBreak/>
        <w:t xml:space="preserve">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35A02889" w14:textId="77777777" w:rsidR="00D70AA1" w:rsidRPr="00011CEC" w:rsidRDefault="00D70AA1" w:rsidP="00E218EC">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E6DBE6D" w14:textId="5F415925" w:rsidR="00A15224" w:rsidRDefault="00134D34" w:rsidP="0078066F">
      <w:pPr>
        <w:spacing w:before="240" w:after="0" w:line="360" w:lineRule="auto"/>
        <w:ind w:firstLine="709"/>
        <w:jc w:val="both"/>
        <w:rPr>
          <w:rFonts w:ascii="Arial" w:hAnsi="Arial" w:cs="Arial"/>
          <w:bCs/>
          <w:sz w:val="26"/>
          <w:szCs w:val="26"/>
        </w:rPr>
      </w:pPr>
      <w:r>
        <w:rPr>
          <w:rFonts w:ascii="Arial" w:hAnsi="Arial" w:cs="Arial"/>
          <w:b/>
          <w:sz w:val="26"/>
          <w:szCs w:val="26"/>
        </w:rPr>
        <w:t xml:space="preserve">TERCERO. </w:t>
      </w:r>
      <w:r w:rsidR="0078066F">
        <w:rPr>
          <w:rFonts w:ascii="Arial" w:hAnsi="Arial" w:cs="Arial"/>
          <w:bCs/>
          <w:sz w:val="26"/>
          <w:szCs w:val="26"/>
        </w:rPr>
        <w:t>En el único agravio del oficio de recurso de revisión número SA/SUBDCGPRH</w:t>
      </w:r>
      <w:r w:rsidR="00FE7DD2">
        <w:rPr>
          <w:rFonts w:ascii="Arial" w:hAnsi="Arial" w:cs="Arial"/>
          <w:bCs/>
          <w:sz w:val="26"/>
          <w:szCs w:val="26"/>
        </w:rPr>
        <w:t xml:space="preserve">/DRH/DLAC/385/2021, el </w:t>
      </w:r>
      <w:r w:rsidR="00FE7DD2">
        <w:rPr>
          <w:rFonts w:ascii="Arial" w:hAnsi="Arial" w:cs="Arial"/>
          <w:b/>
          <w:sz w:val="26"/>
          <w:szCs w:val="26"/>
        </w:rPr>
        <w:t xml:space="preserve">DIRECTOR DE RECURSOS HUMANOS DE LA SECRETARÍA DE ADMINISTRACIÓN DEL GOBIERNO DEL ESTADO DE OAXACA, </w:t>
      </w:r>
      <w:r w:rsidR="00FE7DD2">
        <w:rPr>
          <w:rFonts w:ascii="Arial" w:hAnsi="Arial" w:cs="Arial"/>
          <w:bCs/>
          <w:sz w:val="26"/>
          <w:szCs w:val="26"/>
        </w:rPr>
        <w:t>expone que le causa agravio el acuerdo recurrido por su falta de exhaustividad, porque no estudió en su totalidad los planteamientos realizados en la contestación de demanda de veintidós de abril de dos mil veintidós, sin percatarse de que se actualizó la figura de litisconsorcio pasivo necesario, y establecer como parte a la Fiscalía General del Estado, ya que existe relación con el actor</w:t>
      </w:r>
      <w:r w:rsidR="00D8308F">
        <w:rPr>
          <w:rFonts w:ascii="Arial" w:hAnsi="Arial" w:cs="Arial"/>
          <w:bCs/>
          <w:sz w:val="26"/>
          <w:szCs w:val="26"/>
        </w:rPr>
        <w:t xml:space="preserve"> por ser su ex trabajador</w:t>
      </w:r>
      <w:r w:rsidR="007421C9">
        <w:rPr>
          <w:rFonts w:ascii="Arial" w:hAnsi="Arial" w:cs="Arial"/>
          <w:bCs/>
          <w:sz w:val="26"/>
          <w:szCs w:val="26"/>
        </w:rPr>
        <w:t xml:space="preserve">, manifestación que se encuentra acreditada </w:t>
      </w:r>
      <w:r w:rsidR="0014229D">
        <w:rPr>
          <w:rFonts w:ascii="Arial" w:hAnsi="Arial" w:cs="Arial"/>
          <w:bCs/>
          <w:sz w:val="26"/>
          <w:szCs w:val="26"/>
        </w:rPr>
        <w:t xml:space="preserve">en autos del expediente principal, </w:t>
      </w:r>
      <w:r w:rsidR="00C96271">
        <w:rPr>
          <w:rFonts w:ascii="Arial" w:hAnsi="Arial" w:cs="Arial"/>
          <w:bCs/>
          <w:sz w:val="26"/>
          <w:szCs w:val="26"/>
        </w:rPr>
        <w:t xml:space="preserve">para que al momento de dictar sentencia, se encuentre plenamente integrada la litis, y sea válida y eficaz, siendo oídos y vencidos cada una de las partes que tienen interés en el presente asunto. </w:t>
      </w:r>
      <w:r w:rsidR="00E218EC">
        <w:rPr>
          <w:rFonts w:ascii="Arial" w:hAnsi="Arial" w:cs="Arial"/>
          <w:sz w:val="26"/>
          <w:szCs w:val="26"/>
        </w:rPr>
        <w:t xml:space="preserve">- - - - - - - - - - - - - - - - - - - - - - - - - - - - - - </w:t>
      </w:r>
    </w:p>
    <w:p w14:paraId="400C73C0" w14:textId="1EBFB9BC" w:rsidR="00C96271" w:rsidRPr="00AE1C20" w:rsidRDefault="00C96271" w:rsidP="00C96271">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Afirma la autoridad inconforme que lo anterior, fue solicitado</w:t>
      </w:r>
      <w:r w:rsidRPr="00AE1C20">
        <w:rPr>
          <w:rFonts w:ascii="Arial" w:eastAsia="Times New Roman" w:hAnsi="Arial" w:cs="Arial"/>
          <w:sz w:val="26"/>
          <w:szCs w:val="26"/>
        </w:rPr>
        <w:t xml:space="preserve"> en el escrito</w:t>
      </w:r>
      <w:r>
        <w:rPr>
          <w:rFonts w:ascii="Arial" w:eastAsia="Times New Roman" w:hAnsi="Arial" w:cs="Arial"/>
          <w:sz w:val="26"/>
          <w:szCs w:val="26"/>
        </w:rPr>
        <w:t xml:space="preserve"> de contestación de </w:t>
      </w:r>
      <w:r w:rsidRPr="00AE1C20">
        <w:rPr>
          <w:rFonts w:ascii="Arial" w:eastAsia="Times New Roman" w:hAnsi="Arial" w:cs="Arial"/>
          <w:sz w:val="26"/>
          <w:szCs w:val="26"/>
        </w:rPr>
        <w:t xml:space="preserve">demanda, </w:t>
      </w:r>
      <w:r>
        <w:rPr>
          <w:rFonts w:ascii="Arial" w:eastAsia="Times New Roman" w:hAnsi="Arial" w:cs="Arial"/>
          <w:sz w:val="26"/>
          <w:szCs w:val="26"/>
        </w:rPr>
        <w:t>pues considera que la</w:t>
      </w:r>
      <w:r w:rsidRPr="00AE1C20">
        <w:rPr>
          <w:rFonts w:ascii="Arial" w:eastAsia="Times New Roman" w:hAnsi="Arial" w:cs="Arial"/>
          <w:sz w:val="26"/>
          <w:szCs w:val="26"/>
        </w:rPr>
        <w:t xml:space="preserve"> resolución que se </w:t>
      </w:r>
      <w:r>
        <w:rPr>
          <w:rFonts w:ascii="Arial" w:eastAsia="Times New Roman" w:hAnsi="Arial" w:cs="Arial"/>
          <w:sz w:val="26"/>
          <w:szCs w:val="26"/>
        </w:rPr>
        <w:t>llegare a dictar en el presente</w:t>
      </w:r>
      <w:r w:rsidRPr="00AE1C20">
        <w:rPr>
          <w:rFonts w:ascii="Arial" w:eastAsia="Times New Roman" w:hAnsi="Arial" w:cs="Arial"/>
          <w:sz w:val="26"/>
          <w:szCs w:val="26"/>
        </w:rPr>
        <w:t xml:space="preserve"> juicio pudiera afectarle, </w:t>
      </w:r>
      <w:r>
        <w:rPr>
          <w:rFonts w:ascii="Arial" w:eastAsia="Times New Roman" w:hAnsi="Arial" w:cs="Arial"/>
          <w:sz w:val="26"/>
          <w:szCs w:val="26"/>
        </w:rPr>
        <w:t>al tratarse</w:t>
      </w:r>
      <w:r w:rsidRPr="00AE1C20">
        <w:rPr>
          <w:rFonts w:ascii="Arial" w:eastAsia="Times New Roman" w:hAnsi="Arial" w:cs="Arial"/>
          <w:sz w:val="26"/>
          <w:szCs w:val="26"/>
        </w:rPr>
        <w:t xml:space="preserve"> de una plaza del rubro de servicios personales de la Fiscalía General del </w:t>
      </w:r>
      <w:r w:rsidRPr="00AE1C20">
        <w:rPr>
          <w:rFonts w:ascii="Arial" w:eastAsia="Times New Roman" w:hAnsi="Arial" w:cs="Arial"/>
          <w:sz w:val="26"/>
          <w:szCs w:val="26"/>
        </w:rPr>
        <w:lastRenderedPageBreak/>
        <w:t xml:space="preserve">Estado, ya que </w:t>
      </w:r>
      <w:r w:rsidR="0049325A">
        <w:rPr>
          <w:rFonts w:ascii="Arial" w:eastAsia="Times New Roman" w:hAnsi="Arial" w:cs="Arial"/>
          <w:sz w:val="26"/>
          <w:szCs w:val="26"/>
        </w:rPr>
        <w:t xml:space="preserve">el </w:t>
      </w:r>
      <w:r w:rsidRPr="00AE1C20">
        <w:rPr>
          <w:rFonts w:ascii="Arial" w:eastAsia="Times New Roman" w:hAnsi="Arial" w:cs="Arial"/>
          <w:sz w:val="26"/>
          <w:szCs w:val="26"/>
        </w:rPr>
        <w:t>actor se desempeña como Agente del Ministerio Público en la</w:t>
      </w:r>
      <w:r>
        <w:rPr>
          <w:rFonts w:ascii="Arial" w:eastAsia="Times New Roman" w:hAnsi="Arial" w:cs="Arial"/>
          <w:sz w:val="26"/>
          <w:szCs w:val="26"/>
        </w:rPr>
        <w:t xml:space="preserve"> multicitada</w:t>
      </w:r>
      <w:r w:rsidRPr="00AE1C20">
        <w:rPr>
          <w:rFonts w:ascii="Arial" w:eastAsia="Times New Roman" w:hAnsi="Arial" w:cs="Arial"/>
          <w:sz w:val="26"/>
          <w:szCs w:val="26"/>
        </w:rPr>
        <w:t xml:space="preserve"> Fiscalía</w:t>
      </w:r>
      <w:r>
        <w:rPr>
          <w:rFonts w:ascii="Arial" w:eastAsia="Times New Roman" w:hAnsi="Arial" w:cs="Arial"/>
          <w:sz w:val="26"/>
          <w:szCs w:val="26"/>
        </w:rPr>
        <w:t>.</w:t>
      </w:r>
      <w:r w:rsidR="00E218EC">
        <w:rPr>
          <w:rFonts w:ascii="Arial" w:eastAsia="Times New Roman" w:hAnsi="Arial" w:cs="Arial"/>
          <w:sz w:val="26"/>
          <w:szCs w:val="26"/>
        </w:rPr>
        <w:t xml:space="preserve"> </w:t>
      </w:r>
      <w:r w:rsidR="00E218EC">
        <w:rPr>
          <w:rFonts w:ascii="Arial" w:hAnsi="Arial" w:cs="Arial"/>
          <w:sz w:val="26"/>
          <w:szCs w:val="26"/>
        </w:rPr>
        <w:t xml:space="preserve">- - - - - - - - - - - - - - - - - - - - - - - - - - - - </w:t>
      </w:r>
    </w:p>
    <w:p w14:paraId="766DBFDC" w14:textId="06B5A68C" w:rsidR="00C96271" w:rsidRPr="00FE7DD2" w:rsidRDefault="00C96271" w:rsidP="00C96271">
      <w:pPr>
        <w:spacing w:before="240" w:after="0" w:line="360" w:lineRule="auto"/>
        <w:ind w:firstLine="709"/>
        <w:jc w:val="both"/>
        <w:rPr>
          <w:rFonts w:ascii="Arial" w:hAnsi="Arial" w:cs="Arial"/>
          <w:bCs/>
          <w:sz w:val="26"/>
          <w:szCs w:val="26"/>
        </w:rPr>
      </w:pPr>
      <w:r>
        <w:rPr>
          <w:rFonts w:ascii="Arial" w:eastAsia="Times New Roman" w:hAnsi="Arial" w:cs="Arial"/>
          <w:sz w:val="26"/>
          <w:szCs w:val="26"/>
        </w:rPr>
        <w:t xml:space="preserve">Finalmente, arguye que </w:t>
      </w:r>
      <w:r w:rsidRPr="00AE1C20">
        <w:rPr>
          <w:rFonts w:ascii="Arial" w:eastAsia="Times New Roman" w:hAnsi="Arial" w:cs="Arial"/>
          <w:sz w:val="26"/>
          <w:szCs w:val="26"/>
        </w:rPr>
        <w:t>existe</w:t>
      </w:r>
      <w:r>
        <w:rPr>
          <w:rFonts w:ascii="Arial" w:eastAsia="Times New Roman" w:hAnsi="Arial" w:cs="Arial"/>
          <w:sz w:val="26"/>
          <w:szCs w:val="26"/>
        </w:rPr>
        <w:t>n</w:t>
      </w:r>
      <w:r w:rsidRPr="00AE1C20">
        <w:rPr>
          <w:rFonts w:ascii="Arial" w:eastAsia="Times New Roman" w:hAnsi="Arial" w:cs="Arial"/>
          <w:sz w:val="26"/>
          <w:szCs w:val="26"/>
        </w:rPr>
        <w:t xml:space="preserve"> antecedente</w:t>
      </w:r>
      <w:r>
        <w:rPr>
          <w:rFonts w:ascii="Arial" w:eastAsia="Times New Roman" w:hAnsi="Arial" w:cs="Arial"/>
          <w:sz w:val="26"/>
          <w:szCs w:val="26"/>
        </w:rPr>
        <w:t xml:space="preserve">s donde este Tribunal ha llamado a juicio a </w:t>
      </w:r>
      <w:r w:rsidRPr="00AE1C20">
        <w:rPr>
          <w:rFonts w:ascii="Arial" w:eastAsia="Times New Roman" w:hAnsi="Arial" w:cs="Arial"/>
          <w:sz w:val="26"/>
          <w:szCs w:val="26"/>
        </w:rPr>
        <w:t>la Fiscalía General de Estado,</w:t>
      </w:r>
      <w:r>
        <w:rPr>
          <w:rFonts w:ascii="Arial" w:eastAsia="Times New Roman" w:hAnsi="Arial" w:cs="Arial"/>
          <w:sz w:val="26"/>
          <w:szCs w:val="26"/>
        </w:rPr>
        <w:t xml:space="preserve"> a solicitud de la dirección que representa.</w:t>
      </w:r>
      <w:r w:rsidR="00E218EC">
        <w:rPr>
          <w:rFonts w:ascii="Arial" w:eastAsia="Times New Roman" w:hAnsi="Arial" w:cs="Arial"/>
          <w:sz w:val="26"/>
          <w:szCs w:val="26"/>
        </w:rPr>
        <w:t xml:space="preserve"> </w:t>
      </w:r>
      <w:r w:rsidR="00E218EC">
        <w:rPr>
          <w:rFonts w:ascii="Arial" w:hAnsi="Arial" w:cs="Arial"/>
          <w:sz w:val="26"/>
          <w:szCs w:val="26"/>
        </w:rPr>
        <w:t xml:space="preserve">- - - - - - - - - - - - - - - - - - - - - - - - - - - - - - - - - </w:t>
      </w:r>
    </w:p>
    <w:p w14:paraId="2F8063C9" w14:textId="7CF4FF59" w:rsidR="0078066F" w:rsidRDefault="0049325A" w:rsidP="0078066F">
      <w:pPr>
        <w:spacing w:before="240" w:after="0" w:line="360" w:lineRule="auto"/>
        <w:ind w:firstLine="709"/>
        <w:jc w:val="both"/>
        <w:rPr>
          <w:rFonts w:ascii="Arial" w:eastAsia="Calibri" w:hAnsi="Arial" w:cs="Arial"/>
          <w:sz w:val="26"/>
          <w:szCs w:val="26"/>
        </w:rPr>
      </w:pPr>
      <w:r>
        <w:rPr>
          <w:rFonts w:ascii="Arial" w:eastAsia="Calibri" w:hAnsi="Arial" w:cs="Arial"/>
          <w:sz w:val="26"/>
          <w:szCs w:val="26"/>
        </w:rPr>
        <w:t xml:space="preserve">Esta Sala Superior estima que es </w:t>
      </w:r>
      <w:r w:rsidRPr="0049325A">
        <w:rPr>
          <w:rFonts w:ascii="Arial" w:eastAsia="Calibri" w:hAnsi="Arial" w:cs="Arial"/>
          <w:b/>
          <w:bCs/>
          <w:sz w:val="26"/>
          <w:szCs w:val="26"/>
        </w:rPr>
        <w:t>SUSTANCIALMENTE FUNDADO</w:t>
      </w:r>
      <w:r>
        <w:rPr>
          <w:rFonts w:ascii="Arial" w:eastAsia="Calibri" w:hAnsi="Arial" w:cs="Arial"/>
          <w:sz w:val="26"/>
          <w:szCs w:val="26"/>
        </w:rPr>
        <w:t xml:space="preserve"> el agravio de la autoridad inconforme.</w:t>
      </w:r>
      <w:r w:rsidR="00E218EC">
        <w:rPr>
          <w:rFonts w:ascii="Arial" w:eastAsia="Calibri" w:hAnsi="Arial" w:cs="Arial"/>
          <w:sz w:val="26"/>
          <w:szCs w:val="26"/>
        </w:rPr>
        <w:t xml:space="preserve"> </w:t>
      </w:r>
      <w:r w:rsidR="00E218EC">
        <w:rPr>
          <w:rFonts w:ascii="Arial" w:hAnsi="Arial" w:cs="Arial"/>
          <w:sz w:val="26"/>
          <w:szCs w:val="26"/>
        </w:rPr>
        <w:t xml:space="preserve">- - - - - - - - - - - - - - - - </w:t>
      </w:r>
    </w:p>
    <w:p w14:paraId="6E45DEE6" w14:textId="562CCF25" w:rsidR="00057A7C" w:rsidRDefault="008322EA" w:rsidP="00F76F78">
      <w:pPr>
        <w:spacing w:before="240" w:after="0" w:line="360" w:lineRule="auto"/>
        <w:ind w:firstLine="709"/>
        <w:jc w:val="both"/>
        <w:rPr>
          <w:rFonts w:ascii="Arial" w:eastAsia="Calibri" w:hAnsi="Arial" w:cs="Arial"/>
          <w:bCs/>
          <w:sz w:val="26"/>
          <w:szCs w:val="26"/>
          <w:lang w:val="es-ES" w:eastAsia="en-US"/>
        </w:rPr>
      </w:pPr>
      <w:r>
        <w:rPr>
          <w:rFonts w:ascii="Arial" w:eastAsia="Calibri" w:hAnsi="Arial" w:cs="Arial"/>
          <w:bCs/>
          <w:sz w:val="26"/>
          <w:szCs w:val="26"/>
          <w:lang w:eastAsia="en-US"/>
        </w:rPr>
        <w:t>D</w:t>
      </w:r>
      <w:proofErr w:type="spellStart"/>
      <w:r w:rsidRPr="007D470A">
        <w:rPr>
          <w:rFonts w:ascii="Arial" w:eastAsia="Calibri" w:hAnsi="Arial" w:cs="Arial"/>
          <w:bCs/>
          <w:sz w:val="26"/>
          <w:szCs w:val="26"/>
          <w:lang w:val="es-ES" w:eastAsia="en-US"/>
        </w:rPr>
        <w:t>e</w:t>
      </w:r>
      <w:proofErr w:type="spellEnd"/>
      <w:r w:rsidRPr="007D470A">
        <w:rPr>
          <w:rFonts w:ascii="Arial" w:eastAsia="Calibri" w:hAnsi="Arial" w:cs="Arial"/>
          <w:bCs/>
          <w:sz w:val="26"/>
          <w:szCs w:val="26"/>
          <w:lang w:val="es-ES" w:eastAsia="en-US"/>
        </w:rPr>
        <w:t xml:space="preserve"> las constancias procesales que integran el expediente de primera instancia, </w:t>
      </w:r>
      <w:r>
        <w:rPr>
          <w:rFonts w:ascii="Arial" w:eastAsia="Calibri" w:hAnsi="Arial" w:cs="Arial"/>
          <w:bCs/>
          <w:sz w:val="26"/>
          <w:szCs w:val="26"/>
          <w:lang w:val="es-ES" w:eastAsia="en-US"/>
        </w:rPr>
        <w:t>con</w:t>
      </w:r>
      <w:r w:rsidRPr="007D470A">
        <w:rPr>
          <w:rFonts w:ascii="Arial" w:eastAsia="Calibri" w:hAnsi="Arial" w:cs="Arial"/>
          <w:bCs/>
          <w:sz w:val="26"/>
          <w:szCs w:val="26"/>
          <w:lang w:val="es-ES" w:eastAsia="en-US"/>
        </w:rPr>
        <w:t xml:space="preserve"> pleno valor probatorio conforme</w:t>
      </w:r>
      <w:r>
        <w:rPr>
          <w:rFonts w:ascii="Arial" w:eastAsia="Calibri" w:hAnsi="Arial" w:cs="Arial"/>
          <w:bCs/>
          <w:sz w:val="26"/>
          <w:szCs w:val="26"/>
          <w:lang w:val="es-ES" w:eastAsia="en-US"/>
        </w:rPr>
        <w:t xml:space="preserve"> a</w:t>
      </w:r>
      <w:r w:rsidRPr="007D470A">
        <w:rPr>
          <w:rFonts w:ascii="Arial" w:eastAsia="Calibri" w:hAnsi="Arial" w:cs="Arial"/>
          <w:bCs/>
          <w:sz w:val="26"/>
          <w:szCs w:val="26"/>
          <w:lang w:val="es-ES" w:eastAsia="en-US"/>
        </w:rPr>
        <w:t xml:space="preserve"> lo dispuesto por el artículo 203 fracción I</w:t>
      </w:r>
      <w:r w:rsidRPr="007D470A">
        <w:rPr>
          <w:rFonts w:ascii="Arial" w:eastAsia="Calibri" w:hAnsi="Arial" w:cs="Arial"/>
          <w:bCs/>
          <w:sz w:val="26"/>
          <w:szCs w:val="26"/>
          <w:vertAlign w:val="superscript"/>
          <w:lang w:val="es-ES" w:eastAsia="en-US"/>
        </w:rPr>
        <w:footnoteReference w:id="1"/>
      </w:r>
      <w:r w:rsidRPr="007D470A">
        <w:rPr>
          <w:rFonts w:ascii="Arial" w:eastAsia="Calibri" w:hAnsi="Arial" w:cs="Arial"/>
          <w:bCs/>
          <w:sz w:val="26"/>
          <w:szCs w:val="26"/>
          <w:lang w:val="es-ES" w:eastAsia="en-US"/>
        </w:rPr>
        <w:t xml:space="preserve"> de la Ley de Procedimiento y Justicia Administrativa para el Estado de Oaxaca, por tratarse de actuaciones judiciales, se advierte que</w:t>
      </w:r>
      <w:r w:rsidR="00057A7C">
        <w:rPr>
          <w:rFonts w:ascii="Arial" w:eastAsia="Calibri" w:hAnsi="Arial" w:cs="Arial"/>
          <w:bCs/>
          <w:sz w:val="26"/>
          <w:szCs w:val="26"/>
          <w:lang w:val="es-ES" w:eastAsia="en-US"/>
        </w:rPr>
        <w:t xml:space="preserve"> en la demanda, el actor </w:t>
      </w:r>
      <w:r w:rsidR="00D412F4">
        <w:rPr>
          <w:rFonts w:ascii="Arial" w:eastAsia="Calibri" w:hAnsi="Arial" w:cs="Arial"/>
          <w:b/>
          <w:sz w:val="26"/>
          <w:szCs w:val="26"/>
          <w:lang w:val="es-ES" w:eastAsia="en-US"/>
        </w:rPr>
        <w:t>*******</w:t>
      </w:r>
      <w:r w:rsidR="00057A7C">
        <w:rPr>
          <w:rFonts w:ascii="Arial" w:eastAsia="Calibri" w:hAnsi="Arial" w:cs="Arial"/>
          <w:bCs/>
          <w:sz w:val="26"/>
          <w:szCs w:val="26"/>
          <w:lang w:val="es-ES" w:eastAsia="en-US"/>
        </w:rPr>
        <w:t xml:space="preserve"> expresó lo siguiente: </w:t>
      </w:r>
    </w:p>
    <w:p w14:paraId="2E38DF2A" w14:textId="1DE06CFC" w:rsidR="009026A3" w:rsidRPr="00653434" w:rsidRDefault="009026A3" w:rsidP="00E218EC">
      <w:pPr>
        <w:spacing w:before="240" w:after="0"/>
        <w:ind w:left="567" w:right="616"/>
        <w:jc w:val="both"/>
        <w:rPr>
          <w:rFonts w:ascii="Arial" w:eastAsia="Calibri" w:hAnsi="Arial" w:cs="Arial"/>
          <w:bCs/>
          <w:i/>
          <w:iCs/>
          <w:lang w:val="es-ES" w:eastAsia="en-US"/>
        </w:rPr>
      </w:pPr>
      <w:r w:rsidRPr="00653434">
        <w:rPr>
          <w:rFonts w:ascii="Arial" w:eastAsia="Calibri" w:hAnsi="Arial" w:cs="Arial"/>
          <w:bCs/>
          <w:i/>
          <w:iCs/>
          <w:lang w:val="es-ES" w:eastAsia="en-US"/>
        </w:rPr>
        <w:t>“IV.- RESOLUCIÓN O ACTO ADMINISTRATIVO QUE SE IMPUGNA:</w:t>
      </w:r>
    </w:p>
    <w:p w14:paraId="45C1D02B" w14:textId="0AFD6677" w:rsidR="009026A3" w:rsidRPr="00653434" w:rsidRDefault="009026A3" w:rsidP="00E218EC">
      <w:pPr>
        <w:spacing w:before="240" w:after="0"/>
        <w:ind w:left="567" w:right="616"/>
        <w:jc w:val="both"/>
        <w:rPr>
          <w:rFonts w:ascii="Arial" w:eastAsia="Calibri" w:hAnsi="Arial" w:cs="Arial"/>
          <w:bCs/>
          <w:i/>
          <w:iCs/>
          <w:lang w:val="es-ES" w:eastAsia="en-US"/>
        </w:rPr>
      </w:pPr>
      <w:r w:rsidRPr="00653434">
        <w:rPr>
          <w:rFonts w:ascii="Arial" w:eastAsia="Calibri" w:hAnsi="Arial" w:cs="Arial"/>
          <w:bCs/>
          <w:i/>
          <w:iCs/>
          <w:lang w:val="es-ES" w:eastAsia="en-US"/>
        </w:rPr>
        <w:t xml:space="preserve">El oficio número </w:t>
      </w:r>
      <w:r w:rsidR="00D412F4">
        <w:rPr>
          <w:rFonts w:ascii="Arial" w:eastAsia="Calibri" w:hAnsi="Arial" w:cs="Arial"/>
          <w:bCs/>
          <w:i/>
          <w:iCs/>
          <w:lang w:val="es-ES" w:eastAsia="en-US"/>
        </w:rPr>
        <w:t>*******</w:t>
      </w:r>
      <w:r w:rsidRPr="00653434">
        <w:rPr>
          <w:rFonts w:ascii="Arial" w:eastAsia="Calibri" w:hAnsi="Arial" w:cs="Arial"/>
          <w:bCs/>
          <w:i/>
          <w:iCs/>
          <w:lang w:val="es-ES" w:eastAsia="en-US"/>
        </w:rPr>
        <w:t>, de fecha 26 de junio de 2020, signado por el C.P. José de Jesús Cisneros Pérez, Director de Recursos Humanos, de la Secretaría de Administración del Gobierno del Estado de Oaxaca, que contiene:</w:t>
      </w:r>
    </w:p>
    <w:p w14:paraId="0D2F1E98" w14:textId="31AFFF63" w:rsidR="009026A3" w:rsidRPr="00653434" w:rsidRDefault="009026A3" w:rsidP="00E218EC">
      <w:pPr>
        <w:pStyle w:val="Prrafodelista"/>
        <w:numPr>
          <w:ilvl w:val="0"/>
          <w:numId w:val="14"/>
        </w:numPr>
        <w:spacing w:before="240" w:after="0"/>
        <w:ind w:left="567" w:right="616" w:firstLine="0"/>
        <w:jc w:val="both"/>
        <w:rPr>
          <w:rFonts w:ascii="Arial" w:eastAsia="Calibri" w:hAnsi="Arial" w:cs="Arial"/>
          <w:bCs/>
          <w:i/>
          <w:iCs/>
          <w:lang w:val="es-ES" w:eastAsia="en-US"/>
        </w:rPr>
      </w:pPr>
      <w:r w:rsidRPr="00653434">
        <w:rPr>
          <w:rFonts w:ascii="Arial" w:eastAsia="Calibri" w:hAnsi="Arial" w:cs="Arial"/>
          <w:bCs/>
          <w:i/>
          <w:iCs/>
          <w:lang w:val="es-ES" w:eastAsia="en-US"/>
        </w:rPr>
        <w:t>La negativa de dar respuesta a mi petición para que las cantidades de dinero correspondiente a los quinquenios que tengo laborados como empleado de confianza del Gobierno del Estado de Oaxaca, me sean pagados de acuerdo con la tabla establecida por el artículo 34 Bis de la Ley del Servicio Civil para los Empleados del Gobierno del Estado.</w:t>
      </w:r>
    </w:p>
    <w:p w14:paraId="47E54F82" w14:textId="3786AB9D" w:rsidR="009026A3" w:rsidRPr="00653434" w:rsidRDefault="009026A3" w:rsidP="00E218EC">
      <w:pPr>
        <w:pStyle w:val="Prrafodelista"/>
        <w:numPr>
          <w:ilvl w:val="0"/>
          <w:numId w:val="14"/>
        </w:numPr>
        <w:spacing w:before="240" w:after="0"/>
        <w:ind w:left="567" w:right="616" w:firstLine="0"/>
        <w:jc w:val="both"/>
        <w:rPr>
          <w:rFonts w:ascii="Arial" w:eastAsia="Calibri" w:hAnsi="Arial" w:cs="Arial"/>
          <w:bCs/>
          <w:i/>
          <w:iCs/>
          <w:lang w:val="es-ES" w:eastAsia="en-US"/>
        </w:rPr>
      </w:pPr>
      <w:r w:rsidRPr="00653434">
        <w:rPr>
          <w:rFonts w:ascii="Arial" w:eastAsia="Calibri" w:hAnsi="Arial" w:cs="Arial"/>
          <w:bCs/>
          <w:i/>
          <w:iCs/>
          <w:lang w:val="es-ES" w:eastAsia="en-US"/>
        </w:rPr>
        <w:t xml:space="preserve">La negativa de dar respuesta a mi petición para pagarme las diferencias de las cantidades de dinero resultantes entre lo que se me estuvo pagando por concepto de quinquenios y las que no me fueron pagadas, de acuerdo con la tabla establecida por el artículo </w:t>
      </w:r>
      <w:r w:rsidR="00FC263A" w:rsidRPr="00653434">
        <w:rPr>
          <w:rFonts w:ascii="Arial" w:eastAsia="Calibri" w:hAnsi="Arial" w:cs="Arial"/>
          <w:bCs/>
          <w:i/>
          <w:iCs/>
          <w:lang w:val="es-ES" w:eastAsia="en-US"/>
        </w:rPr>
        <w:t>34 Bis de la Ley del Servicio Civil para los Empleados del Gobierno del Estado.</w:t>
      </w:r>
    </w:p>
    <w:p w14:paraId="5188DC05" w14:textId="0457ACA1" w:rsidR="00057A7C" w:rsidRPr="00653434" w:rsidRDefault="00FC263A" w:rsidP="00E218EC">
      <w:pPr>
        <w:spacing w:before="240" w:after="0"/>
        <w:ind w:left="567" w:right="616"/>
        <w:jc w:val="both"/>
        <w:rPr>
          <w:rFonts w:ascii="Arial" w:eastAsia="Calibri" w:hAnsi="Arial" w:cs="Arial"/>
          <w:bCs/>
          <w:i/>
          <w:iCs/>
          <w:lang w:val="es-ES" w:eastAsia="en-US"/>
        </w:rPr>
      </w:pPr>
      <w:r w:rsidRPr="00653434">
        <w:rPr>
          <w:rFonts w:ascii="Arial" w:eastAsia="Calibri" w:hAnsi="Arial" w:cs="Arial"/>
          <w:bCs/>
          <w:i/>
          <w:iCs/>
          <w:lang w:val="es-ES" w:eastAsia="en-US"/>
        </w:rPr>
        <w:t>(…)</w:t>
      </w:r>
    </w:p>
    <w:p w14:paraId="32864C4B" w14:textId="052619BF" w:rsidR="00FC263A" w:rsidRPr="00653434" w:rsidRDefault="00FC263A" w:rsidP="00E218EC">
      <w:pPr>
        <w:spacing w:before="240" w:after="0"/>
        <w:ind w:left="567" w:right="616"/>
        <w:jc w:val="both"/>
        <w:rPr>
          <w:rFonts w:ascii="Arial" w:eastAsia="Calibri" w:hAnsi="Arial" w:cs="Arial"/>
          <w:bCs/>
          <w:i/>
          <w:iCs/>
          <w:lang w:val="es-ES" w:eastAsia="en-US"/>
        </w:rPr>
      </w:pPr>
      <w:r w:rsidRPr="00653434">
        <w:rPr>
          <w:rFonts w:ascii="Arial" w:eastAsia="Calibri" w:hAnsi="Arial" w:cs="Arial"/>
          <w:bCs/>
          <w:i/>
          <w:iCs/>
          <w:lang w:val="es-ES" w:eastAsia="en-US"/>
        </w:rPr>
        <w:t xml:space="preserve">1.- Fui empleado activo del Gobierno del Estado de Oaxaca, por más de 29 años de servicio, la mayor parte en la otrora Procuraduría General de Justicia del Estado de Oaxaca, hoy Fiscalía General del Estado de Oaxaca, con nombramiento de agente del Ministerio Público. Esto lo justifico con las copias </w:t>
      </w:r>
      <w:r w:rsidR="00653434" w:rsidRPr="00653434">
        <w:rPr>
          <w:rFonts w:ascii="Arial" w:eastAsia="Calibri" w:hAnsi="Arial" w:cs="Arial"/>
          <w:bCs/>
          <w:i/>
          <w:iCs/>
          <w:lang w:val="es-ES" w:eastAsia="en-US"/>
        </w:rPr>
        <w:t>simples de dicho nombramiento.”</w:t>
      </w:r>
    </w:p>
    <w:p w14:paraId="65D98DD7" w14:textId="14123770" w:rsidR="00F76F78" w:rsidRDefault="001D7B8B" w:rsidP="00F76F78">
      <w:pPr>
        <w:spacing w:before="240" w:after="0" w:line="360" w:lineRule="auto"/>
        <w:ind w:firstLine="709"/>
        <w:jc w:val="both"/>
        <w:rPr>
          <w:rFonts w:ascii="Arial" w:eastAsia="Calibri" w:hAnsi="Arial" w:cs="Arial"/>
          <w:bCs/>
          <w:sz w:val="26"/>
          <w:szCs w:val="26"/>
          <w:lang w:val="es-ES" w:eastAsia="en-US"/>
        </w:rPr>
      </w:pPr>
      <w:r>
        <w:rPr>
          <w:rFonts w:ascii="Arial" w:eastAsia="Calibri" w:hAnsi="Arial" w:cs="Arial"/>
          <w:bCs/>
          <w:sz w:val="26"/>
          <w:szCs w:val="26"/>
          <w:lang w:val="es-ES" w:eastAsia="en-US"/>
        </w:rPr>
        <w:lastRenderedPageBreak/>
        <w:t xml:space="preserve">Por su parte, </w:t>
      </w:r>
      <w:r w:rsidR="00057A7C">
        <w:rPr>
          <w:rFonts w:ascii="Arial" w:eastAsia="Calibri" w:hAnsi="Arial" w:cs="Arial"/>
          <w:bCs/>
          <w:sz w:val="26"/>
          <w:szCs w:val="26"/>
          <w:lang w:val="es-ES" w:eastAsia="en-US"/>
        </w:rPr>
        <w:t xml:space="preserve">en el </w:t>
      </w:r>
      <w:r w:rsidR="008322EA">
        <w:rPr>
          <w:rFonts w:ascii="Arial" w:eastAsia="Calibri" w:hAnsi="Arial" w:cs="Arial"/>
          <w:bCs/>
          <w:sz w:val="26"/>
          <w:szCs w:val="26"/>
          <w:lang w:val="es-ES" w:eastAsia="en-US"/>
        </w:rPr>
        <w:t>oficio de contestación de demanda número</w:t>
      </w:r>
      <w:r w:rsidR="00F76F78">
        <w:rPr>
          <w:rFonts w:ascii="Arial" w:eastAsia="Calibri" w:hAnsi="Arial" w:cs="Arial"/>
          <w:bCs/>
          <w:sz w:val="26"/>
          <w:szCs w:val="26"/>
          <w:lang w:val="es-ES" w:eastAsia="en-US"/>
        </w:rPr>
        <w:t xml:space="preserve"> </w:t>
      </w:r>
      <w:r w:rsidR="00D412F4">
        <w:rPr>
          <w:rFonts w:ascii="Arial" w:eastAsia="Calibri" w:hAnsi="Arial" w:cs="Arial"/>
          <w:bCs/>
          <w:sz w:val="26"/>
          <w:szCs w:val="26"/>
          <w:lang w:val="es-ES" w:eastAsia="en-US"/>
        </w:rPr>
        <w:t>*******</w:t>
      </w:r>
      <w:r w:rsidR="00057A7C">
        <w:rPr>
          <w:rFonts w:ascii="Arial" w:eastAsia="Calibri" w:hAnsi="Arial" w:cs="Arial"/>
          <w:bCs/>
          <w:sz w:val="26"/>
          <w:szCs w:val="26"/>
          <w:lang w:val="es-ES" w:eastAsia="en-US"/>
        </w:rPr>
        <w:t xml:space="preserve"> de </w:t>
      </w:r>
      <w:r w:rsidR="00F76F78">
        <w:rPr>
          <w:rFonts w:ascii="Arial" w:eastAsia="Calibri" w:hAnsi="Arial" w:cs="Arial"/>
          <w:bCs/>
          <w:sz w:val="26"/>
          <w:szCs w:val="26"/>
          <w:lang w:val="es-ES" w:eastAsia="en-US"/>
        </w:rPr>
        <w:t>veinti</w:t>
      </w:r>
      <w:r w:rsidR="00057A7C">
        <w:rPr>
          <w:rFonts w:ascii="Arial" w:eastAsia="Calibri" w:hAnsi="Arial" w:cs="Arial"/>
          <w:bCs/>
          <w:sz w:val="26"/>
          <w:szCs w:val="26"/>
          <w:lang w:val="es-ES" w:eastAsia="en-US"/>
        </w:rPr>
        <w:t>dós</w:t>
      </w:r>
      <w:r w:rsidR="00F76F78">
        <w:rPr>
          <w:rFonts w:ascii="Arial" w:eastAsia="Calibri" w:hAnsi="Arial" w:cs="Arial"/>
          <w:bCs/>
          <w:sz w:val="26"/>
          <w:szCs w:val="26"/>
          <w:lang w:val="es-ES" w:eastAsia="en-US"/>
        </w:rPr>
        <w:t xml:space="preserve"> de </w:t>
      </w:r>
      <w:r w:rsidR="00057A7C">
        <w:rPr>
          <w:rFonts w:ascii="Arial" w:eastAsia="Calibri" w:hAnsi="Arial" w:cs="Arial"/>
          <w:bCs/>
          <w:sz w:val="26"/>
          <w:szCs w:val="26"/>
          <w:lang w:val="es-ES" w:eastAsia="en-US"/>
        </w:rPr>
        <w:t>abril</w:t>
      </w:r>
      <w:r w:rsidR="00F76F78">
        <w:rPr>
          <w:rFonts w:ascii="Arial" w:eastAsia="Calibri" w:hAnsi="Arial" w:cs="Arial"/>
          <w:bCs/>
          <w:sz w:val="26"/>
          <w:szCs w:val="26"/>
          <w:lang w:val="es-ES" w:eastAsia="en-US"/>
        </w:rPr>
        <w:t xml:space="preserve"> de dos mil veint</w:t>
      </w:r>
      <w:r w:rsidR="00057A7C">
        <w:rPr>
          <w:rFonts w:ascii="Arial" w:eastAsia="Calibri" w:hAnsi="Arial" w:cs="Arial"/>
          <w:bCs/>
          <w:sz w:val="26"/>
          <w:szCs w:val="26"/>
          <w:lang w:val="es-ES" w:eastAsia="en-US"/>
        </w:rPr>
        <w:t>iuno</w:t>
      </w:r>
      <w:r w:rsidR="00F76F78">
        <w:rPr>
          <w:rStyle w:val="Refdenotaalpie"/>
          <w:rFonts w:ascii="Arial" w:eastAsia="Calibri" w:hAnsi="Arial" w:cs="Arial"/>
          <w:bCs/>
          <w:sz w:val="26"/>
          <w:szCs w:val="26"/>
          <w:lang w:val="es-ES" w:eastAsia="en-US"/>
        </w:rPr>
        <w:footnoteReference w:id="2"/>
      </w:r>
      <w:r w:rsidR="00F76F78">
        <w:rPr>
          <w:rFonts w:ascii="Arial" w:eastAsia="Calibri" w:hAnsi="Arial" w:cs="Arial"/>
          <w:bCs/>
          <w:sz w:val="26"/>
          <w:szCs w:val="26"/>
          <w:lang w:val="es-ES" w:eastAsia="en-US"/>
        </w:rPr>
        <w:t>, el Director de Recurso</w:t>
      </w:r>
      <w:r w:rsidR="00057A7C">
        <w:rPr>
          <w:rFonts w:ascii="Arial" w:eastAsia="Calibri" w:hAnsi="Arial" w:cs="Arial"/>
          <w:bCs/>
          <w:sz w:val="26"/>
          <w:szCs w:val="26"/>
          <w:lang w:val="es-ES" w:eastAsia="en-US"/>
        </w:rPr>
        <w:t>s</w:t>
      </w:r>
      <w:r w:rsidR="00F76F78">
        <w:rPr>
          <w:rFonts w:ascii="Arial" w:eastAsia="Calibri" w:hAnsi="Arial" w:cs="Arial"/>
          <w:bCs/>
          <w:sz w:val="26"/>
          <w:szCs w:val="26"/>
          <w:lang w:val="es-ES" w:eastAsia="en-US"/>
        </w:rPr>
        <w:t xml:space="preserve"> Humanos de la Secretaría de Administración del Estado de Oaxaca, </w:t>
      </w:r>
      <w:r w:rsidR="00057A7C">
        <w:rPr>
          <w:rFonts w:ascii="Arial" w:eastAsia="Calibri" w:hAnsi="Arial" w:cs="Arial"/>
          <w:bCs/>
          <w:sz w:val="26"/>
          <w:szCs w:val="26"/>
          <w:lang w:val="es-ES" w:eastAsia="en-US"/>
        </w:rPr>
        <w:t xml:space="preserve">señaló lo </w:t>
      </w:r>
      <w:r>
        <w:rPr>
          <w:rFonts w:ascii="Arial" w:eastAsia="Calibri" w:hAnsi="Arial" w:cs="Arial"/>
          <w:bCs/>
          <w:sz w:val="26"/>
          <w:szCs w:val="26"/>
          <w:lang w:val="es-ES" w:eastAsia="en-US"/>
        </w:rPr>
        <w:t>que a continuación se inserta:</w:t>
      </w:r>
    </w:p>
    <w:p w14:paraId="3BF69BA0" w14:textId="35A9571F" w:rsidR="00F76F78" w:rsidRPr="00504B38" w:rsidRDefault="00F76F78" w:rsidP="00E218EC">
      <w:pPr>
        <w:spacing w:before="240" w:after="0"/>
        <w:ind w:left="709" w:right="758"/>
        <w:jc w:val="both"/>
        <w:rPr>
          <w:rFonts w:ascii="Arial" w:hAnsi="Arial" w:cs="Arial"/>
          <w:i/>
          <w:color w:val="222222"/>
          <w:shd w:val="clear" w:color="auto" w:fill="FFFFFF"/>
        </w:rPr>
      </w:pPr>
      <w:r>
        <w:rPr>
          <w:rFonts w:ascii="Arial" w:hAnsi="Arial" w:cs="Arial"/>
          <w:i/>
          <w:color w:val="222222"/>
          <w:shd w:val="clear" w:color="auto" w:fill="FFFFFF"/>
        </w:rPr>
        <w:t xml:space="preserve"> </w:t>
      </w:r>
      <w:r w:rsidR="00E5655B">
        <w:rPr>
          <w:rFonts w:ascii="Arial" w:hAnsi="Arial" w:cs="Arial"/>
          <w:i/>
          <w:color w:val="222222"/>
          <w:shd w:val="clear" w:color="auto" w:fill="FFFFFF"/>
        </w:rPr>
        <w:t xml:space="preserve">“… es necesario que redirija su petición a la Fiscalía General del Estado, en virtud de que dicho Organismo </w:t>
      </w:r>
      <w:r w:rsidR="00090028">
        <w:rPr>
          <w:rFonts w:ascii="Arial" w:hAnsi="Arial" w:cs="Arial"/>
          <w:i/>
          <w:color w:val="222222"/>
          <w:shd w:val="clear" w:color="auto" w:fill="FFFFFF"/>
        </w:rPr>
        <w:t xml:space="preserve">siempre ha sido responsable de </w:t>
      </w:r>
      <w:r w:rsidR="00504B38">
        <w:rPr>
          <w:rFonts w:ascii="Arial" w:hAnsi="Arial" w:cs="Arial"/>
          <w:i/>
          <w:color w:val="222222"/>
          <w:shd w:val="clear" w:color="auto" w:fill="FFFFFF"/>
        </w:rPr>
        <w:t xml:space="preserve">administrar sus recursos humanos, financieros, materiales y demás a su cargo… la Fiscalía General es la única responsable de las relaciones o derechos laborales, sueldos o prestaciones u otra que derive de la misma relación con sus trabajadores de confianza, de acuerdo con la normatividad aplicable…al ser personal jubilado de la </w:t>
      </w:r>
      <w:r w:rsidR="00A942D4">
        <w:rPr>
          <w:rFonts w:ascii="Arial" w:hAnsi="Arial" w:cs="Arial"/>
          <w:i/>
          <w:color w:val="222222"/>
          <w:shd w:val="clear" w:color="auto" w:fill="FFFFFF"/>
        </w:rPr>
        <w:t xml:space="preserve">Fiscalía General del Estado, tal y como lo refiere en su escrito de cuenta y que solicita una explicación de quinquenios como trabajador de dicha Institución, </w:t>
      </w:r>
      <w:r w:rsidR="00A942D4" w:rsidRPr="00A942D4">
        <w:rPr>
          <w:rFonts w:ascii="Arial" w:hAnsi="Arial" w:cs="Arial"/>
          <w:b/>
          <w:bCs/>
          <w:i/>
          <w:color w:val="222222"/>
          <w:shd w:val="clear" w:color="auto" w:fill="FFFFFF"/>
        </w:rPr>
        <w:t>es necesario que redirija su petición a la Fiscalía General del Estado</w:t>
      </w:r>
      <w:r w:rsidR="00A942D4">
        <w:rPr>
          <w:rFonts w:ascii="Arial" w:hAnsi="Arial" w:cs="Arial"/>
          <w:i/>
          <w:color w:val="222222"/>
          <w:shd w:val="clear" w:color="auto" w:fill="FFFFFF"/>
        </w:rPr>
        <w:t>…</w:t>
      </w:r>
      <w:r w:rsidR="00504B38">
        <w:rPr>
          <w:rFonts w:ascii="Arial" w:hAnsi="Arial" w:cs="Arial"/>
          <w:i/>
          <w:color w:val="222222"/>
          <w:shd w:val="clear" w:color="auto" w:fill="FFFFFF"/>
        </w:rPr>
        <w:t>”</w:t>
      </w:r>
      <w:r w:rsidR="00E5655B">
        <w:rPr>
          <w:rFonts w:ascii="Arial" w:hAnsi="Arial" w:cs="Arial"/>
          <w:i/>
          <w:color w:val="222222"/>
          <w:shd w:val="clear" w:color="auto" w:fill="FFFFFF"/>
        </w:rPr>
        <w:t xml:space="preserve"> </w:t>
      </w:r>
    </w:p>
    <w:p w14:paraId="7EBD212A" w14:textId="7FFEFD80" w:rsidR="00F76F78" w:rsidRDefault="00F76F78" w:rsidP="00F76F78">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De l</w:t>
      </w:r>
      <w:r w:rsidR="00504B38">
        <w:rPr>
          <w:rFonts w:ascii="Arial" w:eastAsia="Times New Roman" w:hAnsi="Arial" w:cs="Arial"/>
          <w:sz w:val="26"/>
          <w:szCs w:val="26"/>
        </w:rPr>
        <w:t>a</w:t>
      </w:r>
      <w:r w:rsidR="008310F6">
        <w:rPr>
          <w:rFonts w:ascii="Arial" w:eastAsia="Times New Roman" w:hAnsi="Arial" w:cs="Arial"/>
          <w:sz w:val="26"/>
          <w:szCs w:val="26"/>
        </w:rPr>
        <w:t>s</w:t>
      </w:r>
      <w:r w:rsidR="00504B38">
        <w:rPr>
          <w:rFonts w:ascii="Arial" w:eastAsia="Times New Roman" w:hAnsi="Arial" w:cs="Arial"/>
          <w:sz w:val="26"/>
          <w:szCs w:val="26"/>
        </w:rPr>
        <w:t xml:space="preserve"> transcripci</w:t>
      </w:r>
      <w:r w:rsidR="008310F6">
        <w:rPr>
          <w:rFonts w:ascii="Arial" w:eastAsia="Times New Roman" w:hAnsi="Arial" w:cs="Arial"/>
          <w:sz w:val="26"/>
          <w:szCs w:val="26"/>
        </w:rPr>
        <w:t>ones</w:t>
      </w:r>
      <w:r>
        <w:rPr>
          <w:rFonts w:ascii="Arial" w:eastAsia="Times New Roman" w:hAnsi="Arial" w:cs="Arial"/>
          <w:sz w:val="26"/>
          <w:szCs w:val="26"/>
        </w:rPr>
        <w:t xml:space="preserve"> anterior</w:t>
      </w:r>
      <w:r w:rsidR="008310F6">
        <w:rPr>
          <w:rFonts w:ascii="Arial" w:eastAsia="Times New Roman" w:hAnsi="Arial" w:cs="Arial"/>
          <w:sz w:val="26"/>
          <w:szCs w:val="26"/>
        </w:rPr>
        <w:t>es</w:t>
      </w:r>
      <w:r w:rsidR="00504B38">
        <w:rPr>
          <w:rFonts w:ascii="Arial" w:eastAsia="Times New Roman" w:hAnsi="Arial" w:cs="Arial"/>
          <w:sz w:val="26"/>
          <w:szCs w:val="26"/>
        </w:rPr>
        <w:t>,</w:t>
      </w:r>
      <w:r>
        <w:rPr>
          <w:rFonts w:ascii="Arial" w:eastAsia="Times New Roman" w:hAnsi="Arial" w:cs="Arial"/>
          <w:sz w:val="26"/>
          <w:szCs w:val="26"/>
        </w:rPr>
        <w:t xml:space="preserve"> se </w:t>
      </w:r>
      <w:r w:rsidR="00504B38">
        <w:rPr>
          <w:rFonts w:ascii="Arial" w:eastAsia="Times New Roman" w:hAnsi="Arial" w:cs="Arial"/>
          <w:sz w:val="26"/>
          <w:szCs w:val="26"/>
        </w:rPr>
        <w:t>desprende</w:t>
      </w:r>
      <w:r>
        <w:rPr>
          <w:rFonts w:ascii="Arial" w:eastAsia="Times New Roman" w:hAnsi="Arial" w:cs="Arial"/>
          <w:sz w:val="26"/>
          <w:szCs w:val="26"/>
        </w:rPr>
        <w:t xml:space="preserve"> que la autoridad demandada al momento de pro</w:t>
      </w:r>
      <w:r w:rsidR="00504B38">
        <w:rPr>
          <w:rFonts w:ascii="Arial" w:eastAsia="Times New Roman" w:hAnsi="Arial" w:cs="Arial"/>
          <w:sz w:val="26"/>
          <w:szCs w:val="26"/>
        </w:rPr>
        <w:t>ducir su</w:t>
      </w:r>
      <w:r>
        <w:rPr>
          <w:rFonts w:ascii="Arial" w:eastAsia="Times New Roman" w:hAnsi="Arial" w:cs="Arial"/>
          <w:sz w:val="26"/>
          <w:szCs w:val="26"/>
        </w:rPr>
        <w:t xml:space="preserve"> contestación de demanda hizo </w:t>
      </w:r>
      <w:r w:rsidR="00D269B4">
        <w:rPr>
          <w:rFonts w:ascii="Arial" w:eastAsia="Times New Roman" w:hAnsi="Arial" w:cs="Arial"/>
          <w:sz w:val="26"/>
          <w:szCs w:val="26"/>
        </w:rPr>
        <w:t>un señalamiento a la Primera Instancia para llamar a juicio</w:t>
      </w:r>
      <w:r>
        <w:rPr>
          <w:rFonts w:ascii="Arial" w:eastAsia="Times New Roman" w:hAnsi="Arial" w:cs="Arial"/>
          <w:sz w:val="26"/>
          <w:szCs w:val="26"/>
        </w:rPr>
        <w:t xml:space="preserve"> al titular de la Fiscalía General del Estado de Oaxaca; sin embargo, la Sala Unitaria al acordar la </w:t>
      </w:r>
      <w:r w:rsidR="00D269B4">
        <w:rPr>
          <w:rFonts w:ascii="Arial" w:eastAsia="Times New Roman" w:hAnsi="Arial" w:cs="Arial"/>
          <w:sz w:val="26"/>
          <w:szCs w:val="26"/>
        </w:rPr>
        <w:t xml:space="preserve">contestación </w:t>
      </w:r>
      <w:r>
        <w:rPr>
          <w:rFonts w:ascii="Arial" w:eastAsia="Times New Roman" w:hAnsi="Arial" w:cs="Arial"/>
          <w:sz w:val="26"/>
          <w:szCs w:val="26"/>
        </w:rPr>
        <w:t xml:space="preserve">de demanda a través del proveído aquí impugnado, omitió dar respuesta al planteamiento hecho por </w:t>
      </w:r>
      <w:r w:rsidR="00D269B4">
        <w:rPr>
          <w:rFonts w:ascii="Arial" w:eastAsia="Calibri" w:hAnsi="Arial" w:cs="Arial"/>
          <w:bCs/>
          <w:sz w:val="26"/>
          <w:szCs w:val="26"/>
          <w:lang w:val="es-ES" w:eastAsia="en-US"/>
        </w:rPr>
        <w:t xml:space="preserve">el </w:t>
      </w:r>
      <w:r w:rsidR="00D269B4" w:rsidRPr="00D269B4">
        <w:rPr>
          <w:rFonts w:ascii="Arial" w:eastAsia="Calibri" w:hAnsi="Arial" w:cs="Arial"/>
          <w:b/>
          <w:sz w:val="26"/>
          <w:szCs w:val="26"/>
          <w:lang w:val="es-ES" w:eastAsia="en-US"/>
        </w:rPr>
        <w:t>DIRECTOR DE RECURSOS HUMANOS DE LA SECRETARÍA DE ADMINISTRACIÓN DEL ESTADO DE OAXACA,</w:t>
      </w:r>
      <w:r w:rsidR="00D269B4">
        <w:rPr>
          <w:rFonts w:ascii="Arial" w:eastAsia="Calibri" w:hAnsi="Arial" w:cs="Arial"/>
          <w:bCs/>
          <w:sz w:val="26"/>
          <w:szCs w:val="26"/>
          <w:lang w:val="es-ES" w:eastAsia="en-US"/>
        </w:rPr>
        <w:t xml:space="preserve"> </w:t>
      </w:r>
      <w:r>
        <w:rPr>
          <w:rFonts w:ascii="Arial" w:eastAsia="Times New Roman" w:hAnsi="Arial" w:cs="Arial"/>
          <w:sz w:val="26"/>
          <w:szCs w:val="26"/>
        </w:rPr>
        <w:t xml:space="preserve">respecto de llamar a juicio a la </w:t>
      </w:r>
      <w:r w:rsidR="00D269B4">
        <w:rPr>
          <w:rFonts w:ascii="Arial" w:eastAsia="Times New Roman" w:hAnsi="Arial" w:cs="Arial"/>
          <w:sz w:val="26"/>
          <w:szCs w:val="26"/>
        </w:rPr>
        <w:t>Fiscalía General del Estado de Oaxaca (antes Procuraduría General del Justicia del Estado), donde el actor prestó sus servicios.</w:t>
      </w:r>
      <w:r w:rsidR="00E218EC">
        <w:rPr>
          <w:rFonts w:ascii="Arial" w:eastAsia="Times New Roman" w:hAnsi="Arial" w:cs="Arial"/>
          <w:sz w:val="26"/>
          <w:szCs w:val="26"/>
        </w:rPr>
        <w:t xml:space="preserve"> - - </w:t>
      </w:r>
      <w:r w:rsidR="00D269B4">
        <w:rPr>
          <w:rFonts w:ascii="Arial" w:eastAsia="Times New Roman" w:hAnsi="Arial" w:cs="Arial"/>
          <w:sz w:val="26"/>
          <w:szCs w:val="26"/>
        </w:rPr>
        <w:t xml:space="preserve"> </w:t>
      </w:r>
    </w:p>
    <w:p w14:paraId="38AE3282" w14:textId="5DE21001" w:rsidR="00F76F78" w:rsidRDefault="00F76F78" w:rsidP="00E218EC">
      <w:pPr>
        <w:spacing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Teniendo en cuenta todo lo anterior, y toda vez que es un </w:t>
      </w:r>
      <w:r w:rsidRPr="003A05F1">
        <w:rPr>
          <w:rFonts w:ascii="Arial" w:eastAsia="Times New Roman" w:hAnsi="Arial" w:cs="Arial"/>
          <w:b/>
          <w:sz w:val="26"/>
          <w:szCs w:val="26"/>
        </w:rPr>
        <w:t>hecho notorio</w:t>
      </w:r>
      <w:r>
        <w:rPr>
          <w:rStyle w:val="Refdenotaalpie"/>
          <w:rFonts w:ascii="Arial" w:eastAsia="Times New Roman" w:hAnsi="Arial" w:cs="Arial"/>
          <w:b/>
          <w:sz w:val="26"/>
          <w:szCs w:val="26"/>
        </w:rPr>
        <w:footnoteReference w:id="3"/>
      </w:r>
      <w:r>
        <w:rPr>
          <w:rFonts w:ascii="Arial" w:eastAsia="Times New Roman" w:hAnsi="Arial" w:cs="Arial"/>
          <w:sz w:val="26"/>
          <w:szCs w:val="26"/>
        </w:rPr>
        <w:t xml:space="preserve"> que</w:t>
      </w:r>
      <w:r w:rsidR="00D269B4">
        <w:rPr>
          <w:rFonts w:ascii="Arial" w:eastAsia="Times New Roman" w:hAnsi="Arial" w:cs="Arial"/>
          <w:sz w:val="26"/>
          <w:szCs w:val="26"/>
        </w:rPr>
        <w:t xml:space="preserve"> </w:t>
      </w:r>
      <w:r w:rsidR="00D412F4">
        <w:rPr>
          <w:rFonts w:ascii="Arial" w:eastAsia="Calibri" w:hAnsi="Arial" w:cs="Arial"/>
          <w:b/>
          <w:sz w:val="26"/>
          <w:szCs w:val="26"/>
          <w:lang w:val="es-ES" w:eastAsia="en-US"/>
        </w:rPr>
        <w:t>*******</w:t>
      </w:r>
      <w:r w:rsidR="009B5412">
        <w:rPr>
          <w:rFonts w:ascii="Arial" w:eastAsia="Calibri" w:hAnsi="Arial" w:cs="Arial"/>
          <w:b/>
          <w:sz w:val="26"/>
          <w:szCs w:val="26"/>
          <w:lang w:val="es-ES" w:eastAsia="en-US"/>
        </w:rPr>
        <w:t xml:space="preserve">, </w:t>
      </w:r>
      <w:r>
        <w:rPr>
          <w:rFonts w:ascii="Arial" w:eastAsia="Times New Roman" w:hAnsi="Arial" w:cs="Arial"/>
          <w:sz w:val="26"/>
          <w:szCs w:val="26"/>
        </w:rPr>
        <w:t xml:space="preserve">actor en el juicio de nulidad, </w:t>
      </w:r>
      <w:r w:rsidR="009B5412">
        <w:rPr>
          <w:rFonts w:ascii="Arial" w:eastAsia="Times New Roman" w:hAnsi="Arial" w:cs="Arial"/>
          <w:sz w:val="26"/>
          <w:szCs w:val="26"/>
        </w:rPr>
        <w:t xml:space="preserve">es jubilado como </w:t>
      </w:r>
      <w:r>
        <w:rPr>
          <w:rFonts w:ascii="Arial" w:eastAsia="Times New Roman" w:hAnsi="Arial" w:cs="Arial"/>
          <w:sz w:val="26"/>
          <w:szCs w:val="26"/>
        </w:rPr>
        <w:t>Agente del Ministerio Público de la Fiscalía General del Estado de Oaxaca; por lo tanto, se llega al convencimiento de que es necesario</w:t>
      </w:r>
      <w:r w:rsidRPr="00400CA7">
        <w:rPr>
          <w:rFonts w:ascii="Arial" w:eastAsia="Times New Roman" w:hAnsi="Arial" w:cs="Arial"/>
          <w:sz w:val="26"/>
          <w:szCs w:val="26"/>
        </w:rPr>
        <w:t xml:space="preserve"> </w:t>
      </w:r>
      <w:r>
        <w:rPr>
          <w:rFonts w:ascii="Arial" w:eastAsia="Times New Roman" w:hAnsi="Arial" w:cs="Arial"/>
          <w:sz w:val="26"/>
          <w:szCs w:val="26"/>
        </w:rPr>
        <w:t xml:space="preserve">llamar a juicio a la Fiscalía General del Estado, pues en el caso de que </w:t>
      </w:r>
      <w:r w:rsidR="009B5412">
        <w:rPr>
          <w:rFonts w:ascii="Arial" w:eastAsia="Times New Roman" w:hAnsi="Arial" w:cs="Arial"/>
          <w:sz w:val="26"/>
          <w:szCs w:val="26"/>
        </w:rPr>
        <w:t xml:space="preserve">el </w:t>
      </w:r>
      <w:r>
        <w:rPr>
          <w:rFonts w:ascii="Arial" w:eastAsia="Times New Roman" w:hAnsi="Arial" w:cs="Arial"/>
          <w:sz w:val="26"/>
          <w:szCs w:val="26"/>
        </w:rPr>
        <w:t>actor obtenga una sentencia favorable, esto traería consigo una afectación a los derechos y</w:t>
      </w:r>
      <w:r w:rsidRPr="00400CA7">
        <w:rPr>
          <w:rFonts w:ascii="Arial" w:eastAsia="Times New Roman" w:hAnsi="Arial" w:cs="Arial"/>
          <w:sz w:val="26"/>
          <w:szCs w:val="26"/>
        </w:rPr>
        <w:t xml:space="preserve"> obligaciones </w:t>
      </w:r>
      <w:r>
        <w:rPr>
          <w:rFonts w:ascii="Arial" w:eastAsia="Times New Roman" w:hAnsi="Arial" w:cs="Arial"/>
          <w:sz w:val="26"/>
          <w:szCs w:val="26"/>
        </w:rPr>
        <w:t xml:space="preserve">de dicha institución, </w:t>
      </w:r>
      <w:r w:rsidRPr="00B12CF8">
        <w:rPr>
          <w:rFonts w:ascii="Arial" w:eastAsia="Times New Roman" w:hAnsi="Arial" w:cs="Arial"/>
          <w:sz w:val="26"/>
          <w:szCs w:val="26"/>
        </w:rPr>
        <w:t>en la cua</w:t>
      </w:r>
      <w:r>
        <w:rPr>
          <w:rFonts w:ascii="Arial" w:eastAsia="Times New Roman" w:hAnsi="Arial" w:cs="Arial"/>
          <w:sz w:val="26"/>
          <w:szCs w:val="26"/>
        </w:rPr>
        <w:t>l reside el Ministerio Público, de conformidad con lo establecido en el párrafo primero del artículo 3</w:t>
      </w:r>
      <w:r>
        <w:rPr>
          <w:rStyle w:val="Refdenotaalpie"/>
          <w:rFonts w:ascii="Arial" w:eastAsia="Times New Roman" w:hAnsi="Arial" w:cs="Arial"/>
          <w:sz w:val="26"/>
          <w:szCs w:val="26"/>
        </w:rPr>
        <w:footnoteReference w:id="4"/>
      </w:r>
      <w:r>
        <w:rPr>
          <w:rFonts w:ascii="Arial" w:eastAsia="Times New Roman" w:hAnsi="Arial" w:cs="Arial"/>
          <w:sz w:val="26"/>
          <w:szCs w:val="26"/>
        </w:rPr>
        <w:t xml:space="preserve"> de la Ley Orgánica de la Fiscalía General </w:t>
      </w:r>
      <w:r>
        <w:rPr>
          <w:rFonts w:ascii="Arial" w:eastAsia="Times New Roman" w:hAnsi="Arial" w:cs="Arial"/>
          <w:sz w:val="26"/>
          <w:szCs w:val="26"/>
        </w:rPr>
        <w:lastRenderedPageBreak/>
        <w:t xml:space="preserve">del Estado de Oaxaca. </w:t>
      </w:r>
      <w:r w:rsidR="009B5412">
        <w:rPr>
          <w:rFonts w:ascii="Arial" w:eastAsia="Times New Roman" w:hAnsi="Arial" w:cs="Arial"/>
          <w:sz w:val="26"/>
          <w:szCs w:val="26"/>
        </w:rPr>
        <w:t xml:space="preserve">En ese sentido, se actualiza la figura del </w:t>
      </w:r>
      <w:r w:rsidR="009B5412" w:rsidRPr="00D35886">
        <w:rPr>
          <w:rFonts w:ascii="Arial" w:eastAsia="Times New Roman" w:hAnsi="Arial" w:cs="Arial"/>
          <w:i/>
          <w:sz w:val="26"/>
          <w:szCs w:val="26"/>
        </w:rPr>
        <w:t>litisconsorcio pasivo necesario</w:t>
      </w:r>
      <w:r w:rsidR="009B5412">
        <w:rPr>
          <w:rFonts w:ascii="Arial" w:eastAsia="Times New Roman" w:hAnsi="Arial" w:cs="Arial"/>
          <w:i/>
          <w:sz w:val="26"/>
          <w:szCs w:val="26"/>
        </w:rPr>
        <w:t>.</w:t>
      </w:r>
      <w:r w:rsidR="00E218EC">
        <w:rPr>
          <w:rFonts w:ascii="Arial" w:eastAsia="Times New Roman" w:hAnsi="Arial" w:cs="Arial"/>
          <w:i/>
          <w:sz w:val="26"/>
          <w:szCs w:val="26"/>
        </w:rPr>
        <w:t xml:space="preserve"> </w:t>
      </w:r>
      <w:r w:rsidR="00E218EC">
        <w:rPr>
          <w:rFonts w:ascii="Arial" w:hAnsi="Arial" w:cs="Arial"/>
          <w:sz w:val="26"/>
          <w:szCs w:val="26"/>
        </w:rPr>
        <w:t xml:space="preserve">- - - - - - - - - - - - - - - - - - - - - </w:t>
      </w:r>
    </w:p>
    <w:p w14:paraId="0DD46E96" w14:textId="5BC7DA43" w:rsidR="00F76F78" w:rsidRDefault="009B5412" w:rsidP="00F76F78">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L</w:t>
      </w:r>
      <w:r w:rsidR="00F76F78">
        <w:rPr>
          <w:rFonts w:ascii="Arial" w:eastAsia="Times New Roman" w:hAnsi="Arial" w:cs="Arial"/>
          <w:sz w:val="26"/>
          <w:szCs w:val="26"/>
        </w:rPr>
        <w:t xml:space="preserve">a Suprema Corte de Justicia de la Nación ha establecido criterios respecto de la existencia de </w:t>
      </w:r>
      <w:r w:rsidR="00F76F78" w:rsidRPr="00D35886">
        <w:rPr>
          <w:rFonts w:ascii="Arial" w:eastAsia="Times New Roman" w:hAnsi="Arial" w:cs="Arial"/>
          <w:i/>
          <w:sz w:val="26"/>
          <w:szCs w:val="26"/>
        </w:rPr>
        <w:t>litisconsorcio pasivo necesario</w:t>
      </w:r>
      <w:r w:rsidR="00F76F78">
        <w:rPr>
          <w:rFonts w:ascii="Arial" w:eastAsia="Times New Roman" w:hAnsi="Arial" w:cs="Arial"/>
          <w:sz w:val="26"/>
          <w:szCs w:val="26"/>
        </w:rPr>
        <w:t xml:space="preserve">, el cual </w:t>
      </w:r>
      <w:r w:rsidR="00F76F78" w:rsidRPr="002257DE">
        <w:rPr>
          <w:rFonts w:ascii="Arial" w:eastAsia="Times New Roman" w:hAnsi="Arial" w:cs="Arial"/>
          <w:sz w:val="26"/>
          <w:szCs w:val="26"/>
        </w:rPr>
        <w:t xml:space="preserve">constituye una modalidad del procedimiento cuyas características particulares lo distinguen de la generalidad de los casos en que todas las partes acuden al juicio </w:t>
      </w:r>
      <w:r w:rsidR="00F76F78">
        <w:rPr>
          <w:rFonts w:ascii="Arial" w:eastAsia="Times New Roman" w:hAnsi="Arial" w:cs="Arial"/>
          <w:sz w:val="26"/>
          <w:szCs w:val="26"/>
        </w:rPr>
        <w:t xml:space="preserve">de origen </w:t>
      </w:r>
      <w:r w:rsidR="00F76F78" w:rsidRPr="002257DE">
        <w:rPr>
          <w:rFonts w:ascii="Arial" w:eastAsia="Times New Roman" w:hAnsi="Arial" w:cs="Arial"/>
          <w:sz w:val="26"/>
          <w:szCs w:val="26"/>
        </w:rPr>
        <w:t xml:space="preserve">oponiendo sus defensas y excepciones en relación con la acción intentada, </w:t>
      </w:r>
      <w:r w:rsidR="00F76F78" w:rsidRPr="007C7BAA">
        <w:rPr>
          <w:rFonts w:ascii="Arial" w:eastAsia="Times New Roman" w:hAnsi="Arial" w:cs="Arial"/>
          <w:sz w:val="26"/>
          <w:szCs w:val="26"/>
        </w:rPr>
        <w:t>pues advertida la existencia de dicha figura, aun de oficio en la apelación,</w:t>
      </w:r>
      <w:r w:rsidR="00F76F78" w:rsidRPr="002257DE">
        <w:rPr>
          <w:rFonts w:ascii="Arial" w:eastAsia="Times New Roman" w:hAnsi="Arial" w:cs="Arial"/>
          <w:sz w:val="26"/>
          <w:szCs w:val="26"/>
        </w:rPr>
        <w:t xml:space="preserve"> debe llamarse a juicio a todas las </w:t>
      </w:r>
      <w:r w:rsidR="00F76F78">
        <w:rPr>
          <w:rFonts w:ascii="Arial" w:eastAsia="Times New Roman" w:hAnsi="Arial" w:cs="Arial"/>
          <w:sz w:val="26"/>
          <w:szCs w:val="26"/>
        </w:rPr>
        <w:t>partes</w:t>
      </w:r>
      <w:r w:rsidR="00F76F78" w:rsidRPr="002257DE">
        <w:rPr>
          <w:rFonts w:ascii="Arial" w:eastAsia="Times New Roman" w:hAnsi="Arial" w:cs="Arial"/>
          <w:sz w:val="26"/>
          <w:szCs w:val="26"/>
        </w:rPr>
        <w:t xml:space="preserve"> que pudiesen resultar afectadas por el fallo que en su momento se dicte, toda vez que lo contrario puede tener como resultado una sentencia nula, de ahí que la falta de citación a juicio y de efectividad de la sentencia se consideran cuestiones de orden público, ya que ningún caso tendría la existencia de un procedimiento en el que habiéndose ejercido una acción finalmente se obtuviera una resolución judicial que no pudiera hacerse efectiva y, por lo mismo, tampoc</w:t>
      </w:r>
      <w:r w:rsidR="00F76F78">
        <w:rPr>
          <w:rFonts w:ascii="Arial" w:eastAsia="Times New Roman" w:hAnsi="Arial" w:cs="Arial"/>
          <w:sz w:val="26"/>
          <w:szCs w:val="26"/>
        </w:rPr>
        <w:t>o resolviera la litis planteada.</w:t>
      </w:r>
      <w:r w:rsidR="00E218EC">
        <w:rPr>
          <w:rFonts w:ascii="Arial" w:eastAsia="Times New Roman" w:hAnsi="Arial" w:cs="Arial"/>
          <w:sz w:val="26"/>
          <w:szCs w:val="26"/>
        </w:rPr>
        <w:t xml:space="preserve"> </w:t>
      </w:r>
      <w:r w:rsidR="00E218EC">
        <w:rPr>
          <w:rFonts w:ascii="Arial" w:hAnsi="Arial" w:cs="Arial"/>
          <w:sz w:val="26"/>
          <w:szCs w:val="26"/>
        </w:rPr>
        <w:t xml:space="preserve">- - - - - - - - - - - - - - - - - - - - - - - - - - - - - - - - </w:t>
      </w:r>
    </w:p>
    <w:p w14:paraId="29A31D4D" w14:textId="41DC0CCC" w:rsidR="00F76F78" w:rsidRPr="00D35886" w:rsidRDefault="00F76F78" w:rsidP="00F76F78">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Abundando en la consecuencia de dicha figura procesal, ésta </w:t>
      </w:r>
      <w:r w:rsidRPr="00D35886">
        <w:rPr>
          <w:rFonts w:ascii="Arial" w:eastAsia="Times New Roman" w:hAnsi="Arial" w:cs="Arial"/>
          <w:sz w:val="26"/>
          <w:szCs w:val="26"/>
        </w:rPr>
        <w:t xml:space="preserve">se presenta cuando existe una relación sustancial única </w:t>
      </w:r>
      <w:r>
        <w:rPr>
          <w:rFonts w:ascii="Arial" w:eastAsia="Times New Roman" w:hAnsi="Arial" w:cs="Arial"/>
          <w:sz w:val="26"/>
          <w:szCs w:val="26"/>
        </w:rPr>
        <w:t xml:space="preserve">entre </w:t>
      </w:r>
      <w:r w:rsidRPr="00D35886">
        <w:rPr>
          <w:rFonts w:ascii="Arial" w:eastAsia="Times New Roman" w:hAnsi="Arial" w:cs="Arial"/>
          <w:sz w:val="26"/>
          <w:szCs w:val="26"/>
        </w:rPr>
        <w:t>varios sujetos y la declaración jurisdiccional de la misma sólo puede ser efectuada con eficacia, cuando todos ellos están presentes en el proceso, ya que de otro modo, faltaría uno de sus elementos esenciales, y éste se habría desarrollado, por tanto, defectuosamente.</w:t>
      </w:r>
      <w:r w:rsidR="00E218EC">
        <w:rPr>
          <w:rFonts w:ascii="Arial" w:eastAsia="Times New Roman" w:hAnsi="Arial" w:cs="Arial"/>
          <w:sz w:val="26"/>
          <w:szCs w:val="26"/>
        </w:rPr>
        <w:t xml:space="preserve"> </w:t>
      </w:r>
      <w:r w:rsidR="00E218EC">
        <w:rPr>
          <w:rFonts w:ascii="Arial" w:hAnsi="Arial" w:cs="Arial"/>
          <w:sz w:val="26"/>
          <w:szCs w:val="26"/>
        </w:rPr>
        <w:t xml:space="preserve">- - - - - - - - - - - - - - - - - - - - - - </w:t>
      </w:r>
    </w:p>
    <w:p w14:paraId="71A7DE46" w14:textId="77777777" w:rsidR="00F76F78" w:rsidRDefault="00F76F78" w:rsidP="00F76F78">
      <w:pPr>
        <w:widowControl w:val="0"/>
        <w:tabs>
          <w:tab w:val="left" w:pos="7938"/>
        </w:tabs>
        <w:spacing w:before="240" w:line="360" w:lineRule="auto"/>
        <w:ind w:right="18" w:firstLine="709"/>
        <w:jc w:val="both"/>
        <w:rPr>
          <w:rFonts w:ascii="Arial" w:eastAsia="Calibri" w:hAnsi="Arial" w:cs="Arial"/>
          <w:bCs/>
          <w:sz w:val="26"/>
          <w:szCs w:val="26"/>
        </w:rPr>
      </w:pPr>
      <w:r w:rsidRPr="00AE3940">
        <w:rPr>
          <w:rFonts w:ascii="Arial" w:eastAsia="Calibri" w:hAnsi="Arial" w:cs="Arial"/>
          <w:bCs/>
          <w:sz w:val="26"/>
          <w:szCs w:val="26"/>
        </w:rPr>
        <w:t>En apoyo a lo anterior,</w:t>
      </w:r>
      <w:r>
        <w:rPr>
          <w:rFonts w:ascii="Arial" w:eastAsia="Calibri" w:hAnsi="Arial" w:cs="Arial"/>
          <w:bCs/>
          <w:sz w:val="26"/>
          <w:szCs w:val="26"/>
        </w:rPr>
        <w:t xml:space="preserve"> y por analogía </w:t>
      </w:r>
      <w:r w:rsidRPr="00AE3940">
        <w:rPr>
          <w:rFonts w:ascii="Arial" w:eastAsia="Calibri" w:hAnsi="Arial" w:cs="Arial"/>
          <w:bCs/>
          <w:sz w:val="26"/>
          <w:szCs w:val="26"/>
        </w:rPr>
        <w:t xml:space="preserve">se invoca la jurisprudencia con número de registro </w:t>
      </w:r>
      <w:r>
        <w:rPr>
          <w:rFonts w:ascii="Arial" w:eastAsia="Calibri" w:hAnsi="Arial" w:cs="Arial"/>
          <w:bCs/>
          <w:sz w:val="26"/>
          <w:szCs w:val="26"/>
        </w:rPr>
        <w:t>2003353</w:t>
      </w:r>
      <w:r w:rsidRPr="00AE3940">
        <w:rPr>
          <w:rFonts w:ascii="Arial" w:eastAsia="Calibri" w:hAnsi="Arial" w:cs="Arial"/>
          <w:bCs/>
          <w:sz w:val="26"/>
          <w:szCs w:val="26"/>
        </w:rPr>
        <w:t xml:space="preserve">, emitida por </w:t>
      </w:r>
      <w:r>
        <w:rPr>
          <w:rFonts w:ascii="Arial" w:eastAsia="Calibri" w:hAnsi="Arial" w:cs="Arial"/>
          <w:bCs/>
          <w:sz w:val="26"/>
          <w:szCs w:val="26"/>
        </w:rPr>
        <w:t xml:space="preserve">los Tribunales Colegiados de Circuito, de </w:t>
      </w:r>
      <w:r w:rsidRPr="00AE3940">
        <w:rPr>
          <w:rFonts w:ascii="Arial" w:eastAsia="Calibri" w:hAnsi="Arial" w:cs="Arial"/>
          <w:bCs/>
          <w:sz w:val="26"/>
          <w:szCs w:val="26"/>
        </w:rPr>
        <w:t xml:space="preserve">la </w:t>
      </w:r>
      <w:r>
        <w:rPr>
          <w:rFonts w:ascii="Arial" w:eastAsia="Calibri" w:hAnsi="Arial" w:cs="Arial"/>
          <w:bCs/>
          <w:sz w:val="26"/>
          <w:szCs w:val="26"/>
        </w:rPr>
        <w:t>Décima</w:t>
      </w:r>
      <w:r w:rsidRPr="00AE3940">
        <w:rPr>
          <w:rFonts w:ascii="Arial" w:eastAsia="Calibri" w:hAnsi="Arial" w:cs="Arial"/>
          <w:bCs/>
          <w:sz w:val="26"/>
          <w:szCs w:val="26"/>
        </w:rPr>
        <w:t xml:space="preserve"> Época, visible en la Gaceta del Semanario Judi</w:t>
      </w:r>
      <w:r>
        <w:rPr>
          <w:rFonts w:ascii="Arial" w:eastAsia="Calibri" w:hAnsi="Arial" w:cs="Arial"/>
          <w:bCs/>
          <w:sz w:val="26"/>
          <w:szCs w:val="26"/>
        </w:rPr>
        <w:t>cial de la Federación, Libro XIX, Abril de 2013, página 1914</w:t>
      </w:r>
      <w:r w:rsidRPr="00AE3940">
        <w:rPr>
          <w:rFonts w:ascii="Arial" w:eastAsia="Calibri" w:hAnsi="Arial" w:cs="Arial"/>
          <w:bCs/>
          <w:sz w:val="26"/>
          <w:szCs w:val="26"/>
        </w:rPr>
        <w:t>,</w:t>
      </w:r>
      <w:r>
        <w:rPr>
          <w:rFonts w:ascii="Arial" w:eastAsia="Calibri" w:hAnsi="Arial" w:cs="Arial"/>
          <w:bCs/>
          <w:sz w:val="26"/>
          <w:szCs w:val="26"/>
        </w:rPr>
        <w:t xml:space="preserve"> Materia Administrativa,</w:t>
      </w:r>
      <w:r w:rsidRPr="00AE3940">
        <w:rPr>
          <w:rFonts w:ascii="Arial" w:eastAsia="Calibri" w:hAnsi="Arial" w:cs="Arial"/>
          <w:bCs/>
          <w:sz w:val="26"/>
          <w:szCs w:val="26"/>
        </w:rPr>
        <w:t xml:space="preserve"> de rubro y texto siguiente:</w:t>
      </w:r>
    </w:p>
    <w:p w14:paraId="50071253" w14:textId="77777777" w:rsidR="00F76F78" w:rsidRPr="000B140C" w:rsidRDefault="00F76F78" w:rsidP="00E218EC">
      <w:pPr>
        <w:spacing w:before="240" w:after="0"/>
        <w:ind w:left="709" w:right="758"/>
        <w:jc w:val="both"/>
        <w:rPr>
          <w:rFonts w:ascii="Arial" w:eastAsia="Times New Roman" w:hAnsi="Arial" w:cs="Arial"/>
          <w:i/>
        </w:rPr>
      </w:pPr>
      <w:r>
        <w:rPr>
          <w:rFonts w:ascii="Arial" w:eastAsia="Times New Roman" w:hAnsi="Arial" w:cs="Arial"/>
          <w:i/>
        </w:rPr>
        <w:t>“</w:t>
      </w:r>
      <w:r w:rsidRPr="007E4125">
        <w:rPr>
          <w:rFonts w:ascii="Arial" w:eastAsia="Times New Roman" w:hAnsi="Arial" w:cs="Arial"/>
          <w:b/>
          <w:i/>
        </w:rPr>
        <w:t>PROCEDIMIENTO EN EL JUICIO CONTENCIOSO ADMINISTRATIVO. PROCEDE SU REPOSICIÓN CUANDO LAS SALAS DEL TRIBUNAL FEDERAL DE JUSTICIA FISCAL Y ADMINISTRATIVA OMITEN EMPLAZAR A LA AUTORIDAD QUE EMITIÓ LOS CRÉDITOS FISCALES IMPUGNADOS, NO OBSTANTE QUE CUENTEN CON ELEMENTOS PARA SEÑALAR SU CARÁCTER DE DEMANDADA.</w:t>
      </w:r>
    </w:p>
    <w:p w14:paraId="3A56CD66" w14:textId="77777777" w:rsidR="00F76F78" w:rsidRPr="000B140C" w:rsidRDefault="00F76F78" w:rsidP="00E218EC">
      <w:pPr>
        <w:spacing w:before="240" w:after="0"/>
        <w:ind w:left="709" w:right="758"/>
        <w:jc w:val="both"/>
        <w:rPr>
          <w:rFonts w:ascii="Arial" w:eastAsia="Times New Roman" w:hAnsi="Arial" w:cs="Arial"/>
          <w:i/>
        </w:rPr>
      </w:pPr>
      <w:r w:rsidRPr="000B140C">
        <w:rPr>
          <w:rFonts w:ascii="Arial" w:eastAsia="Times New Roman" w:hAnsi="Arial" w:cs="Arial"/>
          <w:i/>
        </w:rPr>
        <w:lastRenderedPageBreak/>
        <w:t>De una interpretación sistemática de los artículos 3o., 17 y 19 de la Ley Federal de Procedimiento Contencioso Administrativo, así como 38 de la Ley Orgánica del Tribunal Federal de Justicia Fiscal y Administrativa (36 de la ley abrogada), se colige que el carácter de autoridad demandada en el juicio contencioso administrativo no queda únicamente al arbitrio del actor, ya que las Salas del mencionado tribunal deben determinarlo con base en las constancias relativas, aun de oficio. Por tanto, cuando éstas omiten emplazar a la autoridad que emitió los créditos fiscales impugnados, no obstante que cuenten con elementos para señalar su carácter de demandada, dicha circunstancia vulnera las reglas que rigen el procedimiento y, por ende, procede su reposición, a efecto de que se subsane esa irregularidad.</w:t>
      </w:r>
      <w:r>
        <w:rPr>
          <w:rFonts w:ascii="Arial" w:eastAsia="Times New Roman" w:hAnsi="Arial" w:cs="Arial"/>
          <w:i/>
        </w:rPr>
        <w:t>”</w:t>
      </w:r>
    </w:p>
    <w:p w14:paraId="2F129454" w14:textId="4753E00D" w:rsidR="00F76F78" w:rsidRDefault="00F76F78" w:rsidP="00F76F78">
      <w:pPr>
        <w:spacing w:before="240" w:after="0" w:line="360" w:lineRule="auto"/>
        <w:ind w:firstLine="709"/>
        <w:jc w:val="both"/>
        <w:rPr>
          <w:rFonts w:ascii="Arial" w:eastAsia="Times New Roman" w:hAnsi="Arial" w:cs="Arial"/>
          <w:sz w:val="26"/>
          <w:szCs w:val="26"/>
        </w:rPr>
      </w:pPr>
      <w:r w:rsidRPr="00D35886">
        <w:rPr>
          <w:rFonts w:ascii="Arial" w:eastAsia="Times New Roman" w:hAnsi="Arial" w:cs="Arial"/>
          <w:sz w:val="26"/>
          <w:szCs w:val="26"/>
        </w:rPr>
        <w:t xml:space="preserve">En ese contexto, como un presupuesto de existencia, </w:t>
      </w:r>
      <w:r>
        <w:rPr>
          <w:rFonts w:ascii="Arial" w:eastAsia="Times New Roman" w:hAnsi="Arial" w:cs="Arial"/>
          <w:sz w:val="26"/>
          <w:szCs w:val="26"/>
        </w:rPr>
        <w:t>es necesario reponer el procedimiento al advertirse que uno de los litisconsortes no fue llamado a juicio, máxime que en el presente recurso de revisión la autoridad que sí fue llamada a juicio impugnó el hecho de que la Fiscalía General del Estado de Oaxaca, no haya sido llamada a juicio, siendo que en el libelo inicial fue debidamente vinculada.</w:t>
      </w:r>
      <w:r w:rsidR="00E218EC">
        <w:rPr>
          <w:rFonts w:ascii="Arial" w:eastAsia="Times New Roman" w:hAnsi="Arial" w:cs="Arial"/>
          <w:sz w:val="26"/>
          <w:szCs w:val="26"/>
        </w:rPr>
        <w:t xml:space="preserve"> </w:t>
      </w:r>
      <w:r w:rsidR="00E218EC">
        <w:rPr>
          <w:rFonts w:ascii="Arial" w:hAnsi="Arial" w:cs="Arial"/>
          <w:sz w:val="26"/>
          <w:szCs w:val="26"/>
        </w:rPr>
        <w:t xml:space="preserve">- - - - - - - - - - - - - - - - </w:t>
      </w:r>
    </w:p>
    <w:p w14:paraId="76D11EEC" w14:textId="77777777" w:rsidR="00F76F78" w:rsidRDefault="00F76F78" w:rsidP="00F76F78">
      <w:pPr>
        <w:widowControl w:val="0"/>
        <w:tabs>
          <w:tab w:val="left" w:pos="7938"/>
        </w:tabs>
        <w:spacing w:before="240" w:line="360" w:lineRule="auto"/>
        <w:ind w:right="18" w:firstLine="709"/>
        <w:jc w:val="both"/>
        <w:rPr>
          <w:rFonts w:ascii="Arial" w:eastAsia="Calibri" w:hAnsi="Arial" w:cs="Arial"/>
          <w:bCs/>
          <w:sz w:val="26"/>
          <w:szCs w:val="26"/>
        </w:rPr>
      </w:pPr>
      <w:r w:rsidRPr="00AE3940">
        <w:rPr>
          <w:rFonts w:ascii="Arial" w:eastAsia="Calibri" w:hAnsi="Arial" w:cs="Arial"/>
          <w:bCs/>
          <w:sz w:val="26"/>
          <w:szCs w:val="26"/>
        </w:rPr>
        <w:t>En apoyo a lo anterior,</w:t>
      </w:r>
      <w:r>
        <w:rPr>
          <w:rFonts w:ascii="Arial" w:eastAsia="Calibri" w:hAnsi="Arial" w:cs="Arial"/>
          <w:bCs/>
          <w:sz w:val="26"/>
          <w:szCs w:val="26"/>
        </w:rPr>
        <w:t xml:space="preserve"> </w:t>
      </w:r>
      <w:r w:rsidRPr="00AE3940">
        <w:rPr>
          <w:rFonts w:ascii="Arial" w:eastAsia="Calibri" w:hAnsi="Arial" w:cs="Arial"/>
          <w:bCs/>
          <w:sz w:val="26"/>
          <w:szCs w:val="26"/>
        </w:rPr>
        <w:t xml:space="preserve">se invoca la jurisprudencia con número de registro </w:t>
      </w:r>
      <w:r>
        <w:rPr>
          <w:rFonts w:ascii="Arial" w:eastAsia="Calibri" w:hAnsi="Arial" w:cs="Arial"/>
          <w:bCs/>
          <w:sz w:val="26"/>
          <w:szCs w:val="26"/>
        </w:rPr>
        <w:t xml:space="preserve">174230, emitida por la Primera Sala de la Suprema Corte de Justicia de la Nación, de </w:t>
      </w:r>
      <w:r w:rsidRPr="00AE3940">
        <w:rPr>
          <w:rFonts w:ascii="Arial" w:eastAsia="Calibri" w:hAnsi="Arial" w:cs="Arial"/>
          <w:bCs/>
          <w:sz w:val="26"/>
          <w:szCs w:val="26"/>
        </w:rPr>
        <w:t xml:space="preserve">la </w:t>
      </w:r>
      <w:r>
        <w:rPr>
          <w:rFonts w:ascii="Arial" w:eastAsia="Calibri" w:hAnsi="Arial" w:cs="Arial"/>
          <w:bCs/>
          <w:sz w:val="26"/>
          <w:szCs w:val="26"/>
        </w:rPr>
        <w:t>Novena</w:t>
      </w:r>
      <w:r w:rsidRPr="00AE3940">
        <w:rPr>
          <w:rFonts w:ascii="Arial" w:eastAsia="Calibri" w:hAnsi="Arial" w:cs="Arial"/>
          <w:bCs/>
          <w:sz w:val="26"/>
          <w:szCs w:val="26"/>
        </w:rPr>
        <w:t xml:space="preserve"> Época, visible en la Gaceta del Semanario Judi</w:t>
      </w:r>
      <w:r>
        <w:rPr>
          <w:rFonts w:ascii="Arial" w:eastAsia="Calibri" w:hAnsi="Arial" w:cs="Arial"/>
          <w:bCs/>
          <w:sz w:val="26"/>
          <w:szCs w:val="26"/>
        </w:rPr>
        <w:t>cial de la Federación, Tomo XXIV, Septiembre 2006, página 125</w:t>
      </w:r>
      <w:r w:rsidRPr="00AE3940">
        <w:rPr>
          <w:rFonts w:ascii="Arial" w:eastAsia="Calibri" w:hAnsi="Arial" w:cs="Arial"/>
          <w:bCs/>
          <w:sz w:val="26"/>
          <w:szCs w:val="26"/>
        </w:rPr>
        <w:t>,</w:t>
      </w:r>
      <w:r>
        <w:rPr>
          <w:rFonts w:ascii="Arial" w:eastAsia="Calibri" w:hAnsi="Arial" w:cs="Arial"/>
          <w:bCs/>
          <w:sz w:val="26"/>
          <w:szCs w:val="26"/>
        </w:rPr>
        <w:t xml:space="preserve"> </w:t>
      </w:r>
      <w:r w:rsidRPr="00AE3940">
        <w:rPr>
          <w:rFonts w:ascii="Arial" w:eastAsia="Calibri" w:hAnsi="Arial" w:cs="Arial"/>
          <w:bCs/>
          <w:sz w:val="26"/>
          <w:szCs w:val="26"/>
        </w:rPr>
        <w:t>de rubro y texto siguiente:</w:t>
      </w:r>
    </w:p>
    <w:p w14:paraId="4F9C3DB8" w14:textId="77777777" w:rsidR="00F76F78" w:rsidRPr="002B72BB" w:rsidRDefault="00F76F78" w:rsidP="00E218EC">
      <w:pPr>
        <w:spacing w:before="240" w:after="0"/>
        <w:ind w:left="709" w:right="758"/>
        <w:jc w:val="both"/>
        <w:rPr>
          <w:rFonts w:ascii="Arial" w:eastAsia="Times New Roman" w:hAnsi="Arial" w:cs="Arial"/>
          <w:b/>
          <w:i/>
        </w:rPr>
      </w:pPr>
      <w:r>
        <w:rPr>
          <w:rFonts w:ascii="Arial" w:eastAsia="Times New Roman" w:hAnsi="Arial" w:cs="Arial"/>
          <w:i/>
        </w:rPr>
        <w:t>“</w:t>
      </w:r>
      <w:r w:rsidRPr="002B72BB">
        <w:rPr>
          <w:rFonts w:ascii="Arial" w:eastAsia="Times New Roman" w:hAnsi="Arial" w:cs="Arial"/>
          <w:b/>
          <w:i/>
        </w:rPr>
        <w:t>LITISCONSORCIO PASIVO NECESARIO. AL SER UN PRESUPUESTO PROCESAL, EL TRIBUNAL DE ALZADA DEBE MANDAR REPONER EL PROCEDIMIENTO OFICIOSAMENTE CUANDO ADVIERTA QUE NO TODOS LOS INTERESADOS FUERON LLAMADOS AL JUICIO NATURAL (LEGISLACIÓN DEL ESTADO DE MÉXICO VIGENTE A PARTIR DE JULIO DE 2002).</w:t>
      </w:r>
    </w:p>
    <w:p w14:paraId="37F88A98" w14:textId="77777777" w:rsidR="00F76F78" w:rsidRPr="002B72BB" w:rsidRDefault="00F76F78" w:rsidP="00E218EC">
      <w:pPr>
        <w:spacing w:before="240" w:after="0"/>
        <w:ind w:left="709" w:right="758"/>
        <w:jc w:val="both"/>
        <w:rPr>
          <w:rFonts w:ascii="Arial" w:eastAsia="Times New Roman" w:hAnsi="Arial" w:cs="Arial"/>
          <w:i/>
        </w:rPr>
      </w:pPr>
      <w:r w:rsidRPr="002B72BB">
        <w:rPr>
          <w:rFonts w:ascii="Arial" w:eastAsia="Times New Roman" w:hAnsi="Arial" w:cs="Arial"/>
          <w:i/>
        </w:rPr>
        <w:t>El litisconsorcio pasivo necesario implica pluralidad de demandados y unidad de acción; de ahí que deban ser llamados a juicio todos los litisconsortes, quienes al estar vinculados entre sí por un derecho litigioso deben ser afectados por una sola sentencia, conforme a los artículos 1.86, 1.87 y 1.88 del Código de Procedimientos Civiles del Estado de México. En ese sentido, cuando se interpone un recurso de apelación y el tribunal de alzada advierte que en el juicio natural hubo litisconsortes que no fueron llamados, aunque no medie petición de parte, en cualquier etapa del procedimiento está obligado a mandar reponerlo de oficio, para el efecto de que el Juez de primera instancia los oiga y dicte una sentencia completa, en atención a los principios de igualdad, seguridad jurídica y economía procesal, siendo que en términos del último numeral, los efectos son reponer el procedimiento a fin de que el Juez de primer grado prevenga al actor para que amplíe su demanda o la reconvención contra las personas que formen el litisconsorcio necesario. Lo anterior en virtud de que el litisconsorcio constituye un presupuesto procesal sin cuyos requisitos no puede dictarse una sentencia válida en tanto que involucra cuestiones de orden público; por lo que la carga procesal de citar a todas las partes corresponde al órgano jurisdiccional.</w:t>
      </w:r>
      <w:r>
        <w:rPr>
          <w:rFonts w:ascii="Arial" w:eastAsia="Times New Roman" w:hAnsi="Arial" w:cs="Arial"/>
          <w:i/>
        </w:rPr>
        <w:t>”</w:t>
      </w:r>
    </w:p>
    <w:p w14:paraId="54E9BF63" w14:textId="77777777" w:rsidR="00F76F78" w:rsidRPr="00A075B8" w:rsidRDefault="00F76F78" w:rsidP="00F76F78">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lastRenderedPageBreak/>
        <w:t>Por tanto, deviene una</w:t>
      </w:r>
      <w:r w:rsidRPr="00A075B8">
        <w:rPr>
          <w:rFonts w:ascii="Arial" w:eastAsia="Times New Roman" w:hAnsi="Arial" w:cs="Arial"/>
          <w:sz w:val="26"/>
          <w:szCs w:val="26"/>
        </w:rPr>
        <w:t xml:space="preserve"> violación procesal </w:t>
      </w:r>
      <w:r>
        <w:rPr>
          <w:rFonts w:ascii="Arial" w:eastAsia="Times New Roman" w:hAnsi="Arial" w:cs="Arial"/>
          <w:sz w:val="26"/>
          <w:szCs w:val="26"/>
        </w:rPr>
        <w:t xml:space="preserve">que </w:t>
      </w:r>
      <w:r w:rsidRPr="00A075B8">
        <w:rPr>
          <w:rFonts w:ascii="Arial" w:eastAsia="Times New Roman" w:hAnsi="Arial" w:cs="Arial"/>
          <w:sz w:val="26"/>
          <w:szCs w:val="26"/>
        </w:rPr>
        <w:t>consist</w:t>
      </w:r>
      <w:r>
        <w:rPr>
          <w:rFonts w:ascii="Arial" w:eastAsia="Times New Roman" w:hAnsi="Arial" w:cs="Arial"/>
          <w:sz w:val="26"/>
          <w:szCs w:val="26"/>
        </w:rPr>
        <w:t xml:space="preserve">e en que la Fiscalía General del Estado de Oaxaca, no fue emplazada </w:t>
      </w:r>
      <w:r w:rsidRPr="00A075B8">
        <w:rPr>
          <w:rFonts w:ascii="Arial" w:eastAsia="Times New Roman" w:hAnsi="Arial" w:cs="Arial"/>
          <w:sz w:val="26"/>
          <w:szCs w:val="26"/>
        </w:rPr>
        <w:t xml:space="preserve">con base en la formalidad prevista en la </w:t>
      </w:r>
      <w:r>
        <w:rPr>
          <w:rFonts w:ascii="Arial" w:eastAsia="Times New Roman" w:hAnsi="Arial" w:cs="Arial"/>
          <w:sz w:val="26"/>
          <w:szCs w:val="26"/>
        </w:rPr>
        <w:t xml:space="preserve">Ley de la materia.- - - - - - - - - - - - - - - - - - - </w:t>
      </w:r>
    </w:p>
    <w:p w14:paraId="26600E76" w14:textId="20DB3250" w:rsidR="00F76F78" w:rsidRDefault="00F76F78" w:rsidP="00F76F78">
      <w:pPr>
        <w:autoSpaceDE w:val="0"/>
        <w:autoSpaceDN w:val="0"/>
        <w:adjustRightInd w:val="0"/>
        <w:spacing w:before="24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Lo anterior, atento a lo dispuesto en los artículos 1</w:t>
      </w:r>
      <w:r w:rsidRPr="001A1524">
        <w:rPr>
          <w:rFonts w:ascii="Arial" w:eastAsia="Calibri" w:hAnsi="Arial" w:cs="Arial"/>
          <w:sz w:val="26"/>
          <w:szCs w:val="26"/>
          <w:lang w:val="es-ES" w:eastAsia="en-US"/>
        </w:rPr>
        <w:t xml:space="preserve">, 14 y 17 de la Constitución Política de los Estados Unidos Mexicanos, que reconocen el derecho de acceso a la impartición de justicia -acceso </w:t>
      </w:r>
      <w:r>
        <w:rPr>
          <w:rFonts w:ascii="Arial" w:eastAsia="Calibri" w:hAnsi="Arial" w:cs="Arial"/>
          <w:sz w:val="26"/>
          <w:szCs w:val="26"/>
          <w:lang w:val="es-ES" w:eastAsia="en-US"/>
        </w:rPr>
        <w:t>a una tutela judicial efectiva-; por lo que, a fin</w:t>
      </w:r>
      <w:r w:rsidRPr="0026407C">
        <w:rPr>
          <w:rFonts w:ascii="Arial" w:eastAsia="Calibri" w:hAnsi="Arial" w:cs="Arial"/>
          <w:sz w:val="26"/>
          <w:szCs w:val="26"/>
          <w:lang w:val="es-ES" w:eastAsia="en-US"/>
        </w:rPr>
        <w:t xml:space="preserve"> reparar la violación procesal en que incurrió la</w:t>
      </w:r>
      <w:r>
        <w:rPr>
          <w:rFonts w:ascii="Arial" w:eastAsia="Calibri" w:hAnsi="Arial" w:cs="Arial"/>
          <w:sz w:val="26"/>
          <w:szCs w:val="26"/>
          <w:lang w:val="es-ES" w:eastAsia="en-US"/>
        </w:rPr>
        <w:t xml:space="preserve"> Segunda</w:t>
      </w:r>
      <w:r w:rsidRPr="0026407C">
        <w:rPr>
          <w:rFonts w:ascii="Arial" w:eastAsia="Calibri" w:hAnsi="Arial" w:cs="Arial"/>
          <w:sz w:val="26"/>
          <w:szCs w:val="26"/>
          <w:lang w:val="es-ES" w:eastAsia="en-US"/>
        </w:rPr>
        <w:t xml:space="preserve"> Sala </w:t>
      </w:r>
      <w:r>
        <w:rPr>
          <w:rFonts w:ascii="Arial" w:eastAsia="Calibri" w:hAnsi="Arial" w:cs="Arial"/>
          <w:sz w:val="26"/>
          <w:szCs w:val="26"/>
          <w:lang w:val="es-ES" w:eastAsia="en-US"/>
        </w:rPr>
        <w:t xml:space="preserve">Unitaria de Primera Instancia, </w:t>
      </w:r>
      <w:r w:rsidRPr="00110BA7">
        <w:rPr>
          <w:rFonts w:ascii="Arial" w:eastAsia="Calibri" w:hAnsi="Arial" w:cs="Arial"/>
          <w:sz w:val="26"/>
          <w:szCs w:val="26"/>
          <w:lang w:val="es-ES" w:eastAsia="en-US"/>
        </w:rPr>
        <w:t xml:space="preserve">resulta procedente </w:t>
      </w:r>
      <w:r w:rsidRPr="00110BA7">
        <w:rPr>
          <w:rFonts w:ascii="Arial" w:eastAsia="Calibri" w:hAnsi="Arial" w:cs="Arial"/>
          <w:b/>
          <w:sz w:val="26"/>
          <w:szCs w:val="26"/>
          <w:lang w:val="es-ES" w:eastAsia="en-US"/>
        </w:rPr>
        <w:t>REVOCAR</w:t>
      </w:r>
      <w:r w:rsidRPr="00110BA7">
        <w:rPr>
          <w:rFonts w:ascii="Arial" w:eastAsia="Calibri" w:hAnsi="Arial" w:cs="Arial"/>
          <w:sz w:val="26"/>
          <w:szCs w:val="26"/>
          <w:lang w:val="es-ES" w:eastAsia="en-US"/>
        </w:rPr>
        <w:t xml:space="preserve"> todo lo actuado en el</w:t>
      </w:r>
      <w:r>
        <w:rPr>
          <w:rFonts w:ascii="Arial" w:eastAsia="Calibri" w:hAnsi="Arial" w:cs="Arial"/>
          <w:sz w:val="26"/>
          <w:szCs w:val="26"/>
          <w:lang w:val="es-ES" w:eastAsia="en-US"/>
        </w:rPr>
        <w:t xml:space="preserve"> </w:t>
      </w:r>
      <w:r w:rsidRPr="00110BA7">
        <w:rPr>
          <w:rFonts w:ascii="Arial" w:eastAsia="Calibri" w:hAnsi="Arial" w:cs="Arial"/>
          <w:sz w:val="26"/>
          <w:szCs w:val="26"/>
          <w:lang w:val="es-ES" w:eastAsia="en-US"/>
        </w:rPr>
        <w:t xml:space="preserve">procedimiento de </w:t>
      </w:r>
      <w:r>
        <w:rPr>
          <w:rFonts w:ascii="Arial" w:eastAsia="Calibri" w:hAnsi="Arial" w:cs="Arial"/>
          <w:sz w:val="26"/>
          <w:szCs w:val="26"/>
          <w:lang w:val="es-ES" w:eastAsia="en-US"/>
        </w:rPr>
        <w:t>Primera Instancia</w:t>
      </w:r>
      <w:r w:rsidRPr="00110BA7">
        <w:rPr>
          <w:rFonts w:ascii="Arial" w:eastAsia="Calibri" w:hAnsi="Arial" w:cs="Arial"/>
          <w:sz w:val="26"/>
          <w:szCs w:val="26"/>
          <w:lang w:val="es-ES" w:eastAsia="en-US"/>
        </w:rPr>
        <w:t>, que es producto de un</w:t>
      </w:r>
      <w:r>
        <w:rPr>
          <w:rFonts w:ascii="Arial" w:eastAsia="Calibri" w:hAnsi="Arial" w:cs="Arial"/>
          <w:sz w:val="26"/>
          <w:szCs w:val="26"/>
          <w:lang w:val="es-ES" w:eastAsia="en-US"/>
        </w:rPr>
        <w:t xml:space="preserve"> </w:t>
      </w:r>
      <w:r w:rsidRPr="00110BA7">
        <w:rPr>
          <w:rFonts w:ascii="Arial" w:eastAsia="Calibri" w:hAnsi="Arial" w:cs="Arial"/>
          <w:sz w:val="26"/>
          <w:szCs w:val="26"/>
          <w:lang w:val="es-ES" w:eastAsia="en-US"/>
        </w:rPr>
        <w:t>procedimiento viciado, en los términos precisados en párrafos</w:t>
      </w:r>
      <w:r>
        <w:rPr>
          <w:rFonts w:ascii="Arial" w:eastAsia="Calibri" w:hAnsi="Arial" w:cs="Arial"/>
          <w:sz w:val="26"/>
          <w:szCs w:val="26"/>
          <w:lang w:val="es-ES" w:eastAsia="en-US"/>
        </w:rPr>
        <w:t xml:space="preserve"> </w:t>
      </w:r>
      <w:r w:rsidRPr="00110BA7">
        <w:rPr>
          <w:rFonts w:ascii="Arial" w:eastAsia="Calibri" w:hAnsi="Arial" w:cs="Arial"/>
          <w:sz w:val="26"/>
          <w:szCs w:val="26"/>
          <w:lang w:val="es-ES" w:eastAsia="en-US"/>
        </w:rPr>
        <w:t xml:space="preserve">precedentes, y en consecuencia, debe </w:t>
      </w:r>
      <w:r w:rsidRPr="00110BA7">
        <w:rPr>
          <w:rFonts w:ascii="Arial" w:eastAsia="Calibri" w:hAnsi="Arial" w:cs="Arial"/>
          <w:b/>
          <w:sz w:val="26"/>
          <w:szCs w:val="26"/>
          <w:lang w:val="es-ES" w:eastAsia="en-US"/>
        </w:rPr>
        <w:t xml:space="preserve">REPONERSE EL </w:t>
      </w:r>
      <w:r>
        <w:rPr>
          <w:rFonts w:ascii="Arial" w:eastAsia="Calibri" w:hAnsi="Arial" w:cs="Arial"/>
          <w:b/>
          <w:sz w:val="26"/>
          <w:szCs w:val="26"/>
          <w:lang w:val="es-ES" w:eastAsia="en-US"/>
        </w:rPr>
        <w:t xml:space="preserve">PROCEDIMIENTO, </w:t>
      </w:r>
      <w:r w:rsidRPr="0026407C">
        <w:rPr>
          <w:rFonts w:ascii="Arial" w:eastAsia="Calibri" w:hAnsi="Arial" w:cs="Arial"/>
          <w:sz w:val="26"/>
          <w:szCs w:val="26"/>
          <w:lang w:val="es-ES" w:eastAsia="en-US"/>
        </w:rPr>
        <w:t xml:space="preserve">retrotrayéndose sus efectos a </w:t>
      </w:r>
      <w:r w:rsidRPr="00E218EC">
        <w:rPr>
          <w:rFonts w:ascii="Arial" w:eastAsia="Calibri" w:hAnsi="Arial" w:cs="Arial"/>
          <w:sz w:val="26"/>
          <w:szCs w:val="26"/>
          <w:lang w:val="es-ES" w:eastAsia="en-US"/>
        </w:rPr>
        <w:t xml:space="preserve">partir del auto admisorio de </w:t>
      </w:r>
      <w:r w:rsidR="00E4158A" w:rsidRPr="00E218EC">
        <w:rPr>
          <w:rFonts w:ascii="Arial" w:eastAsia="Calibri" w:hAnsi="Arial" w:cs="Arial"/>
          <w:sz w:val="26"/>
          <w:szCs w:val="26"/>
          <w:lang w:val="es-ES" w:eastAsia="en-US"/>
        </w:rPr>
        <w:t>quince de diciembre</w:t>
      </w:r>
      <w:r w:rsidRPr="00E218EC">
        <w:rPr>
          <w:rFonts w:ascii="Arial" w:eastAsia="Calibri" w:hAnsi="Arial" w:cs="Arial"/>
          <w:b/>
          <w:sz w:val="26"/>
          <w:szCs w:val="26"/>
          <w:lang w:val="es-ES" w:eastAsia="en-US"/>
        </w:rPr>
        <w:t xml:space="preserve"> de dos mil veinte</w:t>
      </w:r>
      <w:r w:rsidRPr="00E218EC">
        <w:rPr>
          <w:rFonts w:ascii="Arial" w:eastAsia="Calibri" w:hAnsi="Arial" w:cs="Arial"/>
          <w:sz w:val="26"/>
          <w:szCs w:val="26"/>
          <w:lang w:val="es-ES" w:eastAsia="en-US"/>
        </w:rPr>
        <w:t xml:space="preserve">, en el que se tuvo por admitida la demanda y consecuentemente, se emplazó a juicio a una de las autoridades demandadas, </w:t>
      </w:r>
      <w:r w:rsidRPr="00E218EC">
        <w:rPr>
          <w:rFonts w:ascii="Arial" w:eastAsia="Calibri" w:hAnsi="Arial" w:cs="Arial"/>
          <w:b/>
          <w:sz w:val="26"/>
          <w:szCs w:val="26"/>
          <w:lang w:val="es-ES" w:eastAsia="en-US"/>
        </w:rPr>
        <w:t>para el efecto de que además de lo anterior</w:t>
      </w:r>
      <w:r w:rsidRPr="00E218EC">
        <w:rPr>
          <w:rFonts w:ascii="Arial" w:eastAsia="Calibri" w:hAnsi="Arial" w:cs="Arial"/>
          <w:sz w:val="26"/>
          <w:szCs w:val="26"/>
          <w:lang w:val="es-ES" w:eastAsia="en-US"/>
        </w:rPr>
        <w:t>, se proceda a ordenar al actuario</w:t>
      </w:r>
      <w:r>
        <w:rPr>
          <w:rFonts w:ascii="Arial" w:eastAsia="Calibri" w:hAnsi="Arial" w:cs="Arial"/>
          <w:sz w:val="26"/>
          <w:szCs w:val="26"/>
          <w:lang w:val="es-ES" w:eastAsia="en-US"/>
        </w:rPr>
        <w:t xml:space="preserve"> adscrito a la </w:t>
      </w:r>
      <w:r w:rsidR="00E4158A">
        <w:rPr>
          <w:rFonts w:ascii="Arial" w:eastAsia="Calibri" w:hAnsi="Arial" w:cs="Arial"/>
          <w:sz w:val="26"/>
          <w:szCs w:val="26"/>
          <w:lang w:val="es-ES" w:eastAsia="en-US"/>
        </w:rPr>
        <w:t xml:space="preserve">Primera </w:t>
      </w:r>
      <w:r>
        <w:rPr>
          <w:rFonts w:ascii="Arial" w:eastAsia="Calibri" w:hAnsi="Arial" w:cs="Arial"/>
          <w:sz w:val="26"/>
          <w:szCs w:val="26"/>
          <w:lang w:val="es-ES" w:eastAsia="en-US"/>
        </w:rPr>
        <w:t>Sala Unitaria de Primera Instancia</w:t>
      </w:r>
      <w:r w:rsidRPr="00292147">
        <w:rPr>
          <w:rFonts w:ascii="Arial" w:eastAsia="Calibri" w:hAnsi="Arial" w:cs="Arial"/>
          <w:sz w:val="26"/>
          <w:szCs w:val="26"/>
          <w:lang w:val="es-ES" w:eastAsia="en-US"/>
        </w:rPr>
        <w:t xml:space="preserve">, que con la copia de la demanda y anexos, notifique, emplace a juicio y corra traslado a la autoridad demandada Fiscalía General del Estado de Oaxaca, para que la conteste </w:t>
      </w:r>
      <w:r>
        <w:rPr>
          <w:rFonts w:ascii="Arial" w:eastAsia="Calibri" w:hAnsi="Arial" w:cs="Arial"/>
          <w:sz w:val="26"/>
          <w:szCs w:val="26"/>
          <w:lang w:val="es-ES" w:eastAsia="en-US"/>
        </w:rPr>
        <w:t xml:space="preserve">en términos de lo dispuesto en </w:t>
      </w:r>
      <w:r w:rsidRPr="00292147">
        <w:rPr>
          <w:rFonts w:ascii="Arial" w:eastAsia="Calibri" w:hAnsi="Arial" w:cs="Arial"/>
          <w:sz w:val="26"/>
          <w:szCs w:val="26"/>
          <w:lang w:val="es-ES" w:eastAsia="en-US"/>
        </w:rPr>
        <w:t>los artículos 163 fracción I</w:t>
      </w:r>
      <w:r>
        <w:rPr>
          <w:rFonts w:ascii="Arial" w:eastAsia="Calibri" w:hAnsi="Arial" w:cs="Arial"/>
          <w:sz w:val="26"/>
          <w:szCs w:val="26"/>
          <w:lang w:val="es-ES" w:eastAsia="en-US"/>
        </w:rPr>
        <w:t>I</w:t>
      </w:r>
      <w:r w:rsidRPr="00292147">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183, 184, </w:t>
      </w:r>
      <w:r w:rsidRPr="00292147">
        <w:rPr>
          <w:rFonts w:ascii="Arial" w:eastAsia="Calibri" w:hAnsi="Arial" w:cs="Arial"/>
          <w:sz w:val="26"/>
          <w:szCs w:val="26"/>
          <w:lang w:val="es-ES" w:eastAsia="en-US"/>
        </w:rPr>
        <w:t>185</w:t>
      </w:r>
      <w:r>
        <w:rPr>
          <w:rFonts w:ascii="Arial" w:eastAsia="Calibri" w:hAnsi="Arial" w:cs="Arial"/>
          <w:sz w:val="26"/>
          <w:szCs w:val="26"/>
          <w:lang w:val="es-ES" w:eastAsia="en-US"/>
        </w:rPr>
        <w:t xml:space="preserve"> y 186 de la </w:t>
      </w:r>
      <w:r w:rsidRPr="005B35F3">
        <w:rPr>
          <w:rFonts w:ascii="Arial" w:eastAsia="Calibri" w:hAnsi="Arial" w:cs="Arial"/>
          <w:sz w:val="26"/>
          <w:szCs w:val="26"/>
          <w:lang w:val="es-ES" w:eastAsia="en-US"/>
        </w:rPr>
        <w:t>Ley de Procedimiento y Justicia Administrativa para el Estado de Oaxaca</w:t>
      </w:r>
      <w:r>
        <w:rPr>
          <w:rFonts w:ascii="Arial" w:eastAsia="Calibri" w:hAnsi="Arial" w:cs="Arial"/>
          <w:sz w:val="26"/>
          <w:szCs w:val="26"/>
          <w:lang w:val="es-ES" w:eastAsia="en-US"/>
        </w:rPr>
        <w:t>,</w:t>
      </w:r>
      <w:r w:rsidRPr="0026407C">
        <w:rPr>
          <w:rFonts w:ascii="Arial" w:eastAsia="Calibri" w:hAnsi="Arial" w:cs="Arial"/>
          <w:sz w:val="26"/>
          <w:szCs w:val="26"/>
          <w:lang w:val="es-ES" w:eastAsia="en-US"/>
        </w:rPr>
        <w:t xml:space="preserve"> a fin</w:t>
      </w:r>
      <w:r>
        <w:rPr>
          <w:rFonts w:ascii="Arial" w:eastAsia="Calibri" w:hAnsi="Arial" w:cs="Arial"/>
          <w:sz w:val="26"/>
          <w:szCs w:val="26"/>
          <w:lang w:val="es-ES" w:eastAsia="en-US"/>
        </w:rPr>
        <w:t xml:space="preserve"> </w:t>
      </w:r>
      <w:r w:rsidRPr="0026407C">
        <w:rPr>
          <w:rFonts w:ascii="Arial" w:eastAsia="Calibri" w:hAnsi="Arial" w:cs="Arial"/>
          <w:sz w:val="26"/>
          <w:szCs w:val="26"/>
          <w:lang w:val="es-ES" w:eastAsia="en-US"/>
        </w:rPr>
        <w:t>de proseguir el juicio por sus trámites, y en el momento procesal</w:t>
      </w:r>
      <w:r>
        <w:rPr>
          <w:rFonts w:ascii="Arial" w:eastAsia="Calibri" w:hAnsi="Arial" w:cs="Arial"/>
          <w:sz w:val="26"/>
          <w:szCs w:val="26"/>
          <w:lang w:val="es-ES" w:eastAsia="en-US"/>
        </w:rPr>
        <w:t xml:space="preserve"> </w:t>
      </w:r>
      <w:r w:rsidRPr="0026407C">
        <w:rPr>
          <w:rFonts w:ascii="Arial" w:eastAsia="Calibri" w:hAnsi="Arial" w:cs="Arial"/>
          <w:sz w:val="26"/>
          <w:szCs w:val="26"/>
          <w:lang w:val="es-ES" w:eastAsia="en-US"/>
        </w:rPr>
        <w:t xml:space="preserve">oportuno, la Sala </w:t>
      </w:r>
      <w:r>
        <w:rPr>
          <w:rFonts w:ascii="Arial" w:eastAsia="Calibri" w:hAnsi="Arial" w:cs="Arial"/>
          <w:sz w:val="26"/>
          <w:szCs w:val="26"/>
          <w:lang w:val="es-ES" w:eastAsia="en-US"/>
        </w:rPr>
        <w:t xml:space="preserve">Unitaria </w:t>
      </w:r>
      <w:r w:rsidRPr="0026407C">
        <w:rPr>
          <w:rFonts w:ascii="Arial" w:eastAsia="Calibri" w:hAnsi="Arial" w:cs="Arial"/>
          <w:sz w:val="26"/>
          <w:szCs w:val="26"/>
          <w:lang w:val="es-ES" w:eastAsia="en-US"/>
        </w:rPr>
        <w:t>emita la sentencia que decida sobre el</w:t>
      </w:r>
      <w:r>
        <w:rPr>
          <w:rFonts w:ascii="Arial" w:eastAsia="Calibri" w:hAnsi="Arial" w:cs="Arial"/>
          <w:sz w:val="26"/>
          <w:szCs w:val="26"/>
          <w:lang w:val="es-ES" w:eastAsia="en-US"/>
        </w:rPr>
        <w:t xml:space="preserve"> </w:t>
      </w:r>
      <w:r w:rsidRPr="0026407C">
        <w:rPr>
          <w:rFonts w:ascii="Arial" w:eastAsia="Calibri" w:hAnsi="Arial" w:cs="Arial"/>
          <w:sz w:val="26"/>
          <w:szCs w:val="26"/>
          <w:lang w:val="es-ES" w:eastAsia="en-US"/>
        </w:rPr>
        <w:t>fondo del asunto conforme a lo establecido en los artículos 206, 207,</w:t>
      </w:r>
      <w:r>
        <w:rPr>
          <w:rFonts w:ascii="Arial" w:eastAsia="Calibri" w:hAnsi="Arial" w:cs="Arial"/>
          <w:sz w:val="26"/>
          <w:szCs w:val="26"/>
          <w:lang w:val="es-ES" w:eastAsia="en-US"/>
        </w:rPr>
        <w:t xml:space="preserve"> </w:t>
      </w:r>
      <w:r w:rsidRPr="0026407C">
        <w:rPr>
          <w:rFonts w:ascii="Arial" w:eastAsia="Calibri" w:hAnsi="Arial" w:cs="Arial"/>
          <w:sz w:val="26"/>
          <w:szCs w:val="26"/>
          <w:lang w:val="es-ES" w:eastAsia="en-US"/>
        </w:rPr>
        <w:t>208 y 209, de la Ley señalada.</w:t>
      </w:r>
      <w:r w:rsidR="00E218EC">
        <w:rPr>
          <w:rFonts w:ascii="Arial" w:eastAsia="Calibri" w:hAnsi="Arial" w:cs="Arial"/>
          <w:sz w:val="26"/>
          <w:szCs w:val="26"/>
          <w:lang w:val="es-ES" w:eastAsia="en-US"/>
        </w:rPr>
        <w:t xml:space="preserve"> </w:t>
      </w:r>
      <w:r w:rsidR="00E218EC">
        <w:rPr>
          <w:rFonts w:ascii="Arial" w:hAnsi="Arial" w:cs="Arial"/>
          <w:sz w:val="26"/>
          <w:szCs w:val="26"/>
        </w:rPr>
        <w:t xml:space="preserve">- - - - - - - - - - - - - - - - - - - - - - - - - - - - - - - - - - - - - - - - - - - - - </w:t>
      </w:r>
    </w:p>
    <w:p w14:paraId="4E178202" w14:textId="1425F238" w:rsidR="00F76F78" w:rsidRDefault="00F76F78" w:rsidP="00F76F78">
      <w:pPr>
        <w:autoSpaceDE w:val="0"/>
        <w:autoSpaceDN w:val="0"/>
        <w:adjustRightInd w:val="0"/>
        <w:spacing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 xml:space="preserve">No obstante lo anterior, </w:t>
      </w:r>
      <w:r w:rsidRPr="007D4FC5">
        <w:rPr>
          <w:rFonts w:ascii="Arial" w:eastAsia="Calibri" w:hAnsi="Arial" w:cs="Arial"/>
          <w:sz w:val="26"/>
          <w:szCs w:val="26"/>
          <w:lang w:val="es-ES" w:eastAsia="en-US"/>
        </w:rPr>
        <w:t xml:space="preserve">la insubsistencia de todo lo actuado en el procedimiento debe entenderse en términos hábiles, es decir, deben subsistir las actuaciones que </w:t>
      </w:r>
      <w:r>
        <w:rPr>
          <w:rFonts w:ascii="Arial" w:eastAsia="Calibri" w:hAnsi="Arial" w:cs="Arial"/>
          <w:sz w:val="26"/>
          <w:szCs w:val="26"/>
          <w:lang w:val="es-ES" w:eastAsia="en-US"/>
        </w:rPr>
        <w:t>no afecten la esfera jurídica de la autoridad recurrente y del actor en el juicio; d</w:t>
      </w:r>
      <w:r w:rsidRPr="007D4FC5">
        <w:rPr>
          <w:rFonts w:ascii="Arial" w:eastAsia="Calibri" w:hAnsi="Arial" w:cs="Arial"/>
          <w:sz w:val="26"/>
          <w:szCs w:val="26"/>
          <w:lang w:val="es-ES" w:eastAsia="en-US"/>
        </w:rPr>
        <w:t>icho de otra manera, la nulidad d</w:t>
      </w:r>
      <w:r>
        <w:rPr>
          <w:rFonts w:ascii="Arial" w:eastAsia="Calibri" w:hAnsi="Arial" w:cs="Arial"/>
          <w:sz w:val="26"/>
          <w:szCs w:val="26"/>
          <w:lang w:val="es-ES" w:eastAsia="en-US"/>
        </w:rPr>
        <w:t>e lo actuado no puede afectar al diverso emplazamiento</w:t>
      </w:r>
      <w:r w:rsidRPr="007D4FC5">
        <w:rPr>
          <w:rFonts w:ascii="Arial" w:eastAsia="Calibri" w:hAnsi="Arial" w:cs="Arial"/>
          <w:sz w:val="26"/>
          <w:szCs w:val="26"/>
          <w:lang w:val="es-ES" w:eastAsia="en-US"/>
        </w:rPr>
        <w:t xml:space="preserve"> por </w:t>
      </w:r>
      <w:r>
        <w:rPr>
          <w:rFonts w:ascii="Arial" w:eastAsia="Calibri" w:hAnsi="Arial" w:cs="Arial"/>
          <w:sz w:val="26"/>
          <w:szCs w:val="26"/>
          <w:lang w:val="es-ES" w:eastAsia="en-US"/>
        </w:rPr>
        <w:t>el que fue</w:t>
      </w:r>
      <w:r w:rsidRPr="007D4FC5">
        <w:rPr>
          <w:rFonts w:ascii="Arial" w:eastAsia="Calibri" w:hAnsi="Arial" w:cs="Arial"/>
          <w:sz w:val="26"/>
          <w:szCs w:val="26"/>
          <w:lang w:val="es-ES" w:eastAsia="en-US"/>
        </w:rPr>
        <w:t xml:space="preserve"> llamado</w:t>
      </w:r>
      <w:r>
        <w:rPr>
          <w:rFonts w:ascii="Arial" w:eastAsia="Calibri" w:hAnsi="Arial" w:cs="Arial"/>
          <w:sz w:val="26"/>
          <w:szCs w:val="26"/>
          <w:lang w:val="es-ES" w:eastAsia="en-US"/>
        </w:rPr>
        <w:t xml:space="preserve"> correctamente el codemandado</w:t>
      </w:r>
      <w:r w:rsidRPr="007D4FC5">
        <w:rPr>
          <w:rFonts w:ascii="Arial" w:eastAsia="Calibri" w:hAnsi="Arial" w:cs="Arial"/>
          <w:sz w:val="26"/>
          <w:szCs w:val="26"/>
          <w:lang w:val="es-ES" w:eastAsia="en-US"/>
        </w:rPr>
        <w:t xml:space="preserve">, porque la nulidad de una actuación, únicamente puede afectar a aquellas que se encuentran vinculadas por un nexo jurídico y lógico, lo que no sucede con </w:t>
      </w:r>
      <w:r>
        <w:rPr>
          <w:rFonts w:ascii="Arial" w:eastAsia="Calibri" w:hAnsi="Arial" w:cs="Arial"/>
          <w:sz w:val="26"/>
          <w:szCs w:val="26"/>
          <w:lang w:val="es-ES" w:eastAsia="en-US"/>
        </w:rPr>
        <w:t>el emplazamiento del codemandado</w:t>
      </w:r>
      <w:r w:rsidRPr="007D4FC5">
        <w:rPr>
          <w:rFonts w:ascii="Arial" w:eastAsia="Calibri" w:hAnsi="Arial" w:cs="Arial"/>
          <w:sz w:val="26"/>
          <w:szCs w:val="26"/>
          <w:lang w:val="es-ES" w:eastAsia="en-US"/>
        </w:rPr>
        <w:t>, porque estas diligencias son totalmente ajenas, pues su validez o invalidez no dependen de las que se de</w:t>
      </w:r>
      <w:r w:rsidR="003A2EC0">
        <w:rPr>
          <w:rFonts w:ascii="Arial" w:eastAsia="Calibri" w:hAnsi="Arial" w:cs="Arial"/>
          <w:sz w:val="26"/>
          <w:szCs w:val="26"/>
          <w:lang w:val="es-ES" w:eastAsia="en-US"/>
        </w:rPr>
        <w:t xml:space="preserve">jaron sin efectos. </w:t>
      </w:r>
      <w:r w:rsidR="00E218EC">
        <w:rPr>
          <w:rFonts w:ascii="Arial" w:hAnsi="Arial" w:cs="Arial"/>
          <w:sz w:val="26"/>
          <w:szCs w:val="26"/>
        </w:rPr>
        <w:t>- - - - - - - - - - - - - - - - - - - - - - - - - - - - - - - - - - -</w:t>
      </w:r>
    </w:p>
    <w:p w14:paraId="76E368F4" w14:textId="77777777" w:rsidR="00F76F78" w:rsidRDefault="00F76F78" w:rsidP="00F76F78">
      <w:pPr>
        <w:widowControl w:val="0"/>
        <w:tabs>
          <w:tab w:val="left" w:pos="7938"/>
        </w:tabs>
        <w:spacing w:before="240" w:line="360" w:lineRule="auto"/>
        <w:ind w:right="18" w:firstLine="709"/>
        <w:jc w:val="both"/>
        <w:rPr>
          <w:rFonts w:ascii="Arial" w:eastAsia="Calibri" w:hAnsi="Arial" w:cs="Arial"/>
          <w:bCs/>
          <w:sz w:val="26"/>
          <w:szCs w:val="26"/>
        </w:rPr>
      </w:pPr>
      <w:r w:rsidRPr="00AE3940">
        <w:rPr>
          <w:rFonts w:ascii="Arial" w:eastAsia="Calibri" w:hAnsi="Arial" w:cs="Arial"/>
          <w:bCs/>
          <w:sz w:val="26"/>
          <w:szCs w:val="26"/>
        </w:rPr>
        <w:lastRenderedPageBreak/>
        <w:t xml:space="preserve">En apoyo a lo anterior, se invoca la jurisprudencia con número de registro </w:t>
      </w:r>
      <w:r>
        <w:rPr>
          <w:rFonts w:ascii="Arial" w:eastAsia="Calibri" w:hAnsi="Arial" w:cs="Arial"/>
          <w:bCs/>
          <w:sz w:val="26"/>
          <w:szCs w:val="26"/>
        </w:rPr>
        <w:t>160821</w:t>
      </w:r>
      <w:r w:rsidRPr="00AE3940">
        <w:rPr>
          <w:rFonts w:ascii="Arial" w:eastAsia="Calibri" w:hAnsi="Arial" w:cs="Arial"/>
          <w:bCs/>
          <w:sz w:val="26"/>
          <w:szCs w:val="26"/>
        </w:rPr>
        <w:t xml:space="preserve">, emitida por </w:t>
      </w:r>
      <w:r>
        <w:rPr>
          <w:rFonts w:ascii="Arial" w:eastAsia="Calibri" w:hAnsi="Arial" w:cs="Arial"/>
          <w:bCs/>
          <w:sz w:val="26"/>
          <w:szCs w:val="26"/>
        </w:rPr>
        <w:t xml:space="preserve">la Primera Sala del Alto Tribunal, de </w:t>
      </w:r>
      <w:r w:rsidRPr="00AE3940">
        <w:rPr>
          <w:rFonts w:ascii="Arial" w:eastAsia="Calibri" w:hAnsi="Arial" w:cs="Arial"/>
          <w:bCs/>
          <w:sz w:val="26"/>
          <w:szCs w:val="26"/>
        </w:rPr>
        <w:t xml:space="preserve">la </w:t>
      </w:r>
      <w:r>
        <w:rPr>
          <w:rFonts w:ascii="Arial" w:eastAsia="Calibri" w:hAnsi="Arial" w:cs="Arial"/>
          <w:bCs/>
          <w:sz w:val="26"/>
          <w:szCs w:val="26"/>
        </w:rPr>
        <w:t>Décima</w:t>
      </w:r>
      <w:r w:rsidRPr="00AE3940">
        <w:rPr>
          <w:rFonts w:ascii="Arial" w:eastAsia="Calibri" w:hAnsi="Arial" w:cs="Arial"/>
          <w:bCs/>
          <w:sz w:val="26"/>
          <w:szCs w:val="26"/>
        </w:rPr>
        <w:t xml:space="preserve"> Época, visible en la Gaceta del Semanario Judi</w:t>
      </w:r>
      <w:r>
        <w:rPr>
          <w:rFonts w:ascii="Arial" w:eastAsia="Calibri" w:hAnsi="Arial" w:cs="Arial"/>
          <w:bCs/>
          <w:sz w:val="26"/>
          <w:szCs w:val="26"/>
        </w:rPr>
        <w:t>cial de la Federación, Libro I, Octubre de 2011, página 933</w:t>
      </w:r>
      <w:r w:rsidRPr="00AE3940">
        <w:rPr>
          <w:rFonts w:ascii="Arial" w:eastAsia="Calibri" w:hAnsi="Arial" w:cs="Arial"/>
          <w:bCs/>
          <w:sz w:val="26"/>
          <w:szCs w:val="26"/>
        </w:rPr>
        <w:t>,</w:t>
      </w:r>
      <w:r>
        <w:rPr>
          <w:rFonts w:ascii="Arial" w:eastAsia="Calibri" w:hAnsi="Arial" w:cs="Arial"/>
          <w:bCs/>
          <w:sz w:val="26"/>
          <w:szCs w:val="26"/>
        </w:rPr>
        <w:t xml:space="preserve"> Materia Común,</w:t>
      </w:r>
      <w:r w:rsidRPr="00AE3940">
        <w:rPr>
          <w:rFonts w:ascii="Arial" w:eastAsia="Calibri" w:hAnsi="Arial" w:cs="Arial"/>
          <w:bCs/>
          <w:sz w:val="26"/>
          <w:szCs w:val="26"/>
        </w:rPr>
        <w:t xml:space="preserve"> de rubro y texto siguiente:</w:t>
      </w:r>
    </w:p>
    <w:p w14:paraId="0D3E5DDE" w14:textId="77777777" w:rsidR="00F76F78" w:rsidRPr="00E218EC" w:rsidRDefault="00F76F78" w:rsidP="00E218EC">
      <w:pPr>
        <w:autoSpaceDE w:val="0"/>
        <w:autoSpaceDN w:val="0"/>
        <w:adjustRightInd w:val="0"/>
        <w:ind w:left="709" w:right="758"/>
        <w:jc w:val="both"/>
        <w:rPr>
          <w:rFonts w:ascii="Arial" w:eastAsia="Calibri" w:hAnsi="Arial" w:cs="Arial"/>
          <w:i/>
          <w:lang w:eastAsia="en-US"/>
        </w:rPr>
      </w:pPr>
      <w:r w:rsidRPr="00E218EC">
        <w:rPr>
          <w:rFonts w:ascii="Arial" w:eastAsia="Calibri" w:hAnsi="Arial" w:cs="Arial"/>
          <w:i/>
          <w:lang w:eastAsia="en-US"/>
        </w:rPr>
        <w:t>“</w:t>
      </w:r>
      <w:r w:rsidRPr="00E218EC">
        <w:rPr>
          <w:rFonts w:ascii="Arial" w:eastAsia="Calibri" w:hAnsi="Arial" w:cs="Arial"/>
          <w:b/>
          <w:i/>
          <w:lang w:eastAsia="en-US"/>
        </w:rPr>
        <w:t>LITISCONSORCIO PASIVO. LA CONCESIÓN DE AMPARO A UNO DE LOS LITISCONSORTES PARA EL EFECTO DE SER EMPLAZADO AL JUICIO, NO TIENE EL ALCANCE DE DEJAR INSUBSISTENTES LOS EMPLAZAMIENTOS DE LOS DEMÁS LITISCONSORTES Y ORDENAR SU NUEVO LLAMAMIENTO A JUICIO.</w:t>
      </w:r>
    </w:p>
    <w:p w14:paraId="2CA3BFA1" w14:textId="77777777" w:rsidR="00F76F78" w:rsidRPr="00E218EC" w:rsidRDefault="00F76F78" w:rsidP="00E218EC">
      <w:pPr>
        <w:autoSpaceDE w:val="0"/>
        <w:autoSpaceDN w:val="0"/>
        <w:adjustRightInd w:val="0"/>
        <w:ind w:left="709" w:right="758"/>
        <w:jc w:val="both"/>
        <w:rPr>
          <w:rFonts w:ascii="Arial" w:eastAsia="Calibri" w:hAnsi="Arial" w:cs="Arial"/>
          <w:i/>
          <w:lang w:eastAsia="en-US"/>
        </w:rPr>
      </w:pPr>
      <w:r w:rsidRPr="00E218EC">
        <w:rPr>
          <w:rFonts w:ascii="Arial" w:eastAsia="Calibri" w:hAnsi="Arial" w:cs="Arial"/>
          <w:i/>
          <w:lang w:eastAsia="en-US"/>
        </w:rPr>
        <w:t xml:space="preserve">El principio de relatividad que rige al juicio de garantías ordena que la sentencia de amparo solamente se ocupe de los individuos que lo hubiesen solicitado, sin hacer una declaración general respecto de la ley o acto reclamado. Tal principio admite como excepción el supuesto en que exista litisconsorcio necesario, en cuyo caso, el beneficio de la concesión se extiende al resto de los litisconsortes, pues por su naturaleza misma, atinente a la indivisibilidad del derecho sustantivo litigioso, se hace imprescindible oír a todos los interesados que se encuentren en la comunidad jurídica respecto de la materia de la controversia, para que se pueda dictar una sentencia válida. </w:t>
      </w:r>
      <w:r w:rsidRPr="00E218EC">
        <w:rPr>
          <w:rFonts w:ascii="Arial" w:eastAsia="Calibri" w:hAnsi="Arial" w:cs="Arial"/>
          <w:b/>
          <w:i/>
          <w:lang w:eastAsia="en-US"/>
        </w:rPr>
        <w:t>Sin embargo, la reposición del procedimiento como efecto de la sentencia de amparo que concede la protección de la justicia federal solicitado por la falta de llamamiento a juicio de uno de los litisconsortes, no tiene el alcance de dejar insubsistentes los llamamientos a juicio de aquellos que sí fueron emplazados de forma legal, para que éste se verifique de nueva cuenta, pues esa no es una consecuencia lógica y natural del litisconsorcio, si se considera que el llamamiento de cada uno de los litisconsortes se verifica de manera independiente, por lo que en ese preciso tema ha de atenderse al principio de relatividad explicado</w:t>
      </w:r>
      <w:r w:rsidRPr="00E218EC">
        <w:rPr>
          <w:rFonts w:ascii="Arial" w:eastAsia="Calibri" w:hAnsi="Arial" w:cs="Arial"/>
          <w:i/>
          <w:lang w:eastAsia="en-US"/>
        </w:rPr>
        <w:t>. –Énfasis añadido-.</w:t>
      </w:r>
    </w:p>
    <w:p w14:paraId="20FB3CE3" w14:textId="01146400" w:rsidR="00F76F78" w:rsidRPr="00824B92" w:rsidRDefault="00F76F78" w:rsidP="00F76F78">
      <w:pPr>
        <w:autoSpaceDE w:val="0"/>
        <w:autoSpaceDN w:val="0"/>
        <w:adjustRightInd w:val="0"/>
        <w:spacing w:line="360" w:lineRule="auto"/>
        <w:ind w:right="49" w:firstLine="567"/>
        <w:jc w:val="both"/>
        <w:rPr>
          <w:rFonts w:ascii="Arial" w:eastAsia="Calibri" w:hAnsi="Arial" w:cs="Arial"/>
          <w:sz w:val="26"/>
          <w:szCs w:val="26"/>
          <w:lang w:val="es-ES" w:eastAsia="en-US"/>
        </w:rPr>
      </w:pPr>
      <w:r w:rsidRPr="00824B92">
        <w:rPr>
          <w:rFonts w:ascii="Arial" w:eastAsia="Calibri" w:hAnsi="Arial" w:cs="Arial"/>
          <w:sz w:val="26"/>
          <w:szCs w:val="26"/>
          <w:lang w:val="es-ES" w:eastAsia="en-US"/>
        </w:rPr>
        <w:t xml:space="preserve">Por las consideraciones antes expuestas, y dado lo </w:t>
      </w:r>
      <w:r w:rsidRPr="00E42915">
        <w:rPr>
          <w:rFonts w:ascii="Arial" w:eastAsia="Calibri" w:hAnsi="Arial" w:cs="Arial"/>
          <w:b/>
          <w:sz w:val="26"/>
          <w:szCs w:val="26"/>
          <w:lang w:val="es-ES" w:eastAsia="en-US"/>
        </w:rPr>
        <w:t>SUSTANCIALMENTE FUNDADO</w:t>
      </w:r>
      <w:r>
        <w:rPr>
          <w:rFonts w:ascii="Arial" w:eastAsia="Calibri" w:hAnsi="Arial" w:cs="Arial"/>
          <w:sz w:val="26"/>
          <w:szCs w:val="26"/>
          <w:lang w:val="es-ES" w:eastAsia="en-US"/>
        </w:rPr>
        <w:t xml:space="preserve"> del agravio formulado</w:t>
      </w:r>
      <w:r w:rsidRPr="00824B92">
        <w:rPr>
          <w:rFonts w:ascii="Arial" w:eastAsia="Calibri" w:hAnsi="Arial" w:cs="Arial"/>
          <w:sz w:val="26"/>
          <w:szCs w:val="26"/>
          <w:lang w:val="es-ES" w:eastAsia="en-US"/>
        </w:rPr>
        <w:t xml:space="preserve"> por la </w:t>
      </w:r>
      <w:r>
        <w:rPr>
          <w:rFonts w:ascii="Arial" w:eastAsia="Calibri" w:hAnsi="Arial" w:cs="Arial"/>
          <w:sz w:val="26"/>
          <w:szCs w:val="26"/>
          <w:lang w:val="es-ES" w:eastAsia="en-US"/>
        </w:rPr>
        <w:t>autoridad recurrente</w:t>
      </w:r>
      <w:r w:rsidRPr="00824B92">
        <w:rPr>
          <w:rFonts w:ascii="Arial" w:eastAsia="Calibri" w:hAnsi="Arial" w:cs="Arial"/>
          <w:sz w:val="26"/>
          <w:szCs w:val="26"/>
          <w:lang w:val="es-ES" w:eastAsia="en-US"/>
        </w:rPr>
        <w:t xml:space="preserve">, procede </w:t>
      </w:r>
      <w:r>
        <w:rPr>
          <w:rFonts w:ascii="Arial" w:eastAsia="Calibri" w:hAnsi="Arial" w:cs="Arial"/>
          <w:b/>
          <w:sz w:val="26"/>
          <w:szCs w:val="26"/>
          <w:lang w:val="es-ES" w:eastAsia="en-US"/>
        </w:rPr>
        <w:t>REVOCAR</w:t>
      </w:r>
      <w:r w:rsidRPr="00824B92">
        <w:rPr>
          <w:rFonts w:ascii="Arial" w:eastAsia="Calibri" w:hAnsi="Arial" w:cs="Arial"/>
          <w:sz w:val="26"/>
          <w:szCs w:val="26"/>
          <w:lang w:val="es-ES" w:eastAsia="en-US"/>
        </w:rPr>
        <w:t xml:space="preserve"> </w:t>
      </w:r>
      <w:r w:rsidRPr="00110BA7">
        <w:rPr>
          <w:rFonts w:ascii="Arial" w:eastAsia="Calibri" w:hAnsi="Arial" w:cs="Arial"/>
          <w:sz w:val="26"/>
          <w:szCs w:val="26"/>
          <w:lang w:val="es-ES" w:eastAsia="en-US"/>
        </w:rPr>
        <w:t>todo lo actuado en el</w:t>
      </w:r>
      <w:r>
        <w:rPr>
          <w:rFonts w:ascii="Arial" w:eastAsia="Calibri" w:hAnsi="Arial" w:cs="Arial"/>
          <w:sz w:val="26"/>
          <w:szCs w:val="26"/>
          <w:lang w:val="es-ES" w:eastAsia="en-US"/>
        </w:rPr>
        <w:t xml:space="preserve"> </w:t>
      </w:r>
      <w:r w:rsidRPr="00110BA7">
        <w:rPr>
          <w:rFonts w:ascii="Arial" w:eastAsia="Calibri" w:hAnsi="Arial" w:cs="Arial"/>
          <w:sz w:val="26"/>
          <w:szCs w:val="26"/>
          <w:lang w:val="es-ES" w:eastAsia="en-US"/>
        </w:rPr>
        <w:t>pro</w:t>
      </w:r>
      <w:r>
        <w:rPr>
          <w:rFonts w:ascii="Arial" w:eastAsia="Calibri" w:hAnsi="Arial" w:cs="Arial"/>
          <w:sz w:val="26"/>
          <w:szCs w:val="26"/>
          <w:lang w:val="es-ES" w:eastAsia="en-US"/>
        </w:rPr>
        <w:t>cedimiento de primera instancia</w:t>
      </w:r>
      <w:r w:rsidRPr="00824B92">
        <w:rPr>
          <w:rFonts w:ascii="Arial" w:eastAsia="Calibri" w:hAnsi="Arial" w:cs="Arial"/>
          <w:sz w:val="26"/>
          <w:szCs w:val="26"/>
          <w:lang w:val="es-ES" w:eastAsia="en-US"/>
        </w:rPr>
        <w:t xml:space="preserve">; y, </w:t>
      </w:r>
      <w:r w:rsidRPr="00824B92">
        <w:rPr>
          <w:rFonts w:ascii="Arial" w:eastAsia="Calibri" w:hAnsi="Arial" w:cs="Arial"/>
          <w:bCs/>
          <w:sz w:val="26"/>
          <w:szCs w:val="26"/>
          <w:lang w:val="es-ES" w:eastAsia="en-US"/>
        </w:rPr>
        <w:t>c</w:t>
      </w:r>
      <w:r w:rsidRPr="00824B92">
        <w:rPr>
          <w:rFonts w:ascii="Arial" w:eastAsia="Calibri" w:hAnsi="Arial" w:cs="Arial"/>
          <w:sz w:val="26"/>
          <w:szCs w:val="26"/>
          <w:lang w:val="es-ES" w:eastAsia="en-US"/>
        </w:rPr>
        <w:t>on fundamento en los artículos 237 y 238 de la Ley de Procedimiento y Justicia Administrativa para el Estado de Oaxaca, se:</w:t>
      </w:r>
      <w:r>
        <w:rPr>
          <w:rFonts w:ascii="Arial" w:eastAsia="Calibri" w:hAnsi="Arial" w:cs="Arial"/>
          <w:sz w:val="26"/>
          <w:szCs w:val="26"/>
          <w:lang w:val="es-ES" w:eastAsia="en-US"/>
        </w:rPr>
        <w:t xml:space="preserve"> </w:t>
      </w:r>
      <w:r w:rsidR="00E218EC">
        <w:rPr>
          <w:rFonts w:ascii="Arial" w:hAnsi="Arial" w:cs="Arial"/>
          <w:sz w:val="26"/>
          <w:szCs w:val="26"/>
        </w:rPr>
        <w:t xml:space="preserve">- - - - - - - - - - - - - - - - - - - - - - - - - - - - - - - - - - - </w:t>
      </w:r>
    </w:p>
    <w:p w14:paraId="615B892F" w14:textId="77777777" w:rsidR="00F76F78" w:rsidRPr="0009430F" w:rsidRDefault="00F76F78" w:rsidP="00F76F78">
      <w:pPr>
        <w:spacing w:before="240" w:after="0" w:line="360" w:lineRule="auto"/>
        <w:jc w:val="center"/>
        <w:rPr>
          <w:rFonts w:ascii="Arial" w:eastAsia="Times New Roman" w:hAnsi="Arial" w:cs="Arial"/>
          <w:b/>
          <w:sz w:val="26"/>
          <w:szCs w:val="26"/>
          <w:lang w:val="es-ES"/>
        </w:rPr>
      </w:pPr>
      <w:r w:rsidRPr="0009430F">
        <w:rPr>
          <w:rFonts w:ascii="Arial" w:eastAsia="Times New Roman" w:hAnsi="Arial" w:cs="Arial"/>
          <w:b/>
          <w:sz w:val="26"/>
          <w:szCs w:val="26"/>
          <w:lang w:val="es-ES"/>
        </w:rPr>
        <w:t>R E S U E L V E</w:t>
      </w:r>
    </w:p>
    <w:p w14:paraId="0FAABD2C" w14:textId="545E2268" w:rsidR="00F76F78" w:rsidRDefault="00F76F78" w:rsidP="00F76F78">
      <w:pPr>
        <w:spacing w:before="240" w:after="0" w:line="360" w:lineRule="auto"/>
        <w:ind w:firstLine="708"/>
        <w:jc w:val="both"/>
        <w:rPr>
          <w:rFonts w:ascii="Arial" w:eastAsia="Times New Roman" w:hAnsi="Arial" w:cs="Arial"/>
          <w:color w:val="000000"/>
          <w:sz w:val="26"/>
          <w:szCs w:val="26"/>
        </w:rPr>
      </w:pPr>
      <w:r w:rsidRPr="00824B92">
        <w:rPr>
          <w:rFonts w:ascii="Arial" w:eastAsia="Times New Roman" w:hAnsi="Arial" w:cs="Arial"/>
          <w:b/>
          <w:color w:val="000000"/>
          <w:sz w:val="26"/>
          <w:szCs w:val="26"/>
          <w:lang w:val="es-ES"/>
        </w:rPr>
        <w:t>PRIMERO</w:t>
      </w:r>
      <w:r w:rsidRPr="00824B92">
        <w:rPr>
          <w:rFonts w:ascii="Arial" w:eastAsia="Times New Roman" w:hAnsi="Arial" w:cs="Arial"/>
          <w:color w:val="000000"/>
          <w:sz w:val="26"/>
          <w:szCs w:val="26"/>
          <w:lang w:val="es-ES"/>
        </w:rPr>
        <w:t xml:space="preserve">. </w:t>
      </w:r>
      <w:r w:rsidRPr="00824B92">
        <w:rPr>
          <w:rFonts w:ascii="Arial" w:eastAsia="Times New Roman" w:hAnsi="Arial" w:cs="Arial"/>
          <w:color w:val="000000"/>
          <w:sz w:val="26"/>
          <w:szCs w:val="26"/>
        </w:rPr>
        <w:t>Se</w:t>
      </w:r>
      <w:r w:rsidRPr="00824B92">
        <w:rPr>
          <w:rFonts w:ascii="Arial" w:eastAsia="Times New Roman" w:hAnsi="Arial" w:cs="Arial"/>
          <w:b/>
          <w:color w:val="000000"/>
          <w:sz w:val="26"/>
          <w:szCs w:val="26"/>
        </w:rPr>
        <w:t xml:space="preserve"> </w:t>
      </w:r>
      <w:r>
        <w:rPr>
          <w:rFonts w:ascii="Arial" w:eastAsia="Times New Roman" w:hAnsi="Arial" w:cs="Arial"/>
          <w:b/>
          <w:color w:val="000000"/>
          <w:sz w:val="26"/>
          <w:szCs w:val="26"/>
        </w:rPr>
        <w:t>REVOCA</w:t>
      </w:r>
      <w:r w:rsidRPr="00824B92">
        <w:rPr>
          <w:rFonts w:ascii="Arial" w:eastAsia="Times New Roman" w:hAnsi="Arial" w:cs="Arial"/>
          <w:b/>
          <w:color w:val="000000"/>
          <w:sz w:val="26"/>
          <w:szCs w:val="26"/>
        </w:rPr>
        <w:t xml:space="preserve"> </w:t>
      </w:r>
      <w:r w:rsidRPr="00110BA7">
        <w:rPr>
          <w:rFonts w:ascii="Arial" w:eastAsia="Calibri" w:hAnsi="Arial" w:cs="Arial"/>
          <w:sz w:val="26"/>
          <w:szCs w:val="26"/>
          <w:lang w:val="es-ES" w:eastAsia="en-US"/>
        </w:rPr>
        <w:t>todo lo actuado en el</w:t>
      </w:r>
      <w:r>
        <w:rPr>
          <w:rFonts w:ascii="Arial" w:eastAsia="Calibri" w:hAnsi="Arial" w:cs="Arial"/>
          <w:sz w:val="26"/>
          <w:szCs w:val="26"/>
          <w:lang w:val="es-ES" w:eastAsia="en-US"/>
        </w:rPr>
        <w:t xml:space="preserve"> </w:t>
      </w:r>
      <w:r w:rsidRPr="00110BA7">
        <w:rPr>
          <w:rFonts w:ascii="Arial" w:eastAsia="Calibri" w:hAnsi="Arial" w:cs="Arial"/>
          <w:sz w:val="26"/>
          <w:szCs w:val="26"/>
          <w:lang w:val="es-ES" w:eastAsia="en-US"/>
        </w:rPr>
        <w:t>pro</w:t>
      </w:r>
      <w:r>
        <w:rPr>
          <w:rFonts w:ascii="Arial" w:eastAsia="Calibri" w:hAnsi="Arial" w:cs="Arial"/>
          <w:sz w:val="26"/>
          <w:szCs w:val="26"/>
          <w:lang w:val="es-ES" w:eastAsia="en-US"/>
        </w:rPr>
        <w:t>cedimiento de primera instancia</w:t>
      </w:r>
      <w:r w:rsidRPr="00824B92">
        <w:rPr>
          <w:rFonts w:ascii="Arial" w:eastAsia="Times New Roman" w:hAnsi="Arial" w:cs="Arial"/>
          <w:color w:val="000000"/>
          <w:sz w:val="26"/>
          <w:szCs w:val="26"/>
        </w:rPr>
        <w:t>,</w:t>
      </w:r>
      <w:r>
        <w:rPr>
          <w:rFonts w:ascii="Arial" w:eastAsia="Times New Roman" w:hAnsi="Arial" w:cs="Arial"/>
          <w:color w:val="000000"/>
          <w:sz w:val="26"/>
          <w:szCs w:val="26"/>
        </w:rPr>
        <w:t xml:space="preserve"> a partir del auto admisorio de </w:t>
      </w:r>
      <w:r w:rsidR="0063541E">
        <w:rPr>
          <w:rFonts w:ascii="Arial" w:eastAsia="Times New Roman" w:hAnsi="Arial" w:cs="Arial"/>
          <w:color w:val="000000"/>
          <w:sz w:val="26"/>
          <w:szCs w:val="26"/>
        </w:rPr>
        <w:t>quince de diciembre</w:t>
      </w:r>
      <w:r w:rsidRPr="00C4543F">
        <w:rPr>
          <w:rFonts w:ascii="Arial" w:eastAsia="Times New Roman" w:hAnsi="Arial" w:cs="Arial"/>
          <w:color w:val="000000"/>
          <w:sz w:val="26"/>
          <w:szCs w:val="26"/>
        </w:rPr>
        <w:t xml:space="preserve"> de dos mil </w:t>
      </w:r>
      <w:r>
        <w:rPr>
          <w:rFonts w:ascii="Arial" w:eastAsia="Times New Roman" w:hAnsi="Arial" w:cs="Arial"/>
          <w:color w:val="000000"/>
          <w:sz w:val="26"/>
          <w:szCs w:val="26"/>
        </w:rPr>
        <w:t xml:space="preserve">veinte, </w:t>
      </w:r>
      <w:r w:rsidRPr="00824B92">
        <w:rPr>
          <w:rFonts w:ascii="Arial" w:eastAsia="Times New Roman" w:hAnsi="Arial" w:cs="Arial"/>
          <w:color w:val="000000"/>
          <w:sz w:val="26"/>
          <w:szCs w:val="26"/>
        </w:rPr>
        <w:t>por las razones expuestas por esta Sala Superior en el considerando que antecede.</w:t>
      </w:r>
      <w:r>
        <w:rPr>
          <w:rFonts w:ascii="Arial" w:eastAsia="Times New Roman" w:hAnsi="Arial" w:cs="Arial"/>
          <w:color w:val="000000"/>
          <w:sz w:val="26"/>
          <w:szCs w:val="26"/>
        </w:rPr>
        <w:t xml:space="preserve"> </w:t>
      </w:r>
      <w:r w:rsidR="00E218EC">
        <w:rPr>
          <w:rFonts w:ascii="Arial" w:hAnsi="Arial" w:cs="Arial"/>
          <w:sz w:val="26"/>
          <w:szCs w:val="26"/>
        </w:rPr>
        <w:t xml:space="preserve">- - - - - - - - - - - - - - - - - - - - - - - - - - - - - - - </w:t>
      </w:r>
    </w:p>
    <w:p w14:paraId="24280672" w14:textId="6F960647" w:rsidR="00F76F78" w:rsidRPr="00C11930" w:rsidRDefault="00F76F78" w:rsidP="00F76F78">
      <w:pPr>
        <w:spacing w:before="240" w:after="0" w:line="360" w:lineRule="auto"/>
        <w:ind w:firstLine="708"/>
        <w:jc w:val="both"/>
        <w:rPr>
          <w:rFonts w:ascii="Arial" w:eastAsia="Times New Roman" w:hAnsi="Arial" w:cs="Arial"/>
          <w:color w:val="000000"/>
          <w:sz w:val="26"/>
          <w:szCs w:val="26"/>
        </w:rPr>
      </w:pPr>
      <w:r w:rsidRPr="00824B92">
        <w:rPr>
          <w:rFonts w:ascii="Arial" w:eastAsia="Times New Roman" w:hAnsi="Arial" w:cs="Arial"/>
          <w:b/>
          <w:sz w:val="26"/>
          <w:szCs w:val="26"/>
        </w:rPr>
        <w:lastRenderedPageBreak/>
        <w:t>SEGUNDO.</w:t>
      </w:r>
      <w:r>
        <w:rPr>
          <w:rFonts w:ascii="Arial" w:eastAsia="Times New Roman" w:hAnsi="Arial" w:cs="Arial"/>
          <w:b/>
          <w:sz w:val="26"/>
          <w:szCs w:val="26"/>
        </w:rPr>
        <w:t xml:space="preserve"> </w:t>
      </w:r>
      <w:r w:rsidRPr="00C11930">
        <w:rPr>
          <w:rFonts w:ascii="Arial" w:eastAsia="Times New Roman" w:hAnsi="Arial" w:cs="Arial"/>
          <w:b/>
          <w:color w:val="000000"/>
          <w:sz w:val="26"/>
          <w:szCs w:val="26"/>
        </w:rPr>
        <w:t xml:space="preserve">SE ORDENA REPONER EL PROCEDIMIENTO </w:t>
      </w:r>
      <w:r w:rsidRPr="00C11930">
        <w:rPr>
          <w:rFonts w:ascii="Arial" w:eastAsia="Times New Roman" w:hAnsi="Arial" w:cs="Arial"/>
          <w:color w:val="000000"/>
          <w:sz w:val="26"/>
          <w:szCs w:val="26"/>
        </w:rPr>
        <w:t>de</w:t>
      </w:r>
      <w:r>
        <w:rPr>
          <w:rFonts w:ascii="Arial" w:eastAsia="Times New Roman" w:hAnsi="Arial" w:cs="Arial"/>
          <w:color w:val="000000"/>
          <w:sz w:val="26"/>
          <w:szCs w:val="26"/>
        </w:rPr>
        <w:t xml:space="preserve"> </w:t>
      </w:r>
      <w:r w:rsidRPr="00C11930">
        <w:rPr>
          <w:rFonts w:ascii="Arial" w:eastAsia="Times New Roman" w:hAnsi="Arial" w:cs="Arial"/>
          <w:color w:val="000000"/>
          <w:sz w:val="26"/>
          <w:szCs w:val="26"/>
        </w:rPr>
        <w:t>Primera Instancia en los términos preci</w:t>
      </w:r>
      <w:r>
        <w:rPr>
          <w:rFonts w:ascii="Arial" w:eastAsia="Times New Roman" w:hAnsi="Arial" w:cs="Arial"/>
          <w:color w:val="000000"/>
          <w:sz w:val="26"/>
          <w:szCs w:val="26"/>
        </w:rPr>
        <w:t xml:space="preserve">sados en la última parte de esta </w:t>
      </w:r>
      <w:r w:rsidRPr="00C11930">
        <w:rPr>
          <w:rFonts w:ascii="Arial" w:eastAsia="Times New Roman" w:hAnsi="Arial" w:cs="Arial"/>
          <w:color w:val="000000"/>
          <w:sz w:val="26"/>
          <w:szCs w:val="26"/>
        </w:rPr>
        <w:t xml:space="preserve">resolución. </w:t>
      </w:r>
      <w:r w:rsidR="00E218EC">
        <w:rPr>
          <w:rFonts w:ascii="Arial" w:hAnsi="Arial" w:cs="Arial"/>
          <w:sz w:val="26"/>
          <w:szCs w:val="26"/>
        </w:rPr>
        <w:t xml:space="preserve">- - - - - - - - - - - - - - - - - - - - - - - - - - - - - - - - - - - - - - - - - - - - </w:t>
      </w:r>
    </w:p>
    <w:p w14:paraId="2095A469" w14:textId="755A1C95" w:rsidR="00CB6C91" w:rsidRPr="00F75F08" w:rsidRDefault="0063541E" w:rsidP="00CB6C91">
      <w:pPr>
        <w:spacing w:before="240" w:after="0" w:line="360" w:lineRule="auto"/>
        <w:ind w:firstLine="708"/>
        <w:jc w:val="both"/>
        <w:rPr>
          <w:rFonts w:ascii="Arial" w:hAnsi="Arial" w:cs="Arial"/>
          <w:sz w:val="26"/>
          <w:szCs w:val="26"/>
        </w:rPr>
      </w:pPr>
      <w:r w:rsidRPr="0063541E">
        <w:rPr>
          <w:rFonts w:ascii="Arial" w:hAnsi="Arial" w:cs="Arial"/>
          <w:b/>
          <w:color w:val="000000"/>
          <w:sz w:val="26"/>
          <w:szCs w:val="26"/>
          <w:lang w:val="es-ES"/>
        </w:rPr>
        <w:t>TERCERO</w:t>
      </w:r>
      <w:r w:rsidR="00CB6C91" w:rsidRPr="0063541E">
        <w:rPr>
          <w:rFonts w:ascii="Arial" w:hAnsi="Arial" w:cs="Arial"/>
          <w:b/>
          <w:color w:val="000000"/>
          <w:sz w:val="26"/>
          <w:szCs w:val="26"/>
          <w:lang w:val="es-ES"/>
        </w:rPr>
        <w:t>.</w:t>
      </w:r>
      <w:r w:rsidR="00CB6C91" w:rsidRPr="00D12634">
        <w:rPr>
          <w:rFonts w:ascii="Arial" w:hAnsi="Arial" w:cs="Arial"/>
          <w:color w:val="000000"/>
          <w:sz w:val="26"/>
          <w:szCs w:val="26"/>
          <w:lang w:val="es-ES"/>
        </w:rPr>
        <w:t xml:space="preserve"> </w:t>
      </w:r>
      <w:r w:rsidR="00CB6C91" w:rsidRPr="0047174A">
        <w:rPr>
          <w:rFonts w:ascii="Arial" w:hAnsi="Arial" w:cs="Arial"/>
          <w:b/>
          <w:bCs/>
          <w:color w:val="000000"/>
          <w:sz w:val="26"/>
          <w:szCs w:val="26"/>
          <w:lang w:val="es-ES"/>
        </w:rPr>
        <w:t>NOTIFÍQUESE Y CÚMPLASE</w:t>
      </w:r>
      <w:r w:rsidR="00CB6C91" w:rsidRPr="00D12634">
        <w:rPr>
          <w:rFonts w:ascii="Arial" w:hAnsi="Arial" w:cs="Arial"/>
          <w:color w:val="000000"/>
          <w:sz w:val="26"/>
          <w:szCs w:val="26"/>
          <w:lang w:val="es-ES"/>
        </w:rPr>
        <w:t xml:space="preserve">; con copia certificada de la presente resolución, vuelvan las constancias remitidas a la </w:t>
      </w:r>
      <w:r w:rsidR="00B81F62">
        <w:rPr>
          <w:rFonts w:ascii="Arial" w:hAnsi="Arial" w:cs="Arial"/>
          <w:color w:val="000000"/>
          <w:sz w:val="26"/>
          <w:szCs w:val="26"/>
          <w:lang w:val="es-ES"/>
        </w:rPr>
        <w:t>Primera</w:t>
      </w:r>
      <w:r w:rsidR="006555D6">
        <w:rPr>
          <w:rFonts w:ascii="Arial" w:hAnsi="Arial" w:cs="Arial"/>
          <w:color w:val="000000"/>
          <w:sz w:val="26"/>
          <w:szCs w:val="26"/>
          <w:lang w:val="es-ES"/>
        </w:rPr>
        <w:t xml:space="preserve"> </w:t>
      </w:r>
      <w:r w:rsidR="00CB6C91" w:rsidRPr="00D12634">
        <w:rPr>
          <w:rFonts w:ascii="Arial" w:hAnsi="Arial" w:cs="Arial"/>
          <w:color w:val="000000"/>
          <w:sz w:val="26"/>
          <w:szCs w:val="26"/>
          <w:lang w:val="es-ES"/>
        </w:rPr>
        <w:t>Sala Unitaria de este Tribunal, y en su oportunidad archívese el cuaderno de revisión como asunto concluido.</w:t>
      </w:r>
      <w:r w:rsidR="00E218EC" w:rsidRPr="00E218EC">
        <w:rPr>
          <w:rFonts w:ascii="Arial" w:hAnsi="Arial" w:cs="Arial"/>
          <w:sz w:val="26"/>
          <w:szCs w:val="26"/>
        </w:rPr>
        <w:t xml:space="preserve"> </w:t>
      </w:r>
      <w:r w:rsidR="00E218EC">
        <w:rPr>
          <w:rFonts w:ascii="Arial" w:hAnsi="Arial" w:cs="Arial"/>
          <w:sz w:val="26"/>
          <w:szCs w:val="26"/>
        </w:rPr>
        <w:t xml:space="preserve">- - - - - - - - - - - - - - - - - - - </w:t>
      </w:r>
    </w:p>
    <w:p w14:paraId="1C5EB014" w14:textId="3CC5A8B5" w:rsidR="00CB6C91" w:rsidRDefault="00CB6C91" w:rsidP="00856ABB">
      <w:pPr>
        <w:spacing w:before="240" w:line="360" w:lineRule="auto"/>
        <w:ind w:firstLine="708"/>
        <w:jc w:val="both"/>
        <w:rPr>
          <w:rFonts w:ascii="Arial" w:hAnsi="Arial" w:cs="Arial"/>
          <w:sz w:val="26"/>
          <w:szCs w:val="26"/>
        </w:rPr>
      </w:pPr>
      <w:r w:rsidRPr="00F75F08">
        <w:rPr>
          <w:rFonts w:ascii="Arial" w:hAnsi="Arial" w:cs="Arial"/>
          <w:sz w:val="26"/>
          <w:szCs w:val="26"/>
        </w:rPr>
        <w:t>Por unanimidad de votos, lo resolvieron y firmaron los Magistrados</w:t>
      </w:r>
      <w:r w:rsidR="00E218EC">
        <w:rPr>
          <w:rFonts w:ascii="Arial" w:hAnsi="Arial" w:cs="Arial"/>
          <w:sz w:val="26"/>
          <w:szCs w:val="26"/>
        </w:rPr>
        <w:t xml:space="preserve"> integrantes de la Sala Superior</w:t>
      </w:r>
      <w:r w:rsidRPr="00F75F08">
        <w:rPr>
          <w:rFonts w:ascii="Arial" w:hAnsi="Arial" w:cs="Arial"/>
          <w:sz w:val="26"/>
          <w:szCs w:val="26"/>
        </w:rPr>
        <w:t xml:space="preserve"> Manuel Velasco Alcántara,</w:t>
      </w:r>
      <w:r w:rsidR="0093435B">
        <w:rPr>
          <w:rFonts w:ascii="Arial" w:hAnsi="Arial" w:cs="Arial"/>
          <w:sz w:val="26"/>
          <w:szCs w:val="26"/>
        </w:rPr>
        <w:t xml:space="preserve"> </w:t>
      </w:r>
      <w:r w:rsidRPr="00F75F08">
        <w:rPr>
          <w:rFonts w:ascii="Arial" w:hAnsi="Arial" w:cs="Arial"/>
          <w:sz w:val="26"/>
          <w:szCs w:val="26"/>
        </w:rPr>
        <w:t>Raúl Palomares Palomino</w:t>
      </w:r>
      <w:r>
        <w:rPr>
          <w:rFonts w:ascii="Arial" w:hAnsi="Arial" w:cs="Arial"/>
          <w:sz w:val="26"/>
          <w:szCs w:val="26"/>
        </w:rPr>
        <w:t xml:space="preserve"> </w:t>
      </w:r>
      <w:r w:rsidRPr="00A20301">
        <w:rPr>
          <w:rFonts w:ascii="Arial" w:hAnsi="Arial" w:cs="Arial"/>
          <w:bCs/>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sidR="00591F99">
        <w:rPr>
          <w:rFonts w:ascii="Arial" w:hAnsi="Arial" w:cs="Arial"/>
          <w:sz w:val="26"/>
          <w:szCs w:val="26"/>
        </w:rPr>
        <w:t>,</w:t>
      </w:r>
      <w:r w:rsidRPr="00F75F08">
        <w:rPr>
          <w:rFonts w:ascii="Arial" w:hAnsi="Arial" w:cs="Arial"/>
          <w:sz w:val="26"/>
          <w:szCs w:val="26"/>
        </w:rPr>
        <w:t xml:space="preserve"> Paulo José Luis Tapia Palacios</w:t>
      </w:r>
      <w:r w:rsidR="00591F99">
        <w:rPr>
          <w:rFonts w:ascii="Arial" w:hAnsi="Arial" w:cs="Arial"/>
          <w:sz w:val="26"/>
          <w:szCs w:val="26"/>
        </w:rPr>
        <w:t xml:space="preserve"> y Elías Cortés López</w:t>
      </w:r>
      <w:r>
        <w:rPr>
          <w:rFonts w:ascii="Arial" w:hAnsi="Arial" w:cs="Arial"/>
          <w:sz w:val="26"/>
          <w:szCs w:val="26"/>
        </w:rPr>
        <w:t xml:space="preserve">, </w:t>
      </w:r>
      <w:r w:rsidRPr="00F75F08">
        <w:rPr>
          <w:rFonts w:ascii="Arial" w:hAnsi="Arial" w:cs="Arial"/>
          <w:sz w:val="26"/>
          <w:szCs w:val="26"/>
        </w:rPr>
        <w:t>quienes actúan con el Licenciado Juan Edy García Coronado, Secretario</w:t>
      </w:r>
      <w:r w:rsidR="00124000">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E218EC">
        <w:rPr>
          <w:rFonts w:ascii="Arial" w:hAnsi="Arial" w:cs="Arial"/>
          <w:sz w:val="26"/>
          <w:szCs w:val="26"/>
        </w:rPr>
        <w:t xml:space="preserve">- - - - - - - - - - - - - - - - - </w:t>
      </w:r>
    </w:p>
    <w:p w14:paraId="05E5EBF1" w14:textId="60993B44" w:rsidR="00E218EC" w:rsidRDefault="00E218EC" w:rsidP="00856ABB">
      <w:pPr>
        <w:spacing w:before="240" w:line="360" w:lineRule="auto"/>
        <w:ind w:firstLine="708"/>
        <w:jc w:val="both"/>
        <w:rPr>
          <w:rFonts w:ascii="Arial" w:hAnsi="Arial" w:cs="Arial"/>
          <w:sz w:val="26"/>
          <w:szCs w:val="26"/>
        </w:rPr>
      </w:pPr>
    </w:p>
    <w:p w14:paraId="71837AD0" w14:textId="5C0B78F8" w:rsidR="00E218EC" w:rsidRDefault="00E218EC" w:rsidP="00856ABB">
      <w:pPr>
        <w:spacing w:before="240" w:line="360" w:lineRule="auto"/>
        <w:ind w:firstLine="708"/>
        <w:jc w:val="both"/>
        <w:rPr>
          <w:rFonts w:ascii="Arial" w:hAnsi="Arial" w:cs="Arial"/>
          <w:sz w:val="26"/>
          <w:szCs w:val="26"/>
        </w:rPr>
      </w:pPr>
    </w:p>
    <w:p w14:paraId="3F2CA23A" w14:textId="5C47F8E0" w:rsidR="00E218EC" w:rsidRDefault="00E218EC" w:rsidP="00856ABB">
      <w:pPr>
        <w:spacing w:before="240" w:line="360" w:lineRule="auto"/>
        <w:ind w:firstLine="708"/>
        <w:jc w:val="both"/>
        <w:rPr>
          <w:rFonts w:ascii="Arial" w:hAnsi="Arial" w:cs="Arial"/>
          <w:sz w:val="26"/>
          <w:szCs w:val="26"/>
        </w:rPr>
      </w:pPr>
    </w:p>
    <w:p w14:paraId="5023A083" w14:textId="77777777" w:rsidR="00E218EC" w:rsidRDefault="00E218EC" w:rsidP="00E218EC">
      <w:pPr>
        <w:spacing w:before="240" w:line="360" w:lineRule="auto"/>
        <w:jc w:val="both"/>
        <w:rPr>
          <w:rFonts w:ascii="Arial" w:hAnsi="Arial" w:cs="Arial"/>
          <w:sz w:val="26"/>
          <w:szCs w:val="26"/>
        </w:rPr>
      </w:pPr>
    </w:p>
    <w:p w14:paraId="30A370D1" w14:textId="77777777" w:rsidR="00E218EC" w:rsidRDefault="00E218EC" w:rsidP="00856ABB">
      <w:pPr>
        <w:spacing w:before="240" w:line="360" w:lineRule="auto"/>
        <w:ind w:firstLine="708"/>
        <w:jc w:val="both"/>
        <w:rPr>
          <w:rFonts w:ascii="Arial" w:hAnsi="Arial" w:cs="Arial"/>
          <w:sz w:val="26"/>
          <w:szCs w:val="26"/>
        </w:rPr>
      </w:pPr>
    </w:p>
    <w:p w14:paraId="723CE4BF" w14:textId="25207850" w:rsidR="00E218EC" w:rsidRPr="00856ABB" w:rsidRDefault="00CB6C91" w:rsidP="00E218EC">
      <w:pPr>
        <w:pStyle w:val="Sinespaciado"/>
        <w:jc w:val="center"/>
        <w:rPr>
          <w:rFonts w:ascii="Arial" w:hAnsi="Arial" w:cs="Arial"/>
          <w:sz w:val="26"/>
          <w:szCs w:val="26"/>
        </w:rPr>
      </w:pPr>
      <w:r w:rsidRPr="00856ABB">
        <w:rPr>
          <w:rFonts w:ascii="Arial" w:hAnsi="Arial" w:cs="Arial"/>
          <w:sz w:val="26"/>
          <w:szCs w:val="26"/>
        </w:rPr>
        <w:t>MAGISTRADO MANUEL VELASCO ALCÁNTARA</w:t>
      </w:r>
    </w:p>
    <w:p w14:paraId="4362FB41" w14:textId="092BC969" w:rsidR="00CB6C91" w:rsidRDefault="00CB6C91" w:rsidP="00856ABB">
      <w:pPr>
        <w:pStyle w:val="Sinespaciado"/>
        <w:jc w:val="center"/>
        <w:rPr>
          <w:rFonts w:ascii="Arial" w:hAnsi="Arial" w:cs="Arial"/>
          <w:sz w:val="26"/>
          <w:szCs w:val="26"/>
        </w:rPr>
      </w:pPr>
      <w:r w:rsidRPr="00856ABB">
        <w:rPr>
          <w:rFonts w:ascii="Arial" w:hAnsi="Arial" w:cs="Arial"/>
          <w:sz w:val="26"/>
          <w:szCs w:val="26"/>
        </w:rPr>
        <w:t>PRESIDENTE</w:t>
      </w:r>
    </w:p>
    <w:p w14:paraId="19DEBF74" w14:textId="7097E6A6" w:rsidR="00F50A70" w:rsidRDefault="00F50A70" w:rsidP="00856ABB">
      <w:pPr>
        <w:pStyle w:val="Sinespaciado"/>
        <w:jc w:val="center"/>
        <w:rPr>
          <w:rFonts w:ascii="Arial" w:hAnsi="Arial" w:cs="Arial"/>
          <w:sz w:val="26"/>
          <w:szCs w:val="26"/>
        </w:rPr>
      </w:pPr>
    </w:p>
    <w:p w14:paraId="0E786585" w14:textId="77777777" w:rsidR="00E218EC" w:rsidRDefault="00E218EC" w:rsidP="00856ABB">
      <w:pPr>
        <w:pStyle w:val="Sinespaciado"/>
        <w:jc w:val="center"/>
        <w:rPr>
          <w:rFonts w:ascii="Arial" w:hAnsi="Arial" w:cs="Arial"/>
          <w:sz w:val="26"/>
          <w:szCs w:val="26"/>
        </w:rPr>
      </w:pPr>
    </w:p>
    <w:p w14:paraId="45A89849" w14:textId="6FE7061A" w:rsidR="00E218EC" w:rsidRDefault="00E218EC" w:rsidP="00856ABB">
      <w:pPr>
        <w:pStyle w:val="Sinespaciado"/>
        <w:jc w:val="center"/>
        <w:rPr>
          <w:rFonts w:ascii="Arial" w:hAnsi="Arial" w:cs="Arial"/>
          <w:sz w:val="26"/>
          <w:szCs w:val="26"/>
        </w:rPr>
      </w:pPr>
    </w:p>
    <w:p w14:paraId="0CE20EA2" w14:textId="575801A4" w:rsidR="00E218EC" w:rsidRDefault="00E218EC" w:rsidP="00856ABB">
      <w:pPr>
        <w:pStyle w:val="Sinespaciado"/>
        <w:jc w:val="center"/>
        <w:rPr>
          <w:rFonts w:ascii="Arial" w:hAnsi="Arial" w:cs="Arial"/>
          <w:sz w:val="26"/>
          <w:szCs w:val="26"/>
        </w:rPr>
      </w:pPr>
    </w:p>
    <w:p w14:paraId="6643D189" w14:textId="01D19417" w:rsidR="00E218EC" w:rsidRDefault="00E218EC" w:rsidP="00856ABB">
      <w:pPr>
        <w:pStyle w:val="Sinespaciado"/>
        <w:jc w:val="center"/>
        <w:rPr>
          <w:rFonts w:ascii="Arial" w:hAnsi="Arial" w:cs="Arial"/>
          <w:sz w:val="26"/>
          <w:szCs w:val="26"/>
        </w:rPr>
      </w:pPr>
    </w:p>
    <w:p w14:paraId="602AE94E" w14:textId="77777777" w:rsidR="00E218EC" w:rsidRDefault="00E218EC" w:rsidP="00856ABB">
      <w:pPr>
        <w:pStyle w:val="Sinespaciado"/>
        <w:jc w:val="center"/>
        <w:rPr>
          <w:rFonts w:ascii="Arial" w:hAnsi="Arial" w:cs="Arial"/>
          <w:sz w:val="26"/>
          <w:szCs w:val="26"/>
        </w:rPr>
      </w:pPr>
    </w:p>
    <w:p w14:paraId="3675C580" w14:textId="5F268AF4" w:rsidR="00E218EC" w:rsidRDefault="00E218EC" w:rsidP="00856ABB">
      <w:pPr>
        <w:pStyle w:val="Sinespaciado"/>
        <w:jc w:val="center"/>
        <w:rPr>
          <w:rFonts w:ascii="Arial" w:hAnsi="Arial" w:cs="Arial"/>
          <w:sz w:val="26"/>
          <w:szCs w:val="26"/>
        </w:rPr>
      </w:pPr>
    </w:p>
    <w:p w14:paraId="64AD891B" w14:textId="7071C22C" w:rsidR="00E218EC" w:rsidRDefault="00E218EC" w:rsidP="00856ABB">
      <w:pPr>
        <w:pStyle w:val="Sinespaciado"/>
        <w:jc w:val="center"/>
        <w:rPr>
          <w:rFonts w:ascii="Arial" w:hAnsi="Arial" w:cs="Arial"/>
          <w:sz w:val="26"/>
          <w:szCs w:val="26"/>
        </w:rPr>
      </w:pPr>
    </w:p>
    <w:p w14:paraId="57330B5E" w14:textId="77777777" w:rsidR="00E218EC" w:rsidRPr="00856ABB" w:rsidRDefault="00E218EC" w:rsidP="00856ABB">
      <w:pPr>
        <w:pStyle w:val="Sinespaciado"/>
        <w:jc w:val="center"/>
        <w:rPr>
          <w:rFonts w:ascii="Arial" w:hAnsi="Arial" w:cs="Arial"/>
          <w:sz w:val="26"/>
          <w:szCs w:val="26"/>
        </w:rPr>
      </w:pPr>
    </w:p>
    <w:p w14:paraId="7A008B46" w14:textId="20FB4B21" w:rsidR="00CB6C91" w:rsidRPr="00856ABB" w:rsidRDefault="0093435B" w:rsidP="00856ABB">
      <w:pPr>
        <w:pStyle w:val="Sinespaciado"/>
        <w:jc w:val="center"/>
        <w:rPr>
          <w:rFonts w:ascii="Arial" w:hAnsi="Arial" w:cs="Arial"/>
          <w:sz w:val="26"/>
          <w:szCs w:val="26"/>
        </w:rPr>
      </w:pPr>
      <w:r w:rsidRPr="00856ABB">
        <w:rPr>
          <w:rFonts w:ascii="Arial" w:hAnsi="Arial" w:cs="Arial"/>
          <w:sz w:val="26"/>
          <w:szCs w:val="26"/>
        </w:rPr>
        <w:t>M</w:t>
      </w:r>
      <w:r w:rsidR="00CB6C91" w:rsidRPr="00856ABB">
        <w:rPr>
          <w:rFonts w:ascii="Arial" w:hAnsi="Arial" w:cs="Arial"/>
          <w:sz w:val="26"/>
          <w:szCs w:val="26"/>
        </w:rPr>
        <w:t>AGISTRADO RAÚL PALOMARES PALOMINO.</w:t>
      </w:r>
    </w:p>
    <w:p w14:paraId="116384AF" w14:textId="694542F5" w:rsidR="00F50A70" w:rsidRDefault="00F50A70" w:rsidP="00856ABB">
      <w:pPr>
        <w:pStyle w:val="Sinespaciado"/>
        <w:jc w:val="center"/>
        <w:rPr>
          <w:rFonts w:ascii="Arial" w:eastAsia="Times New Roman" w:hAnsi="Arial" w:cs="Arial"/>
          <w:sz w:val="26"/>
          <w:szCs w:val="26"/>
        </w:rPr>
      </w:pPr>
    </w:p>
    <w:p w14:paraId="212697E2" w14:textId="609D7BA3" w:rsidR="00E218EC" w:rsidRDefault="00E218EC" w:rsidP="00856ABB">
      <w:pPr>
        <w:pStyle w:val="Sinespaciado"/>
        <w:jc w:val="center"/>
        <w:rPr>
          <w:rFonts w:ascii="Arial" w:eastAsia="Times New Roman" w:hAnsi="Arial" w:cs="Arial"/>
          <w:sz w:val="26"/>
          <w:szCs w:val="26"/>
        </w:rPr>
      </w:pPr>
    </w:p>
    <w:p w14:paraId="149D0172" w14:textId="664D3519" w:rsidR="00E218EC" w:rsidRDefault="00E218EC" w:rsidP="00856ABB">
      <w:pPr>
        <w:pStyle w:val="Sinespaciado"/>
        <w:jc w:val="center"/>
        <w:rPr>
          <w:rFonts w:ascii="Arial" w:eastAsia="Times New Roman" w:hAnsi="Arial" w:cs="Arial"/>
          <w:sz w:val="26"/>
          <w:szCs w:val="26"/>
        </w:rPr>
      </w:pPr>
    </w:p>
    <w:p w14:paraId="3AFAF33F" w14:textId="485298B2" w:rsidR="00E218EC" w:rsidRDefault="00E218EC" w:rsidP="00856ABB">
      <w:pPr>
        <w:pStyle w:val="Sinespaciado"/>
        <w:jc w:val="center"/>
        <w:rPr>
          <w:rFonts w:ascii="Arial" w:eastAsia="Times New Roman" w:hAnsi="Arial" w:cs="Arial"/>
          <w:sz w:val="26"/>
          <w:szCs w:val="26"/>
        </w:rPr>
      </w:pPr>
    </w:p>
    <w:p w14:paraId="23B8B238" w14:textId="7F99C1BE" w:rsidR="00E218EC" w:rsidRDefault="00E218EC" w:rsidP="00856ABB">
      <w:pPr>
        <w:pStyle w:val="Sinespaciado"/>
        <w:jc w:val="center"/>
        <w:rPr>
          <w:rFonts w:ascii="Arial" w:eastAsia="Times New Roman" w:hAnsi="Arial" w:cs="Arial"/>
          <w:sz w:val="26"/>
          <w:szCs w:val="26"/>
        </w:rPr>
      </w:pPr>
    </w:p>
    <w:p w14:paraId="48AA8717" w14:textId="510D5AF1" w:rsidR="00E218EC" w:rsidRDefault="00E218EC" w:rsidP="00856ABB">
      <w:pPr>
        <w:pStyle w:val="Sinespaciado"/>
        <w:jc w:val="center"/>
        <w:rPr>
          <w:rFonts w:ascii="Arial" w:eastAsia="Times New Roman" w:hAnsi="Arial" w:cs="Arial"/>
          <w:sz w:val="26"/>
          <w:szCs w:val="26"/>
        </w:rPr>
      </w:pPr>
    </w:p>
    <w:p w14:paraId="0866A460" w14:textId="64BC9BAA" w:rsidR="00E218EC" w:rsidRDefault="00E218EC" w:rsidP="00856ABB">
      <w:pPr>
        <w:pStyle w:val="Sinespaciado"/>
        <w:jc w:val="center"/>
        <w:rPr>
          <w:rFonts w:ascii="Arial" w:eastAsia="Times New Roman" w:hAnsi="Arial" w:cs="Arial"/>
          <w:sz w:val="26"/>
          <w:szCs w:val="26"/>
        </w:rPr>
      </w:pPr>
    </w:p>
    <w:p w14:paraId="4CB3779E" w14:textId="1C00B3DB" w:rsidR="00E218EC" w:rsidRDefault="00E218EC" w:rsidP="00856ABB">
      <w:pPr>
        <w:pStyle w:val="Sinespaciado"/>
        <w:jc w:val="center"/>
        <w:rPr>
          <w:rFonts w:ascii="Arial" w:eastAsia="Times New Roman" w:hAnsi="Arial" w:cs="Arial"/>
          <w:sz w:val="26"/>
          <w:szCs w:val="26"/>
        </w:rPr>
      </w:pPr>
    </w:p>
    <w:p w14:paraId="620088A9" w14:textId="4987ACC3" w:rsidR="00E218EC" w:rsidRDefault="00E218EC" w:rsidP="00856ABB">
      <w:pPr>
        <w:pStyle w:val="Sinespaciado"/>
        <w:jc w:val="center"/>
        <w:rPr>
          <w:rFonts w:ascii="Arial" w:eastAsia="Times New Roman" w:hAnsi="Arial" w:cs="Arial"/>
          <w:sz w:val="26"/>
          <w:szCs w:val="26"/>
        </w:rPr>
      </w:pPr>
    </w:p>
    <w:p w14:paraId="74FB87DC" w14:textId="77777777" w:rsidR="00E218EC" w:rsidRPr="00856ABB" w:rsidRDefault="00E218EC" w:rsidP="00856ABB">
      <w:pPr>
        <w:pStyle w:val="Sinespaciado"/>
        <w:jc w:val="center"/>
        <w:rPr>
          <w:rFonts w:ascii="Arial" w:eastAsia="Times New Roman" w:hAnsi="Arial" w:cs="Arial"/>
          <w:sz w:val="26"/>
          <w:szCs w:val="26"/>
        </w:rPr>
      </w:pPr>
    </w:p>
    <w:p w14:paraId="6819952F" w14:textId="77777777" w:rsidR="00CB6C91" w:rsidRDefault="00CB6C91" w:rsidP="00856ABB">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MAGISTRADA GLORIA DEL CARMEN CAMACHO MEZA.</w:t>
      </w:r>
    </w:p>
    <w:p w14:paraId="27856E14" w14:textId="0DDADDDE" w:rsidR="00E218EC" w:rsidRDefault="00E218EC" w:rsidP="00E218EC">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w:t>
      </w:r>
      <w:bookmarkStart w:id="3" w:name="_GoBack"/>
      <w:bookmarkEnd w:id="3"/>
      <w:r>
        <w:rPr>
          <w:rFonts w:ascii="Arial" w:eastAsiaTheme="minorHAnsi" w:hAnsi="Arial" w:cs="Arial"/>
          <w:b/>
          <w:sz w:val="16"/>
          <w:szCs w:val="16"/>
          <w:lang w:eastAsia="en-US"/>
        </w:rPr>
        <w:t>SOLUCIÓN DEL RECURSO DE REVISIÓN 0171/2021.</w:t>
      </w:r>
    </w:p>
    <w:p w14:paraId="31E5E240" w14:textId="3BDB527E" w:rsidR="00F50A70" w:rsidRDefault="00F50A70" w:rsidP="00856ABB">
      <w:pPr>
        <w:pStyle w:val="Sinespaciado"/>
        <w:jc w:val="center"/>
        <w:rPr>
          <w:rFonts w:ascii="Arial" w:eastAsia="Times New Roman" w:hAnsi="Arial" w:cs="Arial"/>
          <w:sz w:val="26"/>
          <w:szCs w:val="26"/>
        </w:rPr>
      </w:pPr>
    </w:p>
    <w:p w14:paraId="67F887EF" w14:textId="4483C5B3" w:rsidR="00E218EC" w:rsidRDefault="00E218EC" w:rsidP="00856ABB">
      <w:pPr>
        <w:pStyle w:val="Sinespaciado"/>
        <w:jc w:val="center"/>
        <w:rPr>
          <w:rFonts w:ascii="Arial" w:eastAsia="Times New Roman" w:hAnsi="Arial" w:cs="Arial"/>
          <w:sz w:val="26"/>
          <w:szCs w:val="26"/>
        </w:rPr>
      </w:pPr>
    </w:p>
    <w:p w14:paraId="0E4430C2" w14:textId="690F35F3" w:rsidR="00E218EC" w:rsidRDefault="00E218EC" w:rsidP="00856ABB">
      <w:pPr>
        <w:pStyle w:val="Sinespaciado"/>
        <w:jc w:val="center"/>
        <w:rPr>
          <w:rFonts w:ascii="Arial" w:eastAsia="Times New Roman" w:hAnsi="Arial" w:cs="Arial"/>
          <w:sz w:val="26"/>
          <w:szCs w:val="26"/>
        </w:rPr>
      </w:pPr>
    </w:p>
    <w:p w14:paraId="0795A351" w14:textId="12A70D74" w:rsidR="00E218EC" w:rsidRDefault="00E218EC" w:rsidP="00856ABB">
      <w:pPr>
        <w:pStyle w:val="Sinespaciado"/>
        <w:jc w:val="center"/>
        <w:rPr>
          <w:rFonts w:ascii="Arial" w:eastAsia="Times New Roman" w:hAnsi="Arial" w:cs="Arial"/>
          <w:sz w:val="26"/>
          <w:szCs w:val="26"/>
        </w:rPr>
      </w:pPr>
    </w:p>
    <w:p w14:paraId="2DBBE95E" w14:textId="1CF486E7" w:rsidR="00E218EC" w:rsidRDefault="00E218EC" w:rsidP="00856ABB">
      <w:pPr>
        <w:pStyle w:val="Sinespaciado"/>
        <w:jc w:val="center"/>
        <w:rPr>
          <w:rFonts w:ascii="Arial" w:eastAsia="Times New Roman" w:hAnsi="Arial" w:cs="Arial"/>
          <w:sz w:val="26"/>
          <w:szCs w:val="26"/>
        </w:rPr>
      </w:pPr>
    </w:p>
    <w:p w14:paraId="6BE817E5" w14:textId="41E98D13" w:rsidR="00E218EC" w:rsidRDefault="00E218EC" w:rsidP="00856ABB">
      <w:pPr>
        <w:pStyle w:val="Sinespaciado"/>
        <w:jc w:val="center"/>
        <w:rPr>
          <w:rFonts w:ascii="Arial" w:eastAsia="Times New Roman" w:hAnsi="Arial" w:cs="Arial"/>
          <w:sz w:val="26"/>
          <w:szCs w:val="26"/>
        </w:rPr>
      </w:pPr>
    </w:p>
    <w:p w14:paraId="37D5E67F" w14:textId="23F872C0" w:rsidR="00E218EC" w:rsidRDefault="00E218EC" w:rsidP="00856ABB">
      <w:pPr>
        <w:pStyle w:val="Sinespaciado"/>
        <w:jc w:val="center"/>
        <w:rPr>
          <w:rFonts w:ascii="Arial" w:eastAsia="Times New Roman" w:hAnsi="Arial" w:cs="Arial"/>
          <w:sz w:val="26"/>
          <w:szCs w:val="26"/>
        </w:rPr>
      </w:pPr>
    </w:p>
    <w:p w14:paraId="0D56F6B6" w14:textId="5C43581E" w:rsidR="00E218EC" w:rsidRDefault="00E218EC" w:rsidP="00856ABB">
      <w:pPr>
        <w:pStyle w:val="Sinespaciado"/>
        <w:jc w:val="center"/>
        <w:rPr>
          <w:rFonts w:ascii="Arial" w:eastAsia="Times New Roman" w:hAnsi="Arial" w:cs="Arial"/>
          <w:sz w:val="26"/>
          <w:szCs w:val="26"/>
        </w:rPr>
      </w:pPr>
    </w:p>
    <w:p w14:paraId="1E9852FD" w14:textId="77777777" w:rsidR="00E218EC" w:rsidRPr="00856ABB" w:rsidRDefault="00E218EC" w:rsidP="00856ABB">
      <w:pPr>
        <w:pStyle w:val="Sinespaciado"/>
        <w:jc w:val="center"/>
        <w:rPr>
          <w:rFonts w:ascii="Arial" w:eastAsia="Times New Roman" w:hAnsi="Arial" w:cs="Arial"/>
          <w:sz w:val="26"/>
          <w:szCs w:val="26"/>
        </w:rPr>
      </w:pPr>
    </w:p>
    <w:p w14:paraId="320D7483" w14:textId="294AE2FD" w:rsidR="00CB6C91" w:rsidRDefault="00CB6C91" w:rsidP="00856ABB">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MAGISTRADO PAULO JOSÉ LUIS TAPIA PALACIOS</w:t>
      </w:r>
    </w:p>
    <w:p w14:paraId="38F2DD60" w14:textId="58238111" w:rsidR="00E218EC" w:rsidRDefault="00E218EC" w:rsidP="00856ABB">
      <w:pPr>
        <w:pStyle w:val="Sinespaciado"/>
        <w:jc w:val="center"/>
        <w:rPr>
          <w:rFonts w:ascii="Arial" w:eastAsia="Times New Roman" w:hAnsi="Arial" w:cs="Arial"/>
          <w:sz w:val="26"/>
          <w:szCs w:val="26"/>
        </w:rPr>
      </w:pPr>
    </w:p>
    <w:p w14:paraId="651B572B" w14:textId="64EBFF56" w:rsidR="00E218EC" w:rsidRDefault="00E218EC" w:rsidP="00856ABB">
      <w:pPr>
        <w:pStyle w:val="Sinespaciado"/>
        <w:jc w:val="center"/>
        <w:rPr>
          <w:rFonts w:ascii="Arial" w:eastAsia="Times New Roman" w:hAnsi="Arial" w:cs="Arial"/>
          <w:sz w:val="26"/>
          <w:szCs w:val="26"/>
        </w:rPr>
      </w:pPr>
    </w:p>
    <w:p w14:paraId="4CAF639A" w14:textId="7F8CF138" w:rsidR="00E218EC" w:rsidRDefault="00E218EC" w:rsidP="00856ABB">
      <w:pPr>
        <w:pStyle w:val="Sinespaciado"/>
        <w:jc w:val="center"/>
        <w:rPr>
          <w:rFonts w:ascii="Arial" w:eastAsia="Times New Roman" w:hAnsi="Arial" w:cs="Arial"/>
          <w:sz w:val="26"/>
          <w:szCs w:val="26"/>
        </w:rPr>
      </w:pPr>
    </w:p>
    <w:p w14:paraId="5D0EEF39" w14:textId="20FC3D8B" w:rsidR="00E218EC" w:rsidRDefault="00E218EC" w:rsidP="00856ABB">
      <w:pPr>
        <w:pStyle w:val="Sinespaciado"/>
        <w:jc w:val="center"/>
        <w:rPr>
          <w:rFonts w:ascii="Arial" w:eastAsia="Times New Roman" w:hAnsi="Arial" w:cs="Arial"/>
          <w:sz w:val="26"/>
          <w:szCs w:val="26"/>
        </w:rPr>
      </w:pPr>
    </w:p>
    <w:p w14:paraId="07D1BD30" w14:textId="0B5389F4" w:rsidR="00E218EC" w:rsidRDefault="00E218EC" w:rsidP="00856ABB">
      <w:pPr>
        <w:pStyle w:val="Sinespaciado"/>
        <w:jc w:val="center"/>
        <w:rPr>
          <w:rFonts w:ascii="Arial" w:eastAsia="Times New Roman" w:hAnsi="Arial" w:cs="Arial"/>
          <w:sz w:val="26"/>
          <w:szCs w:val="26"/>
        </w:rPr>
      </w:pPr>
    </w:p>
    <w:p w14:paraId="1EDFF989" w14:textId="77777777" w:rsidR="00E218EC" w:rsidRDefault="00E218EC" w:rsidP="00856ABB">
      <w:pPr>
        <w:pStyle w:val="Sinespaciado"/>
        <w:jc w:val="center"/>
        <w:rPr>
          <w:rFonts w:ascii="Arial" w:eastAsia="Times New Roman" w:hAnsi="Arial" w:cs="Arial"/>
          <w:sz w:val="26"/>
          <w:szCs w:val="26"/>
        </w:rPr>
      </w:pPr>
    </w:p>
    <w:p w14:paraId="66BCC18E" w14:textId="725A4983" w:rsidR="00E218EC" w:rsidRDefault="00E218EC" w:rsidP="00856ABB">
      <w:pPr>
        <w:pStyle w:val="Sinespaciado"/>
        <w:jc w:val="center"/>
        <w:rPr>
          <w:rFonts w:ascii="Arial" w:eastAsia="Times New Roman" w:hAnsi="Arial" w:cs="Arial"/>
          <w:sz w:val="26"/>
          <w:szCs w:val="26"/>
        </w:rPr>
      </w:pPr>
    </w:p>
    <w:p w14:paraId="0CC31A22" w14:textId="33CE416D" w:rsidR="00E218EC" w:rsidRDefault="00E218EC" w:rsidP="00856ABB">
      <w:pPr>
        <w:pStyle w:val="Sinespaciado"/>
        <w:jc w:val="center"/>
        <w:rPr>
          <w:rFonts w:ascii="Arial" w:eastAsia="Times New Roman" w:hAnsi="Arial" w:cs="Arial"/>
          <w:sz w:val="26"/>
          <w:szCs w:val="26"/>
        </w:rPr>
      </w:pPr>
    </w:p>
    <w:p w14:paraId="0AB0B97C" w14:textId="38C87714" w:rsidR="00E218EC" w:rsidRDefault="00E218EC" w:rsidP="00856ABB">
      <w:pPr>
        <w:pStyle w:val="Sinespaciado"/>
        <w:jc w:val="center"/>
        <w:rPr>
          <w:rFonts w:ascii="Arial" w:eastAsia="Times New Roman" w:hAnsi="Arial" w:cs="Arial"/>
          <w:sz w:val="26"/>
          <w:szCs w:val="26"/>
        </w:rPr>
      </w:pPr>
    </w:p>
    <w:p w14:paraId="7D8D1A78" w14:textId="77777777" w:rsidR="00E218EC" w:rsidRDefault="00E218EC" w:rsidP="00856ABB">
      <w:pPr>
        <w:pStyle w:val="Sinespaciado"/>
        <w:jc w:val="center"/>
        <w:rPr>
          <w:rFonts w:ascii="Arial" w:eastAsia="Times New Roman" w:hAnsi="Arial" w:cs="Arial"/>
          <w:sz w:val="26"/>
          <w:szCs w:val="26"/>
        </w:rPr>
      </w:pPr>
    </w:p>
    <w:p w14:paraId="5B257F53" w14:textId="77777777" w:rsidR="00F50A70" w:rsidRPr="00856ABB" w:rsidRDefault="00F50A70" w:rsidP="00856ABB">
      <w:pPr>
        <w:pStyle w:val="Sinespaciado"/>
        <w:jc w:val="center"/>
        <w:rPr>
          <w:rFonts w:ascii="Arial" w:eastAsia="Times New Roman" w:hAnsi="Arial" w:cs="Arial"/>
          <w:sz w:val="26"/>
          <w:szCs w:val="26"/>
        </w:rPr>
      </w:pPr>
    </w:p>
    <w:p w14:paraId="74F97E1E" w14:textId="35F76DDB" w:rsidR="0093435B" w:rsidRDefault="0093435B" w:rsidP="00856ABB">
      <w:pPr>
        <w:pStyle w:val="Sinespaciado"/>
        <w:jc w:val="center"/>
        <w:rPr>
          <w:rFonts w:ascii="Arial" w:hAnsi="Arial" w:cs="Arial"/>
          <w:sz w:val="26"/>
          <w:szCs w:val="26"/>
        </w:rPr>
      </w:pPr>
      <w:r w:rsidRPr="00856ABB">
        <w:rPr>
          <w:rFonts w:ascii="Arial" w:eastAsia="Times New Roman" w:hAnsi="Arial" w:cs="Arial"/>
          <w:sz w:val="26"/>
          <w:szCs w:val="26"/>
        </w:rPr>
        <w:t xml:space="preserve">MAGISTRADO </w:t>
      </w:r>
      <w:r w:rsidRPr="00856ABB">
        <w:rPr>
          <w:rFonts w:ascii="Arial" w:hAnsi="Arial" w:cs="Arial"/>
          <w:sz w:val="26"/>
          <w:szCs w:val="26"/>
        </w:rPr>
        <w:t>ELÍAS CORTÉS LÓPEZ</w:t>
      </w:r>
    </w:p>
    <w:p w14:paraId="703E393B" w14:textId="1E268200" w:rsidR="00E218EC" w:rsidRDefault="00E218EC" w:rsidP="00856ABB">
      <w:pPr>
        <w:pStyle w:val="Sinespaciado"/>
        <w:jc w:val="center"/>
        <w:rPr>
          <w:rFonts w:ascii="Arial" w:hAnsi="Arial" w:cs="Arial"/>
          <w:sz w:val="26"/>
          <w:szCs w:val="26"/>
        </w:rPr>
      </w:pPr>
    </w:p>
    <w:p w14:paraId="4655ED53" w14:textId="697E7340" w:rsidR="00E218EC" w:rsidRDefault="00E218EC" w:rsidP="00856ABB">
      <w:pPr>
        <w:pStyle w:val="Sinespaciado"/>
        <w:jc w:val="center"/>
        <w:rPr>
          <w:rFonts w:ascii="Arial" w:hAnsi="Arial" w:cs="Arial"/>
          <w:sz w:val="26"/>
          <w:szCs w:val="26"/>
        </w:rPr>
      </w:pPr>
    </w:p>
    <w:p w14:paraId="33183FE2" w14:textId="44578E94" w:rsidR="00E218EC" w:rsidRDefault="00E218EC" w:rsidP="00856ABB">
      <w:pPr>
        <w:pStyle w:val="Sinespaciado"/>
        <w:jc w:val="center"/>
        <w:rPr>
          <w:rFonts w:ascii="Arial" w:hAnsi="Arial" w:cs="Arial"/>
          <w:sz w:val="26"/>
          <w:szCs w:val="26"/>
        </w:rPr>
      </w:pPr>
    </w:p>
    <w:p w14:paraId="6E05968F" w14:textId="676DE123" w:rsidR="00E218EC" w:rsidRDefault="00E218EC" w:rsidP="00856ABB">
      <w:pPr>
        <w:pStyle w:val="Sinespaciado"/>
        <w:jc w:val="center"/>
        <w:rPr>
          <w:rFonts w:ascii="Arial" w:hAnsi="Arial" w:cs="Arial"/>
          <w:sz w:val="26"/>
          <w:szCs w:val="26"/>
        </w:rPr>
      </w:pPr>
    </w:p>
    <w:p w14:paraId="7D62D8D9" w14:textId="5425F491" w:rsidR="00E218EC" w:rsidRDefault="00E218EC" w:rsidP="00856ABB">
      <w:pPr>
        <w:pStyle w:val="Sinespaciado"/>
        <w:jc w:val="center"/>
        <w:rPr>
          <w:rFonts w:ascii="Arial" w:hAnsi="Arial" w:cs="Arial"/>
          <w:sz w:val="26"/>
          <w:szCs w:val="26"/>
        </w:rPr>
      </w:pPr>
    </w:p>
    <w:p w14:paraId="4F2442B4" w14:textId="3D1FE00A" w:rsidR="00E218EC" w:rsidRDefault="00E218EC" w:rsidP="00856ABB">
      <w:pPr>
        <w:pStyle w:val="Sinespaciado"/>
        <w:jc w:val="center"/>
        <w:rPr>
          <w:rFonts w:ascii="Arial" w:hAnsi="Arial" w:cs="Arial"/>
          <w:sz w:val="26"/>
          <w:szCs w:val="26"/>
        </w:rPr>
      </w:pPr>
    </w:p>
    <w:p w14:paraId="0AE2A1A6" w14:textId="336011C1" w:rsidR="00E218EC" w:rsidRDefault="00E218EC" w:rsidP="00856ABB">
      <w:pPr>
        <w:pStyle w:val="Sinespaciado"/>
        <w:jc w:val="center"/>
        <w:rPr>
          <w:rFonts w:ascii="Arial" w:hAnsi="Arial" w:cs="Arial"/>
          <w:sz w:val="26"/>
          <w:szCs w:val="26"/>
        </w:rPr>
      </w:pPr>
    </w:p>
    <w:p w14:paraId="0795F8A7" w14:textId="1F70C27C" w:rsidR="00E218EC" w:rsidRDefault="00E218EC" w:rsidP="00856ABB">
      <w:pPr>
        <w:pStyle w:val="Sinespaciado"/>
        <w:jc w:val="center"/>
        <w:rPr>
          <w:rFonts w:ascii="Arial" w:hAnsi="Arial" w:cs="Arial"/>
          <w:sz w:val="26"/>
          <w:szCs w:val="26"/>
        </w:rPr>
      </w:pPr>
    </w:p>
    <w:p w14:paraId="43E1E224" w14:textId="15DDBD95" w:rsidR="00E218EC" w:rsidRDefault="00E218EC" w:rsidP="00856ABB">
      <w:pPr>
        <w:pStyle w:val="Sinespaciado"/>
        <w:jc w:val="center"/>
        <w:rPr>
          <w:rFonts w:ascii="Arial" w:hAnsi="Arial" w:cs="Arial"/>
          <w:sz w:val="26"/>
          <w:szCs w:val="26"/>
        </w:rPr>
      </w:pPr>
    </w:p>
    <w:p w14:paraId="76BEA882" w14:textId="77777777" w:rsidR="00E218EC" w:rsidRDefault="00E218EC" w:rsidP="00856ABB">
      <w:pPr>
        <w:pStyle w:val="Sinespaciado"/>
        <w:jc w:val="center"/>
        <w:rPr>
          <w:rFonts w:ascii="Arial" w:hAnsi="Arial" w:cs="Arial"/>
          <w:sz w:val="26"/>
          <w:szCs w:val="26"/>
        </w:rPr>
      </w:pPr>
    </w:p>
    <w:p w14:paraId="56BFC3F2" w14:textId="77777777" w:rsidR="00E218EC" w:rsidRDefault="00E218EC" w:rsidP="00856ABB">
      <w:pPr>
        <w:pStyle w:val="Sinespaciado"/>
        <w:jc w:val="center"/>
        <w:rPr>
          <w:rFonts w:ascii="Arial" w:hAnsi="Arial" w:cs="Arial"/>
          <w:sz w:val="26"/>
          <w:szCs w:val="26"/>
        </w:rPr>
      </w:pPr>
    </w:p>
    <w:p w14:paraId="48927755" w14:textId="77777777" w:rsidR="00F50A70" w:rsidRPr="00856ABB" w:rsidRDefault="00F50A70" w:rsidP="00856ABB">
      <w:pPr>
        <w:pStyle w:val="Sinespaciado"/>
        <w:jc w:val="center"/>
        <w:rPr>
          <w:rFonts w:ascii="Arial" w:eastAsia="Times New Roman" w:hAnsi="Arial" w:cs="Arial"/>
          <w:sz w:val="26"/>
          <w:szCs w:val="26"/>
        </w:rPr>
      </w:pPr>
    </w:p>
    <w:p w14:paraId="0FF2AA0A" w14:textId="15CCEDCA" w:rsidR="00CB6C91" w:rsidRPr="00856ABB" w:rsidRDefault="00CB6C91" w:rsidP="00856ABB">
      <w:pPr>
        <w:pStyle w:val="Sinespaciado"/>
        <w:jc w:val="center"/>
        <w:rPr>
          <w:rFonts w:ascii="Arial" w:hAnsi="Arial" w:cs="Arial"/>
          <w:sz w:val="26"/>
          <w:szCs w:val="26"/>
        </w:rPr>
      </w:pPr>
      <w:r w:rsidRPr="00856ABB">
        <w:rPr>
          <w:rFonts w:ascii="Arial" w:hAnsi="Arial" w:cs="Arial"/>
          <w:sz w:val="26"/>
          <w:szCs w:val="26"/>
        </w:rPr>
        <w:t>LICENCIADO JUAN EDY GARCÍA CORONADO</w:t>
      </w:r>
    </w:p>
    <w:p w14:paraId="6B7208AA" w14:textId="71CB0DCF" w:rsidR="00CB6C91" w:rsidRPr="00856ABB" w:rsidRDefault="00CB6C91" w:rsidP="00856ABB">
      <w:pPr>
        <w:pStyle w:val="Sinespaciado"/>
        <w:jc w:val="center"/>
        <w:rPr>
          <w:rFonts w:ascii="Arial" w:hAnsi="Arial" w:cs="Arial"/>
          <w:sz w:val="26"/>
          <w:szCs w:val="26"/>
        </w:rPr>
      </w:pPr>
      <w:r w:rsidRPr="00856ABB">
        <w:rPr>
          <w:rFonts w:ascii="Arial" w:hAnsi="Arial" w:cs="Arial"/>
          <w:sz w:val="26"/>
          <w:szCs w:val="26"/>
        </w:rPr>
        <w:t>SECRETARIO GENERAL DE ACUERDOS</w:t>
      </w:r>
    </w:p>
    <w:p w14:paraId="10C34318" w14:textId="77777777" w:rsidR="00CB6C91" w:rsidRPr="003B6CF0" w:rsidRDefault="00CB6C91" w:rsidP="00CB6C91"/>
    <w:p w14:paraId="50453FE0" w14:textId="3041F7B2" w:rsidR="00BA258A" w:rsidRPr="003B6CF0" w:rsidRDefault="00BA258A" w:rsidP="003B6CF0"/>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44EAB4" w14:textId="77777777" w:rsidR="000D064A" w:rsidRDefault="000D064A">
      <w:pPr>
        <w:spacing w:after="0" w:line="240" w:lineRule="auto"/>
      </w:pPr>
      <w:r>
        <w:separator/>
      </w:r>
    </w:p>
  </w:endnote>
  <w:endnote w:type="continuationSeparator" w:id="0">
    <w:p w14:paraId="03AF844E" w14:textId="77777777" w:rsidR="000D064A" w:rsidRDefault="000D0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BC8312" w14:textId="77777777" w:rsidR="000D064A" w:rsidRDefault="000D064A">
      <w:pPr>
        <w:spacing w:after="0" w:line="240" w:lineRule="auto"/>
      </w:pPr>
      <w:r>
        <w:separator/>
      </w:r>
    </w:p>
  </w:footnote>
  <w:footnote w:type="continuationSeparator" w:id="0">
    <w:p w14:paraId="2008387E" w14:textId="77777777" w:rsidR="000D064A" w:rsidRDefault="000D064A">
      <w:pPr>
        <w:spacing w:after="0" w:line="240" w:lineRule="auto"/>
      </w:pPr>
      <w:r>
        <w:continuationSeparator/>
      </w:r>
    </w:p>
  </w:footnote>
  <w:footnote w:id="1">
    <w:p w14:paraId="3429A02F" w14:textId="77777777" w:rsidR="008322EA" w:rsidRPr="00057A7C" w:rsidRDefault="008322EA" w:rsidP="008322EA">
      <w:pPr>
        <w:pStyle w:val="Textonotapie"/>
        <w:rPr>
          <w:rFonts w:ascii="Arial" w:hAnsi="Arial" w:cs="Arial"/>
          <w:i/>
        </w:rPr>
      </w:pPr>
      <w:r w:rsidRPr="00057A7C">
        <w:rPr>
          <w:rStyle w:val="Refdenotaalpie"/>
          <w:rFonts w:ascii="Arial" w:hAnsi="Arial" w:cs="Arial"/>
        </w:rPr>
        <w:footnoteRef/>
      </w:r>
      <w:r w:rsidRPr="00057A7C">
        <w:rPr>
          <w:rFonts w:ascii="Arial" w:hAnsi="Arial" w:cs="Arial"/>
        </w:rPr>
        <w:t xml:space="preserve"> </w:t>
      </w:r>
      <w:r w:rsidRPr="00057A7C">
        <w:rPr>
          <w:rFonts w:ascii="Arial" w:hAnsi="Arial" w:cs="Arial"/>
          <w:i/>
        </w:rPr>
        <w:t>“</w:t>
      </w:r>
      <w:r w:rsidRPr="00057A7C">
        <w:rPr>
          <w:rFonts w:ascii="Arial" w:hAnsi="Arial" w:cs="Arial"/>
          <w:b/>
          <w:i/>
        </w:rPr>
        <w:t xml:space="preserve">ARTÍCULO 203.- </w:t>
      </w:r>
      <w:r w:rsidRPr="00057A7C">
        <w:rPr>
          <w:rFonts w:ascii="Arial" w:hAnsi="Arial" w:cs="Arial"/>
          <w:i/>
        </w:rPr>
        <w:t>La valoración de las pruebas se hará de acuerdo con las siguientes reglas:</w:t>
      </w:r>
    </w:p>
    <w:p w14:paraId="3BF30417" w14:textId="77777777" w:rsidR="008322EA" w:rsidRPr="00057A7C" w:rsidRDefault="008322EA" w:rsidP="008322EA">
      <w:pPr>
        <w:pStyle w:val="Textonotapie"/>
        <w:jc w:val="both"/>
        <w:rPr>
          <w:rFonts w:ascii="Arial" w:hAnsi="Arial" w:cs="Arial"/>
          <w:i/>
        </w:rPr>
      </w:pPr>
      <w:r w:rsidRPr="00057A7C">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p w14:paraId="74F0B819" w14:textId="77777777" w:rsidR="008322EA" w:rsidRPr="00057A7C" w:rsidRDefault="008322EA" w:rsidP="008322EA">
      <w:pPr>
        <w:pStyle w:val="Textonotapie"/>
        <w:jc w:val="both"/>
        <w:rPr>
          <w:rFonts w:ascii="Arial" w:hAnsi="Arial" w:cs="Arial"/>
          <w:i/>
        </w:rPr>
      </w:pPr>
    </w:p>
  </w:footnote>
  <w:footnote w:id="2">
    <w:p w14:paraId="2E8C0581" w14:textId="575ACC14" w:rsidR="00F76F78" w:rsidRPr="00057A7C" w:rsidRDefault="00F76F78" w:rsidP="00057A7C">
      <w:pPr>
        <w:pStyle w:val="Textonotapie"/>
        <w:jc w:val="both"/>
        <w:rPr>
          <w:iCs/>
        </w:rPr>
      </w:pPr>
      <w:r w:rsidRPr="00057A7C">
        <w:rPr>
          <w:rStyle w:val="Refdenotaalpie"/>
          <w:rFonts w:ascii="Arial" w:hAnsi="Arial" w:cs="Arial"/>
          <w:iCs/>
        </w:rPr>
        <w:footnoteRef/>
      </w:r>
      <w:r w:rsidRPr="00057A7C">
        <w:rPr>
          <w:rFonts w:ascii="Arial" w:hAnsi="Arial" w:cs="Arial"/>
          <w:iCs/>
        </w:rPr>
        <w:t xml:space="preserve"> </w:t>
      </w:r>
      <w:r w:rsidR="00057A7C">
        <w:rPr>
          <w:rFonts w:ascii="Arial" w:hAnsi="Arial" w:cs="Arial"/>
          <w:iCs/>
        </w:rPr>
        <w:t>Agregado de la foja 19 (diecinueve) a la 27 (veintisiete)</w:t>
      </w:r>
      <w:r w:rsidRPr="00057A7C">
        <w:rPr>
          <w:rFonts w:ascii="Arial" w:hAnsi="Arial" w:cs="Arial"/>
          <w:iCs/>
        </w:rPr>
        <w:t xml:space="preserve"> del expediente </w:t>
      </w:r>
      <w:r w:rsidR="00057A7C">
        <w:rPr>
          <w:rFonts w:ascii="Arial" w:hAnsi="Arial" w:cs="Arial"/>
          <w:iCs/>
        </w:rPr>
        <w:t>0182</w:t>
      </w:r>
      <w:r w:rsidRPr="00057A7C">
        <w:rPr>
          <w:rFonts w:ascii="Arial" w:hAnsi="Arial" w:cs="Arial"/>
          <w:iCs/>
        </w:rPr>
        <w:t>/20</w:t>
      </w:r>
      <w:r w:rsidR="00057A7C">
        <w:rPr>
          <w:rFonts w:ascii="Arial" w:hAnsi="Arial" w:cs="Arial"/>
          <w:iCs/>
        </w:rPr>
        <w:t>20 del índice de la Primera Sala Unitaria de Primera Instancia</w:t>
      </w:r>
      <w:r w:rsidRPr="00057A7C">
        <w:rPr>
          <w:rFonts w:ascii="Arial" w:hAnsi="Arial" w:cs="Arial"/>
          <w:iCs/>
        </w:rPr>
        <w:t>.</w:t>
      </w:r>
    </w:p>
  </w:footnote>
  <w:footnote w:id="3">
    <w:p w14:paraId="7F8C821C" w14:textId="0EDAC343" w:rsidR="00F76F78" w:rsidRPr="004E5B94" w:rsidRDefault="00F76F78" w:rsidP="004E5B94">
      <w:pPr>
        <w:pStyle w:val="Textonotapie"/>
        <w:rPr>
          <w:rFonts w:ascii="Arial" w:hAnsi="Arial" w:cs="Arial"/>
          <w:i/>
        </w:rPr>
      </w:pPr>
      <w:r w:rsidRPr="004E5B94">
        <w:rPr>
          <w:rStyle w:val="Refdenotaalpie"/>
          <w:rFonts w:ascii="Arial" w:hAnsi="Arial" w:cs="Arial"/>
          <w:i/>
        </w:rPr>
        <w:footnoteRef/>
      </w:r>
      <w:r w:rsidRPr="004E5B94">
        <w:rPr>
          <w:rFonts w:ascii="Arial" w:hAnsi="Arial" w:cs="Arial"/>
          <w:i/>
        </w:rPr>
        <w:t xml:space="preserve"> Registro digital: 174899</w:t>
      </w:r>
      <w:r w:rsidR="004E5B94" w:rsidRPr="004E5B94">
        <w:rPr>
          <w:rFonts w:ascii="Arial" w:hAnsi="Arial" w:cs="Arial"/>
          <w:i/>
        </w:rPr>
        <w:t xml:space="preserve">, </w:t>
      </w:r>
      <w:r w:rsidRPr="004E5B94">
        <w:rPr>
          <w:rFonts w:ascii="Arial" w:hAnsi="Arial" w:cs="Arial"/>
          <w:i/>
        </w:rPr>
        <w:t>Novena Época</w:t>
      </w:r>
      <w:r w:rsidR="004E5B94" w:rsidRPr="004E5B94">
        <w:rPr>
          <w:rFonts w:ascii="Arial" w:hAnsi="Arial" w:cs="Arial"/>
          <w:i/>
        </w:rPr>
        <w:t xml:space="preserve">, </w:t>
      </w:r>
      <w:r w:rsidRPr="004E5B94">
        <w:rPr>
          <w:rFonts w:ascii="Arial" w:hAnsi="Arial" w:cs="Arial"/>
          <w:i/>
        </w:rPr>
        <w:t>Materia(s): Común</w:t>
      </w:r>
      <w:r w:rsidR="004E5B94" w:rsidRPr="004E5B94">
        <w:rPr>
          <w:rFonts w:ascii="Arial" w:hAnsi="Arial" w:cs="Arial"/>
          <w:i/>
        </w:rPr>
        <w:t xml:space="preserve">, </w:t>
      </w:r>
      <w:r w:rsidRPr="004E5B94">
        <w:rPr>
          <w:rFonts w:ascii="Arial" w:hAnsi="Arial" w:cs="Arial"/>
          <w:i/>
        </w:rPr>
        <w:t>Fuente: Semanario Judicial de la Federación y su Gaceta</w:t>
      </w:r>
      <w:r w:rsidR="004E5B94" w:rsidRPr="004E5B94">
        <w:rPr>
          <w:rFonts w:ascii="Arial" w:hAnsi="Arial" w:cs="Arial"/>
          <w:i/>
        </w:rPr>
        <w:t xml:space="preserve">, </w:t>
      </w:r>
      <w:r w:rsidRPr="004E5B94">
        <w:rPr>
          <w:rFonts w:ascii="Arial" w:hAnsi="Arial" w:cs="Arial"/>
          <w:i/>
        </w:rPr>
        <w:t>Tomo XXIII, Junio de 2006, página 963</w:t>
      </w:r>
      <w:r w:rsidR="004E5B94" w:rsidRPr="004E5B94">
        <w:rPr>
          <w:rFonts w:ascii="Arial" w:hAnsi="Arial" w:cs="Arial"/>
          <w:i/>
        </w:rPr>
        <w:t xml:space="preserve">, </w:t>
      </w:r>
      <w:r w:rsidRPr="004E5B94">
        <w:rPr>
          <w:rFonts w:ascii="Arial" w:hAnsi="Arial" w:cs="Arial"/>
          <w:i/>
        </w:rPr>
        <w:t>Tipo: Jurisprudencia</w:t>
      </w:r>
      <w:r w:rsidR="004E5B94" w:rsidRPr="004E5B94">
        <w:rPr>
          <w:rFonts w:ascii="Arial" w:hAnsi="Arial" w:cs="Arial"/>
          <w:i/>
        </w:rPr>
        <w:t xml:space="preserve">, Rubro: </w:t>
      </w:r>
      <w:r w:rsidRPr="004E5B94">
        <w:rPr>
          <w:rFonts w:ascii="Arial" w:hAnsi="Arial" w:cs="Arial"/>
          <w:i/>
        </w:rPr>
        <w:t>“</w:t>
      </w:r>
      <w:r w:rsidRPr="004E5B94">
        <w:rPr>
          <w:rFonts w:ascii="Arial" w:hAnsi="Arial" w:cs="Arial"/>
          <w:b/>
          <w:i/>
        </w:rPr>
        <w:t>HECHOS NOTORIOS. CONCEPTOS GENERAL Y JURÍDICO.</w:t>
      </w:r>
    </w:p>
    <w:p w14:paraId="5E4602DB" w14:textId="77777777" w:rsidR="00F76F78" w:rsidRPr="004E5B94" w:rsidRDefault="00F76F78" w:rsidP="00F76F78">
      <w:pPr>
        <w:pStyle w:val="Textonotapie"/>
      </w:pPr>
    </w:p>
  </w:footnote>
  <w:footnote w:id="4">
    <w:p w14:paraId="3EE8864B" w14:textId="77777777" w:rsidR="00F76F78" w:rsidRPr="004E5B94" w:rsidRDefault="00F76F78" w:rsidP="00F76F78">
      <w:pPr>
        <w:pStyle w:val="Textonotapie"/>
        <w:jc w:val="both"/>
        <w:rPr>
          <w:rFonts w:ascii="Arial" w:hAnsi="Arial" w:cs="Arial"/>
          <w:i/>
        </w:rPr>
      </w:pPr>
      <w:r w:rsidRPr="004E5B94">
        <w:rPr>
          <w:rStyle w:val="Refdenotaalpie"/>
          <w:rFonts w:ascii="Arial" w:hAnsi="Arial" w:cs="Arial"/>
          <w:i/>
        </w:rPr>
        <w:footnoteRef/>
      </w:r>
      <w:r w:rsidRPr="004E5B94">
        <w:rPr>
          <w:rFonts w:ascii="Arial" w:hAnsi="Arial" w:cs="Arial"/>
          <w:b/>
          <w:i/>
        </w:rPr>
        <w:t xml:space="preserve"> Artículo 3</w:t>
      </w:r>
      <w:r w:rsidRPr="004E5B94">
        <w:rPr>
          <w:rFonts w:ascii="Arial" w:hAnsi="Arial" w:cs="Arial"/>
          <w:i/>
        </w:rPr>
        <w:t>. La Fiscalía General es la institución en la cual reside el Ministerio Público, dotada de autonomía constitucional, administrativa, presupuestal, financiera y operativa con personalidad jurídica y patrimonio propios, determinando sus prioridades de acuerdo con sus requerimientos y necesidades; ejercerá sus facultades respondiendo a la satisfacción del interés público.</w:t>
      </w:r>
    </w:p>
    <w:p w14:paraId="7974B2F3" w14:textId="77777777" w:rsidR="00F76F78" w:rsidRDefault="00F76F78" w:rsidP="00F76F78">
      <w:pPr>
        <w:pStyle w:val="Textonotapie"/>
        <w:jc w:val="both"/>
      </w:pPr>
      <w:r w:rsidRPr="004E5B94">
        <w:rPr>
          <w:rFonts w:ascii="Arial" w:hAnsi="Arial" w:cs="Arial"/>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C132929" w:rsidR="000F5C41" w:rsidRDefault="00D412F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412F4">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BCE2120" w:rsidR="000F5C41" w:rsidRDefault="00D412F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D412F4">
          <w:rPr>
            <w:noProof/>
            <w:lang w:val="es-ES"/>
          </w:rPr>
          <w:t>11</w:t>
        </w:r>
        <w:r w:rsidR="000F5C41">
          <w:fldChar w:fldCharType="end"/>
        </w:r>
      </w:sdtContent>
    </w:sdt>
  </w:p>
  <w:p w14:paraId="51E22156" w14:textId="2EE41550" w:rsidR="00655BA3" w:rsidRDefault="00D412F4"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0D0A617" wp14:editId="6BDA405D">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F809B18" w14:textId="77777777" w:rsidR="00D412F4" w:rsidRDefault="00D412F4" w:rsidP="00D412F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0A617"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4F809B18" w14:textId="77777777" w:rsidR="00D412F4" w:rsidRDefault="00D412F4" w:rsidP="00D412F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D412F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E6B7B03"/>
    <w:multiLevelType w:val="hybridMultilevel"/>
    <w:tmpl w:val="2DC09DEA"/>
    <w:lvl w:ilvl="0" w:tplc="9CB0AA06">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23C2B6B"/>
    <w:multiLevelType w:val="hybridMultilevel"/>
    <w:tmpl w:val="4F12B59A"/>
    <w:lvl w:ilvl="0" w:tplc="78A27A74">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10"/>
  </w:num>
  <w:num w:numId="5">
    <w:abstractNumId w:val="12"/>
  </w:num>
  <w:num w:numId="6">
    <w:abstractNumId w:val="5"/>
  </w:num>
  <w:num w:numId="7">
    <w:abstractNumId w:val="4"/>
  </w:num>
  <w:num w:numId="8">
    <w:abstractNumId w:val="1"/>
  </w:num>
  <w:num w:numId="9">
    <w:abstractNumId w:val="3"/>
  </w:num>
  <w:num w:numId="10">
    <w:abstractNumId w:val="9"/>
  </w:num>
  <w:num w:numId="11">
    <w:abstractNumId w:val="11"/>
  </w:num>
  <w:num w:numId="12">
    <w:abstractNumId w:val="7"/>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0F03"/>
    <w:rsid w:val="00021989"/>
    <w:rsid w:val="00021B04"/>
    <w:rsid w:val="00021C5F"/>
    <w:rsid w:val="00022BBC"/>
    <w:rsid w:val="00023549"/>
    <w:rsid w:val="00023F33"/>
    <w:rsid w:val="00024545"/>
    <w:rsid w:val="00025BEB"/>
    <w:rsid w:val="000262A2"/>
    <w:rsid w:val="000264DD"/>
    <w:rsid w:val="00026C11"/>
    <w:rsid w:val="0002727A"/>
    <w:rsid w:val="00027A02"/>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2DD"/>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57A7C"/>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5F3"/>
    <w:rsid w:val="000737BF"/>
    <w:rsid w:val="00074A23"/>
    <w:rsid w:val="00074C62"/>
    <w:rsid w:val="000755A5"/>
    <w:rsid w:val="000756DE"/>
    <w:rsid w:val="000764F2"/>
    <w:rsid w:val="00076647"/>
    <w:rsid w:val="00076CEA"/>
    <w:rsid w:val="00077661"/>
    <w:rsid w:val="00077DFD"/>
    <w:rsid w:val="00080A85"/>
    <w:rsid w:val="0008122B"/>
    <w:rsid w:val="0008141F"/>
    <w:rsid w:val="00083375"/>
    <w:rsid w:val="00085132"/>
    <w:rsid w:val="0008514D"/>
    <w:rsid w:val="00085F74"/>
    <w:rsid w:val="00087405"/>
    <w:rsid w:val="00087470"/>
    <w:rsid w:val="000875DB"/>
    <w:rsid w:val="00090028"/>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2F99"/>
    <w:rsid w:val="000A335C"/>
    <w:rsid w:val="000A33D9"/>
    <w:rsid w:val="000A33F5"/>
    <w:rsid w:val="000A3D6E"/>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47D4"/>
    <w:rsid w:val="000B5281"/>
    <w:rsid w:val="000B584E"/>
    <w:rsid w:val="000B5EC8"/>
    <w:rsid w:val="000B5FE3"/>
    <w:rsid w:val="000B6295"/>
    <w:rsid w:val="000B674B"/>
    <w:rsid w:val="000B6B86"/>
    <w:rsid w:val="000B6EF2"/>
    <w:rsid w:val="000B7079"/>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64A"/>
    <w:rsid w:val="000D1475"/>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AAB"/>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984"/>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5ADA"/>
    <w:rsid w:val="0010644A"/>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000"/>
    <w:rsid w:val="001244EC"/>
    <w:rsid w:val="00126B8B"/>
    <w:rsid w:val="00126EEE"/>
    <w:rsid w:val="00126EEF"/>
    <w:rsid w:val="00126F80"/>
    <w:rsid w:val="00127248"/>
    <w:rsid w:val="00127B1F"/>
    <w:rsid w:val="00127C05"/>
    <w:rsid w:val="00130500"/>
    <w:rsid w:val="0013065F"/>
    <w:rsid w:val="001311D7"/>
    <w:rsid w:val="001312BC"/>
    <w:rsid w:val="00131911"/>
    <w:rsid w:val="00131CDF"/>
    <w:rsid w:val="00132391"/>
    <w:rsid w:val="00133BFB"/>
    <w:rsid w:val="00133DCC"/>
    <w:rsid w:val="00134A68"/>
    <w:rsid w:val="00134AB5"/>
    <w:rsid w:val="00134D34"/>
    <w:rsid w:val="00135132"/>
    <w:rsid w:val="0013555E"/>
    <w:rsid w:val="00135B0C"/>
    <w:rsid w:val="00136897"/>
    <w:rsid w:val="0013695E"/>
    <w:rsid w:val="00136FB8"/>
    <w:rsid w:val="00137C86"/>
    <w:rsid w:val="0014043C"/>
    <w:rsid w:val="00140D7E"/>
    <w:rsid w:val="0014229D"/>
    <w:rsid w:val="00142417"/>
    <w:rsid w:val="00143682"/>
    <w:rsid w:val="001441D3"/>
    <w:rsid w:val="001450E2"/>
    <w:rsid w:val="001460CF"/>
    <w:rsid w:val="00146509"/>
    <w:rsid w:val="0014671A"/>
    <w:rsid w:val="00146991"/>
    <w:rsid w:val="00147CCC"/>
    <w:rsid w:val="00147FEF"/>
    <w:rsid w:val="0015050B"/>
    <w:rsid w:val="00151A88"/>
    <w:rsid w:val="00152646"/>
    <w:rsid w:val="00152DA5"/>
    <w:rsid w:val="00152F51"/>
    <w:rsid w:val="00152FB6"/>
    <w:rsid w:val="0015351E"/>
    <w:rsid w:val="00153BE4"/>
    <w:rsid w:val="001542BE"/>
    <w:rsid w:val="00154490"/>
    <w:rsid w:val="00154E4F"/>
    <w:rsid w:val="00156250"/>
    <w:rsid w:val="00156F22"/>
    <w:rsid w:val="001570E1"/>
    <w:rsid w:val="00161661"/>
    <w:rsid w:val="0016171F"/>
    <w:rsid w:val="00161F6F"/>
    <w:rsid w:val="001621EF"/>
    <w:rsid w:val="00162C8D"/>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410F"/>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06E"/>
    <w:rsid w:val="001D31A6"/>
    <w:rsid w:val="001D3B81"/>
    <w:rsid w:val="001D40CC"/>
    <w:rsid w:val="001D4256"/>
    <w:rsid w:val="001D4D61"/>
    <w:rsid w:val="001D4D8C"/>
    <w:rsid w:val="001D5282"/>
    <w:rsid w:val="001D529D"/>
    <w:rsid w:val="001D577C"/>
    <w:rsid w:val="001D694C"/>
    <w:rsid w:val="001D754A"/>
    <w:rsid w:val="001D7B8B"/>
    <w:rsid w:val="001E288A"/>
    <w:rsid w:val="001E2A02"/>
    <w:rsid w:val="001E2B84"/>
    <w:rsid w:val="001E338B"/>
    <w:rsid w:val="001E3B11"/>
    <w:rsid w:val="001E4C02"/>
    <w:rsid w:val="001E65E8"/>
    <w:rsid w:val="001E6AE5"/>
    <w:rsid w:val="001E7020"/>
    <w:rsid w:val="001E71FD"/>
    <w:rsid w:val="001E77A9"/>
    <w:rsid w:val="001E7BD1"/>
    <w:rsid w:val="001F1AF8"/>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CBC"/>
    <w:rsid w:val="0023417B"/>
    <w:rsid w:val="002350A1"/>
    <w:rsid w:val="00235FE5"/>
    <w:rsid w:val="002369EA"/>
    <w:rsid w:val="002371FF"/>
    <w:rsid w:val="00237985"/>
    <w:rsid w:val="00237D5A"/>
    <w:rsid w:val="00237DC2"/>
    <w:rsid w:val="00240C60"/>
    <w:rsid w:val="00240C99"/>
    <w:rsid w:val="0024189D"/>
    <w:rsid w:val="00241BC3"/>
    <w:rsid w:val="00241C7D"/>
    <w:rsid w:val="00241F55"/>
    <w:rsid w:val="00242699"/>
    <w:rsid w:val="002434A0"/>
    <w:rsid w:val="00243566"/>
    <w:rsid w:val="002437EB"/>
    <w:rsid w:val="00243E9B"/>
    <w:rsid w:val="0024401A"/>
    <w:rsid w:val="002446D4"/>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68"/>
    <w:rsid w:val="002541B3"/>
    <w:rsid w:val="00256B3C"/>
    <w:rsid w:val="00256E7D"/>
    <w:rsid w:val="00256F27"/>
    <w:rsid w:val="00257816"/>
    <w:rsid w:val="00257C5E"/>
    <w:rsid w:val="00260433"/>
    <w:rsid w:val="0026116F"/>
    <w:rsid w:val="002614F4"/>
    <w:rsid w:val="002617F9"/>
    <w:rsid w:val="00261FBC"/>
    <w:rsid w:val="00262666"/>
    <w:rsid w:val="00262D7C"/>
    <w:rsid w:val="00263720"/>
    <w:rsid w:val="00265161"/>
    <w:rsid w:val="00265F1B"/>
    <w:rsid w:val="002665A2"/>
    <w:rsid w:val="00267221"/>
    <w:rsid w:val="00270087"/>
    <w:rsid w:val="0027013B"/>
    <w:rsid w:val="00270831"/>
    <w:rsid w:val="0027275E"/>
    <w:rsid w:val="00272A52"/>
    <w:rsid w:val="00272A7D"/>
    <w:rsid w:val="00273171"/>
    <w:rsid w:val="00273266"/>
    <w:rsid w:val="002748AA"/>
    <w:rsid w:val="00275418"/>
    <w:rsid w:val="00280254"/>
    <w:rsid w:val="002805AC"/>
    <w:rsid w:val="00280919"/>
    <w:rsid w:val="00281661"/>
    <w:rsid w:val="00282C81"/>
    <w:rsid w:val="00283B3F"/>
    <w:rsid w:val="002841EE"/>
    <w:rsid w:val="002844AF"/>
    <w:rsid w:val="0028472C"/>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858"/>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1A8"/>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095"/>
    <w:rsid w:val="00312470"/>
    <w:rsid w:val="0031285C"/>
    <w:rsid w:val="003136B6"/>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D99"/>
    <w:rsid w:val="00333962"/>
    <w:rsid w:val="00333B62"/>
    <w:rsid w:val="00333D4A"/>
    <w:rsid w:val="00333E45"/>
    <w:rsid w:val="003342D1"/>
    <w:rsid w:val="00334A65"/>
    <w:rsid w:val="0033606E"/>
    <w:rsid w:val="003363D4"/>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A07"/>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2F7"/>
    <w:rsid w:val="00390CDE"/>
    <w:rsid w:val="00392B20"/>
    <w:rsid w:val="00394516"/>
    <w:rsid w:val="003961E1"/>
    <w:rsid w:val="003974F9"/>
    <w:rsid w:val="003A0AA1"/>
    <w:rsid w:val="003A0FE5"/>
    <w:rsid w:val="003A24EC"/>
    <w:rsid w:val="003A2EC0"/>
    <w:rsid w:val="003A3EA0"/>
    <w:rsid w:val="003A44D2"/>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3D2B"/>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1EC"/>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1AE4"/>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685"/>
    <w:rsid w:val="004318CE"/>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4FAD"/>
    <w:rsid w:val="0047647A"/>
    <w:rsid w:val="004771E5"/>
    <w:rsid w:val="00477357"/>
    <w:rsid w:val="00477E07"/>
    <w:rsid w:val="00480A69"/>
    <w:rsid w:val="004813E0"/>
    <w:rsid w:val="004826CB"/>
    <w:rsid w:val="004831A9"/>
    <w:rsid w:val="00483B0E"/>
    <w:rsid w:val="00484AE9"/>
    <w:rsid w:val="00485508"/>
    <w:rsid w:val="0048659E"/>
    <w:rsid w:val="00486775"/>
    <w:rsid w:val="00487030"/>
    <w:rsid w:val="004874A4"/>
    <w:rsid w:val="00491E99"/>
    <w:rsid w:val="004929E7"/>
    <w:rsid w:val="0049318A"/>
    <w:rsid w:val="0049325A"/>
    <w:rsid w:val="00493A5B"/>
    <w:rsid w:val="00493AE8"/>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57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5B94"/>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B38"/>
    <w:rsid w:val="00504E19"/>
    <w:rsid w:val="005063B6"/>
    <w:rsid w:val="00506A1C"/>
    <w:rsid w:val="00506C63"/>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376"/>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946"/>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D7E"/>
    <w:rsid w:val="00590AF7"/>
    <w:rsid w:val="00591F99"/>
    <w:rsid w:val="00592360"/>
    <w:rsid w:val="00593333"/>
    <w:rsid w:val="005960D3"/>
    <w:rsid w:val="005973A7"/>
    <w:rsid w:val="005A0825"/>
    <w:rsid w:val="005A09A3"/>
    <w:rsid w:val="005A1FEE"/>
    <w:rsid w:val="005A273F"/>
    <w:rsid w:val="005A3583"/>
    <w:rsid w:val="005A4118"/>
    <w:rsid w:val="005A453F"/>
    <w:rsid w:val="005A493F"/>
    <w:rsid w:val="005A6303"/>
    <w:rsid w:val="005A6A9E"/>
    <w:rsid w:val="005A6EB9"/>
    <w:rsid w:val="005A752F"/>
    <w:rsid w:val="005B1E67"/>
    <w:rsid w:val="005B223E"/>
    <w:rsid w:val="005B2365"/>
    <w:rsid w:val="005B296A"/>
    <w:rsid w:val="005B3184"/>
    <w:rsid w:val="005B36F5"/>
    <w:rsid w:val="005B3BB9"/>
    <w:rsid w:val="005B3F3B"/>
    <w:rsid w:val="005B5FC8"/>
    <w:rsid w:val="005B69BD"/>
    <w:rsid w:val="005B6E2C"/>
    <w:rsid w:val="005B7761"/>
    <w:rsid w:val="005C08BA"/>
    <w:rsid w:val="005C0DC0"/>
    <w:rsid w:val="005C1831"/>
    <w:rsid w:val="005C194D"/>
    <w:rsid w:val="005C21B5"/>
    <w:rsid w:val="005C2435"/>
    <w:rsid w:val="005C3179"/>
    <w:rsid w:val="005C464F"/>
    <w:rsid w:val="005C565F"/>
    <w:rsid w:val="005C5730"/>
    <w:rsid w:val="005C5B71"/>
    <w:rsid w:val="005C639C"/>
    <w:rsid w:val="005C7062"/>
    <w:rsid w:val="005C714B"/>
    <w:rsid w:val="005C795A"/>
    <w:rsid w:val="005D0E8F"/>
    <w:rsid w:val="005D2061"/>
    <w:rsid w:val="005D2CDE"/>
    <w:rsid w:val="005D2DDC"/>
    <w:rsid w:val="005D341C"/>
    <w:rsid w:val="005D3A26"/>
    <w:rsid w:val="005D3C96"/>
    <w:rsid w:val="005D4EDA"/>
    <w:rsid w:val="005D58F0"/>
    <w:rsid w:val="005D65FC"/>
    <w:rsid w:val="005D6747"/>
    <w:rsid w:val="005D6918"/>
    <w:rsid w:val="005E08EE"/>
    <w:rsid w:val="005E257D"/>
    <w:rsid w:val="005E3A57"/>
    <w:rsid w:val="005E3BA2"/>
    <w:rsid w:val="005E40A8"/>
    <w:rsid w:val="005E5F15"/>
    <w:rsid w:val="005E7897"/>
    <w:rsid w:val="005F0996"/>
    <w:rsid w:val="005F1394"/>
    <w:rsid w:val="005F156F"/>
    <w:rsid w:val="005F1C5A"/>
    <w:rsid w:val="005F1D9F"/>
    <w:rsid w:val="005F2179"/>
    <w:rsid w:val="005F22B5"/>
    <w:rsid w:val="005F2E7D"/>
    <w:rsid w:val="005F2F7D"/>
    <w:rsid w:val="005F45C2"/>
    <w:rsid w:val="005F4ECF"/>
    <w:rsid w:val="005F5277"/>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853"/>
    <w:rsid w:val="00616F1D"/>
    <w:rsid w:val="00616FA1"/>
    <w:rsid w:val="00617C77"/>
    <w:rsid w:val="00617E6C"/>
    <w:rsid w:val="0062006E"/>
    <w:rsid w:val="00620357"/>
    <w:rsid w:val="0062059D"/>
    <w:rsid w:val="00620FB8"/>
    <w:rsid w:val="006214D7"/>
    <w:rsid w:val="00621B71"/>
    <w:rsid w:val="00622BEF"/>
    <w:rsid w:val="0062386E"/>
    <w:rsid w:val="00624802"/>
    <w:rsid w:val="00624F20"/>
    <w:rsid w:val="00625F4E"/>
    <w:rsid w:val="006279BE"/>
    <w:rsid w:val="006300F5"/>
    <w:rsid w:val="006304BB"/>
    <w:rsid w:val="0063071F"/>
    <w:rsid w:val="00630C62"/>
    <w:rsid w:val="00631207"/>
    <w:rsid w:val="0063273E"/>
    <w:rsid w:val="00633242"/>
    <w:rsid w:val="00633FA0"/>
    <w:rsid w:val="00634534"/>
    <w:rsid w:val="00634EF5"/>
    <w:rsid w:val="0063541E"/>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3434"/>
    <w:rsid w:val="00654244"/>
    <w:rsid w:val="006546B6"/>
    <w:rsid w:val="006547BB"/>
    <w:rsid w:val="006555CA"/>
    <w:rsid w:val="006555D6"/>
    <w:rsid w:val="00655BA3"/>
    <w:rsid w:val="006560E3"/>
    <w:rsid w:val="006564ED"/>
    <w:rsid w:val="00656C6E"/>
    <w:rsid w:val="0066116D"/>
    <w:rsid w:val="006621F4"/>
    <w:rsid w:val="00663362"/>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0472"/>
    <w:rsid w:val="006904E1"/>
    <w:rsid w:val="00691515"/>
    <w:rsid w:val="00692778"/>
    <w:rsid w:val="00692B2A"/>
    <w:rsid w:val="006937A1"/>
    <w:rsid w:val="006939EE"/>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26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F4E"/>
    <w:rsid w:val="006C1371"/>
    <w:rsid w:val="006C1F9E"/>
    <w:rsid w:val="006C2971"/>
    <w:rsid w:val="006C2F23"/>
    <w:rsid w:val="006C408C"/>
    <w:rsid w:val="006C44AE"/>
    <w:rsid w:val="006C456A"/>
    <w:rsid w:val="006C544C"/>
    <w:rsid w:val="006C564D"/>
    <w:rsid w:val="006C671F"/>
    <w:rsid w:val="006C6F3C"/>
    <w:rsid w:val="006C6FB7"/>
    <w:rsid w:val="006D007C"/>
    <w:rsid w:val="006D06F5"/>
    <w:rsid w:val="006D120B"/>
    <w:rsid w:val="006D1DB2"/>
    <w:rsid w:val="006D3475"/>
    <w:rsid w:val="006D3FF8"/>
    <w:rsid w:val="006D428F"/>
    <w:rsid w:val="006D54E1"/>
    <w:rsid w:val="006D5A11"/>
    <w:rsid w:val="006D668F"/>
    <w:rsid w:val="006E0406"/>
    <w:rsid w:val="006E09D6"/>
    <w:rsid w:val="006E1695"/>
    <w:rsid w:val="006E197B"/>
    <w:rsid w:val="006E1AC8"/>
    <w:rsid w:val="006E22C9"/>
    <w:rsid w:val="006E2B27"/>
    <w:rsid w:val="006E2EB7"/>
    <w:rsid w:val="006E53B3"/>
    <w:rsid w:val="006E58AF"/>
    <w:rsid w:val="006E5D89"/>
    <w:rsid w:val="006E698C"/>
    <w:rsid w:val="006E6A36"/>
    <w:rsid w:val="006E7F21"/>
    <w:rsid w:val="006F0329"/>
    <w:rsid w:val="006F0771"/>
    <w:rsid w:val="006F0913"/>
    <w:rsid w:val="006F1AB3"/>
    <w:rsid w:val="006F2412"/>
    <w:rsid w:val="006F3230"/>
    <w:rsid w:val="006F3FE0"/>
    <w:rsid w:val="006F462B"/>
    <w:rsid w:val="006F4689"/>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995"/>
    <w:rsid w:val="00723EC1"/>
    <w:rsid w:val="00724552"/>
    <w:rsid w:val="00724C1C"/>
    <w:rsid w:val="00727C09"/>
    <w:rsid w:val="00727D9C"/>
    <w:rsid w:val="00730089"/>
    <w:rsid w:val="00730250"/>
    <w:rsid w:val="00730453"/>
    <w:rsid w:val="0073182F"/>
    <w:rsid w:val="0073212F"/>
    <w:rsid w:val="007324A9"/>
    <w:rsid w:val="00732EB6"/>
    <w:rsid w:val="007332CB"/>
    <w:rsid w:val="00734300"/>
    <w:rsid w:val="0073439D"/>
    <w:rsid w:val="00734795"/>
    <w:rsid w:val="00734BCE"/>
    <w:rsid w:val="00736F71"/>
    <w:rsid w:val="00740A59"/>
    <w:rsid w:val="00740D93"/>
    <w:rsid w:val="007421C9"/>
    <w:rsid w:val="007426D1"/>
    <w:rsid w:val="00743E50"/>
    <w:rsid w:val="00743F9C"/>
    <w:rsid w:val="00744BFA"/>
    <w:rsid w:val="00744DC2"/>
    <w:rsid w:val="00744E48"/>
    <w:rsid w:val="00744EED"/>
    <w:rsid w:val="00745730"/>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35B"/>
    <w:rsid w:val="007677CD"/>
    <w:rsid w:val="00767FE0"/>
    <w:rsid w:val="00770340"/>
    <w:rsid w:val="00770536"/>
    <w:rsid w:val="00770AC5"/>
    <w:rsid w:val="007711A1"/>
    <w:rsid w:val="00771AF2"/>
    <w:rsid w:val="007722CF"/>
    <w:rsid w:val="00772E06"/>
    <w:rsid w:val="00773C44"/>
    <w:rsid w:val="00774396"/>
    <w:rsid w:val="007743DD"/>
    <w:rsid w:val="00775489"/>
    <w:rsid w:val="007758EE"/>
    <w:rsid w:val="00775BD0"/>
    <w:rsid w:val="00776ADF"/>
    <w:rsid w:val="007779BF"/>
    <w:rsid w:val="00777B9A"/>
    <w:rsid w:val="00777CFA"/>
    <w:rsid w:val="00777F6C"/>
    <w:rsid w:val="0078066F"/>
    <w:rsid w:val="007806D4"/>
    <w:rsid w:val="00781E84"/>
    <w:rsid w:val="00781EFF"/>
    <w:rsid w:val="00782019"/>
    <w:rsid w:val="007841D1"/>
    <w:rsid w:val="00785D57"/>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5ACB"/>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2109"/>
    <w:rsid w:val="00803391"/>
    <w:rsid w:val="00803D63"/>
    <w:rsid w:val="00805B95"/>
    <w:rsid w:val="008061D6"/>
    <w:rsid w:val="008068C9"/>
    <w:rsid w:val="00806D14"/>
    <w:rsid w:val="00807009"/>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A4A"/>
    <w:rsid w:val="008227FF"/>
    <w:rsid w:val="00822DFC"/>
    <w:rsid w:val="0082308E"/>
    <w:rsid w:val="00823863"/>
    <w:rsid w:val="008240AB"/>
    <w:rsid w:val="008241FC"/>
    <w:rsid w:val="00824B51"/>
    <w:rsid w:val="00825DF2"/>
    <w:rsid w:val="00826459"/>
    <w:rsid w:val="008264A3"/>
    <w:rsid w:val="00826F27"/>
    <w:rsid w:val="008270BC"/>
    <w:rsid w:val="0083045A"/>
    <w:rsid w:val="008309C8"/>
    <w:rsid w:val="008309F3"/>
    <w:rsid w:val="008310F6"/>
    <w:rsid w:val="008312B3"/>
    <w:rsid w:val="008322EA"/>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6ABB"/>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04A"/>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190"/>
    <w:rsid w:val="008C02B6"/>
    <w:rsid w:val="008C0623"/>
    <w:rsid w:val="008C2171"/>
    <w:rsid w:val="008C2664"/>
    <w:rsid w:val="008C2CF5"/>
    <w:rsid w:val="008C2DFE"/>
    <w:rsid w:val="008C3494"/>
    <w:rsid w:val="008C3682"/>
    <w:rsid w:val="008C3721"/>
    <w:rsid w:val="008C3CED"/>
    <w:rsid w:val="008C3DDE"/>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4C4"/>
    <w:rsid w:val="008D6772"/>
    <w:rsid w:val="008D7AC6"/>
    <w:rsid w:val="008D7AD1"/>
    <w:rsid w:val="008E02E6"/>
    <w:rsid w:val="008E08A8"/>
    <w:rsid w:val="008E0B04"/>
    <w:rsid w:val="008E15B5"/>
    <w:rsid w:val="008E2B42"/>
    <w:rsid w:val="008E350D"/>
    <w:rsid w:val="008E3B36"/>
    <w:rsid w:val="008E3CEC"/>
    <w:rsid w:val="008E480F"/>
    <w:rsid w:val="008E49A1"/>
    <w:rsid w:val="008E4A67"/>
    <w:rsid w:val="008E77EB"/>
    <w:rsid w:val="008F0205"/>
    <w:rsid w:val="008F0DCC"/>
    <w:rsid w:val="008F1EB2"/>
    <w:rsid w:val="008F284E"/>
    <w:rsid w:val="008F2BAD"/>
    <w:rsid w:val="008F2CAE"/>
    <w:rsid w:val="008F39F2"/>
    <w:rsid w:val="008F45EB"/>
    <w:rsid w:val="008F4E1B"/>
    <w:rsid w:val="008F52F4"/>
    <w:rsid w:val="008F56C8"/>
    <w:rsid w:val="008F733A"/>
    <w:rsid w:val="008F743B"/>
    <w:rsid w:val="008F7873"/>
    <w:rsid w:val="009011B4"/>
    <w:rsid w:val="0090168E"/>
    <w:rsid w:val="00901AE0"/>
    <w:rsid w:val="009020E0"/>
    <w:rsid w:val="009026A3"/>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4B11"/>
    <w:rsid w:val="00915282"/>
    <w:rsid w:val="0091567A"/>
    <w:rsid w:val="00920287"/>
    <w:rsid w:val="00920947"/>
    <w:rsid w:val="0092099A"/>
    <w:rsid w:val="00920C90"/>
    <w:rsid w:val="00921926"/>
    <w:rsid w:val="00921E9D"/>
    <w:rsid w:val="009220E0"/>
    <w:rsid w:val="0092244D"/>
    <w:rsid w:val="00922FD0"/>
    <w:rsid w:val="0092383C"/>
    <w:rsid w:val="00923E83"/>
    <w:rsid w:val="00923FD8"/>
    <w:rsid w:val="009250CB"/>
    <w:rsid w:val="00926AC7"/>
    <w:rsid w:val="00926FCD"/>
    <w:rsid w:val="00927607"/>
    <w:rsid w:val="00930701"/>
    <w:rsid w:val="00931D14"/>
    <w:rsid w:val="009322BE"/>
    <w:rsid w:val="00932FC8"/>
    <w:rsid w:val="00933060"/>
    <w:rsid w:val="00933673"/>
    <w:rsid w:val="00934282"/>
    <w:rsid w:val="0093435B"/>
    <w:rsid w:val="00934719"/>
    <w:rsid w:val="0093483F"/>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1963"/>
    <w:rsid w:val="00952111"/>
    <w:rsid w:val="009524CE"/>
    <w:rsid w:val="009525E5"/>
    <w:rsid w:val="00952E94"/>
    <w:rsid w:val="00953386"/>
    <w:rsid w:val="00954F7D"/>
    <w:rsid w:val="00955095"/>
    <w:rsid w:val="00955C03"/>
    <w:rsid w:val="00955D30"/>
    <w:rsid w:val="00956727"/>
    <w:rsid w:val="00957CA9"/>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5412"/>
    <w:rsid w:val="009B6107"/>
    <w:rsid w:val="009B622A"/>
    <w:rsid w:val="009B6D2C"/>
    <w:rsid w:val="009C0461"/>
    <w:rsid w:val="009C0FDB"/>
    <w:rsid w:val="009C16E5"/>
    <w:rsid w:val="009C24D1"/>
    <w:rsid w:val="009C3841"/>
    <w:rsid w:val="009C570E"/>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AF3"/>
    <w:rsid w:val="009D7E4B"/>
    <w:rsid w:val="009E0336"/>
    <w:rsid w:val="009E10EC"/>
    <w:rsid w:val="009E10F6"/>
    <w:rsid w:val="009E1628"/>
    <w:rsid w:val="009E2B95"/>
    <w:rsid w:val="009E2F5D"/>
    <w:rsid w:val="009E34FA"/>
    <w:rsid w:val="009E3D69"/>
    <w:rsid w:val="009E3DB9"/>
    <w:rsid w:val="009E4B0C"/>
    <w:rsid w:val="009E4B72"/>
    <w:rsid w:val="009E646B"/>
    <w:rsid w:val="009E73D0"/>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3DD"/>
    <w:rsid w:val="00A13A8E"/>
    <w:rsid w:val="00A13C0F"/>
    <w:rsid w:val="00A15224"/>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578"/>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5F"/>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1A6"/>
    <w:rsid w:val="00A703F5"/>
    <w:rsid w:val="00A71119"/>
    <w:rsid w:val="00A72E3D"/>
    <w:rsid w:val="00A72EE1"/>
    <w:rsid w:val="00A72F0F"/>
    <w:rsid w:val="00A73B00"/>
    <w:rsid w:val="00A74147"/>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989"/>
    <w:rsid w:val="00A84B23"/>
    <w:rsid w:val="00A84B4C"/>
    <w:rsid w:val="00A85897"/>
    <w:rsid w:val="00A86E22"/>
    <w:rsid w:val="00A87174"/>
    <w:rsid w:val="00A87279"/>
    <w:rsid w:val="00A87E95"/>
    <w:rsid w:val="00A900FE"/>
    <w:rsid w:val="00A92C9A"/>
    <w:rsid w:val="00A9370A"/>
    <w:rsid w:val="00A942D4"/>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0C3"/>
    <w:rsid w:val="00AA55E0"/>
    <w:rsid w:val="00AA5BC8"/>
    <w:rsid w:val="00AA61B7"/>
    <w:rsid w:val="00AA689B"/>
    <w:rsid w:val="00AA6BBF"/>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2ED"/>
    <w:rsid w:val="00AC154D"/>
    <w:rsid w:val="00AC2548"/>
    <w:rsid w:val="00AC3C32"/>
    <w:rsid w:val="00AC3DB8"/>
    <w:rsid w:val="00AC648A"/>
    <w:rsid w:val="00AD100C"/>
    <w:rsid w:val="00AD2540"/>
    <w:rsid w:val="00AD358A"/>
    <w:rsid w:val="00AD38ED"/>
    <w:rsid w:val="00AD39D6"/>
    <w:rsid w:val="00AD3C97"/>
    <w:rsid w:val="00AD4282"/>
    <w:rsid w:val="00AD5A42"/>
    <w:rsid w:val="00AD7073"/>
    <w:rsid w:val="00AD77FD"/>
    <w:rsid w:val="00AD79E2"/>
    <w:rsid w:val="00AD7FFB"/>
    <w:rsid w:val="00AE1C5C"/>
    <w:rsid w:val="00AE2642"/>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18B"/>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039"/>
    <w:rsid w:val="00B341EB"/>
    <w:rsid w:val="00B34E8B"/>
    <w:rsid w:val="00B3700C"/>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2FC6"/>
    <w:rsid w:val="00B635E2"/>
    <w:rsid w:val="00B636E6"/>
    <w:rsid w:val="00B64DB8"/>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1F62"/>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1BD3"/>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533"/>
    <w:rsid w:val="00BB37EA"/>
    <w:rsid w:val="00BB3A96"/>
    <w:rsid w:val="00BB4D08"/>
    <w:rsid w:val="00BB6A68"/>
    <w:rsid w:val="00BB739C"/>
    <w:rsid w:val="00BB7905"/>
    <w:rsid w:val="00BC0108"/>
    <w:rsid w:val="00BC088B"/>
    <w:rsid w:val="00BC1305"/>
    <w:rsid w:val="00BC2587"/>
    <w:rsid w:val="00BC2F38"/>
    <w:rsid w:val="00BC342A"/>
    <w:rsid w:val="00BC40F2"/>
    <w:rsid w:val="00BC45CE"/>
    <w:rsid w:val="00BC4F3D"/>
    <w:rsid w:val="00BC64CE"/>
    <w:rsid w:val="00BC68AD"/>
    <w:rsid w:val="00BC7112"/>
    <w:rsid w:val="00BC77FC"/>
    <w:rsid w:val="00BD0C00"/>
    <w:rsid w:val="00BD0DA0"/>
    <w:rsid w:val="00BD0E72"/>
    <w:rsid w:val="00BD1F9D"/>
    <w:rsid w:val="00BD3693"/>
    <w:rsid w:val="00BD438C"/>
    <w:rsid w:val="00BD492B"/>
    <w:rsid w:val="00BD4F9A"/>
    <w:rsid w:val="00BD5E19"/>
    <w:rsid w:val="00BD6D4E"/>
    <w:rsid w:val="00BD71F1"/>
    <w:rsid w:val="00BD74CF"/>
    <w:rsid w:val="00BE1AC8"/>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287"/>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02"/>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1A33"/>
    <w:rsid w:val="00C724E4"/>
    <w:rsid w:val="00C732D8"/>
    <w:rsid w:val="00C7377B"/>
    <w:rsid w:val="00C737D7"/>
    <w:rsid w:val="00C73886"/>
    <w:rsid w:val="00C73BEE"/>
    <w:rsid w:val="00C73DC4"/>
    <w:rsid w:val="00C74D41"/>
    <w:rsid w:val="00C756FD"/>
    <w:rsid w:val="00C75775"/>
    <w:rsid w:val="00C75C57"/>
    <w:rsid w:val="00C76261"/>
    <w:rsid w:val="00C76E4E"/>
    <w:rsid w:val="00C77E48"/>
    <w:rsid w:val="00C80261"/>
    <w:rsid w:val="00C808D5"/>
    <w:rsid w:val="00C80A06"/>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71"/>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C91"/>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3BA5"/>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7B7"/>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4D3E"/>
    <w:rsid w:val="00D25024"/>
    <w:rsid w:val="00D25A36"/>
    <w:rsid w:val="00D26250"/>
    <w:rsid w:val="00D269B4"/>
    <w:rsid w:val="00D2737B"/>
    <w:rsid w:val="00D3007F"/>
    <w:rsid w:val="00D30447"/>
    <w:rsid w:val="00D30DBA"/>
    <w:rsid w:val="00D30EC7"/>
    <w:rsid w:val="00D33362"/>
    <w:rsid w:val="00D33C0D"/>
    <w:rsid w:val="00D34C41"/>
    <w:rsid w:val="00D3539A"/>
    <w:rsid w:val="00D35BC6"/>
    <w:rsid w:val="00D3635F"/>
    <w:rsid w:val="00D36532"/>
    <w:rsid w:val="00D367F9"/>
    <w:rsid w:val="00D37FBA"/>
    <w:rsid w:val="00D40A87"/>
    <w:rsid w:val="00D40D10"/>
    <w:rsid w:val="00D412F4"/>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19ED"/>
    <w:rsid w:val="00D62605"/>
    <w:rsid w:val="00D63073"/>
    <w:rsid w:val="00D6359C"/>
    <w:rsid w:val="00D6362A"/>
    <w:rsid w:val="00D63DA5"/>
    <w:rsid w:val="00D641C8"/>
    <w:rsid w:val="00D64B3A"/>
    <w:rsid w:val="00D64D09"/>
    <w:rsid w:val="00D6587E"/>
    <w:rsid w:val="00D65C48"/>
    <w:rsid w:val="00D67C48"/>
    <w:rsid w:val="00D70AA1"/>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08F"/>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3E8E"/>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E7915"/>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6CC"/>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8EC"/>
    <w:rsid w:val="00E21CDD"/>
    <w:rsid w:val="00E21E11"/>
    <w:rsid w:val="00E233B1"/>
    <w:rsid w:val="00E233C9"/>
    <w:rsid w:val="00E23438"/>
    <w:rsid w:val="00E23A1D"/>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58A"/>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55B"/>
    <w:rsid w:val="00E56E97"/>
    <w:rsid w:val="00E56EE4"/>
    <w:rsid w:val="00E60A17"/>
    <w:rsid w:val="00E621FE"/>
    <w:rsid w:val="00E62CBA"/>
    <w:rsid w:val="00E648F7"/>
    <w:rsid w:val="00E64CC9"/>
    <w:rsid w:val="00E65E40"/>
    <w:rsid w:val="00E6690D"/>
    <w:rsid w:val="00E67861"/>
    <w:rsid w:val="00E67D3C"/>
    <w:rsid w:val="00E702B9"/>
    <w:rsid w:val="00E70CB4"/>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83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59AB"/>
    <w:rsid w:val="00EA689E"/>
    <w:rsid w:val="00EA7BE2"/>
    <w:rsid w:val="00EA7C5F"/>
    <w:rsid w:val="00EA7FAC"/>
    <w:rsid w:val="00EB0480"/>
    <w:rsid w:val="00EB0E25"/>
    <w:rsid w:val="00EB1BF9"/>
    <w:rsid w:val="00EB1D2C"/>
    <w:rsid w:val="00EB2497"/>
    <w:rsid w:val="00EB2764"/>
    <w:rsid w:val="00EB2A4F"/>
    <w:rsid w:val="00EB2ACC"/>
    <w:rsid w:val="00EB2D9B"/>
    <w:rsid w:val="00EB2F4D"/>
    <w:rsid w:val="00EB3C52"/>
    <w:rsid w:val="00EB507D"/>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C7D59"/>
    <w:rsid w:val="00ED0365"/>
    <w:rsid w:val="00ED073E"/>
    <w:rsid w:val="00ED0BF4"/>
    <w:rsid w:val="00ED0E71"/>
    <w:rsid w:val="00ED180A"/>
    <w:rsid w:val="00ED18EC"/>
    <w:rsid w:val="00ED2378"/>
    <w:rsid w:val="00ED29A6"/>
    <w:rsid w:val="00ED35F3"/>
    <w:rsid w:val="00ED3C6C"/>
    <w:rsid w:val="00ED3EBD"/>
    <w:rsid w:val="00ED525B"/>
    <w:rsid w:val="00ED5337"/>
    <w:rsid w:val="00ED59E7"/>
    <w:rsid w:val="00ED6FCD"/>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D8C"/>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539"/>
    <w:rsid w:val="00F377CE"/>
    <w:rsid w:val="00F40094"/>
    <w:rsid w:val="00F40646"/>
    <w:rsid w:val="00F40878"/>
    <w:rsid w:val="00F42591"/>
    <w:rsid w:val="00F426C8"/>
    <w:rsid w:val="00F4377C"/>
    <w:rsid w:val="00F44809"/>
    <w:rsid w:val="00F45459"/>
    <w:rsid w:val="00F46D5A"/>
    <w:rsid w:val="00F47305"/>
    <w:rsid w:val="00F5036E"/>
    <w:rsid w:val="00F50A70"/>
    <w:rsid w:val="00F519A9"/>
    <w:rsid w:val="00F52AF5"/>
    <w:rsid w:val="00F52EAC"/>
    <w:rsid w:val="00F53204"/>
    <w:rsid w:val="00F53860"/>
    <w:rsid w:val="00F54021"/>
    <w:rsid w:val="00F542AA"/>
    <w:rsid w:val="00F543D3"/>
    <w:rsid w:val="00F551B0"/>
    <w:rsid w:val="00F55452"/>
    <w:rsid w:val="00F5581A"/>
    <w:rsid w:val="00F55CC1"/>
    <w:rsid w:val="00F56A49"/>
    <w:rsid w:val="00F60D33"/>
    <w:rsid w:val="00F61136"/>
    <w:rsid w:val="00F6166A"/>
    <w:rsid w:val="00F6188E"/>
    <w:rsid w:val="00F624A5"/>
    <w:rsid w:val="00F62D15"/>
    <w:rsid w:val="00F6398A"/>
    <w:rsid w:val="00F63C51"/>
    <w:rsid w:val="00F64ACD"/>
    <w:rsid w:val="00F64C5A"/>
    <w:rsid w:val="00F65360"/>
    <w:rsid w:val="00F66D81"/>
    <w:rsid w:val="00F67C3E"/>
    <w:rsid w:val="00F70281"/>
    <w:rsid w:val="00F707C2"/>
    <w:rsid w:val="00F707EE"/>
    <w:rsid w:val="00F710EA"/>
    <w:rsid w:val="00F73249"/>
    <w:rsid w:val="00F74615"/>
    <w:rsid w:val="00F74CF0"/>
    <w:rsid w:val="00F75115"/>
    <w:rsid w:val="00F75D29"/>
    <w:rsid w:val="00F75F03"/>
    <w:rsid w:val="00F760C4"/>
    <w:rsid w:val="00F76F78"/>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07F6"/>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63A"/>
    <w:rsid w:val="00FC2C91"/>
    <w:rsid w:val="00FC2C99"/>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E7DD2"/>
    <w:rsid w:val="00FF0C49"/>
    <w:rsid w:val="00FF0FDB"/>
    <w:rsid w:val="00FF1282"/>
    <w:rsid w:val="00FF1339"/>
    <w:rsid w:val="00FF1682"/>
    <w:rsid w:val="00FF33D3"/>
    <w:rsid w:val="00FF479B"/>
    <w:rsid w:val="00FF5100"/>
    <w:rsid w:val="00FF5C53"/>
    <w:rsid w:val="00FF63AC"/>
    <w:rsid w:val="00FF6A49"/>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B18FF-ACC1-4063-A73E-C3BB11A44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11</Pages>
  <Words>3774</Words>
  <Characters>20761</Characters>
  <Application>Microsoft Office Word</Application>
  <DocSecurity>0</DocSecurity>
  <Lines>173</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32</cp:revision>
  <cp:lastPrinted>2022-09-29T20:27:00Z</cp:lastPrinted>
  <dcterms:created xsi:type="dcterms:W3CDTF">2022-07-16T23:27:00Z</dcterms:created>
  <dcterms:modified xsi:type="dcterms:W3CDTF">2023-02-22T20:09:00Z</dcterms:modified>
</cp:coreProperties>
</file>