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2D9340A9"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TRIBUNAL DE JUSTICIA ADMINISTRATIVA DEL ESTADO DE OAXACA.</w:t>
      </w:r>
    </w:p>
    <w:p w14:paraId="05245A21"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5EA26972"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SEXTA SALA UNITARIA DE PRIMERA INSTANCIA.</w:t>
      </w:r>
    </w:p>
    <w:p w14:paraId="17B422DE"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74AA5A10" w14:textId="77777777" w:rsidR="001C4867" w:rsidRPr="00BB1B71" w:rsidRDefault="001C4867" w:rsidP="001C4867">
      <w:pPr>
        <w:spacing w:after="0"/>
        <w:ind w:left="3686" w:right="51"/>
        <w:jc w:val="both"/>
        <w:rPr>
          <w:rFonts w:ascii="Arial" w:eastAsia="Times New Roman" w:hAnsi="Arial" w:cs="Arial"/>
          <w:bCs/>
          <w:sz w:val="24"/>
          <w:szCs w:val="24"/>
          <w:lang w:val="es-ES_tradnl" w:eastAsia="es-ES"/>
        </w:rPr>
      </w:pPr>
      <w:r w:rsidRPr="00BB1B71">
        <w:rPr>
          <w:rFonts w:ascii="Arial" w:eastAsia="Times New Roman" w:hAnsi="Arial" w:cs="Arial"/>
          <w:b/>
          <w:sz w:val="24"/>
          <w:szCs w:val="24"/>
          <w:lang w:val="es-ES_tradnl" w:eastAsia="es-ES"/>
        </w:rPr>
        <w:t xml:space="preserve">JUICIO DE NULIDAD: </w:t>
      </w:r>
      <w:r w:rsidR="00380EFB" w:rsidRPr="00380EFB">
        <w:rPr>
          <w:rFonts w:ascii="Arial" w:eastAsia="Times New Roman" w:hAnsi="Arial" w:cs="Arial"/>
          <w:sz w:val="24"/>
          <w:szCs w:val="24"/>
          <w:lang w:val="es-ES_tradnl" w:eastAsia="es-ES"/>
        </w:rPr>
        <w:t>0</w:t>
      </w:r>
      <w:r w:rsidR="00DA464A">
        <w:rPr>
          <w:rFonts w:ascii="Arial" w:eastAsia="Times New Roman" w:hAnsi="Arial" w:cs="Arial"/>
          <w:sz w:val="24"/>
          <w:szCs w:val="24"/>
          <w:lang w:val="es-ES_tradnl" w:eastAsia="es-ES"/>
        </w:rPr>
        <w:t>173</w:t>
      </w:r>
      <w:r w:rsidR="00432E9E" w:rsidRPr="00432E9E">
        <w:rPr>
          <w:rFonts w:ascii="Arial" w:eastAsia="Times New Roman" w:hAnsi="Arial" w:cs="Arial"/>
          <w:bCs/>
          <w:sz w:val="24"/>
          <w:szCs w:val="24"/>
          <w:lang w:val="es-ES_tradnl" w:eastAsia="es-ES"/>
        </w:rPr>
        <w:t>/</w:t>
      </w:r>
      <w:r w:rsidR="00432E9E">
        <w:rPr>
          <w:rFonts w:ascii="Arial" w:eastAsia="Times New Roman" w:hAnsi="Arial" w:cs="Arial"/>
          <w:bCs/>
          <w:sz w:val="24"/>
          <w:szCs w:val="24"/>
          <w:lang w:val="es-ES_tradnl" w:eastAsia="es-ES"/>
        </w:rPr>
        <w:t>2020</w:t>
      </w:r>
      <w:r w:rsidRPr="00BB1B71">
        <w:rPr>
          <w:rFonts w:ascii="Arial" w:eastAsia="Times New Roman" w:hAnsi="Arial" w:cs="Arial"/>
          <w:bCs/>
          <w:sz w:val="24"/>
          <w:szCs w:val="24"/>
          <w:lang w:val="es-ES_tradnl" w:eastAsia="es-ES"/>
        </w:rPr>
        <w:t xml:space="preserve">. </w:t>
      </w:r>
    </w:p>
    <w:p w14:paraId="464E1997"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3D388069" w14:textId="11BE8B43" w:rsidR="001C4867" w:rsidRPr="006F2CBA"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ACTOR: </w:t>
      </w:r>
      <w:r w:rsidR="0028160A">
        <w:rPr>
          <w:rFonts w:ascii="Arial" w:eastAsia="Times New Roman" w:hAnsi="Arial" w:cs="Arial"/>
          <w:color w:val="FF0000"/>
          <w:sz w:val="24"/>
          <w:szCs w:val="24"/>
          <w:lang w:val="es-ES_tradnl" w:eastAsia="es-ES"/>
        </w:rPr>
        <w:t>**********</w:t>
      </w:r>
      <w:r w:rsidR="006F2CBA" w:rsidRPr="006F2CBA">
        <w:rPr>
          <w:rFonts w:ascii="Arial" w:eastAsia="Times New Roman" w:hAnsi="Arial" w:cs="Arial"/>
          <w:sz w:val="24"/>
          <w:szCs w:val="24"/>
          <w:lang w:val="es-ES_tradnl" w:eastAsia="es-ES"/>
        </w:rPr>
        <w:t>.</w:t>
      </w:r>
    </w:p>
    <w:p w14:paraId="3BA30BB8" w14:textId="77777777" w:rsidR="001C4867" w:rsidRPr="00BB1B71" w:rsidRDefault="001C4867" w:rsidP="001C4867">
      <w:pPr>
        <w:spacing w:after="0"/>
        <w:ind w:left="3686" w:right="51"/>
        <w:jc w:val="both"/>
        <w:rPr>
          <w:rFonts w:ascii="Arial" w:eastAsia="Times New Roman" w:hAnsi="Arial" w:cs="Arial"/>
          <w:sz w:val="24"/>
          <w:szCs w:val="24"/>
          <w:lang w:val="es-ES_tradnl" w:eastAsia="es-ES"/>
        </w:rPr>
      </w:pPr>
    </w:p>
    <w:p w14:paraId="790567EF" w14:textId="77777777" w:rsidR="001C4867"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AUTORIDAD DEMANDADA: </w:t>
      </w:r>
      <w:bookmarkStart w:id="0" w:name="_Hlk49769963"/>
      <w:r w:rsidRPr="00BB1B71">
        <w:rPr>
          <w:rFonts w:ascii="Arial" w:eastAsia="Times New Roman" w:hAnsi="Arial" w:cs="Arial"/>
          <w:sz w:val="24"/>
          <w:szCs w:val="24"/>
          <w:lang w:val="es-ES_tradnl" w:eastAsia="es-ES"/>
        </w:rPr>
        <w:t>DIRECTOR</w:t>
      </w:r>
      <w:r w:rsidR="00432E9E">
        <w:rPr>
          <w:rFonts w:ascii="Arial" w:eastAsia="Times New Roman" w:hAnsi="Arial" w:cs="Arial"/>
          <w:sz w:val="24"/>
          <w:szCs w:val="24"/>
          <w:lang w:val="es-ES_tradnl" w:eastAsia="es-ES"/>
        </w:rPr>
        <w:t xml:space="preserve"> DE LO CONTENCIOSO DE LA PROCURADURÍA FISCAL </w:t>
      </w:r>
      <w:r w:rsidR="00067C07">
        <w:rPr>
          <w:rFonts w:ascii="Arial" w:eastAsia="Times New Roman" w:hAnsi="Arial" w:cs="Arial"/>
          <w:sz w:val="24"/>
          <w:szCs w:val="24"/>
          <w:lang w:val="es-ES_tradnl" w:eastAsia="es-ES"/>
        </w:rPr>
        <w:t xml:space="preserve">DEPENDIENTE </w:t>
      </w:r>
      <w:r w:rsidR="00432E9E">
        <w:rPr>
          <w:rFonts w:ascii="Arial" w:eastAsia="Times New Roman" w:hAnsi="Arial" w:cs="Arial"/>
          <w:sz w:val="24"/>
          <w:szCs w:val="24"/>
          <w:lang w:val="es-ES_tradnl" w:eastAsia="es-ES"/>
        </w:rPr>
        <w:t xml:space="preserve">DE LA </w:t>
      </w:r>
      <w:r w:rsidRPr="00BB1B71">
        <w:rPr>
          <w:rFonts w:ascii="Arial" w:eastAsia="Times New Roman" w:hAnsi="Arial" w:cs="Arial"/>
          <w:sz w:val="24"/>
          <w:szCs w:val="24"/>
          <w:lang w:val="es-ES_tradnl" w:eastAsia="es-ES"/>
        </w:rPr>
        <w:t>SUBSECRETARÍA DE INGRESOS DE LA SECRETARÍA DE FINANZAS DEL GOBIERNO DEL ESTADO DE OAXACA</w:t>
      </w:r>
      <w:bookmarkEnd w:id="0"/>
      <w:r w:rsidRPr="00BB1B71">
        <w:rPr>
          <w:rFonts w:ascii="Arial" w:eastAsia="Times New Roman" w:hAnsi="Arial" w:cs="Arial"/>
          <w:sz w:val="24"/>
          <w:szCs w:val="24"/>
          <w:lang w:val="es-ES_tradnl" w:eastAsia="es-ES"/>
        </w:rPr>
        <w:t>.</w:t>
      </w:r>
    </w:p>
    <w:p w14:paraId="5F7130B6" w14:textId="77777777" w:rsidR="00EA0AF9" w:rsidRDefault="00EA0AF9" w:rsidP="001C4867">
      <w:pPr>
        <w:spacing w:after="0"/>
        <w:ind w:left="3686" w:right="51"/>
        <w:jc w:val="both"/>
        <w:rPr>
          <w:rFonts w:ascii="Arial" w:eastAsia="Times New Roman" w:hAnsi="Arial" w:cs="Arial"/>
          <w:sz w:val="24"/>
          <w:szCs w:val="24"/>
          <w:lang w:val="es-ES_tradnl" w:eastAsia="es-ES"/>
        </w:rPr>
      </w:pPr>
    </w:p>
    <w:p w14:paraId="14669DBF"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r w:rsidRPr="000D7E3C">
        <w:rPr>
          <w:rFonts w:ascii="Arial" w:hAnsi="Arial" w:cs="Arial"/>
          <w:b/>
          <w:sz w:val="24"/>
          <w:szCs w:val="24"/>
        </w:rPr>
        <w:t>MAGISTRADA: MAESTRA CAMELIA GASPAR MARTÍNEZ.</w:t>
      </w:r>
    </w:p>
    <w:p w14:paraId="3FBE63E1"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p>
    <w:p w14:paraId="060A911F" w14:textId="77777777" w:rsidR="00EA0AF9" w:rsidRDefault="00EA0AF9" w:rsidP="00EA0AF9">
      <w:pPr>
        <w:pStyle w:val="Encabezado"/>
        <w:tabs>
          <w:tab w:val="clear" w:pos="4419"/>
          <w:tab w:val="clear" w:pos="8838"/>
          <w:tab w:val="center" w:pos="-1418"/>
        </w:tabs>
        <w:ind w:left="3686"/>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Pr>
          <w:rFonts w:ascii="Arial" w:hAnsi="Arial" w:cs="Arial"/>
          <w:bCs/>
          <w:sz w:val="24"/>
          <w:szCs w:val="24"/>
        </w:rPr>
        <w:t>.</w:t>
      </w:r>
    </w:p>
    <w:p w14:paraId="5E6E18B1" w14:textId="77777777" w:rsidR="00EA0AF9" w:rsidRPr="00BB1B71" w:rsidRDefault="00EA0AF9" w:rsidP="001C4867">
      <w:pPr>
        <w:spacing w:after="0"/>
        <w:ind w:left="3686" w:right="51"/>
        <w:jc w:val="both"/>
        <w:rPr>
          <w:rFonts w:ascii="Arial" w:eastAsia="Times New Roman" w:hAnsi="Arial" w:cs="Arial"/>
          <w:sz w:val="24"/>
          <w:szCs w:val="24"/>
          <w:lang w:val="es-ES_tradnl" w:eastAsia="es-ES"/>
        </w:rPr>
      </w:pPr>
    </w:p>
    <w:p w14:paraId="40B6349D" w14:textId="77777777" w:rsidR="001C4867" w:rsidRPr="00BB1B71" w:rsidRDefault="001C4867" w:rsidP="001C4867">
      <w:pPr>
        <w:widowControl w:val="0"/>
        <w:spacing w:after="0" w:line="240" w:lineRule="auto"/>
        <w:ind w:right="51"/>
        <w:rPr>
          <w:rFonts w:ascii="Arial" w:eastAsia="Times New Roman" w:hAnsi="Arial" w:cs="Arial"/>
          <w:color w:val="FF0000"/>
          <w:sz w:val="24"/>
          <w:szCs w:val="24"/>
          <w:lang w:val="es-ES" w:eastAsia="es-ES"/>
        </w:rPr>
      </w:pPr>
    </w:p>
    <w:p w14:paraId="290D3D9C" w14:textId="77777777" w:rsidR="001C4867" w:rsidRPr="00BB1B71" w:rsidRDefault="00F153C9" w:rsidP="001C4867">
      <w:pPr>
        <w:widowControl w:val="0"/>
        <w:spacing w:line="360" w:lineRule="auto"/>
        <w:ind w:right="51" w:firstLine="567"/>
        <w:jc w:val="both"/>
        <w:rPr>
          <w:rFonts w:ascii="Arial" w:eastAsia="Times New Roman" w:hAnsi="Arial" w:cs="Arial"/>
          <w:b/>
          <w:sz w:val="24"/>
          <w:szCs w:val="24"/>
          <w:lang w:val="es-ES" w:eastAsia="es-ES"/>
        </w:rPr>
      </w:pPr>
      <w:r w:rsidRPr="00BB1B71">
        <w:rPr>
          <w:rFonts w:ascii="Arial" w:eastAsia="Times New Roman" w:hAnsi="Arial" w:cs="Arial"/>
          <w:b/>
          <w:sz w:val="24"/>
          <w:szCs w:val="24"/>
          <w:lang w:val="es-ES" w:eastAsia="es-ES"/>
        </w:rPr>
        <w:t xml:space="preserve">OAXACA DE JUÁREZ, OAXACA, </w:t>
      </w:r>
      <w:r w:rsidR="006F2CBA">
        <w:rPr>
          <w:rFonts w:ascii="Arial" w:eastAsia="Times New Roman" w:hAnsi="Arial" w:cs="Arial"/>
          <w:b/>
          <w:sz w:val="24"/>
          <w:szCs w:val="24"/>
          <w:lang w:val="es-ES" w:eastAsia="es-ES"/>
        </w:rPr>
        <w:t>TREINTA</w:t>
      </w:r>
      <w:r w:rsidR="002F388E">
        <w:rPr>
          <w:rFonts w:ascii="Arial" w:eastAsia="Times New Roman" w:hAnsi="Arial" w:cs="Arial"/>
          <w:b/>
          <w:sz w:val="24"/>
          <w:szCs w:val="24"/>
          <w:lang w:val="es-ES" w:eastAsia="es-ES"/>
        </w:rPr>
        <w:t xml:space="preserve"> DE MAYO</w:t>
      </w:r>
      <w:r w:rsidR="002F388E" w:rsidRPr="00BB1B71">
        <w:rPr>
          <w:rFonts w:ascii="Arial" w:eastAsia="Times New Roman" w:hAnsi="Arial" w:cs="Arial"/>
          <w:b/>
          <w:sz w:val="24"/>
          <w:szCs w:val="24"/>
          <w:lang w:val="es-ES" w:eastAsia="es-ES"/>
        </w:rPr>
        <w:t xml:space="preserve"> </w:t>
      </w:r>
      <w:r w:rsidR="002F388E">
        <w:rPr>
          <w:rFonts w:ascii="Arial" w:eastAsia="Times New Roman" w:hAnsi="Arial" w:cs="Arial"/>
          <w:b/>
          <w:sz w:val="24"/>
          <w:szCs w:val="24"/>
          <w:lang w:val="es-ES" w:eastAsia="es-ES"/>
        </w:rPr>
        <w:t>DE DOS MIL VEINTIDÓS</w:t>
      </w:r>
      <w:r w:rsidR="00183FEE">
        <w:rPr>
          <w:rFonts w:ascii="Arial" w:eastAsia="Times New Roman" w:hAnsi="Arial" w:cs="Arial"/>
          <w:b/>
          <w:sz w:val="24"/>
          <w:szCs w:val="24"/>
          <w:lang w:val="es-ES" w:eastAsia="es-ES"/>
        </w:rPr>
        <w:t xml:space="preserve">. - - - - - - - - - - - - - - - - - - - - - - - - - - - - - - - - - - - - - - - - - - - - - - - - - - </w:t>
      </w:r>
    </w:p>
    <w:p w14:paraId="7C014397" w14:textId="02086D32" w:rsidR="001C4867" w:rsidRPr="00BB1B71" w:rsidRDefault="001C4867" w:rsidP="001C4867">
      <w:pPr>
        <w:widowControl w:val="0"/>
        <w:spacing w:line="360" w:lineRule="auto"/>
        <w:ind w:right="51" w:firstLine="567"/>
        <w:jc w:val="both"/>
        <w:rPr>
          <w:rFonts w:ascii="Arial" w:eastAsia="Times New Roman" w:hAnsi="Arial" w:cs="Arial"/>
          <w:sz w:val="24"/>
          <w:szCs w:val="24"/>
          <w:lang w:val="es-ES" w:eastAsia="es-ES"/>
        </w:rPr>
      </w:pPr>
      <w:r w:rsidRPr="00BB1B71">
        <w:rPr>
          <w:rFonts w:ascii="Arial" w:eastAsia="Times New Roman" w:hAnsi="Arial" w:cs="Arial"/>
          <w:b/>
          <w:sz w:val="24"/>
          <w:szCs w:val="24"/>
          <w:lang w:val="es-ES_tradnl" w:eastAsia="es-ES"/>
        </w:rPr>
        <w:t xml:space="preserve">V I S T O S, </w:t>
      </w:r>
      <w:r w:rsidRPr="00BB1B71">
        <w:rPr>
          <w:rFonts w:ascii="Arial" w:eastAsia="Times New Roman" w:hAnsi="Arial" w:cs="Arial"/>
          <w:sz w:val="24"/>
          <w:szCs w:val="24"/>
          <w:lang w:val="es-ES_tradnl" w:eastAsia="es-ES"/>
        </w:rPr>
        <w:t xml:space="preserve">para resolver los autos del juicio de nulidad número </w:t>
      </w:r>
      <w:r w:rsidR="00380EFB" w:rsidRPr="00380EFB">
        <w:rPr>
          <w:rFonts w:ascii="Arial" w:eastAsia="Times New Roman" w:hAnsi="Arial" w:cs="Arial"/>
          <w:b/>
          <w:sz w:val="24"/>
          <w:szCs w:val="24"/>
          <w:lang w:val="es-ES_tradnl" w:eastAsia="es-ES"/>
        </w:rPr>
        <w:t>0</w:t>
      </w:r>
      <w:r w:rsidR="00DA464A">
        <w:rPr>
          <w:rFonts w:ascii="Arial" w:eastAsia="Times New Roman" w:hAnsi="Arial" w:cs="Arial"/>
          <w:b/>
          <w:bCs/>
          <w:sz w:val="24"/>
          <w:szCs w:val="24"/>
          <w:lang w:val="es-ES_tradnl" w:eastAsia="es-ES"/>
        </w:rPr>
        <w:t>173</w:t>
      </w:r>
      <w:r w:rsidR="00432E9E">
        <w:rPr>
          <w:rFonts w:ascii="Arial" w:eastAsia="Times New Roman" w:hAnsi="Arial" w:cs="Arial"/>
          <w:b/>
          <w:bCs/>
          <w:sz w:val="24"/>
          <w:szCs w:val="24"/>
          <w:lang w:val="es-ES_tradnl" w:eastAsia="es-ES"/>
        </w:rPr>
        <w:t>/2020</w:t>
      </w:r>
      <w:r w:rsidR="00DA464A">
        <w:rPr>
          <w:rFonts w:ascii="Arial" w:eastAsia="Times New Roman" w:hAnsi="Arial" w:cs="Arial"/>
          <w:sz w:val="24"/>
          <w:szCs w:val="24"/>
          <w:lang w:val="es-ES_tradnl" w:eastAsia="es-ES"/>
        </w:rPr>
        <w:t>, interpuesto por</w:t>
      </w:r>
      <w:r w:rsidR="00DA464A" w:rsidRPr="00DA464A">
        <w:rPr>
          <w:rFonts w:ascii="Arial" w:eastAsia="Times New Roman" w:hAnsi="Arial" w:cs="Arial"/>
          <w:b/>
          <w:bCs/>
          <w:sz w:val="24"/>
          <w:szCs w:val="24"/>
          <w:lang w:val="es-ES_tradnl" w:eastAsia="es-ES"/>
        </w:rPr>
        <w:t xml:space="preserve"> </w:t>
      </w:r>
      <w:r w:rsidR="0028160A">
        <w:rPr>
          <w:rFonts w:ascii="Arial" w:eastAsia="Times New Roman" w:hAnsi="Arial" w:cs="Arial"/>
          <w:b/>
          <w:bCs/>
          <w:color w:val="FF0000"/>
          <w:sz w:val="24"/>
          <w:szCs w:val="24"/>
          <w:lang w:val="es-ES_tradnl" w:eastAsia="es-ES"/>
        </w:rPr>
        <w:t>**********</w:t>
      </w:r>
      <w:r w:rsidR="00432E9E">
        <w:rPr>
          <w:rFonts w:ascii="Arial" w:eastAsia="Times New Roman" w:hAnsi="Arial" w:cs="Arial"/>
          <w:sz w:val="24"/>
          <w:szCs w:val="24"/>
          <w:lang w:val="es-ES_tradnl" w:eastAsia="es-ES"/>
        </w:rPr>
        <w:t>, en contra del</w:t>
      </w:r>
      <w:r w:rsidRPr="00BB1B71">
        <w:rPr>
          <w:rFonts w:ascii="Arial" w:eastAsia="Times New Roman" w:hAnsi="Arial" w:cs="Arial"/>
          <w:sz w:val="24"/>
          <w:szCs w:val="24"/>
          <w:lang w:val="es-ES_tradnl" w:eastAsia="es-ES"/>
        </w:rPr>
        <w:t xml:space="preserve"> </w:t>
      </w:r>
      <w:r w:rsidR="00432E9E" w:rsidRPr="00432E9E">
        <w:rPr>
          <w:rFonts w:ascii="Arial" w:eastAsia="Times New Roman" w:hAnsi="Arial" w:cs="Arial"/>
          <w:b/>
          <w:sz w:val="24"/>
          <w:szCs w:val="24"/>
          <w:lang w:val="es-ES_tradnl" w:eastAsia="es-ES"/>
        </w:rPr>
        <w:t>DIRECT</w:t>
      </w:r>
      <w:r w:rsidR="00067C07">
        <w:rPr>
          <w:rFonts w:ascii="Arial" w:eastAsia="Times New Roman" w:hAnsi="Arial" w:cs="Arial"/>
          <w:b/>
          <w:sz w:val="24"/>
          <w:szCs w:val="24"/>
          <w:lang w:val="es-ES_tradnl" w:eastAsia="es-ES"/>
        </w:rPr>
        <w:t>OR DE LO CONTENCIOSO</w:t>
      </w:r>
      <w:r w:rsidR="00432E9E" w:rsidRPr="00432E9E">
        <w:rPr>
          <w:rFonts w:ascii="Arial" w:eastAsia="Times New Roman" w:hAnsi="Arial" w:cs="Arial"/>
          <w:b/>
          <w:sz w:val="24"/>
          <w:szCs w:val="24"/>
          <w:lang w:val="es-ES_tradnl" w:eastAsia="es-ES"/>
        </w:rPr>
        <w:t xml:space="preserve"> DE LA PROCURADURÍA FISCAL </w:t>
      </w:r>
      <w:r w:rsidR="00067C07">
        <w:rPr>
          <w:rFonts w:ascii="Arial" w:eastAsia="Times New Roman" w:hAnsi="Arial" w:cs="Arial"/>
          <w:b/>
          <w:sz w:val="24"/>
          <w:szCs w:val="24"/>
          <w:lang w:val="es-ES_tradnl" w:eastAsia="es-ES"/>
        </w:rPr>
        <w:t xml:space="preserve">DEPENDIENTE </w:t>
      </w:r>
      <w:r w:rsidR="00432E9E" w:rsidRPr="00432E9E">
        <w:rPr>
          <w:rFonts w:ascii="Arial" w:eastAsia="Times New Roman" w:hAnsi="Arial" w:cs="Arial"/>
          <w:b/>
          <w:sz w:val="24"/>
          <w:szCs w:val="24"/>
          <w:lang w:val="es-ES_tradnl" w:eastAsia="es-ES"/>
        </w:rPr>
        <w:t>DE LA SUBSECRETARÍA DE INGRESOS DE LA SECRETARÍA DE FINANZAS DEL GOBIERNO DEL ESTADO DE OAXACA</w:t>
      </w:r>
      <w:r w:rsidRPr="00BB1B71">
        <w:rPr>
          <w:rFonts w:ascii="Arial" w:eastAsia="Times New Roman" w:hAnsi="Arial" w:cs="Arial"/>
          <w:sz w:val="24"/>
          <w:szCs w:val="24"/>
          <w:lang w:val="es-ES_tradnl" w:eastAsia="es-ES"/>
        </w:rPr>
        <w:t xml:space="preserve">, y; </w:t>
      </w:r>
      <w:r w:rsidR="0028160A">
        <w:rPr>
          <w:rFonts w:ascii="Arial" w:eastAsia="Times New Roman" w:hAnsi="Arial" w:cs="Arial"/>
          <w:sz w:val="24"/>
          <w:szCs w:val="24"/>
          <w:lang w:val="es-ES_tradnl" w:eastAsia="es-ES"/>
        </w:rPr>
        <w:t xml:space="preserve">- - - - - - - - - - - - - - - - - - - - - - - - - - - - - - - - - - - - - - - - - - - - - - - - </w:t>
      </w:r>
    </w:p>
    <w:p w14:paraId="578AE15A" w14:textId="77777777" w:rsidR="001C4867" w:rsidRPr="00BB1B71" w:rsidRDefault="00380EFB" w:rsidP="001C4867">
      <w:pPr>
        <w:spacing w:line="360" w:lineRule="auto"/>
        <w:jc w:val="center"/>
        <w:rPr>
          <w:rFonts w:ascii="Arial" w:hAnsi="Arial" w:cs="Arial"/>
          <w:b/>
          <w:spacing w:val="-3"/>
          <w:sz w:val="24"/>
          <w:szCs w:val="24"/>
          <w:lang w:val="es-ES_tradnl"/>
        </w:rPr>
      </w:pPr>
      <w:r>
        <w:rPr>
          <w:rFonts w:ascii="Arial" w:hAnsi="Arial" w:cs="Arial"/>
          <w:b/>
          <w:sz w:val="24"/>
          <w:szCs w:val="24"/>
        </w:rPr>
        <w:t>A N T E C E D E N T E S</w:t>
      </w:r>
      <w:r w:rsidR="001C4867" w:rsidRPr="00BB1B71">
        <w:rPr>
          <w:rFonts w:ascii="Arial" w:hAnsi="Arial" w:cs="Arial"/>
          <w:b/>
          <w:spacing w:val="-3"/>
          <w:sz w:val="24"/>
          <w:szCs w:val="24"/>
          <w:lang w:val="es-ES_tradnl"/>
        </w:rPr>
        <w:t>:</w:t>
      </w:r>
    </w:p>
    <w:p w14:paraId="05F43050" w14:textId="3B3D09E8" w:rsidR="00B00DD7" w:rsidRDefault="001C4867"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 xml:space="preserve">PRIMERO.- </w:t>
      </w:r>
      <w:r w:rsidR="00115A6C">
        <w:rPr>
          <w:rFonts w:ascii="Arial" w:hAnsi="Arial" w:cs="Arial"/>
          <w:bCs/>
          <w:spacing w:val="-3"/>
          <w:sz w:val="24"/>
          <w:szCs w:val="24"/>
          <w:lang w:val="es-ES_tradnl"/>
        </w:rPr>
        <w:t>Con fecha die</w:t>
      </w:r>
      <w:r w:rsidR="00DA464A">
        <w:rPr>
          <w:rFonts w:ascii="Arial" w:hAnsi="Arial" w:cs="Arial"/>
          <w:bCs/>
          <w:spacing w:val="-3"/>
          <w:sz w:val="24"/>
          <w:szCs w:val="24"/>
          <w:lang w:val="es-ES_tradnl"/>
        </w:rPr>
        <w:t xml:space="preserve">z de diciembre de </w:t>
      </w:r>
      <w:r w:rsidR="00D80C5E">
        <w:rPr>
          <w:rFonts w:ascii="Arial" w:hAnsi="Arial" w:cs="Arial"/>
          <w:bCs/>
          <w:spacing w:val="-3"/>
          <w:sz w:val="24"/>
          <w:szCs w:val="24"/>
          <w:lang w:val="es-ES_tradnl"/>
        </w:rPr>
        <w:t>dos mil veinte</w:t>
      </w:r>
      <w:r w:rsidRPr="00BB1B71">
        <w:rPr>
          <w:rFonts w:ascii="Arial" w:hAnsi="Arial" w:cs="Arial"/>
          <w:bCs/>
          <w:spacing w:val="-3"/>
          <w:sz w:val="24"/>
          <w:szCs w:val="24"/>
          <w:lang w:val="es-ES_tradnl"/>
        </w:rPr>
        <w:t xml:space="preserve"> </w:t>
      </w:r>
      <w:r w:rsidR="0028160A">
        <w:rPr>
          <w:rFonts w:ascii="Arial" w:eastAsia="Times New Roman" w:hAnsi="Arial" w:cs="Arial"/>
          <w:b/>
          <w:bCs/>
          <w:color w:val="FF0000"/>
          <w:sz w:val="24"/>
          <w:szCs w:val="24"/>
          <w:lang w:val="es-ES_tradnl" w:eastAsia="es-ES"/>
        </w:rPr>
        <w:t>**********</w:t>
      </w:r>
      <w:r w:rsidR="00115A6C">
        <w:rPr>
          <w:rFonts w:ascii="Arial" w:eastAsia="Times New Roman" w:hAnsi="Arial" w:cs="Arial"/>
          <w:bCs/>
          <w:sz w:val="24"/>
          <w:szCs w:val="24"/>
          <w:lang w:val="es-ES_tradnl" w:eastAsia="es-ES"/>
        </w:rPr>
        <w:t>,</w:t>
      </w:r>
      <w:r w:rsidR="002F388E">
        <w:rPr>
          <w:rFonts w:ascii="Arial" w:hAnsi="Arial" w:cs="Arial"/>
          <w:bCs/>
          <w:spacing w:val="-3"/>
          <w:sz w:val="24"/>
          <w:szCs w:val="24"/>
          <w:lang w:val="es-ES_tradnl"/>
        </w:rPr>
        <w:t xml:space="preserve"> </w:t>
      </w:r>
      <w:r w:rsidRPr="00BB1B71">
        <w:rPr>
          <w:rFonts w:ascii="Arial" w:hAnsi="Arial" w:cs="Arial"/>
          <w:bCs/>
          <w:spacing w:val="-3"/>
          <w:sz w:val="24"/>
          <w:szCs w:val="24"/>
          <w:lang w:val="es-ES_tradnl"/>
        </w:rPr>
        <w:t>presentó en la Oficialía de</w:t>
      </w:r>
      <w:r w:rsidR="002F388E">
        <w:rPr>
          <w:rFonts w:ascii="Arial" w:hAnsi="Arial" w:cs="Arial"/>
          <w:bCs/>
          <w:spacing w:val="-3"/>
          <w:sz w:val="24"/>
          <w:szCs w:val="24"/>
          <w:lang w:val="es-ES_tradnl"/>
        </w:rPr>
        <w:t xml:space="preserve"> Partes Común de e</w:t>
      </w:r>
      <w:r w:rsidR="00D80C5E">
        <w:rPr>
          <w:rFonts w:ascii="Arial" w:hAnsi="Arial" w:cs="Arial"/>
          <w:bCs/>
          <w:spacing w:val="-3"/>
          <w:sz w:val="24"/>
          <w:szCs w:val="24"/>
          <w:lang w:val="es-ES_tradnl"/>
        </w:rPr>
        <w:t>ste Tribunal escrito de demanda</w:t>
      </w:r>
      <w:r w:rsidR="002F388E">
        <w:rPr>
          <w:rFonts w:ascii="Arial" w:hAnsi="Arial" w:cs="Arial"/>
          <w:bCs/>
          <w:spacing w:val="-3"/>
          <w:sz w:val="24"/>
          <w:szCs w:val="24"/>
          <w:lang w:val="es-ES_tradnl"/>
        </w:rPr>
        <w:t xml:space="preserve"> en contra</w:t>
      </w:r>
      <w:r w:rsidRPr="00BB1B71">
        <w:rPr>
          <w:rFonts w:ascii="Arial" w:hAnsi="Arial" w:cs="Arial"/>
          <w:bCs/>
          <w:spacing w:val="-3"/>
          <w:sz w:val="24"/>
          <w:szCs w:val="24"/>
          <w:lang w:val="es-ES_tradnl"/>
        </w:rPr>
        <w:t xml:space="preserve"> de la </w:t>
      </w:r>
      <w:r w:rsidR="00B00DD7">
        <w:rPr>
          <w:rFonts w:ascii="Arial" w:hAnsi="Arial" w:cs="Arial"/>
          <w:bCs/>
          <w:spacing w:val="-3"/>
          <w:sz w:val="24"/>
          <w:szCs w:val="24"/>
          <w:lang w:val="es-ES_tradnl"/>
        </w:rPr>
        <w:t xml:space="preserve">resolución contenida </w:t>
      </w:r>
      <w:r w:rsidR="00115A6C">
        <w:rPr>
          <w:rFonts w:ascii="Arial" w:hAnsi="Arial" w:cs="Arial"/>
          <w:bCs/>
          <w:spacing w:val="-3"/>
          <w:sz w:val="24"/>
          <w:szCs w:val="24"/>
          <w:lang w:val="es-ES_tradnl"/>
        </w:rPr>
        <w:t xml:space="preserve">en el oficio </w:t>
      </w:r>
      <w:r w:rsidR="0028160A">
        <w:rPr>
          <w:rFonts w:ascii="Arial" w:hAnsi="Arial" w:cs="Arial"/>
          <w:bCs/>
          <w:color w:val="FF0000"/>
          <w:spacing w:val="-3"/>
          <w:sz w:val="24"/>
          <w:szCs w:val="24"/>
          <w:lang w:val="es-ES_tradnl"/>
        </w:rPr>
        <w:t>**********</w:t>
      </w:r>
      <w:r w:rsidR="00115A6C" w:rsidRPr="00D61A39">
        <w:rPr>
          <w:rFonts w:ascii="Arial" w:hAnsi="Arial" w:cs="Arial"/>
          <w:bCs/>
          <w:color w:val="FF0000"/>
          <w:spacing w:val="-3"/>
          <w:sz w:val="24"/>
          <w:szCs w:val="24"/>
          <w:lang w:val="es-ES_tradnl"/>
        </w:rPr>
        <w:t xml:space="preserve"> </w:t>
      </w:r>
      <w:r w:rsidR="00115A6C">
        <w:rPr>
          <w:rFonts w:ascii="Arial" w:hAnsi="Arial" w:cs="Arial"/>
          <w:bCs/>
          <w:spacing w:val="-3"/>
          <w:sz w:val="24"/>
          <w:szCs w:val="24"/>
          <w:lang w:val="es-ES_tradnl"/>
        </w:rPr>
        <w:t xml:space="preserve">de </w:t>
      </w:r>
      <w:r w:rsidR="00DA464A">
        <w:rPr>
          <w:rFonts w:ascii="Arial" w:hAnsi="Arial" w:cs="Arial"/>
          <w:bCs/>
          <w:spacing w:val="-3"/>
          <w:sz w:val="24"/>
          <w:szCs w:val="24"/>
          <w:lang w:val="es-ES_tradnl"/>
        </w:rPr>
        <w:t>catorce de abril</w:t>
      </w:r>
      <w:r w:rsidR="00B00DD7">
        <w:rPr>
          <w:rFonts w:ascii="Arial" w:hAnsi="Arial" w:cs="Arial"/>
          <w:bCs/>
          <w:spacing w:val="-3"/>
          <w:sz w:val="24"/>
          <w:szCs w:val="24"/>
          <w:lang w:val="es-ES_tradnl"/>
        </w:rPr>
        <w:t xml:space="preserve"> del dos mil veinte, mediante la cual el</w:t>
      </w:r>
      <w:r w:rsidR="00B00DD7" w:rsidRPr="00B00DD7">
        <w:rPr>
          <w:rFonts w:ascii="Arial" w:eastAsia="Times New Roman" w:hAnsi="Arial" w:cs="Arial"/>
          <w:b/>
          <w:sz w:val="24"/>
          <w:szCs w:val="24"/>
          <w:lang w:val="es-ES_tradnl" w:eastAsia="es-ES"/>
        </w:rPr>
        <w:t xml:space="preserve"> </w:t>
      </w:r>
      <w:r w:rsidR="00B00DD7">
        <w:rPr>
          <w:rFonts w:ascii="Arial" w:hAnsi="Arial" w:cs="Arial"/>
          <w:bCs/>
          <w:spacing w:val="-3"/>
          <w:sz w:val="24"/>
          <w:szCs w:val="24"/>
          <w:lang w:val="es-ES_tradnl"/>
        </w:rPr>
        <w:t>Direct</w:t>
      </w:r>
      <w:r w:rsidR="00067C07">
        <w:rPr>
          <w:rFonts w:ascii="Arial" w:hAnsi="Arial" w:cs="Arial"/>
          <w:bCs/>
          <w:spacing w:val="-3"/>
          <w:sz w:val="24"/>
          <w:szCs w:val="24"/>
          <w:lang w:val="es-ES_tradnl"/>
        </w:rPr>
        <w:t>or de lo Contencioso</w:t>
      </w:r>
      <w:r w:rsidR="00B00DD7">
        <w:rPr>
          <w:rFonts w:ascii="Arial" w:hAnsi="Arial" w:cs="Arial"/>
          <w:bCs/>
          <w:spacing w:val="-3"/>
          <w:sz w:val="24"/>
          <w:szCs w:val="24"/>
          <w:lang w:val="es-ES_tradnl"/>
        </w:rPr>
        <w:t xml:space="preserve"> de la Procuraduría Fiscal </w:t>
      </w:r>
      <w:r w:rsidR="00067C07">
        <w:rPr>
          <w:rFonts w:ascii="Arial" w:hAnsi="Arial" w:cs="Arial"/>
          <w:bCs/>
          <w:spacing w:val="-3"/>
          <w:sz w:val="24"/>
          <w:szCs w:val="24"/>
          <w:lang w:val="es-ES_tradnl"/>
        </w:rPr>
        <w:t xml:space="preserve">dependiente </w:t>
      </w:r>
      <w:r w:rsidR="00B00DD7">
        <w:rPr>
          <w:rFonts w:ascii="Arial" w:hAnsi="Arial" w:cs="Arial"/>
          <w:bCs/>
          <w:spacing w:val="-3"/>
          <w:sz w:val="24"/>
          <w:szCs w:val="24"/>
          <w:lang w:val="es-ES_tradnl"/>
        </w:rPr>
        <w:t xml:space="preserve">de </w:t>
      </w:r>
      <w:r w:rsidR="00E6608F">
        <w:rPr>
          <w:rFonts w:ascii="Arial" w:hAnsi="Arial" w:cs="Arial"/>
          <w:bCs/>
          <w:spacing w:val="-3"/>
          <w:sz w:val="24"/>
          <w:szCs w:val="24"/>
          <w:lang w:val="es-ES_tradnl"/>
        </w:rPr>
        <w:t>l</w:t>
      </w:r>
      <w:r w:rsidR="00B00DD7">
        <w:rPr>
          <w:rFonts w:ascii="Arial" w:hAnsi="Arial" w:cs="Arial"/>
          <w:bCs/>
          <w:spacing w:val="-3"/>
          <w:sz w:val="24"/>
          <w:szCs w:val="24"/>
          <w:lang w:val="es-ES_tradnl"/>
        </w:rPr>
        <w:t>a Subsecretaría de Ingresos de la Secretaría de Finanzas del Gobierno del Estado d</w:t>
      </w:r>
      <w:r w:rsidR="00B00DD7" w:rsidRPr="00B00DD7">
        <w:rPr>
          <w:rFonts w:ascii="Arial" w:hAnsi="Arial" w:cs="Arial"/>
          <w:bCs/>
          <w:spacing w:val="-3"/>
          <w:sz w:val="24"/>
          <w:szCs w:val="24"/>
          <w:lang w:val="es-ES_tradnl"/>
        </w:rPr>
        <w:t>e Oaxaca</w:t>
      </w:r>
      <w:r w:rsidR="00B00DD7">
        <w:rPr>
          <w:rFonts w:ascii="Arial" w:hAnsi="Arial" w:cs="Arial"/>
          <w:bCs/>
          <w:spacing w:val="-3"/>
          <w:sz w:val="24"/>
          <w:szCs w:val="24"/>
          <w:lang w:val="es-ES_tradnl"/>
        </w:rPr>
        <w:t xml:space="preserve"> resue</w:t>
      </w:r>
      <w:r w:rsidR="00115A6C">
        <w:rPr>
          <w:rFonts w:ascii="Arial" w:hAnsi="Arial" w:cs="Arial"/>
          <w:bCs/>
          <w:spacing w:val="-3"/>
          <w:sz w:val="24"/>
          <w:szCs w:val="24"/>
          <w:lang w:val="es-ES_tradnl"/>
        </w:rPr>
        <w:t>lve e</w:t>
      </w:r>
      <w:r w:rsidR="00DA464A">
        <w:rPr>
          <w:rFonts w:ascii="Arial" w:hAnsi="Arial" w:cs="Arial"/>
          <w:bCs/>
          <w:spacing w:val="-3"/>
          <w:sz w:val="24"/>
          <w:szCs w:val="24"/>
          <w:lang w:val="es-ES_tradnl"/>
        </w:rPr>
        <w:t xml:space="preserve">l recurso de revocación </w:t>
      </w:r>
      <w:r w:rsidR="0028160A">
        <w:rPr>
          <w:rFonts w:ascii="Arial" w:hAnsi="Arial" w:cs="Arial"/>
          <w:bCs/>
          <w:color w:val="FF0000"/>
          <w:spacing w:val="-3"/>
          <w:sz w:val="24"/>
          <w:szCs w:val="24"/>
          <w:lang w:val="es-ES_tradnl"/>
        </w:rPr>
        <w:t>**********</w:t>
      </w:r>
      <w:r w:rsidR="00E6608F">
        <w:rPr>
          <w:rFonts w:ascii="Arial" w:hAnsi="Arial" w:cs="Arial"/>
          <w:bCs/>
          <w:spacing w:val="-3"/>
          <w:sz w:val="24"/>
          <w:szCs w:val="24"/>
          <w:lang w:val="es-ES_tradnl"/>
        </w:rPr>
        <w:t>,</w:t>
      </w:r>
      <w:r w:rsidR="00B00DD7">
        <w:rPr>
          <w:rFonts w:ascii="Arial" w:hAnsi="Arial" w:cs="Arial"/>
          <w:bCs/>
          <w:spacing w:val="-3"/>
          <w:sz w:val="24"/>
          <w:szCs w:val="24"/>
          <w:lang w:val="es-ES_tradnl"/>
        </w:rPr>
        <w:t xml:space="preserve"> interpuesto en contra de la resolución número de con</w:t>
      </w:r>
      <w:r w:rsidR="00DA464A">
        <w:rPr>
          <w:rFonts w:ascii="Arial" w:hAnsi="Arial" w:cs="Arial"/>
          <w:bCs/>
          <w:spacing w:val="-3"/>
          <w:sz w:val="24"/>
          <w:szCs w:val="24"/>
          <w:lang w:val="es-ES_tradnl"/>
        </w:rPr>
        <w:t xml:space="preserve">trol </w:t>
      </w:r>
      <w:r w:rsidR="0028160A">
        <w:rPr>
          <w:rFonts w:ascii="Arial" w:hAnsi="Arial" w:cs="Arial"/>
          <w:bCs/>
          <w:color w:val="FF0000"/>
          <w:spacing w:val="-3"/>
          <w:sz w:val="24"/>
          <w:szCs w:val="24"/>
          <w:lang w:val="es-ES_tradnl"/>
        </w:rPr>
        <w:t>**********</w:t>
      </w:r>
      <w:r w:rsidR="00B00DD7" w:rsidRPr="00D61A39">
        <w:rPr>
          <w:rFonts w:ascii="Arial" w:hAnsi="Arial" w:cs="Arial"/>
          <w:bCs/>
          <w:color w:val="FF0000"/>
          <w:spacing w:val="-3"/>
          <w:sz w:val="24"/>
          <w:szCs w:val="24"/>
          <w:lang w:val="es-ES_tradnl"/>
        </w:rPr>
        <w:t xml:space="preserve"> </w:t>
      </w:r>
      <w:r w:rsidR="00B00DD7">
        <w:rPr>
          <w:rFonts w:ascii="Arial" w:hAnsi="Arial" w:cs="Arial"/>
          <w:bCs/>
          <w:spacing w:val="-3"/>
          <w:sz w:val="24"/>
          <w:szCs w:val="24"/>
          <w:lang w:val="es-ES_tradnl"/>
        </w:rPr>
        <w:t xml:space="preserve">de </w:t>
      </w:r>
      <w:r w:rsidR="00DA464A">
        <w:rPr>
          <w:rFonts w:ascii="Arial" w:hAnsi="Arial" w:cs="Arial"/>
          <w:bCs/>
          <w:spacing w:val="-3"/>
          <w:sz w:val="24"/>
          <w:szCs w:val="24"/>
          <w:lang w:val="es-ES_tradnl"/>
        </w:rPr>
        <w:t>diecinueve de agosto</w:t>
      </w:r>
      <w:r w:rsidR="00B00DD7">
        <w:rPr>
          <w:rFonts w:ascii="Arial" w:hAnsi="Arial" w:cs="Arial"/>
          <w:bCs/>
          <w:spacing w:val="-3"/>
          <w:sz w:val="24"/>
          <w:szCs w:val="24"/>
          <w:lang w:val="es-ES_tradnl"/>
        </w:rPr>
        <w:t xml:space="preserve"> de dos mil diecinueve, mediante la cual la Directora de Ingresos y Recaudación de esa misma Subsecretaría le impone una multa en cantidad de $</w:t>
      </w:r>
      <w:r w:rsidR="00E6608F">
        <w:rPr>
          <w:rFonts w:ascii="Arial" w:hAnsi="Arial" w:cs="Arial"/>
          <w:bCs/>
          <w:spacing w:val="-3"/>
          <w:sz w:val="24"/>
          <w:szCs w:val="24"/>
          <w:lang w:val="es-ES_tradnl"/>
        </w:rPr>
        <w:t>4,</w:t>
      </w:r>
      <w:r w:rsidR="00B00DD7">
        <w:rPr>
          <w:rFonts w:ascii="Arial" w:hAnsi="Arial" w:cs="Arial"/>
          <w:bCs/>
          <w:spacing w:val="-3"/>
          <w:sz w:val="24"/>
          <w:szCs w:val="24"/>
          <w:lang w:val="es-ES_tradnl"/>
        </w:rPr>
        <w:t>224.50</w:t>
      </w:r>
      <w:r w:rsidR="00115A6C">
        <w:rPr>
          <w:rFonts w:ascii="Arial" w:hAnsi="Arial" w:cs="Arial"/>
          <w:bCs/>
          <w:spacing w:val="-3"/>
          <w:sz w:val="24"/>
          <w:szCs w:val="24"/>
          <w:lang w:val="es-ES_tradnl"/>
        </w:rPr>
        <w:t xml:space="preserve"> (cuatro mil doscientos veinticuatro pesos 50/100 M.N.)</w:t>
      </w:r>
      <w:r w:rsidR="00B00DD7">
        <w:rPr>
          <w:rFonts w:ascii="Arial" w:hAnsi="Arial" w:cs="Arial"/>
          <w:bCs/>
          <w:spacing w:val="-3"/>
          <w:sz w:val="24"/>
          <w:szCs w:val="24"/>
          <w:lang w:val="es-ES_tradnl"/>
        </w:rPr>
        <w:t xml:space="preserve"> por </w:t>
      </w:r>
      <w:r w:rsidR="00DA464A">
        <w:rPr>
          <w:rFonts w:ascii="Arial" w:hAnsi="Arial" w:cs="Arial"/>
          <w:bCs/>
          <w:spacing w:val="-3"/>
          <w:sz w:val="24"/>
          <w:szCs w:val="24"/>
          <w:lang w:val="es-ES_tradnl"/>
        </w:rPr>
        <w:t>omitir inscribirse al Registro Estatal de Contribuyentes</w:t>
      </w:r>
      <w:r w:rsidR="00143037">
        <w:rPr>
          <w:rFonts w:ascii="Arial" w:hAnsi="Arial" w:cs="Arial"/>
          <w:bCs/>
          <w:spacing w:val="-3"/>
          <w:sz w:val="24"/>
          <w:szCs w:val="24"/>
          <w:lang w:val="es-ES_tradnl"/>
        </w:rPr>
        <w:t>.</w:t>
      </w:r>
    </w:p>
    <w:p w14:paraId="03EE0EC9" w14:textId="77777777" w:rsidR="001C4867" w:rsidRPr="00BB1B71" w:rsidRDefault="00875701" w:rsidP="001C4867">
      <w:pPr>
        <w:spacing w:line="360" w:lineRule="auto"/>
        <w:ind w:firstLine="567"/>
        <w:jc w:val="both"/>
        <w:rPr>
          <w:rFonts w:ascii="Arial" w:hAnsi="Arial" w:cs="Arial"/>
          <w:bCs/>
          <w:spacing w:val="-3"/>
          <w:sz w:val="24"/>
          <w:szCs w:val="24"/>
          <w:lang w:val="es-ES_tradnl"/>
        </w:rPr>
      </w:pPr>
      <w:r w:rsidRPr="00875701">
        <w:rPr>
          <w:rFonts w:ascii="Arial" w:hAnsi="Arial" w:cs="Arial"/>
          <w:b/>
          <w:bCs/>
          <w:spacing w:val="-3"/>
          <w:sz w:val="24"/>
          <w:szCs w:val="24"/>
          <w:lang w:val="es-ES_tradnl"/>
        </w:rPr>
        <w:lastRenderedPageBreak/>
        <w:t>SEGUNDO.-</w:t>
      </w:r>
      <w:r>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 xml:space="preserve">acuerdo de </w:t>
      </w:r>
      <w:r w:rsidR="00067C07">
        <w:rPr>
          <w:rFonts w:ascii="Arial" w:hAnsi="Arial" w:cs="Arial"/>
          <w:bCs/>
          <w:spacing w:val="-3"/>
          <w:sz w:val="24"/>
          <w:szCs w:val="24"/>
          <w:lang w:val="es-ES_tradnl"/>
        </w:rPr>
        <w:t>catorce de diciembre de dos mil veinte</w:t>
      </w:r>
      <w:r w:rsidR="001C4867" w:rsidRPr="00BB1B71">
        <w:rPr>
          <w:rFonts w:ascii="Arial" w:hAnsi="Arial" w:cs="Arial"/>
          <w:bCs/>
          <w:spacing w:val="-3"/>
          <w:sz w:val="24"/>
          <w:szCs w:val="24"/>
          <w:lang w:val="es-ES_tradnl"/>
        </w:rPr>
        <w:t xml:space="preserve">, se admitió a trámite la demanda, ordenándose notificar, emplazar y correr traslado a la autoridad demandada, para que produjera su contestación en los términos de ley. </w:t>
      </w:r>
    </w:p>
    <w:p w14:paraId="5EB9DE74" w14:textId="5B4E12C3" w:rsidR="00F76724" w:rsidRDefault="00875701" w:rsidP="001C4867">
      <w:pPr>
        <w:spacing w:line="360" w:lineRule="auto"/>
        <w:ind w:firstLine="567"/>
        <w:jc w:val="both"/>
        <w:rPr>
          <w:rFonts w:ascii="Arial" w:hAnsi="Arial" w:cs="Arial"/>
          <w:bCs/>
          <w:spacing w:val="-3"/>
          <w:sz w:val="24"/>
          <w:szCs w:val="24"/>
          <w:lang w:val="es-ES_tradnl"/>
        </w:rPr>
      </w:pPr>
      <w:r>
        <w:rPr>
          <w:rFonts w:ascii="Arial" w:hAnsi="Arial" w:cs="Arial"/>
          <w:b/>
          <w:spacing w:val="-3"/>
          <w:sz w:val="24"/>
          <w:szCs w:val="24"/>
          <w:lang w:val="es-ES_tradnl"/>
        </w:rPr>
        <w:t>TERCER</w:t>
      </w:r>
      <w:r w:rsidR="001C4867" w:rsidRPr="00BB1B71">
        <w:rPr>
          <w:rFonts w:ascii="Arial" w:hAnsi="Arial" w:cs="Arial"/>
          <w:b/>
          <w:spacing w:val="-3"/>
          <w:sz w:val="24"/>
          <w:szCs w:val="24"/>
          <w:lang w:val="es-ES_tradnl"/>
        </w:rPr>
        <w:t>O.-</w:t>
      </w:r>
      <w:r w:rsidR="001C4867" w:rsidRPr="00BB1B71">
        <w:rPr>
          <w:rFonts w:ascii="Arial" w:hAnsi="Arial" w:cs="Arial"/>
          <w:bCs/>
          <w:spacing w:val="-3"/>
          <w:sz w:val="24"/>
          <w:szCs w:val="24"/>
          <w:lang w:val="es-ES_tradnl"/>
        </w:rPr>
        <w:t xml:space="preserve"> </w:t>
      </w:r>
      <w:r w:rsidR="00E62D02">
        <w:rPr>
          <w:rFonts w:ascii="Arial" w:hAnsi="Arial" w:cs="Arial"/>
          <w:bCs/>
          <w:spacing w:val="-3"/>
          <w:sz w:val="24"/>
          <w:szCs w:val="24"/>
          <w:lang w:val="es-ES_tradnl"/>
        </w:rPr>
        <w:t>Mediante o</w:t>
      </w:r>
      <w:r w:rsidR="00067C07">
        <w:rPr>
          <w:rFonts w:ascii="Arial" w:hAnsi="Arial" w:cs="Arial"/>
          <w:bCs/>
          <w:spacing w:val="-3"/>
          <w:sz w:val="24"/>
          <w:szCs w:val="24"/>
          <w:lang w:val="es-ES_tradnl"/>
        </w:rPr>
        <w:t xml:space="preserve">ficio número </w:t>
      </w:r>
      <w:r w:rsidR="0028160A">
        <w:rPr>
          <w:rFonts w:ascii="Arial" w:hAnsi="Arial" w:cs="Arial"/>
          <w:bCs/>
          <w:spacing w:val="-3"/>
          <w:sz w:val="24"/>
          <w:szCs w:val="24"/>
          <w:lang w:val="es-ES_tradnl"/>
        </w:rPr>
        <w:t>**********</w:t>
      </w:r>
      <w:r w:rsidR="00067C07">
        <w:rPr>
          <w:rFonts w:ascii="Arial" w:hAnsi="Arial" w:cs="Arial"/>
          <w:bCs/>
          <w:spacing w:val="-3"/>
          <w:sz w:val="24"/>
          <w:szCs w:val="24"/>
          <w:lang w:val="es-ES_tradnl"/>
        </w:rPr>
        <w:t xml:space="preserve"> de cinco de marzo </w:t>
      </w:r>
      <w:r w:rsidR="00E62D02">
        <w:rPr>
          <w:rFonts w:ascii="Arial" w:hAnsi="Arial" w:cs="Arial"/>
          <w:bCs/>
          <w:spacing w:val="-3"/>
          <w:sz w:val="24"/>
          <w:szCs w:val="24"/>
          <w:lang w:val="es-ES_tradnl"/>
        </w:rPr>
        <w:t xml:space="preserve">de dos mil </w:t>
      </w:r>
      <w:r w:rsidR="00F76724">
        <w:rPr>
          <w:rFonts w:ascii="Arial" w:hAnsi="Arial" w:cs="Arial"/>
          <w:bCs/>
          <w:spacing w:val="-3"/>
          <w:sz w:val="24"/>
          <w:szCs w:val="24"/>
          <w:lang w:val="es-ES_tradnl"/>
        </w:rPr>
        <w:t>veint</w:t>
      </w:r>
      <w:r w:rsidR="00067C07">
        <w:rPr>
          <w:rFonts w:ascii="Arial" w:hAnsi="Arial" w:cs="Arial"/>
          <w:bCs/>
          <w:spacing w:val="-3"/>
          <w:sz w:val="24"/>
          <w:szCs w:val="24"/>
          <w:lang w:val="es-ES_tradnl"/>
        </w:rPr>
        <w:t xml:space="preserve">iuno, </w:t>
      </w:r>
      <w:r w:rsidR="00E06889">
        <w:rPr>
          <w:rFonts w:ascii="Arial" w:hAnsi="Arial" w:cs="Arial"/>
          <w:bCs/>
          <w:spacing w:val="-3"/>
          <w:sz w:val="24"/>
          <w:szCs w:val="24"/>
          <w:lang w:val="es-ES_tradnl"/>
        </w:rPr>
        <w:t>el Director</w:t>
      </w:r>
      <w:r w:rsidR="00E62D02">
        <w:rPr>
          <w:rFonts w:ascii="Arial" w:hAnsi="Arial" w:cs="Arial"/>
          <w:bCs/>
          <w:spacing w:val="-3"/>
          <w:sz w:val="24"/>
          <w:szCs w:val="24"/>
          <w:lang w:val="es-ES_tradnl"/>
        </w:rPr>
        <w:t xml:space="preserve"> de lo Contencioso de la Procuraduría Fiscal de la Secretaría de Ingresos de la Secretaría de Finanzas del Poder Ejecutivo del Estado</w:t>
      </w:r>
      <w:r w:rsidR="00EF0E6E">
        <w:rPr>
          <w:rFonts w:ascii="Arial" w:hAnsi="Arial" w:cs="Arial"/>
          <w:bCs/>
          <w:spacing w:val="-3"/>
          <w:sz w:val="24"/>
          <w:szCs w:val="24"/>
          <w:lang w:val="es-ES_tradnl"/>
        </w:rPr>
        <w:t xml:space="preserve"> en representación de la autoridad demandada</w:t>
      </w:r>
      <w:r w:rsidR="00E62D02">
        <w:rPr>
          <w:rFonts w:ascii="Arial" w:hAnsi="Arial" w:cs="Arial"/>
          <w:bCs/>
          <w:spacing w:val="-3"/>
          <w:sz w:val="24"/>
          <w:szCs w:val="24"/>
          <w:lang w:val="es-ES_tradnl"/>
        </w:rPr>
        <w:t>, produjo su contestación de demanda.</w:t>
      </w:r>
    </w:p>
    <w:p w14:paraId="1B97F324" w14:textId="77777777" w:rsidR="00F153C9" w:rsidRPr="00BB1B71" w:rsidRDefault="00F76724" w:rsidP="001C4867">
      <w:pPr>
        <w:spacing w:line="360" w:lineRule="auto"/>
        <w:ind w:firstLine="567"/>
        <w:jc w:val="both"/>
        <w:rPr>
          <w:rFonts w:ascii="Arial" w:hAnsi="Arial" w:cs="Arial"/>
          <w:bCs/>
          <w:spacing w:val="-3"/>
          <w:sz w:val="24"/>
          <w:szCs w:val="24"/>
          <w:lang w:val="es-ES_tradnl"/>
        </w:rPr>
      </w:pPr>
      <w:r w:rsidRPr="00F76724">
        <w:rPr>
          <w:rFonts w:ascii="Arial" w:hAnsi="Arial" w:cs="Arial"/>
          <w:b/>
          <w:bCs/>
          <w:spacing w:val="-3"/>
          <w:sz w:val="24"/>
          <w:szCs w:val="24"/>
          <w:lang w:val="es-ES_tradnl"/>
        </w:rPr>
        <w:t>CUARTO.-</w:t>
      </w:r>
      <w:r w:rsidR="00E62D02">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auto</w:t>
      </w:r>
      <w:r w:rsidR="001C4867" w:rsidRPr="00BB1B71">
        <w:rPr>
          <w:rFonts w:ascii="Arial" w:hAnsi="Arial" w:cs="Arial"/>
          <w:bCs/>
          <w:spacing w:val="-3"/>
          <w:sz w:val="24"/>
          <w:szCs w:val="24"/>
          <w:lang w:val="es-ES_tradnl"/>
        </w:rPr>
        <w:t xml:space="preserve"> de fecha </w:t>
      </w:r>
      <w:r w:rsidR="00E06889">
        <w:rPr>
          <w:rFonts w:ascii="Arial" w:hAnsi="Arial" w:cs="Arial"/>
          <w:bCs/>
          <w:spacing w:val="-3"/>
          <w:sz w:val="24"/>
          <w:szCs w:val="24"/>
          <w:lang w:val="es-ES_tradnl"/>
        </w:rPr>
        <w:t xml:space="preserve">veinte de septiembre </w:t>
      </w:r>
      <w:r w:rsidR="00A84402">
        <w:rPr>
          <w:rFonts w:ascii="Arial" w:hAnsi="Arial" w:cs="Arial"/>
          <w:bCs/>
          <w:spacing w:val="-3"/>
          <w:sz w:val="24"/>
          <w:szCs w:val="24"/>
          <w:lang w:val="es-ES_tradnl"/>
        </w:rPr>
        <w:t>d</w:t>
      </w:r>
      <w:r>
        <w:rPr>
          <w:rFonts w:ascii="Arial" w:hAnsi="Arial" w:cs="Arial"/>
          <w:bCs/>
          <w:spacing w:val="-3"/>
          <w:sz w:val="24"/>
          <w:szCs w:val="24"/>
          <w:lang w:val="es-ES_tradnl"/>
        </w:rPr>
        <w:t xml:space="preserve">e dos mil </w:t>
      </w:r>
      <w:r w:rsidR="00EF0E6E">
        <w:rPr>
          <w:rFonts w:ascii="Arial" w:hAnsi="Arial" w:cs="Arial"/>
          <w:bCs/>
          <w:spacing w:val="-3"/>
          <w:sz w:val="24"/>
          <w:szCs w:val="24"/>
          <w:lang w:val="es-ES_tradnl"/>
        </w:rPr>
        <w:t>veint</w:t>
      </w:r>
      <w:r w:rsidR="00E06889">
        <w:rPr>
          <w:rFonts w:ascii="Arial" w:hAnsi="Arial" w:cs="Arial"/>
          <w:bCs/>
          <w:spacing w:val="-3"/>
          <w:sz w:val="24"/>
          <w:szCs w:val="24"/>
          <w:lang w:val="es-ES_tradnl"/>
        </w:rPr>
        <w:t>iuno</w:t>
      </w:r>
      <w:r w:rsidR="00E62D02">
        <w:rPr>
          <w:rFonts w:ascii="Arial" w:hAnsi="Arial" w:cs="Arial"/>
          <w:bCs/>
          <w:spacing w:val="-3"/>
          <w:sz w:val="24"/>
          <w:szCs w:val="24"/>
          <w:lang w:val="es-ES_tradnl"/>
        </w:rPr>
        <w:t xml:space="preserve">, se </w:t>
      </w:r>
      <w:r w:rsidR="001C4867" w:rsidRPr="00BB1B71">
        <w:rPr>
          <w:rFonts w:ascii="Arial" w:hAnsi="Arial" w:cs="Arial"/>
          <w:bCs/>
          <w:spacing w:val="-3"/>
          <w:sz w:val="24"/>
          <w:szCs w:val="24"/>
          <w:lang w:val="es-ES_tradnl"/>
        </w:rPr>
        <w:t>tuvo</w:t>
      </w:r>
      <w:r w:rsidR="00E46AFE">
        <w:rPr>
          <w:rFonts w:ascii="Arial" w:hAnsi="Arial" w:cs="Arial"/>
          <w:bCs/>
          <w:spacing w:val="-3"/>
          <w:sz w:val="24"/>
          <w:szCs w:val="24"/>
          <w:lang w:val="es-ES_tradnl"/>
        </w:rPr>
        <w:t xml:space="preserve"> por contestada</w:t>
      </w:r>
      <w:r w:rsidR="001C4867" w:rsidRPr="00BB1B71">
        <w:rPr>
          <w:rFonts w:ascii="Arial" w:hAnsi="Arial" w:cs="Arial"/>
          <w:bCs/>
          <w:spacing w:val="-3"/>
          <w:sz w:val="24"/>
          <w:szCs w:val="24"/>
          <w:lang w:val="es-ES_tradnl"/>
        </w:rPr>
        <w:t xml:space="preserve"> la demanda</w:t>
      </w:r>
      <w:r w:rsidR="00E46AFE">
        <w:rPr>
          <w:rFonts w:ascii="Arial" w:hAnsi="Arial" w:cs="Arial"/>
          <w:bCs/>
          <w:spacing w:val="-3"/>
          <w:sz w:val="24"/>
          <w:szCs w:val="24"/>
          <w:lang w:val="es-ES_tradnl"/>
        </w:rPr>
        <w:t xml:space="preserve"> en los términos en que se</w:t>
      </w:r>
      <w:r w:rsidR="001C4867" w:rsidRPr="00BB1B71">
        <w:rPr>
          <w:rFonts w:ascii="Arial" w:hAnsi="Arial" w:cs="Arial"/>
          <w:bCs/>
          <w:spacing w:val="-3"/>
          <w:sz w:val="24"/>
          <w:szCs w:val="24"/>
          <w:lang w:val="es-ES_tradnl"/>
        </w:rPr>
        <w:t xml:space="preserve"> hizo, y se tuvieron por admitidas las pruebas que ofreció.</w:t>
      </w:r>
    </w:p>
    <w:p w14:paraId="2F576E3E" w14:textId="77777777" w:rsidR="00B35954" w:rsidRDefault="001F4C6A" w:rsidP="001C4867">
      <w:pPr>
        <w:spacing w:line="360" w:lineRule="auto"/>
        <w:ind w:firstLine="567"/>
        <w:jc w:val="both"/>
        <w:rPr>
          <w:rFonts w:ascii="Arial" w:hAnsi="Arial" w:cs="Arial"/>
          <w:bCs/>
          <w:spacing w:val="-3"/>
          <w:sz w:val="24"/>
          <w:szCs w:val="24"/>
          <w:lang w:val="es-ES_tradnl"/>
        </w:rPr>
      </w:pPr>
      <w:r>
        <w:rPr>
          <w:rFonts w:ascii="Arial" w:hAnsi="Arial" w:cs="Arial"/>
          <w:b/>
          <w:spacing w:val="-3"/>
          <w:sz w:val="24"/>
          <w:szCs w:val="24"/>
          <w:lang w:val="es-ES_tradnl"/>
        </w:rPr>
        <w:t>QUINTO</w:t>
      </w:r>
      <w:r w:rsidR="001C4867" w:rsidRPr="00BB1B71">
        <w:rPr>
          <w:rFonts w:ascii="Arial" w:hAnsi="Arial" w:cs="Arial"/>
          <w:b/>
          <w:spacing w:val="-3"/>
          <w:sz w:val="24"/>
          <w:szCs w:val="24"/>
          <w:lang w:val="es-ES_tradnl"/>
        </w:rPr>
        <w:t>.-</w:t>
      </w:r>
      <w:r w:rsidR="001C4867" w:rsidRPr="00BB1B71">
        <w:rPr>
          <w:rFonts w:ascii="Arial" w:hAnsi="Arial" w:cs="Arial"/>
          <w:bCs/>
          <w:spacing w:val="-3"/>
          <w:sz w:val="24"/>
          <w:szCs w:val="24"/>
          <w:lang w:val="es-ES_tradnl"/>
        </w:rPr>
        <w:t xml:space="preserve"> </w:t>
      </w:r>
      <w:r w:rsidR="002D7387">
        <w:rPr>
          <w:rFonts w:ascii="Arial" w:hAnsi="Arial" w:cs="Arial"/>
          <w:bCs/>
          <w:spacing w:val="-3"/>
          <w:sz w:val="24"/>
          <w:szCs w:val="24"/>
          <w:lang w:val="es-ES_tradnl"/>
        </w:rPr>
        <w:t xml:space="preserve">Mediante acta levantada el </w:t>
      </w:r>
      <w:r w:rsidR="00E06889">
        <w:rPr>
          <w:rFonts w:ascii="Arial" w:hAnsi="Arial" w:cs="Arial"/>
          <w:bCs/>
          <w:spacing w:val="-3"/>
          <w:sz w:val="24"/>
          <w:szCs w:val="24"/>
          <w:lang w:val="es-ES_tradnl"/>
        </w:rPr>
        <w:t xml:space="preserve">veintiséis de noviembre </w:t>
      </w:r>
      <w:r w:rsidR="00F667CC">
        <w:rPr>
          <w:rFonts w:ascii="Arial" w:hAnsi="Arial" w:cs="Arial"/>
          <w:bCs/>
          <w:spacing w:val="-3"/>
          <w:sz w:val="24"/>
          <w:szCs w:val="24"/>
          <w:lang w:val="es-ES_tradnl"/>
        </w:rPr>
        <w:t xml:space="preserve">de dos mil </w:t>
      </w:r>
      <w:r w:rsidR="002D7387">
        <w:rPr>
          <w:rFonts w:ascii="Arial" w:hAnsi="Arial" w:cs="Arial"/>
          <w:bCs/>
          <w:spacing w:val="-3"/>
          <w:sz w:val="24"/>
          <w:szCs w:val="24"/>
          <w:lang w:val="es-ES_tradnl"/>
        </w:rPr>
        <w:t>veinti</w:t>
      </w:r>
      <w:r w:rsidR="00E06889">
        <w:rPr>
          <w:rFonts w:ascii="Arial" w:hAnsi="Arial" w:cs="Arial"/>
          <w:bCs/>
          <w:spacing w:val="-3"/>
          <w:sz w:val="24"/>
          <w:szCs w:val="24"/>
          <w:lang w:val="es-ES_tradnl"/>
        </w:rPr>
        <w:t>uno</w:t>
      </w:r>
      <w:r w:rsidR="00F667CC">
        <w:rPr>
          <w:rFonts w:ascii="Arial" w:hAnsi="Arial" w:cs="Arial"/>
          <w:bCs/>
          <w:spacing w:val="-3"/>
          <w:sz w:val="24"/>
          <w:szCs w:val="24"/>
          <w:lang w:val="es-ES_tradnl"/>
        </w:rPr>
        <w:t xml:space="preserve"> se celebró</w:t>
      </w:r>
      <w:r w:rsidR="00B07C1F">
        <w:rPr>
          <w:rFonts w:ascii="Arial" w:hAnsi="Arial" w:cs="Arial"/>
          <w:bCs/>
          <w:spacing w:val="-3"/>
          <w:sz w:val="24"/>
          <w:szCs w:val="24"/>
          <w:lang w:val="es-ES_tradnl"/>
        </w:rPr>
        <w:t xml:space="preserve"> </w:t>
      </w:r>
      <w:r w:rsidR="00F667CC">
        <w:rPr>
          <w:rFonts w:ascii="Arial" w:hAnsi="Arial" w:cs="Arial"/>
          <w:bCs/>
          <w:spacing w:val="-3"/>
          <w:sz w:val="24"/>
          <w:szCs w:val="24"/>
          <w:lang w:val="es-ES_tradnl"/>
        </w:rPr>
        <w:t>la audi</w:t>
      </w:r>
      <w:r w:rsidR="00B07C1F">
        <w:rPr>
          <w:rFonts w:ascii="Arial" w:hAnsi="Arial" w:cs="Arial"/>
          <w:bCs/>
          <w:spacing w:val="-3"/>
          <w:sz w:val="24"/>
          <w:szCs w:val="24"/>
          <w:lang w:val="es-ES_tradnl"/>
        </w:rPr>
        <w:t>e</w:t>
      </w:r>
      <w:r w:rsidR="00F667CC">
        <w:rPr>
          <w:rFonts w:ascii="Arial" w:hAnsi="Arial" w:cs="Arial"/>
          <w:bCs/>
          <w:spacing w:val="-3"/>
          <w:sz w:val="24"/>
          <w:szCs w:val="24"/>
          <w:lang w:val="es-ES_tradnl"/>
        </w:rPr>
        <w:t>ncia</w:t>
      </w:r>
      <w:r w:rsidR="00B07C1F">
        <w:rPr>
          <w:rFonts w:ascii="Arial" w:hAnsi="Arial" w:cs="Arial"/>
          <w:bCs/>
          <w:spacing w:val="-3"/>
          <w:sz w:val="24"/>
          <w:szCs w:val="24"/>
          <w:lang w:val="es-ES_tradnl"/>
        </w:rPr>
        <w:t xml:space="preserve"> fi</w:t>
      </w:r>
      <w:r w:rsidR="00F667CC">
        <w:rPr>
          <w:rFonts w:ascii="Arial" w:hAnsi="Arial" w:cs="Arial"/>
          <w:bCs/>
          <w:spacing w:val="-3"/>
          <w:sz w:val="24"/>
          <w:szCs w:val="24"/>
          <w:lang w:val="es-ES_tradnl"/>
        </w:rPr>
        <w:t>n</w:t>
      </w:r>
      <w:r w:rsidR="00B07C1F">
        <w:rPr>
          <w:rFonts w:ascii="Arial" w:hAnsi="Arial" w:cs="Arial"/>
          <w:bCs/>
          <w:spacing w:val="-3"/>
          <w:sz w:val="24"/>
          <w:szCs w:val="24"/>
          <w:lang w:val="es-ES_tradnl"/>
        </w:rPr>
        <w:t>al en el juicio, por lo que se emite la presente sen</w:t>
      </w:r>
      <w:r w:rsidR="00F667CC">
        <w:rPr>
          <w:rFonts w:ascii="Arial" w:hAnsi="Arial" w:cs="Arial"/>
          <w:bCs/>
          <w:spacing w:val="-3"/>
          <w:sz w:val="24"/>
          <w:szCs w:val="24"/>
          <w:lang w:val="es-ES_tradnl"/>
        </w:rPr>
        <w:t>ten</w:t>
      </w:r>
      <w:r w:rsidR="00B07C1F">
        <w:rPr>
          <w:rFonts w:ascii="Arial" w:hAnsi="Arial" w:cs="Arial"/>
          <w:bCs/>
          <w:spacing w:val="-3"/>
          <w:sz w:val="24"/>
          <w:szCs w:val="24"/>
          <w:lang w:val="es-ES_tradnl"/>
        </w:rPr>
        <w:t>cia, y;</w:t>
      </w:r>
      <w:r w:rsidR="00556738">
        <w:rPr>
          <w:rFonts w:ascii="Arial" w:hAnsi="Arial" w:cs="Arial"/>
          <w:bCs/>
          <w:spacing w:val="-3"/>
          <w:sz w:val="24"/>
          <w:szCs w:val="24"/>
          <w:lang w:val="es-ES_tradnl"/>
        </w:rPr>
        <w:t xml:space="preserve"> </w:t>
      </w:r>
    </w:p>
    <w:p w14:paraId="482D02E9" w14:textId="77777777" w:rsidR="001C4867" w:rsidRPr="00BB1B71" w:rsidRDefault="001C4867" w:rsidP="001C4867">
      <w:pPr>
        <w:spacing w:line="360" w:lineRule="auto"/>
        <w:jc w:val="both"/>
        <w:rPr>
          <w:rFonts w:ascii="Arial" w:hAnsi="Arial" w:cs="Arial"/>
          <w:b/>
          <w:spacing w:val="-3"/>
          <w:sz w:val="24"/>
          <w:szCs w:val="24"/>
          <w:lang w:val="es-ES_tradnl"/>
        </w:rPr>
      </w:pP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t>C O N S I D E R A N D O:</w:t>
      </w:r>
    </w:p>
    <w:p w14:paraId="01D57BF1" w14:textId="77777777" w:rsidR="001B4717" w:rsidRPr="001B4717" w:rsidRDefault="001C486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BB1B71">
        <w:rPr>
          <w:rFonts w:ascii="Arial" w:hAnsi="Arial" w:cs="Arial"/>
          <w:b/>
          <w:sz w:val="24"/>
          <w:szCs w:val="24"/>
        </w:rPr>
        <w:t xml:space="preserve">PRIMERO. </w:t>
      </w:r>
      <w:r w:rsidR="001B4717" w:rsidRPr="001B4717">
        <w:rPr>
          <w:rFonts w:ascii="Arial" w:eastAsia="Arial" w:hAnsi="Arial" w:cs="Arial"/>
          <w:b/>
          <w:color w:val="000000"/>
          <w:sz w:val="24"/>
          <w:szCs w:val="24"/>
        </w:rPr>
        <w:t xml:space="preserve">Competencia. </w:t>
      </w:r>
      <w:r w:rsidR="001B4717" w:rsidRPr="001B4717">
        <w:rPr>
          <w:rFonts w:ascii="Arial" w:eastAsia="Arial" w:hAnsi="Arial" w:cs="Arial"/>
          <w:color w:val="000000"/>
          <w:sz w:val="24"/>
          <w:szCs w:val="24"/>
        </w:rPr>
        <w:t xml:space="preserve">Esta Sexta Sala Unitaria del Tribunal de Justicia Administrativa del Estado de Oaxaca, </w:t>
      </w:r>
      <w:r w:rsidR="001B4717" w:rsidRPr="001B4717">
        <w:rPr>
          <w:rFonts w:ascii="Arial" w:eastAsia="Arial" w:hAnsi="Arial" w:cs="Arial"/>
          <w:b/>
          <w:color w:val="000000"/>
          <w:sz w:val="24"/>
          <w:szCs w:val="24"/>
        </w:rPr>
        <w:t>es competente</w:t>
      </w:r>
      <w:r w:rsidR="001B4717" w:rsidRPr="001B4717">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7600711D" w14:textId="77777777" w:rsidR="001C4867" w:rsidRDefault="001C4867" w:rsidP="001C4867">
      <w:pPr>
        <w:spacing w:line="360" w:lineRule="auto"/>
        <w:ind w:firstLine="567"/>
        <w:jc w:val="both"/>
        <w:rPr>
          <w:rFonts w:ascii="Arial" w:hAnsi="Arial" w:cs="Arial"/>
          <w:bCs/>
          <w:snapToGrid w:val="0"/>
          <w:sz w:val="24"/>
          <w:szCs w:val="24"/>
        </w:rPr>
      </w:pPr>
      <w:r w:rsidRPr="00BB1B71">
        <w:rPr>
          <w:rFonts w:ascii="Arial" w:hAnsi="Arial" w:cs="Arial"/>
          <w:b/>
          <w:snapToGrid w:val="0"/>
          <w:sz w:val="24"/>
          <w:szCs w:val="24"/>
        </w:rPr>
        <w:t xml:space="preserve">SEGUNDO. </w:t>
      </w:r>
      <w:r w:rsidR="00EC491A">
        <w:rPr>
          <w:rFonts w:ascii="Arial" w:hAnsi="Arial" w:cs="Arial"/>
          <w:b/>
          <w:snapToGrid w:val="0"/>
          <w:sz w:val="24"/>
          <w:szCs w:val="24"/>
        </w:rPr>
        <w:t xml:space="preserve">Personalidad. </w:t>
      </w:r>
      <w:r w:rsidRPr="00BB1B71">
        <w:rPr>
          <w:rFonts w:ascii="Arial" w:hAnsi="Arial" w:cs="Arial"/>
          <w:bCs/>
          <w:snapToGrid w:val="0"/>
          <w:sz w:val="24"/>
          <w:szCs w:val="24"/>
        </w:rPr>
        <w:t>La personalidad de las partes quedó acr</w:t>
      </w:r>
      <w:r w:rsidR="00B50177">
        <w:rPr>
          <w:rFonts w:ascii="Arial" w:hAnsi="Arial" w:cs="Arial"/>
          <w:bCs/>
          <w:snapToGrid w:val="0"/>
          <w:sz w:val="24"/>
          <w:szCs w:val="24"/>
        </w:rPr>
        <w:t>editada en autos en términos de los</w:t>
      </w:r>
      <w:r w:rsidRPr="00BB1B71">
        <w:rPr>
          <w:rFonts w:ascii="Arial" w:hAnsi="Arial" w:cs="Arial"/>
          <w:bCs/>
          <w:snapToGrid w:val="0"/>
          <w:sz w:val="24"/>
          <w:szCs w:val="24"/>
        </w:rPr>
        <w:t xml:space="preserve"> artículo</w:t>
      </w:r>
      <w:r w:rsidR="00B50177">
        <w:rPr>
          <w:rFonts w:ascii="Arial" w:hAnsi="Arial" w:cs="Arial"/>
          <w:bCs/>
          <w:snapToGrid w:val="0"/>
          <w:sz w:val="24"/>
          <w:szCs w:val="24"/>
        </w:rPr>
        <w:t>s</w:t>
      </w:r>
      <w:r w:rsidRPr="00BB1B71">
        <w:rPr>
          <w:rFonts w:ascii="Arial" w:hAnsi="Arial" w:cs="Arial"/>
          <w:bCs/>
          <w:snapToGrid w:val="0"/>
          <w:sz w:val="24"/>
          <w:szCs w:val="24"/>
        </w:rPr>
        <w:t xml:space="preserve"> 148 y 151 de la Ley de Procedimiento y Justicia Administrativa para el Estado de Oaxaca</w:t>
      </w:r>
      <w:r w:rsidR="00F02205">
        <w:rPr>
          <w:rFonts w:ascii="Arial" w:hAnsi="Arial" w:cs="Arial"/>
          <w:bCs/>
          <w:snapToGrid w:val="0"/>
          <w:sz w:val="24"/>
          <w:szCs w:val="24"/>
        </w:rPr>
        <w:t>.</w:t>
      </w:r>
    </w:p>
    <w:p w14:paraId="0A0057F5" w14:textId="77777777" w:rsidR="002B1AB3" w:rsidRPr="002B1AB3" w:rsidRDefault="00EC491A" w:rsidP="002B1AB3">
      <w:pPr>
        <w:spacing w:after="160" w:line="360" w:lineRule="auto"/>
        <w:ind w:firstLine="567"/>
        <w:jc w:val="both"/>
        <w:rPr>
          <w:rFonts w:ascii="Arial" w:eastAsia="Times New Roman" w:hAnsi="Arial" w:cs="Arial"/>
          <w:sz w:val="24"/>
          <w:szCs w:val="24"/>
          <w:lang w:val="es-ES_tradnl" w:eastAsia="es-ES"/>
        </w:rPr>
      </w:pPr>
      <w:r w:rsidRPr="00EC491A">
        <w:rPr>
          <w:rFonts w:ascii="Arial" w:eastAsia="Times New Roman" w:hAnsi="Arial" w:cs="Arial"/>
          <w:b/>
          <w:sz w:val="24"/>
          <w:szCs w:val="24"/>
          <w:lang w:val="es-ES_tradnl" w:eastAsia="es-ES"/>
        </w:rPr>
        <w:t>TERCERO.</w:t>
      </w:r>
      <w:r w:rsidR="002B1AB3">
        <w:rPr>
          <w:rFonts w:ascii="Arial" w:eastAsia="Times New Roman" w:hAnsi="Arial" w:cs="Arial"/>
          <w:b/>
          <w:sz w:val="24"/>
          <w:szCs w:val="24"/>
          <w:lang w:val="es-ES_tradnl" w:eastAsia="es-ES"/>
        </w:rPr>
        <w:t xml:space="preserve"> Existencia de la resolución Impugnada. </w:t>
      </w:r>
      <w:r w:rsidR="002B1AB3" w:rsidRPr="002B1AB3">
        <w:rPr>
          <w:rFonts w:ascii="Arial" w:eastAsia="Times New Roman" w:hAnsi="Arial" w:cs="Arial"/>
          <w:sz w:val="24"/>
          <w:szCs w:val="24"/>
          <w:lang w:val="es-ES_tradnl" w:eastAsia="es-ES"/>
        </w:rPr>
        <w:t xml:space="preserve">La existencia de la resolución impugnada quedó debidamente acreditada en autos en los términos de los artículos </w:t>
      </w:r>
      <w:r w:rsidR="00D25E2F">
        <w:rPr>
          <w:rFonts w:ascii="Arial" w:eastAsia="Times New Roman" w:hAnsi="Arial" w:cs="Arial"/>
          <w:sz w:val="24"/>
          <w:szCs w:val="24"/>
          <w:lang w:val="es-ES_tradnl" w:eastAsia="es-ES"/>
        </w:rPr>
        <w:t>286, 316 y 317 del Código</w:t>
      </w:r>
      <w:r w:rsidR="002B1AB3" w:rsidRPr="002B1AB3">
        <w:rPr>
          <w:rFonts w:ascii="Arial" w:eastAsia="Times New Roman" w:hAnsi="Arial" w:cs="Arial"/>
          <w:sz w:val="24"/>
          <w:szCs w:val="24"/>
          <w:lang w:val="es-ES_tradnl" w:eastAsia="es-ES"/>
        </w:rPr>
        <w:t xml:space="preserve"> de Procedimientos Civiles</w:t>
      </w:r>
      <w:r w:rsidR="00D25E2F">
        <w:rPr>
          <w:rFonts w:ascii="Arial" w:eastAsia="Times New Roman" w:hAnsi="Arial" w:cs="Arial"/>
          <w:sz w:val="24"/>
          <w:szCs w:val="24"/>
          <w:lang w:val="es-ES_tradnl" w:eastAsia="es-ES"/>
        </w:rPr>
        <w:t xml:space="preserve"> para el Estado de Oaxaca</w:t>
      </w:r>
      <w:r w:rsidR="002B1AB3" w:rsidRPr="002B1AB3">
        <w:rPr>
          <w:rFonts w:ascii="Arial" w:eastAsia="Times New Roman" w:hAnsi="Arial" w:cs="Arial"/>
          <w:sz w:val="24"/>
          <w:szCs w:val="24"/>
          <w:lang w:val="es-ES_tradnl" w:eastAsia="es-ES"/>
        </w:rPr>
        <w:t>, de aplicación supletoria</w:t>
      </w:r>
      <w:r w:rsidR="00D25E2F">
        <w:rPr>
          <w:rFonts w:ascii="Arial" w:eastAsia="Times New Roman" w:hAnsi="Arial" w:cs="Arial"/>
          <w:sz w:val="24"/>
          <w:szCs w:val="24"/>
          <w:lang w:val="es-ES_tradnl" w:eastAsia="es-ES"/>
        </w:rPr>
        <w:t xml:space="preserve"> en términos del artículo 3 de la Ley de Procedimiento y Justicia Administrativa para e</w:t>
      </w:r>
      <w:r w:rsidR="00D17957">
        <w:rPr>
          <w:rFonts w:ascii="Arial" w:eastAsia="Times New Roman" w:hAnsi="Arial" w:cs="Arial"/>
          <w:sz w:val="24"/>
          <w:szCs w:val="24"/>
          <w:lang w:val="es-ES_tradnl" w:eastAsia="es-ES"/>
        </w:rPr>
        <w:t>l</w:t>
      </w:r>
      <w:r w:rsidR="00D25E2F">
        <w:rPr>
          <w:rFonts w:ascii="Arial" w:eastAsia="Times New Roman" w:hAnsi="Arial" w:cs="Arial"/>
          <w:sz w:val="24"/>
          <w:szCs w:val="24"/>
          <w:lang w:val="es-ES_tradnl" w:eastAsia="es-ES"/>
        </w:rPr>
        <w:t xml:space="preserve"> Estado de Oaxaca</w:t>
      </w:r>
      <w:r w:rsidR="002B1AB3" w:rsidRPr="002B1AB3">
        <w:rPr>
          <w:rFonts w:ascii="Arial" w:eastAsia="Times New Roman" w:hAnsi="Arial" w:cs="Arial"/>
          <w:sz w:val="24"/>
          <w:szCs w:val="24"/>
          <w:lang w:val="es-ES_tradnl" w:eastAsia="es-ES"/>
        </w:rPr>
        <w:t>, con la exhibición del oficio que la contiene por parte de la actora y con el reconocimiento de su emisión por parte de la autoridad demandada.</w:t>
      </w:r>
    </w:p>
    <w:p w14:paraId="4A3B0421" w14:textId="77777777" w:rsidR="00EC491A" w:rsidRPr="00EC491A" w:rsidRDefault="002B1AB3" w:rsidP="00EC491A">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lastRenderedPageBreak/>
        <w:t>CUARTO.</w:t>
      </w:r>
      <w:r w:rsidR="00EC491A" w:rsidRPr="00EC491A">
        <w:rPr>
          <w:rFonts w:ascii="Arial" w:eastAsia="Times New Roman" w:hAnsi="Arial" w:cs="Arial"/>
          <w:b/>
          <w:sz w:val="24"/>
          <w:szCs w:val="24"/>
          <w:lang w:val="es-ES_tradnl" w:eastAsia="es-ES"/>
        </w:rPr>
        <w:t xml:space="preserve"> Causales de</w:t>
      </w:r>
      <w:r w:rsidR="00EC491A" w:rsidRPr="00EC491A">
        <w:rPr>
          <w:rFonts w:ascii="Arial" w:eastAsia="Times New Roman" w:hAnsi="Arial" w:cs="Arial"/>
          <w:sz w:val="24"/>
          <w:szCs w:val="24"/>
          <w:lang w:val="es-ES_tradnl" w:eastAsia="es-ES"/>
        </w:rPr>
        <w:t xml:space="preserve"> </w:t>
      </w:r>
      <w:r w:rsidR="00EC491A" w:rsidRPr="00EC491A">
        <w:rPr>
          <w:rFonts w:ascii="Arial" w:eastAsia="Times New Roman" w:hAnsi="Arial" w:cs="Arial"/>
          <w:b/>
          <w:sz w:val="24"/>
          <w:szCs w:val="24"/>
          <w:lang w:val="es-ES_tradnl" w:eastAsia="es-ES"/>
        </w:rPr>
        <w:t xml:space="preserve">improcedencia y sobreseimiento. </w:t>
      </w:r>
      <w:r w:rsidR="00EC491A" w:rsidRPr="00EC491A">
        <w:rPr>
          <w:rFonts w:ascii="Arial" w:eastAsia="Times New Roman" w:hAnsi="Arial" w:cs="Arial"/>
          <w:sz w:val="24"/>
          <w:szCs w:val="24"/>
          <w:lang w:val="es-ES_tradnl" w:eastAsia="es-ES"/>
        </w:rPr>
        <w:t>Por ser</w:t>
      </w:r>
      <w:r w:rsidR="00EC491A" w:rsidRPr="00EC491A">
        <w:rPr>
          <w:rFonts w:ascii="Arial" w:eastAsia="Times New Roman" w:hAnsi="Arial" w:cs="Arial"/>
          <w:b/>
          <w:sz w:val="24"/>
          <w:szCs w:val="24"/>
          <w:lang w:val="es-ES_tradnl" w:eastAsia="es-ES"/>
        </w:rPr>
        <w:t xml:space="preserve"> </w:t>
      </w:r>
      <w:r w:rsidR="00EC491A" w:rsidRPr="00EC491A">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EC491A" w:rsidRPr="00EC491A">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00EC491A" w:rsidRPr="00EC491A">
        <w:rPr>
          <w:rFonts w:ascii="Arial" w:eastAsia="Times New Roman" w:hAnsi="Arial" w:cs="Arial"/>
          <w:sz w:val="24"/>
          <w:szCs w:val="24"/>
          <w:lang w:val="es-ES_tradnl" w:eastAsia="es-ES"/>
        </w:rPr>
        <w:t xml:space="preserve"> de la Ley de Procedimiento y Justici</w:t>
      </w:r>
      <w:r w:rsidR="00EC491A">
        <w:rPr>
          <w:rFonts w:ascii="Arial" w:eastAsia="Times New Roman" w:hAnsi="Arial" w:cs="Arial"/>
          <w:sz w:val="24"/>
          <w:szCs w:val="24"/>
          <w:lang w:val="es-ES_tradnl" w:eastAsia="es-ES"/>
        </w:rPr>
        <w:t>a Administrativa para el Estado, se procede al estudio de las mismas.</w:t>
      </w:r>
    </w:p>
    <w:p w14:paraId="551A53AF" w14:textId="77777777" w:rsidR="00C62196" w:rsidRPr="00BB1B71" w:rsidRDefault="009F6DBC" w:rsidP="00C62196">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Advirtiendo esta Juzgadora del análisis que se realiza al expediente en que se actúa, que </w:t>
      </w:r>
      <w:r w:rsidR="002D7387">
        <w:rPr>
          <w:rFonts w:ascii="Arial" w:hAnsi="Arial" w:cs="Arial"/>
          <w:bCs/>
          <w:snapToGrid w:val="0"/>
          <w:sz w:val="24"/>
          <w:szCs w:val="24"/>
        </w:rPr>
        <w:t xml:space="preserve">no existe </w:t>
      </w:r>
      <w:r>
        <w:rPr>
          <w:rFonts w:ascii="Arial" w:hAnsi="Arial" w:cs="Arial"/>
          <w:bCs/>
          <w:snapToGrid w:val="0"/>
          <w:sz w:val="24"/>
          <w:szCs w:val="24"/>
        </w:rPr>
        <w:t>causal de improcedencia</w:t>
      </w:r>
      <w:r w:rsidR="002D7387">
        <w:rPr>
          <w:rFonts w:ascii="Arial" w:hAnsi="Arial" w:cs="Arial"/>
          <w:bCs/>
          <w:snapToGrid w:val="0"/>
          <w:sz w:val="24"/>
          <w:szCs w:val="24"/>
        </w:rPr>
        <w:t xml:space="preserve"> alguna que impida el análisis del asunto</w:t>
      </w:r>
      <w:r w:rsidR="002C089D">
        <w:rPr>
          <w:rFonts w:ascii="Arial" w:hAnsi="Arial" w:cs="Arial"/>
          <w:bCs/>
          <w:snapToGrid w:val="0"/>
          <w:sz w:val="24"/>
          <w:szCs w:val="24"/>
        </w:rPr>
        <w:t xml:space="preserve">, en consecuencia </w:t>
      </w:r>
      <w:r w:rsidR="002C089D" w:rsidRPr="002C089D">
        <w:rPr>
          <w:rFonts w:ascii="Arial" w:hAnsi="Arial" w:cs="Arial"/>
          <w:b/>
          <w:bCs/>
          <w:snapToGrid w:val="0"/>
          <w:sz w:val="24"/>
          <w:szCs w:val="24"/>
        </w:rPr>
        <w:t>NO SE SOBRESEE EL JUICIO</w:t>
      </w:r>
      <w:r w:rsidR="002C089D">
        <w:rPr>
          <w:rFonts w:ascii="Arial" w:hAnsi="Arial" w:cs="Arial"/>
          <w:bCs/>
          <w:snapToGrid w:val="0"/>
          <w:sz w:val="24"/>
          <w:szCs w:val="24"/>
        </w:rPr>
        <w:t>.</w:t>
      </w:r>
    </w:p>
    <w:p w14:paraId="6E09376A" w14:textId="77777777" w:rsidR="002B1AB3" w:rsidRDefault="00D17957" w:rsidP="001B4717">
      <w:pPr>
        <w:spacing w:line="360" w:lineRule="auto"/>
        <w:ind w:right="51" w:firstLine="567"/>
        <w:jc w:val="both"/>
        <w:rPr>
          <w:rFonts w:ascii="Arial" w:eastAsia="Arial" w:hAnsi="Arial" w:cs="Arial"/>
          <w:color w:val="000000"/>
          <w:sz w:val="24"/>
          <w:szCs w:val="24"/>
        </w:rPr>
      </w:pPr>
      <w:r>
        <w:rPr>
          <w:rFonts w:ascii="Arial" w:hAnsi="Arial" w:cs="Arial"/>
          <w:b/>
          <w:snapToGrid w:val="0"/>
          <w:sz w:val="24"/>
          <w:szCs w:val="24"/>
        </w:rPr>
        <w:t>QUINT</w:t>
      </w:r>
      <w:r w:rsidR="001C4867" w:rsidRPr="00BB1B71">
        <w:rPr>
          <w:rFonts w:ascii="Arial" w:hAnsi="Arial" w:cs="Arial"/>
          <w:b/>
          <w:snapToGrid w:val="0"/>
          <w:sz w:val="24"/>
          <w:szCs w:val="24"/>
        </w:rPr>
        <w:t>O.</w:t>
      </w:r>
      <w:r w:rsidR="001C4867" w:rsidRPr="00BB1B71">
        <w:rPr>
          <w:rFonts w:ascii="Arial" w:hAnsi="Arial" w:cs="Arial"/>
          <w:bCs/>
          <w:snapToGrid w:val="0"/>
          <w:sz w:val="24"/>
          <w:szCs w:val="24"/>
        </w:rPr>
        <w:t xml:space="preserve"> </w:t>
      </w:r>
      <w:r w:rsidR="00847480" w:rsidRPr="00847480">
        <w:rPr>
          <w:rFonts w:ascii="Arial" w:hAnsi="Arial" w:cs="Arial"/>
          <w:b/>
          <w:bCs/>
          <w:snapToGrid w:val="0"/>
          <w:sz w:val="24"/>
          <w:szCs w:val="24"/>
        </w:rPr>
        <w:t>Conceptos de impugnación</w:t>
      </w:r>
      <w:r w:rsidR="00847480">
        <w:rPr>
          <w:rFonts w:ascii="Arial" w:hAnsi="Arial" w:cs="Arial"/>
          <w:bCs/>
          <w:snapToGrid w:val="0"/>
          <w:sz w:val="24"/>
          <w:szCs w:val="24"/>
        </w:rPr>
        <w:t xml:space="preserve">. </w:t>
      </w:r>
      <w:r w:rsidR="001B4717" w:rsidRPr="001B4717">
        <w:rPr>
          <w:rFonts w:ascii="Arial" w:eastAsia="Arial" w:hAnsi="Arial" w:cs="Arial"/>
          <w:color w:val="000000"/>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729FCB5A" w14:textId="77777777" w:rsidR="001B4717" w:rsidRDefault="002B1AB3" w:rsidP="001B4717">
      <w:pPr>
        <w:spacing w:line="360" w:lineRule="auto"/>
        <w:ind w:right="51" w:firstLine="567"/>
        <w:jc w:val="both"/>
        <w:rPr>
          <w:rFonts w:ascii="Arial" w:eastAsia="Arial" w:hAnsi="Arial" w:cs="Arial"/>
          <w:color w:val="000000"/>
          <w:sz w:val="24"/>
          <w:szCs w:val="24"/>
        </w:rPr>
      </w:pPr>
      <w:r>
        <w:rPr>
          <w:rFonts w:ascii="Arial" w:eastAsia="Arial" w:hAnsi="Arial" w:cs="Arial"/>
          <w:color w:val="000000"/>
          <w:sz w:val="24"/>
          <w:szCs w:val="24"/>
        </w:rPr>
        <w:t xml:space="preserve">Sirve de apoyo a lo anterior la jurisprudencia de datos, </w:t>
      </w:r>
      <w:r w:rsidR="001B4717" w:rsidRPr="001B4717">
        <w:rPr>
          <w:rFonts w:ascii="Arial" w:eastAsia="Arial" w:hAnsi="Arial" w:cs="Arial"/>
          <w:color w:val="000000"/>
          <w:sz w:val="24"/>
          <w:szCs w:val="24"/>
        </w:rPr>
        <w:t>rubro y texto siguientes:</w:t>
      </w:r>
    </w:p>
    <w:p w14:paraId="7749209F"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sidRPr="000C2A2F">
        <w:rPr>
          <w:rFonts w:ascii="Arial" w:eastAsia="Arial" w:hAnsi="Arial" w:cs="Arial"/>
          <w:color w:val="000000"/>
        </w:rPr>
        <w:t>164618</w:t>
      </w:r>
    </w:p>
    <w:p w14:paraId="4B756760"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sidRPr="000C2A2F">
        <w:rPr>
          <w:rFonts w:ascii="Arial" w:eastAsia="Arial" w:hAnsi="Arial" w:cs="Arial"/>
          <w:color w:val="000000"/>
        </w:rPr>
        <w:t>Segunda Sala</w:t>
      </w:r>
    </w:p>
    <w:p w14:paraId="720BB234" w14:textId="77777777" w:rsidR="000C2A2F" w:rsidRP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b/>
          <w:bCs/>
          <w:color w:val="000000"/>
        </w:rPr>
        <w:t>Novena Época</w:t>
      </w:r>
    </w:p>
    <w:p w14:paraId="45C0570C"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sidRPr="000C2A2F">
        <w:rPr>
          <w:rFonts w:ascii="Arial" w:eastAsia="Arial" w:hAnsi="Arial" w:cs="Arial"/>
          <w:color w:val="000000"/>
        </w:rPr>
        <w:t>Común</w:t>
      </w:r>
    </w:p>
    <w:p w14:paraId="7ED83F66"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sidRPr="000C2A2F">
        <w:rPr>
          <w:rFonts w:ascii="Arial" w:eastAsia="Arial" w:hAnsi="Arial" w:cs="Arial"/>
          <w:color w:val="000000"/>
        </w:rPr>
        <w:t>2a./J. 58/2010</w:t>
      </w:r>
    </w:p>
    <w:p w14:paraId="4905164E"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sidRPr="000C2A2F">
        <w:rPr>
          <w:rFonts w:ascii="Arial" w:eastAsia="Arial" w:hAnsi="Arial" w:cs="Arial"/>
          <w:color w:val="000000"/>
        </w:rPr>
        <w:t>Semanario Judicial de la Federación y su Gaceta.</w:t>
      </w:r>
      <w:r w:rsidRPr="000C2A2F">
        <w:rPr>
          <w:rFonts w:ascii="Arial" w:eastAsia="Arial" w:hAnsi="Arial" w:cs="Arial"/>
          <w:color w:val="000000"/>
        </w:rPr>
        <w:br/>
        <w:t>Tomo XXXI, Mayo de 2010, página 830</w:t>
      </w:r>
    </w:p>
    <w:p w14:paraId="633577B0" w14:textId="77777777" w:rsidR="000C2A2F" w:rsidRDefault="000C2A2F" w:rsidP="00847480">
      <w:pPr>
        <w:spacing w:after="0" w:line="240" w:lineRule="auto"/>
        <w:ind w:left="567" w:right="332"/>
        <w:jc w:val="both"/>
        <w:rPr>
          <w:rFonts w:ascii="Arial" w:eastAsia="Arial" w:hAnsi="Arial" w:cs="Arial"/>
          <w:color w:val="000000"/>
        </w:rPr>
      </w:pPr>
    </w:p>
    <w:p w14:paraId="153D9479" w14:textId="77777777" w:rsidR="000C2A2F" w:rsidRDefault="000C2A2F" w:rsidP="00847480">
      <w:pPr>
        <w:spacing w:after="0" w:line="240" w:lineRule="auto"/>
        <w:ind w:left="567" w:right="332"/>
        <w:jc w:val="both"/>
        <w:rPr>
          <w:rFonts w:ascii="Arial" w:eastAsia="Arial" w:hAnsi="Arial" w:cs="Arial"/>
          <w:b/>
          <w:bCs/>
          <w:color w:val="000000"/>
        </w:rPr>
      </w:pPr>
      <w:r w:rsidRPr="000C2A2F">
        <w:rPr>
          <w:rFonts w:ascii="Arial" w:eastAsia="Arial" w:hAnsi="Arial" w:cs="Arial"/>
          <w:b/>
          <w:bCs/>
          <w:color w:val="000000"/>
        </w:rPr>
        <w:t>CONCEPTO</w:t>
      </w:r>
      <w:r>
        <w:rPr>
          <w:rFonts w:ascii="Arial" w:eastAsia="Arial" w:hAnsi="Arial" w:cs="Arial"/>
          <w:b/>
          <w:bCs/>
          <w:color w:val="000000"/>
        </w:rPr>
        <w:t xml:space="preserve">S DE VIOLACIÓN O AGRAVIOS. PARA </w:t>
      </w:r>
      <w:r w:rsidRPr="000C2A2F">
        <w:rPr>
          <w:rFonts w:ascii="Arial" w:eastAsia="Arial" w:hAnsi="Arial" w:cs="Arial"/>
          <w:b/>
          <w:bCs/>
          <w:color w:val="000000"/>
        </w:rPr>
        <w:t>CUMPLIR</w:t>
      </w:r>
      <w:r>
        <w:rPr>
          <w:rFonts w:ascii="Arial" w:eastAsia="Arial" w:hAnsi="Arial" w:cs="Arial"/>
          <w:b/>
          <w:bCs/>
          <w:color w:val="000000"/>
        </w:rPr>
        <w:t xml:space="preserve"> CON LOS </w:t>
      </w:r>
      <w:r w:rsidRPr="000C2A2F">
        <w:rPr>
          <w:rFonts w:ascii="Arial" w:eastAsia="Arial" w:hAnsi="Arial" w:cs="Arial"/>
          <w:b/>
          <w:bCs/>
          <w:color w:val="000000"/>
        </w:rPr>
        <w:t>PRINCIPIOS</w:t>
      </w:r>
      <w:r>
        <w:rPr>
          <w:rFonts w:ascii="Arial" w:eastAsia="Arial" w:hAnsi="Arial" w:cs="Arial"/>
          <w:b/>
          <w:bCs/>
          <w:color w:val="000000"/>
        </w:rPr>
        <w:t xml:space="preserve"> DE </w:t>
      </w:r>
      <w:r w:rsidRPr="000C2A2F">
        <w:rPr>
          <w:rFonts w:ascii="Arial" w:eastAsia="Arial" w:hAnsi="Arial" w:cs="Arial"/>
          <w:b/>
          <w:bCs/>
          <w:color w:val="000000"/>
        </w:rPr>
        <w:t>CONGRUENCIA</w:t>
      </w:r>
      <w:r>
        <w:rPr>
          <w:rFonts w:ascii="Arial" w:eastAsia="Arial" w:hAnsi="Arial" w:cs="Arial"/>
          <w:b/>
          <w:bCs/>
          <w:color w:val="000000"/>
        </w:rPr>
        <w:t xml:space="preserve"> Y </w:t>
      </w:r>
      <w:r w:rsidRPr="000C2A2F">
        <w:rPr>
          <w:rFonts w:ascii="Arial" w:eastAsia="Arial" w:hAnsi="Arial" w:cs="Arial"/>
          <w:b/>
          <w:bCs/>
          <w:color w:val="000000"/>
        </w:rPr>
        <w:t>EXHAUSTIVIDAD</w:t>
      </w:r>
      <w:r>
        <w:rPr>
          <w:rFonts w:ascii="Arial" w:eastAsia="Arial" w:hAnsi="Arial" w:cs="Arial"/>
          <w:b/>
          <w:bCs/>
          <w:color w:val="000000"/>
        </w:rPr>
        <w:t xml:space="preserve"> </w:t>
      </w:r>
      <w:r w:rsidRPr="000C2A2F">
        <w:rPr>
          <w:rFonts w:ascii="Arial" w:eastAsia="Arial" w:hAnsi="Arial" w:cs="Arial"/>
          <w:b/>
          <w:bCs/>
          <w:color w:val="000000"/>
        </w:rPr>
        <w:t xml:space="preserve">EN </w:t>
      </w:r>
      <w:r>
        <w:rPr>
          <w:rFonts w:ascii="Arial" w:eastAsia="Arial" w:hAnsi="Arial" w:cs="Arial"/>
          <w:b/>
          <w:bCs/>
          <w:color w:val="000000"/>
        </w:rPr>
        <w:t xml:space="preserve">LAS </w:t>
      </w:r>
      <w:r w:rsidRPr="000C2A2F">
        <w:rPr>
          <w:rFonts w:ascii="Arial" w:eastAsia="Arial" w:hAnsi="Arial" w:cs="Arial"/>
          <w:b/>
          <w:bCs/>
          <w:color w:val="000000"/>
        </w:rPr>
        <w:t>SENTENCIAS</w:t>
      </w:r>
      <w:r>
        <w:rPr>
          <w:rFonts w:ascii="Arial" w:eastAsia="Arial" w:hAnsi="Arial" w:cs="Arial"/>
          <w:b/>
          <w:bCs/>
          <w:color w:val="000000"/>
        </w:rPr>
        <w:t xml:space="preserve"> DE </w:t>
      </w:r>
      <w:r w:rsidRPr="000C2A2F">
        <w:rPr>
          <w:rFonts w:ascii="Arial" w:eastAsia="Arial" w:hAnsi="Arial" w:cs="Arial"/>
          <w:b/>
          <w:bCs/>
          <w:color w:val="000000"/>
        </w:rPr>
        <w:t>AMPARO</w:t>
      </w:r>
      <w:r>
        <w:rPr>
          <w:rFonts w:ascii="Arial" w:eastAsia="Arial" w:hAnsi="Arial" w:cs="Arial"/>
          <w:b/>
          <w:bCs/>
          <w:color w:val="000000"/>
        </w:rPr>
        <w:t xml:space="preserve"> ES </w:t>
      </w:r>
      <w:r w:rsidRPr="000C2A2F">
        <w:rPr>
          <w:rFonts w:ascii="Arial" w:eastAsia="Arial" w:hAnsi="Arial" w:cs="Arial"/>
          <w:b/>
          <w:bCs/>
          <w:color w:val="000000"/>
        </w:rPr>
        <w:t>INNECESARIA</w:t>
      </w:r>
      <w:r>
        <w:rPr>
          <w:rFonts w:ascii="Arial" w:eastAsia="Arial" w:hAnsi="Arial" w:cs="Arial"/>
          <w:b/>
          <w:bCs/>
          <w:color w:val="000000"/>
        </w:rPr>
        <w:t xml:space="preserve"> SU </w:t>
      </w:r>
      <w:r w:rsidRPr="000C2A2F">
        <w:rPr>
          <w:rFonts w:ascii="Arial" w:eastAsia="Arial" w:hAnsi="Arial" w:cs="Arial"/>
          <w:b/>
          <w:bCs/>
          <w:color w:val="000000"/>
        </w:rPr>
        <w:t>TRANSCRIPCIÓN.</w:t>
      </w:r>
    </w:p>
    <w:p w14:paraId="7675B142" w14:textId="77777777" w:rsidR="000C2A2F" w:rsidRDefault="000C2A2F" w:rsidP="00847480">
      <w:pPr>
        <w:spacing w:after="0" w:line="240" w:lineRule="auto"/>
        <w:ind w:left="567" w:right="332"/>
        <w:jc w:val="both"/>
        <w:rPr>
          <w:rFonts w:ascii="Arial" w:eastAsia="Arial" w:hAnsi="Arial" w:cs="Arial"/>
          <w:b/>
          <w:bCs/>
          <w:color w:val="000000"/>
        </w:rPr>
      </w:pPr>
    </w:p>
    <w:p w14:paraId="1C1E1FDF" w14:textId="77777777" w:rsidR="000C2A2F" w:rsidRDefault="000C2A2F" w:rsidP="00847480">
      <w:pPr>
        <w:spacing w:after="0" w:line="240" w:lineRule="auto"/>
        <w:ind w:left="567" w:right="332"/>
        <w:jc w:val="both"/>
        <w:rPr>
          <w:rFonts w:ascii="Arial" w:eastAsia="Arial" w:hAnsi="Arial" w:cs="Arial"/>
          <w:color w:val="000000"/>
        </w:rPr>
      </w:pPr>
      <w:r w:rsidRPr="000C2A2F">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AB98142" w14:textId="77777777" w:rsidR="000C2A2F" w:rsidRDefault="000C2A2F" w:rsidP="00847480">
      <w:pPr>
        <w:spacing w:after="0" w:line="240" w:lineRule="auto"/>
        <w:ind w:left="567" w:right="332"/>
        <w:jc w:val="both"/>
        <w:rPr>
          <w:rFonts w:ascii="Arial" w:eastAsia="Arial" w:hAnsi="Arial" w:cs="Arial"/>
          <w:color w:val="000000"/>
        </w:rPr>
      </w:pPr>
    </w:p>
    <w:p w14:paraId="49A0933F" w14:textId="77777777" w:rsidR="000C2A2F" w:rsidRP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303DC2A9" w14:textId="77777777" w:rsidR="000C2A2F" w:rsidRPr="000C2A2F" w:rsidRDefault="000C2A2F" w:rsidP="000C2A2F">
      <w:pPr>
        <w:spacing w:after="0" w:line="240" w:lineRule="auto"/>
        <w:ind w:left="567" w:right="332"/>
        <w:jc w:val="both"/>
        <w:rPr>
          <w:rFonts w:ascii="Arial" w:eastAsia="Arial" w:hAnsi="Arial" w:cs="Arial"/>
          <w:color w:val="000000"/>
        </w:rPr>
      </w:pPr>
    </w:p>
    <w:p w14:paraId="4C61A104" w14:textId="77777777" w:rsid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color w:val="000000"/>
        </w:rPr>
        <w:t>Tesis de jurisprudencia 58/2010. Aprobada por la Segunda Sala de este Alto Tribunal, en sesión privada del doce de mayo de dos mil diez.</w:t>
      </w:r>
    </w:p>
    <w:p w14:paraId="586AE534" w14:textId="77777777" w:rsidR="000C2A2F" w:rsidRPr="000C2A2F" w:rsidRDefault="000C2A2F" w:rsidP="000C2A2F">
      <w:pPr>
        <w:spacing w:after="0" w:line="240" w:lineRule="auto"/>
        <w:ind w:left="567" w:right="332"/>
        <w:jc w:val="both"/>
        <w:rPr>
          <w:rFonts w:ascii="Arial" w:eastAsia="Arial" w:hAnsi="Arial" w:cs="Arial"/>
          <w:color w:val="000000"/>
        </w:rPr>
      </w:pPr>
    </w:p>
    <w:p w14:paraId="17E7D210" w14:textId="77777777" w:rsidR="00356898" w:rsidRDefault="00D1795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lastRenderedPageBreak/>
        <w:t>SEXTO.-</w:t>
      </w:r>
      <w:r w:rsidR="00356898">
        <w:rPr>
          <w:rFonts w:ascii="Arial" w:eastAsia="Arial" w:hAnsi="Arial" w:cs="Arial"/>
          <w:b/>
          <w:color w:val="000000"/>
          <w:sz w:val="24"/>
          <w:szCs w:val="24"/>
        </w:rPr>
        <w:t xml:space="preserve"> Análisis de fondo</w:t>
      </w:r>
      <w:r w:rsidR="003A300F">
        <w:rPr>
          <w:rFonts w:ascii="Arial" w:eastAsia="Arial" w:hAnsi="Arial" w:cs="Arial"/>
          <w:b/>
          <w:color w:val="000000"/>
          <w:sz w:val="24"/>
          <w:szCs w:val="24"/>
        </w:rPr>
        <w:t xml:space="preserve"> del asunto. </w:t>
      </w:r>
      <w:r w:rsidR="00A14D8D">
        <w:rPr>
          <w:rFonts w:ascii="Arial" w:eastAsia="Arial" w:hAnsi="Arial" w:cs="Arial"/>
          <w:color w:val="000000"/>
          <w:sz w:val="24"/>
          <w:szCs w:val="24"/>
        </w:rPr>
        <w:t>Al encontrarse relacionados se procede al estudio de los</w:t>
      </w:r>
      <w:r w:rsidR="002D7387">
        <w:rPr>
          <w:rFonts w:ascii="Arial" w:eastAsia="Arial" w:hAnsi="Arial" w:cs="Arial"/>
          <w:color w:val="000000"/>
          <w:sz w:val="24"/>
          <w:szCs w:val="24"/>
        </w:rPr>
        <w:t xml:space="preserve"> agravio</w:t>
      </w:r>
      <w:r w:rsidR="00A14D8D">
        <w:rPr>
          <w:rFonts w:ascii="Arial" w:eastAsia="Arial" w:hAnsi="Arial" w:cs="Arial"/>
          <w:color w:val="000000"/>
          <w:sz w:val="24"/>
          <w:szCs w:val="24"/>
        </w:rPr>
        <w:t>s</w:t>
      </w:r>
      <w:r w:rsidR="002D7387">
        <w:rPr>
          <w:rFonts w:ascii="Arial" w:eastAsia="Arial" w:hAnsi="Arial" w:cs="Arial"/>
          <w:color w:val="000000"/>
          <w:sz w:val="24"/>
          <w:szCs w:val="24"/>
        </w:rPr>
        <w:t xml:space="preserve"> PRIMERO </w:t>
      </w:r>
      <w:r w:rsidR="00A14D8D">
        <w:rPr>
          <w:rFonts w:ascii="Arial" w:eastAsia="Arial" w:hAnsi="Arial" w:cs="Arial"/>
          <w:color w:val="000000"/>
          <w:sz w:val="24"/>
          <w:szCs w:val="24"/>
        </w:rPr>
        <w:t xml:space="preserve">y QUINTO </w:t>
      </w:r>
      <w:r w:rsidR="00356898">
        <w:rPr>
          <w:rFonts w:ascii="Arial" w:eastAsia="Arial" w:hAnsi="Arial" w:cs="Arial"/>
          <w:color w:val="000000"/>
          <w:sz w:val="24"/>
          <w:szCs w:val="24"/>
        </w:rPr>
        <w:t>del escrito de</w:t>
      </w:r>
      <w:r w:rsidR="00EB4E7E">
        <w:rPr>
          <w:rFonts w:ascii="Arial" w:eastAsia="Arial" w:hAnsi="Arial" w:cs="Arial"/>
          <w:color w:val="000000"/>
          <w:sz w:val="24"/>
          <w:szCs w:val="24"/>
        </w:rPr>
        <w:t xml:space="preserve"> demanda en </w:t>
      </w:r>
      <w:r w:rsidR="00A14D8D">
        <w:rPr>
          <w:rFonts w:ascii="Arial" w:eastAsia="Arial" w:hAnsi="Arial" w:cs="Arial"/>
          <w:color w:val="000000"/>
          <w:sz w:val="24"/>
          <w:szCs w:val="24"/>
        </w:rPr>
        <w:t>los</w:t>
      </w:r>
      <w:r w:rsidR="00EB4E7E">
        <w:rPr>
          <w:rFonts w:ascii="Arial" w:eastAsia="Arial" w:hAnsi="Arial" w:cs="Arial"/>
          <w:color w:val="000000"/>
          <w:sz w:val="24"/>
          <w:szCs w:val="24"/>
        </w:rPr>
        <w:t xml:space="preserve"> que la actora </w:t>
      </w:r>
      <w:r w:rsidR="002D7387">
        <w:rPr>
          <w:rFonts w:ascii="Arial" w:eastAsia="Arial" w:hAnsi="Arial" w:cs="Arial"/>
          <w:color w:val="000000"/>
          <w:sz w:val="24"/>
          <w:szCs w:val="24"/>
        </w:rPr>
        <w:t>manifestó</w:t>
      </w:r>
      <w:r w:rsidR="00356898">
        <w:rPr>
          <w:rFonts w:ascii="Arial" w:eastAsia="Arial" w:hAnsi="Arial" w:cs="Arial"/>
          <w:color w:val="000000"/>
          <w:sz w:val="24"/>
          <w:szCs w:val="24"/>
        </w:rPr>
        <w:t xml:space="preserve"> que los actos combatidos </w:t>
      </w:r>
      <w:r w:rsidR="002D7387">
        <w:rPr>
          <w:rFonts w:ascii="Arial" w:eastAsia="Arial" w:hAnsi="Arial" w:cs="Arial"/>
          <w:color w:val="000000"/>
          <w:sz w:val="24"/>
          <w:szCs w:val="24"/>
        </w:rPr>
        <w:t>no se encuentra</w:t>
      </w:r>
      <w:r w:rsidR="00356898">
        <w:rPr>
          <w:rFonts w:ascii="Arial" w:eastAsia="Arial" w:hAnsi="Arial" w:cs="Arial"/>
          <w:color w:val="000000"/>
          <w:sz w:val="24"/>
          <w:szCs w:val="24"/>
        </w:rPr>
        <w:t>n d</w:t>
      </w:r>
      <w:r w:rsidR="002D7387">
        <w:rPr>
          <w:rFonts w:ascii="Arial" w:eastAsia="Arial" w:hAnsi="Arial" w:cs="Arial"/>
          <w:color w:val="000000"/>
          <w:sz w:val="24"/>
          <w:szCs w:val="24"/>
        </w:rPr>
        <w:t>ebidamente fundados y motivados como lo dispone el artículo 16 de la Constitución Política de los Estados Unidos Mexicanos</w:t>
      </w:r>
      <w:r w:rsidR="00A14D8D">
        <w:rPr>
          <w:rFonts w:ascii="Arial" w:eastAsia="Arial" w:hAnsi="Arial" w:cs="Arial"/>
          <w:color w:val="000000"/>
          <w:sz w:val="24"/>
          <w:szCs w:val="24"/>
        </w:rPr>
        <w:t xml:space="preserve">, </w:t>
      </w:r>
      <w:r w:rsidR="00CE51F8">
        <w:rPr>
          <w:rFonts w:ascii="Arial" w:eastAsia="Arial" w:hAnsi="Arial" w:cs="Arial"/>
          <w:color w:val="000000"/>
          <w:sz w:val="24"/>
          <w:szCs w:val="24"/>
        </w:rPr>
        <w:t>toda vez que la autoridad no precisó cómo se cercioró que la hoy actora se encuentra en el supuesto de haber omitido una obligación fiscal (Inscripción al Registro Estatal de Contribuyentes), ni señala el documento, expediente o base de datos que tuvo en su poder o a las que tuvo accesos, por medio de otras autoridades, para considerarla como sujeto obligado al referido impuesto</w:t>
      </w:r>
      <w:r w:rsidR="00356898">
        <w:rPr>
          <w:rFonts w:ascii="Arial" w:eastAsia="Arial" w:hAnsi="Arial" w:cs="Arial"/>
          <w:color w:val="000000"/>
          <w:sz w:val="24"/>
          <w:szCs w:val="24"/>
        </w:rPr>
        <w:t>.</w:t>
      </w:r>
    </w:p>
    <w:p w14:paraId="33725EF2" w14:textId="77777777" w:rsidR="00356898" w:rsidRDefault="00BE6526"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su parte la autoridad en su oficio de contestación sostuvo la legalidad y validez de los actos combatidos.</w:t>
      </w:r>
    </w:p>
    <w:p w14:paraId="45B1270E" w14:textId="5401895A" w:rsidR="00337E15" w:rsidRDefault="00337E15"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eastAsia="Arial" w:hAnsi="Arial" w:cs="Arial"/>
          <w:color w:val="000000"/>
          <w:sz w:val="24"/>
          <w:szCs w:val="24"/>
        </w:rPr>
        <w:t>A la luz de lo expuesto la</w:t>
      </w:r>
      <w:r w:rsidRPr="00337E15">
        <w:rPr>
          <w:rFonts w:ascii="Arial" w:eastAsia="Arial" w:hAnsi="Arial" w:cs="Arial"/>
          <w:b/>
          <w:color w:val="000000"/>
          <w:sz w:val="24"/>
          <w:szCs w:val="24"/>
        </w:rPr>
        <w:t xml:space="preserve"> LITIS</w:t>
      </w:r>
      <w:r>
        <w:rPr>
          <w:rFonts w:ascii="Arial" w:eastAsia="Arial" w:hAnsi="Arial" w:cs="Arial"/>
          <w:color w:val="000000"/>
          <w:sz w:val="24"/>
          <w:szCs w:val="24"/>
        </w:rPr>
        <w:t xml:space="preserve"> </w:t>
      </w:r>
      <w:r w:rsidRPr="00337E15">
        <w:rPr>
          <w:rFonts w:ascii="Arial" w:eastAsia="Arial" w:hAnsi="Arial" w:cs="Arial"/>
          <w:b/>
          <w:color w:val="000000"/>
          <w:sz w:val="24"/>
          <w:szCs w:val="24"/>
        </w:rPr>
        <w:t>EN EL PRESENTE ASUNTO</w:t>
      </w:r>
      <w:r>
        <w:rPr>
          <w:rFonts w:ascii="Arial" w:eastAsia="Arial" w:hAnsi="Arial" w:cs="Arial"/>
          <w:color w:val="000000"/>
          <w:sz w:val="24"/>
          <w:szCs w:val="24"/>
        </w:rPr>
        <w:t xml:space="preserve">, consiste en resolver si la resolución combatida vía recurso de revocación, relativa al oficio con número de control </w:t>
      </w:r>
      <w:r w:rsidR="0028160A">
        <w:rPr>
          <w:rFonts w:ascii="Arial" w:hAnsi="Arial" w:cs="Arial"/>
          <w:bCs/>
          <w:color w:val="FF0000"/>
          <w:spacing w:val="-3"/>
          <w:sz w:val="24"/>
          <w:szCs w:val="24"/>
          <w:lang w:val="es-ES_tradnl"/>
        </w:rPr>
        <w:t>**********</w:t>
      </w:r>
      <w:r w:rsidR="00D61A39" w:rsidRPr="00D61A39">
        <w:rPr>
          <w:rFonts w:ascii="Arial" w:hAnsi="Arial" w:cs="Arial"/>
          <w:bCs/>
          <w:color w:val="FF0000"/>
          <w:spacing w:val="-3"/>
          <w:sz w:val="24"/>
          <w:szCs w:val="24"/>
          <w:lang w:val="es-ES_tradnl"/>
        </w:rPr>
        <w:t xml:space="preserve"> </w:t>
      </w:r>
      <w:r w:rsidR="00D61A39">
        <w:rPr>
          <w:rFonts w:ascii="Arial" w:hAnsi="Arial" w:cs="Arial"/>
          <w:bCs/>
          <w:spacing w:val="-3"/>
          <w:sz w:val="24"/>
          <w:szCs w:val="24"/>
          <w:lang w:val="es-ES_tradnl"/>
        </w:rPr>
        <w:t>de diecinueve de agosto de dos mil diecinueve</w:t>
      </w:r>
      <w:r w:rsidRPr="00337E15">
        <w:rPr>
          <w:rFonts w:ascii="Arial" w:eastAsia="Arial" w:hAnsi="Arial" w:cs="Arial"/>
          <w:color w:val="000000"/>
          <w:sz w:val="24"/>
          <w:szCs w:val="24"/>
        </w:rPr>
        <w:t>,</w:t>
      </w:r>
      <w:r>
        <w:rPr>
          <w:rFonts w:ascii="Arial" w:eastAsia="Arial" w:hAnsi="Arial" w:cs="Arial"/>
          <w:color w:val="000000"/>
          <w:sz w:val="24"/>
          <w:szCs w:val="24"/>
        </w:rPr>
        <w:t xml:space="preserve"> se encuentra debidamente fundada y motivada, y en consecuencia</w:t>
      </w:r>
      <w:r w:rsidR="00EB4E7E">
        <w:rPr>
          <w:rFonts w:ascii="Arial" w:eastAsia="Arial" w:hAnsi="Arial" w:cs="Arial"/>
          <w:color w:val="000000"/>
          <w:sz w:val="24"/>
          <w:szCs w:val="24"/>
        </w:rPr>
        <w:t>,</w:t>
      </w:r>
      <w:r w:rsidR="00F60496">
        <w:rPr>
          <w:rFonts w:ascii="Arial" w:eastAsia="Arial" w:hAnsi="Arial" w:cs="Arial"/>
          <w:color w:val="000000"/>
          <w:sz w:val="24"/>
          <w:szCs w:val="24"/>
        </w:rPr>
        <w:t xml:space="preserve"> determinar</w:t>
      </w:r>
      <w:r>
        <w:rPr>
          <w:rFonts w:ascii="Arial" w:eastAsia="Arial" w:hAnsi="Arial" w:cs="Arial"/>
          <w:color w:val="000000"/>
          <w:sz w:val="24"/>
          <w:szCs w:val="24"/>
        </w:rPr>
        <w:t xml:space="preserve"> la legalidad o ilegalidad de la resolución combatida en el presente asunto, referente al oficio </w:t>
      </w:r>
      <w:r w:rsidR="0028160A">
        <w:rPr>
          <w:rFonts w:ascii="Arial" w:hAnsi="Arial" w:cs="Arial"/>
          <w:bCs/>
          <w:color w:val="FF0000"/>
          <w:spacing w:val="-3"/>
          <w:sz w:val="24"/>
          <w:szCs w:val="24"/>
          <w:lang w:val="es-ES_tradnl"/>
        </w:rPr>
        <w:t>**********</w:t>
      </w:r>
      <w:r w:rsidR="00F60496" w:rsidRPr="00346567">
        <w:rPr>
          <w:rFonts w:ascii="Arial" w:hAnsi="Arial" w:cs="Arial"/>
          <w:bCs/>
          <w:color w:val="FF0000"/>
          <w:spacing w:val="-3"/>
          <w:sz w:val="24"/>
          <w:szCs w:val="24"/>
          <w:lang w:val="es-ES_tradnl"/>
        </w:rPr>
        <w:t xml:space="preserve"> </w:t>
      </w:r>
      <w:r w:rsidR="00F60496">
        <w:rPr>
          <w:rFonts w:ascii="Arial" w:hAnsi="Arial" w:cs="Arial"/>
          <w:bCs/>
          <w:spacing w:val="-3"/>
          <w:sz w:val="24"/>
          <w:szCs w:val="24"/>
          <w:lang w:val="es-ES_tradnl"/>
        </w:rPr>
        <w:t>de c</w:t>
      </w:r>
      <w:r w:rsidR="00D61A39">
        <w:rPr>
          <w:rFonts w:ascii="Arial" w:hAnsi="Arial" w:cs="Arial"/>
          <w:bCs/>
          <w:spacing w:val="-3"/>
          <w:sz w:val="24"/>
          <w:szCs w:val="24"/>
          <w:lang w:val="es-ES_tradnl"/>
        </w:rPr>
        <w:t>atorce de abril de</w:t>
      </w:r>
      <w:r>
        <w:rPr>
          <w:rFonts w:ascii="Arial" w:hAnsi="Arial" w:cs="Arial"/>
          <w:bCs/>
          <w:spacing w:val="-3"/>
          <w:sz w:val="24"/>
          <w:szCs w:val="24"/>
          <w:lang w:val="es-ES_tradnl"/>
        </w:rPr>
        <w:t xml:space="preserve"> dos mil veinte.</w:t>
      </w:r>
    </w:p>
    <w:p w14:paraId="38342651" w14:textId="77777777" w:rsidR="001A19F7" w:rsidRPr="001A19F7" w:rsidRDefault="00337E15" w:rsidP="001A19F7">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hAnsi="Arial" w:cs="Arial"/>
          <w:bCs/>
          <w:spacing w:val="-3"/>
          <w:sz w:val="24"/>
          <w:szCs w:val="24"/>
          <w:lang w:val="es-ES_tradnl"/>
        </w:rPr>
        <w:t>Lo anterior</w:t>
      </w:r>
      <w:r w:rsidR="001A19F7">
        <w:rPr>
          <w:rFonts w:ascii="Arial" w:hAnsi="Arial" w:cs="Arial"/>
          <w:bCs/>
          <w:spacing w:val="-3"/>
          <w:sz w:val="24"/>
          <w:szCs w:val="24"/>
          <w:lang w:val="es-ES_tradnl"/>
        </w:rPr>
        <w:t>,</w:t>
      </w:r>
      <w:r>
        <w:rPr>
          <w:rFonts w:ascii="Arial" w:hAnsi="Arial" w:cs="Arial"/>
          <w:bCs/>
          <w:spacing w:val="-3"/>
          <w:sz w:val="24"/>
          <w:szCs w:val="24"/>
          <w:lang w:val="es-ES_tradnl"/>
        </w:rPr>
        <w:t xml:space="preserve"> atendiendo al princip</w:t>
      </w:r>
      <w:r w:rsidR="001A19F7">
        <w:rPr>
          <w:rFonts w:ascii="Arial" w:hAnsi="Arial" w:cs="Arial"/>
          <w:bCs/>
          <w:spacing w:val="-3"/>
          <w:sz w:val="24"/>
          <w:szCs w:val="24"/>
          <w:lang w:val="es-ES_tradnl"/>
        </w:rPr>
        <w:t xml:space="preserve">io de Litis Abierta, </w:t>
      </w:r>
      <w:r w:rsidR="001A19F7" w:rsidRPr="001A19F7">
        <w:rPr>
          <w:rFonts w:ascii="Arial" w:hAnsi="Arial" w:cs="Arial"/>
          <w:bCs/>
          <w:spacing w:val="-3"/>
          <w:sz w:val="24"/>
          <w:szCs w:val="24"/>
          <w:lang w:val="es-ES_tradnl"/>
        </w:rPr>
        <w:t>el cual comprende no sólo la resolución impugnada sino también la recurrida</w:t>
      </w:r>
      <w:r w:rsidR="001A19F7">
        <w:rPr>
          <w:rFonts w:ascii="Arial" w:hAnsi="Arial" w:cs="Arial"/>
          <w:bCs/>
          <w:spacing w:val="-3"/>
          <w:sz w:val="24"/>
          <w:szCs w:val="24"/>
          <w:lang w:val="es-ES_tradnl"/>
        </w:rPr>
        <w:t>, por tanto, todos los</w:t>
      </w:r>
      <w:r w:rsidR="001A19F7" w:rsidRPr="001A19F7">
        <w:rPr>
          <w:rFonts w:ascii="Arial" w:hAnsi="Arial" w:cs="Arial"/>
          <w:bCs/>
          <w:spacing w:val="-3"/>
          <w:sz w:val="24"/>
          <w:szCs w:val="24"/>
          <w:lang w:val="es-ES_tradnl"/>
        </w:rPr>
        <w:t xml:space="preserve"> argumentos, ya sean novedosos o reiterativos de la instancia administrativa, constituyen los conceptos de a</w:t>
      </w:r>
      <w:r w:rsidR="001A19F7">
        <w:rPr>
          <w:rFonts w:ascii="Arial" w:hAnsi="Arial" w:cs="Arial"/>
          <w:bCs/>
          <w:spacing w:val="-3"/>
          <w:sz w:val="24"/>
          <w:szCs w:val="24"/>
          <w:lang w:val="es-ES_tradnl"/>
        </w:rPr>
        <w:t>nulación propios de la demanda de nulidad</w:t>
      </w:r>
      <w:r w:rsidR="001A19F7" w:rsidRPr="001A19F7">
        <w:rPr>
          <w:rFonts w:ascii="Arial" w:hAnsi="Arial" w:cs="Arial"/>
          <w:bCs/>
          <w:spacing w:val="-3"/>
          <w:sz w:val="24"/>
          <w:szCs w:val="24"/>
          <w:lang w:val="es-ES_tradnl"/>
        </w:rPr>
        <w:t>, lo cual implica que con ellos se combaten tanto la resolución impugnada como la recurrida en la parte que afecte</w:t>
      </w:r>
      <w:r w:rsidR="001A19F7">
        <w:rPr>
          <w:rFonts w:ascii="Arial" w:hAnsi="Arial" w:cs="Arial"/>
          <w:bCs/>
          <w:spacing w:val="-3"/>
          <w:sz w:val="24"/>
          <w:szCs w:val="24"/>
          <w:lang w:val="es-ES_tradnl"/>
        </w:rPr>
        <w:t xml:space="preserve"> el interés jurídico del actor.</w:t>
      </w:r>
    </w:p>
    <w:p w14:paraId="43AED049" w14:textId="77777777" w:rsidR="001A19F7" w:rsidRDefault="001A19F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hAnsi="Arial" w:cs="Arial"/>
          <w:bCs/>
          <w:spacing w:val="-3"/>
          <w:sz w:val="24"/>
          <w:szCs w:val="24"/>
          <w:lang w:val="es-ES_tradnl"/>
        </w:rPr>
        <w:t>Es aplicable el siguiente criterio:</w:t>
      </w:r>
    </w:p>
    <w:p w14:paraId="247958B6"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Registro digital: 184472</w:t>
      </w:r>
    </w:p>
    <w:p w14:paraId="5E4D0FF0"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Instancia: Segunda Sala</w:t>
      </w:r>
    </w:p>
    <w:p w14:paraId="4D695183"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Novena Época</w:t>
      </w:r>
    </w:p>
    <w:p w14:paraId="5C68FAEF"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Materia(s): Administrativa</w:t>
      </w:r>
    </w:p>
    <w:p w14:paraId="426F95B1"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Tesis: 2a./J. 32/2003</w:t>
      </w:r>
    </w:p>
    <w:p w14:paraId="4DCE6C3C"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Fuente: Semanario Judicial de la Federación y su Gaceta.</w:t>
      </w:r>
    </w:p>
    <w:p w14:paraId="031B17D6"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Tomo XVII, Abril de 2003, página 193</w:t>
      </w:r>
    </w:p>
    <w:p w14:paraId="416E1EA5" w14:textId="77777777" w:rsid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Tipo: Jurisprudencia</w:t>
      </w:r>
    </w:p>
    <w:p w14:paraId="389A78BC" w14:textId="77777777" w:rsidR="001A19F7" w:rsidRPr="00E11E3F" w:rsidRDefault="001A19F7"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19169825" w14:textId="77777777" w:rsidR="00E11E3F" w:rsidRPr="00E324D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bCs/>
          <w:spacing w:val="-3"/>
          <w:lang w:val="es-ES_tradnl"/>
        </w:rPr>
      </w:pPr>
      <w:r w:rsidRPr="00E324DF">
        <w:rPr>
          <w:rFonts w:ascii="Arial" w:hAnsi="Arial" w:cs="Arial"/>
          <w:b/>
          <w:bCs/>
          <w:spacing w:val="-3"/>
          <w:lang w:val="es-ES_tradnl"/>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p>
    <w:p w14:paraId="12D780BC" w14:textId="77777777" w:rsidR="001A19F7" w:rsidRPr="00E11E3F" w:rsidRDefault="001A19F7"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70727619"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 xml:space="preserve">El artículo 197 del Código Fiscal de la Federación, en su texto anterior a la reforma publicada en el Diario Oficial de la Federación el 15 de diciembre de 1995, contenía el principio de "litis cerrada" que impedía que se examinaran los argumentos dirigidos a demostrar la ilegalidad del acto administrativo contra el cual se enderezó el recurso, </w:t>
      </w:r>
      <w:r w:rsidRPr="00E11E3F">
        <w:rPr>
          <w:rFonts w:ascii="Arial" w:hAnsi="Arial" w:cs="Arial"/>
          <w:bCs/>
          <w:spacing w:val="-3"/>
          <w:lang w:val="es-ES_tradnl"/>
        </w:rPr>
        <w:lastRenderedPageBreak/>
        <w:t>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"litis cerrada" por el de "litis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w:t>
      </w:r>
    </w:p>
    <w:p w14:paraId="72299A0F"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410830C1"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Contradicción de tesis 171/2002-SS. Entre las sustentadas por el Segundo Tribunal Colegiado en Materia Civil y el Primer Tribunal Colegiado en Materias Administrativa y de Trabajo, ambos del Séptimo Circuito. 28 de marzo de 2003. Cinco votos. Ponente: Genaro David Góngora Pimentel. Secretario: Rolando Javier García Martínez.</w:t>
      </w:r>
    </w:p>
    <w:p w14:paraId="724326F7"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153ABD2E" w14:textId="77777777" w:rsidR="00337E15"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Tesis de jurisprudencia 32/2003. Aprobada por la Segunda Sala de este Alto Tribunal, en sesión privada del cuatro de abril de dos mil tres.</w:t>
      </w:r>
    </w:p>
    <w:p w14:paraId="09785379" w14:textId="77777777" w:rsidR="00E324DF" w:rsidRPr="00E11E3F" w:rsidRDefault="00E324D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6827008D" w14:textId="77777777" w:rsidR="001A19F7" w:rsidRDefault="001A19F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Lo anterior es así, </w:t>
      </w:r>
      <w:r w:rsidR="00E6134A">
        <w:rPr>
          <w:rFonts w:ascii="Arial" w:eastAsia="Arial" w:hAnsi="Arial" w:cs="Arial"/>
          <w:color w:val="000000"/>
          <w:sz w:val="24"/>
          <w:szCs w:val="24"/>
        </w:rPr>
        <w:t xml:space="preserve">pues </w:t>
      </w:r>
      <w:r>
        <w:rPr>
          <w:rFonts w:ascii="Arial" w:eastAsia="Arial" w:hAnsi="Arial" w:cs="Arial"/>
          <w:color w:val="000000"/>
          <w:sz w:val="24"/>
          <w:szCs w:val="24"/>
        </w:rPr>
        <w:t>del análisis de los preceptos</w:t>
      </w:r>
      <w:r w:rsidR="00380EFB">
        <w:rPr>
          <w:rFonts w:ascii="Arial" w:eastAsia="Arial" w:hAnsi="Arial" w:cs="Arial"/>
          <w:color w:val="000000"/>
          <w:sz w:val="24"/>
          <w:szCs w:val="24"/>
        </w:rPr>
        <w:t xml:space="preserve"> que enseguida</w:t>
      </w:r>
      <w:r>
        <w:rPr>
          <w:rFonts w:ascii="Arial" w:eastAsia="Arial" w:hAnsi="Arial" w:cs="Arial"/>
          <w:color w:val="000000"/>
          <w:sz w:val="24"/>
          <w:szCs w:val="24"/>
        </w:rPr>
        <w:t xml:space="preserve"> se </w:t>
      </w:r>
      <w:r w:rsidR="00380EFB">
        <w:rPr>
          <w:rFonts w:ascii="Arial" w:eastAsia="Arial" w:hAnsi="Arial" w:cs="Arial"/>
          <w:color w:val="000000"/>
          <w:sz w:val="24"/>
          <w:szCs w:val="24"/>
        </w:rPr>
        <w:t xml:space="preserve">transcriben, se </w:t>
      </w:r>
      <w:r>
        <w:rPr>
          <w:rFonts w:ascii="Arial" w:eastAsia="Arial" w:hAnsi="Arial" w:cs="Arial"/>
          <w:color w:val="000000"/>
          <w:sz w:val="24"/>
          <w:szCs w:val="24"/>
        </w:rPr>
        <w:t>desprende:</w:t>
      </w:r>
    </w:p>
    <w:p w14:paraId="3B4D18E2" w14:textId="77777777" w:rsidR="00A559B1" w:rsidRPr="00445072" w:rsidRDefault="00F848B6" w:rsidP="00380EFB">
      <w:pPr>
        <w:pBdr>
          <w:top w:val="nil"/>
          <w:left w:val="nil"/>
          <w:bottom w:val="nil"/>
          <w:right w:val="nil"/>
          <w:between w:val="nil"/>
        </w:pBdr>
        <w:tabs>
          <w:tab w:val="center" w:pos="4419"/>
          <w:tab w:val="center" w:pos="-1418"/>
          <w:tab w:val="right" w:pos="8505"/>
        </w:tabs>
        <w:spacing w:after="0" w:line="240" w:lineRule="auto"/>
        <w:ind w:left="567" w:right="335"/>
        <w:jc w:val="center"/>
        <w:rPr>
          <w:rFonts w:ascii="Arial" w:hAnsi="Arial" w:cs="Arial"/>
          <w:b/>
        </w:rPr>
      </w:pPr>
      <w:r w:rsidRPr="00445072">
        <w:rPr>
          <w:rFonts w:ascii="Arial" w:hAnsi="Arial" w:cs="Arial"/>
          <w:b/>
        </w:rPr>
        <w:t>LEY DE PROCEDIMIENTO Y JUSTICIA ADMINISTRATIVA PARA EL ESTADO DE OAXACA</w:t>
      </w:r>
    </w:p>
    <w:p w14:paraId="17C07304"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D091CEB"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205</w:t>
      </w:r>
      <w:r w:rsidRPr="003D21F4">
        <w:rPr>
          <w:rFonts w:ascii="Arial" w:eastAsia="Arial" w:hAnsi="Arial" w:cs="Arial"/>
          <w:color w:val="000000"/>
        </w:rPr>
        <w:t>.- Formulados los alegatos, se citará para oír sentencia, misma que deberá pronunciarse dentro del plazo de quince días hábiles.</w:t>
      </w:r>
    </w:p>
    <w:p w14:paraId="71A7539C"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B3F8B9F"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207</w:t>
      </w:r>
      <w:r w:rsidRPr="003D21F4">
        <w:rPr>
          <w:rFonts w:ascii="Arial" w:eastAsia="Arial" w:hAnsi="Arial" w:cs="Arial"/>
          <w:color w:val="000000"/>
        </w:rPr>
        <w:t>.- Las sentencias que emita el Tribunal, deberán de contener:</w:t>
      </w:r>
    </w:p>
    <w:p w14:paraId="0FDC27A9"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BEA2A28"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w:t>
      </w:r>
      <w:r w:rsidRPr="003D21F4">
        <w:rPr>
          <w:rFonts w:ascii="Arial" w:eastAsia="Arial" w:hAnsi="Arial" w:cs="Arial"/>
          <w:color w:val="000000"/>
        </w:rPr>
        <w:t xml:space="preserve"> La fijación clara y precisa de los puntos controvertidos, la exposición de las razones por las que, en su caso, se haga uso de la facultad para suplir la deficiencia de la queja, así como el examen y valoración de las pruebas que se hayan rendido;</w:t>
      </w:r>
    </w:p>
    <w:p w14:paraId="315FF701"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993BD3A"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w:t>
      </w:r>
      <w:r w:rsidRPr="003D21F4">
        <w:rPr>
          <w:rFonts w:ascii="Arial" w:eastAsia="Arial" w:hAnsi="Arial" w:cs="Arial"/>
          <w:color w:val="000000"/>
        </w:rPr>
        <w:t xml:space="preserve"> La exposición debidamente fundada y motivada de las consideraciones en que se basa la resolución; y </w:t>
      </w:r>
    </w:p>
    <w:p w14:paraId="43CF2812"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D4117BF"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III.</w:t>
      </w:r>
      <w:r w:rsidRPr="003D21F4">
        <w:rPr>
          <w:rFonts w:ascii="Arial" w:eastAsia="Arial" w:hAnsi="Arial" w:cs="Arial"/>
          <w:color w:val="000000"/>
        </w:rPr>
        <w:t xml:space="preserve"> Los puntos resolutivos, los que expresarán los actos o resoluciones cuya validez se reconozca o cuya nulidad se declare.</w:t>
      </w:r>
    </w:p>
    <w:p w14:paraId="4538F917"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5B8C731"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208</w:t>
      </w:r>
      <w:r w:rsidRPr="003D21F4">
        <w:rPr>
          <w:rFonts w:ascii="Arial" w:eastAsia="Arial" w:hAnsi="Arial" w:cs="Arial"/>
          <w:color w:val="000000"/>
        </w:rPr>
        <w:t>.- Se declarará que un acto administrativo es ilegal si de esa ilegalidad nace su nulidad relativa o absoluta, cuando se demuestre alguna de las siguientes causales:</w:t>
      </w:r>
    </w:p>
    <w:p w14:paraId="0CBE627E"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ED53E62"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w:t>
      </w:r>
      <w:r w:rsidRPr="003D21F4">
        <w:rPr>
          <w:rFonts w:ascii="Arial" w:eastAsia="Arial" w:hAnsi="Arial" w:cs="Arial"/>
          <w:color w:val="000000"/>
        </w:rPr>
        <w:t xml:space="preserve"> Incompetencia del funcionario que lo haya ordenado, o tramitado el procedimiento del que deriva la resolución impugnada;</w:t>
      </w:r>
    </w:p>
    <w:p w14:paraId="55C721CC"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3687409" w14:textId="77777777" w:rsidR="002C089D"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w:t>
      </w:r>
      <w:r w:rsidRPr="003D21F4">
        <w:rPr>
          <w:rFonts w:ascii="Arial" w:eastAsia="Arial" w:hAnsi="Arial" w:cs="Arial"/>
          <w:color w:val="000000"/>
        </w:rPr>
        <w:t xml:space="preserve"> Omisión de los requisitos formales exigidos por las leyes que afecten las defensas del particular y trasciendan al sentido de la resolución impugnada, inclusive la ausencia de fundamento o motivación, en su caso;</w:t>
      </w:r>
    </w:p>
    <w:p w14:paraId="693870CF"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54C927C"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III.</w:t>
      </w:r>
      <w:r w:rsidRPr="003D21F4">
        <w:rPr>
          <w:rFonts w:ascii="Arial" w:eastAsia="Arial" w:hAnsi="Arial" w:cs="Arial"/>
          <w:color w:val="000000"/>
        </w:rPr>
        <w:t xml:space="preserve"> Vicios del procedimiento que afecten las defensas del particular y trascendencia al sentido de la resolución impugnada;</w:t>
      </w:r>
    </w:p>
    <w:p w14:paraId="559C7E5B"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FA844B1"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lastRenderedPageBreak/>
        <w:t>IV.</w:t>
      </w:r>
      <w:r w:rsidRPr="003D21F4">
        <w:rPr>
          <w:rFonts w:ascii="Arial" w:eastAsia="Arial" w:hAnsi="Arial" w:cs="Arial"/>
          <w:color w:val="000000"/>
        </w:rPr>
        <w:t xml:space="preserve"> Si los hechos que lo motivaron no se realizaron, fueron distintos o se apreciaron en forma equivocada, o bien se dictó en contravención de las disposiciones aplicables o se dejaron de aplicar las debidas;</w:t>
      </w:r>
    </w:p>
    <w:p w14:paraId="25604020"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888CEFB"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V.</w:t>
      </w:r>
      <w:r w:rsidRPr="003D21F4">
        <w:rPr>
          <w:rFonts w:ascii="Arial" w:eastAsia="Arial" w:hAnsi="Arial" w:cs="Arial"/>
          <w:color w:val="000000"/>
        </w:rPr>
        <w:t xml:space="preserve"> Cuando la resolución administrativa dictada en ejercicio de facultades discrecionales, no corresponda a los fines para los cuales la ley confiera dichas facultades;</w:t>
      </w:r>
    </w:p>
    <w:p w14:paraId="33797EB4"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6FE7B42"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VI</w:t>
      </w:r>
      <w:r w:rsidRPr="003D21F4">
        <w:rPr>
          <w:rFonts w:ascii="Arial" w:eastAsia="Arial" w:hAnsi="Arial" w:cs="Arial"/>
          <w:color w:val="000000"/>
        </w:rPr>
        <w:t>. Si el acto administrativo no cumple con alguno de los elementos y requisitos exigidos en esta Ley; y</w:t>
      </w:r>
    </w:p>
    <w:p w14:paraId="7BCB71D5"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6DAF6EF"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VII</w:t>
      </w:r>
      <w:r w:rsidRPr="003D21F4">
        <w:rPr>
          <w:rFonts w:ascii="Arial" w:eastAsia="Arial" w:hAnsi="Arial" w:cs="Arial"/>
          <w:color w:val="000000"/>
        </w:rPr>
        <w:t>. La condena a realizar determinado acto, dejar de hacerlo o pagar al actor, en los términos del último párrafo del artículo 109 de la Constitución Política Federal.</w:t>
      </w:r>
    </w:p>
    <w:p w14:paraId="594000B8"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El Tribunal podrá hacer valer de oficio, por ser de orden público, la incompetencia de la autoridad para dictar la resolución impugnada y la ausencia total o parcial de fundamentación o motivación en dicha resolución.</w:t>
      </w:r>
    </w:p>
    <w:p w14:paraId="07688124"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F2F03F1" w14:textId="77777777" w:rsidR="00F4118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209</w:t>
      </w:r>
      <w:r w:rsidRPr="003D21F4">
        <w:rPr>
          <w:rFonts w:ascii="Arial" w:eastAsia="Arial" w:hAnsi="Arial" w:cs="Arial"/>
          <w:color w:val="000000"/>
        </w:rPr>
        <w:t>.-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p w14:paraId="59B7016D" w14:textId="77777777" w:rsidR="00F4118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CBE9A5F" w14:textId="77777777" w:rsidR="00445072" w:rsidRPr="00445072" w:rsidRDefault="00F41184" w:rsidP="00380EFB">
      <w:pPr>
        <w:pBdr>
          <w:top w:val="nil"/>
          <w:left w:val="nil"/>
          <w:bottom w:val="nil"/>
          <w:right w:val="nil"/>
          <w:between w:val="nil"/>
        </w:pBdr>
        <w:tabs>
          <w:tab w:val="center" w:pos="4419"/>
          <w:tab w:val="center" w:pos="-1418"/>
          <w:tab w:val="right" w:pos="8505"/>
        </w:tabs>
        <w:spacing w:after="0" w:line="240" w:lineRule="auto"/>
        <w:ind w:left="567" w:right="335"/>
        <w:jc w:val="center"/>
        <w:rPr>
          <w:rFonts w:ascii="Arial" w:eastAsia="Arial" w:hAnsi="Arial" w:cs="Arial"/>
          <w:b/>
          <w:color w:val="000000"/>
        </w:rPr>
      </w:pPr>
      <w:r w:rsidRPr="00445072">
        <w:rPr>
          <w:rFonts w:ascii="Arial" w:hAnsi="Arial" w:cs="Arial"/>
          <w:b/>
        </w:rPr>
        <w:t>CONSTITUCION POLITICA DE LOS ESTADOS UNIDOS MEXICANOS</w:t>
      </w:r>
    </w:p>
    <w:p w14:paraId="17351E4F"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BD87079" w14:textId="77777777" w:rsidR="00445072"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45072">
        <w:rPr>
          <w:rFonts w:ascii="Arial" w:hAnsi="Arial" w:cs="Arial"/>
          <w:b/>
        </w:rPr>
        <w:t>Artículo 1o</w:t>
      </w:r>
      <w:r w:rsidRPr="003D21F4">
        <w:rPr>
          <w:rFonts w:ascii="Arial" w:hAnsi="Arial" w:cs="Arial"/>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p w14:paraId="695FBF80"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194280EC" w14:textId="77777777" w:rsidR="00F4118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3D21F4">
        <w:rPr>
          <w:rFonts w:ascii="Arial" w:hAnsi="Arial" w:cs="Arial"/>
        </w:rPr>
        <w:t xml:space="preserve">Las normas relativas a los derechos humanos se interpretarán de conformidad con esta Constitución y con los tratados internacionales de la materia favoreciendo en todo tiempo a las personas la protección más amplia. </w:t>
      </w:r>
    </w:p>
    <w:p w14:paraId="27589509"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0C5A2FB2" w14:textId="77777777" w:rsidR="00F4118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3D21F4">
        <w:rPr>
          <w:rFonts w:ascii="Arial" w:hAnsi="Arial" w:cs="Arial"/>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7AE486B1"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2C103BFF" w14:textId="77777777" w:rsidR="0025035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hAnsi="Arial" w:cs="Arial"/>
        </w:rPr>
        <w:t>Está prohibida la esclavitud en los Estados Unidos Mexicanos. Los esclavos del extranjero que entren al territorio nacional alcanzarán, por este solo hecho, su libertad y la protección de las leyes.</w:t>
      </w:r>
    </w:p>
    <w:p w14:paraId="05DA7DAE"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A144019" w14:textId="77777777" w:rsidR="0025035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3D21F4">
        <w:rPr>
          <w:rFonts w:ascii="Arial" w:eastAsia="Arial" w:hAnsi="Arial" w:cs="Arial"/>
          <w:color w:val="000000"/>
        </w:rPr>
        <w:cr/>
      </w:r>
    </w:p>
    <w:p w14:paraId="65EBC849" w14:textId="77777777" w:rsidR="00404EDE"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17.</w:t>
      </w:r>
      <w:r w:rsidRPr="003D21F4">
        <w:rPr>
          <w:rFonts w:ascii="Arial" w:eastAsia="Arial" w:hAnsi="Arial" w:cs="Arial"/>
          <w:color w:val="000000"/>
        </w:rPr>
        <w:t xml:space="preserve"> Ninguna persona podrá hacerse justicia por sí misma, ni ejercer violencia para reclamar su derecho.</w:t>
      </w:r>
    </w:p>
    <w:p w14:paraId="216F841E"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E2C4671"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13974B33"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E2C9774"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 xml:space="preserve">Siempre que no se afecte la igualdad entre las partes, el debido proceso u otros derechos en los juicios o procedimientos seguidos en forma de juicio, las </w:t>
      </w:r>
      <w:r w:rsidRPr="003D21F4">
        <w:rPr>
          <w:rFonts w:ascii="Arial" w:eastAsia="Arial" w:hAnsi="Arial" w:cs="Arial"/>
          <w:color w:val="000000"/>
        </w:rPr>
        <w:lastRenderedPageBreak/>
        <w:t>autoridades deberán privilegiar la solución del conflicto sobre los formalismos procedimentales.</w:t>
      </w:r>
    </w:p>
    <w:p w14:paraId="7FBB1241"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6B85501"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El Congreso de la Unión expedirá las leyes que regulen las acciones colectivas. Tales leyes determinarán las materias de aplicación, los procedimientos judiciales y los mecanismos de reparación del daño. Los jueces federales conocerán de forma exclusiva sobre estos procedimientos y mecanismos.</w:t>
      </w:r>
    </w:p>
    <w:p w14:paraId="28A1D7EA"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3E4E999"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Las leyes preverán mecanismos alternativos de solución de controversias. En la materia penal regularán su aplicación, asegurarán la reparación del daño y establecerán los casos en los que se requerirá supervisión judicial.</w:t>
      </w:r>
    </w:p>
    <w:p w14:paraId="5FE27842"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E2C687A"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Las sentencias que pongan fin a los procedimientos orales deberán ser explicadas en audiencia pública previa citación de las partes.</w:t>
      </w:r>
    </w:p>
    <w:p w14:paraId="58B0C465"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06B39C0"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Las leyes federales y locales establecerán los medios necesarios para que se garantice la independencia de los tribunales y la plena ejecución de sus resoluciones.</w:t>
      </w:r>
    </w:p>
    <w:p w14:paraId="7C93332B"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61EF035"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 Federación y las entidades federativas garantizarán la existencia de un servicio de defensoría pública de calidad para la población y asegurarán las condiciones para un servicio profesional de carrera para los defensores. Las percepciones de los defensores no podrán ser inferiores a las que correspondan a los agentes del Ministerio Público.</w:t>
      </w:r>
    </w:p>
    <w:p w14:paraId="5BF1F732"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CA5201D" w14:textId="77777777" w:rsidR="003D21F4" w:rsidRDefault="003D21F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Nadie puede ser aprisionado por deudas de carácter puramente civil.</w:t>
      </w:r>
    </w:p>
    <w:p w14:paraId="15CDE868" w14:textId="77777777" w:rsidR="00065F69" w:rsidRDefault="00065F69"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759989A" w14:textId="77777777" w:rsidR="00D747D6" w:rsidRDefault="00D747D6"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34015F9" w14:textId="77777777" w:rsidR="00065F69" w:rsidRPr="00E934EF" w:rsidRDefault="00D747D6" w:rsidP="00E46D10">
      <w:pPr>
        <w:pBdr>
          <w:top w:val="nil"/>
          <w:left w:val="nil"/>
          <w:bottom w:val="nil"/>
          <w:right w:val="nil"/>
          <w:between w:val="nil"/>
        </w:pBdr>
        <w:tabs>
          <w:tab w:val="center" w:pos="4419"/>
          <w:tab w:val="center" w:pos="-1418"/>
          <w:tab w:val="right" w:pos="8505"/>
        </w:tabs>
        <w:spacing w:after="0" w:line="240" w:lineRule="auto"/>
        <w:ind w:left="567" w:right="335"/>
        <w:jc w:val="center"/>
        <w:rPr>
          <w:rFonts w:ascii="Arial" w:eastAsia="Arial" w:hAnsi="Arial" w:cs="Arial"/>
          <w:b/>
          <w:color w:val="000000"/>
        </w:rPr>
      </w:pPr>
      <w:r>
        <w:rPr>
          <w:rFonts w:ascii="Arial" w:eastAsia="Arial" w:hAnsi="Arial" w:cs="Arial"/>
          <w:b/>
          <w:color w:val="000000"/>
        </w:rPr>
        <w:t>CONVENCIÓ</w:t>
      </w:r>
      <w:r w:rsidRPr="00E934EF">
        <w:rPr>
          <w:rFonts w:ascii="Arial" w:eastAsia="Arial" w:hAnsi="Arial" w:cs="Arial"/>
          <w:b/>
          <w:color w:val="000000"/>
        </w:rPr>
        <w:t>N</w:t>
      </w:r>
      <w:r w:rsidR="00065F69" w:rsidRPr="00E934EF">
        <w:rPr>
          <w:rFonts w:ascii="Arial" w:eastAsia="Arial" w:hAnsi="Arial" w:cs="Arial"/>
          <w:b/>
          <w:color w:val="000000"/>
        </w:rPr>
        <w:t xml:space="preserve"> AMERICANA SOBRE DERECHOS HUMANOS</w:t>
      </w:r>
    </w:p>
    <w:p w14:paraId="2C97DCFB"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p>
    <w:p w14:paraId="590555C2"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E934EF">
        <w:rPr>
          <w:rFonts w:ascii="Arial" w:hAnsi="Arial" w:cs="Arial"/>
          <w:b/>
        </w:rPr>
        <w:t>ARTÍCULO 8.</w:t>
      </w:r>
      <w:r w:rsidRPr="00E934EF">
        <w:rPr>
          <w:rFonts w:ascii="Arial" w:hAnsi="Arial" w:cs="Arial"/>
        </w:rPr>
        <w:t xml:space="preserve"> Garantías Judiciales </w:t>
      </w:r>
    </w:p>
    <w:p w14:paraId="3CB7E5BE"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75F583EF"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E934EF">
        <w:rPr>
          <w:rFonts w:ascii="Arial" w:hAnsi="Arial" w:cs="Arial"/>
          <w:b/>
        </w:rPr>
        <w:t>1.</w:t>
      </w:r>
      <w:r w:rsidRPr="00E934EF">
        <w:rPr>
          <w:rFonts w:ascii="Arial" w:hAnsi="Arial" w:cs="Arial"/>
        </w:rPr>
        <w:t xml:space="preserve"> 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w:t>
      </w:r>
    </w:p>
    <w:p w14:paraId="66D366D3"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71CA85C"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E934EF">
        <w:rPr>
          <w:rFonts w:ascii="Arial" w:eastAsia="Arial" w:hAnsi="Arial" w:cs="Arial"/>
          <w:b/>
          <w:color w:val="000000"/>
        </w:rPr>
        <w:t>ARTÍCULO 25</w:t>
      </w:r>
      <w:r w:rsidRPr="00E934EF">
        <w:rPr>
          <w:rFonts w:ascii="Arial" w:eastAsia="Arial" w:hAnsi="Arial" w:cs="Arial"/>
          <w:color w:val="000000"/>
        </w:rPr>
        <w:t>. Protección Judicial</w:t>
      </w:r>
    </w:p>
    <w:p w14:paraId="0173A6FE"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CDA2262" w14:textId="77777777" w:rsidR="00065F69"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E934EF">
        <w:rPr>
          <w:rFonts w:ascii="Arial" w:eastAsia="Arial" w:hAnsi="Arial" w:cs="Arial"/>
          <w:color w:val="000000"/>
        </w:rPr>
        <w:t>1. Toda persona tiene derecho a un recurso sencillo y rápido o a cualquier otro recurso efectivo ante los jueces o tribunales competentes, que la ampare contra actos que violen sus derechos fundamentales reconocidos por la Constitución, la ley o la presente Convención, aun cuando tal violación sea cometida por personas que actúen en ejercicio de sus funciones oficiales.</w:t>
      </w:r>
    </w:p>
    <w:p w14:paraId="6765E7B6" w14:textId="77777777" w:rsidR="00F72A4E" w:rsidRPr="00E934EF" w:rsidRDefault="00F72A4E"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B771BD1" w14:textId="77777777" w:rsidR="009148DA" w:rsidRDefault="00827277"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Del estudio que se realiza a los artículos transcritos</w:t>
      </w:r>
      <w:r w:rsidR="00A55EAC">
        <w:rPr>
          <w:rFonts w:ascii="Arial" w:eastAsia="Arial" w:hAnsi="Arial" w:cs="Arial"/>
          <w:color w:val="000000"/>
          <w:sz w:val="24"/>
          <w:szCs w:val="24"/>
        </w:rPr>
        <w:t xml:space="preserve"> se desprende que las sentencias emitidas por este Tribunal deberán contener entre otros, </w:t>
      </w:r>
      <w:r w:rsidR="00A55EAC" w:rsidRPr="00A55EAC">
        <w:rPr>
          <w:rFonts w:ascii="Arial" w:eastAsia="Arial" w:hAnsi="Arial" w:cs="Arial"/>
          <w:color w:val="000000"/>
          <w:sz w:val="24"/>
          <w:szCs w:val="24"/>
        </w:rPr>
        <w:t>el examen y valoración de las pruebas que se hayan rendido;</w:t>
      </w:r>
      <w:r w:rsidR="009148DA">
        <w:rPr>
          <w:rFonts w:ascii="Arial" w:eastAsia="Arial" w:hAnsi="Arial" w:cs="Arial"/>
          <w:color w:val="000000"/>
          <w:sz w:val="24"/>
          <w:szCs w:val="24"/>
        </w:rPr>
        <w:t xml:space="preserve"> y ex</w:t>
      </w:r>
      <w:r w:rsidR="00A55EAC" w:rsidRPr="00A55EAC">
        <w:rPr>
          <w:rFonts w:ascii="Arial" w:eastAsia="Arial" w:hAnsi="Arial" w:cs="Arial"/>
          <w:color w:val="000000"/>
          <w:sz w:val="24"/>
          <w:szCs w:val="24"/>
        </w:rPr>
        <w:t>presarán los actos o resoluciones cuya validez se reconozca o cuya nulidad se declare</w:t>
      </w:r>
      <w:r w:rsidR="009148DA">
        <w:rPr>
          <w:rFonts w:ascii="Arial" w:eastAsia="Arial" w:hAnsi="Arial" w:cs="Arial"/>
          <w:color w:val="000000"/>
          <w:sz w:val="24"/>
          <w:szCs w:val="24"/>
        </w:rPr>
        <w:t>, estableciendo como actos nulos el artículo 208 fracción IV de mérito</w:t>
      </w:r>
      <w:r w:rsidR="00F20802">
        <w:rPr>
          <w:rFonts w:ascii="Arial" w:eastAsia="Arial" w:hAnsi="Arial" w:cs="Arial"/>
          <w:color w:val="000000"/>
          <w:sz w:val="24"/>
          <w:szCs w:val="24"/>
        </w:rPr>
        <w:t xml:space="preserve">, </w:t>
      </w:r>
      <w:r w:rsidR="00EB5F85">
        <w:rPr>
          <w:rFonts w:ascii="Arial" w:eastAsia="Arial" w:hAnsi="Arial" w:cs="Arial"/>
          <w:color w:val="000000"/>
          <w:sz w:val="24"/>
          <w:szCs w:val="24"/>
        </w:rPr>
        <w:t>l</w:t>
      </w:r>
      <w:r w:rsidR="00F20802">
        <w:rPr>
          <w:rFonts w:ascii="Arial" w:eastAsia="Arial" w:hAnsi="Arial" w:cs="Arial"/>
          <w:color w:val="000000"/>
          <w:sz w:val="24"/>
          <w:szCs w:val="24"/>
        </w:rPr>
        <w:t>a o</w:t>
      </w:r>
      <w:r w:rsidR="009148DA" w:rsidRPr="009148DA">
        <w:rPr>
          <w:rFonts w:ascii="Arial" w:eastAsia="Arial" w:hAnsi="Arial" w:cs="Arial"/>
          <w:color w:val="000000"/>
          <w:sz w:val="24"/>
          <w:szCs w:val="24"/>
        </w:rPr>
        <w:t>misión de los requisitos formales exigidos por las leyes que afecten las defensas del particular y trasciendan al sentido de la resolución impugnada, inclusive la ausencia de fund</w:t>
      </w:r>
      <w:r w:rsidR="00F20802">
        <w:rPr>
          <w:rFonts w:ascii="Arial" w:eastAsia="Arial" w:hAnsi="Arial" w:cs="Arial"/>
          <w:color w:val="000000"/>
          <w:sz w:val="24"/>
          <w:szCs w:val="24"/>
        </w:rPr>
        <w:t>amento o motivación, en su caso.</w:t>
      </w:r>
    </w:p>
    <w:p w14:paraId="3372ED94" w14:textId="77777777" w:rsidR="009148DA" w:rsidRDefault="00F20802" w:rsidP="00F2080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su parte el artículo 1° Constitucional establece que e</w:t>
      </w:r>
      <w:r w:rsidRPr="00F20802">
        <w:rPr>
          <w:rFonts w:ascii="Arial" w:eastAsia="Arial" w:hAnsi="Arial" w:cs="Arial"/>
          <w:color w:val="000000"/>
          <w:sz w:val="24"/>
          <w:szCs w:val="24"/>
        </w:rPr>
        <w:t xml:space="preserve">n los Estados Unidos Mexicanos todas las personas gozarán de los derechos humanos </w:t>
      </w:r>
      <w:r>
        <w:rPr>
          <w:rFonts w:ascii="Arial" w:eastAsia="Arial" w:hAnsi="Arial" w:cs="Arial"/>
          <w:color w:val="000000"/>
          <w:sz w:val="24"/>
          <w:szCs w:val="24"/>
        </w:rPr>
        <w:t>reconocidos en es</w:t>
      </w:r>
      <w:r w:rsidRPr="00F20802">
        <w:rPr>
          <w:rFonts w:ascii="Arial" w:eastAsia="Arial" w:hAnsi="Arial" w:cs="Arial"/>
          <w:color w:val="000000"/>
          <w:sz w:val="24"/>
          <w:szCs w:val="24"/>
        </w:rPr>
        <w:t xml:space="preserve">a Constitución y en los tratados internacionales de los que el Estado Mexicano </w:t>
      </w:r>
      <w:r w:rsidRPr="00F20802">
        <w:rPr>
          <w:rFonts w:ascii="Arial" w:eastAsia="Arial" w:hAnsi="Arial" w:cs="Arial"/>
          <w:color w:val="000000"/>
          <w:sz w:val="24"/>
          <w:szCs w:val="24"/>
        </w:rPr>
        <w:lastRenderedPageBreak/>
        <w:t>sea parte, así como de las garantías para su protección, cuyo ejercicio no podrá restringirse ni suspenderse, salvo en los caso</w:t>
      </w:r>
      <w:r>
        <w:rPr>
          <w:rFonts w:ascii="Arial" w:eastAsia="Arial" w:hAnsi="Arial" w:cs="Arial"/>
          <w:color w:val="000000"/>
          <w:sz w:val="24"/>
          <w:szCs w:val="24"/>
        </w:rPr>
        <w:t>s y bajo las condiciones que es</w:t>
      </w:r>
      <w:r w:rsidRPr="00F20802">
        <w:rPr>
          <w:rFonts w:ascii="Arial" w:eastAsia="Arial" w:hAnsi="Arial" w:cs="Arial"/>
          <w:color w:val="000000"/>
          <w:sz w:val="24"/>
          <w:szCs w:val="24"/>
        </w:rPr>
        <w:t xml:space="preserve">a </w:t>
      </w:r>
      <w:r>
        <w:rPr>
          <w:rFonts w:ascii="Arial" w:eastAsia="Arial" w:hAnsi="Arial" w:cs="Arial"/>
          <w:color w:val="000000"/>
          <w:sz w:val="24"/>
          <w:szCs w:val="24"/>
        </w:rPr>
        <w:t xml:space="preserve"> misma </w:t>
      </w:r>
      <w:r w:rsidRPr="00F20802">
        <w:rPr>
          <w:rFonts w:ascii="Arial" w:eastAsia="Arial" w:hAnsi="Arial" w:cs="Arial"/>
          <w:color w:val="000000"/>
          <w:sz w:val="24"/>
          <w:szCs w:val="24"/>
        </w:rPr>
        <w:t xml:space="preserve">Constitución establece. </w:t>
      </w:r>
      <w:r>
        <w:rPr>
          <w:rFonts w:ascii="Arial" w:eastAsia="Arial" w:hAnsi="Arial" w:cs="Arial"/>
          <w:color w:val="000000"/>
          <w:sz w:val="24"/>
          <w:szCs w:val="24"/>
        </w:rPr>
        <w:t>Y que l</w:t>
      </w:r>
      <w:r w:rsidRPr="00F20802">
        <w:rPr>
          <w:rFonts w:ascii="Arial" w:eastAsia="Arial" w:hAnsi="Arial" w:cs="Arial"/>
          <w:color w:val="000000"/>
          <w:sz w:val="24"/>
          <w:szCs w:val="24"/>
        </w:rPr>
        <w:t>as normas relativas a los derechos humanos se inter</w:t>
      </w:r>
      <w:r>
        <w:rPr>
          <w:rFonts w:ascii="Arial" w:eastAsia="Arial" w:hAnsi="Arial" w:cs="Arial"/>
          <w:color w:val="000000"/>
          <w:sz w:val="24"/>
          <w:szCs w:val="24"/>
        </w:rPr>
        <w:t>pretarán de conformidad con la referida</w:t>
      </w:r>
      <w:r w:rsidRPr="00F20802">
        <w:rPr>
          <w:rFonts w:ascii="Arial" w:eastAsia="Arial" w:hAnsi="Arial" w:cs="Arial"/>
          <w:color w:val="000000"/>
          <w:sz w:val="24"/>
          <w:szCs w:val="24"/>
        </w:rPr>
        <w:t xml:space="preserve"> Constitución y con los tratados internacionales de la materia favoreciendo en todo tiempo a las personas la protección más amplia.</w:t>
      </w:r>
    </w:p>
    <w:p w14:paraId="5B1119A3" w14:textId="77777777" w:rsidR="00A55EAC" w:rsidRDefault="00FA4419"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Refiriendo el artículo 17 de nuestra Carta Magna que t</w:t>
      </w:r>
      <w:r w:rsidRPr="00FA4419">
        <w:rPr>
          <w:rFonts w:ascii="Arial" w:eastAsia="Arial" w:hAnsi="Arial" w:cs="Arial"/>
          <w:color w:val="000000"/>
          <w:sz w:val="24"/>
          <w:szCs w:val="24"/>
        </w:rPr>
        <w:t>oda persona tiene derecho a que</w:t>
      </w:r>
      <w:r w:rsidR="00EB5F85">
        <w:rPr>
          <w:rFonts w:ascii="Arial" w:eastAsia="Arial" w:hAnsi="Arial" w:cs="Arial"/>
          <w:color w:val="000000"/>
          <w:sz w:val="24"/>
          <w:szCs w:val="24"/>
        </w:rPr>
        <w:t xml:space="preserve"> se le administre justicia por T</w:t>
      </w:r>
      <w:r w:rsidRPr="00FA4419">
        <w:rPr>
          <w:rFonts w:ascii="Arial" w:eastAsia="Arial" w:hAnsi="Arial" w:cs="Arial"/>
          <w:color w:val="000000"/>
          <w:sz w:val="24"/>
          <w:szCs w:val="24"/>
        </w:rPr>
        <w:t>ribunales que estarán expeditos para impartirla en los plazos y términos que fijen las leyes, emitiendo sus resoluciones de manera pronta, completa e imparcial</w:t>
      </w:r>
      <w:r>
        <w:rPr>
          <w:rFonts w:ascii="Arial" w:eastAsia="Arial" w:hAnsi="Arial" w:cs="Arial"/>
          <w:color w:val="000000"/>
          <w:sz w:val="24"/>
          <w:szCs w:val="24"/>
        </w:rPr>
        <w:t>.</w:t>
      </w:r>
    </w:p>
    <w:p w14:paraId="3A115802" w14:textId="77777777" w:rsidR="00F72A4E" w:rsidRDefault="00F72A4E" w:rsidP="00F72A4E">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Disponiendo los artículos transcritos de la </w:t>
      </w:r>
      <w:r w:rsidRPr="00F72A4E">
        <w:rPr>
          <w:rFonts w:ascii="Arial" w:eastAsia="Arial" w:hAnsi="Arial" w:cs="Arial"/>
          <w:color w:val="000000"/>
          <w:sz w:val="24"/>
          <w:szCs w:val="24"/>
        </w:rPr>
        <w:t>Convención Americana Sobre Derechos Humanos</w:t>
      </w:r>
      <w:r>
        <w:rPr>
          <w:rFonts w:ascii="Arial" w:eastAsia="Arial" w:hAnsi="Arial" w:cs="Arial"/>
          <w:color w:val="000000"/>
          <w:sz w:val="24"/>
          <w:szCs w:val="24"/>
        </w:rPr>
        <w:t>, que t</w:t>
      </w:r>
      <w:r w:rsidRPr="00F72A4E">
        <w:rPr>
          <w:rFonts w:ascii="Arial" w:eastAsia="Arial" w:hAnsi="Arial" w:cs="Arial"/>
          <w:color w:val="000000"/>
          <w:sz w:val="24"/>
          <w:szCs w:val="24"/>
        </w:rPr>
        <w: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w:t>
      </w:r>
      <w:r>
        <w:rPr>
          <w:rFonts w:ascii="Arial" w:eastAsia="Arial" w:hAnsi="Arial" w:cs="Arial"/>
          <w:color w:val="000000"/>
          <w:sz w:val="24"/>
          <w:szCs w:val="24"/>
        </w:rPr>
        <w:t xml:space="preserve">al o de cualquier otro carácter; y que tiene </w:t>
      </w:r>
      <w:r w:rsidRPr="00F72A4E">
        <w:rPr>
          <w:rFonts w:ascii="Arial" w:eastAsia="Arial" w:hAnsi="Arial" w:cs="Arial"/>
          <w:color w:val="000000"/>
          <w:sz w:val="24"/>
          <w:szCs w:val="24"/>
        </w:rPr>
        <w:t xml:space="preserve">derecho a un recurso sencillo y rápido o a cualquier otro recurso efectivo ante los jueces o tribunales competentes, que la ampare contra actos que violen sus derechos fundamentales reconocidos por la </w:t>
      </w:r>
      <w:r w:rsidR="00EB5F85">
        <w:rPr>
          <w:rFonts w:ascii="Arial" w:eastAsia="Arial" w:hAnsi="Arial" w:cs="Arial"/>
          <w:color w:val="000000"/>
          <w:sz w:val="24"/>
          <w:szCs w:val="24"/>
        </w:rPr>
        <w:t>Constitución, la ley o dicha</w:t>
      </w:r>
      <w:r w:rsidRPr="00F72A4E">
        <w:rPr>
          <w:rFonts w:ascii="Arial" w:eastAsia="Arial" w:hAnsi="Arial" w:cs="Arial"/>
          <w:color w:val="000000"/>
          <w:sz w:val="24"/>
          <w:szCs w:val="24"/>
        </w:rPr>
        <w:t xml:space="preserve"> Convención, aun cuando tal violación sea cometida por personas que actúen en ejercicio de sus funciones oficiales.</w:t>
      </w:r>
    </w:p>
    <w:p w14:paraId="466A1DBE" w14:textId="77777777" w:rsidR="00FA4419" w:rsidRDefault="00FA4419" w:rsidP="00FC2AE5">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En este contexto,</w:t>
      </w:r>
      <w:r w:rsidRPr="00FA4419">
        <w:rPr>
          <w:rFonts w:ascii="Arial" w:eastAsia="Arial" w:hAnsi="Arial" w:cs="Arial"/>
          <w:color w:val="000000"/>
          <w:sz w:val="24"/>
          <w:szCs w:val="24"/>
        </w:rPr>
        <w:t xml:space="preserve"> cuando la pretensión del actor en la demanda</w:t>
      </w:r>
      <w:r>
        <w:rPr>
          <w:rFonts w:ascii="Arial" w:eastAsia="Arial" w:hAnsi="Arial" w:cs="Arial"/>
          <w:color w:val="000000"/>
          <w:sz w:val="24"/>
          <w:szCs w:val="24"/>
        </w:rPr>
        <w:t xml:space="preserve"> </w:t>
      </w:r>
      <w:r w:rsidRPr="00FA4419">
        <w:rPr>
          <w:rFonts w:ascii="Arial" w:eastAsia="Arial" w:hAnsi="Arial" w:cs="Arial"/>
          <w:color w:val="000000"/>
          <w:sz w:val="24"/>
          <w:szCs w:val="24"/>
        </w:rPr>
        <w:t>de nulidad consiste en que se aborden aspectos de la resolución controvertida en sede</w:t>
      </w:r>
      <w:r>
        <w:rPr>
          <w:rFonts w:ascii="Arial" w:eastAsia="Arial" w:hAnsi="Arial" w:cs="Arial"/>
          <w:color w:val="000000"/>
          <w:sz w:val="24"/>
          <w:szCs w:val="24"/>
        </w:rPr>
        <w:t xml:space="preserve"> </w:t>
      </w:r>
      <w:r w:rsidRPr="00FA4419">
        <w:rPr>
          <w:rFonts w:ascii="Arial" w:eastAsia="Arial" w:hAnsi="Arial" w:cs="Arial"/>
          <w:color w:val="000000"/>
          <w:sz w:val="24"/>
          <w:szCs w:val="24"/>
        </w:rPr>
        <w:t xml:space="preserve">administrativa, </w:t>
      </w:r>
      <w:r>
        <w:rPr>
          <w:rFonts w:ascii="Arial" w:eastAsia="Arial" w:hAnsi="Arial" w:cs="Arial"/>
          <w:color w:val="000000"/>
          <w:sz w:val="24"/>
          <w:szCs w:val="24"/>
        </w:rPr>
        <w:t>esta</w:t>
      </w:r>
      <w:r w:rsidRPr="00FA4419">
        <w:rPr>
          <w:rFonts w:ascii="Arial" w:eastAsia="Arial" w:hAnsi="Arial" w:cs="Arial"/>
          <w:color w:val="000000"/>
          <w:sz w:val="24"/>
          <w:szCs w:val="24"/>
        </w:rPr>
        <w:t xml:space="preserve"> Sala puede realizar su estudio, bajo el princip</w:t>
      </w:r>
      <w:r>
        <w:rPr>
          <w:rFonts w:ascii="Arial" w:eastAsia="Arial" w:hAnsi="Arial" w:cs="Arial"/>
          <w:color w:val="000000"/>
          <w:sz w:val="24"/>
          <w:szCs w:val="24"/>
        </w:rPr>
        <w:t xml:space="preserve">io de </w:t>
      </w:r>
      <w:r w:rsidR="00EA0AF9">
        <w:rPr>
          <w:rFonts w:ascii="Arial" w:eastAsia="Arial" w:hAnsi="Arial" w:cs="Arial"/>
          <w:color w:val="000000"/>
          <w:sz w:val="24"/>
          <w:szCs w:val="24"/>
        </w:rPr>
        <w:t>Litis</w:t>
      </w:r>
      <w:r>
        <w:rPr>
          <w:rFonts w:ascii="Arial" w:eastAsia="Arial" w:hAnsi="Arial" w:cs="Arial"/>
          <w:color w:val="000000"/>
          <w:sz w:val="24"/>
          <w:szCs w:val="24"/>
        </w:rPr>
        <w:t xml:space="preserve"> abierta, </w:t>
      </w:r>
      <w:r w:rsidRPr="00FA4419">
        <w:rPr>
          <w:rFonts w:ascii="Arial" w:eastAsia="Arial" w:hAnsi="Arial" w:cs="Arial"/>
          <w:color w:val="000000"/>
          <w:sz w:val="24"/>
          <w:szCs w:val="24"/>
        </w:rPr>
        <w:t>porque la pretensión del actor es obtener un pronunciamiento sobre ello,</w:t>
      </w:r>
      <w:r>
        <w:rPr>
          <w:rFonts w:ascii="Arial" w:eastAsia="Arial" w:hAnsi="Arial" w:cs="Arial"/>
          <w:color w:val="000000"/>
          <w:sz w:val="24"/>
          <w:szCs w:val="24"/>
        </w:rPr>
        <w:t xml:space="preserve"> y </w:t>
      </w:r>
      <w:r w:rsidR="00EA0AF9">
        <w:rPr>
          <w:rFonts w:ascii="Arial" w:eastAsia="Arial" w:hAnsi="Arial" w:cs="Arial"/>
          <w:color w:val="000000"/>
          <w:sz w:val="24"/>
          <w:szCs w:val="24"/>
        </w:rPr>
        <w:t>porque</w:t>
      </w:r>
      <w:r>
        <w:rPr>
          <w:rFonts w:ascii="Arial" w:eastAsia="Arial" w:hAnsi="Arial" w:cs="Arial"/>
          <w:color w:val="000000"/>
          <w:sz w:val="24"/>
          <w:szCs w:val="24"/>
        </w:rPr>
        <w:t xml:space="preserve"> con ello</w:t>
      </w:r>
      <w:r w:rsidRPr="00FA4419">
        <w:rPr>
          <w:rFonts w:ascii="Arial" w:eastAsia="Arial" w:hAnsi="Arial" w:cs="Arial"/>
          <w:color w:val="000000"/>
          <w:sz w:val="24"/>
          <w:szCs w:val="24"/>
        </w:rPr>
        <w:t xml:space="preserve"> se logra un pronunciamiento no sólo </w:t>
      </w:r>
      <w:r>
        <w:rPr>
          <w:rFonts w:ascii="Arial" w:eastAsia="Arial" w:hAnsi="Arial" w:cs="Arial"/>
          <w:color w:val="000000"/>
          <w:sz w:val="24"/>
          <w:szCs w:val="24"/>
        </w:rPr>
        <w:t xml:space="preserve">de aspectos formales </w:t>
      </w:r>
      <w:r w:rsidRPr="00FA4419">
        <w:rPr>
          <w:rFonts w:ascii="Arial" w:eastAsia="Arial" w:hAnsi="Arial" w:cs="Arial"/>
          <w:color w:val="000000"/>
          <w:sz w:val="24"/>
          <w:szCs w:val="24"/>
        </w:rPr>
        <w:t>de la</w:t>
      </w:r>
      <w:r>
        <w:rPr>
          <w:rFonts w:ascii="Arial" w:eastAsia="Arial" w:hAnsi="Arial" w:cs="Arial"/>
          <w:color w:val="000000"/>
          <w:sz w:val="24"/>
          <w:szCs w:val="24"/>
        </w:rPr>
        <w:t xml:space="preserve"> resolución impugnada</w:t>
      </w:r>
      <w:r w:rsidRPr="00FA4419">
        <w:rPr>
          <w:rFonts w:ascii="Arial" w:eastAsia="Arial" w:hAnsi="Arial" w:cs="Arial"/>
          <w:color w:val="000000"/>
          <w:sz w:val="24"/>
          <w:szCs w:val="24"/>
        </w:rPr>
        <w:t>, sino que se procura una resolución de fondo de la controversia,</w:t>
      </w:r>
      <w:r w:rsidR="00FC2AE5">
        <w:rPr>
          <w:rFonts w:ascii="Arial" w:eastAsia="Arial" w:hAnsi="Arial" w:cs="Arial"/>
          <w:color w:val="000000"/>
          <w:sz w:val="24"/>
          <w:szCs w:val="24"/>
        </w:rPr>
        <w:t xml:space="preserve"> obteniendo así </w:t>
      </w:r>
      <w:r w:rsidRPr="00FA4419">
        <w:rPr>
          <w:rFonts w:ascii="Arial" w:eastAsia="Arial" w:hAnsi="Arial" w:cs="Arial"/>
          <w:color w:val="000000"/>
          <w:sz w:val="24"/>
          <w:szCs w:val="24"/>
        </w:rPr>
        <w:t>acceso a una justicia completa</w:t>
      </w:r>
      <w:r w:rsidR="00FC2AE5">
        <w:rPr>
          <w:rFonts w:ascii="Arial" w:eastAsia="Arial" w:hAnsi="Arial" w:cs="Arial"/>
          <w:color w:val="000000"/>
          <w:sz w:val="24"/>
          <w:szCs w:val="24"/>
        </w:rPr>
        <w:t>.</w:t>
      </w:r>
    </w:p>
    <w:p w14:paraId="7003D3C5" w14:textId="77777777" w:rsidR="00FA4419" w:rsidRDefault="00645C5E"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Resultan aplicables los siguientes criterios de datos, rubro</w:t>
      </w:r>
      <w:r w:rsidR="00D747D6">
        <w:rPr>
          <w:rFonts w:ascii="Arial" w:eastAsia="Arial" w:hAnsi="Arial" w:cs="Arial"/>
          <w:color w:val="000000"/>
          <w:sz w:val="24"/>
          <w:szCs w:val="24"/>
        </w:rPr>
        <w:t>s</w:t>
      </w:r>
      <w:r>
        <w:rPr>
          <w:rFonts w:ascii="Arial" w:eastAsia="Arial" w:hAnsi="Arial" w:cs="Arial"/>
          <w:color w:val="000000"/>
          <w:sz w:val="24"/>
          <w:szCs w:val="24"/>
        </w:rPr>
        <w:t xml:space="preserve"> y texto</w:t>
      </w:r>
      <w:r w:rsidR="00D747D6">
        <w:rPr>
          <w:rFonts w:ascii="Arial" w:eastAsia="Arial" w:hAnsi="Arial" w:cs="Arial"/>
          <w:color w:val="000000"/>
          <w:sz w:val="24"/>
          <w:szCs w:val="24"/>
        </w:rPr>
        <w:t>s</w:t>
      </w:r>
      <w:r>
        <w:rPr>
          <w:rFonts w:ascii="Arial" w:eastAsia="Arial" w:hAnsi="Arial" w:cs="Arial"/>
          <w:color w:val="000000"/>
          <w:sz w:val="24"/>
          <w:szCs w:val="24"/>
        </w:rPr>
        <w:t xml:space="preserve"> siguientes:</w:t>
      </w:r>
    </w:p>
    <w:p w14:paraId="5DE00CEC"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Registro digital</w:t>
      </w:r>
      <w:r w:rsidRPr="0045169C">
        <w:rPr>
          <w:rFonts w:ascii="Arial" w:hAnsi="Arial" w:cs="Arial"/>
        </w:rPr>
        <w:t xml:space="preserve">: 2021124 </w:t>
      </w:r>
    </w:p>
    <w:p w14:paraId="775CAA59"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Instancia:</w:t>
      </w:r>
      <w:r w:rsidRPr="0045169C">
        <w:rPr>
          <w:rFonts w:ascii="Arial" w:hAnsi="Arial" w:cs="Arial"/>
        </w:rPr>
        <w:t xml:space="preserve"> Tribunales Colegiados de Circuito Décima Época </w:t>
      </w:r>
    </w:p>
    <w:p w14:paraId="390018C3"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Materia(s):</w:t>
      </w:r>
      <w:r w:rsidRPr="0045169C">
        <w:rPr>
          <w:rFonts w:ascii="Arial" w:hAnsi="Arial" w:cs="Arial"/>
        </w:rPr>
        <w:t xml:space="preserve"> Constitucional, Común Tesis: XIX.1o. J/7 (10a.) </w:t>
      </w:r>
    </w:p>
    <w:p w14:paraId="53C2B134"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Fuente:</w:t>
      </w:r>
      <w:r w:rsidRPr="0045169C">
        <w:rPr>
          <w:rFonts w:ascii="Arial" w:hAnsi="Arial" w:cs="Arial"/>
        </w:rPr>
        <w:t xml:space="preserve"> Gaceta del Semanario Judicial de la Federación. Libro 72, Noviembre de 2019, Tomo III, página 2000 </w:t>
      </w:r>
    </w:p>
    <w:p w14:paraId="6F14F2DA"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5169C">
        <w:rPr>
          <w:rFonts w:ascii="Arial" w:hAnsi="Arial" w:cs="Arial"/>
          <w:b/>
        </w:rPr>
        <w:t>Tipo:</w:t>
      </w:r>
      <w:r w:rsidRPr="0045169C">
        <w:rPr>
          <w:rFonts w:ascii="Arial" w:hAnsi="Arial" w:cs="Arial"/>
        </w:rPr>
        <w:t xml:space="preserve"> Jurisprudencia</w:t>
      </w:r>
    </w:p>
    <w:p w14:paraId="11B582AB"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7B629C21" w14:textId="77777777"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rPr>
      </w:pPr>
      <w:r w:rsidRPr="0045169C">
        <w:rPr>
          <w:rFonts w:ascii="Arial" w:hAnsi="Arial" w:cs="Arial"/>
          <w:b/>
        </w:rPr>
        <w:t xml:space="preserve">PRINCIPIOS DE PREVALENCIA DE INTERPRETACIÓN Y PRO PERSONA. CONFORME A ÉSTOS, CUANDO UNA NORMA GENERA VARIAS ALTERNATIVAS DE INTERPRETACIÓN, DEBE OPTARSE POR AQUELLA </w:t>
      </w:r>
      <w:r w:rsidRPr="0045169C">
        <w:rPr>
          <w:rFonts w:ascii="Arial" w:hAnsi="Arial" w:cs="Arial"/>
          <w:b/>
        </w:rPr>
        <w:lastRenderedPageBreak/>
        <w:t xml:space="preserve">QUE RECONOZCA CON MAYOR AMPLITUD LOS DERECHOS, O BIEN, QUE LOS RESTRINJA EN LA MENOR MEDIDA. </w:t>
      </w:r>
    </w:p>
    <w:p w14:paraId="110C9F2B"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rPr>
      </w:pPr>
    </w:p>
    <w:p w14:paraId="2C42EDCB"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Cuando una norma pueda interpretarse de diversas formas, para solucionar el dilema interpretativo, debe atenderse al artículo 1o., segundo párrafo, de la Constitución Política de los Estados Unidos Mexicanos, reformado mediante decreto publicado en el Diario Oficial de la Federación el 10 de junio de 2011, en virtud del cual, las normas relativas a los derechos humanos deben interpretarse de conformidad con la propia Constitución y los tratados internacionales de los que México sea Parte, lo que se traduce en la obligación de analizar el contenido y alcance de esos derechos a partir del principio pro persona; de modo que ante varias alternativas interpretativas, se opte por aquella que reconozca con mayor amplitud los derechos, o bien, que los restrinja en la menor medida. De esa manera, debe atenderse al principio de prevalencia de interpretación, conforme al cual, el intérprete no es libre de elegir, sino que debe seleccionarse la opción interpretativa que genere mayor o mejor protección a los derechos. </w:t>
      </w:r>
    </w:p>
    <w:p w14:paraId="1EA94EED" w14:textId="77777777"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6045AD31"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PRIMER TRIBUNAL COLEGIADO DEL DÉCIMO NOVENO CIRCUITO. Incidente de inejecución de sentencia 4/2018. 20 de septiembre de 2018. Unanimidad de votos. Ponente: Mauricio Fernández de la Mora. Secretario: Jesús Desiderio Cavazos Elizondo. Incidente de inejecución de sentencia 5/2018. 20 de septiembre de 2018. Unanimidad de votos. Ponente: Mauricio Fernández de la Mora. Secretario: Jesús Desiderio Cavazos Elizondo. Incidente de inejecución de sentencia 6/2018. 20 de septiembre de 2018. Unanimidad de votos. Ponente: Mauricio Fernández de la Mora. Secretario: Jesús Desiderio Cavazos Elizondo. Incidente de inejecución de sentencia 7/2018. 20 de septiembre de 2018. Unanimidad de votos. Ponente: Mauricio Fernández de la Mora. Secretario: Jesús Desiderio Cavazos Elizondo. Recurso de inconformidad previsto en las fracciones I a III del artículo 201 de la Ley de Amparo 19/2018. 28 de agosto de 2019. Unanimidad de votos. Ponente: Mauricio Fernández de la Mora. Secretario: Jesús Desiderio Cavazos Elizondo. </w:t>
      </w:r>
    </w:p>
    <w:p w14:paraId="6C121B7F" w14:textId="77777777" w:rsidR="004920D7" w:rsidRDefault="004920D7"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DB5CA28"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Registro digital</w:t>
      </w:r>
      <w:r w:rsidRPr="004920D7">
        <w:rPr>
          <w:rFonts w:ascii="Arial" w:eastAsia="Arial" w:hAnsi="Arial" w:cs="Arial"/>
          <w:color w:val="000000"/>
        </w:rPr>
        <w:t>: 2014332</w:t>
      </w:r>
    </w:p>
    <w:p w14:paraId="12190D1E"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Instancia:</w:t>
      </w:r>
      <w:r w:rsidRPr="004920D7">
        <w:rPr>
          <w:rFonts w:ascii="Arial" w:eastAsia="Arial" w:hAnsi="Arial" w:cs="Arial"/>
          <w:color w:val="000000"/>
        </w:rPr>
        <w:t xml:space="preserve"> Primera Sala</w:t>
      </w:r>
    </w:p>
    <w:p w14:paraId="6618EE4B"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4920D7">
        <w:rPr>
          <w:rFonts w:ascii="Arial" w:eastAsia="Arial" w:hAnsi="Arial" w:cs="Arial"/>
          <w:b/>
          <w:color w:val="000000"/>
        </w:rPr>
        <w:t>Décima Época</w:t>
      </w:r>
    </w:p>
    <w:p w14:paraId="657AAE80"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Materia(s):</w:t>
      </w:r>
      <w:r w:rsidRPr="004920D7">
        <w:rPr>
          <w:rFonts w:ascii="Arial" w:eastAsia="Arial" w:hAnsi="Arial" w:cs="Arial"/>
          <w:color w:val="000000"/>
        </w:rPr>
        <w:t xml:space="preserve"> Constitucional</w:t>
      </w:r>
    </w:p>
    <w:p w14:paraId="2E855CFC"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 xml:space="preserve">Tesis: </w:t>
      </w:r>
      <w:r w:rsidRPr="004920D7">
        <w:rPr>
          <w:rFonts w:ascii="Arial" w:eastAsia="Arial" w:hAnsi="Arial" w:cs="Arial"/>
          <w:color w:val="000000"/>
        </w:rPr>
        <w:t>1a./J. 37/2017 (10a.)</w:t>
      </w:r>
    </w:p>
    <w:p w14:paraId="4D4D0C62"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Fuente:</w:t>
      </w:r>
      <w:r w:rsidRPr="004920D7">
        <w:rPr>
          <w:rFonts w:ascii="Arial" w:eastAsia="Arial" w:hAnsi="Arial" w:cs="Arial"/>
          <w:color w:val="000000"/>
        </w:rPr>
        <w:t xml:space="preserve"> Gaceta del Semanario Judicial de la Federación.</w:t>
      </w:r>
    </w:p>
    <w:p w14:paraId="1FE0E777"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color w:val="000000"/>
        </w:rPr>
        <w:t>Libro 42, Mayo de 2017, Tomo I, página 239</w:t>
      </w:r>
    </w:p>
    <w:p w14:paraId="121C8E3C" w14:textId="77777777" w:rsid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Tipo:</w:t>
      </w:r>
      <w:r w:rsidRPr="004920D7">
        <w:rPr>
          <w:rFonts w:ascii="Arial" w:eastAsia="Arial" w:hAnsi="Arial" w:cs="Arial"/>
          <w:color w:val="000000"/>
        </w:rPr>
        <w:t xml:space="preserve"> Jurisprudencia</w:t>
      </w:r>
    </w:p>
    <w:p w14:paraId="6C894AA4" w14:textId="77777777" w:rsidR="004920D7" w:rsidRDefault="004920D7"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A017448"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4920D7">
        <w:rPr>
          <w:rFonts w:ascii="Arial" w:eastAsia="Arial" w:hAnsi="Arial" w:cs="Arial"/>
          <w:b/>
          <w:color w:val="000000"/>
        </w:rPr>
        <w:t>INTERPRETACIÓN CONFORME. NATURALEZA Y ALCANCES A LA LUZ DEL PRINCIPIO PRO PERSONA.</w:t>
      </w:r>
    </w:p>
    <w:p w14:paraId="54D6CDFD"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FA948F6"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color w:val="000000"/>
        </w:rPr>
        <w:t xml:space="preserve">A juicio de esta Primera Sala de la Suprema Corte de Justicia de la Nación, la supremacía normativa de la Constitución no se manifiesta sólo en su aptitud de servir como parámetro de validez de todas las demás normas jurídicas, sino también en la exigencia de que tales normas, a la hora de ser aplicadas, se interpreten de acuerdo con los preceptos constitucionales; de forma que, en caso de que existan varias posibilidades de interpretación de la norma en cuestión, se elija aquella que mejor se ajuste a lo dispuesto en la Constitución. En otras palabras, esa supremacía intrínseca no sólo opera en el momento de la creación de las normas, cuyo contenido ha de ser compatible con la Constitución en el momento de su aprobación, sino que se prolonga, ahora como parámetro interpretativo, a la fase de aplicación de esas normas. A su eficacia normativa directa se añade su eficacia como marco de referencia o criterio dominante en la interpretación de las restantes normas. Este principio de interpretación conforme de todas las normas del ordenamiento con la Constitución, reiteradamente utilizado por esta Suprema Corte de Justicia de la Nación, es una consecuencia elemental de la concepción del ordenamiento como una estructura coherente, como una unidad o contexto. Es importante advertir que esta regla interpretativa opera con carácter previo al juicio de invalidez. Es decir, que antes de considerar a una norma jurídica como constitucionalmente inválida, es necesario agotar todas las posibilidades de encontrar en ella un significado que la haga compatible con la Constitución y que le permita, por tanto, subsistir dentro del ordenamiento; de </w:t>
      </w:r>
      <w:r w:rsidRPr="004920D7">
        <w:rPr>
          <w:rFonts w:ascii="Arial" w:eastAsia="Arial" w:hAnsi="Arial" w:cs="Arial"/>
          <w:color w:val="000000"/>
        </w:rPr>
        <w:lastRenderedPageBreak/>
        <w:t>manera que sólo en el caso de que exista una clara incompatibilidad o una contradicción insalvable entre la norma ordinaria y la Constitución, procedería declararla inconstitucional. En esta lógica, el intérprete debe evitar en la medida de lo posible ese desenlace e interpretar las normas de tal modo que la contradicción no se produzca y la norma pueda salvarse. Así el juez ha de procurar, siempre que sea posible, huir del vacío que se produce cuando se niega validez a una norma y, en el caso concreto, de ser posibles varias interpretaciones, debe preferirse aquella que salve la aparente contradicción. Ahora bien la interpretación de las normas conforme a la Constitución se ha fundamentado tradicionalmente en el principio de conservación de ley, que se asienta a su vez en el principio de seguridad jurídica y en la legitimidad democrática del legislador. En el caso de la ley, fruto de la voluntad de los representantes democráticamente elegidos, el principio general de conservación de las normas se ve reforzado por una más intensa presunción de validez. Los tribunales, en el marco de sus competencias, sólo pueden declarar la inconstitucionalidad de una ley cuando no resulte posible una interpretación conforme con la Constitución. En cualquier caso, las normas son válidas mientras un tribunal no diga lo contrario. Asimismo, hoy en día, el principio de interpretación conforme de todas las normas del ordenamiento a la Constitución, se ve reforzado por el principio pro persona, contenido en el artículo 1o. de la Constitución Política de los Estados Unidos Mexicanos, el cual obliga a maximizar la interpretación conforme en aquellos escenarios en los cuales, dicha interpretación permita la efectividad de los derechos fundamentales de las personas frente al vacío legislativo que puede provocar una declaración de inconstitucionalidad de la norma.</w:t>
      </w:r>
    </w:p>
    <w:p w14:paraId="2C60EE58"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DA46BCE" w14:textId="77777777" w:rsid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color w:val="000000"/>
        </w:rPr>
        <w:t>Amparo en revisión 159/2013. 16 de octubre de 2013. Mayoría de cuatro votos de los Ministros Arturo Zaldívar Lelo de Larrea, Alfredo Gutiérrez Ortiz Mena, Olga Sánchez Cordero de García Villegas, quien formuló voto concurrente y Jorge Mario Pardo Rebolledo. Disidente: José Ramón Cossío Díaz, quien formuló voto particular. Ponente: Arturo Zaldívar Lelo de Larrea. Secretario: Javier Mijangos y González.</w:t>
      </w:r>
    </w:p>
    <w:p w14:paraId="47C87C67"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1594897"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Registro digital:</w:t>
      </w:r>
      <w:r w:rsidRPr="0045169C">
        <w:rPr>
          <w:rFonts w:ascii="Arial" w:hAnsi="Arial" w:cs="Arial"/>
        </w:rPr>
        <w:t xml:space="preserve"> 2015884 </w:t>
      </w:r>
    </w:p>
    <w:p w14:paraId="0942CC82"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Instancia:</w:t>
      </w:r>
      <w:r w:rsidRPr="0045169C">
        <w:rPr>
          <w:rFonts w:ascii="Arial" w:hAnsi="Arial" w:cs="Arial"/>
        </w:rPr>
        <w:t xml:space="preserve"> Plenos de Circuito </w:t>
      </w:r>
    </w:p>
    <w:p w14:paraId="62AC503F"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Décima Época </w:t>
      </w:r>
    </w:p>
    <w:p w14:paraId="078F637F"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Materia(s)</w:t>
      </w:r>
      <w:r w:rsidRPr="0045169C">
        <w:rPr>
          <w:rFonts w:ascii="Arial" w:hAnsi="Arial" w:cs="Arial"/>
        </w:rPr>
        <w:t xml:space="preserve">: Administrativa </w:t>
      </w:r>
    </w:p>
    <w:p w14:paraId="22E8B41D"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Tesis</w:t>
      </w:r>
      <w:r w:rsidRPr="0045169C">
        <w:rPr>
          <w:rFonts w:ascii="Arial" w:hAnsi="Arial" w:cs="Arial"/>
        </w:rPr>
        <w:t xml:space="preserve">: PC.XXVII. J/11 A (10a.) </w:t>
      </w:r>
    </w:p>
    <w:p w14:paraId="5452801F"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Tipo:</w:t>
      </w:r>
      <w:r w:rsidRPr="0045169C">
        <w:rPr>
          <w:rFonts w:ascii="Arial" w:hAnsi="Arial" w:cs="Arial"/>
        </w:rPr>
        <w:t xml:space="preserve"> Jurisprudencia</w:t>
      </w:r>
    </w:p>
    <w:p w14:paraId="7C09F8F4" w14:textId="77777777"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25A0A4B9" w14:textId="77777777" w:rsidR="004631EA"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rPr>
      </w:pPr>
      <w:r w:rsidRPr="0045169C">
        <w:rPr>
          <w:rFonts w:ascii="Arial" w:hAnsi="Arial" w:cs="Arial"/>
          <w:b/>
        </w:rPr>
        <w:t xml:space="preserve">LITIS ABIERTA. ESTE PRINCIPIO ES APLICABLE EN EL PROCEDIMIENTO CONTENCIOSO ADMINISTRATIVO REGULADO POR LA LEY DE JUSTICIA ADMINISTRATIVA DEL ESTADO DE QUINTANA ROO. </w:t>
      </w:r>
    </w:p>
    <w:p w14:paraId="1EDC1F42" w14:textId="77777777"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7DA7D67A" w14:textId="77777777" w:rsidR="004631EA"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El procedimiento contencioso administrativo en el Estado de Quintana Roo, posee rasgos de un procedimiento inquisitivo, en la medida en que el legislador lo estableció como de orden público e interés social, con facultades de la Sala Constitucional y Administrativa del Tribunal Superior de Justicia de la entidad para indagar la verdad, a través del requerimiento de pruebas y del libre interrogatorio; en el que puede pronunciarse en la sentencia, no sólo respecto de las pretensiones de las partes, sino de los elementos de validez del acto o resolución impugnado, como es la competencia y la fundamentación y motivación. Así, cuando la pretensión del actor en la demanda de nulidad consiste en que se aborden aspectos de la resolución controvertida en sede administrativa, por haber mejorado los argumentos expuestos ante la enjuiciada, o expuesto incluso otros novedosos, la Sala puede realizar su estudio, bajo el principio de litis abierta, en caso de proceder, precisamente porque la pretensión del actor es obtener un pronunciamiento sobre ello, otorgándose a la autoridad demandada la oportunidad de defenderse, al formular su contestación; además, porque con ello se logra un pronunciamiento no sólo de aspectos formales del acto o de la resolución impugnado, sino que se procura una resolución de fondo de la controversia, lo que deriva de los artículos 193 a 196 de la Ley de Justicia Administrativa del Estado de Quintana Roo, aplicados conforme al derecho a la tutela judicial efectiva, reconocido en los artículos 1o. y 17 de la Constitución Política de los Estados Unidos Mexicanos, 8, numeral 1, y 25, numeral 1, de la Convención Americana sobre Derechos Humanos, pues es la resolución de fondo, bajo el principio de litis </w:t>
      </w:r>
      <w:r w:rsidRPr="0045169C">
        <w:rPr>
          <w:rFonts w:ascii="Arial" w:hAnsi="Arial" w:cs="Arial"/>
        </w:rPr>
        <w:lastRenderedPageBreak/>
        <w:t xml:space="preserve">abierta, la que otorga la máxima aplicación de dicho derecho fundamental, bajo la perspectiva de acceso a una justicia completa. </w:t>
      </w:r>
    </w:p>
    <w:p w14:paraId="2ADC0CAB" w14:textId="77777777" w:rsidR="00F83A3C" w:rsidRPr="0045169C" w:rsidRDefault="00F83A3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56DEC9D2" w14:textId="77777777" w:rsidR="00FA4419"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5169C">
        <w:rPr>
          <w:rFonts w:ascii="Arial" w:hAnsi="Arial" w:cs="Arial"/>
        </w:rPr>
        <w:t>PLENO DEL VIGÉSIMO SÉPTIMO CIRCUITO. Contradicción de tesis 3/2017. Entre las sustentadas por los Tribunales Colegiados Primero y Tercero, ambos del Vigésimo Séptimo Circuito. 28 de junio de 2017. Mayoría de dos votos de los Magistrados Gerardo Dávila Gaona y Luis Manuel Vera Sosa. Disidente: Jorge Mercado Mejía. Ponente: Gerardo Dávila Gaona. Secretaria: Angélica del Carmen Ortuño Suárez. Criterios contendientes: El sustentado por el Primer Tribunal Colegiado del Vigésimo Séptimo Circuito, al resolver el amparo directo 391/2016, y el diverso sustentado por el Tercer Tribunal Colegiado del Vigésimo Séptimo Circuito, al resolver el amparo directo 387/2016. Esta tesis se publicó el viernes 15 de diciembre de 2017 a las 10:27 horas en el Semanario Judicial de la Federación y, por ende, se considera de aplicación obligatoria a partir del martes 02 de enero de 2018, para los efectos previstos en el punto séptimo del Acuerdo General Plenario 19/2013.</w:t>
      </w:r>
    </w:p>
    <w:p w14:paraId="3BF164FE" w14:textId="77777777" w:rsidR="00FA4419" w:rsidRPr="00A55EAC" w:rsidRDefault="00FA4419"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p>
    <w:p w14:paraId="36BC26BC" w14:textId="29717839" w:rsidR="00FE39C3" w:rsidRDefault="00D747D6"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eastAsia="Arial" w:hAnsi="Arial" w:cs="Arial"/>
          <w:color w:val="000000"/>
          <w:sz w:val="24"/>
          <w:szCs w:val="24"/>
        </w:rPr>
        <w:t xml:space="preserve">En este orden de ideas, se procede al </w:t>
      </w:r>
      <w:r w:rsidR="00FE39C3">
        <w:rPr>
          <w:rFonts w:ascii="Arial" w:eastAsia="Arial" w:hAnsi="Arial" w:cs="Arial"/>
          <w:color w:val="000000"/>
          <w:sz w:val="24"/>
          <w:szCs w:val="24"/>
        </w:rPr>
        <w:t>análisi</w:t>
      </w:r>
      <w:r w:rsidR="00F60496">
        <w:rPr>
          <w:rFonts w:ascii="Arial" w:eastAsia="Arial" w:hAnsi="Arial" w:cs="Arial"/>
          <w:color w:val="000000"/>
          <w:sz w:val="24"/>
          <w:szCs w:val="24"/>
        </w:rPr>
        <w:t>s de la multa recurrida (foja 33</w:t>
      </w:r>
      <w:r w:rsidR="00FE39C3">
        <w:rPr>
          <w:rFonts w:ascii="Arial" w:eastAsia="Arial" w:hAnsi="Arial" w:cs="Arial"/>
          <w:color w:val="000000"/>
          <w:sz w:val="24"/>
          <w:szCs w:val="24"/>
        </w:rPr>
        <w:t xml:space="preserve"> de autos) contenida en el oficio </w:t>
      </w:r>
      <w:r w:rsidR="009B6B11">
        <w:rPr>
          <w:rFonts w:ascii="Arial" w:eastAsia="Arial" w:hAnsi="Arial" w:cs="Arial"/>
          <w:color w:val="000000"/>
          <w:sz w:val="24"/>
          <w:szCs w:val="24"/>
        </w:rPr>
        <w:t xml:space="preserve">número de control </w:t>
      </w:r>
      <w:r w:rsidR="0028160A">
        <w:rPr>
          <w:rFonts w:ascii="Arial" w:eastAsia="Arial" w:hAnsi="Arial" w:cs="Arial"/>
          <w:color w:val="FF0000"/>
          <w:sz w:val="24"/>
          <w:szCs w:val="24"/>
        </w:rPr>
        <w:t>**********</w:t>
      </w:r>
      <w:r w:rsidR="009B6B11">
        <w:rPr>
          <w:rFonts w:ascii="Arial" w:eastAsia="Arial" w:hAnsi="Arial" w:cs="Arial"/>
          <w:color w:val="000000"/>
          <w:sz w:val="24"/>
          <w:szCs w:val="24"/>
        </w:rPr>
        <w:t xml:space="preserve"> de diecinueve de agosto </w:t>
      </w:r>
      <w:r w:rsidR="00FE39C3">
        <w:rPr>
          <w:rFonts w:ascii="Arial" w:eastAsia="Arial" w:hAnsi="Arial" w:cs="Arial"/>
          <w:color w:val="000000"/>
          <w:sz w:val="24"/>
          <w:szCs w:val="24"/>
        </w:rPr>
        <w:t xml:space="preserve">de dos mil diecinueve, </w:t>
      </w:r>
      <w:r w:rsidR="00847480">
        <w:rPr>
          <w:rFonts w:ascii="Arial" w:hAnsi="Arial" w:cs="Arial"/>
          <w:bCs/>
          <w:spacing w:val="-3"/>
          <w:sz w:val="24"/>
          <w:szCs w:val="24"/>
          <w:lang w:val="es-ES_tradnl"/>
        </w:rPr>
        <w:t>impuesta por</w:t>
      </w:r>
      <w:r w:rsidR="002B5432">
        <w:rPr>
          <w:rFonts w:ascii="Arial" w:hAnsi="Arial" w:cs="Arial"/>
          <w:bCs/>
          <w:spacing w:val="-3"/>
          <w:sz w:val="24"/>
          <w:szCs w:val="24"/>
          <w:lang w:val="es-ES_tradnl"/>
        </w:rPr>
        <w:t xml:space="preserve"> la</w:t>
      </w:r>
      <w:r w:rsidR="002B5432" w:rsidRPr="00BB1B71">
        <w:rPr>
          <w:rFonts w:ascii="Arial" w:hAnsi="Arial" w:cs="Arial"/>
          <w:bCs/>
          <w:spacing w:val="-3"/>
          <w:sz w:val="24"/>
          <w:szCs w:val="24"/>
          <w:lang w:val="es-ES_tradnl"/>
        </w:rPr>
        <w:t xml:space="preserve"> Directora de Ingresos y Recaudación de la Subsecretaría de Ingresos de la Secretaría de Finanzas del Gobierno del Estado de Oaxaca</w:t>
      </w:r>
      <w:r w:rsidR="00847480">
        <w:rPr>
          <w:rFonts w:ascii="Arial" w:hAnsi="Arial" w:cs="Arial"/>
          <w:bCs/>
          <w:spacing w:val="-3"/>
          <w:sz w:val="24"/>
          <w:szCs w:val="24"/>
          <w:lang w:val="es-ES_tradnl"/>
        </w:rPr>
        <w:t>,</w:t>
      </w:r>
      <w:r w:rsidR="002B5432">
        <w:rPr>
          <w:rFonts w:ascii="Arial" w:hAnsi="Arial" w:cs="Arial"/>
          <w:bCs/>
          <w:spacing w:val="-3"/>
          <w:sz w:val="24"/>
          <w:szCs w:val="24"/>
          <w:lang w:val="es-ES_tradnl"/>
        </w:rPr>
        <w:t xml:space="preserve"> a la C</w:t>
      </w:r>
      <w:r w:rsidR="009B6B11">
        <w:rPr>
          <w:rFonts w:ascii="Arial" w:hAnsi="Arial" w:cs="Arial"/>
          <w:bCs/>
          <w:spacing w:val="-3"/>
          <w:sz w:val="24"/>
          <w:szCs w:val="24"/>
          <w:lang w:val="es-ES_tradnl"/>
        </w:rPr>
        <w:t xml:space="preserve">. </w:t>
      </w:r>
      <w:r w:rsidR="0028160A">
        <w:rPr>
          <w:rFonts w:ascii="Arial" w:hAnsi="Arial" w:cs="Arial"/>
          <w:bCs/>
          <w:color w:val="FF0000"/>
          <w:spacing w:val="-3"/>
          <w:sz w:val="24"/>
          <w:szCs w:val="24"/>
          <w:lang w:val="es-ES_tradnl"/>
        </w:rPr>
        <w:t>**********</w:t>
      </w:r>
      <w:r w:rsidR="00847480">
        <w:rPr>
          <w:rFonts w:ascii="Arial" w:hAnsi="Arial" w:cs="Arial"/>
          <w:bCs/>
          <w:spacing w:val="-3"/>
          <w:sz w:val="24"/>
          <w:szCs w:val="24"/>
          <w:lang w:val="es-ES_tradnl"/>
        </w:rPr>
        <w:t>,</w:t>
      </w:r>
      <w:r w:rsidR="002B5432">
        <w:rPr>
          <w:rFonts w:ascii="Arial" w:hAnsi="Arial" w:cs="Arial"/>
          <w:bCs/>
          <w:spacing w:val="-3"/>
          <w:sz w:val="24"/>
          <w:szCs w:val="24"/>
          <w:lang w:val="es-ES_tradnl"/>
        </w:rPr>
        <w:t xml:space="preserve"> </w:t>
      </w:r>
      <w:r w:rsidR="00944E7F">
        <w:rPr>
          <w:rFonts w:ascii="Arial" w:hAnsi="Arial" w:cs="Arial"/>
          <w:bCs/>
          <w:spacing w:val="-3"/>
          <w:sz w:val="24"/>
          <w:szCs w:val="24"/>
          <w:lang w:val="es-ES_tradnl"/>
        </w:rPr>
        <w:t>equivalente a cincuenta veces el valor de la Unidad de Medida y Actualización publicada en el Diario Oficial de la Federa</w:t>
      </w:r>
      <w:r w:rsidR="00847480">
        <w:rPr>
          <w:rFonts w:ascii="Arial" w:hAnsi="Arial" w:cs="Arial"/>
          <w:bCs/>
          <w:spacing w:val="-3"/>
          <w:sz w:val="24"/>
          <w:szCs w:val="24"/>
          <w:lang w:val="es-ES_tradnl"/>
        </w:rPr>
        <w:t>ción vigente a partir del uno</w:t>
      </w:r>
      <w:r w:rsidR="00944E7F">
        <w:rPr>
          <w:rFonts w:ascii="Arial" w:hAnsi="Arial" w:cs="Arial"/>
          <w:bCs/>
          <w:spacing w:val="-3"/>
          <w:sz w:val="24"/>
          <w:szCs w:val="24"/>
          <w:lang w:val="es-ES_tradnl"/>
        </w:rPr>
        <w:t xml:space="preserve"> de febrero de</w:t>
      </w:r>
      <w:r w:rsidR="00FE39C3">
        <w:rPr>
          <w:rFonts w:ascii="Arial" w:hAnsi="Arial" w:cs="Arial"/>
          <w:bCs/>
          <w:spacing w:val="-3"/>
          <w:sz w:val="24"/>
          <w:szCs w:val="24"/>
          <w:lang w:val="es-ES_tradnl"/>
        </w:rPr>
        <w:t xml:space="preserve"> dos mil diec</w:t>
      </w:r>
      <w:r>
        <w:rPr>
          <w:rFonts w:ascii="Arial" w:hAnsi="Arial" w:cs="Arial"/>
          <w:bCs/>
          <w:spacing w:val="-3"/>
          <w:sz w:val="24"/>
          <w:szCs w:val="24"/>
          <w:lang w:val="es-ES_tradnl"/>
        </w:rPr>
        <w:t>inueve,</w:t>
      </w:r>
      <w:r w:rsidR="00944E7F">
        <w:rPr>
          <w:rFonts w:ascii="Arial" w:hAnsi="Arial" w:cs="Arial"/>
          <w:bCs/>
          <w:spacing w:val="-3"/>
          <w:sz w:val="24"/>
          <w:szCs w:val="24"/>
          <w:lang w:val="es-ES_tradnl"/>
        </w:rPr>
        <w:t xml:space="preserve"> </w:t>
      </w:r>
      <w:r w:rsidR="009B6B11">
        <w:rPr>
          <w:rFonts w:ascii="Arial" w:hAnsi="Arial" w:cs="Arial"/>
          <w:b/>
          <w:bCs/>
          <w:spacing w:val="-3"/>
          <w:sz w:val="24"/>
          <w:szCs w:val="24"/>
          <w:u w:val="single"/>
          <w:lang w:val="es-ES_tradnl"/>
        </w:rPr>
        <w:t>por omitir Inscripción al Registro Estatal de Contribuyentes</w:t>
      </w:r>
      <w:r w:rsidR="00944E7F">
        <w:rPr>
          <w:rFonts w:ascii="Arial" w:hAnsi="Arial" w:cs="Arial"/>
          <w:bCs/>
          <w:spacing w:val="-3"/>
          <w:sz w:val="24"/>
          <w:szCs w:val="24"/>
          <w:lang w:val="es-ES_tradnl"/>
        </w:rPr>
        <w:t xml:space="preserve">, </w:t>
      </w:r>
      <w:r w:rsidR="009B6B11">
        <w:rPr>
          <w:rFonts w:ascii="Arial" w:hAnsi="Arial" w:cs="Arial"/>
          <w:bCs/>
          <w:spacing w:val="-3"/>
          <w:sz w:val="24"/>
          <w:szCs w:val="24"/>
          <w:lang w:val="es-ES_tradnl"/>
        </w:rPr>
        <w:t>como lo establece el artículo 268 fracción I</w:t>
      </w:r>
      <w:r w:rsidR="00944E7F">
        <w:rPr>
          <w:rFonts w:ascii="Arial" w:hAnsi="Arial" w:cs="Arial"/>
          <w:bCs/>
          <w:spacing w:val="-3"/>
          <w:sz w:val="24"/>
          <w:szCs w:val="24"/>
          <w:lang w:val="es-ES_tradnl"/>
        </w:rPr>
        <w:t xml:space="preserve"> de</w:t>
      </w:r>
      <w:r w:rsidR="009B6B11">
        <w:rPr>
          <w:rFonts w:ascii="Arial" w:hAnsi="Arial" w:cs="Arial"/>
          <w:bCs/>
          <w:spacing w:val="-3"/>
          <w:sz w:val="24"/>
          <w:szCs w:val="24"/>
          <w:lang w:val="es-ES_tradnl"/>
        </w:rPr>
        <w:t>l Código Fiscal para el Estado de Oaxaca</w:t>
      </w:r>
      <w:r w:rsidR="00FE39C3">
        <w:rPr>
          <w:rFonts w:ascii="Arial" w:hAnsi="Arial" w:cs="Arial"/>
          <w:bCs/>
          <w:spacing w:val="-3"/>
          <w:sz w:val="24"/>
          <w:szCs w:val="24"/>
          <w:lang w:val="es-ES_tradnl"/>
        </w:rPr>
        <w:t xml:space="preserve">; </w:t>
      </w:r>
      <w:r w:rsidR="004210CB" w:rsidRPr="004210CB">
        <w:rPr>
          <w:rFonts w:ascii="Arial" w:hAnsi="Arial" w:cs="Arial"/>
          <w:b/>
          <w:bCs/>
          <w:spacing w:val="-3"/>
          <w:sz w:val="24"/>
          <w:szCs w:val="24"/>
          <w:lang w:val="es-ES_tradnl"/>
        </w:rPr>
        <w:t>concluye</w:t>
      </w:r>
      <w:r>
        <w:rPr>
          <w:rFonts w:ascii="Arial" w:hAnsi="Arial" w:cs="Arial"/>
          <w:b/>
          <w:bCs/>
          <w:spacing w:val="-3"/>
          <w:sz w:val="24"/>
          <w:szCs w:val="24"/>
          <w:lang w:val="es-ES_tradnl"/>
        </w:rPr>
        <w:t>ndo</w:t>
      </w:r>
      <w:r w:rsidR="004210CB" w:rsidRPr="004210CB">
        <w:rPr>
          <w:rFonts w:ascii="Arial" w:hAnsi="Arial" w:cs="Arial"/>
          <w:b/>
          <w:bCs/>
          <w:spacing w:val="-3"/>
          <w:sz w:val="24"/>
          <w:szCs w:val="24"/>
          <w:lang w:val="es-ES_tradnl"/>
        </w:rPr>
        <w:t xml:space="preserve"> </w:t>
      </w:r>
      <w:r>
        <w:rPr>
          <w:rFonts w:ascii="Arial" w:hAnsi="Arial" w:cs="Arial"/>
          <w:b/>
          <w:bCs/>
          <w:spacing w:val="-3"/>
          <w:sz w:val="24"/>
          <w:szCs w:val="24"/>
          <w:lang w:val="es-ES_tradnl"/>
        </w:rPr>
        <w:t>esta Juzgadora su ilegalidad</w:t>
      </w:r>
      <w:r w:rsidR="00FE39C3">
        <w:rPr>
          <w:rFonts w:ascii="Arial" w:hAnsi="Arial" w:cs="Arial"/>
          <w:bCs/>
          <w:spacing w:val="-3"/>
          <w:sz w:val="24"/>
          <w:szCs w:val="24"/>
          <w:lang w:val="es-ES_tradnl"/>
        </w:rPr>
        <w:t>, en atención</w:t>
      </w:r>
      <w:r>
        <w:rPr>
          <w:rFonts w:ascii="Arial" w:hAnsi="Arial" w:cs="Arial"/>
          <w:bCs/>
          <w:spacing w:val="-3"/>
          <w:sz w:val="24"/>
          <w:szCs w:val="24"/>
          <w:lang w:val="es-ES_tradnl"/>
        </w:rPr>
        <w:t xml:space="preserve"> a lo </w:t>
      </w:r>
      <w:r w:rsidR="00FE39C3">
        <w:rPr>
          <w:rFonts w:ascii="Arial" w:hAnsi="Arial" w:cs="Arial"/>
          <w:bCs/>
          <w:spacing w:val="-3"/>
          <w:sz w:val="24"/>
          <w:szCs w:val="24"/>
          <w:lang w:val="es-ES_tradnl"/>
        </w:rPr>
        <w:t>siguiente:</w:t>
      </w:r>
    </w:p>
    <w:p w14:paraId="6B26D88E" w14:textId="77777777" w:rsidR="004210CB" w:rsidRDefault="00EB5F85"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En primer término es de indicar que a</w:t>
      </w:r>
      <w:r w:rsidR="004210CB">
        <w:rPr>
          <w:rFonts w:ascii="Arial" w:eastAsia="Arial" w:hAnsi="Arial" w:cs="Arial"/>
          <w:color w:val="000000"/>
          <w:sz w:val="24"/>
          <w:szCs w:val="24"/>
        </w:rPr>
        <w:t xml:space="preserve"> la multa que se recurre</w:t>
      </w:r>
      <w:r w:rsidR="004210CB" w:rsidRPr="004210CB">
        <w:rPr>
          <w:rFonts w:ascii="Arial" w:eastAsia="Arial" w:hAnsi="Arial" w:cs="Arial"/>
          <w:color w:val="000000"/>
          <w:sz w:val="24"/>
          <w:szCs w:val="24"/>
        </w:rPr>
        <w:t xml:space="preserve"> se le otorga pleno valor probatorio conforme lo previsto por el artículo 203 fracción I</w:t>
      </w:r>
      <w:r w:rsidR="004210CB" w:rsidRPr="004210CB">
        <w:rPr>
          <w:rFonts w:ascii="Arial" w:eastAsia="Arial" w:hAnsi="Arial" w:cs="Arial"/>
          <w:color w:val="000000"/>
          <w:sz w:val="24"/>
          <w:szCs w:val="24"/>
          <w:vertAlign w:val="superscript"/>
        </w:rPr>
        <w:footnoteReference w:id="1"/>
      </w:r>
      <w:r w:rsidR="004210CB" w:rsidRPr="004210CB">
        <w:rPr>
          <w:rFonts w:ascii="Arial" w:eastAsia="Arial" w:hAnsi="Arial" w:cs="Arial"/>
          <w:color w:val="000000"/>
          <w:sz w:val="24"/>
          <w:szCs w:val="24"/>
        </w:rPr>
        <w:t xml:space="preserve"> de la Ley de Procedimiento y Justicia Administ</w:t>
      </w:r>
      <w:r w:rsidR="004210CB">
        <w:rPr>
          <w:rFonts w:ascii="Arial" w:eastAsia="Arial" w:hAnsi="Arial" w:cs="Arial"/>
          <w:color w:val="000000"/>
          <w:sz w:val="24"/>
          <w:szCs w:val="24"/>
        </w:rPr>
        <w:t>rativa para el Estado de Oaxaca.</w:t>
      </w:r>
    </w:p>
    <w:p w14:paraId="4C4EACC2" w14:textId="77777777" w:rsidR="004210CB" w:rsidRPr="004210CB" w:rsidRDefault="00EB5F85"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Pr>
          <w:rFonts w:ascii="Arial" w:eastAsia="Arial" w:hAnsi="Arial" w:cs="Arial"/>
          <w:color w:val="000000"/>
          <w:sz w:val="24"/>
          <w:szCs w:val="24"/>
        </w:rPr>
        <w:t>Ahora bien, l</w:t>
      </w:r>
      <w:r w:rsidR="004210CB">
        <w:rPr>
          <w:rFonts w:ascii="Arial" w:eastAsia="Arial" w:hAnsi="Arial" w:cs="Arial"/>
          <w:color w:val="000000"/>
          <w:sz w:val="24"/>
          <w:szCs w:val="24"/>
        </w:rPr>
        <w:t>a autoridad demandada</w:t>
      </w:r>
      <w:r>
        <w:rPr>
          <w:rFonts w:ascii="Arial" w:eastAsia="Arial" w:hAnsi="Arial" w:cs="Arial"/>
          <w:color w:val="000000"/>
          <w:sz w:val="24"/>
          <w:szCs w:val="24"/>
        </w:rPr>
        <w:t>,</w:t>
      </w:r>
      <w:r w:rsidR="004210CB" w:rsidRPr="004210CB">
        <w:rPr>
          <w:rFonts w:ascii="Arial" w:eastAsia="Arial" w:hAnsi="Arial" w:cs="Arial"/>
          <w:color w:val="000000"/>
          <w:sz w:val="24"/>
          <w:szCs w:val="24"/>
        </w:rPr>
        <w:t xml:space="preserve"> </w:t>
      </w:r>
      <w:r w:rsidR="004210CB">
        <w:rPr>
          <w:rFonts w:ascii="Arial" w:eastAsia="Arial" w:hAnsi="Arial" w:cs="Arial"/>
          <w:color w:val="000000"/>
          <w:sz w:val="24"/>
          <w:szCs w:val="24"/>
        </w:rPr>
        <w:t>como parte de su fundamentac</w:t>
      </w:r>
      <w:r w:rsidR="00F60496">
        <w:rPr>
          <w:rFonts w:ascii="Arial" w:eastAsia="Arial" w:hAnsi="Arial" w:cs="Arial"/>
          <w:color w:val="000000"/>
          <w:sz w:val="24"/>
          <w:szCs w:val="24"/>
        </w:rPr>
        <w:t>ión y motivación indicó (foja 33</w:t>
      </w:r>
      <w:r w:rsidR="004210CB">
        <w:rPr>
          <w:rFonts w:ascii="Arial" w:eastAsia="Arial" w:hAnsi="Arial" w:cs="Arial"/>
          <w:color w:val="000000"/>
          <w:sz w:val="24"/>
          <w:szCs w:val="24"/>
        </w:rPr>
        <w:t xml:space="preserve"> de autos)</w:t>
      </w:r>
      <w:r w:rsidR="004210CB" w:rsidRPr="004210CB">
        <w:rPr>
          <w:rFonts w:ascii="Arial" w:eastAsia="Arial" w:hAnsi="Arial" w:cs="Arial"/>
          <w:color w:val="000000"/>
          <w:sz w:val="24"/>
          <w:szCs w:val="24"/>
        </w:rPr>
        <w:t>:</w:t>
      </w:r>
    </w:p>
    <w:p w14:paraId="01465AFC" w14:textId="77777777" w:rsidR="009B6B11" w:rsidRDefault="004210CB"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color w:val="000000"/>
        </w:rPr>
      </w:pPr>
      <w:r w:rsidRPr="004210CB">
        <w:rPr>
          <w:rFonts w:ascii="Arial" w:eastAsia="Arial" w:hAnsi="Arial" w:cs="Arial"/>
          <w:color w:val="000000"/>
        </w:rPr>
        <w:t>“</w:t>
      </w:r>
    </w:p>
    <w:p w14:paraId="031D141F" w14:textId="77777777" w:rsidR="003773D0" w:rsidRDefault="009B6B11" w:rsidP="009B6B11">
      <w:pPr>
        <w:spacing w:after="0"/>
        <w:ind w:left="567" w:right="567"/>
        <w:jc w:val="both"/>
        <w:rPr>
          <w:rFonts w:ascii="Arial" w:eastAsia="Times New Roman" w:hAnsi="Arial" w:cs="Arial"/>
          <w:i/>
          <w:lang w:val="es-ES_tradnl" w:eastAsia="x-none"/>
        </w:rPr>
      </w:pPr>
      <w:r>
        <w:rPr>
          <w:rFonts w:ascii="Arial" w:eastAsia="Times New Roman" w:hAnsi="Arial" w:cs="Arial"/>
          <w:b/>
          <w:i/>
          <w:lang w:val="es-ES_tradnl" w:eastAsia="x-none"/>
        </w:rPr>
        <w:t>SEGUNDO</w:t>
      </w:r>
      <w:r w:rsidR="00017EE5">
        <w:rPr>
          <w:rFonts w:ascii="Arial" w:eastAsia="Times New Roman" w:hAnsi="Arial" w:cs="Arial"/>
          <w:b/>
          <w:i/>
          <w:lang w:val="es-ES_tradnl" w:eastAsia="x-none"/>
        </w:rPr>
        <w:t xml:space="preserve">. </w:t>
      </w:r>
      <w:r w:rsidR="00017EE5">
        <w:rPr>
          <w:rFonts w:ascii="Arial" w:eastAsia="Times New Roman" w:hAnsi="Arial" w:cs="Arial"/>
          <w:i/>
          <w:lang w:val="es-ES_tradnl" w:eastAsia="x-none"/>
        </w:rPr>
        <w:t>Con base en el Convenio de Colaboración para el Intercambio de Información en Materia Fiscal entre el Instituto del Fondo Nacional de la Vivienda para los Trabajadores (INFONAVIT) y esta Secretaría, celebrado el 09 de octubre de 2017 y publicado en el Periódico Oficial del Estado de Oaxaca el 21 de octubre de 2017, se tiene conocimiento que usted en su calidad de patrón</w:t>
      </w:r>
      <w:r w:rsidR="003773D0">
        <w:rPr>
          <w:rFonts w:ascii="Arial" w:eastAsia="Times New Roman" w:hAnsi="Arial" w:cs="Arial"/>
          <w:i/>
          <w:lang w:val="es-ES_tradnl" w:eastAsia="x-none"/>
        </w:rPr>
        <w:t xml:space="preserve">, durante el presente ejercicio fiscal, realiza aportaciones de seguridad social por el número de trabajadores que tiene </w:t>
      </w:r>
      <w:r w:rsidR="006909A2">
        <w:rPr>
          <w:rFonts w:ascii="Arial" w:eastAsia="Times New Roman" w:hAnsi="Arial" w:cs="Arial"/>
          <w:i/>
          <w:lang w:val="es-ES_tradnl" w:eastAsia="x-none"/>
        </w:rPr>
        <w:t>registrado</w:t>
      </w:r>
      <w:r w:rsidR="003773D0">
        <w:rPr>
          <w:rFonts w:ascii="Arial" w:eastAsia="Times New Roman" w:hAnsi="Arial" w:cs="Arial"/>
          <w:i/>
          <w:lang w:val="es-ES_tradnl" w:eastAsia="x-none"/>
        </w:rPr>
        <w:t xml:space="preserve"> ante dicho Instituto y que presentan su trabajo dentro del territorio del Estado de Oaxaca.</w:t>
      </w:r>
    </w:p>
    <w:p w14:paraId="0D99A0F0" w14:textId="77777777" w:rsidR="00017EE5" w:rsidRPr="00017EE5" w:rsidRDefault="00017EE5" w:rsidP="009B6B11">
      <w:pPr>
        <w:spacing w:after="0"/>
        <w:ind w:left="567" w:right="567"/>
        <w:jc w:val="both"/>
        <w:rPr>
          <w:rFonts w:ascii="Arial" w:eastAsia="Times New Roman" w:hAnsi="Arial" w:cs="Arial"/>
          <w:i/>
          <w:lang w:val="es-ES_tradnl" w:eastAsia="x-none"/>
        </w:rPr>
      </w:pPr>
      <w:r>
        <w:rPr>
          <w:rFonts w:ascii="Arial" w:eastAsia="Times New Roman" w:hAnsi="Arial" w:cs="Arial"/>
          <w:i/>
          <w:lang w:val="es-ES_tradnl" w:eastAsia="x-none"/>
        </w:rPr>
        <w:t xml:space="preserve"> </w:t>
      </w:r>
    </w:p>
    <w:p w14:paraId="59BFD496" w14:textId="77777777" w:rsidR="009B6B11" w:rsidRPr="009B6B11" w:rsidRDefault="009B6B11" w:rsidP="009B6B11">
      <w:pPr>
        <w:spacing w:after="0"/>
        <w:ind w:left="567" w:right="567"/>
        <w:jc w:val="both"/>
        <w:rPr>
          <w:rFonts w:ascii="Arial" w:eastAsia="Times New Roman" w:hAnsi="Arial" w:cs="Arial"/>
          <w:i/>
          <w:lang w:val="es-ES_tradnl" w:eastAsia="x-none"/>
        </w:rPr>
      </w:pPr>
      <w:r w:rsidRPr="009B6B11">
        <w:rPr>
          <w:rFonts w:ascii="Arial" w:eastAsia="Times New Roman" w:hAnsi="Arial" w:cs="Arial"/>
          <w:b/>
          <w:i/>
          <w:lang w:val="es-ES_tradnl" w:eastAsia="x-none"/>
        </w:rPr>
        <w:t>TERCERO.</w:t>
      </w:r>
      <w:r w:rsidRPr="009B6B11">
        <w:rPr>
          <w:rFonts w:ascii="Arial" w:eastAsia="Times New Roman" w:hAnsi="Arial" w:cs="Arial"/>
          <w:i/>
          <w:lang w:val="es-ES_tradnl" w:eastAsia="x-none"/>
        </w:rPr>
        <w:t xml:space="preserve"> Del análisis realizado por esta Secretaría se tienen como ciertos los hechos conocidos derivado del intercambio de información, con fundamento en </w:t>
      </w:r>
      <w:r w:rsidRPr="009B6B11">
        <w:rPr>
          <w:rFonts w:ascii="Arial" w:eastAsia="Times New Roman" w:hAnsi="Arial" w:cs="Arial"/>
          <w:i/>
          <w:lang w:val="es-ES_tradnl" w:eastAsia="x-none"/>
        </w:rPr>
        <w:lastRenderedPageBreak/>
        <w:t>los artículos 97 y 98 del Código Fiscal del Estado de Oaxaca y cláusula quinta del Convenio de Colaboración para el Intercambio de Información en Materia Fiscal entre el INFONAVIT y esta Secretaria.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p>
    <w:p w14:paraId="2F4B754B" w14:textId="77777777" w:rsidR="009B6B11" w:rsidRPr="009B6B11" w:rsidRDefault="009B6B11" w:rsidP="009B6B11">
      <w:pPr>
        <w:spacing w:after="0"/>
        <w:ind w:left="567" w:right="567"/>
        <w:jc w:val="both"/>
        <w:rPr>
          <w:rFonts w:ascii="Arial" w:eastAsia="Times New Roman" w:hAnsi="Arial" w:cs="Arial"/>
          <w:i/>
          <w:lang w:val="es-ES_tradnl" w:eastAsia="x-none"/>
        </w:rPr>
      </w:pPr>
    </w:p>
    <w:p w14:paraId="7CDF8487" w14:textId="77777777" w:rsidR="009B6B11" w:rsidRPr="009B6B11" w:rsidRDefault="009B6B11" w:rsidP="008564B3">
      <w:pPr>
        <w:spacing w:after="0"/>
        <w:ind w:left="567" w:right="567"/>
        <w:jc w:val="center"/>
        <w:rPr>
          <w:rFonts w:ascii="Arial" w:eastAsia="Times New Roman" w:hAnsi="Arial" w:cs="Arial"/>
          <w:i/>
          <w:lang w:val="es-ES_tradnl" w:eastAsia="x-none"/>
        </w:rPr>
      </w:pPr>
      <w:r w:rsidRPr="009B6B11">
        <w:rPr>
          <w:rFonts w:ascii="Arial" w:eastAsia="Times New Roman" w:hAnsi="Arial" w:cs="Arial"/>
          <w:i/>
          <w:lang w:val="es-ES_tradnl" w:eastAsia="x-none"/>
        </w:rPr>
        <w:t>CONSIDERANDOS</w:t>
      </w:r>
    </w:p>
    <w:p w14:paraId="25EC176C" w14:textId="77777777" w:rsidR="009B6B11" w:rsidRPr="009B6B11" w:rsidRDefault="009B6B11" w:rsidP="009B6B11">
      <w:pPr>
        <w:spacing w:after="0"/>
        <w:ind w:left="567" w:right="567"/>
        <w:jc w:val="both"/>
        <w:rPr>
          <w:rFonts w:ascii="Arial" w:eastAsia="Times New Roman" w:hAnsi="Arial" w:cs="Arial"/>
          <w:i/>
          <w:lang w:val="es-ES_tradnl" w:eastAsia="x-none"/>
        </w:rPr>
      </w:pPr>
    </w:p>
    <w:p w14:paraId="6D4B3EC2" w14:textId="77777777" w:rsidR="009B6B11" w:rsidRPr="009B6B11" w:rsidRDefault="009B6B11" w:rsidP="009B6B11">
      <w:pPr>
        <w:spacing w:after="0"/>
        <w:ind w:left="567" w:right="567"/>
        <w:jc w:val="both"/>
        <w:rPr>
          <w:rFonts w:ascii="Arial" w:eastAsia="Times New Roman" w:hAnsi="Arial" w:cs="Arial"/>
          <w:i/>
          <w:lang w:val="es-ES_tradnl" w:eastAsia="x-none"/>
        </w:rPr>
      </w:pPr>
      <w:r w:rsidRPr="009B6B11">
        <w:rPr>
          <w:rFonts w:ascii="Arial" w:eastAsia="Times New Roman" w:hAnsi="Arial" w:cs="Arial"/>
          <w:b/>
          <w:i/>
          <w:lang w:val="es-ES_tradnl" w:eastAsia="x-none"/>
        </w:rPr>
        <w:t>PRIMERO</w:t>
      </w:r>
      <w:r w:rsidRPr="009B6B11">
        <w:rPr>
          <w:rFonts w:ascii="Arial" w:eastAsia="Times New Roman" w:hAnsi="Arial" w:cs="Arial"/>
          <w:i/>
          <w:lang w:val="es-ES_tradnl" w:eastAsia="x-none"/>
        </w:rPr>
        <w:t xml:space="preserve">. De conformidad con lo señalado en el </w:t>
      </w:r>
      <w:r w:rsidRPr="009B6B11">
        <w:rPr>
          <w:rFonts w:ascii="Arial" w:eastAsia="Times New Roman" w:hAnsi="Arial" w:cs="Arial"/>
          <w:b/>
          <w:i/>
          <w:lang w:val="es-ES_tradnl" w:eastAsia="x-none"/>
        </w:rPr>
        <w:t xml:space="preserve">ANTECEDENTE TERCERO </w:t>
      </w:r>
      <w:r w:rsidRPr="009B6B11">
        <w:rPr>
          <w:rFonts w:ascii="Arial" w:eastAsia="Times New Roman" w:hAnsi="Arial" w:cs="Arial"/>
          <w:i/>
          <w:lang w:val="es-ES_tradnl" w:eastAsia="x-none"/>
        </w:rPr>
        <w:t>del presente documento y en virtud que a la fecha no existe constancia en esta Secretaría que acredite el cumplimiento de la obligación a la cual es sujeto, se tiene que ha transcurrido en exceso el plazo de un mes que señala la disposición legal para realizar la solicitud de registro, mismo que para efecto de la presente determinación se considera como fecha de inicio para el plazo antes señalado el día 19 de marzo de 2019 y que concluyó el día 3 de mayo de 2019 (…) razón por la cual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del 1 de febrero de 2019 por considerar que no existen agravantes ni antecedentes del contribuyente, por lo cual la sanción se finca en los términos siguientes:</w:t>
      </w:r>
    </w:p>
    <w:tbl>
      <w:tblPr>
        <w:tblStyle w:val="Tablaconcuadrcula"/>
        <w:tblpPr w:leftFromText="141" w:rightFromText="141" w:vertAnchor="text" w:horzAnchor="margin" w:tblpX="552" w:tblpY="194"/>
        <w:tblW w:w="4735" w:type="pct"/>
        <w:tblLayout w:type="fixed"/>
        <w:tblLook w:val="04A0" w:firstRow="1" w:lastRow="0" w:firstColumn="1" w:lastColumn="0" w:noHBand="0" w:noVBand="1"/>
      </w:tblPr>
      <w:tblGrid>
        <w:gridCol w:w="1696"/>
        <w:gridCol w:w="1561"/>
        <w:gridCol w:w="1700"/>
        <w:gridCol w:w="1842"/>
        <w:gridCol w:w="1560"/>
      </w:tblGrid>
      <w:tr w:rsidR="008564B3" w:rsidRPr="009B6B11" w14:paraId="504CC162" w14:textId="77777777" w:rsidTr="008564B3">
        <w:trPr>
          <w:trHeight w:val="983"/>
        </w:trPr>
        <w:tc>
          <w:tcPr>
            <w:tcW w:w="1014" w:type="pct"/>
            <w:vAlign w:val="center"/>
          </w:tcPr>
          <w:p w14:paraId="7AB37EFA" w14:textId="77777777" w:rsidR="009B6B11" w:rsidRPr="009B6B11" w:rsidRDefault="009B6B11" w:rsidP="008564B3">
            <w:pPr>
              <w:spacing w:after="0" w:line="360" w:lineRule="auto"/>
              <w:ind w:right="567"/>
              <w:jc w:val="center"/>
              <w:rPr>
                <w:rFonts w:ascii="Arial" w:eastAsia="Times New Roman" w:hAnsi="Arial" w:cs="Arial"/>
                <w:b/>
                <w:i/>
                <w:iCs/>
                <w:sz w:val="16"/>
                <w:szCs w:val="16"/>
                <w:lang w:val="es-ES_tradnl" w:eastAsia="x-none"/>
              </w:rPr>
            </w:pPr>
            <w:r w:rsidRPr="009B6B11">
              <w:rPr>
                <w:rFonts w:ascii="Arial" w:eastAsia="Times New Roman" w:hAnsi="Arial" w:cs="Arial"/>
                <w:b/>
                <w:i/>
                <w:iCs/>
                <w:sz w:val="16"/>
                <w:szCs w:val="16"/>
                <w:lang w:val="es-ES_tradnl" w:eastAsia="x-none"/>
              </w:rPr>
              <w:t>Obligación omitida</w:t>
            </w:r>
          </w:p>
        </w:tc>
        <w:tc>
          <w:tcPr>
            <w:tcW w:w="934" w:type="pct"/>
            <w:vAlign w:val="center"/>
          </w:tcPr>
          <w:p w14:paraId="531B293E" w14:textId="77777777" w:rsidR="009B6B11" w:rsidRPr="009B6B11" w:rsidRDefault="009B6B11" w:rsidP="008564B3">
            <w:pPr>
              <w:spacing w:after="0" w:line="360" w:lineRule="auto"/>
              <w:ind w:right="567"/>
              <w:jc w:val="center"/>
              <w:rPr>
                <w:rFonts w:ascii="Arial" w:eastAsia="Times New Roman" w:hAnsi="Arial" w:cs="Arial"/>
                <w:b/>
                <w:i/>
                <w:iCs/>
                <w:sz w:val="16"/>
                <w:szCs w:val="16"/>
                <w:lang w:val="es-ES_tradnl" w:eastAsia="x-none"/>
              </w:rPr>
            </w:pPr>
            <w:r w:rsidRPr="009B6B11">
              <w:rPr>
                <w:rFonts w:ascii="Arial" w:eastAsia="Times New Roman" w:hAnsi="Arial" w:cs="Arial"/>
                <w:b/>
                <w:i/>
                <w:iCs/>
                <w:sz w:val="16"/>
                <w:szCs w:val="16"/>
                <w:lang w:val="es-ES_tradnl" w:eastAsia="x-none"/>
              </w:rPr>
              <w:t>Infracción</w:t>
            </w:r>
          </w:p>
        </w:tc>
        <w:tc>
          <w:tcPr>
            <w:tcW w:w="1017" w:type="pct"/>
            <w:vAlign w:val="center"/>
          </w:tcPr>
          <w:p w14:paraId="540A0311" w14:textId="77777777" w:rsidR="009B6B11" w:rsidRPr="009B6B11" w:rsidRDefault="009B6B11" w:rsidP="008564B3">
            <w:pPr>
              <w:spacing w:after="0" w:line="360" w:lineRule="auto"/>
              <w:ind w:right="567"/>
              <w:jc w:val="center"/>
              <w:rPr>
                <w:rFonts w:ascii="Arial" w:eastAsia="Times New Roman" w:hAnsi="Arial" w:cs="Arial"/>
                <w:b/>
                <w:i/>
                <w:iCs/>
                <w:sz w:val="16"/>
                <w:szCs w:val="16"/>
                <w:lang w:val="es-ES_tradnl" w:eastAsia="x-none"/>
              </w:rPr>
            </w:pPr>
            <w:r w:rsidRPr="009B6B11">
              <w:rPr>
                <w:rFonts w:ascii="Arial" w:eastAsia="Times New Roman" w:hAnsi="Arial" w:cs="Arial"/>
                <w:b/>
                <w:i/>
                <w:iCs/>
                <w:sz w:val="16"/>
                <w:szCs w:val="16"/>
                <w:lang w:val="es-ES_tradnl" w:eastAsia="x-none"/>
              </w:rPr>
              <w:t>Sanción</w:t>
            </w:r>
          </w:p>
        </w:tc>
        <w:tc>
          <w:tcPr>
            <w:tcW w:w="1102" w:type="pct"/>
            <w:vAlign w:val="center"/>
          </w:tcPr>
          <w:p w14:paraId="1F249153" w14:textId="77777777" w:rsidR="009B6B11" w:rsidRPr="009B6B11" w:rsidRDefault="009B6B11" w:rsidP="008564B3">
            <w:pPr>
              <w:spacing w:after="0" w:line="360" w:lineRule="auto"/>
              <w:ind w:right="567"/>
              <w:jc w:val="center"/>
              <w:rPr>
                <w:rFonts w:ascii="Arial" w:eastAsia="Times New Roman" w:hAnsi="Arial" w:cs="Arial"/>
                <w:b/>
                <w:i/>
                <w:iCs/>
                <w:sz w:val="16"/>
                <w:szCs w:val="16"/>
                <w:lang w:val="es-ES_tradnl" w:eastAsia="x-none"/>
              </w:rPr>
            </w:pPr>
            <w:r w:rsidRPr="009B6B11">
              <w:rPr>
                <w:rFonts w:ascii="Arial" w:eastAsia="Times New Roman" w:hAnsi="Arial" w:cs="Arial"/>
                <w:b/>
                <w:i/>
                <w:iCs/>
                <w:sz w:val="16"/>
                <w:szCs w:val="16"/>
                <w:lang w:val="es-ES_tradnl" w:eastAsia="x-none"/>
              </w:rPr>
              <w:t>UMA Vigente</w:t>
            </w:r>
          </w:p>
        </w:tc>
        <w:tc>
          <w:tcPr>
            <w:tcW w:w="933" w:type="pct"/>
            <w:vAlign w:val="center"/>
          </w:tcPr>
          <w:p w14:paraId="58E7D114" w14:textId="77777777" w:rsidR="009B6B11" w:rsidRPr="009B6B11" w:rsidRDefault="009B6B11" w:rsidP="008564B3">
            <w:pPr>
              <w:spacing w:after="0" w:line="360" w:lineRule="auto"/>
              <w:ind w:right="567"/>
              <w:jc w:val="center"/>
              <w:rPr>
                <w:rFonts w:ascii="Arial" w:eastAsia="Times New Roman" w:hAnsi="Arial" w:cs="Arial"/>
                <w:b/>
                <w:i/>
                <w:iCs/>
                <w:sz w:val="16"/>
                <w:szCs w:val="16"/>
                <w:lang w:val="es-ES_tradnl" w:eastAsia="x-none"/>
              </w:rPr>
            </w:pPr>
            <w:r w:rsidRPr="009B6B11">
              <w:rPr>
                <w:rFonts w:ascii="Arial" w:eastAsia="Times New Roman" w:hAnsi="Arial" w:cs="Arial"/>
                <w:b/>
                <w:i/>
                <w:iCs/>
                <w:sz w:val="16"/>
                <w:szCs w:val="16"/>
                <w:lang w:val="es-ES_tradnl" w:eastAsia="x-none"/>
              </w:rPr>
              <w:t>Multa a Pagar</w:t>
            </w:r>
          </w:p>
        </w:tc>
      </w:tr>
      <w:tr w:rsidR="008564B3" w:rsidRPr="009B6B11" w14:paraId="09033478" w14:textId="77777777" w:rsidTr="008564B3">
        <w:trPr>
          <w:trHeight w:val="1106"/>
        </w:trPr>
        <w:tc>
          <w:tcPr>
            <w:tcW w:w="1014" w:type="pct"/>
            <w:vAlign w:val="center"/>
          </w:tcPr>
          <w:p w14:paraId="2BA3B3A1" w14:textId="77777777" w:rsidR="009B6B11" w:rsidRPr="009B6B11" w:rsidRDefault="009B6B11" w:rsidP="009B6B11">
            <w:pPr>
              <w:tabs>
                <w:tab w:val="left" w:pos="1730"/>
              </w:tabs>
              <w:spacing w:after="0" w:line="240" w:lineRule="auto"/>
              <w:jc w:val="center"/>
              <w:rPr>
                <w:rFonts w:ascii="Arial" w:eastAsia="Times New Roman" w:hAnsi="Arial" w:cs="Arial"/>
                <w:i/>
                <w:iCs/>
                <w:sz w:val="16"/>
                <w:szCs w:val="16"/>
                <w:lang w:val="es-ES_tradnl" w:eastAsia="x-none"/>
              </w:rPr>
            </w:pPr>
            <w:r w:rsidRPr="009B6B11">
              <w:rPr>
                <w:rFonts w:ascii="Arial" w:eastAsia="Times New Roman" w:hAnsi="Arial" w:cs="Arial"/>
                <w:i/>
                <w:iCs/>
                <w:sz w:val="16"/>
                <w:szCs w:val="16"/>
                <w:lang w:val="es-ES_tradnl" w:eastAsia="x-none"/>
              </w:rPr>
              <w:t>Inscripción al Registro Estatal de Contribuyentes</w:t>
            </w:r>
          </w:p>
        </w:tc>
        <w:tc>
          <w:tcPr>
            <w:tcW w:w="934" w:type="pct"/>
            <w:vAlign w:val="center"/>
          </w:tcPr>
          <w:p w14:paraId="422EF7F6" w14:textId="77777777" w:rsidR="009B6B11" w:rsidRPr="009B6B11" w:rsidRDefault="009B6B11" w:rsidP="009B6B11">
            <w:pPr>
              <w:spacing w:after="0" w:line="240" w:lineRule="auto"/>
              <w:jc w:val="both"/>
              <w:rPr>
                <w:rFonts w:ascii="Arial" w:eastAsia="Times New Roman" w:hAnsi="Arial" w:cs="Arial"/>
                <w:i/>
                <w:iCs/>
                <w:sz w:val="16"/>
                <w:szCs w:val="16"/>
                <w:lang w:val="es-ES_tradnl" w:eastAsia="x-none"/>
              </w:rPr>
            </w:pPr>
            <w:r w:rsidRPr="009B6B11">
              <w:rPr>
                <w:rFonts w:ascii="Arial" w:eastAsia="Times New Roman" w:hAnsi="Arial" w:cs="Arial"/>
                <w:i/>
                <w:iCs/>
                <w:sz w:val="16"/>
                <w:szCs w:val="16"/>
                <w:lang w:val="es-ES_tradnl" w:eastAsia="x-none"/>
              </w:rPr>
              <w:t>Artículo 268 fracción I del Código Fiscal para el estado de Oaxaca</w:t>
            </w:r>
          </w:p>
          <w:p w14:paraId="1EEB755B" w14:textId="77777777" w:rsidR="009B6B11" w:rsidRPr="009B6B11" w:rsidRDefault="009B6B11" w:rsidP="009B6B11">
            <w:pPr>
              <w:spacing w:after="0" w:line="240" w:lineRule="auto"/>
              <w:jc w:val="both"/>
              <w:rPr>
                <w:rFonts w:ascii="Arial" w:eastAsia="Times New Roman" w:hAnsi="Arial" w:cs="Arial"/>
                <w:i/>
                <w:iCs/>
                <w:sz w:val="16"/>
                <w:szCs w:val="16"/>
                <w:lang w:val="es-ES_tradnl" w:eastAsia="x-none"/>
              </w:rPr>
            </w:pPr>
            <w:r w:rsidRPr="009B6B11">
              <w:rPr>
                <w:rFonts w:ascii="Arial" w:eastAsia="Times New Roman" w:hAnsi="Arial" w:cs="Arial"/>
                <w:i/>
                <w:iCs/>
                <w:sz w:val="16"/>
                <w:szCs w:val="16"/>
                <w:lang w:val="es-ES_tradnl" w:eastAsia="x-none"/>
              </w:rPr>
              <w:t>Vigente</w:t>
            </w:r>
          </w:p>
        </w:tc>
        <w:tc>
          <w:tcPr>
            <w:tcW w:w="1017" w:type="pct"/>
            <w:vAlign w:val="center"/>
          </w:tcPr>
          <w:p w14:paraId="4A01E77E" w14:textId="77777777" w:rsidR="009B6B11" w:rsidRPr="009B6B11" w:rsidRDefault="009B6B11" w:rsidP="009B6B11">
            <w:pPr>
              <w:spacing w:after="0" w:line="240" w:lineRule="auto"/>
              <w:ind w:right="74"/>
              <w:jc w:val="both"/>
              <w:rPr>
                <w:rFonts w:ascii="Arial" w:eastAsia="Times New Roman" w:hAnsi="Arial" w:cs="Arial"/>
                <w:i/>
                <w:iCs/>
                <w:sz w:val="16"/>
                <w:szCs w:val="16"/>
                <w:lang w:val="es-ES_tradnl" w:eastAsia="x-none"/>
              </w:rPr>
            </w:pPr>
            <w:r w:rsidRPr="009B6B11">
              <w:rPr>
                <w:rFonts w:ascii="Arial" w:eastAsia="Times New Roman" w:hAnsi="Arial" w:cs="Arial"/>
                <w:i/>
                <w:iCs/>
                <w:sz w:val="16"/>
                <w:szCs w:val="16"/>
                <w:lang w:val="es-ES_tradnl" w:eastAsia="x-none"/>
              </w:rPr>
              <w:t>Cincuenta Unidades de Medida y Actualización Vigente</w:t>
            </w:r>
          </w:p>
        </w:tc>
        <w:tc>
          <w:tcPr>
            <w:tcW w:w="1102" w:type="pct"/>
            <w:vAlign w:val="center"/>
          </w:tcPr>
          <w:p w14:paraId="461AB8E5" w14:textId="77777777" w:rsidR="009B6B11" w:rsidRPr="009B6B11" w:rsidRDefault="009B6B11" w:rsidP="009B6B11">
            <w:pPr>
              <w:spacing w:after="0" w:line="360" w:lineRule="auto"/>
              <w:ind w:right="567"/>
              <w:jc w:val="center"/>
              <w:rPr>
                <w:rFonts w:ascii="Arial" w:eastAsia="Times New Roman" w:hAnsi="Arial" w:cs="Arial"/>
                <w:i/>
                <w:iCs/>
                <w:sz w:val="16"/>
                <w:szCs w:val="16"/>
                <w:lang w:val="es-ES_tradnl" w:eastAsia="x-none"/>
              </w:rPr>
            </w:pPr>
            <w:r w:rsidRPr="009B6B11">
              <w:rPr>
                <w:rFonts w:ascii="Arial" w:eastAsia="Times New Roman" w:hAnsi="Arial" w:cs="Arial"/>
                <w:i/>
                <w:iCs/>
                <w:sz w:val="16"/>
                <w:szCs w:val="16"/>
                <w:lang w:val="es-ES_tradnl" w:eastAsia="x-none"/>
              </w:rPr>
              <w:t>$84.49</w:t>
            </w:r>
          </w:p>
        </w:tc>
        <w:tc>
          <w:tcPr>
            <w:tcW w:w="933" w:type="pct"/>
            <w:vAlign w:val="center"/>
          </w:tcPr>
          <w:p w14:paraId="0A340728" w14:textId="77777777" w:rsidR="009B6B11" w:rsidRPr="009B6B11" w:rsidRDefault="009B6B11" w:rsidP="009B6B11">
            <w:pPr>
              <w:spacing w:after="0" w:line="360" w:lineRule="auto"/>
              <w:ind w:right="567"/>
              <w:jc w:val="center"/>
              <w:rPr>
                <w:rFonts w:ascii="Arial" w:eastAsia="Times New Roman" w:hAnsi="Arial" w:cs="Arial"/>
                <w:i/>
                <w:iCs/>
                <w:sz w:val="16"/>
                <w:szCs w:val="16"/>
                <w:lang w:val="es-ES_tradnl" w:eastAsia="x-none"/>
              </w:rPr>
            </w:pPr>
            <w:r w:rsidRPr="009B6B11">
              <w:rPr>
                <w:rFonts w:ascii="Arial" w:eastAsia="Times New Roman" w:hAnsi="Arial" w:cs="Arial"/>
                <w:i/>
                <w:iCs/>
                <w:sz w:val="16"/>
                <w:szCs w:val="16"/>
                <w:lang w:val="es-ES_tradnl" w:eastAsia="x-none"/>
              </w:rPr>
              <w:t>$4,224.00</w:t>
            </w:r>
          </w:p>
        </w:tc>
      </w:tr>
    </w:tbl>
    <w:p w14:paraId="5B009624" w14:textId="77777777" w:rsidR="009B6B11" w:rsidRPr="009B6B11" w:rsidRDefault="009B6B11" w:rsidP="009B6B11">
      <w:pPr>
        <w:spacing w:after="240" w:line="360" w:lineRule="auto"/>
        <w:ind w:right="-518"/>
        <w:jc w:val="both"/>
        <w:rPr>
          <w:rFonts w:ascii="Arial" w:eastAsia="Times New Roman" w:hAnsi="Arial" w:cs="Arial"/>
          <w:bCs/>
          <w:sz w:val="24"/>
          <w:szCs w:val="24"/>
          <w:lang w:val="es-ES" w:eastAsia="x-none"/>
        </w:rPr>
      </w:pPr>
    </w:p>
    <w:p w14:paraId="408CC5E9" w14:textId="77777777" w:rsidR="008564B3" w:rsidRDefault="008564B3"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p>
    <w:p w14:paraId="73914585" w14:textId="77777777" w:rsidR="008564B3" w:rsidRDefault="008564B3"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p>
    <w:p w14:paraId="27250344" w14:textId="77777777" w:rsidR="008564B3" w:rsidRDefault="008564B3"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p>
    <w:p w14:paraId="51FB1C99" w14:textId="77777777" w:rsidR="004210CB" w:rsidRPr="004210CB" w:rsidRDefault="004210CB" w:rsidP="008564B3">
      <w:pPr>
        <w:pBdr>
          <w:top w:val="nil"/>
          <w:left w:val="nil"/>
          <w:bottom w:val="nil"/>
          <w:right w:val="nil"/>
          <w:between w:val="nil"/>
        </w:pBdr>
        <w:tabs>
          <w:tab w:val="center" w:pos="4419"/>
          <w:tab w:val="right" w:pos="8838"/>
          <w:tab w:val="center" w:pos="-1418"/>
        </w:tabs>
        <w:spacing w:after="0"/>
        <w:ind w:left="284" w:right="424"/>
        <w:jc w:val="right"/>
        <w:rPr>
          <w:rFonts w:ascii="Arial" w:eastAsia="Arial" w:hAnsi="Arial" w:cs="Arial"/>
          <w:i/>
          <w:color w:val="000000"/>
        </w:rPr>
      </w:pPr>
      <w:r w:rsidRPr="004210CB">
        <w:rPr>
          <w:rFonts w:ascii="Arial" w:eastAsia="Arial" w:hAnsi="Arial" w:cs="Arial"/>
          <w:i/>
          <w:color w:val="000000"/>
        </w:rPr>
        <w:t>...</w:t>
      </w:r>
      <w:r w:rsidRPr="004210CB">
        <w:rPr>
          <w:rFonts w:ascii="Arial" w:eastAsia="Arial" w:hAnsi="Arial" w:cs="Arial"/>
          <w:color w:val="000000"/>
        </w:rPr>
        <w:t>”</w:t>
      </w:r>
    </w:p>
    <w:p w14:paraId="2984EBB5"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p>
    <w:p w14:paraId="6B533539" w14:textId="77777777" w:rsidR="00006B82" w:rsidRPr="00006B82" w:rsidRDefault="00006B82"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De la resolución recurrida</w:t>
      </w:r>
      <w:r w:rsidRPr="00006B82">
        <w:rPr>
          <w:rFonts w:ascii="Arial" w:eastAsia="Arial" w:hAnsi="Arial" w:cs="Arial"/>
          <w:color w:val="000000"/>
          <w:sz w:val="24"/>
          <w:szCs w:val="24"/>
        </w:rPr>
        <w:t xml:space="preserve"> se advierte, que la autoridad demandada señaló que impuso la multa por infracción establecida en el artículo 268 fracción I, del Código Fiscal para el Estado de Oaxaca, </w:t>
      </w:r>
      <w:r>
        <w:rPr>
          <w:rFonts w:ascii="Arial" w:eastAsia="Arial" w:hAnsi="Arial" w:cs="Arial"/>
          <w:color w:val="000000"/>
          <w:sz w:val="24"/>
          <w:szCs w:val="24"/>
        </w:rPr>
        <w:t xml:space="preserve">infracción de la que conoció como </w:t>
      </w:r>
      <w:r w:rsidRPr="00006B82">
        <w:rPr>
          <w:rFonts w:ascii="Arial" w:eastAsia="Arial" w:hAnsi="Arial" w:cs="Arial"/>
          <w:color w:val="000000"/>
          <w:sz w:val="24"/>
          <w:szCs w:val="24"/>
        </w:rPr>
        <w:t>resultado del intercambi</w:t>
      </w:r>
      <w:r>
        <w:rPr>
          <w:rFonts w:ascii="Arial" w:eastAsia="Arial" w:hAnsi="Arial" w:cs="Arial"/>
          <w:color w:val="000000"/>
          <w:sz w:val="24"/>
          <w:szCs w:val="24"/>
        </w:rPr>
        <w:t xml:space="preserve">o de información realizada entre esa </w:t>
      </w:r>
      <w:r w:rsidRPr="00006B82">
        <w:rPr>
          <w:rFonts w:ascii="Arial" w:eastAsia="Arial" w:hAnsi="Arial" w:cs="Arial"/>
          <w:color w:val="000000"/>
          <w:sz w:val="24"/>
          <w:szCs w:val="24"/>
        </w:rPr>
        <w:t>Dirección de Ingresos y Recaudación de la Secretaría de Finanzas del Gobierno del Estado de Oaxaca, y el Instituto del Fondo Nacional de Vivienda para los Trabajadores; advirtiendo que la actora no había dado cumplimiento con la obligación fiscal, consistente en realizar la solicitud de Inscripción al Registro Estatal de Contribuyentes.</w:t>
      </w:r>
    </w:p>
    <w:p w14:paraId="722DCDEE" w14:textId="77777777" w:rsidR="00006B82" w:rsidRPr="00006B82" w:rsidRDefault="00006B82"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006B82">
        <w:rPr>
          <w:rFonts w:ascii="Arial" w:eastAsia="Arial" w:hAnsi="Arial" w:cs="Arial"/>
          <w:color w:val="000000"/>
          <w:sz w:val="24"/>
          <w:szCs w:val="24"/>
        </w:rPr>
        <w:t>Sin embargo, del estudio que esta juzgadora re</w:t>
      </w:r>
      <w:r>
        <w:rPr>
          <w:rFonts w:ascii="Arial" w:eastAsia="Arial" w:hAnsi="Arial" w:cs="Arial"/>
          <w:color w:val="000000"/>
          <w:sz w:val="24"/>
          <w:szCs w:val="24"/>
        </w:rPr>
        <w:t>aliza a la resolución recurrida</w:t>
      </w:r>
      <w:r w:rsidRPr="00006B82">
        <w:rPr>
          <w:rFonts w:ascii="Arial" w:eastAsia="Arial" w:hAnsi="Arial" w:cs="Arial"/>
          <w:color w:val="000000"/>
          <w:sz w:val="24"/>
          <w:szCs w:val="24"/>
        </w:rPr>
        <w:t xml:space="preserve">, se advierte que la enjuiciada omitió señalar las razones particulares, causas </w:t>
      </w:r>
      <w:r w:rsidRPr="00006B82">
        <w:rPr>
          <w:rFonts w:ascii="Arial" w:eastAsia="Arial" w:hAnsi="Arial" w:cs="Arial"/>
          <w:color w:val="000000"/>
          <w:sz w:val="24"/>
          <w:szCs w:val="24"/>
        </w:rPr>
        <w:lastRenderedPageBreak/>
        <w:t xml:space="preserve">inmediatas y circunstancias especiales, por las cuales consideró que el administrado se encuentra obligado a la Inscripción en el Registro Estatal de Contribuyentes, es decir no precisa que actividades realiza la parte actora, para que encuadre en la hipótesis normativa y que esté obligada a la inscripción al Registro Estatal de Contribuyentes; pues para tales efectos, no basta con el señalamiento de que se le ha identificado como sujeto obligado, sino que la autoridad debió probar los hechos que la motivaron, señalando concretamente la información que fue intercambiada con las autoridades federales y locales, que ubicaron a la contribuyente en la hipótesis normativa para ser considerada sujeto obligado </w:t>
      </w:r>
      <w:r>
        <w:rPr>
          <w:rFonts w:ascii="Arial" w:eastAsia="Arial" w:hAnsi="Arial" w:cs="Arial"/>
          <w:color w:val="000000"/>
          <w:sz w:val="24"/>
          <w:szCs w:val="24"/>
        </w:rPr>
        <w:t>a dicha inscripción</w:t>
      </w:r>
      <w:r w:rsidRPr="00006B82">
        <w:rPr>
          <w:rFonts w:ascii="Arial" w:eastAsia="Arial" w:hAnsi="Arial" w:cs="Arial"/>
          <w:color w:val="000000"/>
          <w:sz w:val="24"/>
          <w:szCs w:val="24"/>
        </w:rPr>
        <w:t xml:space="preserve">. </w:t>
      </w:r>
    </w:p>
    <w:p w14:paraId="624217F9" w14:textId="77777777" w:rsidR="00006B82" w:rsidRPr="00006B82" w:rsidRDefault="00006B82"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006B82">
        <w:rPr>
          <w:rFonts w:ascii="Arial" w:eastAsia="Arial" w:hAnsi="Arial" w:cs="Arial"/>
          <w:color w:val="000000"/>
          <w:sz w:val="24"/>
          <w:szCs w:val="24"/>
        </w:rPr>
        <w:t xml:space="preserve">En ese sentido la </w:t>
      </w:r>
      <w:r w:rsidRPr="00006B82">
        <w:rPr>
          <w:rFonts w:ascii="Arial" w:eastAsia="Arial" w:hAnsi="Arial" w:cs="Arial"/>
          <w:b/>
          <w:color w:val="000000"/>
          <w:sz w:val="24"/>
          <w:szCs w:val="24"/>
        </w:rPr>
        <w:t>autoridad demandada</w:t>
      </w:r>
      <w:r w:rsidRPr="00006B82">
        <w:rPr>
          <w:rFonts w:ascii="Arial" w:eastAsia="Arial" w:hAnsi="Arial" w:cs="Arial"/>
          <w:color w:val="000000"/>
          <w:sz w:val="24"/>
          <w:szCs w:val="24"/>
        </w:rPr>
        <w:t xml:space="preserve"> debió </w:t>
      </w:r>
      <w:r w:rsidRPr="00006B82">
        <w:rPr>
          <w:rFonts w:ascii="Arial" w:eastAsia="Arial" w:hAnsi="Arial" w:cs="Arial"/>
          <w:b/>
          <w:color w:val="000000"/>
          <w:sz w:val="24"/>
          <w:szCs w:val="24"/>
        </w:rPr>
        <w:t>fundar y motivar</w:t>
      </w:r>
      <w:r w:rsidRPr="00006B82">
        <w:rPr>
          <w:rFonts w:ascii="Arial" w:eastAsia="Arial" w:hAnsi="Arial" w:cs="Arial"/>
          <w:color w:val="000000"/>
          <w:sz w:val="24"/>
          <w:szCs w:val="24"/>
        </w:rPr>
        <w:t xml:space="preserve"> el acto administrativo impugnado para no dejar al administrado en estado de indefensión al ignorar las causas que llevaron a la autoridad a emitir dicho acto;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C9E96AF" w14:textId="77777777" w:rsidR="00006B82" w:rsidRPr="00006B82" w:rsidRDefault="00006B82"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006B82">
        <w:rPr>
          <w:rFonts w:ascii="Arial" w:eastAsia="Arial" w:hAnsi="Arial" w:cs="Arial"/>
          <w:color w:val="000000"/>
          <w:sz w:val="24"/>
          <w:szCs w:val="24"/>
        </w:rPr>
        <w:t xml:space="preserve">Lo que en el caso no ocurrió, por lo que, la demandada incumplió con la obligación que le impone el artículo 17 fracción V de la Ley de Procedimiento y Justicia Administrativa para el Estado de Oaxaca, toda vez, que tiene la carga de la prueba para demostrar, que las actividades comerciales que realiza el actor están sujetas al pago del impuesto sobre Erogaciones por Remuneración al Trabajo Personal. </w:t>
      </w:r>
    </w:p>
    <w:p w14:paraId="0B076848" w14:textId="77777777" w:rsidR="008564B3" w:rsidRDefault="00006B82"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006B82">
        <w:rPr>
          <w:rFonts w:ascii="Arial" w:eastAsia="Arial" w:hAnsi="Arial" w:cs="Arial"/>
          <w:color w:val="000000"/>
          <w:sz w:val="24"/>
          <w:szCs w:val="24"/>
        </w:rPr>
        <w:t xml:space="preserve">Lo anterior, ya que </w:t>
      </w:r>
      <w:r w:rsidRPr="00006B82">
        <w:rPr>
          <w:rFonts w:ascii="Arial" w:eastAsia="Arial" w:hAnsi="Arial" w:cs="Arial"/>
          <w:bCs/>
          <w:color w:val="000000"/>
          <w:sz w:val="24"/>
          <w:szCs w:val="24"/>
        </w:rPr>
        <w:t xml:space="preserve">si bien es cierto </w:t>
      </w:r>
      <w:r w:rsidRPr="00006B82">
        <w:rPr>
          <w:rFonts w:ascii="Arial" w:eastAsia="Arial" w:hAnsi="Arial" w:cs="Arial"/>
          <w:color w:val="000000"/>
          <w:sz w:val="24"/>
          <w:szCs w:val="24"/>
        </w:rPr>
        <w:t>que, la autoridad indica como fundamento de la sanción prevista en el artículo 268 fracción I del Código Fiscal para el Estado de Oaxaca, también lo es, que la autoridad demandada, únicamente se limita a señalar como motivación, que el hoy actor se identificó como sujeto a inscribirse a Registro Estatal de Contribuyentes, sin darle a conocer a detalle todas las circunstancias y condiciones que determinaron el acto de autoridad, de manera que sea evidente y claro para la afectada, poder cuestionar o controvertir el mérito de la decisión, permitiéndol</w:t>
      </w:r>
      <w:r>
        <w:rPr>
          <w:rFonts w:ascii="Arial" w:eastAsia="Arial" w:hAnsi="Arial" w:cs="Arial"/>
          <w:color w:val="000000"/>
          <w:sz w:val="24"/>
          <w:szCs w:val="24"/>
        </w:rPr>
        <w:t>e una real y auténtica defensa;</w:t>
      </w:r>
      <w:r w:rsidRPr="00006B82">
        <w:rPr>
          <w:rFonts w:ascii="Arial" w:eastAsia="Arial" w:hAnsi="Arial" w:cs="Arial"/>
          <w:color w:val="000000"/>
          <w:sz w:val="24"/>
          <w:szCs w:val="24"/>
        </w:rPr>
        <w:t xml:space="preserve"> tal com</w:t>
      </w:r>
      <w:r w:rsidR="00E41F96">
        <w:rPr>
          <w:rFonts w:ascii="Arial" w:eastAsia="Arial" w:hAnsi="Arial" w:cs="Arial"/>
          <w:color w:val="000000"/>
          <w:sz w:val="24"/>
          <w:szCs w:val="24"/>
        </w:rPr>
        <w:t>o lo exige</w:t>
      </w:r>
      <w:r w:rsidR="00E10A4B">
        <w:rPr>
          <w:rFonts w:ascii="Arial" w:eastAsia="Arial" w:hAnsi="Arial" w:cs="Arial"/>
          <w:color w:val="000000"/>
          <w:sz w:val="24"/>
          <w:szCs w:val="24"/>
        </w:rPr>
        <w:t>n los</w:t>
      </w:r>
      <w:r w:rsidR="00E41F96">
        <w:rPr>
          <w:rFonts w:ascii="Arial" w:eastAsia="Arial" w:hAnsi="Arial" w:cs="Arial"/>
          <w:color w:val="000000"/>
          <w:sz w:val="24"/>
          <w:szCs w:val="24"/>
        </w:rPr>
        <w:t xml:space="preserve"> criterios</w:t>
      </w:r>
      <w:r>
        <w:rPr>
          <w:rFonts w:ascii="Arial" w:eastAsia="Arial" w:hAnsi="Arial" w:cs="Arial"/>
          <w:color w:val="000000"/>
          <w:sz w:val="24"/>
          <w:szCs w:val="24"/>
        </w:rPr>
        <w:t xml:space="preserve"> que enseguida se transcribe</w:t>
      </w:r>
      <w:r w:rsidR="00E10A4B">
        <w:rPr>
          <w:rFonts w:ascii="Arial" w:eastAsia="Arial" w:hAnsi="Arial" w:cs="Arial"/>
          <w:color w:val="000000"/>
          <w:sz w:val="24"/>
          <w:szCs w:val="24"/>
        </w:rPr>
        <w:t>n</w:t>
      </w:r>
      <w:r w:rsidR="00202F12">
        <w:rPr>
          <w:rFonts w:ascii="Arial" w:eastAsia="Arial" w:hAnsi="Arial" w:cs="Arial"/>
          <w:color w:val="000000"/>
          <w:sz w:val="24"/>
          <w:szCs w:val="24"/>
        </w:rPr>
        <w:t>:</w:t>
      </w:r>
    </w:p>
    <w:p w14:paraId="3638482E"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Tesis:</w:t>
      </w:r>
      <w:r w:rsidR="004210CB" w:rsidRPr="000B6029">
        <w:rPr>
          <w:rFonts w:ascii="Arial" w:eastAsia="Arial" w:hAnsi="Arial" w:cs="Arial"/>
          <w:color w:val="000000"/>
        </w:rPr>
        <w:t xml:space="preserve"> V.2o. J/32,</w:t>
      </w:r>
    </w:p>
    <w:p w14:paraId="2835E521"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Instancia:</w:t>
      </w:r>
      <w:r w:rsidRPr="000B6029">
        <w:rPr>
          <w:rFonts w:ascii="Arial" w:eastAsia="Arial" w:hAnsi="Arial" w:cs="Arial"/>
          <w:color w:val="000000"/>
        </w:rPr>
        <w:t xml:space="preserve"> </w:t>
      </w:r>
      <w:r w:rsidR="004210CB" w:rsidRPr="000B6029">
        <w:rPr>
          <w:rFonts w:ascii="Arial" w:eastAsia="Arial" w:hAnsi="Arial" w:cs="Arial"/>
          <w:color w:val="000000"/>
        </w:rPr>
        <w:t>Segundo Tribunal Colegiado del Quinto Circuito</w:t>
      </w:r>
    </w:p>
    <w:p w14:paraId="36A3E35A"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0B6029">
        <w:rPr>
          <w:rFonts w:ascii="Arial" w:eastAsia="Arial" w:hAnsi="Arial" w:cs="Arial"/>
          <w:b/>
          <w:color w:val="000000"/>
        </w:rPr>
        <w:t>O</w:t>
      </w:r>
      <w:r w:rsidR="004210CB" w:rsidRPr="000B6029">
        <w:rPr>
          <w:rFonts w:ascii="Arial" w:eastAsia="Arial" w:hAnsi="Arial" w:cs="Arial"/>
          <w:b/>
          <w:color w:val="000000"/>
        </w:rPr>
        <w:t>ctava época</w:t>
      </w:r>
    </w:p>
    <w:p w14:paraId="4855CEA8"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Fuente:</w:t>
      </w:r>
      <w:r w:rsidR="004210CB" w:rsidRPr="000B6029">
        <w:rPr>
          <w:rFonts w:ascii="Arial" w:eastAsia="Arial" w:hAnsi="Arial" w:cs="Arial"/>
          <w:color w:val="000000"/>
        </w:rPr>
        <w:t xml:space="preserve"> Gaceta del Semanario Judicial de la Federación, bajo el número 54, de junio de 1992,</w:t>
      </w:r>
    </w:p>
    <w:p w14:paraId="1EE5F081" w14:textId="77777777" w:rsidR="002A526D"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P</w:t>
      </w:r>
      <w:r w:rsidR="004210CB" w:rsidRPr="000B6029">
        <w:rPr>
          <w:rFonts w:ascii="Arial" w:eastAsia="Arial" w:hAnsi="Arial" w:cs="Arial"/>
          <w:b/>
          <w:color w:val="000000"/>
        </w:rPr>
        <w:t xml:space="preserve">ágina </w:t>
      </w:r>
      <w:r w:rsidR="004210CB" w:rsidRPr="000B6029">
        <w:rPr>
          <w:rFonts w:ascii="Arial" w:eastAsia="Arial" w:hAnsi="Arial" w:cs="Arial"/>
          <w:color w:val="000000"/>
        </w:rPr>
        <w:t>49,</w:t>
      </w:r>
    </w:p>
    <w:p w14:paraId="764846CC" w14:textId="77777777" w:rsidR="000B6029" w:rsidRPr="000B6029" w:rsidRDefault="000B6029"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DD0FA51" w14:textId="77777777" w:rsidR="002A526D" w:rsidRDefault="004210CB"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FUNDAMENTACIÓN Y MOTIVACIÓN</w:t>
      </w:r>
      <w:r w:rsidRPr="000B6029">
        <w:rPr>
          <w:rFonts w:ascii="Arial" w:eastAsia="Arial" w:hAnsi="Arial" w:cs="Arial"/>
          <w:color w:val="000000"/>
        </w:rPr>
        <w:t xml:space="preserve">. </w:t>
      </w:r>
    </w:p>
    <w:p w14:paraId="651FD927" w14:textId="77777777" w:rsidR="000B6029" w:rsidRPr="000B6029" w:rsidRDefault="000B6029"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1DAA44F" w14:textId="77777777" w:rsidR="004210CB" w:rsidRDefault="004210CB"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color w:val="000000"/>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w:t>
      </w:r>
      <w:r w:rsidR="000B6029" w:rsidRPr="000B6029">
        <w:rPr>
          <w:rFonts w:ascii="Arial" w:eastAsia="Arial" w:hAnsi="Arial" w:cs="Arial"/>
          <w:color w:val="000000"/>
        </w:rPr>
        <w:t>guren las hipótesis normativas.</w:t>
      </w:r>
    </w:p>
    <w:p w14:paraId="0BDE16D6" w14:textId="77777777"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21EC2B1"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Registro digital</w:t>
      </w:r>
      <w:r w:rsidRPr="008F3C66">
        <w:rPr>
          <w:rFonts w:ascii="Arial" w:eastAsia="Arial" w:hAnsi="Arial" w:cs="Arial"/>
          <w:color w:val="000000"/>
        </w:rPr>
        <w:t>: 175082</w:t>
      </w:r>
    </w:p>
    <w:p w14:paraId="511FEDEC"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Instancia</w:t>
      </w:r>
      <w:r w:rsidRPr="008F3C66">
        <w:rPr>
          <w:rFonts w:ascii="Arial" w:eastAsia="Arial" w:hAnsi="Arial" w:cs="Arial"/>
          <w:color w:val="000000"/>
        </w:rPr>
        <w:t>: Tribunales Colegiados de Circuito</w:t>
      </w:r>
    </w:p>
    <w:p w14:paraId="50F7469B"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8F3C66">
        <w:rPr>
          <w:rFonts w:ascii="Arial" w:eastAsia="Arial" w:hAnsi="Arial" w:cs="Arial"/>
          <w:b/>
          <w:color w:val="000000"/>
        </w:rPr>
        <w:t>Novena Época</w:t>
      </w:r>
    </w:p>
    <w:p w14:paraId="395C9A46"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Materia(s):</w:t>
      </w:r>
      <w:r w:rsidRPr="008F3C66">
        <w:rPr>
          <w:rFonts w:ascii="Arial" w:eastAsia="Arial" w:hAnsi="Arial" w:cs="Arial"/>
          <w:color w:val="000000"/>
        </w:rPr>
        <w:t xml:space="preserve"> Común</w:t>
      </w:r>
    </w:p>
    <w:p w14:paraId="309753D6"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Tesis:</w:t>
      </w:r>
      <w:r w:rsidRPr="008F3C66">
        <w:rPr>
          <w:rFonts w:ascii="Arial" w:eastAsia="Arial" w:hAnsi="Arial" w:cs="Arial"/>
          <w:color w:val="000000"/>
        </w:rPr>
        <w:t xml:space="preserve"> I.4o.A. J/43</w:t>
      </w:r>
    </w:p>
    <w:p w14:paraId="3877FB81"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Fuente:</w:t>
      </w:r>
      <w:r w:rsidRPr="008F3C66">
        <w:rPr>
          <w:rFonts w:ascii="Arial" w:eastAsia="Arial" w:hAnsi="Arial" w:cs="Arial"/>
          <w:color w:val="000000"/>
        </w:rPr>
        <w:t xml:space="preserve"> Semanario Judicial de la Federación y su Gaceta.</w:t>
      </w:r>
    </w:p>
    <w:p w14:paraId="6DF857A1"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 xml:space="preserve">Tomo </w:t>
      </w:r>
      <w:r w:rsidRPr="008F3C66">
        <w:rPr>
          <w:rFonts w:ascii="Arial" w:eastAsia="Arial" w:hAnsi="Arial" w:cs="Arial"/>
          <w:color w:val="000000"/>
        </w:rPr>
        <w:t>XXIII, Mayo de 2006, página 1531</w:t>
      </w:r>
    </w:p>
    <w:p w14:paraId="6B46BE89" w14:textId="77777777"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Tipo:</w:t>
      </w:r>
      <w:r w:rsidRPr="008F3C66">
        <w:rPr>
          <w:rFonts w:ascii="Arial" w:eastAsia="Arial" w:hAnsi="Arial" w:cs="Arial"/>
          <w:color w:val="000000"/>
        </w:rPr>
        <w:t xml:space="preserve"> Jurisprudencia</w:t>
      </w:r>
    </w:p>
    <w:p w14:paraId="14088223" w14:textId="77777777"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5752FA4" w14:textId="77777777" w:rsidR="000B6029" w:rsidRP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8F3C66">
        <w:rPr>
          <w:rFonts w:ascii="Arial" w:eastAsia="Arial" w:hAnsi="Arial" w:cs="Arial"/>
          <w:b/>
          <w:color w:val="000000"/>
        </w:rPr>
        <w:t>FUNDAMENTACIÓN Y MOTIVACIÓN. EL ASPECTO FORMAL DE LA GARANTÍA Y SU FINALIDAD SE TRADUCEN EN EXPLICAR, JUSTIFICAR, POSIBILITAR LA DEFENSA Y COMUNICAR LA DECISIÓN.</w:t>
      </w:r>
    </w:p>
    <w:p w14:paraId="1BB15F87" w14:textId="77777777" w:rsidR="008F3C66" w:rsidRP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p>
    <w:p w14:paraId="7EAA7350" w14:textId="77777777" w:rsid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color w:val="000000"/>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6C16C9E2" w14:textId="77777777" w:rsid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14BCCD3" w14:textId="77777777" w:rsid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color w:val="000000"/>
        </w:rPr>
        <w:t>CUARTO TRIBUNAL COLEGIADO EN MATERIA ADMINISTRATIVA DEL PRIMER CIRCUITO.</w:t>
      </w:r>
    </w:p>
    <w:p w14:paraId="13FD9FE2" w14:textId="77777777" w:rsidR="000B6029" w:rsidRDefault="000B6029"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3EB63CB" w14:textId="77777777" w:rsidR="00F769E5" w:rsidRPr="000B6029" w:rsidRDefault="00F769E5"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860092E" w14:textId="71389489" w:rsidR="008F3C66" w:rsidRDefault="00E10A4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sidRPr="00E10A4B">
        <w:rPr>
          <w:rFonts w:ascii="Arial" w:eastAsia="Arial" w:hAnsi="Arial" w:cs="Arial"/>
          <w:color w:val="000000"/>
          <w:sz w:val="24"/>
          <w:szCs w:val="24"/>
        </w:rPr>
        <w:t xml:space="preserve">Por ello, se concluye que el acto </w:t>
      </w:r>
      <w:r w:rsidR="00F769E5">
        <w:rPr>
          <w:rFonts w:ascii="Arial" w:eastAsia="Arial" w:hAnsi="Arial" w:cs="Arial"/>
          <w:color w:val="000000"/>
          <w:sz w:val="24"/>
          <w:szCs w:val="24"/>
        </w:rPr>
        <w:t>recurrido</w:t>
      </w:r>
      <w:r w:rsidRPr="00E10A4B">
        <w:rPr>
          <w:rFonts w:ascii="Arial" w:eastAsia="Arial" w:hAnsi="Arial" w:cs="Arial"/>
          <w:color w:val="000000"/>
          <w:sz w:val="24"/>
          <w:szCs w:val="24"/>
        </w:rPr>
        <w:t xml:space="preserve"> resulta ilegal, al no cumplir con el requisito de validez previsto en el artículo 16 de la Constitución Federal en relación con la fracción V, del artículo 17 de la Ley de Procedimiento y Justicia Administrativa; en consecuencia, se declara </w:t>
      </w:r>
      <w:r w:rsidRPr="00F769E5">
        <w:rPr>
          <w:rFonts w:ascii="Arial" w:eastAsia="Arial" w:hAnsi="Arial" w:cs="Arial"/>
          <w:b/>
          <w:color w:val="000000"/>
          <w:sz w:val="24"/>
          <w:szCs w:val="24"/>
        </w:rPr>
        <w:t>LA NULIDAD LISA Y LLANA</w:t>
      </w:r>
      <w:r w:rsidR="00F769E5">
        <w:rPr>
          <w:rFonts w:ascii="Arial" w:eastAsia="Arial" w:hAnsi="Arial" w:cs="Arial"/>
          <w:color w:val="000000"/>
          <w:sz w:val="24"/>
          <w:szCs w:val="24"/>
        </w:rPr>
        <w:t xml:space="preserve"> </w:t>
      </w:r>
      <w:r w:rsidR="008F3C66">
        <w:rPr>
          <w:rFonts w:ascii="Arial" w:eastAsia="Arial" w:hAnsi="Arial" w:cs="Arial"/>
          <w:color w:val="000000"/>
          <w:sz w:val="24"/>
          <w:szCs w:val="24"/>
        </w:rPr>
        <w:t>de:</w:t>
      </w:r>
      <w:r w:rsidR="00CC3121" w:rsidRPr="00CC3121">
        <w:rPr>
          <w:rFonts w:ascii="Arial" w:eastAsia="Arial" w:hAnsi="Arial" w:cs="Arial"/>
          <w:b/>
          <w:color w:val="000000"/>
          <w:sz w:val="24"/>
          <w:szCs w:val="24"/>
        </w:rPr>
        <w:t xml:space="preserve"> </w:t>
      </w:r>
      <w:r w:rsidR="00CC3121" w:rsidRPr="007E4205">
        <w:rPr>
          <w:rFonts w:ascii="Arial" w:eastAsia="Arial" w:hAnsi="Arial" w:cs="Arial"/>
          <w:b/>
          <w:color w:val="000000"/>
          <w:sz w:val="24"/>
          <w:szCs w:val="24"/>
        </w:rPr>
        <w:t>1.</w:t>
      </w:r>
      <w:r w:rsidR="00CC3121">
        <w:rPr>
          <w:rFonts w:ascii="Arial" w:eastAsia="Arial" w:hAnsi="Arial" w:cs="Arial"/>
          <w:color w:val="000000"/>
          <w:sz w:val="24"/>
          <w:szCs w:val="24"/>
        </w:rPr>
        <w:t xml:space="preserve">  La m</w:t>
      </w:r>
      <w:r w:rsidR="00CC3121" w:rsidRPr="004210CB">
        <w:rPr>
          <w:rFonts w:ascii="Arial" w:eastAsia="Arial" w:hAnsi="Arial" w:cs="Arial"/>
          <w:color w:val="000000"/>
          <w:sz w:val="24"/>
          <w:szCs w:val="24"/>
        </w:rPr>
        <w:t>ulta por infracción establecida en el Código Fiscal para el Estado de Oaxaca, con número de control</w:t>
      </w:r>
      <w:r w:rsidR="00CC3121" w:rsidRPr="004210CB">
        <w:rPr>
          <w:rFonts w:ascii="Arial" w:hAnsi="Arial" w:cs="Arial"/>
          <w:sz w:val="24"/>
          <w:szCs w:val="24"/>
        </w:rPr>
        <w:t xml:space="preserve"> </w:t>
      </w:r>
      <w:r w:rsidR="0028160A">
        <w:rPr>
          <w:rFonts w:ascii="Arial" w:hAnsi="Arial" w:cs="Arial"/>
          <w:b/>
          <w:color w:val="FF0000"/>
          <w:sz w:val="24"/>
          <w:szCs w:val="24"/>
        </w:rPr>
        <w:t>**********</w:t>
      </w:r>
      <w:r w:rsidR="00CC3121" w:rsidRPr="004210CB">
        <w:rPr>
          <w:rFonts w:ascii="Arial" w:hAnsi="Arial" w:cs="Arial"/>
          <w:color w:val="FF0000"/>
          <w:sz w:val="24"/>
          <w:szCs w:val="24"/>
        </w:rPr>
        <w:t xml:space="preserve"> </w:t>
      </w:r>
      <w:r w:rsidR="00CC3121" w:rsidRPr="004210CB">
        <w:rPr>
          <w:rFonts w:ascii="Arial" w:hAnsi="Arial" w:cs="Arial"/>
          <w:sz w:val="24"/>
          <w:szCs w:val="24"/>
        </w:rPr>
        <w:t>de</w:t>
      </w:r>
      <w:r w:rsidR="00F769E5">
        <w:rPr>
          <w:rFonts w:ascii="Arial" w:hAnsi="Arial" w:cs="Arial"/>
          <w:sz w:val="24"/>
          <w:szCs w:val="24"/>
        </w:rPr>
        <w:t xml:space="preserve"> fecha diecinueve de agosto </w:t>
      </w:r>
      <w:r w:rsidR="00CC3121">
        <w:rPr>
          <w:rFonts w:ascii="Arial" w:hAnsi="Arial" w:cs="Arial"/>
          <w:sz w:val="24"/>
          <w:szCs w:val="24"/>
        </w:rPr>
        <w:t xml:space="preserve">de </w:t>
      </w:r>
      <w:r w:rsidR="00CC3121" w:rsidRPr="004210CB">
        <w:rPr>
          <w:rFonts w:ascii="Arial" w:hAnsi="Arial" w:cs="Arial"/>
          <w:sz w:val="24"/>
          <w:szCs w:val="24"/>
        </w:rPr>
        <w:t>dos mil diecinueve</w:t>
      </w:r>
      <w:r w:rsidR="00CC3121" w:rsidRPr="004210CB">
        <w:rPr>
          <w:rFonts w:ascii="Arial" w:eastAsia="Arial" w:hAnsi="Arial" w:cs="Arial"/>
          <w:color w:val="000000"/>
          <w:sz w:val="24"/>
          <w:szCs w:val="24"/>
        </w:rPr>
        <w:t>, emitida por la Directora de Ingresos y Recaudación de la Subsecretaría de Ingresos de la Secretaría de Finanzas del Gobierno del Estado de Oaxaca</w:t>
      </w:r>
      <w:r w:rsidR="00CC3121">
        <w:rPr>
          <w:rFonts w:ascii="Arial" w:eastAsia="Arial" w:hAnsi="Arial" w:cs="Arial"/>
          <w:color w:val="000000"/>
          <w:sz w:val="24"/>
          <w:szCs w:val="24"/>
        </w:rPr>
        <w:t xml:space="preserve">; </w:t>
      </w:r>
      <w:r w:rsidR="00CC3121" w:rsidRPr="007E4205">
        <w:rPr>
          <w:rFonts w:ascii="Arial" w:eastAsia="Arial" w:hAnsi="Arial" w:cs="Arial"/>
          <w:b/>
          <w:color w:val="000000"/>
          <w:sz w:val="24"/>
          <w:szCs w:val="24"/>
        </w:rPr>
        <w:t>2.</w:t>
      </w:r>
      <w:r w:rsidR="00CC3121">
        <w:rPr>
          <w:rFonts w:ascii="Arial" w:eastAsia="Arial" w:hAnsi="Arial" w:cs="Arial"/>
          <w:color w:val="000000"/>
          <w:sz w:val="24"/>
          <w:szCs w:val="24"/>
        </w:rPr>
        <w:t xml:space="preserve"> </w:t>
      </w:r>
      <w:r w:rsidR="00CC3121">
        <w:rPr>
          <w:rFonts w:ascii="Arial" w:hAnsi="Arial" w:cs="Arial"/>
          <w:bCs/>
          <w:spacing w:val="-3"/>
          <w:sz w:val="24"/>
          <w:szCs w:val="24"/>
          <w:lang w:val="es-ES_tradnl"/>
        </w:rPr>
        <w:t>L</w:t>
      </w:r>
      <w:r w:rsidR="00CC3121" w:rsidRPr="00BB1B71">
        <w:rPr>
          <w:rFonts w:ascii="Arial" w:hAnsi="Arial" w:cs="Arial"/>
          <w:bCs/>
          <w:spacing w:val="-3"/>
          <w:sz w:val="24"/>
          <w:szCs w:val="24"/>
          <w:lang w:val="es-ES_tradnl"/>
        </w:rPr>
        <w:t xml:space="preserve">a </w:t>
      </w:r>
      <w:r w:rsidR="00CC3121">
        <w:rPr>
          <w:rFonts w:ascii="Arial" w:hAnsi="Arial" w:cs="Arial"/>
          <w:bCs/>
          <w:spacing w:val="-3"/>
          <w:sz w:val="24"/>
          <w:szCs w:val="24"/>
          <w:lang w:val="es-ES_tradnl"/>
        </w:rPr>
        <w:t xml:space="preserve">resolución contenida </w:t>
      </w:r>
      <w:r w:rsidR="00F769E5">
        <w:rPr>
          <w:rFonts w:ascii="Arial" w:hAnsi="Arial" w:cs="Arial"/>
          <w:bCs/>
          <w:spacing w:val="-3"/>
          <w:sz w:val="24"/>
          <w:szCs w:val="24"/>
          <w:lang w:val="es-ES_tradnl"/>
        </w:rPr>
        <w:t xml:space="preserve">en el oficio </w:t>
      </w:r>
      <w:r w:rsidR="0028160A">
        <w:rPr>
          <w:rFonts w:ascii="Arial" w:hAnsi="Arial" w:cs="Arial"/>
          <w:bCs/>
          <w:color w:val="FF0000"/>
          <w:spacing w:val="-3"/>
          <w:sz w:val="24"/>
          <w:szCs w:val="24"/>
          <w:lang w:val="es-ES_tradnl"/>
        </w:rPr>
        <w:t>**********</w:t>
      </w:r>
      <w:r w:rsidR="00CC3121" w:rsidRPr="00F769E5">
        <w:rPr>
          <w:rFonts w:ascii="Arial" w:hAnsi="Arial" w:cs="Arial"/>
          <w:bCs/>
          <w:color w:val="FF0000"/>
          <w:spacing w:val="-3"/>
          <w:sz w:val="24"/>
          <w:szCs w:val="24"/>
          <w:lang w:val="es-ES_tradnl"/>
        </w:rPr>
        <w:t xml:space="preserve"> </w:t>
      </w:r>
      <w:r w:rsidR="00CC3121">
        <w:rPr>
          <w:rFonts w:ascii="Arial" w:hAnsi="Arial" w:cs="Arial"/>
          <w:bCs/>
          <w:spacing w:val="-3"/>
          <w:sz w:val="24"/>
          <w:szCs w:val="24"/>
          <w:lang w:val="es-ES_tradnl"/>
        </w:rPr>
        <w:t xml:space="preserve">de </w:t>
      </w:r>
      <w:r w:rsidR="00E44E9D">
        <w:rPr>
          <w:rFonts w:ascii="Arial" w:hAnsi="Arial" w:cs="Arial"/>
          <w:bCs/>
          <w:spacing w:val="-3"/>
          <w:sz w:val="24"/>
          <w:szCs w:val="24"/>
          <w:lang w:val="es-ES_tradnl"/>
        </w:rPr>
        <w:t>c</w:t>
      </w:r>
      <w:r w:rsidR="00F769E5">
        <w:rPr>
          <w:rFonts w:ascii="Arial" w:hAnsi="Arial" w:cs="Arial"/>
          <w:bCs/>
          <w:spacing w:val="-3"/>
          <w:sz w:val="24"/>
          <w:szCs w:val="24"/>
          <w:lang w:val="es-ES_tradnl"/>
        </w:rPr>
        <w:t>atorce de abril</w:t>
      </w:r>
      <w:r w:rsidR="00E44E9D">
        <w:rPr>
          <w:rFonts w:ascii="Arial" w:hAnsi="Arial" w:cs="Arial"/>
          <w:bCs/>
          <w:spacing w:val="-3"/>
          <w:sz w:val="24"/>
          <w:szCs w:val="24"/>
          <w:lang w:val="es-ES_tradnl"/>
        </w:rPr>
        <w:t xml:space="preserve"> de </w:t>
      </w:r>
      <w:r w:rsidR="00CC3121">
        <w:rPr>
          <w:rFonts w:ascii="Arial" w:hAnsi="Arial" w:cs="Arial"/>
          <w:bCs/>
          <w:spacing w:val="-3"/>
          <w:sz w:val="24"/>
          <w:szCs w:val="24"/>
          <w:lang w:val="es-ES_tradnl"/>
        </w:rPr>
        <w:t>dos mil veinte, mediante la cual el</w:t>
      </w:r>
      <w:r w:rsidR="00CC3121" w:rsidRPr="00B00DD7">
        <w:rPr>
          <w:rFonts w:ascii="Arial" w:eastAsia="Times New Roman" w:hAnsi="Arial" w:cs="Arial"/>
          <w:b/>
          <w:sz w:val="24"/>
          <w:szCs w:val="24"/>
          <w:lang w:val="es-ES_tradnl" w:eastAsia="es-ES"/>
        </w:rPr>
        <w:t xml:space="preserve"> </w:t>
      </w:r>
      <w:r w:rsidR="00CC3121">
        <w:rPr>
          <w:rFonts w:ascii="Arial" w:hAnsi="Arial" w:cs="Arial"/>
          <w:bCs/>
          <w:spacing w:val="-3"/>
          <w:sz w:val="24"/>
          <w:szCs w:val="24"/>
          <w:lang w:val="es-ES_tradnl"/>
        </w:rPr>
        <w:t xml:space="preserve">Director de lo Contencioso dependiente de la Procuraduría Fiscal </w:t>
      </w:r>
      <w:r w:rsidR="00CC3121">
        <w:rPr>
          <w:rFonts w:ascii="Arial" w:hAnsi="Arial" w:cs="Arial"/>
          <w:bCs/>
          <w:spacing w:val="-3"/>
          <w:sz w:val="24"/>
          <w:szCs w:val="24"/>
          <w:lang w:val="es-ES_tradnl"/>
        </w:rPr>
        <w:lastRenderedPageBreak/>
        <w:t>de la Subsecretaría de Ingresos de la Secretaría de Finanzas del Gobierno del Estado d</w:t>
      </w:r>
      <w:r w:rsidR="00CC3121" w:rsidRPr="00B00DD7">
        <w:rPr>
          <w:rFonts w:ascii="Arial" w:hAnsi="Arial" w:cs="Arial"/>
          <w:bCs/>
          <w:spacing w:val="-3"/>
          <w:sz w:val="24"/>
          <w:szCs w:val="24"/>
          <w:lang w:val="es-ES_tradnl"/>
        </w:rPr>
        <w:t>e Oaxaca</w:t>
      </w:r>
      <w:r w:rsidR="00CC3121">
        <w:rPr>
          <w:rFonts w:ascii="Arial" w:hAnsi="Arial" w:cs="Arial"/>
          <w:bCs/>
          <w:spacing w:val="-3"/>
          <w:sz w:val="24"/>
          <w:szCs w:val="24"/>
          <w:lang w:val="es-ES_tradnl"/>
        </w:rPr>
        <w:t xml:space="preserve"> resue</w:t>
      </w:r>
      <w:r w:rsidR="00F769E5">
        <w:rPr>
          <w:rFonts w:ascii="Arial" w:hAnsi="Arial" w:cs="Arial"/>
          <w:bCs/>
          <w:spacing w:val="-3"/>
          <w:sz w:val="24"/>
          <w:szCs w:val="24"/>
          <w:lang w:val="es-ES_tradnl"/>
        </w:rPr>
        <w:t xml:space="preserve">lve el recurso de revocación </w:t>
      </w:r>
      <w:r w:rsidR="0028160A">
        <w:rPr>
          <w:rFonts w:ascii="Arial" w:hAnsi="Arial" w:cs="Arial"/>
          <w:bCs/>
          <w:spacing w:val="-3"/>
          <w:sz w:val="24"/>
          <w:szCs w:val="24"/>
          <w:lang w:val="es-ES_tradnl"/>
        </w:rPr>
        <w:t>**********</w:t>
      </w:r>
      <w:r w:rsidR="00CC3121">
        <w:rPr>
          <w:rFonts w:ascii="Arial" w:hAnsi="Arial" w:cs="Arial"/>
          <w:bCs/>
          <w:spacing w:val="-3"/>
          <w:sz w:val="24"/>
          <w:szCs w:val="24"/>
          <w:lang w:val="es-ES_tradnl"/>
        </w:rPr>
        <w:t>.</w:t>
      </w:r>
    </w:p>
    <w:p w14:paraId="174D30E2" w14:textId="77777777" w:rsidR="00082ACA" w:rsidRDefault="00082ACA" w:rsidP="00082ACA">
      <w:pPr>
        <w:spacing w:after="240" w:line="360" w:lineRule="auto"/>
        <w:ind w:right="-1" w:firstLine="567"/>
        <w:jc w:val="both"/>
        <w:rPr>
          <w:rFonts w:ascii="Arial" w:eastAsia="Times New Roman" w:hAnsi="Arial" w:cs="Times New Roman"/>
          <w:bCs/>
          <w:sz w:val="24"/>
          <w:szCs w:val="24"/>
          <w:lang w:val="es-ES_tradnl" w:eastAsia="x-none"/>
        </w:rPr>
      </w:pPr>
      <w:r w:rsidRPr="00082ACA">
        <w:rPr>
          <w:rFonts w:ascii="Arial" w:eastAsia="Times New Roman" w:hAnsi="Arial" w:cs="Times New Roman"/>
          <w:bCs/>
          <w:sz w:val="24"/>
          <w:szCs w:val="24"/>
          <w:lang w:val="es-ES_tradnl" w:eastAsia="x-none"/>
        </w:rPr>
        <w:t xml:space="preserve">Por lo que, se ordena a la </w:t>
      </w:r>
      <w:r w:rsidRPr="00082ACA">
        <w:rPr>
          <w:rFonts w:ascii="Arial" w:eastAsia="Times New Roman" w:hAnsi="Arial" w:cs="Times New Roman"/>
          <w:b/>
          <w:sz w:val="24"/>
          <w:szCs w:val="24"/>
          <w:lang w:val="es-ES_tradnl" w:eastAsia="x-none"/>
        </w:rPr>
        <w:t xml:space="preserve">autoridad demandada </w:t>
      </w:r>
      <w:r w:rsidRPr="00082ACA">
        <w:rPr>
          <w:rFonts w:ascii="Arial" w:eastAsia="Times New Roman" w:hAnsi="Arial" w:cs="Times New Roman"/>
          <w:bCs/>
          <w:sz w:val="24"/>
          <w:szCs w:val="24"/>
          <w:lang w:val="es-ES_tradnl" w:eastAsia="x-none"/>
        </w:rPr>
        <w:t>proceda a la cancelación de la multa impuesta y en su momento realice la baja del sistema de control digital que el efecto lleva la Dirección de Ingresos de la Secretaría de Finanzas del Estado.</w:t>
      </w:r>
    </w:p>
    <w:p w14:paraId="07591BA8" w14:textId="77777777" w:rsidR="00082ACA" w:rsidRDefault="00082ACA" w:rsidP="00082ACA">
      <w:pPr>
        <w:spacing w:after="240" w:line="360" w:lineRule="auto"/>
        <w:ind w:right="-1" w:firstLine="567"/>
        <w:jc w:val="both"/>
        <w:rPr>
          <w:rFonts w:ascii="Arial" w:eastAsia="Times New Roman" w:hAnsi="Arial" w:cs="Times New Roman"/>
          <w:bCs/>
          <w:sz w:val="24"/>
          <w:szCs w:val="24"/>
          <w:lang w:val="es-ES_tradnl" w:eastAsia="x-none"/>
        </w:rPr>
      </w:pPr>
      <w:r>
        <w:rPr>
          <w:rFonts w:ascii="Arial" w:eastAsia="Times New Roman" w:hAnsi="Arial" w:cs="Times New Roman"/>
          <w:bCs/>
          <w:sz w:val="24"/>
          <w:szCs w:val="24"/>
          <w:lang w:val="es-ES_tradnl" w:eastAsia="x-none"/>
        </w:rPr>
        <w:t>Sirve de apoyo el siguiente criterio:</w:t>
      </w:r>
    </w:p>
    <w:p w14:paraId="0086AF70"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Registro digital:</w:t>
      </w:r>
      <w:r w:rsidRPr="00082ACA">
        <w:rPr>
          <w:rFonts w:ascii="Arial" w:eastAsia="Times New Roman" w:hAnsi="Arial" w:cs="Times New Roman"/>
          <w:bCs/>
          <w:lang w:val="es-ES_tradnl" w:eastAsia="x-none"/>
        </w:rPr>
        <w:t xml:space="preserve"> 252103</w:t>
      </w:r>
    </w:p>
    <w:p w14:paraId="4A050007"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Instancia:</w:t>
      </w:r>
      <w:r w:rsidRPr="00082ACA">
        <w:rPr>
          <w:rFonts w:ascii="Arial" w:eastAsia="Times New Roman" w:hAnsi="Arial" w:cs="Times New Roman"/>
          <w:bCs/>
          <w:lang w:val="es-ES_tradnl" w:eastAsia="x-none"/>
        </w:rPr>
        <w:t xml:space="preserve"> Tribunales Colegiados de Circuito</w:t>
      </w:r>
    </w:p>
    <w:p w14:paraId="3CDEEA0E" w14:textId="77777777" w:rsidR="00082ACA" w:rsidRPr="00082ACA" w:rsidRDefault="00082ACA" w:rsidP="00082ACA">
      <w:pPr>
        <w:spacing w:after="0" w:line="240" w:lineRule="auto"/>
        <w:ind w:left="567" w:right="335"/>
        <w:jc w:val="both"/>
        <w:rPr>
          <w:rFonts w:ascii="Arial" w:eastAsia="Times New Roman" w:hAnsi="Arial" w:cs="Times New Roman"/>
          <w:b/>
          <w:bCs/>
          <w:lang w:val="es-ES_tradnl" w:eastAsia="x-none"/>
        </w:rPr>
      </w:pPr>
      <w:r w:rsidRPr="00082ACA">
        <w:rPr>
          <w:rFonts w:ascii="Arial" w:eastAsia="Times New Roman" w:hAnsi="Arial" w:cs="Times New Roman"/>
          <w:b/>
          <w:bCs/>
          <w:lang w:val="es-ES_tradnl" w:eastAsia="x-none"/>
        </w:rPr>
        <w:t>Séptima Época</w:t>
      </w:r>
    </w:p>
    <w:p w14:paraId="4EC5F466"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Materia</w:t>
      </w:r>
      <w:r w:rsidRPr="00082ACA">
        <w:rPr>
          <w:rFonts w:ascii="Arial" w:eastAsia="Times New Roman" w:hAnsi="Arial" w:cs="Times New Roman"/>
          <w:bCs/>
          <w:lang w:val="es-ES_tradnl" w:eastAsia="x-none"/>
        </w:rPr>
        <w:t>(s): Común</w:t>
      </w:r>
    </w:p>
    <w:p w14:paraId="1B3DDAAD"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 xml:space="preserve">Fuente: </w:t>
      </w:r>
      <w:r w:rsidRPr="00082ACA">
        <w:rPr>
          <w:rFonts w:ascii="Arial" w:eastAsia="Times New Roman" w:hAnsi="Arial" w:cs="Times New Roman"/>
          <w:bCs/>
          <w:lang w:val="es-ES_tradnl" w:eastAsia="x-none"/>
        </w:rPr>
        <w:t>Semanario Judicial de la Federación.</w:t>
      </w:r>
    </w:p>
    <w:p w14:paraId="2EFAEEB9"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Cs/>
          <w:lang w:val="es-ES_tradnl" w:eastAsia="x-none"/>
        </w:rPr>
        <w:t>Volumen 121-126, Sexta Parte, página 280</w:t>
      </w:r>
    </w:p>
    <w:p w14:paraId="6BA4FACF"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 xml:space="preserve">Tipo: </w:t>
      </w:r>
      <w:r w:rsidRPr="00082ACA">
        <w:rPr>
          <w:rFonts w:ascii="Arial" w:eastAsia="Times New Roman" w:hAnsi="Arial" w:cs="Times New Roman"/>
          <w:bCs/>
          <w:lang w:val="es-ES_tradnl" w:eastAsia="x-none"/>
        </w:rPr>
        <w:t>Jurisprudencia</w:t>
      </w:r>
    </w:p>
    <w:p w14:paraId="3336BB9B" w14:textId="77777777" w:rsidR="00082ACA" w:rsidRDefault="00082ACA" w:rsidP="00082ACA">
      <w:pPr>
        <w:spacing w:after="0" w:line="240" w:lineRule="auto"/>
        <w:ind w:left="567" w:right="335"/>
        <w:jc w:val="both"/>
        <w:rPr>
          <w:rFonts w:ascii="Arial" w:eastAsia="Times New Roman" w:hAnsi="Arial" w:cs="Times New Roman"/>
          <w:b/>
          <w:bCs/>
          <w:lang w:val="es-ES_tradnl" w:eastAsia="x-none"/>
        </w:rPr>
      </w:pPr>
    </w:p>
    <w:p w14:paraId="55C7EC12" w14:textId="77777777" w:rsidR="00082ACA" w:rsidRPr="00082ACA" w:rsidRDefault="00082ACA" w:rsidP="00082ACA">
      <w:pPr>
        <w:spacing w:after="0" w:line="240" w:lineRule="auto"/>
        <w:ind w:left="567" w:right="335"/>
        <w:jc w:val="both"/>
        <w:rPr>
          <w:rFonts w:ascii="Arial" w:eastAsia="Times New Roman" w:hAnsi="Arial" w:cs="Times New Roman"/>
          <w:b/>
          <w:bCs/>
          <w:lang w:val="es-ES_tradnl" w:eastAsia="x-none"/>
        </w:rPr>
      </w:pPr>
      <w:r w:rsidRPr="00082ACA">
        <w:rPr>
          <w:rFonts w:ascii="Arial" w:eastAsia="Times New Roman" w:hAnsi="Arial" w:cs="Times New Roman"/>
          <w:b/>
          <w:bCs/>
          <w:lang w:val="es-ES_tradnl" w:eastAsia="x-none"/>
        </w:rPr>
        <w:t>ACTOS VICIADOS, FRUTOS DE.</w:t>
      </w:r>
    </w:p>
    <w:p w14:paraId="71B8424E" w14:textId="77777777" w:rsidR="00082ACA" w:rsidRDefault="00082ACA" w:rsidP="00082ACA">
      <w:pPr>
        <w:spacing w:after="0" w:line="240" w:lineRule="auto"/>
        <w:ind w:left="567" w:right="335"/>
        <w:jc w:val="both"/>
        <w:rPr>
          <w:rFonts w:ascii="Arial" w:eastAsia="Times New Roman" w:hAnsi="Arial" w:cs="Times New Roman"/>
          <w:bCs/>
          <w:lang w:val="es-ES_tradnl" w:eastAsia="x-none"/>
        </w:rPr>
      </w:pPr>
    </w:p>
    <w:p w14:paraId="44D4AD63"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Cs/>
          <w:lang w:val="es-ES_tradnl" w:eastAsia="x-none"/>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2E0C7CF7"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p>
    <w:p w14:paraId="3022ECF1"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Cs/>
          <w:lang w:val="es-ES_tradnl" w:eastAsia="x-none"/>
        </w:rPr>
        <w:t>PRIMER TRIBUNAL COLEGIADO EN MATERIA ADMINISTRATIVA DEL PRIMER CIRCUITO.</w:t>
      </w:r>
    </w:p>
    <w:p w14:paraId="46E8B1E4" w14:textId="77777777" w:rsidR="00082ACA" w:rsidRDefault="00082ACA" w:rsidP="00082ACA">
      <w:pPr>
        <w:spacing w:after="0" w:line="360" w:lineRule="auto"/>
        <w:ind w:right="-1" w:firstLine="567"/>
        <w:jc w:val="both"/>
        <w:rPr>
          <w:rFonts w:ascii="Arial" w:eastAsia="Times New Roman" w:hAnsi="Arial" w:cs="Arial"/>
          <w:sz w:val="24"/>
          <w:szCs w:val="24"/>
          <w:lang w:val="es-ES_tradnl" w:eastAsia="x-none"/>
        </w:rPr>
      </w:pPr>
    </w:p>
    <w:p w14:paraId="67FD5796" w14:textId="77777777"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r w:rsidRPr="00082ACA">
        <w:rPr>
          <w:rFonts w:ascii="Arial" w:eastAsia="Times New Roman" w:hAnsi="Arial" w:cs="Arial"/>
          <w:sz w:val="24"/>
          <w:szCs w:val="24"/>
          <w:lang w:val="es-ES_tradnl" w:eastAsia="x-none"/>
        </w:rPr>
        <w:t>Por último, es preciso establecer que los tribunales deben ocuparse de todos los planteamientos formulados por las partes, pero también, que al resultar fundado</w:t>
      </w:r>
      <w:r>
        <w:rPr>
          <w:rFonts w:ascii="Arial" w:eastAsia="Times New Roman" w:hAnsi="Arial" w:cs="Arial"/>
          <w:sz w:val="24"/>
          <w:szCs w:val="24"/>
          <w:lang w:val="es-ES_tradnl" w:eastAsia="x-none"/>
        </w:rPr>
        <w:t>s los</w:t>
      </w:r>
      <w:r w:rsidRPr="00082ACA">
        <w:rPr>
          <w:rFonts w:ascii="Arial" w:eastAsia="Times New Roman" w:hAnsi="Arial" w:cs="Arial"/>
          <w:sz w:val="24"/>
          <w:szCs w:val="24"/>
          <w:lang w:val="es-ES_tradnl" w:eastAsia="x-none"/>
        </w:rPr>
        <w:t xml:space="preserve"> concepto</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xml:space="preserve"> de impugnación antes analizado</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debe</w:t>
      </w:r>
      <w:r>
        <w:rPr>
          <w:rFonts w:ascii="Arial" w:eastAsia="Times New Roman" w:hAnsi="Arial" w:cs="Arial"/>
          <w:sz w:val="24"/>
          <w:szCs w:val="24"/>
          <w:lang w:val="es-ES_tradnl" w:eastAsia="x-none"/>
        </w:rPr>
        <w:t>n</w:t>
      </w:r>
      <w:r w:rsidRPr="00082ACA">
        <w:rPr>
          <w:rFonts w:ascii="Arial" w:eastAsia="Times New Roman" w:hAnsi="Arial" w:cs="Arial"/>
          <w:sz w:val="24"/>
          <w:szCs w:val="24"/>
          <w:lang w:val="es-ES_tradnl" w:eastAsia="x-none"/>
        </w:rPr>
        <w:t xml:space="preserve"> considerarse suficiente</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xml:space="preserve"> par</w:t>
      </w:r>
      <w:r>
        <w:rPr>
          <w:rFonts w:ascii="Arial" w:eastAsia="Times New Roman" w:hAnsi="Arial" w:cs="Arial"/>
          <w:sz w:val="24"/>
          <w:szCs w:val="24"/>
          <w:lang w:val="es-ES_tradnl" w:eastAsia="x-none"/>
        </w:rPr>
        <w:t>a arribar a la declaración de</w:t>
      </w:r>
      <w:r w:rsidRPr="00082ACA">
        <w:rPr>
          <w:rFonts w:ascii="Arial" w:eastAsia="Times New Roman" w:hAnsi="Arial" w:cs="Arial"/>
          <w:sz w:val="24"/>
          <w:szCs w:val="24"/>
          <w:lang w:val="es-ES_tradnl" w:eastAsia="x-none"/>
        </w:rPr>
        <w:t xml:space="preserve">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w:t>
      </w:r>
    </w:p>
    <w:p w14:paraId="7D15F493" w14:textId="77777777"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p>
    <w:p w14:paraId="4E54987F" w14:textId="77777777"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r w:rsidRPr="00082ACA">
        <w:rPr>
          <w:rFonts w:ascii="Arial" w:eastAsia="Times New Roman" w:hAnsi="Arial" w:cs="Arial"/>
          <w:sz w:val="24"/>
          <w:szCs w:val="24"/>
          <w:lang w:val="es-ES_tradnl" w:eastAsia="x-none"/>
        </w:rPr>
        <w:t>Tiene exacta aplicación la jurisprudencia de contenido y datos de identificación siguientes:</w:t>
      </w:r>
    </w:p>
    <w:p w14:paraId="1E6B2BF6"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p>
    <w:p w14:paraId="10823E75"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Registro:</w:t>
      </w:r>
      <w:r w:rsidRPr="00082ACA">
        <w:rPr>
          <w:rFonts w:ascii="Arial" w:eastAsia="Times New Roman" w:hAnsi="Arial" w:cs="Arial"/>
          <w:lang w:val="es-ES_tradnl" w:eastAsia="x-none"/>
        </w:rPr>
        <w:t xml:space="preserve"> 174974</w:t>
      </w:r>
    </w:p>
    <w:p w14:paraId="6FA2C9EB"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Materia:</w:t>
      </w:r>
      <w:r w:rsidRPr="00082ACA">
        <w:rPr>
          <w:rFonts w:ascii="Arial" w:eastAsia="Times New Roman" w:hAnsi="Arial" w:cs="Arial"/>
          <w:lang w:val="es-ES_tradnl" w:eastAsia="x-none"/>
        </w:rPr>
        <w:t xml:space="preserve"> Administrativa</w:t>
      </w:r>
    </w:p>
    <w:p w14:paraId="53293E25" w14:textId="77777777" w:rsidR="00082ACA" w:rsidRPr="00082ACA" w:rsidRDefault="00082ACA" w:rsidP="00082ACA">
      <w:pPr>
        <w:spacing w:after="0" w:line="240" w:lineRule="auto"/>
        <w:ind w:left="567" w:right="335"/>
        <w:jc w:val="both"/>
        <w:rPr>
          <w:rFonts w:ascii="Arial" w:eastAsia="Times New Roman" w:hAnsi="Arial" w:cs="Arial"/>
          <w:b/>
          <w:lang w:val="es-ES_tradnl" w:eastAsia="x-none"/>
        </w:rPr>
      </w:pPr>
      <w:r w:rsidRPr="00082ACA">
        <w:rPr>
          <w:rFonts w:ascii="Arial" w:eastAsia="Times New Roman" w:hAnsi="Arial" w:cs="Arial"/>
          <w:b/>
          <w:lang w:val="es-ES_tradnl" w:eastAsia="x-none"/>
        </w:rPr>
        <w:t>Novena época</w:t>
      </w:r>
    </w:p>
    <w:p w14:paraId="7042025B"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Instancia:</w:t>
      </w:r>
      <w:r w:rsidRPr="00082ACA">
        <w:rPr>
          <w:rFonts w:ascii="Arial" w:eastAsia="Times New Roman" w:hAnsi="Arial" w:cs="Arial"/>
          <w:lang w:val="es-ES_tradnl" w:eastAsia="x-none"/>
        </w:rPr>
        <w:t xml:space="preserve"> Tribunales Colegiados de Circuito</w:t>
      </w:r>
    </w:p>
    <w:p w14:paraId="2F6152FF"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 xml:space="preserve">Fuente: </w:t>
      </w:r>
      <w:r w:rsidRPr="00082ACA">
        <w:rPr>
          <w:rFonts w:ascii="Arial" w:eastAsia="Times New Roman" w:hAnsi="Arial" w:cs="Arial"/>
          <w:lang w:val="es-ES_tradnl" w:eastAsia="x-none"/>
        </w:rPr>
        <w:t>Semanario Judicial de la Federación y su gaceta, mayo 2006</w:t>
      </w:r>
    </w:p>
    <w:p w14:paraId="43B9D6E1"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Página</w:t>
      </w:r>
      <w:r w:rsidRPr="00082ACA">
        <w:rPr>
          <w:rFonts w:ascii="Arial" w:eastAsia="Times New Roman" w:hAnsi="Arial" w:cs="Arial"/>
          <w:lang w:val="es-ES_tradnl" w:eastAsia="x-none"/>
        </w:rPr>
        <w:t xml:space="preserve"> 1646</w:t>
      </w:r>
    </w:p>
    <w:p w14:paraId="4B755233" w14:textId="77777777" w:rsidR="00082ACA" w:rsidRPr="00082ACA" w:rsidRDefault="00082ACA" w:rsidP="00082ACA">
      <w:pPr>
        <w:spacing w:after="0" w:line="240" w:lineRule="auto"/>
        <w:ind w:left="567" w:right="335"/>
        <w:jc w:val="both"/>
        <w:rPr>
          <w:rFonts w:ascii="Arial" w:eastAsia="Times New Roman" w:hAnsi="Arial" w:cs="Arial"/>
          <w:i/>
          <w:lang w:val="es-ES_tradnl" w:eastAsia="x-none"/>
        </w:rPr>
      </w:pPr>
    </w:p>
    <w:p w14:paraId="6EDF4DE9" w14:textId="77777777" w:rsidR="00082ACA" w:rsidRPr="00082ACA" w:rsidRDefault="00082ACA" w:rsidP="00082ACA">
      <w:pPr>
        <w:spacing w:after="0" w:line="240" w:lineRule="auto"/>
        <w:ind w:left="567" w:right="335"/>
        <w:jc w:val="both"/>
        <w:rPr>
          <w:rFonts w:ascii="Arial" w:eastAsia="Times New Roman" w:hAnsi="Arial" w:cs="Arial"/>
          <w:b/>
          <w:szCs w:val="24"/>
          <w:lang w:val="es-ES_tradnl" w:eastAsia="x-none"/>
        </w:rPr>
      </w:pPr>
      <w:r w:rsidRPr="00082ACA">
        <w:rPr>
          <w:rFonts w:ascii="Arial" w:eastAsia="Times New Roman" w:hAnsi="Arial" w:cs="Arial"/>
          <w:b/>
          <w:lang w:val="es-ES_tradnl" w:eastAsia="x-none"/>
        </w:rPr>
        <w:t>SENTENCIAS DEL TRIBUNAL FEDERAL DE JUSTICIA FISCAL Y ADMINISTRATIVA. EN ATENCIÓN AL ORDEN QUE SEÑALA EL CÓDIGO FISCAL DE LA FEDERACIÓN PARA EL ESTUDIO DE LOS CONCEPTOS DE ANULACIÓN</w:t>
      </w:r>
      <w:r w:rsidRPr="00082ACA">
        <w:rPr>
          <w:rFonts w:ascii="Arial" w:eastAsia="Times New Roman" w:hAnsi="Arial" w:cs="Arial"/>
          <w:b/>
          <w:szCs w:val="24"/>
          <w:lang w:val="es-ES_tradnl" w:eastAsia="x-none"/>
        </w:rPr>
        <w:t xml:space="preserve">, DEBEN ANALIZARSE EN PRIMER LUGAR AQUELLOS QUE LLEVEN A DECLARAR LA NULIDAD MÁS BENÉFICA PARA EL ACTOR. </w:t>
      </w:r>
    </w:p>
    <w:p w14:paraId="07BCC641" w14:textId="77777777" w:rsidR="00082ACA" w:rsidRPr="00082ACA" w:rsidRDefault="00082ACA" w:rsidP="00082ACA">
      <w:pPr>
        <w:spacing w:after="0"/>
        <w:ind w:left="567" w:right="332"/>
        <w:jc w:val="both"/>
        <w:rPr>
          <w:rFonts w:ascii="Arial" w:eastAsia="Times New Roman" w:hAnsi="Arial" w:cs="Arial"/>
          <w:b/>
          <w:szCs w:val="24"/>
          <w:lang w:val="es-ES_tradnl" w:eastAsia="x-none"/>
        </w:rPr>
      </w:pPr>
    </w:p>
    <w:p w14:paraId="700E6096" w14:textId="77777777" w:rsidR="00082ACA" w:rsidRPr="00082ACA" w:rsidRDefault="00082ACA" w:rsidP="00082ACA">
      <w:pPr>
        <w:spacing w:after="0"/>
        <w:ind w:left="567" w:right="332"/>
        <w:jc w:val="both"/>
        <w:rPr>
          <w:rFonts w:ascii="Arial" w:eastAsia="Times New Roman" w:hAnsi="Arial" w:cs="Arial"/>
          <w:szCs w:val="24"/>
          <w:lang w:val="es-ES_tradnl" w:eastAsia="x-none"/>
        </w:rPr>
      </w:pPr>
      <w:r w:rsidRPr="00082ACA">
        <w:rPr>
          <w:rFonts w:ascii="Arial" w:eastAsia="Times New Roman" w:hAnsi="Arial" w:cs="Arial"/>
          <w:szCs w:val="24"/>
          <w:lang w:val="es-ES_tradnl" w:eastAsia="x-none"/>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082ACA">
        <w:rPr>
          <w:rFonts w:ascii="Arial" w:eastAsia="Times New Roman" w:hAnsi="Arial" w:cs="Arial"/>
          <w:b/>
          <w:szCs w:val="24"/>
          <w:lang w:val="es-ES_tradnl" w:eastAsia="x-none"/>
        </w:rPr>
        <w:t xml:space="preserve"> </w:t>
      </w:r>
      <w:r w:rsidRPr="00082ACA">
        <w:rPr>
          <w:rFonts w:ascii="Arial" w:eastAsia="Times New Roman" w:hAnsi="Arial" w:cs="Arial"/>
          <w:szCs w:val="24"/>
          <w:lang w:val="es-ES_tradnl" w:eastAsia="x-none"/>
        </w:rPr>
        <w:t>actor, y sólo en el evento de estimarlos infundados, se</w:t>
      </w:r>
      <w:r w:rsidRPr="00082ACA">
        <w:rPr>
          <w:rFonts w:ascii="Arial" w:eastAsia="Times New Roman" w:hAnsi="Arial" w:cs="Arial"/>
          <w:b/>
          <w:szCs w:val="24"/>
          <w:lang w:val="es-ES_tradnl" w:eastAsia="x-none"/>
        </w:rPr>
        <w:t xml:space="preserve"> </w:t>
      </w:r>
      <w:r w:rsidRPr="00082ACA">
        <w:rPr>
          <w:rFonts w:ascii="Arial" w:eastAsia="Times New Roman" w:hAnsi="Arial" w:cs="Arial"/>
          <w:szCs w:val="24"/>
          <w:lang w:val="es-ES_tradnl" w:eastAsia="x-none"/>
        </w:rPr>
        <w:t>pronuncie sobre los conceptos de impugnación que lleven a una declaratoria de nulidad para efectos, bien sea de la llamada comúnmente "del tercer tipo", por versar sobre el ejercicio de facultades discrecionales o, en su caso, para otros efectos.</w:t>
      </w:r>
    </w:p>
    <w:p w14:paraId="729C4470" w14:textId="77777777" w:rsidR="00E44E9D" w:rsidRDefault="00E44E9D"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hAnsi="Arial" w:cs="Arial"/>
          <w:sz w:val="24"/>
          <w:szCs w:val="24"/>
        </w:rPr>
      </w:pPr>
    </w:p>
    <w:p w14:paraId="6FFA76E5" w14:textId="77777777" w:rsidR="004210CB" w:rsidRPr="004210CB" w:rsidRDefault="00082ACA"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sidRPr="00523CFA">
        <w:rPr>
          <w:rFonts w:ascii="Arial" w:hAnsi="Arial" w:cs="Arial"/>
          <w:sz w:val="24"/>
          <w:szCs w:val="24"/>
        </w:rPr>
        <w:t>En mérito de lo expuesto y con fundamento en los artículos 207 fraccio</w:t>
      </w:r>
      <w:r w:rsidR="00C618BA">
        <w:rPr>
          <w:rFonts w:ascii="Arial" w:hAnsi="Arial" w:cs="Arial"/>
          <w:sz w:val="24"/>
          <w:szCs w:val="24"/>
        </w:rPr>
        <w:t>nes I, II y III, 208 fracción II</w:t>
      </w:r>
      <w:r w:rsidRPr="00523CFA">
        <w:rPr>
          <w:rFonts w:ascii="Arial" w:hAnsi="Arial" w:cs="Arial"/>
          <w:sz w:val="24"/>
          <w:szCs w:val="24"/>
        </w:rPr>
        <w:t xml:space="preserve"> y 209, de la Ley de Procedimiento y Justicia Administrativa para el Estado de Oaxaca, se</w:t>
      </w:r>
      <w:r w:rsidR="00C618BA">
        <w:rPr>
          <w:rFonts w:ascii="Arial" w:eastAsia="Arial" w:hAnsi="Arial" w:cs="Arial"/>
          <w:color w:val="000000"/>
          <w:sz w:val="24"/>
          <w:szCs w:val="24"/>
        </w:rPr>
        <w:t xml:space="preserve">; - . - . - . - . - . - . - . - . - . - . - . - . - . - . - . - . - . - . - . - . </w:t>
      </w:r>
    </w:p>
    <w:p w14:paraId="76B012EB"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5BD2B895"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sidRPr="004210CB">
        <w:rPr>
          <w:rFonts w:ascii="Arial" w:eastAsia="Arial" w:hAnsi="Arial" w:cs="Arial"/>
          <w:b/>
          <w:color w:val="000000"/>
          <w:sz w:val="24"/>
          <w:szCs w:val="24"/>
        </w:rPr>
        <w:t>R E S U E L V E:</w:t>
      </w:r>
    </w:p>
    <w:p w14:paraId="3E0005AB"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PRIMERO.</w:t>
      </w:r>
      <w:r w:rsidRPr="004210CB">
        <w:rPr>
          <w:rFonts w:ascii="Arial" w:eastAsia="Arial" w:hAnsi="Arial" w:cs="Arial"/>
          <w:color w:val="000000"/>
          <w:sz w:val="24"/>
          <w:szCs w:val="24"/>
        </w:rPr>
        <w:t xml:space="preserve"> Esta Sexta Sala Unitaria de este Tribunal de Justicia Administrati</w:t>
      </w:r>
      <w:r w:rsidR="007E4205">
        <w:rPr>
          <w:rFonts w:ascii="Arial" w:eastAsia="Arial" w:hAnsi="Arial" w:cs="Arial"/>
          <w:color w:val="000000"/>
          <w:sz w:val="24"/>
          <w:szCs w:val="24"/>
        </w:rPr>
        <w:t>va para el Estado de Oaxaca, es</w:t>
      </w:r>
      <w:r w:rsidRPr="004210CB">
        <w:rPr>
          <w:rFonts w:ascii="Arial" w:eastAsia="Arial" w:hAnsi="Arial" w:cs="Arial"/>
          <w:color w:val="000000"/>
          <w:sz w:val="24"/>
          <w:szCs w:val="24"/>
        </w:rPr>
        <w:t xml:space="preserve"> competente para conocer y resolver del presente asunto. - - - - - - - - - - - - - - - - - - - - - - - - - - - - - - - - - - - - - - - - - - - - .</w:t>
      </w:r>
    </w:p>
    <w:p w14:paraId="21E64D49"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SEGUNDO.</w:t>
      </w:r>
      <w:r w:rsidRPr="004210CB">
        <w:rPr>
          <w:rFonts w:ascii="Arial" w:eastAsia="Arial" w:hAnsi="Arial" w:cs="Arial"/>
          <w:color w:val="000000"/>
          <w:sz w:val="24"/>
          <w:szCs w:val="24"/>
        </w:rPr>
        <w:t xml:space="preserve"> La personalidad de las partes quedó acreditada en autos.- - - - .</w:t>
      </w:r>
    </w:p>
    <w:p w14:paraId="1B2FAD08"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TERCERO.</w:t>
      </w:r>
      <w:r w:rsidRPr="004210CB">
        <w:rPr>
          <w:rFonts w:ascii="Arial" w:eastAsia="Arial" w:hAnsi="Arial" w:cs="Arial"/>
          <w:color w:val="000000"/>
          <w:sz w:val="24"/>
          <w:szCs w:val="24"/>
        </w:rPr>
        <w:t xml:space="preserve"> No se actualizaron causales de improcedencia y sobreseimiento en el presente asunto, por lo que </w:t>
      </w:r>
      <w:r w:rsidRPr="004210CB">
        <w:rPr>
          <w:rFonts w:ascii="Arial" w:eastAsia="Arial" w:hAnsi="Arial" w:cs="Arial"/>
          <w:b/>
          <w:color w:val="000000"/>
          <w:sz w:val="24"/>
          <w:szCs w:val="24"/>
        </w:rPr>
        <w:t>no se sobresee</w:t>
      </w:r>
      <w:r w:rsidRPr="004210CB">
        <w:rPr>
          <w:rFonts w:ascii="Arial" w:eastAsia="Arial" w:hAnsi="Arial" w:cs="Arial"/>
          <w:color w:val="000000"/>
          <w:sz w:val="24"/>
          <w:szCs w:val="24"/>
        </w:rPr>
        <w:t xml:space="preserve"> el juicio.- - - - - - - - - - - - - - - - - .</w:t>
      </w:r>
    </w:p>
    <w:p w14:paraId="0F0DD8A3" w14:textId="5D32B8C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 xml:space="preserve">CUARTO. </w:t>
      </w:r>
      <w:r w:rsidRPr="004210CB">
        <w:rPr>
          <w:rFonts w:ascii="Arial" w:eastAsia="Arial" w:hAnsi="Arial" w:cs="Arial"/>
          <w:color w:val="000000"/>
          <w:sz w:val="24"/>
          <w:szCs w:val="24"/>
        </w:rPr>
        <w:t xml:space="preserve">Se declara la </w:t>
      </w:r>
      <w:r w:rsidRPr="004210CB">
        <w:rPr>
          <w:rFonts w:ascii="Arial" w:eastAsia="Arial" w:hAnsi="Arial" w:cs="Arial"/>
          <w:b/>
          <w:color w:val="000000"/>
          <w:sz w:val="24"/>
          <w:szCs w:val="24"/>
        </w:rPr>
        <w:t>NULIDAD</w:t>
      </w:r>
      <w:r w:rsidRPr="004210CB">
        <w:rPr>
          <w:rFonts w:ascii="Arial" w:eastAsia="Arial" w:hAnsi="Arial" w:cs="Arial"/>
          <w:color w:val="000000"/>
          <w:sz w:val="24"/>
          <w:szCs w:val="24"/>
        </w:rPr>
        <w:t xml:space="preserve"> </w:t>
      </w:r>
      <w:r w:rsidRPr="004210CB">
        <w:rPr>
          <w:rFonts w:ascii="Arial" w:eastAsia="Arial" w:hAnsi="Arial" w:cs="Arial"/>
          <w:b/>
          <w:color w:val="000000"/>
          <w:sz w:val="24"/>
          <w:szCs w:val="24"/>
        </w:rPr>
        <w:t>LISA Y LLANA</w:t>
      </w:r>
      <w:r w:rsidRPr="004210CB">
        <w:rPr>
          <w:rFonts w:ascii="Arial" w:eastAsia="Arial" w:hAnsi="Arial" w:cs="Arial"/>
          <w:color w:val="000000"/>
          <w:sz w:val="24"/>
          <w:szCs w:val="24"/>
        </w:rPr>
        <w:t xml:space="preserve"> de la</w:t>
      </w:r>
      <w:r w:rsidR="007E4205">
        <w:rPr>
          <w:rFonts w:ascii="Arial" w:eastAsia="Arial" w:hAnsi="Arial" w:cs="Arial"/>
          <w:color w:val="000000"/>
          <w:sz w:val="24"/>
          <w:szCs w:val="24"/>
        </w:rPr>
        <w:t xml:space="preserve">s resoluciones impugnadas consistentes en: </w:t>
      </w:r>
      <w:r w:rsidR="007E4205" w:rsidRPr="007E4205">
        <w:rPr>
          <w:rFonts w:ascii="Arial" w:eastAsia="Arial" w:hAnsi="Arial" w:cs="Arial"/>
          <w:b/>
          <w:color w:val="000000"/>
          <w:sz w:val="24"/>
          <w:szCs w:val="24"/>
        </w:rPr>
        <w:t>1.</w:t>
      </w:r>
      <w:r w:rsidR="007E4205">
        <w:rPr>
          <w:rFonts w:ascii="Arial" w:eastAsia="Arial" w:hAnsi="Arial" w:cs="Arial"/>
          <w:color w:val="000000"/>
          <w:sz w:val="24"/>
          <w:szCs w:val="24"/>
        </w:rPr>
        <w:t xml:space="preserve"> </w:t>
      </w:r>
      <w:r w:rsidR="00F769E5" w:rsidRPr="00F769E5">
        <w:rPr>
          <w:rFonts w:ascii="Arial" w:eastAsia="Arial" w:hAnsi="Arial" w:cs="Arial"/>
          <w:color w:val="000000"/>
          <w:sz w:val="24"/>
          <w:szCs w:val="24"/>
        </w:rPr>
        <w:t xml:space="preserve">La multa por infracción establecida en el Código Fiscal para el Estado de Oaxaca, con número de control </w:t>
      </w:r>
      <w:r w:rsidR="0028160A">
        <w:rPr>
          <w:rFonts w:ascii="Arial" w:eastAsia="Arial" w:hAnsi="Arial" w:cs="Arial"/>
          <w:b/>
          <w:color w:val="FF0000"/>
          <w:sz w:val="24"/>
          <w:szCs w:val="24"/>
        </w:rPr>
        <w:t>**********</w:t>
      </w:r>
      <w:r w:rsidR="00F769E5" w:rsidRPr="00F769E5">
        <w:rPr>
          <w:rFonts w:ascii="Arial" w:eastAsia="Arial" w:hAnsi="Arial" w:cs="Arial"/>
          <w:color w:val="000000"/>
          <w:sz w:val="24"/>
          <w:szCs w:val="24"/>
        </w:rPr>
        <w:t xml:space="preserve"> de fecha diecinueve de agosto de dos mil diecinueve, emitida por la Directora de Ingresos y Recaudación de la Subsecretaría de Ingresos de la Secretaría de Finanzas del Gobierno del Estado de Oaxaca; </w:t>
      </w:r>
      <w:r w:rsidR="00F769E5" w:rsidRPr="00F769E5">
        <w:rPr>
          <w:rFonts w:ascii="Arial" w:eastAsia="Arial" w:hAnsi="Arial" w:cs="Arial"/>
          <w:b/>
          <w:color w:val="000000"/>
          <w:sz w:val="24"/>
          <w:szCs w:val="24"/>
        </w:rPr>
        <w:t>2.</w:t>
      </w:r>
      <w:r w:rsidR="00F769E5" w:rsidRPr="00F769E5">
        <w:rPr>
          <w:rFonts w:ascii="Arial" w:eastAsia="Arial" w:hAnsi="Arial" w:cs="Arial"/>
          <w:color w:val="000000"/>
          <w:sz w:val="24"/>
          <w:szCs w:val="24"/>
        </w:rPr>
        <w:t xml:space="preserve"> </w:t>
      </w:r>
      <w:r w:rsidR="00F769E5" w:rsidRPr="00F769E5">
        <w:rPr>
          <w:rFonts w:ascii="Arial" w:eastAsia="Arial" w:hAnsi="Arial" w:cs="Arial"/>
          <w:bCs/>
          <w:color w:val="000000"/>
          <w:sz w:val="24"/>
          <w:szCs w:val="24"/>
          <w:lang w:val="es-ES_tradnl"/>
        </w:rPr>
        <w:t xml:space="preserve">La resolución contenida en el oficio </w:t>
      </w:r>
      <w:r w:rsidR="0028160A">
        <w:rPr>
          <w:rFonts w:ascii="Arial" w:eastAsia="Arial" w:hAnsi="Arial" w:cs="Arial"/>
          <w:bCs/>
          <w:color w:val="FF0000"/>
          <w:sz w:val="24"/>
          <w:szCs w:val="24"/>
          <w:lang w:val="es-ES_tradnl"/>
        </w:rPr>
        <w:t>**********</w:t>
      </w:r>
      <w:r w:rsidR="00F769E5" w:rsidRPr="00F769E5">
        <w:rPr>
          <w:rFonts w:ascii="Arial" w:eastAsia="Arial" w:hAnsi="Arial" w:cs="Arial"/>
          <w:bCs/>
          <w:color w:val="FF0000"/>
          <w:sz w:val="24"/>
          <w:szCs w:val="24"/>
          <w:lang w:val="es-ES_tradnl"/>
        </w:rPr>
        <w:t xml:space="preserve"> </w:t>
      </w:r>
      <w:r w:rsidR="00F769E5" w:rsidRPr="00F769E5">
        <w:rPr>
          <w:rFonts w:ascii="Arial" w:eastAsia="Arial" w:hAnsi="Arial" w:cs="Arial"/>
          <w:bCs/>
          <w:color w:val="000000"/>
          <w:sz w:val="24"/>
          <w:szCs w:val="24"/>
          <w:lang w:val="es-ES_tradnl"/>
        </w:rPr>
        <w:t>de catorce de abril de dos mil veinte, mediante la cual el</w:t>
      </w:r>
      <w:r w:rsidR="00F769E5" w:rsidRPr="00F769E5">
        <w:rPr>
          <w:rFonts w:ascii="Arial" w:eastAsia="Arial" w:hAnsi="Arial" w:cs="Arial"/>
          <w:b/>
          <w:color w:val="000000"/>
          <w:sz w:val="24"/>
          <w:szCs w:val="24"/>
          <w:lang w:val="es-ES_tradnl"/>
        </w:rPr>
        <w:t xml:space="preserve"> </w:t>
      </w:r>
      <w:r w:rsidR="00F769E5" w:rsidRPr="00F769E5">
        <w:rPr>
          <w:rFonts w:ascii="Arial" w:eastAsia="Arial" w:hAnsi="Arial" w:cs="Arial"/>
          <w:bCs/>
          <w:color w:val="000000"/>
          <w:sz w:val="24"/>
          <w:szCs w:val="24"/>
          <w:lang w:val="es-ES_tradnl"/>
        </w:rPr>
        <w:t xml:space="preserve">Director de lo Contencioso dependiente de la Procuraduría Fiscal de la Subsecretaría de Ingresos de la Secretaría de Finanzas del Gobierno del Estado de Oaxaca resuelve el recurso de revocación </w:t>
      </w:r>
      <w:r w:rsidR="0028160A">
        <w:rPr>
          <w:rFonts w:ascii="Arial" w:eastAsia="Arial" w:hAnsi="Arial" w:cs="Arial"/>
          <w:bCs/>
          <w:color w:val="000000"/>
          <w:sz w:val="24"/>
          <w:szCs w:val="24"/>
          <w:lang w:val="es-ES_tradnl"/>
        </w:rPr>
        <w:t>**********</w:t>
      </w:r>
      <w:r w:rsidR="007E4205">
        <w:rPr>
          <w:rFonts w:ascii="Arial" w:eastAsia="Arial" w:hAnsi="Arial" w:cs="Arial"/>
          <w:color w:val="000000"/>
          <w:sz w:val="24"/>
          <w:szCs w:val="24"/>
        </w:rPr>
        <w:t>;</w:t>
      </w:r>
      <w:r w:rsidRPr="004210CB">
        <w:rPr>
          <w:rFonts w:ascii="Arial" w:eastAsia="Arial" w:hAnsi="Arial" w:cs="Arial"/>
          <w:color w:val="000000"/>
          <w:sz w:val="24"/>
          <w:szCs w:val="24"/>
        </w:rPr>
        <w:t xml:space="preserve"> en los términos precisados en el considerando que antecede. </w:t>
      </w:r>
    </w:p>
    <w:p w14:paraId="213C98B1"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 xml:space="preserve">QUINTO. </w:t>
      </w:r>
      <w:r w:rsidRPr="004210CB">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sidRPr="004210CB">
        <w:rPr>
          <w:rFonts w:ascii="Arial" w:eastAsia="Arial" w:hAnsi="Arial" w:cs="Arial"/>
          <w:b/>
          <w:color w:val="000000"/>
          <w:sz w:val="24"/>
          <w:szCs w:val="24"/>
        </w:rPr>
        <w:t>notifíquese personalmente al actor y por oficio a la autoridad demandada</w:t>
      </w:r>
      <w:r w:rsidRPr="004210CB">
        <w:rPr>
          <w:rFonts w:ascii="Arial" w:eastAsia="Arial" w:hAnsi="Arial" w:cs="Arial"/>
          <w:color w:val="000000"/>
          <w:sz w:val="24"/>
          <w:szCs w:val="24"/>
        </w:rPr>
        <w:t>, cúmplase. - - - - - - - - - - - - - - - - - - - - - - - - - - - - - - - - - - - - - - - - - - - - - - - - - - - -.</w:t>
      </w:r>
    </w:p>
    <w:p w14:paraId="2CBA8FF9" w14:textId="77777777" w:rsidR="004210CB" w:rsidRPr="004210CB" w:rsidRDefault="004210CB" w:rsidP="004210CB">
      <w:pPr>
        <w:spacing w:before="240" w:after="160" w:line="360" w:lineRule="auto"/>
        <w:ind w:right="49" w:firstLine="708"/>
        <w:jc w:val="both"/>
        <w:rPr>
          <w:rFonts w:ascii="Arial" w:hAnsi="Arial" w:cs="Arial"/>
          <w:sz w:val="24"/>
        </w:rPr>
      </w:pPr>
      <w:r w:rsidRPr="004210CB">
        <w:rPr>
          <w:rFonts w:ascii="Arial" w:hAnsi="Arial" w:cs="Arial"/>
          <w:sz w:val="24"/>
        </w:rPr>
        <w:lastRenderedPageBreak/>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 - - - - -.</w:t>
      </w:r>
    </w:p>
    <w:sectPr w:rsidR="004210CB" w:rsidRPr="004210CB" w:rsidSect="00F153C9">
      <w:headerReference w:type="default" r:id="rId8"/>
      <w:footerReference w:type="default" r:id="rId9"/>
      <w:headerReference w:type="first" r:id="rId10"/>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FF464" w14:textId="77777777" w:rsidR="00CB6344" w:rsidRDefault="00CB6344" w:rsidP="00F153C9">
      <w:pPr>
        <w:spacing w:after="0" w:line="240" w:lineRule="auto"/>
      </w:pPr>
      <w:r>
        <w:separator/>
      </w:r>
    </w:p>
  </w:endnote>
  <w:endnote w:type="continuationSeparator" w:id="0">
    <w:p w14:paraId="4FA30B68" w14:textId="77777777" w:rsidR="00CB6344" w:rsidRDefault="00CB6344" w:rsidP="00F1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C316A" w14:textId="75CAAC28" w:rsidR="00346567" w:rsidRPr="00604752" w:rsidRDefault="00346567">
    <w:pPr>
      <w:pStyle w:val="Piedepgina"/>
      <w:jc w:val="center"/>
      <w:rPr>
        <w:rFonts w:ascii="Arial" w:hAnsi="Arial" w:cs="Arial"/>
        <w:sz w:val="24"/>
        <w:szCs w:val="24"/>
      </w:rPr>
    </w:pPr>
  </w:p>
  <w:p w14:paraId="2F3097F6" w14:textId="77777777" w:rsidR="00346567" w:rsidRDefault="00346567">
    <w:pPr>
      <w:pStyle w:val="Piedepgina"/>
    </w:pPr>
  </w:p>
  <w:p w14:paraId="764273EF" w14:textId="77777777" w:rsidR="00346567" w:rsidRDefault="0034656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DED3A" w14:textId="77777777" w:rsidR="00CB6344" w:rsidRDefault="00CB6344" w:rsidP="00F153C9">
      <w:pPr>
        <w:spacing w:after="0" w:line="240" w:lineRule="auto"/>
      </w:pPr>
      <w:r>
        <w:separator/>
      </w:r>
    </w:p>
  </w:footnote>
  <w:footnote w:type="continuationSeparator" w:id="0">
    <w:p w14:paraId="5BA0C600" w14:textId="77777777" w:rsidR="00CB6344" w:rsidRDefault="00CB6344" w:rsidP="00F153C9">
      <w:pPr>
        <w:spacing w:after="0" w:line="240" w:lineRule="auto"/>
      </w:pPr>
      <w:r>
        <w:continuationSeparator/>
      </w:r>
    </w:p>
  </w:footnote>
  <w:footnote w:id="1">
    <w:p w14:paraId="70F9AC88" w14:textId="77777777" w:rsidR="00346567" w:rsidRDefault="00346567" w:rsidP="004210CB">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203.- </w:t>
      </w:r>
      <w:r>
        <w:rPr>
          <w:color w:val="000000"/>
          <w:sz w:val="20"/>
          <w:szCs w:val="20"/>
        </w:rPr>
        <w:t>La valoración de las pruebas se hará de acuerdo con las siguientes reglas:</w:t>
      </w:r>
    </w:p>
    <w:p w14:paraId="355CD19F" w14:textId="77777777" w:rsidR="00346567" w:rsidRDefault="00346567" w:rsidP="004210CB">
      <w:pPr>
        <w:pBdr>
          <w:top w:val="nil"/>
          <w:left w:val="nil"/>
          <w:bottom w:val="nil"/>
          <w:right w:val="nil"/>
          <w:between w:val="nil"/>
        </w:pBdr>
        <w:spacing w:after="0" w:line="240" w:lineRule="auto"/>
        <w:jc w:val="both"/>
        <w:rPr>
          <w:color w:val="000000"/>
          <w:sz w:val="20"/>
          <w:szCs w:val="20"/>
        </w:rPr>
      </w:pPr>
      <w:r>
        <w:rPr>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14:paraId="44E2901C" w14:textId="77777777" w:rsidR="00346567" w:rsidRDefault="00346567" w:rsidP="004210CB">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520A4" w14:textId="7CA37746" w:rsidR="0028160A" w:rsidRDefault="0028160A">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1" locked="0" layoutInCell="1" allowOverlap="1" wp14:anchorId="2623C273" wp14:editId="0210C46B">
              <wp:simplePos x="0" y="0"/>
              <wp:positionH relativeFrom="margin">
                <wp:posOffset>-830580</wp:posOffset>
              </wp:positionH>
              <wp:positionV relativeFrom="paragraph">
                <wp:posOffset>-383540</wp:posOffset>
              </wp:positionV>
              <wp:extent cx="101917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866775"/>
                      </a:xfrm>
                      <a:prstGeom prst="rect">
                        <a:avLst/>
                      </a:prstGeom>
                      <a:solidFill>
                        <a:sysClr val="window" lastClr="FFFFFF"/>
                      </a:solidFill>
                      <a:ln w="6350">
                        <a:solidFill>
                          <a:prstClr val="black"/>
                        </a:solidFill>
                      </a:ln>
                      <a:effectLst/>
                    </wps:spPr>
                    <wps:txbx>
                      <w:txbxContent>
                        <w:p w14:paraId="11D03C3C" w14:textId="77777777" w:rsidR="0028160A" w:rsidRDefault="0028160A" w:rsidP="0028160A">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23C273" id="_x0000_t202" coordsize="21600,21600" o:spt="202" path="m,l,21600r21600,l21600,xe">
              <v:stroke joinstyle="miter"/>
              <v:path gradientshapeok="t" o:connecttype="rect"/>
            </v:shapetype>
            <v:shape id="Cuadro de texto 3" o:spid="_x0000_s1026" type="#_x0000_t202" style="position:absolute;left:0;text-align:left;margin-left:-65.4pt;margin-top:-30.2pt;width:80.25pt;height:68.2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" fillcolor="window" strokeweight=".5pt">
              <v:path arrowok="t"/>
              <v:textbox>
                <w:txbxContent>
                  <w:p w14:paraId="11D03C3C" w14:textId="77777777" w:rsidR="0028160A" w:rsidRDefault="0028160A" w:rsidP="0028160A">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1565724113"/>
        <w:docPartObj>
          <w:docPartGallery w:val="Page Numbers (Top of Page)"/>
          <w:docPartUnique/>
        </w:docPartObj>
      </w:sdtPr>
      <w:sdtContent>
        <w:r>
          <w:fldChar w:fldCharType="begin"/>
        </w:r>
        <w:r>
          <w:instrText>PAGE   \* MERGEFORMAT</w:instrText>
        </w:r>
        <w:r>
          <w:fldChar w:fldCharType="separate"/>
        </w:r>
        <w:r>
          <w:rPr>
            <w:lang w:val="es-ES"/>
          </w:rPr>
          <w:t>2</w:t>
        </w:r>
        <w:r>
          <w:fldChar w:fldCharType="end"/>
        </w:r>
      </w:sdtContent>
    </w:sdt>
  </w:p>
  <w:p w14:paraId="71FAEB35" w14:textId="4EBC7E46" w:rsidR="0028160A" w:rsidRDefault="0028160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AEC9B" w14:textId="7E3F2719" w:rsidR="0028160A" w:rsidRDefault="0028160A">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57CBEDBB" wp14:editId="31DD72A9">
              <wp:simplePos x="0" y="0"/>
              <wp:positionH relativeFrom="margin">
                <wp:posOffset>-1209675</wp:posOffset>
              </wp:positionH>
              <wp:positionV relativeFrom="paragraph">
                <wp:posOffset>-393065</wp:posOffset>
              </wp:positionV>
              <wp:extent cx="1009650" cy="9715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71550"/>
                      </a:xfrm>
                      <a:prstGeom prst="rect">
                        <a:avLst/>
                      </a:prstGeom>
                      <a:solidFill>
                        <a:sysClr val="window" lastClr="FFFFFF"/>
                      </a:solidFill>
                      <a:ln w="6350">
                        <a:solidFill>
                          <a:prstClr val="black"/>
                        </a:solidFill>
                      </a:ln>
                      <a:effectLst/>
                    </wps:spPr>
                    <wps:txbx>
                      <w:txbxContent>
                        <w:p w14:paraId="469E6F3F" w14:textId="77777777" w:rsidR="0028160A" w:rsidRDefault="0028160A" w:rsidP="0028160A">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CBEDBB" id="_x0000_t202" coordsize="21600,21600" o:spt="202" path="m,l,21600r21600,l21600,xe">
              <v:stroke joinstyle="miter"/>
              <v:path gradientshapeok="t" o:connecttype="rect"/>
            </v:shapetype>
            <v:shape id="Cuadro de texto 1" o:spid="_x0000_s1027" type="#_x0000_t202" style="position:absolute;left:0;text-align:left;margin-left:-95.25pt;margin-top:-30.95pt;width:79.5pt;height:76.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" fillcolor="window" strokeweight=".5pt">
              <v:path arrowok="t"/>
              <v:textbox>
                <w:txbxContent>
                  <w:p w14:paraId="469E6F3F" w14:textId="77777777" w:rsidR="0028160A" w:rsidRDefault="0028160A" w:rsidP="0028160A">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1300762203"/>
        <w:docPartObj>
          <w:docPartGallery w:val="Page Numbers (Top of Page)"/>
          <w:docPartUnique/>
        </w:docPartObj>
      </w:sdtPr>
      <w:sdtContent>
        <w:r>
          <w:fldChar w:fldCharType="begin"/>
        </w:r>
        <w:r>
          <w:instrText>PAGE   \* MERGEFORMAT</w:instrText>
        </w:r>
        <w:r>
          <w:fldChar w:fldCharType="separate"/>
        </w:r>
        <w:r>
          <w:rPr>
            <w:lang w:val="es-ES"/>
          </w:rPr>
          <w:t>2</w:t>
        </w:r>
        <w:r>
          <w:fldChar w:fldCharType="end"/>
        </w:r>
      </w:sdtContent>
    </w:sdt>
  </w:p>
  <w:p w14:paraId="2DB89067" w14:textId="77777777" w:rsidR="0028160A" w:rsidRDefault="0028160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15:restartNumberingAfterBreak="0">
    <w:nsid w:val="00000018"/>
    <w:multiLevelType w:val="hybridMultilevel"/>
    <w:tmpl w:val="4C2A7166"/>
    <w:lvl w:ilvl="0" w:tplc="FFFFFFFF">
      <w:start w:val="23"/>
      <w:numFmt w:val="decimal"/>
      <w:lvlText w:val=""/>
      <w:lvlJc w:val="left"/>
    </w:lvl>
    <w:lvl w:ilvl="1" w:tplc="FFFFFFFF">
      <w:start w:val="23"/>
      <w:numFmt w:val="decimal"/>
      <w:lvlText w:val=""/>
      <w:lvlJc w:val="left"/>
    </w:lvl>
    <w:lvl w:ilvl="2" w:tplc="FFFFFFFF">
      <w:start w:val="65536"/>
      <w:numFmt w:val="decimal"/>
      <w:lvlText w:val=""/>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2" w15:restartNumberingAfterBreak="0">
    <w:nsid w:val="05B34144"/>
    <w:multiLevelType w:val="hybridMultilevel"/>
    <w:tmpl w:val="BFCC8730"/>
    <w:lvl w:ilvl="0" w:tplc="18E67A2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07EC297C"/>
    <w:multiLevelType w:val="hybridMultilevel"/>
    <w:tmpl w:val="8FBCB2C2"/>
    <w:lvl w:ilvl="0" w:tplc="74402EDC">
      <w:start w:val="3"/>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3F043A6D"/>
    <w:multiLevelType w:val="hybridMultilevel"/>
    <w:tmpl w:val="D35ACB92"/>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46AC0542"/>
    <w:multiLevelType w:val="hybridMultilevel"/>
    <w:tmpl w:val="E2EAE2F4"/>
    <w:lvl w:ilvl="0" w:tplc="32404CAA">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6" w15:restartNumberingAfterBreak="0">
    <w:nsid w:val="52C51F2C"/>
    <w:multiLevelType w:val="hybridMultilevel"/>
    <w:tmpl w:val="2EA85150"/>
    <w:lvl w:ilvl="0" w:tplc="DDA0C9EE">
      <w:start w:val="3"/>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15:restartNumberingAfterBreak="0">
    <w:nsid w:val="648871BA"/>
    <w:multiLevelType w:val="hybridMultilevel"/>
    <w:tmpl w:val="0CFC76A8"/>
    <w:lvl w:ilvl="0" w:tplc="6F4E5F54">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8" w15:restartNumberingAfterBreak="0">
    <w:nsid w:val="707A4BF6"/>
    <w:multiLevelType w:val="hybridMultilevel"/>
    <w:tmpl w:val="B8BC8DFC"/>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728651693">
    <w:abstractNumId w:val="0"/>
  </w:num>
  <w:num w:numId="2" w16cid:durableId="211892730">
    <w:abstractNumId w:val="1"/>
  </w:num>
  <w:num w:numId="3" w16cid:durableId="357239718">
    <w:abstractNumId w:val="5"/>
  </w:num>
  <w:num w:numId="4" w16cid:durableId="1974020091">
    <w:abstractNumId w:val="3"/>
  </w:num>
  <w:num w:numId="5" w16cid:durableId="1658344655">
    <w:abstractNumId w:val="7"/>
  </w:num>
  <w:num w:numId="6" w16cid:durableId="1608804268">
    <w:abstractNumId w:val="2"/>
  </w:num>
  <w:num w:numId="7" w16cid:durableId="1573657510">
    <w:abstractNumId w:val="4"/>
  </w:num>
  <w:num w:numId="8" w16cid:durableId="442119309">
    <w:abstractNumId w:val="6"/>
  </w:num>
  <w:num w:numId="9" w16cid:durableId="5091077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867"/>
    <w:rsid w:val="00004560"/>
    <w:rsid w:val="00005B33"/>
    <w:rsid w:val="00006B82"/>
    <w:rsid w:val="00017EE5"/>
    <w:rsid w:val="00021E9C"/>
    <w:rsid w:val="00033D9A"/>
    <w:rsid w:val="00035A40"/>
    <w:rsid w:val="00036C6D"/>
    <w:rsid w:val="000544E3"/>
    <w:rsid w:val="00054F3A"/>
    <w:rsid w:val="00065F69"/>
    <w:rsid w:val="00067C07"/>
    <w:rsid w:val="00082ACA"/>
    <w:rsid w:val="00092ACA"/>
    <w:rsid w:val="000B4598"/>
    <w:rsid w:val="000B590E"/>
    <w:rsid w:val="000B6029"/>
    <w:rsid w:val="000C1B0B"/>
    <w:rsid w:val="000C2A2F"/>
    <w:rsid w:val="000C4359"/>
    <w:rsid w:val="000C50FB"/>
    <w:rsid w:val="000D4FC4"/>
    <w:rsid w:val="00102989"/>
    <w:rsid w:val="001159AA"/>
    <w:rsid w:val="00115A6C"/>
    <w:rsid w:val="00115CB8"/>
    <w:rsid w:val="00135BAB"/>
    <w:rsid w:val="001364A3"/>
    <w:rsid w:val="00143037"/>
    <w:rsid w:val="00163A0B"/>
    <w:rsid w:val="001760AF"/>
    <w:rsid w:val="00182AF8"/>
    <w:rsid w:val="00183FEE"/>
    <w:rsid w:val="00185A5F"/>
    <w:rsid w:val="0019101E"/>
    <w:rsid w:val="001A19F7"/>
    <w:rsid w:val="001B07DB"/>
    <w:rsid w:val="001B222B"/>
    <w:rsid w:val="001B4717"/>
    <w:rsid w:val="001C4867"/>
    <w:rsid w:val="001C561A"/>
    <w:rsid w:val="001C6727"/>
    <w:rsid w:val="001E70AC"/>
    <w:rsid w:val="001F40D0"/>
    <w:rsid w:val="001F4C6A"/>
    <w:rsid w:val="001F7452"/>
    <w:rsid w:val="00202F12"/>
    <w:rsid w:val="002058DB"/>
    <w:rsid w:val="002063C8"/>
    <w:rsid w:val="002210ED"/>
    <w:rsid w:val="002353F5"/>
    <w:rsid w:val="0023759F"/>
    <w:rsid w:val="002474D9"/>
    <w:rsid w:val="00250354"/>
    <w:rsid w:val="00252CBC"/>
    <w:rsid w:val="0027053D"/>
    <w:rsid w:val="0028160A"/>
    <w:rsid w:val="00282CC3"/>
    <w:rsid w:val="00292844"/>
    <w:rsid w:val="002A458F"/>
    <w:rsid w:val="002A526D"/>
    <w:rsid w:val="002B1AB3"/>
    <w:rsid w:val="002B5432"/>
    <w:rsid w:val="002B61E8"/>
    <w:rsid w:val="002C089D"/>
    <w:rsid w:val="002C1213"/>
    <w:rsid w:val="002C1C36"/>
    <w:rsid w:val="002C338F"/>
    <w:rsid w:val="002D7387"/>
    <w:rsid w:val="002F308D"/>
    <w:rsid w:val="002F388E"/>
    <w:rsid w:val="002F4225"/>
    <w:rsid w:val="00302E7A"/>
    <w:rsid w:val="003126A6"/>
    <w:rsid w:val="0031660D"/>
    <w:rsid w:val="003200B5"/>
    <w:rsid w:val="0032757B"/>
    <w:rsid w:val="00333D50"/>
    <w:rsid w:val="00337E15"/>
    <w:rsid w:val="00346567"/>
    <w:rsid w:val="00346DC8"/>
    <w:rsid w:val="00351E17"/>
    <w:rsid w:val="00356898"/>
    <w:rsid w:val="003773D0"/>
    <w:rsid w:val="00380EFB"/>
    <w:rsid w:val="003931C3"/>
    <w:rsid w:val="003A2133"/>
    <w:rsid w:val="003A300F"/>
    <w:rsid w:val="003A7FDD"/>
    <w:rsid w:val="003B481B"/>
    <w:rsid w:val="003C0B76"/>
    <w:rsid w:val="003C4922"/>
    <w:rsid w:val="003C6696"/>
    <w:rsid w:val="003D21F4"/>
    <w:rsid w:val="003D60D6"/>
    <w:rsid w:val="00404EDE"/>
    <w:rsid w:val="00414C01"/>
    <w:rsid w:val="004210CB"/>
    <w:rsid w:val="00432E9E"/>
    <w:rsid w:val="0043316B"/>
    <w:rsid w:val="00445072"/>
    <w:rsid w:val="0045169C"/>
    <w:rsid w:val="004631EA"/>
    <w:rsid w:val="004920D7"/>
    <w:rsid w:val="00492ABF"/>
    <w:rsid w:val="00493B0E"/>
    <w:rsid w:val="004B1460"/>
    <w:rsid w:val="004B32A5"/>
    <w:rsid w:val="00513DE2"/>
    <w:rsid w:val="00513E50"/>
    <w:rsid w:val="00516292"/>
    <w:rsid w:val="00517BF8"/>
    <w:rsid w:val="0052138B"/>
    <w:rsid w:val="00523CFA"/>
    <w:rsid w:val="00532748"/>
    <w:rsid w:val="00551CB2"/>
    <w:rsid w:val="00556244"/>
    <w:rsid w:val="00556738"/>
    <w:rsid w:val="00557B26"/>
    <w:rsid w:val="005649EC"/>
    <w:rsid w:val="00573A18"/>
    <w:rsid w:val="005A16F5"/>
    <w:rsid w:val="005A1BDB"/>
    <w:rsid w:val="005C31FC"/>
    <w:rsid w:val="005C3356"/>
    <w:rsid w:val="005E239C"/>
    <w:rsid w:val="005E3F86"/>
    <w:rsid w:val="005E4C32"/>
    <w:rsid w:val="005F68F2"/>
    <w:rsid w:val="00600231"/>
    <w:rsid w:val="006029FA"/>
    <w:rsid w:val="00605068"/>
    <w:rsid w:val="00611445"/>
    <w:rsid w:val="006264A4"/>
    <w:rsid w:val="00632A56"/>
    <w:rsid w:val="00645C5E"/>
    <w:rsid w:val="006565ED"/>
    <w:rsid w:val="00664CFF"/>
    <w:rsid w:val="00666344"/>
    <w:rsid w:val="006732D5"/>
    <w:rsid w:val="00676231"/>
    <w:rsid w:val="0068308A"/>
    <w:rsid w:val="006909A2"/>
    <w:rsid w:val="006A1406"/>
    <w:rsid w:val="006C3055"/>
    <w:rsid w:val="006E3E12"/>
    <w:rsid w:val="006F2CBA"/>
    <w:rsid w:val="007009E5"/>
    <w:rsid w:val="007410B0"/>
    <w:rsid w:val="00762301"/>
    <w:rsid w:val="007B150A"/>
    <w:rsid w:val="007B6770"/>
    <w:rsid w:val="007C3155"/>
    <w:rsid w:val="007E20F9"/>
    <w:rsid w:val="007E4205"/>
    <w:rsid w:val="007E59DB"/>
    <w:rsid w:val="00803E3F"/>
    <w:rsid w:val="00824CFC"/>
    <w:rsid w:val="00827277"/>
    <w:rsid w:val="008327CF"/>
    <w:rsid w:val="008471D5"/>
    <w:rsid w:val="00847480"/>
    <w:rsid w:val="008564B3"/>
    <w:rsid w:val="00862623"/>
    <w:rsid w:val="00870541"/>
    <w:rsid w:val="00875701"/>
    <w:rsid w:val="008A0628"/>
    <w:rsid w:val="008A6808"/>
    <w:rsid w:val="008B6F19"/>
    <w:rsid w:val="008F3C66"/>
    <w:rsid w:val="008F5067"/>
    <w:rsid w:val="00900A99"/>
    <w:rsid w:val="009148DA"/>
    <w:rsid w:val="0092798D"/>
    <w:rsid w:val="00927C1C"/>
    <w:rsid w:val="00934BA8"/>
    <w:rsid w:val="0093531E"/>
    <w:rsid w:val="00941D77"/>
    <w:rsid w:val="00944E7F"/>
    <w:rsid w:val="00952A92"/>
    <w:rsid w:val="00971780"/>
    <w:rsid w:val="0099448A"/>
    <w:rsid w:val="00994906"/>
    <w:rsid w:val="009A6209"/>
    <w:rsid w:val="009A6662"/>
    <w:rsid w:val="009B6B11"/>
    <w:rsid w:val="009C3496"/>
    <w:rsid w:val="009C51C4"/>
    <w:rsid w:val="009F2633"/>
    <w:rsid w:val="009F6DBC"/>
    <w:rsid w:val="00A1275C"/>
    <w:rsid w:val="00A14D8D"/>
    <w:rsid w:val="00A559B1"/>
    <w:rsid w:val="00A55EAC"/>
    <w:rsid w:val="00A56AE0"/>
    <w:rsid w:val="00A60CA8"/>
    <w:rsid w:val="00A72EEB"/>
    <w:rsid w:val="00A73AD7"/>
    <w:rsid w:val="00A84402"/>
    <w:rsid w:val="00A9165A"/>
    <w:rsid w:val="00A97EF3"/>
    <w:rsid w:val="00AB7FEB"/>
    <w:rsid w:val="00AC2301"/>
    <w:rsid w:val="00AC5AF4"/>
    <w:rsid w:val="00AD1ED1"/>
    <w:rsid w:val="00AD43EE"/>
    <w:rsid w:val="00AF5648"/>
    <w:rsid w:val="00B00DD7"/>
    <w:rsid w:val="00B07550"/>
    <w:rsid w:val="00B07C1F"/>
    <w:rsid w:val="00B35954"/>
    <w:rsid w:val="00B42017"/>
    <w:rsid w:val="00B50177"/>
    <w:rsid w:val="00B50FA4"/>
    <w:rsid w:val="00B6380A"/>
    <w:rsid w:val="00B91E2C"/>
    <w:rsid w:val="00B94E84"/>
    <w:rsid w:val="00B95366"/>
    <w:rsid w:val="00BA37BD"/>
    <w:rsid w:val="00BB1B71"/>
    <w:rsid w:val="00BB5848"/>
    <w:rsid w:val="00BC37C2"/>
    <w:rsid w:val="00BC44CC"/>
    <w:rsid w:val="00BE06A2"/>
    <w:rsid w:val="00BE160C"/>
    <w:rsid w:val="00BE6526"/>
    <w:rsid w:val="00BF372B"/>
    <w:rsid w:val="00BF4652"/>
    <w:rsid w:val="00C00E83"/>
    <w:rsid w:val="00C01860"/>
    <w:rsid w:val="00C07980"/>
    <w:rsid w:val="00C10D61"/>
    <w:rsid w:val="00C339BA"/>
    <w:rsid w:val="00C34995"/>
    <w:rsid w:val="00C444B1"/>
    <w:rsid w:val="00C618BA"/>
    <w:rsid w:val="00C62196"/>
    <w:rsid w:val="00C65EE1"/>
    <w:rsid w:val="00CA55C5"/>
    <w:rsid w:val="00CB6293"/>
    <w:rsid w:val="00CB6344"/>
    <w:rsid w:val="00CC3121"/>
    <w:rsid w:val="00CC49A5"/>
    <w:rsid w:val="00CD46B0"/>
    <w:rsid w:val="00CE51F8"/>
    <w:rsid w:val="00D06E87"/>
    <w:rsid w:val="00D15254"/>
    <w:rsid w:val="00D16DEC"/>
    <w:rsid w:val="00D17957"/>
    <w:rsid w:val="00D24DBA"/>
    <w:rsid w:val="00D25E2F"/>
    <w:rsid w:val="00D32CF6"/>
    <w:rsid w:val="00D33DFE"/>
    <w:rsid w:val="00D60413"/>
    <w:rsid w:val="00D60CE2"/>
    <w:rsid w:val="00D61A39"/>
    <w:rsid w:val="00D71E41"/>
    <w:rsid w:val="00D747D6"/>
    <w:rsid w:val="00D80C5E"/>
    <w:rsid w:val="00D80E26"/>
    <w:rsid w:val="00DA464A"/>
    <w:rsid w:val="00DB1DEA"/>
    <w:rsid w:val="00DD21D9"/>
    <w:rsid w:val="00DE045F"/>
    <w:rsid w:val="00DE195A"/>
    <w:rsid w:val="00E008FB"/>
    <w:rsid w:val="00E06889"/>
    <w:rsid w:val="00E10A4B"/>
    <w:rsid w:val="00E11E3F"/>
    <w:rsid w:val="00E2749E"/>
    <w:rsid w:val="00E324DF"/>
    <w:rsid w:val="00E36247"/>
    <w:rsid w:val="00E40E24"/>
    <w:rsid w:val="00E41F96"/>
    <w:rsid w:val="00E440B1"/>
    <w:rsid w:val="00E44E9D"/>
    <w:rsid w:val="00E46AFE"/>
    <w:rsid w:val="00E46D10"/>
    <w:rsid w:val="00E567A6"/>
    <w:rsid w:val="00E6134A"/>
    <w:rsid w:val="00E62D02"/>
    <w:rsid w:val="00E635B8"/>
    <w:rsid w:val="00E6608F"/>
    <w:rsid w:val="00E75154"/>
    <w:rsid w:val="00E934EF"/>
    <w:rsid w:val="00EA0AF9"/>
    <w:rsid w:val="00EA4425"/>
    <w:rsid w:val="00EA6EE9"/>
    <w:rsid w:val="00EB4E7E"/>
    <w:rsid w:val="00EB5F85"/>
    <w:rsid w:val="00EC491A"/>
    <w:rsid w:val="00ED21B1"/>
    <w:rsid w:val="00EF0E6E"/>
    <w:rsid w:val="00EF5BBC"/>
    <w:rsid w:val="00F02205"/>
    <w:rsid w:val="00F153C9"/>
    <w:rsid w:val="00F1753E"/>
    <w:rsid w:val="00F20802"/>
    <w:rsid w:val="00F25337"/>
    <w:rsid w:val="00F257F3"/>
    <w:rsid w:val="00F34CD4"/>
    <w:rsid w:val="00F3771F"/>
    <w:rsid w:val="00F41184"/>
    <w:rsid w:val="00F44248"/>
    <w:rsid w:val="00F47C1B"/>
    <w:rsid w:val="00F531AB"/>
    <w:rsid w:val="00F60496"/>
    <w:rsid w:val="00F667CC"/>
    <w:rsid w:val="00F72A4E"/>
    <w:rsid w:val="00F759E8"/>
    <w:rsid w:val="00F76724"/>
    <w:rsid w:val="00F769E5"/>
    <w:rsid w:val="00F82028"/>
    <w:rsid w:val="00F83A3C"/>
    <w:rsid w:val="00F848B6"/>
    <w:rsid w:val="00F85C91"/>
    <w:rsid w:val="00F96B02"/>
    <w:rsid w:val="00FA069E"/>
    <w:rsid w:val="00FA4419"/>
    <w:rsid w:val="00FB53BB"/>
    <w:rsid w:val="00FB5B62"/>
    <w:rsid w:val="00FC2AE5"/>
    <w:rsid w:val="00FE39C3"/>
    <w:rsid w:val="00FF6A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4B439"/>
  <w15:chartTrackingRefBased/>
  <w15:docId w15:val="{C514C0FA-3BEF-49DB-8606-FD97D1D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86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48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4867"/>
  </w:style>
  <w:style w:type="paragraph" w:styleId="Piedepgina">
    <w:name w:val="footer"/>
    <w:basedOn w:val="Normal"/>
    <w:link w:val="PiedepginaCar"/>
    <w:uiPriority w:val="99"/>
    <w:unhideWhenUsed/>
    <w:rsid w:val="001C48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4867"/>
  </w:style>
  <w:style w:type="paragraph" w:customStyle="1" w:styleId="Sangra2detindependiente1">
    <w:name w:val="Sangría 2 de t. independiente1"/>
    <w:basedOn w:val="Normal"/>
    <w:rsid w:val="001C4867"/>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DE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045F"/>
    <w:rPr>
      <w:rFonts w:ascii="Segoe UI" w:hAnsi="Segoe UI" w:cs="Segoe UI"/>
      <w:sz w:val="18"/>
      <w:szCs w:val="18"/>
    </w:rPr>
  </w:style>
  <w:style w:type="table" w:styleId="Tablaconcuadrcula">
    <w:name w:val="Table Grid"/>
    <w:basedOn w:val="Tablanormal"/>
    <w:uiPriority w:val="59"/>
    <w:rsid w:val="001B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07550"/>
    <w:pPr>
      <w:spacing w:after="0" w:line="240" w:lineRule="auto"/>
    </w:pPr>
  </w:style>
  <w:style w:type="character" w:styleId="Hipervnculo">
    <w:name w:val="Hyperlink"/>
    <w:basedOn w:val="Fuentedeprrafopredeter"/>
    <w:uiPriority w:val="99"/>
    <w:unhideWhenUsed/>
    <w:rsid w:val="00B95366"/>
    <w:rPr>
      <w:color w:val="0563C1" w:themeColor="hyperlink"/>
      <w:u w:val="single"/>
    </w:rPr>
  </w:style>
  <w:style w:type="paragraph" w:styleId="Ttulo">
    <w:name w:val="Title"/>
    <w:basedOn w:val="Normal"/>
    <w:next w:val="Normal"/>
    <w:link w:val="TtuloCar"/>
    <w:uiPriority w:val="10"/>
    <w:qFormat/>
    <w:rsid w:val="006830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308A"/>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445072"/>
    <w:pPr>
      <w:ind w:left="720"/>
      <w:contextualSpacing/>
    </w:pPr>
  </w:style>
  <w:style w:type="paragraph" w:customStyle="1" w:styleId="corte3centro">
    <w:name w:val="corte3 centro"/>
    <w:basedOn w:val="Normal"/>
    <w:link w:val="corte3centroCar"/>
    <w:rsid w:val="00202F12"/>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02F12"/>
    <w:rPr>
      <w:rFonts w:ascii="Arial" w:eastAsia="Times New Roman" w:hAnsi="Arial" w:cs="Times New Roman"/>
      <w:b/>
      <w:sz w:val="30"/>
      <w:szCs w:val="20"/>
      <w:lang w:val="es-ES_trad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18039">
      <w:bodyDiv w:val="1"/>
      <w:marLeft w:val="0"/>
      <w:marRight w:val="0"/>
      <w:marTop w:val="0"/>
      <w:marBottom w:val="0"/>
      <w:divBdr>
        <w:top w:val="none" w:sz="0" w:space="0" w:color="auto"/>
        <w:left w:val="none" w:sz="0" w:space="0" w:color="auto"/>
        <w:bottom w:val="none" w:sz="0" w:space="0" w:color="auto"/>
        <w:right w:val="none" w:sz="0" w:space="0" w:color="auto"/>
      </w:divBdr>
      <w:divsChild>
        <w:div w:id="1572040191">
          <w:marLeft w:val="0"/>
          <w:marRight w:val="0"/>
          <w:marTop w:val="0"/>
          <w:marBottom w:val="0"/>
          <w:divBdr>
            <w:top w:val="none" w:sz="0" w:space="0" w:color="auto"/>
            <w:left w:val="none" w:sz="0" w:space="0" w:color="auto"/>
            <w:bottom w:val="none" w:sz="0" w:space="0" w:color="auto"/>
            <w:right w:val="none" w:sz="0" w:space="0" w:color="auto"/>
          </w:divBdr>
        </w:div>
        <w:div w:id="2087342922">
          <w:marLeft w:val="0"/>
          <w:marRight w:val="0"/>
          <w:marTop w:val="0"/>
          <w:marBottom w:val="0"/>
          <w:divBdr>
            <w:top w:val="none" w:sz="0" w:space="0" w:color="auto"/>
            <w:left w:val="none" w:sz="0" w:space="0" w:color="auto"/>
            <w:bottom w:val="none" w:sz="0" w:space="0" w:color="auto"/>
            <w:right w:val="none" w:sz="0" w:space="0" w:color="auto"/>
          </w:divBdr>
        </w:div>
        <w:div w:id="1317764090">
          <w:marLeft w:val="0"/>
          <w:marRight w:val="0"/>
          <w:marTop w:val="0"/>
          <w:marBottom w:val="0"/>
          <w:divBdr>
            <w:top w:val="none" w:sz="0" w:space="0" w:color="auto"/>
            <w:left w:val="none" w:sz="0" w:space="0" w:color="auto"/>
            <w:bottom w:val="none" w:sz="0" w:space="0" w:color="auto"/>
            <w:right w:val="none" w:sz="0" w:space="0" w:color="auto"/>
          </w:divBdr>
        </w:div>
        <w:div w:id="1288849787">
          <w:marLeft w:val="0"/>
          <w:marRight w:val="0"/>
          <w:marTop w:val="0"/>
          <w:marBottom w:val="0"/>
          <w:divBdr>
            <w:top w:val="none" w:sz="0" w:space="0" w:color="auto"/>
            <w:left w:val="none" w:sz="0" w:space="0" w:color="auto"/>
            <w:bottom w:val="none" w:sz="0" w:space="0" w:color="auto"/>
            <w:right w:val="none" w:sz="0" w:space="0" w:color="auto"/>
          </w:divBdr>
        </w:div>
        <w:div w:id="483591939">
          <w:marLeft w:val="0"/>
          <w:marRight w:val="0"/>
          <w:marTop w:val="0"/>
          <w:marBottom w:val="0"/>
          <w:divBdr>
            <w:top w:val="none" w:sz="0" w:space="0" w:color="auto"/>
            <w:left w:val="none" w:sz="0" w:space="0" w:color="auto"/>
            <w:bottom w:val="none" w:sz="0" w:space="0" w:color="auto"/>
            <w:right w:val="none" w:sz="0" w:space="0" w:color="auto"/>
          </w:divBdr>
        </w:div>
        <w:div w:id="2134321849">
          <w:marLeft w:val="0"/>
          <w:marRight w:val="0"/>
          <w:marTop w:val="0"/>
          <w:marBottom w:val="0"/>
          <w:divBdr>
            <w:top w:val="none" w:sz="0" w:space="0" w:color="auto"/>
            <w:left w:val="none" w:sz="0" w:space="0" w:color="auto"/>
            <w:bottom w:val="none" w:sz="0" w:space="0" w:color="auto"/>
            <w:right w:val="none" w:sz="0" w:space="0" w:color="auto"/>
          </w:divBdr>
        </w:div>
      </w:divsChild>
    </w:div>
    <w:div w:id="176816634">
      <w:bodyDiv w:val="1"/>
      <w:marLeft w:val="0"/>
      <w:marRight w:val="0"/>
      <w:marTop w:val="0"/>
      <w:marBottom w:val="0"/>
      <w:divBdr>
        <w:top w:val="none" w:sz="0" w:space="0" w:color="auto"/>
        <w:left w:val="none" w:sz="0" w:space="0" w:color="auto"/>
        <w:bottom w:val="none" w:sz="0" w:space="0" w:color="auto"/>
        <w:right w:val="none" w:sz="0" w:space="0" w:color="auto"/>
      </w:divBdr>
    </w:div>
    <w:div w:id="921525356">
      <w:bodyDiv w:val="1"/>
      <w:marLeft w:val="0"/>
      <w:marRight w:val="0"/>
      <w:marTop w:val="0"/>
      <w:marBottom w:val="0"/>
      <w:divBdr>
        <w:top w:val="none" w:sz="0" w:space="0" w:color="auto"/>
        <w:left w:val="none" w:sz="0" w:space="0" w:color="auto"/>
        <w:bottom w:val="none" w:sz="0" w:space="0" w:color="auto"/>
        <w:right w:val="none" w:sz="0" w:space="0" w:color="auto"/>
      </w:divBdr>
    </w:div>
    <w:div w:id="936864738">
      <w:bodyDiv w:val="1"/>
      <w:marLeft w:val="0"/>
      <w:marRight w:val="0"/>
      <w:marTop w:val="0"/>
      <w:marBottom w:val="0"/>
      <w:divBdr>
        <w:top w:val="none" w:sz="0" w:space="0" w:color="auto"/>
        <w:left w:val="none" w:sz="0" w:space="0" w:color="auto"/>
        <w:bottom w:val="none" w:sz="0" w:space="0" w:color="auto"/>
        <w:right w:val="none" w:sz="0" w:space="0" w:color="auto"/>
      </w:divBdr>
      <w:divsChild>
        <w:div w:id="1000623355">
          <w:marLeft w:val="0"/>
          <w:marRight w:val="0"/>
          <w:marTop w:val="0"/>
          <w:marBottom w:val="0"/>
          <w:divBdr>
            <w:top w:val="none" w:sz="0" w:space="0" w:color="auto"/>
            <w:left w:val="none" w:sz="0" w:space="0" w:color="auto"/>
            <w:bottom w:val="none" w:sz="0" w:space="0" w:color="auto"/>
            <w:right w:val="none" w:sz="0" w:space="0" w:color="auto"/>
          </w:divBdr>
        </w:div>
        <w:div w:id="1738356559">
          <w:marLeft w:val="0"/>
          <w:marRight w:val="0"/>
          <w:marTop w:val="0"/>
          <w:marBottom w:val="0"/>
          <w:divBdr>
            <w:top w:val="none" w:sz="0" w:space="0" w:color="auto"/>
            <w:left w:val="none" w:sz="0" w:space="0" w:color="auto"/>
            <w:bottom w:val="none" w:sz="0" w:space="0" w:color="auto"/>
            <w:right w:val="none" w:sz="0" w:space="0" w:color="auto"/>
          </w:divBdr>
        </w:div>
        <w:div w:id="1856990182">
          <w:marLeft w:val="0"/>
          <w:marRight w:val="0"/>
          <w:marTop w:val="0"/>
          <w:marBottom w:val="0"/>
          <w:divBdr>
            <w:top w:val="none" w:sz="0" w:space="0" w:color="auto"/>
            <w:left w:val="none" w:sz="0" w:space="0" w:color="auto"/>
            <w:bottom w:val="none" w:sz="0" w:space="0" w:color="auto"/>
            <w:right w:val="none" w:sz="0" w:space="0" w:color="auto"/>
          </w:divBdr>
        </w:div>
        <w:div w:id="79134558">
          <w:marLeft w:val="0"/>
          <w:marRight w:val="0"/>
          <w:marTop w:val="0"/>
          <w:marBottom w:val="0"/>
          <w:divBdr>
            <w:top w:val="none" w:sz="0" w:space="0" w:color="auto"/>
            <w:left w:val="none" w:sz="0" w:space="0" w:color="auto"/>
            <w:bottom w:val="none" w:sz="0" w:space="0" w:color="auto"/>
            <w:right w:val="none" w:sz="0" w:space="0" w:color="auto"/>
          </w:divBdr>
        </w:div>
        <w:div w:id="1651667591">
          <w:marLeft w:val="0"/>
          <w:marRight w:val="0"/>
          <w:marTop w:val="0"/>
          <w:marBottom w:val="0"/>
          <w:divBdr>
            <w:top w:val="none" w:sz="0" w:space="0" w:color="auto"/>
            <w:left w:val="none" w:sz="0" w:space="0" w:color="auto"/>
            <w:bottom w:val="none" w:sz="0" w:space="0" w:color="auto"/>
            <w:right w:val="none" w:sz="0" w:space="0" w:color="auto"/>
          </w:divBdr>
        </w:div>
        <w:div w:id="1545750381">
          <w:marLeft w:val="0"/>
          <w:marRight w:val="0"/>
          <w:marTop w:val="0"/>
          <w:marBottom w:val="0"/>
          <w:divBdr>
            <w:top w:val="none" w:sz="0" w:space="0" w:color="auto"/>
            <w:left w:val="none" w:sz="0" w:space="0" w:color="auto"/>
            <w:bottom w:val="none" w:sz="0" w:space="0" w:color="auto"/>
            <w:right w:val="none" w:sz="0" w:space="0" w:color="auto"/>
          </w:divBdr>
        </w:div>
        <w:div w:id="835607133">
          <w:marLeft w:val="0"/>
          <w:marRight w:val="0"/>
          <w:marTop w:val="0"/>
          <w:marBottom w:val="0"/>
          <w:divBdr>
            <w:top w:val="none" w:sz="0" w:space="0" w:color="auto"/>
            <w:left w:val="none" w:sz="0" w:space="0" w:color="auto"/>
            <w:bottom w:val="none" w:sz="0" w:space="0" w:color="auto"/>
            <w:right w:val="none" w:sz="0" w:space="0" w:color="auto"/>
          </w:divBdr>
        </w:div>
      </w:divsChild>
    </w:div>
    <w:div w:id="1180506010">
      <w:bodyDiv w:val="1"/>
      <w:marLeft w:val="0"/>
      <w:marRight w:val="0"/>
      <w:marTop w:val="0"/>
      <w:marBottom w:val="0"/>
      <w:divBdr>
        <w:top w:val="none" w:sz="0" w:space="0" w:color="auto"/>
        <w:left w:val="none" w:sz="0" w:space="0" w:color="auto"/>
        <w:bottom w:val="none" w:sz="0" w:space="0" w:color="auto"/>
        <w:right w:val="none" w:sz="0" w:space="0" w:color="auto"/>
      </w:divBdr>
      <w:divsChild>
        <w:div w:id="92014493">
          <w:marLeft w:val="0"/>
          <w:marRight w:val="0"/>
          <w:marTop w:val="0"/>
          <w:marBottom w:val="0"/>
          <w:divBdr>
            <w:top w:val="none" w:sz="0" w:space="0" w:color="auto"/>
            <w:left w:val="none" w:sz="0" w:space="0" w:color="auto"/>
            <w:bottom w:val="none" w:sz="0" w:space="0" w:color="auto"/>
            <w:right w:val="none" w:sz="0" w:space="0" w:color="auto"/>
          </w:divBdr>
        </w:div>
        <w:div w:id="636450986">
          <w:marLeft w:val="0"/>
          <w:marRight w:val="0"/>
          <w:marTop w:val="0"/>
          <w:marBottom w:val="0"/>
          <w:divBdr>
            <w:top w:val="none" w:sz="0" w:space="0" w:color="auto"/>
            <w:left w:val="none" w:sz="0" w:space="0" w:color="auto"/>
            <w:bottom w:val="none" w:sz="0" w:space="0" w:color="auto"/>
            <w:right w:val="none" w:sz="0" w:space="0" w:color="auto"/>
          </w:divBdr>
        </w:div>
        <w:div w:id="774256016">
          <w:marLeft w:val="0"/>
          <w:marRight w:val="0"/>
          <w:marTop w:val="0"/>
          <w:marBottom w:val="0"/>
          <w:divBdr>
            <w:top w:val="none" w:sz="0" w:space="0" w:color="auto"/>
            <w:left w:val="none" w:sz="0" w:space="0" w:color="auto"/>
            <w:bottom w:val="none" w:sz="0" w:space="0" w:color="auto"/>
            <w:right w:val="none" w:sz="0" w:space="0" w:color="auto"/>
          </w:divBdr>
        </w:div>
        <w:div w:id="1525172301">
          <w:marLeft w:val="0"/>
          <w:marRight w:val="0"/>
          <w:marTop w:val="0"/>
          <w:marBottom w:val="0"/>
          <w:divBdr>
            <w:top w:val="none" w:sz="0" w:space="0" w:color="auto"/>
            <w:left w:val="none" w:sz="0" w:space="0" w:color="auto"/>
            <w:bottom w:val="none" w:sz="0" w:space="0" w:color="auto"/>
            <w:right w:val="none" w:sz="0" w:space="0" w:color="auto"/>
          </w:divBdr>
        </w:div>
        <w:div w:id="1071538027">
          <w:marLeft w:val="0"/>
          <w:marRight w:val="0"/>
          <w:marTop w:val="0"/>
          <w:marBottom w:val="0"/>
          <w:divBdr>
            <w:top w:val="none" w:sz="0" w:space="0" w:color="auto"/>
            <w:left w:val="none" w:sz="0" w:space="0" w:color="auto"/>
            <w:bottom w:val="none" w:sz="0" w:space="0" w:color="auto"/>
            <w:right w:val="none" w:sz="0" w:space="0" w:color="auto"/>
          </w:divBdr>
        </w:div>
        <w:div w:id="555166542">
          <w:marLeft w:val="0"/>
          <w:marRight w:val="0"/>
          <w:marTop w:val="0"/>
          <w:marBottom w:val="0"/>
          <w:divBdr>
            <w:top w:val="none" w:sz="0" w:space="0" w:color="auto"/>
            <w:left w:val="none" w:sz="0" w:space="0" w:color="auto"/>
            <w:bottom w:val="none" w:sz="0" w:space="0" w:color="auto"/>
            <w:right w:val="none" w:sz="0" w:space="0" w:color="auto"/>
          </w:divBdr>
        </w:div>
        <w:div w:id="1893420069">
          <w:marLeft w:val="0"/>
          <w:marRight w:val="0"/>
          <w:marTop w:val="0"/>
          <w:marBottom w:val="0"/>
          <w:divBdr>
            <w:top w:val="none" w:sz="0" w:space="0" w:color="auto"/>
            <w:left w:val="none" w:sz="0" w:space="0" w:color="auto"/>
            <w:bottom w:val="none" w:sz="0" w:space="0" w:color="auto"/>
            <w:right w:val="none" w:sz="0" w:space="0" w:color="auto"/>
          </w:divBdr>
        </w:div>
      </w:divsChild>
    </w:div>
    <w:div w:id="1229418253">
      <w:bodyDiv w:val="1"/>
      <w:marLeft w:val="0"/>
      <w:marRight w:val="0"/>
      <w:marTop w:val="0"/>
      <w:marBottom w:val="0"/>
      <w:divBdr>
        <w:top w:val="none" w:sz="0" w:space="0" w:color="auto"/>
        <w:left w:val="none" w:sz="0" w:space="0" w:color="auto"/>
        <w:bottom w:val="none" w:sz="0" w:space="0" w:color="auto"/>
        <w:right w:val="none" w:sz="0" w:space="0" w:color="auto"/>
      </w:divBdr>
    </w:div>
    <w:div w:id="1532298188">
      <w:bodyDiv w:val="1"/>
      <w:marLeft w:val="0"/>
      <w:marRight w:val="0"/>
      <w:marTop w:val="0"/>
      <w:marBottom w:val="0"/>
      <w:divBdr>
        <w:top w:val="none" w:sz="0" w:space="0" w:color="auto"/>
        <w:left w:val="none" w:sz="0" w:space="0" w:color="auto"/>
        <w:bottom w:val="none" w:sz="0" w:space="0" w:color="auto"/>
        <w:right w:val="none" w:sz="0" w:space="0" w:color="auto"/>
      </w:divBdr>
      <w:divsChild>
        <w:div w:id="1236746151">
          <w:marLeft w:val="0"/>
          <w:marRight w:val="0"/>
          <w:marTop w:val="0"/>
          <w:marBottom w:val="0"/>
          <w:divBdr>
            <w:top w:val="none" w:sz="0" w:space="0" w:color="auto"/>
            <w:left w:val="none" w:sz="0" w:space="0" w:color="auto"/>
            <w:bottom w:val="none" w:sz="0" w:space="0" w:color="auto"/>
            <w:right w:val="none" w:sz="0" w:space="0" w:color="auto"/>
          </w:divBdr>
        </w:div>
        <w:div w:id="345326444">
          <w:marLeft w:val="0"/>
          <w:marRight w:val="0"/>
          <w:marTop w:val="0"/>
          <w:marBottom w:val="0"/>
          <w:divBdr>
            <w:top w:val="none" w:sz="0" w:space="0" w:color="auto"/>
            <w:left w:val="none" w:sz="0" w:space="0" w:color="auto"/>
            <w:bottom w:val="none" w:sz="0" w:space="0" w:color="auto"/>
            <w:right w:val="none" w:sz="0" w:space="0" w:color="auto"/>
          </w:divBdr>
        </w:div>
        <w:div w:id="793403035">
          <w:marLeft w:val="0"/>
          <w:marRight w:val="0"/>
          <w:marTop w:val="0"/>
          <w:marBottom w:val="0"/>
          <w:divBdr>
            <w:top w:val="none" w:sz="0" w:space="0" w:color="auto"/>
            <w:left w:val="none" w:sz="0" w:space="0" w:color="auto"/>
            <w:bottom w:val="none" w:sz="0" w:space="0" w:color="auto"/>
            <w:right w:val="none" w:sz="0" w:space="0" w:color="auto"/>
          </w:divBdr>
        </w:div>
        <w:div w:id="92409644">
          <w:marLeft w:val="0"/>
          <w:marRight w:val="0"/>
          <w:marTop w:val="0"/>
          <w:marBottom w:val="0"/>
          <w:divBdr>
            <w:top w:val="none" w:sz="0" w:space="0" w:color="auto"/>
            <w:left w:val="none" w:sz="0" w:space="0" w:color="auto"/>
            <w:bottom w:val="none" w:sz="0" w:space="0" w:color="auto"/>
            <w:right w:val="none" w:sz="0" w:space="0" w:color="auto"/>
          </w:divBdr>
        </w:div>
        <w:div w:id="594441457">
          <w:marLeft w:val="0"/>
          <w:marRight w:val="0"/>
          <w:marTop w:val="0"/>
          <w:marBottom w:val="0"/>
          <w:divBdr>
            <w:top w:val="none" w:sz="0" w:space="0" w:color="auto"/>
            <w:left w:val="none" w:sz="0" w:space="0" w:color="auto"/>
            <w:bottom w:val="none" w:sz="0" w:space="0" w:color="auto"/>
            <w:right w:val="none" w:sz="0" w:space="0" w:color="auto"/>
          </w:divBdr>
        </w:div>
        <w:div w:id="1618095868">
          <w:marLeft w:val="0"/>
          <w:marRight w:val="0"/>
          <w:marTop w:val="0"/>
          <w:marBottom w:val="0"/>
          <w:divBdr>
            <w:top w:val="none" w:sz="0" w:space="0" w:color="auto"/>
            <w:left w:val="none" w:sz="0" w:space="0" w:color="auto"/>
            <w:bottom w:val="none" w:sz="0" w:space="0" w:color="auto"/>
            <w:right w:val="none" w:sz="0" w:space="0" w:color="auto"/>
          </w:divBdr>
        </w:div>
        <w:div w:id="95056536">
          <w:marLeft w:val="0"/>
          <w:marRight w:val="0"/>
          <w:marTop w:val="0"/>
          <w:marBottom w:val="0"/>
          <w:divBdr>
            <w:top w:val="none" w:sz="0" w:space="0" w:color="auto"/>
            <w:left w:val="none" w:sz="0" w:space="0" w:color="auto"/>
            <w:bottom w:val="none" w:sz="0" w:space="0" w:color="auto"/>
            <w:right w:val="none" w:sz="0" w:space="0" w:color="auto"/>
          </w:divBdr>
        </w:div>
      </w:divsChild>
    </w:div>
    <w:div w:id="1766876975">
      <w:bodyDiv w:val="1"/>
      <w:marLeft w:val="0"/>
      <w:marRight w:val="0"/>
      <w:marTop w:val="0"/>
      <w:marBottom w:val="0"/>
      <w:divBdr>
        <w:top w:val="none" w:sz="0" w:space="0" w:color="auto"/>
        <w:left w:val="none" w:sz="0" w:space="0" w:color="auto"/>
        <w:bottom w:val="none" w:sz="0" w:space="0" w:color="auto"/>
        <w:right w:val="none" w:sz="0" w:space="0" w:color="auto"/>
      </w:divBdr>
      <w:divsChild>
        <w:div w:id="693044671">
          <w:marLeft w:val="0"/>
          <w:marRight w:val="0"/>
          <w:marTop w:val="0"/>
          <w:marBottom w:val="0"/>
          <w:divBdr>
            <w:top w:val="none" w:sz="0" w:space="0" w:color="auto"/>
            <w:left w:val="none" w:sz="0" w:space="0" w:color="auto"/>
            <w:bottom w:val="none" w:sz="0" w:space="0" w:color="auto"/>
            <w:right w:val="none" w:sz="0" w:space="0" w:color="auto"/>
          </w:divBdr>
        </w:div>
        <w:div w:id="44178990">
          <w:marLeft w:val="0"/>
          <w:marRight w:val="0"/>
          <w:marTop w:val="0"/>
          <w:marBottom w:val="0"/>
          <w:divBdr>
            <w:top w:val="none" w:sz="0" w:space="0" w:color="auto"/>
            <w:left w:val="none" w:sz="0" w:space="0" w:color="auto"/>
            <w:bottom w:val="none" w:sz="0" w:space="0" w:color="auto"/>
            <w:right w:val="none" w:sz="0" w:space="0" w:color="auto"/>
          </w:divBdr>
        </w:div>
        <w:div w:id="1725760282">
          <w:marLeft w:val="0"/>
          <w:marRight w:val="0"/>
          <w:marTop w:val="0"/>
          <w:marBottom w:val="0"/>
          <w:divBdr>
            <w:top w:val="none" w:sz="0" w:space="0" w:color="auto"/>
            <w:left w:val="none" w:sz="0" w:space="0" w:color="auto"/>
            <w:bottom w:val="none" w:sz="0" w:space="0" w:color="auto"/>
            <w:right w:val="none" w:sz="0" w:space="0" w:color="auto"/>
          </w:divBdr>
        </w:div>
        <w:div w:id="1999914459">
          <w:marLeft w:val="0"/>
          <w:marRight w:val="0"/>
          <w:marTop w:val="0"/>
          <w:marBottom w:val="0"/>
          <w:divBdr>
            <w:top w:val="none" w:sz="0" w:space="0" w:color="auto"/>
            <w:left w:val="none" w:sz="0" w:space="0" w:color="auto"/>
            <w:bottom w:val="none" w:sz="0" w:space="0" w:color="auto"/>
            <w:right w:val="none" w:sz="0" w:space="0" w:color="auto"/>
          </w:divBdr>
        </w:div>
        <w:div w:id="285085807">
          <w:marLeft w:val="0"/>
          <w:marRight w:val="0"/>
          <w:marTop w:val="0"/>
          <w:marBottom w:val="0"/>
          <w:divBdr>
            <w:top w:val="none" w:sz="0" w:space="0" w:color="auto"/>
            <w:left w:val="none" w:sz="0" w:space="0" w:color="auto"/>
            <w:bottom w:val="none" w:sz="0" w:space="0" w:color="auto"/>
            <w:right w:val="none" w:sz="0" w:space="0" w:color="auto"/>
          </w:divBdr>
        </w:div>
        <w:div w:id="1904870568">
          <w:marLeft w:val="0"/>
          <w:marRight w:val="0"/>
          <w:marTop w:val="0"/>
          <w:marBottom w:val="0"/>
          <w:divBdr>
            <w:top w:val="none" w:sz="0" w:space="0" w:color="auto"/>
            <w:left w:val="none" w:sz="0" w:space="0" w:color="auto"/>
            <w:bottom w:val="none" w:sz="0" w:space="0" w:color="auto"/>
            <w:right w:val="none" w:sz="0" w:space="0" w:color="auto"/>
          </w:divBdr>
        </w:div>
        <w:div w:id="824324816">
          <w:marLeft w:val="0"/>
          <w:marRight w:val="0"/>
          <w:marTop w:val="0"/>
          <w:marBottom w:val="0"/>
          <w:divBdr>
            <w:top w:val="none" w:sz="0" w:space="0" w:color="auto"/>
            <w:left w:val="none" w:sz="0" w:space="0" w:color="auto"/>
            <w:bottom w:val="none" w:sz="0" w:space="0" w:color="auto"/>
            <w:right w:val="none" w:sz="0" w:space="0" w:color="auto"/>
          </w:divBdr>
        </w:div>
      </w:divsChild>
    </w:div>
    <w:div w:id="1845244658">
      <w:bodyDiv w:val="1"/>
      <w:marLeft w:val="0"/>
      <w:marRight w:val="0"/>
      <w:marTop w:val="0"/>
      <w:marBottom w:val="0"/>
      <w:divBdr>
        <w:top w:val="none" w:sz="0" w:space="0" w:color="auto"/>
        <w:left w:val="none" w:sz="0" w:space="0" w:color="auto"/>
        <w:bottom w:val="none" w:sz="0" w:space="0" w:color="auto"/>
        <w:right w:val="none" w:sz="0" w:space="0" w:color="auto"/>
      </w:divBdr>
      <w:divsChild>
        <w:div w:id="2061708500">
          <w:marLeft w:val="0"/>
          <w:marRight w:val="0"/>
          <w:marTop w:val="0"/>
          <w:marBottom w:val="0"/>
          <w:divBdr>
            <w:top w:val="none" w:sz="0" w:space="0" w:color="auto"/>
            <w:left w:val="none" w:sz="0" w:space="0" w:color="auto"/>
            <w:bottom w:val="none" w:sz="0" w:space="0" w:color="auto"/>
            <w:right w:val="none" w:sz="0" w:space="0" w:color="auto"/>
          </w:divBdr>
        </w:div>
        <w:div w:id="1754938244">
          <w:marLeft w:val="0"/>
          <w:marRight w:val="0"/>
          <w:marTop w:val="0"/>
          <w:marBottom w:val="0"/>
          <w:divBdr>
            <w:top w:val="none" w:sz="0" w:space="0" w:color="auto"/>
            <w:left w:val="none" w:sz="0" w:space="0" w:color="auto"/>
            <w:bottom w:val="none" w:sz="0" w:space="0" w:color="auto"/>
            <w:right w:val="none" w:sz="0" w:space="0" w:color="auto"/>
          </w:divBdr>
        </w:div>
        <w:div w:id="1093358179">
          <w:marLeft w:val="0"/>
          <w:marRight w:val="0"/>
          <w:marTop w:val="0"/>
          <w:marBottom w:val="0"/>
          <w:divBdr>
            <w:top w:val="none" w:sz="0" w:space="0" w:color="auto"/>
            <w:left w:val="none" w:sz="0" w:space="0" w:color="auto"/>
            <w:bottom w:val="none" w:sz="0" w:space="0" w:color="auto"/>
            <w:right w:val="none" w:sz="0" w:space="0" w:color="auto"/>
          </w:divBdr>
        </w:div>
        <w:div w:id="1196579681">
          <w:marLeft w:val="0"/>
          <w:marRight w:val="0"/>
          <w:marTop w:val="0"/>
          <w:marBottom w:val="0"/>
          <w:divBdr>
            <w:top w:val="none" w:sz="0" w:space="0" w:color="auto"/>
            <w:left w:val="none" w:sz="0" w:space="0" w:color="auto"/>
            <w:bottom w:val="none" w:sz="0" w:space="0" w:color="auto"/>
            <w:right w:val="none" w:sz="0" w:space="0" w:color="auto"/>
          </w:divBdr>
        </w:div>
        <w:div w:id="872570728">
          <w:marLeft w:val="0"/>
          <w:marRight w:val="0"/>
          <w:marTop w:val="0"/>
          <w:marBottom w:val="0"/>
          <w:divBdr>
            <w:top w:val="none" w:sz="0" w:space="0" w:color="auto"/>
            <w:left w:val="none" w:sz="0" w:space="0" w:color="auto"/>
            <w:bottom w:val="none" w:sz="0" w:space="0" w:color="auto"/>
            <w:right w:val="none" w:sz="0" w:space="0" w:color="auto"/>
          </w:divBdr>
        </w:div>
        <w:div w:id="96392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BD9FF-8CAF-4103-B717-C2AD8B966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1837</TotalTime>
  <Pages>17</Pages>
  <Words>7546</Words>
  <Characters>41504</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48953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FERNANDO MARTINEZ</cp:lastModifiedBy>
  <cp:revision>213</cp:revision>
  <cp:lastPrinted>2022-10-18T03:24:00Z</cp:lastPrinted>
  <dcterms:created xsi:type="dcterms:W3CDTF">2020-10-07T18:51:00Z</dcterms:created>
  <dcterms:modified xsi:type="dcterms:W3CDTF">2022-10-18T03:25:00Z</dcterms:modified>
</cp:coreProperties>
</file>