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6B4C2EC1" w:rsidR="003B6CF0" w:rsidRPr="00CB6405" w:rsidRDefault="003B6CF0" w:rsidP="00447B06">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D93BA05" w:rsidR="003B6CF0" w:rsidRPr="00CB6405" w:rsidRDefault="003B6CF0" w:rsidP="00447B06">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00072">
        <w:rPr>
          <w:rFonts w:ascii="Arial" w:hAnsi="Arial" w:cs="Arial"/>
          <w:b/>
          <w:sz w:val="26"/>
          <w:szCs w:val="26"/>
        </w:rPr>
        <w:t>173</w:t>
      </w:r>
      <w:r>
        <w:rPr>
          <w:rFonts w:ascii="Arial" w:hAnsi="Arial" w:cs="Arial"/>
          <w:b/>
          <w:sz w:val="26"/>
          <w:szCs w:val="26"/>
        </w:rPr>
        <w:t>/20</w:t>
      </w:r>
      <w:r w:rsidR="002D0109">
        <w:rPr>
          <w:rFonts w:ascii="Arial" w:hAnsi="Arial" w:cs="Arial"/>
          <w:b/>
          <w:sz w:val="26"/>
          <w:szCs w:val="26"/>
        </w:rPr>
        <w:t>2</w:t>
      </w:r>
      <w:r w:rsidR="00AE07BB">
        <w:rPr>
          <w:rFonts w:ascii="Arial" w:hAnsi="Arial" w:cs="Arial"/>
          <w:b/>
          <w:sz w:val="26"/>
          <w:szCs w:val="26"/>
        </w:rPr>
        <w:t>1</w:t>
      </w:r>
      <w:r>
        <w:rPr>
          <w:rFonts w:ascii="Arial" w:hAnsi="Arial" w:cs="Arial"/>
          <w:b/>
          <w:sz w:val="26"/>
          <w:szCs w:val="26"/>
        </w:rPr>
        <w:t>.</w:t>
      </w:r>
    </w:p>
    <w:p w14:paraId="10A869BB" w14:textId="6DBCC9F4" w:rsidR="00DF6C99" w:rsidRDefault="00887110" w:rsidP="00447B06">
      <w:pPr>
        <w:spacing w:line="240" w:lineRule="auto"/>
        <w:ind w:left="3119"/>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000072">
        <w:rPr>
          <w:rFonts w:ascii="Arial" w:hAnsi="Arial" w:cs="Arial"/>
          <w:b/>
          <w:sz w:val="26"/>
          <w:szCs w:val="26"/>
        </w:rPr>
        <w:t>132</w:t>
      </w:r>
      <w:r>
        <w:rPr>
          <w:rFonts w:ascii="Arial" w:hAnsi="Arial" w:cs="Arial"/>
          <w:b/>
          <w:sz w:val="26"/>
          <w:szCs w:val="26"/>
        </w:rPr>
        <w:t>/20</w:t>
      </w:r>
      <w:r w:rsidR="003277E1">
        <w:rPr>
          <w:rFonts w:ascii="Arial" w:hAnsi="Arial" w:cs="Arial"/>
          <w:b/>
          <w:sz w:val="26"/>
          <w:szCs w:val="26"/>
        </w:rPr>
        <w:t>19</w:t>
      </w:r>
      <w:r>
        <w:rPr>
          <w:rFonts w:ascii="Arial" w:hAnsi="Arial" w:cs="Arial"/>
          <w:b/>
          <w:sz w:val="26"/>
          <w:szCs w:val="26"/>
        </w:rPr>
        <w:t xml:space="preserve"> </w:t>
      </w:r>
      <w:r w:rsidR="00DF6C99">
        <w:rPr>
          <w:rFonts w:ascii="Arial" w:hAnsi="Arial" w:cs="Arial"/>
          <w:b/>
          <w:sz w:val="26"/>
          <w:szCs w:val="26"/>
        </w:rPr>
        <w:t xml:space="preserve">DE LA </w:t>
      </w:r>
      <w:r w:rsidR="000D2807">
        <w:rPr>
          <w:rFonts w:ascii="Arial" w:hAnsi="Arial" w:cs="Arial"/>
          <w:b/>
          <w:sz w:val="26"/>
          <w:szCs w:val="26"/>
        </w:rPr>
        <w:t>CUART</w:t>
      </w:r>
      <w:r w:rsidR="00A33ED4">
        <w:rPr>
          <w:rFonts w:ascii="Arial" w:hAnsi="Arial" w:cs="Arial"/>
          <w:b/>
          <w:sz w:val="26"/>
          <w:szCs w:val="26"/>
        </w:rPr>
        <w:t>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447B06">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6B6CCB6F" w14:textId="77777777" w:rsidR="00AC5A41" w:rsidRDefault="00AC5A41" w:rsidP="003B6CF0">
      <w:pPr>
        <w:spacing w:before="240" w:line="360" w:lineRule="auto"/>
        <w:jc w:val="both"/>
        <w:rPr>
          <w:rFonts w:ascii="Arial" w:hAnsi="Arial" w:cs="Arial"/>
          <w:b/>
          <w:sz w:val="26"/>
          <w:szCs w:val="26"/>
        </w:rPr>
      </w:pPr>
    </w:p>
    <w:p w14:paraId="3DE7165A" w14:textId="50A35A6D"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447B06">
        <w:rPr>
          <w:rFonts w:ascii="Arial" w:hAnsi="Arial" w:cs="Arial"/>
          <w:b/>
          <w:sz w:val="26"/>
          <w:szCs w:val="26"/>
        </w:rPr>
        <w:t>VEINTINUEVE</w:t>
      </w:r>
      <w:r w:rsidR="006B081A">
        <w:rPr>
          <w:rFonts w:ascii="Arial" w:hAnsi="Arial" w:cs="Arial"/>
          <w:b/>
          <w:sz w:val="26"/>
          <w:szCs w:val="26"/>
        </w:rPr>
        <w:t xml:space="preserve"> DE </w:t>
      </w:r>
      <w:r w:rsidR="00447B06">
        <w:rPr>
          <w:rFonts w:ascii="Arial" w:hAnsi="Arial" w:cs="Arial"/>
          <w:b/>
          <w:sz w:val="26"/>
          <w:szCs w:val="26"/>
        </w:rPr>
        <w:t>SEPTIEMBRE</w:t>
      </w:r>
      <w:r w:rsidR="006B081A">
        <w:rPr>
          <w:rFonts w:ascii="Arial" w:hAnsi="Arial" w:cs="Arial"/>
          <w:b/>
          <w:sz w:val="26"/>
          <w:szCs w:val="26"/>
        </w:rPr>
        <w:t xml:space="preserve"> DE DOS MIL VEINTIDÓS</w:t>
      </w:r>
      <w:r>
        <w:rPr>
          <w:rFonts w:ascii="Arial" w:hAnsi="Arial" w:cs="Arial"/>
          <w:b/>
          <w:sz w:val="26"/>
          <w:szCs w:val="26"/>
        </w:rPr>
        <w:t xml:space="preserve">. - - - - - - - - - - - - - - - - - - - - - - - - - - - - - - - - - </w:t>
      </w:r>
    </w:p>
    <w:p w14:paraId="74909C51" w14:textId="4EC5954E" w:rsidR="009D57CC" w:rsidRDefault="009D57CC" w:rsidP="00447B06">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000072">
        <w:rPr>
          <w:rFonts w:ascii="Arial" w:hAnsi="Arial" w:cs="Arial"/>
          <w:b/>
          <w:sz w:val="26"/>
          <w:szCs w:val="26"/>
        </w:rPr>
        <w:t>173</w:t>
      </w:r>
      <w:r>
        <w:rPr>
          <w:rFonts w:ascii="Arial" w:hAnsi="Arial" w:cs="Arial"/>
          <w:b/>
          <w:sz w:val="26"/>
          <w:szCs w:val="26"/>
        </w:rPr>
        <w:t>/20</w:t>
      </w:r>
      <w:r w:rsidR="00A33ED4">
        <w:rPr>
          <w:rFonts w:ascii="Arial" w:hAnsi="Arial" w:cs="Arial"/>
          <w:b/>
          <w:sz w:val="26"/>
          <w:szCs w:val="26"/>
        </w:rPr>
        <w:t>2</w:t>
      </w:r>
      <w:r w:rsidR="00AE07BB">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w:t>
      </w:r>
      <w:r w:rsidR="00000072">
        <w:rPr>
          <w:rFonts w:ascii="Arial" w:hAnsi="Arial" w:cs="Arial"/>
          <w:b/>
          <w:bCs/>
          <w:sz w:val="26"/>
          <w:szCs w:val="26"/>
        </w:rPr>
        <w:t xml:space="preserve"> </w:t>
      </w:r>
      <w:r w:rsidR="00DF0D99">
        <w:rPr>
          <w:rFonts w:ascii="Arial" w:hAnsi="Arial" w:cs="Arial"/>
          <w:b/>
          <w:bCs/>
          <w:sz w:val="26"/>
          <w:szCs w:val="26"/>
        </w:rPr>
        <w:t>*******</w:t>
      </w:r>
      <w:r w:rsidR="00250590">
        <w:rPr>
          <w:rFonts w:ascii="Arial" w:hAnsi="Arial" w:cs="Arial"/>
          <w:b/>
          <w:bCs/>
          <w:sz w:val="26"/>
          <w:szCs w:val="26"/>
        </w:rPr>
        <w:t xml:space="preserve">, EN SU CARÁCTER DE APODERADO LEGAL DE </w:t>
      </w:r>
      <w:r w:rsidR="00DF0D99">
        <w:rPr>
          <w:rFonts w:ascii="Arial" w:hAnsi="Arial" w:cs="Arial"/>
          <w:b/>
          <w:bCs/>
          <w:sz w:val="26"/>
          <w:szCs w:val="26"/>
        </w:rPr>
        <w:t>*******</w:t>
      </w:r>
      <w:r w:rsidR="00795672" w:rsidRPr="004819D0">
        <w:rPr>
          <w:rFonts w:ascii="Arial" w:hAnsi="Arial" w:cs="Arial"/>
          <w:b/>
          <w:bCs/>
          <w:sz w:val="26"/>
          <w:szCs w:val="26"/>
        </w:rPr>
        <w:t xml:space="preserve">, </w:t>
      </w:r>
      <w:r>
        <w:rPr>
          <w:rFonts w:ascii="Arial" w:hAnsi="Arial" w:cs="Arial"/>
          <w:sz w:val="26"/>
          <w:szCs w:val="26"/>
        </w:rPr>
        <w:t>en contra de</w:t>
      </w:r>
      <w:r w:rsidR="00A33ED4">
        <w:rPr>
          <w:rFonts w:ascii="Arial" w:hAnsi="Arial" w:cs="Arial"/>
          <w:sz w:val="26"/>
          <w:szCs w:val="26"/>
        </w:rPr>
        <w:t xml:space="preserve"> la sentencia </w:t>
      </w:r>
      <w:r>
        <w:rPr>
          <w:rFonts w:ascii="Arial" w:hAnsi="Arial" w:cs="Arial"/>
          <w:sz w:val="26"/>
          <w:szCs w:val="26"/>
        </w:rPr>
        <w:t xml:space="preserve">de </w:t>
      </w:r>
      <w:r w:rsidR="00000072">
        <w:rPr>
          <w:rFonts w:ascii="Arial" w:hAnsi="Arial" w:cs="Arial"/>
          <w:sz w:val="26"/>
          <w:szCs w:val="26"/>
        </w:rPr>
        <w:t>trece</w:t>
      </w:r>
      <w:r w:rsidR="00A33ED4">
        <w:rPr>
          <w:rFonts w:ascii="Arial" w:hAnsi="Arial" w:cs="Arial"/>
          <w:sz w:val="26"/>
          <w:szCs w:val="26"/>
        </w:rPr>
        <w:t xml:space="preserve"> de </w:t>
      </w:r>
      <w:r w:rsidR="003277E1">
        <w:rPr>
          <w:rFonts w:ascii="Arial" w:hAnsi="Arial" w:cs="Arial"/>
          <w:sz w:val="26"/>
          <w:szCs w:val="26"/>
        </w:rPr>
        <w:t>noviembre</w:t>
      </w:r>
      <w:r>
        <w:rPr>
          <w:rFonts w:ascii="Arial" w:hAnsi="Arial" w:cs="Arial"/>
          <w:sz w:val="26"/>
          <w:szCs w:val="26"/>
        </w:rPr>
        <w:t xml:space="preserve"> de dos mil </w:t>
      </w:r>
      <w:r w:rsidR="003277E1">
        <w:rPr>
          <w:rFonts w:ascii="Arial" w:hAnsi="Arial" w:cs="Arial"/>
          <w:sz w:val="26"/>
          <w:szCs w:val="26"/>
        </w:rPr>
        <w:t>veinte</w:t>
      </w:r>
      <w:r w:rsidR="00F451C3">
        <w:rPr>
          <w:rFonts w:ascii="Arial" w:hAnsi="Arial" w:cs="Arial"/>
          <w:sz w:val="26"/>
          <w:szCs w:val="26"/>
        </w:rPr>
        <w:t>,</w:t>
      </w:r>
      <w:r w:rsidR="00795672">
        <w:rPr>
          <w:rFonts w:ascii="Arial" w:hAnsi="Arial" w:cs="Arial"/>
          <w:sz w:val="26"/>
          <w:szCs w:val="26"/>
        </w:rPr>
        <w:t xml:space="preserve"> </w:t>
      </w:r>
      <w:r>
        <w:rPr>
          <w:rFonts w:ascii="Arial" w:hAnsi="Arial" w:cs="Arial"/>
          <w:sz w:val="26"/>
          <w:szCs w:val="26"/>
        </w:rPr>
        <w:t>dictad</w:t>
      </w:r>
      <w:r w:rsidR="00A33ED4">
        <w:rPr>
          <w:rFonts w:ascii="Arial" w:hAnsi="Arial" w:cs="Arial"/>
          <w:sz w:val="26"/>
          <w:szCs w:val="26"/>
        </w:rPr>
        <w:t>a</w:t>
      </w:r>
      <w:r>
        <w:rPr>
          <w:rFonts w:ascii="Arial" w:hAnsi="Arial" w:cs="Arial"/>
          <w:sz w:val="26"/>
          <w:szCs w:val="26"/>
        </w:rPr>
        <w:t xml:space="preserve"> en el expediente </w:t>
      </w:r>
      <w:r>
        <w:rPr>
          <w:rFonts w:ascii="Arial" w:hAnsi="Arial" w:cs="Arial"/>
          <w:b/>
          <w:sz w:val="26"/>
          <w:szCs w:val="26"/>
        </w:rPr>
        <w:t>0</w:t>
      </w:r>
      <w:r w:rsidR="00000072">
        <w:rPr>
          <w:rFonts w:ascii="Arial" w:hAnsi="Arial" w:cs="Arial"/>
          <w:b/>
          <w:sz w:val="26"/>
          <w:szCs w:val="26"/>
        </w:rPr>
        <w:t>132</w:t>
      </w:r>
      <w:r>
        <w:rPr>
          <w:rFonts w:ascii="Arial" w:hAnsi="Arial" w:cs="Arial"/>
          <w:b/>
          <w:sz w:val="26"/>
          <w:szCs w:val="26"/>
        </w:rPr>
        <w:t>/20</w:t>
      </w:r>
      <w:r w:rsidR="003277E1">
        <w:rPr>
          <w:rFonts w:ascii="Arial" w:hAnsi="Arial" w:cs="Arial"/>
          <w:b/>
          <w:sz w:val="26"/>
          <w:szCs w:val="26"/>
        </w:rPr>
        <w:t>19</w:t>
      </w:r>
      <w:r>
        <w:rPr>
          <w:rFonts w:ascii="Arial" w:hAnsi="Arial" w:cs="Arial"/>
          <w:sz w:val="26"/>
          <w:szCs w:val="26"/>
        </w:rPr>
        <w:t xml:space="preserve"> del índice de la </w:t>
      </w:r>
      <w:r w:rsidR="001E0872">
        <w:rPr>
          <w:rFonts w:ascii="Arial" w:hAnsi="Arial" w:cs="Arial"/>
          <w:sz w:val="26"/>
          <w:szCs w:val="26"/>
        </w:rPr>
        <w:t>Cuart</w:t>
      </w:r>
      <w:r w:rsidR="004819D0">
        <w:rPr>
          <w:rFonts w:ascii="Arial" w:hAnsi="Arial" w:cs="Arial"/>
          <w:sz w:val="26"/>
          <w:szCs w:val="26"/>
        </w:rPr>
        <w:t>a</w:t>
      </w:r>
      <w:r>
        <w:rPr>
          <w:rFonts w:ascii="Arial" w:hAnsi="Arial" w:cs="Arial"/>
          <w:sz w:val="26"/>
          <w:szCs w:val="26"/>
        </w:rPr>
        <w:t xml:space="preserve"> Sala Unitaria de Primera Instancia, relativo al juicio de nulidad promovido por</w:t>
      </w:r>
      <w:r w:rsidR="00795672">
        <w:rPr>
          <w:rFonts w:ascii="Arial" w:hAnsi="Arial" w:cs="Arial"/>
          <w:b/>
          <w:bCs/>
          <w:sz w:val="26"/>
          <w:szCs w:val="26"/>
        </w:rPr>
        <w:t xml:space="preserve"> </w:t>
      </w:r>
      <w:r w:rsidR="00DF0D99">
        <w:rPr>
          <w:rFonts w:ascii="Arial" w:hAnsi="Arial" w:cs="Arial"/>
          <w:b/>
          <w:bCs/>
          <w:sz w:val="26"/>
          <w:szCs w:val="26"/>
        </w:rPr>
        <w:t>*******</w:t>
      </w:r>
      <w:r w:rsidR="00000072">
        <w:rPr>
          <w:rFonts w:ascii="Arial" w:hAnsi="Arial" w:cs="Arial"/>
          <w:b/>
          <w:bCs/>
          <w:sz w:val="26"/>
          <w:szCs w:val="26"/>
        </w:rPr>
        <w:t xml:space="preserve">, EN SU CARÁCTER DE APODERADO LEGAL DE </w:t>
      </w:r>
      <w:r w:rsidR="00DF0D99">
        <w:rPr>
          <w:rFonts w:ascii="Arial" w:hAnsi="Arial" w:cs="Arial"/>
          <w:b/>
          <w:bCs/>
          <w:sz w:val="26"/>
          <w:szCs w:val="26"/>
        </w:rPr>
        <w:t>*******</w:t>
      </w:r>
      <w:r w:rsidR="004819D0" w:rsidRPr="004819D0">
        <w:rPr>
          <w:rFonts w:ascii="Arial" w:hAnsi="Arial" w:cs="Arial"/>
          <w:b/>
          <w:bCs/>
          <w:sz w:val="26"/>
          <w:szCs w:val="26"/>
        </w:rPr>
        <w:t>,</w:t>
      </w:r>
      <w:r w:rsidR="004819D0">
        <w:rPr>
          <w:rFonts w:ascii="Arial" w:hAnsi="Arial" w:cs="Arial"/>
          <w:sz w:val="26"/>
          <w:szCs w:val="26"/>
        </w:rPr>
        <w:t xml:space="preserve"> </w:t>
      </w:r>
      <w:r>
        <w:rPr>
          <w:rFonts w:ascii="Arial" w:hAnsi="Arial" w:cs="Arial"/>
          <w:sz w:val="26"/>
          <w:szCs w:val="26"/>
        </w:rPr>
        <w:t>en contra del</w:t>
      </w:r>
      <w:r w:rsidR="00756B1B">
        <w:rPr>
          <w:rFonts w:ascii="Arial" w:hAnsi="Arial" w:cs="Arial"/>
          <w:b/>
          <w:sz w:val="26"/>
          <w:szCs w:val="26"/>
        </w:rPr>
        <w:t xml:space="preserve"> JEFE D</w:t>
      </w:r>
      <w:r w:rsidR="00250590">
        <w:rPr>
          <w:rFonts w:ascii="Arial" w:hAnsi="Arial" w:cs="Arial"/>
          <w:b/>
          <w:sz w:val="26"/>
          <w:szCs w:val="26"/>
        </w:rPr>
        <w:t>E LA UNIDAD JURÍDICA CATASTRAL DEL ESTADO DE OAXACA</w:t>
      </w:r>
      <w:r w:rsidR="004819D0">
        <w:rPr>
          <w:rFonts w:ascii="Arial" w:hAnsi="Arial" w:cs="Arial"/>
          <w:b/>
          <w:sz w:val="26"/>
          <w:szCs w:val="26"/>
        </w:rPr>
        <w:t>,</w:t>
      </w:r>
      <w:r w:rsidR="002D0109">
        <w:rPr>
          <w:rFonts w:ascii="Arial"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w:t>
      </w:r>
      <w:r w:rsidR="00447B06">
        <w:rPr>
          <w:rFonts w:ascii="Arial" w:hAnsi="Arial" w:cs="Arial"/>
          <w:sz w:val="26"/>
          <w:szCs w:val="26"/>
        </w:rPr>
        <w:t xml:space="preserve">: - - - - - - - - - - - - - - - - - - - - - - - - </w:t>
      </w:r>
      <w:r w:rsidR="00B50E95">
        <w:rPr>
          <w:rFonts w:ascii="Arial" w:hAnsi="Arial" w:cs="Arial"/>
          <w:sz w:val="26"/>
          <w:szCs w:val="26"/>
        </w:rPr>
        <w:t>-</w:t>
      </w:r>
      <w:r w:rsidR="00447B06">
        <w:rPr>
          <w:rFonts w:ascii="Arial" w:hAnsi="Arial" w:cs="Arial"/>
          <w:sz w:val="26"/>
          <w:szCs w:val="26"/>
        </w:rPr>
        <w:t xml:space="preserve"> </w:t>
      </w:r>
    </w:p>
    <w:p w14:paraId="42D76FAD" w14:textId="40CBD9E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0CFDBDE9"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w:t>
      </w:r>
      <w:r w:rsidR="00956E17">
        <w:rPr>
          <w:rFonts w:ascii="Arial" w:hAnsi="Arial" w:cs="Arial"/>
          <w:sz w:val="26"/>
          <w:szCs w:val="26"/>
        </w:rPr>
        <w:t xml:space="preserve">la </w:t>
      </w:r>
      <w:r w:rsidR="00250590">
        <w:rPr>
          <w:rFonts w:ascii="Arial" w:hAnsi="Arial" w:cs="Arial"/>
          <w:sz w:val="26"/>
          <w:szCs w:val="26"/>
        </w:rPr>
        <w:t>sentencia de trece</w:t>
      </w:r>
      <w:r w:rsidR="00756B1B">
        <w:rPr>
          <w:rFonts w:ascii="Arial" w:hAnsi="Arial" w:cs="Arial"/>
          <w:sz w:val="26"/>
          <w:szCs w:val="26"/>
        </w:rPr>
        <w:t xml:space="preserve"> de noviembre</w:t>
      </w:r>
      <w:r w:rsidR="00F451C3">
        <w:rPr>
          <w:rFonts w:ascii="Arial" w:hAnsi="Arial" w:cs="Arial"/>
          <w:sz w:val="26"/>
          <w:szCs w:val="26"/>
        </w:rPr>
        <w:t xml:space="preserve"> de dos mil veint</w:t>
      </w:r>
      <w:r w:rsidR="00756B1B">
        <w:rPr>
          <w:rFonts w:ascii="Arial" w:hAnsi="Arial" w:cs="Arial"/>
          <w:sz w:val="26"/>
          <w:szCs w:val="26"/>
        </w:rPr>
        <w:t>e,</w:t>
      </w:r>
      <w:r w:rsidR="00756B1B" w:rsidRPr="00756B1B">
        <w:rPr>
          <w:rFonts w:ascii="Arial" w:hAnsi="Arial" w:cs="Arial"/>
          <w:sz w:val="26"/>
          <w:szCs w:val="26"/>
        </w:rPr>
        <w:t xml:space="preserve"> </w:t>
      </w:r>
      <w:r w:rsidR="00756B1B" w:rsidRPr="00CB6405">
        <w:rPr>
          <w:rFonts w:ascii="Arial" w:hAnsi="Arial" w:cs="Arial"/>
          <w:sz w:val="26"/>
          <w:szCs w:val="26"/>
        </w:rPr>
        <w:t>dictad</w:t>
      </w:r>
      <w:r w:rsidR="00756B1B">
        <w:rPr>
          <w:rFonts w:ascii="Arial" w:hAnsi="Arial" w:cs="Arial"/>
          <w:sz w:val="26"/>
          <w:szCs w:val="26"/>
        </w:rPr>
        <w:t>a por la Cuarta Sala Unitaria de Primera Instancia</w:t>
      </w:r>
      <w:r w:rsidR="00756B1B" w:rsidRPr="00756B1B">
        <w:rPr>
          <w:rFonts w:ascii="Arial" w:hAnsi="Arial" w:cs="Arial"/>
          <w:b/>
          <w:bCs/>
          <w:sz w:val="26"/>
          <w:szCs w:val="26"/>
        </w:rPr>
        <w:t xml:space="preserve"> </w:t>
      </w:r>
      <w:r w:rsidR="00DF0D99">
        <w:rPr>
          <w:rFonts w:ascii="Arial" w:hAnsi="Arial" w:cs="Arial"/>
          <w:b/>
          <w:bCs/>
          <w:sz w:val="26"/>
          <w:szCs w:val="26"/>
        </w:rPr>
        <w:t>*******</w:t>
      </w:r>
      <w:r w:rsidR="00250590">
        <w:rPr>
          <w:rFonts w:ascii="Arial" w:hAnsi="Arial" w:cs="Arial"/>
          <w:b/>
          <w:bCs/>
          <w:sz w:val="26"/>
          <w:szCs w:val="26"/>
        </w:rPr>
        <w:t xml:space="preserve">, EN SU CARÁCTER DE APODERADO LEGAL DE </w:t>
      </w:r>
      <w:r w:rsidR="00DF0D99">
        <w:rPr>
          <w:rFonts w:ascii="Arial" w:hAnsi="Arial" w:cs="Arial"/>
          <w:b/>
          <w:bCs/>
          <w:sz w:val="26"/>
          <w:szCs w:val="26"/>
        </w:rPr>
        <w:t>*******</w:t>
      </w:r>
      <w:r w:rsidR="00ED4FF1" w:rsidRPr="004819D0">
        <w:rPr>
          <w:rFonts w:ascii="Arial" w:hAnsi="Arial" w:cs="Arial"/>
          <w:b/>
          <w:bCs/>
          <w:sz w:val="26"/>
          <w:szCs w:val="26"/>
        </w:rPr>
        <w:t>,</w:t>
      </w:r>
      <w:r w:rsidR="00ED4FF1">
        <w:rPr>
          <w:rFonts w:ascii="Arial" w:hAnsi="Arial" w:cs="Arial"/>
          <w:b/>
          <w:bCs/>
          <w:sz w:val="26"/>
          <w:szCs w:val="26"/>
        </w:rPr>
        <w:t xml:space="preserve"> </w:t>
      </w:r>
      <w:r w:rsidRPr="00CB6405">
        <w:rPr>
          <w:rFonts w:ascii="Arial" w:hAnsi="Arial" w:cs="Arial"/>
          <w:sz w:val="26"/>
          <w:szCs w:val="26"/>
        </w:rPr>
        <w:t>interpuso en su contra recurso de revisión.</w:t>
      </w:r>
      <w:r w:rsidR="00447B06">
        <w:rPr>
          <w:rFonts w:ascii="Arial" w:hAnsi="Arial" w:cs="Arial"/>
          <w:sz w:val="26"/>
          <w:szCs w:val="26"/>
        </w:rPr>
        <w:t xml:space="preserve"> - - - - - - - - - - - - - - - - - - - - - </w:t>
      </w:r>
    </w:p>
    <w:p w14:paraId="25FD21DD" w14:textId="77777777" w:rsidR="00F042FD" w:rsidRDefault="003B6CF0" w:rsidP="00F042FD">
      <w:pPr>
        <w:spacing w:after="0" w:line="360" w:lineRule="auto"/>
        <w:ind w:firstLine="708"/>
        <w:jc w:val="both"/>
        <w:rPr>
          <w:rFonts w:ascii="Arial" w:hAnsi="Arial" w:cs="Arial"/>
          <w:bCs/>
          <w:sz w:val="26"/>
          <w:szCs w:val="26"/>
        </w:rPr>
      </w:pPr>
      <w:r w:rsidRPr="003B084B">
        <w:rPr>
          <w:rFonts w:ascii="Arial" w:hAnsi="Arial" w:cs="Arial"/>
          <w:b/>
          <w:bCs/>
          <w:iCs/>
          <w:sz w:val="26"/>
          <w:szCs w:val="26"/>
        </w:rPr>
        <w:t xml:space="preserve">SEGUNDO. </w:t>
      </w:r>
      <w:r w:rsidR="00F042FD" w:rsidRPr="00C37A09">
        <w:rPr>
          <w:rFonts w:ascii="Arial" w:hAnsi="Arial" w:cs="Arial"/>
          <w:bCs/>
          <w:sz w:val="26"/>
          <w:szCs w:val="26"/>
        </w:rPr>
        <w:t xml:space="preserve">Los puntos resolutivos de la sentencia recurrida son </w:t>
      </w:r>
      <w:r w:rsidR="00F042FD">
        <w:rPr>
          <w:rFonts w:ascii="Arial" w:hAnsi="Arial" w:cs="Arial"/>
          <w:bCs/>
          <w:sz w:val="26"/>
          <w:szCs w:val="26"/>
        </w:rPr>
        <w:t>los siguientes:</w:t>
      </w:r>
    </w:p>
    <w:p w14:paraId="4536C2C8" w14:textId="303E9533" w:rsidR="005B40E1" w:rsidRDefault="00EC6E18" w:rsidP="00B50E95">
      <w:pPr>
        <w:spacing w:after="0"/>
        <w:ind w:left="567" w:right="616" w:firstLine="567"/>
        <w:jc w:val="both"/>
        <w:rPr>
          <w:rFonts w:ascii="Arial" w:hAnsi="Arial" w:cs="Arial"/>
          <w:bCs/>
          <w:i/>
        </w:rPr>
      </w:pPr>
      <w:r>
        <w:rPr>
          <w:rFonts w:ascii="Arial" w:hAnsi="Arial" w:cs="Arial"/>
          <w:b/>
          <w:i/>
        </w:rPr>
        <w:t>“</w:t>
      </w:r>
      <w:r w:rsidR="00F451C3">
        <w:rPr>
          <w:rFonts w:ascii="Arial" w:hAnsi="Arial" w:cs="Arial"/>
          <w:b/>
          <w:i/>
        </w:rPr>
        <w:t>PRIMERO. -</w:t>
      </w:r>
      <w:r w:rsidR="00FE5E6C">
        <w:rPr>
          <w:rFonts w:ascii="Arial" w:hAnsi="Arial" w:cs="Arial"/>
          <w:b/>
          <w:i/>
        </w:rPr>
        <w:t xml:space="preserve"> </w:t>
      </w:r>
      <w:r w:rsidR="00F451C3">
        <w:rPr>
          <w:rFonts w:ascii="Arial" w:hAnsi="Arial" w:cs="Arial"/>
          <w:bCs/>
          <w:i/>
        </w:rPr>
        <w:t xml:space="preserve">Esta Cuarta Sala Unitaria fue </w:t>
      </w:r>
      <w:r w:rsidR="00F451C3" w:rsidRPr="00250590">
        <w:rPr>
          <w:rFonts w:ascii="Arial" w:hAnsi="Arial" w:cs="Arial"/>
          <w:b/>
          <w:bCs/>
          <w:i/>
        </w:rPr>
        <w:t>competente</w:t>
      </w:r>
      <w:r w:rsidR="00F451C3">
        <w:rPr>
          <w:rFonts w:ascii="Arial" w:hAnsi="Arial" w:cs="Arial"/>
          <w:b/>
          <w:bCs/>
          <w:i/>
        </w:rPr>
        <w:t xml:space="preserve"> </w:t>
      </w:r>
      <w:r w:rsidR="00F451C3">
        <w:rPr>
          <w:rFonts w:ascii="Arial" w:hAnsi="Arial" w:cs="Arial"/>
          <w:bCs/>
          <w:i/>
        </w:rPr>
        <w:t>para conocer y resolver del presente asunto.</w:t>
      </w:r>
    </w:p>
    <w:p w14:paraId="16AFFEB8" w14:textId="1E81A54E" w:rsidR="00861501" w:rsidRPr="00250590" w:rsidRDefault="00F451C3" w:rsidP="00B50E95">
      <w:pPr>
        <w:spacing w:after="0"/>
        <w:ind w:left="567" w:right="616" w:firstLine="567"/>
        <w:jc w:val="both"/>
        <w:rPr>
          <w:rFonts w:ascii="Arial" w:hAnsi="Arial" w:cs="Arial"/>
          <w:i/>
        </w:rPr>
      </w:pPr>
      <w:r>
        <w:rPr>
          <w:rFonts w:ascii="Arial" w:hAnsi="Arial" w:cs="Arial"/>
          <w:b/>
          <w:i/>
        </w:rPr>
        <w:t xml:space="preserve">SEGUNDO. </w:t>
      </w:r>
      <w:r w:rsidR="00250590">
        <w:rPr>
          <w:rFonts w:ascii="Arial" w:hAnsi="Arial" w:cs="Arial"/>
          <w:b/>
          <w:i/>
        </w:rPr>
        <w:t xml:space="preserve"> </w:t>
      </w:r>
      <w:r w:rsidR="00250590">
        <w:rPr>
          <w:rFonts w:ascii="Arial" w:hAnsi="Arial" w:cs="Arial"/>
          <w:i/>
        </w:rPr>
        <w:t xml:space="preserve">La </w:t>
      </w:r>
      <w:r w:rsidR="00250590">
        <w:rPr>
          <w:rFonts w:ascii="Arial" w:hAnsi="Arial" w:cs="Arial"/>
          <w:b/>
          <w:i/>
        </w:rPr>
        <w:t xml:space="preserve">personalidad </w:t>
      </w:r>
      <w:r w:rsidR="00250590">
        <w:rPr>
          <w:rFonts w:ascii="Arial" w:hAnsi="Arial" w:cs="Arial"/>
          <w:i/>
        </w:rPr>
        <w:t xml:space="preserve">de las partes quedó acreditada en autos. </w:t>
      </w:r>
    </w:p>
    <w:p w14:paraId="0DF1ACDF" w14:textId="3AC54C25" w:rsidR="00861501" w:rsidRPr="00250590" w:rsidRDefault="00861501" w:rsidP="00B50E95">
      <w:pPr>
        <w:spacing w:after="0"/>
        <w:ind w:left="567" w:right="616" w:firstLine="567"/>
        <w:jc w:val="both"/>
        <w:rPr>
          <w:rFonts w:ascii="Arial" w:hAnsi="Arial" w:cs="Arial"/>
          <w:b/>
          <w:bCs/>
          <w:i/>
        </w:rPr>
      </w:pPr>
      <w:r>
        <w:rPr>
          <w:rFonts w:ascii="Arial" w:hAnsi="Arial" w:cs="Arial"/>
          <w:b/>
          <w:i/>
        </w:rPr>
        <w:t xml:space="preserve">    TERCERO.</w:t>
      </w:r>
      <w:r>
        <w:rPr>
          <w:rFonts w:ascii="Arial" w:hAnsi="Arial" w:cs="Arial"/>
          <w:bCs/>
          <w:i/>
        </w:rPr>
        <w:t xml:space="preserve"> </w:t>
      </w:r>
      <w:r w:rsidR="00250590">
        <w:rPr>
          <w:rFonts w:ascii="Arial" w:hAnsi="Arial" w:cs="Arial"/>
          <w:bCs/>
          <w:i/>
        </w:rPr>
        <w:t>–</w:t>
      </w:r>
      <w:r>
        <w:rPr>
          <w:rFonts w:ascii="Arial" w:hAnsi="Arial" w:cs="Arial"/>
          <w:bCs/>
          <w:i/>
        </w:rPr>
        <w:t xml:space="preserve"> </w:t>
      </w:r>
      <w:r w:rsidR="00250590">
        <w:rPr>
          <w:rFonts w:ascii="Arial" w:hAnsi="Arial" w:cs="Arial"/>
          <w:bCs/>
          <w:i/>
        </w:rPr>
        <w:t xml:space="preserve">No se actualizó ninguna causal de improcedencia, por lo que </w:t>
      </w:r>
      <w:r w:rsidR="00250590">
        <w:rPr>
          <w:rFonts w:ascii="Arial" w:hAnsi="Arial" w:cs="Arial"/>
          <w:b/>
          <w:bCs/>
          <w:i/>
        </w:rPr>
        <w:t xml:space="preserve">NO SE SOBRESEE EL JUICIO. </w:t>
      </w:r>
    </w:p>
    <w:p w14:paraId="02427446" w14:textId="047A6DA7" w:rsidR="00EC6E18" w:rsidRDefault="00EC6E18" w:rsidP="00B50E95">
      <w:pPr>
        <w:spacing w:after="0"/>
        <w:ind w:left="567" w:right="616" w:firstLine="567"/>
        <w:jc w:val="both"/>
        <w:rPr>
          <w:rFonts w:ascii="Arial" w:hAnsi="Arial" w:cs="Arial"/>
          <w:bCs/>
          <w:i/>
        </w:rPr>
      </w:pPr>
      <w:r w:rsidRPr="00EC6E18">
        <w:rPr>
          <w:rFonts w:ascii="Arial" w:hAnsi="Arial" w:cs="Arial"/>
          <w:b/>
          <w:i/>
        </w:rPr>
        <w:tab/>
      </w:r>
      <w:r w:rsidR="00250590" w:rsidRPr="00EC6E18">
        <w:rPr>
          <w:rFonts w:ascii="Arial" w:hAnsi="Arial" w:cs="Arial"/>
          <w:b/>
          <w:i/>
        </w:rPr>
        <w:t>CUARTO. -</w:t>
      </w:r>
      <w:r>
        <w:rPr>
          <w:rFonts w:ascii="Arial" w:hAnsi="Arial" w:cs="Arial"/>
          <w:bCs/>
          <w:i/>
        </w:rPr>
        <w:t xml:space="preserve"> </w:t>
      </w:r>
      <w:r w:rsidR="00F451C3">
        <w:rPr>
          <w:rFonts w:ascii="Arial" w:hAnsi="Arial" w:cs="Arial"/>
          <w:bCs/>
          <w:i/>
        </w:rPr>
        <w:t xml:space="preserve"> </w:t>
      </w:r>
      <w:r w:rsidR="00250590">
        <w:rPr>
          <w:rFonts w:ascii="Arial" w:hAnsi="Arial" w:cs="Arial"/>
          <w:b/>
          <w:bCs/>
          <w:i/>
        </w:rPr>
        <w:t xml:space="preserve">SE DECLARA LA NULIDAD </w:t>
      </w:r>
      <w:r w:rsidR="00250590">
        <w:rPr>
          <w:rFonts w:ascii="Arial" w:hAnsi="Arial" w:cs="Arial"/>
          <w:bCs/>
          <w:i/>
        </w:rPr>
        <w:t xml:space="preserve">del oficio número </w:t>
      </w:r>
      <w:r w:rsidR="00DF0D99">
        <w:rPr>
          <w:rFonts w:ascii="Arial" w:hAnsi="Arial" w:cs="Arial"/>
          <w:b/>
          <w:bCs/>
          <w:i/>
        </w:rPr>
        <w:t>*******</w:t>
      </w:r>
      <w:r w:rsidR="00250590">
        <w:rPr>
          <w:rFonts w:ascii="Arial" w:hAnsi="Arial" w:cs="Arial"/>
          <w:b/>
          <w:bCs/>
          <w:i/>
        </w:rPr>
        <w:t xml:space="preserve">, </w:t>
      </w:r>
      <w:r w:rsidR="00250590">
        <w:rPr>
          <w:rFonts w:ascii="Arial" w:hAnsi="Arial" w:cs="Arial"/>
          <w:bCs/>
          <w:i/>
        </w:rPr>
        <w:t xml:space="preserve">que contiene la resolución de diecinueve de septiembre de dos </w:t>
      </w:r>
      <w:r w:rsidR="00250590">
        <w:rPr>
          <w:rFonts w:ascii="Arial" w:hAnsi="Arial" w:cs="Arial"/>
          <w:bCs/>
          <w:i/>
        </w:rPr>
        <w:lastRenderedPageBreak/>
        <w:t xml:space="preserve">mil diecinueve, dictada en el recurso de revisión número </w:t>
      </w:r>
      <w:r w:rsidR="00250590">
        <w:rPr>
          <w:rFonts w:ascii="Arial" w:hAnsi="Arial" w:cs="Arial"/>
          <w:b/>
          <w:bCs/>
          <w:i/>
        </w:rPr>
        <w:t xml:space="preserve">030/2019, </w:t>
      </w:r>
      <w:r w:rsidR="00250590">
        <w:rPr>
          <w:rFonts w:ascii="Arial" w:hAnsi="Arial" w:cs="Arial"/>
          <w:bCs/>
          <w:i/>
        </w:rPr>
        <w:t xml:space="preserve">por el </w:t>
      </w:r>
      <w:r w:rsidR="00FE5E6C">
        <w:rPr>
          <w:rFonts w:ascii="Arial" w:hAnsi="Arial" w:cs="Arial"/>
          <w:b/>
          <w:bCs/>
          <w:i/>
        </w:rPr>
        <w:t>Jefe de l</w:t>
      </w:r>
      <w:r w:rsidR="00250590">
        <w:rPr>
          <w:rFonts w:ascii="Arial" w:hAnsi="Arial" w:cs="Arial"/>
          <w:b/>
          <w:bCs/>
          <w:i/>
        </w:rPr>
        <w:t xml:space="preserve">a Unidad Jurídica del Instituto Catastral del Estado, PARA EL EFECTO </w:t>
      </w:r>
      <w:r w:rsidR="0097576C">
        <w:rPr>
          <w:rFonts w:ascii="Arial" w:hAnsi="Arial" w:cs="Arial"/>
          <w:bCs/>
          <w:i/>
        </w:rPr>
        <w:t>precisado en</w:t>
      </w:r>
      <w:r w:rsidR="00250590">
        <w:rPr>
          <w:rFonts w:ascii="Arial" w:hAnsi="Arial" w:cs="Arial"/>
          <w:bCs/>
          <w:i/>
        </w:rPr>
        <w:t xml:space="preserve"> los incisos </w:t>
      </w:r>
      <w:r w:rsidR="00250590">
        <w:rPr>
          <w:rFonts w:ascii="Arial" w:hAnsi="Arial" w:cs="Arial"/>
          <w:b/>
          <w:bCs/>
          <w:i/>
        </w:rPr>
        <w:t xml:space="preserve">a) y b), </w:t>
      </w:r>
      <w:r w:rsidR="00250590">
        <w:rPr>
          <w:rFonts w:ascii="Arial" w:hAnsi="Arial" w:cs="Arial"/>
          <w:bCs/>
          <w:i/>
        </w:rPr>
        <w:t xml:space="preserve">como quedó precisado en el considerando </w:t>
      </w:r>
      <w:r w:rsidR="00250590">
        <w:rPr>
          <w:rFonts w:ascii="Arial" w:hAnsi="Arial" w:cs="Arial"/>
          <w:b/>
          <w:bCs/>
          <w:i/>
        </w:rPr>
        <w:t xml:space="preserve">sexto </w:t>
      </w:r>
      <w:r w:rsidR="00250590">
        <w:rPr>
          <w:rFonts w:ascii="Arial" w:hAnsi="Arial" w:cs="Arial"/>
          <w:bCs/>
          <w:i/>
        </w:rPr>
        <w:t xml:space="preserve">de esta sentencia. </w:t>
      </w:r>
    </w:p>
    <w:p w14:paraId="5E57DAC6" w14:textId="16318C63" w:rsidR="0045447A" w:rsidRPr="0045447A" w:rsidRDefault="00250590" w:rsidP="00B50E95">
      <w:pPr>
        <w:spacing w:after="0"/>
        <w:ind w:left="567" w:right="616" w:firstLine="567"/>
        <w:jc w:val="both"/>
        <w:rPr>
          <w:rFonts w:ascii="Arial" w:hAnsi="Arial" w:cs="Arial"/>
          <w:i/>
        </w:rPr>
      </w:pPr>
      <w:r>
        <w:rPr>
          <w:rFonts w:ascii="Arial" w:hAnsi="Arial" w:cs="Arial"/>
          <w:b/>
          <w:i/>
        </w:rPr>
        <w:t xml:space="preserve">QUINTO. NOTIFÍQUESE POR ÚNICA OCASIÓN EN FORMA PERSONAL A LA PARTE ACTORA Y MEDIANTE OFICIO A LA AUTORIDAD DEMANDADA </w:t>
      </w:r>
      <w:r>
        <w:rPr>
          <w:rFonts w:ascii="Arial" w:hAnsi="Arial" w:cs="Arial"/>
          <w:i/>
        </w:rPr>
        <w:t xml:space="preserve">y se reitera lo señalado por auto de diez de septiembre de dos mil veinte, en el sentido de que en caso de no señalar una dirección </w:t>
      </w:r>
      <w:r w:rsidR="0045447A">
        <w:rPr>
          <w:rFonts w:ascii="Arial" w:hAnsi="Arial" w:cs="Arial"/>
          <w:i/>
        </w:rPr>
        <w:t>de correo electrónico para su notificación, las subsecuentes notificaciones se realizarán por lista que se fije en los estrados de este Tribunal, con fundamento en los artículos 50</w:t>
      </w:r>
      <w:r w:rsidR="0097576C">
        <w:rPr>
          <w:rFonts w:ascii="Arial" w:hAnsi="Arial" w:cs="Arial"/>
          <w:i/>
        </w:rPr>
        <w:t xml:space="preserve"> </w:t>
      </w:r>
      <w:r w:rsidR="0045447A">
        <w:rPr>
          <w:rFonts w:ascii="Arial" w:hAnsi="Arial" w:cs="Arial"/>
          <w:i/>
        </w:rPr>
        <w:t xml:space="preserve">y 57 del Acuerdo General </w:t>
      </w:r>
      <w:r w:rsidR="0045447A">
        <w:rPr>
          <w:rFonts w:ascii="Arial" w:hAnsi="Arial" w:cs="Arial"/>
          <w:b/>
          <w:i/>
        </w:rPr>
        <w:t xml:space="preserve">AG/TJAO/12/2020 </w:t>
      </w:r>
      <w:r w:rsidR="0045447A">
        <w:rPr>
          <w:rFonts w:ascii="Arial" w:hAnsi="Arial" w:cs="Arial"/>
          <w:i/>
        </w:rPr>
        <w:t xml:space="preserve">del Pleno del Tribunal de Justicia Administrativa del Estado y los diversos 172 fracción I, 173 fracciones I y II, de la Ley de Procedimiento y Justicia Administrativa para el Estado de Oaxaca. </w:t>
      </w:r>
    </w:p>
    <w:p w14:paraId="2BE0A318" w14:textId="4C70A399" w:rsidR="00EC6E18" w:rsidRDefault="00294EF0" w:rsidP="00B50E95">
      <w:pPr>
        <w:spacing w:after="0"/>
        <w:ind w:left="567" w:right="616" w:firstLine="567"/>
        <w:jc w:val="both"/>
        <w:rPr>
          <w:rFonts w:ascii="Arial" w:hAnsi="Arial" w:cs="Arial"/>
          <w:bCs/>
          <w:i/>
        </w:rPr>
      </w:pPr>
      <w:r>
        <w:rPr>
          <w:rFonts w:ascii="Arial" w:hAnsi="Arial" w:cs="Arial"/>
          <w:i/>
        </w:rPr>
        <w:t xml:space="preserve">Así lo resolvió y firma el Maestro en Derecho Pedro Carlos Zamora Martínez, Magistrado Titular de la Cuarta Sala Unitaria de Primera Instancia del Tribunal de Justicia Administrativa del Estado, quien actúa legalmente con la licenciada </w:t>
      </w:r>
      <w:r w:rsidR="003A3F6A">
        <w:rPr>
          <w:rFonts w:ascii="Arial" w:hAnsi="Arial" w:cs="Arial"/>
          <w:i/>
        </w:rPr>
        <w:t>Monserrat García Altamirano, Secretaria de Acuerdos de est</w:t>
      </w:r>
      <w:r w:rsidR="00E93C09">
        <w:rPr>
          <w:rFonts w:ascii="Arial" w:hAnsi="Arial" w:cs="Arial"/>
          <w:i/>
        </w:rPr>
        <w:t>a Sala, quien autoriza y da fe.</w:t>
      </w:r>
      <w:r w:rsidR="007D3011">
        <w:rPr>
          <w:rFonts w:ascii="Arial" w:hAnsi="Arial" w:cs="Arial"/>
          <w:bCs/>
          <w:i/>
        </w:rPr>
        <w:t>”</w:t>
      </w:r>
    </w:p>
    <w:p w14:paraId="683343DF" w14:textId="77777777" w:rsidR="007D3011" w:rsidRPr="00EC6E18" w:rsidRDefault="007D3011" w:rsidP="00B50E95">
      <w:pPr>
        <w:spacing w:after="0"/>
        <w:ind w:left="567" w:right="616" w:firstLine="567"/>
        <w:jc w:val="both"/>
        <w:rPr>
          <w:rFonts w:ascii="Arial" w:hAnsi="Arial" w:cs="Arial"/>
          <w:bCs/>
          <w:i/>
        </w:rPr>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0C7F62B5" w:rsidR="003B6CF0" w:rsidRPr="00B50E95" w:rsidRDefault="003B6CF0" w:rsidP="007F0559">
      <w:pPr>
        <w:spacing w:before="240" w:line="360" w:lineRule="auto"/>
        <w:ind w:firstLine="708"/>
        <w:jc w:val="both"/>
        <w:rPr>
          <w:rFonts w:ascii="Arial" w:hAnsi="Arial" w:cs="Arial"/>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w:t>
      </w:r>
      <w:r w:rsidR="00F05BA1">
        <w:rPr>
          <w:rFonts w:ascii="Arial" w:hAnsi="Arial" w:cs="Arial"/>
          <w:bCs/>
          <w:iCs/>
          <w:sz w:val="26"/>
          <w:szCs w:val="26"/>
        </w:rPr>
        <w:t xml:space="preserve"> de</w:t>
      </w:r>
      <w:r w:rsidR="00682C5E">
        <w:rPr>
          <w:rFonts w:ascii="Arial" w:hAnsi="Arial" w:cs="Arial"/>
          <w:bCs/>
          <w:iCs/>
          <w:sz w:val="26"/>
          <w:szCs w:val="26"/>
        </w:rPr>
        <w:t xml:space="preserve"> la sentencia de</w:t>
      </w:r>
      <w:r w:rsidR="0045447A">
        <w:rPr>
          <w:rFonts w:ascii="Arial" w:hAnsi="Arial" w:cs="Arial"/>
          <w:sz w:val="26"/>
          <w:szCs w:val="26"/>
        </w:rPr>
        <w:t xml:space="preserve"> trece</w:t>
      </w:r>
      <w:r w:rsidR="005018E3">
        <w:rPr>
          <w:rFonts w:ascii="Arial" w:hAnsi="Arial" w:cs="Arial"/>
          <w:sz w:val="26"/>
          <w:szCs w:val="26"/>
        </w:rPr>
        <w:t xml:space="preserve"> de </w:t>
      </w:r>
      <w:r w:rsidR="007407E0">
        <w:rPr>
          <w:rFonts w:ascii="Arial" w:hAnsi="Arial" w:cs="Arial"/>
          <w:sz w:val="26"/>
          <w:szCs w:val="26"/>
        </w:rPr>
        <w:t>noviembre</w:t>
      </w:r>
      <w:r w:rsidR="00682C5E">
        <w:rPr>
          <w:rFonts w:ascii="Arial" w:hAnsi="Arial" w:cs="Arial"/>
          <w:sz w:val="26"/>
          <w:szCs w:val="26"/>
        </w:rPr>
        <w:t xml:space="preserve"> de dos mil veint</w:t>
      </w:r>
      <w:r w:rsidR="007407E0">
        <w:rPr>
          <w:rFonts w:ascii="Arial" w:hAnsi="Arial" w:cs="Arial"/>
          <w:sz w:val="26"/>
          <w:szCs w:val="26"/>
        </w:rPr>
        <w:t>e</w:t>
      </w:r>
      <w:r w:rsidR="00682C5E">
        <w:rPr>
          <w:rFonts w:ascii="Arial" w:hAnsi="Arial" w:cs="Arial"/>
          <w:sz w:val="26"/>
          <w:szCs w:val="26"/>
        </w:rPr>
        <w:t>,</w:t>
      </w:r>
      <w:r w:rsidR="00175489">
        <w:rPr>
          <w:rFonts w:ascii="Arial" w:hAnsi="Arial" w:cs="Arial"/>
          <w:sz w:val="26"/>
          <w:szCs w:val="26"/>
        </w:rPr>
        <w:t xml:space="preserve"> </w:t>
      </w:r>
      <w:r w:rsidR="00F05BA1">
        <w:rPr>
          <w:rFonts w:ascii="Arial" w:hAnsi="Arial" w:cs="Arial"/>
          <w:sz w:val="26"/>
          <w:szCs w:val="26"/>
        </w:rPr>
        <w:t>dictad</w:t>
      </w:r>
      <w:r w:rsidR="00371C09">
        <w:rPr>
          <w:rFonts w:ascii="Arial" w:hAnsi="Arial" w:cs="Arial"/>
          <w:sz w:val="26"/>
          <w:szCs w:val="26"/>
        </w:rPr>
        <w:t>a</w:t>
      </w:r>
      <w:r w:rsidR="00F05BA1">
        <w:rPr>
          <w:rFonts w:ascii="Arial" w:hAnsi="Arial" w:cs="Arial"/>
          <w:sz w:val="26"/>
          <w:szCs w:val="26"/>
        </w:rPr>
        <w:t xml:space="preserve"> por la </w:t>
      </w:r>
      <w:r w:rsidR="00544873">
        <w:rPr>
          <w:rFonts w:ascii="Arial" w:hAnsi="Arial" w:cs="Arial"/>
          <w:sz w:val="26"/>
          <w:szCs w:val="26"/>
        </w:rPr>
        <w:t>Cuarta</w:t>
      </w:r>
      <w:r w:rsidR="00F05BA1">
        <w:rPr>
          <w:rFonts w:ascii="Arial" w:hAnsi="Arial" w:cs="Arial"/>
          <w:sz w:val="26"/>
          <w:szCs w:val="26"/>
        </w:rPr>
        <w:t xml:space="preserve"> Sala</w:t>
      </w:r>
      <w:r w:rsidR="00175489">
        <w:rPr>
          <w:rFonts w:ascii="Arial" w:hAnsi="Arial" w:cs="Arial"/>
          <w:sz w:val="26"/>
          <w:szCs w:val="26"/>
        </w:rPr>
        <w:t xml:space="preserve"> Unitaria</w:t>
      </w:r>
      <w:r w:rsidR="00F05BA1">
        <w:rPr>
          <w:rFonts w:ascii="Arial" w:hAnsi="Arial" w:cs="Arial"/>
          <w:sz w:val="26"/>
          <w:szCs w:val="26"/>
        </w:rPr>
        <w:t xml:space="preserve">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juicio de nulidad </w:t>
      </w:r>
      <w:r w:rsidRPr="00AE78C3">
        <w:rPr>
          <w:rFonts w:ascii="Arial" w:hAnsi="Arial" w:cs="Arial"/>
          <w:b/>
          <w:bCs/>
          <w:iCs/>
          <w:sz w:val="26"/>
          <w:szCs w:val="26"/>
        </w:rPr>
        <w:t>0</w:t>
      </w:r>
      <w:r w:rsidR="0045447A">
        <w:rPr>
          <w:rFonts w:ascii="Arial" w:hAnsi="Arial" w:cs="Arial"/>
          <w:b/>
          <w:bCs/>
          <w:iCs/>
          <w:sz w:val="26"/>
          <w:szCs w:val="26"/>
        </w:rPr>
        <w:t>132</w:t>
      </w:r>
      <w:r w:rsidRPr="00AE78C3">
        <w:rPr>
          <w:rFonts w:ascii="Arial" w:hAnsi="Arial" w:cs="Arial"/>
          <w:b/>
          <w:bCs/>
          <w:iCs/>
          <w:sz w:val="26"/>
          <w:szCs w:val="26"/>
        </w:rPr>
        <w:t>/20</w:t>
      </w:r>
      <w:r w:rsidR="00371C09">
        <w:rPr>
          <w:rFonts w:ascii="Arial" w:hAnsi="Arial" w:cs="Arial"/>
          <w:b/>
          <w:bCs/>
          <w:iCs/>
          <w:sz w:val="26"/>
          <w:szCs w:val="26"/>
        </w:rPr>
        <w:t>1</w:t>
      </w:r>
      <w:r w:rsidR="007407E0">
        <w:rPr>
          <w:rFonts w:ascii="Arial" w:hAnsi="Arial" w:cs="Arial"/>
          <w:b/>
          <w:bCs/>
          <w:iCs/>
          <w:sz w:val="26"/>
          <w:szCs w:val="26"/>
        </w:rPr>
        <w:t>9</w:t>
      </w:r>
      <w:r w:rsidRPr="00AE78C3">
        <w:rPr>
          <w:rFonts w:ascii="Arial" w:hAnsi="Arial" w:cs="Arial"/>
          <w:b/>
          <w:bCs/>
          <w:iCs/>
          <w:sz w:val="26"/>
          <w:szCs w:val="26"/>
        </w:rPr>
        <w:t>.</w:t>
      </w:r>
      <w:r w:rsidR="00B50E95">
        <w:rPr>
          <w:rFonts w:ascii="Arial" w:hAnsi="Arial" w:cs="Arial"/>
          <w:b/>
          <w:bCs/>
          <w:iCs/>
          <w:sz w:val="26"/>
          <w:szCs w:val="26"/>
        </w:rPr>
        <w:t xml:space="preserve"> </w:t>
      </w:r>
      <w:r w:rsidR="00B50E95" w:rsidRPr="00B50E95">
        <w:rPr>
          <w:rFonts w:ascii="Arial" w:hAnsi="Arial" w:cs="Arial"/>
          <w:iCs/>
          <w:sz w:val="26"/>
          <w:szCs w:val="26"/>
        </w:rPr>
        <w:t>- -</w:t>
      </w:r>
    </w:p>
    <w:p w14:paraId="7002ECA4" w14:textId="77777777" w:rsidR="004D3FFB" w:rsidRPr="00011CEC" w:rsidRDefault="004D3FFB" w:rsidP="004D3FFB">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3B3D30B0" w14:textId="77777777" w:rsidR="004D3FFB" w:rsidRPr="00011CEC" w:rsidRDefault="004D3FFB" w:rsidP="00B50E95">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w:t>
      </w:r>
      <w:r w:rsidRPr="00011CEC">
        <w:rPr>
          <w:rFonts w:ascii="Arial" w:eastAsia="Times New Roman" w:hAnsi="Arial" w:cs="Arial"/>
          <w:b/>
          <w:bCs/>
          <w:i/>
          <w:iCs/>
        </w:rPr>
        <w:lastRenderedPageBreak/>
        <w:t xml:space="preserve">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58A790B" w14:textId="71127F88" w:rsidR="00B02629" w:rsidRDefault="004D3FFB" w:rsidP="0097576C">
      <w:pPr>
        <w:spacing w:before="240" w:line="360" w:lineRule="auto"/>
        <w:ind w:firstLine="708"/>
        <w:jc w:val="both"/>
        <w:rPr>
          <w:rFonts w:ascii="Arial" w:eastAsia="Calibri" w:hAnsi="Arial" w:cs="Arial"/>
          <w:sz w:val="26"/>
          <w:szCs w:val="26"/>
        </w:rPr>
      </w:pPr>
      <w:r>
        <w:rPr>
          <w:rFonts w:ascii="Arial" w:eastAsia="Calibri" w:hAnsi="Arial" w:cs="Arial"/>
          <w:b/>
          <w:bCs/>
          <w:sz w:val="26"/>
          <w:szCs w:val="26"/>
        </w:rPr>
        <w:t xml:space="preserve"> </w:t>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Pr>
          <w:rFonts w:ascii="Arial" w:eastAsia="Calibri" w:hAnsi="Arial" w:cs="Arial"/>
          <w:sz w:val="26"/>
          <w:szCs w:val="26"/>
        </w:rPr>
        <w:t xml:space="preserve">Señala </w:t>
      </w:r>
      <w:r w:rsidR="000F55CE">
        <w:rPr>
          <w:rFonts w:ascii="Arial" w:eastAsia="Calibri" w:hAnsi="Arial" w:cs="Arial"/>
          <w:sz w:val="26"/>
          <w:szCs w:val="26"/>
        </w:rPr>
        <w:t xml:space="preserve">el recurrente </w:t>
      </w:r>
      <w:r w:rsidR="00D81A78">
        <w:rPr>
          <w:rFonts w:ascii="Arial" w:eastAsia="Calibri" w:hAnsi="Arial" w:cs="Arial"/>
          <w:sz w:val="26"/>
          <w:szCs w:val="26"/>
        </w:rPr>
        <w:t xml:space="preserve">le causa agravio la </w:t>
      </w:r>
      <w:r w:rsidR="00FE5E6C">
        <w:rPr>
          <w:rFonts w:ascii="Arial" w:eastAsia="Calibri" w:hAnsi="Arial" w:cs="Arial"/>
          <w:sz w:val="26"/>
          <w:szCs w:val="26"/>
        </w:rPr>
        <w:t>resolución emitida</w:t>
      </w:r>
      <w:r w:rsidR="00D81A78">
        <w:rPr>
          <w:rFonts w:ascii="Arial" w:eastAsia="Calibri" w:hAnsi="Arial" w:cs="Arial"/>
          <w:sz w:val="26"/>
          <w:szCs w:val="26"/>
        </w:rPr>
        <w:t xml:space="preserve"> por la Primera Instancia</w:t>
      </w:r>
      <w:r w:rsidR="005744A0">
        <w:rPr>
          <w:rFonts w:ascii="Arial" w:eastAsia="Calibri" w:hAnsi="Arial" w:cs="Arial"/>
          <w:sz w:val="26"/>
          <w:szCs w:val="26"/>
        </w:rPr>
        <w:t>,</w:t>
      </w:r>
      <w:r w:rsidR="00D81A78">
        <w:rPr>
          <w:rFonts w:ascii="Arial" w:eastAsia="Calibri" w:hAnsi="Arial" w:cs="Arial"/>
          <w:sz w:val="26"/>
          <w:szCs w:val="26"/>
        </w:rPr>
        <w:t xml:space="preserve"> </w:t>
      </w:r>
      <w:r w:rsidR="005744A0">
        <w:rPr>
          <w:rFonts w:ascii="Arial" w:eastAsia="Calibri" w:hAnsi="Arial" w:cs="Arial"/>
          <w:sz w:val="26"/>
          <w:szCs w:val="26"/>
        </w:rPr>
        <w:t xml:space="preserve">al violar en perjuicio de la parte actora el </w:t>
      </w:r>
      <w:r w:rsidR="005744A0" w:rsidRPr="003F2B1B">
        <w:rPr>
          <w:rFonts w:ascii="Arial" w:eastAsia="Calibri" w:hAnsi="Arial" w:cs="Arial"/>
          <w:i/>
          <w:sz w:val="26"/>
          <w:szCs w:val="26"/>
        </w:rPr>
        <w:t>principio de congruencia</w:t>
      </w:r>
      <w:r w:rsidR="005744A0">
        <w:rPr>
          <w:rFonts w:ascii="Arial" w:eastAsia="Calibri" w:hAnsi="Arial" w:cs="Arial"/>
          <w:sz w:val="26"/>
          <w:szCs w:val="26"/>
        </w:rPr>
        <w:t xml:space="preserve">, así como la debida fundamentación. </w:t>
      </w:r>
      <w:r w:rsidR="00B50E95">
        <w:rPr>
          <w:rFonts w:ascii="Arial" w:eastAsia="Calibri" w:hAnsi="Arial" w:cs="Arial"/>
          <w:sz w:val="26"/>
          <w:szCs w:val="26"/>
        </w:rPr>
        <w:t>- - - - -</w:t>
      </w:r>
    </w:p>
    <w:p w14:paraId="20F226C8" w14:textId="6027925F" w:rsidR="00CA5BB8" w:rsidRDefault="005744A0" w:rsidP="005744A0">
      <w:pPr>
        <w:spacing w:before="240" w:line="360" w:lineRule="auto"/>
        <w:jc w:val="both"/>
        <w:rPr>
          <w:rFonts w:ascii="Arial" w:eastAsia="Calibri" w:hAnsi="Arial" w:cs="Arial"/>
          <w:sz w:val="26"/>
          <w:szCs w:val="26"/>
        </w:rPr>
      </w:pPr>
      <w:r>
        <w:rPr>
          <w:rFonts w:ascii="Arial" w:eastAsia="Calibri" w:hAnsi="Arial" w:cs="Arial"/>
          <w:sz w:val="26"/>
          <w:szCs w:val="26"/>
        </w:rPr>
        <w:tab/>
        <w:t xml:space="preserve">Refiere que </w:t>
      </w:r>
      <w:r w:rsidR="00852D1E">
        <w:rPr>
          <w:rFonts w:ascii="Arial" w:eastAsia="Calibri" w:hAnsi="Arial" w:cs="Arial"/>
          <w:sz w:val="26"/>
          <w:szCs w:val="26"/>
        </w:rPr>
        <w:t xml:space="preserve">la Primera Instancia si bien señala de manera correcta que se debe explicar a los administrados en que consiste el tramite catastral de rectificación de registro por corrección de medidas, así como los requisitos que debe de cumplir para su procedencia y en específico las características que deben de reunir los documentos señalados en las fracciones II y VII del artículo 49 del Reglamento de la Ley de Catastro del Estado, sin embargo alega que la Sala Unitaria de manera indebida al final de su fallo consignó </w:t>
      </w:r>
      <w:r w:rsidR="00CA5BB8">
        <w:rPr>
          <w:rFonts w:ascii="Arial" w:eastAsia="Calibri" w:hAnsi="Arial" w:cs="Arial"/>
          <w:sz w:val="26"/>
          <w:szCs w:val="26"/>
        </w:rPr>
        <w:t xml:space="preserve">que se declaraba la nulidad del acto impugnado para que la autoridad demandada a través de una simple operación aritmética determine si la diferencia en la superficie es menor al 20% registrada catastralmente y declare procedente el trámite de rectificación de registro, pero si la diferencia es mayor a ese 20% deberá declarar improcedente el trámite solicitado. </w:t>
      </w:r>
      <w:r w:rsidR="00B50E95">
        <w:rPr>
          <w:rFonts w:ascii="Arial" w:eastAsia="Calibri" w:hAnsi="Arial" w:cs="Arial"/>
          <w:sz w:val="26"/>
          <w:szCs w:val="26"/>
        </w:rPr>
        <w:t xml:space="preserve">- - - - - - - - - - - - - - - - - - - - - </w:t>
      </w:r>
    </w:p>
    <w:p w14:paraId="5D2C5D9E" w14:textId="6134EF16" w:rsidR="00CA5BB8" w:rsidRDefault="00CA5BB8" w:rsidP="005744A0">
      <w:pPr>
        <w:spacing w:before="240" w:line="360" w:lineRule="auto"/>
        <w:jc w:val="both"/>
        <w:rPr>
          <w:rFonts w:ascii="Arial" w:eastAsia="Calibri" w:hAnsi="Arial" w:cs="Arial"/>
          <w:sz w:val="26"/>
          <w:szCs w:val="26"/>
        </w:rPr>
      </w:pPr>
      <w:r>
        <w:rPr>
          <w:rFonts w:ascii="Arial" w:eastAsia="Calibri" w:hAnsi="Arial" w:cs="Arial"/>
          <w:sz w:val="26"/>
          <w:szCs w:val="26"/>
        </w:rPr>
        <w:tab/>
        <w:t xml:space="preserve">Manifiesta que tal conclusión es incongruente, porque dentro de los requisitos para el trámite de rectificación de registro por corrección de medidas como lo establece el artículo 49 del Reglamento de la Ley de Catastro del Estado de Oaxaca, no se menciona límites para corregir y no señala un 20%, 30% </w:t>
      </w:r>
      <w:proofErr w:type="spellStart"/>
      <w:r>
        <w:rPr>
          <w:rFonts w:ascii="Arial" w:eastAsia="Calibri" w:hAnsi="Arial" w:cs="Arial"/>
          <w:sz w:val="26"/>
          <w:szCs w:val="26"/>
        </w:rPr>
        <w:t>ó</w:t>
      </w:r>
      <w:proofErr w:type="spellEnd"/>
      <w:r>
        <w:rPr>
          <w:rFonts w:ascii="Arial" w:eastAsia="Calibri" w:hAnsi="Arial" w:cs="Arial"/>
          <w:sz w:val="26"/>
          <w:szCs w:val="26"/>
        </w:rPr>
        <w:t xml:space="preserve"> un 50</w:t>
      </w:r>
      <w:r w:rsidR="00B50E95">
        <w:rPr>
          <w:rFonts w:ascii="Arial" w:eastAsia="Calibri" w:hAnsi="Arial" w:cs="Arial"/>
          <w:sz w:val="26"/>
          <w:szCs w:val="26"/>
        </w:rPr>
        <w:t>%. - - - - - - - - - - - - - - - - - - - - - - - - - -</w:t>
      </w:r>
    </w:p>
    <w:p w14:paraId="2348677D" w14:textId="2451C677" w:rsidR="00CA5BB8" w:rsidRDefault="00CA5BB8" w:rsidP="005744A0">
      <w:pPr>
        <w:spacing w:before="240" w:line="360" w:lineRule="auto"/>
        <w:jc w:val="both"/>
        <w:rPr>
          <w:rFonts w:ascii="Arial" w:eastAsia="Calibri" w:hAnsi="Arial" w:cs="Arial"/>
          <w:sz w:val="26"/>
          <w:szCs w:val="26"/>
        </w:rPr>
      </w:pPr>
      <w:r>
        <w:rPr>
          <w:rFonts w:ascii="Arial" w:eastAsia="Calibri" w:hAnsi="Arial" w:cs="Arial"/>
          <w:sz w:val="26"/>
          <w:szCs w:val="26"/>
        </w:rPr>
        <w:tab/>
        <w:t>Argumenta que la Sala Unitaria determinó que se debía explicar adecuadamente el trámite de rectificación de registro por corrección de medidas, al amparo del art</w:t>
      </w:r>
      <w:r w:rsidR="00C14214">
        <w:rPr>
          <w:rFonts w:ascii="Arial" w:eastAsia="Calibri" w:hAnsi="Arial" w:cs="Arial"/>
          <w:sz w:val="26"/>
          <w:szCs w:val="26"/>
        </w:rPr>
        <w:t>ículo 49 ante</w:t>
      </w:r>
      <w:r w:rsidR="00FE5E6C">
        <w:rPr>
          <w:rFonts w:ascii="Arial" w:eastAsia="Calibri" w:hAnsi="Arial" w:cs="Arial"/>
          <w:sz w:val="26"/>
          <w:szCs w:val="26"/>
        </w:rPr>
        <w:t xml:space="preserve">s mencionado, fundando y </w:t>
      </w:r>
      <w:r w:rsidR="00FE5E6C">
        <w:rPr>
          <w:rFonts w:ascii="Arial" w:eastAsia="Calibri" w:hAnsi="Arial" w:cs="Arial"/>
          <w:sz w:val="26"/>
          <w:szCs w:val="26"/>
        </w:rPr>
        <w:lastRenderedPageBreak/>
        <w:t>motivan</w:t>
      </w:r>
      <w:r w:rsidR="00C14214">
        <w:rPr>
          <w:rFonts w:ascii="Arial" w:eastAsia="Calibri" w:hAnsi="Arial" w:cs="Arial"/>
          <w:sz w:val="26"/>
          <w:szCs w:val="26"/>
        </w:rPr>
        <w:t>do el fallo adoptado, pero resulta que la Pri</w:t>
      </w:r>
      <w:r w:rsidR="002D775F">
        <w:rPr>
          <w:rFonts w:ascii="Arial" w:eastAsia="Calibri" w:hAnsi="Arial" w:cs="Arial"/>
          <w:sz w:val="26"/>
          <w:szCs w:val="26"/>
        </w:rPr>
        <w:t xml:space="preserve">mera Instancia al final sin explicación alguna violó abiertamente el precepto acabado de citar, porque obliga a la autoridad demandada a realizar una operación aritmética que no regula ni se establece como requisito para la procedencia de un trámite de rectificación de registro, además sin fundar y motivar esa determinación, </w:t>
      </w:r>
      <w:r w:rsidR="008A5486">
        <w:rPr>
          <w:rFonts w:ascii="Arial" w:eastAsia="Calibri" w:hAnsi="Arial" w:cs="Arial"/>
          <w:sz w:val="26"/>
          <w:szCs w:val="26"/>
        </w:rPr>
        <w:t>fac</w:t>
      </w:r>
      <w:r w:rsidR="00FE5E6C">
        <w:rPr>
          <w:rFonts w:ascii="Arial" w:eastAsia="Calibri" w:hAnsi="Arial" w:cs="Arial"/>
          <w:sz w:val="26"/>
          <w:szCs w:val="26"/>
        </w:rPr>
        <w:t xml:space="preserve">ulta a la demandada a declarar </w:t>
      </w:r>
      <w:r w:rsidR="008A5486">
        <w:rPr>
          <w:rFonts w:ascii="Arial" w:eastAsia="Calibri" w:hAnsi="Arial" w:cs="Arial"/>
          <w:sz w:val="26"/>
          <w:szCs w:val="26"/>
        </w:rPr>
        <w:t xml:space="preserve"> improcedente el tramite hecho valer en atención a un requisito no establecido en el propio precepto 49 del Reglamento de la Ley de Catastro del Estado de Oaxaca, el cual previamente la Sala Unitaria había señalado como el dispositivo legal que tiene aplicación al caso concreto. </w:t>
      </w:r>
      <w:r w:rsidR="00B50E95">
        <w:rPr>
          <w:rFonts w:ascii="Arial" w:eastAsia="Calibri" w:hAnsi="Arial" w:cs="Arial"/>
          <w:sz w:val="26"/>
          <w:szCs w:val="26"/>
        </w:rPr>
        <w:t xml:space="preserve">- - - - - - - - - - - - - - - - - - - - - - - - - - - - - - - - - - - - - - - - - - - - - </w:t>
      </w:r>
    </w:p>
    <w:p w14:paraId="083F4987" w14:textId="6EBC1995" w:rsidR="005744A0" w:rsidRPr="00B50E95" w:rsidRDefault="003F2B1B" w:rsidP="00B50E95">
      <w:pPr>
        <w:spacing w:before="240" w:line="360" w:lineRule="auto"/>
        <w:jc w:val="both"/>
        <w:rPr>
          <w:rFonts w:ascii="Arial" w:eastAsia="Calibri" w:hAnsi="Arial" w:cs="Arial"/>
          <w:sz w:val="26"/>
          <w:szCs w:val="26"/>
        </w:rPr>
      </w:pPr>
      <w:r>
        <w:rPr>
          <w:rFonts w:ascii="Arial" w:eastAsia="Calibri" w:hAnsi="Arial" w:cs="Arial"/>
          <w:sz w:val="26"/>
          <w:szCs w:val="26"/>
        </w:rPr>
        <w:t xml:space="preserve">Esta Sala Superior estima que el agravio expresado por el inconforme deviene </w:t>
      </w:r>
      <w:r w:rsidRPr="003F2B1B">
        <w:rPr>
          <w:rFonts w:ascii="Arial" w:eastAsia="Calibri" w:hAnsi="Arial" w:cs="Arial"/>
          <w:b/>
          <w:sz w:val="26"/>
          <w:szCs w:val="26"/>
        </w:rPr>
        <w:t>infundado.</w:t>
      </w:r>
      <w:r w:rsidR="00B50E95">
        <w:rPr>
          <w:rFonts w:ascii="Arial" w:eastAsia="Calibri" w:hAnsi="Arial" w:cs="Arial"/>
          <w:b/>
          <w:sz w:val="26"/>
          <w:szCs w:val="26"/>
        </w:rPr>
        <w:t xml:space="preserve"> </w:t>
      </w:r>
      <w:r w:rsidR="00B50E95">
        <w:rPr>
          <w:rFonts w:ascii="Arial" w:eastAsia="Calibri" w:hAnsi="Arial" w:cs="Arial"/>
          <w:sz w:val="26"/>
          <w:szCs w:val="26"/>
        </w:rPr>
        <w:t xml:space="preserve">- - - - - - - - - - - - - - - - - - - - - - - - - - - - - - - - - - - - - </w:t>
      </w:r>
    </w:p>
    <w:p w14:paraId="76B58A91" w14:textId="239E749D" w:rsidR="006640A5" w:rsidRDefault="003F2B1B" w:rsidP="007324C8">
      <w:pPr>
        <w:spacing w:before="240" w:line="360" w:lineRule="auto"/>
        <w:ind w:firstLine="708"/>
        <w:jc w:val="both"/>
        <w:rPr>
          <w:rFonts w:ascii="Arial" w:eastAsia="Times New Roman" w:hAnsi="Arial" w:cs="Arial"/>
          <w:bCs/>
          <w:iCs/>
          <w:sz w:val="26"/>
          <w:szCs w:val="26"/>
          <w:lang w:eastAsia="es-ES"/>
        </w:rPr>
      </w:pPr>
      <w:r>
        <w:rPr>
          <w:rFonts w:ascii="Arial" w:eastAsia="Calibri" w:hAnsi="Arial" w:cs="Arial"/>
          <w:bCs/>
          <w:sz w:val="26"/>
          <w:szCs w:val="26"/>
        </w:rPr>
        <w:t xml:space="preserve">En principio, </w:t>
      </w:r>
      <w:r w:rsidRPr="00E7429A">
        <w:rPr>
          <w:rFonts w:ascii="Arial" w:eastAsia="Calibri" w:hAnsi="Arial" w:cs="Arial"/>
          <w:bCs/>
          <w:sz w:val="26"/>
          <w:szCs w:val="26"/>
        </w:rPr>
        <w:t>es pertinente señalar que de las constancias procesales que integran el expediente de primera instancia, las que tienen pleno valor probatorio en términos del artículo 203 fracción I</w:t>
      </w:r>
      <w:r w:rsidRPr="00E7429A">
        <w:rPr>
          <w:rFonts w:ascii="Arial" w:eastAsia="Calibri" w:hAnsi="Arial" w:cs="Arial"/>
          <w:bCs/>
          <w:sz w:val="26"/>
          <w:szCs w:val="26"/>
          <w:vertAlign w:val="superscript"/>
        </w:rPr>
        <w:footnoteReference w:id="1"/>
      </w:r>
      <w:r w:rsidRPr="00E7429A">
        <w:rPr>
          <w:rFonts w:ascii="Arial" w:eastAsia="Calibri" w:hAnsi="Arial" w:cs="Arial"/>
          <w:bCs/>
          <w:sz w:val="26"/>
          <w:szCs w:val="26"/>
        </w:rPr>
        <w:t xml:space="preserve"> de la Ley de Procedimiento y Justicia Administrativa para el Estado de Oaxaca, por tratarse de actuaciones judiciales, se identifica que</w:t>
      </w:r>
      <w:r>
        <w:rPr>
          <w:rFonts w:ascii="Arial" w:eastAsia="Calibri" w:hAnsi="Arial" w:cs="Arial"/>
          <w:bCs/>
          <w:sz w:val="26"/>
          <w:szCs w:val="26"/>
        </w:rPr>
        <w:t xml:space="preserve"> </w:t>
      </w:r>
      <w:r w:rsidR="00DF0D99">
        <w:rPr>
          <w:rFonts w:ascii="Arial" w:hAnsi="Arial" w:cs="Arial"/>
          <w:b/>
          <w:sz w:val="26"/>
          <w:szCs w:val="26"/>
        </w:rPr>
        <w:t>*******</w:t>
      </w:r>
      <w:r>
        <w:rPr>
          <w:rFonts w:ascii="Arial" w:hAnsi="Arial" w:cs="Arial"/>
          <w:b/>
          <w:sz w:val="26"/>
          <w:szCs w:val="26"/>
        </w:rPr>
        <w:t xml:space="preserve">, </w:t>
      </w:r>
      <w:r w:rsidRPr="0020128B">
        <w:rPr>
          <w:rFonts w:ascii="Arial" w:hAnsi="Arial" w:cs="Arial"/>
          <w:sz w:val="26"/>
          <w:szCs w:val="26"/>
        </w:rPr>
        <w:t>con el carácter de apoderado legal de</w:t>
      </w:r>
      <w:r>
        <w:rPr>
          <w:rFonts w:ascii="Arial" w:hAnsi="Arial" w:cs="Arial"/>
          <w:sz w:val="26"/>
          <w:szCs w:val="26"/>
        </w:rPr>
        <w:t xml:space="preserve"> </w:t>
      </w:r>
      <w:r w:rsidR="00DF0D99">
        <w:rPr>
          <w:rFonts w:ascii="Arial" w:hAnsi="Arial" w:cs="Arial"/>
          <w:b/>
          <w:bCs/>
          <w:sz w:val="26"/>
          <w:szCs w:val="26"/>
        </w:rPr>
        <w:t>*******</w:t>
      </w:r>
      <w:r>
        <w:rPr>
          <w:rFonts w:ascii="Arial" w:hAnsi="Arial" w:cs="Arial"/>
          <w:b/>
          <w:bCs/>
          <w:sz w:val="26"/>
          <w:szCs w:val="26"/>
        </w:rPr>
        <w:t xml:space="preserve">, </w:t>
      </w:r>
      <w:r w:rsidRPr="00F82857">
        <w:rPr>
          <w:rFonts w:ascii="Arial" w:hAnsi="Arial" w:cs="Arial"/>
          <w:sz w:val="26"/>
          <w:szCs w:val="26"/>
        </w:rPr>
        <w:t>demand</w:t>
      </w:r>
      <w:r>
        <w:rPr>
          <w:rFonts w:ascii="Arial" w:hAnsi="Arial" w:cs="Arial"/>
          <w:sz w:val="26"/>
          <w:szCs w:val="26"/>
        </w:rPr>
        <w:t xml:space="preserve">ó la nulidad de la </w:t>
      </w:r>
      <w:r w:rsidRPr="00F82857">
        <w:rPr>
          <w:rFonts w:ascii="Arial" w:eastAsia="Times New Roman" w:hAnsi="Arial" w:cs="Arial"/>
          <w:bCs/>
          <w:iCs/>
          <w:sz w:val="26"/>
          <w:szCs w:val="26"/>
          <w:lang w:eastAsia="es-ES"/>
        </w:rPr>
        <w:t xml:space="preserve">resolución de </w:t>
      </w:r>
      <w:r w:rsidR="00F54C2C">
        <w:rPr>
          <w:rFonts w:ascii="Arial" w:eastAsia="Times New Roman" w:hAnsi="Arial" w:cs="Arial"/>
          <w:bCs/>
          <w:iCs/>
          <w:sz w:val="26"/>
          <w:szCs w:val="26"/>
          <w:lang w:eastAsia="es-ES"/>
        </w:rPr>
        <w:t xml:space="preserve">diecinueve </w:t>
      </w:r>
      <w:r w:rsidRPr="00F82857">
        <w:rPr>
          <w:rFonts w:ascii="Arial" w:eastAsia="Times New Roman" w:hAnsi="Arial" w:cs="Arial"/>
          <w:bCs/>
          <w:iCs/>
          <w:sz w:val="26"/>
          <w:szCs w:val="26"/>
          <w:lang w:eastAsia="es-ES"/>
        </w:rPr>
        <w:t xml:space="preserve">de </w:t>
      </w:r>
      <w:r w:rsidR="00F54C2C">
        <w:rPr>
          <w:rFonts w:ascii="Arial" w:eastAsia="Times New Roman" w:hAnsi="Arial" w:cs="Arial"/>
          <w:bCs/>
          <w:iCs/>
          <w:sz w:val="26"/>
          <w:szCs w:val="26"/>
          <w:lang w:eastAsia="es-ES"/>
        </w:rPr>
        <w:t>septi</w:t>
      </w:r>
      <w:r w:rsidRPr="00F82857">
        <w:rPr>
          <w:rFonts w:ascii="Arial" w:eastAsia="Times New Roman" w:hAnsi="Arial" w:cs="Arial"/>
          <w:bCs/>
          <w:iCs/>
          <w:sz w:val="26"/>
          <w:szCs w:val="26"/>
          <w:lang w:eastAsia="es-ES"/>
        </w:rPr>
        <w:t>embre de dos mil diecinueve</w:t>
      </w:r>
      <w:r w:rsidR="006640A5">
        <w:rPr>
          <w:rFonts w:ascii="Arial" w:eastAsia="Times New Roman" w:hAnsi="Arial" w:cs="Arial"/>
          <w:bCs/>
          <w:iCs/>
          <w:sz w:val="26"/>
          <w:szCs w:val="26"/>
          <w:lang w:eastAsia="es-ES"/>
        </w:rPr>
        <w:t>,</w:t>
      </w:r>
      <w:r>
        <w:rPr>
          <w:rFonts w:ascii="Arial" w:eastAsia="Times New Roman" w:hAnsi="Arial" w:cs="Arial"/>
          <w:bCs/>
          <w:iCs/>
          <w:sz w:val="26"/>
          <w:szCs w:val="26"/>
          <w:lang w:eastAsia="es-ES"/>
        </w:rPr>
        <w:t xml:space="preserve"> contenida en </w:t>
      </w:r>
      <w:r w:rsidRPr="00F82857">
        <w:rPr>
          <w:rFonts w:ascii="Arial" w:eastAsia="Times New Roman" w:hAnsi="Arial" w:cs="Arial"/>
          <w:bCs/>
          <w:iCs/>
          <w:sz w:val="26"/>
          <w:szCs w:val="26"/>
          <w:lang w:eastAsia="es-ES"/>
        </w:rPr>
        <w:t xml:space="preserve">el oficio número </w:t>
      </w:r>
      <w:r w:rsidR="00DF0D99">
        <w:rPr>
          <w:rFonts w:ascii="Arial" w:eastAsia="Times New Roman" w:hAnsi="Arial" w:cs="Arial"/>
          <w:b/>
          <w:bCs/>
          <w:iCs/>
          <w:sz w:val="26"/>
          <w:szCs w:val="26"/>
          <w:lang w:eastAsia="es-ES"/>
        </w:rPr>
        <w:t>*******</w:t>
      </w:r>
      <w:r>
        <w:rPr>
          <w:rStyle w:val="Refdenotaalpie"/>
          <w:rFonts w:ascii="Arial" w:eastAsia="Times New Roman" w:hAnsi="Arial" w:cs="Arial"/>
          <w:b/>
          <w:bCs/>
          <w:iCs/>
          <w:sz w:val="26"/>
          <w:szCs w:val="26"/>
          <w:lang w:eastAsia="es-ES"/>
        </w:rPr>
        <w:footnoteReference w:id="2"/>
      </w:r>
      <w:r w:rsidRPr="00F82857">
        <w:rPr>
          <w:rFonts w:ascii="Arial" w:eastAsia="Times New Roman" w:hAnsi="Arial" w:cs="Arial"/>
          <w:bCs/>
          <w:iCs/>
          <w:sz w:val="26"/>
          <w:szCs w:val="26"/>
          <w:lang w:eastAsia="es-ES"/>
        </w:rPr>
        <w:t xml:space="preserve"> dictada </w:t>
      </w:r>
      <w:r w:rsidR="006640A5">
        <w:rPr>
          <w:rFonts w:ascii="Arial" w:eastAsia="Times New Roman" w:hAnsi="Arial" w:cs="Arial"/>
          <w:bCs/>
          <w:iCs/>
          <w:sz w:val="26"/>
          <w:szCs w:val="26"/>
          <w:lang w:eastAsia="es-ES"/>
        </w:rPr>
        <w:t xml:space="preserve">en el recurso de revisión número </w:t>
      </w:r>
      <w:r w:rsidR="006640A5" w:rsidRPr="00931535">
        <w:rPr>
          <w:rFonts w:ascii="Arial" w:eastAsia="Times New Roman" w:hAnsi="Arial" w:cs="Arial"/>
          <w:b/>
          <w:bCs/>
          <w:iCs/>
          <w:sz w:val="26"/>
          <w:szCs w:val="26"/>
          <w:lang w:eastAsia="es-ES"/>
        </w:rPr>
        <w:t>030/2019</w:t>
      </w:r>
      <w:r w:rsidR="006640A5">
        <w:rPr>
          <w:rFonts w:ascii="Arial" w:eastAsia="Times New Roman" w:hAnsi="Arial" w:cs="Arial"/>
          <w:bCs/>
          <w:iCs/>
          <w:sz w:val="26"/>
          <w:szCs w:val="26"/>
          <w:lang w:eastAsia="es-ES"/>
        </w:rPr>
        <w:t xml:space="preserve">, </w:t>
      </w:r>
      <w:r w:rsidRPr="00F82857">
        <w:rPr>
          <w:rFonts w:ascii="Arial" w:eastAsia="Times New Roman" w:hAnsi="Arial" w:cs="Arial"/>
          <w:bCs/>
          <w:iCs/>
          <w:sz w:val="26"/>
          <w:szCs w:val="26"/>
          <w:lang w:eastAsia="es-ES"/>
        </w:rPr>
        <w:t>por el Jefe de la Unidad Jurídica del Instituto Catastral del Estado</w:t>
      </w:r>
      <w:r>
        <w:rPr>
          <w:rFonts w:ascii="Arial" w:eastAsia="Times New Roman" w:hAnsi="Arial" w:cs="Arial"/>
          <w:bCs/>
          <w:iCs/>
          <w:sz w:val="26"/>
          <w:szCs w:val="26"/>
          <w:lang w:eastAsia="es-ES"/>
        </w:rPr>
        <w:t xml:space="preserve"> de Oaxaca,</w:t>
      </w:r>
      <w:r w:rsidR="006640A5">
        <w:rPr>
          <w:rFonts w:ascii="Arial" w:eastAsia="Times New Roman" w:hAnsi="Arial" w:cs="Arial"/>
          <w:bCs/>
          <w:iCs/>
          <w:sz w:val="26"/>
          <w:szCs w:val="26"/>
          <w:lang w:eastAsia="es-ES"/>
        </w:rPr>
        <w:t xml:space="preserve"> a trav</w:t>
      </w:r>
      <w:r w:rsidR="007324C8">
        <w:rPr>
          <w:rFonts w:ascii="Arial" w:eastAsia="Times New Roman" w:hAnsi="Arial" w:cs="Arial"/>
          <w:bCs/>
          <w:iCs/>
          <w:sz w:val="26"/>
          <w:szCs w:val="26"/>
          <w:lang w:eastAsia="es-ES"/>
        </w:rPr>
        <w:t xml:space="preserve">és de la cual se declaró </w:t>
      </w:r>
      <w:r w:rsidR="007324C8" w:rsidRPr="00931535">
        <w:rPr>
          <w:rFonts w:ascii="Arial" w:eastAsia="Times New Roman" w:hAnsi="Arial" w:cs="Arial"/>
          <w:bCs/>
          <w:i/>
          <w:iCs/>
          <w:sz w:val="26"/>
          <w:szCs w:val="26"/>
          <w:lang w:eastAsia="es-ES"/>
        </w:rPr>
        <w:t xml:space="preserve">“la improcedencia del </w:t>
      </w:r>
      <w:r w:rsidR="006640A5" w:rsidRPr="00931535">
        <w:rPr>
          <w:rFonts w:ascii="Arial" w:eastAsia="Times New Roman" w:hAnsi="Arial" w:cs="Arial"/>
          <w:bCs/>
          <w:i/>
          <w:iCs/>
          <w:sz w:val="26"/>
          <w:szCs w:val="26"/>
          <w:lang w:eastAsia="es-ES"/>
        </w:rPr>
        <w:t>tr</w:t>
      </w:r>
      <w:r w:rsidR="007324C8" w:rsidRPr="00931535">
        <w:rPr>
          <w:rFonts w:ascii="Arial" w:eastAsia="Times New Roman" w:hAnsi="Arial" w:cs="Arial"/>
          <w:bCs/>
          <w:i/>
          <w:iCs/>
          <w:sz w:val="26"/>
          <w:szCs w:val="26"/>
          <w:lang w:eastAsia="es-ES"/>
        </w:rPr>
        <w:t>ámite catastral</w:t>
      </w:r>
      <w:r w:rsidR="006640A5" w:rsidRPr="00931535">
        <w:rPr>
          <w:rFonts w:ascii="Arial" w:eastAsia="Times New Roman" w:hAnsi="Arial" w:cs="Arial"/>
          <w:bCs/>
          <w:i/>
          <w:iCs/>
          <w:sz w:val="26"/>
          <w:szCs w:val="26"/>
          <w:lang w:eastAsia="es-ES"/>
        </w:rPr>
        <w:t xml:space="preserve"> de rectificaci</w:t>
      </w:r>
      <w:r w:rsidR="007324C8" w:rsidRPr="00931535">
        <w:rPr>
          <w:rFonts w:ascii="Arial" w:eastAsia="Times New Roman" w:hAnsi="Arial" w:cs="Arial"/>
          <w:bCs/>
          <w:i/>
          <w:iCs/>
          <w:sz w:val="26"/>
          <w:szCs w:val="26"/>
          <w:lang w:eastAsia="es-ES"/>
        </w:rPr>
        <w:t>ón de registro por corrección</w:t>
      </w:r>
      <w:r w:rsidR="006640A5" w:rsidRPr="00931535">
        <w:rPr>
          <w:rFonts w:ascii="Arial" w:eastAsia="Times New Roman" w:hAnsi="Arial" w:cs="Arial"/>
          <w:bCs/>
          <w:i/>
          <w:iCs/>
          <w:sz w:val="26"/>
          <w:szCs w:val="26"/>
          <w:lang w:eastAsia="es-ES"/>
        </w:rPr>
        <w:t xml:space="preserve"> de medidas</w:t>
      </w:r>
      <w:r w:rsidR="007324C8" w:rsidRPr="00931535">
        <w:rPr>
          <w:rFonts w:ascii="Arial" w:eastAsia="Times New Roman" w:hAnsi="Arial" w:cs="Arial"/>
          <w:bCs/>
          <w:i/>
          <w:iCs/>
          <w:sz w:val="26"/>
          <w:szCs w:val="26"/>
          <w:lang w:eastAsia="es-ES"/>
        </w:rPr>
        <w:t xml:space="preserve"> ingresado con fecha cinco de agosto de dos mil diecinueve, por el licenciado </w:t>
      </w:r>
      <w:r w:rsidR="00DF0D99">
        <w:rPr>
          <w:rFonts w:ascii="Arial" w:eastAsia="Times New Roman" w:hAnsi="Arial" w:cs="Arial"/>
          <w:bCs/>
          <w:i/>
          <w:iCs/>
          <w:sz w:val="26"/>
          <w:szCs w:val="26"/>
          <w:lang w:eastAsia="es-ES"/>
        </w:rPr>
        <w:t>*******</w:t>
      </w:r>
      <w:r w:rsidR="007324C8" w:rsidRPr="00931535">
        <w:rPr>
          <w:rFonts w:ascii="Arial" w:eastAsia="Times New Roman" w:hAnsi="Arial" w:cs="Arial"/>
          <w:bCs/>
          <w:i/>
          <w:iCs/>
          <w:sz w:val="26"/>
          <w:szCs w:val="26"/>
          <w:lang w:eastAsia="es-ES"/>
        </w:rPr>
        <w:t xml:space="preserve">, Notario Público número </w:t>
      </w:r>
      <w:r w:rsidR="00DF0D99">
        <w:rPr>
          <w:rFonts w:ascii="Arial" w:eastAsia="Times New Roman" w:hAnsi="Arial" w:cs="Arial"/>
          <w:bCs/>
          <w:i/>
          <w:iCs/>
          <w:sz w:val="26"/>
          <w:szCs w:val="26"/>
          <w:lang w:eastAsia="es-ES"/>
        </w:rPr>
        <w:t>*******</w:t>
      </w:r>
      <w:r w:rsidR="007324C8" w:rsidRPr="00931535">
        <w:rPr>
          <w:rFonts w:ascii="Arial" w:eastAsia="Times New Roman" w:hAnsi="Arial" w:cs="Arial"/>
          <w:bCs/>
          <w:i/>
          <w:iCs/>
          <w:sz w:val="26"/>
          <w:szCs w:val="26"/>
          <w:lang w:eastAsia="es-ES"/>
        </w:rPr>
        <w:t xml:space="preserve"> en el Estado de Oaxaca, presentado en la Delegación de </w:t>
      </w:r>
      <w:r w:rsidR="00DF0D99">
        <w:rPr>
          <w:rFonts w:ascii="Arial" w:eastAsia="Times New Roman" w:hAnsi="Arial" w:cs="Arial"/>
          <w:bCs/>
          <w:i/>
          <w:iCs/>
          <w:sz w:val="26"/>
          <w:szCs w:val="26"/>
          <w:lang w:eastAsia="es-ES"/>
        </w:rPr>
        <w:t>*******</w:t>
      </w:r>
      <w:r w:rsidR="007324C8" w:rsidRPr="00931535">
        <w:rPr>
          <w:rFonts w:ascii="Arial" w:eastAsia="Times New Roman" w:hAnsi="Arial" w:cs="Arial"/>
          <w:bCs/>
          <w:i/>
          <w:iCs/>
          <w:sz w:val="26"/>
          <w:szCs w:val="26"/>
          <w:lang w:eastAsia="es-ES"/>
        </w:rPr>
        <w:t>, para realizar los trámites catastrales de rectificación de registros de medidas, trámites parciales de reasignación de cuenta</w:t>
      </w:r>
      <w:r w:rsidR="006640A5" w:rsidRPr="00931535">
        <w:rPr>
          <w:rFonts w:ascii="Arial" w:eastAsia="Times New Roman" w:hAnsi="Arial" w:cs="Arial"/>
          <w:bCs/>
          <w:i/>
          <w:iCs/>
          <w:sz w:val="26"/>
          <w:szCs w:val="26"/>
          <w:lang w:eastAsia="es-ES"/>
        </w:rPr>
        <w:t xml:space="preserve"> y traslado de dominio parcial por compraventa, </w:t>
      </w:r>
      <w:r w:rsidR="00F2278C" w:rsidRPr="00931535">
        <w:rPr>
          <w:rFonts w:ascii="Arial" w:eastAsia="Times New Roman" w:hAnsi="Arial" w:cs="Arial"/>
          <w:bCs/>
          <w:i/>
          <w:iCs/>
          <w:sz w:val="26"/>
          <w:szCs w:val="26"/>
          <w:lang w:eastAsia="es-ES"/>
        </w:rPr>
        <w:t xml:space="preserve">para que se realizara el movimiento </w:t>
      </w:r>
      <w:r w:rsidR="00931535" w:rsidRPr="00931535">
        <w:rPr>
          <w:rFonts w:ascii="Arial" w:eastAsia="Times New Roman" w:hAnsi="Arial" w:cs="Arial"/>
          <w:bCs/>
          <w:i/>
          <w:iCs/>
          <w:sz w:val="26"/>
          <w:szCs w:val="26"/>
          <w:lang w:eastAsia="es-ES"/>
        </w:rPr>
        <w:t xml:space="preserve">en el registro de cuenta catastral </w:t>
      </w:r>
      <w:r w:rsidR="00DF0D99">
        <w:rPr>
          <w:rFonts w:ascii="Arial" w:eastAsia="Times New Roman" w:hAnsi="Arial" w:cs="Arial"/>
          <w:bCs/>
          <w:i/>
          <w:iCs/>
          <w:sz w:val="26"/>
          <w:szCs w:val="26"/>
          <w:lang w:eastAsia="es-ES"/>
        </w:rPr>
        <w:t>*******</w:t>
      </w:r>
      <w:r w:rsidR="00931535" w:rsidRPr="00931535">
        <w:rPr>
          <w:rFonts w:ascii="Arial" w:eastAsia="Times New Roman" w:hAnsi="Arial" w:cs="Arial"/>
          <w:bCs/>
          <w:i/>
          <w:iCs/>
          <w:sz w:val="26"/>
          <w:szCs w:val="26"/>
          <w:lang w:eastAsia="es-ES"/>
        </w:rPr>
        <w:t xml:space="preserve">, que ampara el inmueble ubicado en Paraje “La Arrastradera”, Municipio de la </w:t>
      </w:r>
      <w:r w:rsidR="00DF0D99">
        <w:rPr>
          <w:rFonts w:ascii="Arial" w:eastAsia="Times New Roman" w:hAnsi="Arial" w:cs="Arial"/>
          <w:bCs/>
          <w:i/>
          <w:iCs/>
          <w:sz w:val="26"/>
          <w:szCs w:val="26"/>
          <w:lang w:eastAsia="es-ES"/>
        </w:rPr>
        <w:t>*******</w:t>
      </w:r>
      <w:r w:rsidR="00931535" w:rsidRPr="00931535">
        <w:rPr>
          <w:rFonts w:ascii="Arial" w:eastAsia="Times New Roman" w:hAnsi="Arial" w:cs="Arial"/>
          <w:bCs/>
          <w:i/>
          <w:iCs/>
          <w:sz w:val="26"/>
          <w:szCs w:val="26"/>
          <w:lang w:eastAsia="es-ES"/>
        </w:rPr>
        <w:t>”.</w:t>
      </w:r>
      <w:r w:rsidR="00B50E95">
        <w:rPr>
          <w:rFonts w:ascii="Arial" w:eastAsia="Times New Roman" w:hAnsi="Arial" w:cs="Arial"/>
          <w:bCs/>
          <w:i/>
          <w:iCs/>
          <w:sz w:val="26"/>
          <w:szCs w:val="26"/>
          <w:lang w:eastAsia="es-ES"/>
        </w:rPr>
        <w:t xml:space="preserve"> - - - - - - - - - - - - - - </w:t>
      </w:r>
      <w:r w:rsidR="00DF0D99">
        <w:rPr>
          <w:rFonts w:ascii="Arial" w:eastAsia="Times New Roman" w:hAnsi="Arial" w:cs="Arial"/>
          <w:bCs/>
          <w:i/>
          <w:iCs/>
          <w:sz w:val="26"/>
          <w:szCs w:val="26"/>
          <w:lang w:eastAsia="es-ES"/>
        </w:rPr>
        <w:t>- - - - - - - - - -</w:t>
      </w:r>
    </w:p>
    <w:p w14:paraId="22686609" w14:textId="10EC8088" w:rsidR="003F2B1B" w:rsidRDefault="00DC1F18" w:rsidP="0097576C">
      <w:pPr>
        <w:spacing w:before="240" w:line="360" w:lineRule="auto"/>
        <w:ind w:firstLine="708"/>
        <w:jc w:val="both"/>
        <w:rPr>
          <w:rFonts w:ascii="Arial" w:eastAsia="Times New Roman" w:hAnsi="Arial" w:cs="Arial"/>
          <w:bCs/>
          <w:iCs/>
          <w:sz w:val="26"/>
          <w:szCs w:val="26"/>
          <w:lang w:eastAsia="es-ES"/>
        </w:rPr>
      </w:pPr>
      <w:r>
        <w:rPr>
          <w:rFonts w:ascii="Arial" w:eastAsia="Calibri" w:hAnsi="Arial" w:cs="Arial"/>
          <w:bCs/>
          <w:sz w:val="26"/>
          <w:szCs w:val="26"/>
        </w:rPr>
        <w:lastRenderedPageBreak/>
        <w:t>E</w:t>
      </w:r>
      <w:r w:rsidR="00931535" w:rsidRPr="00F062FC">
        <w:rPr>
          <w:rFonts w:ascii="Arial" w:eastAsia="Calibri" w:hAnsi="Arial" w:cs="Arial"/>
          <w:bCs/>
          <w:sz w:val="26"/>
          <w:szCs w:val="26"/>
        </w:rPr>
        <w:t>n l</w:t>
      </w:r>
      <w:r w:rsidR="00931535">
        <w:rPr>
          <w:rFonts w:ascii="Arial" w:eastAsia="Calibri" w:hAnsi="Arial" w:cs="Arial"/>
          <w:bCs/>
          <w:sz w:val="26"/>
          <w:szCs w:val="26"/>
        </w:rPr>
        <w:t>a sentencia dictada el trece de noviembre de dos mil veinte</w:t>
      </w:r>
      <w:r w:rsidR="00931535">
        <w:rPr>
          <w:rStyle w:val="Refdenotaalpie"/>
          <w:rFonts w:ascii="Arial" w:eastAsia="Calibri" w:hAnsi="Arial" w:cs="Arial"/>
          <w:bCs/>
          <w:sz w:val="26"/>
          <w:szCs w:val="26"/>
        </w:rPr>
        <w:footnoteReference w:id="3"/>
      </w:r>
      <w:r w:rsidR="00E25FAE">
        <w:rPr>
          <w:rFonts w:ascii="Arial" w:eastAsia="Calibri" w:hAnsi="Arial" w:cs="Arial"/>
          <w:bCs/>
          <w:sz w:val="26"/>
          <w:szCs w:val="26"/>
        </w:rPr>
        <w:t xml:space="preserve">, la Cuarta Sala Unitaria de Primera Instancia declaró la nulidad del </w:t>
      </w:r>
      <w:r w:rsidR="00E25FAE" w:rsidRPr="00F82857">
        <w:rPr>
          <w:rFonts w:ascii="Arial" w:eastAsia="Times New Roman" w:hAnsi="Arial" w:cs="Arial"/>
          <w:bCs/>
          <w:iCs/>
          <w:sz w:val="26"/>
          <w:szCs w:val="26"/>
          <w:lang w:eastAsia="es-ES"/>
        </w:rPr>
        <w:t xml:space="preserve">oficio número </w:t>
      </w:r>
      <w:r w:rsidR="00DF0D99">
        <w:rPr>
          <w:rFonts w:ascii="Arial" w:eastAsia="Times New Roman" w:hAnsi="Arial" w:cs="Arial"/>
          <w:b/>
          <w:bCs/>
          <w:iCs/>
          <w:sz w:val="26"/>
          <w:szCs w:val="26"/>
          <w:lang w:eastAsia="es-ES"/>
        </w:rPr>
        <w:t>*******</w:t>
      </w:r>
      <w:r w:rsidR="00E25FAE">
        <w:rPr>
          <w:rFonts w:ascii="Arial" w:eastAsia="Times New Roman" w:hAnsi="Arial" w:cs="Arial"/>
          <w:b/>
          <w:bCs/>
          <w:iCs/>
          <w:sz w:val="26"/>
          <w:szCs w:val="26"/>
          <w:lang w:eastAsia="es-ES"/>
        </w:rPr>
        <w:t xml:space="preserve"> </w:t>
      </w:r>
      <w:r w:rsidR="00E25FAE">
        <w:rPr>
          <w:rFonts w:ascii="Arial" w:eastAsia="Times New Roman" w:hAnsi="Arial" w:cs="Arial"/>
          <w:bCs/>
          <w:iCs/>
          <w:sz w:val="26"/>
          <w:szCs w:val="26"/>
          <w:lang w:eastAsia="es-ES"/>
        </w:rPr>
        <w:t>dictado</w:t>
      </w:r>
      <w:r w:rsidR="00E25FAE" w:rsidRPr="00F82857">
        <w:rPr>
          <w:rFonts w:ascii="Arial" w:eastAsia="Times New Roman" w:hAnsi="Arial" w:cs="Arial"/>
          <w:bCs/>
          <w:iCs/>
          <w:sz w:val="26"/>
          <w:szCs w:val="26"/>
          <w:lang w:eastAsia="es-ES"/>
        </w:rPr>
        <w:t xml:space="preserve"> </w:t>
      </w:r>
      <w:r w:rsidR="00E25FAE">
        <w:rPr>
          <w:rFonts w:ascii="Arial" w:eastAsia="Times New Roman" w:hAnsi="Arial" w:cs="Arial"/>
          <w:bCs/>
          <w:iCs/>
          <w:sz w:val="26"/>
          <w:szCs w:val="26"/>
          <w:lang w:eastAsia="es-ES"/>
        </w:rPr>
        <w:t xml:space="preserve">en el recurso de revisión número </w:t>
      </w:r>
      <w:r w:rsidR="00E25FAE" w:rsidRPr="00E25FAE">
        <w:rPr>
          <w:rFonts w:ascii="Arial" w:eastAsia="Times New Roman" w:hAnsi="Arial" w:cs="Arial"/>
          <w:bCs/>
          <w:iCs/>
          <w:sz w:val="26"/>
          <w:szCs w:val="26"/>
          <w:lang w:eastAsia="es-ES"/>
        </w:rPr>
        <w:t>030/2019, para el efecto precisado en el considerando sexto de la sentencia en revisión</w:t>
      </w:r>
      <w:r>
        <w:rPr>
          <w:rFonts w:ascii="Arial" w:eastAsia="Times New Roman" w:hAnsi="Arial" w:cs="Arial"/>
          <w:bCs/>
          <w:iCs/>
          <w:sz w:val="26"/>
          <w:szCs w:val="26"/>
          <w:lang w:eastAsia="es-ES"/>
        </w:rPr>
        <w:t>,</w:t>
      </w:r>
      <w:r w:rsidR="00E25FAE" w:rsidRPr="00E25FAE">
        <w:rPr>
          <w:rFonts w:ascii="Arial" w:eastAsia="Times New Roman" w:hAnsi="Arial" w:cs="Arial"/>
          <w:bCs/>
          <w:iCs/>
          <w:sz w:val="26"/>
          <w:szCs w:val="26"/>
          <w:lang w:eastAsia="es-ES"/>
        </w:rPr>
        <w:t xml:space="preserve"> parte conducente que se transcribe a continuación:</w:t>
      </w:r>
      <w:r w:rsidR="00B50E95">
        <w:rPr>
          <w:rFonts w:ascii="Arial" w:eastAsia="Times New Roman" w:hAnsi="Arial" w:cs="Arial"/>
          <w:bCs/>
          <w:iCs/>
          <w:sz w:val="26"/>
          <w:szCs w:val="26"/>
          <w:lang w:eastAsia="es-ES"/>
        </w:rPr>
        <w:t xml:space="preserve"> </w:t>
      </w:r>
      <w:r w:rsidR="00B50E95">
        <w:rPr>
          <w:rFonts w:ascii="Arial" w:eastAsia="Times New Roman" w:hAnsi="Arial" w:cs="Arial"/>
          <w:bCs/>
          <w:i/>
          <w:iCs/>
          <w:sz w:val="26"/>
          <w:szCs w:val="26"/>
          <w:lang w:eastAsia="es-ES"/>
        </w:rPr>
        <w:t xml:space="preserve">- - </w:t>
      </w:r>
      <w:bookmarkStart w:id="0" w:name="_Hlk116646012"/>
      <w:r w:rsidR="00B50E95">
        <w:rPr>
          <w:rFonts w:ascii="Arial" w:eastAsia="Times New Roman" w:hAnsi="Arial" w:cs="Arial"/>
          <w:bCs/>
          <w:i/>
          <w:iCs/>
          <w:sz w:val="26"/>
          <w:szCs w:val="26"/>
          <w:lang w:eastAsia="es-ES"/>
        </w:rPr>
        <w:t xml:space="preserve">- - - - - - - - - - - - - </w:t>
      </w:r>
      <w:bookmarkEnd w:id="0"/>
    </w:p>
    <w:p w14:paraId="63177CE2" w14:textId="66D6917C" w:rsidR="00DC1F18" w:rsidRPr="00E25FAE" w:rsidRDefault="00DC1F18" w:rsidP="0097576C">
      <w:pPr>
        <w:spacing w:before="240" w:line="360" w:lineRule="auto"/>
        <w:ind w:firstLine="708"/>
        <w:jc w:val="both"/>
        <w:rPr>
          <w:rFonts w:ascii="Arial" w:eastAsia="Times New Roman" w:hAnsi="Arial" w:cs="Arial"/>
          <w:bCs/>
          <w:iCs/>
          <w:sz w:val="26"/>
          <w:szCs w:val="26"/>
          <w:lang w:eastAsia="es-ES"/>
        </w:rPr>
      </w:pPr>
      <w:r>
        <w:rPr>
          <w:rFonts w:ascii="Arial" w:eastAsia="Calibri" w:hAnsi="Arial" w:cs="Arial"/>
          <w:bCs/>
          <w:sz w:val="26"/>
          <w:szCs w:val="26"/>
        </w:rPr>
        <w:t xml:space="preserve">Ahora bien, esta instancia revisora estima necesario traer a la vista el contenido de los considerandos </w:t>
      </w:r>
      <w:r w:rsidR="00FA0EE9">
        <w:rPr>
          <w:rFonts w:ascii="Arial" w:eastAsia="Calibri" w:hAnsi="Arial" w:cs="Arial"/>
          <w:bCs/>
          <w:sz w:val="26"/>
          <w:szCs w:val="26"/>
        </w:rPr>
        <w:t>quinto y sexto de la sentencia impugnada:</w:t>
      </w:r>
      <w:r w:rsidR="00B50E95" w:rsidRPr="00B50E95">
        <w:rPr>
          <w:rFonts w:ascii="Arial" w:eastAsia="Times New Roman" w:hAnsi="Arial" w:cs="Arial"/>
          <w:bCs/>
          <w:i/>
          <w:iCs/>
          <w:sz w:val="26"/>
          <w:szCs w:val="26"/>
          <w:lang w:eastAsia="es-ES"/>
        </w:rPr>
        <w:t xml:space="preserve"> </w:t>
      </w:r>
      <w:r w:rsidR="00B50E95">
        <w:rPr>
          <w:rFonts w:ascii="Arial" w:eastAsia="Times New Roman" w:hAnsi="Arial" w:cs="Arial"/>
          <w:bCs/>
          <w:i/>
          <w:iCs/>
          <w:sz w:val="26"/>
          <w:szCs w:val="26"/>
          <w:lang w:eastAsia="es-ES"/>
        </w:rPr>
        <w:t xml:space="preserve">- - - - - - - - - - - - - - - - - - - - - - - - - - - - - - - - - - - - - - - - - - - </w:t>
      </w:r>
    </w:p>
    <w:p w14:paraId="3050C186" w14:textId="567AB822" w:rsidR="00E362C9" w:rsidRDefault="00E25FAE" w:rsidP="00E362C9">
      <w:pPr>
        <w:spacing w:line="360" w:lineRule="auto"/>
        <w:ind w:right="616"/>
        <w:jc w:val="both"/>
        <w:rPr>
          <w:rFonts w:ascii="Arial" w:hAnsi="Arial" w:cs="Arial"/>
          <w:i/>
        </w:rPr>
      </w:pPr>
      <w:r w:rsidRPr="00FA0EE9">
        <w:rPr>
          <w:rFonts w:ascii="Arial" w:eastAsia="Calibri" w:hAnsi="Arial" w:cs="Arial"/>
          <w:i/>
        </w:rPr>
        <w:t>“</w:t>
      </w:r>
      <w:r w:rsidR="00E362C9">
        <w:rPr>
          <w:rFonts w:ascii="Arial" w:hAnsi="Arial" w:cs="Arial"/>
          <w:b/>
          <w:i/>
        </w:rPr>
        <w:t xml:space="preserve">QUINTO. Antecedentes. </w:t>
      </w:r>
      <w:r w:rsidR="00E362C9">
        <w:rPr>
          <w:rFonts w:ascii="Arial" w:hAnsi="Arial" w:cs="Arial"/>
          <w:i/>
        </w:rPr>
        <w:t>Previo al estudio del fondo del asunto, es necesario precisar los antecedentes que obran en autos del presente juicio, y que sirvieron para la emisión del acto impugnado:</w:t>
      </w:r>
    </w:p>
    <w:p w14:paraId="251CEC6D" w14:textId="3FB557B6" w:rsidR="00E362C9" w:rsidRDefault="00E362C9" w:rsidP="00B50E95">
      <w:pPr>
        <w:pStyle w:val="Prrafodelista"/>
        <w:numPr>
          <w:ilvl w:val="0"/>
          <w:numId w:val="17"/>
        </w:numPr>
        <w:spacing w:after="160"/>
        <w:ind w:right="616"/>
        <w:jc w:val="both"/>
        <w:rPr>
          <w:rFonts w:ascii="Arial" w:hAnsi="Arial" w:cs="Arial"/>
          <w:i/>
        </w:rPr>
      </w:pPr>
      <w:r>
        <w:rPr>
          <w:rFonts w:ascii="Arial" w:hAnsi="Arial" w:cs="Arial"/>
          <w:i/>
        </w:rPr>
        <w:t xml:space="preserve">Mediante instrumento notarial número ochocientos cuarenta y dos, volumen número doce, de quince de diciembre de dos mil seis, ante la fe del Notario Público número noventa y seis en el Estado, los ciudadanos </w:t>
      </w:r>
      <w:r w:rsidR="00DF0D99">
        <w:rPr>
          <w:rFonts w:ascii="Arial" w:hAnsi="Arial" w:cs="Arial"/>
          <w:i/>
        </w:rPr>
        <w:t>*******</w:t>
      </w:r>
      <w:r>
        <w:rPr>
          <w:rFonts w:ascii="Arial" w:hAnsi="Arial" w:cs="Arial"/>
          <w:i/>
        </w:rPr>
        <w:t xml:space="preserve">, adquirieron la propiedad de la fracción cuarta que se desprende del terreno ubicado en el pasaje denominado “la arrastradera” en el Municipio de la </w:t>
      </w:r>
      <w:r w:rsidR="00DF0D99">
        <w:rPr>
          <w:rFonts w:ascii="Arial" w:hAnsi="Arial" w:cs="Arial"/>
          <w:i/>
        </w:rPr>
        <w:t>*******</w:t>
      </w:r>
      <w:r>
        <w:rPr>
          <w:rFonts w:ascii="Arial" w:hAnsi="Arial" w:cs="Arial"/>
          <w:i/>
        </w:rPr>
        <w:t xml:space="preserve">, Oaxaca, con las siguientes medidas y colindancias: AL NORTE mide ciento sesenta y dos metros, colinda con tercera fracción ahora propiedad de </w:t>
      </w:r>
      <w:r w:rsidR="00DF0D99">
        <w:rPr>
          <w:rFonts w:ascii="Arial" w:hAnsi="Arial" w:cs="Arial"/>
          <w:i/>
        </w:rPr>
        <w:t>*******</w:t>
      </w:r>
      <w:r>
        <w:rPr>
          <w:rFonts w:ascii="Arial" w:hAnsi="Arial" w:cs="Arial"/>
          <w:i/>
        </w:rPr>
        <w:t xml:space="preserve">; AL SUR mide ciento sesenta y dos metros, colinda con quinta fracción ahora propiedad de </w:t>
      </w:r>
      <w:r w:rsidR="00DF0D99">
        <w:rPr>
          <w:rFonts w:ascii="Arial" w:hAnsi="Arial" w:cs="Arial"/>
          <w:i/>
        </w:rPr>
        <w:t>*******</w:t>
      </w:r>
      <w:r>
        <w:rPr>
          <w:rFonts w:ascii="Arial" w:hAnsi="Arial" w:cs="Arial"/>
          <w:i/>
        </w:rPr>
        <w:t xml:space="preserve">; AL ORIENTE mide doce metros con cincuenta centímetros, colinda con </w:t>
      </w:r>
      <w:r w:rsidR="00DF0D99">
        <w:rPr>
          <w:rFonts w:ascii="Arial" w:hAnsi="Arial" w:cs="Arial"/>
          <w:i/>
        </w:rPr>
        <w:t>*******</w:t>
      </w:r>
      <w:r>
        <w:rPr>
          <w:rFonts w:ascii="Arial" w:hAnsi="Arial" w:cs="Arial"/>
          <w:i/>
        </w:rPr>
        <w:t xml:space="preserve">, camino a </w:t>
      </w:r>
      <w:proofErr w:type="spellStart"/>
      <w:r>
        <w:rPr>
          <w:rFonts w:ascii="Arial" w:hAnsi="Arial" w:cs="Arial"/>
          <w:i/>
        </w:rPr>
        <w:t>Cuilapam</w:t>
      </w:r>
      <w:proofErr w:type="spellEnd"/>
      <w:r>
        <w:rPr>
          <w:rFonts w:ascii="Arial" w:hAnsi="Arial" w:cs="Arial"/>
          <w:i/>
        </w:rPr>
        <w:t xml:space="preserve"> por medio; AL PONIENTE mide doce metros con cincuenta centímetros, colinda con Isabel Adamas. </w:t>
      </w:r>
    </w:p>
    <w:p w14:paraId="61A6D4A8" w14:textId="7E918126" w:rsidR="00E362C9" w:rsidRDefault="00E362C9" w:rsidP="00B50E95">
      <w:pPr>
        <w:pStyle w:val="Prrafodelista"/>
        <w:numPr>
          <w:ilvl w:val="0"/>
          <w:numId w:val="17"/>
        </w:numPr>
        <w:spacing w:after="160"/>
        <w:ind w:right="616"/>
        <w:jc w:val="both"/>
        <w:rPr>
          <w:rFonts w:ascii="Arial" w:hAnsi="Arial" w:cs="Arial"/>
          <w:i/>
        </w:rPr>
      </w:pPr>
      <w:r>
        <w:rPr>
          <w:rFonts w:ascii="Arial" w:hAnsi="Arial" w:cs="Arial"/>
          <w:i/>
        </w:rPr>
        <w:t xml:space="preserve">Con fecha diecinueve de julio de dos mil diecinueve, el Alcalde único Constitucional de </w:t>
      </w:r>
      <w:r w:rsidR="00DF0D99">
        <w:rPr>
          <w:rFonts w:ascii="Arial" w:hAnsi="Arial" w:cs="Arial"/>
          <w:i/>
        </w:rPr>
        <w:t>*******</w:t>
      </w:r>
      <w:r>
        <w:rPr>
          <w:rFonts w:ascii="Arial" w:hAnsi="Arial" w:cs="Arial"/>
          <w:i/>
        </w:rPr>
        <w:t xml:space="preserve">, Oaxaca, llevo a cabo la diligencia de apeo y deslinde y rectificación de medidas en el predio señalado en el apartado anterior, obteniendo como nuevas medias (sic) y colindancias las siguientes: AL NORTE mide doscientos noventa y un metros, colinda con fracción número cinco; AL ORIENTE mide doce metros con cincuenta centímetros, colinda a </w:t>
      </w:r>
      <w:proofErr w:type="spellStart"/>
      <w:r>
        <w:rPr>
          <w:rFonts w:ascii="Arial" w:hAnsi="Arial" w:cs="Arial"/>
          <w:i/>
        </w:rPr>
        <w:t>Cuilapam</w:t>
      </w:r>
      <w:proofErr w:type="spellEnd"/>
      <w:r>
        <w:rPr>
          <w:rFonts w:ascii="Arial" w:hAnsi="Arial" w:cs="Arial"/>
          <w:i/>
        </w:rPr>
        <w:t xml:space="preserve">; AL PONIENTE mide doce metros con cincuenta centímetros. </w:t>
      </w:r>
    </w:p>
    <w:p w14:paraId="583920AC" w14:textId="77777777" w:rsidR="00E362C9" w:rsidRDefault="00E362C9" w:rsidP="00B50E95">
      <w:pPr>
        <w:pStyle w:val="Prrafodelista"/>
        <w:numPr>
          <w:ilvl w:val="0"/>
          <w:numId w:val="17"/>
        </w:numPr>
        <w:spacing w:after="160"/>
        <w:ind w:right="616"/>
        <w:jc w:val="both"/>
        <w:rPr>
          <w:rFonts w:ascii="Arial" w:hAnsi="Arial" w:cs="Arial"/>
          <w:i/>
        </w:rPr>
      </w:pPr>
      <w:r>
        <w:rPr>
          <w:rFonts w:ascii="Arial" w:hAnsi="Arial" w:cs="Arial"/>
          <w:i/>
        </w:rPr>
        <w:t>Por lo anterior, el cinco de agosto de dos mil diecinueve fue presentado ante la Delegación de Zimatlán del Instituto Catastral del Estado de Oaxaca, la solicitud de trámite catastral de rectificación de registro por corrección de medidas.</w:t>
      </w:r>
    </w:p>
    <w:p w14:paraId="22A7590D" w14:textId="2EB1B343" w:rsidR="00E362C9" w:rsidRDefault="00E362C9" w:rsidP="00B50E95">
      <w:pPr>
        <w:pStyle w:val="Prrafodelista"/>
        <w:numPr>
          <w:ilvl w:val="0"/>
          <w:numId w:val="17"/>
        </w:numPr>
        <w:spacing w:after="160"/>
        <w:ind w:right="616"/>
        <w:jc w:val="both"/>
        <w:rPr>
          <w:rFonts w:ascii="Arial" w:hAnsi="Arial" w:cs="Arial"/>
          <w:i/>
        </w:rPr>
      </w:pPr>
      <w:r>
        <w:rPr>
          <w:rFonts w:ascii="Arial" w:hAnsi="Arial" w:cs="Arial"/>
          <w:i/>
        </w:rPr>
        <w:t xml:space="preserve">El seis de agosto de dos mil diecinueve, el Delegado Catastral de </w:t>
      </w:r>
      <w:r w:rsidR="00DF0D99">
        <w:rPr>
          <w:rFonts w:ascii="Arial" w:hAnsi="Arial" w:cs="Arial"/>
          <w:i/>
        </w:rPr>
        <w:t>*******</w:t>
      </w:r>
      <w:r>
        <w:rPr>
          <w:rFonts w:ascii="Arial" w:hAnsi="Arial" w:cs="Arial"/>
          <w:i/>
        </w:rPr>
        <w:t xml:space="preserve">, emitió la hoja de observaciones en la que indicó: “…se devuelven las solicitudes de la cuenta </w:t>
      </w:r>
      <w:r w:rsidR="00DF0D99">
        <w:rPr>
          <w:rFonts w:ascii="Arial" w:hAnsi="Arial" w:cs="Arial"/>
          <w:i/>
        </w:rPr>
        <w:t>*******</w:t>
      </w:r>
      <w:r>
        <w:rPr>
          <w:rFonts w:ascii="Arial" w:hAnsi="Arial" w:cs="Arial"/>
          <w:i/>
        </w:rPr>
        <w:t xml:space="preserve"> a nombre de: </w:t>
      </w:r>
      <w:r w:rsidR="00DF0D99">
        <w:rPr>
          <w:rFonts w:ascii="Arial" w:hAnsi="Arial" w:cs="Arial"/>
          <w:i/>
        </w:rPr>
        <w:t>*******</w:t>
      </w:r>
      <w:r>
        <w:rPr>
          <w:rFonts w:ascii="Arial" w:hAnsi="Arial" w:cs="Arial"/>
          <w:i/>
        </w:rPr>
        <w:t>, ya que los trámites que desea realizar en la superficie rebasan del 20% del predio original, se rechaza porque la rectificación de medidas en este trámite exceden del 20% de la superficie del predio declarada en el sistema y de acuerdo a lo establecido en el artículo: 40 fracción IV, inciso d), segundo párrafo del Reglamento de la Ley de Catastro en el Estado, no puede anexar más del 20%. Por lo que se le notifica por este medio…”</w:t>
      </w:r>
    </w:p>
    <w:p w14:paraId="09101726" w14:textId="77777777" w:rsidR="00E362C9" w:rsidRPr="000245BF" w:rsidRDefault="00E362C9" w:rsidP="00B50E95">
      <w:pPr>
        <w:pStyle w:val="Prrafodelista"/>
        <w:numPr>
          <w:ilvl w:val="0"/>
          <w:numId w:val="17"/>
        </w:numPr>
        <w:spacing w:after="160"/>
        <w:ind w:right="616"/>
        <w:jc w:val="both"/>
        <w:rPr>
          <w:rFonts w:ascii="Arial" w:hAnsi="Arial" w:cs="Arial"/>
          <w:i/>
        </w:rPr>
      </w:pPr>
      <w:r>
        <w:rPr>
          <w:rFonts w:ascii="Arial" w:hAnsi="Arial" w:cs="Arial"/>
          <w:i/>
        </w:rPr>
        <w:t xml:space="preserve">Inconforme con esa determinación, mediante escrito presentado el veintidós de agosto de dos mil diecinueve, los actores interpusieron recurso de revisión, asignándole el número de expediente </w:t>
      </w:r>
      <w:r>
        <w:rPr>
          <w:rFonts w:ascii="Arial" w:hAnsi="Arial" w:cs="Arial"/>
          <w:b/>
          <w:i/>
        </w:rPr>
        <w:t>030/2019.</w:t>
      </w:r>
    </w:p>
    <w:p w14:paraId="4954D4F6" w14:textId="21B5DCF6" w:rsidR="00E362C9" w:rsidRPr="00704CFA" w:rsidRDefault="00E362C9" w:rsidP="00B50E95">
      <w:pPr>
        <w:pStyle w:val="Prrafodelista"/>
        <w:numPr>
          <w:ilvl w:val="0"/>
          <w:numId w:val="17"/>
        </w:numPr>
        <w:spacing w:after="160"/>
        <w:ind w:right="616"/>
        <w:jc w:val="both"/>
        <w:rPr>
          <w:rFonts w:ascii="Arial" w:hAnsi="Arial" w:cs="Arial"/>
          <w:i/>
        </w:rPr>
      </w:pPr>
      <w:r>
        <w:rPr>
          <w:rFonts w:ascii="Arial" w:hAnsi="Arial" w:cs="Arial"/>
          <w:i/>
        </w:rPr>
        <w:lastRenderedPageBreak/>
        <w:t xml:space="preserve">Mediante resolución contenida en el oficio </w:t>
      </w:r>
      <w:r w:rsidR="00DF0D99">
        <w:rPr>
          <w:rFonts w:ascii="Arial" w:hAnsi="Arial" w:cs="Arial"/>
          <w:b/>
          <w:i/>
        </w:rPr>
        <w:t>*******</w:t>
      </w:r>
      <w:r>
        <w:rPr>
          <w:rFonts w:ascii="Arial" w:hAnsi="Arial" w:cs="Arial"/>
          <w:b/>
          <w:i/>
        </w:rPr>
        <w:t xml:space="preserve">, </w:t>
      </w:r>
      <w:r>
        <w:rPr>
          <w:rFonts w:ascii="Arial" w:hAnsi="Arial" w:cs="Arial"/>
          <w:i/>
        </w:rPr>
        <w:t xml:space="preserve">se emitió la resolución de diecinueve de septiembre de dos mil diecinueve, dictada en el recurso de revisión número 030/2019, por el Jefe de la Unidad Jurídica del Instituto Catastral del Estado de Oaxaca, por medio del cual declaró la improcedencia del trámite catastral solicitado, al no cumplir con los requisitos que exige el artículo 49 fracciones II y VIII del Reglamento de la Ley de Catastro del Estado de Oaxaca. </w:t>
      </w:r>
    </w:p>
    <w:p w14:paraId="2ACCBEBA" w14:textId="2B1E3501" w:rsidR="00E25FAE" w:rsidRPr="00FA0EE9" w:rsidRDefault="00E25FAE" w:rsidP="00B50E95">
      <w:pPr>
        <w:spacing w:before="240"/>
        <w:ind w:left="567" w:right="616"/>
        <w:jc w:val="both"/>
        <w:rPr>
          <w:rFonts w:ascii="Arial" w:eastAsia="Calibri" w:hAnsi="Arial" w:cs="Arial"/>
          <w:i/>
        </w:rPr>
      </w:pPr>
      <w:r w:rsidRPr="00FA0EE9">
        <w:rPr>
          <w:rFonts w:ascii="Arial" w:eastAsia="Calibri" w:hAnsi="Arial" w:cs="Arial"/>
          <w:b/>
          <w:i/>
        </w:rPr>
        <w:t xml:space="preserve">SEXTO. Análisis de los conceptos de impugnación. </w:t>
      </w:r>
      <w:r w:rsidRPr="00FA0EE9">
        <w:rPr>
          <w:rFonts w:ascii="Arial" w:eastAsia="Calibri" w:hAnsi="Arial" w:cs="Arial"/>
          <w:i/>
        </w:rPr>
        <w:t xml:space="preserve">Este Juzgador procede al análisis del </w:t>
      </w:r>
      <w:r w:rsidRPr="00FA0EE9">
        <w:rPr>
          <w:rFonts w:ascii="Arial" w:eastAsia="Calibri" w:hAnsi="Arial" w:cs="Arial"/>
          <w:b/>
          <w:i/>
        </w:rPr>
        <w:t>único concepto de concepto de impugnación</w:t>
      </w:r>
      <w:r w:rsidRPr="00FA0EE9">
        <w:rPr>
          <w:rFonts w:ascii="Arial" w:eastAsia="Calibri" w:hAnsi="Arial" w:cs="Arial"/>
          <w:i/>
        </w:rPr>
        <w:t xml:space="preserve"> hecho valer por la parte actora, en el cual manifestó: “… la autoridad demandada en su carácter de revisora del acto impugnado, determinó declarar improcedente el recurso de revisión que se interpuso en sede administrativa. En efecto, la hoy demandada en la resolución combatida no señala en absoluto las razones particulares, las causas precisas y los motivos y consideraciones lógico jurídicas </w:t>
      </w:r>
      <w:r w:rsidR="00DC1F18" w:rsidRPr="00FA0EE9">
        <w:rPr>
          <w:rFonts w:ascii="Arial" w:eastAsia="Calibri" w:hAnsi="Arial" w:cs="Arial"/>
          <w:i/>
        </w:rPr>
        <w:t>que tuvo en cuenta para arribar a la convicción fundada de que se actualiza la hipótesis de que el recurso de revisión fue promovido en sede administrativa, resulta improcedente, esto es no señala la causa establecida en la ley para estimar improcedente el recurso que se hizo valer y mucho menos establece las razones particulares que en el caso concreto llevaron a estimar que se actualiza determinada causal de improcedencia. Por ende, la determinación combatida en este juicio debe ser declarada nula…”</w:t>
      </w:r>
    </w:p>
    <w:p w14:paraId="0673A582" w14:textId="22CCB629" w:rsidR="00231E8F" w:rsidRPr="00FA0EE9" w:rsidRDefault="00231E8F" w:rsidP="00B50E95">
      <w:pPr>
        <w:spacing w:before="240"/>
        <w:ind w:left="567" w:right="616"/>
        <w:jc w:val="both"/>
        <w:rPr>
          <w:rFonts w:ascii="Arial" w:eastAsia="Calibri" w:hAnsi="Arial" w:cs="Arial"/>
          <w:i/>
        </w:rPr>
      </w:pPr>
      <w:r w:rsidRPr="00FA0EE9">
        <w:rPr>
          <w:rFonts w:ascii="Arial" w:eastAsia="Calibri" w:hAnsi="Arial" w:cs="Arial"/>
          <w:i/>
        </w:rPr>
        <w:t>Dicho concepto de impugnación suplido en sus deficiencias, resulta fundado, por las siguientes consideraciones:</w:t>
      </w:r>
    </w:p>
    <w:p w14:paraId="227512D8" w14:textId="7203622E" w:rsidR="00231E8F" w:rsidRPr="00FA0EE9" w:rsidRDefault="00231E8F" w:rsidP="00B50E95">
      <w:pPr>
        <w:spacing w:before="240"/>
        <w:ind w:left="567" w:right="616"/>
        <w:jc w:val="both"/>
        <w:rPr>
          <w:rFonts w:ascii="Arial" w:eastAsia="Calibri" w:hAnsi="Arial" w:cs="Arial"/>
          <w:i/>
        </w:rPr>
      </w:pPr>
      <w:r w:rsidRPr="00FA0EE9">
        <w:rPr>
          <w:rFonts w:ascii="Arial" w:eastAsia="Calibri" w:hAnsi="Arial" w:cs="Arial"/>
          <w:i/>
        </w:rPr>
        <w:t>La autoridad demandada, en la resolución de diecinueve de septiembre de dos mil diecinueve, dictada en el recurso número 030/2021, indicó:</w:t>
      </w:r>
    </w:p>
    <w:p w14:paraId="06DA678A" w14:textId="21570D1A" w:rsidR="00231E8F" w:rsidRPr="00FA0EE9" w:rsidRDefault="00231E8F" w:rsidP="00B50E95">
      <w:pPr>
        <w:spacing w:before="240"/>
        <w:ind w:left="567" w:right="616"/>
        <w:jc w:val="both"/>
        <w:rPr>
          <w:rFonts w:ascii="Arial" w:eastAsia="Times New Roman" w:hAnsi="Arial" w:cs="Arial"/>
          <w:bCs/>
          <w:i/>
          <w:iCs/>
          <w:lang w:eastAsia="es-ES"/>
        </w:rPr>
      </w:pPr>
      <w:r w:rsidRPr="00FA0EE9">
        <w:rPr>
          <w:rFonts w:ascii="Arial" w:eastAsia="Calibri" w:hAnsi="Arial" w:cs="Arial"/>
          <w:i/>
        </w:rPr>
        <w:t xml:space="preserve">“… Por consiguiente, y tomando en consideración todo lo vertido con anterioridad, esta autoridad con el carácter de revisora determina que la petición presentada no cumple con las normas y procedimientos aplicables como ya se dijo en líneas anteriores, y la irregularidad o la omisión de cualquiera de los requisitos de procedibilidad para realizar el trámite solicitado, por lo anterior, se debe declarar </w:t>
      </w:r>
      <w:r w:rsidRPr="00FA0EE9">
        <w:rPr>
          <w:rFonts w:ascii="Arial" w:eastAsia="Times New Roman" w:hAnsi="Arial" w:cs="Arial"/>
          <w:bCs/>
          <w:i/>
          <w:iCs/>
          <w:lang w:eastAsia="es-ES"/>
        </w:rPr>
        <w:t xml:space="preserve">la improcedencia del trámite catastral de rectificación de registro por corrección de medidas ingresado con fecha cinco de agosto de dos mil diecinueve, por el licenciado </w:t>
      </w:r>
      <w:r w:rsidR="00DF0D99">
        <w:rPr>
          <w:rFonts w:ascii="Arial" w:eastAsia="Times New Roman" w:hAnsi="Arial" w:cs="Arial"/>
          <w:bCs/>
          <w:i/>
          <w:iCs/>
          <w:lang w:eastAsia="es-ES"/>
        </w:rPr>
        <w:t>*******</w:t>
      </w:r>
      <w:r w:rsidRPr="00FA0EE9">
        <w:rPr>
          <w:rFonts w:ascii="Arial" w:eastAsia="Times New Roman" w:hAnsi="Arial" w:cs="Arial"/>
          <w:bCs/>
          <w:i/>
          <w:iCs/>
          <w:lang w:eastAsia="es-ES"/>
        </w:rPr>
        <w:t xml:space="preserve">, Notario Público número </w:t>
      </w:r>
      <w:r w:rsidR="00DF0D99">
        <w:rPr>
          <w:rFonts w:ascii="Arial" w:eastAsia="Times New Roman" w:hAnsi="Arial" w:cs="Arial"/>
          <w:bCs/>
          <w:i/>
          <w:iCs/>
          <w:lang w:eastAsia="es-ES"/>
        </w:rPr>
        <w:t>*******</w:t>
      </w:r>
      <w:r w:rsidRPr="00FA0EE9">
        <w:rPr>
          <w:rFonts w:ascii="Arial" w:eastAsia="Times New Roman" w:hAnsi="Arial" w:cs="Arial"/>
          <w:bCs/>
          <w:i/>
          <w:iCs/>
          <w:lang w:eastAsia="es-ES"/>
        </w:rPr>
        <w:t xml:space="preserve"> en el Estado de Oaxaca, presentado en la Delegación de </w:t>
      </w:r>
      <w:r w:rsidR="00DF0D99">
        <w:rPr>
          <w:rFonts w:ascii="Arial" w:eastAsia="Times New Roman" w:hAnsi="Arial" w:cs="Arial"/>
          <w:bCs/>
          <w:i/>
          <w:iCs/>
          <w:lang w:eastAsia="es-ES"/>
        </w:rPr>
        <w:t>*******</w:t>
      </w:r>
      <w:r w:rsidRPr="00FA0EE9">
        <w:rPr>
          <w:rFonts w:ascii="Arial" w:eastAsia="Times New Roman" w:hAnsi="Arial" w:cs="Arial"/>
          <w:bCs/>
          <w:i/>
          <w:iCs/>
          <w:lang w:eastAsia="es-ES"/>
        </w:rPr>
        <w:t xml:space="preserve">, para realizar los trámites catastrales de rectificación de registros de medidas, trámites parciales de reasignación de cuenta y traslado de dominio parcial por compraventa, para que se realizara el movimiento en el registro de cuenta catastral </w:t>
      </w:r>
      <w:r w:rsidR="00DF0D99">
        <w:rPr>
          <w:rFonts w:ascii="Arial" w:eastAsia="Times New Roman" w:hAnsi="Arial" w:cs="Arial"/>
          <w:bCs/>
          <w:i/>
          <w:iCs/>
          <w:lang w:eastAsia="es-ES"/>
        </w:rPr>
        <w:t>*******</w:t>
      </w:r>
      <w:r w:rsidRPr="00FA0EE9">
        <w:rPr>
          <w:rFonts w:ascii="Arial" w:eastAsia="Times New Roman" w:hAnsi="Arial" w:cs="Arial"/>
          <w:bCs/>
          <w:i/>
          <w:iCs/>
          <w:lang w:eastAsia="es-ES"/>
        </w:rPr>
        <w:t xml:space="preserve">, que ampara el inmueble ubicado en Paraje “La Arrastradera”, Municipio de la </w:t>
      </w:r>
      <w:r w:rsidR="00DF0D99">
        <w:rPr>
          <w:rFonts w:ascii="Arial" w:eastAsia="Times New Roman" w:hAnsi="Arial" w:cs="Arial"/>
          <w:bCs/>
          <w:i/>
          <w:iCs/>
          <w:lang w:eastAsia="es-ES"/>
        </w:rPr>
        <w:t>*******</w:t>
      </w:r>
      <w:r w:rsidR="00394A75" w:rsidRPr="00FA0EE9">
        <w:rPr>
          <w:rFonts w:ascii="Arial" w:eastAsia="Times New Roman" w:hAnsi="Arial" w:cs="Arial"/>
          <w:bCs/>
          <w:i/>
          <w:iCs/>
          <w:lang w:eastAsia="es-ES"/>
        </w:rPr>
        <w:t xml:space="preserve">. Por lo que con fundamento en los artículos 5, 17 fracción I, VII, X, XVII y XX, 51 fracciones I, VII, 52 y 58 de la Ley de Catastro para el Estado de Oaxaca, artículos 40, 44, 49 y 52 de su Reglamento y el artículo 2 de la Constitución Política del Estado Libre y Soberano de Oaxaca, resulta </w:t>
      </w:r>
      <w:r w:rsidR="00394A75" w:rsidRPr="00FA0EE9">
        <w:rPr>
          <w:rFonts w:ascii="Arial" w:eastAsia="Times New Roman" w:hAnsi="Arial" w:cs="Arial"/>
          <w:b/>
          <w:bCs/>
          <w:i/>
          <w:iCs/>
          <w:lang w:eastAsia="es-ES"/>
        </w:rPr>
        <w:t>improcedente</w:t>
      </w:r>
      <w:r w:rsidR="00394A75" w:rsidRPr="00FA0EE9">
        <w:rPr>
          <w:rFonts w:ascii="Arial" w:eastAsia="Times New Roman" w:hAnsi="Arial" w:cs="Arial"/>
          <w:bCs/>
          <w:i/>
          <w:iCs/>
          <w:lang w:eastAsia="es-ES"/>
        </w:rPr>
        <w:t xml:space="preserve"> la petición de referencia por las consideraciones citadas en esta </w:t>
      </w:r>
      <w:proofErr w:type="gramStart"/>
      <w:r w:rsidR="00394A75" w:rsidRPr="00FA0EE9">
        <w:rPr>
          <w:rFonts w:ascii="Arial" w:eastAsia="Times New Roman" w:hAnsi="Arial" w:cs="Arial"/>
          <w:bCs/>
          <w:i/>
          <w:iCs/>
          <w:lang w:eastAsia="es-ES"/>
        </w:rPr>
        <w:t>resolución …”</w:t>
      </w:r>
      <w:proofErr w:type="gramEnd"/>
    </w:p>
    <w:p w14:paraId="0920D3B7" w14:textId="45A79EC7" w:rsidR="00394A75" w:rsidRPr="00FA0EE9" w:rsidRDefault="00394A75"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 xml:space="preserve">De donde se advierte que el Jefe de la Unidad Jurídica del Instituto Catastral del Estado, realizó un análisis oficioso del acto consistente en la hoja de observaciones de seis de agosto de dos mil diecinueve, emitida por el Delegado Catastral de </w:t>
      </w:r>
      <w:r w:rsidR="00DF0D99">
        <w:rPr>
          <w:rFonts w:ascii="Arial" w:eastAsia="Times New Roman" w:hAnsi="Arial" w:cs="Arial"/>
          <w:bCs/>
          <w:i/>
          <w:iCs/>
          <w:lang w:eastAsia="es-ES"/>
        </w:rPr>
        <w:t>*******</w:t>
      </w:r>
      <w:r w:rsidRPr="00FA0EE9">
        <w:rPr>
          <w:rFonts w:ascii="Arial" w:eastAsia="Times New Roman" w:hAnsi="Arial" w:cs="Arial"/>
          <w:bCs/>
          <w:i/>
          <w:iCs/>
          <w:lang w:eastAsia="es-ES"/>
        </w:rPr>
        <w:t>, omitiendo el análisis de los agravios expuestos por los actores en su escrito de interposición del recurso de revisión de veintiuno de agosto de dos mil dieciséis, transgrediendo con lo anterior, los principios de exhaustividad y de congruencia que debe de reunir toda resoluci</w:t>
      </w:r>
      <w:r w:rsidR="004F41F6" w:rsidRPr="00FA0EE9">
        <w:rPr>
          <w:rFonts w:ascii="Arial" w:eastAsia="Times New Roman" w:hAnsi="Arial" w:cs="Arial"/>
          <w:bCs/>
          <w:i/>
          <w:iCs/>
          <w:lang w:eastAsia="es-ES"/>
        </w:rPr>
        <w:t>ón que decida una instancia.</w:t>
      </w:r>
    </w:p>
    <w:p w14:paraId="247045DE" w14:textId="78E15FA6" w:rsidR="004F41F6" w:rsidRPr="00FA0EE9" w:rsidRDefault="004F41F6" w:rsidP="00B50E95">
      <w:pPr>
        <w:spacing w:before="240"/>
        <w:ind w:left="567" w:right="616"/>
        <w:jc w:val="both"/>
        <w:rPr>
          <w:rFonts w:ascii="Arial" w:eastAsia="Times New Roman" w:hAnsi="Arial" w:cs="Arial"/>
          <w:b/>
          <w:bCs/>
          <w:i/>
          <w:iCs/>
          <w:lang w:eastAsia="es-ES"/>
        </w:rPr>
      </w:pPr>
      <w:r w:rsidRPr="00FA0EE9">
        <w:rPr>
          <w:rFonts w:ascii="Arial" w:eastAsia="Times New Roman" w:hAnsi="Arial" w:cs="Arial"/>
          <w:bCs/>
          <w:i/>
          <w:iCs/>
          <w:lang w:eastAsia="es-ES"/>
        </w:rPr>
        <w:lastRenderedPageBreak/>
        <w:t xml:space="preserve">Esto es así, pues los principios de congruencia y exhaustividad que rigen a las autoridades resolutoras, están referidos a que las resoluciones no sólo sean congruentes consigo misma, sino también con la Litis, apreciando las pruebas conducentes y resolviendo sin omitir nada, ni añadir cuestiones no hechas valer, ni expresar consideraciones contrarias entre sí o con los puntos resolutivos, lo que obliga a la autoridad, </w:t>
      </w:r>
      <w:r w:rsidRPr="00FA0EE9">
        <w:rPr>
          <w:rFonts w:ascii="Arial" w:eastAsia="Times New Roman" w:hAnsi="Arial" w:cs="Arial"/>
          <w:b/>
          <w:bCs/>
          <w:i/>
          <w:iCs/>
          <w:lang w:eastAsia="es-ES"/>
        </w:rPr>
        <w:t>a pronunciarse sobre todas y cada una de las pretensiones de los accionantes</w:t>
      </w:r>
      <w:r w:rsidRPr="00FA0EE9">
        <w:rPr>
          <w:rFonts w:ascii="Arial" w:eastAsia="Times New Roman" w:hAnsi="Arial" w:cs="Arial"/>
          <w:bCs/>
          <w:i/>
          <w:iCs/>
          <w:lang w:eastAsia="es-ES"/>
        </w:rPr>
        <w:t xml:space="preserve">; lo que en el presente caso </w:t>
      </w:r>
      <w:r w:rsidRPr="00FA0EE9">
        <w:rPr>
          <w:rFonts w:ascii="Arial" w:eastAsia="Times New Roman" w:hAnsi="Arial" w:cs="Arial"/>
          <w:b/>
          <w:bCs/>
          <w:i/>
          <w:iCs/>
          <w:lang w:eastAsia="es-ES"/>
        </w:rPr>
        <w:t>no ocurrió.</w:t>
      </w:r>
    </w:p>
    <w:p w14:paraId="791F5C03" w14:textId="1B50B10B" w:rsidR="004F41F6" w:rsidRPr="00FA0EE9" w:rsidRDefault="004F41F6" w:rsidP="00B50E95">
      <w:pPr>
        <w:spacing w:before="240"/>
        <w:ind w:left="567" w:right="616"/>
        <w:jc w:val="both"/>
        <w:rPr>
          <w:rFonts w:ascii="Arial" w:hAnsi="Arial" w:cs="Arial"/>
          <w:i/>
        </w:rPr>
      </w:pPr>
      <w:r w:rsidRPr="00FA0EE9">
        <w:rPr>
          <w:rFonts w:ascii="Arial" w:eastAsia="Times New Roman" w:hAnsi="Arial" w:cs="Arial"/>
          <w:bCs/>
          <w:i/>
          <w:iCs/>
          <w:lang w:eastAsia="es-ES"/>
        </w:rPr>
        <w:t>Además, la autoridad demandada, argumenta en su resolución, que el trámite catastral de rectificación de registro por corrección de medidas, ingresado con fecha cinco de agosto de dos mil diecinueve, es improcedente, pues la superficie que se pretende inscribir el superior al 20% de la superficie ya inscrita, actualizándose el artículo 40 fracción IV, inciso d) segundo párrafo del Reglamento de la Ley de Catastro del Estado, que establece: “…s</w:t>
      </w:r>
      <w:r w:rsidRPr="00FA0EE9">
        <w:rPr>
          <w:rFonts w:ascii="Arial" w:hAnsi="Arial" w:cs="Arial"/>
          <w:i/>
        </w:rPr>
        <w:t>i la rectificación de medidas revela superficie excedente de la inscrita en los registros catastrales mayor a un 20%, este excedente se considerará como superficie oculta a la acción fiscal y por lo tanto, sujeta a las anotaciones que establezcan las leyes en la materia…”.</w:t>
      </w:r>
    </w:p>
    <w:p w14:paraId="01A4AFEB" w14:textId="40692C60" w:rsidR="004F41F6" w:rsidRPr="00FA0EE9" w:rsidRDefault="004F41F6" w:rsidP="00B50E95">
      <w:pPr>
        <w:spacing w:before="240"/>
        <w:ind w:left="567" w:right="616"/>
        <w:jc w:val="both"/>
        <w:rPr>
          <w:rFonts w:ascii="Arial" w:eastAsia="Times New Roman" w:hAnsi="Arial" w:cs="Arial"/>
          <w:bCs/>
          <w:i/>
          <w:iCs/>
          <w:lang w:eastAsia="es-ES"/>
        </w:rPr>
      </w:pPr>
      <w:r w:rsidRPr="00FA0EE9">
        <w:rPr>
          <w:rFonts w:ascii="Arial" w:hAnsi="Arial" w:cs="Arial"/>
          <w:i/>
        </w:rPr>
        <w:t xml:space="preserve">Sin embargo, </w:t>
      </w:r>
      <w:r w:rsidR="009E079F" w:rsidRPr="00FA0EE9">
        <w:rPr>
          <w:rFonts w:ascii="Arial" w:hAnsi="Arial" w:cs="Arial"/>
          <w:i/>
        </w:rPr>
        <w:t xml:space="preserve">el Jefe de la Unidad Jurídica del </w:t>
      </w:r>
      <w:r w:rsidR="009E079F" w:rsidRPr="00FA0EE9">
        <w:rPr>
          <w:rFonts w:ascii="Arial" w:eastAsia="Times New Roman" w:hAnsi="Arial" w:cs="Arial"/>
          <w:bCs/>
          <w:i/>
          <w:iCs/>
          <w:lang w:eastAsia="es-ES"/>
        </w:rPr>
        <w:t xml:space="preserve">Instituto Catastral del Estado, omitió indicar los motivos y circunstancias especiales </w:t>
      </w:r>
      <w:r w:rsidR="00585089" w:rsidRPr="00FA0EE9">
        <w:rPr>
          <w:rFonts w:ascii="Arial" w:eastAsia="Times New Roman" w:hAnsi="Arial" w:cs="Arial"/>
          <w:bCs/>
          <w:i/>
          <w:iCs/>
          <w:lang w:eastAsia="es-ES"/>
        </w:rPr>
        <w:t xml:space="preserve">por las cuales el artículo 40 fracción IV, inciso d) segundo párrafo del Reglamento de la Ley de Catastro del Estado, resultaba aplicable al caso concreto; ya que, no explicó el motivo por el cual </w:t>
      </w:r>
      <w:r w:rsidR="00792B7D" w:rsidRPr="00FA0EE9">
        <w:rPr>
          <w:rFonts w:ascii="Arial" w:eastAsia="Times New Roman" w:hAnsi="Arial" w:cs="Arial"/>
          <w:bCs/>
          <w:i/>
          <w:iCs/>
          <w:lang w:eastAsia="es-ES"/>
        </w:rPr>
        <w:t xml:space="preserve">el predio revelaba una superficie superior al 20%, pues no señaló la diferencia existente entre las medidas originales del predio </w:t>
      </w:r>
      <w:r w:rsidR="009B12BE" w:rsidRPr="00FA0EE9">
        <w:rPr>
          <w:rFonts w:ascii="Arial" w:eastAsia="Times New Roman" w:hAnsi="Arial" w:cs="Arial"/>
          <w:bCs/>
          <w:i/>
          <w:iCs/>
          <w:lang w:eastAsia="es-ES"/>
        </w:rPr>
        <w:t>y las resultantes en la diligencia de apeo y deslinde de fecha diecinueve de julio de dos mil diecinueve</w:t>
      </w:r>
      <w:r w:rsidR="008815AA" w:rsidRPr="00FA0EE9">
        <w:rPr>
          <w:rFonts w:ascii="Arial" w:eastAsia="Times New Roman" w:hAnsi="Arial" w:cs="Arial"/>
          <w:bCs/>
          <w:i/>
          <w:iCs/>
          <w:lang w:eastAsia="es-ES"/>
        </w:rPr>
        <w:t xml:space="preserve">, realizada por el Alcalde Único Constitucional de </w:t>
      </w:r>
      <w:r w:rsidR="00DF0D99">
        <w:rPr>
          <w:rFonts w:ascii="Arial" w:eastAsia="Times New Roman" w:hAnsi="Arial" w:cs="Arial"/>
          <w:bCs/>
          <w:i/>
          <w:iCs/>
          <w:lang w:eastAsia="es-ES"/>
        </w:rPr>
        <w:t>*******</w:t>
      </w:r>
      <w:r w:rsidR="008815AA" w:rsidRPr="00FA0EE9">
        <w:rPr>
          <w:rFonts w:ascii="Arial" w:eastAsia="Times New Roman" w:hAnsi="Arial" w:cs="Arial"/>
          <w:bCs/>
          <w:i/>
          <w:iCs/>
          <w:lang w:eastAsia="es-ES"/>
        </w:rPr>
        <w:t>, con la finalidad de verificar si con las nuevas medidas, el predio excedía de una superficie del 20% mayor al predio de los actores, pues únicamente se limitó a aseverar lo anterior, sin indicar los motivos o razones por los cuales llegó a esa conclusión.</w:t>
      </w:r>
    </w:p>
    <w:p w14:paraId="5FF93062" w14:textId="2EE78182" w:rsidR="008815AA" w:rsidRPr="00FA0EE9" w:rsidRDefault="008815AA"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Aunado, que la autoridad demanda (sic) señaló que la solicitud de los actores resultaba improcedente en virtud de que había incumplido con los requisitos de procedibilidad necesarios para el trámite catastral de rectificación de registro por corrección de medidas, en específico las señaladas en las fracciones II y VIII del artículo 49 del Reglamento de la Ley de Catastro del Estado, que indica:</w:t>
      </w:r>
    </w:p>
    <w:p w14:paraId="02603405" w14:textId="79AFD6A9" w:rsidR="008815AA" w:rsidRPr="00FA0EE9" w:rsidRDefault="008815AA"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ARTICULO 49.- Para el trámite de corrección o actualización de datos, medidas, construcción y fraccionamientos deberá presentar lo siguiente:</w:t>
      </w:r>
    </w:p>
    <w:p w14:paraId="69CB1557" w14:textId="68E26435" w:rsidR="008815AA" w:rsidRPr="00FA0EE9" w:rsidRDefault="008815AA"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w:t>
      </w:r>
    </w:p>
    <w:p w14:paraId="502B44B5" w14:textId="73746AC6" w:rsidR="008815AA" w:rsidRPr="00FA0EE9" w:rsidRDefault="008815AA"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 xml:space="preserve">II. Copia del antecedente de propiedad; </w:t>
      </w:r>
    </w:p>
    <w:p w14:paraId="2F442908" w14:textId="476A0A24" w:rsidR="009B12BE" w:rsidRPr="00FA0EE9" w:rsidRDefault="008815AA"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 xml:space="preserve">VIII. Documentos que acrediten la corrección de los datos; </w:t>
      </w:r>
      <w:r w:rsidR="008553F4" w:rsidRPr="00FA0EE9">
        <w:rPr>
          <w:rFonts w:ascii="Arial" w:eastAsia="Times New Roman" w:hAnsi="Arial" w:cs="Arial"/>
          <w:bCs/>
          <w:i/>
          <w:iCs/>
          <w:lang w:eastAsia="es-ES"/>
        </w:rPr>
        <w:t>y”</w:t>
      </w:r>
    </w:p>
    <w:p w14:paraId="4A13EC4E" w14:textId="3AAE7A75" w:rsidR="008553F4" w:rsidRPr="00FA0EE9" w:rsidRDefault="008553F4"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 xml:space="preserve">De donde se advierte, que la demandada no explicó a los actores cuales eran esos requisitos a que hacía referencia en su resolución, pues para tener por satisfecho el requisito de una debida fundamentación y motivación, debió darle a conocer a detalle y de manera completa la esencia de todas las circunstancias y condiciones que determinaron el acto de autoridad, de manera que sea evidente y muy claro para el afectado poder cuestionar y controvertir el mérito de la decisión, permitiéndole una real y auténtica defensa; es decir, la autoridad </w:t>
      </w:r>
      <w:r w:rsidRPr="00FA0EE9">
        <w:rPr>
          <w:rFonts w:ascii="Arial" w:eastAsia="Times New Roman" w:hAnsi="Arial" w:cs="Arial"/>
          <w:bCs/>
          <w:i/>
          <w:iCs/>
          <w:lang w:eastAsia="es-ES"/>
        </w:rPr>
        <w:lastRenderedPageBreak/>
        <w:t>demandada debió de explicar a los administrados, en qué consiste el trámite catastral de rectificación de registro por corrección de medidas, así como los requisitos que debe cumplir para su procedencia y en específico las características que deben de reunir los documentos señalados en las fracciones II y VIII del artículo 49 del Reglamento de la Ley de Catastro del Estado, pues de no hacerse de esta manera, se estaría contraviniendo los principios de fundamentación y motivación que debe tener todo acto de autoridad.</w:t>
      </w:r>
    </w:p>
    <w:p w14:paraId="37FE87DA" w14:textId="1ED0A449" w:rsidR="008553F4" w:rsidRPr="00FA0EE9" w:rsidRDefault="008553F4"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w:t>
      </w:r>
    </w:p>
    <w:p w14:paraId="453B3CA4" w14:textId="1A1A2899" w:rsidR="008553F4" w:rsidRPr="00FA0EE9" w:rsidRDefault="008553F4" w:rsidP="00B50E95">
      <w:pPr>
        <w:spacing w:before="240"/>
        <w:ind w:left="567" w:right="616"/>
        <w:jc w:val="both"/>
        <w:rPr>
          <w:rFonts w:ascii="Arial" w:eastAsia="Times New Roman" w:hAnsi="Arial" w:cs="Arial"/>
          <w:bCs/>
          <w:i/>
          <w:iCs/>
          <w:lang w:eastAsia="es-ES"/>
        </w:rPr>
      </w:pPr>
      <w:r w:rsidRPr="00FA0EE9">
        <w:rPr>
          <w:rFonts w:ascii="Arial" w:eastAsia="Times New Roman" w:hAnsi="Arial" w:cs="Arial"/>
          <w:bCs/>
          <w:i/>
          <w:iCs/>
          <w:lang w:eastAsia="es-ES"/>
        </w:rPr>
        <w:t xml:space="preserve">En consecuencia, este Juzgador declara que el acto impugnado carece de los requisitos legales de una debida fundamentación y motivación que exige el artículo 16 de la Constitución Política de los Estados Unidos Mexicanos y el diverso 17 fracción V de la Ley de Procedimiento y Justicia Administrativa para el Estado, por lo que se declara la NULIDAD del acto administrativo impugnado PARA EL EFECTO de que: a) la autoridad demandada </w:t>
      </w:r>
      <w:r w:rsidRPr="00FA0EE9">
        <w:rPr>
          <w:rFonts w:ascii="Arial" w:hAnsi="Arial" w:cs="Arial"/>
          <w:i/>
        </w:rPr>
        <w:t xml:space="preserve">Jefe de la Unidad Jurídica del </w:t>
      </w:r>
      <w:r w:rsidRPr="00FA0EE9">
        <w:rPr>
          <w:rFonts w:ascii="Arial" w:eastAsia="Times New Roman" w:hAnsi="Arial" w:cs="Arial"/>
          <w:bCs/>
          <w:i/>
          <w:iCs/>
          <w:lang w:eastAsia="es-ES"/>
        </w:rPr>
        <w:t xml:space="preserve">Instituto Catastral del Estado deje sin efectos el oficio número </w:t>
      </w:r>
      <w:r w:rsidR="00DF0D99">
        <w:rPr>
          <w:rFonts w:ascii="Arial" w:eastAsia="Times New Roman" w:hAnsi="Arial" w:cs="Arial"/>
          <w:bCs/>
          <w:i/>
          <w:iCs/>
          <w:lang w:eastAsia="es-ES"/>
        </w:rPr>
        <w:t>*******</w:t>
      </w:r>
      <w:r w:rsidRPr="00FA0EE9">
        <w:rPr>
          <w:rFonts w:ascii="Arial" w:eastAsia="Times New Roman" w:hAnsi="Arial" w:cs="Arial"/>
          <w:bCs/>
          <w:i/>
          <w:iCs/>
          <w:lang w:eastAsia="es-ES"/>
        </w:rPr>
        <w:t>, que contiene la resolución de diecinueve de septiembre de dos mil diecinueve, dictada en el recurso de revisión número 030/2019 y en su lugar emita otro acto administrativo, en el que de manera fundada y motivada</w:t>
      </w:r>
      <w:r w:rsidR="00FA0EE9" w:rsidRPr="00FA0EE9">
        <w:rPr>
          <w:rFonts w:ascii="Arial" w:eastAsia="Times New Roman" w:hAnsi="Arial" w:cs="Arial"/>
          <w:bCs/>
          <w:i/>
          <w:iCs/>
          <w:lang w:eastAsia="es-ES"/>
        </w:rPr>
        <w:t xml:space="preserve">; b) (sic) realice una operación aritmética comparando las medidas originales del predio y las resultantes en la diligencia de apeo y deslinde de fecha diecinueve de julio de dos mil diecinueve, realizada por el Alcalde Único Constitucional de </w:t>
      </w:r>
      <w:r w:rsidR="00DF0D99">
        <w:rPr>
          <w:rFonts w:ascii="Arial" w:eastAsia="Times New Roman" w:hAnsi="Arial" w:cs="Arial"/>
          <w:bCs/>
          <w:i/>
          <w:iCs/>
          <w:lang w:eastAsia="es-ES"/>
        </w:rPr>
        <w:t>*******</w:t>
      </w:r>
      <w:r w:rsidR="00FA0EE9" w:rsidRPr="00FA0EE9">
        <w:rPr>
          <w:rFonts w:ascii="Arial" w:eastAsia="Times New Roman" w:hAnsi="Arial" w:cs="Arial"/>
          <w:bCs/>
          <w:i/>
          <w:iCs/>
          <w:lang w:eastAsia="es-ES"/>
        </w:rPr>
        <w:t>, y si la diferencia resultante es igual o menor al 20% de la superficie registrada, declare la procedencia del trámite catastral de rectificación de registro por corrección de medidas y en caso de que dicha diferencia sea superior al 20%, declare la improcedencia del trámite solicitado.”</w:t>
      </w:r>
    </w:p>
    <w:p w14:paraId="3952F589" w14:textId="1DD8260F" w:rsidR="007445F8" w:rsidRDefault="00FA0EE9" w:rsidP="00B23A60">
      <w:pPr>
        <w:spacing w:before="240" w:line="360" w:lineRule="auto"/>
        <w:ind w:right="49" w:firstLine="567"/>
        <w:jc w:val="both"/>
        <w:rPr>
          <w:rFonts w:ascii="Arial" w:eastAsia="Calibri" w:hAnsi="Arial" w:cs="Arial"/>
          <w:bCs/>
          <w:sz w:val="26"/>
          <w:szCs w:val="26"/>
        </w:rPr>
      </w:pPr>
      <w:r>
        <w:rPr>
          <w:rFonts w:ascii="Arial" w:eastAsia="Times New Roman" w:hAnsi="Arial" w:cs="Arial"/>
          <w:bCs/>
          <w:iCs/>
          <w:sz w:val="26"/>
          <w:szCs w:val="26"/>
          <w:lang w:eastAsia="es-ES"/>
        </w:rPr>
        <w:t xml:space="preserve">De la transcripción insertada, </w:t>
      </w:r>
      <w:r w:rsidR="00F718C5">
        <w:rPr>
          <w:rFonts w:ascii="Arial" w:eastAsia="Times New Roman" w:hAnsi="Arial" w:cs="Arial"/>
          <w:bCs/>
          <w:iCs/>
          <w:sz w:val="26"/>
          <w:szCs w:val="26"/>
          <w:lang w:eastAsia="es-ES"/>
        </w:rPr>
        <w:t xml:space="preserve">se advierte que contrariamente a lo que asevera el recurrente, la Cuarta Sala Unitaria sí cumplió con el </w:t>
      </w:r>
      <w:r w:rsidR="00F718C5">
        <w:rPr>
          <w:rFonts w:ascii="Arial" w:hAnsi="Arial" w:cs="Arial"/>
          <w:i/>
          <w:sz w:val="26"/>
          <w:szCs w:val="26"/>
        </w:rPr>
        <w:t>principio</w:t>
      </w:r>
      <w:r w:rsidR="00F718C5" w:rsidRPr="00561DBE">
        <w:rPr>
          <w:rFonts w:ascii="Arial" w:hAnsi="Arial" w:cs="Arial"/>
          <w:i/>
          <w:sz w:val="26"/>
          <w:szCs w:val="26"/>
        </w:rPr>
        <w:t xml:space="preserve"> de congruencia</w:t>
      </w:r>
      <w:r w:rsidR="00F718C5">
        <w:rPr>
          <w:rFonts w:ascii="Arial" w:hAnsi="Arial" w:cs="Arial"/>
          <w:sz w:val="26"/>
          <w:szCs w:val="26"/>
        </w:rPr>
        <w:t xml:space="preserve"> exigido por los numerales 207, 208 y 209</w:t>
      </w:r>
      <w:r w:rsidR="00F718C5">
        <w:rPr>
          <w:rStyle w:val="Refdenotaalpie"/>
          <w:rFonts w:ascii="Arial" w:hAnsi="Arial" w:cs="Arial"/>
          <w:sz w:val="26"/>
          <w:szCs w:val="26"/>
        </w:rPr>
        <w:footnoteReference w:id="4"/>
      </w:r>
      <w:r w:rsidR="00F718C5">
        <w:rPr>
          <w:rFonts w:ascii="Arial" w:hAnsi="Arial" w:cs="Arial"/>
          <w:sz w:val="26"/>
          <w:szCs w:val="26"/>
        </w:rPr>
        <w:t xml:space="preserve"> </w:t>
      </w:r>
      <w:r w:rsidR="00F718C5">
        <w:rPr>
          <w:rFonts w:ascii="Arial" w:eastAsia="Calibri" w:hAnsi="Arial" w:cs="Arial"/>
          <w:bCs/>
          <w:sz w:val="26"/>
          <w:szCs w:val="26"/>
        </w:rPr>
        <w:t xml:space="preserve">de la </w:t>
      </w:r>
      <w:r w:rsidR="00F718C5" w:rsidRPr="00F062FC">
        <w:rPr>
          <w:rFonts w:ascii="Arial" w:eastAsia="Calibri" w:hAnsi="Arial" w:cs="Arial"/>
          <w:bCs/>
          <w:sz w:val="26"/>
          <w:szCs w:val="26"/>
        </w:rPr>
        <w:t>Ley de Procedimiento y Justicia Administ</w:t>
      </w:r>
      <w:r w:rsidR="00F718C5">
        <w:rPr>
          <w:rFonts w:ascii="Arial" w:eastAsia="Calibri" w:hAnsi="Arial" w:cs="Arial"/>
          <w:bCs/>
          <w:sz w:val="26"/>
          <w:szCs w:val="26"/>
        </w:rPr>
        <w:t xml:space="preserve">rativa para el Estado de Oaxaca, </w:t>
      </w:r>
      <w:r w:rsidR="007445F8">
        <w:rPr>
          <w:rFonts w:ascii="Arial" w:eastAsia="Calibri" w:hAnsi="Arial" w:cs="Arial"/>
          <w:bCs/>
          <w:sz w:val="26"/>
          <w:szCs w:val="26"/>
        </w:rPr>
        <w:t xml:space="preserve">ya que </w:t>
      </w:r>
      <w:r w:rsidR="00B23A60">
        <w:rPr>
          <w:rFonts w:ascii="Arial" w:eastAsia="Calibri" w:hAnsi="Arial" w:cs="Arial"/>
          <w:bCs/>
          <w:sz w:val="26"/>
          <w:szCs w:val="26"/>
        </w:rPr>
        <w:t xml:space="preserve">en ese fallo se declaró la nulidad para efectos del </w:t>
      </w:r>
      <w:r w:rsidR="007445F8">
        <w:rPr>
          <w:rFonts w:ascii="Arial" w:eastAsia="Calibri" w:hAnsi="Arial" w:cs="Arial"/>
          <w:bCs/>
          <w:sz w:val="26"/>
          <w:szCs w:val="26"/>
        </w:rPr>
        <w:t xml:space="preserve">acto impugnado consiste en el </w:t>
      </w:r>
      <w:r w:rsidR="007445F8" w:rsidRPr="007445F8">
        <w:rPr>
          <w:rFonts w:ascii="Arial" w:eastAsia="Calibri" w:hAnsi="Arial" w:cs="Arial"/>
          <w:bCs/>
          <w:sz w:val="26"/>
          <w:szCs w:val="26"/>
        </w:rPr>
        <w:t xml:space="preserve">oficio número </w:t>
      </w:r>
      <w:r w:rsidR="00DF0D99">
        <w:rPr>
          <w:rFonts w:ascii="Arial" w:eastAsia="Calibri" w:hAnsi="Arial" w:cs="Arial"/>
          <w:b/>
          <w:bCs/>
          <w:sz w:val="26"/>
          <w:szCs w:val="26"/>
        </w:rPr>
        <w:t>*******</w:t>
      </w:r>
      <w:r w:rsidR="007445F8" w:rsidRPr="007445F8">
        <w:rPr>
          <w:rFonts w:ascii="Arial" w:eastAsia="Calibri" w:hAnsi="Arial" w:cs="Arial"/>
          <w:bCs/>
          <w:sz w:val="26"/>
          <w:szCs w:val="26"/>
        </w:rPr>
        <w:t xml:space="preserve">, que contiene la </w:t>
      </w:r>
      <w:r w:rsidR="007445F8" w:rsidRPr="007445F8">
        <w:rPr>
          <w:rFonts w:ascii="Arial" w:eastAsia="Calibri" w:hAnsi="Arial" w:cs="Arial"/>
          <w:bCs/>
          <w:sz w:val="26"/>
          <w:szCs w:val="26"/>
        </w:rPr>
        <w:lastRenderedPageBreak/>
        <w:t xml:space="preserve">resolución de diecinueve de septiembre de dos mil diecinueve, dictada en el recurso de revisión número </w:t>
      </w:r>
      <w:r w:rsidR="007445F8" w:rsidRPr="00B23A60">
        <w:rPr>
          <w:rFonts w:ascii="Arial" w:eastAsia="Calibri" w:hAnsi="Arial" w:cs="Arial"/>
          <w:b/>
          <w:bCs/>
          <w:sz w:val="26"/>
          <w:szCs w:val="26"/>
        </w:rPr>
        <w:t>030/2019</w:t>
      </w:r>
      <w:r w:rsidR="00CC1C7C">
        <w:rPr>
          <w:rFonts w:ascii="Arial" w:eastAsia="Calibri" w:hAnsi="Arial" w:cs="Arial"/>
          <w:bCs/>
          <w:sz w:val="26"/>
          <w:szCs w:val="26"/>
        </w:rPr>
        <w:t xml:space="preserve">, por el </w:t>
      </w:r>
      <w:r w:rsidR="00CC1C7C" w:rsidRPr="00CC1C7C">
        <w:rPr>
          <w:rFonts w:ascii="Arial" w:eastAsia="Calibri" w:hAnsi="Arial" w:cs="Arial"/>
          <w:bCs/>
          <w:sz w:val="26"/>
          <w:szCs w:val="26"/>
        </w:rPr>
        <w:t>Jefe de la Unidad Jurídica del Instituto Catastral del Estado</w:t>
      </w:r>
      <w:r w:rsidR="00CC1C7C">
        <w:rPr>
          <w:rFonts w:ascii="Arial" w:eastAsia="Calibri" w:hAnsi="Arial" w:cs="Arial"/>
          <w:bCs/>
          <w:sz w:val="26"/>
          <w:szCs w:val="26"/>
        </w:rPr>
        <w:t xml:space="preserve"> de O</w:t>
      </w:r>
      <w:r w:rsidR="00B23A60">
        <w:rPr>
          <w:rFonts w:ascii="Arial" w:eastAsia="Calibri" w:hAnsi="Arial" w:cs="Arial"/>
          <w:bCs/>
          <w:sz w:val="26"/>
          <w:szCs w:val="26"/>
        </w:rPr>
        <w:t xml:space="preserve">axaca, y cabe mencionar que se observa coherencia entre la pretensión que el actor reclamó en la demanda y los puntos resolutivos de la sentencia en revisión. De ahí lo </w:t>
      </w:r>
      <w:r w:rsidR="00B23A60" w:rsidRPr="00B23A60">
        <w:rPr>
          <w:rFonts w:ascii="Arial" w:eastAsia="Calibri" w:hAnsi="Arial" w:cs="Arial"/>
          <w:b/>
          <w:bCs/>
          <w:sz w:val="26"/>
          <w:szCs w:val="26"/>
        </w:rPr>
        <w:t>INFUNDADO</w:t>
      </w:r>
      <w:r w:rsidR="00B23A60">
        <w:rPr>
          <w:rFonts w:ascii="Arial" w:eastAsia="Calibri" w:hAnsi="Arial" w:cs="Arial"/>
          <w:bCs/>
          <w:sz w:val="26"/>
          <w:szCs w:val="26"/>
        </w:rPr>
        <w:t xml:space="preserve"> del agravio. </w:t>
      </w:r>
      <w:r w:rsidR="00B50E95">
        <w:rPr>
          <w:rFonts w:ascii="Arial" w:eastAsia="Calibri" w:hAnsi="Arial" w:cs="Arial"/>
          <w:bCs/>
          <w:sz w:val="26"/>
          <w:szCs w:val="26"/>
        </w:rPr>
        <w:t xml:space="preserve">- - - - - - - - - - - - - - - - - - - </w:t>
      </w:r>
      <w:r w:rsidR="00DF0D99">
        <w:rPr>
          <w:rFonts w:ascii="Arial" w:eastAsia="Calibri" w:hAnsi="Arial" w:cs="Arial"/>
          <w:bCs/>
          <w:sz w:val="26"/>
          <w:szCs w:val="26"/>
        </w:rPr>
        <w:t>- - - - - - - - - - - -</w:t>
      </w:r>
    </w:p>
    <w:p w14:paraId="646D61AC" w14:textId="06D825E3" w:rsidR="009B12BE" w:rsidRPr="009B12BE" w:rsidRDefault="00B23A60" w:rsidP="00B23A60">
      <w:pPr>
        <w:spacing w:before="240" w:line="360" w:lineRule="auto"/>
        <w:ind w:firstLine="708"/>
        <w:jc w:val="both"/>
        <w:rPr>
          <w:rFonts w:ascii="Arial" w:eastAsia="Times New Roman" w:hAnsi="Arial" w:cs="Arial"/>
          <w:bCs/>
          <w:iCs/>
          <w:sz w:val="26"/>
          <w:szCs w:val="26"/>
          <w:lang w:eastAsia="es-ES"/>
        </w:rPr>
      </w:pPr>
      <w:r>
        <w:rPr>
          <w:rFonts w:ascii="Arial" w:eastAsia="Calibri" w:hAnsi="Arial" w:cs="Arial"/>
          <w:bCs/>
          <w:sz w:val="26"/>
          <w:szCs w:val="26"/>
        </w:rPr>
        <w:t xml:space="preserve">Sirve de apoyo a lo anterior, la tesis </w:t>
      </w:r>
      <w:r w:rsidRPr="009B12BE">
        <w:rPr>
          <w:rFonts w:ascii="Arial" w:eastAsia="Times New Roman" w:hAnsi="Arial" w:cs="Arial"/>
          <w:bCs/>
          <w:iCs/>
          <w:sz w:val="26"/>
          <w:szCs w:val="26"/>
          <w:lang w:eastAsia="es-ES"/>
        </w:rPr>
        <w:t>1o.28 A (10a.)</w:t>
      </w:r>
      <w:r>
        <w:rPr>
          <w:rFonts w:ascii="Arial" w:eastAsia="Times New Roman" w:hAnsi="Arial" w:cs="Arial"/>
          <w:bCs/>
          <w:iCs/>
          <w:sz w:val="26"/>
          <w:szCs w:val="26"/>
          <w:lang w:eastAsia="es-ES"/>
        </w:rPr>
        <w:t>, con registro digital</w:t>
      </w:r>
      <w:r w:rsidRPr="009B12BE">
        <w:rPr>
          <w:rFonts w:ascii="Arial" w:eastAsia="Times New Roman" w:hAnsi="Arial" w:cs="Arial"/>
          <w:bCs/>
          <w:iCs/>
          <w:sz w:val="26"/>
          <w:szCs w:val="26"/>
          <w:lang w:eastAsia="es-ES"/>
        </w:rPr>
        <w:t xml:space="preserve"> 2022574</w:t>
      </w:r>
      <w:r>
        <w:rPr>
          <w:rFonts w:ascii="Arial" w:eastAsia="Times New Roman" w:hAnsi="Arial" w:cs="Arial"/>
          <w:bCs/>
          <w:iCs/>
          <w:sz w:val="26"/>
          <w:szCs w:val="26"/>
          <w:lang w:eastAsia="es-ES"/>
        </w:rPr>
        <w:t xml:space="preserve">, emitida por los </w:t>
      </w:r>
      <w:r w:rsidRPr="009B12BE">
        <w:rPr>
          <w:rFonts w:ascii="Arial" w:eastAsia="Times New Roman" w:hAnsi="Arial" w:cs="Arial"/>
          <w:bCs/>
          <w:iCs/>
          <w:sz w:val="26"/>
          <w:szCs w:val="26"/>
          <w:lang w:eastAsia="es-ES"/>
        </w:rPr>
        <w:t>Tribunales Colegiados de Circuito</w:t>
      </w:r>
      <w:r>
        <w:rPr>
          <w:rFonts w:ascii="Arial" w:eastAsia="Times New Roman" w:hAnsi="Arial" w:cs="Arial"/>
          <w:bCs/>
          <w:iCs/>
          <w:sz w:val="26"/>
          <w:szCs w:val="26"/>
          <w:lang w:eastAsia="es-ES"/>
        </w:rPr>
        <w:t xml:space="preserve">, en la </w:t>
      </w:r>
      <w:r w:rsidRPr="009B12BE">
        <w:rPr>
          <w:rFonts w:ascii="Arial" w:eastAsia="Times New Roman" w:hAnsi="Arial" w:cs="Arial"/>
          <w:bCs/>
          <w:iCs/>
          <w:sz w:val="26"/>
          <w:szCs w:val="26"/>
          <w:lang w:eastAsia="es-ES"/>
        </w:rPr>
        <w:t>Décima Época</w:t>
      </w:r>
      <w:r>
        <w:rPr>
          <w:rFonts w:ascii="Arial" w:eastAsia="Times New Roman" w:hAnsi="Arial" w:cs="Arial"/>
          <w:bCs/>
          <w:iCs/>
          <w:sz w:val="26"/>
          <w:szCs w:val="26"/>
          <w:lang w:eastAsia="es-ES"/>
        </w:rPr>
        <w:t xml:space="preserve">, visible en la </w:t>
      </w:r>
      <w:r w:rsidR="009B12BE" w:rsidRPr="009B12BE">
        <w:rPr>
          <w:rFonts w:ascii="Arial" w:eastAsia="Times New Roman" w:hAnsi="Arial" w:cs="Arial"/>
          <w:bCs/>
          <w:iCs/>
          <w:sz w:val="26"/>
          <w:szCs w:val="26"/>
          <w:lang w:eastAsia="es-ES"/>
        </w:rPr>
        <w:t>Gaceta del Semanario Judicial de la Federación. Libro 81, Diciembr</w:t>
      </w:r>
      <w:r>
        <w:rPr>
          <w:rFonts w:ascii="Arial" w:eastAsia="Times New Roman" w:hAnsi="Arial" w:cs="Arial"/>
          <w:bCs/>
          <w:iCs/>
          <w:sz w:val="26"/>
          <w:szCs w:val="26"/>
          <w:lang w:eastAsia="es-ES"/>
        </w:rPr>
        <w:t>e de 2020, Tomo II, página 1698, de rubro y textos siguientes:</w:t>
      </w:r>
    </w:p>
    <w:p w14:paraId="5348E830" w14:textId="2D0468AC" w:rsidR="009B12BE" w:rsidRPr="00B23A60" w:rsidRDefault="00B23A60" w:rsidP="00B50E95">
      <w:pPr>
        <w:spacing w:before="240"/>
        <w:ind w:left="567" w:right="616"/>
        <w:jc w:val="both"/>
        <w:rPr>
          <w:rFonts w:ascii="Arial" w:eastAsia="Times New Roman" w:hAnsi="Arial" w:cs="Arial"/>
          <w:b/>
          <w:bCs/>
          <w:i/>
          <w:iCs/>
          <w:lang w:eastAsia="es-ES"/>
        </w:rPr>
      </w:pPr>
      <w:r>
        <w:rPr>
          <w:rFonts w:ascii="Arial" w:eastAsia="Times New Roman" w:hAnsi="Arial" w:cs="Arial"/>
          <w:bCs/>
          <w:i/>
          <w:iCs/>
          <w:lang w:eastAsia="es-ES"/>
        </w:rPr>
        <w:t>“</w:t>
      </w:r>
      <w:r w:rsidR="009B12BE" w:rsidRPr="00B23A60">
        <w:rPr>
          <w:rFonts w:ascii="Arial" w:eastAsia="Times New Roman" w:hAnsi="Arial" w:cs="Arial"/>
          <w:b/>
          <w:bCs/>
          <w:i/>
          <w:iCs/>
          <w:lang w:eastAsia="es-ES"/>
        </w:rPr>
        <w:t>PRINCIPIO DE CONGRUENCIA DE LAS SENTENCIAS DE NULIDAD. CONSISTE EN ASEGURAR LA RESPUESTA AL TEMA ESENCIAL MATERIA DE LA LITIS.</w:t>
      </w:r>
    </w:p>
    <w:p w14:paraId="3B3F9430" w14:textId="7EECC410" w:rsidR="009B12BE" w:rsidRPr="00B23A60" w:rsidRDefault="009B12BE" w:rsidP="00B50E95">
      <w:pPr>
        <w:spacing w:before="240"/>
        <w:ind w:left="567" w:right="616"/>
        <w:jc w:val="both"/>
        <w:rPr>
          <w:rFonts w:ascii="Arial" w:eastAsia="Times New Roman" w:hAnsi="Arial" w:cs="Arial"/>
          <w:bCs/>
          <w:i/>
          <w:iCs/>
          <w:lang w:eastAsia="es-ES"/>
        </w:rPr>
      </w:pPr>
      <w:r w:rsidRPr="00B23A60">
        <w:rPr>
          <w:rFonts w:ascii="Arial" w:eastAsia="Times New Roman" w:hAnsi="Arial" w:cs="Arial"/>
          <w:bCs/>
          <w:i/>
          <w:iCs/>
          <w:lang w:eastAsia="es-ES"/>
        </w:rPr>
        <w:t>La congruencia de las sentencias no sólo debe entenderse en sentido amplio, como se ha definido en diversos criterios jurisprudenciales, esto es, como aquel principio por medio del cual el juzgador está obligado a resolver los puntos materia de la litis, de modo que el justiciable tenga la certeza de que se estudió lo debatido en el juicio. Esto es así, porque esa idea generalizada es sólo un bosquejo, pero no significa que el juzgador, de manera sacramental, se vea constreñido a resolver línea por línea todas las manifestaciones expresadas, aspectos accesorios o que no son relevantes para la procedencia de las pretensiones, sino que lo importante de esa salvaguarda en el juicio de nulidad es la respuesta al tema esencial y, con ello, lograr advertir si lo accesorio sigue la suerte de lo principal, pues a través de éste se establecen las bases para que la autoridad jurisdiccional emita una resolución completa para que las partes cuenten con la certeza de haber sido escuchadas, ya que ven plasmadas en el fallo las cuestiones debatidas oportunamente en el juicio.</w:t>
      </w:r>
      <w:r w:rsidR="00B23A60">
        <w:rPr>
          <w:rFonts w:ascii="Arial" w:eastAsia="Times New Roman" w:hAnsi="Arial" w:cs="Arial"/>
          <w:bCs/>
          <w:i/>
          <w:iCs/>
          <w:lang w:eastAsia="es-ES"/>
        </w:rPr>
        <w:t>”</w:t>
      </w:r>
    </w:p>
    <w:p w14:paraId="0C321878" w14:textId="6D1A4C4F" w:rsidR="004F41F6" w:rsidRDefault="00B23A60" w:rsidP="0097576C">
      <w:pPr>
        <w:spacing w:before="240" w:line="360" w:lineRule="auto"/>
        <w:ind w:firstLine="708"/>
        <w:jc w:val="both"/>
        <w:rPr>
          <w:rFonts w:ascii="Arial" w:eastAsia="Times New Roman" w:hAnsi="Arial" w:cs="Arial"/>
          <w:bCs/>
          <w:iCs/>
          <w:sz w:val="26"/>
          <w:szCs w:val="26"/>
          <w:lang w:eastAsia="es-ES"/>
        </w:rPr>
      </w:pPr>
      <w:r>
        <w:rPr>
          <w:rFonts w:ascii="Arial" w:eastAsia="Calibri" w:hAnsi="Arial" w:cs="Arial"/>
          <w:sz w:val="26"/>
          <w:szCs w:val="26"/>
        </w:rPr>
        <w:t xml:space="preserve">Así también, </w:t>
      </w:r>
      <w:r w:rsidR="009D6701">
        <w:rPr>
          <w:rFonts w:ascii="Arial" w:eastAsia="Calibri" w:hAnsi="Arial" w:cs="Arial"/>
          <w:sz w:val="26"/>
          <w:szCs w:val="26"/>
        </w:rPr>
        <w:t xml:space="preserve">deviene </w:t>
      </w:r>
      <w:r w:rsidR="009D6701" w:rsidRPr="001114FB">
        <w:rPr>
          <w:rFonts w:ascii="Arial" w:eastAsia="Calibri" w:hAnsi="Arial" w:cs="Arial"/>
          <w:b/>
          <w:sz w:val="26"/>
          <w:szCs w:val="26"/>
        </w:rPr>
        <w:t>INFUNDADO</w:t>
      </w:r>
      <w:r w:rsidR="009D6701">
        <w:rPr>
          <w:rFonts w:ascii="Arial" w:eastAsia="Calibri" w:hAnsi="Arial" w:cs="Arial"/>
          <w:sz w:val="26"/>
          <w:szCs w:val="26"/>
        </w:rPr>
        <w:t xml:space="preserve"> el argumento d</w:t>
      </w:r>
      <w:r>
        <w:rPr>
          <w:rFonts w:ascii="Arial" w:eastAsia="Calibri" w:hAnsi="Arial" w:cs="Arial"/>
          <w:sz w:val="26"/>
          <w:szCs w:val="26"/>
        </w:rPr>
        <w:t xml:space="preserve">el actor </w:t>
      </w:r>
      <w:r w:rsidR="0063424A">
        <w:rPr>
          <w:rFonts w:ascii="Arial" w:eastAsia="Calibri" w:hAnsi="Arial" w:cs="Arial"/>
          <w:sz w:val="26"/>
          <w:szCs w:val="26"/>
        </w:rPr>
        <w:t>cuando</w:t>
      </w:r>
      <w:r>
        <w:rPr>
          <w:rFonts w:ascii="Arial" w:eastAsia="Calibri" w:hAnsi="Arial" w:cs="Arial"/>
          <w:sz w:val="26"/>
          <w:szCs w:val="26"/>
        </w:rPr>
        <w:t xml:space="preserve"> </w:t>
      </w:r>
      <w:r w:rsidR="009D6701">
        <w:rPr>
          <w:rFonts w:ascii="Arial" w:eastAsia="Calibri" w:hAnsi="Arial" w:cs="Arial"/>
          <w:sz w:val="26"/>
          <w:szCs w:val="26"/>
        </w:rPr>
        <w:t xml:space="preserve">alega </w:t>
      </w:r>
      <w:r>
        <w:rPr>
          <w:rFonts w:ascii="Arial" w:eastAsia="Calibri" w:hAnsi="Arial" w:cs="Arial"/>
          <w:sz w:val="26"/>
          <w:szCs w:val="26"/>
        </w:rPr>
        <w:t xml:space="preserve">que </w:t>
      </w:r>
      <w:r w:rsidR="0063424A">
        <w:rPr>
          <w:rFonts w:ascii="Arial" w:eastAsia="Calibri" w:hAnsi="Arial" w:cs="Arial"/>
          <w:sz w:val="26"/>
          <w:szCs w:val="26"/>
        </w:rPr>
        <w:t xml:space="preserve">la sentencia combatida es incongruente porque dentro de los requisitos de rectificación de registro por corrección de medidas que establece el artículo 49 del </w:t>
      </w:r>
      <w:r w:rsidR="0063424A" w:rsidRPr="0063424A">
        <w:rPr>
          <w:rFonts w:ascii="Arial" w:eastAsia="Times New Roman" w:hAnsi="Arial" w:cs="Arial"/>
          <w:bCs/>
          <w:iCs/>
          <w:sz w:val="26"/>
          <w:szCs w:val="26"/>
          <w:lang w:eastAsia="es-ES"/>
        </w:rPr>
        <w:t>Reglamento de la Ley de Catastro del Estado</w:t>
      </w:r>
      <w:r w:rsidR="0063424A">
        <w:rPr>
          <w:rFonts w:ascii="Arial" w:eastAsia="Times New Roman" w:hAnsi="Arial" w:cs="Arial"/>
          <w:bCs/>
          <w:iCs/>
          <w:sz w:val="26"/>
          <w:szCs w:val="26"/>
          <w:lang w:eastAsia="es-ES"/>
        </w:rPr>
        <w:t xml:space="preserve"> de Oaxaca, no se mencionan límites para corregir, </w:t>
      </w:r>
      <w:r w:rsidR="005344A1">
        <w:rPr>
          <w:rFonts w:ascii="Arial" w:eastAsia="Times New Roman" w:hAnsi="Arial" w:cs="Arial"/>
          <w:bCs/>
          <w:iCs/>
          <w:sz w:val="26"/>
          <w:szCs w:val="26"/>
          <w:lang w:eastAsia="es-ES"/>
        </w:rPr>
        <w:t>porque no señala un 20%, un 30% o un 50%.</w:t>
      </w:r>
      <w:r w:rsidR="00B50E95">
        <w:rPr>
          <w:rFonts w:ascii="Arial" w:eastAsia="Times New Roman" w:hAnsi="Arial" w:cs="Arial"/>
          <w:bCs/>
          <w:iCs/>
          <w:sz w:val="26"/>
          <w:szCs w:val="26"/>
          <w:lang w:eastAsia="es-ES"/>
        </w:rPr>
        <w:t xml:space="preserve"> </w:t>
      </w:r>
      <w:r w:rsidR="00B50E95">
        <w:rPr>
          <w:rFonts w:ascii="Arial" w:eastAsia="Times New Roman" w:hAnsi="Arial" w:cs="Arial"/>
          <w:bCs/>
          <w:i/>
          <w:iCs/>
          <w:sz w:val="26"/>
          <w:szCs w:val="26"/>
          <w:lang w:eastAsia="es-ES"/>
        </w:rPr>
        <w:t xml:space="preserve">- - - - - - - - - - - - - - - - - - - - - - - - - - - - - - - - - - </w:t>
      </w:r>
    </w:p>
    <w:p w14:paraId="31C7B472" w14:textId="0E9C5F29" w:rsidR="00447073" w:rsidRPr="00E140F5" w:rsidRDefault="00447073" w:rsidP="00E140F5">
      <w:pPr>
        <w:spacing w:before="240" w:line="360" w:lineRule="auto"/>
        <w:ind w:firstLine="708"/>
        <w:jc w:val="both"/>
        <w:rPr>
          <w:rFonts w:ascii="Arial" w:eastAsia="Times New Roman" w:hAnsi="Arial" w:cs="Arial"/>
          <w:bCs/>
          <w:iCs/>
          <w:sz w:val="26"/>
          <w:szCs w:val="26"/>
          <w:lang w:eastAsia="es-ES"/>
        </w:rPr>
      </w:pPr>
      <w:r>
        <w:rPr>
          <w:rFonts w:ascii="Arial" w:eastAsia="Times New Roman" w:hAnsi="Arial" w:cs="Arial"/>
          <w:bCs/>
          <w:iCs/>
          <w:sz w:val="26"/>
          <w:szCs w:val="26"/>
          <w:lang w:eastAsia="es-ES"/>
        </w:rPr>
        <w:t xml:space="preserve">Es pertinente señalar que el trámite de </w:t>
      </w:r>
      <w:r w:rsidRPr="00447073">
        <w:rPr>
          <w:rFonts w:ascii="Arial" w:eastAsia="Times New Roman" w:hAnsi="Arial" w:cs="Arial"/>
          <w:bCs/>
          <w:iCs/>
          <w:sz w:val="26"/>
          <w:szCs w:val="26"/>
          <w:lang w:eastAsia="es-ES"/>
        </w:rPr>
        <w:t>corr</w:t>
      </w:r>
      <w:r>
        <w:rPr>
          <w:rFonts w:ascii="Arial" w:eastAsia="Times New Roman" w:hAnsi="Arial" w:cs="Arial"/>
          <w:bCs/>
          <w:iCs/>
          <w:sz w:val="26"/>
          <w:szCs w:val="26"/>
          <w:lang w:eastAsia="es-ES"/>
        </w:rPr>
        <w:t>ección o actualización de datos o medidas de un predio, se encuentra regulado por el artículo 49 del</w:t>
      </w:r>
      <w:r>
        <w:rPr>
          <w:rFonts w:ascii="Arial" w:eastAsia="Calibri" w:hAnsi="Arial" w:cs="Arial"/>
          <w:sz w:val="26"/>
          <w:szCs w:val="26"/>
        </w:rPr>
        <w:t xml:space="preserve"> </w:t>
      </w:r>
      <w:r w:rsidRPr="0063424A">
        <w:rPr>
          <w:rFonts w:ascii="Arial" w:eastAsia="Times New Roman" w:hAnsi="Arial" w:cs="Arial"/>
          <w:bCs/>
          <w:iCs/>
          <w:sz w:val="26"/>
          <w:szCs w:val="26"/>
          <w:lang w:eastAsia="es-ES"/>
        </w:rPr>
        <w:t>Reglamento de la Ley de Catastro del Estado</w:t>
      </w:r>
      <w:r>
        <w:rPr>
          <w:rFonts w:ascii="Arial" w:eastAsia="Times New Roman" w:hAnsi="Arial" w:cs="Arial"/>
          <w:bCs/>
          <w:iCs/>
          <w:sz w:val="26"/>
          <w:szCs w:val="26"/>
          <w:lang w:eastAsia="es-ES"/>
        </w:rPr>
        <w:t xml:space="preserve"> de Oaxaca, que fue citado en la sentencia impugnada y cuyo texto se invoca enseguida:</w:t>
      </w:r>
      <w:r w:rsidR="00B50E95">
        <w:rPr>
          <w:rFonts w:ascii="Arial" w:eastAsia="Times New Roman" w:hAnsi="Arial" w:cs="Arial"/>
          <w:bCs/>
          <w:iCs/>
          <w:sz w:val="26"/>
          <w:szCs w:val="26"/>
          <w:lang w:eastAsia="es-ES"/>
        </w:rPr>
        <w:t xml:space="preserve"> - -</w:t>
      </w:r>
    </w:p>
    <w:p w14:paraId="6BE99A73" w14:textId="324C18D1" w:rsidR="00447073" w:rsidRDefault="0011701A" w:rsidP="0011701A">
      <w:pPr>
        <w:spacing w:before="240" w:line="360" w:lineRule="auto"/>
        <w:ind w:right="49" w:firstLine="567"/>
        <w:jc w:val="both"/>
        <w:rPr>
          <w:rFonts w:ascii="Arial" w:eastAsia="Calibri" w:hAnsi="Arial" w:cs="Arial"/>
          <w:sz w:val="26"/>
          <w:szCs w:val="26"/>
        </w:rPr>
      </w:pPr>
      <w:r>
        <w:rPr>
          <w:rFonts w:ascii="Arial" w:eastAsia="Calibri" w:hAnsi="Arial" w:cs="Arial"/>
          <w:sz w:val="26"/>
          <w:szCs w:val="26"/>
        </w:rPr>
        <w:lastRenderedPageBreak/>
        <w:t>Como</w:t>
      </w:r>
      <w:r w:rsidR="00E17B94">
        <w:rPr>
          <w:rFonts w:ascii="Arial" w:eastAsia="Calibri" w:hAnsi="Arial" w:cs="Arial"/>
          <w:sz w:val="26"/>
          <w:szCs w:val="26"/>
        </w:rPr>
        <w:t xml:space="preserve"> se ve, el numeral </w:t>
      </w:r>
      <w:r>
        <w:rPr>
          <w:rFonts w:ascii="Arial" w:eastAsia="Calibri" w:hAnsi="Arial" w:cs="Arial"/>
          <w:sz w:val="26"/>
          <w:szCs w:val="26"/>
        </w:rPr>
        <w:t xml:space="preserve">invocado impone a los solicitantes del trámite </w:t>
      </w:r>
      <w:r w:rsidRPr="0011701A">
        <w:rPr>
          <w:rFonts w:ascii="Arial" w:eastAsia="Calibri" w:hAnsi="Arial" w:cs="Arial"/>
          <w:sz w:val="26"/>
          <w:szCs w:val="26"/>
        </w:rPr>
        <w:t>de corr</w:t>
      </w:r>
      <w:r>
        <w:rPr>
          <w:rFonts w:ascii="Arial" w:eastAsia="Calibri" w:hAnsi="Arial" w:cs="Arial"/>
          <w:sz w:val="26"/>
          <w:szCs w:val="26"/>
        </w:rPr>
        <w:t>ección o actualización de datos o</w:t>
      </w:r>
      <w:r w:rsidRPr="0011701A">
        <w:rPr>
          <w:rFonts w:ascii="Arial" w:eastAsia="Calibri" w:hAnsi="Arial" w:cs="Arial"/>
          <w:sz w:val="26"/>
          <w:szCs w:val="26"/>
        </w:rPr>
        <w:t xml:space="preserve"> medidas</w:t>
      </w:r>
      <w:r>
        <w:rPr>
          <w:rFonts w:ascii="Arial" w:eastAsia="Calibri" w:hAnsi="Arial" w:cs="Arial"/>
          <w:sz w:val="26"/>
          <w:szCs w:val="26"/>
        </w:rPr>
        <w:t xml:space="preserve">, la obligación de presentar </w:t>
      </w:r>
      <w:r w:rsidR="00E17B94">
        <w:rPr>
          <w:rFonts w:ascii="Arial" w:eastAsia="Calibri" w:hAnsi="Arial" w:cs="Arial"/>
          <w:sz w:val="26"/>
          <w:szCs w:val="26"/>
        </w:rPr>
        <w:t xml:space="preserve">la documentación enlistada claramente </w:t>
      </w:r>
      <w:r>
        <w:rPr>
          <w:rFonts w:ascii="Arial" w:eastAsia="Calibri" w:hAnsi="Arial" w:cs="Arial"/>
          <w:sz w:val="26"/>
          <w:szCs w:val="26"/>
        </w:rPr>
        <w:t>para poder lleva</w:t>
      </w:r>
      <w:r w:rsidR="00E17B94">
        <w:rPr>
          <w:rFonts w:ascii="Arial" w:eastAsia="Calibri" w:hAnsi="Arial" w:cs="Arial"/>
          <w:sz w:val="26"/>
          <w:szCs w:val="26"/>
        </w:rPr>
        <w:t>r a cabo el trámite mencionado ante la autoridad catastral.</w:t>
      </w:r>
      <w:r w:rsidR="00E140F5">
        <w:rPr>
          <w:rFonts w:ascii="Arial" w:eastAsia="Calibri" w:hAnsi="Arial" w:cs="Arial"/>
          <w:sz w:val="26"/>
          <w:szCs w:val="26"/>
        </w:rPr>
        <w:t xml:space="preserve"> - - - - - - - - - - - - </w:t>
      </w:r>
    </w:p>
    <w:p w14:paraId="36A3BE8B" w14:textId="6391869B" w:rsidR="00E17B94" w:rsidRDefault="00E17B94" w:rsidP="0011701A">
      <w:pPr>
        <w:spacing w:before="240" w:line="360" w:lineRule="auto"/>
        <w:ind w:right="49" w:firstLine="567"/>
        <w:jc w:val="both"/>
        <w:rPr>
          <w:rFonts w:ascii="Arial" w:eastAsia="Times New Roman" w:hAnsi="Arial" w:cs="Arial"/>
          <w:bCs/>
          <w:iCs/>
          <w:sz w:val="26"/>
          <w:szCs w:val="26"/>
          <w:lang w:eastAsia="es-ES"/>
        </w:rPr>
      </w:pPr>
      <w:r>
        <w:rPr>
          <w:rFonts w:ascii="Arial" w:eastAsia="Calibri" w:hAnsi="Arial" w:cs="Arial"/>
          <w:sz w:val="26"/>
          <w:szCs w:val="26"/>
        </w:rPr>
        <w:t xml:space="preserve">Pero el artículo 40 fracción IV inciso d) del mismo </w:t>
      </w:r>
      <w:r w:rsidRPr="0063424A">
        <w:rPr>
          <w:rFonts w:ascii="Arial" w:eastAsia="Times New Roman" w:hAnsi="Arial" w:cs="Arial"/>
          <w:bCs/>
          <w:iCs/>
          <w:sz w:val="26"/>
          <w:szCs w:val="26"/>
          <w:lang w:eastAsia="es-ES"/>
        </w:rPr>
        <w:t>Reglamento de la Ley de Catastro del Estado</w:t>
      </w:r>
      <w:r>
        <w:rPr>
          <w:rFonts w:ascii="Arial" w:eastAsia="Times New Roman" w:hAnsi="Arial" w:cs="Arial"/>
          <w:bCs/>
          <w:iCs/>
          <w:sz w:val="26"/>
          <w:szCs w:val="26"/>
          <w:lang w:eastAsia="es-ES"/>
        </w:rPr>
        <w:t xml:space="preserve"> de Oaxaca, preceptúa que “s</w:t>
      </w:r>
      <w:r w:rsidRPr="00E17B94">
        <w:rPr>
          <w:rFonts w:ascii="Arial" w:eastAsia="Times New Roman" w:hAnsi="Arial" w:cs="Arial"/>
          <w:bCs/>
          <w:iCs/>
          <w:sz w:val="26"/>
          <w:szCs w:val="26"/>
          <w:lang w:eastAsia="es-ES"/>
        </w:rPr>
        <w:t>i la rectificación de medidas revela superficie excedente de la inscrita en los registros catastrales mayor a un 20%, este excedente se considerará como superficie oculta a la acción fiscal y por lo tanto, sujeta a las anotaciones que establezcan las leyes en la materia</w:t>
      </w:r>
      <w:r>
        <w:rPr>
          <w:rFonts w:ascii="Arial" w:eastAsia="Times New Roman" w:hAnsi="Arial" w:cs="Arial"/>
          <w:bCs/>
          <w:iCs/>
          <w:sz w:val="26"/>
          <w:szCs w:val="26"/>
          <w:lang w:eastAsia="es-ES"/>
        </w:rPr>
        <w:t xml:space="preserve">”, esto es, que no prohíbe expresamente la realización del trámite, </w:t>
      </w:r>
      <w:r w:rsidR="00C83325">
        <w:rPr>
          <w:rFonts w:ascii="Arial" w:eastAsia="Times New Roman" w:hAnsi="Arial" w:cs="Arial"/>
          <w:bCs/>
          <w:iCs/>
          <w:sz w:val="26"/>
          <w:szCs w:val="26"/>
          <w:lang w:eastAsia="es-ES"/>
        </w:rPr>
        <w:t xml:space="preserve">pero </w:t>
      </w:r>
      <w:r>
        <w:rPr>
          <w:rFonts w:ascii="Arial" w:eastAsia="Times New Roman" w:hAnsi="Arial" w:cs="Arial"/>
          <w:bCs/>
          <w:iCs/>
          <w:sz w:val="26"/>
          <w:szCs w:val="26"/>
          <w:lang w:eastAsia="es-ES"/>
        </w:rPr>
        <w:t>sí condiciona la procedencia del tr</w:t>
      </w:r>
      <w:r w:rsidR="00C83325">
        <w:rPr>
          <w:rFonts w:ascii="Arial" w:eastAsia="Times New Roman" w:hAnsi="Arial" w:cs="Arial"/>
          <w:bCs/>
          <w:iCs/>
          <w:sz w:val="26"/>
          <w:szCs w:val="26"/>
          <w:lang w:eastAsia="es-ES"/>
        </w:rPr>
        <w:t>ámite al cumplimiento de que la superficie que será objeto de la rectificación no exceda del parámetro aritmético del 20% del total.</w:t>
      </w:r>
      <w:r w:rsidR="00E140F5">
        <w:rPr>
          <w:rFonts w:ascii="Arial" w:eastAsia="Times New Roman" w:hAnsi="Arial" w:cs="Arial"/>
          <w:bCs/>
          <w:iCs/>
          <w:sz w:val="26"/>
          <w:szCs w:val="26"/>
          <w:lang w:eastAsia="es-ES"/>
        </w:rPr>
        <w:t xml:space="preserve"> - - - - - - - - - - - - - - - - - - -- -- - - - - - - - - - - - - - - - - - - - - - - - - - - - </w:t>
      </w:r>
    </w:p>
    <w:p w14:paraId="477A3906" w14:textId="0838D65C" w:rsidR="00C83325" w:rsidRDefault="00C83325" w:rsidP="0011701A">
      <w:pPr>
        <w:spacing w:before="240" w:line="360" w:lineRule="auto"/>
        <w:ind w:right="49" w:firstLine="567"/>
        <w:jc w:val="both"/>
        <w:rPr>
          <w:rFonts w:ascii="Arial" w:eastAsia="Times New Roman" w:hAnsi="Arial" w:cs="Arial"/>
          <w:bCs/>
          <w:iCs/>
          <w:sz w:val="26"/>
          <w:szCs w:val="26"/>
          <w:lang w:eastAsia="es-ES"/>
        </w:rPr>
      </w:pPr>
      <w:r>
        <w:rPr>
          <w:rFonts w:ascii="Arial" w:eastAsia="Times New Roman" w:hAnsi="Arial" w:cs="Arial"/>
          <w:bCs/>
          <w:iCs/>
          <w:sz w:val="26"/>
          <w:szCs w:val="26"/>
          <w:lang w:eastAsia="es-ES"/>
        </w:rPr>
        <w:t xml:space="preserve">Bajo esa consideración, se aprecia que fue acertado que la Cuarta Sala Unitaria ordenara la nulidad del acto impugnado en primera instancia, para el efecto de que la autoridad catastral realice la operación aritmética </w:t>
      </w:r>
      <w:r w:rsidRPr="00EE055B">
        <w:rPr>
          <w:rFonts w:ascii="Arial" w:eastAsia="Times New Roman" w:hAnsi="Arial" w:cs="Arial"/>
          <w:bCs/>
          <w:i/>
          <w:iCs/>
          <w:sz w:val="26"/>
          <w:szCs w:val="26"/>
          <w:lang w:eastAsia="es-ES"/>
        </w:rPr>
        <w:t xml:space="preserve">“comparando las medidas originales del predio y las resultantes en la diligencia de apeo y deslinde de fecha diecinueve de julio de dos mil diecinueve, realizada por el Alcalde Único Constitucional de </w:t>
      </w:r>
      <w:r w:rsidR="00DF0D99">
        <w:rPr>
          <w:rFonts w:ascii="Arial" w:eastAsia="Times New Roman" w:hAnsi="Arial" w:cs="Arial"/>
          <w:bCs/>
          <w:i/>
          <w:iCs/>
          <w:sz w:val="26"/>
          <w:szCs w:val="26"/>
          <w:lang w:eastAsia="es-ES"/>
        </w:rPr>
        <w:t>*******</w:t>
      </w:r>
      <w:r w:rsidR="0043263E" w:rsidRPr="00EE055B">
        <w:rPr>
          <w:rFonts w:ascii="Arial" w:eastAsia="Times New Roman" w:hAnsi="Arial" w:cs="Arial"/>
          <w:bCs/>
          <w:i/>
          <w:iCs/>
          <w:sz w:val="26"/>
          <w:szCs w:val="26"/>
          <w:lang w:eastAsia="es-ES"/>
        </w:rPr>
        <w:t xml:space="preserve"> y si la diferencia resultante es igual o menor al 20% de la superficie registrada, declare la procedencia del trámite catastral de rectificación de registro por corrección de medidas y en caso de que dicha diferencia sea superior al 20%, declare la improcedencia del trámite solicitado ”,</w:t>
      </w:r>
      <w:r w:rsidR="0043263E" w:rsidRPr="0043263E">
        <w:rPr>
          <w:rFonts w:ascii="Arial" w:eastAsia="Times New Roman" w:hAnsi="Arial" w:cs="Arial"/>
          <w:bCs/>
          <w:iCs/>
          <w:sz w:val="26"/>
          <w:szCs w:val="26"/>
          <w:lang w:eastAsia="es-ES"/>
        </w:rPr>
        <w:t xml:space="preserve"> </w:t>
      </w:r>
      <w:r w:rsidR="009D6701">
        <w:rPr>
          <w:rFonts w:ascii="Arial" w:eastAsia="Times New Roman" w:hAnsi="Arial" w:cs="Arial"/>
          <w:bCs/>
          <w:iCs/>
          <w:sz w:val="26"/>
          <w:szCs w:val="26"/>
          <w:lang w:eastAsia="es-ES"/>
        </w:rPr>
        <w:t>para que así, la autoridad catastral</w:t>
      </w:r>
      <w:r w:rsidR="00E362C9">
        <w:rPr>
          <w:rFonts w:ascii="Arial" w:eastAsia="Times New Roman" w:hAnsi="Arial" w:cs="Arial"/>
          <w:bCs/>
          <w:iCs/>
          <w:sz w:val="26"/>
          <w:szCs w:val="26"/>
          <w:lang w:eastAsia="es-ES"/>
        </w:rPr>
        <w:t xml:space="preserve">, dependiendo del cálculo exacto que realice para determinar el tamaño de la superficie excedente, </w:t>
      </w:r>
      <w:r w:rsidR="009D6701">
        <w:rPr>
          <w:rFonts w:ascii="Arial" w:eastAsia="Times New Roman" w:hAnsi="Arial" w:cs="Arial"/>
          <w:bCs/>
          <w:iCs/>
          <w:sz w:val="26"/>
          <w:szCs w:val="26"/>
          <w:lang w:eastAsia="es-ES"/>
        </w:rPr>
        <w:t xml:space="preserve">dé certeza jurídica a los peticionarios sobre si cumplen o no con las condiciones que establecen los artículos </w:t>
      </w:r>
      <w:r w:rsidR="009D6701">
        <w:rPr>
          <w:rFonts w:ascii="Arial" w:eastAsia="Calibri" w:hAnsi="Arial" w:cs="Arial"/>
          <w:sz w:val="26"/>
          <w:szCs w:val="26"/>
        </w:rPr>
        <w:t xml:space="preserve">40 fracción IV inciso d) y 49 </w:t>
      </w:r>
      <w:r w:rsidR="009D6701" w:rsidRPr="0063424A">
        <w:rPr>
          <w:rFonts w:ascii="Arial" w:eastAsia="Times New Roman" w:hAnsi="Arial" w:cs="Arial"/>
          <w:bCs/>
          <w:iCs/>
          <w:sz w:val="26"/>
          <w:szCs w:val="26"/>
          <w:lang w:eastAsia="es-ES"/>
        </w:rPr>
        <w:t>Reglamento de la Ley de Catastro del Estado</w:t>
      </w:r>
      <w:r w:rsidR="009D6701">
        <w:rPr>
          <w:rFonts w:ascii="Arial" w:eastAsia="Times New Roman" w:hAnsi="Arial" w:cs="Arial"/>
          <w:bCs/>
          <w:iCs/>
          <w:sz w:val="26"/>
          <w:szCs w:val="26"/>
          <w:lang w:eastAsia="es-ES"/>
        </w:rPr>
        <w:t xml:space="preserve"> de Oaxaca, los cuales fueron invocados por la Cuarta Sala para apoyar la sentencia en revisión, con lo cual se observa que este fallo sí cumple con el requisito de debida fundamentación. De ahí lo </w:t>
      </w:r>
      <w:r w:rsidR="009D6701" w:rsidRPr="009D6701">
        <w:rPr>
          <w:rFonts w:ascii="Arial" w:eastAsia="Times New Roman" w:hAnsi="Arial" w:cs="Arial"/>
          <w:b/>
          <w:bCs/>
          <w:iCs/>
          <w:sz w:val="26"/>
          <w:szCs w:val="26"/>
          <w:lang w:eastAsia="es-ES"/>
        </w:rPr>
        <w:t>INFUNDADO</w:t>
      </w:r>
      <w:r w:rsidR="009D6701">
        <w:rPr>
          <w:rFonts w:ascii="Arial" w:eastAsia="Times New Roman" w:hAnsi="Arial" w:cs="Arial"/>
          <w:bCs/>
          <w:iCs/>
          <w:sz w:val="26"/>
          <w:szCs w:val="26"/>
          <w:lang w:eastAsia="es-ES"/>
        </w:rPr>
        <w:t xml:space="preserve"> del agravio de la recurrente. </w:t>
      </w:r>
      <w:r w:rsidR="00E140F5">
        <w:rPr>
          <w:rFonts w:ascii="Arial" w:eastAsia="Times New Roman" w:hAnsi="Arial" w:cs="Arial"/>
          <w:bCs/>
          <w:iCs/>
          <w:sz w:val="26"/>
          <w:szCs w:val="26"/>
          <w:lang w:eastAsia="es-ES"/>
        </w:rPr>
        <w:t xml:space="preserve">- - - - - - - - - - - - - - - - - - - - - </w:t>
      </w:r>
      <w:r w:rsidR="00DF0D99">
        <w:rPr>
          <w:rFonts w:ascii="Arial" w:eastAsia="Times New Roman" w:hAnsi="Arial" w:cs="Arial"/>
          <w:bCs/>
          <w:iCs/>
          <w:sz w:val="26"/>
          <w:szCs w:val="26"/>
          <w:lang w:eastAsia="es-ES"/>
        </w:rPr>
        <w:t>- - - - - - - - - - - - - - - - - - - - - - -</w:t>
      </w:r>
    </w:p>
    <w:p w14:paraId="7E747569" w14:textId="07B260B6" w:rsidR="009D6701" w:rsidRPr="00E140F5" w:rsidRDefault="009D6701" w:rsidP="00E140F5">
      <w:pPr>
        <w:spacing w:before="240" w:line="360" w:lineRule="auto"/>
        <w:ind w:right="49" w:firstLine="567"/>
        <w:jc w:val="both"/>
        <w:rPr>
          <w:rFonts w:ascii="Arial" w:eastAsia="Times New Roman" w:hAnsi="Arial" w:cs="Arial"/>
          <w:bCs/>
          <w:iCs/>
          <w:sz w:val="26"/>
          <w:szCs w:val="26"/>
          <w:lang w:eastAsia="es-ES"/>
        </w:rPr>
      </w:pPr>
      <w:r>
        <w:rPr>
          <w:rFonts w:ascii="Arial" w:eastAsia="Calibri" w:hAnsi="Arial" w:cs="Arial"/>
          <w:bCs/>
          <w:sz w:val="26"/>
          <w:szCs w:val="26"/>
        </w:rPr>
        <w:tab/>
      </w:r>
      <w:r w:rsidRPr="00AD6E02">
        <w:rPr>
          <w:rFonts w:ascii="Arial" w:eastAsia="Calibri" w:hAnsi="Arial" w:cs="Arial"/>
          <w:bCs/>
          <w:sz w:val="26"/>
          <w:szCs w:val="26"/>
        </w:rPr>
        <w:t>Finalmente, atendiendo a las consideraciones anteriormente expuestas,</w:t>
      </w:r>
      <w:r>
        <w:rPr>
          <w:rFonts w:ascii="Arial" w:eastAsia="Calibri" w:hAnsi="Arial" w:cs="Arial"/>
          <w:bCs/>
          <w:sz w:val="26"/>
          <w:szCs w:val="26"/>
        </w:rPr>
        <w:t xml:space="preserve"> ante lo </w:t>
      </w:r>
      <w:r w:rsidRPr="00532B03">
        <w:rPr>
          <w:rFonts w:ascii="Arial" w:eastAsia="Calibri" w:hAnsi="Arial" w:cs="Arial"/>
          <w:b/>
          <w:bCs/>
          <w:sz w:val="26"/>
          <w:szCs w:val="26"/>
        </w:rPr>
        <w:t>INFUNDADO</w:t>
      </w:r>
      <w:r>
        <w:rPr>
          <w:rFonts w:ascii="Arial" w:eastAsia="Calibri" w:hAnsi="Arial" w:cs="Arial"/>
          <w:bCs/>
          <w:sz w:val="26"/>
          <w:szCs w:val="26"/>
        </w:rPr>
        <w:t xml:space="preserve"> de los argumentos del recurrente, es procedente </w:t>
      </w:r>
      <w:r w:rsidRPr="00532B03">
        <w:rPr>
          <w:rFonts w:ascii="Arial" w:eastAsia="Calibri" w:hAnsi="Arial" w:cs="Arial"/>
          <w:b/>
          <w:bCs/>
          <w:sz w:val="26"/>
          <w:szCs w:val="26"/>
        </w:rPr>
        <w:t>CONFIRMAR</w:t>
      </w:r>
      <w:r>
        <w:rPr>
          <w:rFonts w:ascii="Arial" w:eastAsia="Calibri" w:hAnsi="Arial" w:cs="Arial"/>
          <w:b/>
          <w:bCs/>
          <w:sz w:val="26"/>
          <w:szCs w:val="26"/>
        </w:rPr>
        <w:t xml:space="preserve"> </w:t>
      </w:r>
      <w:r w:rsidRPr="00AD6E02">
        <w:rPr>
          <w:rFonts w:ascii="Arial" w:eastAsia="Calibri" w:hAnsi="Arial" w:cs="Arial"/>
          <w:sz w:val="26"/>
          <w:szCs w:val="26"/>
        </w:rPr>
        <w:t xml:space="preserve">la sentencia recurrida por las consideraciones </w:t>
      </w:r>
      <w:r w:rsidRPr="00AD6E02">
        <w:rPr>
          <w:rFonts w:ascii="Arial" w:eastAsia="Calibri" w:hAnsi="Arial" w:cs="Arial"/>
          <w:sz w:val="26"/>
          <w:szCs w:val="26"/>
        </w:rPr>
        <w:lastRenderedPageBreak/>
        <w:t>expuestas por esta Sala Superior,</w:t>
      </w:r>
      <w:r w:rsidRPr="00AD6E02">
        <w:rPr>
          <w:rFonts w:ascii="Arial" w:eastAsia="Calibri" w:hAnsi="Arial" w:cs="Arial"/>
          <w:bCs/>
          <w:sz w:val="26"/>
          <w:szCs w:val="26"/>
        </w:rPr>
        <w:t xml:space="preserve"> </w:t>
      </w:r>
      <w:r w:rsidRPr="00AD6E02">
        <w:rPr>
          <w:rFonts w:ascii="Arial" w:eastAsia="Calibri" w:hAnsi="Arial" w:cs="Arial"/>
          <w:sz w:val="26"/>
          <w:szCs w:val="26"/>
        </w:rPr>
        <w:t>y</w:t>
      </w:r>
      <w:bookmarkStart w:id="1" w:name="_GoBack"/>
      <w:bookmarkEnd w:id="1"/>
      <w:r w:rsidRPr="00AD6E02">
        <w:rPr>
          <w:rFonts w:ascii="Arial" w:eastAsia="Calibri" w:hAnsi="Arial" w:cs="Arial"/>
          <w:sz w:val="26"/>
          <w:szCs w:val="26"/>
        </w:rPr>
        <w:t xml:space="preserve"> con fundamento en los artículos 23</w:t>
      </w:r>
      <w:r>
        <w:rPr>
          <w:rFonts w:ascii="Arial" w:eastAsia="Calibri" w:hAnsi="Arial" w:cs="Arial"/>
          <w:sz w:val="26"/>
          <w:szCs w:val="26"/>
        </w:rPr>
        <w:t>6</w:t>
      </w:r>
      <w:r w:rsidRPr="00AD6E02">
        <w:rPr>
          <w:rFonts w:ascii="Arial" w:eastAsia="Calibri" w:hAnsi="Arial" w:cs="Arial"/>
          <w:sz w:val="26"/>
          <w:szCs w:val="26"/>
        </w:rPr>
        <w:t xml:space="preserve"> </w:t>
      </w:r>
      <w:proofErr w:type="gramStart"/>
      <w:r w:rsidR="00E140F5">
        <w:rPr>
          <w:rFonts w:ascii="Arial" w:eastAsia="Calibri" w:hAnsi="Arial" w:cs="Arial"/>
          <w:sz w:val="26"/>
          <w:szCs w:val="26"/>
        </w:rPr>
        <w:t>se</w:t>
      </w:r>
      <w:proofErr w:type="gramEnd"/>
      <w:r w:rsidR="00E140F5">
        <w:rPr>
          <w:rFonts w:ascii="Arial" w:eastAsia="Calibri" w:hAnsi="Arial" w:cs="Arial"/>
          <w:sz w:val="26"/>
          <w:szCs w:val="26"/>
        </w:rPr>
        <w:t xml:space="preserve"> da </w:t>
      </w:r>
      <w:r w:rsidRPr="00AD6E02">
        <w:rPr>
          <w:rFonts w:ascii="Arial" w:eastAsia="Calibri" w:hAnsi="Arial" w:cs="Arial"/>
          <w:sz w:val="26"/>
          <w:szCs w:val="26"/>
        </w:rPr>
        <w:t>y 238 de la Ley de Procedimiento y Justicia Administrativa para el Estado de Oaxaca, se</w:t>
      </w:r>
      <w:r w:rsidRPr="00AD6E02">
        <w:rPr>
          <w:rFonts w:ascii="Arial" w:hAnsi="Arial" w:cs="Arial"/>
          <w:sz w:val="26"/>
          <w:szCs w:val="26"/>
        </w:rPr>
        <w:t>:</w:t>
      </w:r>
      <w:r w:rsidR="00E140F5" w:rsidRPr="00E140F5">
        <w:rPr>
          <w:rFonts w:ascii="Arial" w:eastAsia="Times New Roman" w:hAnsi="Arial" w:cs="Arial"/>
          <w:bCs/>
          <w:iCs/>
          <w:sz w:val="26"/>
          <w:szCs w:val="26"/>
          <w:lang w:eastAsia="es-ES"/>
        </w:rPr>
        <w:t xml:space="preserve"> </w:t>
      </w:r>
      <w:r w:rsidR="00E140F5">
        <w:rPr>
          <w:rFonts w:ascii="Arial" w:eastAsia="Times New Roman" w:hAnsi="Arial" w:cs="Arial"/>
          <w:bCs/>
          <w:iCs/>
          <w:sz w:val="26"/>
          <w:szCs w:val="26"/>
          <w:lang w:eastAsia="es-ES"/>
        </w:rPr>
        <w:t xml:space="preserve">- - - - - - - - - - - - - - - - - - - - - - - - - - - - - - - - - - - </w:t>
      </w:r>
    </w:p>
    <w:p w14:paraId="54C93DF2" w14:textId="77777777" w:rsidR="009D6701" w:rsidRPr="00E140F5" w:rsidRDefault="009D6701" w:rsidP="009D6701">
      <w:pPr>
        <w:spacing w:before="240" w:after="0" w:line="360" w:lineRule="auto"/>
        <w:jc w:val="center"/>
        <w:rPr>
          <w:rFonts w:ascii="Arial" w:hAnsi="Arial" w:cs="Arial"/>
          <w:b/>
          <w:sz w:val="26"/>
          <w:szCs w:val="26"/>
          <w:lang w:val="es-ES"/>
        </w:rPr>
      </w:pPr>
      <w:r w:rsidRPr="00E140F5">
        <w:rPr>
          <w:rFonts w:ascii="Arial" w:hAnsi="Arial" w:cs="Arial"/>
          <w:b/>
          <w:sz w:val="26"/>
          <w:szCs w:val="26"/>
          <w:lang w:val="es-ES"/>
        </w:rPr>
        <w:t>R E S U E L V E</w:t>
      </w:r>
    </w:p>
    <w:p w14:paraId="475A500B" w14:textId="0FB30A18" w:rsidR="009D6701" w:rsidRPr="00E140F5" w:rsidRDefault="009D6701" w:rsidP="00E140F5">
      <w:pPr>
        <w:spacing w:before="240" w:line="360" w:lineRule="auto"/>
        <w:ind w:right="49" w:firstLine="567"/>
        <w:jc w:val="both"/>
        <w:rPr>
          <w:rFonts w:ascii="Arial" w:eastAsia="Times New Roman" w:hAnsi="Arial" w:cs="Arial"/>
          <w:bCs/>
          <w:iCs/>
          <w:sz w:val="26"/>
          <w:szCs w:val="26"/>
          <w:lang w:eastAsia="es-ES"/>
        </w:rPr>
      </w:pPr>
      <w:r w:rsidRPr="00AD6E02">
        <w:rPr>
          <w:rFonts w:ascii="Arial" w:hAnsi="Arial" w:cs="Arial"/>
          <w:b/>
          <w:color w:val="000000"/>
          <w:sz w:val="26"/>
          <w:szCs w:val="26"/>
          <w:lang w:val="es-ES"/>
        </w:rPr>
        <w:t>PRIMERO</w:t>
      </w:r>
      <w:r w:rsidRPr="00E140F5">
        <w:rPr>
          <w:rFonts w:ascii="Arial" w:hAnsi="Arial" w:cs="Arial"/>
          <w:b/>
          <w:bCs/>
          <w:color w:val="000000"/>
          <w:sz w:val="26"/>
          <w:szCs w:val="26"/>
          <w:lang w:val="es-ES"/>
        </w:rPr>
        <w:t xml:space="preserve">. </w:t>
      </w:r>
      <w:r w:rsidR="00E140F5" w:rsidRPr="00E140F5">
        <w:rPr>
          <w:rFonts w:ascii="Arial" w:hAnsi="Arial" w:cs="Arial"/>
          <w:b/>
          <w:bCs/>
          <w:color w:val="000000"/>
          <w:sz w:val="26"/>
          <w:szCs w:val="26"/>
          <w:lang w:val="es-ES"/>
        </w:rPr>
        <w:t>-</w:t>
      </w:r>
      <w:r w:rsidR="00E140F5">
        <w:rPr>
          <w:rFonts w:ascii="Arial" w:hAnsi="Arial" w:cs="Arial"/>
          <w:color w:val="000000"/>
          <w:sz w:val="26"/>
          <w:szCs w:val="26"/>
          <w:lang w:val="es-ES"/>
        </w:rPr>
        <w:t xml:space="preserve"> </w:t>
      </w:r>
      <w:r w:rsidRPr="00AD6E02">
        <w:rPr>
          <w:rFonts w:ascii="Arial" w:hAnsi="Arial" w:cs="Arial"/>
          <w:color w:val="000000"/>
          <w:sz w:val="26"/>
          <w:szCs w:val="26"/>
        </w:rPr>
        <w:t>Se</w:t>
      </w:r>
      <w:r w:rsidRPr="00AD6E02">
        <w:rPr>
          <w:rFonts w:ascii="Arial" w:hAnsi="Arial" w:cs="Arial"/>
          <w:b/>
          <w:color w:val="000000"/>
          <w:sz w:val="26"/>
          <w:szCs w:val="26"/>
        </w:rPr>
        <w:t xml:space="preserve"> </w:t>
      </w:r>
      <w:r w:rsidRPr="00532B03">
        <w:rPr>
          <w:rFonts w:ascii="Arial" w:eastAsia="Calibri" w:hAnsi="Arial" w:cs="Arial"/>
          <w:b/>
          <w:bCs/>
          <w:sz w:val="26"/>
          <w:szCs w:val="26"/>
        </w:rPr>
        <w:t>CONFIRMA</w:t>
      </w:r>
      <w:r>
        <w:rPr>
          <w:rFonts w:ascii="Arial" w:eastAsia="Calibri" w:hAnsi="Arial" w:cs="Arial"/>
          <w:bCs/>
          <w:sz w:val="26"/>
          <w:szCs w:val="26"/>
        </w:rPr>
        <w:t xml:space="preserve"> </w:t>
      </w:r>
      <w:r w:rsidRPr="00AD6E02">
        <w:rPr>
          <w:rFonts w:ascii="Arial" w:hAnsi="Arial" w:cs="Arial"/>
          <w:bCs/>
          <w:color w:val="000000"/>
          <w:sz w:val="26"/>
          <w:szCs w:val="26"/>
        </w:rPr>
        <w:t>la sentencia</w:t>
      </w:r>
      <w:r>
        <w:rPr>
          <w:rFonts w:ascii="Arial" w:hAnsi="Arial" w:cs="Arial"/>
          <w:bCs/>
          <w:color w:val="000000"/>
          <w:sz w:val="26"/>
          <w:szCs w:val="26"/>
        </w:rPr>
        <w:t xml:space="preserve"> de </w:t>
      </w:r>
      <w:r>
        <w:rPr>
          <w:rFonts w:ascii="Arial" w:hAnsi="Arial" w:cs="Arial"/>
          <w:sz w:val="26"/>
          <w:szCs w:val="26"/>
        </w:rPr>
        <w:t xml:space="preserve">trece de noviembre dos mil veinte, </w:t>
      </w:r>
      <w:r w:rsidRPr="00AD6E02">
        <w:rPr>
          <w:rFonts w:ascii="Arial" w:hAnsi="Arial" w:cs="Arial"/>
          <w:color w:val="000000"/>
          <w:sz w:val="26"/>
          <w:szCs w:val="26"/>
        </w:rPr>
        <w:t>por las razones expuestas por esta Sala Superior en el considerando que antecede.</w:t>
      </w:r>
      <w:r w:rsidR="00E140F5" w:rsidRPr="00E140F5">
        <w:rPr>
          <w:rFonts w:ascii="Arial" w:eastAsia="Times New Roman" w:hAnsi="Arial" w:cs="Arial"/>
          <w:bCs/>
          <w:iCs/>
          <w:sz w:val="26"/>
          <w:szCs w:val="26"/>
          <w:lang w:eastAsia="es-ES"/>
        </w:rPr>
        <w:t xml:space="preserve"> </w:t>
      </w:r>
      <w:r w:rsidR="00E140F5">
        <w:rPr>
          <w:rFonts w:ascii="Arial" w:eastAsia="Times New Roman" w:hAnsi="Arial" w:cs="Arial"/>
          <w:bCs/>
          <w:iCs/>
          <w:sz w:val="26"/>
          <w:szCs w:val="26"/>
          <w:lang w:eastAsia="es-ES"/>
        </w:rPr>
        <w:t xml:space="preserve">- - - - - - - - - - - - - - - - - - - - - - - - - - - - - - - </w:t>
      </w:r>
    </w:p>
    <w:p w14:paraId="6EBD9BBF" w14:textId="15EB5F33" w:rsidR="009D6701" w:rsidRPr="00AD6E02" w:rsidRDefault="009D6701" w:rsidP="009D6701">
      <w:pPr>
        <w:spacing w:after="240" w:line="360" w:lineRule="auto"/>
        <w:ind w:firstLine="708"/>
        <w:jc w:val="both"/>
        <w:rPr>
          <w:rFonts w:ascii="Arial" w:hAnsi="Arial" w:cs="Arial"/>
          <w:sz w:val="26"/>
          <w:szCs w:val="26"/>
        </w:rPr>
      </w:pPr>
      <w:r w:rsidRPr="00AD6E02">
        <w:rPr>
          <w:rFonts w:ascii="Arial" w:hAnsi="Arial" w:cs="Arial"/>
          <w:b/>
          <w:sz w:val="26"/>
          <w:szCs w:val="26"/>
          <w:lang w:val="es-ES"/>
        </w:rPr>
        <w:t>SEGUNDO.-</w:t>
      </w:r>
      <w:r w:rsidRPr="00AD6E02">
        <w:rPr>
          <w:rFonts w:ascii="Arial" w:hAnsi="Arial" w:cs="Arial"/>
          <w:sz w:val="26"/>
          <w:szCs w:val="26"/>
          <w:lang w:val="es-ES"/>
        </w:rPr>
        <w:t xml:space="preserve"> </w:t>
      </w:r>
      <w:r w:rsidRPr="00AD6E02">
        <w:rPr>
          <w:rFonts w:ascii="Arial" w:hAnsi="Arial" w:cs="Arial"/>
          <w:b/>
          <w:sz w:val="26"/>
          <w:szCs w:val="26"/>
        </w:rPr>
        <w:t>NOTIFÍQUESE Y CÚMPLASE,</w:t>
      </w:r>
      <w:r w:rsidRPr="00AD6E02">
        <w:rPr>
          <w:rFonts w:ascii="Arial" w:hAnsi="Arial" w:cs="Arial"/>
          <w:sz w:val="26"/>
          <w:szCs w:val="26"/>
        </w:rPr>
        <w:t xml:space="preserve"> remítase copia certificada de la </w:t>
      </w:r>
      <w:r>
        <w:rPr>
          <w:rFonts w:ascii="Arial" w:hAnsi="Arial" w:cs="Arial"/>
          <w:sz w:val="26"/>
          <w:szCs w:val="26"/>
        </w:rPr>
        <w:t>presente resolución a la Cuarta</w:t>
      </w:r>
      <w:r w:rsidRPr="00AD6E02">
        <w:rPr>
          <w:rFonts w:ascii="Arial" w:hAnsi="Arial" w:cs="Arial"/>
          <w:sz w:val="26"/>
          <w:szCs w:val="26"/>
        </w:rPr>
        <w:t xml:space="preserve"> Sala Unitaria de Primera Instancia de este Tribunal y en su oportunidad archívese el presente cuaderno de revisión como asunto concluido.</w:t>
      </w:r>
      <w:r w:rsidR="00E140F5">
        <w:rPr>
          <w:rFonts w:ascii="Arial" w:hAnsi="Arial" w:cs="Arial"/>
          <w:sz w:val="26"/>
          <w:szCs w:val="26"/>
        </w:rPr>
        <w:t xml:space="preserve"> - - - - - - -  - - - - - - - - - - -- </w:t>
      </w:r>
    </w:p>
    <w:p w14:paraId="745A91CC" w14:textId="249AC239" w:rsidR="00E140F5" w:rsidRDefault="009D6701" w:rsidP="00E140F5">
      <w:pPr>
        <w:spacing w:before="240" w:line="360" w:lineRule="auto"/>
        <w:ind w:firstLine="708"/>
        <w:jc w:val="both"/>
        <w:rPr>
          <w:rFonts w:ascii="Arial" w:hAnsi="Arial" w:cs="Arial"/>
          <w:sz w:val="26"/>
          <w:szCs w:val="26"/>
        </w:rPr>
      </w:pPr>
      <w:r w:rsidRPr="00AD6E02">
        <w:rPr>
          <w:rFonts w:ascii="Arial" w:hAnsi="Arial" w:cs="Arial"/>
          <w:sz w:val="26"/>
          <w:szCs w:val="26"/>
        </w:rPr>
        <w:t xml:space="preserve">Por unanimidad de votos, lo resolvieron y firmaron los Magistrados </w:t>
      </w:r>
      <w:r w:rsidR="00E140F5">
        <w:rPr>
          <w:rFonts w:ascii="Arial" w:hAnsi="Arial" w:cs="Arial"/>
          <w:sz w:val="26"/>
          <w:szCs w:val="26"/>
        </w:rPr>
        <w:t xml:space="preserve">integrantes de la Sala Superior </w:t>
      </w:r>
      <w:r w:rsidRPr="00AD6E02">
        <w:rPr>
          <w:rFonts w:ascii="Arial" w:hAnsi="Arial" w:cs="Arial"/>
          <w:sz w:val="26"/>
          <w:szCs w:val="26"/>
        </w:rPr>
        <w:t>Manuel Velasco Alcántara, Raúl Palomares Palomino (</w:t>
      </w:r>
      <w:r w:rsidRPr="00AD6E02">
        <w:rPr>
          <w:rFonts w:ascii="Arial" w:hAnsi="Arial" w:cs="Arial"/>
          <w:b/>
          <w:sz w:val="26"/>
          <w:szCs w:val="26"/>
        </w:rPr>
        <w:t>ponente</w:t>
      </w:r>
      <w:r w:rsidRPr="00AD6E02">
        <w:rPr>
          <w:rFonts w:ascii="Arial" w:hAnsi="Arial" w:cs="Arial"/>
          <w:sz w:val="26"/>
          <w:szCs w:val="26"/>
        </w:rPr>
        <w:t>), Gloria del Carmen Camacho Meza; Paulo José Luis Tapia Palacios y Elías Cortés López, quienes actúan con el Licenciado Juan Edy García Coronado, Secretario General de Acuerdos de este Tribunal, que autoriza y da fe</w:t>
      </w:r>
      <w:r w:rsidR="00DF0D99">
        <w:rPr>
          <w:rFonts w:ascii="Arial" w:hAnsi="Arial" w:cs="Arial"/>
          <w:sz w:val="26"/>
          <w:szCs w:val="26"/>
        </w:rPr>
        <w:t>.- - - - - - - - - - - - - - - - - -</w:t>
      </w:r>
    </w:p>
    <w:p w14:paraId="6334D2CE" w14:textId="77777777" w:rsidR="00E140F5" w:rsidRDefault="00E140F5" w:rsidP="00E140F5">
      <w:pPr>
        <w:tabs>
          <w:tab w:val="center" w:pos="4135"/>
          <w:tab w:val="left" w:pos="7515"/>
        </w:tabs>
        <w:spacing w:line="240" w:lineRule="auto"/>
        <w:jc w:val="center"/>
        <w:rPr>
          <w:rFonts w:ascii="Arial" w:hAnsi="Arial" w:cs="Arial"/>
          <w:sz w:val="26"/>
          <w:szCs w:val="26"/>
        </w:rPr>
      </w:pPr>
    </w:p>
    <w:p w14:paraId="0C6D8F66" w14:textId="77777777" w:rsidR="00E140F5" w:rsidRDefault="00E140F5" w:rsidP="00E140F5">
      <w:pPr>
        <w:tabs>
          <w:tab w:val="center" w:pos="4135"/>
          <w:tab w:val="left" w:pos="7515"/>
        </w:tabs>
        <w:spacing w:line="240" w:lineRule="auto"/>
        <w:jc w:val="center"/>
        <w:rPr>
          <w:rFonts w:ascii="Arial" w:hAnsi="Arial" w:cs="Arial"/>
          <w:sz w:val="26"/>
          <w:szCs w:val="26"/>
        </w:rPr>
      </w:pPr>
    </w:p>
    <w:p w14:paraId="704F1175" w14:textId="77777777" w:rsidR="00E140F5" w:rsidRDefault="00E140F5" w:rsidP="00E140F5">
      <w:pPr>
        <w:tabs>
          <w:tab w:val="center" w:pos="4135"/>
          <w:tab w:val="left" w:pos="7515"/>
        </w:tabs>
        <w:spacing w:line="240" w:lineRule="auto"/>
        <w:jc w:val="center"/>
        <w:rPr>
          <w:rFonts w:ascii="Arial" w:hAnsi="Arial" w:cs="Arial"/>
          <w:sz w:val="26"/>
          <w:szCs w:val="26"/>
        </w:rPr>
      </w:pPr>
    </w:p>
    <w:p w14:paraId="6158CB79" w14:textId="6222E8EF" w:rsidR="00E140F5" w:rsidRDefault="00E140F5" w:rsidP="00E140F5">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2682D699" w14:textId="77777777" w:rsidR="00E140F5" w:rsidRDefault="00E140F5" w:rsidP="00E140F5">
      <w:pPr>
        <w:tabs>
          <w:tab w:val="center" w:pos="4135"/>
          <w:tab w:val="left" w:pos="7515"/>
        </w:tabs>
        <w:spacing w:line="240" w:lineRule="auto"/>
        <w:jc w:val="center"/>
        <w:rPr>
          <w:rFonts w:ascii="Arial" w:hAnsi="Arial" w:cs="Arial"/>
          <w:sz w:val="26"/>
          <w:szCs w:val="26"/>
        </w:rPr>
      </w:pPr>
    </w:p>
    <w:p w14:paraId="046F65CE" w14:textId="77777777" w:rsidR="00E140F5" w:rsidRDefault="00E140F5" w:rsidP="00E140F5">
      <w:pPr>
        <w:tabs>
          <w:tab w:val="center" w:pos="4135"/>
          <w:tab w:val="left" w:pos="7515"/>
        </w:tabs>
        <w:spacing w:line="240" w:lineRule="auto"/>
        <w:jc w:val="center"/>
        <w:rPr>
          <w:rFonts w:ascii="Arial" w:hAnsi="Arial" w:cs="Arial"/>
          <w:sz w:val="26"/>
          <w:szCs w:val="26"/>
        </w:rPr>
      </w:pPr>
    </w:p>
    <w:p w14:paraId="40A1487B" w14:textId="77777777" w:rsidR="00E140F5" w:rsidRDefault="00E140F5" w:rsidP="00E140F5">
      <w:pPr>
        <w:tabs>
          <w:tab w:val="center" w:pos="4135"/>
          <w:tab w:val="left" w:pos="7515"/>
        </w:tabs>
        <w:spacing w:line="240" w:lineRule="auto"/>
        <w:jc w:val="center"/>
        <w:rPr>
          <w:rFonts w:ascii="Arial" w:hAnsi="Arial" w:cs="Arial"/>
          <w:sz w:val="26"/>
          <w:szCs w:val="26"/>
        </w:rPr>
      </w:pPr>
    </w:p>
    <w:p w14:paraId="24CF0125" w14:textId="77777777" w:rsidR="00E140F5" w:rsidRDefault="00E140F5" w:rsidP="00E140F5">
      <w:pPr>
        <w:tabs>
          <w:tab w:val="center" w:pos="4135"/>
          <w:tab w:val="left" w:pos="7515"/>
        </w:tabs>
        <w:spacing w:line="240" w:lineRule="auto"/>
        <w:jc w:val="center"/>
        <w:rPr>
          <w:rFonts w:ascii="Arial" w:hAnsi="Arial" w:cs="Arial"/>
          <w:sz w:val="26"/>
          <w:szCs w:val="26"/>
        </w:rPr>
      </w:pPr>
    </w:p>
    <w:p w14:paraId="346BAA28" w14:textId="77777777" w:rsidR="00E140F5" w:rsidRDefault="00E140F5" w:rsidP="00E140F5">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676B65B7" w14:textId="77777777" w:rsidR="00E140F5" w:rsidRDefault="00E140F5" w:rsidP="00E140F5">
      <w:pPr>
        <w:tabs>
          <w:tab w:val="center" w:pos="4135"/>
          <w:tab w:val="left" w:pos="7515"/>
        </w:tabs>
        <w:spacing w:line="360" w:lineRule="auto"/>
        <w:jc w:val="center"/>
        <w:rPr>
          <w:rFonts w:ascii="Arial" w:hAnsi="Arial" w:cs="Arial"/>
          <w:sz w:val="26"/>
          <w:szCs w:val="26"/>
        </w:rPr>
      </w:pPr>
    </w:p>
    <w:p w14:paraId="1E29FEAA" w14:textId="77777777" w:rsidR="00E140F5" w:rsidRDefault="00E140F5" w:rsidP="00E140F5">
      <w:pPr>
        <w:tabs>
          <w:tab w:val="center" w:pos="4135"/>
          <w:tab w:val="left" w:pos="7515"/>
        </w:tabs>
        <w:spacing w:line="360" w:lineRule="auto"/>
        <w:jc w:val="center"/>
        <w:rPr>
          <w:rFonts w:ascii="Arial" w:hAnsi="Arial" w:cs="Arial"/>
          <w:sz w:val="26"/>
          <w:szCs w:val="26"/>
        </w:rPr>
      </w:pPr>
    </w:p>
    <w:p w14:paraId="4C1B89C9" w14:textId="77777777" w:rsidR="00E140F5" w:rsidRDefault="00E140F5" w:rsidP="00E140F5">
      <w:pPr>
        <w:tabs>
          <w:tab w:val="center" w:pos="4135"/>
          <w:tab w:val="left" w:pos="7515"/>
        </w:tabs>
        <w:spacing w:line="360" w:lineRule="auto"/>
        <w:jc w:val="center"/>
        <w:rPr>
          <w:rFonts w:ascii="Arial" w:hAnsi="Arial" w:cs="Arial"/>
          <w:sz w:val="26"/>
          <w:szCs w:val="26"/>
        </w:rPr>
      </w:pPr>
    </w:p>
    <w:p w14:paraId="5781CF8A" w14:textId="77777777" w:rsidR="00E140F5" w:rsidRDefault="00E140F5" w:rsidP="00E140F5">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2A03D413" w14:textId="77777777" w:rsidR="00E140F5" w:rsidRDefault="00E140F5" w:rsidP="00E140F5">
      <w:pPr>
        <w:tabs>
          <w:tab w:val="left" w:pos="1925"/>
          <w:tab w:val="center" w:pos="4135"/>
        </w:tabs>
        <w:jc w:val="center"/>
        <w:rPr>
          <w:rFonts w:ascii="Arial" w:hAnsi="Arial" w:cs="Arial"/>
          <w:sz w:val="26"/>
          <w:szCs w:val="26"/>
        </w:rPr>
      </w:pPr>
    </w:p>
    <w:p w14:paraId="6FEBA8CD" w14:textId="77777777" w:rsidR="00E140F5" w:rsidRDefault="00E140F5" w:rsidP="00E140F5">
      <w:pPr>
        <w:tabs>
          <w:tab w:val="left" w:pos="1925"/>
          <w:tab w:val="center" w:pos="4135"/>
        </w:tabs>
        <w:jc w:val="center"/>
        <w:rPr>
          <w:rFonts w:ascii="Arial" w:hAnsi="Arial" w:cs="Arial"/>
          <w:sz w:val="26"/>
          <w:szCs w:val="26"/>
        </w:rPr>
      </w:pPr>
    </w:p>
    <w:p w14:paraId="6019C6DE" w14:textId="77777777" w:rsidR="00DF0D99" w:rsidRPr="00326DD7" w:rsidRDefault="00DF0D99" w:rsidP="00DF0D99">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t>LAS PRESENTES FIRMAS CORRESPONDEN A LA RESOLUCIÓN DEL RECURSO DE REVISIÓN 0</w:t>
      </w:r>
      <w:r>
        <w:rPr>
          <w:rFonts w:ascii="Arial" w:hAnsi="Arial" w:cs="Arial"/>
          <w:b/>
          <w:sz w:val="16"/>
          <w:szCs w:val="16"/>
        </w:rPr>
        <w:t>173</w:t>
      </w:r>
      <w:r w:rsidRPr="00326DD7">
        <w:rPr>
          <w:rFonts w:ascii="Arial" w:hAnsi="Arial" w:cs="Arial"/>
          <w:b/>
          <w:sz w:val="16"/>
          <w:szCs w:val="16"/>
        </w:rPr>
        <w:t>/20</w:t>
      </w:r>
      <w:r>
        <w:rPr>
          <w:rFonts w:ascii="Arial" w:hAnsi="Arial" w:cs="Arial"/>
          <w:b/>
          <w:sz w:val="16"/>
          <w:szCs w:val="16"/>
        </w:rPr>
        <w:t>21</w:t>
      </w:r>
      <w:r w:rsidRPr="00326DD7">
        <w:rPr>
          <w:rFonts w:ascii="Arial" w:hAnsi="Arial" w:cs="Arial"/>
          <w:b/>
          <w:sz w:val="16"/>
          <w:szCs w:val="16"/>
        </w:rPr>
        <w:t>.</w:t>
      </w:r>
    </w:p>
    <w:p w14:paraId="3EB7C0C0" w14:textId="77777777" w:rsidR="00E140F5" w:rsidRDefault="00E140F5" w:rsidP="00E140F5">
      <w:pPr>
        <w:tabs>
          <w:tab w:val="left" w:pos="1925"/>
          <w:tab w:val="center" w:pos="4135"/>
        </w:tabs>
        <w:jc w:val="center"/>
        <w:rPr>
          <w:rFonts w:ascii="Arial" w:hAnsi="Arial" w:cs="Arial"/>
          <w:sz w:val="26"/>
          <w:szCs w:val="26"/>
        </w:rPr>
      </w:pPr>
    </w:p>
    <w:p w14:paraId="2A6A5E64" w14:textId="77777777" w:rsidR="00E140F5" w:rsidRDefault="00E140F5" w:rsidP="00E140F5">
      <w:pPr>
        <w:tabs>
          <w:tab w:val="left" w:pos="1925"/>
          <w:tab w:val="center" w:pos="4135"/>
        </w:tabs>
        <w:rPr>
          <w:rFonts w:ascii="Arial" w:hAnsi="Arial" w:cs="Arial"/>
          <w:sz w:val="26"/>
          <w:szCs w:val="26"/>
        </w:rPr>
      </w:pPr>
    </w:p>
    <w:p w14:paraId="4DB3F799" w14:textId="77777777" w:rsidR="00E140F5" w:rsidRDefault="00E140F5" w:rsidP="00E140F5">
      <w:pPr>
        <w:tabs>
          <w:tab w:val="left" w:pos="1925"/>
          <w:tab w:val="center" w:pos="4135"/>
        </w:tabs>
        <w:rPr>
          <w:rFonts w:ascii="Arial" w:hAnsi="Arial" w:cs="Arial"/>
          <w:sz w:val="26"/>
          <w:szCs w:val="26"/>
        </w:rPr>
      </w:pPr>
    </w:p>
    <w:p w14:paraId="0C2E772F" w14:textId="77777777" w:rsidR="00E140F5" w:rsidRDefault="00E140F5" w:rsidP="00E140F5">
      <w:pPr>
        <w:tabs>
          <w:tab w:val="left" w:pos="1925"/>
          <w:tab w:val="center" w:pos="4135"/>
        </w:tabs>
        <w:jc w:val="center"/>
        <w:rPr>
          <w:rFonts w:ascii="Arial" w:hAnsi="Arial" w:cs="Arial"/>
          <w:sz w:val="26"/>
          <w:szCs w:val="26"/>
        </w:rPr>
      </w:pPr>
    </w:p>
    <w:p w14:paraId="6D9F0E4D" w14:textId="77777777" w:rsidR="00E140F5" w:rsidRDefault="00E140F5" w:rsidP="00E140F5">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202508E0" w14:textId="47D23AB6" w:rsidR="00892CDB" w:rsidRDefault="00892CDB" w:rsidP="00DF0D99">
      <w:pPr>
        <w:tabs>
          <w:tab w:val="left" w:pos="1925"/>
          <w:tab w:val="center" w:pos="4135"/>
        </w:tabs>
        <w:rPr>
          <w:rFonts w:ascii="Arial" w:hAnsi="Arial" w:cs="Arial"/>
          <w:sz w:val="26"/>
          <w:szCs w:val="26"/>
        </w:rPr>
      </w:pPr>
    </w:p>
    <w:p w14:paraId="672340F1" w14:textId="4E7F3BCF" w:rsidR="00892CDB" w:rsidRDefault="00892CDB" w:rsidP="00E140F5">
      <w:pPr>
        <w:tabs>
          <w:tab w:val="left" w:pos="1925"/>
          <w:tab w:val="center" w:pos="4135"/>
        </w:tabs>
        <w:jc w:val="center"/>
        <w:rPr>
          <w:rFonts w:ascii="Arial" w:hAnsi="Arial" w:cs="Arial"/>
          <w:sz w:val="26"/>
          <w:szCs w:val="26"/>
        </w:rPr>
      </w:pPr>
    </w:p>
    <w:p w14:paraId="02266160" w14:textId="77777777" w:rsidR="00892CDB" w:rsidRDefault="00892CDB" w:rsidP="00E140F5">
      <w:pPr>
        <w:tabs>
          <w:tab w:val="left" w:pos="1925"/>
          <w:tab w:val="center" w:pos="4135"/>
        </w:tabs>
        <w:jc w:val="center"/>
        <w:rPr>
          <w:rFonts w:ascii="Arial" w:hAnsi="Arial" w:cs="Arial"/>
          <w:sz w:val="26"/>
          <w:szCs w:val="26"/>
        </w:rPr>
      </w:pPr>
    </w:p>
    <w:p w14:paraId="789CD322" w14:textId="77777777" w:rsidR="00E140F5" w:rsidRPr="00366AD3" w:rsidRDefault="00E140F5" w:rsidP="00E140F5">
      <w:pPr>
        <w:tabs>
          <w:tab w:val="left" w:pos="1925"/>
          <w:tab w:val="center" w:pos="4135"/>
        </w:tabs>
        <w:jc w:val="center"/>
        <w:rPr>
          <w:rFonts w:ascii="Arial" w:hAnsi="Arial" w:cs="Arial"/>
          <w:sz w:val="26"/>
          <w:szCs w:val="26"/>
        </w:rPr>
      </w:pPr>
    </w:p>
    <w:p w14:paraId="335CB12B" w14:textId="77777777" w:rsidR="00E140F5" w:rsidRDefault="00E140F5" w:rsidP="00E140F5">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1F383E3B" w14:textId="77777777" w:rsidR="00E140F5" w:rsidRDefault="00E140F5" w:rsidP="00DF0D99">
      <w:pPr>
        <w:tabs>
          <w:tab w:val="center" w:pos="4135"/>
          <w:tab w:val="left" w:pos="7515"/>
        </w:tabs>
        <w:spacing w:line="360" w:lineRule="auto"/>
        <w:rPr>
          <w:rFonts w:ascii="Arial" w:hAnsi="Arial" w:cs="Arial"/>
          <w:sz w:val="26"/>
          <w:szCs w:val="26"/>
        </w:rPr>
      </w:pPr>
    </w:p>
    <w:p w14:paraId="4BB82C55" w14:textId="77777777" w:rsidR="00E140F5" w:rsidRDefault="00E140F5" w:rsidP="00E140F5">
      <w:pPr>
        <w:tabs>
          <w:tab w:val="center" w:pos="4135"/>
          <w:tab w:val="left" w:pos="7515"/>
        </w:tabs>
        <w:spacing w:line="360" w:lineRule="auto"/>
        <w:jc w:val="center"/>
        <w:rPr>
          <w:rFonts w:ascii="Arial" w:hAnsi="Arial" w:cs="Arial"/>
          <w:sz w:val="26"/>
          <w:szCs w:val="26"/>
        </w:rPr>
      </w:pPr>
    </w:p>
    <w:p w14:paraId="73899CFB" w14:textId="77777777" w:rsidR="00E140F5" w:rsidRDefault="00E140F5" w:rsidP="00E140F5">
      <w:pPr>
        <w:jc w:val="center"/>
        <w:rPr>
          <w:rFonts w:ascii="Arial" w:hAnsi="Arial" w:cs="Arial"/>
          <w:sz w:val="26"/>
          <w:szCs w:val="26"/>
        </w:rPr>
      </w:pPr>
    </w:p>
    <w:p w14:paraId="01583CCD" w14:textId="77777777" w:rsidR="00E140F5" w:rsidRDefault="00E140F5" w:rsidP="00E140F5">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31214271" w14:textId="77777777" w:rsidR="00E140F5" w:rsidRPr="00E5261F" w:rsidRDefault="00E140F5" w:rsidP="00E140F5">
      <w:pPr>
        <w:spacing w:after="0" w:line="240" w:lineRule="auto"/>
        <w:jc w:val="center"/>
        <w:rPr>
          <w:sz w:val="26"/>
          <w:szCs w:val="26"/>
        </w:rPr>
      </w:pPr>
      <w:r w:rsidRPr="00366AD3">
        <w:rPr>
          <w:rFonts w:ascii="Arial" w:hAnsi="Arial" w:cs="Arial"/>
          <w:sz w:val="26"/>
          <w:szCs w:val="26"/>
        </w:rPr>
        <w:t>SECRETARIO GENERAL DE ACUERDOS</w:t>
      </w:r>
    </w:p>
    <w:p w14:paraId="63FEA4D8" w14:textId="77777777" w:rsidR="00E140F5" w:rsidRPr="00A57E1D" w:rsidRDefault="00E140F5" w:rsidP="00E140F5">
      <w:pPr>
        <w:tabs>
          <w:tab w:val="center" w:pos="4135"/>
          <w:tab w:val="left" w:pos="7515"/>
        </w:tabs>
        <w:spacing w:after="0" w:line="360" w:lineRule="auto"/>
        <w:jc w:val="center"/>
      </w:pPr>
    </w:p>
    <w:p w14:paraId="1E0FB9B9" w14:textId="2A4CDA20" w:rsidR="009D6701" w:rsidRPr="00AD6E02" w:rsidRDefault="009D6701" w:rsidP="00E140F5">
      <w:pPr>
        <w:tabs>
          <w:tab w:val="left" w:pos="1680"/>
          <w:tab w:val="center" w:pos="4277"/>
        </w:tabs>
        <w:spacing w:line="360" w:lineRule="auto"/>
        <w:jc w:val="center"/>
        <w:rPr>
          <w:rFonts w:ascii="Arial" w:hAnsi="Arial" w:cs="Arial"/>
          <w:sz w:val="26"/>
          <w:szCs w:val="26"/>
        </w:rPr>
      </w:pPr>
    </w:p>
    <w:sectPr w:rsidR="009D6701" w:rsidRPr="00AD6E0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1BCF10" w14:textId="77777777" w:rsidR="005B3750" w:rsidRDefault="005B3750">
      <w:pPr>
        <w:spacing w:after="0" w:line="240" w:lineRule="auto"/>
      </w:pPr>
      <w:r>
        <w:separator/>
      </w:r>
    </w:p>
  </w:endnote>
  <w:endnote w:type="continuationSeparator" w:id="0">
    <w:p w14:paraId="6AA94BDB" w14:textId="77777777" w:rsidR="005B3750" w:rsidRDefault="005B3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11701A" w:rsidRDefault="0011701A">
    <w:pPr>
      <w:pStyle w:val="Piedepgina"/>
      <w:jc w:val="center"/>
    </w:pPr>
  </w:p>
  <w:p w14:paraId="195FF414" w14:textId="77777777" w:rsidR="0011701A" w:rsidRDefault="001170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9A53E4" w14:textId="77777777" w:rsidR="005B3750" w:rsidRDefault="005B3750">
      <w:pPr>
        <w:spacing w:after="0" w:line="240" w:lineRule="auto"/>
      </w:pPr>
      <w:r>
        <w:separator/>
      </w:r>
    </w:p>
  </w:footnote>
  <w:footnote w:type="continuationSeparator" w:id="0">
    <w:p w14:paraId="1CE6E31A" w14:textId="77777777" w:rsidR="005B3750" w:rsidRDefault="005B3750">
      <w:pPr>
        <w:spacing w:after="0" w:line="240" w:lineRule="auto"/>
      </w:pPr>
      <w:r>
        <w:continuationSeparator/>
      </w:r>
    </w:p>
  </w:footnote>
  <w:footnote w:id="1">
    <w:p w14:paraId="72CFC88F" w14:textId="77777777" w:rsidR="0011701A" w:rsidRPr="00571437" w:rsidRDefault="0011701A" w:rsidP="003F2B1B">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284E0452" w14:textId="77777777" w:rsidR="0011701A" w:rsidRPr="00571437" w:rsidRDefault="0011701A" w:rsidP="003F2B1B">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6FF717EF" w14:textId="67AD196E" w:rsidR="0011701A" w:rsidRPr="00EF22EE" w:rsidRDefault="0011701A" w:rsidP="003F2B1B">
      <w:pPr>
        <w:pStyle w:val="Textonotapie"/>
        <w:jc w:val="both"/>
        <w:rPr>
          <w:rFonts w:ascii="Arial" w:hAnsi="Arial" w:cs="Arial"/>
          <w:lang w:val="es-ES"/>
        </w:rPr>
      </w:pPr>
      <w:r w:rsidRPr="00EF22EE">
        <w:rPr>
          <w:rStyle w:val="Refdenotaalpie"/>
          <w:rFonts w:ascii="Arial" w:hAnsi="Arial" w:cs="Arial"/>
        </w:rPr>
        <w:footnoteRef/>
      </w:r>
      <w:r w:rsidRPr="00EF22EE">
        <w:rPr>
          <w:rFonts w:ascii="Arial" w:hAnsi="Arial" w:cs="Arial"/>
        </w:rPr>
        <w:t xml:space="preserve"> </w:t>
      </w:r>
      <w:r>
        <w:rPr>
          <w:rFonts w:ascii="Arial" w:hAnsi="Arial" w:cs="Arial"/>
          <w:lang w:val="es-ES"/>
        </w:rPr>
        <w:t>Consultable de la foja 07</w:t>
      </w:r>
      <w:r w:rsidRPr="00EF22EE">
        <w:rPr>
          <w:rFonts w:ascii="Arial" w:hAnsi="Arial" w:cs="Arial"/>
          <w:lang w:val="es-ES"/>
        </w:rPr>
        <w:t xml:space="preserve"> (</w:t>
      </w:r>
      <w:r>
        <w:rPr>
          <w:rFonts w:ascii="Arial" w:hAnsi="Arial" w:cs="Arial"/>
          <w:lang w:val="es-ES"/>
        </w:rPr>
        <w:t>siete) a la 09</w:t>
      </w:r>
      <w:r w:rsidRPr="00EF22EE">
        <w:rPr>
          <w:rFonts w:ascii="Arial" w:hAnsi="Arial" w:cs="Arial"/>
          <w:lang w:val="es-ES"/>
        </w:rPr>
        <w:t xml:space="preserve"> (</w:t>
      </w:r>
      <w:r>
        <w:rPr>
          <w:rFonts w:ascii="Arial" w:hAnsi="Arial" w:cs="Arial"/>
          <w:lang w:val="es-ES"/>
        </w:rPr>
        <w:t>nueve</w:t>
      </w:r>
      <w:r w:rsidRPr="00EF22EE">
        <w:rPr>
          <w:rFonts w:ascii="Arial" w:hAnsi="Arial" w:cs="Arial"/>
          <w:lang w:val="es-ES"/>
        </w:rPr>
        <w:t xml:space="preserve">) del expediente </w:t>
      </w:r>
      <w:r w:rsidRPr="00EF22EE">
        <w:rPr>
          <w:rFonts w:ascii="Arial" w:hAnsi="Arial" w:cs="Arial"/>
          <w:b/>
          <w:lang w:val="es-ES"/>
        </w:rPr>
        <w:t>0</w:t>
      </w:r>
      <w:r>
        <w:rPr>
          <w:rFonts w:ascii="Arial" w:hAnsi="Arial" w:cs="Arial"/>
          <w:b/>
          <w:lang w:val="es-ES"/>
        </w:rPr>
        <w:t>132/2019</w:t>
      </w:r>
      <w:r w:rsidRPr="00EF22EE">
        <w:rPr>
          <w:rFonts w:ascii="Arial" w:hAnsi="Arial" w:cs="Arial"/>
          <w:b/>
          <w:lang w:val="es-ES"/>
        </w:rPr>
        <w:t xml:space="preserve"> </w:t>
      </w:r>
      <w:r w:rsidRPr="00EF22EE">
        <w:rPr>
          <w:rFonts w:ascii="Arial" w:hAnsi="Arial" w:cs="Arial"/>
          <w:lang w:val="es-ES"/>
        </w:rPr>
        <w:t>del índice de la Cuarta Sala Unitaria de Primera Instancia.</w:t>
      </w:r>
    </w:p>
  </w:footnote>
  <w:footnote w:id="3">
    <w:p w14:paraId="1A84C6EC" w14:textId="678324BC" w:rsidR="0011701A" w:rsidRPr="00931535" w:rsidRDefault="0011701A">
      <w:pPr>
        <w:pStyle w:val="Textonotapie"/>
        <w:rPr>
          <w:rFonts w:ascii="Arial" w:hAnsi="Arial" w:cs="Arial"/>
          <w:lang w:val="es-ES"/>
        </w:rPr>
      </w:pPr>
      <w:r w:rsidRPr="00931535">
        <w:rPr>
          <w:rStyle w:val="Refdenotaalpie"/>
          <w:rFonts w:ascii="Arial" w:hAnsi="Arial" w:cs="Arial"/>
        </w:rPr>
        <w:footnoteRef/>
      </w:r>
      <w:r w:rsidRPr="00931535">
        <w:rPr>
          <w:rFonts w:ascii="Arial" w:hAnsi="Arial" w:cs="Arial"/>
        </w:rPr>
        <w:t xml:space="preserve"> </w:t>
      </w:r>
      <w:r w:rsidRPr="00931535">
        <w:rPr>
          <w:rFonts w:ascii="Arial" w:hAnsi="Arial" w:cs="Arial"/>
          <w:lang w:val="es-ES"/>
        </w:rPr>
        <w:t xml:space="preserve">Fojas 61 (sesenta y uno) a la 65 (sesenta y cinco), </w:t>
      </w:r>
      <w:r w:rsidRPr="00931535">
        <w:rPr>
          <w:rFonts w:ascii="Arial" w:hAnsi="Arial" w:cs="Arial"/>
          <w:i/>
          <w:lang w:val="es-ES"/>
        </w:rPr>
        <w:t>ibídem.</w:t>
      </w:r>
    </w:p>
  </w:footnote>
  <w:footnote w:id="4">
    <w:p w14:paraId="782FAE92" w14:textId="77777777" w:rsidR="0011701A" w:rsidRPr="0055044F" w:rsidRDefault="0011701A" w:rsidP="00F718C5">
      <w:pPr>
        <w:pStyle w:val="Textonotapie"/>
        <w:jc w:val="both"/>
        <w:rPr>
          <w:rFonts w:ascii="Arial" w:hAnsi="Arial" w:cs="Arial"/>
          <w:i/>
        </w:rPr>
      </w:pPr>
      <w:r w:rsidRPr="0055044F">
        <w:rPr>
          <w:rStyle w:val="Refdenotaalpie"/>
          <w:rFonts w:ascii="Arial" w:hAnsi="Arial" w:cs="Arial"/>
          <w:b/>
          <w:i/>
        </w:rPr>
        <w:footnoteRef/>
      </w:r>
      <w:r w:rsidRPr="0055044F">
        <w:rPr>
          <w:rFonts w:ascii="Arial" w:hAnsi="Arial" w:cs="Arial"/>
          <w:b/>
          <w:i/>
        </w:rPr>
        <w:t xml:space="preserve"> “ARTÍCULO 207.-</w:t>
      </w:r>
      <w:r w:rsidRPr="0055044F">
        <w:rPr>
          <w:rFonts w:ascii="Arial" w:hAnsi="Arial" w:cs="Arial"/>
          <w:i/>
        </w:rPr>
        <w:t xml:space="preserve"> Las sentencias que emita el Tribunal, deberán de contener:</w:t>
      </w:r>
    </w:p>
    <w:p w14:paraId="58490B7A" w14:textId="77777777" w:rsidR="0011701A" w:rsidRPr="0055044F" w:rsidRDefault="0011701A" w:rsidP="00F718C5">
      <w:pPr>
        <w:pStyle w:val="Textonotapie"/>
        <w:jc w:val="both"/>
        <w:rPr>
          <w:rFonts w:ascii="Arial" w:hAnsi="Arial" w:cs="Arial"/>
          <w:i/>
        </w:rPr>
      </w:pPr>
      <w:r w:rsidRPr="0055044F">
        <w:rPr>
          <w:rFonts w:ascii="Arial" w:hAnsi="Arial" w:cs="Arial"/>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054A2BA7" w14:textId="77777777" w:rsidR="0011701A" w:rsidRPr="0055044F" w:rsidRDefault="0011701A" w:rsidP="00F718C5">
      <w:pPr>
        <w:pStyle w:val="Textonotapie"/>
        <w:jc w:val="both"/>
        <w:rPr>
          <w:rFonts w:ascii="Arial" w:hAnsi="Arial" w:cs="Arial"/>
          <w:i/>
        </w:rPr>
      </w:pPr>
      <w:r w:rsidRPr="0055044F">
        <w:rPr>
          <w:rFonts w:ascii="Arial" w:hAnsi="Arial" w:cs="Arial"/>
          <w:i/>
        </w:rPr>
        <w:t>II. La exposición debidamente fundada y motivada de las consideraciones en que se basa la resolución; y</w:t>
      </w:r>
    </w:p>
    <w:p w14:paraId="09796177" w14:textId="77777777" w:rsidR="0011701A" w:rsidRPr="0055044F" w:rsidRDefault="0011701A" w:rsidP="00F718C5">
      <w:pPr>
        <w:pStyle w:val="Textonotapie"/>
        <w:jc w:val="both"/>
        <w:rPr>
          <w:rFonts w:ascii="Arial" w:hAnsi="Arial" w:cs="Arial"/>
          <w:i/>
        </w:rPr>
      </w:pPr>
      <w:r w:rsidRPr="0055044F">
        <w:rPr>
          <w:rFonts w:ascii="Arial" w:hAnsi="Arial" w:cs="Arial"/>
          <w:i/>
        </w:rPr>
        <w:t>III. Los puntos resolutivos, los que expresarán los actos o resoluciones cuya validez se reconozca o cuya nulidad se declare.</w:t>
      </w:r>
    </w:p>
    <w:p w14:paraId="109CC3C3" w14:textId="77777777" w:rsidR="0011701A" w:rsidRPr="0055044F" w:rsidRDefault="0011701A" w:rsidP="00F718C5">
      <w:pPr>
        <w:pStyle w:val="Textonotapie"/>
        <w:jc w:val="both"/>
        <w:rPr>
          <w:rFonts w:ascii="Arial" w:hAnsi="Arial" w:cs="Arial"/>
          <w:i/>
        </w:rPr>
      </w:pPr>
      <w:r w:rsidRPr="0055044F">
        <w:rPr>
          <w:rFonts w:ascii="Arial" w:hAnsi="Arial" w:cs="Arial"/>
          <w:b/>
          <w:i/>
        </w:rPr>
        <w:t>ARTÍCULO 208.-</w:t>
      </w:r>
      <w:r w:rsidRPr="0055044F">
        <w:rPr>
          <w:rFonts w:ascii="Arial" w:hAnsi="Arial" w:cs="Arial"/>
          <w:i/>
        </w:rPr>
        <w:t xml:space="preserve"> Se declarará que un acto administrativo es ilegal si de esa ilegalidad nace su nulidad relativa o absoluta, cuando se demuestre alguna de las siguientes causales:</w:t>
      </w:r>
    </w:p>
    <w:p w14:paraId="690EC5C9" w14:textId="77777777" w:rsidR="0011701A" w:rsidRPr="0055044F" w:rsidRDefault="0011701A" w:rsidP="00F718C5">
      <w:pPr>
        <w:pStyle w:val="Textonotapie"/>
        <w:jc w:val="both"/>
        <w:rPr>
          <w:rFonts w:ascii="Arial" w:hAnsi="Arial" w:cs="Arial"/>
          <w:i/>
        </w:rPr>
      </w:pPr>
      <w:r w:rsidRPr="0055044F">
        <w:rPr>
          <w:rFonts w:ascii="Arial" w:hAnsi="Arial" w:cs="Arial"/>
          <w:i/>
        </w:rPr>
        <w:t>I. Incompetencia del funcionario que lo haya ordenado, o tramitado el procedimiento del que deriva la resolución impugnada;</w:t>
      </w:r>
    </w:p>
    <w:p w14:paraId="76C6A7D4" w14:textId="77777777" w:rsidR="0011701A" w:rsidRPr="0055044F" w:rsidRDefault="0011701A" w:rsidP="00F718C5">
      <w:pPr>
        <w:pStyle w:val="Textonotapie"/>
        <w:jc w:val="both"/>
        <w:rPr>
          <w:rFonts w:ascii="Arial" w:hAnsi="Arial" w:cs="Arial"/>
          <w:i/>
        </w:rPr>
      </w:pPr>
      <w:r w:rsidRPr="0055044F">
        <w:rPr>
          <w:rFonts w:ascii="Arial" w:hAnsi="Arial" w:cs="Arial"/>
          <w:i/>
        </w:rPr>
        <w:t>II. Omisión de los requisitos formales exigidos por las leyes que afecten las defensas del particular y trasciendan al sentido de la resolución impugnada, inclusive la ausencia de fundamento o motivación, en su caso;</w:t>
      </w:r>
    </w:p>
    <w:p w14:paraId="3E215ADD" w14:textId="77777777" w:rsidR="0011701A" w:rsidRPr="0055044F" w:rsidRDefault="0011701A" w:rsidP="00F718C5">
      <w:pPr>
        <w:pStyle w:val="Textonotapie"/>
        <w:jc w:val="both"/>
        <w:rPr>
          <w:rFonts w:ascii="Arial" w:hAnsi="Arial" w:cs="Arial"/>
          <w:i/>
          <w:lang w:val="es-ES"/>
        </w:rPr>
      </w:pPr>
      <w:r w:rsidRPr="0055044F">
        <w:rPr>
          <w:rFonts w:ascii="Arial" w:hAnsi="Arial" w:cs="Arial"/>
          <w:b/>
          <w:i/>
        </w:rPr>
        <w:t>ARTÍCULO 209.-</w:t>
      </w:r>
      <w:r w:rsidRPr="0055044F">
        <w:rPr>
          <w:rFonts w:ascii="Arial" w:hAnsi="Arial" w:cs="Arial"/>
          <w:i/>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D37AC40" w:rsidR="0011701A" w:rsidRDefault="00DF0D9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1701A">
          <w:fldChar w:fldCharType="begin"/>
        </w:r>
        <w:r w:rsidR="0011701A">
          <w:instrText>PAGE   \* MERGEFORMAT</w:instrText>
        </w:r>
        <w:r w:rsidR="0011701A">
          <w:fldChar w:fldCharType="separate"/>
        </w:r>
        <w:r w:rsidRPr="00DF0D99">
          <w:rPr>
            <w:noProof/>
            <w:lang w:val="es-ES"/>
          </w:rPr>
          <w:t>10</w:t>
        </w:r>
        <w:r w:rsidR="0011701A">
          <w:fldChar w:fldCharType="end"/>
        </w:r>
      </w:p>
    </w:sdtContent>
  </w:sdt>
  <w:p w14:paraId="0E68208C" w14:textId="77777777" w:rsidR="0011701A" w:rsidRDefault="0011701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01FFF5C" w:rsidR="0011701A" w:rsidRDefault="00DF0D9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1701A">
          <w:fldChar w:fldCharType="begin"/>
        </w:r>
        <w:r w:rsidR="0011701A">
          <w:instrText>PAGE   \* MERGEFORMAT</w:instrText>
        </w:r>
        <w:r w:rsidR="0011701A">
          <w:fldChar w:fldCharType="separate"/>
        </w:r>
        <w:r w:rsidRPr="00DF0D99">
          <w:rPr>
            <w:noProof/>
            <w:lang w:val="es-ES"/>
          </w:rPr>
          <w:t>11</w:t>
        </w:r>
        <w:r w:rsidR="0011701A">
          <w:fldChar w:fldCharType="end"/>
        </w:r>
      </w:sdtContent>
    </w:sdt>
  </w:p>
  <w:p w14:paraId="51E22156" w14:textId="2026EBEF" w:rsidR="0011701A" w:rsidRDefault="00DF0D9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0F32155" wp14:editId="4DDFDCD0">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A52B343" w14:textId="77777777" w:rsidR="00DF0D99" w:rsidRDefault="00DF0D99" w:rsidP="00DF0D9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F32155"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A52B343" w14:textId="77777777" w:rsidR="00DF0D99" w:rsidRDefault="00DF0D99" w:rsidP="00DF0D9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11701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1701A" w:rsidRDefault="00DF0D9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32340D"/>
    <w:multiLevelType w:val="hybridMultilevel"/>
    <w:tmpl w:val="C50037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0573D4B"/>
    <w:multiLevelType w:val="hybridMultilevel"/>
    <w:tmpl w:val="3BAEEC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23C611F"/>
    <w:multiLevelType w:val="hybridMultilevel"/>
    <w:tmpl w:val="2A44EB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6F634F4"/>
    <w:multiLevelType w:val="hybridMultilevel"/>
    <w:tmpl w:val="C38C6D0C"/>
    <w:lvl w:ilvl="0" w:tplc="6640033E">
      <w:start w:val="9"/>
      <w:numFmt w:val="bullet"/>
      <w:lvlText w:val="-"/>
      <w:lvlJc w:val="left"/>
      <w:pPr>
        <w:ind w:left="987" w:hanging="360"/>
      </w:pPr>
      <w:rPr>
        <w:rFonts w:ascii="Arial" w:eastAsia="Calibri" w:hAnsi="Arial" w:cs="Arial" w:hint="default"/>
        <w:b/>
      </w:rPr>
    </w:lvl>
    <w:lvl w:ilvl="1" w:tplc="080A0003" w:tentative="1">
      <w:start w:val="1"/>
      <w:numFmt w:val="bullet"/>
      <w:lvlText w:val="o"/>
      <w:lvlJc w:val="left"/>
      <w:pPr>
        <w:ind w:left="1707" w:hanging="360"/>
      </w:pPr>
      <w:rPr>
        <w:rFonts w:ascii="Courier New" w:hAnsi="Courier New" w:cs="Courier New" w:hint="default"/>
      </w:rPr>
    </w:lvl>
    <w:lvl w:ilvl="2" w:tplc="080A0005" w:tentative="1">
      <w:start w:val="1"/>
      <w:numFmt w:val="bullet"/>
      <w:lvlText w:val=""/>
      <w:lvlJc w:val="left"/>
      <w:pPr>
        <w:ind w:left="2427" w:hanging="360"/>
      </w:pPr>
      <w:rPr>
        <w:rFonts w:ascii="Wingdings" w:hAnsi="Wingdings" w:hint="default"/>
      </w:rPr>
    </w:lvl>
    <w:lvl w:ilvl="3" w:tplc="080A0001" w:tentative="1">
      <w:start w:val="1"/>
      <w:numFmt w:val="bullet"/>
      <w:lvlText w:val=""/>
      <w:lvlJc w:val="left"/>
      <w:pPr>
        <w:ind w:left="3147" w:hanging="360"/>
      </w:pPr>
      <w:rPr>
        <w:rFonts w:ascii="Symbol" w:hAnsi="Symbol" w:hint="default"/>
      </w:rPr>
    </w:lvl>
    <w:lvl w:ilvl="4" w:tplc="080A0003" w:tentative="1">
      <w:start w:val="1"/>
      <w:numFmt w:val="bullet"/>
      <w:lvlText w:val="o"/>
      <w:lvlJc w:val="left"/>
      <w:pPr>
        <w:ind w:left="3867" w:hanging="360"/>
      </w:pPr>
      <w:rPr>
        <w:rFonts w:ascii="Courier New" w:hAnsi="Courier New" w:cs="Courier New" w:hint="default"/>
      </w:rPr>
    </w:lvl>
    <w:lvl w:ilvl="5" w:tplc="080A0005" w:tentative="1">
      <w:start w:val="1"/>
      <w:numFmt w:val="bullet"/>
      <w:lvlText w:val=""/>
      <w:lvlJc w:val="left"/>
      <w:pPr>
        <w:ind w:left="4587" w:hanging="360"/>
      </w:pPr>
      <w:rPr>
        <w:rFonts w:ascii="Wingdings" w:hAnsi="Wingdings" w:hint="default"/>
      </w:rPr>
    </w:lvl>
    <w:lvl w:ilvl="6" w:tplc="080A0001" w:tentative="1">
      <w:start w:val="1"/>
      <w:numFmt w:val="bullet"/>
      <w:lvlText w:val=""/>
      <w:lvlJc w:val="left"/>
      <w:pPr>
        <w:ind w:left="5307" w:hanging="360"/>
      </w:pPr>
      <w:rPr>
        <w:rFonts w:ascii="Symbol" w:hAnsi="Symbol" w:hint="default"/>
      </w:rPr>
    </w:lvl>
    <w:lvl w:ilvl="7" w:tplc="080A0003" w:tentative="1">
      <w:start w:val="1"/>
      <w:numFmt w:val="bullet"/>
      <w:lvlText w:val="o"/>
      <w:lvlJc w:val="left"/>
      <w:pPr>
        <w:ind w:left="6027" w:hanging="360"/>
      </w:pPr>
      <w:rPr>
        <w:rFonts w:ascii="Courier New" w:hAnsi="Courier New" w:cs="Courier New" w:hint="default"/>
      </w:rPr>
    </w:lvl>
    <w:lvl w:ilvl="8" w:tplc="080A0005" w:tentative="1">
      <w:start w:val="1"/>
      <w:numFmt w:val="bullet"/>
      <w:lvlText w:val=""/>
      <w:lvlJc w:val="left"/>
      <w:pPr>
        <w:ind w:left="6747" w:hanging="360"/>
      </w:pPr>
      <w:rPr>
        <w:rFonts w:ascii="Wingdings" w:hAnsi="Wingdings" w:hint="default"/>
      </w:r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7DA3F4A"/>
    <w:multiLevelType w:val="hybridMultilevel"/>
    <w:tmpl w:val="3294D066"/>
    <w:lvl w:ilvl="0" w:tplc="192AA548">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6"/>
  </w:num>
  <w:num w:numId="2">
    <w:abstractNumId w:val="2"/>
  </w:num>
  <w:num w:numId="3">
    <w:abstractNumId w:val="0"/>
  </w:num>
  <w:num w:numId="4">
    <w:abstractNumId w:val="10"/>
  </w:num>
  <w:num w:numId="5">
    <w:abstractNumId w:val="13"/>
  </w:num>
  <w:num w:numId="6">
    <w:abstractNumId w:val="6"/>
  </w:num>
  <w:num w:numId="7">
    <w:abstractNumId w:val="4"/>
  </w:num>
  <w:num w:numId="8">
    <w:abstractNumId w:val="1"/>
  </w:num>
  <w:num w:numId="9">
    <w:abstractNumId w:val="3"/>
  </w:num>
  <w:num w:numId="10">
    <w:abstractNumId w:val="9"/>
  </w:num>
  <w:num w:numId="11">
    <w:abstractNumId w:val="11"/>
  </w:num>
  <w:num w:numId="12">
    <w:abstractNumId w:val="8"/>
  </w:num>
  <w:num w:numId="13">
    <w:abstractNumId w:val="12"/>
  </w:num>
  <w:num w:numId="14">
    <w:abstractNumId w:val="5"/>
  </w:num>
  <w:num w:numId="15">
    <w:abstractNumId w:val="14"/>
  </w:num>
  <w:num w:numId="16">
    <w:abstractNumId w:val="17"/>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72"/>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50CE"/>
    <w:rsid w:val="000162F4"/>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5719"/>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571C1"/>
    <w:rsid w:val="0006099F"/>
    <w:rsid w:val="00060DBB"/>
    <w:rsid w:val="00061268"/>
    <w:rsid w:val="00061610"/>
    <w:rsid w:val="000616B5"/>
    <w:rsid w:val="00061C4C"/>
    <w:rsid w:val="0006202A"/>
    <w:rsid w:val="000620CD"/>
    <w:rsid w:val="00062802"/>
    <w:rsid w:val="00062BE3"/>
    <w:rsid w:val="00064906"/>
    <w:rsid w:val="00064E7E"/>
    <w:rsid w:val="00064FD9"/>
    <w:rsid w:val="00065AC3"/>
    <w:rsid w:val="00067B5A"/>
    <w:rsid w:val="00070777"/>
    <w:rsid w:val="00070AA4"/>
    <w:rsid w:val="000714A1"/>
    <w:rsid w:val="00071C6F"/>
    <w:rsid w:val="00071E8C"/>
    <w:rsid w:val="00071F15"/>
    <w:rsid w:val="00071FD1"/>
    <w:rsid w:val="000727EB"/>
    <w:rsid w:val="000728B9"/>
    <w:rsid w:val="00073450"/>
    <w:rsid w:val="000737BF"/>
    <w:rsid w:val="00074A23"/>
    <w:rsid w:val="00074C62"/>
    <w:rsid w:val="00074E20"/>
    <w:rsid w:val="000755A5"/>
    <w:rsid w:val="000756DE"/>
    <w:rsid w:val="00076647"/>
    <w:rsid w:val="000767C8"/>
    <w:rsid w:val="00076CEA"/>
    <w:rsid w:val="00076CED"/>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3F5B"/>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807"/>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5CE"/>
    <w:rsid w:val="000F5C41"/>
    <w:rsid w:val="000F5DE0"/>
    <w:rsid w:val="000F62C3"/>
    <w:rsid w:val="000F75AF"/>
    <w:rsid w:val="000F77DE"/>
    <w:rsid w:val="001002F5"/>
    <w:rsid w:val="001019F2"/>
    <w:rsid w:val="001025E5"/>
    <w:rsid w:val="00102AFD"/>
    <w:rsid w:val="001041F6"/>
    <w:rsid w:val="00104D38"/>
    <w:rsid w:val="0010644A"/>
    <w:rsid w:val="0010719A"/>
    <w:rsid w:val="0010766B"/>
    <w:rsid w:val="001108F3"/>
    <w:rsid w:val="00110B09"/>
    <w:rsid w:val="00110C32"/>
    <w:rsid w:val="001114FB"/>
    <w:rsid w:val="00111BFC"/>
    <w:rsid w:val="00111CBB"/>
    <w:rsid w:val="0011210D"/>
    <w:rsid w:val="00112282"/>
    <w:rsid w:val="00112765"/>
    <w:rsid w:val="00112BF7"/>
    <w:rsid w:val="00113361"/>
    <w:rsid w:val="00113A46"/>
    <w:rsid w:val="00114AC5"/>
    <w:rsid w:val="001162E0"/>
    <w:rsid w:val="00116579"/>
    <w:rsid w:val="0011701A"/>
    <w:rsid w:val="0011786C"/>
    <w:rsid w:val="00121DE8"/>
    <w:rsid w:val="00122F5E"/>
    <w:rsid w:val="00122FD2"/>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ACC"/>
    <w:rsid w:val="00133BFB"/>
    <w:rsid w:val="00133DCC"/>
    <w:rsid w:val="00134A68"/>
    <w:rsid w:val="00134AB5"/>
    <w:rsid w:val="00135132"/>
    <w:rsid w:val="0013555E"/>
    <w:rsid w:val="00135B0C"/>
    <w:rsid w:val="00135E6C"/>
    <w:rsid w:val="00136897"/>
    <w:rsid w:val="0013695E"/>
    <w:rsid w:val="00136FB8"/>
    <w:rsid w:val="00137C86"/>
    <w:rsid w:val="0014043C"/>
    <w:rsid w:val="00140843"/>
    <w:rsid w:val="00140D7E"/>
    <w:rsid w:val="00142417"/>
    <w:rsid w:val="00143682"/>
    <w:rsid w:val="001441D3"/>
    <w:rsid w:val="001450E2"/>
    <w:rsid w:val="0014548C"/>
    <w:rsid w:val="00145B83"/>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65B"/>
    <w:rsid w:val="00191125"/>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4127"/>
    <w:rsid w:val="001A4E1C"/>
    <w:rsid w:val="001A554E"/>
    <w:rsid w:val="001A6B79"/>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0872"/>
    <w:rsid w:val="001E288A"/>
    <w:rsid w:val="001E2A02"/>
    <w:rsid w:val="001E2B84"/>
    <w:rsid w:val="001E338B"/>
    <w:rsid w:val="001E3B11"/>
    <w:rsid w:val="001E42EF"/>
    <w:rsid w:val="001E4C02"/>
    <w:rsid w:val="001E4D50"/>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137"/>
    <w:rsid w:val="00201769"/>
    <w:rsid w:val="0020247E"/>
    <w:rsid w:val="002025FD"/>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337"/>
    <w:rsid w:val="00214685"/>
    <w:rsid w:val="002147E4"/>
    <w:rsid w:val="00214CE8"/>
    <w:rsid w:val="00215ADF"/>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1E8F"/>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4DF8"/>
    <w:rsid w:val="002450A8"/>
    <w:rsid w:val="0024549A"/>
    <w:rsid w:val="002458C0"/>
    <w:rsid w:val="00245F41"/>
    <w:rsid w:val="002466CD"/>
    <w:rsid w:val="0024672A"/>
    <w:rsid w:val="00246915"/>
    <w:rsid w:val="002476CF"/>
    <w:rsid w:val="00247875"/>
    <w:rsid w:val="00247B10"/>
    <w:rsid w:val="00247D11"/>
    <w:rsid w:val="00247E15"/>
    <w:rsid w:val="00247ECF"/>
    <w:rsid w:val="00250590"/>
    <w:rsid w:val="00250E2D"/>
    <w:rsid w:val="00251BEA"/>
    <w:rsid w:val="00252528"/>
    <w:rsid w:val="002530F3"/>
    <w:rsid w:val="00253130"/>
    <w:rsid w:val="00253A1C"/>
    <w:rsid w:val="00253D86"/>
    <w:rsid w:val="002541B3"/>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4EF0"/>
    <w:rsid w:val="00296748"/>
    <w:rsid w:val="0029713B"/>
    <w:rsid w:val="00297C79"/>
    <w:rsid w:val="002A0081"/>
    <w:rsid w:val="002A0713"/>
    <w:rsid w:val="002A18E6"/>
    <w:rsid w:val="002A1AAC"/>
    <w:rsid w:val="002A2551"/>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3F8"/>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75F"/>
    <w:rsid w:val="002D7BA0"/>
    <w:rsid w:val="002E1666"/>
    <w:rsid w:val="002E3358"/>
    <w:rsid w:val="002E3511"/>
    <w:rsid w:val="002E3777"/>
    <w:rsid w:val="002E3B43"/>
    <w:rsid w:val="002E3D1C"/>
    <w:rsid w:val="002E5953"/>
    <w:rsid w:val="002E5971"/>
    <w:rsid w:val="002E5EAB"/>
    <w:rsid w:val="002E6032"/>
    <w:rsid w:val="002E60D4"/>
    <w:rsid w:val="002E7013"/>
    <w:rsid w:val="002E7559"/>
    <w:rsid w:val="002E773F"/>
    <w:rsid w:val="002E791E"/>
    <w:rsid w:val="002F02E0"/>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228"/>
    <w:rsid w:val="0030330D"/>
    <w:rsid w:val="00304999"/>
    <w:rsid w:val="00304F25"/>
    <w:rsid w:val="003056B2"/>
    <w:rsid w:val="00305D48"/>
    <w:rsid w:val="00306940"/>
    <w:rsid w:val="00307353"/>
    <w:rsid w:val="00307494"/>
    <w:rsid w:val="00307E06"/>
    <w:rsid w:val="0031096E"/>
    <w:rsid w:val="00311560"/>
    <w:rsid w:val="0031167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7E1"/>
    <w:rsid w:val="00327A8E"/>
    <w:rsid w:val="00327BDD"/>
    <w:rsid w:val="003301D0"/>
    <w:rsid w:val="00331836"/>
    <w:rsid w:val="0033190E"/>
    <w:rsid w:val="00333962"/>
    <w:rsid w:val="00333B62"/>
    <w:rsid w:val="00333D4A"/>
    <w:rsid w:val="00333E45"/>
    <w:rsid w:val="003342D1"/>
    <w:rsid w:val="00334A65"/>
    <w:rsid w:val="0033606E"/>
    <w:rsid w:val="003361E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0D78"/>
    <w:rsid w:val="00371249"/>
    <w:rsid w:val="00371C09"/>
    <w:rsid w:val="003726B3"/>
    <w:rsid w:val="003726E1"/>
    <w:rsid w:val="00373EA5"/>
    <w:rsid w:val="00374012"/>
    <w:rsid w:val="003743D7"/>
    <w:rsid w:val="003749C0"/>
    <w:rsid w:val="003750D6"/>
    <w:rsid w:val="003752B5"/>
    <w:rsid w:val="0037599C"/>
    <w:rsid w:val="00375FDD"/>
    <w:rsid w:val="0037725F"/>
    <w:rsid w:val="003804A7"/>
    <w:rsid w:val="00381DC3"/>
    <w:rsid w:val="003820C5"/>
    <w:rsid w:val="0038228C"/>
    <w:rsid w:val="00382BDE"/>
    <w:rsid w:val="00382EC3"/>
    <w:rsid w:val="00383ED6"/>
    <w:rsid w:val="003859C4"/>
    <w:rsid w:val="00385B11"/>
    <w:rsid w:val="00385EA5"/>
    <w:rsid w:val="00386F92"/>
    <w:rsid w:val="003874C3"/>
    <w:rsid w:val="00387725"/>
    <w:rsid w:val="00387C65"/>
    <w:rsid w:val="00390CDE"/>
    <w:rsid w:val="00392B20"/>
    <w:rsid w:val="00394516"/>
    <w:rsid w:val="00394A75"/>
    <w:rsid w:val="003961E1"/>
    <w:rsid w:val="003974F9"/>
    <w:rsid w:val="003A0AA1"/>
    <w:rsid w:val="003A0FE5"/>
    <w:rsid w:val="003A24EC"/>
    <w:rsid w:val="003A3EA0"/>
    <w:rsid w:val="003A3F6A"/>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3FDA"/>
    <w:rsid w:val="003E43BE"/>
    <w:rsid w:val="003E4A4E"/>
    <w:rsid w:val="003E504F"/>
    <w:rsid w:val="003E5231"/>
    <w:rsid w:val="003E5B98"/>
    <w:rsid w:val="003E62FB"/>
    <w:rsid w:val="003E6A41"/>
    <w:rsid w:val="003E7801"/>
    <w:rsid w:val="003F0AF5"/>
    <w:rsid w:val="003F14E4"/>
    <w:rsid w:val="003F1FC5"/>
    <w:rsid w:val="003F2B1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1B66"/>
    <w:rsid w:val="0041258E"/>
    <w:rsid w:val="004125BF"/>
    <w:rsid w:val="00412C2F"/>
    <w:rsid w:val="00414282"/>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1D2E"/>
    <w:rsid w:val="0043209C"/>
    <w:rsid w:val="004322A6"/>
    <w:rsid w:val="0043263E"/>
    <w:rsid w:val="00433351"/>
    <w:rsid w:val="00433FA6"/>
    <w:rsid w:val="004340BA"/>
    <w:rsid w:val="004348C5"/>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47073"/>
    <w:rsid w:val="00447B06"/>
    <w:rsid w:val="004502C5"/>
    <w:rsid w:val="004509CE"/>
    <w:rsid w:val="004515BE"/>
    <w:rsid w:val="00452B43"/>
    <w:rsid w:val="00453288"/>
    <w:rsid w:val="0045447A"/>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74A"/>
    <w:rsid w:val="0047274B"/>
    <w:rsid w:val="00472B3D"/>
    <w:rsid w:val="00472D90"/>
    <w:rsid w:val="00473EB5"/>
    <w:rsid w:val="0047647A"/>
    <w:rsid w:val="004771E5"/>
    <w:rsid w:val="00477357"/>
    <w:rsid w:val="00477E07"/>
    <w:rsid w:val="00480A69"/>
    <w:rsid w:val="004813E0"/>
    <w:rsid w:val="004819D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B1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9E8"/>
    <w:rsid w:val="004C3A42"/>
    <w:rsid w:val="004C4721"/>
    <w:rsid w:val="004C4B13"/>
    <w:rsid w:val="004C4B5E"/>
    <w:rsid w:val="004C5064"/>
    <w:rsid w:val="004C513B"/>
    <w:rsid w:val="004C54F2"/>
    <w:rsid w:val="004C5DAB"/>
    <w:rsid w:val="004C62A2"/>
    <w:rsid w:val="004C63AB"/>
    <w:rsid w:val="004C643F"/>
    <w:rsid w:val="004C6683"/>
    <w:rsid w:val="004C715A"/>
    <w:rsid w:val="004D0038"/>
    <w:rsid w:val="004D08BC"/>
    <w:rsid w:val="004D0927"/>
    <w:rsid w:val="004D12E1"/>
    <w:rsid w:val="004D1337"/>
    <w:rsid w:val="004D19B6"/>
    <w:rsid w:val="004D2332"/>
    <w:rsid w:val="004D2CC5"/>
    <w:rsid w:val="004D3065"/>
    <w:rsid w:val="004D320B"/>
    <w:rsid w:val="004D3ADD"/>
    <w:rsid w:val="004D3AFC"/>
    <w:rsid w:val="004D3EE4"/>
    <w:rsid w:val="004D3FFB"/>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63B"/>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1F6"/>
    <w:rsid w:val="004F421C"/>
    <w:rsid w:val="004F4289"/>
    <w:rsid w:val="004F48BF"/>
    <w:rsid w:val="004F5821"/>
    <w:rsid w:val="004F674E"/>
    <w:rsid w:val="004F6C74"/>
    <w:rsid w:val="005001E5"/>
    <w:rsid w:val="00500A0B"/>
    <w:rsid w:val="00500C4C"/>
    <w:rsid w:val="005016CA"/>
    <w:rsid w:val="005018E3"/>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4A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873"/>
    <w:rsid w:val="00544E43"/>
    <w:rsid w:val="00546E22"/>
    <w:rsid w:val="00546EFA"/>
    <w:rsid w:val="00547361"/>
    <w:rsid w:val="00547737"/>
    <w:rsid w:val="00547A16"/>
    <w:rsid w:val="00551154"/>
    <w:rsid w:val="005522CE"/>
    <w:rsid w:val="00552ACC"/>
    <w:rsid w:val="00553082"/>
    <w:rsid w:val="005533C6"/>
    <w:rsid w:val="00553578"/>
    <w:rsid w:val="005546A0"/>
    <w:rsid w:val="00554C70"/>
    <w:rsid w:val="00555160"/>
    <w:rsid w:val="0055538E"/>
    <w:rsid w:val="0055560D"/>
    <w:rsid w:val="0055566D"/>
    <w:rsid w:val="005558DD"/>
    <w:rsid w:val="00555A41"/>
    <w:rsid w:val="0055695F"/>
    <w:rsid w:val="00556D72"/>
    <w:rsid w:val="00557727"/>
    <w:rsid w:val="00557C7D"/>
    <w:rsid w:val="00557D9B"/>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44A0"/>
    <w:rsid w:val="00577656"/>
    <w:rsid w:val="0057772B"/>
    <w:rsid w:val="00580176"/>
    <w:rsid w:val="005802AF"/>
    <w:rsid w:val="00581327"/>
    <w:rsid w:val="005817AB"/>
    <w:rsid w:val="00582C57"/>
    <w:rsid w:val="00584BAB"/>
    <w:rsid w:val="00584EFB"/>
    <w:rsid w:val="00585089"/>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823"/>
    <w:rsid w:val="005B1E67"/>
    <w:rsid w:val="005B2365"/>
    <w:rsid w:val="005B296A"/>
    <w:rsid w:val="005B3184"/>
    <w:rsid w:val="005B36F5"/>
    <w:rsid w:val="005B3750"/>
    <w:rsid w:val="005B3BB9"/>
    <w:rsid w:val="005B3F3B"/>
    <w:rsid w:val="005B40E1"/>
    <w:rsid w:val="005B5FC8"/>
    <w:rsid w:val="005B6E2C"/>
    <w:rsid w:val="005B75D5"/>
    <w:rsid w:val="005B7761"/>
    <w:rsid w:val="005C08BA"/>
    <w:rsid w:val="005C0DC0"/>
    <w:rsid w:val="005C194D"/>
    <w:rsid w:val="005C21B5"/>
    <w:rsid w:val="005C3179"/>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1075"/>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802"/>
    <w:rsid w:val="00624E46"/>
    <w:rsid w:val="00624F20"/>
    <w:rsid w:val="00625F4E"/>
    <w:rsid w:val="006279BE"/>
    <w:rsid w:val="006304BB"/>
    <w:rsid w:val="0063071F"/>
    <w:rsid w:val="00630C62"/>
    <w:rsid w:val="00631207"/>
    <w:rsid w:val="0063273E"/>
    <w:rsid w:val="00633242"/>
    <w:rsid w:val="00633BB9"/>
    <w:rsid w:val="00633FA0"/>
    <w:rsid w:val="0063424A"/>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5F97"/>
    <w:rsid w:val="006560E3"/>
    <w:rsid w:val="006564ED"/>
    <w:rsid w:val="00656C6E"/>
    <w:rsid w:val="0066116D"/>
    <w:rsid w:val="00663F47"/>
    <w:rsid w:val="006640A5"/>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2C5E"/>
    <w:rsid w:val="00683178"/>
    <w:rsid w:val="0068325D"/>
    <w:rsid w:val="00684F50"/>
    <w:rsid w:val="00685785"/>
    <w:rsid w:val="00686F6A"/>
    <w:rsid w:val="00687828"/>
    <w:rsid w:val="00687BEB"/>
    <w:rsid w:val="00687C64"/>
    <w:rsid w:val="00691515"/>
    <w:rsid w:val="00692778"/>
    <w:rsid w:val="00692B2A"/>
    <w:rsid w:val="006937A1"/>
    <w:rsid w:val="00693CC2"/>
    <w:rsid w:val="00693F50"/>
    <w:rsid w:val="00694688"/>
    <w:rsid w:val="00694863"/>
    <w:rsid w:val="006948AC"/>
    <w:rsid w:val="00694C91"/>
    <w:rsid w:val="00694D2F"/>
    <w:rsid w:val="00695D24"/>
    <w:rsid w:val="00695F2E"/>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2BDB"/>
    <w:rsid w:val="006A326C"/>
    <w:rsid w:val="006A52BF"/>
    <w:rsid w:val="006A5821"/>
    <w:rsid w:val="006A5A6C"/>
    <w:rsid w:val="006A61E5"/>
    <w:rsid w:val="006A654C"/>
    <w:rsid w:val="006A6B9A"/>
    <w:rsid w:val="006A7061"/>
    <w:rsid w:val="006B081A"/>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8DE"/>
    <w:rsid w:val="006C6F3C"/>
    <w:rsid w:val="006C6FB7"/>
    <w:rsid w:val="006D007C"/>
    <w:rsid w:val="006D06F5"/>
    <w:rsid w:val="006D120B"/>
    <w:rsid w:val="006D1DB2"/>
    <w:rsid w:val="006D2AB9"/>
    <w:rsid w:val="006D3FF8"/>
    <w:rsid w:val="006D428F"/>
    <w:rsid w:val="006D4F37"/>
    <w:rsid w:val="006D54E1"/>
    <w:rsid w:val="006D5A11"/>
    <w:rsid w:val="006D668F"/>
    <w:rsid w:val="006D7D62"/>
    <w:rsid w:val="006E0406"/>
    <w:rsid w:val="006E09D6"/>
    <w:rsid w:val="006E1695"/>
    <w:rsid w:val="006E197B"/>
    <w:rsid w:val="006E1AC8"/>
    <w:rsid w:val="006E22C9"/>
    <w:rsid w:val="006E2B27"/>
    <w:rsid w:val="006E4EA0"/>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1329"/>
    <w:rsid w:val="007017F0"/>
    <w:rsid w:val="00701980"/>
    <w:rsid w:val="00702862"/>
    <w:rsid w:val="007037DD"/>
    <w:rsid w:val="00703AE1"/>
    <w:rsid w:val="00703B2F"/>
    <w:rsid w:val="0070428E"/>
    <w:rsid w:val="007042B5"/>
    <w:rsid w:val="00704634"/>
    <w:rsid w:val="00705177"/>
    <w:rsid w:val="00705D6A"/>
    <w:rsid w:val="00705DC5"/>
    <w:rsid w:val="00705E84"/>
    <w:rsid w:val="00706144"/>
    <w:rsid w:val="007061EE"/>
    <w:rsid w:val="007063E6"/>
    <w:rsid w:val="00707031"/>
    <w:rsid w:val="00707245"/>
    <w:rsid w:val="00707707"/>
    <w:rsid w:val="00710B09"/>
    <w:rsid w:val="007114FD"/>
    <w:rsid w:val="00711EB9"/>
    <w:rsid w:val="0071287D"/>
    <w:rsid w:val="00712D50"/>
    <w:rsid w:val="00713419"/>
    <w:rsid w:val="007135A0"/>
    <w:rsid w:val="00713957"/>
    <w:rsid w:val="00714402"/>
    <w:rsid w:val="00714488"/>
    <w:rsid w:val="00715319"/>
    <w:rsid w:val="00715459"/>
    <w:rsid w:val="00715EBB"/>
    <w:rsid w:val="00717898"/>
    <w:rsid w:val="007202CB"/>
    <w:rsid w:val="0072215B"/>
    <w:rsid w:val="00722B88"/>
    <w:rsid w:val="0072304C"/>
    <w:rsid w:val="0072368F"/>
    <w:rsid w:val="00723EC1"/>
    <w:rsid w:val="00724552"/>
    <w:rsid w:val="00724C1C"/>
    <w:rsid w:val="00727C09"/>
    <w:rsid w:val="00727D9C"/>
    <w:rsid w:val="00727F80"/>
    <w:rsid w:val="00730089"/>
    <w:rsid w:val="00730250"/>
    <w:rsid w:val="00730453"/>
    <w:rsid w:val="0073182F"/>
    <w:rsid w:val="0073212F"/>
    <w:rsid w:val="007324A9"/>
    <w:rsid w:val="007324C8"/>
    <w:rsid w:val="00732F4F"/>
    <w:rsid w:val="007332CB"/>
    <w:rsid w:val="00734300"/>
    <w:rsid w:val="0073439D"/>
    <w:rsid w:val="00734795"/>
    <w:rsid w:val="007367CA"/>
    <w:rsid w:val="00736F71"/>
    <w:rsid w:val="007407E0"/>
    <w:rsid w:val="00740D93"/>
    <w:rsid w:val="007426D1"/>
    <w:rsid w:val="00743E50"/>
    <w:rsid w:val="00743F9C"/>
    <w:rsid w:val="007445F8"/>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6B1B"/>
    <w:rsid w:val="00757070"/>
    <w:rsid w:val="0075716B"/>
    <w:rsid w:val="00757251"/>
    <w:rsid w:val="007573A2"/>
    <w:rsid w:val="00757BFC"/>
    <w:rsid w:val="00757FD7"/>
    <w:rsid w:val="00760108"/>
    <w:rsid w:val="00760980"/>
    <w:rsid w:val="00760AB6"/>
    <w:rsid w:val="00760DD6"/>
    <w:rsid w:val="00760FC7"/>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298"/>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ABD"/>
    <w:rsid w:val="007868E1"/>
    <w:rsid w:val="00786A0E"/>
    <w:rsid w:val="00787328"/>
    <w:rsid w:val="00787FF8"/>
    <w:rsid w:val="007904C9"/>
    <w:rsid w:val="007908A6"/>
    <w:rsid w:val="00790CF4"/>
    <w:rsid w:val="00790DA7"/>
    <w:rsid w:val="00791F5C"/>
    <w:rsid w:val="007927EC"/>
    <w:rsid w:val="00792B7D"/>
    <w:rsid w:val="00792E46"/>
    <w:rsid w:val="00792E5F"/>
    <w:rsid w:val="00793C07"/>
    <w:rsid w:val="00795672"/>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5548"/>
    <w:rsid w:val="007A5D02"/>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9B1"/>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11"/>
    <w:rsid w:val="007D303D"/>
    <w:rsid w:val="007D3939"/>
    <w:rsid w:val="007D3BCC"/>
    <w:rsid w:val="007D3CE0"/>
    <w:rsid w:val="007D404D"/>
    <w:rsid w:val="007D45CB"/>
    <w:rsid w:val="007D4645"/>
    <w:rsid w:val="007D5692"/>
    <w:rsid w:val="007D6461"/>
    <w:rsid w:val="007D7816"/>
    <w:rsid w:val="007E1150"/>
    <w:rsid w:val="007E1B93"/>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4A1F"/>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8E9"/>
    <w:rsid w:val="008357D2"/>
    <w:rsid w:val="008370CF"/>
    <w:rsid w:val="00837CEF"/>
    <w:rsid w:val="00840B5E"/>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2D1E"/>
    <w:rsid w:val="00854886"/>
    <w:rsid w:val="00855029"/>
    <w:rsid w:val="0085507C"/>
    <w:rsid w:val="008553F4"/>
    <w:rsid w:val="0085563E"/>
    <w:rsid w:val="00857E00"/>
    <w:rsid w:val="008601DA"/>
    <w:rsid w:val="00861501"/>
    <w:rsid w:val="00861653"/>
    <w:rsid w:val="00861978"/>
    <w:rsid w:val="008625C0"/>
    <w:rsid w:val="00863418"/>
    <w:rsid w:val="008634C5"/>
    <w:rsid w:val="00863FB1"/>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668B"/>
    <w:rsid w:val="0087759D"/>
    <w:rsid w:val="00877D5E"/>
    <w:rsid w:val="00880169"/>
    <w:rsid w:val="00880384"/>
    <w:rsid w:val="008804B7"/>
    <w:rsid w:val="0088052E"/>
    <w:rsid w:val="00880860"/>
    <w:rsid w:val="00880A15"/>
    <w:rsid w:val="00880AD0"/>
    <w:rsid w:val="00881102"/>
    <w:rsid w:val="0088142E"/>
    <w:rsid w:val="0088144E"/>
    <w:rsid w:val="00881527"/>
    <w:rsid w:val="008815AA"/>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2CDB"/>
    <w:rsid w:val="008932B7"/>
    <w:rsid w:val="00893B24"/>
    <w:rsid w:val="00894002"/>
    <w:rsid w:val="008946EA"/>
    <w:rsid w:val="00894A6C"/>
    <w:rsid w:val="00894D4A"/>
    <w:rsid w:val="0089545F"/>
    <w:rsid w:val="0089557F"/>
    <w:rsid w:val="008959BA"/>
    <w:rsid w:val="00895C3F"/>
    <w:rsid w:val="00896821"/>
    <w:rsid w:val="00896F48"/>
    <w:rsid w:val="00897A1A"/>
    <w:rsid w:val="008A0BA3"/>
    <w:rsid w:val="008A12C7"/>
    <w:rsid w:val="008A23DD"/>
    <w:rsid w:val="008A249E"/>
    <w:rsid w:val="008A4EE6"/>
    <w:rsid w:val="008A548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2E29"/>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45EB"/>
    <w:rsid w:val="008F4E1B"/>
    <w:rsid w:val="008F52F4"/>
    <w:rsid w:val="008F733A"/>
    <w:rsid w:val="008F743B"/>
    <w:rsid w:val="00900C9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91F"/>
    <w:rsid w:val="00913C08"/>
    <w:rsid w:val="00913D4F"/>
    <w:rsid w:val="00915282"/>
    <w:rsid w:val="0091567A"/>
    <w:rsid w:val="00917351"/>
    <w:rsid w:val="00920287"/>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535"/>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E68"/>
    <w:rsid w:val="00946FB0"/>
    <w:rsid w:val="009473C5"/>
    <w:rsid w:val="009475F5"/>
    <w:rsid w:val="00947760"/>
    <w:rsid w:val="00947785"/>
    <w:rsid w:val="0094784E"/>
    <w:rsid w:val="00950019"/>
    <w:rsid w:val="009504AD"/>
    <w:rsid w:val="00950C76"/>
    <w:rsid w:val="00950FCC"/>
    <w:rsid w:val="009513AF"/>
    <w:rsid w:val="009514A7"/>
    <w:rsid w:val="00952111"/>
    <w:rsid w:val="009524CE"/>
    <w:rsid w:val="009525E5"/>
    <w:rsid w:val="00952E94"/>
    <w:rsid w:val="00953386"/>
    <w:rsid w:val="00954F7D"/>
    <w:rsid w:val="00955095"/>
    <w:rsid w:val="00955C03"/>
    <w:rsid w:val="00955D30"/>
    <w:rsid w:val="00956727"/>
    <w:rsid w:val="00956E1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700BB"/>
    <w:rsid w:val="00971321"/>
    <w:rsid w:val="00971402"/>
    <w:rsid w:val="0097249F"/>
    <w:rsid w:val="00972B61"/>
    <w:rsid w:val="009730F2"/>
    <w:rsid w:val="00974250"/>
    <w:rsid w:val="009743A2"/>
    <w:rsid w:val="00974C99"/>
    <w:rsid w:val="00974F50"/>
    <w:rsid w:val="009756EC"/>
    <w:rsid w:val="0097576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5E2"/>
    <w:rsid w:val="0099690A"/>
    <w:rsid w:val="00996B9E"/>
    <w:rsid w:val="00997136"/>
    <w:rsid w:val="009971A7"/>
    <w:rsid w:val="009A33BE"/>
    <w:rsid w:val="009A3F67"/>
    <w:rsid w:val="009A432C"/>
    <w:rsid w:val="009B0C38"/>
    <w:rsid w:val="009B1120"/>
    <w:rsid w:val="009B127F"/>
    <w:rsid w:val="009B12BE"/>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612"/>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701"/>
    <w:rsid w:val="009D6EC6"/>
    <w:rsid w:val="009D7058"/>
    <w:rsid w:val="009D76EB"/>
    <w:rsid w:val="009D7E4B"/>
    <w:rsid w:val="009E0336"/>
    <w:rsid w:val="009E079F"/>
    <w:rsid w:val="009E10EC"/>
    <w:rsid w:val="009E10F6"/>
    <w:rsid w:val="009E1628"/>
    <w:rsid w:val="009E1F95"/>
    <w:rsid w:val="009E2B95"/>
    <w:rsid w:val="009E2F5D"/>
    <w:rsid w:val="009E34FA"/>
    <w:rsid w:val="009E3D69"/>
    <w:rsid w:val="009E3DB9"/>
    <w:rsid w:val="009E4B0C"/>
    <w:rsid w:val="009E4B72"/>
    <w:rsid w:val="009E6024"/>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C6"/>
    <w:rsid w:val="00A10D42"/>
    <w:rsid w:val="00A1186C"/>
    <w:rsid w:val="00A12179"/>
    <w:rsid w:val="00A12661"/>
    <w:rsid w:val="00A12D31"/>
    <w:rsid w:val="00A12F8B"/>
    <w:rsid w:val="00A13C0F"/>
    <w:rsid w:val="00A15BDB"/>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A17"/>
    <w:rsid w:val="00A24B73"/>
    <w:rsid w:val="00A257A4"/>
    <w:rsid w:val="00A258BB"/>
    <w:rsid w:val="00A261C6"/>
    <w:rsid w:val="00A27138"/>
    <w:rsid w:val="00A30D30"/>
    <w:rsid w:val="00A31158"/>
    <w:rsid w:val="00A3215A"/>
    <w:rsid w:val="00A32881"/>
    <w:rsid w:val="00A3359F"/>
    <w:rsid w:val="00A33ED4"/>
    <w:rsid w:val="00A33F3B"/>
    <w:rsid w:val="00A34A2F"/>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0E6"/>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5A41"/>
    <w:rsid w:val="00AC648A"/>
    <w:rsid w:val="00AD100C"/>
    <w:rsid w:val="00AD2540"/>
    <w:rsid w:val="00AD38ED"/>
    <w:rsid w:val="00AD39D6"/>
    <w:rsid w:val="00AD3C7D"/>
    <w:rsid w:val="00AD3C97"/>
    <w:rsid w:val="00AD3D86"/>
    <w:rsid w:val="00AD4282"/>
    <w:rsid w:val="00AD5A42"/>
    <w:rsid w:val="00AD7073"/>
    <w:rsid w:val="00AD7448"/>
    <w:rsid w:val="00AD77FD"/>
    <w:rsid w:val="00AD79E2"/>
    <w:rsid w:val="00AD7FFB"/>
    <w:rsid w:val="00AE07B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339"/>
    <w:rsid w:val="00B02629"/>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04D"/>
    <w:rsid w:val="00B15852"/>
    <w:rsid w:val="00B1600B"/>
    <w:rsid w:val="00B161B4"/>
    <w:rsid w:val="00B16887"/>
    <w:rsid w:val="00B176C8"/>
    <w:rsid w:val="00B20379"/>
    <w:rsid w:val="00B2074B"/>
    <w:rsid w:val="00B211BD"/>
    <w:rsid w:val="00B21544"/>
    <w:rsid w:val="00B21AB1"/>
    <w:rsid w:val="00B221C4"/>
    <w:rsid w:val="00B228FA"/>
    <w:rsid w:val="00B2361C"/>
    <w:rsid w:val="00B23719"/>
    <w:rsid w:val="00B23A60"/>
    <w:rsid w:val="00B2459C"/>
    <w:rsid w:val="00B252AF"/>
    <w:rsid w:val="00B25FA6"/>
    <w:rsid w:val="00B26009"/>
    <w:rsid w:val="00B26215"/>
    <w:rsid w:val="00B26918"/>
    <w:rsid w:val="00B26C44"/>
    <w:rsid w:val="00B27702"/>
    <w:rsid w:val="00B30025"/>
    <w:rsid w:val="00B30796"/>
    <w:rsid w:val="00B30E6E"/>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0E95"/>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B87"/>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28A"/>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6FE"/>
    <w:rsid w:val="00BB32DA"/>
    <w:rsid w:val="00BB37EA"/>
    <w:rsid w:val="00BB3A96"/>
    <w:rsid w:val="00BB4D08"/>
    <w:rsid w:val="00BB6A68"/>
    <w:rsid w:val="00BB739C"/>
    <w:rsid w:val="00BB7905"/>
    <w:rsid w:val="00BC006B"/>
    <w:rsid w:val="00BC0108"/>
    <w:rsid w:val="00BC088B"/>
    <w:rsid w:val="00BC0A3F"/>
    <w:rsid w:val="00BC1305"/>
    <w:rsid w:val="00BC1D30"/>
    <w:rsid w:val="00BC2587"/>
    <w:rsid w:val="00BC2F1D"/>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00FA"/>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214"/>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854"/>
    <w:rsid w:val="00C50922"/>
    <w:rsid w:val="00C51440"/>
    <w:rsid w:val="00C52089"/>
    <w:rsid w:val="00C53E87"/>
    <w:rsid w:val="00C543AE"/>
    <w:rsid w:val="00C55CDE"/>
    <w:rsid w:val="00C56885"/>
    <w:rsid w:val="00C56AE3"/>
    <w:rsid w:val="00C56D20"/>
    <w:rsid w:val="00C57069"/>
    <w:rsid w:val="00C57680"/>
    <w:rsid w:val="00C57997"/>
    <w:rsid w:val="00C6124E"/>
    <w:rsid w:val="00C613CF"/>
    <w:rsid w:val="00C6230B"/>
    <w:rsid w:val="00C6257D"/>
    <w:rsid w:val="00C632FA"/>
    <w:rsid w:val="00C63599"/>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325"/>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A5BB8"/>
    <w:rsid w:val="00CB0F20"/>
    <w:rsid w:val="00CB1AC1"/>
    <w:rsid w:val="00CB26F2"/>
    <w:rsid w:val="00CB2BAE"/>
    <w:rsid w:val="00CB3166"/>
    <w:rsid w:val="00CB40D4"/>
    <w:rsid w:val="00CB5E18"/>
    <w:rsid w:val="00CB638D"/>
    <w:rsid w:val="00CB6900"/>
    <w:rsid w:val="00CB6EB4"/>
    <w:rsid w:val="00CB7439"/>
    <w:rsid w:val="00CB748E"/>
    <w:rsid w:val="00CB7C3A"/>
    <w:rsid w:val="00CC0F7F"/>
    <w:rsid w:val="00CC0FC3"/>
    <w:rsid w:val="00CC1406"/>
    <w:rsid w:val="00CC154C"/>
    <w:rsid w:val="00CC1C7C"/>
    <w:rsid w:val="00CC1DB2"/>
    <w:rsid w:val="00CC3416"/>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36B2"/>
    <w:rsid w:val="00D14E13"/>
    <w:rsid w:val="00D16547"/>
    <w:rsid w:val="00D20368"/>
    <w:rsid w:val="00D209D8"/>
    <w:rsid w:val="00D20B6C"/>
    <w:rsid w:val="00D20DAB"/>
    <w:rsid w:val="00D2186C"/>
    <w:rsid w:val="00D21DCF"/>
    <w:rsid w:val="00D239A5"/>
    <w:rsid w:val="00D24260"/>
    <w:rsid w:val="00D2457A"/>
    <w:rsid w:val="00D25024"/>
    <w:rsid w:val="00D25A36"/>
    <w:rsid w:val="00D26250"/>
    <w:rsid w:val="00D262A7"/>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43B"/>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0E16"/>
    <w:rsid w:val="00D81033"/>
    <w:rsid w:val="00D81136"/>
    <w:rsid w:val="00D81A78"/>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B9A"/>
    <w:rsid w:val="00DC0D1A"/>
    <w:rsid w:val="00DC1C5C"/>
    <w:rsid w:val="00DC1F18"/>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731"/>
    <w:rsid w:val="00DE38E0"/>
    <w:rsid w:val="00DE414D"/>
    <w:rsid w:val="00DE4C7B"/>
    <w:rsid w:val="00DE5048"/>
    <w:rsid w:val="00DE6712"/>
    <w:rsid w:val="00DE68DD"/>
    <w:rsid w:val="00DE77DC"/>
    <w:rsid w:val="00DE7BAB"/>
    <w:rsid w:val="00DF0D99"/>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0F5"/>
    <w:rsid w:val="00E14C82"/>
    <w:rsid w:val="00E15278"/>
    <w:rsid w:val="00E156FD"/>
    <w:rsid w:val="00E1582A"/>
    <w:rsid w:val="00E158E9"/>
    <w:rsid w:val="00E15B98"/>
    <w:rsid w:val="00E16411"/>
    <w:rsid w:val="00E16654"/>
    <w:rsid w:val="00E17183"/>
    <w:rsid w:val="00E17B49"/>
    <w:rsid w:val="00E17B94"/>
    <w:rsid w:val="00E17DE3"/>
    <w:rsid w:val="00E17F03"/>
    <w:rsid w:val="00E2102F"/>
    <w:rsid w:val="00E21CDD"/>
    <w:rsid w:val="00E21E11"/>
    <w:rsid w:val="00E233B1"/>
    <w:rsid w:val="00E233C9"/>
    <w:rsid w:val="00E23438"/>
    <w:rsid w:val="00E24415"/>
    <w:rsid w:val="00E24D01"/>
    <w:rsid w:val="00E25521"/>
    <w:rsid w:val="00E25917"/>
    <w:rsid w:val="00E25FAE"/>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2C9"/>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F46"/>
    <w:rsid w:val="00E5633C"/>
    <w:rsid w:val="00E56E97"/>
    <w:rsid w:val="00E56EE4"/>
    <w:rsid w:val="00E57B11"/>
    <w:rsid w:val="00E57FD0"/>
    <w:rsid w:val="00E60A17"/>
    <w:rsid w:val="00E621FE"/>
    <w:rsid w:val="00E62CBA"/>
    <w:rsid w:val="00E648F7"/>
    <w:rsid w:val="00E64CC9"/>
    <w:rsid w:val="00E65E40"/>
    <w:rsid w:val="00E65FBB"/>
    <w:rsid w:val="00E6690D"/>
    <w:rsid w:val="00E67861"/>
    <w:rsid w:val="00E67D3C"/>
    <w:rsid w:val="00E702B9"/>
    <w:rsid w:val="00E71269"/>
    <w:rsid w:val="00E71EAE"/>
    <w:rsid w:val="00E73A48"/>
    <w:rsid w:val="00E75146"/>
    <w:rsid w:val="00E755AB"/>
    <w:rsid w:val="00E75B19"/>
    <w:rsid w:val="00E75BB5"/>
    <w:rsid w:val="00E7676F"/>
    <w:rsid w:val="00E7767C"/>
    <w:rsid w:val="00E77805"/>
    <w:rsid w:val="00E77C72"/>
    <w:rsid w:val="00E801F8"/>
    <w:rsid w:val="00E8167D"/>
    <w:rsid w:val="00E81BCF"/>
    <w:rsid w:val="00E8217A"/>
    <w:rsid w:val="00E82708"/>
    <w:rsid w:val="00E829D2"/>
    <w:rsid w:val="00E8399A"/>
    <w:rsid w:val="00E839A4"/>
    <w:rsid w:val="00E839CE"/>
    <w:rsid w:val="00E83AB6"/>
    <w:rsid w:val="00E83F01"/>
    <w:rsid w:val="00E86711"/>
    <w:rsid w:val="00E86798"/>
    <w:rsid w:val="00E90CAB"/>
    <w:rsid w:val="00E90E54"/>
    <w:rsid w:val="00E9118C"/>
    <w:rsid w:val="00E914A9"/>
    <w:rsid w:val="00E92595"/>
    <w:rsid w:val="00E92D05"/>
    <w:rsid w:val="00E92FE6"/>
    <w:rsid w:val="00E93342"/>
    <w:rsid w:val="00E93C09"/>
    <w:rsid w:val="00E94929"/>
    <w:rsid w:val="00E9535A"/>
    <w:rsid w:val="00E9569C"/>
    <w:rsid w:val="00E95E3F"/>
    <w:rsid w:val="00E968B6"/>
    <w:rsid w:val="00E96D3C"/>
    <w:rsid w:val="00E97839"/>
    <w:rsid w:val="00E97BE5"/>
    <w:rsid w:val="00EA027B"/>
    <w:rsid w:val="00EA2148"/>
    <w:rsid w:val="00EA2C19"/>
    <w:rsid w:val="00EA3031"/>
    <w:rsid w:val="00EA3072"/>
    <w:rsid w:val="00EA39C3"/>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6E18"/>
    <w:rsid w:val="00EC718D"/>
    <w:rsid w:val="00EC729C"/>
    <w:rsid w:val="00EC7AAA"/>
    <w:rsid w:val="00ED0365"/>
    <w:rsid w:val="00ED073E"/>
    <w:rsid w:val="00ED0BF4"/>
    <w:rsid w:val="00ED0E71"/>
    <w:rsid w:val="00ED18EC"/>
    <w:rsid w:val="00ED2378"/>
    <w:rsid w:val="00ED29A6"/>
    <w:rsid w:val="00ED35F3"/>
    <w:rsid w:val="00ED3C6C"/>
    <w:rsid w:val="00ED4FF1"/>
    <w:rsid w:val="00ED525B"/>
    <w:rsid w:val="00ED5337"/>
    <w:rsid w:val="00ED59E7"/>
    <w:rsid w:val="00ED649C"/>
    <w:rsid w:val="00ED7130"/>
    <w:rsid w:val="00ED72E4"/>
    <w:rsid w:val="00ED7403"/>
    <w:rsid w:val="00ED7AA8"/>
    <w:rsid w:val="00EE047B"/>
    <w:rsid w:val="00EE055B"/>
    <w:rsid w:val="00EE057C"/>
    <w:rsid w:val="00EE0858"/>
    <w:rsid w:val="00EE0E6D"/>
    <w:rsid w:val="00EE229F"/>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6B9"/>
    <w:rsid w:val="00EF58F2"/>
    <w:rsid w:val="00EF60C8"/>
    <w:rsid w:val="00EF6733"/>
    <w:rsid w:val="00EF689A"/>
    <w:rsid w:val="00EF6AD7"/>
    <w:rsid w:val="00EF75A5"/>
    <w:rsid w:val="00EF7968"/>
    <w:rsid w:val="00EF7EB6"/>
    <w:rsid w:val="00F006A9"/>
    <w:rsid w:val="00F009EB"/>
    <w:rsid w:val="00F017FB"/>
    <w:rsid w:val="00F01B2B"/>
    <w:rsid w:val="00F01F7A"/>
    <w:rsid w:val="00F02736"/>
    <w:rsid w:val="00F02A35"/>
    <w:rsid w:val="00F02B9F"/>
    <w:rsid w:val="00F02DE0"/>
    <w:rsid w:val="00F030A2"/>
    <w:rsid w:val="00F0344E"/>
    <w:rsid w:val="00F03930"/>
    <w:rsid w:val="00F042FD"/>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4D7"/>
    <w:rsid w:val="00F226DE"/>
    <w:rsid w:val="00F2278C"/>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80F"/>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4809"/>
    <w:rsid w:val="00F448FB"/>
    <w:rsid w:val="00F451C3"/>
    <w:rsid w:val="00F45459"/>
    <w:rsid w:val="00F467B5"/>
    <w:rsid w:val="00F46D5A"/>
    <w:rsid w:val="00F47305"/>
    <w:rsid w:val="00F5036E"/>
    <w:rsid w:val="00F519A9"/>
    <w:rsid w:val="00F52AF5"/>
    <w:rsid w:val="00F53204"/>
    <w:rsid w:val="00F53860"/>
    <w:rsid w:val="00F54021"/>
    <w:rsid w:val="00F542AA"/>
    <w:rsid w:val="00F543D3"/>
    <w:rsid w:val="00F54C2C"/>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18C5"/>
    <w:rsid w:val="00F72F7D"/>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46A"/>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0EE9"/>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3BA3"/>
    <w:rsid w:val="00FD40D5"/>
    <w:rsid w:val="00FD41BE"/>
    <w:rsid w:val="00FD4636"/>
    <w:rsid w:val="00FD46BA"/>
    <w:rsid w:val="00FD4915"/>
    <w:rsid w:val="00FD4F18"/>
    <w:rsid w:val="00FD500E"/>
    <w:rsid w:val="00FD5D4A"/>
    <w:rsid w:val="00FD6B5B"/>
    <w:rsid w:val="00FD7E55"/>
    <w:rsid w:val="00FE05FC"/>
    <w:rsid w:val="00FE0693"/>
    <w:rsid w:val="00FE086E"/>
    <w:rsid w:val="00FE0AF4"/>
    <w:rsid w:val="00FE127F"/>
    <w:rsid w:val="00FE27EE"/>
    <w:rsid w:val="00FE30E1"/>
    <w:rsid w:val="00FE520C"/>
    <w:rsid w:val="00FE5E6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gmail-msonospacing">
    <w:name w:val="x_gmail-msonospacing"/>
    <w:basedOn w:val="Normal"/>
    <w:rsid w:val="00DE7B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gmail-msofootnotereference">
    <w:name w:val="x_gmail-msofootnotereference"/>
    <w:basedOn w:val="Fuentedeprrafopredeter"/>
    <w:rsid w:val="00DE7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57505-C9BA-4600-8E75-3EC1877E7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12</Pages>
  <Words>4476</Words>
  <Characters>24620</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27</cp:revision>
  <cp:lastPrinted>2022-10-14T18:56:00Z</cp:lastPrinted>
  <dcterms:created xsi:type="dcterms:W3CDTF">2022-08-18T16:52:00Z</dcterms:created>
  <dcterms:modified xsi:type="dcterms:W3CDTF">2023-02-24T15:58:00Z</dcterms:modified>
</cp:coreProperties>
</file>