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C74" w:rsidRPr="007B0581" w:rsidRDefault="006D6C74" w:rsidP="006D6C74">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6D6C74" w:rsidRPr="007B0581" w:rsidRDefault="006D6C74" w:rsidP="006D6C74">
      <w:pPr>
        <w:pStyle w:val="corte4fondo"/>
        <w:spacing w:line="276" w:lineRule="auto"/>
        <w:ind w:left="3544" w:right="-521" w:firstLine="0"/>
        <w:rPr>
          <w:rFonts w:cs="Arial"/>
          <w:b/>
          <w:sz w:val="24"/>
          <w:szCs w:val="24"/>
        </w:rPr>
      </w:pPr>
    </w:p>
    <w:p w:rsidR="006D6C74" w:rsidRPr="007B0581" w:rsidRDefault="006D6C74" w:rsidP="006D6C74">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0002</w:t>
      </w:r>
      <w:r w:rsidRPr="007B0581">
        <w:rPr>
          <w:rFonts w:cs="Arial"/>
          <w:b/>
          <w:bCs/>
          <w:sz w:val="24"/>
          <w:szCs w:val="24"/>
        </w:rPr>
        <w:t>/20</w:t>
      </w:r>
      <w:r>
        <w:rPr>
          <w:rFonts w:cs="Arial"/>
          <w:b/>
          <w:bCs/>
          <w:sz w:val="24"/>
          <w:szCs w:val="24"/>
        </w:rPr>
        <w:t>20</w:t>
      </w:r>
      <w:r w:rsidRPr="007B0581">
        <w:rPr>
          <w:rFonts w:cs="Arial"/>
          <w:sz w:val="24"/>
          <w:szCs w:val="24"/>
        </w:rPr>
        <w:t xml:space="preserve">. </w:t>
      </w:r>
    </w:p>
    <w:p w:rsidR="006D6C74" w:rsidRPr="007B0581" w:rsidRDefault="006D6C74" w:rsidP="006D6C74">
      <w:pPr>
        <w:pStyle w:val="corte4fondo"/>
        <w:spacing w:line="276" w:lineRule="auto"/>
        <w:ind w:left="3544" w:right="-521" w:firstLine="0"/>
        <w:rPr>
          <w:rFonts w:cs="Arial"/>
          <w:sz w:val="24"/>
          <w:szCs w:val="24"/>
        </w:rPr>
      </w:pPr>
    </w:p>
    <w:p w:rsidR="006D6C74" w:rsidRPr="007B0581" w:rsidRDefault="006D6C74" w:rsidP="006D6C74">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6D6C74" w:rsidRPr="007B0581" w:rsidRDefault="006D6C74" w:rsidP="006D6C74">
      <w:pPr>
        <w:pStyle w:val="corte4fondo"/>
        <w:spacing w:line="276" w:lineRule="auto"/>
        <w:ind w:left="3544" w:right="-521" w:firstLine="0"/>
        <w:rPr>
          <w:rFonts w:cs="Arial"/>
          <w:b/>
          <w:i/>
          <w:sz w:val="24"/>
          <w:szCs w:val="24"/>
        </w:rPr>
      </w:pPr>
      <w:r w:rsidRPr="007B0581">
        <w:rPr>
          <w:rFonts w:cs="Arial"/>
          <w:b/>
          <w:i/>
          <w:sz w:val="24"/>
          <w:szCs w:val="24"/>
        </w:rPr>
        <w:t xml:space="preserve"> </w:t>
      </w:r>
    </w:p>
    <w:p w:rsidR="006D6C74" w:rsidRPr="007B0581" w:rsidRDefault="006D6C74" w:rsidP="006D6C74">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DIRECTORA DE INGRESOS Y RECAUDACIÓN DE LA SECRETARÍA DE FINANZAS DEL PODER EJECUTIVO DEL ESTADO DE OAXACA.</w:t>
      </w:r>
    </w:p>
    <w:p w:rsidR="006D6C74" w:rsidRPr="007B0581" w:rsidRDefault="006D6C74" w:rsidP="006D6C74">
      <w:pPr>
        <w:pStyle w:val="corte4fondo"/>
        <w:spacing w:line="276" w:lineRule="auto"/>
        <w:ind w:left="3544" w:right="51" w:firstLine="0"/>
        <w:rPr>
          <w:rFonts w:cs="Arial"/>
          <w:bCs/>
          <w:sz w:val="24"/>
          <w:szCs w:val="24"/>
        </w:rPr>
      </w:pPr>
    </w:p>
    <w:p w:rsidR="006D6C74" w:rsidRPr="007B0581" w:rsidRDefault="006D6C74" w:rsidP="006D6C74">
      <w:pPr>
        <w:pStyle w:val="corte4fondo"/>
        <w:spacing w:line="276" w:lineRule="auto"/>
        <w:ind w:left="3544" w:right="51" w:firstLine="0"/>
        <w:rPr>
          <w:rFonts w:cs="Arial"/>
          <w:bCs/>
          <w:sz w:val="24"/>
          <w:szCs w:val="24"/>
        </w:rPr>
      </w:pPr>
    </w:p>
    <w:p w:rsidR="006D6C74" w:rsidRDefault="006D6C74" w:rsidP="006D6C74">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VEINTISIETE DE OCTUBRE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6D6C74" w:rsidRDefault="006D6C74" w:rsidP="006D6C74">
      <w:pPr>
        <w:spacing w:line="360" w:lineRule="auto"/>
        <w:jc w:val="both"/>
        <w:rPr>
          <w:rFonts w:ascii="Arial" w:hAnsi="Arial" w:cs="Arial"/>
          <w:b/>
          <w:sz w:val="24"/>
          <w:szCs w:val="24"/>
        </w:rPr>
      </w:pPr>
      <w:r w:rsidRPr="007B0581">
        <w:rPr>
          <w:rFonts w:ascii="Arial" w:hAnsi="Arial" w:cs="Arial"/>
          <w:b/>
          <w:sz w:val="24"/>
          <w:szCs w:val="24"/>
        </w:rPr>
        <w:t xml:space="preserve"> </w:t>
      </w:r>
    </w:p>
    <w:p w:rsidR="006D6C74" w:rsidRDefault="006D6C74" w:rsidP="006D6C74">
      <w:pPr>
        <w:spacing w:line="360" w:lineRule="auto"/>
        <w:jc w:val="both"/>
        <w:rPr>
          <w:rFonts w:ascii="Arial" w:hAnsi="Arial" w:cs="Arial"/>
          <w:b/>
          <w:sz w:val="24"/>
          <w:szCs w:val="24"/>
        </w:rPr>
      </w:pPr>
    </w:p>
    <w:p w:rsidR="006D6C74" w:rsidRPr="007B0581" w:rsidRDefault="006D6C74" w:rsidP="006D6C74">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sidRPr="00622626">
        <w:rPr>
          <w:rFonts w:ascii="Arial" w:hAnsi="Arial" w:cs="Arial"/>
          <w:b/>
          <w:sz w:val="24"/>
          <w:szCs w:val="24"/>
        </w:rPr>
        <w:t>0002</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0"/>
    <w:p w:rsidR="006D6C74" w:rsidRDefault="006D6C74" w:rsidP="006D6C74">
      <w:pPr>
        <w:contextualSpacing/>
        <w:jc w:val="both"/>
        <w:rPr>
          <w:rFonts w:ascii="Arial" w:hAnsi="Arial" w:cs="Arial"/>
          <w:sz w:val="24"/>
          <w:szCs w:val="24"/>
        </w:rPr>
      </w:pPr>
    </w:p>
    <w:p w:rsidR="006D6C74" w:rsidRPr="007B0581" w:rsidRDefault="006D6C74" w:rsidP="006D6C74">
      <w:pPr>
        <w:contextualSpacing/>
        <w:jc w:val="both"/>
        <w:rPr>
          <w:rFonts w:ascii="Arial" w:hAnsi="Arial" w:cs="Arial"/>
          <w:sz w:val="24"/>
          <w:szCs w:val="24"/>
        </w:rPr>
      </w:pPr>
    </w:p>
    <w:p w:rsidR="006D6C74" w:rsidRDefault="006D6C74" w:rsidP="006D6C74">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6D6C74" w:rsidRPr="007B0581" w:rsidRDefault="006D6C74" w:rsidP="006D6C74">
      <w:pPr>
        <w:spacing w:line="360" w:lineRule="auto"/>
        <w:ind w:firstLine="708"/>
        <w:jc w:val="center"/>
        <w:rPr>
          <w:rFonts w:ascii="Arial" w:hAnsi="Arial" w:cs="Arial"/>
          <w:b/>
          <w:spacing w:val="-3"/>
          <w:sz w:val="24"/>
          <w:szCs w:val="24"/>
          <w:lang w:val="es-ES_tradnl"/>
        </w:rPr>
      </w:pPr>
    </w:p>
    <w:p w:rsidR="006D6C74" w:rsidRPr="007B0581" w:rsidRDefault="006D6C74" w:rsidP="006D6C74">
      <w:pPr>
        <w:contextualSpacing/>
        <w:jc w:val="both"/>
        <w:rPr>
          <w:rFonts w:ascii="Arial" w:hAnsi="Arial" w:cs="Arial"/>
          <w:b/>
          <w:spacing w:val="-3"/>
          <w:sz w:val="24"/>
          <w:szCs w:val="24"/>
          <w:lang w:val="es-ES_tradnl"/>
        </w:rPr>
      </w:pPr>
    </w:p>
    <w:p w:rsidR="006D6C74" w:rsidRPr="007B0581" w:rsidRDefault="006D6C74" w:rsidP="006D6C74">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ocho de enero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w:t>
      </w:r>
      <w:r>
        <w:rPr>
          <w:rFonts w:ascii="Arial" w:hAnsi="Arial" w:cs="Arial"/>
          <w:sz w:val="24"/>
          <w:szCs w:val="24"/>
        </w:rPr>
        <w:t>juicio de</w:t>
      </w:r>
      <w:r w:rsidRPr="007B0581">
        <w:rPr>
          <w:rFonts w:ascii="Arial" w:hAnsi="Arial" w:cs="Arial"/>
          <w:sz w:val="24"/>
          <w:szCs w:val="24"/>
        </w:rPr>
        <w:t xml:space="preserve">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7B0581">
        <w:rPr>
          <w:rFonts w:ascii="Arial" w:hAnsi="Arial" w:cs="Arial"/>
          <w:sz w:val="24"/>
          <w:szCs w:val="24"/>
        </w:rPr>
        <w:t xml:space="preserve">. </w:t>
      </w:r>
    </w:p>
    <w:bookmarkEnd w:id="1"/>
    <w:p w:rsidR="006D6C74" w:rsidRPr="007B0581" w:rsidRDefault="006D6C74" w:rsidP="006D6C74">
      <w:pPr>
        <w:contextualSpacing/>
        <w:jc w:val="both"/>
        <w:rPr>
          <w:rFonts w:ascii="Arial" w:hAnsi="Arial" w:cs="Arial"/>
          <w:sz w:val="24"/>
          <w:szCs w:val="24"/>
        </w:rPr>
      </w:pPr>
    </w:p>
    <w:p w:rsidR="006D6C74" w:rsidRDefault="006D6C74" w:rsidP="006D6C74">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 xml:space="preserve">- </w:t>
      </w:r>
      <w:r w:rsidRPr="00B56612">
        <w:rPr>
          <w:rFonts w:ascii="Arial" w:hAnsi="Arial" w:cs="Arial"/>
          <w:bCs/>
          <w:sz w:val="24"/>
          <w:szCs w:val="24"/>
        </w:rPr>
        <w:t xml:space="preserve">Por acuerdo de </w:t>
      </w:r>
      <w:r>
        <w:rPr>
          <w:rFonts w:ascii="Arial" w:hAnsi="Arial" w:cs="Arial"/>
          <w:bCs/>
          <w:sz w:val="24"/>
          <w:szCs w:val="24"/>
        </w:rPr>
        <w:t>ocho de enero de dos mil veinte</w:t>
      </w:r>
      <w:r w:rsidRPr="00B56612">
        <w:rPr>
          <w:rFonts w:ascii="Arial" w:hAnsi="Arial" w:cs="Arial"/>
          <w:bCs/>
          <w:sz w:val="24"/>
          <w:szCs w:val="24"/>
        </w:rPr>
        <w:t xml:space="preserve">, </w:t>
      </w:r>
      <w:r w:rsidRPr="00B56612">
        <w:rPr>
          <w:rFonts w:ascii="Arial" w:hAnsi="Arial" w:cs="Arial"/>
          <w:sz w:val="24"/>
          <w:szCs w:val="24"/>
        </w:rPr>
        <w:t>se admitió a trámite la demanda, ordenándose notificar, emplazar y correr traslado a la autoridad demandada, para que produjera su contestación en los términos de ley.</w:t>
      </w:r>
    </w:p>
    <w:p w:rsidR="006D6C74" w:rsidRDefault="006D6C74" w:rsidP="006D6C74">
      <w:pPr>
        <w:spacing w:line="360" w:lineRule="auto"/>
        <w:ind w:firstLine="567"/>
        <w:jc w:val="both"/>
        <w:rPr>
          <w:rFonts w:ascii="Arial" w:hAnsi="Arial" w:cs="Arial"/>
          <w:sz w:val="24"/>
          <w:szCs w:val="24"/>
        </w:rPr>
      </w:pPr>
    </w:p>
    <w:p w:rsidR="006D6C74" w:rsidRDefault="006D6C74" w:rsidP="006D6C74">
      <w:pPr>
        <w:pStyle w:val="corte4fondo"/>
        <w:ind w:right="51" w:firstLine="567"/>
        <w:contextualSpacing/>
        <w:rPr>
          <w:rFonts w:cs="Arial"/>
          <w:sz w:val="24"/>
          <w:szCs w:val="24"/>
        </w:rPr>
      </w:pPr>
      <w:r w:rsidRPr="007B0581">
        <w:rPr>
          <w:rFonts w:cs="Arial"/>
          <w:bCs/>
          <w:sz w:val="24"/>
          <w:szCs w:val="24"/>
        </w:rPr>
        <w:lastRenderedPageBreak/>
        <w:tab/>
      </w: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w:t>
      </w:r>
      <w:r w:rsidRPr="007B0581">
        <w:rPr>
          <w:rFonts w:cs="Arial"/>
          <w:sz w:val="24"/>
          <w:szCs w:val="24"/>
        </w:rPr>
        <w:t xml:space="preserve">Por acuerdo de </w:t>
      </w:r>
      <w:r>
        <w:rPr>
          <w:rFonts w:cs="Arial"/>
          <w:sz w:val="24"/>
          <w:szCs w:val="24"/>
        </w:rPr>
        <w:t>diecisiete de marzo de dos mil veinte</w:t>
      </w:r>
      <w:r w:rsidRPr="007B0581">
        <w:rPr>
          <w:rFonts w:cs="Arial"/>
          <w:sz w:val="24"/>
          <w:szCs w:val="24"/>
        </w:rPr>
        <w:t>,</w:t>
      </w:r>
      <w:r>
        <w:rPr>
          <w:rFonts w:cs="Arial"/>
          <w:sz w:val="24"/>
          <w:szCs w:val="24"/>
        </w:rPr>
        <w:t xml:space="preserve"> </w:t>
      </w:r>
      <w:r w:rsidRPr="00AD192C">
        <w:rPr>
          <w:rFonts w:cs="Arial"/>
          <w:bCs/>
          <w:sz w:val="24"/>
          <w:szCs w:val="24"/>
        </w:rPr>
        <w:t>se tuvo</w:t>
      </w:r>
      <w:r>
        <w:rPr>
          <w:rFonts w:cs="Arial"/>
          <w:bCs/>
          <w:sz w:val="24"/>
          <w:szCs w:val="24"/>
        </w:rPr>
        <w:t xml:space="preserve"> al Director de lo Contencioso de la Procuraduría Fiscal dependiente de la Subsecretaría de Ingresos de la Secretaría de Finanzas del Poder Ejecutivo del Estado, </w:t>
      </w:r>
      <w:r w:rsidRPr="00AD192C">
        <w:rPr>
          <w:rFonts w:cs="Arial"/>
          <w:sz w:val="24"/>
          <w:szCs w:val="24"/>
        </w:rPr>
        <w:t>dando contestación a la demanda en tiempo y forma</w:t>
      </w:r>
      <w:r>
        <w:rPr>
          <w:rFonts w:cs="Arial"/>
          <w:sz w:val="24"/>
          <w:szCs w:val="24"/>
        </w:rPr>
        <w:t>, en representación de la autoridad demandada</w:t>
      </w:r>
      <w:r w:rsidRPr="00AD192C">
        <w:rPr>
          <w:rFonts w:cs="Arial"/>
          <w:sz w:val="24"/>
          <w:szCs w:val="24"/>
        </w:rPr>
        <w:t>, por acreditada la personalidad con la que compareció a juicio, haciendo valer sus excepciones y defensas, y por admitidas las pruebas ofrecidas, ordenándose correr traslado a la parte actora</w:t>
      </w:r>
      <w:r>
        <w:rPr>
          <w:rFonts w:cs="Arial"/>
          <w:sz w:val="24"/>
          <w:szCs w:val="24"/>
        </w:rPr>
        <w:t>,</w:t>
      </w:r>
      <w:r w:rsidRPr="00AD192C">
        <w:rPr>
          <w:rFonts w:cs="Arial"/>
          <w:sz w:val="24"/>
          <w:szCs w:val="24"/>
        </w:rPr>
        <w:t xml:space="preserve"> </w:t>
      </w:r>
      <w:r>
        <w:rPr>
          <w:rFonts w:cs="Arial"/>
          <w:sz w:val="24"/>
          <w:szCs w:val="24"/>
        </w:rPr>
        <w:t>para los efectos legales correspondientes. Asimismo se señalaron las DOCE HORAS del día DOCE DE MAYO DE DOS MIL VEINTE, para la celebración de la audiencia final.</w:t>
      </w:r>
    </w:p>
    <w:p w:rsidR="006D6C74" w:rsidRDefault="006D6C74" w:rsidP="006D6C74">
      <w:pPr>
        <w:pStyle w:val="corte4fondo"/>
        <w:ind w:right="51" w:firstLine="567"/>
        <w:rPr>
          <w:rFonts w:cs="Arial"/>
          <w:bCs/>
          <w:sz w:val="24"/>
          <w:szCs w:val="24"/>
        </w:rPr>
      </w:pPr>
    </w:p>
    <w:p w:rsidR="006D6C74" w:rsidRDefault="006D6C74" w:rsidP="006D6C74">
      <w:pPr>
        <w:pStyle w:val="corte4fondo"/>
        <w:ind w:right="51" w:firstLine="567"/>
        <w:rPr>
          <w:rFonts w:cs="Arial"/>
          <w:bCs/>
          <w:sz w:val="24"/>
          <w:szCs w:val="24"/>
        </w:rPr>
      </w:pPr>
      <w:r w:rsidRPr="007B0581">
        <w:rPr>
          <w:rFonts w:cs="Arial"/>
          <w:b/>
          <w:bCs/>
          <w:sz w:val="24"/>
          <w:szCs w:val="24"/>
        </w:rPr>
        <w:t xml:space="preserve">CUARTO. </w:t>
      </w:r>
      <w:r>
        <w:rPr>
          <w:rFonts w:cs="Arial"/>
          <w:b/>
          <w:bCs/>
          <w:sz w:val="24"/>
          <w:szCs w:val="24"/>
        </w:rPr>
        <w:t xml:space="preserve">– </w:t>
      </w:r>
      <w:r w:rsidRPr="00AD192C">
        <w:rPr>
          <w:rFonts w:cs="Arial"/>
          <w:bCs/>
          <w:sz w:val="24"/>
          <w:szCs w:val="24"/>
        </w:rPr>
        <w:t xml:space="preserve">Por acuerdo de </w:t>
      </w:r>
      <w:r>
        <w:rPr>
          <w:rFonts w:cs="Arial"/>
          <w:bCs/>
          <w:sz w:val="24"/>
          <w:szCs w:val="24"/>
        </w:rPr>
        <w:t>diecisiete de septiembre de dos mil veinte</w:t>
      </w:r>
      <w:r w:rsidRPr="00AD192C">
        <w:rPr>
          <w:rFonts w:cs="Arial"/>
          <w:bCs/>
          <w:sz w:val="24"/>
          <w:szCs w:val="24"/>
        </w:rPr>
        <w:t>, se</w:t>
      </w:r>
      <w:r>
        <w:rPr>
          <w:rFonts w:cs="Arial"/>
          <w:bCs/>
          <w:sz w:val="24"/>
          <w:szCs w:val="24"/>
        </w:rPr>
        <w:t xml:space="preserve"> hizo del conocimiento de las partes que no fue posible llevar a cabo la audiencia final en la fecha establecida mediante proveído de diecisiete de marzo de dos mil veinte. Asimismo se señalaron las DIEZ HORAS del día VEINTIOCHO DE OCTUBRE DE DOS MIL VEINTE, para la celebración de la audiencia final.</w:t>
      </w:r>
    </w:p>
    <w:p w:rsidR="006D6C74" w:rsidRDefault="006D6C74" w:rsidP="006D6C74">
      <w:pPr>
        <w:pStyle w:val="corte4fondo"/>
        <w:ind w:right="51" w:firstLine="567"/>
        <w:rPr>
          <w:rFonts w:cs="Arial"/>
          <w:bCs/>
          <w:sz w:val="24"/>
          <w:szCs w:val="24"/>
        </w:rPr>
      </w:pPr>
    </w:p>
    <w:p w:rsidR="006D6C74" w:rsidRDefault="006D6C74" w:rsidP="006D6C74">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 xml:space="preserve">– </w:t>
      </w:r>
      <w:r>
        <w:rPr>
          <w:rFonts w:cs="Arial"/>
          <w:sz w:val="24"/>
          <w:szCs w:val="24"/>
        </w:rPr>
        <w:t xml:space="preserve">Por acuerdo de uno de marzo de dos mil veintidós, se hizo del conocimiento de las partes que no fue posible llevar a cabo la audiencia final señalada mediante proveído de diecisiete de septiembre de dos mil veinte. Asimismo se señalaron las NUEVE HORAS del día DIECISIETE DE MARZO DE DOS MIL VEINTIDÓS, para la celebración de la audiencia final. Así también, la incorporación y adscripción de la Magistrada VIRGINIA HERNÁNDEZ HERNÁNDEZ, como titular de esta Quinta Sala Unitaria de Primera Instancia de este órgano jurisdiccional, para que en el plazo de tres días hábiles manifestaran lo que a su derecho conviniera. </w:t>
      </w:r>
    </w:p>
    <w:p w:rsidR="006D6C74" w:rsidRDefault="006D6C74" w:rsidP="006D6C74">
      <w:pPr>
        <w:pStyle w:val="corte4fondo"/>
        <w:ind w:right="51" w:firstLine="567"/>
        <w:rPr>
          <w:rFonts w:cs="Arial"/>
          <w:sz w:val="24"/>
          <w:szCs w:val="24"/>
        </w:rPr>
      </w:pPr>
    </w:p>
    <w:p w:rsidR="006D6C74" w:rsidRDefault="006D6C74" w:rsidP="006D6C74">
      <w:pPr>
        <w:pStyle w:val="corte4fondo"/>
        <w:ind w:right="51" w:firstLine="567"/>
        <w:rPr>
          <w:rFonts w:cs="Arial"/>
          <w:b/>
          <w:bCs/>
          <w:sz w:val="24"/>
          <w:szCs w:val="24"/>
        </w:rPr>
      </w:pPr>
      <w:r w:rsidRPr="00637B2F">
        <w:rPr>
          <w:rFonts w:cs="Arial"/>
          <w:b/>
          <w:bCs/>
          <w:sz w:val="24"/>
          <w:szCs w:val="24"/>
        </w:rPr>
        <w:t>SEXTO. -</w:t>
      </w:r>
      <w:r>
        <w:rPr>
          <w:rFonts w:cs="Arial"/>
          <w:sz w:val="24"/>
          <w:szCs w:val="24"/>
        </w:rPr>
        <w:t xml:space="preserve"> E</w:t>
      </w:r>
      <w:r w:rsidRPr="007B0581">
        <w:rPr>
          <w:rFonts w:cs="Arial"/>
          <w:sz w:val="24"/>
          <w:szCs w:val="24"/>
          <w:lang w:val="es-ES"/>
        </w:rPr>
        <w:t xml:space="preserve">l </w:t>
      </w:r>
      <w:r>
        <w:rPr>
          <w:rFonts w:cs="Arial"/>
          <w:sz w:val="24"/>
          <w:szCs w:val="24"/>
          <w:lang w:val="es-ES"/>
        </w:rPr>
        <w:t>diecisiete de marzo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las partes no formularon</w:t>
      </w:r>
      <w:r w:rsidRPr="00402863">
        <w:rPr>
          <w:rFonts w:cs="Arial"/>
          <w:sz w:val="24"/>
          <w:szCs w:val="24"/>
        </w:rPr>
        <w:t xml:space="preserve"> alegatos</w:t>
      </w:r>
      <w:r>
        <w:rPr>
          <w:rFonts w:cs="Arial"/>
          <w:sz w:val="24"/>
          <w:szCs w:val="24"/>
        </w:rPr>
        <w:t xml:space="preserve"> por escrito;</w:t>
      </w:r>
      <w:r w:rsidRPr="00402863">
        <w:rPr>
          <w:rFonts w:cs="Arial"/>
          <w:sz w:val="24"/>
          <w:szCs w:val="24"/>
        </w:rPr>
        <w:t xml:space="preserve"> por lo que se ordenó citar a las partes a oír sentencia dentro del término de ley</w:t>
      </w:r>
      <w:r>
        <w:rPr>
          <w:rFonts w:cs="Arial"/>
          <w:sz w:val="24"/>
          <w:szCs w:val="24"/>
        </w:rPr>
        <w:t>, misma que ahora se pronuncia, y;</w:t>
      </w:r>
    </w:p>
    <w:p w:rsidR="006D6C74" w:rsidRDefault="006D6C74" w:rsidP="006D6C74">
      <w:pPr>
        <w:pStyle w:val="corte4fondo"/>
        <w:ind w:right="51" w:firstLine="567"/>
        <w:rPr>
          <w:rFonts w:cs="Arial"/>
          <w:b/>
          <w:bCs/>
          <w:sz w:val="24"/>
          <w:szCs w:val="24"/>
        </w:rPr>
      </w:pPr>
    </w:p>
    <w:p w:rsidR="006D6C74" w:rsidRPr="007B0581" w:rsidRDefault="006D6C74" w:rsidP="006D6C74">
      <w:pPr>
        <w:pStyle w:val="corte4fondo"/>
        <w:ind w:right="51" w:firstLine="567"/>
        <w:rPr>
          <w:rFonts w:cs="Arial"/>
          <w:b/>
          <w:spacing w:val="-3"/>
          <w:sz w:val="24"/>
          <w:szCs w:val="24"/>
        </w:rPr>
      </w:pPr>
    </w:p>
    <w:p w:rsidR="006D6C74" w:rsidRPr="007B0581" w:rsidRDefault="006D6C74" w:rsidP="006D6C74">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6D6C74" w:rsidRPr="007B0581" w:rsidRDefault="006D6C74" w:rsidP="006D6C74">
      <w:pPr>
        <w:pStyle w:val="corte4fondo"/>
        <w:spacing w:line="240" w:lineRule="auto"/>
        <w:ind w:right="51" w:firstLine="567"/>
        <w:contextualSpacing/>
        <w:rPr>
          <w:rFonts w:cs="Arial"/>
          <w:bCs/>
          <w:sz w:val="24"/>
          <w:szCs w:val="24"/>
        </w:rPr>
      </w:pPr>
    </w:p>
    <w:p w:rsidR="006D6C74" w:rsidRPr="007B0581" w:rsidRDefault="006D6C74" w:rsidP="006D6C74">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 determinación emitida por la Directora de Ingresos y Recaudación de la Secretaría de Finanzas </w:t>
      </w:r>
      <w:r>
        <w:rPr>
          <w:rFonts w:ascii="Arial" w:hAnsi="Arial" w:cs="Arial"/>
          <w:sz w:val="24"/>
          <w:szCs w:val="24"/>
        </w:rPr>
        <w:lastRenderedPageBreak/>
        <w:t>del Poder Ejecutivo del Estado de Oaxaca,</w:t>
      </w:r>
      <w:r w:rsidRPr="007B0581">
        <w:rPr>
          <w:rFonts w:ascii="Arial" w:hAnsi="Arial" w:cs="Arial"/>
          <w:sz w:val="24"/>
          <w:szCs w:val="24"/>
        </w:rPr>
        <w:t xml:space="preserve"> con fundamento en el artículo 114 QUATER, párrafo primero, inciso B, </w:t>
      </w:r>
      <w:r w:rsidRPr="00701981">
        <w:rPr>
          <w:rFonts w:ascii="Arial" w:hAnsi="Arial" w:cs="Arial"/>
          <w:sz w:val="24"/>
          <w:szCs w:val="24"/>
        </w:rPr>
        <w:t>fracción VI de la Constitución</w:t>
      </w:r>
      <w:r w:rsidRPr="007B0581">
        <w:rPr>
          <w:rFonts w:ascii="Arial" w:hAnsi="Arial" w:cs="Arial"/>
          <w:sz w:val="24"/>
          <w:szCs w:val="24"/>
        </w:rPr>
        <w:t xml:space="preserve"> Política del Estado Libre y Soberano de Oaxaca; 120, fracción I, 132 fracciones I y II, 133 </w:t>
      </w:r>
      <w:r w:rsidRPr="00AD2533">
        <w:rPr>
          <w:rFonts w:ascii="Arial" w:hAnsi="Arial" w:cs="Arial"/>
          <w:sz w:val="24"/>
          <w:szCs w:val="24"/>
        </w:rPr>
        <w:t>fracción II</w:t>
      </w:r>
      <w:r w:rsidRPr="00D82BB8">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6D6C74" w:rsidRPr="007B0581" w:rsidRDefault="006D6C74" w:rsidP="006D6C74">
      <w:pPr>
        <w:spacing w:line="360" w:lineRule="auto"/>
        <w:jc w:val="both"/>
        <w:rPr>
          <w:rFonts w:ascii="Arial" w:hAnsi="Arial" w:cs="Arial"/>
          <w:sz w:val="24"/>
          <w:szCs w:val="24"/>
        </w:rPr>
      </w:pPr>
      <w:r w:rsidRPr="007B0581">
        <w:rPr>
          <w:rFonts w:ascii="Arial" w:hAnsi="Arial" w:cs="Arial"/>
          <w:sz w:val="24"/>
          <w:szCs w:val="24"/>
        </w:rPr>
        <w:t xml:space="preserve"> </w:t>
      </w:r>
    </w:p>
    <w:p w:rsidR="006D6C74" w:rsidRPr="007B0581" w:rsidRDefault="006D6C74" w:rsidP="006D6C74">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el promovente acreditó ser</w:t>
      </w:r>
      <w:r w:rsidRPr="007B0581">
        <w:rPr>
          <w:rFonts w:ascii="Arial" w:hAnsi="Arial" w:cs="Arial"/>
          <w:sz w:val="24"/>
          <w:szCs w:val="24"/>
        </w:rPr>
        <w:t xml:space="preserve"> </w:t>
      </w:r>
      <w:r>
        <w:rPr>
          <w:rFonts w:ascii="Arial" w:hAnsi="Arial" w:cs="Arial"/>
          <w:sz w:val="24"/>
          <w:szCs w:val="24"/>
        </w:rPr>
        <w:t xml:space="preserve">Administrador Único de la parte actora, con copia certificada del instrumento notarial número </w:t>
      </w:r>
      <w:r>
        <w:rPr>
          <w:rFonts w:cs="Arial"/>
          <w:b/>
          <w:sz w:val="24"/>
          <w:szCs w:val="24"/>
        </w:rPr>
        <w:t>**********</w:t>
      </w:r>
      <w:r>
        <w:rPr>
          <w:rFonts w:ascii="Arial" w:hAnsi="Arial" w:cs="Arial"/>
          <w:sz w:val="24"/>
          <w:szCs w:val="24"/>
        </w:rPr>
        <w:t xml:space="preserve">, volumen </w:t>
      </w:r>
      <w:r>
        <w:rPr>
          <w:rFonts w:cs="Arial"/>
          <w:b/>
          <w:sz w:val="24"/>
          <w:szCs w:val="24"/>
        </w:rPr>
        <w:t>**********</w:t>
      </w:r>
      <w:bookmarkStart w:id="2" w:name="_GoBack"/>
      <w:bookmarkEnd w:id="2"/>
      <w:r w:rsidRPr="007B0581">
        <w:rPr>
          <w:rFonts w:ascii="Arial" w:hAnsi="Arial" w:cs="Arial"/>
          <w:sz w:val="24"/>
          <w:szCs w:val="24"/>
        </w:rPr>
        <w:t xml:space="preserve"> 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con copia certificada de su nombramiento y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6D6C74" w:rsidRPr="007B0581" w:rsidRDefault="006D6C74" w:rsidP="006D6C74">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6D6C74" w:rsidRDefault="006D6C74" w:rsidP="006D6C74">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955907">
        <w:rPr>
          <w:rFonts w:ascii="Arial" w:hAnsi="Arial" w:cs="Arial"/>
          <w:sz w:val="24"/>
          <w:szCs w:val="24"/>
        </w:rPr>
        <w:t>E</w:t>
      </w:r>
      <w:r w:rsidRPr="00C664F9">
        <w:rPr>
          <w:rFonts w:ascii="Arial" w:hAnsi="Arial" w:cs="Arial"/>
          <w:sz w:val="24"/>
          <w:szCs w:val="24"/>
        </w:rPr>
        <w:t>sta Sala procede a analizar</w:t>
      </w:r>
      <w:r>
        <w:rPr>
          <w:rFonts w:ascii="Arial" w:hAnsi="Arial" w:cs="Arial"/>
          <w:sz w:val="24"/>
          <w:szCs w:val="24"/>
        </w:rPr>
        <w:t xml:space="preserve"> la causal de sobreseimiento hecha valer por</w:t>
      </w:r>
      <w:r w:rsidRPr="00C664F9">
        <w:rPr>
          <w:rFonts w:ascii="Arial" w:hAnsi="Arial" w:cs="Arial"/>
          <w:sz w:val="24"/>
          <w:szCs w:val="24"/>
        </w:rPr>
        <w:t xml:space="preserve"> </w:t>
      </w:r>
      <w:r>
        <w:rPr>
          <w:rFonts w:ascii="Arial" w:hAnsi="Arial" w:cs="Arial"/>
          <w:sz w:val="24"/>
          <w:szCs w:val="24"/>
        </w:rPr>
        <w:t xml:space="preserve">la autoridad demandada, en el sentido que refirió haberle notificado a la parte actora el acto impugnado el ocho de noviembre de dos mil diecinueve, no el cinco de diciembre de esa anualidad como lo aduce la parte actora, en ese sentido si bien es cierto que existe una notificación con fecha diversa a la que indica la parte actora, también lo es que la presentación del juicio de nulidad se realizó en tiempo, dado que el plazo de treinta días hábiles que tuvo la parte actora comenzaría a transcurrir a partir del doce de noviembre de dos mil diecinueve y fenecería </w:t>
      </w:r>
      <w:r w:rsidRPr="00A32A6D">
        <w:rPr>
          <w:rFonts w:ascii="Arial" w:hAnsi="Arial" w:cs="Arial"/>
          <w:sz w:val="24"/>
          <w:szCs w:val="24"/>
        </w:rPr>
        <w:t>el catorce</w:t>
      </w:r>
      <w:r>
        <w:rPr>
          <w:rFonts w:ascii="Arial" w:hAnsi="Arial" w:cs="Arial"/>
          <w:sz w:val="24"/>
          <w:szCs w:val="24"/>
        </w:rPr>
        <w:t xml:space="preserve"> de enero de dos mil veinte, descontándose los días sábados y domingos, </w:t>
      </w:r>
      <w:r w:rsidRPr="00A32A6D">
        <w:rPr>
          <w:rFonts w:ascii="Arial" w:hAnsi="Arial" w:cs="Arial"/>
          <w:sz w:val="24"/>
          <w:szCs w:val="24"/>
        </w:rPr>
        <w:t>dieciocho de noviembre y del dieciséis de diciembre de dos mil diecinueve al tres de enero de dos mil veinte,</w:t>
      </w:r>
      <w:r>
        <w:rPr>
          <w:rFonts w:ascii="Arial" w:hAnsi="Arial" w:cs="Arial"/>
          <w:sz w:val="24"/>
          <w:szCs w:val="24"/>
        </w:rPr>
        <w:t xml:space="preserve"> por ser inhábiles de conformidad con lo establecido en los artículos </w:t>
      </w:r>
      <w:r w:rsidRPr="00656FC0">
        <w:rPr>
          <w:rFonts w:ascii="Arial" w:hAnsi="Arial" w:cs="Arial"/>
          <w:sz w:val="24"/>
          <w:szCs w:val="24"/>
        </w:rPr>
        <w:t>165, 166</w:t>
      </w:r>
      <w:r>
        <w:rPr>
          <w:rFonts w:ascii="Arial" w:hAnsi="Arial" w:cs="Arial"/>
          <w:sz w:val="24"/>
          <w:szCs w:val="24"/>
        </w:rPr>
        <w:t xml:space="preserve"> y 168 de la Ley de Procedimiento y Justicia Administrativa para el Estado de Oaxaca y </w:t>
      </w:r>
      <w:r w:rsidRPr="00A224A2">
        <w:rPr>
          <w:rFonts w:ascii="Arial" w:hAnsi="Arial" w:cs="Arial"/>
          <w:sz w:val="24"/>
          <w:szCs w:val="24"/>
        </w:rPr>
        <w:t>el Calendario Oficial correspondiente al ejercicio dos mil diecinueve, aprobado mediante Acuerdo General AG/TJAO/01/2019 por los integrantes de la Sala Superior de este órgano jurisdiccional</w:t>
      </w:r>
      <w:r>
        <w:rPr>
          <w:rFonts w:ascii="Arial" w:hAnsi="Arial" w:cs="Arial"/>
          <w:sz w:val="24"/>
          <w:szCs w:val="24"/>
        </w:rPr>
        <w:t xml:space="preserve"> y la parte actora presentó su demanda el ocho de enero de dos mil veinte, como se advierte del sello de recepción de la Oficialía de Partes Común de este Tribunal, impreso al reverso de la primera foja del escrito de demanda, por lo que se encuentra en tiempo</w:t>
      </w:r>
      <w:r w:rsidRPr="00C664F9">
        <w:rPr>
          <w:rFonts w:ascii="Arial" w:hAnsi="Arial" w:cs="Arial"/>
          <w:sz w:val="24"/>
          <w:szCs w:val="24"/>
        </w:rPr>
        <w:t xml:space="preserve">.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6D6C74" w:rsidRDefault="006D6C74" w:rsidP="006D6C74">
      <w:pPr>
        <w:spacing w:line="360" w:lineRule="auto"/>
        <w:ind w:right="51"/>
        <w:jc w:val="both"/>
        <w:rPr>
          <w:rFonts w:ascii="Arial" w:hAnsi="Arial" w:cs="Arial"/>
          <w:sz w:val="24"/>
          <w:szCs w:val="24"/>
        </w:rPr>
      </w:pPr>
    </w:p>
    <w:p w:rsidR="006D6C74" w:rsidRPr="007B0581" w:rsidRDefault="006D6C74" w:rsidP="006D6C74">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w:t>
      </w:r>
      <w:r w:rsidRPr="007B0581">
        <w:rPr>
          <w:rFonts w:ascii="Arial" w:hAnsi="Arial" w:cs="Arial"/>
          <w:bCs/>
          <w:sz w:val="24"/>
          <w:szCs w:val="24"/>
        </w:rPr>
        <w:lastRenderedPageBreak/>
        <w:t>vulnera disposición expresa que imponga tal obligación</w:t>
      </w:r>
      <w:r w:rsidRPr="007B0581">
        <w:rPr>
          <w:rFonts w:ascii="Arial" w:hAnsi="Arial" w:cs="Arial"/>
          <w:sz w:val="24"/>
          <w:szCs w:val="24"/>
        </w:rPr>
        <w:t xml:space="preserve">; no obstante ello, serán valorados en el cuerpo de esta sentencia. </w:t>
      </w:r>
    </w:p>
    <w:p w:rsidR="006D6C74" w:rsidRDefault="006D6C74" w:rsidP="006D6C74">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6D6C74" w:rsidRDefault="006D6C74" w:rsidP="006D6C74">
      <w:pPr>
        <w:pStyle w:val="Textonotapie"/>
        <w:widowControl w:val="0"/>
        <w:spacing w:line="360" w:lineRule="auto"/>
        <w:ind w:firstLine="708"/>
        <w:jc w:val="both"/>
        <w:rPr>
          <w:rFonts w:ascii="Arial" w:hAnsi="Arial" w:cs="Arial"/>
          <w:sz w:val="24"/>
          <w:szCs w:val="24"/>
          <w:lang w:eastAsia="es-MX"/>
        </w:rPr>
      </w:pPr>
    </w:p>
    <w:p w:rsidR="006D6C74" w:rsidRDefault="006D6C74" w:rsidP="006D6C74">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6D6C74" w:rsidRDefault="006D6C74" w:rsidP="006D6C74">
      <w:pPr>
        <w:pStyle w:val="Textonotapie"/>
        <w:widowControl w:val="0"/>
        <w:spacing w:line="360" w:lineRule="auto"/>
        <w:ind w:left="1701" w:right="1469"/>
        <w:jc w:val="both"/>
        <w:rPr>
          <w:rFonts w:ascii="Arial" w:hAnsi="Arial" w:cs="Arial"/>
          <w:b/>
          <w:sz w:val="24"/>
          <w:szCs w:val="24"/>
          <w:lang w:eastAsia="es-MX"/>
        </w:rPr>
      </w:pPr>
    </w:p>
    <w:p w:rsidR="006D6C74" w:rsidRDefault="006D6C74" w:rsidP="006D6C74">
      <w:pPr>
        <w:spacing w:line="360" w:lineRule="auto"/>
        <w:ind w:firstLine="709"/>
        <w:contextualSpacing/>
        <w:jc w:val="both"/>
        <w:rPr>
          <w:rFonts w:ascii="Arial" w:hAnsi="Arial" w:cs="Arial"/>
          <w:sz w:val="24"/>
          <w:szCs w:val="24"/>
        </w:rPr>
      </w:pPr>
      <w:r>
        <w:rPr>
          <w:rFonts w:ascii="Arial" w:hAnsi="Arial" w:cs="Arial"/>
          <w:bCs/>
          <w:sz w:val="24"/>
          <w:szCs w:val="24"/>
        </w:rPr>
        <w:t>La parte</w:t>
      </w:r>
      <w:r>
        <w:rPr>
          <w:rFonts w:ascii="Arial" w:hAnsi="Arial" w:cs="Arial"/>
          <w:bCs/>
          <w:sz w:val="24"/>
          <w:szCs w:val="24"/>
          <w:lang w:val="es-MX"/>
        </w:rPr>
        <w:t xml:space="preserv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 por considerar que carece de la debida fundamentación y motivación, en virtud que la autoridad demandada no estableció la actividad concreta que realizó y que refirió estar vinculada al impuesto que le atribuyó, pues para que esté en condiciones de atribuirle dichas obligaciones, la demandada debió establecer con certeza el hecho generador del impuesto, lo que en la especie no aconteció.   </w:t>
      </w:r>
    </w:p>
    <w:p w:rsidR="006D6C74" w:rsidRDefault="006D6C74" w:rsidP="006D6C74">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6D6C74" w:rsidRDefault="006D6C74" w:rsidP="006D6C74">
      <w:pPr>
        <w:spacing w:line="360" w:lineRule="auto"/>
        <w:ind w:firstLine="709"/>
        <w:contextualSpacing/>
        <w:jc w:val="both"/>
        <w:rPr>
          <w:rFonts w:ascii="Arial" w:hAnsi="Arial" w:cs="Arial"/>
          <w:sz w:val="24"/>
          <w:szCs w:val="24"/>
        </w:rPr>
      </w:pPr>
      <w:r w:rsidRPr="000C1A2D">
        <w:rPr>
          <w:rFonts w:ascii="Arial" w:hAnsi="Arial" w:cs="Arial"/>
          <w:sz w:val="24"/>
          <w:szCs w:val="24"/>
        </w:rPr>
        <w:t>Por su</w:t>
      </w:r>
      <w:r w:rsidRPr="007B0581">
        <w:rPr>
          <w:rFonts w:ascii="Arial" w:hAnsi="Arial" w:cs="Arial"/>
          <w:sz w:val="24"/>
          <w:szCs w:val="24"/>
        </w:rPr>
        <w:t xml:space="preserve"> parte,</w:t>
      </w:r>
      <w:r>
        <w:rPr>
          <w:rFonts w:ascii="Arial" w:hAnsi="Arial" w:cs="Arial"/>
          <w:sz w:val="24"/>
          <w:szCs w:val="24"/>
        </w:rPr>
        <w:t xml:space="preserve"> el Director de lo Contencioso de la Procuraduría Fiscal dependiente de la Subsecretaría de Ingresos de la Secretaría de Finanzas del Poder Ejecutivo del Estado, representante jurídico de la defensa legal de la autoridad demandada Directora de Ingresos y Recaudación de la citada Secretaría, indica que </w:t>
      </w:r>
      <w:bookmarkEnd w:id="3"/>
      <w:r>
        <w:rPr>
          <w:rFonts w:ascii="Arial" w:hAnsi="Arial" w:cs="Arial"/>
          <w:sz w:val="24"/>
          <w:szCs w:val="24"/>
        </w:rPr>
        <w:t xml:space="preserve">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se encuentra debidamente fundada y motivada de conformidad con las leyes esenciales del procedimiento, en virtud que se citaron los preceptos y ordenamientos legales aplicables. </w:t>
      </w:r>
    </w:p>
    <w:p w:rsidR="006D6C74" w:rsidRDefault="006D6C74" w:rsidP="006D6C74">
      <w:pPr>
        <w:spacing w:line="360" w:lineRule="auto"/>
        <w:ind w:firstLine="709"/>
        <w:contextualSpacing/>
        <w:jc w:val="both"/>
        <w:rPr>
          <w:rFonts w:ascii="Arial" w:hAnsi="Arial" w:cs="Arial"/>
          <w:sz w:val="24"/>
          <w:szCs w:val="24"/>
        </w:rPr>
      </w:pPr>
    </w:p>
    <w:p w:rsidR="006D6C74" w:rsidRDefault="006D6C74" w:rsidP="006D6C74">
      <w:pPr>
        <w:pStyle w:val="Sangradetextonormal2"/>
        <w:tabs>
          <w:tab w:val="left" w:pos="2041"/>
        </w:tabs>
        <w:spacing w:line="360" w:lineRule="auto"/>
        <w:ind w:right="51" w:firstLine="0"/>
        <w:jc w:val="both"/>
        <w:rPr>
          <w:rFonts w:ascii="Arial" w:hAnsi="Arial" w:cs="Arial"/>
          <w:b/>
          <w:sz w:val="24"/>
          <w:szCs w:val="24"/>
        </w:rPr>
      </w:pPr>
      <w:r w:rsidRPr="00EC7B74">
        <w:rPr>
          <w:rFonts w:ascii="Arial" w:hAnsi="Arial" w:cs="Arial"/>
          <w:bCs/>
          <w:sz w:val="24"/>
          <w:szCs w:val="24"/>
        </w:rPr>
        <w:t xml:space="preserve">           </w:t>
      </w:r>
      <w:r w:rsidRPr="00955907">
        <w:rPr>
          <w:rFonts w:ascii="Arial" w:hAnsi="Arial" w:cs="Arial"/>
          <w:bCs/>
          <w:sz w:val="24"/>
          <w:szCs w:val="24"/>
        </w:rPr>
        <w:t>E</w:t>
      </w:r>
      <w:r w:rsidRPr="00955907">
        <w:rPr>
          <w:rFonts w:ascii="Arial" w:hAnsi="Arial" w:cs="Arial"/>
          <w:sz w:val="24"/>
          <w:szCs w:val="24"/>
        </w:rPr>
        <w:t>sta Sala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w:t>
      </w:r>
      <w:r w:rsidRPr="00EC7B74">
        <w:rPr>
          <w:rFonts w:ascii="Arial" w:hAnsi="Arial" w:cs="Arial"/>
          <w:bCs/>
          <w:sz w:val="24"/>
          <w:szCs w:val="24"/>
        </w:rPr>
        <w:lastRenderedPageBreak/>
        <w:t>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r>
        <w:rPr>
          <w:rFonts w:ascii="Arial" w:hAnsi="Arial" w:cs="Arial"/>
          <w:bCs/>
          <w:sz w:val="24"/>
          <w:szCs w:val="24"/>
        </w:rPr>
        <w:t xml:space="preserve"> </w:t>
      </w:r>
      <w:r>
        <w:rPr>
          <w:rFonts w:ascii="Arial" w:hAnsi="Arial" w:cs="Arial"/>
          <w:b/>
          <w:sz w:val="24"/>
          <w:szCs w:val="24"/>
        </w:rPr>
        <w:t>“</w:t>
      </w:r>
      <w:r w:rsidRPr="00EC7B74">
        <w:rPr>
          <w:rFonts w:ascii="Arial" w:hAnsi="Arial" w:cs="Arial"/>
          <w:b/>
          <w:sz w:val="24"/>
          <w:szCs w:val="24"/>
        </w:rPr>
        <w:t>COMPETENCIA DE LAS AUTORIDADES DMINISTRATIVAS. AL SER UN PRESUPUESTO PROCESAL CUYO ESTUDIO</w:t>
      </w:r>
      <w:r>
        <w:rPr>
          <w:rFonts w:ascii="Arial" w:hAnsi="Arial" w:cs="Arial"/>
          <w:b/>
          <w:sz w:val="24"/>
          <w:szCs w:val="24"/>
        </w:rPr>
        <w:t xml:space="preserve"> </w:t>
      </w:r>
      <w:r w:rsidRPr="00EC7B74">
        <w:rPr>
          <w:rFonts w:ascii="Arial" w:hAnsi="Arial" w:cs="Arial"/>
          <w:b/>
          <w:sz w:val="24"/>
          <w:szCs w:val="24"/>
        </w:rPr>
        <w:t>ES DE ORDEN PÚBLICO LAS SALAS DEL TRIBUNAL FEDERAL DE JUSTICIA FISCAL Y ADMINISTRATIVA DEBEN ANALIZARLA DE OFICIO, SIN DISTINGUIR SI SE TRATA DE LA INDEBIDA, INSUFICIENTE O DE LA FALTA DE FUNDAMENTACIÓN DE AQUÉLLA.</w:t>
      </w:r>
      <w:r>
        <w:rPr>
          <w:rFonts w:ascii="Arial" w:hAnsi="Arial" w:cs="Arial"/>
          <w:b/>
          <w:sz w:val="24"/>
          <w:szCs w:val="24"/>
        </w:rPr>
        <w:t>”</w:t>
      </w:r>
    </w:p>
    <w:p w:rsidR="006D6C74" w:rsidRPr="00983A01" w:rsidRDefault="006D6C74" w:rsidP="006D6C74">
      <w:pPr>
        <w:spacing w:before="240" w:line="360" w:lineRule="auto"/>
        <w:ind w:left="1134" w:right="902"/>
        <w:jc w:val="both"/>
        <w:rPr>
          <w:rFonts w:ascii="Arial" w:hAnsi="Arial" w:cs="Arial"/>
          <w:b/>
          <w:sz w:val="24"/>
          <w:szCs w:val="24"/>
          <w:lang w:val="es-MX"/>
        </w:rPr>
      </w:pPr>
    </w:p>
    <w:p w:rsidR="006D6C74" w:rsidRDefault="006D6C74" w:rsidP="006D6C74">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estableció su competencia</w:t>
      </w:r>
      <w:r>
        <w:rPr>
          <w:rFonts w:ascii="Arial" w:hAnsi="Arial" w:cs="Arial"/>
          <w:sz w:val="24"/>
          <w:szCs w:val="24"/>
        </w:rPr>
        <w:t xml:space="preserve"> </w:t>
      </w:r>
      <w:r w:rsidRPr="00BA421B">
        <w:rPr>
          <w:rFonts w:ascii="Arial" w:hAnsi="Arial" w:cs="Arial"/>
          <w:sz w:val="24"/>
          <w:szCs w:val="24"/>
        </w:rPr>
        <w:t>como se advierte</w:t>
      </w:r>
      <w:r w:rsidRPr="00EC7B74">
        <w:rPr>
          <w:rFonts w:ascii="Arial" w:hAnsi="Arial" w:cs="Arial"/>
          <w:sz w:val="24"/>
          <w:szCs w:val="24"/>
        </w:rPr>
        <w:t xml:space="preserve"> en el primer párrafo</w:t>
      </w:r>
      <w:r>
        <w:rPr>
          <w:rFonts w:ascii="Arial" w:hAnsi="Arial" w:cs="Arial"/>
          <w:sz w:val="24"/>
          <w:szCs w:val="24"/>
        </w:rPr>
        <w:t xml:space="preserve"> de la multa de diecinueve de agosto de dos mil diecinueve, </w:t>
      </w:r>
      <w:r w:rsidRPr="008930AE">
        <w:rPr>
          <w:rFonts w:ascii="Arial" w:hAnsi="Arial" w:cs="Arial"/>
          <w:sz w:val="24"/>
          <w:szCs w:val="24"/>
        </w:rPr>
        <w:t xml:space="preserve">con número de control </w:t>
      </w:r>
      <w:r>
        <w:rPr>
          <w:rFonts w:cs="Arial"/>
          <w:b/>
          <w:sz w:val="24"/>
          <w:szCs w:val="24"/>
        </w:rPr>
        <w:t>**********</w:t>
      </w:r>
      <w:r>
        <w:rPr>
          <w:rFonts w:ascii="Arial" w:hAnsi="Arial" w:cs="Arial"/>
          <w:sz w:val="24"/>
          <w:szCs w:val="24"/>
        </w:rPr>
        <w:t xml:space="preserve">, </w:t>
      </w:r>
      <w:r w:rsidRPr="00EC7B74">
        <w:rPr>
          <w:rFonts w:ascii="Arial" w:hAnsi="Arial" w:cs="Arial"/>
          <w:sz w:val="24"/>
          <w:szCs w:val="24"/>
        </w:rPr>
        <w:t xml:space="preserve">que a la letra dice: </w:t>
      </w:r>
      <w:r w:rsidRPr="00EC7B74">
        <w:rPr>
          <w:rFonts w:ascii="Arial" w:hAnsi="Arial" w:cs="Arial"/>
          <w:i/>
          <w:iCs/>
          <w:sz w:val="24"/>
          <w:szCs w:val="24"/>
        </w:rPr>
        <w:t>“La Dirección de Ingresos y Recaudación de</w:t>
      </w:r>
      <w:r>
        <w:rPr>
          <w:rFonts w:ascii="Arial" w:hAnsi="Arial" w:cs="Arial"/>
          <w:i/>
          <w:iCs/>
          <w:sz w:val="24"/>
          <w:szCs w:val="24"/>
        </w:rPr>
        <w:t>pendiente de</w:t>
      </w:r>
      <w:r w:rsidRPr="00EC7B74">
        <w:rPr>
          <w:rFonts w:ascii="Arial" w:hAnsi="Arial" w:cs="Arial"/>
          <w:i/>
          <w:iCs/>
          <w:sz w:val="24"/>
          <w:szCs w:val="24"/>
        </w:rPr>
        <w:t xml:space="preserve"> la</w:t>
      </w:r>
      <w:r>
        <w:rPr>
          <w:rFonts w:ascii="Arial" w:hAnsi="Arial" w:cs="Arial"/>
          <w:i/>
          <w:iCs/>
          <w:sz w:val="24"/>
          <w:szCs w:val="24"/>
        </w:rPr>
        <w:t xml:space="preserve"> Subsecretaría de Ingresos de la</w:t>
      </w:r>
      <w:r w:rsidRPr="00EC7B74">
        <w:rPr>
          <w:rFonts w:ascii="Arial" w:hAnsi="Arial" w:cs="Arial"/>
          <w:i/>
          <w:iCs/>
          <w:sz w:val="24"/>
          <w:szCs w:val="24"/>
        </w:rPr>
        <w:t xml:space="preserve"> Secretaría de Finanzas del Poder Ejecutivo del Estado</w:t>
      </w:r>
      <w:r>
        <w:rPr>
          <w:rFonts w:ascii="Arial" w:hAnsi="Arial" w:cs="Arial"/>
          <w:i/>
          <w:iCs/>
          <w:sz w:val="24"/>
          <w:szCs w:val="24"/>
        </w:rPr>
        <w:t xml:space="preserve"> de Oaxaca,</w:t>
      </w:r>
      <w:r w:rsidRPr="00EC7B74">
        <w:rPr>
          <w:rFonts w:ascii="Arial" w:hAnsi="Arial" w:cs="Arial"/>
          <w:i/>
          <w:iCs/>
          <w:sz w:val="24"/>
          <w:szCs w:val="24"/>
        </w:rPr>
        <w:t xml:space="preserve"> con fundamento en los artículos 2 párrafo segundo y tercero de la Constitución Política del Estado Libre y Soberano de Oaxaca vigente; 1, 3 fracción I, 27 fracción XII, 45 fracciones XI, XIII,</w:t>
      </w:r>
      <w:r>
        <w:rPr>
          <w:rFonts w:ascii="Arial" w:hAnsi="Arial" w:cs="Arial"/>
          <w:i/>
          <w:iCs/>
          <w:sz w:val="24"/>
          <w:szCs w:val="24"/>
        </w:rPr>
        <w:t xml:space="preserve"> XX, XXI,</w:t>
      </w:r>
      <w:r w:rsidRPr="00EC7B74">
        <w:rPr>
          <w:rFonts w:ascii="Arial" w:hAnsi="Arial" w:cs="Arial"/>
          <w:i/>
          <w:iCs/>
          <w:sz w:val="24"/>
          <w:szCs w:val="24"/>
        </w:rPr>
        <w:t xml:space="preserve"> XXVIII, XXXVII y LIX de la Ley Orgánica del Poder Ejecutivo del Estado de Oaxaca vigente;</w:t>
      </w:r>
      <w:r>
        <w:rPr>
          <w:rFonts w:ascii="Arial" w:hAnsi="Arial" w:cs="Arial"/>
          <w:i/>
          <w:iCs/>
          <w:sz w:val="24"/>
          <w:szCs w:val="24"/>
        </w:rPr>
        <w:t xml:space="preserve"> </w:t>
      </w:r>
      <w:r w:rsidRPr="00EC7B74">
        <w:rPr>
          <w:rFonts w:ascii="Arial" w:hAnsi="Arial" w:cs="Arial"/>
          <w:i/>
          <w:iCs/>
          <w:sz w:val="24"/>
          <w:szCs w:val="24"/>
        </w:rPr>
        <w:t>1 primer párrafo, 3, 4, 5 fracciones II, y VII, 7 fracción VI, 19, 32, 39, 61</w:t>
      </w:r>
      <w:r>
        <w:rPr>
          <w:rFonts w:ascii="Arial" w:hAnsi="Arial" w:cs="Arial"/>
          <w:i/>
          <w:iCs/>
          <w:sz w:val="24"/>
          <w:szCs w:val="24"/>
        </w:rPr>
        <w:t xml:space="preserve"> primer</w:t>
      </w:r>
      <w:r w:rsidRPr="00EC7B74">
        <w:rPr>
          <w:rFonts w:ascii="Arial" w:hAnsi="Arial" w:cs="Arial"/>
          <w:i/>
          <w:iCs/>
          <w:sz w:val="24"/>
          <w:szCs w:val="24"/>
        </w:rPr>
        <w:t xml:space="preserve"> párrafo primero</w:t>
      </w:r>
      <w:r>
        <w:rPr>
          <w:rFonts w:ascii="Arial" w:hAnsi="Arial" w:cs="Arial"/>
          <w:i/>
          <w:iCs/>
          <w:sz w:val="24"/>
          <w:szCs w:val="24"/>
        </w:rPr>
        <w:t>,</w:t>
      </w:r>
      <w:r w:rsidRPr="00EC7B74">
        <w:rPr>
          <w:rFonts w:ascii="Arial" w:hAnsi="Arial" w:cs="Arial"/>
          <w:i/>
          <w:iCs/>
          <w:sz w:val="24"/>
          <w:szCs w:val="24"/>
        </w:rPr>
        <w:t xml:space="preserve"> </w:t>
      </w:r>
      <w:r>
        <w:rPr>
          <w:rFonts w:ascii="Arial" w:hAnsi="Arial" w:cs="Arial"/>
          <w:i/>
          <w:iCs/>
          <w:sz w:val="24"/>
          <w:szCs w:val="24"/>
        </w:rPr>
        <w:t>64 primer y quinto párrafos, 122 y</w:t>
      </w:r>
      <w:r w:rsidRPr="00EC7B74">
        <w:rPr>
          <w:rFonts w:ascii="Arial" w:hAnsi="Arial" w:cs="Arial"/>
          <w:i/>
          <w:iCs/>
          <w:sz w:val="24"/>
          <w:szCs w:val="24"/>
        </w:rPr>
        <w:t xml:space="preserve"> 26</w:t>
      </w:r>
      <w:r>
        <w:rPr>
          <w:rFonts w:ascii="Arial" w:hAnsi="Arial" w:cs="Arial"/>
          <w:i/>
          <w:iCs/>
          <w:sz w:val="24"/>
          <w:szCs w:val="24"/>
        </w:rPr>
        <w:t>8</w:t>
      </w:r>
      <w:r w:rsidRPr="00EC7B74">
        <w:rPr>
          <w:rFonts w:ascii="Arial" w:hAnsi="Arial" w:cs="Arial"/>
          <w:i/>
          <w:iCs/>
          <w:sz w:val="24"/>
          <w:szCs w:val="24"/>
        </w:rPr>
        <w:t xml:space="preserve"> fracción I del Código Fiscal para el Estado de Oaxaca vigente</w:t>
      </w:r>
      <w:r>
        <w:rPr>
          <w:rFonts w:ascii="Arial" w:hAnsi="Arial" w:cs="Arial"/>
          <w:i/>
          <w:iCs/>
          <w:sz w:val="24"/>
          <w:szCs w:val="24"/>
        </w:rPr>
        <w:t xml:space="preserve">; </w:t>
      </w:r>
      <w:r w:rsidRPr="00EC7B74">
        <w:rPr>
          <w:rFonts w:ascii="Arial" w:hAnsi="Arial" w:cs="Arial"/>
          <w:i/>
          <w:iCs/>
          <w:sz w:val="24"/>
          <w:szCs w:val="24"/>
        </w:rPr>
        <w:t>5</w:t>
      </w:r>
      <w:r>
        <w:rPr>
          <w:rFonts w:ascii="Arial" w:hAnsi="Arial" w:cs="Arial"/>
          <w:i/>
          <w:iCs/>
          <w:sz w:val="24"/>
          <w:szCs w:val="24"/>
        </w:rPr>
        <w:t>9</w:t>
      </w:r>
      <w:r w:rsidRPr="00EC7B74">
        <w:rPr>
          <w:rFonts w:ascii="Arial" w:hAnsi="Arial" w:cs="Arial"/>
          <w:i/>
          <w:iCs/>
          <w:sz w:val="24"/>
          <w:szCs w:val="24"/>
        </w:rPr>
        <w:t xml:space="preserve">, </w:t>
      </w:r>
      <w:r>
        <w:rPr>
          <w:rFonts w:ascii="Arial" w:hAnsi="Arial" w:cs="Arial"/>
          <w:i/>
          <w:iCs/>
          <w:sz w:val="24"/>
          <w:szCs w:val="24"/>
        </w:rPr>
        <w:t>60 y 61</w:t>
      </w:r>
      <w:r w:rsidRPr="00EC7B74">
        <w:rPr>
          <w:rFonts w:ascii="Arial" w:hAnsi="Arial" w:cs="Arial"/>
          <w:i/>
          <w:iCs/>
          <w:sz w:val="24"/>
          <w:szCs w:val="24"/>
        </w:rPr>
        <w:t xml:space="preserve"> del Reglamento del Código Fiscal para el Estado de Oaxaca vigente,</w:t>
      </w:r>
      <w:r>
        <w:rPr>
          <w:rFonts w:ascii="Arial" w:hAnsi="Arial" w:cs="Arial"/>
          <w:i/>
          <w:iCs/>
          <w:sz w:val="24"/>
          <w:szCs w:val="24"/>
        </w:rPr>
        <w:t xml:space="preserve"> 63</w:t>
      </w:r>
      <w:r w:rsidRPr="00EC7B74">
        <w:rPr>
          <w:rFonts w:ascii="Arial" w:hAnsi="Arial" w:cs="Arial"/>
          <w:i/>
          <w:iCs/>
          <w:sz w:val="24"/>
          <w:szCs w:val="24"/>
        </w:rPr>
        <w:t xml:space="preserve">, </w:t>
      </w:r>
      <w:r>
        <w:rPr>
          <w:rFonts w:ascii="Arial" w:hAnsi="Arial" w:cs="Arial"/>
          <w:i/>
          <w:iCs/>
          <w:sz w:val="24"/>
          <w:szCs w:val="24"/>
        </w:rPr>
        <w:t>64</w:t>
      </w:r>
      <w:r w:rsidRPr="00EC7B74">
        <w:rPr>
          <w:rFonts w:ascii="Arial" w:hAnsi="Arial" w:cs="Arial"/>
          <w:i/>
          <w:iCs/>
          <w:sz w:val="24"/>
          <w:szCs w:val="24"/>
        </w:rPr>
        <w:t xml:space="preserve">, </w:t>
      </w:r>
      <w:r>
        <w:rPr>
          <w:rFonts w:ascii="Arial" w:hAnsi="Arial" w:cs="Arial"/>
          <w:i/>
          <w:iCs/>
          <w:sz w:val="24"/>
          <w:szCs w:val="24"/>
        </w:rPr>
        <w:t>65 y</w:t>
      </w:r>
      <w:r w:rsidRPr="00EC7B74">
        <w:rPr>
          <w:rFonts w:ascii="Arial" w:hAnsi="Arial" w:cs="Arial"/>
          <w:i/>
          <w:iCs/>
          <w:sz w:val="24"/>
          <w:szCs w:val="24"/>
        </w:rPr>
        <w:t xml:space="preserve"> </w:t>
      </w:r>
      <w:r>
        <w:rPr>
          <w:rFonts w:ascii="Arial" w:hAnsi="Arial" w:cs="Arial"/>
          <w:i/>
          <w:iCs/>
          <w:sz w:val="24"/>
          <w:szCs w:val="24"/>
        </w:rPr>
        <w:t>66</w:t>
      </w:r>
      <w:r w:rsidRPr="00EC7B74">
        <w:rPr>
          <w:rFonts w:ascii="Arial" w:hAnsi="Arial" w:cs="Arial"/>
          <w:i/>
          <w:iCs/>
          <w:sz w:val="24"/>
          <w:szCs w:val="24"/>
        </w:rPr>
        <w:t xml:space="preserve"> de la Ley Estatal de Hacienda vigente;</w:t>
      </w:r>
      <w:r>
        <w:rPr>
          <w:rFonts w:ascii="Arial" w:hAnsi="Arial" w:cs="Arial"/>
          <w:i/>
          <w:iCs/>
          <w:sz w:val="24"/>
          <w:szCs w:val="24"/>
        </w:rPr>
        <w:t xml:space="preserve"> </w:t>
      </w:r>
      <w:r w:rsidRPr="00EC7B74">
        <w:rPr>
          <w:rFonts w:ascii="Arial" w:hAnsi="Arial" w:cs="Arial"/>
          <w:i/>
          <w:iCs/>
          <w:sz w:val="24"/>
          <w:szCs w:val="24"/>
        </w:rPr>
        <w:t>1, 2, 4 fracci</w:t>
      </w:r>
      <w:r>
        <w:rPr>
          <w:rFonts w:ascii="Arial" w:hAnsi="Arial" w:cs="Arial"/>
          <w:i/>
          <w:iCs/>
          <w:sz w:val="24"/>
          <w:szCs w:val="24"/>
        </w:rPr>
        <w:t>ón</w:t>
      </w:r>
      <w:r w:rsidRPr="00EC7B74">
        <w:rPr>
          <w:rFonts w:ascii="Arial" w:hAnsi="Arial" w:cs="Arial"/>
          <w:i/>
          <w:iCs/>
          <w:sz w:val="24"/>
          <w:szCs w:val="24"/>
        </w:rPr>
        <w:t xml:space="preserve"> III inciso a), </w:t>
      </w:r>
      <w:r>
        <w:rPr>
          <w:rFonts w:ascii="Arial" w:hAnsi="Arial" w:cs="Arial"/>
          <w:i/>
          <w:iCs/>
          <w:sz w:val="24"/>
          <w:szCs w:val="24"/>
        </w:rPr>
        <w:t>5,</w:t>
      </w:r>
      <w:r w:rsidRPr="00EC7B74">
        <w:rPr>
          <w:rFonts w:ascii="Arial" w:hAnsi="Arial" w:cs="Arial"/>
          <w:i/>
          <w:iCs/>
          <w:sz w:val="24"/>
          <w:szCs w:val="24"/>
        </w:rPr>
        <w:t xml:space="preserve"> </w:t>
      </w:r>
      <w:r w:rsidRPr="005C0856">
        <w:rPr>
          <w:rFonts w:ascii="Arial" w:hAnsi="Arial" w:cs="Arial"/>
          <w:i/>
          <w:iCs/>
          <w:sz w:val="24"/>
          <w:szCs w:val="24"/>
        </w:rPr>
        <w:t>31 fracciones</w:t>
      </w:r>
      <w:r>
        <w:rPr>
          <w:rFonts w:ascii="Arial" w:hAnsi="Arial" w:cs="Arial"/>
          <w:i/>
          <w:iCs/>
          <w:sz w:val="24"/>
          <w:szCs w:val="24"/>
        </w:rPr>
        <w:t xml:space="preserve"> VI,</w:t>
      </w:r>
      <w:r w:rsidRPr="00EC7B74">
        <w:rPr>
          <w:rFonts w:ascii="Arial" w:hAnsi="Arial" w:cs="Arial"/>
          <w:i/>
          <w:iCs/>
          <w:sz w:val="24"/>
          <w:szCs w:val="24"/>
        </w:rPr>
        <w:t xml:space="preserve"> VIII y XLII del Reglamento Interno de la Secretaría de Finanzas del Poder Ejecutivo del Estado de Oaxaca vigente…”</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6D6C74" w:rsidRDefault="006D6C74" w:rsidP="006D6C74">
      <w:pPr>
        <w:spacing w:line="360" w:lineRule="auto"/>
        <w:ind w:right="51"/>
        <w:jc w:val="both"/>
        <w:rPr>
          <w:rFonts w:ascii="Arial" w:hAnsi="Arial" w:cs="Arial"/>
          <w:sz w:val="24"/>
          <w:szCs w:val="24"/>
        </w:rPr>
      </w:pPr>
    </w:p>
    <w:p w:rsidR="006D6C74" w:rsidRDefault="006D6C74" w:rsidP="006D6C74">
      <w:pPr>
        <w:spacing w:line="360" w:lineRule="auto"/>
        <w:ind w:right="51" w:firstLine="708"/>
        <w:jc w:val="both"/>
        <w:rPr>
          <w:rFonts w:ascii="Arial" w:hAnsi="Arial" w:cs="Arial"/>
          <w:sz w:val="24"/>
          <w:szCs w:val="24"/>
        </w:rPr>
      </w:pPr>
      <w:r>
        <w:rPr>
          <w:rFonts w:ascii="Arial" w:hAnsi="Arial" w:cs="Arial"/>
          <w:sz w:val="24"/>
          <w:szCs w:val="24"/>
        </w:rPr>
        <w:t xml:space="preserve">Bajo ese mismo contexto, es el Reglamento Interno de la Secretaría de Finanzas, quien regula la organización y competencia de los servidores públicos </w:t>
      </w:r>
      <w:r>
        <w:rPr>
          <w:rFonts w:ascii="Arial" w:hAnsi="Arial" w:cs="Arial"/>
          <w:sz w:val="24"/>
          <w:szCs w:val="24"/>
        </w:rPr>
        <w:lastRenderedPageBreak/>
        <w:t xml:space="preserve">que conforman dicha dependencia, atendiendo los asuntos de la competencia que le confiere la Ley Orgánica del Poder Ejecutivo del Estado de Oaxaca, disposiciones que de igual forma fueron plasmadas por la demandada en el acto </w:t>
      </w:r>
    </w:p>
    <w:p w:rsidR="006D6C74" w:rsidRDefault="006D6C74" w:rsidP="006D6C74">
      <w:pPr>
        <w:spacing w:line="360" w:lineRule="auto"/>
        <w:ind w:right="51"/>
        <w:jc w:val="both"/>
        <w:rPr>
          <w:rFonts w:ascii="Arial" w:hAnsi="Arial" w:cs="Arial"/>
          <w:sz w:val="24"/>
          <w:szCs w:val="24"/>
        </w:rPr>
      </w:pPr>
      <w:r>
        <w:rPr>
          <w:rFonts w:ascii="Arial" w:hAnsi="Arial" w:cs="Arial"/>
          <w:sz w:val="24"/>
          <w:szCs w:val="24"/>
        </w:rPr>
        <w:t>que se impugna, puesto que en éste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6D6C74" w:rsidRPr="00EC7B74" w:rsidRDefault="006D6C74" w:rsidP="006D6C74">
      <w:pPr>
        <w:spacing w:line="360" w:lineRule="auto"/>
        <w:ind w:right="51"/>
        <w:jc w:val="both"/>
        <w:rPr>
          <w:rFonts w:ascii="Arial" w:hAnsi="Arial" w:cs="Arial"/>
          <w:sz w:val="24"/>
          <w:szCs w:val="24"/>
        </w:rPr>
      </w:pPr>
    </w:p>
    <w:p w:rsidR="006D6C74" w:rsidRPr="00E76D47" w:rsidRDefault="006D6C74" w:rsidP="006D6C74">
      <w:pPr>
        <w:spacing w:line="360" w:lineRule="auto"/>
        <w:ind w:right="51" w:firstLine="708"/>
        <w:jc w:val="both"/>
        <w:rPr>
          <w:rFonts w:ascii="Arial" w:hAnsi="Arial" w:cs="Arial"/>
          <w:bCs/>
          <w:i/>
          <w:iCs/>
          <w:sz w:val="24"/>
          <w:szCs w:val="24"/>
        </w:rPr>
      </w:pPr>
      <w:r w:rsidRPr="00E76D47">
        <w:rPr>
          <w:rFonts w:ascii="Arial" w:hAnsi="Arial" w:cs="Arial"/>
          <w:b/>
          <w:bCs/>
          <w:i/>
          <w:iCs/>
          <w:sz w:val="24"/>
          <w:szCs w:val="24"/>
        </w:rPr>
        <w:t>“Artículo</w:t>
      </w:r>
      <w:r w:rsidRPr="00E76D47">
        <w:rPr>
          <w:rFonts w:ascii="Arial" w:hAnsi="Arial" w:cs="Arial"/>
          <w:b/>
          <w:i/>
          <w:iCs/>
          <w:sz w:val="24"/>
          <w:szCs w:val="24"/>
        </w:rPr>
        <w:t xml:space="preserve"> 31.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6D6C74" w:rsidRPr="00E76D47" w:rsidRDefault="006D6C74" w:rsidP="006D6C74">
      <w:pPr>
        <w:spacing w:line="360" w:lineRule="auto"/>
        <w:jc w:val="both"/>
        <w:rPr>
          <w:rFonts w:ascii="Arial" w:hAnsi="Arial" w:cs="Arial"/>
          <w:i/>
          <w:iCs/>
          <w:sz w:val="24"/>
          <w:szCs w:val="24"/>
        </w:rPr>
      </w:pPr>
      <w:r w:rsidRPr="00E76D47">
        <w:rPr>
          <w:rFonts w:ascii="Arial" w:hAnsi="Arial" w:cs="Arial"/>
          <w:bCs/>
          <w:i/>
          <w:iCs/>
          <w:sz w:val="24"/>
          <w:szCs w:val="24"/>
        </w:rPr>
        <w:t>(…)</w:t>
      </w:r>
    </w:p>
    <w:p w:rsidR="006D6C74" w:rsidRPr="00E76D47" w:rsidRDefault="006D6C74" w:rsidP="006D6C74">
      <w:pPr>
        <w:pStyle w:val="Sinespaciado"/>
        <w:numPr>
          <w:ilvl w:val="0"/>
          <w:numId w:val="1"/>
        </w:numPr>
        <w:tabs>
          <w:tab w:val="left" w:pos="567"/>
        </w:tabs>
        <w:spacing w:line="360" w:lineRule="auto"/>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6D6C74" w:rsidRPr="00EC7B74" w:rsidRDefault="006D6C74" w:rsidP="006D6C74">
      <w:pPr>
        <w:spacing w:line="360" w:lineRule="auto"/>
        <w:jc w:val="both"/>
        <w:rPr>
          <w:rFonts w:ascii="Arial" w:hAnsi="Arial" w:cs="Arial"/>
          <w:sz w:val="24"/>
          <w:szCs w:val="24"/>
        </w:rPr>
      </w:pPr>
    </w:p>
    <w:p w:rsidR="006D6C74" w:rsidRDefault="006D6C74" w:rsidP="006D6C74">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citado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w:t>
      </w:r>
      <w:r w:rsidRPr="00E713DB">
        <w:rPr>
          <w:rFonts w:ascii="Arial" w:hAnsi="Arial" w:cs="Arial"/>
          <w:sz w:val="24"/>
          <w:szCs w:val="24"/>
        </w:rPr>
        <w:t>impugnado</w:t>
      </w:r>
      <w:r w:rsidRPr="00542DFF">
        <w:rPr>
          <w:rFonts w:ascii="Arial" w:hAnsi="Arial" w:cs="Arial"/>
          <w:sz w:val="24"/>
          <w:szCs w:val="24"/>
        </w:rPr>
        <w:t>.</w:t>
      </w:r>
    </w:p>
    <w:p w:rsidR="006D6C74" w:rsidRDefault="006D6C74" w:rsidP="006D6C74">
      <w:pPr>
        <w:spacing w:line="360" w:lineRule="auto"/>
        <w:ind w:firstLine="709"/>
        <w:contextualSpacing/>
        <w:jc w:val="both"/>
        <w:rPr>
          <w:rFonts w:ascii="Arial" w:hAnsi="Arial" w:cs="Arial"/>
          <w:sz w:val="24"/>
          <w:szCs w:val="24"/>
        </w:rPr>
      </w:pPr>
    </w:p>
    <w:p w:rsidR="006D6C74" w:rsidRDefault="006D6C74" w:rsidP="006D6C74">
      <w:pPr>
        <w:spacing w:line="360" w:lineRule="auto"/>
        <w:ind w:firstLine="709"/>
        <w:contextualSpacing/>
        <w:jc w:val="both"/>
        <w:rPr>
          <w:rFonts w:ascii="Arial" w:hAnsi="Arial" w:cs="Arial"/>
          <w:bCs/>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de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812150">
        <w:rPr>
          <w:rFonts w:ascii="Arial" w:hAnsi="Arial" w:cs="Arial"/>
          <w:sz w:val="24"/>
          <w:szCs w:val="24"/>
        </w:rPr>
        <w:t xml:space="preserve"> advierte</w:t>
      </w:r>
      <w:r>
        <w:rPr>
          <w:rFonts w:ascii="Arial" w:hAnsi="Arial" w:cs="Arial"/>
          <w:sz w:val="24"/>
          <w:szCs w:val="24"/>
        </w:rPr>
        <w:t xml:space="preserve"> que es fundado el concepto de impugnación marcado como séptimo, en virtud</w:t>
      </w:r>
      <w:r w:rsidRPr="00812150">
        <w:rPr>
          <w:rFonts w:ascii="Arial" w:hAnsi="Arial" w:cs="Arial"/>
          <w:sz w:val="24"/>
          <w:szCs w:val="24"/>
        </w:rPr>
        <w:t xml:space="preserve"> que</w:t>
      </w:r>
      <w:r>
        <w:rPr>
          <w:rFonts w:ascii="Arial" w:hAnsi="Arial" w:cs="Arial"/>
          <w:sz w:val="24"/>
          <w:szCs w:val="24"/>
        </w:rPr>
        <w:t xml:space="preserve"> el acto impugnado carece de una debida fundamentación y mo</w:t>
      </w:r>
      <w:r w:rsidRPr="00A0711D">
        <w:rPr>
          <w:rFonts w:ascii="Arial" w:hAnsi="Arial" w:cs="Arial"/>
          <w:sz w:val="24"/>
          <w:szCs w:val="24"/>
        </w:rPr>
        <w:t>tiva</w:t>
      </w:r>
      <w:r>
        <w:rPr>
          <w:rFonts w:ascii="Arial" w:hAnsi="Arial" w:cs="Arial"/>
          <w:sz w:val="24"/>
          <w:szCs w:val="24"/>
        </w:rPr>
        <w:t xml:space="preserve">ción. Se dice lo anterior, </w:t>
      </w:r>
      <w:r>
        <w:rPr>
          <w:rFonts w:ascii="Arial" w:hAnsi="Arial" w:cs="Arial"/>
          <w:bCs/>
          <w:sz w:val="24"/>
          <w:szCs w:val="24"/>
        </w:rPr>
        <w:t>en razón que no existe una adecuación entre los motivos aducidos y las normas aplicables, es decir, la configuración de la hipótesis normativa.</w:t>
      </w:r>
    </w:p>
    <w:p w:rsidR="006D6C74" w:rsidRDefault="006D6C74" w:rsidP="006D6C74">
      <w:pPr>
        <w:spacing w:line="360" w:lineRule="auto"/>
        <w:ind w:firstLine="709"/>
        <w:contextualSpacing/>
        <w:jc w:val="both"/>
        <w:rPr>
          <w:rFonts w:ascii="Arial" w:hAnsi="Arial" w:cs="Arial"/>
          <w:bCs/>
          <w:sz w:val="24"/>
          <w:szCs w:val="24"/>
        </w:rPr>
      </w:pPr>
    </w:p>
    <w:p w:rsidR="006D6C74" w:rsidRDefault="006D6C74" w:rsidP="006D6C74">
      <w:pPr>
        <w:spacing w:line="360" w:lineRule="auto"/>
        <w:ind w:firstLine="709"/>
        <w:contextualSpacing/>
        <w:jc w:val="both"/>
        <w:rPr>
          <w:rFonts w:ascii="Arial" w:hAnsi="Arial" w:cs="Arial"/>
          <w:bCs/>
          <w:sz w:val="24"/>
          <w:szCs w:val="24"/>
        </w:rPr>
      </w:pPr>
      <w:r>
        <w:rPr>
          <w:rFonts w:ascii="Arial" w:hAnsi="Arial" w:cs="Arial"/>
          <w:bCs/>
          <w:sz w:val="24"/>
          <w:szCs w:val="24"/>
        </w:rPr>
        <w:t xml:space="preserve">Lo anterior en razón que la autoridad demandada atribuye dos hechos a la aquí actora; el primero de ellos consistente en la supuesta identificación de que la </w:t>
      </w:r>
      <w:r>
        <w:rPr>
          <w:rFonts w:ascii="Arial" w:hAnsi="Arial" w:cs="Arial"/>
          <w:bCs/>
          <w:sz w:val="24"/>
          <w:szCs w:val="24"/>
        </w:rPr>
        <w:lastRenderedPageBreak/>
        <w:t>administrada es un sujeto que realiza actividades vinculadas al Impuesto sobre Erogaciones por remuneraciones al Trabajo Personal, y el segundo, que derivado de la actividad antes citada, la actora se encuentra obligada a inscribirse en el Registro Estatal de Contribuyentes del Estado de Oaxaca, omisión de esta última que originó imponerle la sanción que hoy se combate.</w:t>
      </w:r>
    </w:p>
    <w:p w:rsidR="006D6C74" w:rsidRDefault="006D6C74" w:rsidP="006D6C74">
      <w:pPr>
        <w:spacing w:line="360" w:lineRule="auto"/>
        <w:ind w:firstLine="709"/>
        <w:contextualSpacing/>
        <w:jc w:val="both"/>
        <w:rPr>
          <w:rFonts w:ascii="Arial" w:hAnsi="Arial" w:cs="Arial"/>
          <w:bCs/>
          <w:sz w:val="24"/>
          <w:szCs w:val="24"/>
        </w:rPr>
      </w:pPr>
    </w:p>
    <w:p w:rsidR="006D6C74" w:rsidRDefault="006D6C74" w:rsidP="006D6C74">
      <w:pPr>
        <w:spacing w:line="360" w:lineRule="auto"/>
        <w:ind w:firstLine="709"/>
        <w:contextualSpacing/>
        <w:jc w:val="both"/>
        <w:rPr>
          <w:rFonts w:ascii="Arial" w:hAnsi="Arial" w:cs="Arial"/>
          <w:bCs/>
          <w:sz w:val="24"/>
          <w:szCs w:val="24"/>
        </w:rPr>
      </w:pPr>
      <w:r>
        <w:rPr>
          <w:rFonts w:ascii="Arial" w:hAnsi="Arial" w:cs="Arial"/>
          <w:bCs/>
          <w:sz w:val="24"/>
          <w:szCs w:val="24"/>
        </w:rPr>
        <w:t>Por lo que respecta al primer acto, esta juzgadora advierte que la autoridad demandada fue omisa en citar, en que supuestos se encuentra ubicada la parte actora, es decir, cuál es la actividad concreta que se imputa, puesto que se plasma de manera general el artículo 63 de la Ley Estatal de Hacienda, el cual contempla dos supuestos, mismo que se transcribe para mayor ilustración:</w:t>
      </w:r>
    </w:p>
    <w:p w:rsidR="006D6C74" w:rsidRDefault="006D6C74" w:rsidP="006D6C74">
      <w:pPr>
        <w:spacing w:line="360" w:lineRule="auto"/>
        <w:ind w:firstLine="709"/>
        <w:contextualSpacing/>
        <w:jc w:val="both"/>
        <w:rPr>
          <w:rFonts w:ascii="Arial" w:hAnsi="Arial" w:cs="Arial"/>
          <w:bCs/>
          <w:sz w:val="24"/>
          <w:szCs w:val="24"/>
        </w:rPr>
      </w:pPr>
    </w:p>
    <w:p w:rsidR="006D6C74" w:rsidRPr="006A040B" w:rsidRDefault="006D6C74" w:rsidP="006D6C74">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6D6C74" w:rsidRPr="006A040B" w:rsidRDefault="006D6C74" w:rsidP="006D6C74">
      <w:pPr>
        <w:autoSpaceDE w:val="0"/>
        <w:autoSpaceDN w:val="0"/>
        <w:adjustRightInd w:val="0"/>
        <w:rPr>
          <w:rFonts w:ascii="Arial" w:eastAsiaTheme="minorHAnsi" w:hAnsi="Arial" w:cs="Arial"/>
          <w:i/>
          <w:iCs/>
          <w:color w:val="000000"/>
          <w:sz w:val="24"/>
          <w:szCs w:val="24"/>
          <w:lang w:val="es-MX" w:eastAsia="en-US"/>
        </w:rPr>
      </w:pPr>
    </w:p>
    <w:p w:rsidR="006D6C74" w:rsidRPr="006A040B" w:rsidRDefault="006D6C74" w:rsidP="006D6C74">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6D6C74" w:rsidRPr="006A040B" w:rsidRDefault="006D6C74" w:rsidP="006D6C74">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rsidR="006D6C74" w:rsidRPr="006A040B" w:rsidRDefault="006D6C74" w:rsidP="006D6C74">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6D6C74" w:rsidRPr="006A040B" w:rsidRDefault="006D6C74" w:rsidP="006D6C74">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6D6C74" w:rsidRPr="006A040B" w:rsidRDefault="006D6C74" w:rsidP="006D6C74">
      <w:pPr>
        <w:autoSpaceDE w:val="0"/>
        <w:autoSpaceDN w:val="0"/>
        <w:adjustRightInd w:val="0"/>
        <w:spacing w:line="360" w:lineRule="auto"/>
        <w:jc w:val="both"/>
        <w:rPr>
          <w:rFonts w:ascii="Tahoma-Bold" w:eastAsiaTheme="minorHAnsi" w:hAnsi="Tahoma-Bold" w:cs="Tahoma-Bold"/>
          <w:b/>
          <w:bCs/>
          <w:color w:val="810000"/>
          <w:sz w:val="22"/>
          <w:szCs w:val="22"/>
          <w:lang w:val="es-MX" w:eastAsia="en-US"/>
        </w:rPr>
      </w:pPr>
    </w:p>
    <w:p w:rsidR="006D6C74" w:rsidRDefault="006D6C74" w:rsidP="006D6C74">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no es suficiente que la autoridad demandada únicamente plasme que derivado del intercambio de información en materia fiscal entre el INFONAVIT y la Secretaría de Finanzas se le identificó como sujeto obligado al pago del Impuesto sobre Erogaciones por Remuneraciones al Trabajo </w:t>
      </w:r>
      <w:r>
        <w:rPr>
          <w:rFonts w:ascii="Arial" w:hAnsi="Arial" w:cs="Arial"/>
          <w:bCs/>
          <w:sz w:val="24"/>
          <w:szCs w:val="24"/>
        </w:rPr>
        <w:lastRenderedPageBreak/>
        <w:t>Personal, en virtud que es menester que la autoridad cite con precisión la información obtenida, la norma legal exacta  y aplicable al caso concreto, la cual encuadre con la conducta que se le atribuye a la actora, lo que en el presente asunto no ocurrió; de ahí la falta de motivación para la configuración de la hipótesis normativa.</w:t>
      </w:r>
    </w:p>
    <w:p w:rsidR="006D6C74" w:rsidRDefault="006D6C74" w:rsidP="006D6C74">
      <w:pPr>
        <w:spacing w:line="360" w:lineRule="auto"/>
        <w:ind w:firstLine="709"/>
        <w:contextualSpacing/>
        <w:jc w:val="both"/>
        <w:rPr>
          <w:rFonts w:ascii="Arial" w:hAnsi="Arial" w:cs="Arial"/>
          <w:bCs/>
          <w:sz w:val="24"/>
          <w:szCs w:val="24"/>
        </w:rPr>
      </w:pPr>
    </w:p>
    <w:p w:rsidR="006D6C74" w:rsidRDefault="006D6C74" w:rsidP="006D6C74">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lo que respecta al segundo hecho que se atribuye a la actora, consistente en la omisión de inscribirse en el Registro Estatal de Contribuyentes del Estado de Oaxaca, tampoco se encuentra motivado, porque la autoridad afirma que transcurrió un mes, que es el plazo que señala la ley para realizar la solicitud de registro; sin embargo, no motivó el por qué manejó el periodo comprendido entre el </w:t>
      </w:r>
      <w:r w:rsidRPr="00635BA5">
        <w:rPr>
          <w:rFonts w:ascii="Arial" w:hAnsi="Arial" w:cs="Arial"/>
          <w:bCs/>
          <w:sz w:val="24"/>
          <w:szCs w:val="24"/>
        </w:rPr>
        <w:t>diecinue</w:t>
      </w:r>
      <w:r>
        <w:rPr>
          <w:rFonts w:ascii="Arial" w:hAnsi="Arial" w:cs="Arial"/>
          <w:bCs/>
          <w:sz w:val="24"/>
          <w:szCs w:val="24"/>
        </w:rPr>
        <w:t xml:space="preserve">ve de marzo de dos mil diecinueve y que concluyó el tres de mayo del mismo ejercicio, es decir, no plasma los motivos por los cuales la obligación atribuida a la actora dio inicio en la fecha antes citada, siendo menester que la Directora de Ingresos y Recaudación citara los motivos que le llevaron a concluir que el plazo establecido en el artículo 64 del Código Fiscal para el Estado de Oaxaca dio inicio el </w:t>
      </w:r>
      <w:r w:rsidRPr="00635BA5">
        <w:rPr>
          <w:rFonts w:ascii="Arial" w:hAnsi="Arial" w:cs="Arial"/>
          <w:bCs/>
          <w:sz w:val="24"/>
          <w:szCs w:val="24"/>
        </w:rPr>
        <w:t>diecinu</w:t>
      </w:r>
      <w:r>
        <w:rPr>
          <w:rFonts w:ascii="Arial" w:hAnsi="Arial" w:cs="Arial"/>
          <w:bCs/>
          <w:sz w:val="24"/>
          <w:szCs w:val="24"/>
        </w:rPr>
        <w:t xml:space="preserve">eve de marzo de dos mil diecinueve, circunstancia que trascendió en perjuicio de la actora, pues la dejó en estado de indefensión, al impedirle conocer los hechos y las razones por las cuales la demandada consideró que dio inicio del plazo que tenía para alegar en su favor.  </w:t>
      </w:r>
    </w:p>
    <w:p w:rsidR="006D6C74" w:rsidRDefault="006D6C74" w:rsidP="006D6C74">
      <w:pPr>
        <w:spacing w:line="360" w:lineRule="auto"/>
        <w:ind w:firstLine="709"/>
        <w:contextualSpacing/>
        <w:jc w:val="both"/>
        <w:rPr>
          <w:rFonts w:ascii="Arial" w:hAnsi="Arial" w:cs="Arial"/>
          <w:bCs/>
          <w:sz w:val="24"/>
          <w:szCs w:val="24"/>
        </w:rPr>
      </w:pPr>
    </w:p>
    <w:p w:rsidR="006D6C74" w:rsidRDefault="006D6C74" w:rsidP="006D6C74">
      <w:pPr>
        <w:spacing w:line="360" w:lineRule="auto"/>
        <w:ind w:firstLine="709"/>
        <w:contextualSpacing/>
        <w:jc w:val="both"/>
        <w:rPr>
          <w:rFonts w:ascii="Arial" w:hAnsi="Arial" w:cs="Arial"/>
          <w:bCs/>
          <w:sz w:val="24"/>
          <w:szCs w:val="24"/>
        </w:rPr>
      </w:pPr>
      <w:r w:rsidRPr="00BB5812">
        <w:rPr>
          <w:rFonts w:ascii="Arial" w:hAnsi="Arial" w:cs="Arial"/>
          <w:bCs/>
          <w:sz w:val="24"/>
          <w:szCs w:val="24"/>
        </w:rPr>
        <w:t>De lo</w:t>
      </w:r>
      <w:r>
        <w:rPr>
          <w:rFonts w:ascii="Arial" w:hAnsi="Arial" w:cs="Arial"/>
          <w:bCs/>
          <w:sz w:val="24"/>
          <w:szCs w:val="24"/>
        </w:rPr>
        <w:t xml:space="preserve"> antes expuesto,</w:t>
      </w:r>
      <w:r w:rsidRPr="00BB5812">
        <w:rPr>
          <w:rFonts w:ascii="Arial" w:hAnsi="Arial" w:cs="Arial"/>
          <w:bCs/>
          <w:sz w:val="24"/>
          <w:szCs w:val="24"/>
        </w:rPr>
        <w:t xml:space="preserve"> se concluye que </w:t>
      </w:r>
      <w:r>
        <w:rPr>
          <w:rFonts w:ascii="Arial" w:hAnsi="Arial" w:cs="Arial"/>
          <w:bCs/>
          <w:sz w:val="24"/>
          <w:szCs w:val="24"/>
        </w:rPr>
        <w:t>al no existir una adecuada fundamentación ni motivación en el acto que se combate, de conformidad con el artículo 17, fracción V,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w:t>
      </w:r>
      <w:r>
        <w:rPr>
          <w:rFonts w:ascii="Arial" w:hAnsi="Arial" w:cs="Arial"/>
          <w:bCs/>
          <w:sz w:val="24"/>
          <w:szCs w:val="24"/>
        </w:rPr>
        <w:t xml:space="preserve"> pues como ya se apuntó se omitió expresar la disposición legal específica, así como las razones que se hayan considerado para estimar que el caso puede </w:t>
      </w:r>
      <w:r w:rsidRPr="00824159">
        <w:rPr>
          <w:rFonts w:ascii="Arial" w:hAnsi="Arial" w:cs="Arial"/>
          <w:bCs/>
          <w:sz w:val="24"/>
          <w:szCs w:val="24"/>
        </w:rPr>
        <w:t>e</w:t>
      </w:r>
      <w:r>
        <w:rPr>
          <w:rFonts w:ascii="Arial" w:hAnsi="Arial" w:cs="Arial"/>
          <w:bCs/>
          <w:sz w:val="24"/>
          <w:szCs w:val="24"/>
        </w:rPr>
        <w:t>ncuadrar en la hipótesis  prevista en la norma jurídica,</w:t>
      </w:r>
      <w:r w:rsidRPr="00BB5812">
        <w:rPr>
          <w:rFonts w:ascii="Arial" w:hAnsi="Arial" w:cs="Arial"/>
          <w:bCs/>
          <w:sz w:val="24"/>
          <w:szCs w:val="24"/>
        </w:rPr>
        <w:t xml:space="preserve"> </w:t>
      </w:r>
      <w:r w:rsidRPr="00A84B6D">
        <w:rPr>
          <w:rFonts w:ascii="Arial" w:hAnsi="Arial" w:cs="Arial"/>
          <w:sz w:val="24"/>
          <w:szCs w:val="24"/>
        </w:rPr>
        <w:t>provocando con ello la ilegalidad del acto combatido; con fundamento en lo dispuesto por el artículo 208 fracci</w:t>
      </w:r>
      <w:r>
        <w:rPr>
          <w:rFonts w:ascii="Arial" w:hAnsi="Arial" w:cs="Arial"/>
          <w:sz w:val="24"/>
          <w:szCs w:val="24"/>
        </w:rPr>
        <w:t xml:space="preserve">ones </w:t>
      </w:r>
      <w:r w:rsidRPr="000C017E">
        <w:rPr>
          <w:rFonts w:ascii="Arial" w:hAnsi="Arial" w:cs="Arial"/>
          <w:sz w:val="24"/>
          <w:szCs w:val="24"/>
        </w:rPr>
        <w:t>II, y VI</w:t>
      </w:r>
      <w:r w:rsidRPr="00A84B6D">
        <w:rPr>
          <w:rFonts w:ascii="Arial" w:hAnsi="Arial" w:cs="Arial"/>
          <w:sz w:val="24"/>
          <w:szCs w:val="24"/>
        </w:rPr>
        <w:t xml:space="preserve">,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w:t>
      </w:r>
      <w:r>
        <w:rPr>
          <w:rFonts w:ascii="Arial" w:hAnsi="Arial" w:cs="Arial"/>
          <w:sz w:val="24"/>
          <w:szCs w:val="24"/>
        </w:rPr>
        <w:t xml:space="preserve"> </w:t>
      </w:r>
      <w:r w:rsidRPr="00A84B6D">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 Sirva de apoyo a lo antes sustentado la </w:t>
      </w:r>
      <w:r w:rsidRPr="00656FC0">
        <w:rPr>
          <w:rFonts w:ascii="Arial" w:hAnsi="Arial" w:cs="Arial"/>
          <w:sz w:val="24"/>
          <w:szCs w:val="24"/>
        </w:rPr>
        <w:t>Jurisprudencia</w:t>
      </w:r>
      <w:r>
        <w:rPr>
          <w:rFonts w:ascii="Arial" w:hAnsi="Arial" w:cs="Arial"/>
          <w:sz w:val="24"/>
          <w:szCs w:val="24"/>
        </w:rPr>
        <w:t xml:space="preserve"> en Materia Administrativa, Novena Época, con registro electrónico 176522 de rubro: </w:t>
      </w:r>
      <w:r w:rsidRPr="007F7019">
        <w:rPr>
          <w:rFonts w:ascii="Arial" w:hAnsi="Arial" w:cs="Arial"/>
          <w:i/>
          <w:iCs/>
          <w:sz w:val="24"/>
          <w:szCs w:val="24"/>
        </w:rPr>
        <w:t>“</w:t>
      </w:r>
      <w:r w:rsidRPr="000C017E">
        <w:rPr>
          <w:rFonts w:ascii="Arial" w:hAnsi="Arial" w:cs="Arial"/>
          <w:b/>
          <w:bCs/>
          <w:i/>
          <w:iCs/>
          <w:color w:val="212529"/>
          <w:sz w:val="24"/>
          <w:szCs w:val="24"/>
          <w:shd w:val="clear" w:color="auto" w:fill="FFFFFF"/>
        </w:rPr>
        <w:t xml:space="preserve">MULTAS FISCALES QUE NO CUMPLEN CON LA FUNDAMENTACIÓN Y MOTIVACIÓN. DEBE ATENDERSE A LA GÉNESIS DE LA RESOLUCIÓN IMPUGNADA Y DECRETAR LA NULIDAD PREVISTA EN EL ARTÍCULO 239, FRACCIÓN III, Y </w:t>
      </w:r>
      <w:r w:rsidRPr="000C017E">
        <w:rPr>
          <w:rFonts w:ascii="Arial" w:hAnsi="Arial" w:cs="Arial"/>
          <w:b/>
          <w:bCs/>
          <w:i/>
          <w:iCs/>
          <w:color w:val="212529"/>
          <w:sz w:val="24"/>
          <w:szCs w:val="24"/>
          <w:shd w:val="clear" w:color="auto" w:fill="FFFFFF"/>
        </w:rPr>
        <w:lastRenderedPageBreak/>
        <w:t>ÚLTIMO PÁRRAFO, DEL CÓDIGO FISCAL DE LA FEDERACIÓN, POR DERIVAR AQUÉLLAS DEL EJERCICIO DE FACULTADES DISCRECIONALES.”</w:t>
      </w:r>
    </w:p>
    <w:p w:rsidR="006D6C74" w:rsidRDefault="006D6C74" w:rsidP="006D6C74">
      <w:pPr>
        <w:spacing w:line="360" w:lineRule="auto"/>
        <w:ind w:firstLine="709"/>
        <w:contextualSpacing/>
        <w:jc w:val="both"/>
        <w:rPr>
          <w:rFonts w:ascii="Arial" w:hAnsi="Arial" w:cs="Arial"/>
          <w:sz w:val="24"/>
          <w:szCs w:val="24"/>
        </w:rPr>
      </w:pPr>
    </w:p>
    <w:p w:rsidR="006D6C74" w:rsidRPr="009761C8" w:rsidRDefault="006D6C74" w:rsidP="006D6C74">
      <w:pPr>
        <w:spacing w:line="360" w:lineRule="auto"/>
        <w:ind w:firstLine="709"/>
        <w:contextualSpacing/>
        <w:jc w:val="both"/>
        <w:rPr>
          <w:rFonts w:ascii="Arial" w:hAnsi="Arial" w:cs="Arial"/>
          <w:bCs/>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el análisis de los demás planteamientos for</w:t>
      </w:r>
      <w:r>
        <w:rPr>
          <w:rFonts w:ascii="Arial" w:hAnsi="Arial" w:cs="Arial"/>
          <w:bCs/>
          <w:color w:val="000000"/>
          <w:sz w:val="24"/>
          <w:szCs w:val="24"/>
        </w:rPr>
        <w:t>mulados por la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 xml:space="preserve"> </w:t>
      </w:r>
      <w:r w:rsidRPr="009761C8">
        <w:rPr>
          <w:rFonts w:ascii="Arial" w:hAnsi="Arial" w:cs="Arial"/>
          <w:bCs/>
          <w:color w:val="000000"/>
          <w:sz w:val="24"/>
          <w:szCs w:val="24"/>
        </w:rPr>
        <w:t>l</w:t>
      </w:r>
      <w:r>
        <w:rPr>
          <w:rFonts w:ascii="Arial" w:hAnsi="Arial" w:cs="Arial"/>
          <w:bCs/>
          <w:color w:val="000000"/>
          <w:sz w:val="24"/>
          <w:szCs w:val="24"/>
        </w:rPr>
        <w:t>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6D6C74" w:rsidRDefault="006D6C74" w:rsidP="006D6C74">
      <w:pPr>
        <w:spacing w:line="360" w:lineRule="auto"/>
        <w:ind w:firstLine="709"/>
        <w:contextualSpacing/>
        <w:jc w:val="both"/>
        <w:rPr>
          <w:rFonts w:ascii="Arial" w:hAnsi="Arial" w:cs="Arial"/>
          <w:sz w:val="24"/>
          <w:szCs w:val="24"/>
        </w:rPr>
      </w:pPr>
    </w:p>
    <w:p w:rsidR="006D6C74" w:rsidRPr="007B0581" w:rsidRDefault="006D6C74" w:rsidP="006D6C74">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6D6C74" w:rsidRDefault="006D6C74" w:rsidP="006D6C74">
      <w:pPr>
        <w:spacing w:line="360" w:lineRule="auto"/>
        <w:ind w:firstLine="708"/>
        <w:jc w:val="both"/>
        <w:rPr>
          <w:rFonts w:ascii="Arial" w:eastAsia="Calibri" w:hAnsi="Arial" w:cs="Arial"/>
          <w:color w:val="000000"/>
          <w:sz w:val="24"/>
          <w:szCs w:val="24"/>
          <w:lang w:val="es-MX" w:eastAsia="en-US"/>
        </w:rPr>
      </w:pPr>
    </w:p>
    <w:p w:rsidR="006D6C74" w:rsidRDefault="006D6C74" w:rsidP="006D6C74">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fracciones II y VI, y 209, de la Ley de Procedimiento y Justicia Administrativa para el Estado de Oaxaca, se;</w:t>
      </w:r>
    </w:p>
    <w:p w:rsidR="006D6C74" w:rsidRDefault="006D6C74" w:rsidP="006D6C74">
      <w:pPr>
        <w:spacing w:line="360" w:lineRule="auto"/>
        <w:ind w:firstLine="708"/>
        <w:jc w:val="both"/>
        <w:rPr>
          <w:rFonts w:ascii="Arial" w:eastAsia="Calibri" w:hAnsi="Arial" w:cs="Arial"/>
          <w:color w:val="000000"/>
          <w:sz w:val="24"/>
          <w:szCs w:val="24"/>
          <w:lang w:val="es-MX" w:eastAsia="en-US"/>
        </w:rPr>
      </w:pPr>
    </w:p>
    <w:p w:rsidR="006D6C74" w:rsidRDefault="006D6C74" w:rsidP="006D6C74">
      <w:pPr>
        <w:spacing w:line="360" w:lineRule="auto"/>
        <w:ind w:firstLine="708"/>
        <w:jc w:val="both"/>
        <w:rPr>
          <w:rFonts w:ascii="Arial" w:eastAsia="Calibri" w:hAnsi="Arial" w:cs="Arial"/>
          <w:color w:val="000000"/>
          <w:sz w:val="24"/>
          <w:szCs w:val="24"/>
          <w:lang w:val="es-MX" w:eastAsia="en-US"/>
        </w:rPr>
      </w:pPr>
    </w:p>
    <w:p w:rsidR="006D6C74" w:rsidRDefault="006D6C74" w:rsidP="006D6C74">
      <w:pPr>
        <w:spacing w:line="360" w:lineRule="auto"/>
        <w:ind w:firstLine="708"/>
        <w:jc w:val="both"/>
        <w:rPr>
          <w:rFonts w:ascii="Arial" w:eastAsia="Calibri" w:hAnsi="Arial" w:cs="Arial"/>
          <w:color w:val="000000"/>
          <w:sz w:val="24"/>
          <w:szCs w:val="24"/>
          <w:lang w:val="es-MX" w:eastAsia="en-US"/>
        </w:rPr>
      </w:pPr>
    </w:p>
    <w:p w:rsidR="006D6C74" w:rsidRDefault="006D6C74" w:rsidP="006D6C74">
      <w:pPr>
        <w:spacing w:line="360" w:lineRule="auto"/>
        <w:ind w:firstLine="708"/>
        <w:jc w:val="both"/>
        <w:rPr>
          <w:rFonts w:ascii="Arial" w:eastAsia="Calibri" w:hAnsi="Arial" w:cs="Arial"/>
          <w:color w:val="000000"/>
          <w:sz w:val="24"/>
          <w:szCs w:val="24"/>
          <w:lang w:val="es-MX" w:eastAsia="en-US"/>
        </w:rPr>
      </w:pPr>
    </w:p>
    <w:p w:rsidR="006D6C74" w:rsidRDefault="006D6C74" w:rsidP="006D6C74">
      <w:pPr>
        <w:spacing w:line="360" w:lineRule="auto"/>
        <w:ind w:firstLine="708"/>
        <w:jc w:val="both"/>
        <w:rPr>
          <w:rFonts w:ascii="Arial" w:eastAsia="Calibri" w:hAnsi="Arial" w:cs="Arial"/>
          <w:color w:val="000000"/>
          <w:sz w:val="24"/>
          <w:szCs w:val="24"/>
          <w:lang w:val="es-MX" w:eastAsia="en-US"/>
        </w:rPr>
      </w:pPr>
    </w:p>
    <w:p w:rsidR="006D6C74" w:rsidRDefault="006D6C74" w:rsidP="006D6C74">
      <w:pPr>
        <w:tabs>
          <w:tab w:val="left" w:pos="3786"/>
        </w:tabs>
        <w:spacing w:line="360" w:lineRule="auto"/>
        <w:ind w:firstLine="708"/>
        <w:jc w:val="both"/>
        <w:rPr>
          <w:rFonts w:ascii="Arial" w:eastAsia="Calibri" w:hAnsi="Arial" w:cs="Arial"/>
          <w:color w:val="000000"/>
          <w:sz w:val="24"/>
          <w:szCs w:val="24"/>
          <w:lang w:val="es-MX" w:eastAsia="en-US"/>
        </w:rPr>
      </w:pPr>
    </w:p>
    <w:p w:rsidR="006D6C74" w:rsidRDefault="006D6C74" w:rsidP="006D6C74">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6D6C74" w:rsidRDefault="006D6C74" w:rsidP="006D6C74">
      <w:pPr>
        <w:tabs>
          <w:tab w:val="left" w:pos="3786"/>
        </w:tabs>
        <w:spacing w:line="360" w:lineRule="auto"/>
        <w:ind w:firstLine="708"/>
        <w:jc w:val="both"/>
        <w:rPr>
          <w:rFonts w:ascii="Arial" w:hAnsi="Arial" w:cs="Arial"/>
          <w:b/>
          <w:sz w:val="24"/>
          <w:szCs w:val="24"/>
        </w:rPr>
      </w:pPr>
    </w:p>
    <w:p w:rsidR="006D6C74" w:rsidRDefault="006D6C74" w:rsidP="006D6C74">
      <w:pPr>
        <w:tabs>
          <w:tab w:val="left" w:pos="3786"/>
        </w:tabs>
        <w:spacing w:line="360" w:lineRule="auto"/>
        <w:ind w:firstLine="708"/>
        <w:jc w:val="both"/>
        <w:rPr>
          <w:rFonts w:ascii="Arial" w:hAnsi="Arial" w:cs="Arial"/>
          <w:b/>
          <w:sz w:val="24"/>
          <w:szCs w:val="24"/>
        </w:rPr>
      </w:pPr>
    </w:p>
    <w:p w:rsidR="006D6C74" w:rsidRPr="007B0581" w:rsidRDefault="006D6C74" w:rsidP="006D6C74">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6D6C74" w:rsidRPr="007B0581" w:rsidRDefault="006D6C74" w:rsidP="006D6C74">
      <w:pPr>
        <w:pStyle w:val="Textoindependiente"/>
        <w:ind w:firstLine="709"/>
        <w:contextualSpacing/>
        <w:jc w:val="both"/>
        <w:rPr>
          <w:rFonts w:ascii="Arial" w:hAnsi="Arial" w:cs="Arial"/>
          <w:b/>
          <w:sz w:val="24"/>
          <w:szCs w:val="24"/>
        </w:rPr>
      </w:pPr>
    </w:p>
    <w:p w:rsidR="006D6C74" w:rsidRPr="007B0581" w:rsidRDefault="006D6C74" w:rsidP="006D6C74">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6D6C74" w:rsidRPr="007B0581" w:rsidRDefault="006D6C74" w:rsidP="006D6C74">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6D6C74" w:rsidRDefault="006D6C74" w:rsidP="006D6C74">
      <w:pPr>
        <w:spacing w:line="360" w:lineRule="auto"/>
        <w:ind w:right="51" w:firstLine="567"/>
        <w:contextualSpacing/>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6D6C74" w:rsidRDefault="006D6C74" w:rsidP="006D6C74">
      <w:pPr>
        <w:spacing w:line="360" w:lineRule="auto"/>
        <w:ind w:right="51" w:firstLine="567"/>
        <w:jc w:val="both"/>
        <w:rPr>
          <w:rFonts w:ascii="Arial" w:hAnsi="Arial" w:cs="Arial"/>
          <w:b/>
          <w:bCs/>
          <w:sz w:val="24"/>
          <w:szCs w:val="24"/>
        </w:rPr>
      </w:pPr>
    </w:p>
    <w:p w:rsidR="006D6C74" w:rsidRDefault="006D6C74" w:rsidP="006D6C74">
      <w:pPr>
        <w:spacing w:line="360" w:lineRule="auto"/>
        <w:ind w:right="51" w:firstLine="567"/>
        <w:jc w:val="both"/>
        <w:rPr>
          <w:rFonts w:ascii="Arial" w:hAnsi="Arial" w:cs="Arial"/>
          <w:b/>
          <w:bCs/>
          <w:sz w:val="24"/>
          <w:szCs w:val="24"/>
        </w:rPr>
      </w:pPr>
    </w:p>
    <w:p w:rsidR="006D6C74" w:rsidRPr="007B0581" w:rsidRDefault="006D6C74" w:rsidP="006D6C74">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A84B6D">
        <w:rPr>
          <w:rFonts w:ascii="Arial" w:hAnsi="Arial" w:cs="Arial"/>
          <w:sz w:val="24"/>
          <w:szCs w:val="24"/>
        </w:rPr>
        <w:t>de</w:t>
      </w:r>
      <w:r>
        <w:rPr>
          <w:rFonts w:ascii="Arial" w:hAnsi="Arial" w:cs="Arial"/>
          <w:sz w:val="24"/>
          <w:szCs w:val="24"/>
        </w:rPr>
        <w:t xml:space="preserve"> </w:t>
      </w:r>
      <w:r w:rsidRPr="00A84B6D">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 en los términos y consideraciones establecidos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6D6C74" w:rsidRPr="007B0581" w:rsidRDefault="006D6C74" w:rsidP="006D6C74">
      <w:pPr>
        <w:ind w:right="51"/>
        <w:contextualSpacing/>
        <w:jc w:val="both"/>
        <w:rPr>
          <w:rFonts w:ascii="Arial" w:hAnsi="Arial" w:cs="Arial"/>
          <w:sz w:val="24"/>
          <w:szCs w:val="24"/>
          <w:lang w:val="es-MX"/>
        </w:rPr>
      </w:pPr>
    </w:p>
    <w:p w:rsidR="006D6C74" w:rsidRPr="007B0581" w:rsidRDefault="006D6C74" w:rsidP="006D6C74">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6D6C74" w:rsidRPr="007B0581" w:rsidRDefault="006D6C74" w:rsidP="006D6C74">
      <w:pPr>
        <w:contextualSpacing/>
        <w:jc w:val="both"/>
        <w:rPr>
          <w:rFonts w:ascii="Arial" w:eastAsia="Calibri" w:hAnsi="Arial" w:cs="Arial"/>
          <w:color w:val="000000"/>
          <w:sz w:val="24"/>
          <w:szCs w:val="24"/>
          <w:lang w:val="es-MX" w:eastAsia="en-US"/>
        </w:rPr>
      </w:pPr>
    </w:p>
    <w:p w:rsidR="006D6C74" w:rsidRDefault="006D6C74" w:rsidP="006D6C74">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6D6C74" w:rsidRDefault="006D6C74" w:rsidP="006D6C74">
      <w:pPr>
        <w:spacing w:line="360" w:lineRule="auto"/>
        <w:ind w:right="-91"/>
        <w:contextualSpacing/>
        <w:jc w:val="both"/>
        <w:rPr>
          <w:rFonts w:ascii="Arial" w:hAnsi="Arial" w:cs="Arial"/>
          <w:sz w:val="24"/>
          <w:szCs w:val="24"/>
          <w:lang w:val="es-MX"/>
        </w:rPr>
      </w:pPr>
    </w:p>
    <w:p w:rsidR="006D6C74" w:rsidRDefault="006D6C74" w:rsidP="006D6C74">
      <w:pPr>
        <w:spacing w:line="360" w:lineRule="auto"/>
        <w:ind w:right="-91"/>
        <w:contextualSpacing/>
        <w:jc w:val="both"/>
        <w:rPr>
          <w:rFonts w:ascii="Arial" w:hAnsi="Arial" w:cs="Arial"/>
          <w:sz w:val="24"/>
          <w:szCs w:val="24"/>
          <w:lang w:val="es-MX"/>
        </w:rPr>
      </w:pPr>
    </w:p>
    <w:p w:rsidR="006D6C74" w:rsidRDefault="006D6C74" w:rsidP="006D6C74">
      <w:pPr>
        <w:spacing w:line="360" w:lineRule="auto"/>
        <w:ind w:right="-91"/>
        <w:contextualSpacing/>
        <w:jc w:val="both"/>
        <w:rPr>
          <w:rFonts w:ascii="Arial" w:hAnsi="Arial" w:cs="Arial"/>
          <w:sz w:val="24"/>
          <w:szCs w:val="24"/>
          <w:lang w:val="es-MX"/>
        </w:rPr>
      </w:pPr>
    </w:p>
    <w:p w:rsidR="006D6C74" w:rsidRPr="007B0581" w:rsidRDefault="006D6C74" w:rsidP="006D6C74">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C74" w:rsidRDefault="006D6C74" w:rsidP="006D6C74">
      <w:r>
        <w:separator/>
      </w:r>
    </w:p>
  </w:endnote>
  <w:endnote w:type="continuationSeparator" w:id="0">
    <w:p w:rsidR="006D6C74" w:rsidRDefault="006D6C74" w:rsidP="006D6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Tahoma-Bold">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6D6C74">
        <w:pPr>
          <w:pStyle w:val="Piedepgina"/>
          <w:jc w:val="center"/>
        </w:pPr>
        <w:r>
          <w:fldChar w:fldCharType="begin"/>
        </w:r>
        <w:r>
          <w:instrText>PAGE   \* MERGEFORMAT</w:instrText>
        </w:r>
        <w:r>
          <w:fldChar w:fldCharType="separate"/>
        </w:r>
        <w:r>
          <w:rPr>
            <w:noProof/>
          </w:rPr>
          <w:t>10</w:t>
        </w:r>
        <w:r>
          <w:fldChar w:fldCharType="end"/>
        </w:r>
      </w:p>
    </w:sdtContent>
  </w:sdt>
  <w:p w:rsidR="009525A3" w:rsidRDefault="006D6C7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C74" w:rsidRDefault="006D6C74" w:rsidP="006D6C74">
      <w:r>
        <w:separator/>
      </w:r>
    </w:p>
  </w:footnote>
  <w:footnote w:type="continuationSeparator" w:id="0">
    <w:p w:rsidR="006D6C74" w:rsidRDefault="006D6C74" w:rsidP="006D6C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6D6C74" w:rsidP="00A73AD7">
    <w:pPr>
      <w:pStyle w:val="Encabezado"/>
      <w:jc w:val="right"/>
      <w:rPr>
        <w:rFonts w:ascii="Arial" w:hAnsi="Arial" w:cs="Arial"/>
      </w:rPr>
    </w:pPr>
    <w:r w:rsidRPr="006D6C74">
      <w:rPr>
        <w:rFonts w:eastAsia="Calibri"/>
        <w:noProof/>
        <w:lang w:val="es-MX"/>
      </w:rPr>
      <mc:AlternateContent>
        <mc:Choice Requires="wps">
          <w:drawing>
            <wp:anchor distT="45720" distB="45720" distL="114300" distR="114300" simplePos="0" relativeHeight="251663360" behindDoc="1" locked="0" layoutInCell="1" allowOverlap="1" wp14:anchorId="5718C2BD" wp14:editId="6BF3B795">
              <wp:simplePos x="0" y="0"/>
              <wp:positionH relativeFrom="page">
                <wp:posOffset>262010</wp:posOffset>
              </wp:positionH>
              <wp:positionV relativeFrom="paragraph">
                <wp:posOffset>3746646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D6C74" w:rsidRDefault="006D6C74" w:rsidP="006D6C7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18C2BD" id="_x0000_t202" coordsize="21600,21600" o:spt="202" path="m,l,21600r21600,l21600,xe">
              <v:stroke joinstyle="miter"/>
              <v:path gradientshapeok="t" o:connecttype="rect"/>
            </v:shapetype>
            <v:shape id="Cuadro de texto 4" o:spid="_x0000_s1026" type="#_x0000_t202" style="position:absolute;left:0;text-align:left;margin-left:20.65pt;margin-top:295pt;width:82.4pt;height:118.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">
              <v:textbox>
                <w:txbxContent>
                  <w:p w:rsidR="006D6C74" w:rsidRDefault="006D6C74" w:rsidP="006D6C74">
                    <w:pPr>
                      <w:jc w:val="center"/>
                    </w:pPr>
                    <w:r>
                      <w:t>DATOS PERSONALES PROTEGIDOS POR EL ART.- 116 DE LA LGTAIP Y EL ART.- 61 DE LA LTAIPEO</w:t>
                    </w:r>
                  </w:p>
                </w:txbxContent>
              </v:textbox>
              <w10:wrap anchorx="page"/>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1E54FE08" wp14:editId="3DA24868">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0002</w:t>
    </w:r>
    <w:r w:rsidRPr="00A73AD7">
      <w:rPr>
        <w:rFonts w:ascii="Arial" w:hAnsi="Arial" w:cs="Arial"/>
      </w:rPr>
      <w:t>/20</w:t>
    </w:r>
    <w:r>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6D6C74">
    <w:pPr>
      <w:pStyle w:val="Encabezado"/>
    </w:pPr>
    <w:r w:rsidRPr="006D6C74">
      <w:rPr>
        <w:rFonts w:eastAsia="Calibri"/>
        <w:noProof/>
        <w:lang w:val="es-MX"/>
      </w:rPr>
      <mc:AlternateContent>
        <mc:Choice Requires="wps">
          <w:drawing>
            <wp:anchor distT="45720" distB="45720" distL="114300" distR="114300" simplePos="0" relativeHeight="251665408" behindDoc="1" locked="0" layoutInCell="1" allowOverlap="1" wp14:anchorId="792F2149" wp14:editId="201CDE83">
              <wp:simplePos x="0" y="0"/>
              <wp:positionH relativeFrom="page">
                <wp:posOffset>305973</wp:posOffset>
              </wp:positionH>
              <wp:positionV relativeFrom="paragraph">
                <wp:posOffset>5707331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D6C74" w:rsidRDefault="006D6C74" w:rsidP="006D6C7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2F2149" id="_x0000_t202" coordsize="21600,21600" o:spt="202" path="m,l,21600r21600,l21600,xe">
              <v:stroke joinstyle="miter"/>
              <v:path gradientshapeok="t" o:connecttype="rect"/>
            </v:shapetype>
            <v:shape id="Cuadro de texto 5" o:spid="_x0000_s1027" type="#_x0000_t202" style="position:absolute;margin-left:24.1pt;margin-top:449.4pt;width:82.4pt;height:118.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">
              <v:textbox>
                <w:txbxContent>
                  <w:p w:rsidR="006D6C74" w:rsidRDefault="006D6C74" w:rsidP="006D6C74">
                    <w:pPr>
                      <w:jc w:val="center"/>
                    </w:pPr>
                    <w:r>
                      <w:t>DATOS PERSONALES PROTEGIDOS POR EL ART.- 116 DE LA LGTAIP Y EL ART.- 61 DE LA LTAIPEO</w:t>
                    </w:r>
                  </w:p>
                </w:txbxContent>
              </v:textbox>
              <w10:wrap anchorx="page"/>
            </v:shape>
          </w:pict>
        </mc:Fallback>
      </mc:AlternateContent>
    </w:r>
    <w:r>
      <w:rPr>
        <w:noProof/>
        <w:lang w:val="es-MX"/>
      </w:rPr>
      <w:drawing>
        <wp:anchor distT="0" distB="0" distL="114300" distR="114300" simplePos="0" relativeHeight="251661312" behindDoc="1" locked="0" layoutInCell="1" allowOverlap="1" wp14:anchorId="52C2CACC" wp14:editId="15EAD465">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6CE2E9D3" wp14:editId="58313A4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C74"/>
    <w:rsid w:val="00294EC6"/>
    <w:rsid w:val="004B1DB0"/>
    <w:rsid w:val="005223BF"/>
    <w:rsid w:val="00685BC3"/>
    <w:rsid w:val="006D6C74"/>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836E5CF-86F5-4705-A1F4-FFE3834C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C74"/>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D6C74"/>
    <w:pPr>
      <w:spacing w:after="120"/>
    </w:pPr>
    <w:rPr>
      <w:lang w:val="x-none"/>
    </w:rPr>
  </w:style>
  <w:style w:type="character" w:customStyle="1" w:styleId="TextoindependienteCar">
    <w:name w:val="Texto independiente Car"/>
    <w:basedOn w:val="Fuentedeprrafopredeter"/>
    <w:link w:val="Textoindependiente"/>
    <w:uiPriority w:val="99"/>
    <w:rsid w:val="006D6C74"/>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D6C74"/>
    <w:pPr>
      <w:autoSpaceDE w:val="0"/>
      <w:autoSpaceDN w:val="0"/>
    </w:pPr>
    <w:rPr>
      <w:lang w:eastAsia="es-ES"/>
    </w:rPr>
  </w:style>
  <w:style w:type="character" w:customStyle="1" w:styleId="TextonotapieCar">
    <w:name w:val="Texto nota pie Car"/>
    <w:basedOn w:val="Fuentedeprrafopredeter"/>
    <w:link w:val="Textonotapie"/>
    <w:uiPriority w:val="99"/>
    <w:rsid w:val="006D6C74"/>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D6C7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D6C74"/>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6D6C74"/>
    <w:pPr>
      <w:tabs>
        <w:tab w:val="center" w:pos="4419"/>
        <w:tab w:val="right" w:pos="8838"/>
      </w:tabs>
    </w:pPr>
  </w:style>
  <w:style w:type="character" w:customStyle="1" w:styleId="EncabezadoCar">
    <w:name w:val="Encabezado Car"/>
    <w:basedOn w:val="Fuentedeprrafopredeter"/>
    <w:link w:val="Encabezado"/>
    <w:uiPriority w:val="99"/>
    <w:rsid w:val="006D6C74"/>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6D6C74"/>
    <w:pPr>
      <w:tabs>
        <w:tab w:val="center" w:pos="4419"/>
        <w:tab w:val="right" w:pos="8838"/>
      </w:tabs>
    </w:pPr>
  </w:style>
  <w:style w:type="character" w:customStyle="1" w:styleId="PiedepginaCar">
    <w:name w:val="Pie de página Car"/>
    <w:basedOn w:val="Fuentedeprrafopredeter"/>
    <w:link w:val="Piedepgina"/>
    <w:uiPriority w:val="99"/>
    <w:rsid w:val="006D6C74"/>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6D6C74"/>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6D6C74"/>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6D6C74"/>
    <w:rPr>
      <w:rFonts w:ascii="Calibri" w:eastAsia="Calibri" w:hAnsi="Calibri" w:cs="Times New Roman"/>
    </w:rPr>
  </w:style>
  <w:style w:type="character" w:customStyle="1" w:styleId="ng-star-inserted">
    <w:name w:val="ng-star-inserted"/>
    <w:basedOn w:val="Fuentedeprrafopredeter"/>
    <w:rsid w:val="006D6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Tahoma-Bold">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D3B"/>
    <w:rsid w:val="00106D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C8830910D23454386D0443C9DFEDA2E">
    <w:name w:val="DC8830910D23454386D0443C9DFEDA2E"/>
    <w:rsid w:val="00106D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3512</Words>
  <Characters>19322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2023-07-14T18:45:00Z</dcterms:created>
  <dcterms:modified xsi:type="dcterms:W3CDTF">2023-07-14T18:54:00Z</dcterms:modified>
</cp:coreProperties>
</file>