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533A33">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811C7AF" w:rsidR="003B6CF0" w:rsidRPr="00CB6405" w:rsidRDefault="003B6CF0" w:rsidP="00533A33">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307AB">
        <w:rPr>
          <w:rFonts w:ascii="Arial" w:hAnsi="Arial" w:cs="Arial"/>
          <w:b/>
          <w:sz w:val="26"/>
          <w:szCs w:val="26"/>
        </w:rPr>
        <w:t>223</w:t>
      </w:r>
      <w:r w:rsidR="00DC4222">
        <w:rPr>
          <w:rFonts w:ascii="Arial" w:hAnsi="Arial" w:cs="Arial"/>
          <w:b/>
          <w:sz w:val="26"/>
          <w:szCs w:val="26"/>
        </w:rPr>
        <w:t>/2021</w:t>
      </w:r>
      <w:r>
        <w:rPr>
          <w:rFonts w:ascii="Arial" w:hAnsi="Arial" w:cs="Arial"/>
          <w:b/>
          <w:sz w:val="26"/>
          <w:szCs w:val="26"/>
        </w:rPr>
        <w:t>.</w:t>
      </w:r>
    </w:p>
    <w:p w14:paraId="4DFA70CD" w14:textId="4EE57551" w:rsidR="003B6CF0" w:rsidRDefault="003B6CF0" w:rsidP="00533A33">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307AB">
        <w:rPr>
          <w:rFonts w:ascii="Arial" w:hAnsi="Arial" w:cs="Arial"/>
          <w:b/>
          <w:sz w:val="26"/>
          <w:szCs w:val="26"/>
        </w:rPr>
        <w:t>0036</w:t>
      </w:r>
      <w:r>
        <w:rPr>
          <w:rFonts w:ascii="Arial" w:hAnsi="Arial" w:cs="Arial"/>
          <w:b/>
          <w:sz w:val="26"/>
          <w:szCs w:val="26"/>
        </w:rPr>
        <w:t>/</w:t>
      </w:r>
      <w:r w:rsidR="00240A94">
        <w:rPr>
          <w:rFonts w:ascii="Arial" w:hAnsi="Arial" w:cs="Arial"/>
          <w:b/>
          <w:sz w:val="26"/>
          <w:szCs w:val="26"/>
        </w:rPr>
        <w:t>20</w:t>
      </w:r>
      <w:r w:rsidR="009307AB">
        <w:rPr>
          <w:rFonts w:ascii="Arial" w:hAnsi="Arial" w:cs="Arial"/>
          <w:b/>
          <w:sz w:val="26"/>
          <w:szCs w:val="26"/>
        </w:rPr>
        <w:t>21</w:t>
      </w:r>
      <w:r w:rsidRPr="00CB6405">
        <w:rPr>
          <w:rFonts w:ascii="Arial" w:hAnsi="Arial" w:cs="Arial"/>
          <w:b/>
          <w:sz w:val="26"/>
          <w:szCs w:val="26"/>
        </w:rPr>
        <w:t xml:space="preserve"> </w:t>
      </w:r>
      <w:r w:rsidR="00F37BD5">
        <w:rPr>
          <w:rFonts w:ascii="Arial" w:hAnsi="Arial" w:cs="Arial"/>
          <w:b/>
          <w:sz w:val="26"/>
          <w:szCs w:val="26"/>
        </w:rPr>
        <w:t xml:space="preserve">DE LA </w:t>
      </w:r>
      <w:r w:rsidR="001B6950">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533A33">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10158F47"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533A33">
        <w:rPr>
          <w:rFonts w:ascii="Arial" w:hAnsi="Arial" w:cs="Arial"/>
          <w:b/>
          <w:sz w:val="26"/>
          <w:szCs w:val="26"/>
        </w:rPr>
        <w:t>UNO</w:t>
      </w:r>
      <w:r w:rsidR="00B83946">
        <w:rPr>
          <w:rFonts w:ascii="Arial" w:hAnsi="Arial" w:cs="Arial"/>
          <w:b/>
          <w:sz w:val="26"/>
          <w:szCs w:val="26"/>
        </w:rPr>
        <w:t xml:space="preserve"> DE </w:t>
      </w:r>
      <w:r w:rsidR="00533A33">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4A6552D2" w14:textId="71B5E061" w:rsidR="00533A33" w:rsidRDefault="003B6CF0" w:rsidP="00533A33">
      <w:pPr>
        <w:spacing w:line="360" w:lineRule="auto"/>
        <w:ind w:firstLine="708"/>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9307AB">
        <w:rPr>
          <w:rFonts w:ascii="Arial" w:hAnsi="Arial" w:cs="Arial"/>
          <w:b/>
          <w:sz w:val="26"/>
          <w:szCs w:val="26"/>
        </w:rPr>
        <w:t>223</w:t>
      </w:r>
      <w:r w:rsidRPr="00CB6405">
        <w:rPr>
          <w:rFonts w:ascii="Arial" w:hAnsi="Arial" w:cs="Arial"/>
          <w:b/>
          <w:sz w:val="26"/>
          <w:szCs w:val="26"/>
        </w:rPr>
        <w:t>/20</w:t>
      </w:r>
      <w:r>
        <w:rPr>
          <w:rFonts w:ascii="Arial" w:hAnsi="Arial" w:cs="Arial"/>
          <w:b/>
          <w:sz w:val="26"/>
          <w:szCs w:val="26"/>
        </w:rPr>
        <w:t>2</w:t>
      </w:r>
      <w:r w:rsidR="00DC4222">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66531">
        <w:rPr>
          <w:rFonts w:ascii="Arial" w:hAnsi="Arial" w:cs="Arial"/>
          <w:b/>
          <w:sz w:val="26"/>
          <w:szCs w:val="26"/>
        </w:rPr>
        <w:t xml:space="preserve"> </w:t>
      </w:r>
      <w:r w:rsidR="0093074E">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462CAA">
        <w:rPr>
          <w:rFonts w:ascii="Arial" w:hAnsi="Arial" w:cs="Arial"/>
          <w:sz w:val="26"/>
          <w:szCs w:val="26"/>
        </w:rPr>
        <w:t xml:space="preserve">l </w:t>
      </w:r>
      <w:r w:rsidR="000E2300">
        <w:rPr>
          <w:rFonts w:ascii="Arial" w:hAnsi="Arial" w:cs="Arial"/>
          <w:sz w:val="26"/>
          <w:szCs w:val="26"/>
        </w:rPr>
        <w:t>a</w:t>
      </w:r>
      <w:r w:rsidR="00462CAA">
        <w:rPr>
          <w:rFonts w:ascii="Arial" w:hAnsi="Arial" w:cs="Arial"/>
          <w:sz w:val="26"/>
          <w:szCs w:val="26"/>
        </w:rPr>
        <w:t>cuerdo</w:t>
      </w:r>
      <w:r w:rsidR="000E2300">
        <w:rPr>
          <w:rFonts w:ascii="Arial" w:hAnsi="Arial" w:cs="Arial"/>
          <w:sz w:val="26"/>
          <w:szCs w:val="26"/>
        </w:rPr>
        <w:t xml:space="preserve"> de </w:t>
      </w:r>
      <w:r w:rsidR="009307AB">
        <w:rPr>
          <w:rFonts w:ascii="Arial" w:hAnsi="Arial" w:cs="Arial"/>
          <w:sz w:val="26"/>
          <w:szCs w:val="26"/>
        </w:rPr>
        <w:t>once</w:t>
      </w:r>
      <w:r w:rsidR="007A3A9D">
        <w:rPr>
          <w:rFonts w:ascii="Arial" w:hAnsi="Arial" w:cs="Arial"/>
          <w:sz w:val="26"/>
          <w:szCs w:val="26"/>
        </w:rPr>
        <w:t xml:space="preserve"> </w:t>
      </w:r>
      <w:r w:rsidR="000E2300">
        <w:rPr>
          <w:rFonts w:ascii="Arial" w:hAnsi="Arial" w:cs="Arial"/>
          <w:sz w:val="26"/>
          <w:szCs w:val="26"/>
        </w:rPr>
        <w:t xml:space="preserve">de </w:t>
      </w:r>
      <w:r w:rsidR="009307AB">
        <w:rPr>
          <w:rFonts w:ascii="Arial" w:hAnsi="Arial" w:cs="Arial"/>
          <w:sz w:val="26"/>
          <w:szCs w:val="26"/>
        </w:rPr>
        <w:t>mayo</w:t>
      </w:r>
      <w:r w:rsidR="000E2300">
        <w:rPr>
          <w:rFonts w:ascii="Arial" w:hAnsi="Arial" w:cs="Arial"/>
          <w:sz w:val="26"/>
          <w:szCs w:val="26"/>
        </w:rPr>
        <w:t xml:space="preserve"> de dos mil veintiuno</w:t>
      </w:r>
      <w:r>
        <w:rPr>
          <w:rFonts w:ascii="Arial" w:hAnsi="Arial" w:cs="Arial"/>
          <w:sz w:val="26"/>
          <w:szCs w:val="26"/>
        </w:rPr>
        <w:t>, dictad</w:t>
      </w:r>
      <w:r w:rsidR="00E80EAA">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w:t>
      </w:r>
      <w:r w:rsidR="009307AB">
        <w:rPr>
          <w:rFonts w:ascii="Arial" w:hAnsi="Arial" w:cs="Arial"/>
          <w:b/>
          <w:sz w:val="26"/>
          <w:szCs w:val="26"/>
        </w:rPr>
        <w:t>036</w:t>
      </w:r>
      <w:r w:rsidR="007007A1">
        <w:rPr>
          <w:rFonts w:ascii="Arial" w:hAnsi="Arial" w:cs="Arial"/>
          <w:b/>
          <w:sz w:val="26"/>
          <w:szCs w:val="26"/>
        </w:rPr>
        <w:t>/20</w:t>
      </w:r>
      <w:r w:rsidR="009307AB">
        <w:rPr>
          <w:rFonts w:ascii="Arial" w:hAnsi="Arial" w:cs="Arial"/>
          <w:b/>
          <w:sz w:val="26"/>
          <w:szCs w:val="26"/>
        </w:rPr>
        <w:t>21</w:t>
      </w:r>
      <w:r>
        <w:rPr>
          <w:rFonts w:ascii="Arial" w:hAnsi="Arial" w:cs="Arial"/>
          <w:b/>
          <w:sz w:val="26"/>
          <w:szCs w:val="26"/>
        </w:rPr>
        <w:t xml:space="preserve"> </w:t>
      </w:r>
      <w:r w:rsidR="007007A1">
        <w:rPr>
          <w:rFonts w:ascii="Arial" w:hAnsi="Arial" w:cs="Arial"/>
          <w:sz w:val="26"/>
          <w:szCs w:val="26"/>
        </w:rPr>
        <w:t xml:space="preserve">del índice de la </w:t>
      </w:r>
      <w:r w:rsidR="00E22B81">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9307AB">
        <w:rPr>
          <w:rFonts w:ascii="Arial" w:hAnsi="Arial" w:cs="Arial"/>
          <w:b/>
          <w:sz w:val="26"/>
          <w:szCs w:val="26"/>
        </w:rPr>
        <w:t xml:space="preserve"> </w:t>
      </w:r>
      <w:r w:rsidR="0093074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9307AB">
        <w:rPr>
          <w:rFonts w:ascii="Arial" w:hAnsi="Arial" w:cs="Arial"/>
          <w:sz w:val="26"/>
          <w:szCs w:val="26"/>
        </w:rPr>
        <w:t xml:space="preserve"> la</w:t>
      </w:r>
      <w:r w:rsidR="00240A94">
        <w:rPr>
          <w:rFonts w:ascii="Arial" w:hAnsi="Arial" w:cs="Arial"/>
          <w:sz w:val="26"/>
          <w:szCs w:val="26"/>
        </w:rPr>
        <w:t xml:space="preserve"> </w:t>
      </w:r>
      <w:r w:rsidR="009307AB">
        <w:rPr>
          <w:rFonts w:ascii="Arial" w:hAnsi="Arial" w:cs="Arial"/>
          <w:b/>
          <w:sz w:val="26"/>
          <w:szCs w:val="26"/>
        </w:rPr>
        <w:t>AUDITORIA SUPERIOR DEL ESTADO</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E80EAA" w:rsidRPr="000C4EA3">
        <w:rPr>
          <w:rFonts w:ascii="Arial" w:hAnsi="Arial" w:cs="Arial"/>
          <w:sz w:val="26"/>
          <w:szCs w:val="26"/>
        </w:rPr>
        <w:t xml:space="preserve">fundamento en los artículos </w:t>
      </w:r>
      <w:r w:rsidR="00E80EAA">
        <w:rPr>
          <w:rFonts w:ascii="Arial" w:hAnsi="Arial" w:cs="Arial"/>
          <w:sz w:val="26"/>
          <w:szCs w:val="26"/>
        </w:rPr>
        <w:t>236 y 23</w:t>
      </w:r>
      <w:r w:rsidR="00E80EAA" w:rsidRPr="00671697">
        <w:rPr>
          <w:rFonts w:ascii="Arial" w:hAnsi="Arial" w:cs="Arial"/>
          <w:sz w:val="26"/>
          <w:szCs w:val="26"/>
        </w:rPr>
        <w:t>8</w:t>
      </w:r>
      <w:r w:rsidR="00E80EAA">
        <w:rPr>
          <w:rFonts w:ascii="Arial" w:hAnsi="Arial" w:cs="Arial"/>
          <w:sz w:val="26"/>
          <w:szCs w:val="26"/>
        </w:rPr>
        <w:t xml:space="preserve"> de la Ley de Procedimiento y Justicia Administrativa para el Estado de Oaxaca, y </w:t>
      </w:r>
      <w:r w:rsidR="00533A33">
        <w:rPr>
          <w:rFonts w:ascii="Arial" w:eastAsiaTheme="minorHAnsi" w:hAnsi="Arial" w:cs="Arial"/>
          <w:sz w:val="26"/>
          <w:szCs w:val="26"/>
          <w:lang w:eastAsia="en-US"/>
        </w:rPr>
        <w:t xml:space="preserve">24 fracción I y III de la </w:t>
      </w:r>
      <w:r w:rsidR="00533A33" w:rsidRPr="00EB490F">
        <w:rPr>
          <w:rFonts w:ascii="Arial" w:eastAsiaTheme="minorHAnsi" w:hAnsi="Arial" w:cs="Arial"/>
          <w:sz w:val="26"/>
          <w:szCs w:val="26"/>
          <w:lang w:eastAsia="en-US"/>
        </w:rPr>
        <w:t>Ley Orgánica del Tribunal de Justicia Administrativa del Estado de Oaxaca</w:t>
      </w:r>
      <w:r w:rsidR="00533A33" w:rsidRPr="00263566">
        <w:rPr>
          <w:rFonts w:ascii="Arial" w:eastAsiaTheme="minorHAnsi" w:hAnsi="Arial" w:cs="Arial"/>
          <w:sz w:val="26"/>
          <w:szCs w:val="26"/>
          <w:lang w:eastAsia="en-US"/>
        </w:rPr>
        <w:t xml:space="preserve">, </w:t>
      </w:r>
      <w:r w:rsidR="00533A33">
        <w:rPr>
          <w:rFonts w:ascii="Arial" w:eastAsiaTheme="minorHAnsi" w:hAnsi="Arial" w:cs="Arial"/>
          <w:sz w:val="26"/>
          <w:szCs w:val="26"/>
          <w:lang w:eastAsia="en-US"/>
        </w:rPr>
        <w:t xml:space="preserve">se da tramite. Por consiguiente se procede a dictar </w:t>
      </w:r>
      <w:r w:rsidR="00533A33" w:rsidRPr="00263566">
        <w:rPr>
          <w:rFonts w:ascii="Arial" w:eastAsiaTheme="minorHAnsi" w:hAnsi="Arial" w:cs="Arial"/>
          <w:sz w:val="26"/>
          <w:szCs w:val="26"/>
          <w:lang w:eastAsia="en-US"/>
        </w:rPr>
        <w:t xml:space="preserve">resolución en los siguientes términos:- </w:t>
      </w:r>
    </w:p>
    <w:p w14:paraId="42D76FAD" w14:textId="0CF266FB" w:rsidR="003B6CF0" w:rsidRPr="00CB6405" w:rsidRDefault="003B6CF0" w:rsidP="00533A33">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DE428AC" w14:textId="696DCEC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82373C">
        <w:rPr>
          <w:rFonts w:ascii="Arial" w:hAnsi="Arial" w:cs="Arial"/>
          <w:sz w:val="26"/>
          <w:szCs w:val="26"/>
        </w:rPr>
        <w:t xml:space="preserve"> el acuerdo</w:t>
      </w:r>
      <w:r w:rsidR="00087437">
        <w:rPr>
          <w:rFonts w:ascii="Arial" w:hAnsi="Arial" w:cs="Arial"/>
          <w:sz w:val="26"/>
          <w:szCs w:val="26"/>
        </w:rPr>
        <w:t xml:space="preserve"> de </w:t>
      </w:r>
      <w:r w:rsidR="009307AB">
        <w:rPr>
          <w:rFonts w:ascii="Arial" w:hAnsi="Arial" w:cs="Arial"/>
          <w:sz w:val="26"/>
          <w:szCs w:val="26"/>
        </w:rPr>
        <w:t>once</w:t>
      </w:r>
      <w:r w:rsidR="00C401B5">
        <w:rPr>
          <w:rFonts w:ascii="Arial" w:hAnsi="Arial" w:cs="Arial"/>
          <w:sz w:val="26"/>
          <w:szCs w:val="26"/>
        </w:rPr>
        <w:t xml:space="preserve"> </w:t>
      </w:r>
      <w:r w:rsidR="009307AB">
        <w:rPr>
          <w:rFonts w:ascii="Arial" w:hAnsi="Arial" w:cs="Arial"/>
          <w:sz w:val="26"/>
          <w:szCs w:val="26"/>
        </w:rPr>
        <w:t>de mayo</w:t>
      </w:r>
      <w:r w:rsidR="00C401B5">
        <w:rPr>
          <w:rFonts w:ascii="Arial" w:hAnsi="Arial" w:cs="Arial"/>
          <w:sz w:val="26"/>
          <w:szCs w:val="26"/>
        </w:rPr>
        <w:t xml:space="preserve"> </w:t>
      </w:r>
      <w:r w:rsidR="009307AB">
        <w:rPr>
          <w:rFonts w:ascii="Arial" w:hAnsi="Arial" w:cs="Arial"/>
          <w:sz w:val="26"/>
          <w:szCs w:val="26"/>
        </w:rPr>
        <w:t>d</w:t>
      </w:r>
      <w:r w:rsidR="00D863E5">
        <w:rPr>
          <w:rFonts w:ascii="Arial" w:hAnsi="Arial" w:cs="Arial"/>
          <w:sz w:val="26"/>
          <w:szCs w:val="26"/>
        </w:rPr>
        <w:t xml:space="preserve">e </w:t>
      </w:r>
      <w:r w:rsidR="00240A94">
        <w:rPr>
          <w:rFonts w:ascii="Arial" w:hAnsi="Arial" w:cs="Arial"/>
          <w:sz w:val="26"/>
          <w:szCs w:val="26"/>
        </w:rPr>
        <w:t>dos mil veintiuno</w:t>
      </w:r>
      <w:r>
        <w:rPr>
          <w:rFonts w:ascii="Arial" w:hAnsi="Arial" w:cs="Arial"/>
          <w:sz w:val="26"/>
          <w:szCs w:val="26"/>
        </w:rPr>
        <w:t xml:space="preserve">, </w:t>
      </w:r>
      <w:r w:rsidRPr="00CB6405">
        <w:rPr>
          <w:rFonts w:ascii="Arial" w:hAnsi="Arial" w:cs="Arial"/>
          <w:sz w:val="26"/>
          <w:szCs w:val="26"/>
        </w:rPr>
        <w:t>dictad</w:t>
      </w:r>
      <w:r w:rsidR="0082373C">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401B5">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93074E">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533A33">
        <w:rPr>
          <w:rFonts w:ascii="Arial" w:hAnsi="Arial" w:cs="Arial"/>
          <w:sz w:val="26"/>
          <w:szCs w:val="26"/>
        </w:rPr>
        <w:t xml:space="preserve"> - - - - - - - - - - - - - - - - </w:t>
      </w:r>
    </w:p>
    <w:p w14:paraId="4231C4CC" w14:textId="04C9A0BA" w:rsidR="00F0794F" w:rsidRDefault="003B6CF0" w:rsidP="00533A33">
      <w:pPr>
        <w:spacing w:line="360" w:lineRule="auto"/>
        <w:ind w:firstLine="709"/>
        <w:jc w:val="both"/>
        <w:rPr>
          <w:rFonts w:ascii="Arial" w:hAnsi="Arial" w:cs="Arial"/>
          <w:bCs/>
          <w:iCs/>
          <w:sz w:val="26"/>
          <w:szCs w:val="26"/>
        </w:rPr>
      </w:pPr>
      <w:r w:rsidRPr="003B084B">
        <w:rPr>
          <w:rFonts w:ascii="Arial" w:hAnsi="Arial" w:cs="Arial"/>
          <w:b/>
          <w:bCs/>
          <w:iCs/>
          <w:sz w:val="26"/>
          <w:szCs w:val="26"/>
        </w:rPr>
        <w:t xml:space="preserve">SEGUNDO. </w:t>
      </w:r>
      <w:r w:rsidR="0082373C">
        <w:rPr>
          <w:rFonts w:ascii="Arial" w:hAnsi="Arial" w:cs="Arial"/>
          <w:bCs/>
          <w:iCs/>
          <w:sz w:val="26"/>
          <w:szCs w:val="26"/>
        </w:rPr>
        <w:t>El texto del acuerdo recurrido es el siguiente</w:t>
      </w:r>
      <w:r w:rsidR="0082373C" w:rsidRPr="003B084B">
        <w:rPr>
          <w:rFonts w:ascii="Arial" w:hAnsi="Arial" w:cs="Arial"/>
          <w:bCs/>
          <w:iCs/>
          <w:sz w:val="26"/>
          <w:szCs w:val="26"/>
        </w:rPr>
        <w:t>:</w:t>
      </w:r>
    </w:p>
    <w:p w14:paraId="6006B10D" w14:textId="33B12F70" w:rsidR="0082373C" w:rsidRDefault="00F0794F" w:rsidP="00533A33">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6914D4" w:rsidRPr="003C791B">
        <w:rPr>
          <w:rFonts w:ascii="Arial" w:eastAsia="Times New Roman" w:hAnsi="Arial" w:cs="Arial"/>
          <w:bCs/>
          <w:i/>
          <w:iCs/>
          <w:lang w:eastAsia="es-ES"/>
        </w:rPr>
        <w:t>“</w:t>
      </w:r>
      <w:r w:rsidR="006914D4">
        <w:rPr>
          <w:rFonts w:ascii="Arial" w:eastAsia="Times New Roman" w:hAnsi="Arial" w:cs="Arial"/>
          <w:b/>
          <w:bCs/>
          <w:i/>
          <w:iCs/>
          <w:lang w:eastAsia="es-ES"/>
        </w:rPr>
        <w:t>OAXACA</w:t>
      </w:r>
      <w:r w:rsidR="009307AB">
        <w:rPr>
          <w:rFonts w:ascii="Arial" w:eastAsia="Times New Roman" w:hAnsi="Arial" w:cs="Arial"/>
          <w:b/>
          <w:bCs/>
          <w:i/>
          <w:iCs/>
          <w:lang w:eastAsia="es-ES"/>
        </w:rPr>
        <w:t xml:space="preserve"> DE JUÁREZ, OAXACA A ONCE DE MAYO</w:t>
      </w:r>
      <w:r w:rsidR="0082373C">
        <w:rPr>
          <w:rFonts w:ascii="Arial" w:eastAsia="Times New Roman" w:hAnsi="Arial" w:cs="Arial"/>
          <w:b/>
          <w:bCs/>
          <w:i/>
          <w:iCs/>
          <w:lang w:eastAsia="es-ES"/>
        </w:rPr>
        <w:t xml:space="preserve"> DE DOS MIL VEINTIUNO.</w:t>
      </w:r>
    </w:p>
    <w:p w14:paraId="492ED433" w14:textId="363D2BCB" w:rsidR="009307AB" w:rsidRDefault="0082373C" w:rsidP="00533A33">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sidR="009307AB">
        <w:rPr>
          <w:rFonts w:ascii="Arial" w:eastAsia="Times New Roman" w:hAnsi="Arial" w:cs="Arial"/>
          <w:bCs/>
          <w:i/>
          <w:iCs/>
          <w:lang w:eastAsia="es-ES"/>
        </w:rPr>
        <w:t xml:space="preserve">Fue recibido en la Oficialía de Partes Común de las Salas Unitarias de Primera Instancia de este Tribunal, el siete de mayo del año en curso, el escrito de </w:t>
      </w:r>
      <w:r w:rsidR="0093074E">
        <w:rPr>
          <w:rFonts w:ascii="Arial" w:eastAsia="Times New Roman" w:hAnsi="Arial" w:cs="Arial"/>
          <w:b/>
          <w:bCs/>
          <w:i/>
          <w:iCs/>
          <w:lang w:eastAsia="es-ES"/>
        </w:rPr>
        <w:t>*******</w:t>
      </w:r>
      <w:r w:rsidR="009307AB">
        <w:rPr>
          <w:rFonts w:ascii="Arial" w:eastAsia="Times New Roman" w:hAnsi="Arial" w:cs="Arial"/>
          <w:b/>
          <w:bCs/>
          <w:i/>
          <w:iCs/>
          <w:lang w:eastAsia="es-ES"/>
        </w:rPr>
        <w:t xml:space="preserve">, </w:t>
      </w:r>
      <w:r w:rsidR="009307AB">
        <w:rPr>
          <w:rFonts w:ascii="Arial" w:eastAsia="Times New Roman" w:hAnsi="Arial" w:cs="Arial"/>
          <w:bCs/>
          <w:i/>
          <w:iCs/>
          <w:lang w:eastAsia="es-ES"/>
        </w:rPr>
        <w:t xml:space="preserve">quien promueve por su propio derecho, en contra de: “1. La supuesta multa de fecha 17 de junio de 2015, con número de expediente </w:t>
      </w:r>
      <w:r w:rsidR="0093074E">
        <w:rPr>
          <w:rFonts w:ascii="Arial" w:eastAsia="Times New Roman" w:hAnsi="Arial" w:cs="Arial"/>
          <w:bCs/>
          <w:i/>
          <w:iCs/>
          <w:lang w:eastAsia="es-ES"/>
        </w:rPr>
        <w:t>*******</w:t>
      </w:r>
      <w:r w:rsidR="009307AB">
        <w:rPr>
          <w:rFonts w:ascii="Arial" w:eastAsia="Times New Roman" w:hAnsi="Arial" w:cs="Arial"/>
          <w:bCs/>
          <w:i/>
          <w:iCs/>
          <w:lang w:eastAsia="es-ES"/>
        </w:rPr>
        <w:t>, impuesta por la omisión de la cuenta pública de ejercicio fiscal 2014, omisión de cuarto informe de avance de gestión financiera del trimestre octubre-diciembre del ejercicio fiscal 2014 y omisión del primer informe de avance de gestión financiera del trimestre Enero- Marzo del ejercicio fiscal 2015, determinada por la Auditoria Superior del Estado.”</w:t>
      </w:r>
    </w:p>
    <w:p w14:paraId="76A99693" w14:textId="6AB3B0A4" w:rsidR="009307AB" w:rsidRDefault="009307AB" w:rsidP="00533A33">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lastRenderedPageBreak/>
        <w:t>Previo a determinar respecto a la demanda planteada ante esta autoridad, se tom</w:t>
      </w:r>
      <w:r w:rsidR="005E7B49">
        <w:rPr>
          <w:rFonts w:ascii="Arial" w:eastAsia="Times New Roman" w:hAnsi="Arial" w:cs="Arial"/>
          <w:bCs/>
          <w:i/>
          <w:iCs/>
          <w:lang w:eastAsia="es-ES"/>
        </w:rPr>
        <w:t xml:space="preserve">a en consideración que los actos de la autoridad del poder ejecutivo o municipios sobre los cuales esta autoridad tiene jurisdicción, solo pueden ser impugnables mediante el juicio contencioso administrativo en contra de los actos o resoluciones que </w:t>
      </w:r>
      <w:r w:rsidR="005E7B49">
        <w:rPr>
          <w:rFonts w:ascii="Arial" w:eastAsia="Times New Roman" w:hAnsi="Arial" w:cs="Arial"/>
          <w:b/>
          <w:bCs/>
          <w:i/>
          <w:iCs/>
          <w:u w:val="single"/>
          <w:lang w:eastAsia="es-ES"/>
        </w:rPr>
        <w:t>determinen poner fin al procedimiento administrativo, a una instancia o resuelvan un expediente o que le causen agravio al particular,</w:t>
      </w:r>
      <w:r w:rsidR="005E7B49">
        <w:rPr>
          <w:rFonts w:ascii="Arial" w:eastAsia="Times New Roman" w:hAnsi="Arial" w:cs="Arial"/>
          <w:bCs/>
          <w:i/>
          <w:iCs/>
          <w:u w:val="single"/>
          <w:lang w:eastAsia="es-ES"/>
        </w:rPr>
        <w:t xml:space="preserve"> </w:t>
      </w:r>
      <w:r w:rsidR="005E7B49">
        <w:rPr>
          <w:rFonts w:ascii="Arial" w:eastAsia="Times New Roman" w:hAnsi="Arial" w:cs="Arial"/>
          <w:bCs/>
          <w:i/>
          <w:iCs/>
          <w:lang w:eastAsia="es-ES"/>
        </w:rPr>
        <w:t xml:space="preserve"> esto en términos del artículo 98 párrafo primero de la Ley de Procedimiento y Justicia Administrativa para el Estado de Oaxaca, hipótesis que no acontece en la Litis de ese asunto, esto es así, en virtud de que los actos de autoridad que demanda no han adquirido la calidad de </w:t>
      </w:r>
      <w:r w:rsidR="005E7B49">
        <w:rPr>
          <w:rFonts w:ascii="Arial" w:eastAsia="Times New Roman" w:hAnsi="Arial" w:cs="Arial"/>
          <w:b/>
          <w:bCs/>
          <w:i/>
          <w:iCs/>
          <w:lang w:eastAsia="es-ES"/>
        </w:rPr>
        <w:t xml:space="preserve">definitivos, ni le causa agravio, </w:t>
      </w:r>
      <w:r w:rsidR="005E7B49">
        <w:rPr>
          <w:rFonts w:ascii="Arial" w:eastAsia="Times New Roman" w:hAnsi="Arial" w:cs="Arial"/>
          <w:bCs/>
          <w:i/>
          <w:iCs/>
          <w:lang w:eastAsia="es-ES"/>
        </w:rPr>
        <w:t xml:space="preserve">porque tiene la oportunidad de apersonarse el procedimiento administrativo de ejecución ante la citada coordinación de cobro coactivo para que se le conceda el </w:t>
      </w:r>
      <w:r w:rsidR="005E7B49">
        <w:rPr>
          <w:rFonts w:ascii="Arial" w:eastAsia="Times New Roman" w:hAnsi="Arial" w:cs="Arial"/>
          <w:b/>
          <w:bCs/>
          <w:i/>
          <w:iCs/>
          <w:lang w:eastAsia="es-ES"/>
        </w:rPr>
        <w:t xml:space="preserve">derecho de audiencia </w:t>
      </w:r>
      <w:r w:rsidR="005E7B49">
        <w:rPr>
          <w:rFonts w:ascii="Arial" w:eastAsia="Times New Roman" w:hAnsi="Arial" w:cs="Arial"/>
          <w:bCs/>
          <w:i/>
          <w:iCs/>
          <w:lang w:eastAsia="es-ES"/>
        </w:rPr>
        <w:t xml:space="preserve">en sede administrativa y pueda alegar lo que le convenga y ofrecer las pruebas que considere pertinentes, sirve de apoyo a esta determinación la siguiente tesis: </w:t>
      </w:r>
      <w:r w:rsidR="00B80F16">
        <w:rPr>
          <w:rFonts w:ascii="Arial" w:eastAsia="Times New Roman" w:hAnsi="Arial" w:cs="Arial"/>
          <w:bCs/>
          <w:i/>
          <w:iCs/>
          <w:lang w:eastAsia="es-ES"/>
        </w:rPr>
        <w:t xml:space="preserve">(…) </w:t>
      </w:r>
      <w:r w:rsidR="0047294E">
        <w:rPr>
          <w:rFonts w:ascii="Arial" w:eastAsia="Times New Roman" w:hAnsi="Arial" w:cs="Arial"/>
          <w:b/>
          <w:bCs/>
          <w:i/>
          <w:iCs/>
          <w:lang w:eastAsia="es-ES"/>
        </w:rPr>
        <w:t>“JUICIO DE NULIDAD ANTE EL TRIBUNAL FEDERAL DE JUSTICIA FISCAL Y ADMINISTRATIVA. PROCEDE CONTRA LAS RESOLUCIONES DEFINITIVAS EN QUE SE IMPONGAN SANCIONES POR RESPONSABILIDADES ADMINISTRATIVAS DECRETADAS EN TÉRMINOS DE LA LEY ORGÁNICA DE LA PROCURADURÍA GENERAL DE LA REPUBLICA” …</w:t>
      </w:r>
    </w:p>
    <w:p w14:paraId="7CADBD33" w14:textId="0E8167D2" w:rsidR="0047294E" w:rsidRDefault="0047294E" w:rsidP="00533A33">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 xml:space="preserve">Asimismo, esta sala puede advertir de la lectura integral de la demanda de la parte actora y anexos, que </w:t>
      </w:r>
      <w:r>
        <w:rPr>
          <w:rFonts w:ascii="Arial" w:eastAsia="Times New Roman" w:hAnsi="Arial" w:cs="Arial"/>
          <w:b/>
          <w:bCs/>
          <w:i/>
          <w:iCs/>
          <w:lang w:eastAsia="es-ES"/>
        </w:rPr>
        <w:t xml:space="preserve">el acto impugnado, no se encuentra dentro de las hipótesis previstos en los a), b) y c), fracción VIII, del artículo 133, </w:t>
      </w:r>
      <w:r>
        <w:rPr>
          <w:rFonts w:ascii="Arial" w:eastAsia="Times New Roman" w:hAnsi="Arial" w:cs="Arial"/>
          <w:bCs/>
          <w:i/>
          <w:iCs/>
          <w:lang w:eastAsia="es-ES"/>
        </w:rPr>
        <w:t>de la Ley de Procedimiento y Justicia Administrativa para el Estado de Oaxaca, esto es así, en virtud de que la demanda del actor no se encuentra dentro de los supuestos en comento, tampoco en autos que el monto del crédito es inferior al exigido o que es poseedor a título de propietario del bien embargado, en caso de que lo hubiera, ni tampoco argument</w:t>
      </w:r>
      <w:r w:rsidR="00B80F16">
        <w:rPr>
          <w:rFonts w:ascii="Arial" w:eastAsia="Times New Roman" w:hAnsi="Arial" w:cs="Arial"/>
          <w:bCs/>
          <w:i/>
          <w:iCs/>
          <w:lang w:eastAsia="es-ES"/>
        </w:rPr>
        <w:t>ó</w:t>
      </w:r>
      <w:r>
        <w:rPr>
          <w:rFonts w:ascii="Arial" w:eastAsia="Times New Roman" w:hAnsi="Arial" w:cs="Arial"/>
          <w:bCs/>
          <w:i/>
          <w:iCs/>
          <w:lang w:eastAsia="es-ES"/>
        </w:rPr>
        <w:t xml:space="preserve"> que el procedimiento coactivo se haya ajustado a la ley, en este último supuesto que se podrá alegar cuando se haya dictado </w:t>
      </w:r>
      <w:r>
        <w:rPr>
          <w:rFonts w:ascii="Arial" w:eastAsia="Times New Roman" w:hAnsi="Arial" w:cs="Arial"/>
          <w:b/>
          <w:bCs/>
          <w:i/>
          <w:iCs/>
          <w:lang w:eastAsia="es-ES"/>
        </w:rPr>
        <w:t xml:space="preserve">resolución que apruebe el remate </w:t>
      </w:r>
      <w:r>
        <w:rPr>
          <w:rFonts w:ascii="Arial" w:eastAsia="Times New Roman" w:hAnsi="Arial" w:cs="Arial"/>
          <w:bCs/>
          <w:i/>
          <w:iCs/>
          <w:lang w:eastAsia="es-ES"/>
        </w:rPr>
        <w:t>de un bien embargado, salvo que este sea de imposible reparación, situación que no acontece</w:t>
      </w:r>
      <w:r w:rsidR="00B80F16">
        <w:rPr>
          <w:rFonts w:ascii="Arial" w:eastAsia="Times New Roman" w:hAnsi="Arial" w:cs="Arial"/>
          <w:bCs/>
          <w:i/>
          <w:iCs/>
          <w:lang w:eastAsia="es-ES"/>
        </w:rPr>
        <w:t xml:space="preserve"> (…)</w:t>
      </w:r>
      <w:r>
        <w:rPr>
          <w:rFonts w:ascii="Arial" w:eastAsia="Times New Roman" w:hAnsi="Arial" w:cs="Arial"/>
          <w:bCs/>
          <w:i/>
          <w:iCs/>
          <w:lang w:eastAsia="es-ES"/>
        </w:rPr>
        <w:t xml:space="preserve"> </w:t>
      </w:r>
      <w:r>
        <w:rPr>
          <w:rFonts w:ascii="Arial" w:eastAsia="Times New Roman" w:hAnsi="Arial" w:cs="Arial"/>
          <w:b/>
          <w:bCs/>
          <w:i/>
          <w:iCs/>
          <w:lang w:eastAsia="es-ES"/>
        </w:rPr>
        <w:t>“EJECUCIÓN, PROCEDIMIENTO ADMINISTRATIVO DE. EL AMPARO CONTRA RESOLUCIONES DICTADAS EN AQUÉL SÓLO PROCEDE CUANDO SE RECLAMA LA DEFINITIVA, A PESAR DE QUE SE IMPUGNE LA CONSTITUCIONALIDAD DE LEYES” …</w:t>
      </w:r>
    </w:p>
    <w:p w14:paraId="616292F0" w14:textId="650BC94A" w:rsidR="0047294E" w:rsidRDefault="00142EE9" w:rsidP="00533A33">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El procedimiento administrativo de ejecución regulado por los artículos 145 a 196 del Código Fiscal de la Federación no tiene como finalidad la resolución de alguna controversia entre partes contendientes, por lo que en rigor no puede decirse que se trate de un procedimiento seguido en forma de juicio, en los términos literales del artículo 114, fracción II, párrafo segundo, de la Ley de Amparo, pero consta de una serie coherente y concordante de actos tendientes a la obtención ejecutiva del cumplimiento de una obligación con base en una liquidación firme que constituye la prueba legal de la existencia del crédito, de su liquidez y de su inmediata reclamación y, como tal, presupuesto formal del comentado procedimiento de ejecución, similar en estos aspectos a una sentencia ejecutoriada. Por tanto, se justifica que el juicio de amparo sólo pueda promoverse hasta que se dicte en el citado procedimiento de ejecución fiscal </w:t>
      </w:r>
      <w:r w:rsidR="00BF10A0">
        <w:rPr>
          <w:rFonts w:ascii="Arial" w:eastAsia="Times New Roman" w:hAnsi="Arial" w:cs="Arial"/>
          <w:bCs/>
          <w:i/>
          <w:iCs/>
          <w:lang w:eastAsia="es-ES"/>
        </w:rPr>
        <w:t>la resolución con la que culmine, es decir, la definitiva en que se apruebe o desapruebe el remate, pudiéndose reclamar en tal oportunidad todas las violaciones cometidas dentro de dicho procedimiento. De lo contrario, si se estimara procedente el juicio de garantías contra cada uno de los actos procesales de modo aislado, s</w:t>
      </w:r>
      <w:r w:rsidR="009A335C">
        <w:rPr>
          <w:rFonts w:ascii="Arial" w:eastAsia="Times New Roman" w:hAnsi="Arial" w:cs="Arial"/>
          <w:bCs/>
          <w:i/>
          <w:iCs/>
          <w:lang w:eastAsia="es-ES"/>
        </w:rPr>
        <w:t>e</w:t>
      </w:r>
      <w:r w:rsidR="00BF10A0">
        <w:rPr>
          <w:rFonts w:ascii="Arial" w:eastAsia="Times New Roman" w:hAnsi="Arial" w:cs="Arial"/>
          <w:bCs/>
          <w:i/>
          <w:iCs/>
          <w:lang w:eastAsia="es-ES"/>
        </w:rPr>
        <w:t xml:space="preserve"> obstaculizará injustificadamente la secuencia ejecutiva, lo cual no debe permitirse </w:t>
      </w:r>
      <w:r w:rsidR="00BF10A0">
        <w:rPr>
          <w:rFonts w:ascii="Arial" w:eastAsia="Times New Roman" w:hAnsi="Arial" w:cs="Arial"/>
          <w:bCs/>
          <w:i/>
          <w:iCs/>
          <w:lang w:eastAsia="es-ES"/>
        </w:rPr>
        <w:lastRenderedPageBreak/>
        <w:t xml:space="preserve">aunque se reclame la inconstitucionalidad de las leyes que rigen ese procedimiento, ya que de la interpretación relacionada de la citada fracción II del artículo 114 de la Ley de Amparo, acerca de que el amparo contra remates sólo procede contra la resolución definitiva que los apruebe o desapruebe, y de la facción III del mismo precepto legal, se desprende que, en lo conducente, </w:t>
      </w:r>
      <w:r w:rsidR="00B853E8">
        <w:rPr>
          <w:rFonts w:ascii="Arial" w:eastAsia="Times New Roman" w:hAnsi="Arial" w:cs="Arial"/>
          <w:bCs/>
          <w:i/>
          <w:iCs/>
          <w:lang w:eastAsia="es-ES"/>
        </w:rPr>
        <w:t>la intención del legislador ha sido la de que no se entorpezcan, mediante la promoción del juicio constitucional, los procedimientos de ejecución fundados en resoluciones o sentencias definitivas, a pesar de que éstas no deriven de tribunales judiciales, administrativos o del trabajo, por lo que operan las mismas razones para sostener que, tratándose del mencionado procedimiento, el juicio de amparo, puede promoverse hasta que se dicte la última resolución que en aquél se pronunci</w:t>
      </w:r>
      <w:r w:rsidR="009A335C">
        <w:rPr>
          <w:rFonts w:ascii="Arial" w:eastAsia="Times New Roman" w:hAnsi="Arial" w:cs="Arial"/>
          <w:bCs/>
          <w:i/>
          <w:iCs/>
          <w:lang w:eastAsia="es-ES"/>
        </w:rPr>
        <w:t>e</w:t>
      </w:r>
      <w:r w:rsidR="00B853E8">
        <w:rPr>
          <w:rFonts w:ascii="Arial" w:eastAsia="Times New Roman" w:hAnsi="Arial" w:cs="Arial"/>
          <w:bCs/>
          <w:i/>
          <w:iCs/>
          <w:lang w:eastAsia="es-ES"/>
        </w:rPr>
        <w:t>.</w:t>
      </w:r>
    </w:p>
    <w:p w14:paraId="78F1F79C" w14:textId="21ACEEA5" w:rsidR="00B853E8" w:rsidRDefault="00B853E8" w:rsidP="00533A33">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Toda vez que, el mandamiento de ejecución no tiene el carecer de definitiva</w:t>
      </w:r>
      <w:r w:rsidR="00B80F16">
        <w:rPr>
          <w:rFonts w:ascii="Arial" w:eastAsia="Times New Roman" w:hAnsi="Arial" w:cs="Arial"/>
          <w:bCs/>
          <w:i/>
          <w:iCs/>
          <w:lang w:eastAsia="es-ES"/>
        </w:rPr>
        <w:t xml:space="preserve"> (sic)</w:t>
      </w:r>
      <w:r>
        <w:rPr>
          <w:rFonts w:ascii="Arial" w:eastAsia="Times New Roman" w:hAnsi="Arial" w:cs="Arial"/>
          <w:bCs/>
          <w:i/>
          <w:iCs/>
          <w:lang w:eastAsia="es-ES"/>
        </w:rPr>
        <w:t xml:space="preserve">, ni se encuentra dentro de las hipótesis previstas en los incisos a), b) y c), fracción VIII, del artículo 133, de la ley de procedimiento y justicia administrativa (sic) citada, ni le causa agravio, motivo por el cual </w:t>
      </w:r>
      <w:r>
        <w:rPr>
          <w:rFonts w:ascii="Arial" w:eastAsia="Times New Roman" w:hAnsi="Arial" w:cs="Arial"/>
          <w:b/>
          <w:bCs/>
          <w:i/>
          <w:iCs/>
          <w:lang w:eastAsia="es-ES"/>
        </w:rPr>
        <w:t xml:space="preserve">se desecha por notoriamente improcedente la demanda de nulidad interpretada, </w:t>
      </w:r>
      <w:r>
        <w:rPr>
          <w:rFonts w:ascii="Arial" w:eastAsia="Times New Roman" w:hAnsi="Arial" w:cs="Arial"/>
          <w:bCs/>
          <w:i/>
          <w:iCs/>
          <w:lang w:eastAsia="es-ES"/>
        </w:rPr>
        <w:t>lo anterior con fundamento en los artículos 158, 161 fracción X, y 182 fracción I de la Ley de Procedimiento Justicia Administrativa para el Estado de Oaxaca.</w:t>
      </w:r>
    </w:p>
    <w:p w14:paraId="0EEDC689" w14:textId="441EA369" w:rsidR="00B853E8" w:rsidRDefault="00B853E8" w:rsidP="00533A33">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Se tiene a </w:t>
      </w:r>
      <w:r w:rsidR="0093074E">
        <w:rPr>
          <w:rFonts w:ascii="Arial" w:eastAsia="Times New Roman" w:hAnsi="Arial" w:cs="Arial"/>
          <w:bCs/>
          <w:i/>
          <w:iCs/>
          <w:lang w:eastAsia="es-ES"/>
        </w:rPr>
        <w:t>*******</w:t>
      </w:r>
      <w:r>
        <w:rPr>
          <w:rFonts w:ascii="Arial" w:eastAsia="Times New Roman" w:hAnsi="Arial" w:cs="Arial"/>
          <w:bCs/>
          <w:i/>
          <w:iCs/>
          <w:lang w:eastAsia="es-ES"/>
        </w:rPr>
        <w:t xml:space="preserve">, </w:t>
      </w:r>
      <w:r>
        <w:rPr>
          <w:rFonts w:ascii="Arial" w:eastAsia="Times New Roman" w:hAnsi="Arial" w:cs="Arial"/>
          <w:b/>
          <w:bCs/>
          <w:i/>
          <w:iCs/>
          <w:lang w:eastAsia="es-ES"/>
        </w:rPr>
        <w:t xml:space="preserve">señalando domicilio para recibir notificaciones </w:t>
      </w:r>
      <w:r>
        <w:rPr>
          <w:rFonts w:ascii="Arial" w:eastAsia="Times New Roman" w:hAnsi="Arial" w:cs="Arial"/>
          <w:bCs/>
          <w:i/>
          <w:iCs/>
          <w:lang w:eastAsia="es-ES"/>
        </w:rPr>
        <w:t>el que se indica en su escrito de cuenta y por autorizadas a las personas que menciona quienes únicamente podrán recibir notificaciones e imponerse de los autos, en virtud de que no justifican ante esta sala que cuenten con cédula d</w:t>
      </w:r>
      <w:r w:rsidR="00B80F16">
        <w:rPr>
          <w:rFonts w:ascii="Arial" w:eastAsia="Times New Roman" w:hAnsi="Arial" w:cs="Arial"/>
          <w:bCs/>
          <w:i/>
          <w:iCs/>
          <w:lang w:eastAsia="es-ES"/>
        </w:rPr>
        <w:t>e</w:t>
      </w:r>
      <w:r>
        <w:rPr>
          <w:rFonts w:ascii="Arial" w:eastAsia="Times New Roman" w:hAnsi="Arial" w:cs="Arial"/>
          <w:bCs/>
          <w:i/>
          <w:iCs/>
          <w:lang w:eastAsia="es-ES"/>
        </w:rPr>
        <w:t xml:space="preserve"> licenciados en derecho y que dichos documentos se encuentren registrados en el Libro de Registro de Títulos y Cédulas de Licenciados en Derecho del </w:t>
      </w:r>
      <w:r w:rsidR="00280212">
        <w:rPr>
          <w:rFonts w:ascii="Arial" w:eastAsia="Times New Roman" w:hAnsi="Arial" w:cs="Arial"/>
          <w:bCs/>
          <w:i/>
          <w:iCs/>
          <w:lang w:eastAsia="es-ES"/>
        </w:rPr>
        <w:t>índice de la Secretaría General de Acuerdos de este Tribunal, lo anterior con fundamento en los artículos 146, 148 párrafo quinto, 171 párrafos primero y tercero de la Ley de Procedimiento y Justicia Administrativa para el Estado de Oaxaca.</w:t>
      </w:r>
    </w:p>
    <w:p w14:paraId="6C2BBAD7" w14:textId="719F8600" w:rsidR="00280212" w:rsidRDefault="00280212" w:rsidP="00533A33">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Notifíquese personalmente al actor, </w:t>
      </w:r>
      <w:r>
        <w:rPr>
          <w:rFonts w:ascii="Arial" w:eastAsia="Times New Roman" w:hAnsi="Arial" w:cs="Arial"/>
          <w:bCs/>
          <w:i/>
          <w:iCs/>
          <w:lang w:eastAsia="es-ES"/>
        </w:rPr>
        <w:t xml:space="preserve">en términos de los artículos 172 fracción I y 173 fracción I, de la </w:t>
      </w:r>
      <w:r w:rsidR="00B80F16">
        <w:rPr>
          <w:rFonts w:ascii="Arial" w:eastAsia="Times New Roman" w:hAnsi="Arial" w:cs="Arial"/>
          <w:bCs/>
          <w:i/>
          <w:iCs/>
          <w:lang w:eastAsia="es-ES"/>
        </w:rPr>
        <w:t>L</w:t>
      </w:r>
      <w:r>
        <w:rPr>
          <w:rFonts w:ascii="Arial" w:eastAsia="Times New Roman" w:hAnsi="Arial" w:cs="Arial"/>
          <w:bCs/>
          <w:i/>
          <w:iCs/>
          <w:lang w:eastAsia="es-ES"/>
        </w:rPr>
        <w:t xml:space="preserve">ey de </w:t>
      </w:r>
      <w:r w:rsidR="00B80F16">
        <w:rPr>
          <w:rFonts w:ascii="Arial" w:eastAsia="Times New Roman" w:hAnsi="Arial" w:cs="Arial"/>
          <w:bCs/>
          <w:i/>
          <w:iCs/>
          <w:lang w:eastAsia="es-ES"/>
        </w:rPr>
        <w:t>P</w:t>
      </w:r>
      <w:r>
        <w:rPr>
          <w:rFonts w:ascii="Arial" w:eastAsia="Times New Roman" w:hAnsi="Arial" w:cs="Arial"/>
          <w:bCs/>
          <w:i/>
          <w:iCs/>
          <w:lang w:eastAsia="es-ES"/>
        </w:rPr>
        <w:t xml:space="preserve">rocedimiento y </w:t>
      </w:r>
      <w:r w:rsidR="00B80F16">
        <w:rPr>
          <w:rFonts w:ascii="Arial" w:eastAsia="Times New Roman" w:hAnsi="Arial" w:cs="Arial"/>
          <w:bCs/>
          <w:i/>
          <w:iCs/>
          <w:lang w:eastAsia="es-ES"/>
        </w:rPr>
        <w:t>J</w:t>
      </w:r>
      <w:r>
        <w:rPr>
          <w:rFonts w:ascii="Arial" w:eastAsia="Times New Roman" w:hAnsi="Arial" w:cs="Arial"/>
          <w:bCs/>
          <w:i/>
          <w:iCs/>
          <w:lang w:eastAsia="es-ES"/>
        </w:rPr>
        <w:t xml:space="preserve">usticia </w:t>
      </w:r>
      <w:r w:rsidR="00B80F16">
        <w:rPr>
          <w:rFonts w:ascii="Arial" w:eastAsia="Times New Roman" w:hAnsi="Arial" w:cs="Arial"/>
          <w:bCs/>
          <w:i/>
          <w:iCs/>
          <w:lang w:eastAsia="es-ES"/>
        </w:rPr>
        <w:t>A</w:t>
      </w:r>
      <w:r>
        <w:rPr>
          <w:rFonts w:ascii="Arial" w:eastAsia="Times New Roman" w:hAnsi="Arial" w:cs="Arial"/>
          <w:bCs/>
          <w:i/>
          <w:iCs/>
          <w:lang w:eastAsia="es-ES"/>
        </w:rPr>
        <w:t xml:space="preserve">dministrativa para el </w:t>
      </w:r>
      <w:r w:rsidR="00B80F16">
        <w:rPr>
          <w:rFonts w:ascii="Arial" w:eastAsia="Times New Roman" w:hAnsi="Arial" w:cs="Arial"/>
          <w:bCs/>
          <w:i/>
          <w:iCs/>
          <w:lang w:eastAsia="es-ES"/>
        </w:rPr>
        <w:t>E</w:t>
      </w:r>
      <w:r>
        <w:rPr>
          <w:rFonts w:ascii="Arial" w:eastAsia="Times New Roman" w:hAnsi="Arial" w:cs="Arial"/>
          <w:bCs/>
          <w:i/>
          <w:iCs/>
          <w:lang w:eastAsia="es-ES"/>
        </w:rPr>
        <w:t xml:space="preserve">stado de </w:t>
      </w:r>
      <w:r w:rsidR="00B80F16">
        <w:rPr>
          <w:rFonts w:ascii="Arial" w:eastAsia="Times New Roman" w:hAnsi="Arial" w:cs="Arial"/>
          <w:bCs/>
          <w:i/>
          <w:iCs/>
          <w:lang w:eastAsia="es-ES"/>
        </w:rPr>
        <w:t>O</w:t>
      </w:r>
      <w:r>
        <w:rPr>
          <w:rFonts w:ascii="Arial" w:eastAsia="Times New Roman" w:hAnsi="Arial" w:cs="Arial"/>
          <w:bCs/>
          <w:i/>
          <w:iCs/>
          <w:lang w:eastAsia="es-ES"/>
        </w:rPr>
        <w:t xml:space="preserve">axaca (sic). </w:t>
      </w:r>
    </w:p>
    <w:p w14:paraId="1DD2B178" w14:textId="5D3A1A3C" w:rsidR="003B6CF0" w:rsidRPr="00F94B07" w:rsidRDefault="00280212" w:rsidP="00533A33">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Así lo proveyó y firma el Magistrado Maestro Enrique Pacheco Martínez, Titular de la Primera Sala Unitaria de Primera Instancia del Tribunal de Justicia Administrativa del Estado de Oaxaca, quien actúa asistido del licenciado Renato Gabriel Ibáñez Castellanos, Secretario de Ac</w:t>
      </w:r>
      <w:r w:rsidR="006A19EC">
        <w:rPr>
          <w:rFonts w:ascii="Arial" w:eastAsia="Times New Roman" w:hAnsi="Arial" w:cs="Arial"/>
          <w:bCs/>
          <w:i/>
          <w:iCs/>
          <w:lang w:eastAsia="es-ES"/>
        </w:rPr>
        <w:t>uerdos, quien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30239E8A"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54EB0580"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6218CC">
        <w:rPr>
          <w:rFonts w:ascii="Arial" w:hAnsi="Arial" w:cs="Arial"/>
          <w:bCs/>
          <w:iCs/>
          <w:sz w:val="26"/>
          <w:szCs w:val="26"/>
        </w:rPr>
        <w:t>o</w:t>
      </w:r>
      <w:r>
        <w:rPr>
          <w:rFonts w:ascii="Arial" w:hAnsi="Arial" w:cs="Arial"/>
          <w:bCs/>
          <w:iCs/>
          <w:sz w:val="26"/>
          <w:szCs w:val="26"/>
        </w:rPr>
        <w:t>n</w:t>
      </w:r>
      <w:r w:rsidR="006218CC">
        <w:rPr>
          <w:rFonts w:ascii="Arial" w:hAnsi="Arial" w:cs="Arial"/>
          <w:bCs/>
          <w:iCs/>
          <w:sz w:val="26"/>
          <w:szCs w:val="26"/>
        </w:rPr>
        <w:t>es</w:t>
      </w:r>
      <w:r>
        <w:rPr>
          <w:rFonts w:ascii="Arial" w:hAnsi="Arial" w:cs="Arial"/>
          <w:bCs/>
          <w:iCs/>
          <w:sz w:val="26"/>
          <w:szCs w:val="26"/>
        </w:rPr>
        <w:t xml:space="preserve"> I</w:t>
      </w:r>
      <w:r w:rsidR="006218CC">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6218CC">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F94B07">
        <w:rPr>
          <w:rFonts w:ascii="Arial" w:hAnsi="Arial" w:cs="Arial"/>
          <w:bCs/>
          <w:iCs/>
          <w:sz w:val="26"/>
          <w:szCs w:val="26"/>
        </w:rPr>
        <w:t xml:space="preserve">l acuerdo </w:t>
      </w:r>
      <w:r>
        <w:rPr>
          <w:rFonts w:ascii="Arial" w:hAnsi="Arial" w:cs="Arial"/>
          <w:sz w:val="26"/>
          <w:szCs w:val="26"/>
        </w:rPr>
        <w:t xml:space="preserve">de </w:t>
      </w:r>
      <w:r w:rsidR="006A19EC">
        <w:rPr>
          <w:rFonts w:ascii="Arial" w:hAnsi="Arial" w:cs="Arial"/>
          <w:sz w:val="26"/>
          <w:szCs w:val="26"/>
        </w:rPr>
        <w:t>once</w:t>
      </w:r>
      <w:r w:rsidR="00722639">
        <w:rPr>
          <w:rFonts w:ascii="Arial" w:hAnsi="Arial" w:cs="Arial"/>
          <w:sz w:val="26"/>
          <w:szCs w:val="26"/>
        </w:rPr>
        <w:t xml:space="preserve"> de </w:t>
      </w:r>
      <w:r w:rsidR="006A19EC">
        <w:rPr>
          <w:rFonts w:ascii="Arial" w:hAnsi="Arial" w:cs="Arial"/>
          <w:sz w:val="26"/>
          <w:szCs w:val="26"/>
        </w:rPr>
        <w:t>mayo</w:t>
      </w:r>
      <w:r w:rsidR="00722639">
        <w:rPr>
          <w:rFonts w:ascii="Arial" w:hAnsi="Arial" w:cs="Arial"/>
          <w:sz w:val="26"/>
          <w:szCs w:val="26"/>
        </w:rPr>
        <w:t xml:space="preserve"> </w:t>
      </w:r>
      <w:r w:rsidR="0006276F">
        <w:rPr>
          <w:rFonts w:ascii="Arial" w:hAnsi="Arial" w:cs="Arial"/>
          <w:sz w:val="26"/>
          <w:szCs w:val="26"/>
        </w:rPr>
        <w:lastRenderedPageBreak/>
        <w:t>de dos mil veintiuno</w:t>
      </w:r>
      <w:r w:rsidRPr="008E3662">
        <w:rPr>
          <w:rFonts w:ascii="Arial" w:hAnsi="Arial" w:cs="Arial"/>
          <w:bCs/>
          <w:iCs/>
          <w:sz w:val="26"/>
          <w:szCs w:val="26"/>
        </w:rPr>
        <w:t>, dictad</w:t>
      </w:r>
      <w:r w:rsidR="0060094D">
        <w:rPr>
          <w:rFonts w:ascii="Arial" w:hAnsi="Arial" w:cs="Arial"/>
          <w:bCs/>
          <w:iCs/>
          <w:sz w:val="26"/>
          <w:szCs w:val="26"/>
        </w:rPr>
        <w:t>o</w:t>
      </w:r>
      <w:r w:rsidRPr="008E3662">
        <w:rPr>
          <w:rFonts w:ascii="Arial" w:hAnsi="Arial" w:cs="Arial"/>
          <w:bCs/>
          <w:iCs/>
          <w:sz w:val="26"/>
          <w:szCs w:val="26"/>
        </w:rPr>
        <w:t xml:space="preserve"> por la </w:t>
      </w:r>
      <w:r w:rsidR="00B87957">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A19EC">
        <w:rPr>
          <w:rFonts w:ascii="Arial" w:hAnsi="Arial" w:cs="Arial"/>
          <w:b/>
          <w:bCs/>
          <w:iCs/>
          <w:sz w:val="26"/>
          <w:szCs w:val="26"/>
        </w:rPr>
        <w:t>036</w:t>
      </w:r>
      <w:r w:rsidR="0025208A">
        <w:rPr>
          <w:rFonts w:ascii="Arial" w:hAnsi="Arial" w:cs="Arial"/>
          <w:b/>
          <w:bCs/>
          <w:iCs/>
          <w:sz w:val="26"/>
          <w:szCs w:val="26"/>
        </w:rPr>
        <w:t>/20</w:t>
      </w:r>
      <w:r w:rsidR="006A19EC">
        <w:rPr>
          <w:rFonts w:ascii="Arial" w:hAnsi="Arial" w:cs="Arial"/>
          <w:b/>
          <w:bCs/>
          <w:iCs/>
          <w:sz w:val="26"/>
          <w:szCs w:val="26"/>
        </w:rPr>
        <w:t>21</w:t>
      </w:r>
      <w:r w:rsidRPr="00AE78C3">
        <w:rPr>
          <w:rFonts w:ascii="Arial" w:hAnsi="Arial" w:cs="Arial"/>
          <w:b/>
          <w:bCs/>
          <w:iCs/>
          <w:sz w:val="26"/>
          <w:szCs w:val="26"/>
        </w:rPr>
        <w:t>.</w:t>
      </w:r>
      <w:r w:rsidR="009A335C">
        <w:rPr>
          <w:rFonts w:ascii="Arial" w:hAnsi="Arial" w:cs="Arial"/>
          <w:b/>
          <w:bCs/>
          <w:iCs/>
          <w:sz w:val="26"/>
          <w:szCs w:val="26"/>
        </w:rPr>
        <w:t xml:space="preserve"> - - - - - - - </w:t>
      </w:r>
    </w:p>
    <w:p w14:paraId="78696826" w14:textId="7BD557A8" w:rsidR="00F94B07" w:rsidRPr="00011CEC" w:rsidRDefault="00F94B07" w:rsidP="00F94B07">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ECD6F10" w14:textId="77777777" w:rsidR="00F94B07" w:rsidRPr="00011CEC" w:rsidRDefault="00F94B07" w:rsidP="009A335C">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33D5A38" w14:textId="062914C8" w:rsidR="006A19EC" w:rsidRDefault="003B6CF0" w:rsidP="006A19E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96773A">
        <w:rPr>
          <w:rFonts w:ascii="Arial" w:eastAsia="Calibri" w:hAnsi="Arial" w:cs="Arial"/>
          <w:bCs/>
          <w:sz w:val="26"/>
          <w:szCs w:val="26"/>
        </w:rPr>
        <w:t>Señala e</w:t>
      </w:r>
      <w:r w:rsidR="00F94B07">
        <w:rPr>
          <w:rFonts w:ascii="Arial" w:eastAsia="Calibri" w:hAnsi="Arial" w:cs="Arial"/>
          <w:bCs/>
          <w:sz w:val="26"/>
          <w:szCs w:val="26"/>
        </w:rPr>
        <w:t xml:space="preserve">l recurrente </w:t>
      </w:r>
      <w:r w:rsidR="006A19EC">
        <w:rPr>
          <w:rFonts w:ascii="Arial" w:eastAsia="Calibri" w:hAnsi="Arial" w:cs="Arial"/>
          <w:bCs/>
          <w:sz w:val="26"/>
          <w:szCs w:val="26"/>
        </w:rPr>
        <w:t xml:space="preserve">le causa agravio el acuerdo de once de once de mayo de dos mil veintiuno, que mediante esta vía se recurre, es ilegal y lo deja en estado de indefensión ya que trasgrede en su perjuicio lo dispuesto por el artículo 54, fracción III, de la Ley de Procedimiento y Justicia Administrativa para el Estado de Oaxaca, así como las garantías de audiencia, legalidad, seguridad jurídica, debida fundamentación y motivación, acceso a la justicia, tutela judicial efectiva, consagradas en los artículos 14, 16 y 17  de la Constitución Política </w:t>
      </w:r>
      <w:r w:rsidR="00C61A57">
        <w:rPr>
          <w:rFonts w:ascii="Arial" w:eastAsia="Calibri" w:hAnsi="Arial" w:cs="Arial"/>
          <w:bCs/>
          <w:sz w:val="26"/>
          <w:szCs w:val="26"/>
        </w:rPr>
        <w:t xml:space="preserve">de los Estados Unidos Mexicanos, </w:t>
      </w:r>
      <w:r w:rsidR="006573D6">
        <w:rPr>
          <w:rFonts w:ascii="Arial" w:eastAsia="Calibri" w:hAnsi="Arial" w:cs="Arial"/>
          <w:bCs/>
          <w:sz w:val="26"/>
          <w:szCs w:val="26"/>
        </w:rPr>
        <w:t>y transcribe el contenido del acuerdo recurrido.</w:t>
      </w:r>
      <w:r w:rsidR="009A335C">
        <w:rPr>
          <w:rFonts w:ascii="Arial" w:eastAsia="Calibri" w:hAnsi="Arial" w:cs="Arial"/>
          <w:bCs/>
          <w:sz w:val="26"/>
          <w:szCs w:val="26"/>
        </w:rPr>
        <w:t xml:space="preserve"> - - - - - - - - - - - - - - - - - - - - - - - - - - - - - - - - - - - - - - - - - - - - - </w:t>
      </w:r>
    </w:p>
    <w:p w14:paraId="0FE43D57" w14:textId="74B369A1" w:rsidR="00C61A57" w:rsidRDefault="00C61A57" w:rsidP="006A19E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6573D6">
        <w:rPr>
          <w:rFonts w:ascii="Arial" w:eastAsia="Calibri" w:hAnsi="Arial" w:cs="Arial"/>
          <w:bCs/>
          <w:sz w:val="26"/>
          <w:szCs w:val="26"/>
        </w:rPr>
        <w:t>A</w:t>
      </w:r>
      <w:r>
        <w:rPr>
          <w:rFonts w:ascii="Arial" w:eastAsia="Calibri" w:hAnsi="Arial" w:cs="Arial"/>
          <w:bCs/>
          <w:sz w:val="26"/>
          <w:szCs w:val="26"/>
        </w:rPr>
        <w:t xml:space="preserve">lega que la Sala Unitaria acordó desechar por notoriamente </w:t>
      </w:r>
      <w:r>
        <w:rPr>
          <w:rFonts w:ascii="Arial" w:eastAsia="Calibri" w:hAnsi="Arial" w:cs="Arial"/>
          <w:bCs/>
          <w:sz w:val="26"/>
          <w:szCs w:val="26"/>
        </w:rPr>
        <w:lastRenderedPageBreak/>
        <w:t xml:space="preserve">improcedente la demanda de nulidad interpuesta por el suscrito, en contra de la supuesta multa impuesta por la omisión de la cuenta publicada del ejercicio fiscal dos mil catorce, omisión del cuarto informe de avance de gestión financiera del trimestre octubre-diciembre del ejercicio fiscal dos mil catorce y omisión del primer informe de avance de gestión financiera del trimestre enero-marzo del ejercicio fiscal dos mil quince, determinada por la Auditoria Superior del Estado, misma que se desconoció así como sus constancias de notificación, en términos del artículo 54, fracción III, de la Ley de Procedimiento y Justicia Administrativa para el Estado de Oaxaca, sin embargo, en el acuerdo de once de mayo de dos mil veintiuno, la Primera Instancia </w:t>
      </w:r>
      <w:r w:rsidR="00740F14">
        <w:rPr>
          <w:rFonts w:ascii="Arial" w:eastAsia="Calibri" w:hAnsi="Arial" w:cs="Arial"/>
          <w:bCs/>
          <w:sz w:val="26"/>
          <w:szCs w:val="26"/>
        </w:rPr>
        <w:t>determinó desechar el escrito de demanda, con el argumento de que solo puede proceder la demanda de nulidad en contra de los actos o resoluciones que determinen poner fin al procedimiento administrativo a una instancia o resuelva un expediente, o que le cause agravio al particular esto es términos del artículo 98, párrafo primero, de la Ley de Procedimiento y Justicia Administrativa para el Estado de Oaxaca, y que dicha hipótesis no acontece en la Litis de este asunto.</w:t>
      </w:r>
      <w:r w:rsidR="003A0E22">
        <w:rPr>
          <w:rFonts w:ascii="Arial" w:eastAsia="Calibri" w:hAnsi="Arial" w:cs="Arial"/>
          <w:bCs/>
          <w:sz w:val="26"/>
          <w:szCs w:val="26"/>
        </w:rPr>
        <w:t xml:space="preserve"> - - - - - - - - - - - - - - - - - - - - - - - - </w:t>
      </w:r>
    </w:p>
    <w:p w14:paraId="21BB8B67" w14:textId="3C86E6DF" w:rsidR="00740F14" w:rsidRDefault="00740F14" w:rsidP="006A19E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Por otra parte, manifiesta que la Sala Unitaria, perdió de vista lo dispuesto por el artículo 54, fracción III, de la Ley de Procedimiento y Justicia Administrativa para el Estado de Oaxaca, y por lo que debería ser procedente que se le admitiera su escrito de demanda, </w:t>
      </w:r>
      <w:r w:rsidR="006573D6">
        <w:rPr>
          <w:rFonts w:ascii="Arial" w:eastAsia="Calibri" w:hAnsi="Arial" w:cs="Arial"/>
          <w:bCs/>
          <w:sz w:val="26"/>
          <w:szCs w:val="26"/>
        </w:rPr>
        <w:t xml:space="preserve">y </w:t>
      </w:r>
      <w:r>
        <w:rPr>
          <w:rFonts w:ascii="Arial" w:eastAsia="Calibri" w:hAnsi="Arial" w:cs="Arial"/>
          <w:bCs/>
          <w:sz w:val="26"/>
          <w:szCs w:val="26"/>
        </w:rPr>
        <w:t>transcribe</w:t>
      </w:r>
      <w:r w:rsidR="006573D6">
        <w:rPr>
          <w:rFonts w:ascii="Arial" w:eastAsia="Calibri" w:hAnsi="Arial" w:cs="Arial"/>
          <w:bCs/>
          <w:sz w:val="26"/>
          <w:szCs w:val="26"/>
        </w:rPr>
        <w:t xml:space="preserve"> el contenido de ese artículo. </w:t>
      </w:r>
      <w:r w:rsidR="003A0E22">
        <w:rPr>
          <w:rFonts w:ascii="Arial" w:eastAsia="Calibri" w:hAnsi="Arial" w:cs="Arial"/>
          <w:bCs/>
          <w:sz w:val="26"/>
          <w:szCs w:val="26"/>
        </w:rPr>
        <w:t xml:space="preserve"> - - - - - - - - - - - - - - - - - - - - - - - - - - - - - - -</w:t>
      </w:r>
    </w:p>
    <w:p w14:paraId="3C07AEC4" w14:textId="38CBEEB7" w:rsidR="00740F14" w:rsidRPr="00D0226D" w:rsidRDefault="00740F14" w:rsidP="00D0226D">
      <w:pPr>
        <w:widowControl w:val="0"/>
        <w:tabs>
          <w:tab w:val="left" w:pos="0"/>
        </w:tabs>
        <w:spacing w:before="240" w:line="360" w:lineRule="auto"/>
        <w:ind w:right="18"/>
        <w:jc w:val="both"/>
        <w:rPr>
          <w:rFonts w:ascii="Arial" w:eastAsia="Calibri" w:hAnsi="Arial" w:cs="Arial"/>
          <w:b/>
          <w:bCs/>
        </w:rPr>
      </w:pPr>
      <w:r>
        <w:rPr>
          <w:rFonts w:ascii="Arial" w:eastAsia="Calibri" w:hAnsi="Arial" w:cs="Arial"/>
          <w:bCs/>
          <w:sz w:val="26"/>
          <w:szCs w:val="26"/>
        </w:rPr>
        <w:tab/>
        <w:t xml:space="preserve">Del artículo transcrito, </w:t>
      </w:r>
      <w:r w:rsidR="00BB190F">
        <w:rPr>
          <w:rFonts w:ascii="Arial" w:eastAsia="Calibri" w:hAnsi="Arial" w:cs="Arial"/>
          <w:bCs/>
          <w:sz w:val="26"/>
          <w:szCs w:val="26"/>
        </w:rPr>
        <w:t>alega que los particulares afectados por algún acto administrativo que no hayan sido notificados o que dicha notificación no se hubiere apegado a lo dispuesto por la ley, podrán impugnar dichos actos manifestando el desconocimiento de los mismos, lo que lleva a que la autoridad responsable d</w:t>
      </w:r>
      <w:r w:rsidR="00B756CA">
        <w:rPr>
          <w:rFonts w:ascii="Arial" w:eastAsia="Calibri" w:hAnsi="Arial" w:cs="Arial"/>
          <w:bCs/>
          <w:sz w:val="26"/>
          <w:szCs w:val="26"/>
        </w:rPr>
        <w:t>é</w:t>
      </w:r>
      <w:r w:rsidR="00BB190F">
        <w:rPr>
          <w:rFonts w:ascii="Arial" w:eastAsia="Calibri" w:hAnsi="Arial" w:cs="Arial"/>
          <w:bCs/>
          <w:sz w:val="26"/>
          <w:szCs w:val="26"/>
        </w:rPr>
        <w:t xml:space="preserve"> a conocer el acto impugnado con sus respectivas constancias de notificación, una vez que se le hayan dado a conocer al particular, éste podrá ampliar su demanda alegando todas y cada uno de las ilegalidades que contenga tales actos administrativos, y así el Tribunal podrá dilucidar sobre la legalidad del acto y sus constancias de notificación y emitir en la cual podrá declarar la nulidad lisa y llana o en su caso confirmar el acto, pero esto hasta conocer tanto el acto demandado consistente en la multa de </w:t>
      </w:r>
      <w:r w:rsidR="00BB190F" w:rsidRPr="00B756CA">
        <w:rPr>
          <w:rFonts w:ascii="Arial" w:eastAsia="Calibri" w:hAnsi="Arial" w:cs="Arial"/>
          <w:b/>
          <w:sz w:val="26"/>
          <w:szCs w:val="26"/>
        </w:rPr>
        <w:t>$</w:t>
      </w:r>
      <w:r w:rsidR="0093074E">
        <w:rPr>
          <w:rFonts w:ascii="Arial" w:eastAsia="Calibri" w:hAnsi="Arial" w:cs="Arial"/>
          <w:b/>
          <w:sz w:val="26"/>
          <w:szCs w:val="26"/>
        </w:rPr>
        <w:t>*******</w:t>
      </w:r>
      <w:r w:rsidR="00BB190F" w:rsidRPr="00B756CA">
        <w:rPr>
          <w:rFonts w:ascii="Arial" w:eastAsia="Calibri" w:hAnsi="Arial" w:cs="Arial"/>
          <w:b/>
          <w:sz w:val="26"/>
          <w:szCs w:val="26"/>
        </w:rPr>
        <w:t>),</w:t>
      </w:r>
      <w:r w:rsidR="00BB190F">
        <w:rPr>
          <w:rFonts w:ascii="Arial" w:eastAsia="Calibri" w:hAnsi="Arial" w:cs="Arial"/>
          <w:bCs/>
          <w:sz w:val="26"/>
          <w:szCs w:val="26"/>
        </w:rPr>
        <w:t xml:space="preserve"> </w:t>
      </w:r>
      <w:r w:rsidR="00437840">
        <w:rPr>
          <w:rFonts w:ascii="Arial" w:eastAsia="Calibri" w:hAnsi="Arial" w:cs="Arial"/>
          <w:bCs/>
          <w:sz w:val="26"/>
          <w:szCs w:val="26"/>
        </w:rPr>
        <w:t xml:space="preserve">de diecisiete de junio de dos mil quince, con número de expediente </w:t>
      </w:r>
      <w:r w:rsidR="0093074E">
        <w:rPr>
          <w:rFonts w:ascii="Arial" w:eastAsia="Calibri" w:hAnsi="Arial" w:cs="Arial"/>
          <w:b/>
          <w:sz w:val="26"/>
          <w:szCs w:val="26"/>
        </w:rPr>
        <w:lastRenderedPageBreak/>
        <w:t>*******</w:t>
      </w:r>
      <w:r w:rsidR="00437840" w:rsidRPr="00B756CA">
        <w:rPr>
          <w:rFonts w:ascii="Arial" w:eastAsia="Calibri" w:hAnsi="Arial" w:cs="Arial"/>
          <w:b/>
          <w:sz w:val="26"/>
          <w:szCs w:val="26"/>
        </w:rPr>
        <w:t>,</w:t>
      </w:r>
      <w:r w:rsidR="00437840">
        <w:rPr>
          <w:rFonts w:ascii="Arial" w:eastAsia="Calibri" w:hAnsi="Arial" w:cs="Arial"/>
          <w:bCs/>
          <w:sz w:val="26"/>
          <w:szCs w:val="26"/>
        </w:rPr>
        <w:t xml:space="preserve"> impuesta por la omisión de la cuenta pública del ejercicio fiscal dos mil catorce, omisión del cuarto informe de avance de gestión financiera del trimestre octubre-diciembre, del ejercicio fiscal dos mil catorce, y omisión del primer informe de avance de gestión financiera del trimestre enero-marzo del ejercicio fiscal dos mil quince, determinada por la Auditoria Superior del Estado, acto administrativo que se desconoció, así como sus constancias de notificación, con los conceptos de nulidad que haga valer el actor en contra del citado acto administrativo, invoca la tesis de rubro siguiente: </w:t>
      </w:r>
      <w:r w:rsidR="00437840" w:rsidRPr="00D0226D">
        <w:rPr>
          <w:rFonts w:ascii="Arial" w:eastAsia="Calibri" w:hAnsi="Arial" w:cs="Arial"/>
          <w:b/>
          <w:bCs/>
        </w:rPr>
        <w:t>“NULIDAD LISA Y LLANA EN EL JUICIO CONTENCIOSO ADMINISTRATIVO. DEBE DECLARARSE CUANDO EL ACTOR NIEGA CONOCER UN CRÉDITO FISCAL Y LA AUTORIDAD, AL CONTESTAR LA DEMANDA, EXHIBE LAS CONSTANCIAS DE SU NOTIFICACIÓN, PERO OMITE ANEXAR LA RESOLUCIÓN DETERMINANTE” …</w:t>
      </w:r>
    </w:p>
    <w:p w14:paraId="236C3B59" w14:textId="3A4B0963" w:rsidR="00FC6D06" w:rsidRDefault="00437840" w:rsidP="00FC6D0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sidR="00917D5E">
        <w:rPr>
          <w:rFonts w:ascii="Arial" w:eastAsia="Calibri" w:hAnsi="Arial" w:cs="Arial"/>
          <w:bCs/>
          <w:sz w:val="26"/>
          <w:szCs w:val="26"/>
        </w:rPr>
        <w:t xml:space="preserve">El inconforme expresa que por estas razones la Primera Instancia debe admitir el escrito de demanda de nulidad, ya que como se advierte la resolución que se impugna es la supuesta multa de diecisiete de junio de dos mil quince, con número de expediente </w:t>
      </w:r>
      <w:r w:rsidR="0093074E">
        <w:rPr>
          <w:rFonts w:ascii="Arial" w:eastAsia="Calibri" w:hAnsi="Arial" w:cs="Arial"/>
          <w:bCs/>
          <w:sz w:val="26"/>
          <w:szCs w:val="26"/>
        </w:rPr>
        <w:t>*******</w:t>
      </w:r>
      <w:r w:rsidR="00917D5E">
        <w:rPr>
          <w:rFonts w:ascii="Arial" w:eastAsia="Calibri" w:hAnsi="Arial" w:cs="Arial"/>
          <w:bCs/>
          <w:sz w:val="26"/>
          <w:szCs w:val="26"/>
        </w:rPr>
        <w:t>, la cual se desconoció en términos del artículo 54, facción III, de la Ley de Procedimiento y Justicia Administrativa para el Estado de Oaxaca, acto administrativo demandado</w:t>
      </w:r>
      <w:r w:rsidR="005859BB">
        <w:rPr>
          <w:rFonts w:ascii="Arial" w:eastAsia="Calibri" w:hAnsi="Arial" w:cs="Arial"/>
          <w:bCs/>
          <w:sz w:val="26"/>
          <w:szCs w:val="26"/>
        </w:rPr>
        <w:t>,</w:t>
      </w:r>
      <w:r w:rsidR="00917D5E">
        <w:rPr>
          <w:rFonts w:ascii="Arial" w:eastAsia="Calibri" w:hAnsi="Arial" w:cs="Arial"/>
          <w:bCs/>
          <w:sz w:val="26"/>
          <w:szCs w:val="26"/>
        </w:rPr>
        <w:t xml:space="preserve"> el cual encuadra en las hipótesis establecidas en el artículo 98, párrafo primero, de la Ley de Procedimiento y Justicia Administrativa para el Estado de Oaxaca, pues la citada multa impuesta al suscrito es un acto administrativo definitivo el cual causa un agravio ya que ni siquiera fue debidamente notificada </w:t>
      </w:r>
      <w:r w:rsidR="004C02A8">
        <w:rPr>
          <w:rFonts w:ascii="Arial" w:eastAsia="Calibri" w:hAnsi="Arial" w:cs="Arial"/>
          <w:bCs/>
          <w:sz w:val="26"/>
          <w:szCs w:val="26"/>
        </w:rPr>
        <w:t>motivo por el cual se desconoce y el negar la admisión de la demanda impuesta en contra de la multa, lo deja en completo estado de indefensión, transgrediendo en su perjuicio las</w:t>
      </w:r>
      <w:r w:rsidR="00E760BE">
        <w:rPr>
          <w:rFonts w:ascii="Arial" w:eastAsia="Calibri" w:hAnsi="Arial" w:cs="Arial"/>
          <w:bCs/>
          <w:sz w:val="26"/>
          <w:szCs w:val="26"/>
        </w:rPr>
        <w:t xml:space="preserve"> garantías de audiencia, legalidad, seguridad jurídica, debida fundamentación y motivación, acceso a la justicia, tutela judicial efectiva, consagradas en los artículos 14, 16 y 17 de la Constitución Política de los Estados Unidos Mexicanos. </w:t>
      </w:r>
    </w:p>
    <w:p w14:paraId="565081D5" w14:textId="4C175ED4" w:rsidR="005859BB" w:rsidRPr="00FC6D06" w:rsidRDefault="00FC6D06" w:rsidP="00D0226D">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5859BB" w:rsidRPr="005859BB">
        <w:rPr>
          <w:rFonts w:ascii="Arial" w:eastAsia="Calibri" w:hAnsi="Arial" w:cs="Arial"/>
          <w:sz w:val="26"/>
          <w:szCs w:val="26"/>
          <w:lang w:eastAsia="es-ES"/>
        </w:rPr>
        <w:t xml:space="preserve">Esta Sala Superior estima que son </w:t>
      </w:r>
      <w:r w:rsidR="005859BB" w:rsidRPr="005859BB">
        <w:rPr>
          <w:rFonts w:ascii="Arial" w:eastAsia="Calibri" w:hAnsi="Arial" w:cs="Arial"/>
          <w:b/>
          <w:sz w:val="26"/>
          <w:szCs w:val="26"/>
          <w:lang w:eastAsia="es-ES"/>
        </w:rPr>
        <w:t>fundados</w:t>
      </w:r>
      <w:r w:rsidR="005859BB" w:rsidRPr="005859BB">
        <w:rPr>
          <w:rFonts w:ascii="Arial" w:eastAsia="Calibri" w:hAnsi="Arial" w:cs="Arial"/>
          <w:sz w:val="26"/>
          <w:szCs w:val="26"/>
          <w:lang w:eastAsia="es-ES"/>
        </w:rPr>
        <w:t xml:space="preserve"> los agravios del recurrente.</w:t>
      </w:r>
      <w:r w:rsidR="00D0226D">
        <w:rPr>
          <w:rFonts w:ascii="Arial" w:eastAsia="Calibri" w:hAnsi="Arial" w:cs="Arial"/>
          <w:sz w:val="26"/>
          <w:szCs w:val="26"/>
          <w:lang w:eastAsia="es-ES"/>
        </w:rPr>
        <w:t>- - - - - - - - - - - - - - - - - - - - - - - - - - - - - - - - - - - - - - - - - - - -</w:t>
      </w:r>
    </w:p>
    <w:p w14:paraId="4B4C3C14" w14:textId="026A92F7" w:rsidR="00745ABA" w:rsidRDefault="005859BB" w:rsidP="00745ABA">
      <w:pPr>
        <w:spacing w:line="360" w:lineRule="auto"/>
        <w:ind w:firstLine="708"/>
        <w:jc w:val="both"/>
        <w:rPr>
          <w:rFonts w:ascii="Arial" w:eastAsia="Calibri" w:hAnsi="Arial" w:cs="Arial"/>
          <w:b/>
          <w:sz w:val="26"/>
          <w:szCs w:val="26"/>
          <w:lang w:eastAsia="es-ES"/>
        </w:rPr>
      </w:pPr>
      <w:r w:rsidRPr="005859BB">
        <w:rPr>
          <w:rFonts w:ascii="Arial" w:eastAsia="Calibri" w:hAnsi="Arial" w:cs="Arial"/>
          <w:bCs/>
          <w:sz w:val="26"/>
          <w:szCs w:val="26"/>
          <w:lang w:eastAsia="es-ES"/>
        </w:rPr>
        <w:t xml:space="preserve">En principio es necesario indicar, que de las constancias procesales que integran el expediente de primera instancia, las que tienen pleno valor probatorio por tratarse de actuaciones judiciales, </w:t>
      </w:r>
      <w:r w:rsidRPr="005859BB">
        <w:rPr>
          <w:rFonts w:ascii="Arial" w:eastAsia="Calibri" w:hAnsi="Arial" w:cs="Arial"/>
          <w:bCs/>
          <w:sz w:val="26"/>
          <w:szCs w:val="26"/>
          <w:lang w:eastAsia="es-ES"/>
        </w:rPr>
        <w:lastRenderedPageBreak/>
        <w:t>conforme a lo dispuesto por el artículo 203 fracción I</w:t>
      </w:r>
      <w:r w:rsidRPr="005859BB">
        <w:rPr>
          <w:rFonts w:ascii="Arial" w:eastAsia="Calibri" w:hAnsi="Arial" w:cs="Arial"/>
          <w:bCs/>
          <w:sz w:val="26"/>
          <w:szCs w:val="26"/>
          <w:vertAlign w:val="superscript"/>
          <w:lang w:eastAsia="es-ES"/>
        </w:rPr>
        <w:footnoteReference w:id="1"/>
      </w:r>
      <w:r w:rsidRPr="005859BB">
        <w:rPr>
          <w:rFonts w:ascii="Arial" w:eastAsia="Calibri" w:hAnsi="Arial" w:cs="Arial"/>
          <w:bCs/>
          <w:sz w:val="26"/>
          <w:szCs w:val="26"/>
          <w:lang w:eastAsia="es-ES"/>
        </w:rPr>
        <w:t xml:space="preserve"> de la Ley de Procedimiento y Justicia Administrativa para el Estado de Oaxaca, se observa que el demandante impugnó los actos consistentes </w:t>
      </w:r>
      <w:r w:rsidR="00FC6D06">
        <w:rPr>
          <w:rFonts w:ascii="Arial" w:eastAsia="Calibri" w:hAnsi="Arial" w:cs="Arial"/>
          <w:bCs/>
          <w:sz w:val="26"/>
          <w:szCs w:val="26"/>
          <w:lang w:eastAsia="es-ES"/>
        </w:rPr>
        <w:t xml:space="preserve">en “la supuesta multa de </w:t>
      </w:r>
      <w:r w:rsidR="00565EAF">
        <w:rPr>
          <w:rFonts w:ascii="Arial" w:eastAsia="Calibri" w:hAnsi="Arial" w:cs="Arial"/>
          <w:bCs/>
          <w:sz w:val="26"/>
          <w:szCs w:val="26"/>
          <w:lang w:eastAsia="es-ES"/>
        </w:rPr>
        <w:t xml:space="preserve">diecisiete </w:t>
      </w:r>
      <w:r w:rsidR="00FC6D06">
        <w:rPr>
          <w:rFonts w:ascii="Arial" w:eastAsia="Calibri" w:hAnsi="Arial" w:cs="Arial"/>
          <w:bCs/>
          <w:sz w:val="26"/>
          <w:szCs w:val="26"/>
          <w:lang w:eastAsia="es-ES"/>
        </w:rPr>
        <w:t xml:space="preserve">de junio de </w:t>
      </w:r>
      <w:r w:rsidR="00565EAF">
        <w:rPr>
          <w:rFonts w:ascii="Arial" w:eastAsia="Calibri" w:hAnsi="Arial" w:cs="Arial"/>
          <w:bCs/>
          <w:sz w:val="26"/>
          <w:szCs w:val="26"/>
          <w:lang w:eastAsia="es-ES"/>
        </w:rPr>
        <w:t>dos mil quince</w:t>
      </w:r>
      <w:r w:rsidR="00FC6D06">
        <w:rPr>
          <w:rFonts w:ascii="Arial" w:eastAsia="Calibri" w:hAnsi="Arial" w:cs="Arial"/>
          <w:bCs/>
          <w:sz w:val="26"/>
          <w:szCs w:val="26"/>
          <w:lang w:eastAsia="es-ES"/>
        </w:rPr>
        <w:t xml:space="preserve">, con número de expediente </w:t>
      </w:r>
      <w:r w:rsidR="0093074E">
        <w:rPr>
          <w:rFonts w:ascii="Arial" w:eastAsia="Calibri" w:hAnsi="Arial" w:cs="Arial"/>
          <w:bCs/>
          <w:sz w:val="26"/>
          <w:szCs w:val="26"/>
          <w:lang w:eastAsia="es-ES"/>
        </w:rPr>
        <w:t>*******</w:t>
      </w:r>
      <w:r w:rsidR="00FC6D06">
        <w:rPr>
          <w:rFonts w:ascii="Arial" w:eastAsia="Calibri" w:hAnsi="Arial" w:cs="Arial"/>
          <w:bCs/>
          <w:sz w:val="26"/>
          <w:szCs w:val="26"/>
          <w:lang w:eastAsia="es-ES"/>
        </w:rPr>
        <w:t xml:space="preserve">, impuesta por la omisión de la cuenta pública del ejercicio fiscal </w:t>
      </w:r>
      <w:r w:rsidR="00565EAF">
        <w:rPr>
          <w:rFonts w:ascii="Arial" w:eastAsia="Calibri" w:hAnsi="Arial" w:cs="Arial"/>
          <w:bCs/>
          <w:sz w:val="26"/>
          <w:szCs w:val="26"/>
          <w:lang w:eastAsia="es-ES"/>
        </w:rPr>
        <w:t>dos mil catorce</w:t>
      </w:r>
      <w:r w:rsidR="00FC6D06">
        <w:rPr>
          <w:rFonts w:ascii="Arial" w:eastAsia="Calibri" w:hAnsi="Arial" w:cs="Arial"/>
          <w:bCs/>
          <w:sz w:val="26"/>
          <w:szCs w:val="26"/>
          <w:lang w:eastAsia="es-ES"/>
        </w:rPr>
        <w:t xml:space="preserve">, omisión del cuarto informe de avance de gestión financiera del trimestre octubre-diciembre del ejercicio </w:t>
      </w:r>
      <w:r w:rsidR="00565EAF">
        <w:rPr>
          <w:rFonts w:ascii="Arial" w:eastAsia="Calibri" w:hAnsi="Arial" w:cs="Arial"/>
          <w:bCs/>
          <w:sz w:val="26"/>
          <w:szCs w:val="26"/>
          <w:lang w:eastAsia="es-ES"/>
        </w:rPr>
        <w:t>fiscal dos mil catorce</w:t>
      </w:r>
      <w:r w:rsidR="00FC6D06">
        <w:rPr>
          <w:rFonts w:ascii="Arial" w:eastAsia="Calibri" w:hAnsi="Arial" w:cs="Arial"/>
          <w:bCs/>
          <w:sz w:val="26"/>
          <w:szCs w:val="26"/>
          <w:lang w:eastAsia="es-ES"/>
        </w:rPr>
        <w:t xml:space="preserve"> y omisión del primer informe de avance de gestión financiera del trimestre enero-marzo del ejercicio fiscal </w:t>
      </w:r>
      <w:r w:rsidR="00565EAF">
        <w:rPr>
          <w:rFonts w:ascii="Arial" w:eastAsia="Calibri" w:hAnsi="Arial" w:cs="Arial"/>
          <w:bCs/>
          <w:sz w:val="26"/>
          <w:szCs w:val="26"/>
          <w:lang w:eastAsia="es-ES"/>
        </w:rPr>
        <w:t>dos mil quince</w:t>
      </w:r>
      <w:r w:rsidR="00FC6D06">
        <w:rPr>
          <w:rFonts w:ascii="Arial" w:eastAsia="Calibri" w:hAnsi="Arial" w:cs="Arial"/>
          <w:bCs/>
          <w:sz w:val="26"/>
          <w:szCs w:val="26"/>
          <w:lang w:eastAsia="es-ES"/>
        </w:rPr>
        <w:t>, determinada por la Auditoría Superior del Estado</w:t>
      </w:r>
      <w:r w:rsidR="00745ABA">
        <w:rPr>
          <w:rFonts w:ascii="Arial" w:eastAsia="Calibri" w:hAnsi="Arial" w:cs="Arial"/>
          <w:bCs/>
          <w:sz w:val="26"/>
          <w:szCs w:val="26"/>
          <w:lang w:eastAsia="es-ES"/>
        </w:rPr>
        <w:t>”</w:t>
      </w:r>
      <w:r w:rsidR="00745ABA">
        <w:rPr>
          <w:rStyle w:val="Refdenotaalpie"/>
          <w:rFonts w:ascii="Arial" w:eastAsia="Calibri" w:hAnsi="Arial" w:cs="Arial"/>
          <w:bCs/>
          <w:sz w:val="26"/>
          <w:szCs w:val="26"/>
          <w:lang w:eastAsia="es-ES"/>
        </w:rPr>
        <w:footnoteReference w:id="2"/>
      </w:r>
      <w:r w:rsidR="00745ABA">
        <w:rPr>
          <w:rFonts w:ascii="Arial" w:eastAsia="Calibri" w:hAnsi="Arial" w:cs="Arial"/>
          <w:bCs/>
          <w:sz w:val="26"/>
          <w:szCs w:val="26"/>
          <w:lang w:eastAsia="es-ES"/>
        </w:rPr>
        <w:t xml:space="preserve">, correspondiente al </w:t>
      </w:r>
      <w:r w:rsidRPr="005859BB">
        <w:rPr>
          <w:rFonts w:ascii="Arial" w:eastAsia="Calibri" w:hAnsi="Arial" w:cs="Arial"/>
          <w:bCs/>
          <w:sz w:val="26"/>
          <w:szCs w:val="26"/>
          <w:lang w:eastAsia="es-ES"/>
        </w:rPr>
        <w:t xml:space="preserve">crédito número </w:t>
      </w:r>
      <w:r w:rsidR="0093074E">
        <w:rPr>
          <w:rFonts w:ascii="Arial" w:eastAsia="Calibri" w:hAnsi="Arial" w:cs="Arial"/>
          <w:b/>
          <w:sz w:val="26"/>
          <w:szCs w:val="26"/>
          <w:lang w:eastAsia="es-ES"/>
        </w:rPr>
        <w:t>*******</w:t>
      </w:r>
      <w:r w:rsidRPr="005859BB">
        <w:rPr>
          <w:rFonts w:ascii="Arial" w:eastAsia="Calibri" w:hAnsi="Arial" w:cs="Arial"/>
          <w:bCs/>
          <w:sz w:val="26"/>
          <w:szCs w:val="26"/>
          <w:lang w:eastAsia="es-ES"/>
        </w:rPr>
        <w:t xml:space="preserve"> </w:t>
      </w:r>
      <w:r w:rsidR="00745ABA">
        <w:rPr>
          <w:rFonts w:ascii="Arial" w:eastAsia="Calibri" w:hAnsi="Arial" w:cs="Arial"/>
          <w:bCs/>
          <w:sz w:val="26"/>
          <w:szCs w:val="26"/>
          <w:lang w:eastAsia="es-ES"/>
        </w:rPr>
        <w:t xml:space="preserve">contenido en </w:t>
      </w:r>
      <w:r w:rsidRPr="005859BB">
        <w:rPr>
          <w:rFonts w:ascii="Arial" w:eastAsia="Calibri" w:hAnsi="Arial" w:cs="Arial"/>
          <w:bCs/>
          <w:sz w:val="26"/>
          <w:szCs w:val="26"/>
          <w:lang w:eastAsia="es-ES"/>
        </w:rPr>
        <w:t xml:space="preserve">el mandamiento de ejecución número </w:t>
      </w:r>
      <w:bookmarkStart w:id="0" w:name="_Hlk109412898"/>
      <w:bookmarkStart w:id="1" w:name="_Hlk109408014"/>
      <w:r w:rsidR="0093074E">
        <w:rPr>
          <w:rFonts w:ascii="Arial" w:eastAsia="Calibri" w:hAnsi="Arial" w:cs="Arial"/>
          <w:b/>
          <w:sz w:val="26"/>
          <w:szCs w:val="26"/>
          <w:lang w:eastAsia="es-ES"/>
        </w:rPr>
        <w:t>*******</w:t>
      </w:r>
      <w:r w:rsidR="00927BF4">
        <w:rPr>
          <w:rStyle w:val="Refdenotaalpie"/>
          <w:rFonts w:ascii="Arial" w:eastAsia="Calibri" w:hAnsi="Arial" w:cs="Arial"/>
          <w:bCs/>
          <w:sz w:val="26"/>
          <w:szCs w:val="26"/>
          <w:lang w:eastAsia="es-ES"/>
        </w:rPr>
        <w:footnoteReference w:id="3"/>
      </w:r>
      <w:r w:rsidR="00927BF4">
        <w:rPr>
          <w:rFonts w:ascii="Arial" w:eastAsia="Calibri" w:hAnsi="Arial" w:cs="Arial"/>
          <w:bCs/>
          <w:sz w:val="26"/>
          <w:szCs w:val="26"/>
          <w:lang w:eastAsia="es-ES"/>
        </w:rPr>
        <w:t xml:space="preserve"> de ocho de noviembre de dos mil diecinueve</w:t>
      </w:r>
      <w:bookmarkEnd w:id="0"/>
      <w:r w:rsidR="00927BF4">
        <w:rPr>
          <w:rFonts w:ascii="Arial" w:eastAsia="Calibri" w:hAnsi="Arial" w:cs="Arial"/>
          <w:bCs/>
          <w:sz w:val="26"/>
          <w:szCs w:val="26"/>
          <w:lang w:eastAsia="es-ES"/>
        </w:rPr>
        <w:t>.</w:t>
      </w:r>
      <w:r w:rsidR="00D0226D">
        <w:rPr>
          <w:rFonts w:ascii="Arial" w:eastAsia="Calibri" w:hAnsi="Arial" w:cs="Arial"/>
          <w:bCs/>
          <w:sz w:val="26"/>
          <w:szCs w:val="26"/>
          <w:lang w:eastAsia="es-ES"/>
        </w:rPr>
        <w:t xml:space="preserve"> - - - - - - - - - - - - - - - - - - - - - </w:t>
      </w:r>
    </w:p>
    <w:bookmarkEnd w:id="1"/>
    <w:p w14:paraId="168427ED" w14:textId="41C8AF1D" w:rsidR="005859BB" w:rsidRPr="005859BB" w:rsidRDefault="005859BB" w:rsidP="005859BB">
      <w:pPr>
        <w:spacing w:line="360" w:lineRule="auto"/>
        <w:ind w:firstLine="708"/>
        <w:jc w:val="both"/>
        <w:rPr>
          <w:rFonts w:ascii="Arial" w:eastAsia="Calibri" w:hAnsi="Arial" w:cs="Arial"/>
          <w:bCs/>
          <w:sz w:val="26"/>
          <w:szCs w:val="26"/>
          <w:lang w:eastAsia="es-ES"/>
        </w:rPr>
      </w:pPr>
      <w:r w:rsidRPr="005859BB">
        <w:rPr>
          <w:rFonts w:ascii="Arial" w:eastAsia="Calibri" w:hAnsi="Arial" w:cs="Arial"/>
          <w:bCs/>
          <w:sz w:val="26"/>
          <w:szCs w:val="26"/>
          <w:lang w:eastAsia="es-ES"/>
        </w:rPr>
        <w:t>En ese orden de ideas, del análisis efectuado a las constancias del mandamiento de ejecución</w:t>
      </w:r>
      <w:r w:rsidR="00927BF4">
        <w:rPr>
          <w:rFonts w:ascii="Arial" w:eastAsia="Calibri" w:hAnsi="Arial" w:cs="Arial"/>
          <w:bCs/>
          <w:sz w:val="26"/>
          <w:szCs w:val="26"/>
          <w:lang w:eastAsia="es-ES"/>
        </w:rPr>
        <w:t xml:space="preserve"> </w:t>
      </w:r>
      <w:r w:rsidR="0093074E">
        <w:rPr>
          <w:rFonts w:ascii="Arial" w:eastAsia="Calibri" w:hAnsi="Arial" w:cs="Arial"/>
          <w:b/>
          <w:sz w:val="26"/>
          <w:szCs w:val="26"/>
          <w:lang w:eastAsia="es-ES"/>
        </w:rPr>
        <w:t>*******</w:t>
      </w:r>
      <w:r w:rsidR="00927BF4">
        <w:rPr>
          <w:rFonts w:ascii="Arial" w:eastAsia="Calibri" w:hAnsi="Arial" w:cs="Arial"/>
          <w:b/>
          <w:sz w:val="26"/>
          <w:szCs w:val="26"/>
          <w:lang w:eastAsia="es-ES"/>
        </w:rPr>
        <w:t xml:space="preserve">, </w:t>
      </w:r>
      <w:r w:rsidR="00927BF4" w:rsidRPr="00927BF4">
        <w:rPr>
          <w:rFonts w:ascii="Arial" w:eastAsia="Calibri" w:hAnsi="Arial" w:cs="Arial"/>
          <w:bCs/>
          <w:sz w:val="26"/>
          <w:szCs w:val="26"/>
          <w:lang w:eastAsia="es-ES"/>
        </w:rPr>
        <w:t>s</w:t>
      </w:r>
      <w:r w:rsidRPr="005859BB">
        <w:rPr>
          <w:rFonts w:ascii="Arial" w:eastAsia="Calibri" w:hAnsi="Arial" w:cs="Arial"/>
          <w:bCs/>
          <w:sz w:val="26"/>
          <w:szCs w:val="26"/>
          <w:lang w:eastAsia="es-ES"/>
        </w:rPr>
        <w:t>e observa lo siguiente:</w:t>
      </w:r>
    </w:p>
    <w:p w14:paraId="66FC7CF2" w14:textId="37714F5B" w:rsidR="005859BB" w:rsidRPr="005859BB" w:rsidRDefault="005859BB" w:rsidP="005859BB">
      <w:pPr>
        <w:numPr>
          <w:ilvl w:val="0"/>
          <w:numId w:val="13"/>
        </w:numPr>
        <w:spacing w:line="360" w:lineRule="auto"/>
        <w:jc w:val="both"/>
        <w:rPr>
          <w:rFonts w:ascii="Arial" w:eastAsia="Calibri" w:hAnsi="Arial" w:cs="Arial"/>
          <w:bCs/>
          <w:sz w:val="26"/>
          <w:szCs w:val="26"/>
          <w:lang w:eastAsia="es-ES"/>
        </w:rPr>
      </w:pPr>
      <w:r w:rsidRPr="005859BB">
        <w:rPr>
          <w:rFonts w:ascii="Arial" w:eastAsia="Calibri" w:hAnsi="Arial" w:cs="Arial"/>
          <w:bCs/>
          <w:sz w:val="26"/>
          <w:szCs w:val="26"/>
          <w:lang w:eastAsia="es-ES"/>
        </w:rPr>
        <w:t xml:space="preserve">Que la resolución determinante del </w:t>
      </w:r>
      <w:bookmarkStart w:id="2" w:name="_Hlk109413212"/>
      <w:r w:rsidRPr="005859BB">
        <w:rPr>
          <w:rFonts w:ascii="Arial" w:eastAsia="Calibri" w:hAnsi="Arial" w:cs="Arial"/>
          <w:bCs/>
          <w:sz w:val="26"/>
          <w:szCs w:val="26"/>
          <w:lang w:eastAsia="es-ES"/>
        </w:rPr>
        <w:t xml:space="preserve">crédito número </w:t>
      </w:r>
      <w:r w:rsidR="0093074E">
        <w:rPr>
          <w:rFonts w:ascii="Arial" w:eastAsia="Calibri" w:hAnsi="Arial" w:cs="Arial"/>
          <w:b/>
          <w:sz w:val="26"/>
          <w:szCs w:val="26"/>
          <w:lang w:eastAsia="es-ES"/>
        </w:rPr>
        <w:t>*******</w:t>
      </w:r>
      <w:r w:rsidRPr="005859BB">
        <w:rPr>
          <w:rFonts w:ascii="Arial" w:eastAsia="Calibri" w:hAnsi="Arial" w:cs="Arial"/>
          <w:bCs/>
          <w:sz w:val="26"/>
          <w:szCs w:val="26"/>
          <w:lang w:eastAsia="es-ES"/>
        </w:rPr>
        <w:t xml:space="preserve"> fue la identificada con el número</w:t>
      </w:r>
      <w:r w:rsidR="00EE2075">
        <w:rPr>
          <w:rFonts w:ascii="Arial" w:eastAsia="Calibri" w:hAnsi="Arial" w:cs="Arial"/>
          <w:b/>
          <w:bCs/>
          <w:sz w:val="26"/>
          <w:szCs w:val="26"/>
          <w:lang w:eastAsia="es-ES"/>
        </w:rPr>
        <w:t xml:space="preserve"> </w:t>
      </w:r>
      <w:bookmarkStart w:id="3" w:name="_Hlk109412486"/>
      <w:r w:rsidR="0093074E">
        <w:rPr>
          <w:rFonts w:ascii="Arial" w:eastAsia="Calibri" w:hAnsi="Arial" w:cs="Arial"/>
          <w:b/>
          <w:sz w:val="26"/>
          <w:szCs w:val="26"/>
          <w:lang w:eastAsia="es-ES"/>
        </w:rPr>
        <w:t>*******</w:t>
      </w:r>
      <w:r w:rsidRPr="005859BB">
        <w:rPr>
          <w:rFonts w:ascii="Arial" w:eastAsia="Calibri" w:hAnsi="Arial" w:cs="Arial"/>
          <w:b/>
          <w:bCs/>
          <w:sz w:val="26"/>
          <w:szCs w:val="26"/>
          <w:lang w:eastAsia="es-ES"/>
        </w:rPr>
        <w:t xml:space="preserve">, </w:t>
      </w:r>
      <w:r w:rsidRPr="005859BB">
        <w:rPr>
          <w:rFonts w:ascii="Arial" w:eastAsia="Calibri" w:hAnsi="Arial" w:cs="Arial"/>
          <w:bCs/>
          <w:sz w:val="26"/>
          <w:szCs w:val="26"/>
          <w:lang w:eastAsia="es-ES"/>
        </w:rPr>
        <w:t xml:space="preserve">de </w:t>
      </w:r>
      <w:r w:rsidR="00EE2075">
        <w:rPr>
          <w:rFonts w:ascii="Arial" w:eastAsia="Calibri" w:hAnsi="Arial" w:cs="Arial"/>
          <w:bCs/>
          <w:sz w:val="26"/>
          <w:szCs w:val="26"/>
          <w:lang w:eastAsia="es-ES"/>
        </w:rPr>
        <w:t>diecisiete de junio d</w:t>
      </w:r>
      <w:r w:rsidRPr="005859BB">
        <w:rPr>
          <w:rFonts w:ascii="Arial" w:eastAsia="Calibri" w:hAnsi="Arial" w:cs="Arial"/>
          <w:bCs/>
          <w:sz w:val="26"/>
          <w:szCs w:val="26"/>
          <w:lang w:eastAsia="es-ES"/>
        </w:rPr>
        <w:t xml:space="preserve">e dos mil </w:t>
      </w:r>
      <w:r w:rsidR="00EE2075">
        <w:rPr>
          <w:rFonts w:ascii="Arial" w:eastAsia="Calibri" w:hAnsi="Arial" w:cs="Arial"/>
          <w:bCs/>
          <w:sz w:val="26"/>
          <w:szCs w:val="26"/>
          <w:lang w:eastAsia="es-ES"/>
        </w:rPr>
        <w:t>quince</w:t>
      </w:r>
      <w:r w:rsidRPr="005859BB">
        <w:rPr>
          <w:rFonts w:ascii="Arial" w:eastAsia="Calibri" w:hAnsi="Arial" w:cs="Arial"/>
          <w:bCs/>
          <w:sz w:val="26"/>
          <w:szCs w:val="26"/>
          <w:lang w:eastAsia="es-ES"/>
        </w:rPr>
        <w:t xml:space="preserve">, emitida por </w:t>
      </w:r>
      <w:r w:rsidR="00EE2075">
        <w:rPr>
          <w:rFonts w:ascii="Arial" w:eastAsia="Calibri" w:hAnsi="Arial" w:cs="Arial"/>
          <w:bCs/>
          <w:sz w:val="26"/>
          <w:szCs w:val="26"/>
          <w:lang w:eastAsia="es-ES"/>
        </w:rPr>
        <w:t xml:space="preserve">la entonces Auditoría Superior del Estado. </w:t>
      </w:r>
    </w:p>
    <w:bookmarkEnd w:id="3"/>
    <w:bookmarkEnd w:id="2"/>
    <w:p w14:paraId="4AB6CAD7" w14:textId="04B723A5" w:rsidR="00CC7316" w:rsidRDefault="005859BB" w:rsidP="005859BB">
      <w:pPr>
        <w:numPr>
          <w:ilvl w:val="0"/>
          <w:numId w:val="13"/>
        </w:numPr>
        <w:spacing w:line="360" w:lineRule="auto"/>
        <w:jc w:val="both"/>
        <w:rPr>
          <w:rFonts w:ascii="Arial" w:eastAsia="Calibri" w:hAnsi="Arial" w:cs="Arial"/>
          <w:bCs/>
          <w:sz w:val="26"/>
          <w:szCs w:val="26"/>
          <w:lang w:eastAsia="es-ES"/>
        </w:rPr>
      </w:pPr>
      <w:r w:rsidRPr="005859BB">
        <w:rPr>
          <w:rFonts w:ascii="Arial" w:eastAsia="Calibri" w:hAnsi="Arial" w:cs="Arial"/>
          <w:bCs/>
          <w:sz w:val="26"/>
          <w:szCs w:val="26"/>
          <w:lang w:eastAsia="es-ES"/>
        </w:rPr>
        <w:t>Que el concepto de pago requerido no tiene carácter fiscal, porque se trata de</w:t>
      </w:r>
      <w:r w:rsidR="00CC7316">
        <w:rPr>
          <w:rFonts w:ascii="Arial" w:eastAsia="Calibri" w:hAnsi="Arial" w:cs="Arial"/>
          <w:bCs/>
          <w:sz w:val="26"/>
          <w:szCs w:val="26"/>
          <w:lang w:eastAsia="es-ES"/>
        </w:rPr>
        <w:t xml:space="preserve"> una </w:t>
      </w:r>
      <w:bookmarkStart w:id="4" w:name="_Hlk109412982"/>
      <w:r w:rsidR="00CC7316">
        <w:rPr>
          <w:rFonts w:ascii="Arial" w:eastAsia="Calibri" w:hAnsi="Arial" w:cs="Arial"/>
          <w:bCs/>
          <w:sz w:val="26"/>
          <w:szCs w:val="26"/>
          <w:lang w:eastAsia="es-ES"/>
        </w:rPr>
        <w:t>“multa impuesta por la omisión de la cuenta pública del ejercicio fiscal dos mil catorce</w:t>
      </w:r>
      <w:r w:rsidR="00CF7EB5">
        <w:rPr>
          <w:rFonts w:ascii="Arial" w:eastAsia="Calibri" w:hAnsi="Arial" w:cs="Arial"/>
          <w:bCs/>
          <w:sz w:val="26"/>
          <w:szCs w:val="26"/>
          <w:lang w:eastAsia="es-ES"/>
        </w:rPr>
        <w:t xml:space="preserve">, omisión del cuarto informe de avance de gestión financiera del trimestre octubre- diciembre del ejercicio fiscal dos mil catorce y omisión del primer informe de avance de gestión financiera del trimestre enero-marzo del ejercicio fiscal dos mil quince”, </w:t>
      </w:r>
      <w:r w:rsidR="00810881">
        <w:rPr>
          <w:rFonts w:ascii="Arial" w:eastAsia="Calibri" w:hAnsi="Arial" w:cs="Arial"/>
          <w:bCs/>
          <w:sz w:val="26"/>
          <w:szCs w:val="26"/>
          <w:lang w:eastAsia="es-ES"/>
        </w:rPr>
        <w:t xml:space="preserve">en cantidad de </w:t>
      </w:r>
      <w:r w:rsidR="00810881" w:rsidRPr="00810881">
        <w:rPr>
          <w:rFonts w:ascii="Arial" w:eastAsia="Calibri" w:hAnsi="Arial" w:cs="Arial"/>
          <w:b/>
          <w:sz w:val="26"/>
          <w:szCs w:val="26"/>
          <w:lang w:eastAsia="es-ES"/>
        </w:rPr>
        <w:t>$</w:t>
      </w:r>
      <w:r w:rsidR="0093074E">
        <w:rPr>
          <w:rFonts w:ascii="Arial" w:eastAsia="Calibri" w:hAnsi="Arial" w:cs="Arial"/>
          <w:b/>
          <w:sz w:val="26"/>
          <w:szCs w:val="26"/>
          <w:lang w:eastAsia="es-ES"/>
        </w:rPr>
        <w:t>*******</w:t>
      </w:r>
      <w:r w:rsidR="00810881" w:rsidRPr="00810881">
        <w:rPr>
          <w:rFonts w:ascii="Arial" w:eastAsia="Calibri" w:hAnsi="Arial" w:cs="Arial"/>
          <w:b/>
          <w:sz w:val="26"/>
          <w:szCs w:val="26"/>
          <w:lang w:eastAsia="es-ES"/>
        </w:rPr>
        <w:t>),</w:t>
      </w:r>
      <w:r w:rsidR="00810881">
        <w:rPr>
          <w:rFonts w:ascii="Arial" w:eastAsia="Calibri" w:hAnsi="Arial" w:cs="Arial"/>
          <w:bCs/>
          <w:sz w:val="26"/>
          <w:szCs w:val="26"/>
          <w:lang w:eastAsia="es-ES"/>
        </w:rPr>
        <w:t xml:space="preserve"> </w:t>
      </w:r>
      <w:r w:rsidR="00CF7EB5">
        <w:rPr>
          <w:rFonts w:ascii="Arial" w:eastAsia="Calibri" w:hAnsi="Arial" w:cs="Arial"/>
          <w:bCs/>
          <w:sz w:val="26"/>
          <w:szCs w:val="26"/>
          <w:lang w:eastAsia="es-ES"/>
        </w:rPr>
        <w:t xml:space="preserve">que se originó cuando </w:t>
      </w:r>
      <w:r w:rsidR="0093074E">
        <w:rPr>
          <w:rFonts w:ascii="Arial" w:eastAsia="Calibri" w:hAnsi="Arial" w:cs="Arial"/>
          <w:bCs/>
          <w:sz w:val="26"/>
          <w:szCs w:val="26"/>
          <w:lang w:eastAsia="es-ES"/>
        </w:rPr>
        <w:t>*******</w:t>
      </w:r>
      <w:r w:rsidR="00CF7EB5">
        <w:rPr>
          <w:rFonts w:ascii="Arial" w:eastAsia="Calibri" w:hAnsi="Arial" w:cs="Arial"/>
          <w:bCs/>
          <w:sz w:val="26"/>
          <w:szCs w:val="26"/>
          <w:lang w:eastAsia="es-ES"/>
        </w:rPr>
        <w:t xml:space="preserve">, fungió como regidor de Hacienda del Municipio de </w:t>
      </w:r>
      <w:r w:rsidR="0093074E">
        <w:rPr>
          <w:rFonts w:ascii="Arial" w:eastAsia="Calibri" w:hAnsi="Arial" w:cs="Arial"/>
          <w:bCs/>
          <w:sz w:val="26"/>
          <w:szCs w:val="26"/>
          <w:lang w:eastAsia="es-ES"/>
        </w:rPr>
        <w:t>*******</w:t>
      </w:r>
      <w:r w:rsidR="00CF7EB5">
        <w:rPr>
          <w:rFonts w:ascii="Arial" w:eastAsia="Calibri" w:hAnsi="Arial" w:cs="Arial"/>
          <w:bCs/>
          <w:sz w:val="26"/>
          <w:szCs w:val="26"/>
          <w:lang w:eastAsia="es-ES"/>
        </w:rPr>
        <w:t xml:space="preserve">. </w:t>
      </w:r>
    </w:p>
    <w:bookmarkEnd w:id="4"/>
    <w:p w14:paraId="124312CF" w14:textId="4D8B1520" w:rsidR="005859BB" w:rsidRPr="005859BB" w:rsidRDefault="005859BB" w:rsidP="005859BB">
      <w:pPr>
        <w:spacing w:line="360" w:lineRule="auto"/>
        <w:ind w:firstLine="708"/>
        <w:jc w:val="both"/>
        <w:rPr>
          <w:rFonts w:ascii="Arial" w:eastAsia="Calibri" w:hAnsi="Arial" w:cs="Arial"/>
          <w:bCs/>
          <w:sz w:val="26"/>
          <w:szCs w:val="26"/>
          <w:lang w:eastAsia="es-ES"/>
        </w:rPr>
      </w:pPr>
      <w:r w:rsidRPr="005859BB">
        <w:rPr>
          <w:rFonts w:ascii="Arial" w:eastAsia="Calibri" w:hAnsi="Arial" w:cs="Arial"/>
          <w:bCs/>
          <w:sz w:val="26"/>
          <w:szCs w:val="26"/>
          <w:lang w:eastAsia="es-ES"/>
        </w:rPr>
        <w:t xml:space="preserve">Como se ve, el mandamiento de ejecución impugnado se deriva de una multa que no es de naturaleza tributaria, si no que proviene de un procedimiento de fiscalización instaurado en contra del ahora recurrente por la Auditoría Superior del Estado en aquel tiempo, ahora </w:t>
      </w:r>
      <w:r w:rsidRPr="005859BB">
        <w:rPr>
          <w:rFonts w:ascii="Arial" w:eastAsia="Calibri" w:hAnsi="Arial" w:cs="Arial"/>
          <w:bCs/>
          <w:sz w:val="26"/>
          <w:szCs w:val="26"/>
          <w:lang w:eastAsia="es-ES"/>
        </w:rPr>
        <w:lastRenderedPageBreak/>
        <w:t>Órgano Superior de Fiscalización del Estado, aunque dicho acto haya sido emitido por la Coordinadora de Cobro Coactivo de la Secretaría de Finanzas del Estado de Oaxaca y se haya diligenciado conforme al procedimiento administrativo de ejecución establecido en el Código Fiscal para el Estado de Oaxaca vigente.</w:t>
      </w:r>
      <w:r w:rsidR="00D0226D">
        <w:rPr>
          <w:rFonts w:ascii="Arial" w:eastAsia="Calibri" w:hAnsi="Arial" w:cs="Arial"/>
          <w:bCs/>
          <w:sz w:val="26"/>
          <w:szCs w:val="26"/>
          <w:lang w:eastAsia="es-ES"/>
        </w:rPr>
        <w:t xml:space="preserve"> - - - - - - - - - - - - - - - - - - - - - - </w:t>
      </w:r>
    </w:p>
    <w:p w14:paraId="323547EC" w14:textId="5DB32F3F" w:rsidR="005859BB" w:rsidRPr="005859BB" w:rsidRDefault="005859BB" w:rsidP="005859BB">
      <w:pPr>
        <w:spacing w:line="360" w:lineRule="auto"/>
        <w:ind w:firstLine="708"/>
        <w:jc w:val="both"/>
        <w:rPr>
          <w:rFonts w:ascii="Arial" w:eastAsia="Calibri" w:hAnsi="Arial" w:cs="Arial"/>
          <w:bCs/>
          <w:sz w:val="26"/>
          <w:szCs w:val="26"/>
          <w:lang w:eastAsia="es-ES"/>
        </w:rPr>
      </w:pPr>
      <w:r w:rsidRPr="005859BB">
        <w:rPr>
          <w:rFonts w:ascii="Arial" w:eastAsia="Calibri" w:hAnsi="Arial" w:cs="Arial"/>
          <w:bCs/>
          <w:sz w:val="26"/>
          <w:szCs w:val="26"/>
          <w:lang w:eastAsia="es-ES"/>
        </w:rPr>
        <w:t xml:space="preserve">Sin embargo, en el acuerdo de </w:t>
      </w:r>
      <w:r w:rsidR="0001089C">
        <w:rPr>
          <w:rFonts w:ascii="Arial" w:eastAsia="Calibri" w:hAnsi="Arial" w:cs="Arial"/>
          <w:bCs/>
          <w:sz w:val="26"/>
          <w:szCs w:val="26"/>
          <w:lang w:eastAsia="es-ES"/>
        </w:rPr>
        <w:t xml:space="preserve">once de mayo </w:t>
      </w:r>
      <w:r w:rsidRPr="005859BB">
        <w:rPr>
          <w:rFonts w:ascii="Arial" w:eastAsia="Calibri" w:hAnsi="Arial" w:cs="Arial"/>
          <w:bCs/>
          <w:sz w:val="26"/>
          <w:szCs w:val="26"/>
          <w:lang w:eastAsia="es-ES"/>
        </w:rPr>
        <w:t>de dos mil veintiuno, la Primera Sala Unitaria de Primera Instancia, sin haber realizado el análisis integral de los actos impugnados por</w:t>
      </w:r>
      <w:r w:rsidR="0001089C">
        <w:rPr>
          <w:rFonts w:ascii="Arial" w:eastAsia="Calibri" w:hAnsi="Arial" w:cs="Arial"/>
          <w:bCs/>
          <w:sz w:val="26"/>
          <w:szCs w:val="26"/>
          <w:lang w:eastAsia="es-ES"/>
        </w:rPr>
        <w:t xml:space="preserve"> </w:t>
      </w:r>
      <w:r w:rsidR="0093074E">
        <w:rPr>
          <w:rFonts w:ascii="Arial" w:eastAsia="Calibri" w:hAnsi="Arial" w:cs="Arial"/>
          <w:b/>
          <w:sz w:val="26"/>
          <w:szCs w:val="26"/>
          <w:lang w:eastAsia="es-ES"/>
        </w:rPr>
        <w:t>*******</w:t>
      </w:r>
      <w:r w:rsidR="0001089C">
        <w:rPr>
          <w:rFonts w:ascii="Arial" w:eastAsia="Calibri" w:hAnsi="Arial" w:cs="Arial"/>
          <w:bCs/>
          <w:sz w:val="26"/>
          <w:szCs w:val="26"/>
          <w:lang w:eastAsia="es-ES"/>
        </w:rPr>
        <w:t>,</w:t>
      </w:r>
      <w:r w:rsidR="00061D3B">
        <w:rPr>
          <w:rFonts w:ascii="Arial" w:eastAsia="Calibri" w:hAnsi="Arial" w:cs="Arial"/>
          <w:bCs/>
          <w:sz w:val="26"/>
          <w:szCs w:val="26"/>
          <w:lang w:eastAsia="es-ES"/>
        </w:rPr>
        <w:t xml:space="preserve"> </w:t>
      </w:r>
      <w:r w:rsidRPr="005859BB">
        <w:rPr>
          <w:rFonts w:ascii="Arial" w:eastAsia="Calibri" w:hAnsi="Arial" w:cs="Arial"/>
          <w:bCs/>
          <w:sz w:val="26"/>
          <w:szCs w:val="26"/>
          <w:lang w:eastAsia="es-ES"/>
        </w:rPr>
        <w:t>determinó desechar por improcedente la demanda promovida en contra del mandamiento de ejecución</w:t>
      </w:r>
      <w:r w:rsidR="00134063">
        <w:rPr>
          <w:rFonts w:ascii="Arial" w:eastAsia="Calibri" w:hAnsi="Arial" w:cs="Arial"/>
          <w:bCs/>
          <w:sz w:val="26"/>
          <w:szCs w:val="26"/>
          <w:lang w:eastAsia="es-ES"/>
        </w:rPr>
        <w:t xml:space="preserve"> </w:t>
      </w:r>
      <w:r w:rsidR="0093074E">
        <w:rPr>
          <w:rFonts w:ascii="Arial" w:eastAsia="Calibri" w:hAnsi="Arial" w:cs="Arial"/>
          <w:b/>
          <w:sz w:val="26"/>
          <w:szCs w:val="26"/>
          <w:lang w:eastAsia="es-ES"/>
        </w:rPr>
        <w:t>*******</w:t>
      </w:r>
      <w:r w:rsidR="00134063">
        <w:rPr>
          <w:rFonts w:ascii="Arial" w:eastAsia="Calibri" w:hAnsi="Arial" w:cs="Arial"/>
          <w:b/>
          <w:sz w:val="26"/>
          <w:szCs w:val="26"/>
          <w:lang w:eastAsia="es-ES"/>
        </w:rPr>
        <w:t xml:space="preserve">, </w:t>
      </w:r>
      <w:r w:rsidRPr="005859BB">
        <w:rPr>
          <w:rFonts w:ascii="Arial" w:eastAsia="Calibri" w:hAnsi="Arial" w:cs="Arial"/>
          <w:bCs/>
          <w:sz w:val="26"/>
          <w:szCs w:val="26"/>
          <w:lang w:eastAsia="es-ES"/>
        </w:rPr>
        <w:t xml:space="preserve">porque estimó que este acto no es impugnable por carecer de definitividad y porque tampoco se encuentra dentro de las hipótesis previstas en el artículo 133 fracción VIII incisos a), b) y c) </w:t>
      </w:r>
      <w:r w:rsidR="00810881">
        <w:rPr>
          <w:rFonts w:ascii="Arial" w:eastAsia="Calibri" w:hAnsi="Arial" w:cs="Arial"/>
          <w:bCs/>
          <w:sz w:val="26"/>
          <w:szCs w:val="26"/>
          <w:lang w:eastAsia="es-ES"/>
        </w:rPr>
        <w:t>de</w:t>
      </w:r>
      <w:r w:rsidRPr="005859BB">
        <w:rPr>
          <w:rFonts w:ascii="Arial" w:eastAsia="Calibri" w:hAnsi="Arial" w:cs="Arial"/>
          <w:bCs/>
          <w:sz w:val="26"/>
          <w:szCs w:val="26"/>
          <w:lang w:eastAsia="es-ES"/>
        </w:rPr>
        <w:t xml:space="preserve"> la Ley de Procedimiento y Justicia Administrativa para el Estado de Oaxaca, que establecen:</w:t>
      </w:r>
    </w:p>
    <w:p w14:paraId="4114EF78" w14:textId="77777777" w:rsidR="005859BB" w:rsidRPr="005859BB" w:rsidRDefault="005859BB" w:rsidP="00D0226D">
      <w:pPr>
        <w:spacing w:after="120"/>
        <w:ind w:left="567" w:right="758"/>
        <w:jc w:val="both"/>
        <w:rPr>
          <w:rFonts w:ascii="Arial" w:eastAsia="Calibri" w:hAnsi="Arial" w:cs="Arial"/>
          <w:bCs/>
          <w:i/>
          <w:lang w:eastAsia="es-ES"/>
        </w:rPr>
      </w:pPr>
      <w:r w:rsidRPr="005859BB">
        <w:rPr>
          <w:rFonts w:ascii="Arial" w:eastAsia="Calibri" w:hAnsi="Arial" w:cs="Arial"/>
          <w:b/>
          <w:bCs/>
          <w:i/>
          <w:lang w:eastAsia="es-ES"/>
        </w:rPr>
        <w:t>ARTÍCULO 133.-</w:t>
      </w:r>
      <w:r w:rsidRPr="005859BB">
        <w:rPr>
          <w:rFonts w:ascii="Arial" w:eastAsia="Calibri" w:hAnsi="Arial" w:cs="Arial"/>
          <w:bCs/>
          <w:i/>
          <w:lang w:eastAsia="es-ES"/>
        </w:rPr>
        <w:t xml:space="preserve"> Las Salas Unitarias del Tribunal son competentes para conocer y resolver los juicios que se promuevan en contra de: (…)</w:t>
      </w:r>
    </w:p>
    <w:p w14:paraId="5B33940D" w14:textId="77777777" w:rsidR="005859BB" w:rsidRPr="005859BB" w:rsidRDefault="005859BB" w:rsidP="00D0226D">
      <w:pPr>
        <w:spacing w:after="120"/>
        <w:ind w:left="567" w:right="758"/>
        <w:jc w:val="both"/>
        <w:rPr>
          <w:rFonts w:ascii="Arial" w:eastAsia="Calibri" w:hAnsi="Arial" w:cs="Arial"/>
          <w:bCs/>
          <w:i/>
          <w:lang w:eastAsia="es-ES"/>
        </w:rPr>
      </w:pPr>
      <w:r w:rsidRPr="005859BB">
        <w:rPr>
          <w:rFonts w:ascii="Arial" w:eastAsia="Calibri" w:hAnsi="Arial" w:cs="Arial"/>
          <w:b/>
          <w:bCs/>
          <w:i/>
          <w:lang w:eastAsia="es-ES"/>
        </w:rPr>
        <w:t>VIII.</w:t>
      </w:r>
      <w:r w:rsidRPr="005859BB">
        <w:rPr>
          <w:rFonts w:ascii="Arial" w:eastAsia="Calibri" w:hAnsi="Arial" w:cs="Arial"/>
          <w:bCs/>
          <w:i/>
          <w:lang w:eastAsia="es-ES"/>
        </w:rPr>
        <w:t xml:space="preserve"> El procedimiento administrativo de ejecución cuando el afectado en dicho procedimiento opte por no interponer el recurso ordinario ante las autoridades competentes y cuando afirme:</w:t>
      </w:r>
    </w:p>
    <w:p w14:paraId="64C39F2C" w14:textId="77777777" w:rsidR="005859BB" w:rsidRPr="005859BB" w:rsidRDefault="005859BB" w:rsidP="00D0226D">
      <w:pPr>
        <w:spacing w:after="120"/>
        <w:ind w:left="567" w:right="758"/>
        <w:jc w:val="both"/>
        <w:rPr>
          <w:rFonts w:ascii="Arial" w:eastAsia="Calibri" w:hAnsi="Arial" w:cs="Arial"/>
          <w:bCs/>
          <w:i/>
          <w:lang w:eastAsia="es-ES"/>
        </w:rPr>
      </w:pPr>
      <w:r w:rsidRPr="005859BB">
        <w:rPr>
          <w:rFonts w:ascii="Arial" w:eastAsia="Calibri" w:hAnsi="Arial" w:cs="Arial"/>
          <w:b/>
          <w:bCs/>
          <w:i/>
          <w:lang w:eastAsia="es-ES"/>
        </w:rPr>
        <w:t xml:space="preserve">a) </w:t>
      </w:r>
      <w:r w:rsidRPr="005859BB">
        <w:rPr>
          <w:rFonts w:ascii="Arial" w:eastAsia="Calibri" w:hAnsi="Arial" w:cs="Arial"/>
          <w:bCs/>
          <w:i/>
          <w:lang w:eastAsia="es-ES"/>
        </w:rPr>
        <w:t>Que el crédito que le exige se ha extinguido legalmente;</w:t>
      </w:r>
    </w:p>
    <w:p w14:paraId="3FBE3CC4" w14:textId="77777777" w:rsidR="005859BB" w:rsidRPr="005859BB" w:rsidRDefault="005859BB" w:rsidP="00D0226D">
      <w:pPr>
        <w:spacing w:after="120"/>
        <w:ind w:left="567" w:right="758"/>
        <w:jc w:val="both"/>
        <w:rPr>
          <w:rFonts w:ascii="Arial" w:eastAsia="Calibri" w:hAnsi="Arial" w:cs="Arial"/>
          <w:bCs/>
          <w:i/>
          <w:lang w:eastAsia="es-ES"/>
        </w:rPr>
      </w:pPr>
      <w:r w:rsidRPr="005859BB">
        <w:rPr>
          <w:rFonts w:ascii="Arial" w:eastAsia="Calibri" w:hAnsi="Arial" w:cs="Arial"/>
          <w:b/>
          <w:bCs/>
          <w:i/>
          <w:lang w:eastAsia="es-ES"/>
        </w:rPr>
        <w:t>b)</w:t>
      </w:r>
      <w:r w:rsidRPr="005859BB">
        <w:rPr>
          <w:rFonts w:ascii="Arial" w:eastAsia="Calibri" w:hAnsi="Arial" w:cs="Arial"/>
          <w:bCs/>
          <w:i/>
          <w:lang w:eastAsia="es-ES"/>
        </w:rPr>
        <w:t xml:space="preserve"> Que el monto del crédito es inferior al exigible;</w:t>
      </w:r>
    </w:p>
    <w:p w14:paraId="002E069F" w14:textId="77777777" w:rsidR="005859BB" w:rsidRPr="005859BB" w:rsidRDefault="005859BB" w:rsidP="00D0226D">
      <w:pPr>
        <w:spacing w:after="120"/>
        <w:ind w:left="567" w:right="758"/>
        <w:jc w:val="both"/>
        <w:rPr>
          <w:rFonts w:ascii="Arial" w:eastAsia="Calibri" w:hAnsi="Arial" w:cs="Arial"/>
          <w:bCs/>
          <w:i/>
          <w:lang w:eastAsia="es-ES"/>
        </w:rPr>
      </w:pPr>
      <w:r w:rsidRPr="005859BB">
        <w:rPr>
          <w:rFonts w:ascii="Arial" w:eastAsia="Calibri" w:hAnsi="Arial" w:cs="Arial"/>
          <w:b/>
          <w:bCs/>
          <w:i/>
          <w:lang w:eastAsia="es-ES"/>
        </w:rPr>
        <w:t>c)</w:t>
      </w:r>
      <w:r w:rsidRPr="005859BB">
        <w:rPr>
          <w:rFonts w:ascii="Arial" w:eastAsia="Calibri" w:hAnsi="Arial" w:cs="Arial"/>
          <w:bCs/>
          <w:i/>
          <w:lang w:eastAsia="es-ES"/>
        </w:rPr>
        <w:t xml:space="preserve"> Que es poseedor, a título de propietario, del bien embargado; </w:t>
      </w:r>
    </w:p>
    <w:p w14:paraId="79AB5136" w14:textId="555578F0" w:rsidR="005859BB" w:rsidRPr="005859BB" w:rsidRDefault="005859BB" w:rsidP="00D0226D">
      <w:pPr>
        <w:spacing w:before="240" w:line="360" w:lineRule="auto"/>
        <w:ind w:firstLine="708"/>
        <w:jc w:val="both"/>
        <w:rPr>
          <w:rFonts w:ascii="Arial" w:eastAsia="Calibri" w:hAnsi="Arial" w:cs="Arial"/>
          <w:bCs/>
          <w:sz w:val="26"/>
          <w:szCs w:val="26"/>
          <w:lang w:eastAsia="es-ES"/>
        </w:rPr>
      </w:pPr>
      <w:r w:rsidRPr="005859BB">
        <w:rPr>
          <w:rFonts w:ascii="Arial" w:eastAsia="Calibri" w:hAnsi="Arial" w:cs="Arial"/>
          <w:bCs/>
          <w:sz w:val="26"/>
          <w:szCs w:val="26"/>
        </w:rPr>
        <w:t xml:space="preserve">Los preceptos legales invocados contemplan el supuesto de procedencia del juicio contencioso administrativo en contra del procedimiento administrativo de ejecución cuando no se promueva el recurso administrativo ante las autoridades competentes. Aunado a esto, es pertinente mencionar que si bien es cierto que el numeral 120 fracción I de la Ley de Procedimiento y Justicia Administrativa para el Estado de Oaxaca, dispone que este Tribunal es competente para resolver las controversias de carácter fiscal que se susciten entre los particulares y las autoridades de la administración pública del Estado, también se debe tener en cuenta que el artículo 1 de la Ley de Justicia de Fiscalización y Rendición de Cuentas para el Estado de Oaxaca establece que a través del juicio de inconformidad debe garantizarse que los actos y resoluciones de la Auditoría Superior del Estado, ahora Órgano Superior de Fiscalización del Estado de Oaxaca, se sujeten a los principios de legalidad, definitividad y demás principios constitucionales. Y en este caso, es la Sala Superior de este Tribunal, la instancia competente para </w:t>
      </w:r>
      <w:r w:rsidRPr="005859BB">
        <w:rPr>
          <w:rFonts w:ascii="Arial" w:eastAsia="Calibri" w:hAnsi="Arial" w:cs="Arial"/>
          <w:bCs/>
          <w:sz w:val="26"/>
          <w:szCs w:val="26"/>
        </w:rPr>
        <w:lastRenderedPageBreak/>
        <w:t xml:space="preserve">conocer del juicio de inconformidad, </w:t>
      </w:r>
      <w:r w:rsidRPr="005859BB">
        <w:rPr>
          <w:rFonts w:ascii="Arial" w:eastAsia="Calibri" w:hAnsi="Arial" w:cs="Arial"/>
          <w:bCs/>
          <w:sz w:val="26"/>
          <w:szCs w:val="26"/>
          <w:lang w:eastAsia="es-ES"/>
        </w:rPr>
        <w:t xml:space="preserve">conforme a lo dispuesto por los </w:t>
      </w:r>
      <w:bookmarkStart w:id="5" w:name="_Hlk109391577"/>
      <w:r w:rsidRPr="005859BB">
        <w:rPr>
          <w:rFonts w:ascii="Arial" w:eastAsia="Calibri" w:hAnsi="Arial" w:cs="Arial"/>
          <w:bCs/>
          <w:sz w:val="26"/>
          <w:szCs w:val="26"/>
          <w:lang w:eastAsia="es-ES"/>
        </w:rPr>
        <w:t>artículos 130 fracción VI</w:t>
      </w:r>
      <w:r w:rsidRPr="005859BB">
        <w:rPr>
          <w:rFonts w:ascii="Arial" w:eastAsia="Calibri" w:hAnsi="Arial" w:cs="Arial"/>
          <w:bCs/>
          <w:sz w:val="26"/>
          <w:szCs w:val="26"/>
          <w:vertAlign w:val="superscript"/>
          <w:lang w:eastAsia="es-ES"/>
        </w:rPr>
        <w:footnoteReference w:id="4"/>
      </w:r>
      <w:r w:rsidRPr="005859BB">
        <w:rPr>
          <w:rFonts w:ascii="Arial" w:eastAsia="Calibri" w:hAnsi="Arial" w:cs="Arial"/>
          <w:bCs/>
          <w:sz w:val="26"/>
          <w:szCs w:val="26"/>
          <w:lang w:eastAsia="es-ES"/>
        </w:rPr>
        <w:t xml:space="preserve"> de la Ley de Procedimiento y Justicia Administrativa para el Estado de Oaxaca y 24 fracción I</w:t>
      </w:r>
      <w:r w:rsidRPr="005859BB">
        <w:rPr>
          <w:rFonts w:ascii="Arial" w:eastAsia="Calibri" w:hAnsi="Arial" w:cs="Arial"/>
          <w:bCs/>
          <w:sz w:val="26"/>
          <w:szCs w:val="26"/>
          <w:vertAlign w:val="superscript"/>
          <w:lang w:eastAsia="es-ES"/>
        </w:rPr>
        <w:footnoteReference w:id="5"/>
      </w:r>
      <w:r w:rsidRPr="005859BB">
        <w:rPr>
          <w:rFonts w:ascii="Arial" w:eastAsia="Calibri" w:hAnsi="Arial" w:cs="Arial"/>
          <w:bCs/>
          <w:sz w:val="26"/>
          <w:szCs w:val="26"/>
          <w:lang w:eastAsia="es-ES"/>
        </w:rPr>
        <w:t xml:space="preserve"> de la Ley Orgánica del Tribunal de Justicia Administrativa del Estado de Oaxaca. </w:t>
      </w:r>
      <w:bookmarkEnd w:id="5"/>
    </w:p>
    <w:p w14:paraId="3C578F72" w14:textId="6D800EE0" w:rsidR="005859BB" w:rsidRPr="005859BB" w:rsidRDefault="005859BB" w:rsidP="005859BB">
      <w:pPr>
        <w:spacing w:line="360" w:lineRule="auto"/>
        <w:ind w:firstLine="567"/>
        <w:jc w:val="both"/>
        <w:rPr>
          <w:rFonts w:ascii="Arial" w:eastAsia="Calibri" w:hAnsi="Arial" w:cs="Arial"/>
          <w:bCs/>
          <w:sz w:val="26"/>
          <w:szCs w:val="26"/>
          <w:lang w:eastAsia="es-ES"/>
        </w:rPr>
      </w:pPr>
      <w:r w:rsidRPr="005859BB">
        <w:rPr>
          <w:rFonts w:ascii="Arial" w:eastAsia="Calibri" w:hAnsi="Arial" w:cs="Arial"/>
          <w:bCs/>
          <w:sz w:val="26"/>
          <w:szCs w:val="26"/>
          <w:lang w:eastAsia="es-ES"/>
        </w:rPr>
        <w:t xml:space="preserve">Bajo esa consideración, se tiene que la vía adecuada para impugnar el mandamiento de ejecución </w:t>
      </w:r>
      <w:r w:rsidR="0093074E">
        <w:rPr>
          <w:rFonts w:ascii="Arial" w:eastAsia="Calibri" w:hAnsi="Arial" w:cs="Arial"/>
          <w:b/>
          <w:sz w:val="26"/>
          <w:szCs w:val="26"/>
          <w:lang w:eastAsia="es-ES"/>
        </w:rPr>
        <w:t>*******</w:t>
      </w:r>
      <w:r w:rsidR="00810881">
        <w:rPr>
          <w:rFonts w:ascii="Arial" w:eastAsia="Calibri" w:hAnsi="Arial" w:cs="Arial"/>
          <w:b/>
          <w:sz w:val="26"/>
          <w:szCs w:val="26"/>
          <w:lang w:eastAsia="es-ES"/>
        </w:rPr>
        <w:t xml:space="preserve">, </w:t>
      </w:r>
      <w:r w:rsidRPr="005859BB">
        <w:rPr>
          <w:rFonts w:ascii="Arial" w:eastAsia="Calibri" w:hAnsi="Arial" w:cs="Arial"/>
          <w:bCs/>
          <w:sz w:val="26"/>
          <w:szCs w:val="26"/>
          <w:lang w:eastAsia="es-ES"/>
        </w:rPr>
        <w:t>dirigido</w:t>
      </w:r>
      <w:r w:rsidRPr="005859BB">
        <w:rPr>
          <w:rFonts w:ascii="Arial" w:eastAsia="Calibri" w:hAnsi="Arial" w:cs="Arial"/>
          <w:b/>
          <w:bCs/>
          <w:sz w:val="26"/>
          <w:szCs w:val="26"/>
          <w:lang w:eastAsia="es-ES"/>
        </w:rPr>
        <w:t xml:space="preserve"> </w:t>
      </w:r>
      <w:r w:rsidRPr="005859BB">
        <w:rPr>
          <w:rFonts w:ascii="Arial" w:eastAsia="Calibri" w:hAnsi="Arial" w:cs="Arial"/>
          <w:bCs/>
          <w:sz w:val="26"/>
          <w:szCs w:val="26"/>
          <w:lang w:eastAsia="es-ES"/>
        </w:rPr>
        <w:t>a</w:t>
      </w:r>
      <w:r w:rsidR="00810881">
        <w:rPr>
          <w:rFonts w:ascii="Arial" w:eastAsia="Calibri" w:hAnsi="Arial" w:cs="Arial"/>
          <w:b/>
          <w:sz w:val="26"/>
          <w:szCs w:val="26"/>
          <w:lang w:eastAsia="es-ES"/>
        </w:rPr>
        <w:t xml:space="preserve"> </w:t>
      </w:r>
      <w:r w:rsidR="0093074E">
        <w:rPr>
          <w:rFonts w:ascii="Arial" w:eastAsia="Calibri" w:hAnsi="Arial" w:cs="Arial"/>
          <w:b/>
          <w:sz w:val="26"/>
          <w:szCs w:val="26"/>
          <w:lang w:eastAsia="es-ES"/>
        </w:rPr>
        <w:t>*******</w:t>
      </w:r>
      <w:r w:rsidRPr="005859BB">
        <w:rPr>
          <w:rFonts w:ascii="Arial" w:eastAsia="Calibri" w:hAnsi="Arial" w:cs="Arial"/>
          <w:b/>
          <w:sz w:val="26"/>
          <w:szCs w:val="26"/>
          <w:lang w:eastAsia="es-ES"/>
        </w:rPr>
        <w:t xml:space="preserve">, </w:t>
      </w:r>
      <w:r w:rsidRPr="005859BB">
        <w:rPr>
          <w:rFonts w:ascii="Arial" w:eastAsia="Calibri" w:hAnsi="Arial" w:cs="Arial"/>
          <w:bCs/>
          <w:sz w:val="26"/>
          <w:szCs w:val="26"/>
          <w:lang w:eastAsia="es-ES"/>
        </w:rPr>
        <w:t xml:space="preserve">es a través del </w:t>
      </w:r>
      <w:r w:rsidRPr="005859BB">
        <w:rPr>
          <w:rFonts w:ascii="Arial" w:eastAsia="Calibri" w:hAnsi="Arial" w:cs="Arial"/>
          <w:b/>
          <w:bCs/>
          <w:sz w:val="26"/>
          <w:szCs w:val="26"/>
          <w:lang w:eastAsia="es-ES"/>
        </w:rPr>
        <w:t xml:space="preserve">juicio de inconformidad, </w:t>
      </w:r>
      <w:r w:rsidRPr="005859BB">
        <w:rPr>
          <w:rFonts w:ascii="Arial" w:eastAsia="Calibri" w:hAnsi="Arial" w:cs="Arial"/>
          <w:bCs/>
          <w:sz w:val="26"/>
          <w:szCs w:val="26"/>
          <w:lang w:eastAsia="es-ES"/>
        </w:rPr>
        <w:t xml:space="preserve">porque el requerimiento de pago por concepto de resarcimiento de daños </w:t>
      </w:r>
      <w:bookmarkStart w:id="6" w:name="_Hlk109408338"/>
      <w:r w:rsidRPr="005859BB">
        <w:rPr>
          <w:rFonts w:ascii="Arial" w:eastAsia="Calibri" w:hAnsi="Arial" w:cs="Arial"/>
          <w:bCs/>
          <w:sz w:val="26"/>
          <w:szCs w:val="26"/>
          <w:lang w:eastAsia="es-ES"/>
        </w:rPr>
        <w:t xml:space="preserve">en cantidad </w:t>
      </w:r>
      <w:r w:rsidRPr="005859BB">
        <w:rPr>
          <w:rFonts w:ascii="Arial" w:eastAsia="Calibri" w:hAnsi="Arial" w:cs="Arial"/>
          <w:b/>
          <w:sz w:val="26"/>
          <w:szCs w:val="26"/>
          <w:lang w:eastAsia="es-ES"/>
        </w:rPr>
        <w:t xml:space="preserve">de </w:t>
      </w:r>
      <w:bookmarkEnd w:id="6"/>
      <w:r w:rsidR="00942BC7" w:rsidRPr="00810881">
        <w:rPr>
          <w:rFonts w:ascii="Arial" w:eastAsia="Calibri" w:hAnsi="Arial" w:cs="Arial"/>
          <w:b/>
          <w:sz w:val="26"/>
          <w:szCs w:val="26"/>
          <w:lang w:eastAsia="es-ES"/>
        </w:rPr>
        <w:t>$</w:t>
      </w:r>
      <w:r w:rsidR="0093074E">
        <w:rPr>
          <w:rFonts w:ascii="Arial" w:eastAsia="Calibri" w:hAnsi="Arial" w:cs="Arial"/>
          <w:b/>
          <w:sz w:val="26"/>
          <w:szCs w:val="26"/>
          <w:lang w:eastAsia="es-ES"/>
        </w:rPr>
        <w:t>*******</w:t>
      </w:r>
      <w:r w:rsidR="00942BC7" w:rsidRPr="00810881">
        <w:rPr>
          <w:rFonts w:ascii="Arial" w:eastAsia="Calibri" w:hAnsi="Arial" w:cs="Arial"/>
          <w:b/>
          <w:sz w:val="26"/>
          <w:szCs w:val="26"/>
          <w:lang w:eastAsia="es-ES"/>
        </w:rPr>
        <w:t>),</w:t>
      </w:r>
      <w:r w:rsidR="00942BC7">
        <w:rPr>
          <w:rFonts w:ascii="Arial" w:eastAsia="Calibri" w:hAnsi="Arial" w:cs="Arial"/>
          <w:b/>
          <w:sz w:val="26"/>
          <w:szCs w:val="26"/>
          <w:lang w:eastAsia="es-ES"/>
        </w:rPr>
        <w:t xml:space="preserve"> </w:t>
      </w:r>
      <w:r w:rsidRPr="005859BB">
        <w:rPr>
          <w:rFonts w:ascii="Arial" w:eastAsia="Calibri" w:hAnsi="Arial" w:cs="Arial"/>
          <w:bCs/>
          <w:sz w:val="26"/>
          <w:szCs w:val="26"/>
          <w:lang w:eastAsia="es-ES"/>
        </w:rPr>
        <w:t xml:space="preserve">tiene su origen en una determinación </w:t>
      </w:r>
      <w:r w:rsidRPr="005859BB">
        <w:rPr>
          <w:rFonts w:ascii="Arial" w:eastAsia="Calibri" w:hAnsi="Arial" w:cs="Arial"/>
          <w:b/>
          <w:bCs/>
          <w:sz w:val="26"/>
          <w:szCs w:val="26"/>
          <w:lang w:eastAsia="es-ES"/>
        </w:rPr>
        <w:t>no fiscal</w:t>
      </w:r>
      <w:r w:rsidRPr="005859BB">
        <w:rPr>
          <w:rFonts w:ascii="Arial" w:eastAsia="Calibri" w:hAnsi="Arial" w:cs="Arial"/>
          <w:bCs/>
          <w:sz w:val="26"/>
          <w:szCs w:val="26"/>
          <w:lang w:eastAsia="es-ES"/>
        </w:rPr>
        <w:t xml:space="preserve">, que es la </w:t>
      </w:r>
      <w:bookmarkStart w:id="7" w:name="_Hlk109408221"/>
      <w:r w:rsidRPr="005859BB">
        <w:rPr>
          <w:rFonts w:ascii="Arial" w:eastAsia="Calibri" w:hAnsi="Arial" w:cs="Arial"/>
          <w:bCs/>
          <w:sz w:val="26"/>
          <w:szCs w:val="26"/>
          <w:lang w:eastAsia="es-ES"/>
        </w:rPr>
        <w:t xml:space="preserve">resolución </w:t>
      </w:r>
      <w:bookmarkStart w:id="8" w:name="_Hlk109413091"/>
      <w:r w:rsidRPr="005859BB">
        <w:rPr>
          <w:rFonts w:ascii="Arial" w:eastAsia="Calibri" w:hAnsi="Arial" w:cs="Arial"/>
          <w:bCs/>
          <w:sz w:val="26"/>
          <w:szCs w:val="26"/>
          <w:lang w:eastAsia="es-ES"/>
        </w:rPr>
        <w:t xml:space="preserve">número </w:t>
      </w:r>
      <w:r w:rsidR="0093074E">
        <w:rPr>
          <w:rFonts w:ascii="Arial" w:eastAsia="Calibri" w:hAnsi="Arial" w:cs="Arial"/>
          <w:b/>
          <w:sz w:val="26"/>
          <w:szCs w:val="26"/>
          <w:lang w:eastAsia="es-ES"/>
        </w:rPr>
        <w:t>*******</w:t>
      </w:r>
      <w:r w:rsidR="00942BC7" w:rsidRPr="00942BC7">
        <w:rPr>
          <w:rFonts w:ascii="Arial" w:eastAsia="Calibri" w:hAnsi="Arial" w:cs="Arial"/>
          <w:bCs/>
          <w:sz w:val="26"/>
          <w:szCs w:val="26"/>
          <w:lang w:eastAsia="es-ES"/>
        </w:rPr>
        <w:t>, de diecisiete de junio de dos mil quince, emitida por la entonces Auditoría Superior del Estado</w:t>
      </w:r>
      <w:r w:rsidR="00942BC7">
        <w:rPr>
          <w:rFonts w:ascii="Arial" w:eastAsia="Calibri" w:hAnsi="Arial" w:cs="Arial"/>
          <w:bCs/>
          <w:sz w:val="26"/>
          <w:szCs w:val="26"/>
          <w:lang w:eastAsia="es-ES"/>
        </w:rPr>
        <w:t>, ahora</w:t>
      </w:r>
      <w:r w:rsidRPr="005859BB">
        <w:rPr>
          <w:rFonts w:ascii="Arial" w:eastAsia="Calibri" w:hAnsi="Arial" w:cs="Arial"/>
          <w:bCs/>
          <w:sz w:val="26"/>
          <w:szCs w:val="26"/>
          <w:lang w:eastAsia="es-ES"/>
        </w:rPr>
        <w:t xml:space="preserve"> Órgano Superior de Fiscalización del Estado.</w:t>
      </w:r>
      <w:r w:rsidR="00703616">
        <w:rPr>
          <w:rFonts w:ascii="Arial" w:eastAsia="Calibri" w:hAnsi="Arial" w:cs="Arial"/>
          <w:bCs/>
          <w:sz w:val="26"/>
          <w:szCs w:val="26"/>
          <w:lang w:eastAsia="es-ES"/>
        </w:rPr>
        <w:t xml:space="preserve"> - - - - - - - - - - - - - - - - - - - - - - - - - - - - - - - - </w:t>
      </w:r>
      <w:r w:rsidR="0093074E">
        <w:rPr>
          <w:rFonts w:ascii="Arial" w:eastAsia="Calibri" w:hAnsi="Arial" w:cs="Arial"/>
          <w:bCs/>
          <w:sz w:val="26"/>
          <w:szCs w:val="26"/>
          <w:lang w:eastAsia="es-ES"/>
        </w:rPr>
        <w:t xml:space="preserve">- - - - - - - - - - - - </w:t>
      </w:r>
    </w:p>
    <w:bookmarkEnd w:id="7"/>
    <w:bookmarkEnd w:id="8"/>
    <w:p w14:paraId="0626ED32" w14:textId="64C7A40E" w:rsidR="005859BB" w:rsidRPr="005859BB" w:rsidRDefault="005859BB" w:rsidP="005859BB">
      <w:pPr>
        <w:spacing w:after="120" w:line="360" w:lineRule="auto"/>
        <w:ind w:right="49" w:firstLine="567"/>
        <w:jc w:val="both"/>
        <w:rPr>
          <w:rFonts w:ascii="Arial" w:eastAsia="Calibri" w:hAnsi="Arial" w:cs="Arial"/>
          <w:bCs/>
          <w:sz w:val="26"/>
          <w:szCs w:val="26"/>
          <w:lang w:eastAsia="es-ES"/>
        </w:rPr>
      </w:pPr>
      <w:r w:rsidRPr="005859BB">
        <w:rPr>
          <w:rFonts w:ascii="Arial" w:eastAsia="Calibri" w:hAnsi="Arial" w:cs="Arial"/>
          <w:bCs/>
          <w:sz w:val="26"/>
          <w:szCs w:val="26"/>
          <w:lang w:eastAsia="es-ES"/>
        </w:rPr>
        <w:t>Es importante señalar, que el recurrente manifestó que una de las principales razones que lo llevaron a interponer el juicio de nulidad es que no fue emplazado en el procedimiento administrativo número</w:t>
      </w:r>
      <w:r w:rsidR="00A72E3B">
        <w:rPr>
          <w:rFonts w:ascii="Arial" w:eastAsia="Calibri" w:hAnsi="Arial" w:cs="Arial"/>
          <w:b/>
          <w:bCs/>
          <w:sz w:val="26"/>
          <w:szCs w:val="26"/>
          <w:lang w:eastAsia="es-ES"/>
        </w:rPr>
        <w:t xml:space="preserve"> </w:t>
      </w:r>
      <w:r w:rsidR="0093074E">
        <w:rPr>
          <w:rFonts w:ascii="Arial" w:eastAsia="Calibri" w:hAnsi="Arial" w:cs="Arial"/>
          <w:b/>
          <w:sz w:val="26"/>
          <w:szCs w:val="26"/>
          <w:lang w:eastAsia="es-ES"/>
        </w:rPr>
        <w:t>*******</w:t>
      </w:r>
      <w:r w:rsidRPr="005859BB">
        <w:rPr>
          <w:rFonts w:ascii="Arial" w:eastAsia="Calibri" w:hAnsi="Arial" w:cs="Arial"/>
          <w:b/>
          <w:bCs/>
          <w:sz w:val="26"/>
          <w:szCs w:val="26"/>
          <w:lang w:eastAsia="es-ES"/>
        </w:rPr>
        <w:t>,</w:t>
      </w:r>
      <w:r w:rsidRPr="005859BB">
        <w:rPr>
          <w:rFonts w:ascii="Arial" w:eastAsia="Calibri" w:hAnsi="Arial" w:cs="Arial"/>
          <w:bCs/>
          <w:sz w:val="26"/>
          <w:szCs w:val="26"/>
          <w:lang w:eastAsia="es-ES"/>
        </w:rPr>
        <w:t xml:space="preserve"> y que, por ello, desconoce el crédito fiscal que se le pretende cobrar a través del procedimiento administrativo de ejecución.</w:t>
      </w:r>
      <w:r w:rsidR="00703616">
        <w:rPr>
          <w:rFonts w:ascii="Arial" w:eastAsia="Calibri" w:hAnsi="Arial" w:cs="Arial"/>
          <w:bCs/>
          <w:sz w:val="26"/>
          <w:szCs w:val="26"/>
          <w:lang w:eastAsia="es-ES"/>
        </w:rPr>
        <w:t xml:space="preserve"> - - - - - - - </w:t>
      </w:r>
    </w:p>
    <w:p w14:paraId="1E665668" w14:textId="59ED9084" w:rsidR="005859BB" w:rsidRPr="005859BB" w:rsidRDefault="005859BB" w:rsidP="005859BB">
      <w:pPr>
        <w:spacing w:after="120" w:line="360" w:lineRule="auto"/>
        <w:ind w:right="49" w:firstLine="567"/>
        <w:jc w:val="both"/>
        <w:rPr>
          <w:rFonts w:ascii="Arial" w:eastAsia="Calibri" w:hAnsi="Arial" w:cs="Arial"/>
          <w:bCs/>
          <w:sz w:val="26"/>
          <w:szCs w:val="26"/>
          <w:lang w:eastAsia="es-ES"/>
        </w:rPr>
      </w:pPr>
      <w:r w:rsidRPr="005859BB">
        <w:rPr>
          <w:rFonts w:ascii="Arial" w:eastAsia="Calibri" w:hAnsi="Arial" w:cs="Arial"/>
          <w:bCs/>
          <w:sz w:val="26"/>
          <w:szCs w:val="26"/>
          <w:lang w:eastAsia="es-ES"/>
        </w:rPr>
        <w:t>Por lo tanto, no es dable permitir que por un lado se instaure el juicio contencioso administrativo para pretender la anulación del mandamiento de ejecución</w:t>
      </w:r>
      <w:r w:rsidR="00A72E3B">
        <w:rPr>
          <w:rFonts w:ascii="Arial" w:eastAsia="Calibri" w:hAnsi="Arial" w:cs="Arial"/>
          <w:bCs/>
          <w:sz w:val="26"/>
          <w:szCs w:val="26"/>
          <w:lang w:eastAsia="es-ES"/>
        </w:rPr>
        <w:t xml:space="preserve"> </w:t>
      </w:r>
      <w:r w:rsidR="0093074E">
        <w:rPr>
          <w:rFonts w:ascii="Arial" w:eastAsia="Calibri" w:hAnsi="Arial" w:cs="Arial"/>
          <w:b/>
          <w:sz w:val="26"/>
          <w:szCs w:val="26"/>
          <w:lang w:eastAsia="es-ES"/>
        </w:rPr>
        <w:t>*******</w:t>
      </w:r>
      <w:r w:rsidRPr="005859BB">
        <w:rPr>
          <w:rFonts w:ascii="Arial" w:eastAsia="Calibri" w:hAnsi="Arial" w:cs="Arial"/>
          <w:b/>
          <w:bCs/>
          <w:sz w:val="26"/>
          <w:szCs w:val="26"/>
          <w:lang w:eastAsia="es-ES"/>
        </w:rPr>
        <w:t xml:space="preserve">, y que, por otra parte, a través del juicio de inconformidad, se combata la resolución </w:t>
      </w:r>
      <w:r w:rsidRPr="005859BB">
        <w:rPr>
          <w:rFonts w:ascii="Arial" w:eastAsia="Calibri" w:hAnsi="Arial" w:cs="Arial"/>
          <w:bCs/>
          <w:sz w:val="26"/>
          <w:szCs w:val="26"/>
          <w:lang w:eastAsia="es-ES"/>
        </w:rPr>
        <w:t>número</w:t>
      </w:r>
      <w:r w:rsidR="00A72E3B">
        <w:rPr>
          <w:rFonts w:ascii="Arial" w:eastAsia="Calibri" w:hAnsi="Arial" w:cs="Arial"/>
          <w:bCs/>
          <w:sz w:val="26"/>
          <w:szCs w:val="26"/>
          <w:lang w:eastAsia="es-ES"/>
        </w:rPr>
        <w:t xml:space="preserve"> </w:t>
      </w:r>
      <w:r w:rsidR="0093074E">
        <w:rPr>
          <w:rFonts w:ascii="Arial" w:eastAsia="Calibri" w:hAnsi="Arial" w:cs="Arial"/>
          <w:b/>
          <w:sz w:val="26"/>
          <w:szCs w:val="26"/>
          <w:lang w:eastAsia="es-ES"/>
        </w:rPr>
        <w:t>*******</w:t>
      </w:r>
      <w:r w:rsidR="00A72E3B">
        <w:rPr>
          <w:rFonts w:ascii="Arial" w:eastAsia="Calibri" w:hAnsi="Arial" w:cs="Arial"/>
          <w:b/>
          <w:sz w:val="26"/>
          <w:szCs w:val="26"/>
          <w:lang w:eastAsia="es-ES"/>
        </w:rPr>
        <w:t xml:space="preserve">, </w:t>
      </w:r>
      <w:r w:rsidRPr="005859BB">
        <w:rPr>
          <w:rFonts w:ascii="Arial" w:eastAsia="Calibri" w:hAnsi="Arial" w:cs="Arial"/>
          <w:bCs/>
          <w:sz w:val="26"/>
          <w:szCs w:val="26"/>
          <w:lang w:eastAsia="es-ES"/>
        </w:rPr>
        <w:t xml:space="preserve">porque la pretensión contenida en la demanda es indivisible y tiene que analizarse de manera integral, considerando </w:t>
      </w:r>
      <w:r w:rsidR="00F0011D">
        <w:rPr>
          <w:rFonts w:ascii="Arial" w:eastAsia="Calibri" w:hAnsi="Arial" w:cs="Arial"/>
          <w:bCs/>
          <w:sz w:val="26"/>
          <w:szCs w:val="26"/>
          <w:lang w:eastAsia="es-ES"/>
        </w:rPr>
        <w:t xml:space="preserve">que </w:t>
      </w:r>
      <w:r w:rsidRPr="005859BB">
        <w:rPr>
          <w:rFonts w:ascii="Arial" w:eastAsia="Calibri" w:hAnsi="Arial" w:cs="Arial"/>
          <w:bCs/>
          <w:sz w:val="26"/>
          <w:szCs w:val="26"/>
          <w:lang w:eastAsia="es-ES"/>
        </w:rPr>
        <w:t xml:space="preserve">ambos actos se encuentran firmemente vinculados entre sí, siendo imposible segmentar su análisis a través de diferentes juicios, aunque estos se tramiten ante el mismo órgano jurisdiccional. </w:t>
      </w:r>
      <w:r w:rsidR="00703616">
        <w:rPr>
          <w:rFonts w:ascii="Arial" w:eastAsia="Calibri" w:hAnsi="Arial" w:cs="Arial"/>
          <w:bCs/>
          <w:sz w:val="26"/>
          <w:szCs w:val="26"/>
          <w:lang w:eastAsia="es-ES"/>
        </w:rPr>
        <w:t xml:space="preserve">- </w:t>
      </w:r>
      <w:r w:rsidR="0093074E">
        <w:rPr>
          <w:rFonts w:ascii="Arial" w:eastAsia="Calibri" w:hAnsi="Arial" w:cs="Arial"/>
          <w:bCs/>
          <w:sz w:val="26"/>
          <w:szCs w:val="26"/>
          <w:lang w:eastAsia="es-ES"/>
        </w:rPr>
        <w:t>- - - - - - - - - - - - - - - - - - - - - - - - - - - -</w:t>
      </w:r>
    </w:p>
    <w:p w14:paraId="570D92F2" w14:textId="77777777" w:rsidR="005859BB" w:rsidRPr="005859BB" w:rsidRDefault="005859BB" w:rsidP="005859BB">
      <w:pPr>
        <w:spacing w:after="120" w:line="360" w:lineRule="auto"/>
        <w:ind w:right="49" w:firstLine="567"/>
        <w:jc w:val="both"/>
        <w:rPr>
          <w:rFonts w:ascii="Arial" w:eastAsia="Calibri" w:hAnsi="Arial" w:cs="Arial"/>
          <w:bCs/>
          <w:sz w:val="26"/>
          <w:szCs w:val="26"/>
          <w:lang w:eastAsia="es-ES"/>
        </w:rPr>
      </w:pPr>
      <w:r w:rsidRPr="005859BB">
        <w:rPr>
          <w:rFonts w:ascii="Arial" w:eastAsia="Calibri" w:hAnsi="Arial" w:cs="Arial"/>
          <w:bCs/>
          <w:sz w:val="26"/>
          <w:szCs w:val="26"/>
          <w:lang w:eastAsia="es-ES"/>
        </w:rPr>
        <w:t>En apoyo a lo anterior se invoca la tesis I.8o.C.4 K con número de registro digital 213106, emitida por los Tribunales Colegiados de Circuito, visible en el Semanario Judicial de la Federación, Tomo XIII, Marzo de 1994, página 353, de rubro y texto siguientes:</w:t>
      </w:r>
    </w:p>
    <w:p w14:paraId="3ECB2C79" w14:textId="77777777" w:rsidR="005859BB" w:rsidRPr="005859BB" w:rsidRDefault="005859BB" w:rsidP="00703616">
      <w:pPr>
        <w:spacing w:after="120"/>
        <w:ind w:left="567" w:right="616"/>
        <w:jc w:val="both"/>
        <w:rPr>
          <w:rFonts w:ascii="Arial" w:eastAsia="Calibri" w:hAnsi="Arial" w:cs="Arial"/>
          <w:b/>
          <w:bCs/>
          <w:i/>
          <w:lang w:eastAsia="es-ES"/>
        </w:rPr>
      </w:pPr>
      <w:r w:rsidRPr="005859BB">
        <w:rPr>
          <w:rFonts w:ascii="Arial" w:eastAsia="Calibri" w:hAnsi="Arial" w:cs="Arial"/>
          <w:b/>
          <w:bCs/>
          <w:i/>
          <w:lang w:eastAsia="es-ES"/>
        </w:rPr>
        <w:t>“INTERPRETACION RIGIDA QUE PUEDA TOMARSE COMO REGLA GENERAL.</w:t>
      </w:r>
    </w:p>
    <w:p w14:paraId="137600A4" w14:textId="77777777" w:rsidR="005859BB" w:rsidRPr="005859BB" w:rsidRDefault="005859BB" w:rsidP="00703616">
      <w:pPr>
        <w:spacing w:after="120"/>
        <w:ind w:left="567" w:right="616"/>
        <w:jc w:val="both"/>
        <w:rPr>
          <w:rFonts w:ascii="Arial" w:eastAsia="Calibri" w:hAnsi="Arial" w:cs="Arial"/>
          <w:bCs/>
          <w:i/>
          <w:lang w:eastAsia="es-ES"/>
        </w:rPr>
      </w:pPr>
      <w:r w:rsidRPr="005859BB">
        <w:rPr>
          <w:rFonts w:ascii="Arial" w:eastAsia="Calibri" w:hAnsi="Arial" w:cs="Arial"/>
          <w:bCs/>
          <w:i/>
          <w:lang w:eastAsia="es-ES"/>
        </w:rPr>
        <w:lastRenderedPageBreak/>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p>
    <w:p w14:paraId="4E4309DE" w14:textId="66CAC57D" w:rsidR="00F0011D" w:rsidRDefault="005859BB" w:rsidP="00703616">
      <w:pPr>
        <w:spacing w:after="120"/>
        <w:ind w:left="567" w:right="616"/>
        <w:jc w:val="both"/>
        <w:rPr>
          <w:rFonts w:ascii="Arial" w:eastAsia="Calibri" w:hAnsi="Arial" w:cs="Arial"/>
          <w:bCs/>
          <w:i/>
          <w:lang w:eastAsia="es-ES"/>
        </w:rPr>
      </w:pPr>
      <w:r w:rsidRPr="005859BB">
        <w:rPr>
          <w:rFonts w:ascii="Arial" w:eastAsia="Calibri" w:hAnsi="Arial" w:cs="Arial"/>
          <w:bCs/>
          <w:i/>
          <w:lang w:eastAsia="es-ES"/>
        </w:rPr>
        <w:t>OCTAVO TRIBUNAL COLEGIADO EN MATERIA CIVIL DEL PRIMER CIRCUITO.”</w:t>
      </w:r>
    </w:p>
    <w:p w14:paraId="0C073EC1" w14:textId="77777777" w:rsidR="00703616" w:rsidRPr="00703616" w:rsidRDefault="00703616" w:rsidP="00703616">
      <w:pPr>
        <w:spacing w:after="120"/>
        <w:ind w:left="567" w:right="616"/>
        <w:jc w:val="both"/>
        <w:rPr>
          <w:rFonts w:ascii="Arial" w:eastAsia="Calibri" w:hAnsi="Arial" w:cs="Arial"/>
          <w:bCs/>
          <w:i/>
          <w:lang w:eastAsia="es-ES"/>
        </w:rPr>
      </w:pPr>
    </w:p>
    <w:p w14:paraId="670E8724" w14:textId="5FED8302" w:rsidR="005859BB" w:rsidRPr="005859BB" w:rsidRDefault="005859BB" w:rsidP="005859BB">
      <w:pPr>
        <w:spacing w:after="120" w:line="360" w:lineRule="auto"/>
        <w:ind w:right="49" w:firstLine="567"/>
        <w:jc w:val="both"/>
        <w:rPr>
          <w:rFonts w:ascii="Arial" w:eastAsia="Calibri" w:hAnsi="Arial" w:cs="Arial"/>
          <w:bCs/>
          <w:sz w:val="26"/>
          <w:szCs w:val="26"/>
          <w:lang w:eastAsia="es-ES"/>
        </w:rPr>
      </w:pPr>
      <w:r w:rsidRPr="005859BB">
        <w:rPr>
          <w:rFonts w:ascii="Arial" w:eastAsia="Calibri" w:hAnsi="Arial" w:cs="Arial"/>
          <w:bCs/>
          <w:sz w:val="26"/>
          <w:szCs w:val="26"/>
          <w:lang w:eastAsia="es-ES"/>
        </w:rPr>
        <w:t xml:space="preserve">Por ello, se colige que es el juicio de inconformidad, el medio para garantizar al recurrente el derecho al debido proceso y el acceso a la tutela judicial efectiva previstos respectivamente, en los artículos 14 y 17 de la Constitución Política de los Estados Unidos Mexicanos, por lo tanto, la Primera Sala Unitaria, en vez de desechar por improcedente la demanda en el acuerdo recurrido, debió analizar de manera integral su contenido y declinar su competencia a favor de la Sala Superior de este Tribunal, que es la instancia competente para resolver el juicio de inconformidad, </w:t>
      </w:r>
      <w:bookmarkStart w:id="9" w:name="_Hlk109408566"/>
      <w:r w:rsidRPr="005859BB">
        <w:rPr>
          <w:rFonts w:ascii="Arial" w:eastAsia="Calibri" w:hAnsi="Arial" w:cs="Arial"/>
          <w:bCs/>
          <w:sz w:val="26"/>
          <w:szCs w:val="26"/>
          <w:lang w:eastAsia="es-ES"/>
        </w:rPr>
        <w:t>en términos de los numerales 130 fracción VI</w:t>
      </w:r>
      <w:r w:rsidRPr="005859BB">
        <w:rPr>
          <w:rFonts w:ascii="Arial" w:eastAsia="Calibri" w:hAnsi="Arial" w:cs="Arial"/>
          <w:bCs/>
          <w:sz w:val="26"/>
          <w:szCs w:val="26"/>
          <w:vertAlign w:val="superscript"/>
          <w:lang w:eastAsia="es-ES"/>
        </w:rPr>
        <w:footnoteReference w:id="6"/>
      </w:r>
      <w:r w:rsidRPr="005859BB">
        <w:rPr>
          <w:rFonts w:ascii="Arial" w:eastAsia="Calibri" w:hAnsi="Arial" w:cs="Arial"/>
          <w:bCs/>
          <w:sz w:val="26"/>
          <w:szCs w:val="26"/>
          <w:lang w:eastAsia="es-ES"/>
        </w:rPr>
        <w:t xml:space="preserve"> de la Ley de Procedimiento y Justicia Administrativa para el Estado de Oaxaca y 24 fracción I</w:t>
      </w:r>
      <w:r w:rsidRPr="005859BB">
        <w:rPr>
          <w:rFonts w:ascii="Arial" w:eastAsia="Calibri" w:hAnsi="Arial" w:cs="Arial"/>
          <w:bCs/>
          <w:sz w:val="26"/>
          <w:szCs w:val="26"/>
          <w:vertAlign w:val="superscript"/>
          <w:lang w:eastAsia="es-ES"/>
        </w:rPr>
        <w:footnoteReference w:id="7"/>
      </w:r>
      <w:r w:rsidRPr="005859BB">
        <w:rPr>
          <w:rFonts w:ascii="Arial" w:eastAsia="Calibri" w:hAnsi="Arial" w:cs="Arial"/>
          <w:bCs/>
          <w:sz w:val="26"/>
          <w:szCs w:val="26"/>
          <w:lang w:eastAsia="es-ES"/>
        </w:rPr>
        <w:t xml:space="preserve"> de la Ley Orgánica del Tribunal de Justicia Administrativa del Estado de Oaxaca</w:t>
      </w:r>
      <w:bookmarkEnd w:id="9"/>
      <w:r w:rsidRPr="005859BB">
        <w:rPr>
          <w:rFonts w:ascii="Arial" w:eastAsia="Calibri" w:hAnsi="Arial" w:cs="Arial"/>
          <w:bCs/>
          <w:sz w:val="26"/>
          <w:szCs w:val="26"/>
          <w:lang w:eastAsia="es-ES"/>
        </w:rPr>
        <w:t>, para salvaguardar el derecho de acceso a la justicia del demandante. De ahí lo</w:t>
      </w:r>
      <w:r w:rsidRPr="005859BB">
        <w:rPr>
          <w:rFonts w:ascii="Arial" w:eastAsia="Calibri" w:hAnsi="Arial" w:cs="Arial"/>
          <w:b/>
          <w:bCs/>
          <w:sz w:val="26"/>
          <w:szCs w:val="26"/>
          <w:lang w:eastAsia="es-ES"/>
        </w:rPr>
        <w:t xml:space="preserve"> fundado</w:t>
      </w:r>
      <w:r w:rsidRPr="005859BB">
        <w:rPr>
          <w:rFonts w:ascii="Arial" w:eastAsia="Calibri" w:hAnsi="Arial" w:cs="Arial"/>
          <w:bCs/>
          <w:sz w:val="26"/>
          <w:szCs w:val="26"/>
          <w:lang w:eastAsia="es-ES"/>
        </w:rPr>
        <w:t xml:space="preserve"> de</w:t>
      </w:r>
      <w:r w:rsidR="00565EAF">
        <w:rPr>
          <w:rFonts w:ascii="Arial" w:eastAsia="Calibri" w:hAnsi="Arial" w:cs="Arial"/>
          <w:bCs/>
          <w:sz w:val="26"/>
          <w:szCs w:val="26"/>
          <w:lang w:eastAsia="es-ES"/>
        </w:rPr>
        <w:t xml:space="preserve"> </w:t>
      </w:r>
      <w:r w:rsidRPr="005859BB">
        <w:rPr>
          <w:rFonts w:ascii="Arial" w:eastAsia="Calibri" w:hAnsi="Arial" w:cs="Arial"/>
          <w:bCs/>
          <w:sz w:val="26"/>
          <w:szCs w:val="26"/>
          <w:lang w:eastAsia="es-ES"/>
        </w:rPr>
        <w:t>l</w:t>
      </w:r>
      <w:r w:rsidR="00565EAF">
        <w:rPr>
          <w:rFonts w:ascii="Arial" w:eastAsia="Calibri" w:hAnsi="Arial" w:cs="Arial"/>
          <w:bCs/>
          <w:sz w:val="26"/>
          <w:szCs w:val="26"/>
          <w:lang w:eastAsia="es-ES"/>
        </w:rPr>
        <w:t>os</w:t>
      </w:r>
      <w:r w:rsidRPr="005859BB">
        <w:rPr>
          <w:rFonts w:ascii="Arial" w:eastAsia="Calibri" w:hAnsi="Arial" w:cs="Arial"/>
          <w:bCs/>
          <w:sz w:val="26"/>
          <w:szCs w:val="26"/>
          <w:lang w:eastAsia="es-ES"/>
        </w:rPr>
        <w:t xml:space="preserve"> agravio</w:t>
      </w:r>
      <w:r w:rsidR="00565EAF">
        <w:rPr>
          <w:rFonts w:ascii="Arial" w:eastAsia="Calibri" w:hAnsi="Arial" w:cs="Arial"/>
          <w:bCs/>
          <w:sz w:val="26"/>
          <w:szCs w:val="26"/>
          <w:lang w:eastAsia="es-ES"/>
        </w:rPr>
        <w:t>s</w:t>
      </w:r>
      <w:r w:rsidRPr="005859BB">
        <w:rPr>
          <w:rFonts w:ascii="Arial" w:eastAsia="Calibri" w:hAnsi="Arial" w:cs="Arial"/>
          <w:bCs/>
          <w:sz w:val="26"/>
          <w:szCs w:val="26"/>
          <w:lang w:eastAsia="es-ES"/>
        </w:rPr>
        <w:t xml:space="preserve">. </w:t>
      </w:r>
      <w:r w:rsidR="00BC1F10">
        <w:rPr>
          <w:rFonts w:ascii="Arial" w:eastAsia="Calibri" w:hAnsi="Arial" w:cs="Arial"/>
          <w:bCs/>
          <w:sz w:val="26"/>
          <w:szCs w:val="26"/>
          <w:lang w:eastAsia="es-ES"/>
        </w:rPr>
        <w:t xml:space="preserve">- - - - - - - - </w:t>
      </w:r>
    </w:p>
    <w:p w14:paraId="33636A83" w14:textId="77777777" w:rsidR="005859BB" w:rsidRPr="005859BB" w:rsidRDefault="005859BB" w:rsidP="005859BB">
      <w:pPr>
        <w:widowControl w:val="0"/>
        <w:tabs>
          <w:tab w:val="left" w:pos="0"/>
        </w:tabs>
        <w:spacing w:before="240" w:after="0" w:line="360" w:lineRule="auto"/>
        <w:ind w:right="18"/>
        <w:jc w:val="both"/>
        <w:rPr>
          <w:rFonts w:ascii="Calibri" w:hAnsi="Calibri" w:cs="Calibri"/>
          <w:color w:val="212529"/>
          <w:sz w:val="26"/>
          <w:szCs w:val="26"/>
        </w:rPr>
      </w:pPr>
      <w:r w:rsidRPr="005859BB">
        <w:rPr>
          <w:rFonts w:ascii="Arial" w:hAnsi="Arial" w:cs="Arial"/>
          <w:sz w:val="26"/>
          <w:szCs w:val="26"/>
        </w:rPr>
        <w:tab/>
        <w:t xml:space="preserve">Es aplicable al caso la jurisprudencia de la Décima Época, número I. 14o.T.J./3 (10a.), con número de registro digital 2019394, emitida por los Tribunales Colegiados de Circuito, publicado en la Gaceta del Semanario Judicial de la Federación, Libro 63, Febrero de 2019, Tomo II, visible a página 2478, cuyo rubro y texto mencionan: </w:t>
      </w:r>
    </w:p>
    <w:p w14:paraId="07F9F5CA" w14:textId="77777777" w:rsidR="005859BB" w:rsidRPr="00BC1F10" w:rsidRDefault="005859BB" w:rsidP="00BC1F10">
      <w:pPr>
        <w:shd w:val="clear" w:color="auto" w:fill="FFFFFF"/>
        <w:spacing w:before="100" w:beforeAutospacing="1" w:after="100" w:afterAutospacing="1"/>
        <w:ind w:left="567" w:right="616"/>
        <w:jc w:val="both"/>
        <w:rPr>
          <w:rFonts w:ascii="Arial" w:eastAsia="Times New Roman" w:hAnsi="Arial" w:cs="Arial"/>
          <w:i/>
        </w:rPr>
      </w:pPr>
      <w:r w:rsidRPr="00BC1F10">
        <w:rPr>
          <w:rFonts w:ascii="Arial" w:eastAsia="Times New Roman" w:hAnsi="Arial" w:cs="Arial"/>
          <w:b/>
          <w:bCs/>
          <w:i/>
        </w:rPr>
        <w:t>“TUTELA JUDICIAL EFECTIVA. SU RELACIÓN CON LOS FORMALISMOS PROCESALES</w:t>
      </w:r>
      <w:r w:rsidRPr="00BC1F10">
        <w:rPr>
          <w:rFonts w:ascii="Arial" w:eastAsia="Times New Roman" w:hAnsi="Arial" w:cs="Arial"/>
          <w:bCs/>
          <w:i/>
        </w:rPr>
        <w:t xml:space="preserve">. </w:t>
      </w:r>
      <w:r w:rsidRPr="00BC1F10">
        <w:rPr>
          <w:rFonts w:ascii="Arial" w:eastAsia="Times New Roman" w:hAnsi="Arial" w:cs="Arial"/>
          <w:i/>
        </w:rPr>
        <w:t>El artículo </w:t>
      </w:r>
      <w:hyperlink r:id="rId8" w:history="1">
        <w:r w:rsidRPr="00BC1F10">
          <w:rPr>
            <w:rFonts w:ascii="Arial" w:eastAsiaTheme="majorEastAsia" w:hAnsi="Arial" w:cs="Arial"/>
            <w:i/>
            <w:color w:val="0000FF"/>
            <w:u w:val="single"/>
          </w:rPr>
          <w:t>17, párrafo tercero, de la Constitución Política de los Estados Unidos Mexicanos</w:t>
        </w:r>
      </w:hyperlink>
      <w:r w:rsidRPr="00BC1F10">
        <w:rPr>
          <w:rFonts w:ascii="Arial" w:eastAsia="Times New Roman" w:hAnsi="Arial" w:cs="Arial"/>
          <w:i/>
        </w:rPr>
        <w:t xml:space="preserve"> establece para los órganos jurisdiccionales la obligación de "privilegiar la solución del conflicto" por sobre los "formalismos procesales", con miras a lograr la tutela judicial efectiva. Este deber impuesto a los tribunales tiene como </w:t>
      </w:r>
      <w:r w:rsidRPr="00BC1F10">
        <w:rPr>
          <w:rFonts w:ascii="Arial" w:eastAsia="Times New Roman" w:hAnsi="Arial" w:cs="Arial"/>
          <w:i/>
        </w:rPr>
        <w:lastRenderedPageBreak/>
        <w:t>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BC1F10">
        <w:rPr>
          <w:rFonts w:ascii="Arial" w:eastAsia="Times New Roman" w:hAnsi="Arial" w:cs="Arial"/>
          <w:b/>
          <w:i/>
        </w:rPr>
        <w:t>”</w:t>
      </w:r>
    </w:p>
    <w:p w14:paraId="1B5703D4" w14:textId="287B8CDF" w:rsidR="005859BB" w:rsidRPr="005859BB" w:rsidRDefault="005859BB" w:rsidP="005859BB">
      <w:pPr>
        <w:spacing w:line="360" w:lineRule="auto"/>
        <w:ind w:firstLine="567"/>
        <w:jc w:val="both"/>
        <w:rPr>
          <w:rFonts w:ascii="Arial" w:eastAsia="Times New Roman" w:hAnsi="Arial" w:cs="Arial"/>
          <w:bCs/>
          <w:color w:val="000000"/>
          <w:sz w:val="26"/>
          <w:szCs w:val="26"/>
        </w:rPr>
      </w:pPr>
      <w:r w:rsidRPr="005859BB">
        <w:rPr>
          <w:rFonts w:ascii="Arial" w:eastAsia="Times New Roman" w:hAnsi="Arial" w:cs="Arial"/>
          <w:iCs/>
          <w:sz w:val="26"/>
          <w:szCs w:val="26"/>
        </w:rPr>
        <w:t xml:space="preserve">Ahora, a fin de reparar el agravio ocasionado al recurrente por la Primera Sala, </w:t>
      </w:r>
      <w:r w:rsidRPr="005859BB">
        <w:rPr>
          <w:rFonts w:ascii="Arial" w:eastAsia="Times New Roman" w:hAnsi="Arial" w:cs="Arial"/>
          <w:sz w:val="26"/>
          <w:szCs w:val="26"/>
        </w:rPr>
        <w:t xml:space="preserve">es procedente </w:t>
      </w:r>
      <w:r w:rsidRPr="005859BB">
        <w:rPr>
          <w:rFonts w:ascii="Arial" w:eastAsia="Times New Roman" w:hAnsi="Arial" w:cs="Arial"/>
          <w:b/>
          <w:sz w:val="26"/>
          <w:szCs w:val="26"/>
        </w:rPr>
        <w:t xml:space="preserve">REVOCAR </w:t>
      </w:r>
      <w:bookmarkStart w:id="10" w:name="_Hlk109409219"/>
      <w:r w:rsidRPr="005859BB">
        <w:rPr>
          <w:rFonts w:ascii="Arial" w:eastAsia="Times New Roman" w:hAnsi="Arial" w:cs="Arial"/>
          <w:sz w:val="26"/>
          <w:szCs w:val="26"/>
        </w:rPr>
        <w:t xml:space="preserve">el acuerdo de </w:t>
      </w:r>
      <w:r w:rsidR="00FE7340">
        <w:rPr>
          <w:rFonts w:ascii="Arial" w:eastAsia="Times New Roman" w:hAnsi="Arial" w:cs="Arial"/>
          <w:sz w:val="26"/>
          <w:szCs w:val="26"/>
        </w:rPr>
        <w:t xml:space="preserve">once de mayo </w:t>
      </w:r>
      <w:r w:rsidRPr="005859BB">
        <w:rPr>
          <w:rFonts w:ascii="Arial" w:eastAsia="Times New Roman" w:hAnsi="Arial" w:cs="Arial"/>
          <w:sz w:val="26"/>
          <w:szCs w:val="26"/>
        </w:rPr>
        <w:t xml:space="preserve">de dos mil veintiuno, y dictar </w:t>
      </w:r>
      <w:bookmarkEnd w:id="10"/>
      <w:r w:rsidRPr="005859BB">
        <w:rPr>
          <w:rFonts w:ascii="Arial" w:eastAsia="Times New Roman" w:hAnsi="Arial" w:cs="Arial"/>
          <w:sz w:val="26"/>
          <w:szCs w:val="26"/>
        </w:rPr>
        <w:t xml:space="preserve">otro en su lugar, </w:t>
      </w:r>
      <w:r w:rsidRPr="005859BB">
        <w:rPr>
          <w:rFonts w:ascii="Arial" w:eastAsia="Calibri" w:hAnsi="Arial" w:cs="Arial"/>
          <w:bCs/>
          <w:sz w:val="26"/>
          <w:szCs w:val="26"/>
        </w:rPr>
        <w:t xml:space="preserve">en los siguientes términos: </w:t>
      </w:r>
    </w:p>
    <w:p w14:paraId="743A8D64" w14:textId="3CFDBE73" w:rsidR="005859BB" w:rsidRPr="005859BB" w:rsidRDefault="005859BB" w:rsidP="00BC1F10">
      <w:pPr>
        <w:spacing w:after="0"/>
        <w:ind w:left="567" w:right="616"/>
        <w:jc w:val="both"/>
        <w:rPr>
          <w:rFonts w:ascii="Arial" w:hAnsi="Arial" w:cs="Arial"/>
          <w:i/>
          <w:iCs/>
        </w:rPr>
      </w:pPr>
      <w:r w:rsidRPr="005859BB">
        <w:rPr>
          <w:rFonts w:ascii="Arial" w:eastAsia="Times New Roman" w:hAnsi="Arial" w:cs="Arial"/>
          <w:b/>
          <w:bCs/>
          <w:i/>
          <w:iCs/>
          <w:lang w:eastAsia="es-ES"/>
        </w:rPr>
        <w:t>“</w:t>
      </w:r>
      <w:r w:rsidRPr="005859BB">
        <w:rPr>
          <w:rFonts w:ascii="Arial" w:hAnsi="Arial" w:cs="Arial"/>
          <w:i/>
          <w:iCs/>
        </w:rPr>
        <w:t xml:space="preserve">Por recibido en la oficialía de partes común de este Tribunal, el </w:t>
      </w:r>
      <w:r w:rsidR="00FE7340">
        <w:rPr>
          <w:rFonts w:ascii="Arial" w:hAnsi="Arial" w:cs="Arial"/>
          <w:i/>
          <w:iCs/>
        </w:rPr>
        <w:t xml:space="preserve">siete de mayo </w:t>
      </w:r>
      <w:r w:rsidRPr="005859BB">
        <w:rPr>
          <w:rFonts w:ascii="Arial" w:hAnsi="Arial" w:cs="Arial"/>
          <w:i/>
          <w:iCs/>
        </w:rPr>
        <w:t>de dos mil veintiuno, el escrito de</w:t>
      </w:r>
      <w:r w:rsidR="00FE7340">
        <w:rPr>
          <w:rFonts w:ascii="Arial" w:hAnsi="Arial" w:cs="Arial"/>
          <w:i/>
          <w:iCs/>
        </w:rPr>
        <w:t xml:space="preserve"> </w:t>
      </w:r>
      <w:r w:rsidR="0093074E">
        <w:rPr>
          <w:rFonts w:ascii="Arial" w:hAnsi="Arial" w:cs="Arial"/>
          <w:b/>
          <w:bCs/>
          <w:i/>
          <w:iCs/>
        </w:rPr>
        <w:t>*******</w:t>
      </w:r>
      <w:r w:rsidR="00FE7340">
        <w:rPr>
          <w:rFonts w:ascii="Arial" w:hAnsi="Arial" w:cs="Arial"/>
          <w:b/>
          <w:bCs/>
          <w:i/>
          <w:iCs/>
        </w:rPr>
        <w:t xml:space="preserve">, </w:t>
      </w:r>
      <w:r w:rsidRPr="005859BB">
        <w:rPr>
          <w:rFonts w:ascii="Arial" w:hAnsi="Arial" w:cs="Arial"/>
          <w:b/>
          <w:bCs/>
          <w:i/>
          <w:iCs/>
        </w:rPr>
        <w:t xml:space="preserve"> </w:t>
      </w:r>
      <w:r w:rsidRPr="005859BB">
        <w:rPr>
          <w:rFonts w:ascii="Arial" w:hAnsi="Arial" w:cs="Arial"/>
          <w:i/>
          <w:iCs/>
        </w:rPr>
        <w:t xml:space="preserve">quien promueve por su propio derecho </w:t>
      </w:r>
      <w:r w:rsidRPr="005859BB">
        <w:rPr>
          <w:rFonts w:ascii="Arial" w:hAnsi="Arial" w:cs="Arial"/>
          <w:b/>
          <w:i/>
          <w:iCs/>
        </w:rPr>
        <w:t xml:space="preserve">juicio de nulidad </w:t>
      </w:r>
      <w:r w:rsidRPr="005859BB">
        <w:rPr>
          <w:rFonts w:ascii="Arial" w:hAnsi="Arial" w:cs="Arial"/>
          <w:i/>
          <w:iCs/>
        </w:rPr>
        <w:t xml:space="preserve">en contra del mandamiento de ejecución número </w:t>
      </w:r>
      <w:r w:rsidR="0093074E">
        <w:rPr>
          <w:rFonts w:ascii="Arial" w:hAnsi="Arial" w:cs="Arial"/>
          <w:i/>
          <w:iCs/>
        </w:rPr>
        <w:t>*******</w:t>
      </w:r>
      <w:r w:rsidR="003751AD" w:rsidRPr="003751AD">
        <w:rPr>
          <w:rFonts w:ascii="Arial" w:hAnsi="Arial" w:cs="Arial"/>
          <w:i/>
          <w:iCs/>
        </w:rPr>
        <w:t xml:space="preserve"> de ocho de noviembre de dos mil diecinueve</w:t>
      </w:r>
      <w:r w:rsidR="003751AD">
        <w:rPr>
          <w:rFonts w:ascii="Arial" w:hAnsi="Arial" w:cs="Arial"/>
          <w:i/>
          <w:iCs/>
        </w:rPr>
        <w:t xml:space="preserve">, </w:t>
      </w:r>
      <w:r w:rsidRPr="005859BB">
        <w:rPr>
          <w:rFonts w:ascii="Arial" w:hAnsi="Arial" w:cs="Arial"/>
          <w:i/>
          <w:iCs/>
        </w:rPr>
        <w:t xml:space="preserve">emitido por la </w:t>
      </w:r>
      <w:r w:rsidRPr="005859BB">
        <w:rPr>
          <w:rFonts w:ascii="Arial" w:hAnsi="Arial" w:cs="Arial"/>
          <w:b/>
          <w:i/>
          <w:iCs/>
        </w:rPr>
        <w:t>Coordinadora de Cobro Coactivo de la Secretaría de Finanzas del Gobierno del Estado</w:t>
      </w:r>
      <w:r w:rsidR="003751AD">
        <w:rPr>
          <w:rFonts w:ascii="Arial" w:hAnsi="Arial" w:cs="Arial"/>
          <w:b/>
          <w:i/>
          <w:iCs/>
        </w:rPr>
        <w:t>,</w:t>
      </w:r>
      <w:r w:rsidR="00146286">
        <w:rPr>
          <w:rFonts w:ascii="Arial" w:hAnsi="Arial" w:cs="Arial"/>
          <w:b/>
          <w:i/>
          <w:iCs/>
        </w:rPr>
        <w:t xml:space="preserve"> </w:t>
      </w:r>
      <w:r w:rsidR="00146286" w:rsidRPr="003751AD">
        <w:rPr>
          <w:rFonts w:ascii="Arial" w:hAnsi="Arial" w:cs="Arial"/>
          <w:bCs/>
          <w:i/>
          <w:iCs/>
        </w:rPr>
        <w:t>por el cual se requiere el pago de</w:t>
      </w:r>
      <w:r w:rsidR="00146286">
        <w:rPr>
          <w:rFonts w:ascii="Arial" w:hAnsi="Arial" w:cs="Arial"/>
          <w:bCs/>
          <w:i/>
          <w:iCs/>
        </w:rPr>
        <w:t>l crédito</w:t>
      </w:r>
      <w:r w:rsidR="00146286" w:rsidRPr="00146286">
        <w:rPr>
          <w:rFonts w:ascii="Arial" w:hAnsi="Arial" w:cs="Arial"/>
          <w:bCs/>
          <w:i/>
          <w:iCs/>
        </w:rPr>
        <w:t xml:space="preserve"> </w:t>
      </w:r>
      <w:r w:rsidR="0093074E">
        <w:rPr>
          <w:rFonts w:ascii="Arial" w:hAnsi="Arial" w:cs="Arial"/>
          <w:bCs/>
          <w:i/>
          <w:iCs/>
        </w:rPr>
        <w:t>*******</w:t>
      </w:r>
      <w:r w:rsidR="00146286" w:rsidRPr="00146286">
        <w:rPr>
          <w:rFonts w:ascii="Arial" w:hAnsi="Arial" w:cs="Arial"/>
          <w:bCs/>
          <w:i/>
          <w:iCs/>
        </w:rPr>
        <w:t xml:space="preserve"> </w:t>
      </w:r>
      <w:r w:rsidR="00146286">
        <w:rPr>
          <w:rFonts w:ascii="Arial" w:hAnsi="Arial" w:cs="Arial"/>
          <w:bCs/>
          <w:i/>
          <w:iCs/>
        </w:rPr>
        <w:t>derivado de la resolución número</w:t>
      </w:r>
      <w:r w:rsidR="00146286" w:rsidRPr="00146286">
        <w:rPr>
          <w:rFonts w:ascii="Arial" w:hAnsi="Arial" w:cs="Arial"/>
          <w:bCs/>
          <w:i/>
          <w:iCs/>
        </w:rPr>
        <w:t xml:space="preserve"> </w:t>
      </w:r>
      <w:r w:rsidR="0093074E">
        <w:rPr>
          <w:rFonts w:ascii="Arial" w:hAnsi="Arial" w:cs="Arial"/>
          <w:b/>
          <w:i/>
          <w:iCs/>
        </w:rPr>
        <w:t>*******</w:t>
      </w:r>
      <w:r w:rsidR="00146286" w:rsidRPr="00146286">
        <w:rPr>
          <w:rFonts w:ascii="Arial" w:hAnsi="Arial" w:cs="Arial"/>
          <w:bCs/>
          <w:i/>
          <w:iCs/>
        </w:rPr>
        <w:t>, de diecisiete de junio de dos mil quince, emitida por la entonces Auditoría Superior del Estado</w:t>
      </w:r>
      <w:r w:rsidR="00A743A0">
        <w:rPr>
          <w:rFonts w:ascii="Arial" w:hAnsi="Arial" w:cs="Arial"/>
          <w:bCs/>
          <w:i/>
          <w:iCs/>
        </w:rPr>
        <w:t xml:space="preserve">; </w:t>
      </w:r>
      <w:r w:rsidRPr="005859BB">
        <w:rPr>
          <w:rFonts w:ascii="Arial" w:hAnsi="Arial" w:cs="Arial"/>
          <w:i/>
          <w:iCs/>
        </w:rPr>
        <w:t xml:space="preserve">en consecuencia, fórmese expediente y regístrese en el libro que para tal efecto se lleva en esta Primera Sala Unitaria de Primera Instancia.- </w:t>
      </w:r>
      <w:r w:rsidRPr="005859BB">
        <w:rPr>
          <w:rFonts w:ascii="Arial" w:hAnsi="Arial" w:cs="Arial"/>
          <w:b/>
          <w:bCs/>
          <w:i/>
          <w:iCs/>
        </w:rPr>
        <w:t>Ahora bien,</w:t>
      </w:r>
      <w:r w:rsidRPr="005859BB">
        <w:rPr>
          <w:rFonts w:ascii="Arial" w:hAnsi="Arial" w:cs="Arial"/>
          <w:i/>
          <w:iCs/>
        </w:rPr>
        <w:t xml:space="preserve"> de la lectura del escrito de demanda y los documentos anexos, se advierte que lo que el promovente </w:t>
      </w:r>
      <w:r w:rsidR="0093074E">
        <w:rPr>
          <w:rFonts w:ascii="Arial" w:hAnsi="Arial" w:cs="Arial"/>
          <w:b/>
          <w:bCs/>
          <w:i/>
          <w:iCs/>
        </w:rPr>
        <w:t>*******</w:t>
      </w:r>
      <w:r w:rsidR="00F120B7">
        <w:rPr>
          <w:rFonts w:ascii="Arial" w:hAnsi="Arial" w:cs="Arial"/>
          <w:b/>
          <w:bCs/>
          <w:i/>
          <w:iCs/>
        </w:rPr>
        <w:t xml:space="preserve">, </w:t>
      </w:r>
      <w:r w:rsidRPr="005859BB">
        <w:rPr>
          <w:rFonts w:ascii="Arial" w:hAnsi="Arial" w:cs="Arial"/>
          <w:i/>
          <w:iCs/>
        </w:rPr>
        <w:t xml:space="preserve">intenta impugnar es la resolución </w:t>
      </w:r>
      <w:r w:rsidR="00F120B7" w:rsidRPr="00F120B7">
        <w:rPr>
          <w:rFonts w:ascii="Arial" w:hAnsi="Arial" w:cs="Arial"/>
          <w:i/>
          <w:iCs/>
        </w:rPr>
        <w:t xml:space="preserve">número </w:t>
      </w:r>
      <w:r w:rsidR="0093074E">
        <w:rPr>
          <w:rFonts w:ascii="Arial" w:hAnsi="Arial" w:cs="Arial"/>
          <w:b/>
          <w:bCs/>
          <w:i/>
          <w:iCs/>
        </w:rPr>
        <w:t>*******</w:t>
      </w:r>
      <w:r w:rsidR="00F120B7" w:rsidRPr="00F120B7">
        <w:rPr>
          <w:rFonts w:ascii="Arial" w:hAnsi="Arial" w:cs="Arial"/>
          <w:b/>
          <w:bCs/>
          <w:i/>
          <w:iCs/>
        </w:rPr>
        <w:t>,</w:t>
      </w:r>
      <w:r w:rsidR="00F120B7" w:rsidRPr="00F120B7">
        <w:rPr>
          <w:rFonts w:ascii="Arial" w:hAnsi="Arial" w:cs="Arial"/>
          <w:i/>
          <w:iCs/>
        </w:rPr>
        <w:t xml:space="preserve"> de diecisiete de junio de dos mil quince, emitida por la entonces Auditoría Superior del Estado, ahora Órgano Superior de Fiscalización del Estado</w:t>
      </w:r>
      <w:r w:rsidR="00F120B7">
        <w:rPr>
          <w:rFonts w:ascii="Arial" w:hAnsi="Arial" w:cs="Arial"/>
          <w:i/>
          <w:iCs/>
        </w:rPr>
        <w:t xml:space="preserve">, </w:t>
      </w:r>
      <w:r w:rsidR="007B4E45">
        <w:rPr>
          <w:rFonts w:ascii="Arial" w:hAnsi="Arial" w:cs="Arial"/>
          <w:i/>
          <w:iCs/>
        </w:rPr>
        <w:t xml:space="preserve">por </w:t>
      </w:r>
      <w:r w:rsidR="00146286" w:rsidRPr="003751AD">
        <w:rPr>
          <w:rFonts w:ascii="Arial" w:hAnsi="Arial" w:cs="Arial"/>
          <w:bCs/>
          <w:i/>
          <w:iCs/>
        </w:rPr>
        <w:t>la</w:t>
      </w:r>
      <w:r w:rsidR="00146286">
        <w:rPr>
          <w:rFonts w:ascii="Arial" w:hAnsi="Arial" w:cs="Arial"/>
          <w:b/>
          <w:i/>
          <w:iCs/>
        </w:rPr>
        <w:t xml:space="preserve"> </w:t>
      </w:r>
      <w:r w:rsidR="00146286" w:rsidRPr="003751AD">
        <w:rPr>
          <w:rFonts w:ascii="Arial" w:hAnsi="Arial" w:cs="Arial"/>
          <w:bCs/>
          <w:i/>
          <w:iCs/>
        </w:rPr>
        <w:t>“multa impuesta por la omisión de la cuenta pública del ejercicio fiscal dos mil catorce, omisión del cuarto informe de avance de gestión financiera del trimestre octubre- diciembre del ejercicio fiscal dos mil catorce y omisión del primer informe de avance de gestión financiera del trimestre enero-marzo del ejercicio fiscal dos mil quince”, en cantidad de $</w:t>
      </w:r>
      <w:r w:rsidR="0093074E">
        <w:rPr>
          <w:rFonts w:ascii="Arial" w:hAnsi="Arial" w:cs="Arial"/>
          <w:bCs/>
          <w:i/>
          <w:iCs/>
        </w:rPr>
        <w:t>*******</w:t>
      </w:r>
      <w:r w:rsidR="00146286" w:rsidRPr="003751AD">
        <w:rPr>
          <w:rFonts w:ascii="Arial" w:hAnsi="Arial" w:cs="Arial"/>
          <w:bCs/>
          <w:i/>
          <w:iCs/>
        </w:rPr>
        <w:t xml:space="preserve">), que se originó cuando </w:t>
      </w:r>
      <w:r w:rsidR="0093074E">
        <w:rPr>
          <w:rFonts w:ascii="Arial" w:hAnsi="Arial" w:cs="Arial"/>
          <w:bCs/>
          <w:i/>
          <w:iCs/>
        </w:rPr>
        <w:t>*******</w:t>
      </w:r>
      <w:r w:rsidR="00146286" w:rsidRPr="003751AD">
        <w:rPr>
          <w:rFonts w:ascii="Arial" w:hAnsi="Arial" w:cs="Arial"/>
          <w:bCs/>
          <w:i/>
          <w:iCs/>
        </w:rPr>
        <w:t xml:space="preserve">, fungió como regidor de Hacienda del Municipio de </w:t>
      </w:r>
      <w:r w:rsidR="0093074E">
        <w:rPr>
          <w:rFonts w:ascii="Arial" w:hAnsi="Arial" w:cs="Arial"/>
          <w:bCs/>
          <w:i/>
          <w:iCs/>
        </w:rPr>
        <w:t>*******</w:t>
      </w:r>
      <w:r w:rsidR="00B22014">
        <w:rPr>
          <w:rFonts w:ascii="Arial" w:hAnsi="Arial" w:cs="Arial"/>
          <w:bCs/>
          <w:i/>
          <w:iCs/>
        </w:rPr>
        <w:t xml:space="preserve">, </w:t>
      </w:r>
      <w:r w:rsidRPr="005859BB">
        <w:rPr>
          <w:rFonts w:ascii="Arial" w:hAnsi="Arial" w:cs="Arial"/>
          <w:i/>
          <w:iCs/>
        </w:rPr>
        <w:t xml:space="preserve">controversia que debe ser resuelta a través del </w:t>
      </w:r>
      <w:r w:rsidRPr="005859BB">
        <w:rPr>
          <w:rFonts w:ascii="Arial" w:hAnsi="Arial" w:cs="Arial"/>
          <w:b/>
          <w:i/>
          <w:iCs/>
        </w:rPr>
        <w:t>juicio de inconformidad</w:t>
      </w:r>
      <w:r w:rsidRPr="005859BB">
        <w:rPr>
          <w:rFonts w:ascii="Arial" w:hAnsi="Arial" w:cs="Arial"/>
          <w:i/>
          <w:iCs/>
        </w:rPr>
        <w:t xml:space="preserve">, siendo la Sala Superior de este Tribunal de Justicia Administrativa del Estado de Oaxaca, la instancia competente para conocer de ello, en términos de los numerales 130 fracción VI  de la Ley de Procedimiento y Justicia Administrativa para el Estado de Oaxaca y 24 fracción I  de la Ley Orgánica del Tribunal de Justicia Administrativa del Estado de Oaxaca. Por lo que, con la finalidad de garantizar los derechos de seguridad </w:t>
      </w:r>
      <w:r w:rsidRPr="005859BB">
        <w:rPr>
          <w:rFonts w:ascii="Arial" w:hAnsi="Arial" w:cs="Arial"/>
          <w:i/>
          <w:iCs/>
        </w:rPr>
        <w:lastRenderedPageBreak/>
        <w:t xml:space="preserve">jurídica, tutela judicial efectiva y debido proceso del promovente, contenidos en los artículos 14, 16 y 17 de la Constitución Federal, esta Primera Sala Unitaria de Primera Instancia </w:t>
      </w:r>
      <w:r w:rsidRPr="005859BB">
        <w:rPr>
          <w:rFonts w:ascii="Arial" w:hAnsi="Arial" w:cs="Arial"/>
          <w:b/>
          <w:i/>
          <w:iCs/>
        </w:rPr>
        <w:t>SE DECLARA INCOMPETENTE</w:t>
      </w:r>
      <w:r w:rsidRPr="005859BB">
        <w:rPr>
          <w:rFonts w:ascii="Arial" w:hAnsi="Arial" w:cs="Arial"/>
          <w:i/>
          <w:iCs/>
        </w:rPr>
        <w:t xml:space="preserve"> para tramitar la demanda de</w:t>
      </w:r>
      <w:r w:rsidR="00C80F61">
        <w:rPr>
          <w:rFonts w:ascii="Arial" w:hAnsi="Arial" w:cs="Arial"/>
          <w:i/>
          <w:iCs/>
        </w:rPr>
        <w:t xml:space="preserve"> </w:t>
      </w:r>
      <w:r w:rsidR="0093074E">
        <w:rPr>
          <w:rFonts w:ascii="Arial" w:hAnsi="Arial" w:cs="Arial"/>
          <w:b/>
          <w:bCs/>
          <w:i/>
          <w:iCs/>
        </w:rPr>
        <w:t>*******</w:t>
      </w:r>
      <w:r w:rsidR="00C80F61">
        <w:rPr>
          <w:rFonts w:ascii="Arial" w:hAnsi="Arial" w:cs="Arial"/>
          <w:b/>
          <w:bCs/>
          <w:i/>
          <w:iCs/>
        </w:rPr>
        <w:t xml:space="preserve">, </w:t>
      </w:r>
      <w:r w:rsidRPr="005859BB">
        <w:rPr>
          <w:rFonts w:ascii="Arial" w:hAnsi="Arial" w:cs="Arial"/>
          <w:bCs/>
          <w:i/>
          <w:iCs/>
        </w:rPr>
        <w:t xml:space="preserve">a través del juicio de nulidad, y se ordena remitir a la Secretaría General de Acuerdos de este Tribunal los autos del presente expediente, </w:t>
      </w:r>
      <w:r w:rsidRPr="005859BB">
        <w:rPr>
          <w:rFonts w:ascii="Arial" w:hAnsi="Arial" w:cs="Arial"/>
          <w:i/>
          <w:iCs/>
        </w:rPr>
        <w:t xml:space="preserve">para que desahogue el trámite del juicio de inconformidad ante la Sala Superior, que es la instancia competente para sustanciar y dirimir los asuntos planteados contra la autoridad en materia de fiscalización y rendición de cuentas. </w:t>
      </w:r>
      <w:r w:rsidRPr="005859BB">
        <w:rPr>
          <w:rFonts w:ascii="Arial" w:eastAsia="Times New Roman" w:hAnsi="Arial" w:cs="Arial"/>
          <w:b/>
          <w:i/>
          <w:iCs/>
        </w:rPr>
        <w:t>NOTIFÍQUESE</w:t>
      </w:r>
      <w:r w:rsidRPr="005859BB">
        <w:rPr>
          <w:rFonts w:ascii="Arial" w:eastAsia="Times New Roman" w:hAnsi="Arial" w:cs="Arial"/>
          <w:bCs/>
          <w:i/>
          <w:iCs/>
        </w:rPr>
        <w:t xml:space="preserve"> personalmente al promovente en el domicilio que señala en el escrito de demanda a través de las personas que autoriza, con fundamento en lo dispuesto por los artículos 172 y 173 de la Ley de Procedimiento y Justicia Administrativa para el Estado de Oaxaca, </w:t>
      </w:r>
      <w:r w:rsidRPr="005859BB">
        <w:rPr>
          <w:rFonts w:ascii="Arial" w:hAnsi="Arial" w:cs="Arial"/>
          <w:b/>
          <w:i/>
          <w:iCs/>
        </w:rPr>
        <w:t xml:space="preserve">CÚMPLASE. </w:t>
      </w:r>
      <w:r w:rsidRPr="005859BB">
        <w:rPr>
          <w:rFonts w:ascii="Arial" w:eastAsia="Times New Roman" w:hAnsi="Arial" w:cs="Arial"/>
          <w:b/>
          <w:i/>
          <w:iCs/>
        </w:rPr>
        <w:t>…</w:t>
      </w:r>
      <w:r w:rsidRPr="005859BB">
        <w:rPr>
          <w:rFonts w:ascii="Arial" w:hAnsi="Arial" w:cs="Arial"/>
          <w:i/>
        </w:rPr>
        <w:t xml:space="preserve"> ”</w:t>
      </w:r>
      <w:r w:rsidRPr="005859BB">
        <w:rPr>
          <w:rFonts w:ascii="Arial" w:eastAsia="Times New Roman" w:hAnsi="Arial" w:cs="Arial"/>
          <w:b/>
          <w:bCs/>
          <w:i/>
          <w:iCs/>
          <w:lang w:eastAsia="es-ES"/>
        </w:rPr>
        <w:t xml:space="preserve"> </w:t>
      </w:r>
    </w:p>
    <w:p w14:paraId="054F2A12" w14:textId="77777777" w:rsidR="005859BB" w:rsidRPr="005859BB" w:rsidRDefault="005859BB" w:rsidP="005859BB"/>
    <w:p w14:paraId="490DA804" w14:textId="74C1F351" w:rsidR="005859BB" w:rsidRPr="005859BB" w:rsidRDefault="005859BB" w:rsidP="005859BB">
      <w:pPr>
        <w:spacing w:line="360" w:lineRule="auto"/>
        <w:ind w:firstLine="708"/>
        <w:jc w:val="both"/>
        <w:rPr>
          <w:rFonts w:ascii="Arial" w:eastAsia="Times New Roman" w:hAnsi="Arial" w:cs="Arial"/>
          <w:sz w:val="26"/>
          <w:szCs w:val="26"/>
          <w:lang w:eastAsia="es-ES"/>
        </w:rPr>
      </w:pPr>
      <w:r w:rsidRPr="005859BB">
        <w:rPr>
          <w:rFonts w:ascii="Arial" w:eastAsia="Times New Roman" w:hAnsi="Arial" w:cs="Arial"/>
          <w:sz w:val="26"/>
          <w:szCs w:val="26"/>
          <w:lang w:eastAsia="es-ES"/>
        </w:rPr>
        <w:t>En mérito de lo anterior, con fundamento en los artículos 236 y 238 de la Ley de Procedimiento y Justicia Administrativa para el Estado de Oaxaca, se:</w:t>
      </w:r>
      <w:r w:rsidR="00BC1F10">
        <w:rPr>
          <w:rFonts w:ascii="Arial" w:eastAsia="Times New Roman" w:hAnsi="Arial" w:cs="Arial"/>
          <w:sz w:val="26"/>
          <w:szCs w:val="26"/>
          <w:lang w:eastAsia="es-ES"/>
        </w:rPr>
        <w:t xml:space="preserve"> - - - - - - - - - - - - - - - - - - - - - - - - - - - - - - - - - - - - - - - - -</w:t>
      </w:r>
    </w:p>
    <w:p w14:paraId="2BF37320" w14:textId="77777777" w:rsidR="005859BB" w:rsidRPr="00BC1F10" w:rsidRDefault="005859BB" w:rsidP="005859BB">
      <w:pPr>
        <w:spacing w:before="240" w:after="0" w:line="360" w:lineRule="auto"/>
        <w:jc w:val="center"/>
        <w:rPr>
          <w:rFonts w:ascii="Arial" w:hAnsi="Arial" w:cs="Arial"/>
          <w:b/>
          <w:sz w:val="26"/>
          <w:szCs w:val="26"/>
          <w:lang w:val="es-ES"/>
        </w:rPr>
      </w:pPr>
      <w:r w:rsidRPr="00BC1F10">
        <w:rPr>
          <w:rFonts w:ascii="Arial" w:hAnsi="Arial" w:cs="Arial"/>
          <w:b/>
          <w:sz w:val="26"/>
          <w:szCs w:val="26"/>
          <w:lang w:val="es-ES"/>
        </w:rPr>
        <w:t>R E S U E L V E</w:t>
      </w:r>
    </w:p>
    <w:p w14:paraId="35946C04" w14:textId="6A0E1D13" w:rsidR="005859BB" w:rsidRPr="005859BB" w:rsidRDefault="005859BB" w:rsidP="005859BB">
      <w:pPr>
        <w:spacing w:before="240" w:after="0" w:line="360" w:lineRule="auto"/>
        <w:ind w:firstLine="708"/>
        <w:jc w:val="both"/>
        <w:rPr>
          <w:rFonts w:ascii="Arial" w:hAnsi="Arial" w:cs="Arial"/>
          <w:color w:val="000000"/>
          <w:sz w:val="26"/>
          <w:szCs w:val="26"/>
        </w:rPr>
      </w:pPr>
      <w:r w:rsidRPr="005859BB">
        <w:rPr>
          <w:rFonts w:ascii="Arial" w:hAnsi="Arial" w:cs="Arial"/>
          <w:b/>
          <w:color w:val="000000"/>
          <w:sz w:val="26"/>
          <w:szCs w:val="26"/>
          <w:lang w:val="es-ES"/>
        </w:rPr>
        <w:t>PRIMERO</w:t>
      </w:r>
      <w:r w:rsidRPr="005859BB">
        <w:rPr>
          <w:rFonts w:ascii="Arial" w:hAnsi="Arial" w:cs="Arial"/>
          <w:color w:val="000000"/>
          <w:sz w:val="26"/>
          <w:szCs w:val="26"/>
          <w:lang w:val="es-ES"/>
        </w:rPr>
        <w:t xml:space="preserve">. </w:t>
      </w:r>
      <w:r w:rsidRPr="005859BB">
        <w:rPr>
          <w:rFonts w:ascii="Arial" w:hAnsi="Arial" w:cs="Arial"/>
          <w:color w:val="000000"/>
          <w:sz w:val="26"/>
          <w:szCs w:val="26"/>
        </w:rPr>
        <w:t>Se</w:t>
      </w:r>
      <w:r w:rsidRPr="005859BB">
        <w:rPr>
          <w:rFonts w:ascii="Arial" w:hAnsi="Arial" w:cs="Arial"/>
          <w:b/>
          <w:color w:val="000000"/>
          <w:sz w:val="26"/>
          <w:szCs w:val="26"/>
        </w:rPr>
        <w:t xml:space="preserve"> REVOCA </w:t>
      </w:r>
      <w:r w:rsidRPr="005859BB">
        <w:rPr>
          <w:rFonts w:ascii="Arial" w:eastAsia="Times New Roman" w:hAnsi="Arial" w:cs="Arial"/>
          <w:sz w:val="26"/>
          <w:szCs w:val="26"/>
          <w:lang w:val="es-ES"/>
        </w:rPr>
        <w:t xml:space="preserve">el acuerdo de </w:t>
      </w:r>
      <w:r w:rsidR="00574674">
        <w:rPr>
          <w:rFonts w:ascii="Arial" w:eastAsia="Times New Roman" w:hAnsi="Arial" w:cs="Arial"/>
          <w:sz w:val="26"/>
          <w:szCs w:val="26"/>
          <w:lang w:val="es-ES"/>
        </w:rPr>
        <w:t>once de mayo</w:t>
      </w:r>
      <w:r w:rsidRPr="005859BB">
        <w:rPr>
          <w:rFonts w:ascii="Arial" w:eastAsia="Times New Roman" w:hAnsi="Arial" w:cs="Arial"/>
          <w:sz w:val="26"/>
          <w:szCs w:val="26"/>
          <w:lang w:val="es-ES"/>
        </w:rPr>
        <w:t xml:space="preserve"> de dos mil veintiuno, y se dicta uno nuevo, </w:t>
      </w:r>
      <w:r w:rsidRPr="005859BB">
        <w:rPr>
          <w:rFonts w:ascii="Arial" w:hAnsi="Arial" w:cs="Arial"/>
          <w:color w:val="000000"/>
          <w:sz w:val="26"/>
          <w:szCs w:val="26"/>
        </w:rPr>
        <w:t xml:space="preserve">por las razones expuestas por esta Sala Superior en el considerando que antecede. </w:t>
      </w:r>
      <w:r w:rsidR="00BC1F10">
        <w:rPr>
          <w:rFonts w:ascii="Arial" w:hAnsi="Arial" w:cs="Arial"/>
          <w:color w:val="000000"/>
          <w:sz w:val="26"/>
          <w:szCs w:val="26"/>
        </w:rPr>
        <w:t>- - - - - - - - - - - - - - - - - - - - -</w:t>
      </w:r>
    </w:p>
    <w:p w14:paraId="1A00A3AE" w14:textId="787E0633" w:rsidR="005859BB" w:rsidRPr="005859BB" w:rsidRDefault="005859BB" w:rsidP="005859BB">
      <w:pPr>
        <w:widowControl w:val="0"/>
        <w:tabs>
          <w:tab w:val="left" w:pos="0"/>
        </w:tabs>
        <w:spacing w:before="240" w:line="360" w:lineRule="auto"/>
        <w:ind w:right="18"/>
        <w:jc w:val="both"/>
        <w:rPr>
          <w:rFonts w:ascii="Arial" w:hAnsi="Arial" w:cs="Arial"/>
          <w:sz w:val="26"/>
          <w:szCs w:val="26"/>
        </w:rPr>
      </w:pPr>
      <w:r w:rsidRPr="005859BB">
        <w:rPr>
          <w:rFonts w:ascii="Arial" w:hAnsi="Arial" w:cs="Arial"/>
          <w:b/>
          <w:sz w:val="26"/>
          <w:szCs w:val="26"/>
        </w:rPr>
        <w:tab/>
        <w:t xml:space="preserve">SEGUNDO. </w:t>
      </w:r>
      <w:r w:rsidRPr="005859BB">
        <w:rPr>
          <w:rFonts w:ascii="Arial" w:hAnsi="Arial" w:cs="Arial"/>
          <w:sz w:val="26"/>
          <w:szCs w:val="26"/>
        </w:rPr>
        <w:t xml:space="preserve">En cumplimiento a la presente resolución, se ordena a la Primera Sala Unitaria de Primera Instancia, que remita a la Secretaría General de Acuerdos de este Tribunal, las constancias del expediente </w:t>
      </w:r>
      <w:r w:rsidRPr="005859BB">
        <w:rPr>
          <w:rFonts w:ascii="Arial" w:hAnsi="Arial" w:cs="Arial"/>
          <w:b/>
          <w:sz w:val="26"/>
          <w:szCs w:val="26"/>
        </w:rPr>
        <w:t>003</w:t>
      </w:r>
      <w:r w:rsidR="00F13570">
        <w:rPr>
          <w:rFonts w:ascii="Arial" w:hAnsi="Arial" w:cs="Arial"/>
          <w:b/>
          <w:sz w:val="26"/>
          <w:szCs w:val="26"/>
        </w:rPr>
        <w:t>6</w:t>
      </w:r>
      <w:r w:rsidRPr="005859BB">
        <w:rPr>
          <w:rFonts w:ascii="Arial" w:hAnsi="Arial" w:cs="Arial"/>
          <w:b/>
          <w:sz w:val="26"/>
          <w:szCs w:val="26"/>
        </w:rPr>
        <w:t>/2021</w:t>
      </w:r>
      <w:r w:rsidRPr="005859BB">
        <w:rPr>
          <w:rFonts w:ascii="Arial" w:hAnsi="Arial" w:cs="Arial"/>
          <w:sz w:val="26"/>
          <w:szCs w:val="26"/>
        </w:rPr>
        <w:t xml:space="preserve"> de su índice, para la tramitación del juicio de inconformidad correspondiente. </w:t>
      </w:r>
      <w:r w:rsidR="00BC1F10">
        <w:rPr>
          <w:rFonts w:ascii="Arial" w:hAnsi="Arial" w:cs="Arial"/>
          <w:sz w:val="26"/>
          <w:szCs w:val="26"/>
        </w:rPr>
        <w:t xml:space="preserve">- - - - - - - - - - - - - - - - - - - - - - - - - - - - - </w:t>
      </w:r>
    </w:p>
    <w:p w14:paraId="259415F7" w14:textId="4392BCDD" w:rsidR="005859BB" w:rsidRPr="005859BB" w:rsidRDefault="005859BB" w:rsidP="005859BB">
      <w:pPr>
        <w:widowControl w:val="0"/>
        <w:tabs>
          <w:tab w:val="left" w:pos="0"/>
        </w:tabs>
        <w:spacing w:before="240" w:line="360" w:lineRule="auto"/>
        <w:ind w:right="18"/>
        <w:jc w:val="both"/>
        <w:rPr>
          <w:rFonts w:ascii="Arial" w:hAnsi="Arial" w:cs="Arial"/>
          <w:sz w:val="26"/>
          <w:szCs w:val="26"/>
        </w:rPr>
      </w:pPr>
      <w:r w:rsidRPr="005859BB">
        <w:rPr>
          <w:rFonts w:ascii="Arial" w:hAnsi="Arial" w:cs="Arial"/>
          <w:b/>
          <w:sz w:val="26"/>
          <w:szCs w:val="26"/>
        </w:rPr>
        <w:tab/>
        <w:t>TERCERO.- NOTIFÍQUESE Y CÚMPLASE,</w:t>
      </w:r>
      <w:r w:rsidRPr="005859BB">
        <w:rPr>
          <w:rFonts w:ascii="Arial" w:hAnsi="Arial" w:cs="Arial"/>
          <w:sz w:val="26"/>
          <w:szCs w:val="26"/>
        </w:rPr>
        <w:t xml:space="preserve"> remítase copia certificada de la presente resolución a la Primera Sala Unitaria de Primera Instancia de este Tribunal y en su oportunidad archívese el presente cuaderno de revisión como asunto concluido.</w:t>
      </w:r>
      <w:r w:rsidR="00BC1F10">
        <w:rPr>
          <w:rFonts w:ascii="Arial" w:hAnsi="Arial" w:cs="Arial"/>
          <w:sz w:val="26"/>
          <w:szCs w:val="26"/>
        </w:rPr>
        <w:t xml:space="preserve"> - - - - - - - - - - - - </w:t>
      </w:r>
    </w:p>
    <w:p w14:paraId="2196B812" w14:textId="09CDF338" w:rsidR="00BC1F10" w:rsidRDefault="005859BB" w:rsidP="0093074E">
      <w:pPr>
        <w:tabs>
          <w:tab w:val="left" w:pos="1680"/>
          <w:tab w:val="center" w:pos="4277"/>
        </w:tabs>
        <w:spacing w:line="360" w:lineRule="auto"/>
        <w:jc w:val="both"/>
        <w:rPr>
          <w:rFonts w:ascii="Arial" w:hAnsi="Arial" w:cs="Arial"/>
          <w:sz w:val="26"/>
          <w:szCs w:val="26"/>
        </w:rPr>
      </w:pPr>
      <w:r w:rsidRPr="005859BB">
        <w:t xml:space="preserve"> </w:t>
      </w:r>
      <w:r w:rsidRPr="005859BB">
        <w:rPr>
          <w:rFonts w:ascii="Arial" w:hAnsi="Arial" w:cs="Arial"/>
          <w:sz w:val="26"/>
          <w:szCs w:val="26"/>
        </w:rPr>
        <w:t xml:space="preserve">       Por unanimidad de votos, lo resolvieron y firmaron los magistrados integrantes de la Sala Superior, Manuel Velasco Alcántara, Raúl Palomares Palomino </w:t>
      </w:r>
      <w:r w:rsidRPr="005859BB">
        <w:rPr>
          <w:rFonts w:ascii="Arial" w:hAnsi="Arial" w:cs="Arial"/>
          <w:b/>
          <w:bCs/>
          <w:sz w:val="26"/>
          <w:szCs w:val="26"/>
        </w:rPr>
        <w:t>(ponente)</w:t>
      </w:r>
      <w:r w:rsidRPr="005859BB">
        <w:rPr>
          <w:rFonts w:ascii="Arial" w:hAnsi="Arial" w:cs="Arial"/>
          <w:sz w:val="26"/>
          <w:szCs w:val="26"/>
        </w:rPr>
        <w:t>, Gloria del Carmen Camacho Meza, Paulo José Luis Tapia Palacios, Elías Cortés López, quienes actúan con el Licenciado Juan Edy García Coronado, secretario General de Acuerdos de este Tribunal, que autoriza y da fe.</w:t>
      </w:r>
      <w:r w:rsidR="00BC1F10">
        <w:rPr>
          <w:rFonts w:ascii="Arial" w:hAnsi="Arial" w:cs="Arial"/>
          <w:sz w:val="26"/>
          <w:szCs w:val="26"/>
        </w:rPr>
        <w:t xml:space="preserve"> - - - - - - - - - - - - - - - - - </w:t>
      </w:r>
    </w:p>
    <w:p w14:paraId="3CF867F6" w14:textId="77777777" w:rsidR="0093074E" w:rsidRDefault="0093074E" w:rsidP="0093074E">
      <w:pPr>
        <w:tabs>
          <w:tab w:val="left" w:pos="1680"/>
          <w:tab w:val="center" w:pos="4277"/>
        </w:tabs>
        <w:spacing w:line="360" w:lineRule="auto"/>
        <w:jc w:val="both"/>
        <w:rPr>
          <w:rFonts w:ascii="Arial" w:hAnsi="Arial" w:cs="Arial"/>
          <w:sz w:val="26"/>
          <w:szCs w:val="26"/>
        </w:rPr>
      </w:pPr>
    </w:p>
    <w:p w14:paraId="20B9202F" w14:textId="77777777" w:rsidR="0093074E" w:rsidRDefault="0093074E" w:rsidP="0093074E">
      <w:pPr>
        <w:tabs>
          <w:tab w:val="left" w:pos="1680"/>
          <w:tab w:val="center" w:pos="4277"/>
        </w:tabs>
        <w:spacing w:line="360" w:lineRule="auto"/>
        <w:jc w:val="both"/>
        <w:rPr>
          <w:rFonts w:ascii="Arial" w:hAnsi="Arial" w:cs="Arial"/>
          <w:sz w:val="26"/>
          <w:szCs w:val="26"/>
        </w:rPr>
      </w:pPr>
    </w:p>
    <w:p w14:paraId="56A98B79" w14:textId="77777777" w:rsidR="0093074E" w:rsidRDefault="0093074E" w:rsidP="0093074E">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w:t>
      </w:r>
      <w:bookmarkStart w:id="11" w:name="_GoBack"/>
      <w:bookmarkEnd w:id="11"/>
      <w:r>
        <w:rPr>
          <w:rFonts w:ascii="Arial" w:eastAsiaTheme="minorHAnsi" w:hAnsi="Arial" w:cs="Arial"/>
          <w:b/>
          <w:sz w:val="16"/>
          <w:szCs w:val="16"/>
          <w:lang w:eastAsia="en-US"/>
        </w:rPr>
        <w:t>SOLUCIÓN DEL RECURSO DE REVISIÓN 0223/2021</w:t>
      </w:r>
    </w:p>
    <w:p w14:paraId="7914806A" w14:textId="77777777" w:rsidR="0093074E" w:rsidRDefault="0093074E" w:rsidP="0093074E">
      <w:pPr>
        <w:tabs>
          <w:tab w:val="left" w:pos="1680"/>
          <w:tab w:val="center" w:pos="4277"/>
        </w:tabs>
        <w:spacing w:line="360" w:lineRule="auto"/>
        <w:jc w:val="both"/>
        <w:rPr>
          <w:rFonts w:ascii="Arial" w:hAnsi="Arial" w:cs="Arial"/>
          <w:sz w:val="26"/>
          <w:szCs w:val="26"/>
        </w:rPr>
      </w:pPr>
    </w:p>
    <w:p w14:paraId="228F5E71" w14:textId="77777777" w:rsidR="0093074E" w:rsidRDefault="0093074E" w:rsidP="0093074E">
      <w:pPr>
        <w:tabs>
          <w:tab w:val="left" w:pos="1680"/>
          <w:tab w:val="center" w:pos="4277"/>
        </w:tabs>
        <w:spacing w:line="360" w:lineRule="auto"/>
        <w:jc w:val="both"/>
        <w:rPr>
          <w:rFonts w:ascii="Arial" w:hAnsi="Arial" w:cs="Arial"/>
          <w:sz w:val="26"/>
          <w:szCs w:val="26"/>
        </w:rPr>
      </w:pPr>
    </w:p>
    <w:p w14:paraId="7126D94F" w14:textId="77777777" w:rsidR="0093074E" w:rsidRPr="005859BB" w:rsidRDefault="0093074E" w:rsidP="0093074E">
      <w:pPr>
        <w:tabs>
          <w:tab w:val="left" w:pos="1680"/>
          <w:tab w:val="center" w:pos="4277"/>
        </w:tabs>
        <w:spacing w:line="360" w:lineRule="auto"/>
        <w:jc w:val="both"/>
        <w:rPr>
          <w:rFonts w:ascii="Arial" w:hAnsi="Arial" w:cs="Arial"/>
          <w:sz w:val="26"/>
          <w:szCs w:val="26"/>
        </w:rPr>
      </w:pPr>
    </w:p>
    <w:p w14:paraId="52CA033D" w14:textId="77777777" w:rsidR="00BC1F10" w:rsidRDefault="00BC1F10" w:rsidP="00BC1F10">
      <w:pPr>
        <w:pStyle w:val="Sinespaciado"/>
        <w:jc w:val="center"/>
        <w:rPr>
          <w:rFonts w:ascii="Arial" w:eastAsia="Times New Roman" w:hAnsi="Arial" w:cs="Arial"/>
          <w:sz w:val="26"/>
          <w:szCs w:val="26"/>
        </w:rPr>
      </w:pPr>
    </w:p>
    <w:p w14:paraId="2AEB10A8" w14:textId="77777777" w:rsidR="00BC1F10" w:rsidRDefault="00BC1F10" w:rsidP="00BC1F1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6EABA2D" w14:textId="77777777" w:rsidR="00BC1F10" w:rsidRDefault="00BC1F10" w:rsidP="00BC1F10">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5F50C37" w14:textId="77777777" w:rsidR="00BC1F10" w:rsidRDefault="00BC1F10" w:rsidP="00BC1F10">
      <w:pPr>
        <w:spacing w:after="0" w:line="240" w:lineRule="auto"/>
        <w:ind w:firstLine="567"/>
        <w:jc w:val="center"/>
        <w:rPr>
          <w:rFonts w:ascii="Arial" w:eastAsiaTheme="minorHAnsi" w:hAnsi="Arial" w:cs="Arial"/>
          <w:sz w:val="26"/>
          <w:szCs w:val="26"/>
          <w:lang w:eastAsia="en-US"/>
        </w:rPr>
      </w:pPr>
    </w:p>
    <w:p w14:paraId="64E278D6" w14:textId="77777777" w:rsidR="00BC1F10" w:rsidRDefault="00BC1F10" w:rsidP="00BC1F10">
      <w:pPr>
        <w:spacing w:after="0" w:line="240" w:lineRule="auto"/>
        <w:ind w:firstLine="567"/>
        <w:jc w:val="center"/>
        <w:rPr>
          <w:rFonts w:ascii="Arial" w:eastAsiaTheme="minorHAnsi" w:hAnsi="Arial" w:cs="Arial"/>
          <w:sz w:val="26"/>
          <w:szCs w:val="26"/>
          <w:lang w:eastAsia="en-US"/>
        </w:rPr>
      </w:pPr>
    </w:p>
    <w:p w14:paraId="5F42A84B" w14:textId="77777777" w:rsidR="00BC1F10" w:rsidRDefault="00BC1F10" w:rsidP="00BC1F10">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6926B8DD" w14:textId="77777777" w:rsidR="00BC1F10" w:rsidRDefault="00BC1F10" w:rsidP="00BC1F10">
      <w:pPr>
        <w:spacing w:after="0" w:line="240" w:lineRule="auto"/>
        <w:ind w:firstLine="567"/>
        <w:jc w:val="center"/>
        <w:rPr>
          <w:rFonts w:ascii="Arial" w:eastAsiaTheme="minorHAnsi" w:hAnsi="Arial" w:cs="Arial"/>
          <w:sz w:val="26"/>
          <w:szCs w:val="26"/>
          <w:lang w:eastAsia="en-US"/>
        </w:rPr>
      </w:pPr>
    </w:p>
    <w:p w14:paraId="0D8EE927" w14:textId="77777777" w:rsidR="00BC1F10" w:rsidRDefault="00BC1F10" w:rsidP="00BC1F10">
      <w:pPr>
        <w:spacing w:after="0" w:line="240" w:lineRule="auto"/>
        <w:ind w:firstLine="567"/>
        <w:jc w:val="center"/>
        <w:rPr>
          <w:rFonts w:ascii="Arial" w:eastAsiaTheme="minorHAnsi" w:hAnsi="Arial" w:cs="Arial"/>
          <w:sz w:val="26"/>
          <w:szCs w:val="26"/>
          <w:lang w:eastAsia="en-US"/>
        </w:rPr>
      </w:pPr>
    </w:p>
    <w:p w14:paraId="325BBD7B" w14:textId="77777777" w:rsidR="00BC1F10" w:rsidRDefault="00BC1F10" w:rsidP="0093074E">
      <w:pPr>
        <w:spacing w:after="0" w:line="240" w:lineRule="auto"/>
        <w:rPr>
          <w:rFonts w:ascii="Arial" w:eastAsiaTheme="minorHAnsi" w:hAnsi="Arial" w:cs="Arial"/>
          <w:sz w:val="26"/>
          <w:szCs w:val="26"/>
          <w:lang w:eastAsia="en-US"/>
        </w:rPr>
      </w:pPr>
    </w:p>
    <w:p w14:paraId="0480EFF4" w14:textId="77777777" w:rsidR="00BC1F10" w:rsidRDefault="00BC1F10" w:rsidP="00BC1F10">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1821611" w14:textId="77777777" w:rsidR="00BC1F10" w:rsidRDefault="00BC1F10" w:rsidP="00BC1F10">
      <w:pPr>
        <w:spacing w:after="120"/>
        <w:jc w:val="center"/>
        <w:rPr>
          <w:rFonts w:ascii="Arial" w:eastAsiaTheme="minorHAnsi" w:hAnsi="Arial" w:cs="Arial"/>
          <w:sz w:val="26"/>
          <w:szCs w:val="26"/>
          <w:lang w:eastAsia="en-US"/>
        </w:rPr>
      </w:pPr>
    </w:p>
    <w:p w14:paraId="0AC3A4B5" w14:textId="77777777" w:rsidR="00BC1F10" w:rsidRDefault="00BC1F10" w:rsidP="00BC1F10">
      <w:pPr>
        <w:spacing w:after="120"/>
        <w:jc w:val="center"/>
        <w:rPr>
          <w:rFonts w:ascii="Arial" w:eastAsiaTheme="minorHAnsi" w:hAnsi="Arial" w:cs="Arial"/>
          <w:sz w:val="26"/>
          <w:szCs w:val="26"/>
          <w:lang w:eastAsia="en-US"/>
        </w:rPr>
      </w:pPr>
    </w:p>
    <w:p w14:paraId="0A91BB17" w14:textId="77777777" w:rsidR="00BC1F10" w:rsidRDefault="00BC1F10" w:rsidP="00BC1F10">
      <w:pPr>
        <w:spacing w:after="120"/>
        <w:jc w:val="center"/>
        <w:rPr>
          <w:rFonts w:ascii="Arial" w:eastAsiaTheme="minorHAnsi" w:hAnsi="Arial" w:cs="Arial"/>
          <w:sz w:val="26"/>
          <w:szCs w:val="26"/>
          <w:lang w:eastAsia="en-US"/>
        </w:rPr>
      </w:pPr>
    </w:p>
    <w:p w14:paraId="13C32804" w14:textId="77777777" w:rsidR="00BC1F10" w:rsidRDefault="00BC1F10" w:rsidP="00BC1F10">
      <w:pPr>
        <w:spacing w:after="120"/>
        <w:jc w:val="center"/>
        <w:rPr>
          <w:rFonts w:ascii="Arial" w:eastAsiaTheme="minorHAnsi" w:hAnsi="Arial" w:cs="Arial"/>
          <w:sz w:val="26"/>
          <w:szCs w:val="26"/>
          <w:lang w:eastAsia="en-US"/>
        </w:rPr>
      </w:pPr>
    </w:p>
    <w:p w14:paraId="40E2DFF2" w14:textId="77777777"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E19F926" w14:textId="6577E884" w:rsidR="00BC1F10" w:rsidRDefault="00BC1F10" w:rsidP="0093074E">
      <w:pPr>
        <w:tabs>
          <w:tab w:val="left" w:pos="1680"/>
          <w:tab w:val="center" w:pos="4277"/>
        </w:tabs>
        <w:spacing w:after="120" w:line="360" w:lineRule="auto"/>
        <w:rPr>
          <w:rFonts w:ascii="Arial" w:eastAsiaTheme="minorHAnsi" w:hAnsi="Arial" w:cs="Arial"/>
          <w:sz w:val="26"/>
          <w:szCs w:val="26"/>
          <w:lang w:eastAsia="en-US"/>
        </w:rPr>
      </w:pPr>
    </w:p>
    <w:p w14:paraId="441FF542" w14:textId="1910AEA2"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p>
    <w:p w14:paraId="327391E3" w14:textId="77777777"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p>
    <w:p w14:paraId="3E364896" w14:textId="77777777"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B96A66E" w14:textId="77777777" w:rsidR="00BC1F10" w:rsidRDefault="00BC1F10" w:rsidP="0093074E">
      <w:pPr>
        <w:tabs>
          <w:tab w:val="left" w:pos="1680"/>
          <w:tab w:val="center" w:pos="4277"/>
        </w:tabs>
        <w:spacing w:after="120" w:line="360" w:lineRule="auto"/>
        <w:rPr>
          <w:rFonts w:ascii="Arial" w:eastAsiaTheme="minorHAnsi" w:hAnsi="Arial" w:cs="Arial"/>
          <w:sz w:val="26"/>
          <w:szCs w:val="26"/>
          <w:lang w:eastAsia="en-US"/>
        </w:rPr>
      </w:pPr>
    </w:p>
    <w:p w14:paraId="41587C38" w14:textId="77777777" w:rsidR="0093074E" w:rsidRDefault="0093074E" w:rsidP="0093074E">
      <w:pPr>
        <w:tabs>
          <w:tab w:val="left" w:pos="1680"/>
          <w:tab w:val="center" w:pos="4277"/>
        </w:tabs>
        <w:spacing w:after="120" w:line="360" w:lineRule="auto"/>
        <w:rPr>
          <w:rFonts w:ascii="Arial" w:eastAsiaTheme="minorHAnsi" w:hAnsi="Arial" w:cs="Arial"/>
          <w:sz w:val="26"/>
          <w:szCs w:val="26"/>
          <w:lang w:eastAsia="en-US"/>
        </w:rPr>
      </w:pPr>
    </w:p>
    <w:p w14:paraId="3D7BB555" w14:textId="77777777"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p>
    <w:p w14:paraId="4DE862E2" w14:textId="77777777"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7264C3E" w14:textId="77777777"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p>
    <w:p w14:paraId="24EC4DE6" w14:textId="77777777" w:rsidR="00BC1F10" w:rsidRDefault="00BC1F10" w:rsidP="00BC1F10">
      <w:pPr>
        <w:tabs>
          <w:tab w:val="left" w:pos="1680"/>
          <w:tab w:val="center" w:pos="4277"/>
        </w:tabs>
        <w:spacing w:after="120" w:line="360" w:lineRule="auto"/>
        <w:rPr>
          <w:rFonts w:ascii="Arial" w:eastAsiaTheme="minorHAnsi" w:hAnsi="Arial" w:cs="Arial"/>
          <w:sz w:val="26"/>
          <w:szCs w:val="26"/>
          <w:lang w:eastAsia="en-US"/>
        </w:rPr>
      </w:pPr>
    </w:p>
    <w:p w14:paraId="18753B69" w14:textId="77777777" w:rsidR="00BC1F10" w:rsidRDefault="00BC1F10" w:rsidP="00BC1F10">
      <w:pPr>
        <w:tabs>
          <w:tab w:val="left" w:pos="1680"/>
          <w:tab w:val="center" w:pos="4277"/>
        </w:tabs>
        <w:spacing w:after="120" w:line="360" w:lineRule="auto"/>
        <w:jc w:val="center"/>
        <w:rPr>
          <w:rFonts w:ascii="Arial" w:eastAsiaTheme="minorHAnsi" w:hAnsi="Arial" w:cs="Arial"/>
          <w:sz w:val="26"/>
          <w:szCs w:val="26"/>
          <w:lang w:eastAsia="en-US"/>
        </w:rPr>
      </w:pPr>
    </w:p>
    <w:p w14:paraId="6474F03A" w14:textId="77777777" w:rsidR="00BC1F10" w:rsidRDefault="00BC1F10" w:rsidP="00BC1F10">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7530CD0A" w14:textId="77777777" w:rsidR="00BC1F10" w:rsidRDefault="00BC1F10" w:rsidP="00BC1F10">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C36EF04" w14:textId="77777777" w:rsidR="00BC1F10" w:rsidRDefault="00BC1F10" w:rsidP="00BC1F10">
      <w:pPr>
        <w:spacing w:before="240" w:line="360" w:lineRule="auto"/>
        <w:ind w:firstLine="708"/>
        <w:jc w:val="both"/>
        <w:rPr>
          <w:rFonts w:ascii="Arial" w:hAnsi="Arial" w:cs="Arial"/>
          <w:sz w:val="26"/>
          <w:szCs w:val="26"/>
        </w:rPr>
      </w:pPr>
    </w:p>
    <w:p w14:paraId="3B0D0DB1"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0A6D5" w14:textId="77777777" w:rsidR="001005E6" w:rsidRDefault="001005E6">
      <w:pPr>
        <w:spacing w:after="0" w:line="240" w:lineRule="auto"/>
      </w:pPr>
      <w:r>
        <w:separator/>
      </w:r>
    </w:p>
  </w:endnote>
  <w:endnote w:type="continuationSeparator" w:id="0">
    <w:p w14:paraId="0B27A3CD" w14:textId="77777777" w:rsidR="001005E6" w:rsidRDefault="00100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4C02A8" w:rsidRDefault="004C02A8">
    <w:pPr>
      <w:pStyle w:val="Piedepgina"/>
      <w:jc w:val="center"/>
    </w:pPr>
  </w:p>
  <w:p w14:paraId="195FF414" w14:textId="77777777" w:rsidR="004C02A8" w:rsidRDefault="004C02A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C25D5" w14:textId="77777777" w:rsidR="001005E6" w:rsidRDefault="001005E6">
      <w:pPr>
        <w:spacing w:after="0" w:line="240" w:lineRule="auto"/>
      </w:pPr>
      <w:r>
        <w:separator/>
      </w:r>
    </w:p>
  </w:footnote>
  <w:footnote w:type="continuationSeparator" w:id="0">
    <w:p w14:paraId="38138874" w14:textId="77777777" w:rsidR="001005E6" w:rsidRDefault="001005E6">
      <w:pPr>
        <w:spacing w:after="0" w:line="240" w:lineRule="auto"/>
      </w:pPr>
      <w:r>
        <w:continuationSeparator/>
      </w:r>
    </w:p>
  </w:footnote>
  <w:footnote w:id="1">
    <w:p w14:paraId="4F367A24" w14:textId="77777777" w:rsidR="005859BB" w:rsidRPr="00FE676C" w:rsidRDefault="005859BB" w:rsidP="005859BB">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77F8A4D8" w14:textId="77777777" w:rsidR="005859BB" w:rsidRPr="00AF5119" w:rsidRDefault="005859BB" w:rsidP="005859BB">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 xml:space="preserve">iones de </w:t>
      </w:r>
      <w:r w:rsidRPr="00AF5119">
        <w:rPr>
          <w:rFonts w:ascii="Arial" w:hAnsi="Arial" w:cs="Arial"/>
          <w:i/>
        </w:rPr>
        <w:t>hechos de particulares;…”</w:t>
      </w:r>
    </w:p>
  </w:footnote>
  <w:footnote w:id="2">
    <w:p w14:paraId="5B8FD3A8" w14:textId="056983CF" w:rsidR="00745ABA" w:rsidRPr="00927BF4" w:rsidRDefault="00745ABA" w:rsidP="00745ABA">
      <w:pPr>
        <w:pStyle w:val="Textonotapie"/>
        <w:jc w:val="both"/>
        <w:rPr>
          <w:rFonts w:ascii="Arial" w:hAnsi="Arial" w:cs="Arial"/>
        </w:rPr>
      </w:pPr>
      <w:r w:rsidRPr="00927BF4">
        <w:rPr>
          <w:rStyle w:val="Refdenotaalpie"/>
          <w:rFonts w:ascii="Arial" w:hAnsi="Arial" w:cs="Arial"/>
        </w:rPr>
        <w:footnoteRef/>
      </w:r>
      <w:r w:rsidRPr="00927BF4">
        <w:rPr>
          <w:rFonts w:ascii="Arial" w:hAnsi="Arial" w:cs="Arial"/>
        </w:rPr>
        <w:t xml:space="preserve"> Demanda consultable de la foja 1 (uno) a la 5 (cinco) del expediente </w:t>
      </w:r>
      <w:r w:rsidRPr="00927BF4">
        <w:rPr>
          <w:rFonts w:ascii="Arial" w:hAnsi="Arial" w:cs="Arial"/>
          <w:b/>
          <w:bCs/>
        </w:rPr>
        <w:t>0063/2021</w:t>
      </w:r>
      <w:r w:rsidRPr="00927BF4">
        <w:rPr>
          <w:rFonts w:ascii="Arial" w:hAnsi="Arial" w:cs="Arial"/>
        </w:rPr>
        <w:t xml:space="preserve"> del índice de la Primera Sala Unitaria de Primera Instancia.</w:t>
      </w:r>
    </w:p>
  </w:footnote>
  <w:footnote w:id="3">
    <w:p w14:paraId="777BEAA7" w14:textId="5462632D" w:rsidR="00927BF4" w:rsidRPr="00927BF4" w:rsidRDefault="00927BF4">
      <w:pPr>
        <w:pStyle w:val="Textonotapie"/>
        <w:rPr>
          <w:rFonts w:ascii="Arial" w:hAnsi="Arial" w:cs="Arial"/>
        </w:rPr>
      </w:pPr>
      <w:r w:rsidRPr="00927BF4">
        <w:rPr>
          <w:rStyle w:val="Refdenotaalpie"/>
          <w:rFonts w:ascii="Arial" w:hAnsi="Arial" w:cs="Arial"/>
        </w:rPr>
        <w:footnoteRef/>
      </w:r>
      <w:r w:rsidRPr="00927BF4">
        <w:rPr>
          <w:rFonts w:ascii="Arial" w:hAnsi="Arial" w:cs="Arial"/>
        </w:rPr>
        <w:t xml:space="preserve"> Agregado de la foja 11 (once) a la 14 (catorce) del mismo expediente. </w:t>
      </w:r>
    </w:p>
  </w:footnote>
  <w:footnote w:id="4">
    <w:p w14:paraId="423BFE20" w14:textId="77777777" w:rsidR="005859BB" w:rsidRPr="00281756" w:rsidRDefault="005859BB" w:rsidP="005859BB">
      <w:pPr>
        <w:pStyle w:val="Textonotapie"/>
        <w:jc w:val="both"/>
        <w:rPr>
          <w:rFonts w:ascii="Arial" w:hAnsi="Arial" w:cs="Arial"/>
          <w:i/>
          <w:iCs/>
        </w:rPr>
      </w:pPr>
      <w:r w:rsidRPr="00281756">
        <w:rPr>
          <w:rStyle w:val="Refdenotaalpie"/>
          <w:rFonts w:ascii="Arial" w:hAnsi="Arial" w:cs="Arial"/>
          <w:i/>
          <w:iCs/>
        </w:rPr>
        <w:footnoteRef/>
      </w:r>
      <w:r w:rsidRPr="00281756">
        <w:rPr>
          <w:rFonts w:ascii="Arial" w:hAnsi="Arial" w:cs="Arial"/>
          <w:i/>
          <w:iCs/>
        </w:rPr>
        <w:t xml:space="preserve"> </w:t>
      </w:r>
      <w:r w:rsidRPr="00281756">
        <w:rPr>
          <w:rFonts w:ascii="Arial" w:hAnsi="Arial" w:cs="Arial"/>
          <w:b/>
          <w:bCs/>
          <w:i/>
          <w:iCs/>
        </w:rPr>
        <w:t xml:space="preserve">ARTÍCULO 130.- </w:t>
      </w:r>
      <w:r w:rsidRPr="00281756">
        <w:rPr>
          <w:rFonts w:ascii="Arial" w:hAnsi="Arial" w:cs="Arial"/>
          <w:i/>
          <w:iCs/>
        </w:rPr>
        <w:t>La Sala Superior tendrá las siguientes atribuciones:</w:t>
      </w:r>
    </w:p>
    <w:p w14:paraId="1290F3B6" w14:textId="77777777" w:rsidR="005859BB" w:rsidRPr="00281756" w:rsidRDefault="005859BB" w:rsidP="005859BB">
      <w:pPr>
        <w:pStyle w:val="Textonotapie"/>
        <w:jc w:val="both"/>
        <w:rPr>
          <w:rFonts w:ascii="Arial" w:hAnsi="Arial" w:cs="Arial"/>
          <w:i/>
          <w:iCs/>
        </w:rPr>
      </w:pPr>
      <w:r w:rsidRPr="00281756">
        <w:rPr>
          <w:rFonts w:ascii="Arial" w:hAnsi="Arial" w:cs="Arial"/>
          <w:i/>
          <w:iCs/>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5">
    <w:p w14:paraId="5DE237AD" w14:textId="77777777" w:rsidR="005859BB" w:rsidRPr="00281756" w:rsidRDefault="005859BB" w:rsidP="005859BB">
      <w:pPr>
        <w:pStyle w:val="Textonotapie"/>
        <w:rPr>
          <w:rFonts w:ascii="Arial" w:hAnsi="Arial" w:cs="Arial"/>
          <w:i/>
          <w:iCs/>
        </w:rPr>
      </w:pPr>
      <w:r w:rsidRPr="00281756">
        <w:rPr>
          <w:rStyle w:val="Refdenotaalpie"/>
          <w:rFonts w:ascii="Arial" w:hAnsi="Arial" w:cs="Arial"/>
          <w:b/>
          <w:bCs/>
          <w:i/>
          <w:iCs/>
        </w:rPr>
        <w:footnoteRef/>
      </w:r>
      <w:r w:rsidRPr="00281756">
        <w:rPr>
          <w:rFonts w:ascii="Arial" w:hAnsi="Arial" w:cs="Arial"/>
          <w:b/>
          <w:bCs/>
          <w:i/>
          <w:iCs/>
        </w:rPr>
        <w:t xml:space="preserve"> ARTÍCULO 24.- </w:t>
      </w:r>
      <w:r w:rsidRPr="00281756">
        <w:rPr>
          <w:rFonts w:ascii="Arial" w:hAnsi="Arial" w:cs="Arial"/>
          <w:i/>
          <w:iCs/>
        </w:rPr>
        <w:t>Son atribuciones de la Sala Superior:</w:t>
      </w:r>
    </w:p>
    <w:p w14:paraId="4A7EC848" w14:textId="77777777" w:rsidR="005859BB" w:rsidRPr="00281756" w:rsidRDefault="005859BB" w:rsidP="005859BB">
      <w:pPr>
        <w:pStyle w:val="Textonotapie"/>
        <w:rPr>
          <w:rFonts w:ascii="Arial" w:hAnsi="Arial" w:cs="Arial"/>
          <w:i/>
          <w:iCs/>
        </w:rPr>
      </w:pPr>
      <w:r w:rsidRPr="00281756">
        <w:rPr>
          <w:rFonts w:ascii="Arial" w:hAnsi="Arial" w:cs="Arial"/>
          <w:i/>
          <w:iCs/>
        </w:rPr>
        <w:t>I. Resolver el recurso de revisión y Juicio de Inconformidad previstos en la Ley;</w:t>
      </w:r>
    </w:p>
  </w:footnote>
  <w:footnote w:id="6">
    <w:p w14:paraId="7CD6433A" w14:textId="77777777" w:rsidR="005859BB" w:rsidRPr="00281756" w:rsidRDefault="005859BB" w:rsidP="005859BB">
      <w:pPr>
        <w:pStyle w:val="Textonotapie"/>
        <w:jc w:val="both"/>
        <w:rPr>
          <w:rFonts w:ascii="Arial" w:hAnsi="Arial" w:cs="Arial"/>
          <w:i/>
          <w:iCs/>
        </w:rPr>
      </w:pPr>
      <w:r w:rsidRPr="00281756">
        <w:rPr>
          <w:rStyle w:val="Refdenotaalpie"/>
          <w:rFonts w:ascii="Arial" w:hAnsi="Arial" w:cs="Arial"/>
          <w:i/>
          <w:iCs/>
        </w:rPr>
        <w:footnoteRef/>
      </w:r>
      <w:r w:rsidRPr="00281756">
        <w:rPr>
          <w:rFonts w:ascii="Arial" w:hAnsi="Arial" w:cs="Arial"/>
          <w:i/>
          <w:iCs/>
        </w:rPr>
        <w:t xml:space="preserve"> </w:t>
      </w:r>
      <w:r w:rsidRPr="00281756">
        <w:rPr>
          <w:rFonts w:ascii="Arial" w:hAnsi="Arial" w:cs="Arial"/>
          <w:b/>
          <w:bCs/>
          <w:i/>
          <w:iCs/>
        </w:rPr>
        <w:t xml:space="preserve">ARTÍCULO 130.- </w:t>
      </w:r>
      <w:r w:rsidRPr="00281756">
        <w:rPr>
          <w:rFonts w:ascii="Arial" w:hAnsi="Arial" w:cs="Arial"/>
          <w:i/>
          <w:iCs/>
        </w:rPr>
        <w:t>La Sala Superior tendrá las siguientes atribuciones:</w:t>
      </w:r>
    </w:p>
    <w:p w14:paraId="42DDF671" w14:textId="77777777" w:rsidR="005859BB" w:rsidRPr="00281756" w:rsidRDefault="005859BB" w:rsidP="005859BB">
      <w:pPr>
        <w:pStyle w:val="Textonotapie"/>
        <w:jc w:val="both"/>
        <w:rPr>
          <w:rFonts w:ascii="Arial" w:hAnsi="Arial" w:cs="Arial"/>
          <w:i/>
          <w:iCs/>
        </w:rPr>
      </w:pPr>
      <w:r w:rsidRPr="00281756">
        <w:rPr>
          <w:rFonts w:ascii="Arial" w:hAnsi="Arial" w:cs="Arial"/>
          <w:i/>
          <w:iCs/>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7">
    <w:p w14:paraId="584415F4" w14:textId="77777777" w:rsidR="005859BB" w:rsidRPr="00281756" w:rsidRDefault="005859BB" w:rsidP="005859BB">
      <w:pPr>
        <w:pStyle w:val="Textonotapie"/>
        <w:rPr>
          <w:rFonts w:ascii="Arial" w:hAnsi="Arial" w:cs="Arial"/>
          <w:i/>
          <w:iCs/>
        </w:rPr>
      </w:pPr>
      <w:r w:rsidRPr="00281756">
        <w:rPr>
          <w:rStyle w:val="Refdenotaalpie"/>
          <w:rFonts w:ascii="Arial" w:hAnsi="Arial" w:cs="Arial"/>
          <w:b/>
          <w:bCs/>
          <w:i/>
          <w:iCs/>
        </w:rPr>
        <w:footnoteRef/>
      </w:r>
      <w:r w:rsidRPr="00281756">
        <w:rPr>
          <w:rFonts w:ascii="Arial" w:hAnsi="Arial" w:cs="Arial"/>
          <w:b/>
          <w:bCs/>
          <w:i/>
          <w:iCs/>
        </w:rPr>
        <w:t xml:space="preserve"> ARTÍCULO 24.- </w:t>
      </w:r>
      <w:r w:rsidRPr="00281756">
        <w:rPr>
          <w:rFonts w:ascii="Arial" w:hAnsi="Arial" w:cs="Arial"/>
          <w:i/>
          <w:iCs/>
        </w:rPr>
        <w:t>Son atribuciones de la Sala Superior:</w:t>
      </w:r>
    </w:p>
    <w:p w14:paraId="470B27BA" w14:textId="77777777" w:rsidR="005859BB" w:rsidRPr="00281756" w:rsidRDefault="005859BB" w:rsidP="005859BB">
      <w:pPr>
        <w:pStyle w:val="Textonotapie"/>
        <w:rPr>
          <w:rFonts w:ascii="Arial" w:hAnsi="Arial" w:cs="Arial"/>
          <w:i/>
          <w:iCs/>
        </w:rPr>
      </w:pPr>
      <w:r w:rsidRPr="00281756">
        <w:rPr>
          <w:rFonts w:ascii="Arial" w:hAnsi="Arial" w:cs="Arial"/>
          <w:i/>
          <w:iCs/>
        </w:rPr>
        <w:t>I. Resolver el recurso de revisión y Juicio de Inconformidad previstos en la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6C2E964" w:rsidR="004C02A8" w:rsidRDefault="0093074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C02A8">
          <w:fldChar w:fldCharType="begin"/>
        </w:r>
        <w:r w:rsidR="004C02A8">
          <w:instrText>PAGE   \* MERGEFORMAT</w:instrText>
        </w:r>
        <w:r w:rsidR="004C02A8">
          <w:fldChar w:fldCharType="separate"/>
        </w:r>
        <w:r w:rsidRPr="0093074E">
          <w:rPr>
            <w:noProof/>
            <w:lang w:val="es-ES"/>
          </w:rPr>
          <w:t>12</w:t>
        </w:r>
        <w:r w:rsidR="004C02A8">
          <w:fldChar w:fldCharType="end"/>
        </w:r>
      </w:p>
    </w:sdtContent>
  </w:sdt>
  <w:p w14:paraId="0E68208C" w14:textId="77777777" w:rsidR="004C02A8" w:rsidRDefault="004C02A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147BDD1" w:rsidR="004C02A8" w:rsidRDefault="0093074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C02A8">
          <w:fldChar w:fldCharType="begin"/>
        </w:r>
        <w:r w:rsidR="004C02A8">
          <w:instrText>PAGE   \* MERGEFORMAT</w:instrText>
        </w:r>
        <w:r w:rsidR="004C02A8">
          <w:fldChar w:fldCharType="separate"/>
        </w:r>
        <w:r w:rsidRPr="0093074E">
          <w:rPr>
            <w:noProof/>
            <w:lang w:val="es-ES"/>
          </w:rPr>
          <w:t>13</w:t>
        </w:r>
        <w:r w:rsidR="004C02A8">
          <w:fldChar w:fldCharType="end"/>
        </w:r>
      </w:sdtContent>
    </w:sdt>
  </w:p>
  <w:p w14:paraId="51E22156" w14:textId="411520FA" w:rsidR="004C02A8" w:rsidRDefault="0093074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65CD159" wp14:editId="35C0D0C0">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1D825F1" w14:textId="77777777" w:rsidR="0093074E" w:rsidRDefault="0093074E" w:rsidP="0093074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5CD159"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1D825F1" w14:textId="77777777" w:rsidR="0093074E" w:rsidRDefault="0093074E" w:rsidP="0093074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C02A8"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4C02A8" w:rsidRDefault="0093074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activeWritingStyle w:appName="MSWord" w:lang="es-MX" w:vendorID="64" w:dllVersion="6" w:nlCheck="1" w:checkStyle="1"/>
  <w:activeWritingStyle w:appName="MSWord" w:lang="es-ES" w:vendorID="64" w:dllVersion="6" w:nlCheck="1" w:checkStyle="0"/>
  <w:activeWritingStyle w:appName="MSWord" w:lang="es-MX" w:vendorID="64" w:dllVersion="0" w:nlCheck="1" w:checkStyle="0"/>
  <w:activeWritingStyle w:appName="MSWord" w:lang="es-ES"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MX" w:vendorID="64" w:dllVersion="131078" w:nlCheck="1" w:checkStyle="1"/>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089C"/>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1D3B"/>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3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274"/>
    <w:rsid w:val="000B01A0"/>
    <w:rsid w:val="000B0351"/>
    <w:rsid w:val="000B03B9"/>
    <w:rsid w:val="000B0431"/>
    <w:rsid w:val="000B1A06"/>
    <w:rsid w:val="000B1F22"/>
    <w:rsid w:val="000B23F1"/>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688"/>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05E6"/>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E3D"/>
    <w:rsid w:val="001312BC"/>
    <w:rsid w:val="00131911"/>
    <w:rsid w:val="00131CDF"/>
    <w:rsid w:val="00132391"/>
    <w:rsid w:val="00133BFB"/>
    <w:rsid w:val="00133DCC"/>
    <w:rsid w:val="00134063"/>
    <w:rsid w:val="00134A68"/>
    <w:rsid w:val="00134AB5"/>
    <w:rsid w:val="00135132"/>
    <w:rsid w:val="0013555E"/>
    <w:rsid w:val="00135B0C"/>
    <w:rsid w:val="00136897"/>
    <w:rsid w:val="0013695E"/>
    <w:rsid w:val="00136FB8"/>
    <w:rsid w:val="00137C86"/>
    <w:rsid w:val="0014043C"/>
    <w:rsid w:val="00140D7E"/>
    <w:rsid w:val="00142417"/>
    <w:rsid w:val="00142EE9"/>
    <w:rsid w:val="00143682"/>
    <w:rsid w:val="001441D3"/>
    <w:rsid w:val="001450E2"/>
    <w:rsid w:val="001460CF"/>
    <w:rsid w:val="00146286"/>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67E80"/>
    <w:rsid w:val="001702C6"/>
    <w:rsid w:val="00170497"/>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95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94D"/>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042"/>
    <w:rsid w:val="001F5050"/>
    <w:rsid w:val="001F5FB1"/>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A94"/>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08A"/>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212"/>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119"/>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70629"/>
    <w:rsid w:val="003708D3"/>
    <w:rsid w:val="00371249"/>
    <w:rsid w:val="003726E1"/>
    <w:rsid w:val="00374012"/>
    <w:rsid w:val="003743D7"/>
    <w:rsid w:val="003749C0"/>
    <w:rsid w:val="003750D6"/>
    <w:rsid w:val="003751AD"/>
    <w:rsid w:val="003752B5"/>
    <w:rsid w:val="0037599C"/>
    <w:rsid w:val="00375FDD"/>
    <w:rsid w:val="0037725F"/>
    <w:rsid w:val="003804A7"/>
    <w:rsid w:val="00381DC3"/>
    <w:rsid w:val="00381DF1"/>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E22"/>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1B"/>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840"/>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73D5"/>
    <w:rsid w:val="0047274B"/>
    <w:rsid w:val="0047294E"/>
    <w:rsid w:val="00472B3D"/>
    <w:rsid w:val="00472D90"/>
    <w:rsid w:val="00473EB5"/>
    <w:rsid w:val="0047647A"/>
    <w:rsid w:val="004771E5"/>
    <w:rsid w:val="00477357"/>
    <w:rsid w:val="00477E07"/>
    <w:rsid w:val="00480A69"/>
    <w:rsid w:val="004813E0"/>
    <w:rsid w:val="0048141A"/>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2A8"/>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80D"/>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A33"/>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EAF"/>
    <w:rsid w:val="00567CCF"/>
    <w:rsid w:val="00570608"/>
    <w:rsid w:val="005707BD"/>
    <w:rsid w:val="00570A3B"/>
    <w:rsid w:val="0057187A"/>
    <w:rsid w:val="005720EB"/>
    <w:rsid w:val="0057273D"/>
    <w:rsid w:val="005731B2"/>
    <w:rsid w:val="00573350"/>
    <w:rsid w:val="00573D28"/>
    <w:rsid w:val="00573E34"/>
    <w:rsid w:val="005740D5"/>
    <w:rsid w:val="005740DA"/>
    <w:rsid w:val="00574674"/>
    <w:rsid w:val="00577656"/>
    <w:rsid w:val="0057772B"/>
    <w:rsid w:val="00580176"/>
    <w:rsid w:val="005802AF"/>
    <w:rsid w:val="00581327"/>
    <w:rsid w:val="005817AB"/>
    <w:rsid w:val="00582C57"/>
    <w:rsid w:val="00584BAB"/>
    <w:rsid w:val="00584EFB"/>
    <w:rsid w:val="005859B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E7B49"/>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8CC"/>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573D6"/>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2A"/>
    <w:rsid w:val="00697D08"/>
    <w:rsid w:val="00697D57"/>
    <w:rsid w:val="006A07C1"/>
    <w:rsid w:val="006A136B"/>
    <w:rsid w:val="006A19D5"/>
    <w:rsid w:val="006A19EC"/>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0C4B"/>
    <w:rsid w:val="00701329"/>
    <w:rsid w:val="007017F0"/>
    <w:rsid w:val="00702862"/>
    <w:rsid w:val="00703616"/>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0F14"/>
    <w:rsid w:val="007426D1"/>
    <w:rsid w:val="00743E50"/>
    <w:rsid w:val="00743F9C"/>
    <w:rsid w:val="00744BFA"/>
    <w:rsid w:val="00744DC2"/>
    <w:rsid w:val="00744E48"/>
    <w:rsid w:val="00744EED"/>
    <w:rsid w:val="00745ABA"/>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69F"/>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A08"/>
    <w:rsid w:val="007A367E"/>
    <w:rsid w:val="007A3A9D"/>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45"/>
    <w:rsid w:val="007B4EEE"/>
    <w:rsid w:val="007B5EBB"/>
    <w:rsid w:val="007B5F20"/>
    <w:rsid w:val="007B65D2"/>
    <w:rsid w:val="007B6AD5"/>
    <w:rsid w:val="007B7441"/>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3E2F"/>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4CB"/>
    <w:rsid w:val="00810881"/>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2434"/>
    <w:rsid w:val="0082373C"/>
    <w:rsid w:val="00823863"/>
    <w:rsid w:val="008240AB"/>
    <w:rsid w:val="008241FC"/>
    <w:rsid w:val="00824B51"/>
    <w:rsid w:val="00825DF2"/>
    <w:rsid w:val="00826459"/>
    <w:rsid w:val="008264A3"/>
    <w:rsid w:val="00826F27"/>
    <w:rsid w:val="008270BC"/>
    <w:rsid w:val="0083045A"/>
    <w:rsid w:val="008309C8"/>
    <w:rsid w:val="008309F3"/>
    <w:rsid w:val="008312B3"/>
    <w:rsid w:val="00831344"/>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6B4C"/>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87A"/>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33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D5E"/>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27BF4"/>
    <w:rsid w:val="0093074E"/>
    <w:rsid w:val="009307AB"/>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1A"/>
    <w:rsid w:val="00940C5D"/>
    <w:rsid w:val="00941603"/>
    <w:rsid w:val="00941839"/>
    <w:rsid w:val="00942BC7"/>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11A"/>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5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7A"/>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716"/>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01BC"/>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B"/>
    <w:rsid w:val="00A72E3D"/>
    <w:rsid w:val="00A72EE1"/>
    <w:rsid w:val="00A73B00"/>
    <w:rsid w:val="00A743A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8E9"/>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5FB9"/>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1D5"/>
    <w:rsid w:val="00B0768C"/>
    <w:rsid w:val="00B10264"/>
    <w:rsid w:val="00B1212B"/>
    <w:rsid w:val="00B125A0"/>
    <w:rsid w:val="00B13177"/>
    <w:rsid w:val="00B13E8D"/>
    <w:rsid w:val="00B15852"/>
    <w:rsid w:val="00B161B4"/>
    <w:rsid w:val="00B16887"/>
    <w:rsid w:val="00B176C8"/>
    <w:rsid w:val="00B20379"/>
    <w:rsid w:val="00B2074B"/>
    <w:rsid w:val="00B20BF5"/>
    <w:rsid w:val="00B211BD"/>
    <w:rsid w:val="00B21544"/>
    <w:rsid w:val="00B21AB1"/>
    <w:rsid w:val="00B2201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6CA"/>
    <w:rsid w:val="00B759C6"/>
    <w:rsid w:val="00B766B9"/>
    <w:rsid w:val="00B76E0C"/>
    <w:rsid w:val="00B7789B"/>
    <w:rsid w:val="00B77DF2"/>
    <w:rsid w:val="00B8020F"/>
    <w:rsid w:val="00B8071F"/>
    <w:rsid w:val="00B80F16"/>
    <w:rsid w:val="00B814A1"/>
    <w:rsid w:val="00B82205"/>
    <w:rsid w:val="00B8238D"/>
    <w:rsid w:val="00B82642"/>
    <w:rsid w:val="00B832CE"/>
    <w:rsid w:val="00B83946"/>
    <w:rsid w:val="00B83A0B"/>
    <w:rsid w:val="00B8477B"/>
    <w:rsid w:val="00B84DE7"/>
    <w:rsid w:val="00B853E8"/>
    <w:rsid w:val="00B854B7"/>
    <w:rsid w:val="00B8650B"/>
    <w:rsid w:val="00B868FA"/>
    <w:rsid w:val="00B86B3C"/>
    <w:rsid w:val="00B876BF"/>
    <w:rsid w:val="00B87957"/>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414"/>
    <w:rsid w:val="00BB1812"/>
    <w:rsid w:val="00BB190F"/>
    <w:rsid w:val="00BB23CB"/>
    <w:rsid w:val="00BB2532"/>
    <w:rsid w:val="00BB2686"/>
    <w:rsid w:val="00BB37EA"/>
    <w:rsid w:val="00BB3A96"/>
    <w:rsid w:val="00BB4D08"/>
    <w:rsid w:val="00BB59A8"/>
    <w:rsid w:val="00BB6A68"/>
    <w:rsid w:val="00BB739C"/>
    <w:rsid w:val="00BB7905"/>
    <w:rsid w:val="00BC0108"/>
    <w:rsid w:val="00BC088B"/>
    <w:rsid w:val="00BC0EFF"/>
    <w:rsid w:val="00BC1305"/>
    <w:rsid w:val="00BC1F10"/>
    <w:rsid w:val="00BC2587"/>
    <w:rsid w:val="00BC342A"/>
    <w:rsid w:val="00BC40F2"/>
    <w:rsid w:val="00BC45CE"/>
    <w:rsid w:val="00BC4F3D"/>
    <w:rsid w:val="00BC5D8B"/>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0A0"/>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1B5"/>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A57"/>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2B"/>
    <w:rsid w:val="00C73BEE"/>
    <w:rsid w:val="00C73DC4"/>
    <w:rsid w:val="00C74D41"/>
    <w:rsid w:val="00C756FD"/>
    <w:rsid w:val="00C75775"/>
    <w:rsid w:val="00C75C57"/>
    <w:rsid w:val="00C76261"/>
    <w:rsid w:val="00C76A82"/>
    <w:rsid w:val="00C76E4E"/>
    <w:rsid w:val="00C80261"/>
    <w:rsid w:val="00C808D5"/>
    <w:rsid w:val="00C80F61"/>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31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CF7EB5"/>
    <w:rsid w:val="00D000D1"/>
    <w:rsid w:val="00D0041D"/>
    <w:rsid w:val="00D0074A"/>
    <w:rsid w:val="00D00AC1"/>
    <w:rsid w:val="00D0124D"/>
    <w:rsid w:val="00D0226D"/>
    <w:rsid w:val="00D0267B"/>
    <w:rsid w:val="00D032B4"/>
    <w:rsid w:val="00D03AC3"/>
    <w:rsid w:val="00D040A2"/>
    <w:rsid w:val="00D055E6"/>
    <w:rsid w:val="00D05CAF"/>
    <w:rsid w:val="00D05E39"/>
    <w:rsid w:val="00D065AD"/>
    <w:rsid w:val="00D06BB8"/>
    <w:rsid w:val="00D072EF"/>
    <w:rsid w:val="00D07394"/>
    <w:rsid w:val="00D0799F"/>
    <w:rsid w:val="00D07A9C"/>
    <w:rsid w:val="00D106B0"/>
    <w:rsid w:val="00D10A14"/>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531"/>
    <w:rsid w:val="00D67C48"/>
    <w:rsid w:val="00D70CA3"/>
    <w:rsid w:val="00D718E2"/>
    <w:rsid w:val="00D719E5"/>
    <w:rsid w:val="00D72097"/>
    <w:rsid w:val="00D73167"/>
    <w:rsid w:val="00D7322F"/>
    <w:rsid w:val="00D733BC"/>
    <w:rsid w:val="00D73481"/>
    <w:rsid w:val="00D73685"/>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629"/>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CF"/>
    <w:rsid w:val="00E71269"/>
    <w:rsid w:val="00E71EAE"/>
    <w:rsid w:val="00E75146"/>
    <w:rsid w:val="00E755AB"/>
    <w:rsid w:val="00E75B19"/>
    <w:rsid w:val="00E75BB5"/>
    <w:rsid w:val="00E760BE"/>
    <w:rsid w:val="00E7676F"/>
    <w:rsid w:val="00E7767C"/>
    <w:rsid w:val="00E77805"/>
    <w:rsid w:val="00E77C72"/>
    <w:rsid w:val="00E801F8"/>
    <w:rsid w:val="00E80EAA"/>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075"/>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11D"/>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0B7"/>
    <w:rsid w:val="00F12284"/>
    <w:rsid w:val="00F13509"/>
    <w:rsid w:val="00F13570"/>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2591"/>
    <w:rsid w:val="00F426C8"/>
    <w:rsid w:val="00F4377C"/>
    <w:rsid w:val="00F44809"/>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6F5"/>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5EB"/>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C11"/>
    <w:rsid w:val="00FC6D06"/>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340"/>
    <w:rsid w:val="00FE7CFC"/>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E7B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5E7B49"/>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BC1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27335-A370-47C8-96C7-7E71AA595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13</Pages>
  <Words>5268</Words>
  <Characters>28975</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35</cp:revision>
  <cp:lastPrinted>2022-09-07T19:38:00Z</cp:lastPrinted>
  <dcterms:created xsi:type="dcterms:W3CDTF">2022-07-22T01:49:00Z</dcterms:created>
  <dcterms:modified xsi:type="dcterms:W3CDTF">2023-02-20T19:19:00Z</dcterms:modified>
</cp:coreProperties>
</file>