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7B284B">
      <w:pPr>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7DC1E54" w:rsidR="003B6CF0" w:rsidRPr="00CB6405" w:rsidRDefault="003B6CF0" w:rsidP="007B284B">
      <w:pPr>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C4533">
        <w:rPr>
          <w:rFonts w:ascii="Arial" w:hAnsi="Arial" w:cs="Arial"/>
          <w:b/>
          <w:sz w:val="26"/>
          <w:szCs w:val="26"/>
        </w:rPr>
        <w:t>249</w:t>
      </w:r>
      <w:r>
        <w:rPr>
          <w:rFonts w:ascii="Arial" w:hAnsi="Arial" w:cs="Arial"/>
          <w:b/>
          <w:sz w:val="26"/>
          <w:szCs w:val="26"/>
        </w:rPr>
        <w:t>/20</w:t>
      </w:r>
      <w:r w:rsidR="00D32C8F">
        <w:rPr>
          <w:rFonts w:ascii="Arial" w:hAnsi="Arial" w:cs="Arial"/>
          <w:b/>
          <w:sz w:val="26"/>
          <w:szCs w:val="26"/>
        </w:rPr>
        <w:t>2</w:t>
      </w:r>
      <w:r w:rsidR="000C4533">
        <w:rPr>
          <w:rFonts w:ascii="Arial" w:hAnsi="Arial" w:cs="Arial"/>
          <w:b/>
          <w:sz w:val="26"/>
          <w:szCs w:val="26"/>
        </w:rPr>
        <w:t>2</w:t>
      </w:r>
      <w:r>
        <w:rPr>
          <w:rFonts w:ascii="Arial" w:hAnsi="Arial" w:cs="Arial"/>
          <w:b/>
          <w:sz w:val="26"/>
          <w:szCs w:val="26"/>
        </w:rPr>
        <w:t>.</w:t>
      </w:r>
    </w:p>
    <w:p w14:paraId="4DFA70CD" w14:textId="39FCB801" w:rsidR="003B6CF0" w:rsidRDefault="003B6CF0" w:rsidP="007B284B">
      <w:pPr>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0C4533">
        <w:rPr>
          <w:rFonts w:ascii="Arial" w:hAnsi="Arial" w:cs="Arial"/>
          <w:b/>
          <w:sz w:val="26"/>
          <w:szCs w:val="26"/>
        </w:rPr>
        <w:t>068</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000C4533">
        <w:rPr>
          <w:rFonts w:ascii="Arial" w:hAnsi="Arial" w:cs="Arial"/>
          <w:b/>
          <w:sz w:val="26"/>
          <w:szCs w:val="26"/>
        </w:rPr>
        <w:t>2</w:t>
      </w:r>
      <w:r w:rsidRPr="00CB6405">
        <w:rPr>
          <w:rFonts w:ascii="Arial" w:hAnsi="Arial" w:cs="Arial"/>
          <w:b/>
          <w:sz w:val="26"/>
          <w:szCs w:val="26"/>
        </w:rPr>
        <w:t xml:space="preserve"> </w:t>
      </w:r>
      <w:r w:rsidR="00D32C8F">
        <w:rPr>
          <w:rFonts w:ascii="Arial" w:hAnsi="Arial" w:cs="Arial"/>
          <w:b/>
          <w:sz w:val="26"/>
          <w:szCs w:val="26"/>
        </w:rPr>
        <w:t xml:space="preserve">DE LA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7B284B">
      <w:pPr>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5E238859" w14:textId="77777777" w:rsidR="00CA4CDA"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14329D6B" w:rsidR="003B6CF0" w:rsidRDefault="00AE4862" w:rsidP="003B6CF0">
      <w:pPr>
        <w:spacing w:before="240" w:line="360" w:lineRule="auto"/>
        <w:jc w:val="both"/>
        <w:rPr>
          <w:rFonts w:ascii="Arial" w:hAnsi="Arial" w:cs="Arial"/>
          <w:b/>
          <w:sz w:val="26"/>
          <w:szCs w:val="26"/>
        </w:rPr>
      </w:pPr>
      <w:r>
        <w:rPr>
          <w:rFonts w:ascii="Arial" w:hAnsi="Arial" w:cs="Arial"/>
          <w:b/>
          <w:sz w:val="26"/>
          <w:szCs w:val="26"/>
        </w:rPr>
        <w:t>OAXACA DE JUÁREZ, OAXACA A VEINTICUATRO DE NOVIEMBRE</w:t>
      </w:r>
      <w:r w:rsidR="00D32C8F">
        <w:rPr>
          <w:rFonts w:ascii="Arial" w:hAnsi="Arial" w:cs="Arial"/>
          <w:b/>
          <w:sz w:val="26"/>
          <w:szCs w:val="26"/>
        </w:rPr>
        <w:t xml:space="preserve"> DE DOS MIL VEINTIDÓS</w:t>
      </w:r>
      <w:r w:rsidR="003B6CF0">
        <w:rPr>
          <w:rFonts w:ascii="Arial" w:hAnsi="Arial" w:cs="Arial"/>
          <w:b/>
          <w:sz w:val="26"/>
          <w:szCs w:val="26"/>
        </w:rPr>
        <w:t xml:space="preserve">. - - - - - - - - - - - - - - - - - - - - - - - - - - - - - - - - - </w:t>
      </w:r>
    </w:p>
    <w:p w14:paraId="7CF0F441" w14:textId="0992400B" w:rsidR="003B6CF0" w:rsidRPr="00D32C8F" w:rsidRDefault="0085265D" w:rsidP="00D32C8F">
      <w:pPr>
        <w:spacing w:line="360" w:lineRule="auto"/>
        <w:jc w:val="both"/>
        <w:rPr>
          <w:rFonts w:ascii="Arial" w:hAnsi="Arial" w:cs="Arial"/>
          <w:sz w:val="26"/>
          <w:szCs w:val="26"/>
        </w:rPr>
      </w:pPr>
      <w:r>
        <w:rPr>
          <w:rFonts w:ascii="Arial" w:hAnsi="Arial" w:cs="Arial"/>
          <w:sz w:val="26"/>
          <w:szCs w:val="26"/>
        </w:rPr>
        <w:t xml:space="preserve">        </w:t>
      </w:r>
      <w:r w:rsidR="003B6CF0">
        <w:rPr>
          <w:rFonts w:ascii="Arial" w:hAnsi="Arial" w:cs="Arial"/>
          <w:sz w:val="26"/>
          <w:szCs w:val="26"/>
        </w:rPr>
        <w:t>Se tiene por recibido el cuaderno de recurso de r</w:t>
      </w:r>
      <w:r w:rsidR="003B6CF0" w:rsidRPr="006E349D">
        <w:rPr>
          <w:rFonts w:ascii="Arial" w:hAnsi="Arial" w:cs="Arial"/>
          <w:sz w:val="26"/>
          <w:szCs w:val="26"/>
        </w:rPr>
        <w:t xml:space="preserve">evisión </w:t>
      </w:r>
      <w:r w:rsidR="003B6CF0" w:rsidRPr="00CB6405">
        <w:rPr>
          <w:rFonts w:ascii="Arial" w:hAnsi="Arial" w:cs="Arial"/>
          <w:b/>
          <w:sz w:val="26"/>
          <w:szCs w:val="26"/>
        </w:rPr>
        <w:t>0</w:t>
      </w:r>
      <w:r w:rsidR="005C6806">
        <w:rPr>
          <w:rFonts w:ascii="Arial" w:hAnsi="Arial" w:cs="Arial"/>
          <w:b/>
          <w:sz w:val="26"/>
          <w:szCs w:val="26"/>
        </w:rPr>
        <w:t>2</w:t>
      </w:r>
      <w:r w:rsidR="000C4533">
        <w:rPr>
          <w:rFonts w:ascii="Arial" w:hAnsi="Arial" w:cs="Arial"/>
          <w:b/>
          <w:sz w:val="26"/>
          <w:szCs w:val="26"/>
        </w:rPr>
        <w:t>49</w:t>
      </w:r>
      <w:r w:rsidR="003B6CF0" w:rsidRPr="00CB6405">
        <w:rPr>
          <w:rFonts w:ascii="Arial" w:hAnsi="Arial" w:cs="Arial"/>
          <w:b/>
          <w:sz w:val="26"/>
          <w:szCs w:val="26"/>
        </w:rPr>
        <w:t>/20</w:t>
      </w:r>
      <w:r w:rsidR="00D32C8F">
        <w:rPr>
          <w:rFonts w:ascii="Arial" w:hAnsi="Arial" w:cs="Arial"/>
          <w:b/>
          <w:sz w:val="26"/>
          <w:szCs w:val="26"/>
        </w:rPr>
        <w:t>2</w:t>
      </w:r>
      <w:r w:rsidR="000C4533">
        <w:rPr>
          <w:rFonts w:ascii="Arial" w:hAnsi="Arial" w:cs="Arial"/>
          <w:b/>
          <w:sz w:val="26"/>
          <w:szCs w:val="26"/>
        </w:rPr>
        <w:t>2</w:t>
      </w:r>
      <w:r w:rsidR="003B6CF0">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012E2B">
        <w:rPr>
          <w:rFonts w:ascii="Arial" w:hAnsi="Arial" w:cs="Arial"/>
          <w:b/>
          <w:sz w:val="26"/>
          <w:szCs w:val="26"/>
        </w:rPr>
        <w:t xml:space="preserve"> </w:t>
      </w:r>
      <w:r w:rsidR="00BF2920">
        <w:rPr>
          <w:rFonts w:ascii="Arial" w:hAnsi="Arial" w:cs="Arial"/>
          <w:b/>
          <w:sz w:val="26"/>
          <w:szCs w:val="26"/>
        </w:rPr>
        <w:t>*******</w:t>
      </w:r>
      <w:r w:rsidR="000C4533">
        <w:rPr>
          <w:rFonts w:ascii="Arial" w:hAnsi="Arial" w:cs="Arial"/>
          <w:b/>
          <w:sz w:val="26"/>
          <w:szCs w:val="26"/>
        </w:rPr>
        <w:t xml:space="preserve">, </w:t>
      </w:r>
      <w:r w:rsidR="003B6CF0">
        <w:rPr>
          <w:rFonts w:ascii="Arial" w:hAnsi="Arial" w:cs="Arial"/>
          <w:sz w:val="26"/>
          <w:szCs w:val="26"/>
        </w:rPr>
        <w:t xml:space="preserve">en </w:t>
      </w:r>
      <w:r w:rsidR="003B6CF0" w:rsidRPr="006E349D">
        <w:rPr>
          <w:rFonts w:ascii="Arial" w:hAnsi="Arial" w:cs="Arial"/>
          <w:sz w:val="26"/>
          <w:szCs w:val="26"/>
        </w:rPr>
        <w:t>con</w:t>
      </w:r>
      <w:r w:rsidR="003B6CF0">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CB0E39">
        <w:rPr>
          <w:rFonts w:ascii="Arial" w:hAnsi="Arial" w:cs="Arial"/>
          <w:sz w:val="26"/>
          <w:szCs w:val="26"/>
        </w:rPr>
        <w:t>nueve</w:t>
      </w:r>
      <w:r w:rsidR="003B6CF0">
        <w:rPr>
          <w:rFonts w:ascii="Arial" w:hAnsi="Arial" w:cs="Arial"/>
          <w:sz w:val="26"/>
          <w:szCs w:val="26"/>
        </w:rPr>
        <w:t xml:space="preserve"> de </w:t>
      </w:r>
      <w:r w:rsidR="00CB0E39">
        <w:rPr>
          <w:rFonts w:ascii="Arial" w:hAnsi="Arial" w:cs="Arial"/>
          <w:sz w:val="26"/>
          <w:szCs w:val="26"/>
        </w:rPr>
        <w:t>agosto</w:t>
      </w:r>
      <w:r w:rsidR="005C6806">
        <w:rPr>
          <w:rFonts w:ascii="Arial" w:hAnsi="Arial" w:cs="Arial"/>
          <w:sz w:val="26"/>
          <w:szCs w:val="26"/>
        </w:rPr>
        <w:t xml:space="preserve"> </w:t>
      </w:r>
      <w:r w:rsidR="003B6CF0">
        <w:rPr>
          <w:rFonts w:ascii="Arial" w:hAnsi="Arial" w:cs="Arial"/>
          <w:sz w:val="26"/>
          <w:szCs w:val="26"/>
        </w:rPr>
        <w:t xml:space="preserve">de dos mil </w:t>
      </w:r>
      <w:r w:rsidR="00D32C8F">
        <w:rPr>
          <w:rFonts w:ascii="Arial" w:hAnsi="Arial" w:cs="Arial"/>
          <w:sz w:val="26"/>
          <w:szCs w:val="26"/>
        </w:rPr>
        <w:t>veinti</w:t>
      </w:r>
      <w:r w:rsidR="00CB0E39">
        <w:rPr>
          <w:rFonts w:ascii="Arial" w:hAnsi="Arial" w:cs="Arial"/>
          <w:sz w:val="26"/>
          <w:szCs w:val="26"/>
        </w:rPr>
        <w:t>dós</w:t>
      </w:r>
      <w:r w:rsidR="003B6CF0">
        <w:rPr>
          <w:rFonts w:ascii="Arial" w:hAnsi="Arial" w:cs="Arial"/>
          <w:sz w:val="26"/>
          <w:szCs w:val="26"/>
        </w:rPr>
        <w:t>, dictad</w:t>
      </w:r>
      <w:r w:rsidR="008234FD">
        <w:rPr>
          <w:rFonts w:ascii="Arial" w:hAnsi="Arial" w:cs="Arial"/>
          <w:sz w:val="26"/>
          <w:szCs w:val="26"/>
        </w:rPr>
        <w:t>o</w:t>
      </w:r>
      <w:r w:rsidR="003B6CF0">
        <w:rPr>
          <w:rFonts w:ascii="Arial" w:hAnsi="Arial" w:cs="Arial"/>
          <w:sz w:val="26"/>
          <w:szCs w:val="26"/>
        </w:rPr>
        <w:t xml:space="preserve"> en el expediente </w:t>
      </w:r>
      <w:r w:rsidR="00D3539A">
        <w:rPr>
          <w:rFonts w:ascii="Arial" w:hAnsi="Arial" w:cs="Arial"/>
          <w:b/>
          <w:sz w:val="26"/>
          <w:szCs w:val="26"/>
        </w:rPr>
        <w:t>0</w:t>
      </w:r>
      <w:r w:rsidR="00C02CE7">
        <w:rPr>
          <w:rFonts w:ascii="Arial" w:hAnsi="Arial" w:cs="Arial"/>
          <w:b/>
          <w:sz w:val="26"/>
          <w:szCs w:val="26"/>
        </w:rPr>
        <w:t>068</w:t>
      </w:r>
      <w:r w:rsidR="007007A1">
        <w:rPr>
          <w:rFonts w:ascii="Arial" w:hAnsi="Arial" w:cs="Arial"/>
          <w:b/>
          <w:sz w:val="26"/>
          <w:szCs w:val="26"/>
        </w:rPr>
        <w:t>/20</w:t>
      </w:r>
      <w:r w:rsidR="005C6806">
        <w:rPr>
          <w:rFonts w:ascii="Arial" w:hAnsi="Arial" w:cs="Arial"/>
          <w:b/>
          <w:sz w:val="26"/>
          <w:szCs w:val="26"/>
        </w:rPr>
        <w:t>2</w:t>
      </w:r>
      <w:r w:rsidR="00C02CE7">
        <w:rPr>
          <w:rFonts w:ascii="Arial" w:hAnsi="Arial" w:cs="Arial"/>
          <w:b/>
          <w:sz w:val="26"/>
          <w:szCs w:val="26"/>
        </w:rPr>
        <w:t>2</w:t>
      </w:r>
      <w:r w:rsidR="003B6CF0">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sidR="003B6CF0">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A611D1">
        <w:rPr>
          <w:rFonts w:ascii="Arial" w:hAnsi="Arial" w:cs="Arial"/>
          <w:b/>
          <w:sz w:val="26"/>
          <w:szCs w:val="26"/>
        </w:rPr>
        <w:t xml:space="preserve"> </w:t>
      </w:r>
      <w:r w:rsidR="00BF2920">
        <w:rPr>
          <w:rFonts w:ascii="Arial" w:hAnsi="Arial" w:cs="Arial"/>
          <w:b/>
          <w:sz w:val="26"/>
          <w:szCs w:val="26"/>
        </w:rPr>
        <w:t>*******</w:t>
      </w:r>
      <w:r w:rsidR="00C96C1A">
        <w:rPr>
          <w:rFonts w:ascii="Arial" w:hAnsi="Arial" w:cs="Arial"/>
          <w:b/>
          <w:sz w:val="26"/>
          <w:szCs w:val="26"/>
        </w:rPr>
        <w:t>,</w:t>
      </w:r>
      <w:r w:rsidR="003B6CF0" w:rsidRPr="0092087B">
        <w:rPr>
          <w:rFonts w:ascii="Arial" w:hAnsi="Arial" w:cs="Arial"/>
          <w:bCs/>
          <w:sz w:val="26"/>
          <w:szCs w:val="26"/>
        </w:rPr>
        <w:t xml:space="preserve"> </w:t>
      </w:r>
      <w:r w:rsidR="003B6CF0">
        <w:rPr>
          <w:rFonts w:ascii="Arial" w:hAnsi="Arial" w:cs="Arial"/>
          <w:sz w:val="26"/>
          <w:szCs w:val="26"/>
        </w:rPr>
        <w:t>en contra de</w:t>
      </w:r>
      <w:r w:rsidR="005C6806">
        <w:rPr>
          <w:rFonts w:ascii="Arial" w:hAnsi="Arial" w:cs="Arial"/>
          <w:sz w:val="26"/>
          <w:szCs w:val="26"/>
        </w:rPr>
        <w:t xml:space="preserve"> la</w:t>
      </w:r>
      <w:r w:rsidR="00A61C6D">
        <w:rPr>
          <w:rFonts w:ascii="Arial" w:hAnsi="Arial" w:cs="Arial"/>
          <w:sz w:val="26"/>
          <w:szCs w:val="26"/>
        </w:rPr>
        <w:t xml:space="preserve"> </w:t>
      </w:r>
      <w:r w:rsidR="005C6806">
        <w:rPr>
          <w:rFonts w:ascii="Arial" w:hAnsi="Arial" w:cs="Arial"/>
          <w:b/>
          <w:sz w:val="26"/>
          <w:szCs w:val="26"/>
        </w:rPr>
        <w:t>COORDINADORA DE COBRO COACTIVO DEPENDIENTE DE LA DIRECCIÓN DE INGRESOS Y RECAUDACIÓN, Y NOTIFICADOR EJECUTOR DEPENDIENTE DE LA DELEGACIÓN FISCAL 8 HUAJUAPAN DE LEÓN, AUTORIDADES DE LA SECRETARÍA DE FINANZAS DEL GOBIERNO DEL ESTADO</w:t>
      </w:r>
      <w:r w:rsidR="00B736E2">
        <w:rPr>
          <w:rFonts w:ascii="Arial" w:hAnsi="Arial" w:cs="Arial"/>
          <w:b/>
          <w:sz w:val="26"/>
          <w:szCs w:val="26"/>
        </w:rPr>
        <w:t>;</w:t>
      </w:r>
      <w:r w:rsidR="003B6CF0">
        <w:rPr>
          <w:rFonts w:ascii="Arial" w:hAnsi="Arial" w:cs="Arial"/>
          <w:sz w:val="26"/>
          <w:szCs w:val="26"/>
        </w:rPr>
        <w:t xml:space="preserve"> </w:t>
      </w:r>
      <w:r w:rsidR="00361511">
        <w:rPr>
          <w:rFonts w:ascii="Arial" w:hAnsi="Arial" w:cs="Arial"/>
          <w:sz w:val="26"/>
          <w:szCs w:val="26"/>
        </w:rPr>
        <w:t xml:space="preserve">por lo que, con fundamento en los artículos 236, 238 de la Ley de Procedimiento y Justicia Administrativa para el Estado de Oaxaca  y </w:t>
      </w:r>
      <w:r w:rsidR="00361511">
        <w:rPr>
          <w:rFonts w:ascii="Arial" w:eastAsiaTheme="minorHAnsi" w:hAnsi="Arial" w:cs="Arial"/>
          <w:sz w:val="26"/>
          <w:szCs w:val="26"/>
          <w:lang w:eastAsia="en-US"/>
        </w:rPr>
        <w:t xml:space="preserve">24 fracción I y III de la Ley Orgánica del Tribunal de Justicia Administrativa del Estado de Oaxaca, se da trámite. Por consiguiente se procede a dictar resolución en los siguientes términos:-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F8509B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A611D1">
        <w:rPr>
          <w:rFonts w:ascii="Arial" w:hAnsi="Arial" w:cs="Arial"/>
          <w:sz w:val="26"/>
          <w:szCs w:val="26"/>
        </w:rPr>
        <w:t xml:space="preserve">nueve </w:t>
      </w:r>
      <w:r w:rsidR="00D3539A">
        <w:rPr>
          <w:rFonts w:ascii="Arial" w:hAnsi="Arial" w:cs="Arial"/>
          <w:sz w:val="26"/>
          <w:szCs w:val="26"/>
        </w:rPr>
        <w:t xml:space="preserve">de </w:t>
      </w:r>
      <w:r w:rsidR="00A611D1">
        <w:rPr>
          <w:rFonts w:ascii="Arial" w:hAnsi="Arial" w:cs="Arial"/>
          <w:sz w:val="26"/>
          <w:szCs w:val="26"/>
        </w:rPr>
        <w:t>agosto</w:t>
      </w:r>
      <w:r w:rsidR="00D3539A">
        <w:rPr>
          <w:rFonts w:ascii="Arial" w:hAnsi="Arial" w:cs="Arial"/>
          <w:sz w:val="26"/>
          <w:szCs w:val="26"/>
        </w:rPr>
        <w:t xml:space="preserve"> de dos mil </w:t>
      </w:r>
      <w:r w:rsidR="005C6806">
        <w:rPr>
          <w:rFonts w:ascii="Arial" w:hAnsi="Arial" w:cs="Arial"/>
          <w:sz w:val="26"/>
          <w:szCs w:val="26"/>
        </w:rPr>
        <w:t>v</w:t>
      </w:r>
      <w:r w:rsidR="00D32C8F">
        <w:rPr>
          <w:rFonts w:ascii="Arial" w:hAnsi="Arial" w:cs="Arial"/>
          <w:sz w:val="26"/>
          <w:szCs w:val="26"/>
        </w:rPr>
        <w:t>einti</w:t>
      </w:r>
      <w:r w:rsidR="00A611D1">
        <w:rPr>
          <w:rFonts w:ascii="Arial" w:hAnsi="Arial" w:cs="Arial"/>
          <w:sz w:val="26"/>
          <w:szCs w:val="26"/>
        </w:rPr>
        <w:t>dós</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BF2920">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002DF9C7" w14:textId="44A5C008" w:rsidR="008234FD" w:rsidRDefault="003B6CF0" w:rsidP="008234FD">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894519">
        <w:rPr>
          <w:rFonts w:ascii="Arial" w:hAnsi="Arial" w:cs="Arial"/>
          <w:bCs/>
          <w:iCs/>
          <w:sz w:val="26"/>
          <w:szCs w:val="26"/>
        </w:rPr>
        <w:t xml:space="preserve">Se transcribe enseguida </w:t>
      </w:r>
      <w:r w:rsidR="008234FD">
        <w:rPr>
          <w:rFonts w:ascii="Arial" w:hAnsi="Arial" w:cs="Arial"/>
          <w:bCs/>
          <w:iCs/>
          <w:sz w:val="26"/>
          <w:szCs w:val="26"/>
        </w:rPr>
        <w:t>el acuerdo recurrido</w:t>
      </w:r>
      <w:r w:rsidR="00894519">
        <w:rPr>
          <w:rFonts w:ascii="Arial" w:hAnsi="Arial" w:cs="Arial"/>
          <w:bCs/>
          <w:iCs/>
          <w:sz w:val="26"/>
          <w:szCs w:val="26"/>
        </w:rPr>
        <w:t>:</w:t>
      </w:r>
      <w:r w:rsidR="00E47D1A">
        <w:rPr>
          <w:rFonts w:ascii="Arial" w:hAnsi="Arial" w:cs="Arial"/>
          <w:bCs/>
          <w:iCs/>
          <w:sz w:val="26"/>
          <w:szCs w:val="26"/>
        </w:rPr>
        <w:t xml:space="preserve"> - - - - - -</w:t>
      </w:r>
    </w:p>
    <w:p w14:paraId="25C4BA2A" w14:textId="77777777" w:rsidR="00E47D1A" w:rsidRPr="00E47D1A" w:rsidRDefault="00E47D1A" w:rsidP="00E47D1A">
      <w:pPr>
        <w:spacing w:after="0"/>
        <w:ind w:firstLine="567"/>
        <w:jc w:val="both"/>
        <w:rPr>
          <w:rFonts w:ascii="Arial" w:hAnsi="Arial" w:cs="Arial"/>
          <w:bCs/>
          <w:iCs/>
          <w:sz w:val="24"/>
          <w:szCs w:val="24"/>
        </w:rPr>
      </w:pPr>
    </w:p>
    <w:p w14:paraId="31407C94" w14:textId="35D8D471" w:rsidR="008234FD" w:rsidRPr="00E47D1A" w:rsidRDefault="008234FD" w:rsidP="00E47D1A">
      <w:pPr>
        <w:spacing w:after="0"/>
        <w:ind w:left="567" w:right="616"/>
        <w:jc w:val="both"/>
        <w:rPr>
          <w:rFonts w:ascii="Arial" w:eastAsia="Times New Roman" w:hAnsi="Arial" w:cs="Arial"/>
          <w:b/>
          <w:bCs/>
          <w:i/>
          <w:iCs/>
          <w:sz w:val="24"/>
          <w:szCs w:val="24"/>
          <w:lang w:eastAsia="es-ES"/>
        </w:rPr>
      </w:pPr>
      <w:r w:rsidRPr="00E47D1A">
        <w:rPr>
          <w:rFonts w:ascii="Arial" w:eastAsia="Times New Roman" w:hAnsi="Arial" w:cs="Arial"/>
          <w:b/>
          <w:bCs/>
          <w:i/>
          <w:iCs/>
          <w:sz w:val="24"/>
          <w:szCs w:val="24"/>
          <w:lang w:eastAsia="es-ES"/>
        </w:rPr>
        <w:t xml:space="preserve"> </w:t>
      </w:r>
      <w:r w:rsidR="003B6CF0" w:rsidRPr="00E47D1A">
        <w:rPr>
          <w:rFonts w:ascii="Arial" w:eastAsia="Times New Roman" w:hAnsi="Arial" w:cs="Arial"/>
          <w:b/>
          <w:bCs/>
          <w:i/>
          <w:iCs/>
          <w:sz w:val="24"/>
          <w:szCs w:val="24"/>
          <w:lang w:eastAsia="es-ES"/>
        </w:rPr>
        <w:t>“</w:t>
      </w:r>
      <w:r w:rsidR="008C7360" w:rsidRPr="00E47D1A">
        <w:rPr>
          <w:rFonts w:ascii="Arial" w:eastAsia="Times New Roman" w:hAnsi="Arial" w:cs="Arial"/>
          <w:b/>
          <w:bCs/>
          <w:i/>
          <w:iCs/>
          <w:sz w:val="24"/>
          <w:szCs w:val="24"/>
          <w:lang w:eastAsia="es-ES"/>
        </w:rPr>
        <w:t>OAXACA DE JUÁREZ, OAXACA A NUEVE</w:t>
      </w:r>
      <w:r w:rsidRPr="00E47D1A">
        <w:rPr>
          <w:rFonts w:ascii="Arial" w:eastAsia="Times New Roman" w:hAnsi="Arial" w:cs="Arial"/>
          <w:b/>
          <w:bCs/>
          <w:i/>
          <w:iCs/>
          <w:sz w:val="24"/>
          <w:szCs w:val="24"/>
          <w:lang w:eastAsia="es-ES"/>
        </w:rPr>
        <w:t xml:space="preserve"> DE </w:t>
      </w:r>
      <w:r w:rsidR="008C7360" w:rsidRPr="00E47D1A">
        <w:rPr>
          <w:rFonts w:ascii="Arial" w:eastAsia="Times New Roman" w:hAnsi="Arial" w:cs="Arial"/>
          <w:b/>
          <w:bCs/>
          <w:i/>
          <w:iCs/>
          <w:sz w:val="24"/>
          <w:szCs w:val="24"/>
          <w:lang w:eastAsia="es-ES"/>
        </w:rPr>
        <w:t>AGOSTO DE DOS MIL VEINTIDÓS</w:t>
      </w:r>
      <w:r w:rsidRPr="00E47D1A">
        <w:rPr>
          <w:rFonts w:ascii="Arial" w:eastAsia="Times New Roman" w:hAnsi="Arial" w:cs="Arial"/>
          <w:b/>
          <w:bCs/>
          <w:i/>
          <w:iCs/>
          <w:sz w:val="24"/>
          <w:szCs w:val="24"/>
          <w:lang w:eastAsia="es-ES"/>
        </w:rPr>
        <w:t>.</w:t>
      </w:r>
    </w:p>
    <w:p w14:paraId="645BC936" w14:textId="4A43F0C8" w:rsidR="008234FD" w:rsidRPr="00E47D1A" w:rsidRDefault="008234FD"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Se da cuenta con el escrito de</w:t>
      </w:r>
      <w:r w:rsidR="00AB7E85" w:rsidRPr="00E47D1A">
        <w:rPr>
          <w:rFonts w:ascii="Arial" w:eastAsia="Times New Roman" w:hAnsi="Arial" w:cs="Arial"/>
          <w:bCs/>
          <w:i/>
          <w:iCs/>
          <w:sz w:val="24"/>
          <w:szCs w:val="24"/>
          <w:lang w:eastAsia="es-ES"/>
        </w:rPr>
        <w:t xml:space="preserve"> </w:t>
      </w:r>
      <w:r w:rsidR="00BF2920">
        <w:rPr>
          <w:rFonts w:ascii="Arial" w:eastAsia="Times New Roman" w:hAnsi="Arial" w:cs="Arial"/>
          <w:bCs/>
          <w:i/>
          <w:iCs/>
          <w:sz w:val="24"/>
          <w:szCs w:val="24"/>
          <w:lang w:eastAsia="es-ES"/>
        </w:rPr>
        <w:t>*******</w:t>
      </w:r>
      <w:r w:rsidR="00AB7E85" w:rsidRPr="00E47D1A">
        <w:rPr>
          <w:rFonts w:ascii="Arial" w:eastAsia="Times New Roman" w:hAnsi="Arial" w:cs="Arial"/>
          <w:bCs/>
          <w:i/>
          <w:iCs/>
          <w:sz w:val="24"/>
          <w:szCs w:val="24"/>
          <w:lang w:eastAsia="es-ES"/>
        </w:rPr>
        <w:t xml:space="preserve">, </w:t>
      </w:r>
      <w:r w:rsidRPr="00E47D1A">
        <w:rPr>
          <w:rFonts w:ascii="Arial" w:eastAsia="Times New Roman" w:hAnsi="Arial" w:cs="Arial"/>
          <w:bCs/>
          <w:i/>
          <w:iCs/>
          <w:sz w:val="24"/>
          <w:szCs w:val="24"/>
          <w:lang w:eastAsia="es-ES"/>
        </w:rPr>
        <w:t xml:space="preserve">recibido en la Oficialía de Partes </w:t>
      </w:r>
      <w:r w:rsidR="00AB7E85" w:rsidRPr="00E47D1A">
        <w:rPr>
          <w:rFonts w:ascii="Arial" w:eastAsia="Times New Roman" w:hAnsi="Arial" w:cs="Arial"/>
          <w:bCs/>
          <w:i/>
          <w:iCs/>
          <w:sz w:val="24"/>
          <w:szCs w:val="24"/>
          <w:lang w:eastAsia="es-ES"/>
        </w:rPr>
        <w:t xml:space="preserve">Común de Primera </w:t>
      </w:r>
      <w:r w:rsidRPr="00E47D1A">
        <w:rPr>
          <w:rFonts w:ascii="Arial" w:eastAsia="Times New Roman" w:hAnsi="Arial" w:cs="Arial"/>
          <w:bCs/>
          <w:i/>
          <w:iCs/>
          <w:sz w:val="24"/>
          <w:szCs w:val="24"/>
          <w:lang w:eastAsia="es-ES"/>
        </w:rPr>
        <w:t xml:space="preserve">Instancia de este Tribunal, el día </w:t>
      </w:r>
      <w:r w:rsidR="00AB7E85" w:rsidRPr="00E47D1A">
        <w:rPr>
          <w:rFonts w:ascii="Arial" w:eastAsia="Times New Roman" w:hAnsi="Arial" w:cs="Arial"/>
          <w:bCs/>
          <w:i/>
          <w:iCs/>
          <w:sz w:val="24"/>
          <w:szCs w:val="24"/>
          <w:lang w:eastAsia="es-ES"/>
        </w:rPr>
        <w:t xml:space="preserve">ocho de agosto </w:t>
      </w:r>
      <w:r w:rsidRPr="00E47D1A">
        <w:rPr>
          <w:rFonts w:ascii="Arial" w:eastAsia="Times New Roman" w:hAnsi="Arial" w:cs="Arial"/>
          <w:bCs/>
          <w:i/>
          <w:iCs/>
          <w:sz w:val="24"/>
          <w:szCs w:val="24"/>
          <w:lang w:eastAsia="es-ES"/>
        </w:rPr>
        <w:t xml:space="preserve">del año en curso, </w:t>
      </w:r>
      <w:r w:rsidR="00AB7E85" w:rsidRPr="00E47D1A">
        <w:rPr>
          <w:rFonts w:ascii="Arial" w:eastAsia="Times New Roman" w:hAnsi="Arial" w:cs="Arial"/>
          <w:bCs/>
          <w:i/>
          <w:iCs/>
          <w:sz w:val="24"/>
          <w:szCs w:val="24"/>
          <w:lang w:eastAsia="es-ES"/>
        </w:rPr>
        <w:t xml:space="preserve">quien </w:t>
      </w:r>
      <w:r w:rsidRPr="00E47D1A">
        <w:rPr>
          <w:rFonts w:ascii="Arial" w:eastAsia="Times New Roman" w:hAnsi="Arial" w:cs="Arial"/>
          <w:bCs/>
          <w:i/>
          <w:iCs/>
          <w:sz w:val="24"/>
          <w:szCs w:val="24"/>
          <w:lang w:eastAsia="es-ES"/>
        </w:rPr>
        <w:t>por su propio</w:t>
      </w:r>
      <w:r w:rsidR="00AB7E85" w:rsidRPr="00E47D1A">
        <w:rPr>
          <w:rFonts w:ascii="Arial" w:eastAsia="Times New Roman" w:hAnsi="Arial" w:cs="Arial"/>
          <w:bCs/>
          <w:i/>
          <w:iCs/>
          <w:sz w:val="24"/>
          <w:szCs w:val="24"/>
          <w:lang w:eastAsia="es-ES"/>
        </w:rPr>
        <w:t xml:space="preserve"> derecho demanda</w:t>
      </w:r>
      <w:r w:rsidRPr="00E47D1A">
        <w:rPr>
          <w:rFonts w:ascii="Arial" w:eastAsia="Times New Roman" w:hAnsi="Arial" w:cs="Arial"/>
          <w:bCs/>
          <w:i/>
          <w:iCs/>
          <w:sz w:val="24"/>
          <w:szCs w:val="24"/>
          <w:lang w:eastAsia="es-ES"/>
        </w:rPr>
        <w:t xml:space="preserve"> la nulidad de:</w:t>
      </w:r>
      <w:r w:rsidR="00DF18FE" w:rsidRPr="00E47D1A">
        <w:rPr>
          <w:rFonts w:ascii="Arial" w:eastAsia="Times New Roman" w:hAnsi="Arial" w:cs="Arial"/>
          <w:bCs/>
          <w:i/>
          <w:iCs/>
          <w:sz w:val="24"/>
          <w:szCs w:val="24"/>
          <w:lang w:eastAsia="es-ES"/>
        </w:rPr>
        <w:t xml:space="preserve"> </w:t>
      </w:r>
      <w:r w:rsidR="00DF18FE" w:rsidRPr="00E47D1A">
        <w:rPr>
          <w:rFonts w:ascii="Arial" w:eastAsia="Times New Roman" w:hAnsi="Arial" w:cs="Arial"/>
          <w:b/>
          <w:bCs/>
          <w:i/>
          <w:iCs/>
          <w:sz w:val="24"/>
          <w:szCs w:val="24"/>
          <w:lang w:eastAsia="es-ES"/>
        </w:rPr>
        <w:t xml:space="preserve">a) </w:t>
      </w:r>
      <w:r w:rsidR="00DF18FE" w:rsidRPr="00E47D1A">
        <w:rPr>
          <w:rFonts w:ascii="Arial" w:eastAsia="Times New Roman" w:hAnsi="Arial" w:cs="Arial"/>
          <w:bCs/>
          <w:i/>
          <w:iCs/>
          <w:sz w:val="24"/>
          <w:szCs w:val="24"/>
          <w:lang w:eastAsia="es-ES"/>
        </w:rPr>
        <w:t xml:space="preserve">mandamiento de ejecución número </w:t>
      </w:r>
      <w:r w:rsidR="00BF2920">
        <w:rPr>
          <w:rFonts w:ascii="Arial" w:eastAsia="Times New Roman" w:hAnsi="Arial" w:cs="Arial"/>
          <w:b/>
          <w:bCs/>
          <w:i/>
          <w:iCs/>
          <w:sz w:val="24"/>
          <w:szCs w:val="24"/>
          <w:lang w:eastAsia="es-ES"/>
        </w:rPr>
        <w:t>*******</w:t>
      </w:r>
      <w:r w:rsidR="00DF18FE" w:rsidRPr="00E47D1A">
        <w:rPr>
          <w:rFonts w:ascii="Arial" w:eastAsia="Times New Roman" w:hAnsi="Arial" w:cs="Arial"/>
          <w:b/>
          <w:bCs/>
          <w:i/>
          <w:iCs/>
          <w:sz w:val="24"/>
          <w:szCs w:val="24"/>
          <w:lang w:eastAsia="es-ES"/>
        </w:rPr>
        <w:t xml:space="preserve">, </w:t>
      </w:r>
      <w:r w:rsidR="00DF18FE" w:rsidRPr="00E47D1A">
        <w:rPr>
          <w:rFonts w:ascii="Arial" w:eastAsia="Times New Roman" w:hAnsi="Arial" w:cs="Arial"/>
          <w:bCs/>
          <w:i/>
          <w:iCs/>
          <w:sz w:val="24"/>
          <w:szCs w:val="24"/>
          <w:lang w:eastAsia="es-ES"/>
        </w:rPr>
        <w:t xml:space="preserve">de </w:t>
      </w:r>
      <w:r w:rsidR="00AB7E85" w:rsidRPr="00E47D1A">
        <w:rPr>
          <w:rFonts w:ascii="Arial" w:eastAsia="Times New Roman" w:hAnsi="Arial" w:cs="Arial"/>
          <w:bCs/>
          <w:i/>
          <w:iCs/>
          <w:sz w:val="24"/>
          <w:szCs w:val="24"/>
          <w:lang w:eastAsia="es-ES"/>
        </w:rPr>
        <w:t xml:space="preserve">trece </w:t>
      </w:r>
      <w:r w:rsidR="00DF18FE" w:rsidRPr="00E47D1A">
        <w:rPr>
          <w:rFonts w:ascii="Arial" w:eastAsia="Times New Roman" w:hAnsi="Arial" w:cs="Arial"/>
          <w:bCs/>
          <w:i/>
          <w:iCs/>
          <w:sz w:val="24"/>
          <w:szCs w:val="24"/>
          <w:lang w:eastAsia="es-ES"/>
        </w:rPr>
        <w:lastRenderedPageBreak/>
        <w:t>de junio de</w:t>
      </w:r>
      <w:r w:rsidR="00AB7E85" w:rsidRPr="00E47D1A">
        <w:rPr>
          <w:rFonts w:ascii="Arial" w:eastAsia="Times New Roman" w:hAnsi="Arial" w:cs="Arial"/>
          <w:bCs/>
          <w:i/>
          <w:iCs/>
          <w:sz w:val="24"/>
          <w:szCs w:val="24"/>
          <w:lang w:eastAsia="es-ES"/>
        </w:rPr>
        <w:t>l presente año</w:t>
      </w:r>
      <w:r w:rsidR="00DF18FE" w:rsidRPr="00E47D1A">
        <w:rPr>
          <w:rFonts w:ascii="Arial" w:eastAsia="Times New Roman" w:hAnsi="Arial" w:cs="Arial"/>
          <w:bCs/>
          <w:i/>
          <w:iCs/>
          <w:sz w:val="24"/>
          <w:szCs w:val="24"/>
          <w:lang w:eastAsia="es-ES"/>
        </w:rPr>
        <w:t xml:space="preserve">, </w:t>
      </w:r>
      <w:r w:rsidR="00AB7E85" w:rsidRPr="00E47D1A">
        <w:rPr>
          <w:rFonts w:ascii="Arial" w:eastAsia="Times New Roman" w:hAnsi="Arial" w:cs="Arial"/>
          <w:bCs/>
          <w:i/>
          <w:iCs/>
          <w:sz w:val="24"/>
          <w:szCs w:val="24"/>
          <w:lang w:eastAsia="es-ES"/>
        </w:rPr>
        <w:t xml:space="preserve">emitido por la Coordinadora de Cobro Coactivo de la Secretaría de Finanzas del Gobierno del Estado; b) la falta de convenio celebrado entre la Secretaría de Finanzas y el Órgano Superior de Fiscalización para el cobro de multas y sanciones derivada de procedimientos resarcitorios; c) la ilegal notificación y requerimiento de pago, en cumplimiento al mandamiento de ejecución número </w:t>
      </w:r>
      <w:r w:rsidR="00BF2920">
        <w:rPr>
          <w:rFonts w:ascii="Arial" w:eastAsia="Times New Roman" w:hAnsi="Arial" w:cs="Arial"/>
          <w:b/>
          <w:bCs/>
          <w:i/>
          <w:iCs/>
          <w:sz w:val="24"/>
          <w:szCs w:val="24"/>
          <w:lang w:eastAsia="es-ES"/>
        </w:rPr>
        <w:t>*******</w:t>
      </w:r>
      <w:r w:rsidR="00AB7E85" w:rsidRPr="00E47D1A">
        <w:rPr>
          <w:rFonts w:ascii="Arial" w:eastAsia="Times New Roman" w:hAnsi="Arial" w:cs="Arial"/>
          <w:b/>
          <w:bCs/>
          <w:i/>
          <w:iCs/>
          <w:sz w:val="24"/>
          <w:szCs w:val="24"/>
          <w:lang w:eastAsia="es-ES"/>
        </w:rPr>
        <w:t xml:space="preserve">, </w:t>
      </w:r>
      <w:r w:rsidR="00D2328C" w:rsidRPr="00E47D1A">
        <w:rPr>
          <w:rFonts w:ascii="Arial" w:eastAsia="Times New Roman" w:hAnsi="Arial" w:cs="Arial"/>
          <w:bCs/>
          <w:i/>
          <w:iCs/>
          <w:sz w:val="24"/>
          <w:szCs w:val="24"/>
          <w:lang w:eastAsia="es-ES"/>
        </w:rPr>
        <w:t xml:space="preserve">de trece de junio del presente año, por el que le requieren el pago de la cantidad de </w:t>
      </w:r>
      <w:r w:rsidR="00D2328C" w:rsidRPr="00E47D1A">
        <w:rPr>
          <w:rFonts w:ascii="Arial" w:eastAsia="Times New Roman" w:hAnsi="Arial" w:cs="Arial"/>
          <w:b/>
          <w:bCs/>
          <w:i/>
          <w:iCs/>
          <w:sz w:val="24"/>
          <w:szCs w:val="24"/>
          <w:lang w:eastAsia="es-ES"/>
        </w:rPr>
        <w:t>$</w:t>
      </w:r>
      <w:r w:rsidR="00BF2920" w:rsidRPr="00BF2920">
        <w:rPr>
          <w:rFonts w:ascii="Arial" w:eastAsia="Times New Roman" w:hAnsi="Arial" w:cs="Arial"/>
          <w:b/>
          <w:bCs/>
          <w:i/>
          <w:iCs/>
          <w:sz w:val="24"/>
          <w:szCs w:val="24"/>
          <w:lang w:eastAsia="es-ES"/>
        </w:rPr>
        <w:t>*******</w:t>
      </w:r>
      <w:r w:rsidR="00D2328C" w:rsidRPr="00E47D1A">
        <w:rPr>
          <w:rFonts w:ascii="Arial" w:eastAsia="Times New Roman" w:hAnsi="Arial" w:cs="Arial"/>
          <w:b/>
          <w:bCs/>
          <w:i/>
          <w:iCs/>
          <w:sz w:val="24"/>
          <w:szCs w:val="24"/>
          <w:lang w:eastAsia="es-ES"/>
        </w:rPr>
        <w:t xml:space="preserve">, </w:t>
      </w:r>
      <w:r w:rsidR="00D2328C" w:rsidRPr="00E47D1A">
        <w:rPr>
          <w:rFonts w:ascii="Arial" w:eastAsia="Times New Roman" w:hAnsi="Arial" w:cs="Arial"/>
          <w:bCs/>
          <w:i/>
          <w:iCs/>
          <w:sz w:val="24"/>
          <w:szCs w:val="24"/>
          <w:lang w:eastAsia="es-ES"/>
        </w:rPr>
        <w:t xml:space="preserve">quien manifiesta que </w:t>
      </w:r>
      <w:r w:rsidR="007872AD" w:rsidRPr="00E47D1A">
        <w:rPr>
          <w:rFonts w:ascii="Arial" w:eastAsia="Times New Roman" w:hAnsi="Arial" w:cs="Arial"/>
          <w:bCs/>
          <w:i/>
          <w:iCs/>
          <w:sz w:val="24"/>
          <w:szCs w:val="24"/>
          <w:lang w:eastAsia="es-ES"/>
        </w:rPr>
        <w:t>tuvo conocimiento de</w:t>
      </w:r>
      <w:r w:rsidR="00D2328C" w:rsidRPr="00E47D1A">
        <w:rPr>
          <w:rFonts w:ascii="Arial" w:eastAsia="Times New Roman" w:hAnsi="Arial" w:cs="Arial"/>
          <w:bCs/>
          <w:i/>
          <w:iCs/>
          <w:sz w:val="24"/>
          <w:szCs w:val="24"/>
          <w:lang w:eastAsia="es-ES"/>
        </w:rPr>
        <w:t xml:space="preserve"> </w:t>
      </w:r>
      <w:r w:rsidR="007872AD" w:rsidRPr="00E47D1A">
        <w:rPr>
          <w:rFonts w:ascii="Arial" w:eastAsia="Times New Roman" w:hAnsi="Arial" w:cs="Arial"/>
          <w:bCs/>
          <w:i/>
          <w:iCs/>
          <w:sz w:val="24"/>
          <w:szCs w:val="24"/>
          <w:lang w:eastAsia="es-ES"/>
        </w:rPr>
        <w:t>l</w:t>
      </w:r>
      <w:r w:rsidR="00D2328C" w:rsidRPr="00E47D1A">
        <w:rPr>
          <w:rFonts w:ascii="Arial" w:eastAsia="Times New Roman" w:hAnsi="Arial" w:cs="Arial"/>
          <w:bCs/>
          <w:i/>
          <w:iCs/>
          <w:sz w:val="24"/>
          <w:szCs w:val="24"/>
          <w:lang w:eastAsia="es-ES"/>
        </w:rPr>
        <w:t>os</w:t>
      </w:r>
      <w:r w:rsidR="007872AD" w:rsidRPr="00E47D1A">
        <w:rPr>
          <w:rFonts w:ascii="Arial" w:eastAsia="Times New Roman" w:hAnsi="Arial" w:cs="Arial"/>
          <w:bCs/>
          <w:i/>
          <w:iCs/>
          <w:sz w:val="24"/>
          <w:szCs w:val="24"/>
          <w:lang w:eastAsia="es-ES"/>
        </w:rPr>
        <w:t xml:space="preserve"> acto</w:t>
      </w:r>
      <w:r w:rsidR="00D2328C" w:rsidRPr="00E47D1A">
        <w:rPr>
          <w:rFonts w:ascii="Arial" w:eastAsia="Times New Roman" w:hAnsi="Arial" w:cs="Arial"/>
          <w:bCs/>
          <w:i/>
          <w:iCs/>
          <w:sz w:val="24"/>
          <w:szCs w:val="24"/>
          <w:lang w:eastAsia="es-ES"/>
        </w:rPr>
        <w:t>s</w:t>
      </w:r>
      <w:r w:rsidR="007872AD" w:rsidRPr="00E47D1A">
        <w:rPr>
          <w:rFonts w:ascii="Arial" w:eastAsia="Times New Roman" w:hAnsi="Arial" w:cs="Arial"/>
          <w:bCs/>
          <w:i/>
          <w:iCs/>
          <w:sz w:val="24"/>
          <w:szCs w:val="24"/>
          <w:lang w:eastAsia="es-ES"/>
        </w:rPr>
        <w:t xml:space="preserve"> impugnado</w:t>
      </w:r>
      <w:r w:rsidR="00D2328C" w:rsidRPr="00E47D1A">
        <w:rPr>
          <w:rFonts w:ascii="Arial" w:eastAsia="Times New Roman" w:hAnsi="Arial" w:cs="Arial"/>
          <w:bCs/>
          <w:i/>
          <w:iCs/>
          <w:sz w:val="24"/>
          <w:szCs w:val="24"/>
          <w:lang w:eastAsia="es-ES"/>
        </w:rPr>
        <w:t>s</w:t>
      </w:r>
      <w:r w:rsidR="007872AD" w:rsidRPr="00E47D1A">
        <w:rPr>
          <w:rFonts w:ascii="Arial" w:eastAsia="Times New Roman" w:hAnsi="Arial" w:cs="Arial"/>
          <w:bCs/>
          <w:i/>
          <w:iCs/>
          <w:sz w:val="24"/>
          <w:szCs w:val="24"/>
          <w:lang w:eastAsia="es-ES"/>
        </w:rPr>
        <w:t xml:space="preserve"> el </w:t>
      </w:r>
      <w:r w:rsidR="00D2328C" w:rsidRPr="00E47D1A">
        <w:rPr>
          <w:rFonts w:ascii="Arial" w:eastAsia="Times New Roman" w:hAnsi="Arial" w:cs="Arial"/>
          <w:bCs/>
          <w:i/>
          <w:iCs/>
          <w:sz w:val="24"/>
          <w:szCs w:val="24"/>
          <w:lang w:eastAsia="es-ES"/>
        </w:rPr>
        <w:t>día veinticuatro</w:t>
      </w:r>
      <w:r w:rsidR="007872AD" w:rsidRPr="00E47D1A">
        <w:rPr>
          <w:rFonts w:ascii="Arial" w:eastAsia="Times New Roman" w:hAnsi="Arial" w:cs="Arial"/>
          <w:bCs/>
          <w:i/>
          <w:iCs/>
          <w:sz w:val="24"/>
          <w:szCs w:val="24"/>
          <w:lang w:eastAsia="es-ES"/>
        </w:rPr>
        <w:t xml:space="preserve"> de </w:t>
      </w:r>
      <w:r w:rsidR="00D2328C" w:rsidRPr="00E47D1A">
        <w:rPr>
          <w:rFonts w:ascii="Arial" w:eastAsia="Times New Roman" w:hAnsi="Arial" w:cs="Arial"/>
          <w:bCs/>
          <w:i/>
          <w:iCs/>
          <w:sz w:val="24"/>
          <w:szCs w:val="24"/>
          <w:lang w:eastAsia="es-ES"/>
        </w:rPr>
        <w:t>junio de dos mil veintidós</w:t>
      </w:r>
      <w:r w:rsidR="008C7360" w:rsidRPr="00E47D1A">
        <w:rPr>
          <w:rFonts w:ascii="Arial" w:eastAsia="Times New Roman" w:hAnsi="Arial" w:cs="Arial"/>
          <w:bCs/>
          <w:i/>
          <w:iCs/>
          <w:sz w:val="24"/>
          <w:szCs w:val="24"/>
          <w:lang w:eastAsia="es-ES"/>
        </w:rPr>
        <w:t>.(…)</w:t>
      </w:r>
    </w:p>
    <w:p w14:paraId="7F372BDA" w14:textId="77777777" w:rsidR="00EE664D" w:rsidRPr="00E47D1A" w:rsidRDefault="00EE664D" w:rsidP="00E47D1A">
      <w:pPr>
        <w:spacing w:after="0"/>
        <w:ind w:left="567" w:right="616"/>
        <w:jc w:val="both"/>
        <w:rPr>
          <w:rFonts w:ascii="Arial" w:eastAsia="Times New Roman" w:hAnsi="Arial" w:cs="Arial"/>
          <w:bCs/>
          <w:i/>
          <w:iCs/>
          <w:sz w:val="24"/>
          <w:szCs w:val="24"/>
          <w:lang w:eastAsia="es-ES"/>
        </w:rPr>
      </w:pPr>
    </w:p>
    <w:p w14:paraId="5435C2A1" w14:textId="7F4A3E4B" w:rsidR="007872AD" w:rsidRPr="00E47D1A" w:rsidRDefault="00D2328C"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Sin embargo, d</w:t>
      </w:r>
      <w:r w:rsidR="007872AD" w:rsidRPr="00E47D1A">
        <w:rPr>
          <w:rFonts w:ascii="Arial" w:eastAsia="Times New Roman" w:hAnsi="Arial" w:cs="Arial"/>
          <w:bCs/>
          <w:i/>
          <w:iCs/>
          <w:sz w:val="24"/>
          <w:szCs w:val="24"/>
          <w:lang w:eastAsia="es-ES"/>
        </w:rPr>
        <w:t>el escrito de demanda y anexos, esta Sal</w:t>
      </w:r>
      <w:r w:rsidRPr="00E47D1A">
        <w:rPr>
          <w:rFonts w:ascii="Arial" w:eastAsia="Times New Roman" w:hAnsi="Arial" w:cs="Arial"/>
          <w:bCs/>
          <w:i/>
          <w:iCs/>
          <w:sz w:val="24"/>
          <w:szCs w:val="24"/>
          <w:lang w:eastAsia="es-ES"/>
        </w:rPr>
        <w:t>a</w:t>
      </w:r>
      <w:r w:rsidR="007872AD" w:rsidRPr="00E47D1A">
        <w:rPr>
          <w:rFonts w:ascii="Arial" w:eastAsia="Times New Roman" w:hAnsi="Arial" w:cs="Arial"/>
          <w:bCs/>
          <w:i/>
          <w:iCs/>
          <w:sz w:val="24"/>
          <w:szCs w:val="24"/>
          <w:lang w:eastAsia="es-ES"/>
        </w:rPr>
        <w:t xml:space="preserve"> Unitaria advierte que no consta que la autoridad demandada hubiese embargado bienes propiedad del promovente, para garantizar el crédito fiscal que reclama y menos consta la resolución que apruebe el remate, para promover el juicio ante este Tribunal, como lo establece el artículo 133 fracción VIII inciso d), de la Ley de Procedimiento y Justicia Administrativa para el Estado, que para su mejor comprensión se transcribe: </w:t>
      </w:r>
      <w:r w:rsidR="0002642B" w:rsidRPr="00E47D1A">
        <w:rPr>
          <w:rFonts w:ascii="Arial" w:eastAsia="Times New Roman" w:hAnsi="Arial" w:cs="Arial"/>
          <w:bCs/>
          <w:i/>
          <w:iCs/>
          <w:sz w:val="24"/>
          <w:szCs w:val="24"/>
          <w:lang w:eastAsia="es-ES"/>
        </w:rPr>
        <w:t>(…)</w:t>
      </w:r>
    </w:p>
    <w:p w14:paraId="715517AF" w14:textId="2E456369" w:rsidR="007872AD" w:rsidRPr="00E47D1A" w:rsidRDefault="007872AD"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 xml:space="preserve">Luego, para que el </w:t>
      </w:r>
      <w:r w:rsidR="00A75074" w:rsidRPr="00E47D1A">
        <w:rPr>
          <w:rFonts w:ascii="Arial" w:eastAsia="Times New Roman" w:hAnsi="Arial" w:cs="Arial"/>
          <w:bCs/>
          <w:i/>
          <w:iCs/>
          <w:sz w:val="24"/>
          <w:szCs w:val="24"/>
          <w:lang w:eastAsia="es-ES"/>
        </w:rPr>
        <w:t>promovente tenga</w:t>
      </w:r>
      <w:r w:rsidRPr="00E47D1A">
        <w:rPr>
          <w:rFonts w:ascii="Arial" w:eastAsia="Times New Roman" w:hAnsi="Arial" w:cs="Arial"/>
          <w:bCs/>
          <w:i/>
          <w:iCs/>
          <w:sz w:val="24"/>
          <w:szCs w:val="24"/>
          <w:lang w:eastAsia="es-ES"/>
        </w:rPr>
        <w:t xml:space="preserve"> derecho a impugnar el procedimiento coactivo del crédito fiscal debe hacerlo en contra la resolución que aprueba el remate y de l</w:t>
      </w:r>
      <w:r w:rsidR="008C7360" w:rsidRPr="00E47D1A">
        <w:rPr>
          <w:rFonts w:ascii="Arial" w:eastAsia="Times New Roman" w:hAnsi="Arial" w:cs="Arial"/>
          <w:bCs/>
          <w:i/>
          <w:iCs/>
          <w:sz w:val="24"/>
          <w:szCs w:val="24"/>
          <w:lang w:eastAsia="es-ES"/>
        </w:rPr>
        <w:t>as constancias que se acompaña a su escrito inicial de demanda no se justific</w:t>
      </w:r>
      <w:r w:rsidRPr="00E47D1A">
        <w:rPr>
          <w:rFonts w:ascii="Arial" w:eastAsia="Times New Roman" w:hAnsi="Arial" w:cs="Arial"/>
          <w:bCs/>
          <w:i/>
          <w:iCs/>
          <w:sz w:val="24"/>
          <w:szCs w:val="24"/>
          <w:lang w:eastAsia="es-ES"/>
        </w:rPr>
        <w:t xml:space="preserve">a ello. </w:t>
      </w:r>
    </w:p>
    <w:p w14:paraId="259D423F" w14:textId="5EB1B92A" w:rsidR="007872AD" w:rsidRPr="00E47D1A" w:rsidRDefault="007872AD"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 xml:space="preserve">Por lo anteriormente señalado, </w:t>
      </w:r>
      <w:r w:rsidRPr="00E47D1A">
        <w:rPr>
          <w:rFonts w:ascii="Arial" w:eastAsia="Times New Roman" w:hAnsi="Arial" w:cs="Arial"/>
          <w:b/>
          <w:bCs/>
          <w:i/>
          <w:iCs/>
          <w:sz w:val="24"/>
          <w:szCs w:val="24"/>
          <w:lang w:eastAsia="es-ES"/>
        </w:rPr>
        <w:t xml:space="preserve">SE DESECHA LA DEMANDA DE NULIDAD </w:t>
      </w:r>
      <w:r w:rsidRPr="00E47D1A">
        <w:rPr>
          <w:rFonts w:ascii="Arial" w:eastAsia="Times New Roman" w:hAnsi="Arial" w:cs="Arial"/>
          <w:bCs/>
          <w:i/>
          <w:iCs/>
          <w:sz w:val="24"/>
          <w:szCs w:val="24"/>
          <w:lang w:eastAsia="es-ES"/>
        </w:rPr>
        <w:t>interpuesta por</w:t>
      </w:r>
      <w:r w:rsidR="00427C47" w:rsidRPr="00E47D1A">
        <w:rPr>
          <w:rFonts w:ascii="Arial" w:eastAsia="Times New Roman" w:hAnsi="Arial" w:cs="Arial"/>
          <w:bCs/>
          <w:i/>
          <w:iCs/>
          <w:sz w:val="24"/>
          <w:szCs w:val="24"/>
          <w:lang w:eastAsia="es-ES"/>
        </w:rPr>
        <w:t xml:space="preserve"> </w:t>
      </w:r>
      <w:r w:rsidR="00BF2920">
        <w:rPr>
          <w:rFonts w:ascii="Arial" w:eastAsia="Times New Roman" w:hAnsi="Arial" w:cs="Arial"/>
          <w:b/>
          <w:bCs/>
          <w:i/>
          <w:iCs/>
          <w:sz w:val="24"/>
          <w:szCs w:val="24"/>
          <w:lang w:eastAsia="es-ES"/>
        </w:rPr>
        <w:t>*******</w:t>
      </w:r>
      <w:r w:rsidR="00427C47" w:rsidRPr="00E47D1A">
        <w:rPr>
          <w:rFonts w:ascii="Arial" w:eastAsia="Times New Roman" w:hAnsi="Arial" w:cs="Arial"/>
          <w:b/>
          <w:bCs/>
          <w:i/>
          <w:iCs/>
          <w:sz w:val="24"/>
          <w:szCs w:val="24"/>
          <w:lang w:eastAsia="es-ES"/>
        </w:rPr>
        <w:t>,</w:t>
      </w:r>
      <w:r w:rsidR="00427C47" w:rsidRPr="00E47D1A">
        <w:rPr>
          <w:rFonts w:ascii="Arial" w:eastAsia="Times New Roman" w:hAnsi="Arial" w:cs="Arial"/>
          <w:bCs/>
          <w:i/>
          <w:iCs/>
          <w:sz w:val="24"/>
          <w:szCs w:val="24"/>
          <w:lang w:eastAsia="es-ES"/>
        </w:rPr>
        <w:t xml:space="preserve"> </w:t>
      </w:r>
      <w:r w:rsidRPr="00E47D1A">
        <w:rPr>
          <w:rFonts w:ascii="Arial" w:eastAsia="Times New Roman" w:hAnsi="Arial" w:cs="Arial"/>
          <w:bCs/>
          <w:i/>
          <w:iCs/>
          <w:sz w:val="24"/>
          <w:szCs w:val="24"/>
          <w:lang w:eastAsia="es-ES"/>
        </w:rPr>
        <w:t xml:space="preserve">respecto </w:t>
      </w:r>
      <w:r w:rsidR="00427C47" w:rsidRPr="00E47D1A">
        <w:rPr>
          <w:rFonts w:ascii="Arial" w:eastAsia="Times New Roman" w:hAnsi="Arial" w:cs="Arial"/>
          <w:bCs/>
          <w:i/>
          <w:iCs/>
          <w:sz w:val="24"/>
          <w:szCs w:val="24"/>
          <w:lang w:eastAsia="es-ES"/>
        </w:rPr>
        <w:t xml:space="preserve">del crédito fiscal número </w:t>
      </w:r>
      <w:r w:rsidR="00BF2920">
        <w:rPr>
          <w:rFonts w:ascii="Arial" w:eastAsia="Times New Roman" w:hAnsi="Arial" w:cs="Arial"/>
          <w:b/>
          <w:bCs/>
          <w:i/>
          <w:iCs/>
          <w:sz w:val="24"/>
          <w:szCs w:val="24"/>
          <w:lang w:eastAsia="es-ES"/>
        </w:rPr>
        <w:t>*******</w:t>
      </w:r>
      <w:r w:rsidR="00427C47" w:rsidRPr="00E47D1A">
        <w:rPr>
          <w:rFonts w:ascii="Arial" w:eastAsia="Times New Roman" w:hAnsi="Arial" w:cs="Arial"/>
          <w:b/>
          <w:bCs/>
          <w:i/>
          <w:iCs/>
          <w:sz w:val="24"/>
          <w:szCs w:val="24"/>
          <w:lang w:eastAsia="es-ES"/>
        </w:rPr>
        <w:t>,</w:t>
      </w:r>
      <w:r w:rsidR="00427C47" w:rsidRPr="00E47D1A">
        <w:rPr>
          <w:rFonts w:ascii="Arial" w:eastAsia="Times New Roman" w:hAnsi="Arial" w:cs="Arial"/>
          <w:bCs/>
          <w:i/>
          <w:iCs/>
          <w:sz w:val="24"/>
          <w:szCs w:val="24"/>
          <w:lang w:eastAsia="es-ES"/>
        </w:rPr>
        <w:t xml:space="preserve"> relativo a</w:t>
      </w:r>
      <w:r w:rsidRPr="00E47D1A">
        <w:rPr>
          <w:rFonts w:ascii="Arial" w:eastAsia="Times New Roman" w:hAnsi="Arial" w:cs="Arial"/>
          <w:bCs/>
          <w:i/>
          <w:iCs/>
          <w:sz w:val="24"/>
          <w:szCs w:val="24"/>
          <w:lang w:eastAsia="es-ES"/>
        </w:rPr>
        <w:t xml:space="preserve">l mandamiento de ejecución con número de control </w:t>
      </w:r>
      <w:r w:rsidR="00BF2920">
        <w:rPr>
          <w:rFonts w:ascii="Arial" w:eastAsia="Times New Roman" w:hAnsi="Arial" w:cs="Arial"/>
          <w:b/>
          <w:bCs/>
          <w:i/>
          <w:iCs/>
          <w:sz w:val="24"/>
          <w:szCs w:val="24"/>
          <w:lang w:eastAsia="es-ES"/>
        </w:rPr>
        <w:t>*******</w:t>
      </w:r>
      <w:r w:rsidR="00EE664D" w:rsidRPr="00E47D1A">
        <w:rPr>
          <w:rFonts w:ascii="Arial" w:eastAsia="Times New Roman" w:hAnsi="Arial" w:cs="Arial"/>
          <w:b/>
          <w:bCs/>
          <w:i/>
          <w:iCs/>
          <w:sz w:val="24"/>
          <w:szCs w:val="24"/>
          <w:lang w:eastAsia="es-ES"/>
        </w:rPr>
        <w:t xml:space="preserve">, </w:t>
      </w:r>
      <w:r w:rsidRPr="00E47D1A">
        <w:rPr>
          <w:rFonts w:ascii="Arial" w:eastAsia="Times New Roman" w:hAnsi="Arial" w:cs="Arial"/>
          <w:bCs/>
          <w:i/>
          <w:iCs/>
          <w:sz w:val="24"/>
          <w:szCs w:val="24"/>
          <w:lang w:eastAsia="es-ES"/>
        </w:rPr>
        <w:t xml:space="preserve">de </w:t>
      </w:r>
      <w:r w:rsidR="00EE664D" w:rsidRPr="00E47D1A">
        <w:rPr>
          <w:rFonts w:ascii="Arial" w:eastAsia="Times New Roman" w:hAnsi="Arial" w:cs="Arial"/>
          <w:bCs/>
          <w:i/>
          <w:iCs/>
          <w:sz w:val="24"/>
          <w:szCs w:val="24"/>
          <w:lang w:eastAsia="es-ES"/>
        </w:rPr>
        <w:t xml:space="preserve">trece </w:t>
      </w:r>
      <w:r w:rsidRPr="00E47D1A">
        <w:rPr>
          <w:rFonts w:ascii="Arial" w:eastAsia="Times New Roman" w:hAnsi="Arial" w:cs="Arial"/>
          <w:bCs/>
          <w:i/>
          <w:iCs/>
          <w:sz w:val="24"/>
          <w:szCs w:val="24"/>
          <w:lang w:eastAsia="es-ES"/>
        </w:rPr>
        <w:t>de junio de dos mil veinti</w:t>
      </w:r>
      <w:r w:rsidR="00EE664D" w:rsidRPr="00E47D1A">
        <w:rPr>
          <w:rFonts w:ascii="Arial" w:eastAsia="Times New Roman" w:hAnsi="Arial" w:cs="Arial"/>
          <w:bCs/>
          <w:i/>
          <w:iCs/>
          <w:sz w:val="24"/>
          <w:szCs w:val="24"/>
          <w:lang w:eastAsia="es-ES"/>
        </w:rPr>
        <w:t>dós</w:t>
      </w:r>
      <w:r w:rsidRPr="00E47D1A">
        <w:rPr>
          <w:rFonts w:ascii="Arial" w:eastAsia="Times New Roman" w:hAnsi="Arial" w:cs="Arial"/>
          <w:bCs/>
          <w:i/>
          <w:iCs/>
          <w:sz w:val="24"/>
          <w:szCs w:val="24"/>
          <w:lang w:eastAsia="es-ES"/>
        </w:rPr>
        <w:t xml:space="preserve">, por </w:t>
      </w:r>
      <w:r w:rsidRPr="00E47D1A">
        <w:rPr>
          <w:rFonts w:ascii="Arial" w:eastAsia="Times New Roman" w:hAnsi="Arial" w:cs="Arial"/>
          <w:b/>
          <w:bCs/>
          <w:i/>
          <w:iCs/>
          <w:sz w:val="24"/>
          <w:szCs w:val="24"/>
          <w:lang w:eastAsia="es-ES"/>
        </w:rPr>
        <w:t xml:space="preserve">NOTORIAMENTE IMPROCEDENTE, </w:t>
      </w:r>
      <w:r w:rsidRPr="00E47D1A">
        <w:rPr>
          <w:rFonts w:ascii="Arial" w:eastAsia="Times New Roman" w:hAnsi="Arial" w:cs="Arial"/>
          <w:bCs/>
          <w:i/>
          <w:iCs/>
          <w:sz w:val="24"/>
          <w:szCs w:val="24"/>
          <w:lang w:eastAsia="es-ES"/>
        </w:rPr>
        <w:t>por encontrase motivo manifiesto e indudable de improcedencia, conforme a lo establecido por los artículos 161 fracciones IX y X, 16</w:t>
      </w:r>
      <w:r w:rsidR="001561A1" w:rsidRPr="00E47D1A">
        <w:rPr>
          <w:rFonts w:ascii="Arial" w:eastAsia="Times New Roman" w:hAnsi="Arial" w:cs="Arial"/>
          <w:bCs/>
          <w:i/>
          <w:iCs/>
          <w:sz w:val="24"/>
          <w:szCs w:val="24"/>
          <w:lang w:eastAsia="es-ES"/>
        </w:rPr>
        <w:t>2 fracciones VI, y 182 fracción</w:t>
      </w:r>
      <w:r w:rsidRPr="00E47D1A">
        <w:rPr>
          <w:rFonts w:ascii="Arial" w:eastAsia="Times New Roman" w:hAnsi="Arial" w:cs="Arial"/>
          <w:bCs/>
          <w:i/>
          <w:iCs/>
          <w:sz w:val="24"/>
          <w:szCs w:val="24"/>
          <w:lang w:eastAsia="es-ES"/>
        </w:rPr>
        <w:t xml:space="preserve"> I, de la Ley de Procedimiento y Justicia Administrativa para el Estado de Oaxaca. </w:t>
      </w:r>
    </w:p>
    <w:p w14:paraId="70CD5D85" w14:textId="390A3FB9" w:rsidR="001561A1" w:rsidRPr="00E47D1A" w:rsidRDefault="001561A1"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 xml:space="preserve">Sirve de apoyo la jurisprudencia con número </w:t>
      </w:r>
      <w:r w:rsidR="00A511A9" w:rsidRPr="00E47D1A">
        <w:rPr>
          <w:rFonts w:ascii="Arial" w:eastAsia="Times New Roman" w:hAnsi="Arial" w:cs="Arial"/>
          <w:bCs/>
          <w:i/>
          <w:iCs/>
          <w:sz w:val="24"/>
          <w:szCs w:val="24"/>
          <w:lang w:eastAsia="es-ES"/>
        </w:rPr>
        <w:t xml:space="preserve">de registro 96530, de la Segunda Sala, Novena Época, materia administrativa, Tesis: 2ª./J. 17/98, del Semanario Judicial de la Federación y su Gaceta, tomo VII, abril de mil novecientos noventa y ocho, página 187, con </w:t>
      </w:r>
      <w:r w:rsidR="00DA0019" w:rsidRPr="00E47D1A">
        <w:rPr>
          <w:rFonts w:ascii="Arial" w:eastAsia="Times New Roman" w:hAnsi="Arial" w:cs="Arial"/>
          <w:bCs/>
          <w:i/>
          <w:iCs/>
          <w:sz w:val="24"/>
          <w:szCs w:val="24"/>
          <w:lang w:eastAsia="es-ES"/>
        </w:rPr>
        <w:t>el rubro y texto siguientes: “…</w:t>
      </w:r>
      <w:r w:rsidR="00A511A9" w:rsidRPr="00E47D1A">
        <w:rPr>
          <w:rFonts w:ascii="Arial" w:eastAsia="Times New Roman" w:hAnsi="Arial" w:cs="Arial"/>
          <w:bCs/>
          <w:i/>
          <w:iCs/>
          <w:sz w:val="24"/>
          <w:szCs w:val="24"/>
          <w:lang w:eastAsia="es-ES"/>
        </w:rPr>
        <w:t>EJECUCIÓN, PROCEDIMIENTO DE. EL AMPARO CONTRA RESOLUCIONES DICTADAS EN AQUÉL SÓLO PROCEDE CUANDO SE RECLAMA LA DEFINITIVA, A PESAR DE QUE SE IMPUGNE LA CONSTITUCIONALIDAD DE LEYES. …”</w:t>
      </w:r>
    </w:p>
    <w:p w14:paraId="06E69BBB" w14:textId="6E6F7886" w:rsidR="00A511A9" w:rsidRPr="00E47D1A" w:rsidRDefault="00A511A9"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Por otra parte, SE DESECHA LA DEMANDA de</w:t>
      </w:r>
      <w:r w:rsidR="00A34A41" w:rsidRPr="00E47D1A">
        <w:rPr>
          <w:rFonts w:ascii="Arial" w:eastAsia="Times New Roman" w:hAnsi="Arial" w:cs="Arial"/>
          <w:bCs/>
          <w:i/>
          <w:iCs/>
          <w:sz w:val="24"/>
          <w:szCs w:val="24"/>
          <w:lang w:eastAsia="es-ES"/>
        </w:rPr>
        <w:t xml:space="preserve"> nulidad promovida en contra del Notificador-ejecutor, dependiente de la Delegación Fiscal número uno, Centro, zona dependiente de la Dirección de Ingresos y Recaudación de la Secretaría de Finanzas del Poder Ejecutivo del Estado, por la emisión de la notificación y requerimiento de pago, en virtud de que del análisis integral realizado al escrito de demanda de nulidad y sus anexos, se advierte que son actos intraprocesales, esto es, que son actos dentro de juicio que no afectan derecho sustantivo alguno, porque el acto reclamado </w:t>
      </w:r>
      <w:r w:rsidR="007B28E7" w:rsidRPr="00E47D1A">
        <w:rPr>
          <w:rFonts w:ascii="Arial" w:eastAsia="Times New Roman" w:hAnsi="Arial" w:cs="Arial"/>
          <w:bCs/>
          <w:i/>
          <w:iCs/>
          <w:sz w:val="24"/>
          <w:szCs w:val="24"/>
          <w:lang w:eastAsia="es-ES"/>
        </w:rPr>
        <w:t xml:space="preserve">no conlleva en sí una afectación material a derecho sustantivo alguno, porque el acto reclamado no conlleva en sí una afectación material a derechos sustantivos, entendiéndose por éstos los que no pueden </w:t>
      </w:r>
      <w:r w:rsidR="00647A8C" w:rsidRPr="00E47D1A">
        <w:rPr>
          <w:rFonts w:ascii="Arial" w:eastAsia="Times New Roman" w:hAnsi="Arial" w:cs="Arial"/>
          <w:bCs/>
          <w:i/>
          <w:iCs/>
          <w:sz w:val="24"/>
          <w:szCs w:val="24"/>
          <w:lang w:eastAsia="es-ES"/>
        </w:rPr>
        <w:t xml:space="preserve">ser reparados en sentencia definitiva, pues la notificación del mandamiento de </w:t>
      </w:r>
      <w:r w:rsidR="00647A8C" w:rsidRPr="00E47D1A">
        <w:rPr>
          <w:rFonts w:ascii="Arial" w:eastAsia="Times New Roman" w:hAnsi="Arial" w:cs="Arial"/>
          <w:bCs/>
          <w:i/>
          <w:iCs/>
          <w:sz w:val="24"/>
          <w:szCs w:val="24"/>
          <w:lang w:eastAsia="es-ES"/>
        </w:rPr>
        <w:lastRenderedPageBreak/>
        <w:t xml:space="preserve">ejecución y requerimiento de pago corresponden a la gama de los derechos de naturaleza adjetiva o procesal, los que se caracterizan por surgir y generarse </w:t>
      </w:r>
      <w:r w:rsidR="00647A8C" w:rsidRPr="00E47D1A">
        <w:rPr>
          <w:rFonts w:ascii="Arial" w:eastAsia="Times New Roman" w:hAnsi="Arial" w:cs="Arial"/>
          <w:b/>
          <w:bCs/>
          <w:i/>
          <w:iCs/>
          <w:sz w:val="24"/>
          <w:szCs w:val="24"/>
          <w:lang w:eastAsia="es-ES"/>
        </w:rPr>
        <w:t xml:space="preserve">durante el trámite de un procedimiento, </w:t>
      </w:r>
      <w:r w:rsidR="00647A8C" w:rsidRPr="00E47D1A">
        <w:rPr>
          <w:rFonts w:ascii="Arial" w:eastAsia="Times New Roman" w:hAnsi="Arial" w:cs="Arial"/>
          <w:bCs/>
          <w:i/>
          <w:iCs/>
          <w:sz w:val="24"/>
          <w:szCs w:val="24"/>
          <w:lang w:eastAsia="es-ES"/>
        </w:rPr>
        <w:t>de forma que antes de éste el administrado no los tenía y, que de infringirse, la sentencia definitiva que se dicte en favor del promovente podrá tener como efecto la restitución de éstos; en caso contrario, de ser adversa y esas violaciones procesales trasciendan al resultado del fallo, podrán reclamarse ante este Tribunal, por ser un acto definitivo, que ponga fin al juicio, que deberán hacerse valer las violaciones a las leyes del procedimiento.</w:t>
      </w:r>
    </w:p>
    <w:p w14:paraId="72457A3D" w14:textId="7E494F33" w:rsidR="00647A8C" w:rsidRPr="00E47D1A" w:rsidRDefault="00647A8C"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w:t>
      </w:r>
    </w:p>
    <w:p w14:paraId="5D7057E1" w14:textId="7B59C5CC" w:rsidR="00647A8C" w:rsidRPr="00E47D1A" w:rsidRDefault="00647A8C"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 xml:space="preserve">Por lo que respecta a la falta de convenio celebrado entre la Secretaría de Finanzas y el Órgano Superior de Fiscalización para el cobro de multas y sanciones derivadas </w:t>
      </w:r>
      <w:r w:rsidR="002834A7" w:rsidRPr="00E47D1A">
        <w:rPr>
          <w:rFonts w:ascii="Arial" w:eastAsia="Times New Roman" w:hAnsi="Arial" w:cs="Arial"/>
          <w:bCs/>
          <w:i/>
          <w:iCs/>
          <w:sz w:val="24"/>
          <w:szCs w:val="24"/>
          <w:lang w:eastAsia="es-ES"/>
        </w:rPr>
        <w:t>de procedimientos resarcitorios, derivada de la ley de Fiscalización Superior para el Estado, vigente a partir del treinta y uno de agosto de dos mil trece hasta el veintiuno de septiembre de dos mil diecisiete, esta Sala Unitaria advierte que no es un acto administrativo, el cual, el artículo 2, fracción I, de la Ley de Procedimiento y Justicia Administrativa para el Estado de Oaxaca, se define como: (…)</w:t>
      </w:r>
    </w:p>
    <w:p w14:paraId="3E062CD4" w14:textId="70A3EFA7" w:rsidR="002834A7" w:rsidRPr="00E47D1A" w:rsidRDefault="002834A7"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Esto es así, porque el promovente no acompaña documento, resolución o prueba alguna que justifique el acto administrativo que reclama de las autoridades demandadas.</w:t>
      </w:r>
    </w:p>
    <w:p w14:paraId="4B1DABA0" w14:textId="5A3CBB16" w:rsidR="00756E54" w:rsidRPr="00E47D1A" w:rsidRDefault="002834A7"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 xml:space="preserve">En consecuencia, del examen al escrito de demanda, esta Juzgadora encuentra motivo manifiesto e indudable de improcedencia, </w:t>
      </w:r>
      <w:r w:rsidR="009C67B4" w:rsidRPr="00E47D1A">
        <w:rPr>
          <w:rFonts w:ascii="Arial" w:eastAsia="Times New Roman" w:hAnsi="Arial" w:cs="Arial"/>
          <w:bCs/>
          <w:i/>
          <w:iCs/>
          <w:sz w:val="24"/>
          <w:szCs w:val="24"/>
          <w:lang w:eastAsia="es-ES"/>
        </w:rPr>
        <w:t>(</w:t>
      </w:r>
      <w:r w:rsidR="00DA0019" w:rsidRPr="00E47D1A">
        <w:rPr>
          <w:rFonts w:ascii="Arial" w:eastAsia="Times New Roman" w:hAnsi="Arial" w:cs="Arial"/>
          <w:bCs/>
          <w:i/>
          <w:iCs/>
          <w:sz w:val="24"/>
          <w:szCs w:val="24"/>
          <w:lang w:eastAsia="es-ES"/>
        </w:rPr>
        <w:t>…</w:t>
      </w:r>
      <w:r w:rsidR="009C67B4" w:rsidRPr="00E47D1A">
        <w:rPr>
          <w:rFonts w:ascii="Arial" w:eastAsia="Times New Roman" w:hAnsi="Arial" w:cs="Arial"/>
          <w:bCs/>
          <w:i/>
          <w:iCs/>
          <w:sz w:val="24"/>
          <w:szCs w:val="24"/>
          <w:lang w:eastAsia="es-ES"/>
        </w:rPr>
        <w:t>)</w:t>
      </w:r>
      <w:r w:rsidR="00DA0019" w:rsidRPr="00E47D1A">
        <w:rPr>
          <w:rFonts w:ascii="Arial" w:eastAsia="Times New Roman" w:hAnsi="Arial" w:cs="Arial"/>
          <w:bCs/>
          <w:i/>
          <w:iCs/>
          <w:sz w:val="24"/>
          <w:szCs w:val="24"/>
          <w:lang w:eastAsia="es-ES"/>
        </w:rPr>
        <w:t xml:space="preserve">, </w:t>
      </w:r>
      <w:r w:rsidRPr="00E47D1A">
        <w:rPr>
          <w:rFonts w:ascii="Arial" w:eastAsia="Times New Roman" w:hAnsi="Arial" w:cs="Arial"/>
          <w:bCs/>
          <w:i/>
          <w:iCs/>
          <w:sz w:val="24"/>
          <w:szCs w:val="24"/>
          <w:lang w:eastAsia="es-ES"/>
        </w:rPr>
        <w:t>conforme a lo establecido por los artículos 161 fracciones IX y X, 162, fracciones II y VI, y 182 fracción I, de la Ley de Procedimiento y Justicia Administrativa para el Estado de O</w:t>
      </w:r>
      <w:r w:rsidR="00894519" w:rsidRPr="00E47D1A">
        <w:rPr>
          <w:rFonts w:ascii="Arial" w:eastAsia="Times New Roman" w:hAnsi="Arial" w:cs="Arial"/>
          <w:bCs/>
          <w:i/>
          <w:iCs/>
          <w:sz w:val="24"/>
          <w:szCs w:val="24"/>
          <w:lang w:eastAsia="es-ES"/>
        </w:rPr>
        <w:t xml:space="preserve">axaca. </w:t>
      </w:r>
    </w:p>
    <w:p w14:paraId="684E9E4B" w14:textId="77777777" w:rsidR="00756E54" w:rsidRPr="00E47D1A" w:rsidRDefault="00894519"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w:t>
      </w:r>
    </w:p>
    <w:p w14:paraId="1A68AAE4" w14:textId="77777777" w:rsidR="00E622C2" w:rsidRPr="00E47D1A" w:rsidRDefault="00756E54" w:rsidP="00E47D1A">
      <w:pPr>
        <w:spacing w:after="0"/>
        <w:ind w:left="567" w:right="616"/>
        <w:jc w:val="both"/>
        <w:rPr>
          <w:rFonts w:ascii="Arial" w:eastAsia="Times New Roman" w:hAnsi="Arial" w:cs="Arial"/>
          <w:bCs/>
          <w:i/>
          <w:iCs/>
          <w:sz w:val="24"/>
          <w:szCs w:val="24"/>
          <w:lang w:eastAsia="es-ES"/>
        </w:rPr>
      </w:pPr>
      <w:r w:rsidRPr="00E47D1A">
        <w:rPr>
          <w:rFonts w:ascii="Arial" w:eastAsia="Times New Roman" w:hAnsi="Arial" w:cs="Arial"/>
          <w:bCs/>
          <w:i/>
          <w:iCs/>
          <w:sz w:val="24"/>
          <w:szCs w:val="24"/>
          <w:lang w:eastAsia="es-ES"/>
        </w:rPr>
        <w:t>Por último, una vez que cause estado el presente auto, se ordenará dar de baja de libro de control de expedientes de esta Sala Unitaria y en consecuencia su archivo, y mediante oficio que se gire a la Secretaría General de Acuerdos de este Tribunal, remítase el original del expediente al Archivo General de este Tribunal, de conformidad con lo dispuesto por los artículos 101, 102, 104 y 106 del Reglamento Interno del Tribunal de Justicia Administrativa del Estado de Oaxaca</w:t>
      </w:r>
      <w:r w:rsidR="00DA0019" w:rsidRPr="00E47D1A">
        <w:rPr>
          <w:rFonts w:ascii="Arial" w:eastAsia="Times New Roman" w:hAnsi="Arial" w:cs="Arial"/>
          <w:bCs/>
          <w:i/>
          <w:iCs/>
          <w:sz w:val="24"/>
          <w:szCs w:val="24"/>
          <w:lang w:eastAsia="es-ES"/>
        </w:rPr>
        <w:t>.</w:t>
      </w:r>
      <w:r w:rsidR="00E622C2" w:rsidRPr="00E47D1A">
        <w:rPr>
          <w:rFonts w:ascii="Arial" w:eastAsia="Times New Roman" w:hAnsi="Arial" w:cs="Arial"/>
          <w:bCs/>
          <w:i/>
          <w:iCs/>
          <w:sz w:val="24"/>
          <w:szCs w:val="24"/>
          <w:lang w:eastAsia="es-ES"/>
        </w:rPr>
        <w:t xml:space="preserve"> </w:t>
      </w:r>
    </w:p>
    <w:p w14:paraId="674C2E95" w14:textId="3C70A95F" w:rsidR="002834A7" w:rsidRDefault="00DA0019" w:rsidP="008B4519">
      <w:pPr>
        <w:spacing w:after="0" w:line="360" w:lineRule="auto"/>
        <w:ind w:left="567" w:right="616"/>
        <w:jc w:val="both"/>
        <w:rPr>
          <w:rFonts w:ascii="Arial" w:eastAsia="Times New Roman" w:hAnsi="Arial" w:cs="Arial"/>
          <w:bCs/>
          <w:i/>
          <w:iCs/>
          <w:lang w:eastAsia="es-ES"/>
        </w:rPr>
      </w:pPr>
      <w:r>
        <w:rPr>
          <w:rFonts w:ascii="Arial" w:eastAsia="Times New Roman" w:hAnsi="Arial" w:cs="Arial"/>
          <w:bCs/>
          <w:i/>
          <w:iCs/>
          <w:lang w:eastAsia="es-ES"/>
        </w:rPr>
        <w:t>…”</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0CDED10B"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B7350C">
        <w:rPr>
          <w:rFonts w:ascii="Arial" w:hAnsi="Arial" w:cs="Arial"/>
          <w:bCs/>
          <w:iCs/>
          <w:sz w:val="26"/>
          <w:szCs w:val="26"/>
        </w:rPr>
        <w:t>ones</w:t>
      </w:r>
      <w:r>
        <w:rPr>
          <w:rFonts w:ascii="Arial" w:hAnsi="Arial" w:cs="Arial"/>
          <w:bCs/>
          <w:iCs/>
          <w:sz w:val="26"/>
          <w:szCs w:val="26"/>
        </w:rPr>
        <w:t xml:space="preserve"> I</w:t>
      </w:r>
      <w:r w:rsidR="00B7350C">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 xml:space="preserve">dado que se trata de un </w:t>
      </w:r>
      <w:r w:rsidRPr="008E3662">
        <w:rPr>
          <w:rFonts w:ascii="Arial" w:hAnsi="Arial" w:cs="Arial"/>
          <w:bCs/>
          <w:iCs/>
          <w:sz w:val="26"/>
          <w:szCs w:val="26"/>
        </w:rPr>
        <w:lastRenderedPageBreak/>
        <w:t>recurso de revisión interpuesto en contra de</w:t>
      </w:r>
      <w:r w:rsidR="00314087">
        <w:rPr>
          <w:rFonts w:ascii="Arial" w:hAnsi="Arial" w:cs="Arial"/>
          <w:bCs/>
          <w:iCs/>
          <w:sz w:val="26"/>
          <w:szCs w:val="26"/>
        </w:rPr>
        <w:t>l acuerdo</w:t>
      </w:r>
      <w:r>
        <w:rPr>
          <w:rFonts w:ascii="Arial" w:hAnsi="Arial" w:cs="Arial"/>
          <w:sz w:val="26"/>
          <w:szCs w:val="26"/>
        </w:rPr>
        <w:t xml:space="preserve"> de</w:t>
      </w:r>
      <w:r w:rsidR="00D35524">
        <w:rPr>
          <w:rFonts w:ascii="Arial" w:hAnsi="Arial" w:cs="Arial"/>
          <w:sz w:val="26"/>
          <w:szCs w:val="26"/>
        </w:rPr>
        <w:t xml:space="preserve"> </w:t>
      </w:r>
      <w:r w:rsidR="00756E54">
        <w:rPr>
          <w:rFonts w:ascii="Arial" w:hAnsi="Arial" w:cs="Arial"/>
          <w:sz w:val="26"/>
          <w:szCs w:val="26"/>
        </w:rPr>
        <w:t xml:space="preserve">nueve </w:t>
      </w:r>
      <w:r w:rsidR="006F7407">
        <w:rPr>
          <w:rFonts w:ascii="Arial" w:hAnsi="Arial" w:cs="Arial"/>
          <w:sz w:val="26"/>
          <w:szCs w:val="26"/>
        </w:rPr>
        <w:t xml:space="preserve">de </w:t>
      </w:r>
      <w:r w:rsidR="00756E54">
        <w:rPr>
          <w:rFonts w:ascii="Arial" w:hAnsi="Arial" w:cs="Arial"/>
          <w:sz w:val="26"/>
          <w:szCs w:val="26"/>
        </w:rPr>
        <w:t>agosto</w:t>
      </w:r>
      <w:r w:rsidR="006F7407">
        <w:rPr>
          <w:rFonts w:ascii="Arial" w:hAnsi="Arial" w:cs="Arial"/>
          <w:sz w:val="26"/>
          <w:szCs w:val="26"/>
        </w:rPr>
        <w:t xml:space="preserve"> de dos mil </w:t>
      </w:r>
      <w:r w:rsidR="00756E54">
        <w:rPr>
          <w:rFonts w:ascii="Arial" w:hAnsi="Arial" w:cs="Arial"/>
          <w:sz w:val="26"/>
          <w:szCs w:val="26"/>
        </w:rPr>
        <w:t>veintidós</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756E54">
        <w:rPr>
          <w:rFonts w:ascii="Arial" w:hAnsi="Arial" w:cs="Arial"/>
          <w:b/>
          <w:bCs/>
          <w:iCs/>
          <w:sz w:val="26"/>
          <w:szCs w:val="26"/>
        </w:rPr>
        <w:t>068</w:t>
      </w:r>
      <w:r w:rsidRPr="00AE78C3">
        <w:rPr>
          <w:rFonts w:ascii="Arial" w:hAnsi="Arial" w:cs="Arial"/>
          <w:b/>
          <w:bCs/>
          <w:iCs/>
          <w:sz w:val="26"/>
          <w:szCs w:val="26"/>
        </w:rPr>
        <w:t>/20</w:t>
      </w:r>
      <w:r w:rsidR="00314087">
        <w:rPr>
          <w:rFonts w:ascii="Arial" w:hAnsi="Arial" w:cs="Arial"/>
          <w:b/>
          <w:bCs/>
          <w:iCs/>
          <w:sz w:val="26"/>
          <w:szCs w:val="26"/>
        </w:rPr>
        <w:t>2</w:t>
      </w:r>
      <w:r w:rsidR="00756E54">
        <w:rPr>
          <w:rFonts w:ascii="Arial" w:hAnsi="Arial" w:cs="Arial"/>
          <w:b/>
          <w:bCs/>
          <w:iCs/>
          <w:sz w:val="26"/>
          <w:szCs w:val="26"/>
        </w:rPr>
        <w:t>2</w:t>
      </w:r>
      <w:r w:rsidRPr="00AE78C3">
        <w:rPr>
          <w:rFonts w:ascii="Arial" w:hAnsi="Arial" w:cs="Arial"/>
          <w:b/>
          <w:bCs/>
          <w:iCs/>
          <w:sz w:val="26"/>
          <w:szCs w:val="26"/>
        </w:rPr>
        <w:t>.</w:t>
      </w:r>
      <w:r w:rsidR="00A27311">
        <w:rPr>
          <w:rFonts w:ascii="Arial" w:hAnsi="Arial" w:cs="Arial"/>
          <w:b/>
          <w:bCs/>
          <w:iCs/>
          <w:sz w:val="26"/>
          <w:szCs w:val="26"/>
        </w:rPr>
        <w:t>- -</w:t>
      </w:r>
    </w:p>
    <w:p w14:paraId="45F854D1" w14:textId="41F4E72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0B6550">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2659D38" w14:textId="1E342185" w:rsidR="00276E57" w:rsidRPr="0076081A" w:rsidRDefault="006640AE" w:rsidP="0076081A">
      <w:pPr>
        <w:spacing w:before="240" w:line="360" w:lineRule="auto"/>
        <w:ind w:firstLine="708"/>
        <w:jc w:val="both"/>
        <w:rPr>
          <w:rFonts w:ascii="Arial" w:hAnsi="Arial" w:cs="Arial"/>
          <w:b/>
          <w:sz w:val="26"/>
          <w:szCs w:val="26"/>
        </w:rPr>
      </w:pPr>
      <w:r w:rsidRPr="00626352">
        <w:rPr>
          <w:rFonts w:ascii="Arial" w:hAnsi="Arial" w:cs="Arial"/>
          <w:b/>
          <w:sz w:val="26"/>
          <w:szCs w:val="26"/>
        </w:rPr>
        <w:t>TERCERO.</w:t>
      </w:r>
      <w:r w:rsidR="00D6167C">
        <w:rPr>
          <w:rFonts w:ascii="Arial" w:hAnsi="Arial" w:cs="Arial"/>
          <w:b/>
          <w:sz w:val="26"/>
          <w:szCs w:val="26"/>
        </w:rPr>
        <w:t xml:space="preserve"> </w:t>
      </w:r>
      <w:r w:rsidR="00D6167C" w:rsidRPr="00D6167C">
        <w:rPr>
          <w:rFonts w:ascii="Arial" w:hAnsi="Arial" w:cs="Arial"/>
          <w:sz w:val="26"/>
          <w:szCs w:val="26"/>
        </w:rPr>
        <w:t>El recurrente realiza un recuento de los antecedentes en el juicio</w:t>
      </w:r>
      <w:r w:rsidR="00F876BB">
        <w:rPr>
          <w:rFonts w:ascii="Arial" w:hAnsi="Arial" w:cs="Arial"/>
          <w:sz w:val="26"/>
          <w:szCs w:val="26"/>
        </w:rPr>
        <w:t xml:space="preserve"> y además transcribe el contenido del acuerdo controvertido</w:t>
      </w:r>
      <w:r w:rsidR="00D6167C" w:rsidRPr="00D6167C">
        <w:rPr>
          <w:rFonts w:ascii="Arial" w:hAnsi="Arial" w:cs="Arial"/>
          <w:sz w:val="26"/>
          <w:szCs w:val="26"/>
        </w:rPr>
        <w:t>, previamente a señalar que</w:t>
      </w:r>
      <w:r w:rsidR="00D6167C">
        <w:rPr>
          <w:rFonts w:ascii="Arial" w:hAnsi="Arial" w:cs="Arial"/>
          <w:b/>
          <w:sz w:val="26"/>
          <w:szCs w:val="26"/>
        </w:rPr>
        <w:t xml:space="preserve"> </w:t>
      </w:r>
      <w:r w:rsidR="000263F9">
        <w:rPr>
          <w:rFonts w:ascii="Arial" w:hAnsi="Arial" w:cs="Arial"/>
          <w:sz w:val="26"/>
          <w:szCs w:val="26"/>
        </w:rPr>
        <w:t xml:space="preserve">le causa agravios el acuerdo de </w:t>
      </w:r>
      <w:r w:rsidR="0076081A">
        <w:rPr>
          <w:rFonts w:ascii="Arial" w:hAnsi="Arial" w:cs="Arial"/>
          <w:sz w:val="26"/>
          <w:szCs w:val="26"/>
        </w:rPr>
        <w:t xml:space="preserve"> nueve de agosto de dos mil veintidós</w:t>
      </w:r>
      <w:r w:rsidR="000263F9">
        <w:rPr>
          <w:rFonts w:ascii="Arial" w:hAnsi="Arial" w:cs="Arial"/>
          <w:sz w:val="26"/>
          <w:szCs w:val="26"/>
        </w:rPr>
        <w:t>, que recayó a su demanda de nulidad presentada el</w:t>
      </w:r>
      <w:r w:rsidR="006D5E89">
        <w:rPr>
          <w:rFonts w:ascii="Arial" w:hAnsi="Arial" w:cs="Arial"/>
          <w:sz w:val="26"/>
          <w:szCs w:val="26"/>
        </w:rPr>
        <w:t xml:space="preserve"> ocho de agosto </w:t>
      </w:r>
      <w:r w:rsidR="000263F9">
        <w:rPr>
          <w:rFonts w:ascii="Arial" w:hAnsi="Arial" w:cs="Arial"/>
          <w:sz w:val="26"/>
          <w:szCs w:val="26"/>
        </w:rPr>
        <w:t>del mismo año, ante la oficialía de partes de este Tribunal, en virtud de que se le vio afectado su derecho humano de acceso a la justicia o de tutela judicial efectiva y en un plazo razonable, que establecen los artículos 8 y 25, de la Convención Americana sobre Derechos Humanos y 17, de la Constitución Política de los Estados Unidos Mexicanos, pues en lugar de maximizarse conforme al artículos 1° de la Constitución Federal, se</w:t>
      </w:r>
      <w:r w:rsidR="009F5DDF">
        <w:rPr>
          <w:rFonts w:ascii="Arial" w:hAnsi="Arial" w:cs="Arial"/>
          <w:sz w:val="26"/>
          <w:szCs w:val="26"/>
        </w:rPr>
        <w:t xml:space="preserve"> le imposibilitó a reclamar sus derechos mediante el debido proceso, a través de un tribunal </w:t>
      </w:r>
      <w:r w:rsidR="009F5DDF">
        <w:rPr>
          <w:rFonts w:ascii="Arial" w:hAnsi="Arial" w:cs="Arial"/>
          <w:sz w:val="26"/>
          <w:szCs w:val="26"/>
        </w:rPr>
        <w:lastRenderedPageBreak/>
        <w:t>mediante un juicio seguido con las formalidades esenciales del procedimiento, en consecuencia, lo deja en estado de indefensión porque el acto administrativo que se pretende impugnar aun cuando goza de presunción de validez eso no significa que sea justo, legal y no sea arbitrario. Toda vez que toda persona tiene derechos que le son inseparables, los cuales no pueden ser violentados por autoridad alguna sin una razón que tenga una base legal fundada y motivada conforme a Derecho.</w:t>
      </w:r>
      <w:r w:rsidR="007C3F53">
        <w:rPr>
          <w:rFonts w:ascii="Arial" w:hAnsi="Arial" w:cs="Arial"/>
          <w:sz w:val="26"/>
          <w:szCs w:val="26"/>
        </w:rPr>
        <w:t>- - - - - - - - - - - - - - - - - - - - - - - - - - - - - - - - - - - - - - - - - - - - - -</w:t>
      </w:r>
      <w:r w:rsidR="009F5DDF">
        <w:rPr>
          <w:rFonts w:ascii="Arial" w:hAnsi="Arial" w:cs="Arial"/>
          <w:sz w:val="26"/>
          <w:szCs w:val="26"/>
        </w:rPr>
        <w:t xml:space="preserve"> </w:t>
      </w:r>
    </w:p>
    <w:p w14:paraId="5691B496" w14:textId="7F0DDF21" w:rsidR="00D81932" w:rsidRDefault="009F5DDF" w:rsidP="00627D62">
      <w:pPr>
        <w:spacing w:before="240" w:line="360" w:lineRule="auto"/>
        <w:ind w:firstLine="708"/>
        <w:jc w:val="both"/>
        <w:rPr>
          <w:rFonts w:ascii="Arial" w:hAnsi="Arial" w:cs="Arial"/>
          <w:sz w:val="26"/>
          <w:szCs w:val="26"/>
        </w:rPr>
      </w:pPr>
      <w:r>
        <w:rPr>
          <w:rFonts w:ascii="Arial" w:hAnsi="Arial" w:cs="Arial"/>
          <w:sz w:val="26"/>
          <w:szCs w:val="26"/>
        </w:rPr>
        <w:t xml:space="preserve">Hace referencia de la Convención Americana sobre Derechos Humanos, resultando convencional </w:t>
      </w:r>
      <w:r w:rsidR="002D608A">
        <w:rPr>
          <w:rFonts w:ascii="Arial" w:hAnsi="Arial" w:cs="Arial"/>
          <w:sz w:val="26"/>
          <w:szCs w:val="26"/>
        </w:rPr>
        <w:t>el artículo</w:t>
      </w:r>
      <w:r>
        <w:rPr>
          <w:rFonts w:ascii="Arial" w:hAnsi="Arial" w:cs="Arial"/>
          <w:sz w:val="26"/>
          <w:szCs w:val="26"/>
        </w:rPr>
        <w:t xml:space="preserve"> 133, fracción VIII, inciso d</w:t>
      </w:r>
      <w:r w:rsidR="002D608A">
        <w:rPr>
          <w:rFonts w:ascii="Arial" w:hAnsi="Arial" w:cs="Arial"/>
          <w:sz w:val="26"/>
          <w:szCs w:val="26"/>
        </w:rPr>
        <w:t>);</w:t>
      </w:r>
      <w:r>
        <w:rPr>
          <w:rFonts w:ascii="Arial" w:hAnsi="Arial" w:cs="Arial"/>
          <w:sz w:val="26"/>
          <w:szCs w:val="26"/>
        </w:rPr>
        <w:t xml:space="preserve"> de la Ley de Procedimiento y Justicia Administrativa para el Estado de Oaxaca, invocado por el acuerdo que se recurre, </w:t>
      </w:r>
      <w:r w:rsidR="002D608A">
        <w:rPr>
          <w:rFonts w:ascii="Arial" w:hAnsi="Arial" w:cs="Arial"/>
          <w:sz w:val="26"/>
          <w:szCs w:val="26"/>
        </w:rPr>
        <w:t>porque</w:t>
      </w:r>
      <w:r>
        <w:rPr>
          <w:rFonts w:ascii="Arial" w:hAnsi="Arial" w:cs="Arial"/>
          <w:sz w:val="26"/>
          <w:szCs w:val="26"/>
        </w:rPr>
        <w:t xml:space="preserve"> de una interpretación a </w:t>
      </w:r>
      <w:r w:rsidRPr="00C14711">
        <w:rPr>
          <w:rFonts w:ascii="Arial" w:hAnsi="Arial" w:cs="Arial"/>
          <w:i/>
          <w:sz w:val="26"/>
          <w:szCs w:val="26"/>
        </w:rPr>
        <w:t>contrario sensu</w:t>
      </w:r>
      <w:r>
        <w:rPr>
          <w:rFonts w:ascii="Arial" w:hAnsi="Arial" w:cs="Arial"/>
          <w:sz w:val="26"/>
          <w:szCs w:val="26"/>
        </w:rPr>
        <w:t xml:space="preserve"> a dicha porción normativa, la Primera Instancia </w:t>
      </w:r>
      <w:r w:rsidR="002D608A">
        <w:rPr>
          <w:rFonts w:ascii="Arial" w:hAnsi="Arial" w:cs="Arial"/>
          <w:sz w:val="26"/>
          <w:szCs w:val="26"/>
        </w:rPr>
        <w:t xml:space="preserve">exigió como presupuesto para que sea competente de conocer y resolver del juicio promovido, que en el procedimiento de ejecución se haya interpuesto el recurso ordinario ante la autoridad competente y cuando afirme que </w:t>
      </w:r>
      <w:r w:rsidR="00E9559A">
        <w:rPr>
          <w:rFonts w:ascii="Arial" w:hAnsi="Arial" w:cs="Arial"/>
          <w:sz w:val="26"/>
          <w:szCs w:val="26"/>
        </w:rPr>
        <w:t xml:space="preserve">el procedimiento coactivo no se ajuste a la ley, ahora bien, sino se hubiese interpuesto dicho recurso ordinario, entonces no es competente la Primera Instancia </w:t>
      </w:r>
      <w:r w:rsidR="00627D62">
        <w:rPr>
          <w:rFonts w:ascii="Arial" w:hAnsi="Arial" w:cs="Arial"/>
          <w:sz w:val="26"/>
          <w:szCs w:val="26"/>
        </w:rPr>
        <w:t xml:space="preserve">de conocer del juicio planteado, lo anterior es violatorio en su perjuicio de los derechos humanos de protección judicial establecidos en los artículos 8.1 y 25.1 de la Convención Americana sobre Derechos Humanos </w:t>
      </w:r>
      <w:r w:rsidR="00D81932">
        <w:rPr>
          <w:rFonts w:ascii="Arial" w:hAnsi="Arial" w:cs="Arial"/>
          <w:sz w:val="26"/>
          <w:szCs w:val="26"/>
        </w:rPr>
        <w:t>(</w:t>
      </w:r>
      <w:r w:rsidR="00627D62">
        <w:rPr>
          <w:rFonts w:ascii="Arial" w:hAnsi="Arial" w:cs="Arial"/>
          <w:sz w:val="26"/>
          <w:szCs w:val="26"/>
        </w:rPr>
        <w:t>transcribe</w:t>
      </w:r>
      <w:r w:rsidR="00D81932">
        <w:rPr>
          <w:rFonts w:ascii="Arial" w:hAnsi="Arial" w:cs="Arial"/>
          <w:sz w:val="26"/>
          <w:szCs w:val="26"/>
        </w:rPr>
        <w:t xml:space="preserve"> su contenido).</w:t>
      </w:r>
      <w:r w:rsidR="005C549A">
        <w:rPr>
          <w:rFonts w:ascii="Arial" w:hAnsi="Arial" w:cs="Arial"/>
          <w:sz w:val="26"/>
          <w:szCs w:val="26"/>
        </w:rPr>
        <w:t xml:space="preserve"> - - - - - - - - - - - - - - - - - - - - - - - - - - - - - - - - - - - - - - - - - - - -</w:t>
      </w:r>
    </w:p>
    <w:p w14:paraId="4782DDAA" w14:textId="5D0580B0" w:rsidR="00627D62" w:rsidRDefault="00D81932" w:rsidP="00627D62">
      <w:pPr>
        <w:spacing w:before="240" w:line="360" w:lineRule="auto"/>
        <w:ind w:firstLine="708"/>
        <w:jc w:val="both"/>
        <w:rPr>
          <w:rFonts w:ascii="Arial" w:hAnsi="Arial" w:cs="Arial"/>
          <w:sz w:val="26"/>
          <w:szCs w:val="26"/>
        </w:rPr>
      </w:pPr>
      <w:r>
        <w:rPr>
          <w:rFonts w:ascii="Arial" w:hAnsi="Arial" w:cs="Arial"/>
          <w:sz w:val="26"/>
          <w:szCs w:val="26"/>
        </w:rPr>
        <w:t>E</w:t>
      </w:r>
      <w:r w:rsidR="00627D62">
        <w:rPr>
          <w:rFonts w:ascii="Arial" w:hAnsi="Arial" w:cs="Arial"/>
          <w:sz w:val="26"/>
          <w:szCs w:val="26"/>
        </w:rPr>
        <w:t xml:space="preserve">n su </w:t>
      </w:r>
      <w:r w:rsidR="00627D62" w:rsidRPr="00D81932">
        <w:rPr>
          <w:rFonts w:ascii="Arial" w:hAnsi="Arial" w:cs="Arial"/>
          <w:b/>
          <w:sz w:val="26"/>
          <w:szCs w:val="26"/>
        </w:rPr>
        <w:t>segundo agravio</w:t>
      </w:r>
      <w:r w:rsidR="00627D62">
        <w:rPr>
          <w:rFonts w:ascii="Arial" w:hAnsi="Arial" w:cs="Arial"/>
          <w:sz w:val="26"/>
          <w:szCs w:val="26"/>
        </w:rPr>
        <w:t xml:space="preserve"> el inconforme expresa que la Primera Instancia</w:t>
      </w:r>
      <w:r w:rsidR="00D05261">
        <w:rPr>
          <w:rFonts w:ascii="Arial" w:hAnsi="Arial" w:cs="Arial"/>
          <w:sz w:val="26"/>
          <w:szCs w:val="26"/>
        </w:rPr>
        <w:t xml:space="preserve">, hizo nugatorio el acceso a la justicia o tutela judicial efectiva, porque señala que el mandamiento de ejecución y la notificación y su requerimiento de pago y embargo, no son impugnables en el juicio contencioso administrativo, porque el artículo 133, fracción VIII, inciso d), de la Ley de Procedimiento y Justicia Administrativa para el Estado, exige que en caso de que se impugne el procedimiento administrativo de ejecución por no ajustarse a lo dispuesto por la ley, sea necesaria la aprobación del remate de los bienes embargados, pues éste constituye el último acto dentro del procedimiento de ejecución y es hasta entonces cuando le cause una afectación real y de imposible reparación en su esfera jurídica, pues si bien es cierto, el embargo constituye un acto de molestia en el patrimonio del promovente, </w:t>
      </w:r>
      <w:r w:rsidR="001F012E">
        <w:rPr>
          <w:rFonts w:ascii="Arial" w:hAnsi="Arial" w:cs="Arial"/>
          <w:sz w:val="26"/>
          <w:szCs w:val="26"/>
        </w:rPr>
        <w:t xml:space="preserve">como también es verdad que no es un acto definitivo para efectos del juicio de nulidad. </w:t>
      </w:r>
      <w:r w:rsidR="00795EF7">
        <w:rPr>
          <w:rFonts w:ascii="Arial" w:hAnsi="Arial" w:cs="Arial"/>
          <w:sz w:val="26"/>
          <w:szCs w:val="26"/>
        </w:rPr>
        <w:t xml:space="preserve">- - - - - - - - - - </w:t>
      </w:r>
    </w:p>
    <w:p w14:paraId="2A925588" w14:textId="19636CAB" w:rsidR="00C47216" w:rsidRDefault="00E20CD0" w:rsidP="00627D62">
      <w:pPr>
        <w:spacing w:before="240" w:line="360" w:lineRule="auto"/>
        <w:ind w:firstLine="708"/>
        <w:jc w:val="both"/>
        <w:rPr>
          <w:rFonts w:ascii="Arial" w:hAnsi="Arial" w:cs="Arial"/>
          <w:sz w:val="26"/>
          <w:szCs w:val="26"/>
        </w:rPr>
      </w:pPr>
      <w:r>
        <w:rPr>
          <w:rFonts w:ascii="Arial" w:hAnsi="Arial" w:cs="Arial"/>
          <w:sz w:val="26"/>
          <w:szCs w:val="26"/>
        </w:rPr>
        <w:lastRenderedPageBreak/>
        <w:t>Sostiene</w:t>
      </w:r>
      <w:r w:rsidR="009842AF">
        <w:rPr>
          <w:rFonts w:ascii="Arial" w:hAnsi="Arial" w:cs="Arial"/>
          <w:sz w:val="26"/>
          <w:szCs w:val="26"/>
        </w:rPr>
        <w:t xml:space="preserve"> que </w:t>
      </w:r>
      <w:r>
        <w:rPr>
          <w:rFonts w:ascii="Arial" w:hAnsi="Arial" w:cs="Arial"/>
          <w:sz w:val="26"/>
          <w:szCs w:val="26"/>
        </w:rPr>
        <w:t>uno de los requisitos del acto administrativ</w:t>
      </w:r>
      <w:r w:rsidR="00B17C50">
        <w:rPr>
          <w:rFonts w:ascii="Arial" w:hAnsi="Arial" w:cs="Arial"/>
          <w:sz w:val="26"/>
          <w:szCs w:val="26"/>
        </w:rPr>
        <w:t>o a que refiere el artículo 17 f</w:t>
      </w:r>
      <w:r>
        <w:rPr>
          <w:rFonts w:ascii="Arial" w:hAnsi="Arial" w:cs="Arial"/>
          <w:sz w:val="26"/>
          <w:szCs w:val="26"/>
        </w:rPr>
        <w:t xml:space="preserve">racción VIII, de la Ley de Procedimiento y Justicia Administrativa para el Estado de Oaxaca (lo transcribe), los recursos que proceden en contra del mandamiento de ejecución emitido. </w:t>
      </w:r>
      <w:r w:rsidR="0035029F">
        <w:rPr>
          <w:rFonts w:ascii="Arial" w:hAnsi="Arial" w:cs="Arial"/>
          <w:sz w:val="26"/>
          <w:szCs w:val="26"/>
        </w:rPr>
        <w:t>- - - - - - - - -</w:t>
      </w:r>
    </w:p>
    <w:p w14:paraId="355575B0" w14:textId="67681A15" w:rsidR="00E20CD0" w:rsidRDefault="00E20CD0" w:rsidP="00627D62">
      <w:pPr>
        <w:spacing w:before="240" w:line="360" w:lineRule="auto"/>
        <w:ind w:firstLine="708"/>
        <w:jc w:val="both"/>
        <w:rPr>
          <w:rFonts w:ascii="Arial" w:hAnsi="Arial" w:cs="Arial"/>
          <w:sz w:val="26"/>
          <w:szCs w:val="26"/>
        </w:rPr>
      </w:pPr>
      <w:r>
        <w:rPr>
          <w:rFonts w:ascii="Arial" w:hAnsi="Arial" w:cs="Arial"/>
          <w:sz w:val="26"/>
          <w:szCs w:val="26"/>
        </w:rPr>
        <w:t>Alega que</w:t>
      </w:r>
      <w:r w:rsidR="00A065C0">
        <w:rPr>
          <w:rFonts w:ascii="Arial" w:hAnsi="Arial" w:cs="Arial"/>
          <w:sz w:val="26"/>
          <w:szCs w:val="26"/>
        </w:rPr>
        <w:t xml:space="preserve"> el</w:t>
      </w:r>
      <w:r>
        <w:rPr>
          <w:rFonts w:ascii="Arial" w:hAnsi="Arial" w:cs="Arial"/>
          <w:sz w:val="26"/>
          <w:szCs w:val="26"/>
        </w:rPr>
        <w:t xml:space="preserve"> acuerdo</w:t>
      </w:r>
      <w:r w:rsidR="00A065C0">
        <w:rPr>
          <w:rFonts w:ascii="Arial" w:hAnsi="Arial" w:cs="Arial"/>
          <w:sz w:val="26"/>
          <w:szCs w:val="26"/>
        </w:rPr>
        <w:t xml:space="preserve"> impugnado</w:t>
      </w:r>
      <w:r>
        <w:rPr>
          <w:rFonts w:ascii="Arial" w:hAnsi="Arial" w:cs="Arial"/>
          <w:sz w:val="26"/>
          <w:szCs w:val="26"/>
        </w:rPr>
        <w:t xml:space="preserve"> vulnera el derecho a una tutela jurisdiccional efectiva, exige que quienes tengan necesidad de que se les administre justicia, la reciban por órganos jurisdiccionales permanentes, creados con antelación al conflicto, sin más condición que las formalidades necesarias, razonables y proporcionales al caso para lograr su trámite y resolución, lo que constriñe a los órganos legislativos a no obstaculizar ese derecho, pero igualmente les faculta para establecer requisitos y formalidades esenciales para el desarrollo de todo proceso, los cuales deberán ser interpretados de la manera más favorable a los justiciables, atendiendo a su teleología, y aplicando, ante la duda, el principio </w:t>
      </w:r>
      <w:r w:rsidRPr="00A065C0">
        <w:rPr>
          <w:rFonts w:ascii="Arial" w:hAnsi="Arial" w:cs="Arial"/>
          <w:i/>
          <w:sz w:val="26"/>
          <w:szCs w:val="26"/>
        </w:rPr>
        <w:t xml:space="preserve">pro </w:t>
      </w:r>
      <w:proofErr w:type="spellStart"/>
      <w:r w:rsidRPr="00A065C0">
        <w:rPr>
          <w:rFonts w:ascii="Arial" w:hAnsi="Arial" w:cs="Arial"/>
          <w:i/>
          <w:sz w:val="26"/>
          <w:szCs w:val="26"/>
        </w:rPr>
        <w:t>actione</w:t>
      </w:r>
      <w:proofErr w:type="spellEnd"/>
      <w:r>
        <w:rPr>
          <w:rFonts w:ascii="Arial" w:hAnsi="Arial" w:cs="Arial"/>
          <w:sz w:val="26"/>
          <w:szCs w:val="26"/>
        </w:rPr>
        <w:t xml:space="preserve"> que da preferencia al estudio de fondo de una acción, lo que en esencia </w:t>
      </w:r>
      <w:r w:rsidR="001F1C43">
        <w:rPr>
          <w:rFonts w:ascii="Arial" w:hAnsi="Arial" w:cs="Arial"/>
          <w:sz w:val="26"/>
          <w:szCs w:val="26"/>
        </w:rPr>
        <w:t>no ocurrió, pues señala que la Cuarta Sala Unitaria al desechar la demanda, el auto recurrido convalida el mandamiento de ejecución impugnado, de manera que causara perjuicios de imposible reparación al pretender embargar bienes, la no disposición de los mismos, gastaos para su recuperación y desde luego ocasionara afectaciones a su salud por el estrés y preocupación, afectando su tranquilidad, por lo que, es dable sea combatido a través del juicio, si la misma norma lo permite esto es cuando se haya interpuesto el recurso ordinario y como ya se vio dichos recursos son optativos conforme al artículo 98, de la Ley de Procedimiento y Justicia Administrativa para el Estado de Oaxaca, es por ello expresa que resulta restrictiva la interpretación realizada por la Cuarta Sala, que se traduce en una justicia incompleta al omitir dicho acuerdo pasando por alto los principios de buena fe e informalidad.</w:t>
      </w:r>
      <w:r w:rsidR="00A45132">
        <w:rPr>
          <w:rFonts w:ascii="Arial" w:hAnsi="Arial" w:cs="Arial"/>
          <w:sz w:val="26"/>
          <w:szCs w:val="26"/>
        </w:rPr>
        <w:t xml:space="preserve"> - - - - - - - - - - - - - - - - - - - - - - - - -</w:t>
      </w:r>
    </w:p>
    <w:p w14:paraId="0FCBBFDF" w14:textId="3E0DBE47" w:rsidR="00372D4A" w:rsidRPr="00372D4A" w:rsidRDefault="00372D4A" w:rsidP="00372D4A">
      <w:pPr>
        <w:spacing w:line="360" w:lineRule="auto"/>
        <w:ind w:firstLine="708"/>
        <w:jc w:val="both"/>
        <w:rPr>
          <w:rFonts w:ascii="Arial" w:eastAsia="Calibri" w:hAnsi="Arial" w:cs="Arial"/>
          <w:sz w:val="26"/>
          <w:szCs w:val="26"/>
          <w:lang w:eastAsia="es-ES"/>
        </w:rPr>
      </w:pPr>
      <w:r w:rsidRPr="00372D4A">
        <w:rPr>
          <w:rFonts w:ascii="Arial" w:eastAsia="Calibri" w:hAnsi="Arial" w:cs="Arial"/>
          <w:sz w:val="26"/>
          <w:szCs w:val="26"/>
          <w:lang w:eastAsia="es-ES"/>
        </w:rPr>
        <w:t xml:space="preserve">Esta Sala Superior estima que son </w:t>
      </w:r>
      <w:r w:rsidRPr="00372D4A">
        <w:rPr>
          <w:rFonts w:ascii="Arial" w:eastAsia="Calibri" w:hAnsi="Arial" w:cs="Arial"/>
          <w:b/>
          <w:sz w:val="26"/>
          <w:szCs w:val="26"/>
          <w:lang w:eastAsia="es-ES"/>
        </w:rPr>
        <w:t>sustancialmente</w:t>
      </w:r>
      <w:r w:rsidRPr="00372D4A">
        <w:rPr>
          <w:rFonts w:ascii="Arial" w:eastAsia="Calibri" w:hAnsi="Arial" w:cs="Arial"/>
          <w:sz w:val="26"/>
          <w:szCs w:val="26"/>
          <w:lang w:eastAsia="es-ES"/>
        </w:rPr>
        <w:t xml:space="preserve"> </w:t>
      </w:r>
      <w:r w:rsidRPr="00372D4A">
        <w:rPr>
          <w:rFonts w:ascii="Arial" w:eastAsia="Calibri" w:hAnsi="Arial" w:cs="Arial"/>
          <w:b/>
          <w:sz w:val="26"/>
          <w:szCs w:val="26"/>
          <w:lang w:eastAsia="es-ES"/>
        </w:rPr>
        <w:t>fundados</w:t>
      </w:r>
      <w:r w:rsidRPr="00372D4A">
        <w:rPr>
          <w:rFonts w:ascii="Arial" w:eastAsia="Calibri" w:hAnsi="Arial" w:cs="Arial"/>
          <w:sz w:val="26"/>
          <w:szCs w:val="26"/>
          <w:lang w:eastAsia="es-ES"/>
        </w:rPr>
        <w:t xml:space="preserve"> los agravios del recurrente.</w:t>
      </w:r>
      <w:r w:rsidR="00673B84">
        <w:rPr>
          <w:rFonts w:ascii="Arial" w:eastAsia="Calibri" w:hAnsi="Arial" w:cs="Arial"/>
          <w:sz w:val="26"/>
          <w:szCs w:val="26"/>
          <w:lang w:eastAsia="es-ES"/>
        </w:rPr>
        <w:t xml:space="preserve"> - - - - - - - - - - - - - - - - - - - - - - - - - - - - - - - - </w:t>
      </w:r>
    </w:p>
    <w:p w14:paraId="168C798C" w14:textId="3FBFB8FC" w:rsidR="00372D4A" w:rsidRPr="00372D4A" w:rsidRDefault="00372D4A" w:rsidP="00372D4A">
      <w:pPr>
        <w:spacing w:line="360" w:lineRule="auto"/>
        <w:ind w:firstLine="708"/>
        <w:jc w:val="both"/>
        <w:rPr>
          <w:rFonts w:ascii="Arial" w:eastAsia="Calibri" w:hAnsi="Arial" w:cs="Arial"/>
          <w:bCs/>
          <w:sz w:val="26"/>
          <w:szCs w:val="26"/>
          <w:lang w:eastAsia="es-ES"/>
        </w:rPr>
      </w:pPr>
      <w:r w:rsidRPr="00372D4A">
        <w:rPr>
          <w:rFonts w:ascii="Arial" w:eastAsia="Calibri" w:hAnsi="Arial" w:cs="Arial"/>
          <w:bCs/>
          <w:sz w:val="26"/>
          <w:szCs w:val="26"/>
          <w:lang w:eastAsia="es-ES"/>
        </w:rPr>
        <w:t>En principio es necesario indicar, que de las constancias procesales que integran el expediente de primera instancia, las que tienen pleno valor probatorio por tratarse de actuaciones judiciales, conforme a lo dispuesto por el artículo 203 fracción I</w:t>
      </w:r>
      <w:r w:rsidRPr="00372D4A">
        <w:rPr>
          <w:rFonts w:ascii="Arial" w:eastAsia="Calibri" w:hAnsi="Arial" w:cs="Arial"/>
          <w:bCs/>
          <w:sz w:val="26"/>
          <w:szCs w:val="26"/>
          <w:vertAlign w:val="superscript"/>
          <w:lang w:eastAsia="es-ES"/>
        </w:rPr>
        <w:footnoteReference w:id="1"/>
      </w:r>
      <w:r w:rsidRPr="00372D4A">
        <w:rPr>
          <w:rFonts w:ascii="Arial" w:eastAsia="Calibri" w:hAnsi="Arial" w:cs="Arial"/>
          <w:bCs/>
          <w:sz w:val="26"/>
          <w:szCs w:val="26"/>
          <w:lang w:eastAsia="es-ES"/>
        </w:rPr>
        <w:t xml:space="preserve"> de la Ley de </w:t>
      </w:r>
      <w:r w:rsidRPr="00372D4A">
        <w:rPr>
          <w:rFonts w:ascii="Arial" w:eastAsia="Calibri" w:hAnsi="Arial" w:cs="Arial"/>
          <w:bCs/>
          <w:sz w:val="26"/>
          <w:szCs w:val="26"/>
          <w:lang w:eastAsia="es-ES"/>
        </w:rPr>
        <w:lastRenderedPageBreak/>
        <w:t>Procedimiento y Justicia Administrativa para el Estado de Oaxaca, se observa que, en la demanda</w:t>
      </w:r>
      <w:r w:rsidRPr="00372D4A">
        <w:rPr>
          <w:rFonts w:ascii="Arial" w:eastAsia="Calibri" w:hAnsi="Arial" w:cs="Arial"/>
          <w:bCs/>
          <w:sz w:val="26"/>
          <w:szCs w:val="26"/>
          <w:vertAlign w:val="superscript"/>
          <w:lang w:eastAsia="es-ES"/>
        </w:rPr>
        <w:footnoteReference w:id="2"/>
      </w:r>
      <w:r w:rsidRPr="00372D4A">
        <w:rPr>
          <w:rFonts w:ascii="Arial" w:eastAsia="Calibri" w:hAnsi="Arial" w:cs="Arial"/>
          <w:bCs/>
          <w:sz w:val="26"/>
          <w:szCs w:val="26"/>
          <w:lang w:eastAsia="es-ES"/>
        </w:rPr>
        <w:t xml:space="preserve"> de nulidad, el actor impugnó los actos consistentes en el mandamiento de ejecución número </w:t>
      </w:r>
      <w:bookmarkStart w:id="0" w:name="_Hlk109422150"/>
      <w:r w:rsidR="00BF2920">
        <w:rPr>
          <w:rFonts w:ascii="Arial" w:eastAsia="Calibri" w:hAnsi="Arial" w:cs="Arial"/>
          <w:b/>
          <w:sz w:val="26"/>
          <w:szCs w:val="26"/>
          <w:lang w:eastAsia="es-ES"/>
        </w:rPr>
        <w:t>*******</w:t>
      </w:r>
      <w:r w:rsidRPr="00372D4A">
        <w:rPr>
          <w:rFonts w:ascii="Arial" w:eastAsia="Calibri" w:hAnsi="Arial" w:cs="Arial"/>
          <w:bCs/>
          <w:sz w:val="26"/>
          <w:szCs w:val="26"/>
          <w:lang w:eastAsia="es-ES"/>
        </w:rPr>
        <w:t xml:space="preserve"> de </w:t>
      </w:r>
      <w:r>
        <w:rPr>
          <w:rFonts w:ascii="Arial" w:eastAsia="Calibri" w:hAnsi="Arial" w:cs="Arial"/>
          <w:bCs/>
          <w:sz w:val="26"/>
          <w:szCs w:val="26"/>
          <w:lang w:eastAsia="es-ES"/>
        </w:rPr>
        <w:t xml:space="preserve">trece </w:t>
      </w:r>
      <w:r w:rsidRPr="00372D4A">
        <w:rPr>
          <w:rFonts w:ascii="Arial" w:eastAsia="Calibri" w:hAnsi="Arial" w:cs="Arial"/>
          <w:bCs/>
          <w:sz w:val="26"/>
          <w:szCs w:val="26"/>
          <w:lang w:eastAsia="es-ES"/>
        </w:rPr>
        <w:t xml:space="preserve">de </w:t>
      </w:r>
      <w:r>
        <w:rPr>
          <w:rFonts w:ascii="Arial" w:eastAsia="Calibri" w:hAnsi="Arial" w:cs="Arial"/>
          <w:bCs/>
          <w:sz w:val="26"/>
          <w:szCs w:val="26"/>
          <w:lang w:eastAsia="es-ES"/>
        </w:rPr>
        <w:t>junio</w:t>
      </w:r>
      <w:r w:rsidRPr="00372D4A">
        <w:rPr>
          <w:rFonts w:ascii="Arial" w:eastAsia="Calibri" w:hAnsi="Arial" w:cs="Arial"/>
          <w:bCs/>
          <w:sz w:val="26"/>
          <w:szCs w:val="26"/>
          <w:lang w:eastAsia="es-ES"/>
        </w:rPr>
        <w:t xml:space="preserve"> de dos mil veinti</w:t>
      </w:r>
      <w:bookmarkEnd w:id="0"/>
      <w:r>
        <w:rPr>
          <w:rFonts w:ascii="Arial" w:eastAsia="Calibri" w:hAnsi="Arial" w:cs="Arial"/>
          <w:bCs/>
          <w:sz w:val="26"/>
          <w:szCs w:val="26"/>
          <w:lang w:eastAsia="es-ES"/>
        </w:rPr>
        <w:t>dós</w:t>
      </w:r>
      <w:r w:rsidRPr="00372D4A">
        <w:rPr>
          <w:rFonts w:ascii="Arial" w:eastAsia="Calibri" w:hAnsi="Arial" w:cs="Arial"/>
          <w:bCs/>
          <w:sz w:val="26"/>
          <w:szCs w:val="26"/>
          <w:lang w:eastAsia="es-ES"/>
        </w:rPr>
        <w:t xml:space="preserve">, que contiene el crédito número </w:t>
      </w:r>
      <w:r w:rsidR="00BF2920">
        <w:rPr>
          <w:rFonts w:ascii="Arial" w:eastAsia="Calibri" w:hAnsi="Arial" w:cs="Arial"/>
          <w:b/>
          <w:sz w:val="26"/>
          <w:szCs w:val="26"/>
          <w:lang w:eastAsia="es-ES"/>
        </w:rPr>
        <w:t>*******</w:t>
      </w:r>
      <w:r w:rsidRPr="00372D4A">
        <w:rPr>
          <w:rFonts w:ascii="Arial" w:eastAsia="Calibri" w:hAnsi="Arial" w:cs="Arial"/>
          <w:b/>
          <w:sz w:val="26"/>
          <w:szCs w:val="26"/>
          <w:lang w:eastAsia="es-ES"/>
        </w:rPr>
        <w:t>,</w:t>
      </w:r>
      <w:r w:rsidRPr="00372D4A">
        <w:rPr>
          <w:rFonts w:ascii="Arial" w:eastAsia="Calibri" w:hAnsi="Arial" w:cs="Arial"/>
          <w:bCs/>
          <w:sz w:val="26"/>
          <w:szCs w:val="26"/>
          <w:lang w:eastAsia="es-ES"/>
        </w:rPr>
        <w:t xml:space="preserve"> derivado de la resolución determinante </w:t>
      </w:r>
      <w:r w:rsidR="00BF2920">
        <w:rPr>
          <w:rFonts w:ascii="Arial" w:eastAsia="Calibri" w:hAnsi="Arial" w:cs="Arial"/>
          <w:b/>
          <w:sz w:val="26"/>
          <w:szCs w:val="26"/>
          <w:lang w:eastAsia="es-ES"/>
        </w:rPr>
        <w:t>*******</w:t>
      </w:r>
      <w:r w:rsidRPr="00372D4A">
        <w:rPr>
          <w:rFonts w:ascii="Arial" w:eastAsia="Calibri" w:hAnsi="Arial" w:cs="Arial"/>
          <w:b/>
          <w:sz w:val="26"/>
          <w:szCs w:val="26"/>
          <w:lang w:eastAsia="es-ES"/>
        </w:rPr>
        <w:t>,</w:t>
      </w:r>
      <w:r>
        <w:rPr>
          <w:rFonts w:ascii="Arial" w:eastAsia="Calibri" w:hAnsi="Arial" w:cs="Arial"/>
          <w:bCs/>
          <w:sz w:val="26"/>
          <w:szCs w:val="26"/>
          <w:lang w:eastAsia="es-ES"/>
        </w:rPr>
        <w:t xml:space="preserve"> de dieciocho de mayo de dos mil veintiuno</w:t>
      </w:r>
      <w:r w:rsidRPr="00372D4A">
        <w:rPr>
          <w:rFonts w:ascii="Arial" w:eastAsia="Calibri" w:hAnsi="Arial" w:cs="Arial"/>
          <w:bCs/>
          <w:sz w:val="26"/>
          <w:szCs w:val="26"/>
          <w:lang w:eastAsia="es-ES"/>
        </w:rPr>
        <w:t xml:space="preserve">. </w:t>
      </w:r>
    </w:p>
    <w:p w14:paraId="261FB7CB" w14:textId="25574E66" w:rsidR="00372D4A" w:rsidRPr="00372D4A" w:rsidRDefault="00372D4A" w:rsidP="00372D4A">
      <w:pPr>
        <w:spacing w:line="360" w:lineRule="auto"/>
        <w:ind w:firstLine="708"/>
        <w:jc w:val="both"/>
        <w:rPr>
          <w:rFonts w:ascii="Arial" w:eastAsia="Calibri" w:hAnsi="Arial" w:cs="Arial"/>
          <w:bCs/>
          <w:sz w:val="26"/>
          <w:szCs w:val="26"/>
          <w:lang w:eastAsia="es-ES"/>
        </w:rPr>
      </w:pPr>
      <w:r w:rsidRPr="00372D4A">
        <w:rPr>
          <w:rFonts w:ascii="Arial" w:eastAsia="Calibri" w:hAnsi="Arial" w:cs="Arial"/>
          <w:bCs/>
          <w:sz w:val="26"/>
          <w:szCs w:val="26"/>
          <w:lang w:eastAsia="es-ES"/>
        </w:rPr>
        <w:t>En ese orden de ideas, del análisis efectuado a las constancias del mandamiento de ejecución</w:t>
      </w:r>
      <w:r>
        <w:rPr>
          <w:rFonts w:ascii="Arial" w:eastAsia="Calibri" w:hAnsi="Arial" w:cs="Arial"/>
          <w:b/>
          <w:sz w:val="26"/>
          <w:szCs w:val="26"/>
          <w:lang w:eastAsia="es-ES"/>
        </w:rPr>
        <w:t xml:space="preserve"> </w:t>
      </w:r>
      <w:r w:rsidR="00BF2920">
        <w:rPr>
          <w:rFonts w:ascii="Arial" w:eastAsia="Calibri" w:hAnsi="Arial" w:cs="Arial"/>
          <w:b/>
          <w:sz w:val="26"/>
          <w:szCs w:val="26"/>
          <w:lang w:eastAsia="es-ES"/>
        </w:rPr>
        <w:t>*******</w:t>
      </w:r>
      <w:r w:rsidRPr="00372D4A">
        <w:rPr>
          <w:rFonts w:ascii="Arial" w:eastAsia="Calibri" w:hAnsi="Arial" w:cs="Arial"/>
          <w:b/>
          <w:sz w:val="26"/>
          <w:szCs w:val="26"/>
          <w:vertAlign w:val="superscript"/>
          <w:lang w:eastAsia="es-ES"/>
        </w:rPr>
        <w:footnoteReference w:id="3"/>
      </w:r>
      <w:r w:rsidRPr="00372D4A">
        <w:rPr>
          <w:rFonts w:ascii="Arial" w:eastAsia="Calibri" w:hAnsi="Arial" w:cs="Arial"/>
          <w:b/>
          <w:sz w:val="26"/>
          <w:szCs w:val="26"/>
          <w:lang w:eastAsia="es-ES"/>
        </w:rPr>
        <w:t>,</w:t>
      </w:r>
      <w:r w:rsidRPr="00372D4A">
        <w:rPr>
          <w:rFonts w:ascii="Arial" w:eastAsia="Calibri" w:hAnsi="Arial" w:cs="Arial"/>
          <w:bCs/>
          <w:sz w:val="26"/>
          <w:szCs w:val="26"/>
          <w:lang w:eastAsia="es-ES"/>
        </w:rPr>
        <w:t xml:space="preserve"> se observa lo siguiente:</w:t>
      </w:r>
      <w:r w:rsidR="00320384">
        <w:rPr>
          <w:rFonts w:ascii="Arial" w:eastAsia="Calibri" w:hAnsi="Arial" w:cs="Arial"/>
          <w:bCs/>
          <w:sz w:val="26"/>
          <w:szCs w:val="26"/>
          <w:lang w:eastAsia="es-ES"/>
        </w:rPr>
        <w:t xml:space="preserve"> - - - - - - </w:t>
      </w:r>
    </w:p>
    <w:p w14:paraId="29DAA89C" w14:textId="216773CD" w:rsidR="00372D4A" w:rsidRPr="00372D4A" w:rsidRDefault="00372D4A" w:rsidP="00372D4A">
      <w:pPr>
        <w:numPr>
          <w:ilvl w:val="0"/>
          <w:numId w:val="13"/>
        </w:numPr>
        <w:spacing w:line="360" w:lineRule="auto"/>
        <w:jc w:val="both"/>
        <w:rPr>
          <w:rFonts w:ascii="Arial" w:eastAsia="Calibri" w:hAnsi="Arial" w:cs="Arial"/>
          <w:bCs/>
          <w:sz w:val="26"/>
          <w:szCs w:val="26"/>
          <w:lang w:eastAsia="es-ES"/>
        </w:rPr>
      </w:pPr>
      <w:r w:rsidRPr="00372D4A">
        <w:rPr>
          <w:rFonts w:ascii="Arial" w:eastAsia="Calibri" w:hAnsi="Arial" w:cs="Arial"/>
          <w:bCs/>
          <w:sz w:val="26"/>
          <w:szCs w:val="26"/>
          <w:lang w:eastAsia="es-ES"/>
        </w:rPr>
        <w:t xml:space="preserve">Que la resolución determinante del crédito número </w:t>
      </w:r>
      <w:r w:rsidR="00BF2920">
        <w:rPr>
          <w:rFonts w:ascii="Arial" w:eastAsia="Calibri" w:hAnsi="Arial" w:cs="Arial"/>
          <w:b/>
          <w:sz w:val="26"/>
          <w:szCs w:val="26"/>
          <w:lang w:eastAsia="es-ES"/>
        </w:rPr>
        <w:t>*******</w:t>
      </w:r>
      <w:r w:rsidRPr="00372D4A">
        <w:rPr>
          <w:rFonts w:ascii="Arial" w:eastAsia="Calibri" w:hAnsi="Arial" w:cs="Arial"/>
          <w:bCs/>
          <w:sz w:val="26"/>
          <w:szCs w:val="26"/>
          <w:lang w:eastAsia="es-ES"/>
        </w:rPr>
        <w:t xml:space="preserve"> fue la identificada con el número</w:t>
      </w:r>
      <w:r>
        <w:rPr>
          <w:rFonts w:ascii="Arial" w:eastAsia="Calibri" w:hAnsi="Arial" w:cs="Arial"/>
          <w:bCs/>
          <w:sz w:val="26"/>
          <w:szCs w:val="26"/>
          <w:lang w:eastAsia="es-ES"/>
        </w:rPr>
        <w:t xml:space="preserve"> </w:t>
      </w:r>
      <w:r w:rsidR="00BF2920">
        <w:rPr>
          <w:rFonts w:ascii="Arial" w:eastAsia="Calibri" w:hAnsi="Arial" w:cs="Arial"/>
          <w:b/>
          <w:sz w:val="26"/>
          <w:szCs w:val="26"/>
          <w:lang w:eastAsia="es-ES"/>
        </w:rPr>
        <w:t>*******</w:t>
      </w:r>
      <w:r>
        <w:rPr>
          <w:rFonts w:ascii="Arial" w:eastAsia="Calibri" w:hAnsi="Arial" w:cs="Arial"/>
          <w:b/>
          <w:sz w:val="26"/>
          <w:szCs w:val="26"/>
          <w:lang w:eastAsia="es-ES"/>
        </w:rPr>
        <w:t>,</w:t>
      </w:r>
      <w:r w:rsidRPr="00372D4A">
        <w:rPr>
          <w:rFonts w:ascii="Arial" w:eastAsia="Calibri" w:hAnsi="Arial" w:cs="Arial"/>
          <w:bCs/>
          <w:sz w:val="26"/>
          <w:szCs w:val="26"/>
          <w:lang w:eastAsia="es-ES"/>
        </w:rPr>
        <w:t xml:space="preserve"> de dieciocho de mayo de dos mil veintiuno</w:t>
      </w:r>
      <w:r>
        <w:rPr>
          <w:rFonts w:ascii="Arial" w:eastAsia="Calibri" w:hAnsi="Arial" w:cs="Arial"/>
          <w:bCs/>
          <w:sz w:val="26"/>
          <w:szCs w:val="26"/>
          <w:lang w:eastAsia="es-ES"/>
        </w:rPr>
        <w:t>.</w:t>
      </w:r>
      <w:r w:rsidR="00320384" w:rsidRPr="00320384">
        <w:rPr>
          <w:rFonts w:ascii="Arial" w:eastAsia="Calibri" w:hAnsi="Arial" w:cs="Arial"/>
          <w:bCs/>
          <w:sz w:val="26"/>
          <w:szCs w:val="26"/>
          <w:lang w:eastAsia="es-ES"/>
        </w:rPr>
        <w:t xml:space="preserve"> </w:t>
      </w:r>
      <w:r w:rsidR="00320384">
        <w:rPr>
          <w:rFonts w:ascii="Arial" w:eastAsia="Calibri" w:hAnsi="Arial" w:cs="Arial"/>
          <w:bCs/>
          <w:sz w:val="26"/>
          <w:szCs w:val="26"/>
          <w:lang w:eastAsia="es-ES"/>
        </w:rPr>
        <w:t xml:space="preserve">- - - - - - - - - - - - - - - - - - - - - - - - - - - - - - - - - </w:t>
      </w:r>
    </w:p>
    <w:p w14:paraId="4483358C" w14:textId="25AF9317" w:rsidR="00372D4A" w:rsidRPr="00372D4A" w:rsidRDefault="00372D4A" w:rsidP="00372D4A">
      <w:pPr>
        <w:numPr>
          <w:ilvl w:val="0"/>
          <w:numId w:val="13"/>
        </w:numPr>
        <w:spacing w:line="360" w:lineRule="auto"/>
        <w:jc w:val="both"/>
        <w:rPr>
          <w:rFonts w:ascii="Arial" w:eastAsia="Calibri" w:hAnsi="Arial" w:cs="Arial"/>
          <w:bCs/>
          <w:sz w:val="26"/>
          <w:szCs w:val="26"/>
          <w:lang w:eastAsia="es-ES"/>
        </w:rPr>
      </w:pPr>
      <w:r w:rsidRPr="00372D4A">
        <w:rPr>
          <w:rFonts w:ascii="Arial" w:eastAsia="Calibri" w:hAnsi="Arial" w:cs="Arial"/>
          <w:bCs/>
          <w:sz w:val="26"/>
          <w:szCs w:val="26"/>
          <w:lang w:eastAsia="es-ES"/>
        </w:rPr>
        <w:t xml:space="preserve">Que el concepto de pago requerido, es </w:t>
      </w:r>
      <w:bookmarkStart w:id="1" w:name="_Hlk109422400"/>
      <w:r w:rsidRPr="00372D4A">
        <w:rPr>
          <w:rFonts w:ascii="Arial" w:eastAsia="Calibri" w:hAnsi="Arial" w:cs="Arial"/>
          <w:bCs/>
          <w:sz w:val="26"/>
          <w:szCs w:val="26"/>
          <w:lang w:eastAsia="es-ES"/>
        </w:rPr>
        <w:t xml:space="preserve">“ el resarcimiento </w:t>
      </w:r>
      <w:r>
        <w:rPr>
          <w:rFonts w:ascii="Arial" w:eastAsia="Calibri" w:hAnsi="Arial" w:cs="Arial"/>
          <w:bCs/>
          <w:sz w:val="26"/>
          <w:szCs w:val="26"/>
          <w:lang w:eastAsia="es-ES"/>
        </w:rPr>
        <w:t xml:space="preserve">por los </w:t>
      </w:r>
      <w:r w:rsidRPr="00372D4A">
        <w:rPr>
          <w:rFonts w:ascii="Arial" w:eastAsia="Calibri" w:hAnsi="Arial" w:cs="Arial"/>
          <w:bCs/>
          <w:sz w:val="26"/>
          <w:szCs w:val="26"/>
          <w:lang w:eastAsia="es-ES"/>
        </w:rPr>
        <w:t>daños causados a la hacienda pública municipal de</w:t>
      </w:r>
      <w:r>
        <w:rPr>
          <w:rFonts w:ascii="Arial" w:eastAsia="Calibri" w:hAnsi="Arial" w:cs="Arial"/>
          <w:bCs/>
          <w:sz w:val="26"/>
          <w:szCs w:val="26"/>
          <w:lang w:eastAsia="es-ES"/>
        </w:rPr>
        <w:t xml:space="preserve"> </w:t>
      </w:r>
      <w:r w:rsidR="00BF2920">
        <w:rPr>
          <w:rFonts w:ascii="Arial" w:eastAsia="Calibri" w:hAnsi="Arial" w:cs="Arial"/>
          <w:bCs/>
          <w:sz w:val="26"/>
          <w:szCs w:val="26"/>
          <w:lang w:eastAsia="es-ES"/>
        </w:rPr>
        <w:t>*******</w:t>
      </w:r>
      <w:r>
        <w:rPr>
          <w:rFonts w:ascii="Arial" w:eastAsia="Calibri" w:hAnsi="Arial" w:cs="Arial"/>
          <w:bCs/>
          <w:sz w:val="26"/>
          <w:szCs w:val="26"/>
          <w:lang w:eastAsia="es-ES"/>
        </w:rPr>
        <w:t xml:space="preserve">, </w:t>
      </w:r>
      <w:r w:rsidRPr="00372D4A">
        <w:rPr>
          <w:rFonts w:ascii="Arial" w:eastAsia="Calibri" w:hAnsi="Arial" w:cs="Arial"/>
          <w:bCs/>
          <w:sz w:val="26"/>
          <w:szCs w:val="26"/>
          <w:lang w:eastAsia="es-ES"/>
        </w:rPr>
        <w:t xml:space="preserve">durante el </w:t>
      </w:r>
      <w:r>
        <w:rPr>
          <w:rFonts w:ascii="Arial" w:eastAsia="Calibri" w:hAnsi="Arial" w:cs="Arial"/>
          <w:bCs/>
          <w:sz w:val="26"/>
          <w:szCs w:val="26"/>
          <w:lang w:eastAsia="es-ES"/>
        </w:rPr>
        <w:t>periodo de enero a abril del ejercicio fiscal 2016</w:t>
      </w:r>
      <w:r w:rsidRPr="00372D4A">
        <w:rPr>
          <w:rFonts w:ascii="Arial" w:eastAsia="Calibri" w:hAnsi="Arial" w:cs="Arial"/>
          <w:bCs/>
          <w:sz w:val="26"/>
          <w:szCs w:val="26"/>
          <w:lang w:eastAsia="es-ES"/>
        </w:rPr>
        <w:t xml:space="preserve">”, cuando </w:t>
      </w:r>
      <w:r w:rsidR="00BF2920">
        <w:rPr>
          <w:rFonts w:ascii="Arial" w:eastAsia="Calibri" w:hAnsi="Arial" w:cs="Arial"/>
          <w:b/>
          <w:bCs/>
          <w:sz w:val="26"/>
          <w:szCs w:val="26"/>
          <w:lang w:eastAsia="es-ES"/>
        </w:rPr>
        <w:t>*******</w:t>
      </w:r>
      <w:r w:rsidR="00337F4D">
        <w:rPr>
          <w:rFonts w:ascii="Arial" w:eastAsia="Calibri" w:hAnsi="Arial" w:cs="Arial"/>
          <w:bCs/>
          <w:sz w:val="26"/>
          <w:szCs w:val="26"/>
          <w:lang w:eastAsia="es-ES"/>
        </w:rPr>
        <w:t xml:space="preserve"> </w:t>
      </w:r>
      <w:r w:rsidRPr="00372D4A">
        <w:rPr>
          <w:rFonts w:ascii="Arial" w:eastAsia="Calibri" w:hAnsi="Arial" w:cs="Arial"/>
          <w:bCs/>
          <w:sz w:val="26"/>
          <w:szCs w:val="26"/>
          <w:lang w:eastAsia="es-ES"/>
        </w:rPr>
        <w:t xml:space="preserve">fungió como </w:t>
      </w:r>
      <w:r>
        <w:rPr>
          <w:rFonts w:ascii="Arial" w:eastAsia="Calibri" w:hAnsi="Arial" w:cs="Arial"/>
          <w:bCs/>
          <w:sz w:val="26"/>
          <w:szCs w:val="26"/>
          <w:lang w:eastAsia="es-ES"/>
        </w:rPr>
        <w:t>administrador de ese municipio, en el periodo de enero a abril de dos mil dieciséis.</w:t>
      </w:r>
      <w:r w:rsidR="00320384">
        <w:rPr>
          <w:rFonts w:ascii="Arial" w:eastAsia="Calibri" w:hAnsi="Arial" w:cs="Arial"/>
          <w:bCs/>
          <w:sz w:val="26"/>
          <w:szCs w:val="26"/>
          <w:lang w:eastAsia="es-ES"/>
        </w:rPr>
        <w:t xml:space="preserve">- </w:t>
      </w:r>
      <w:r w:rsidR="00BF2920">
        <w:rPr>
          <w:rFonts w:ascii="Arial" w:eastAsia="Calibri" w:hAnsi="Arial" w:cs="Arial"/>
          <w:bCs/>
          <w:sz w:val="26"/>
          <w:szCs w:val="26"/>
          <w:lang w:eastAsia="es-ES"/>
        </w:rPr>
        <w:t xml:space="preserve">- - - - - - - - - - - </w:t>
      </w:r>
    </w:p>
    <w:bookmarkEnd w:id="1"/>
    <w:p w14:paraId="78AA23A2" w14:textId="5BAA9675" w:rsidR="00372D4A" w:rsidRPr="00372D4A" w:rsidRDefault="00372D4A" w:rsidP="00372D4A">
      <w:pPr>
        <w:numPr>
          <w:ilvl w:val="0"/>
          <w:numId w:val="13"/>
        </w:numPr>
        <w:spacing w:line="360" w:lineRule="auto"/>
        <w:jc w:val="both"/>
        <w:rPr>
          <w:rFonts w:ascii="Arial" w:eastAsia="Calibri" w:hAnsi="Arial" w:cs="Arial"/>
          <w:b/>
          <w:sz w:val="26"/>
          <w:szCs w:val="26"/>
          <w:lang w:eastAsia="es-ES"/>
        </w:rPr>
      </w:pPr>
      <w:r w:rsidRPr="00372D4A">
        <w:rPr>
          <w:rFonts w:ascii="Arial" w:eastAsia="Calibri" w:hAnsi="Arial" w:cs="Arial"/>
          <w:bCs/>
          <w:sz w:val="26"/>
          <w:szCs w:val="26"/>
          <w:lang w:eastAsia="es-ES"/>
        </w:rPr>
        <w:t xml:space="preserve">Que se trata de un requerimiento de pago derivado de un procedimiento de responsabilidad resarcitoria, que no tiene carácter fiscal, por un importe determinado en cantidad de </w:t>
      </w:r>
      <w:bookmarkStart w:id="2" w:name="_Hlk109421515"/>
      <w:r w:rsidR="00BF2920">
        <w:rPr>
          <w:rFonts w:ascii="Arial" w:eastAsia="Calibri" w:hAnsi="Arial" w:cs="Arial"/>
          <w:b/>
          <w:sz w:val="26"/>
          <w:szCs w:val="26"/>
          <w:lang w:eastAsia="es-ES"/>
        </w:rPr>
        <w:t>*******</w:t>
      </w:r>
      <w:r w:rsidRPr="00372D4A">
        <w:rPr>
          <w:rFonts w:ascii="Arial" w:eastAsia="Calibri" w:hAnsi="Arial" w:cs="Arial"/>
          <w:b/>
          <w:sz w:val="26"/>
          <w:szCs w:val="26"/>
          <w:lang w:eastAsia="es-ES"/>
        </w:rPr>
        <w:t>.</w:t>
      </w:r>
      <w:r w:rsidR="00320384" w:rsidRPr="00320384">
        <w:rPr>
          <w:rFonts w:ascii="Arial" w:eastAsia="Calibri" w:hAnsi="Arial" w:cs="Arial"/>
          <w:bCs/>
          <w:sz w:val="26"/>
          <w:szCs w:val="26"/>
          <w:lang w:eastAsia="es-ES"/>
        </w:rPr>
        <w:t xml:space="preserve"> </w:t>
      </w:r>
      <w:r w:rsidR="00320384">
        <w:rPr>
          <w:rFonts w:ascii="Arial" w:eastAsia="Calibri" w:hAnsi="Arial" w:cs="Arial"/>
          <w:bCs/>
          <w:sz w:val="26"/>
          <w:szCs w:val="26"/>
          <w:lang w:eastAsia="es-ES"/>
        </w:rPr>
        <w:t xml:space="preserve">- - - - - - - - - - - - - - - - - - - - - - - - - - - - </w:t>
      </w:r>
      <w:r w:rsidR="00BF2920">
        <w:rPr>
          <w:rFonts w:ascii="Arial" w:eastAsia="Calibri" w:hAnsi="Arial" w:cs="Arial"/>
          <w:bCs/>
          <w:sz w:val="26"/>
          <w:szCs w:val="26"/>
          <w:lang w:eastAsia="es-ES"/>
        </w:rPr>
        <w:t xml:space="preserve">- - - - - - - - - - - - </w:t>
      </w:r>
    </w:p>
    <w:bookmarkEnd w:id="2"/>
    <w:p w14:paraId="3225EDA5" w14:textId="27EDAF7F" w:rsidR="00372D4A" w:rsidRPr="00372D4A" w:rsidRDefault="00372D4A" w:rsidP="00372D4A">
      <w:pPr>
        <w:spacing w:line="360" w:lineRule="auto"/>
        <w:ind w:firstLine="360"/>
        <w:jc w:val="both"/>
        <w:rPr>
          <w:rFonts w:ascii="Arial" w:eastAsia="Calibri" w:hAnsi="Arial" w:cs="Arial"/>
          <w:bCs/>
          <w:sz w:val="26"/>
          <w:szCs w:val="26"/>
          <w:lang w:eastAsia="es-ES"/>
        </w:rPr>
      </w:pPr>
      <w:r w:rsidRPr="00372D4A">
        <w:rPr>
          <w:rFonts w:ascii="Arial" w:eastAsia="Calibri" w:hAnsi="Arial" w:cs="Arial"/>
          <w:bCs/>
          <w:sz w:val="26"/>
          <w:szCs w:val="26"/>
          <w:lang w:eastAsia="es-ES"/>
        </w:rPr>
        <w:t>Como se ve, el mandamiento de ejecución impugnado se deriva de una multa que no es de naturaleza tributaria, si no que proviene de un procedimiento de fiscalización instaurado en contra del ahora recurrente por</w:t>
      </w:r>
      <w:r w:rsidR="0000608C">
        <w:rPr>
          <w:rFonts w:ascii="Arial" w:eastAsia="Calibri" w:hAnsi="Arial" w:cs="Arial"/>
          <w:bCs/>
          <w:sz w:val="26"/>
          <w:szCs w:val="26"/>
          <w:lang w:eastAsia="es-ES"/>
        </w:rPr>
        <w:t xml:space="preserve"> el</w:t>
      </w:r>
      <w:r w:rsidRPr="00372D4A">
        <w:rPr>
          <w:rFonts w:ascii="Arial" w:eastAsia="Calibri" w:hAnsi="Arial" w:cs="Arial"/>
          <w:bCs/>
          <w:sz w:val="26"/>
          <w:szCs w:val="26"/>
          <w:lang w:eastAsia="es-ES"/>
        </w:rPr>
        <w:t xml:space="preserve"> Órgano Superior de Fiscalización del Estado, aunque dicho </w:t>
      </w:r>
      <w:r w:rsidR="0000608C">
        <w:rPr>
          <w:rFonts w:ascii="Arial" w:eastAsia="Calibri" w:hAnsi="Arial" w:cs="Arial"/>
          <w:bCs/>
          <w:sz w:val="26"/>
          <w:szCs w:val="26"/>
          <w:lang w:eastAsia="es-ES"/>
        </w:rPr>
        <w:t xml:space="preserve">mandamiento </w:t>
      </w:r>
      <w:r w:rsidRPr="00372D4A">
        <w:rPr>
          <w:rFonts w:ascii="Arial" w:eastAsia="Calibri" w:hAnsi="Arial" w:cs="Arial"/>
          <w:bCs/>
          <w:sz w:val="26"/>
          <w:szCs w:val="26"/>
          <w:lang w:eastAsia="es-ES"/>
        </w:rPr>
        <w:t>haya sido emitido por la Coordinadora de Cobro Coactivo de la Secretaría de Finanzas del Estado de Oaxaca y se haya diligenciado conforme al procedimiento administrativo de ejecución establecido en el Código Fiscal para el Estado de Oaxaca vigente.</w:t>
      </w:r>
      <w:r w:rsidR="00CF3895">
        <w:rPr>
          <w:rFonts w:ascii="Arial" w:eastAsia="Calibri" w:hAnsi="Arial" w:cs="Arial"/>
          <w:bCs/>
          <w:sz w:val="26"/>
          <w:szCs w:val="26"/>
          <w:lang w:eastAsia="es-ES"/>
        </w:rPr>
        <w:t xml:space="preserve">- - - - </w:t>
      </w:r>
    </w:p>
    <w:p w14:paraId="741AAD14" w14:textId="3A5AF86F" w:rsidR="00372D4A" w:rsidRPr="00372D4A" w:rsidRDefault="00372D4A" w:rsidP="00372D4A">
      <w:pPr>
        <w:spacing w:line="360" w:lineRule="auto"/>
        <w:ind w:firstLine="708"/>
        <w:jc w:val="both"/>
        <w:rPr>
          <w:rFonts w:ascii="Arial" w:eastAsia="Calibri" w:hAnsi="Arial" w:cs="Arial"/>
          <w:bCs/>
          <w:sz w:val="26"/>
          <w:szCs w:val="26"/>
          <w:lang w:eastAsia="es-ES"/>
        </w:rPr>
      </w:pPr>
      <w:r w:rsidRPr="00372D4A">
        <w:rPr>
          <w:rFonts w:ascii="Arial" w:eastAsia="Calibri" w:hAnsi="Arial" w:cs="Arial"/>
          <w:bCs/>
          <w:sz w:val="26"/>
          <w:szCs w:val="26"/>
          <w:lang w:eastAsia="es-ES"/>
        </w:rPr>
        <w:t xml:space="preserve">Sin embargo, en el acuerdo de </w:t>
      </w:r>
      <w:r w:rsidR="00C35A15">
        <w:rPr>
          <w:rFonts w:ascii="Arial" w:eastAsia="Calibri" w:hAnsi="Arial" w:cs="Arial"/>
          <w:bCs/>
          <w:sz w:val="26"/>
          <w:szCs w:val="26"/>
          <w:lang w:eastAsia="es-ES"/>
        </w:rPr>
        <w:t>nueve de agosto de dos mil veintidós</w:t>
      </w:r>
      <w:r w:rsidRPr="00372D4A">
        <w:rPr>
          <w:rFonts w:ascii="Arial" w:eastAsia="Calibri" w:hAnsi="Arial" w:cs="Arial"/>
          <w:bCs/>
          <w:sz w:val="26"/>
          <w:szCs w:val="26"/>
          <w:lang w:eastAsia="es-ES"/>
        </w:rPr>
        <w:t xml:space="preserve">, la </w:t>
      </w:r>
      <w:r w:rsidR="00C35A15">
        <w:rPr>
          <w:rFonts w:ascii="Arial" w:eastAsia="Calibri" w:hAnsi="Arial" w:cs="Arial"/>
          <w:bCs/>
          <w:sz w:val="26"/>
          <w:szCs w:val="26"/>
          <w:lang w:eastAsia="es-ES"/>
        </w:rPr>
        <w:t xml:space="preserve">Cuarta </w:t>
      </w:r>
      <w:r w:rsidRPr="00372D4A">
        <w:rPr>
          <w:rFonts w:ascii="Arial" w:eastAsia="Calibri" w:hAnsi="Arial" w:cs="Arial"/>
          <w:bCs/>
          <w:sz w:val="26"/>
          <w:szCs w:val="26"/>
          <w:lang w:eastAsia="es-ES"/>
        </w:rPr>
        <w:t xml:space="preserve">Sala Unitaria de Primera Instancia, sin haber realizado el análisis integral de los actos impugnados por </w:t>
      </w:r>
      <w:r w:rsidR="00BF2920">
        <w:rPr>
          <w:rFonts w:ascii="Arial" w:eastAsia="Calibri" w:hAnsi="Arial" w:cs="Arial"/>
          <w:b/>
          <w:bCs/>
          <w:sz w:val="26"/>
          <w:szCs w:val="26"/>
          <w:lang w:eastAsia="es-ES"/>
        </w:rPr>
        <w:t>*******</w:t>
      </w:r>
      <w:r w:rsidR="00337F4D">
        <w:rPr>
          <w:rFonts w:ascii="Arial" w:eastAsia="Calibri" w:hAnsi="Arial" w:cs="Arial"/>
          <w:b/>
          <w:bCs/>
          <w:sz w:val="26"/>
          <w:szCs w:val="26"/>
          <w:lang w:eastAsia="es-ES"/>
        </w:rPr>
        <w:t xml:space="preserve">, </w:t>
      </w:r>
      <w:r w:rsidRPr="00372D4A">
        <w:rPr>
          <w:rFonts w:ascii="Arial" w:eastAsia="Calibri" w:hAnsi="Arial" w:cs="Arial"/>
          <w:bCs/>
          <w:sz w:val="26"/>
          <w:szCs w:val="26"/>
          <w:lang w:eastAsia="es-ES"/>
        </w:rPr>
        <w:lastRenderedPageBreak/>
        <w:t>determinó desechar por improcedente la demanda promovida en contra del mandamiento de ejecución</w:t>
      </w:r>
      <w:r w:rsidR="0000608C" w:rsidRPr="00026CC5">
        <w:rPr>
          <w:rFonts w:ascii="Arial" w:eastAsia="Calibri" w:hAnsi="Arial" w:cs="Arial"/>
          <w:sz w:val="26"/>
          <w:szCs w:val="26"/>
          <w:lang w:eastAsia="es-ES"/>
        </w:rPr>
        <w:t>,</w:t>
      </w:r>
      <w:r w:rsidR="0000608C">
        <w:rPr>
          <w:rFonts w:ascii="Arial" w:eastAsia="Calibri" w:hAnsi="Arial" w:cs="Arial"/>
          <w:b/>
          <w:sz w:val="26"/>
          <w:szCs w:val="26"/>
          <w:lang w:eastAsia="es-ES"/>
        </w:rPr>
        <w:t xml:space="preserve"> </w:t>
      </w:r>
      <w:r w:rsidRPr="00372D4A">
        <w:rPr>
          <w:rFonts w:ascii="Arial" w:eastAsia="Calibri" w:hAnsi="Arial" w:cs="Arial"/>
          <w:bCs/>
          <w:sz w:val="26"/>
          <w:szCs w:val="26"/>
          <w:lang w:eastAsia="es-ES"/>
        </w:rPr>
        <w:t xml:space="preserve"> porque estimó que este acto no es impugna</w:t>
      </w:r>
      <w:r w:rsidR="00337F4D">
        <w:rPr>
          <w:rFonts w:ascii="Arial" w:eastAsia="Calibri" w:hAnsi="Arial" w:cs="Arial"/>
          <w:bCs/>
          <w:sz w:val="26"/>
          <w:szCs w:val="26"/>
          <w:lang w:eastAsia="es-ES"/>
        </w:rPr>
        <w:t>ble al carecer de definitividad</w:t>
      </w:r>
      <w:r w:rsidRPr="00372D4A">
        <w:rPr>
          <w:rFonts w:ascii="Arial" w:eastAsia="Calibri" w:hAnsi="Arial" w:cs="Arial"/>
          <w:bCs/>
          <w:sz w:val="26"/>
          <w:szCs w:val="26"/>
          <w:lang w:eastAsia="es-ES"/>
        </w:rPr>
        <w:t xml:space="preserve"> por no encontrarse en la hipótesis del artículo </w:t>
      </w:r>
      <w:r w:rsidR="0000608C">
        <w:rPr>
          <w:rFonts w:ascii="Arial" w:eastAsia="Calibri" w:hAnsi="Arial" w:cs="Arial"/>
          <w:bCs/>
          <w:sz w:val="26"/>
          <w:szCs w:val="26"/>
          <w:lang w:eastAsia="es-ES"/>
        </w:rPr>
        <w:t>133 fracción VIII inciso d)</w:t>
      </w:r>
      <w:r w:rsidRPr="00372D4A">
        <w:rPr>
          <w:rFonts w:ascii="Arial" w:eastAsia="Calibri" w:hAnsi="Arial" w:cs="Arial"/>
          <w:bCs/>
          <w:sz w:val="26"/>
          <w:szCs w:val="26"/>
          <w:lang w:eastAsia="es-ES"/>
        </w:rPr>
        <w:t xml:space="preserve"> de la Ley de Procedimiento y Justicia Administrativa para el Estado de Oaxaca, que establecen:</w:t>
      </w:r>
      <w:r w:rsidR="001741EB" w:rsidRPr="001741EB">
        <w:rPr>
          <w:rFonts w:ascii="Arial" w:eastAsia="Calibri" w:hAnsi="Arial" w:cs="Arial"/>
          <w:bCs/>
          <w:sz w:val="26"/>
          <w:szCs w:val="26"/>
          <w:lang w:eastAsia="es-ES"/>
        </w:rPr>
        <w:t xml:space="preserve"> </w:t>
      </w:r>
      <w:r w:rsidR="001741EB">
        <w:rPr>
          <w:rFonts w:ascii="Arial" w:eastAsia="Calibri" w:hAnsi="Arial" w:cs="Arial"/>
          <w:bCs/>
          <w:sz w:val="26"/>
          <w:szCs w:val="26"/>
          <w:lang w:eastAsia="es-ES"/>
        </w:rPr>
        <w:t xml:space="preserve">- - - - </w:t>
      </w:r>
    </w:p>
    <w:p w14:paraId="3E6EC5D0" w14:textId="77777777" w:rsidR="00372D4A" w:rsidRPr="001741EB" w:rsidRDefault="00372D4A" w:rsidP="001741EB">
      <w:pPr>
        <w:spacing w:after="120"/>
        <w:ind w:left="567" w:right="758"/>
        <w:jc w:val="both"/>
        <w:rPr>
          <w:rFonts w:ascii="Arial" w:eastAsia="Calibri" w:hAnsi="Arial" w:cs="Arial"/>
          <w:bCs/>
          <w:i/>
          <w:sz w:val="24"/>
          <w:szCs w:val="24"/>
          <w:lang w:eastAsia="es-ES"/>
        </w:rPr>
      </w:pPr>
      <w:r w:rsidRPr="001741EB">
        <w:rPr>
          <w:rFonts w:ascii="Arial" w:eastAsia="Calibri" w:hAnsi="Arial" w:cs="Arial"/>
          <w:b/>
          <w:bCs/>
          <w:i/>
          <w:sz w:val="24"/>
          <w:szCs w:val="24"/>
          <w:lang w:eastAsia="es-ES"/>
        </w:rPr>
        <w:t>“ARTÍCULO 133.-</w:t>
      </w:r>
      <w:r w:rsidRPr="001741EB">
        <w:rPr>
          <w:rFonts w:ascii="Arial" w:eastAsia="Calibri" w:hAnsi="Arial" w:cs="Arial"/>
          <w:bCs/>
          <w:i/>
          <w:sz w:val="24"/>
          <w:szCs w:val="24"/>
          <w:lang w:eastAsia="es-ES"/>
        </w:rPr>
        <w:t xml:space="preserve"> Las Salas Unitarias del Tribunal son competentes para conocer y resolver los juicios que se promuevan en contra de: (…)</w:t>
      </w:r>
    </w:p>
    <w:p w14:paraId="3AA7859E" w14:textId="77777777" w:rsidR="00372D4A" w:rsidRPr="001741EB" w:rsidRDefault="00372D4A" w:rsidP="001741EB">
      <w:pPr>
        <w:spacing w:after="120"/>
        <w:ind w:left="567" w:right="758"/>
        <w:jc w:val="both"/>
        <w:rPr>
          <w:rFonts w:ascii="Arial" w:eastAsia="Calibri" w:hAnsi="Arial" w:cs="Arial"/>
          <w:bCs/>
          <w:i/>
          <w:sz w:val="24"/>
          <w:szCs w:val="24"/>
          <w:lang w:eastAsia="es-ES"/>
        </w:rPr>
      </w:pPr>
      <w:r w:rsidRPr="001741EB">
        <w:rPr>
          <w:rFonts w:ascii="Arial" w:eastAsia="Calibri" w:hAnsi="Arial" w:cs="Arial"/>
          <w:b/>
          <w:bCs/>
          <w:i/>
          <w:sz w:val="24"/>
          <w:szCs w:val="24"/>
          <w:lang w:eastAsia="es-ES"/>
        </w:rPr>
        <w:t>VIII.</w:t>
      </w:r>
      <w:r w:rsidRPr="001741EB">
        <w:rPr>
          <w:rFonts w:ascii="Arial" w:eastAsia="Calibri" w:hAnsi="Arial" w:cs="Arial"/>
          <w:bCs/>
          <w:i/>
          <w:sz w:val="24"/>
          <w:szCs w:val="24"/>
          <w:lang w:eastAsia="es-ES"/>
        </w:rPr>
        <w:t xml:space="preserve"> El procedimiento administrativo de ejecución cuando el afectado en dicho procedimiento opte por no interponer el recurso ordinario ante las autoridades competentes y cuando afirme:</w:t>
      </w:r>
    </w:p>
    <w:p w14:paraId="51127631" w14:textId="56B3DA13" w:rsidR="00372D4A" w:rsidRPr="001741EB" w:rsidRDefault="0000608C" w:rsidP="001741EB">
      <w:pPr>
        <w:spacing w:after="120"/>
        <w:ind w:left="567" w:right="758"/>
        <w:jc w:val="both"/>
        <w:rPr>
          <w:rFonts w:ascii="Arial" w:eastAsia="Calibri" w:hAnsi="Arial" w:cs="Arial"/>
          <w:bCs/>
          <w:i/>
          <w:sz w:val="24"/>
          <w:szCs w:val="24"/>
          <w:lang w:eastAsia="es-ES"/>
        </w:rPr>
      </w:pPr>
      <w:r w:rsidRPr="001741EB">
        <w:rPr>
          <w:rFonts w:ascii="Arial" w:eastAsia="Calibri" w:hAnsi="Arial" w:cs="Arial"/>
          <w:b/>
          <w:bCs/>
          <w:i/>
          <w:sz w:val="24"/>
          <w:szCs w:val="24"/>
          <w:lang w:eastAsia="es-ES"/>
        </w:rPr>
        <w:t xml:space="preserve">d) </w:t>
      </w:r>
      <w:r w:rsidRPr="001741EB">
        <w:rPr>
          <w:rFonts w:ascii="Arial" w:eastAsia="Calibri" w:hAnsi="Arial" w:cs="Arial"/>
          <w:bCs/>
          <w:i/>
          <w:sz w:val="24"/>
          <w:szCs w:val="24"/>
          <w:lang w:eastAsia="es-ES"/>
        </w:rPr>
        <w:t xml:space="preserve">Que el procedimiento coactivo no se ajuste a la ley. En este caso, la oposición no se podrá hacer valer, sino contra la resolución que apruebe el remate; salvo que se trate de resoluciones cuya ejecución material sea imposible reparación… </w:t>
      </w:r>
      <w:r w:rsidR="00372D4A" w:rsidRPr="001741EB">
        <w:rPr>
          <w:rFonts w:ascii="Arial" w:eastAsia="Calibri" w:hAnsi="Arial" w:cs="Arial"/>
          <w:bCs/>
          <w:i/>
          <w:sz w:val="24"/>
          <w:szCs w:val="24"/>
          <w:lang w:eastAsia="es-ES"/>
        </w:rPr>
        <w:t>”</w:t>
      </w:r>
    </w:p>
    <w:p w14:paraId="4C4D1722" w14:textId="561CEBB9" w:rsidR="00372D4A" w:rsidRPr="00372D4A" w:rsidRDefault="00372D4A" w:rsidP="00372D4A">
      <w:pPr>
        <w:spacing w:after="120" w:line="360" w:lineRule="auto"/>
        <w:ind w:right="49" w:firstLine="567"/>
        <w:jc w:val="both"/>
        <w:rPr>
          <w:rFonts w:ascii="Arial" w:eastAsia="Calibri" w:hAnsi="Arial" w:cs="Arial"/>
          <w:bCs/>
          <w:sz w:val="26"/>
          <w:szCs w:val="26"/>
          <w:lang w:eastAsia="es-ES"/>
        </w:rPr>
      </w:pPr>
      <w:r w:rsidRPr="00372D4A">
        <w:rPr>
          <w:rFonts w:ascii="Arial" w:eastAsia="Calibri" w:hAnsi="Arial" w:cs="Arial"/>
          <w:bCs/>
          <w:sz w:val="26"/>
          <w:szCs w:val="26"/>
          <w:lang w:eastAsia="es-ES"/>
        </w:rPr>
        <w:t>Los preceptos legales invocados contemplan el supuesto de procedencia del juicio contencioso administrativo en contra de</w:t>
      </w:r>
      <w:r w:rsidR="00337F4D">
        <w:rPr>
          <w:rFonts w:ascii="Arial" w:eastAsia="Calibri" w:hAnsi="Arial" w:cs="Arial"/>
          <w:bCs/>
          <w:sz w:val="26"/>
          <w:szCs w:val="26"/>
          <w:lang w:eastAsia="es-ES"/>
        </w:rPr>
        <w:t xml:space="preserve"> </w:t>
      </w:r>
      <w:r w:rsidRPr="00372D4A">
        <w:rPr>
          <w:rFonts w:ascii="Arial" w:eastAsia="Calibri" w:hAnsi="Arial" w:cs="Arial"/>
          <w:bCs/>
          <w:sz w:val="26"/>
          <w:szCs w:val="26"/>
          <w:lang w:eastAsia="es-ES"/>
        </w:rPr>
        <w:t>l</w:t>
      </w:r>
      <w:r w:rsidR="00337F4D">
        <w:rPr>
          <w:rFonts w:ascii="Arial" w:eastAsia="Calibri" w:hAnsi="Arial" w:cs="Arial"/>
          <w:bCs/>
          <w:sz w:val="26"/>
          <w:szCs w:val="26"/>
          <w:lang w:eastAsia="es-ES"/>
        </w:rPr>
        <w:t>a resolución que apruebe el remate en el</w:t>
      </w:r>
      <w:r w:rsidRPr="00372D4A">
        <w:rPr>
          <w:rFonts w:ascii="Arial" w:eastAsia="Calibri" w:hAnsi="Arial" w:cs="Arial"/>
          <w:bCs/>
          <w:sz w:val="26"/>
          <w:szCs w:val="26"/>
          <w:lang w:eastAsia="es-ES"/>
        </w:rPr>
        <w:t xml:space="preserve"> procedimiento administrativo de ejecución cuando no se promueva el recurso administrativo ante las autoridades competentes. Aunado a esto, </w:t>
      </w:r>
      <w:bookmarkStart w:id="3" w:name="_Hlk109426215"/>
      <w:r w:rsidRPr="00372D4A">
        <w:rPr>
          <w:rFonts w:ascii="Arial" w:eastAsia="Calibri" w:hAnsi="Arial" w:cs="Arial"/>
          <w:bCs/>
          <w:sz w:val="26"/>
          <w:szCs w:val="26"/>
          <w:lang w:eastAsia="es-ES"/>
        </w:rPr>
        <w:t>es pertinente mencionar que si bien es cierto que el numeral 120 fracción I de la Ley de Procedimiento y Justicia Administrativa para el Estado de Oaxaca, dispone que este Tribunal es competente para resolver las controversias de carácter fiscal que se susciten entre los particulares y las autoridades de la administración pública del Estado, también se debe tener en cuenta que el artículo 1 de la Ley de Justicia de Fiscalización y Rendición de Cuentas para el Estado de Oaxaca establece que a través del juicio de inconformidad debe garantizarse que los actos y resoluciones de la Auditoría Superior del Estado, ahora Órgano Superior de Fiscalización del Estado de Oaxaca, se sujeten a los principios de legalidad, definitividad y demás principios constitucionales.</w:t>
      </w:r>
      <w:r w:rsidR="00553773">
        <w:rPr>
          <w:rFonts w:ascii="Arial" w:eastAsia="Calibri" w:hAnsi="Arial" w:cs="Arial"/>
          <w:bCs/>
          <w:sz w:val="26"/>
          <w:szCs w:val="26"/>
          <w:lang w:eastAsia="es-ES"/>
        </w:rPr>
        <w:t>- - - - - - - - - - - - - - - - -</w:t>
      </w:r>
    </w:p>
    <w:bookmarkEnd w:id="3"/>
    <w:p w14:paraId="447D4B51" w14:textId="200973E3" w:rsidR="00372D4A" w:rsidRPr="00372D4A" w:rsidRDefault="00372D4A" w:rsidP="00372D4A">
      <w:pPr>
        <w:spacing w:after="120" w:line="360" w:lineRule="auto"/>
        <w:ind w:right="49" w:firstLine="567"/>
        <w:jc w:val="both"/>
        <w:rPr>
          <w:rFonts w:ascii="Arial" w:eastAsia="Calibri" w:hAnsi="Arial" w:cs="Arial"/>
          <w:bCs/>
          <w:sz w:val="26"/>
          <w:szCs w:val="26"/>
          <w:lang w:eastAsia="es-ES"/>
        </w:rPr>
      </w:pPr>
      <w:r w:rsidRPr="00372D4A">
        <w:rPr>
          <w:rFonts w:ascii="Arial" w:eastAsia="Calibri" w:hAnsi="Arial" w:cs="Arial"/>
          <w:bCs/>
          <w:sz w:val="26"/>
          <w:szCs w:val="26"/>
          <w:lang w:eastAsia="es-ES"/>
        </w:rPr>
        <w:t>Bajo esa consideración, se tiene que la vía adecuada para impugnar el mandamiento de ejecución</w:t>
      </w:r>
      <w:r w:rsidR="00337F4D">
        <w:rPr>
          <w:rFonts w:ascii="Arial" w:eastAsia="Calibri" w:hAnsi="Arial" w:cs="Arial"/>
          <w:bCs/>
          <w:sz w:val="26"/>
          <w:szCs w:val="26"/>
          <w:lang w:eastAsia="es-ES"/>
        </w:rPr>
        <w:t xml:space="preserve"> </w:t>
      </w:r>
      <w:r w:rsidR="00BF2920">
        <w:rPr>
          <w:rFonts w:ascii="Arial" w:eastAsia="Calibri" w:hAnsi="Arial" w:cs="Arial"/>
          <w:b/>
          <w:sz w:val="26"/>
          <w:szCs w:val="26"/>
          <w:lang w:eastAsia="es-ES"/>
        </w:rPr>
        <w:t>*******</w:t>
      </w:r>
      <w:r w:rsidR="00ED5924">
        <w:rPr>
          <w:rFonts w:ascii="Arial" w:eastAsia="Calibri" w:hAnsi="Arial" w:cs="Arial"/>
          <w:b/>
          <w:sz w:val="26"/>
          <w:szCs w:val="26"/>
          <w:lang w:eastAsia="es-ES"/>
        </w:rPr>
        <w:t xml:space="preserve"> </w:t>
      </w:r>
      <w:r w:rsidRPr="00372D4A">
        <w:rPr>
          <w:rFonts w:ascii="Arial" w:eastAsia="Calibri" w:hAnsi="Arial" w:cs="Arial"/>
          <w:bCs/>
          <w:sz w:val="26"/>
          <w:szCs w:val="26"/>
          <w:lang w:eastAsia="es-ES"/>
        </w:rPr>
        <w:t>dirigido</w:t>
      </w:r>
      <w:r w:rsidRPr="00372D4A">
        <w:rPr>
          <w:rFonts w:ascii="Arial" w:eastAsia="Calibri" w:hAnsi="Arial" w:cs="Arial"/>
          <w:b/>
          <w:bCs/>
          <w:sz w:val="26"/>
          <w:szCs w:val="26"/>
          <w:lang w:eastAsia="es-ES"/>
        </w:rPr>
        <w:t xml:space="preserve"> </w:t>
      </w:r>
      <w:r w:rsidRPr="00372D4A">
        <w:rPr>
          <w:rFonts w:ascii="Arial" w:eastAsia="Calibri" w:hAnsi="Arial" w:cs="Arial"/>
          <w:bCs/>
          <w:sz w:val="26"/>
          <w:szCs w:val="26"/>
          <w:lang w:eastAsia="es-ES"/>
        </w:rPr>
        <w:t xml:space="preserve">a </w:t>
      </w:r>
      <w:r w:rsidR="00BF2920">
        <w:rPr>
          <w:rFonts w:ascii="Arial" w:eastAsia="Calibri" w:hAnsi="Arial" w:cs="Arial"/>
          <w:b/>
          <w:bCs/>
          <w:sz w:val="26"/>
          <w:szCs w:val="26"/>
          <w:lang w:eastAsia="es-ES"/>
        </w:rPr>
        <w:t>*******</w:t>
      </w:r>
      <w:r w:rsidR="00ED5924">
        <w:rPr>
          <w:rFonts w:ascii="Arial" w:eastAsia="Calibri" w:hAnsi="Arial" w:cs="Arial"/>
          <w:b/>
          <w:bCs/>
          <w:sz w:val="26"/>
          <w:szCs w:val="26"/>
          <w:lang w:eastAsia="es-ES"/>
        </w:rPr>
        <w:t xml:space="preserve">, </w:t>
      </w:r>
      <w:r w:rsidRPr="00372D4A">
        <w:rPr>
          <w:rFonts w:ascii="Arial" w:eastAsia="Calibri" w:hAnsi="Arial" w:cs="Arial"/>
          <w:bCs/>
          <w:sz w:val="26"/>
          <w:szCs w:val="26"/>
          <w:lang w:eastAsia="es-ES"/>
        </w:rPr>
        <w:t xml:space="preserve">es a través del </w:t>
      </w:r>
      <w:r w:rsidRPr="00372D4A">
        <w:rPr>
          <w:rFonts w:ascii="Arial" w:eastAsia="Calibri" w:hAnsi="Arial" w:cs="Arial"/>
          <w:b/>
          <w:bCs/>
          <w:sz w:val="26"/>
          <w:szCs w:val="26"/>
          <w:lang w:eastAsia="es-ES"/>
        </w:rPr>
        <w:t xml:space="preserve">juicio de inconformidad, </w:t>
      </w:r>
      <w:r w:rsidRPr="00372D4A">
        <w:rPr>
          <w:rFonts w:ascii="Arial" w:eastAsia="Calibri" w:hAnsi="Arial" w:cs="Arial"/>
          <w:bCs/>
          <w:sz w:val="26"/>
          <w:szCs w:val="26"/>
          <w:lang w:eastAsia="es-ES"/>
        </w:rPr>
        <w:t>porque el requerimiento de pago en cantidad de</w:t>
      </w:r>
      <w:bookmarkStart w:id="4" w:name="_Hlk109422471"/>
      <w:r w:rsidR="00ED5924">
        <w:rPr>
          <w:rFonts w:ascii="Arial" w:eastAsia="Calibri" w:hAnsi="Arial" w:cs="Arial"/>
          <w:bCs/>
          <w:sz w:val="26"/>
          <w:szCs w:val="26"/>
          <w:lang w:eastAsia="es-ES"/>
        </w:rPr>
        <w:t xml:space="preserve"> </w:t>
      </w:r>
      <w:r w:rsidR="00BF2920">
        <w:rPr>
          <w:rFonts w:ascii="Arial" w:eastAsia="Calibri" w:hAnsi="Arial" w:cs="Arial"/>
          <w:b/>
          <w:bCs/>
          <w:sz w:val="26"/>
          <w:szCs w:val="26"/>
          <w:lang w:eastAsia="es-ES"/>
        </w:rPr>
        <w:t>*******</w:t>
      </w:r>
      <w:r w:rsidR="00ED5924">
        <w:rPr>
          <w:rFonts w:ascii="Arial" w:eastAsia="Calibri" w:hAnsi="Arial" w:cs="Arial"/>
          <w:b/>
          <w:bCs/>
          <w:sz w:val="26"/>
          <w:szCs w:val="26"/>
          <w:lang w:eastAsia="es-ES"/>
        </w:rPr>
        <w:t xml:space="preserve">, </w:t>
      </w:r>
      <w:bookmarkEnd w:id="4"/>
      <w:r w:rsidRPr="00372D4A">
        <w:rPr>
          <w:rFonts w:ascii="Arial" w:eastAsia="Calibri" w:hAnsi="Arial" w:cs="Arial"/>
          <w:bCs/>
          <w:sz w:val="26"/>
          <w:szCs w:val="26"/>
          <w:lang w:eastAsia="es-ES"/>
        </w:rPr>
        <w:t xml:space="preserve">tiene su origen en una determinación </w:t>
      </w:r>
      <w:r w:rsidRPr="00372D4A">
        <w:rPr>
          <w:rFonts w:ascii="Arial" w:eastAsia="Calibri" w:hAnsi="Arial" w:cs="Arial"/>
          <w:b/>
          <w:bCs/>
          <w:sz w:val="26"/>
          <w:szCs w:val="26"/>
          <w:lang w:eastAsia="es-ES"/>
        </w:rPr>
        <w:t>no fiscal</w:t>
      </w:r>
      <w:r w:rsidRPr="00372D4A">
        <w:rPr>
          <w:rFonts w:ascii="Arial" w:eastAsia="Calibri" w:hAnsi="Arial" w:cs="Arial"/>
          <w:bCs/>
          <w:sz w:val="26"/>
          <w:szCs w:val="26"/>
          <w:lang w:eastAsia="es-ES"/>
        </w:rPr>
        <w:t xml:space="preserve">, que es la resolución número </w:t>
      </w:r>
      <w:r w:rsidR="00BF2920">
        <w:rPr>
          <w:rFonts w:ascii="Arial" w:eastAsia="Calibri" w:hAnsi="Arial" w:cs="Arial"/>
          <w:b/>
          <w:sz w:val="26"/>
          <w:szCs w:val="26"/>
          <w:lang w:eastAsia="es-ES"/>
        </w:rPr>
        <w:t>*******</w:t>
      </w:r>
      <w:r w:rsidR="00ED5924" w:rsidRPr="00372D4A">
        <w:rPr>
          <w:rFonts w:ascii="Arial" w:eastAsia="Calibri" w:hAnsi="Arial" w:cs="Arial"/>
          <w:b/>
          <w:sz w:val="26"/>
          <w:szCs w:val="26"/>
          <w:lang w:eastAsia="es-ES"/>
        </w:rPr>
        <w:t>,</w:t>
      </w:r>
      <w:r w:rsidR="00ED5924">
        <w:rPr>
          <w:rFonts w:ascii="Arial" w:eastAsia="Calibri" w:hAnsi="Arial" w:cs="Arial"/>
          <w:bCs/>
          <w:sz w:val="26"/>
          <w:szCs w:val="26"/>
          <w:lang w:eastAsia="es-ES"/>
        </w:rPr>
        <w:t xml:space="preserve"> de dieciocho de mayo de dos mil veintiuno, </w:t>
      </w:r>
      <w:r w:rsidRPr="00372D4A">
        <w:rPr>
          <w:rFonts w:ascii="Arial" w:eastAsia="Calibri" w:hAnsi="Arial" w:cs="Arial"/>
          <w:bCs/>
          <w:sz w:val="26"/>
          <w:szCs w:val="26"/>
          <w:lang w:eastAsia="es-ES"/>
        </w:rPr>
        <w:t xml:space="preserve">emitida por </w:t>
      </w:r>
      <w:r w:rsidR="00ED5924">
        <w:rPr>
          <w:rFonts w:ascii="Arial" w:eastAsia="Calibri" w:hAnsi="Arial" w:cs="Arial"/>
          <w:bCs/>
          <w:sz w:val="26"/>
          <w:szCs w:val="26"/>
          <w:lang w:eastAsia="es-ES"/>
        </w:rPr>
        <w:t xml:space="preserve">el </w:t>
      </w:r>
      <w:r w:rsidRPr="00372D4A">
        <w:rPr>
          <w:rFonts w:ascii="Arial" w:eastAsia="Calibri" w:hAnsi="Arial" w:cs="Arial"/>
          <w:bCs/>
          <w:sz w:val="26"/>
          <w:szCs w:val="26"/>
          <w:lang w:eastAsia="es-ES"/>
        </w:rPr>
        <w:t>Órgano Superior de Fiscalización del Estado de Oaxaca.</w:t>
      </w:r>
    </w:p>
    <w:p w14:paraId="15BF45B5" w14:textId="4EF98819" w:rsidR="00372D4A" w:rsidRPr="00372D4A" w:rsidRDefault="00372D4A" w:rsidP="00372D4A">
      <w:pPr>
        <w:spacing w:after="120" w:line="360" w:lineRule="auto"/>
        <w:ind w:right="49" w:firstLine="567"/>
        <w:jc w:val="both"/>
        <w:rPr>
          <w:rFonts w:ascii="Arial" w:eastAsia="Calibri" w:hAnsi="Arial" w:cs="Arial"/>
          <w:b/>
          <w:bCs/>
          <w:sz w:val="26"/>
          <w:szCs w:val="26"/>
          <w:lang w:eastAsia="es-ES"/>
        </w:rPr>
      </w:pPr>
      <w:r w:rsidRPr="00372D4A">
        <w:rPr>
          <w:rFonts w:ascii="Arial" w:eastAsia="Calibri" w:hAnsi="Arial" w:cs="Arial"/>
          <w:bCs/>
          <w:sz w:val="26"/>
          <w:szCs w:val="26"/>
          <w:lang w:eastAsia="es-ES"/>
        </w:rPr>
        <w:lastRenderedPageBreak/>
        <w:t>Por lo tanto, no es dable permitir que por un lado se instaure el juicio contencioso administrativo para pretender la anulación del mandamiento de ejecución</w:t>
      </w:r>
      <w:r w:rsidR="00ED5924">
        <w:rPr>
          <w:rFonts w:ascii="Arial" w:eastAsia="Calibri" w:hAnsi="Arial" w:cs="Arial"/>
          <w:bCs/>
          <w:sz w:val="26"/>
          <w:szCs w:val="26"/>
          <w:lang w:eastAsia="es-ES"/>
        </w:rPr>
        <w:t xml:space="preserve"> </w:t>
      </w:r>
      <w:r w:rsidR="00BF2920">
        <w:rPr>
          <w:rFonts w:ascii="Arial" w:eastAsia="Calibri" w:hAnsi="Arial" w:cs="Arial"/>
          <w:b/>
          <w:sz w:val="26"/>
          <w:szCs w:val="26"/>
          <w:lang w:eastAsia="es-ES"/>
        </w:rPr>
        <w:t>*******</w:t>
      </w:r>
      <w:r w:rsidRPr="00372D4A">
        <w:rPr>
          <w:rFonts w:ascii="Arial" w:eastAsia="Calibri" w:hAnsi="Arial" w:cs="Arial"/>
          <w:b/>
          <w:sz w:val="26"/>
          <w:szCs w:val="26"/>
          <w:lang w:eastAsia="es-ES"/>
        </w:rPr>
        <w:t xml:space="preserve">, </w:t>
      </w:r>
      <w:r w:rsidRPr="00372D4A">
        <w:rPr>
          <w:rFonts w:ascii="Arial" w:eastAsia="Calibri" w:hAnsi="Arial" w:cs="Arial"/>
          <w:sz w:val="26"/>
          <w:szCs w:val="26"/>
          <w:lang w:eastAsia="es-ES"/>
        </w:rPr>
        <w:t>y que, por otra parte, a través del juicio de inconformidad, se combata la resolución</w:t>
      </w:r>
      <w:r w:rsidRPr="00372D4A">
        <w:rPr>
          <w:rFonts w:ascii="Arial" w:eastAsia="Calibri" w:hAnsi="Arial" w:cs="Arial"/>
          <w:b/>
          <w:bCs/>
          <w:sz w:val="26"/>
          <w:szCs w:val="26"/>
          <w:lang w:eastAsia="es-ES"/>
        </w:rPr>
        <w:t xml:space="preserve"> </w:t>
      </w:r>
      <w:r w:rsidRPr="00372D4A">
        <w:rPr>
          <w:rFonts w:ascii="Arial" w:eastAsia="Calibri" w:hAnsi="Arial" w:cs="Arial"/>
          <w:bCs/>
          <w:sz w:val="26"/>
          <w:szCs w:val="26"/>
          <w:lang w:eastAsia="es-ES"/>
        </w:rPr>
        <w:t>número</w:t>
      </w:r>
      <w:r w:rsidR="00ED5924">
        <w:rPr>
          <w:rFonts w:ascii="Arial" w:eastAsia="Calibri" w:hAnsi="Arial" w:cs="Arial"/>
          <w:bCs/>
          <w:sz w:val="26"/>
          <w:szCs w:val="26"/>
          <w:lang w:eastAsia="es-ES"/>
        </w:rPr>
        <w:t xml:space="preserve"> </w:t>
      </w:r>
      <w:r w:rsidR="00BF2920">
        <w:rPr>
          <w:rFonts w:ascii="Arial" w:eastAsia="Calibri" w:hAnsi="Arial" w:cs="Arial"/>
          <w:b/>
          <w:sz w:val="26"/>
          <w:szCs w:val="26"/>
          <w:lang w:eastAsia="es-ES"/>
        </w:rPr>
        <w:t>*******</w:t>
      </w:r>
      <w:r w:rsidR="00ED5924" w:rsidRPr="00372D4A">
        <w:rPr>
          <w:rFonts w:ascii="Arial" w:eastAsia="Calibri" w:hAnsi="Arial" w:cs="Arial"/>
          <w:b/>
          <w:sz w:val="26"/>
          <w:szCs w:val="26"/>
          <w:lang w:eastAsia="es-ES"/>
        </w:rPr>
        <w:t>,</w:t>
      </w:r>
      <w:r w:rsidR="00ED5924">
        <w:rPr>
          <w:rFonts w:ascii="Arial" w:eastAsia="Calibri" w:hAnsi="Arial" w:cs="Arial"/>
          <w:bCs/>
          <w:sz w:val="26"/>
          <w:szCs w:val="26"/>
          <w:lang w:eastAsia="es-ES"/>
        </w:rPr>
        <w:t xml:space="preserve"> de dieciocho de mayo de dos mil veintiuno, </w:t>
      </w:r>
      <w:r w:rsidRPr="00372D4A">
        <w:rPr>
          <w:rFonts w:ascii="Arial" w:eastAsia="Calibri" w:hAnsi="Arial" w:cs="Arial"/>
          <w:bCs/>
          <w:sz w:val="26"/>
          <w:szCs w:val="26"/>
          <w:lang w:eastAsia="es-ES"/>
        </w:rPr>
        <w:t xml:space="preserve">porque la pretensión contenida en la demanda es indivisible y tiene que analizarse de manera integral, considerando ambos actos se encuentran firmemente vinculados entre sí, siendo imposible segmentar su análisis a través de diferentes juicios, aunque estos se tramiten ante el mismo órgano jurisdiccional. </w:t>
      </w:r>
      <w:r w:rsidR="00A82E1F">
        <w:rPr>
          <w:rFonts w:ascii="Arial" w:eastAsia="Calibri" w:hAnsi="Arial" w:cs="Arial"/>
          <w:bCs/>
          <w:sz w:val="26"/>
          <w:szCs w:val="26"/>
          <w:lang w:eastAsia="es-ES"/>
        </w:rPr>
        <w:t xml:space="preserve">- - - - - - - </w:t>
      </w:r>
    </w:p>
    <w:p w14:paraId="65E1FE14" w14:textId="029F7CBD" w:rsidR="00372D4A" w:rsidRDefault="00372D4A" w:rsidP="00372D4A">
      <w:pPr>
        <w:spacing w:after="120" w:line="360" w:lineRule="auto"/>
        <w:ind w:right="49" w:firstLine="567"/>
        <w:jc w:val="both"/>
        <w:rPr>
          <w:rFonts w:ascii="Arial" w:eastAsia="Calibri" w:hAnsi="Arial" w:cs="Arial"/>
          <w:bCs/>
          <w:sz w:val="26"/>
          <w:szCs w:val="26"/>
          <w:lang w:eastAsia="es-ES"/>
        </w:rPr>
      </w:pPr>
      <w:r w:rsidRPr="00372D4A">
        <w:rPr>
          <w:rFonts w:ascii="Arial" w:eastAsia="Calibri" w:hAnsi="Arial" w:cs="Arial"/>
          <w:bCs/>
          <w:sz w:val="26"/>
          <w:szCs w:val="26"/>
          <w:lang w:eastAsia="es-ES"/>
        </w:rPr>
        <w:t>En apoyo a lo anterior se invoca la tesis I.8o.C.4 K con número de registro digital 213106, emitida por los Tribunales Colegiados de Circuito, visible en el Semanario Judicial de la Federación, Tomo XIII, Marzo de 1994, página 353, de rubro y texto siguientes:</w:t>
      </w:r>
      <w:r w:rsidR="003A5C88">
        <w:rPr>
          <w:rFonts w:ascii="Arial" w:eastAsia="Calibri" w:hAnsi="Arial" w:cs="Arial"/>
          <w:bCs/>
          <w:sz w:val="26"/>
          <w:szCs w:val="26"/>
          <w:lang w:eastAsia="es-ES"/>
        </w:rPr>
        <w:t>- - - - - - - - - - -</w:t>
      </w:r>
    </w:p>
    <w:p w14:paraId="3B811DC0" w14:textId="77777777" w:rsidR="003A5C88" w:rsidRPr="00372D4A" w:rsidRDefault="003A5C88" w:rsidP="003A5C88">
      <w:pPr>
        <w:pStyle w:val="Sinespaciado"/>
        <w:rPr>
          <w:rFonts w:eastAsia="Calibri"/>
          <w:lang w:eastAsia="es-ES"/>
        </w:rPr>
      </w:pPr>
    </w:p>
    <w:p w14:paraId="29DD307D" w14:textId="77777777" w:rsidR="00372D4A" w:rsidRPr="00D754FD" w:rsidRDefault="00372D4A" w:rsidP="00D754FD">
      <w:pPr>
        <w:spacing w:after="120"/>
        <w:ind w:left="567" w:right="616"/>
        <w:jc w:val="both"/>
        <w:rPr>
          <w:rFonts w:ascii="Arial" w:eastAsia="Calibri" w:hAnsi="Arial" w:cs="Arial"/>
          <w:b/>
          <w:bCs/>
          <w:i/>
          <w:sz w:val="24"/>
          <w:szCs w:val="24"/>
          <w:lang w:eastAsia="es-ES"/>
        </w:rPr>
      </w:pPr>
      <w:r w:rsidRPr="00D754FD">
        <w:rPr>
          <w:rFonts w:ascii="Arial" w:eastAsia="Calibri" w:hAnsi="Arial" w:cs="Arial"/>
          <w:b/>
          <w:bCs/>
          <w:i/>
          <w:sz w:val="24"/>
          <w:szCs w:val="24"/>
          <w:lang w:eastAsia="es-ES"/>
        </w:rPr>
        <w:t>“</w:t>
      </w:r>
      <w:proofErr w:type="spellStart"/>
      <w:r w:rsidRPr="00D754FD">
        <w:rPr>
          <w:rFonts w:ascii="Arial" w:eastAsia="Calibri" w:hAnsi="Arial" w:cs="Arial"/>
          <w:b/>
          <w:bCs/>
          <w:i/>
          <w:sz w:val="24"/>
          <w:szCs w:val="24"/>
          <w:lang w:eastAsia="es-ES"/>
        </w:rPr>
        <w:t>INTERPRETACION</w:t>
      </w:r>
      <w:proofErr w:type="spellEnd"/>
      <w:r w:rsidRPr="00D754FD">
        <w:rPr>
          <w:rFonts w:ascii="Arial" w:eastAsia="Calibri" w:hAnsi="Arial" w:cs="Arial"/>
          <w:b/>
          <w:bCs/>
          <w:i/>
          <w:sz w:val="24"/>
          <w:szCs w:val="24"/>
          <w:lang w:eastAsia="es-ES"/>
        </w:rPr>
        <w:t xml:space="preserve"> </w:t>
      </w:r>
      <w:proofErr w:type="spellStart"/>
      <w:r w:rsidRPr="00D754FD">
        <w:rPr>
          <w:rFonts w:ascii="Arial" w:eastAsia="Calibri" w:hAnsi="Arial" w:cs="Arial"/>
          <w:b/>
          <w:bCs/>
          <w:i/>
          <w:sz w:val="24"/>
          <w:szCs w:val="24"/>
          <w:lang w:eastAsia="es-ES"/>
        </w:rPr>
        <w:t>RIGIDA</w:t>
      </w:r>
      <w:proofErr w:type="spellEnd"/>
      <w:r w:rsidRPr="00D754FD">
        <w:rPr>
          <w:rFonts w:ascii="Arial" w:eastAsia="Calibri" w:hAnsi="Arial" w:cs="Arial"/>
          <w:b/>
          <w:bCs/>
          <w:i/>
          <w:sz w:val="24"/>
          <w:szCs w:val="24"/>
          <w:lang w:eastAsia="es-ES"/>
        </w:rPr>
        <w:t xml:space="preserve"> QUE PUEDA TOMARSE COMO REGLA GENERAL.</w:t>
      </w:r>
    </w:p>
    <w:p w14:paraId="259A027B" w14:textId="77777777" w:rsidR="00372D4A" w:rsidRPr="00D754FD" w:rsidRDefault="00372D4A" w:rsidP="00D754FD">
      <w:pPr>
        <w:spacing w:after="120"/>
        <w:ind w:left="567" w:right="616"/>
        <w:jc w:val="both"/>
        <w:rPr>
          <w:rFonts w:ascii="Arial" w:eastAsia="Calibri" w:hAnsi="Arial" w:cs="Arial"/>
          <w:bCs/>
          <w:i/>
          <w:sz w:val="24"/>
          <w:szCs w:val="24"/>
          <w:lang w:eastAsia="es-ES"/>
        </w:rPr>
      </w:pPr>
      <w:r w:rsidRPr="00D754FD">
        <w:rPr>
          <w:rFonts w:ascii="Arial" w:eastAsia="Calibri" w:hAnsi="Arial" w:cs="Arial"/>
          <w:bCs/>
          <w:i/>
          <w:sz w:val="24"/>
          <w:szCs w:val="24"/>
          <w:lang w:eastAsia="es-ES"/>
        </w:rPr>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p>
    <w:p w14:paraId="205DDEB6" w14:textId="77777777" w:rsidR="00372D4A" w:rsidRPr="00D754FD" w:rsidRDefault="00372D4A" w:rsidP="00D754FD">
      <w:pPr>
        <w:spacing w:after="120"/>
        <w:ind w:left="567" w:right="616"/>
        <w:jc w:val="both"/>
        <w:rPr>
          <w:rFonts w:ascii="Arial" w:eastAsia="Calibri" w:hAnsi="Arial" w:cs="Arial"/>
          <w:bCs/>
          <w:i/>
          <w:sz w:val="24"/>
          <w:szCs w:val="24"/>
          <w:lang w:eastAsia="es-ES"/>
        </w:rPr>
      </w:pPr>
      <w:r w:rsidRPr="00D754FD">
        <w:rPr>
          <w:rFonts w:ascii="Arial" w:eastAsia="Calibri" w:hAnsi="Arial" w:cs="Arial"/>
          <w:bCs/>
          <w:i/>
          <w:sz w:val="24"/>
          <w:szCs w:val="24"/>
          <w:lang w:eastAsia="es-ES"/>
        </w:rPr>
        <w:t>OCTAVO TRIBUNAL COLEGIADO EN MATERIA CIVIL DEL PRIMER CIRCUITO.”</w:t>
      </w:r>
    </w:p>
    <w:p w14:paraId="4C359E2B" w14:textId="1463FA45" w:rsidR="00372D4A" w:rsidRPr="00372D4A" w:rsidRDefault="00372D4A" w:rsidP="00372D4A">
      <w:pPr>
        <w:spacing w:after="120" w:line="360" w:lineRule="auto"/>
        <w:ind w:right="49" w:firstLine="567"/>
        <w:jc w:val="both"/>
        <w:rPr>
          <w:rFonts w:ascii="Arial" w:eastAsia="Calibri" w:hAnsi="Arial" w:cs="Arial"/>
          <w:bCs/>
          <w:sz w:val="26"/>
          <w:szCs w:val="26"/>
          <w:lang w:eastAsia="es-ES"/>
        </w:rPr>
      </w:pPr>
      <w:r w:rsidRPr="00372D4A">
        <w:rPr>
          <w:rFonts w:ascii="Arial" w:eastAsia="Calibri" w:hAnsi="Arial" w:cs="Arial"/>
          <w:bCs/>
          <w:sz w:val="26"/>
          <w:szCs w:val="26"/>
          <w:lang w:eastAsia="es-ES"/>
        </w:rPr>
        <w:t>Por ello, se colige que es el juicio de inconformidad, el medio para garantizar al recurrente el derecho al debido proceso y el acceso a la tutela judicial efectiva previstos respectivamente, en los artículos 14 y 17 de la Constitución Política de los Estados Unidos Mex</w:t>
      </w:r>
      <w:r w:rsidR="00C35A15">
        <w:rPr>
          <w:rFonts w:ascii="Arial" w:eastAsia="Calibri" w:hAnsi="Arial" w:cs="Arial"/>
          <w:bCs/>
          <w:sz w:val="26"/>
          <w:szCs w:val="26"/>
          <w:lang w:eastAsia="es-ES"/>
        </w:rPr>
        <w:t>icanos, por lo tanto, la Cuarta</w:t>
      </w:r>
      <w:r w:rsidRPr="00372D4A">
        <w:rPr>
          <w:rFonts w:ascii="Arial" w:eastAsia="Calibri" w:hAnsi="Arial" w:cs="Arial"/>
          <w:bCs/>
          <w:sz w:val="26"/>
          <w:szCs w:val="26"/>
          <w:lang w:eastAsia="es-ES"/>
        </w:rPr>
        <w:t xml:space="preserve"> Sala Unitaria, en vez de desechar por improcedente la demanda en el acuerdo recurrido, debió analizar de manera integral su contenido y declinar su competencia a favor de la Sala Superior de este Tribunal, que es la instancia competente para resolver el juicio de inconformidad, en términos de los artículos 130 fracción VI de la Ley de Procedimiento y Justicia Administrativa para el Estado de Oaxaca y 24 </w:t>
      </w:r>
      <w:r w:rsidRPr="00372D4A">
        <w:rPr>
          <w:rFonts w:ascii="Arial" w:eastAsia="Calibri" w:hAnsi="Arial" w:cs="Arial"/>
          <w:bCs/>
          <w:sz w:val="26"/>
          <w:szCs w:val="26"/>
          <w:lang w:eastAsia="es-ES"/>
        </w:rPr>
        <w:lastRenderedPageBreak/>
        <w:t>fracción I</w:t>
      </w:r>
      <w:r w:rsidRPr="00372D4A">
        <w:rPr>
          <w:rFonts w:ascii="Arial" w:eastAsia="Calibri" w:hAnsi="Arial" w:cs="Arial"/>
          <w:bCs/>
          <w:sz w:val="26"/>
          <w:szCs w:val="26"/>
          <w:vertAlign w:val="superscript"/>
          <w:lang w:eastAsia="es-ES"/>
        </w:rPr>
        <w:footnoteReference w:id="4"/>
      </w:r>
      <w:r w:rsidRPr="00372D4A">
        <w:rPr>
          <w:rFonts w:ascii="Arial" w:eastAsia="Calibri" w:hAnsi="Arial" w:cs="Arial"/>
          <w:bCs/>
          <w:sz w:val="26"/>
          <w:szCs w:val="26"/>
          <w:lang w:eastAsia="es-ES"/>
        </w:rPr>
        <w:t xml:space="preserve"> de la Ley Orgánica del Tribunal de Justicia Administrativa para el Estado de Oaxaca, para salvaguardar el derecho de acceso a la justicia del demandante. De ahí lo</w:t>
      </w:r>
      <w:r w:rsidRPr="00372D4A">
        <w:rPr>
          <w:rFonts w:ascii="Arial" w:eastAsia="Calibri" w:hAnsi="Arial" w:cs="Arial"/>
          <w:b/>
          <w:bCs/>
          <w:sz w:val="26"/>
          <w:szCs w:val="26"/>
          <w:lang w:eastAsia="es-ES"/>
        </w:rPr>
        <w:t xml:space="preserve"> </w:t>
      </w:r>
      <w:r w:rsidR="00ED5924">
        <w:rPr>
          <w:rFonts w:ascii="Arial" w:eastAsia="Calibri" w:hAnsi="Arial" w:cs="Arial"/>
          <w:b/>
          <w:bCs/>
          <w:sz w:val="26"/>
          <w:szCs w:val="26"/>
          <w:lang w:eastAsia="es-ES"/>
        </w:rPr>
        <w:t xml:space="preserve">sustancialmente </w:t>
      </w:r>
      <w:r w:rsidRPr="00372D4A">
        <w:rPr>
          <w:rFonts w:ascii="Arial" w:eastAsia="Calibri" w:hAnsi="Arial" w:cs="Arial"/>
          <w:b/>
          <w:bCs/>
          <w:sz w:val="26"/>
          <w:szCs w:val="26"/>
          <w:lang w:eastAsia="es-ES"/>
        </w:rPr>
        <w:t>fundado</w:t>
      </w:r>
      <w:r w:rsidRPr="00372D4A">
        <w:rPr>
          <w:rFonts w:ascii="Arial" w:eastAsia="Calibri" w:hAnsi="Arial" w:cs="Arial"/>
          <w:bCs/>
          <w:sz w:val="26"/>
          <w:szCs w:val="26"/>
          <w:lang w:eastAsia="es-ES"/>
        </w:rPr>
        <w:t xml:space="preserve"> del agravio.</w:t>
      </w:r>
      <w:r w:rsidR="006870F7" w:rsidRPr="006870F7">
        <w:rPr>
          <w:rFonts w:ascii="Arial" w:eastAsia="Calibri" w:hAnsi="Arial" w:cs="Arial"/>
          <w:bCs/>
          <w:sz w:val="26"/>
          <w:szCs w:val="26"/>
          <w:lang w:eastAsia="es-ES"/>
        </w:rPr>
        <w:t xml:space="preserve"> </w:t>
      </w:r>
      <w:r w:rsidR="006870F7">
        <w:rPr>
          <w:rFonts w:ascii="Arial" w:eastAsia="Calibri" w:hAnsi="Arial" w:cs="Arial"/>
          <w:bCs/>
          <w:sz w:val="26"/>
          <w:szCs w:val="26"/>
          <w:lang w:eastAsia="es-ES"/>
        </w:rPr>
        <w:t>- - - - - - - - - - - - - - - - - - - - - - - - - - - - - - - - - - - - - - - - - - - - - -</w:t>
      </w:r>
      <w:r w:rsidRPr="00372D4A">
        <w:rPr>
          <w:rFonts w:ascii="Arial" w:eastAsia="Calibri" w:hAnsi="Arial" w:cs="Arial"/>
          <w:bCs/>
          <w:sz w:val="26"/>
          <w:szCs w:val="26"/>
          <w:lang w:eastAsia="es-ES"/>
        </w:rPr>
        <w:t xml:space="preserve"> </w:t>
      </w:r>
    </w:p>
    <w:p w14:paraId="4001BE59" w14:textId="01C72EE7" w:rsidR="00372D4A" w:rsidRPr="00372D4A" w:rsidRDefault="00372D4A" w:rsidP="00372D4A">
      <w:pPr>
        <w:widowControl w:val="0"/>
        <w:tabs>
          <w:tab w:val="left" w:pos="0"/>
        </w:tabs>
        <w:spacing w:before="240" w:after="0" w:line="360" w:lineRule="auto"/>
        <w:ind w:right="18"/>
        <w:jc w:val="both"/>
        <w:rPr>
          <w:rFonts w:ascii="Calibri" w:hAnsi="Calibri" w:cs="Calibri"/>
          <w:color w:val="212529"/>
          <w:sz w:val="26"/>
          <w:szCs w:val="26"/>
        </w:rPr>
      </w:pPr>
      <w:r w:rsidRPr="00372D4A">
        <w:rPr>
          <w:rFonts w:ascii="Arial" w:hAnsi="Arial" w:cs="Arial"/>
          <w:sz w:val="26"/>
          <w:szCs w:val="26"/>
        </w:rPr>
        <w:tab/>
        <w:t xml:space="preserve">Es aplicable al caso la jurisprudencia de la Décima Época, número I. 14o.T.J./3 (10a.), con número de registro digital 2019394, emitida por los Tribunales Colegiados de Circuito, publicado en la Gaceta del Semanario Judicial de la Federación, Libro 63, Febrero de 2019, Tomo II, visible a página 2478, cuyo rubro y texto mencionan: </w:t>
      </w:r>
      <w:r w:rsidR="004E1237">
        <w:rPr>
          <w:rFonts w:ascii="Arial" w:hAnsi="Arial" w:cs="Arial"/>
          <w:sz w:val="26"/>
          <w:szCs w:val="26"/>
        </w:rPr>
        <w:t>- - - - - - - - - - -</w:t>
      </w:r>
    </w:p>
    <w:p w14:paraId="1DF0374C" w14:textId="77777777" w:rsidR="00372D4A" w:rsidRPr="00372D4A" w:rsidRDefault="00372D4A" w:rsidP="007C2377">
      <w:pPr>
        <w:shd w:val="clear" w:color="auto" w:fill="FFFFFF"/>
        <w:spacing w:before="100" w:beforeAutospacing="1" w:after="100" w:afterAutospacing="1"/>
        <w:ind w:left="567" w:right="616"/>
        <w:jc w:val="both"/>
        <w:rPr>
          <w:rFonts w:ascii="Arial" w:eastAsia="Times New Roman" w:hAnsi="Arial" w:cs="Arial"/>
          <w:i/>
        </w:rPr>
      </w:pPr>
      <w:r w:rsidRPr="00372D4A">
        <w:rPr>
          <w:rFonts w:ascii="Arial" w:eastAsia="Times New Roman" w:hAnsi="Arial" w:cs="Arial"/>
          <w:b/>
          <w:bCs/>
          <w:i/>
        </w:rPr>
        <w:t>“TUTELA JUDICIAL EFECTIVA. SU RELACIÓN CON LOS FORMALISMOS PROCESALES</w:t>
      </w:r>
      <w:r w:rsidRPr="00372D4A">
        <w:rPr>
          <w:rFonts w:ascii="Arial" w:eastAsia="Times New Roman" w:hAnsi="Arial" w:cs="Arial"/>
          <w:bCs/>
          <w:i/>
        </w:rPr>
        <w:t xml:space="preserve">. </w:t>
      </w:r>
      <w:r w:rsidRPr="00372D4A">
        <w:rPr>
          <w:rFonts w:ascii="Arial" w:eastAsia="Times New Roman" w:hAnsi="Arial" w:cs="Arial"/>
          <w:i/>
        </w:rPr>
        <w:t>El artículo </w:t>
      </w:r>
      <w:hyperlink r:id="rId8" w:history="1">
        <w:r w:rsidRPr="00372D4A">
          <w:rPr>
            <w:rFonts w:ascii="Arial" w:eastAsiaTheme="majorEastAsia" w:hAnsi="Arial" w:cs="Arial"/>
            <w:i/>
            <w:color w:val="0000FF"/>
            <w:u w:val="single"/>
          </w:rPr>
          <w:t>17, párrafo tercero, de la Constitución Política de los Estados Unidos Mexicanos</w:t>
        </w:r>
      </w:hyperlink>
      <w:r w:rsidRPr="00372D4A">
        <w:rPr>
          <w:rFonts w:ascii="Arial" w:eastAsia="Times New Roman" w:hAnsi="Arial" w:cs="Arial"/>
          <w:i/>
        </w:rPr>
        <w:t>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372D4A">
        <w:rPr>
          <w:rFonts w:ascii="Arial" w:eastAsia="Times New Roman" w:hAnsi="Arial" w:cs="Arial"/>
          <w:b/>
          <w:i/>
        </w:rPr>
        <w:t>”</w:t>
      </w:r>
    </w:p>
    <w:p w14:paraId="238625B8" w14:textId="5ABEA7EE" w:rsidR="00372D4A" w:rsidRPr="00372D4A" w:rsidRDefault="00372D4A" w:rsidP="00372D4A">
      <w:pPr>
        <w:spacing w:line="360" w:lineRule="auto"/>
        <w:ind w:firstLine="567"/>
        <w:jc w:val="both"/>
        <w:rPr>
          <w:rFonts w:ascii="Arial" w:eastAsia="Calibri" w:hAnsi="Arial" w:cs="Arial"/>
          <w:bCs/>
          <w:sz w:val="26"/>
          <w:szCs w:val="26"/>
        </w:rPr>
      </w:pPr>
      <w:r w:rsidRPr="00372D4A">
        <w:rPr>
          <w:rFonts w:ascii="Arial" w:eastAsia="Times New Roman" w:hAnsi="Arial" w:cs="Arial"/>
          <w:iCs/>
          <w:sz w:val="26"/>
          <w:szCs w:val="26"/>
        </w:rPr>
        <w:t xml:space="preserve">Ahora, toda vez que la </w:t>
      </w:r>
      <w:r w:rsidR="00C35A15">
        <w:rPr>
          <w:rFonts w:ascii="Arial" w:eastAsia="Times New Roman" w:hAnsi="Arial" w:cs="Arial"/>
          <w:iCs/>
          <w:sz w:val="26"/>
          <w:szCs w:val="26"/>
        </w:rPr>
        <w:t>Cuarta</w:t>
      </w:r>
      <w:r w:rsidRPr="00372D4A">
        <w:rPr>
          <w:rFonts w:ascii="Arial" w:eastAsia="Times New Roman" w:hAnsi="Arial" w:cs="Arial"/>
          <w:iCs/>
          <w:sz w:val="26"/>
          <w:szCs w:val="26"/>
        </w:rPr>
        <w:t xml:space="preserve"> Sala Unitaria de Primera Instancia irrogó los</w:t>
      </w:r>
      <w:r w:rsidRPr="00372D4A">
        <w:rPr>
          <w:rFonts w:ascii="Arial" w:eastAsia="Times New Roman" w:hAnsi="Arial" w:cs="Arial"/>
          <w:bCs/>
          <w:color w:val="000000"/>
          <w:sz w:val="26"/>
          <w:szCs w:val="26"/>
        </w:rPr>
        <w:t xml:space="preserve"> agravios aducidos</w:t>
      </w:r>
      <w:r w:rsidRPr="00372D4A">
        <w:rPr>
          <w:rFonts w:ascii="Arial" w:eastAsia="Times New Roman" w:hAnsi="Arial" w:cs="Arial"/>
          <w:sz w:val="26"/>
          <w:szCs w:val="26"/>
        </w:rPr>
        <w:t xml:space="preserve">, a fin de repararlos, es procedente </w:t>
      </w:r>
      <w:r w:rsidRPr="00372D4A">
        <w:rPr>
          <w:rFonts w:ascii="Arial" w:eastAsia="Times New Roman" w:hAnsi="Arial" w:cs="Arial"/>
          <w:b/>
          <w:sz w:val="26"/>
          <w:szCs w:val="26"/>
        </w:rPr>
        <w:t xml:space="preserve">REVOCAR </w:t>
      </w:r>
      <w:r w:rsidRPr="00372D4A">
        <w:rPr>
          <w:rFonts w:ascii="Arial" w:eastAsia="Times New Roman" w:hAnsi="Arial" w:cs="Arial"/>
          <w:sz w:val="26"/>
          <w:szCs w:val="26"/>
        </w:rPr>
        <w:t xml:space="preserve">el auto recurrido dictar otro en su lugar, </w:t>
      </w:r>
      <w:r w:rsidRPr="00372D4A">
        <w:rPr>
          <w:rFonts w:ascii="Arial" w:eastAsia="Calibri" w:hAnsi="Arial" w:cs="Arial"/>
          <w:bCs/>
          <w:sz w:val="26"/>
          <w:szCs w:val="26"/>
        </w:rPr>
        <w:t xml:space="preserve">en los siguientes términos: </w:t>
      </w:r>
      <w:r w:rsidR="002D626E">
        <w:rPr>
          <w:rFonts w:ascii="Arial" w:eastAsia="Calibri" w:hAnsi="Arial" w:cs="Arial"/>
          <w:bCs/>
          <w:sz w:val="26"/>
          <w:szCs w:val="26"/>
          <w:lang w:eastAsia="es-ES"/>
        </w:rPr>
        <w:t>- - - - - - - - - - - - - - - - - - - - - - - - - - - - - - - - - - - - - - - - - - - - -</w:t>
      </w:r>
    </w:p>
    <w:p w14:paraId="6C61C5C7" w14:textId="3F5EF2DE" w:rsidR="00372D4A" w:rsidRPr="002D626E" w:rsidRDefault="00372D4A" w:rsidP="002D626E">
      <w:pPr>
        <w:spacing w:after="0"/>
        <w:ind w:left="567" w:right="616"/>
        <w:jc w:val="both"/>
        <w:rPr>
          <w:rFonts w:ascii="Arial" w:hAnsi="Arial" w:cs="Arial"/>
          <w:i/>
          <w:iCs/>
          <w:sz w:val="24"/>
          <w:szCs w:val="24"/>
        </w:rPr>
      </w:pPr>
      <w:r w:rsidRPr="002D626E">
        <w:rPr>
          <w:rFonts w:ascii="Arial" w:eastAsia="Times New Roman" w:hAnsi="Arial" w:cs="Arial"/>
          <w:b/>
          <w:bCs/>
          <w:i/>
          <w:iCs/>
          <w:sz w:val="24"/>
          <w:szCs w:val="24"/>
          <w:lang w:eastAsia="es-ES"/>
        </w:rPr>
        <w:t>“</w:t>
      </w:r>
      <w:r w:rsidRPr="002D626E">
        <w:rPr>
          <w:rFonts w:ascii="Arial" w:hAnsi="Arial" w:cs="Arial"/>
          <w:i/>
          <w:iCs/>
          <w:sz w:val="24"/>
          <w:szCs w:val="24"/>
        </w:rPr>
        <w:t xml:space="preserve">Por recibido en la oficialía de partes común de este Tribunal, el </w:t>
      </w:r>
      <w:r w:rsidR="004762A4" w:rsidRPr="002D626E">
        <w:rPr>
          <w:rFonts w:ascii="Arial" w:hAnsi="Arial" w:cs="Arial"/>
          <w:i/>
          <w:iCs/>
          <w:sz w:val="24"/>
          <w:szCs w:val="24"/>
        </w:rPr>
        <w:t xml:space="preserve">ocho de agosto </w:t>
      </w:r>
      <w:r w:rsidRPr="002D626E">
        <w:rPr>
          <w:rFonts w:ascii="Arial" w:hAnsi="Arial" w:cs="Arial"/>
          <w:i/>
          <w:iCs/>
          <w:sz w:val="24"/>
          <w:szCs w:val="24"/>
        </w:rPr>
        <w:t>de dos mil veinti</w:t>
      </w:r>
      <w:r w:rsidR="004762A4" w:rsidRPr="002D626E">
        <w:rPr>
          <w:rFonts w:ascii="Arial" w:hAnsi="Arial" w:cs="Arial"/>
          <w:i/>
          <w:iCs/>
          <w:sz w:val="24"/>
          <w:szCs w:val="24"/>
        </w:rPr>
        <w:t>dós</w:t>
      </w:r>
      <w:r w:rsidRPr="002D626E">
        <w:rPr>
          <w:rFonts w:ascii="Arial" w:hAnsi="Arial" w:cs="Arial"/>
          <w:i/>
          <w:iCs/>
          <w:sz w:val="24"/>
          <w:szCs w:val="24"/>
        </w:rPr>
        <w:t>, el escrito de</w:t>
      </w:r>
      <w:r w:rsidR="004762A4" w:rsidRPr="002D626E">
        <w:rPr>
          <w:rFonts w:ascii="Arial" w:hAnsi="Arial" w:cs="Arial"/>
          <w:b/>
          <w:bCs/>
          <w:i/>
          <w:iCs/>
          <w:sz w:val="24"/>
          <w:szCs w:val="24"/>
        </w:rPr>
        <w:t xml:space="preserve"> </w:t>
      </w:r>
      <w:r w:rsidR="00BF2920">
        <w:rPr>
          <w:rFonts w:ascii="Arial" w:hAnsi="Arial" w:cs="Arial"/>
          <w:b/>
          <w:bCs/>
          <w:i/>
          <w:iCs/>
          <w:sz w:val="24"/>
          <w:szCs w:val="24"/>
        </w:rPr>
        <w:t>*******</w:t>
      </w:r>
      <w:r w:rsidR="004762A4" w:rsidRPr="002D626E">
        <w:rPr>
          <w:rFonts w:ascii="Arial" w:hAnsi="Arial" w:cs="Arial"/>
          <w:b/>
          <w:bCs/>
          <w:i/>
          <w:iCs/>
          <w:sz w:val="24"/>
          <w:szCs w:val="24"/>
        </w:rPr>
        <w:t>,</w:t>
      </w:r>
      <w:r w:rsidRPr="002D626E">
        <w:rPr>
          <w:rFonts w:ascii="Arial" w:hAnsi="Arial" w:cs="Arial"/>
          <w:b/>
          <w:bCs/>
          <w:i/>
          <w:iCs/>
          <w:sz w:val="24"/>
          <w:szCs w:val="24"/>
        </w:rPr>
        <w:t xml:space="preserve">  </w:t>
      </w:r>
      <w:r w:rsidRPr="002D626E">
        <w:rPr>
          <w:rFonts w:ascii="Arial" w:hAnsi="Arial" w:cs="Arial"/>
          <w:i/>
          <w:iCs/>
          <w:sz w:val="24"/>
          <w:szCs w:val="24"/>
        </w:rPr>
        <w:t xml:space="preserve">quien </w:t>
      </w:r>
      <w:r w:rsidRPr="002D626E">
        <w:rPr>
          <w:rFonts w:ascii="Arial" w:hAnsi="Arial" w:cs="Arial"/>
          <w:i/>
          <w:iCs/>
          <w:sz w:val="24"/>
          <w:szCs w:val="24"/>
        </w:rPr>
        <w:lastRenderedPageBreak/>
        <w:t xml:space="preserve">promueve por su propio derecho el </w:t>
      </w:r>
      <w:r w:rsidRPr="002D626E">
        <w:rPr>
          <w:rFonts w:ascii="Arial" w:hAnsi="Arial" w:cs="Arial"/>
          <w:b/>
          <w:i/>
          <w:iCs/>
          <w:sz w:val="24"/>
          <w:szCs w:val="24"/>
        </w:rPr>
        <w:t xml:space="preserve">juicio de nulidad </w:t>
      </w:r>
      <w:r w:rsidRPr="002D626E">
        <w:rPr>
          <w:rFonts w:ascii="Arial" w:hAnsi="Arial" w:cs="Arial"/>
          <w:i/>
          <w:iCs/>
          <w:sz w:val="24"/>
          <w:szCs w:val="24"/>
        </w:rPr>
        <w:t>en contra del mandamiento de ejecución número</w:t>
      </w:r>
      <w:r w:rsidR="004762A4" w:rsidRPr="002D626E">
        <w:rPr>
          <w:rFonts w:ascii="Arial" w:hAnsi="Arial" w:cs="Arial"/>
          <w:i/>
          <w:iCs/>
          <w:sz w:val="24"/>
          <w:szCs w:val="24"/>
        </w:rPr>
        <w:t xml:space="preserve"> </w:t>
      </w:r>
      <w:r w:rsidR="00BF2920">
        <w:rPr>
          <w:rFonts w:ascii="Arial" w:hAnsi="Arial" w:cs="Arial"/>
          <w:i/>
          <w:iCs/>
          <w:sz w:val="24"/>
          <w:szCs w:val="24"/>
        </w:rPr>
        <w:t>*******</w:t>
      </w:r>
      <w:r w:rsidR="004762A4" w:rsidRPr="002D626E">
        <w:rPr>
          <w:rFonts w:ascii="Arial" w:hAnsi="Arial" w:cs="Arial"/>
          <w:i/>
          <w:iCs/>
          <w:sz w:val="24"/>
          <w:szCs w:val="24"/>
        </w:rPr>
        <w:t xml:space="preserve"> de trece de junio de dos mil veintidós, , emitido por la </w:t>
      </w:r>
      <w:r w:rsidR="004762A4" w:rsidRPr="002D626E">
        <w:rPr>
          <w:rFonts w:ascii="Arial" w:hAnsi="Arial" w:cs="Arial"/>
          <w:b/>
          <w:i/>
          <w:iCs/>
          <w:sz w:val="24"/>
          <w:szCs w:val="24"/>
        </w:rPr>
        <w:t xml:space="preserve">Coordinadora de Cobro Coactivo de la Secretaría de Finanzas del Gobierno del Estado, </w:t>
      </w:r>
      <w:r w:rsidR="004762A4" w:rsidRPr="002D626E">
        <w:rPr>
          <w:rFonts w:ascii="Arial" w:hAnsi="Arial" w:cs="Arial"/>
          <w:bCs/>
          <w:i/>
          <w:iCs/>
          <w:sz w:val="24"/>
          <w:szCs w:val="24"/>
        </w:rPr>
        <w:t xml:space="preserve">por el cual se requiere el pago del crédito </w:t>
      </w:r>
      <w:r w:rsidR="00BF2920">
        <w:rPr>
          <w:rFonts w:ascii="Arial" w:hAnsi="Arial" w:cs="Arial"/>
          <w:i/>
          <w:iCs/>
          <w:sz w:val="24"/>
          <w:szCs w:val="24"/>
        </w:rPr>
        <w:t>*******</w:t>
      </w:r>
      <w:r w:rsidR="004762A4" w:rsidRPr="002D626E">
        <w:rPr>
          <w:rFonts w:ascii="Arial" w:hAnsi="Arial" w:cs="Arial"/>
          <w:bCs/>
          <w:i/>
          <w:iCs/>
          <w:sz w:val="24"/>
          <w:szCs w:val="24"/>
        </w:rPr>
        <w:t xml:space="preserve"> derivado de la resolución número </w:t>
      </w:r>
      <w:r w:rsidR="004762A4" w:rsidRPr="002D626E">
        <w:rPr>
          <w:rFonts w:ascii="Arial" w:hAnsi="Arial" w:cs="Arial"/>
          <w:i/>
          <w:iCs/>
          <w:sz w:val="24"/>
          <w:szCs w:val="24"/>
        </w:rPr>
        <w:t xml:space="preserve">derivado de la resolución determinante </w:t>
      </w:r>
      <w:r w:rsidR="00BF2920">
        <w:rPr>
          <w:rFonts w:ascii="Arial" w:hAnsi="Arial" w:cs="Arial"/>
          <w:i/>
          <w:iCs/>
          <w:sz w:val="24"/>
          <w:szCs w:val="24"/>
        </w:rPr>
        <w:t>*******</w:t>
      </w:r>
      <w:r w:rsidR="004762A4" w:rsidRPr="002D626E">
        <w:rPr>
          <w:rFonts w:ascii="Arial" w:hAnsi="Arial" w:cs="Arial"/>
          <w:i/>
          <w:iCs/>
          <w:sz w:val="24"/>
          <w:szCs w:val="24"/>
        </w:rPr>
        <w:t>, de dieciocho de mayo de dos mil veintiuno.- E</w:t>
      </w:r>
      <w:r w:rsidRPr="002D626E">
        <w:rPr>
          <w:rFonts w:ascii="Arial" w:hAnsi="Arial" w:cs="Arial"/>
          <w:i/>
          <w:iCs/>
          <w:sz w:val="24"/>
          <w:szCs w:val="24"/>
        </w:rPr>
        <w:t xml:space="preserve">n consecuencia, fórmese expediente y regístrese en el libro que para tal efecto se lleva en esta </w:t>
      </w:r>
      <w:r w:rsidR="004762A4" w:rsidRPr="002D626E">
        <w:rPr>
          <w:rFonts w:ascii="Arial" w:hAnsi="Arial" w:cs="Arial"/>
          <w:i/>
          <w:iCs/>
          <w:sz w:val="24"/>
          <w:szCs w:val="24"/>
        </w:rPr>
        <w:t>Cuarta</w:t>
      </w:r>
      <w:r w:rsidRPr="002D626E">
        <w:rPr>
          <w:rFonts w:ascii="Arial" w:hAnsi="Arial" w:cs="Arial"/>
          <w:i/>
          <w:iCs/>
          <w:sz w:val="24"/>
          <w:szCs w:val="24"/>
        </w:rPr>
        <w:t xml:space="preserve"> Sala Unitaria de Primera Instancia.- </w:t>
      </w:r>
      <w:r w:rsidRPr="002D626E">
        <w:rPr>
          <w:rFonts w:ascii="Arial" w:hAnsi="Arial" w:cs="Arial"/>
          <w:b/>
          <w:bCs/>
          <w:i/>
          <w:iCs/>
          <w:sz w:val="24"/>
          <w:szCs w:val="24"/>
        </w:rPr>
        <w:t>Ahora bien,</w:t>
      </w:r>
      <w:r w:rsidRPr="002D626E">
        <w:rPr>
          <w:rFonts w:ascii="Arial" w:hAnsi="Arial" w:cs="Arial"/>
          <w:i/>
          <w:iCs/>
          <w:sz w:val="24"/>
          <w:szCs w:val="24"/>
        </w:rPr>
        <w:t xml:space="preserve"> de la lectura del escrito de demanda y los documentos anexos, se advierte que lo que el promovente</w:t>
      </w:r>
      <w:r w:rsidR="004762A4" w:rsidRPr="002D626E">
        <w:rPr>
          <w:rFonts w:ascii="Arial" w:hAnsi="Arial" w:cs="Arial"/>
          <w:i/>
          <w:iCs/>
          <w:sz w:val="24"/>
          <w:szCs w:val="24"/>
        </w:rPr>
        <w:t xml:space="preserve"> </w:t>
      </w:r>
      <w:r w:rsidR="00BF2920">
        <w:rPr>
          <w:rFonts w:ascii="Arial" w:hAnsi="Arial" w:cs="Arial"/>
          <w:b/>
          <w:bCs/>
          <w:i/>
          <w:iCs/>
          <w:sz w:val="24"/>
          <w:szCs w:val="24"/>
        </w:rPr>
        <w:t>*******</w:t>
      </w:r>
      <w:r w:rsidR="004762A4" w:rsidRPr="002D626E">
        <w:rPr>
          <w:rFonts w:ascii="Arial" w:hAnsi="Arial" w:cs="Arial"/>
          <w:b/>
          <w:bCs/>
          <w:i/>
          <w:iCs/>
          <w:sz w:val="24"/>
          <w:szCs w:val="24"/>
        </w:rPr>
        <w:t xml:space="preserve">, </w:t>
      </w:r>
      <w:r w:rsidRPr="002D626E">
        <w:rPr>
          <w:rFonts w:ascii="Arial" w:hAnsi="Arial" w:cs="Arial"/>
          <w:i/>
          <w:iCs/>
          <w:sz w:val="24"/>
          <w:szCs w:val="24"/>
        </w:rPr>
        <w:t xml:space="preserve">intenta impugnar es la resolución número </w:t>
      </w:r>
      <w:r w:rsidR="00BF2920">
        <w:rPr>
          <w:rFonts w:ascii="Arial" w:hAnsi="Arial" w:cs="Arial"/>
          <w:i/>
          <w:iCs/>
          <w:sz w:val="24"/>
          <w:szCs w:val="24"/>
        </w:rPr>
        <w:t>*******</w:t>
      </w:r>
      <w:r w:rsidR="004762A4" w:rsidRPr="002D626E">
        <w:rPr>
          <w:rFonts w:ascii="Arial" w:hAnsi="Arial" w:cs="Arial"/>
          <w:i/>
          <w:iCs/>
          <w:sz w:val="24"/>
          <w:szCs w:val="24"/>
        </w:rPr>
        <w:t xml:space="preserve">, de dieciocho de mayo de dos mil veintiuno“ el resarcimiento por los daños causados a la hacienda pública municipal de </w:t>
      </w:r>
      <w:r w:rsidR="00BF2920">
        <w:rPr>
          <w:rFonts w:ascii="Arial" w:hAnsi="Arial" w:cs="Arial"/>
          <w:i/>
          <w:iCs/>
          <w:sz w:val="24"/>
          <w:szCs w:val="24"/>
        </w:rPr>
        <w:t>*******</w:t>
      </w:r>
      <w:r w:rsidR="004762A4" w:rsidRPr="002D626E">
        <w:rPr>
          <w:rFonts w:ascii="Arial" w:hAnsi="Arial" w:cs="Arial"/>
          <w:i/>
          <w:iCs/>
          <w:sz w:val="24"/>
          <w:szCs w:val="24"/>
        </w:rPr>
        <w:t xml:space="preserve">, durante el periodo de enero a abril del ejercicio fiscal 2016”, </w:t>
      </w:r>
      <w:r w:rsidR="004762A4" w:rsidRPr="002D626E">
        <w:rPr>
          <w:rFonts w:ascii="Arial" w:hAnsi="Arial" w:cs="Arial"/>
          <w:bCs/>
          <w:i/>
          <w:iCs/>
          <w:sz w:val="24"/>
          <w:szCs w:val="24"/>
        </w:rPr>
        <w:t xml:space="preserve">que se originó cuando el demandante </w:t>
      </w:r>
      <w:r w:rsidR="004762A4" w:rsidRPr="002D626E">
        <w:rPr>
          <w:rFonts w:ascii="Arial" w:hAnsi="Arial" w:cs="Arial"/>
          <w:i/>
          <w:iCs/>
          <w:sz w:val="24"/>
          <w:szCs w:val="24"/>
        </w:rPr>
        <w:t xml:space="preserve">fungió como administrador de ese municipio, en el periodo de enero a abril de dos mil dieciséis., emitida por el </w:t>
      </w:r>
      <w:r w:rsidRPr="002D626E">
        <w:rPr>
          <w:rFonts w:ascii="Arial" w:hAnsi="Arial" w:cs="Arial"/>
          <w:i/>
          <w:iCs/>
          <w:sz w:val="24"/>
          <w:szCs w:val="24"/>
        </w:rPr>
        <w:t xml:space="preserve">Órgano Superior de Fiscalización del Estado, controversia que debe ser resuelta a través del </w:t>
      </w:r>
      <w:r w:rsidRPr="002D626E">
        <w:rPr>
          <w:rFonts w:ascii="Arial" w:hAnsi="Arial" w:cs="Arial"/>
          <w:b/>
          <w:i/>
          <w:iCs/>
          <w:sz w:val="24"/>
          <w:szCs w:val="24"/>
        </w:rPr>
        <w:t>juicio de inconformidad</w:t>
      </w:r>
      <w:r w:rsidRPr="002D626E">
        <w:rPr>
          <w:rFonts w:ascii="Arial" w:hAnsi="Arial" w:cs="Arial"/>
          <w:i/>
          <w:iCs/>
          <w:sz w:val="24"/>
          <w:szCs w:val="24"/>
        </w:rPr>
        <w:t xml:space="preserve">, siendo la Sala Superior de este Tribunal de Justicia Administrativa del Estado de Oaxaca, la instancia competente para conocer de ello, en términos de los numerales 130 fracción VI  de la Ley de Procedimiento y Justicia Administrativa para el Estado de Oaxaca y 24 fracción I  de la Ley Orgánica del Tribunal de Justicia Administrativa del Estado de Oaxaca. Por lo que, con la finalidad de garantizar los derechos de seguridad jurídica, tutela judicial efectiva y debido proceso del promovente, contenidos en los artículos 14, 16 y 17 de la Constitución Federal, esta Primera Sala Unitaria de Primera Instancia </w:t>
      </w:r>
      <w:r w:rsidRPr="002D626E">
        <w:rPr>
          <w:rFonts w:ascii="Arial" w:hAnsi="Arial" w:cs="Arial"/>
          <w:b/>
          <w:i/>
          <w:iCs/>
          <w:sz w:val="24"/>
          <w:szCs w:val="24"/>
        </w:rPr>
        <w:t>SE DECLARA INCOMPETENTE</w:t>
      </w:r>
      <w:r w:rsidRPr="002D626E">
        <w:rPr>
          <w:rFonts w:ascii="Arial" w:hAnsi="Arial" w:cs="Arial"/>
          <w:i/>
          <w:iCs/>
          <w:sz w:val="24"/>
          <w:szCs w:val="24"/>
        </w:rPr>
        <w:t xml:space="preserve"> para tramitar la demanda de</w:t>
      </w:r>
      <w:r w:rsidR="004762A4" w:rsidRPr="002D626E">
        <w:rPr>
          <w:rFonts w:ascii="Arial" w:hAnsi="Arial" w:cs="Arial"/>
          <w:b/>
          <w:bCs/>
          <w:i/>
          <w:iCs/>
          <w:sz w:val="24"/>
          <w:szCs w:val="24"/>
        </w:rPr>
        <w:t xml:space="preserve"> </w:t>
      </w:r>
      <w:r w:rsidR="00BF2920">
        <w:rPr>
          <w:rFonts w:ascii="Arial" w:hAnsi="Arial" w:cs="Arial"/>
          <w:b/>
          <w:bCs/>
          <w:i/>
          <w:iCs/>
          <w:sz w:val="24"/>
          <w:szCs w:val="24"/>
        </w:rPr>
        <w:t>*******</w:t>
      </w:r>
      <w:r w:rsidRPr="002D626E">
        <w:rPr>
          <w:rFonts w:ascii="Arial" w:hAnsi="Arial" w:cs="Arial"/>
          <w:b/>
          <w:bCs/>
          <w:i/>
          <w:iCs/>
          <w:sz w:val="24"/>
          <w:szCs w:val="24"/>
        </w:rPr>
        <w:t xml:space="preserve">, </w:t>
      </w:r>
      <w:r w:rsidRPr="002D626E">
        <w:rPr>
          <w:rFonts w:ascii="Arial" w:hAnsi="Arial" w:cs="Arial"/>
          <w:bCs/>
          <w:i/>
          <w:iCs/>
          <w:sz w:val="24"/>
          <w:szCs w:val="24"/>
        </w:rPr>
        <w:t xml:space="preserve">a través del juicio de nulidad, y se ordena remitir a la Secretaría General de Acuerdos de este Tribunal los autos del presente expediente, </w:t>
      </w:r>
      <w:r w:rsidRPr="002D626E">
        <w:rPr>
          <w:rFonts w:ascii="Arial" w:hAnsi="Arial" w:cs="Arial"/>
          <w:i/>
          <w:iCs/>
          <w:sz w:val="24"/>
          <w:szCs w:val="24"/>
        </w:rPr>
        <w:t xml:space="preserve">para que desahogue el trámite del juicio de inconformidad ante la Sala Superior, que es la instancia competente para sustanciar y dirimir los asuntos planteados contra la autoridad en materia de fiscalización y rendición de cuentas. </w:t>
      </w:r>
      <w:r w:rsidRPr="002D626E">
        <w:rPr>
          <w:rFonts w:ascii="Arial" w:eastAsia="Times New Roman" w:hAnsi="Arial" w:cs="Arial"/>
          <w:b/>
          <w:i/>
          <w:iCs/>
          <w:sz w:val="24"/>
          <w:szCs w:val="24"/>
        </w:rPr>
        <w:t>NOTIFÍQUESE</w:t>
      </w:r>
      <w:r w:rsidRPr="002D626E">
        <w:rPr>
          <w:rFonts w:ascii="Arial" w:eastAsia="Times New Roman" w:hAnsi="Arial" w:cs="Arial"/>
          <w:bCs/>
          <w:i/>
          <w:iCs/>
          <w:sz w:val="24"/>
          <w:szCs w:val="24"/>
        </w:rPr>
        <w:t xml:space="preserve"> personalmente al promovente en el domicilio que señala en el escrito de demanda a través de las personas que autoriza, con fundamento en lo dispuesto por los artículos 172 y 173 de la Ley de Procedimiento y Justicia Administrativa para el Estado de Oaxaca, </w:t>
      </w:r>
      <w:r w:rsidRPr="002D626E">
        <w:rPr>
          <w:rFonts w:ascii="Arial" w:hAnsi="Arial" w:cs="Arial"/>
          <w:b/>
          <w:i/>
          <w:iCs/>
          <w:sz w:val="24"/>
          <w:szCs w:val="24"/>
        </w:rPr>
        <w:t xml:space="preserve">CÚMPLASE. </w:t>
      </w:r>
      <w:r w:rsidRPr="002D626E">
        <w:rPr>
          <w:rFonts w:ascii="Arial" w:eastAsia="Times New Roman" w:hAnsi="Arial" w:cs="Arial"/>
          <w:b/>
          <w:i/>
          <w:iCs/>
          <w:sz w:val="24"/>
          <w:szCs w:val="24"/>
        </w:rPr>
        <w:t>…</w:t>
      </w:r>
      <w:r w:rsidRPr="002D626E">
        <w:rPr>
          <w:rFonts w:ascii="Arial" w:hAnsi="Arial" w:cs="Arial"/>
          <w:i/>
          <w:sz w:val="24"/>
          <w:szCs w:val="24"/>
        </w:rPr>
        <w:t xml:space="preserve"> ”</w:t>
      </w:r>
      <w:r w:rsidRPr="002D626E">
        <w:rPr>
          <w:rFonts w:ascii="Arial" w:eastAsia="Times New Roman" w:hAnsi="Arial" w:cs="Arial"/>
          <w:b/>
          <w:bCs/>
          <w:i/>
          <w:iCs/>
          <w:sz w:val="24"/>
          <w:szCs w:val="24"/>
          <w:lang w:eastAsia="es-ES"/>
        </w:rPr>
        <w:t xml:space="preserve"> </w:t>
      </w:r>
    </w:p>
    <w:p w14:paraId="7DED5D7F" w14:textId="77777777" w:rsidR="00372D4A" w:rsidRPr="002D626E" w:rsidRDefault="00372D4A" w:rsidP="002D626E">
      <w:pPr>
        <w:rPr>
          <w:sz w:val="24"/>
          <w:szCs w:val="24"/>
        </w:rPr>
      </w:pPr>
    </w:p>
    <w:p w14:paraId="1628DB3C" w14:textId="2C52638C" w:rsidR="00372D4A" w:rsidRPr="00372D4A" w:rsidRDefault="00372D4A" w:rsidP="00372D4A">
      <w:pPr>
        <w:spacing w:line="360" w:lineRule="auto"/>
        <w:ind w:firstLine="708"/>
        <w:jc w:val="both"/>
        <w:rPr>
          <w:rFonts w:ascii="Arial" w:eastAsia="Times New Roman" w:hAnsi="Arial" w:cs="Arial"/>
          <w:sz w:val="26"/>
          <w:szCs w:val="26"/>
          <w:lang w:eastAsia="es-ES"/>
        </w:rPr>
      </w:pPr>
      <w:r w:rsidRPr="00372D4A">
        <w:rPr>
          <w:rFonts w:ascii="Arial" w:eastAsia="Times New Roman" w:hAnsi="Arial" w:cs="Arial"/>
          <w:sz w:val="26"/>
          <w:szCs w:val="26"/>
          <w:lang w:eastAsia="es-ES"/>
        </w:rPr>
        <w:t>En mérito de lo anterior, con fundamento en los artículos 236 y 238 de la Ley de Procedimiento y Justicia Administrativa para el Estado de Oaxaca, se:</w:t>
      </w:r>
      <w:r w:rsidR="001C6F3C" w:rsidRPr="001C6F3C">
        <w:rPr>
          <w:rFonts w:ascii="Arial" w:eastAsia="Calibri" w:hAnsi="Arial" w:cs="Arial"/>
          <w:bCs/>
          <w:sz w:val="26"/>
          <w:szCs w:val="26"/>
          <w:lang w:eastAsia="es-ES"/>
        </w:rPr>
        <w:t xml:space="preserve"> </w:t>
      </w:r>
      <w:r w:rsidR="001C6F3C">
        <w:rPr>
          <w:rFonts w:ascii="Arial" w:eastAsia="Calibri" w:hAnsi="Arial" w:cs="Arial"/>
          <w:bCs/>
          <w:sz w:val="26"/>
          <w:szCs w:val="26"/>
          <w:lang w:eastAsia="es-ES"/>
        </w:rPr>
        <w:t xml:space="preserve">- - - - - - - - - - - - - - - - - - - - - - - - - - - - - - - - - - - - - - - - - </w:t>
      </w:r>
    </w:p>
    <w:p w14:paraId="386F3748" w14:textId="77777777" w:rsidR="00372D4A" w:rsidRPr="00F37DB5" w:rsidRDefault="00372D4A" w:rsidP="00372D4A">
      <w:pPr>
        <w:spacing w:before="240" w:after="0" w:line="360" w:lineRule="auto"/>
        <w:jc w:val="center"/>
        <w:rPr>
          <w:rFonts w:ascii="Arial" w:hAnsi="Arial" w:cs="Arial"/>
          <w:b/>
          <w:sz w:val="26"/>
          <w:szCs w:val="26"/>
          <w:lang w:val="es-ES"/>
        </w:rPr>
      </w:pPr>
      <w:r w:rsidRPr="00F37DB5">
        <w:rPr>
          <w:rFonts w:ascii="Arial" w:hAnsi="Arial" w:cs="Arial"/>
          <w:b/>
          <w:sz w:val="26"/>
          <w:szCs w:val="26"/>
          <w:lang w:val="es-ES"/>
        </w:rPr>
        <w:t>R E S U E L V E</w:t>
      </w:r>
    </w:p>
    <w:p w14:paraId="1DA89EA0" w14:textId="3747FB49" w:rsidR="00372D4A" w:rsidRPr="00372D4A" w:rsidRDefault="00372D4A" w:rsidP="00372D4A">
      <w:pPr>
        <w:spacing w:before="240" w:after="0" w:line="360" w:lineRule="auto"/>
        <w:ind w:firstLine="708"/>
        <w:jc w:val="both"/>
        <w:rPr>
          <w:rFonts w:ascii="Arial" w:hAnsi="Arial" w:cs="Arial"/>
          <w:color w:val="000000"/>
          <w:sz w:val="26"/>
          <w:szCs w:val="26"/>
        </w:rPr>
      </w:pPr>
      <w:r w:rsidRPr="00372D4A">
        <w:rPr>
          <w:rFonts w:ascii="Arial" w:hAnsi="Arial" w:cs="Arial"/>
          <w:b/>
          <w:color w:val="000000"/>
          <w:sz w:val="26"/>
          <w:szCs w:val="26"/>
          <w:lang w:val="es-ES"/>
        </w:rPr>
        <w:t>PRIMERO</w:t>
      </w:r>
      <w:r w:rsidRPr="00372D4A">
        <w:rPr>
          <w:rFonts w:ascii="Arial" w:hAnsi="Arial" w:cs="Arial"/>
          <w:color w:val="000000"/>
          <w:sz w:val="26"/>
          <w:szCs w:val="26"/>
          <w:lang w:val="es-ES"/>
        </w:rPr>
        <w:t xml:space="preserve">. </w:t>
      </w:r>
      <w:r w:rsidRPr="00372D4A">
        <w:rPr>
          <w:rFonts w:ascii="Arial" w:hAnsi="Arial" w:cs="Arial"/>
          <w:color w:val="000000"/>
          <w:sz w:val="26"/>
          <w:szCs w:val="26"/>
        </w:rPr>
        <w:t>Se</w:t>
      </w:r>
      <w:r w:rsidRPr="00372D4A">
        <w:rPr>
          <w:rFonts w:ascii="Arial" w:hAnsi="Arial" w:cs="Arial"/>
          <w:b/>
          <w:color w:val="000000"/>
          <w:sz w:val="26"/>
          <w:szCs w:val="26"/>
        </w:rPr>
        <w:t xml:space="preserve"> REVOCA </w:t>
      </w:r>
      <w:r w:rsidRPr="00372D4A">
        <w:rPr>
          <w:rFonts w:ascii="Arial" w:hAnsi="Arial" w:cs="Arial"/>
          <w:bCs/>
          <w:color w:val="000000"/>
          <w:sz w:val="26"/>
          <w:szCs w:val="26"/>
        </w:rPr>
        <w:t xml:space="preserve">el acuerdo de </w:t>
      </w:r>
      <w:r w:rsidR="004762A4">
        <w:rPr>
          <w:rFonts w:ascii="Arial" w:hAnsi="Arial" w:cs="Arial"/>
          <w:bCs/>
          <w:color w:val="000000"/>
          <w:sz w:val="26"/>
          <w:szCs w:val="26"/>
        </w:rPr>
        <w:t xml:space="preserve">nueve </w:t>
      </w:r>
      <w:r w:rsidRPr="00372D4A">
        <w:rPr>
          <w:rFonts w:ascii="Arial" w:hAnsi="Arial" w:cs="Arial"/>
          <w:bCs/>
          <w:color w:val="000000"/>
          <w:sz w:val="26"/>
          <w:szCs w:val="26"/>
        </w:rPr>
        <w:t xml:space="preserve">de </w:t>
      </w:r>
      <w:r w:rsidR="004762A4">
        <w:rPr>
          <w:rFonts w:ascii="Arial" w:hAnsi="Arial" w:cs="Arial"/>
          <w:bCs/>
          <w:color w:val="000000"/>
          <w:sz w:val="26"/>
          <w:szCs w:val="26"/>
        </w:rPr>
        <w:t xml:space="preserve">agosto de </w:t>
      </w:r>
      <w:r w:rsidRPr="00372D4A">
        <w:rPr>
          <w:rFonts w:ascii="Arial" w:hAnsi="Arial" w:cs="Arial"/>
          <w:bCs/>
          <w:color w:val="000000"/>
          <w:sz w:val="26"/>
          <w:szCs w:val="26"/>
        </w:rPr>
        <w:t>dos mil veinti</w:t>
      </w:r>
      <w:r w:rsidR="004762A4">
        <w:rPr>
          <w:rFonts w:ascii="Arial" w:hAnsi="Arial" w:cs="Arial"/>
          <w:bCs/>
          <w:color w:val="000000"/>
          <w:sz w:val="26"/>
          <w:szCs w:val="26"/>
        </w:rPr>
        <w:t>dós</w:t>
      </w:r>
      <w:r w:rsidRPr="00372D4A">
        <w:rPr>
          <w:rFonts w:ascii="Arial" w:hAnsi="Arial" w:cs="Arial"/>
          <w:bCs/>
          <w:color w:val="000000"/>
          <w:sz w:val="26"/>
          <w:szCs w:val="26"/>
        </w:rPr>
        <w:t xml:space="preserve"> y se dicta uno nuevo, </w:t>
      </w:r>
      <w:r w:rsidRPr="00372D4A">
        <w:rPr>
          <w:rFonts w:ascii="Arial" w:hAnsi="Arial" w:cs="Arial"/>
          <w:color w:val="000000"/>
          <w:sz w:val="26"/>
          <w:szCs w:val="26"/>
        </w:rPr>
        <w:t xml:space="preserve">por las razones expuestas por esta Sala Superior en el considerando que antecede.  </w:t>
      </w:r>
      <w:r w:rsidR="00962BE8">
        <w:rPr>
          <w:rFonts w:ascii="Arial" w:hAnsi="Arial" w:cs="Arial"/>
          <w:color w:val="000000"/>
          <w:sz w:val="26"/>
          <w:szCs w:val="26"/>
        </w:rPr>
        <w:t xml:space="preserve">- - - - - - - - - - - - - - - - </w:t>
      </w:r>
    </w:p>
    <w:p w14:paraId="68DA0EF4" w14:textId="022A2D16" w:rsidR="00372D4A" w:rsidRPr="00372D4A" w:rsidRDefault="00372D4A" w:rsidP="00372D4A">
      <w:pPr>
        <w:widowControl w:val="0"/>
        <w:tabs>
          <w:tab w:val="left" w:pos="0"/>
        </w:tabs>
        <w:spacing w:before="240" w:line="360" w:lineRule="auto"/>
        <w:ind w:right="18"/>
        <w:jc w:val="both"/>
        <w:rPr>
          <w:rFonts w:ascii="Arial" w:hAnsi="Arial" w:cs="Arial"/>
          <w:sz w:val="26"/>
          <w:szCs w:val="26"/>
        </w:rPr>
      </w:pPr>
      <w:r w:rsidRPr="00372D4A">
        <w:rPr>
          <w:rFonts w:ascii="Arial" w:hAnsi="Arial" w:cs="Arial"/>
          <w:b/>
          <w:sz w:val="26"/>
          <w:szCs w:val="26"/>
        </w:rPr>
        <w:lastRenderedPageBreak/>
        <w:tab/>
        <w:t xml:space="preserve">SEGUNDO. </w:t>
      </w:r>
      <w:r w:rsidRPr="00372D4A">
        <w:rPr>
          <w:rFonts w:ascii="Arial" w:hAnsi="Arial" w:cs="Arial"/>
          <w:sz w:val="26"/>
          <w:szCs w:val="26"/>
        </w:rPr>
        <w:t xml:space="preserve">En cumplimiento a la presente resolución, se ordena a la </w:t>
      </w:r>
      <w:r w:rsidR="004762A4">
        <w:rPr>
          <w:rFonts w:ascii="Arial" w:hAnsi="Arial" w:cs="Arial"/>
          <w:sz w:val="26"/>
          <w:szCs w:val="26"/>
        </w:rPr>
        <w:t xml:space="preserve">Cuarta </w:t>
      </w:r>
      <w:r w:rsidRPr="00372D4A">
        <w:rPr>
          <w:rFonts w:ascii="Arial" w:hAnsi="Arial" w:cs="Arial"/>
          <w:sz w:val="26"/>
          <w:szCs w:val="26"/>
        </w:rPr>
        <w:t xml:space="preserve">Sala Unitaria de Primera Instancia, que remita a la Secretaría General de Acuerdos de este Tribunal, las constancias del expediente </w:t>
      </w:r>
      <w:r w:rsidRPr="00372D4A">
        <w:rPr>
          <w:rFonts w:ascii="Arial" w:hAnsi="Arial" w:cs="Arial"/>
          <w:b/>
          <w:sz w:val="26"/>
          <w:szCs w:val="26"/>
        </w:rPr>
        <w:t>0</w:t>
      </w:r>
      <w:r w:rsidR="004762A4">
        <w:rPr>
          <w:rFonts w:ascii="Arial" w:hAnsi="Arial" w:cs="Arial"/>
          <w:b/>
          <w:sz w:val="26"/>
          <w:szCs w:val="26"/>
        </w:rPr>
        <w:t>068</w:t>
      </w:r>
      <w:r w:rsidRPr="00372D4A">
        <w:rPr>
          <w:rFonts w:ascii="Arial" w:hAnsi="Arial" w:cs="Arial"/>
          <w:b/>
          <w:sz w:val="26"/>
          <w:szCs w:val="26"/>
        </w:rPr>
        <w:t>/202</w:t>
      </w:r>
      <w:r w:rsidR="004762A4">
        <w:rPr>
          <w:rFonts w:ascii="Arial" w:hAnsi="Arial" w:cs="Arial"/>
          <w:b/>
          <w:sz w:val="26"/>
          <w:szCs w:val="26"/>
        </w:rPr>
        <w:t>2</w:t>
      </w:r>
      <w:r w:rsidRPr="00372D4A">
        <w:rPr>
          <w:rFonts w:ascii="Arial" w:hAnsi="Arial" w:cs="Arial"/>
          <w:sz w:val="26"/>
          <w:szCs w:val="26"/>
        </w:rPr>
        <w:t xml:space="preserve"> de su índice, para la tramitación del juicio de inconformidad correspondiente. </w:t>
      </w:r>
      <w:r w:rsidR="00981998">
        <w:rPr>
          <w:rFonts w:ascii="Arial" w:hAnsi="Arial" w:cs="Arial"/>
          <w:sz w:val="26"/>
          <w:szCs w:val="26"/>
        </w:rPr>
        <w:t>- - - - - - - - - - - - - - - - - - - - - - - - - - - - - - - - - - - - - - - -</w:t>
      </w:r>
    </w:p>
    <w:p w14:paraId="107C94A3" w14:textId="7AA0EC02" w:rsidR="00372D4A" w:rsidRPr="00372D4A" w:rsidRDefault="00372D4A" w:rsidP="00372D4A">
      <w:pPr>
        <w:widowControl w:val="0"/>
        <w:tabs>
          <w:tab w:val="left" w:pos="0"/>
        </w:tabs>
        <w:spacing w:before="240" w:line="360" w:lineRule="auto"/>
        <w:ind w:right="18"/>
        <w:jc w:val="both"/>
        <w:rPr>
          <w:rFonts w:ascii="Arial" w:hAnsi="Arial" w:cs="Arial"/>
          <w:sz w:val="26"/>
          <w:szCs w:val="26"/>
        </w:rPr>
      </w:pPr>
      <w:r w:rsidRPr="00372D4A">
        <w:rPr>
          <w:rFonts w:ascii="Arial" w:hAnsi="Arial" w:cs="Arial"/>
          <w:b/>
          <w:sz w:val="26"/>
          <w:szCs w:val="26"/>
        </w:rPr>
        <w:tab/>
        <w:t>TERCERO. NOTIFÍQUESE Y CÚMPLASE,</w:t>
      </w:r>
      <w:r w:rsidRPr="00372D4A">
        <w:rPr>
          <w:rFonts w:ascii="Arial" w:hAnsi="Arial" w:cs="Arial"/>
          <w:sz w:val="26"/>
          <w:szCs w:val="26"/>
        </w:rPr>
        <w:t xml:space="preserve"> remítase copia certificada de la presente resolución a la </w:t>
      </w:r>
      <w:r w:rsidR="004762A4">
        <w:rPr>
          <w:rFonts w:ascii="Arial" w:hAnsi="Arial" w:cs="Arial"/>
          <w:sz w:val="26"/>
          <w:szCs w:val="26"/>
        </w:rPr>
        <w:t xml:space="preserve">Cuarta </w:t>
      </w:r>
      <w:r w:rsidRPr="00372D4A">
        <w:rPr>
          <w:rFonts w:ascii="Arial" w:hAnsi="Arial" w:cs="Arial"/>
          <w:sz w:val="26"/>
          <w:szCs w:val="26"/>
        </w:rPr>
        <w:t>Sala Unitaria de Primera Instancia de este Tribunal y en su oportunidad archívese el presente cuaderno de revisión como asunto concluido.</w:t>
      </w:r>
      <w:r w:rsidR="00981998">
        <w:rPr>
          <w:rFonts w:ascii="Arial" w:hAnsi="Arial" w:cs="Arial"/>
          <w:sz w:val="26"/>
          <w:szCs w:val="26"/>
        </w:rPr>
        <w:t xml:space="preserve"> - - - - - - - - - - - - - - - - - - - </w:t>
      </w:r>
    </w:p>
    <w:p w14:paraId="2E599B0B" w14:textId="77777777" w:rsidR="00EE16B2" w:rsidRDefault="00372D4A" w:rsidP="00EE16B2">
      <w:pPr>
        <w:widowControl w:val="0"/>
        <w:tabs>
          <w:tab w:val="left" w:pos="0"/>
        </w:tabs>
        <w:spacing w:before="240" w:after="0" w:line="360" w:lineRule="auto"/>
        <w:ind w:right="18"/>
        <w:jc w:val="both"/>
        <w:rPr>
          <w:rFonts w:ascii="Arial" w:hAnsi="Arial" w:cs="Arial"/>
          <w:sz w:val="26"/>
          <w:szCs w:val="26"/>
        </w:rPr>
      </w:pPr>
      <w:r w:rsidRPr="00372D4A">
        <w:t xml:space="preserve"> </w:t>
      </w:r>
      <w:r w:rsidRPr="00372D4A">
        <w:rPr>
          <w:rFonts w:ascii="Arial" w:hAnsi="Arial" w:cs="Arial"/>
          <w:sz w:val="26"/>
          <w:szCs w:val="26"/>
        </w:rPr>
        <w:t xml:space="preserve">       </w:t>
      </w:r>
      <w:r w:rsidR="00EE16B2">
        <w:rPr>
          <w:rFonts w:ascii="Arial" w:eastAsia="Calibri" w:hAnsi="Arial" w:cs="Arial"/>
          <w:sz w:val="26"/>
          <w:szCs w:val="26"/>
          <w:lang w:eastAsia="en-US"/>
        </w:rPr>
        <w:t xml:space="preserve">Así por unanimidad de votos, lo resolvieron y firmaron </w:t>
      </w:r>
      <w:r w:rsidR="00EE16B2">
        <w:rPr>
          <w:rFonts w:ascii="Arial" w:eastAsiaTheme="minorHAnsi" w:hAnsi="Arial" w:cs="Arial"/>
          <w:sz w:val="26"/>
          <w:szCs w:val="26"/>
          <w:lang w:eastAsia="en-US"/>
        </w:rPr>
        <w:t>los Magistrados</w:t>
      </w:r>
      <w:r w:rsidR="00EE16B2">
        <w:rPr>
          <w:rFonts w:ascii="Arial" w:eastAsia="Times New Roman" w:hAnsi="Arial" w:cs="Arial"/>
          <w:sz w:val="26"/>
          <w:szCs w:val="26"/>
        </w:rPr>
        <w:t xml:space="preserve"> Integrantes de la Sala Superior Manuel Velasco Alcántara, </w:t>
      </w:r>
      <w:r w:rsidR="00EE16B2">
        <w:rPr>
          <w:rFonts w:ascii="Arial" w:eastAsiaTheme="minorHAnsi" w:hAnsi="Arial" w:cs="Arial"/>
          <w:sz w:val="26"/>
          <w:szCs w:val="26"/>
          <w:lang w:eastAsia="en-US"/>
        </w:rPr>
        <w:t>Raúl Palomares Palomino (</w:t>
      </w:r>
      <w:r w:rsidR="00EE16B2">
        <w:rPr>
          <w:rFonts w:ascii="Arial" w:eastAsiaTheme="minorHAnsi" w:hAnsi="Arial" w:cs="Arial"/>
          <w:b/>
          <w:bCs/>
          <w:sz w:val="26"/>
          <w:szCs w:val="26"/>
          <w:lang w:eastAsia="en-US"/>
        </w:rPr>
        <w:t>ponente),</w:t>
      </w:r>
      <w:r w:rsidR="00EE16B2">
        <w:rPr>
          <w:rFonts w:ascii="Arial" w:eastAsiaTheme="minorHAnsi" w:hAnsi="Arial" w:cs="Arial"/>
          <w:sz w:val="26"/>
          <w:szCs w:val="26"/>
          <w:lang w:eastAsia="en-US"/>
        </w:rPr>
        <w:t xml:space="preserve"> Gloria del Carmen Camacho Meza, Paulo José Luis Tapia Palacios y Elías Cortés López, </w:t>
      </w:r>
      <w:r w:rsidR="00EE16B2">
        <w:rPr>
          <w:rFonts w:ascii="Arial" w:hAnsi="Arial" w:cs="Arial"/>
          <w:sz w:val="26"/>
          <w:szCs w:val="26"/>
        </w:rPr>
        <w:t>quienes actúan con el Licenciado Juan Edy García Coronado, Secretario General de Acuerdos de este Tribunal, que autoriza y da fe.- - - - - - - - - - - - - - -</w:t>
      </w:r>
    </w:p>
    <w:p w14:paraId="3E9DBA15" w14:textId="77777777" w:rsidR="00EE16B2" w:rsidRDefault="00EE16B2" w:rsidP="00EE16B2">
      <w:pPr>
        <w:spacing w:line="360" w:lineRule="auto"/>
        <w:ind w:right="49"/>
        <w:jc w:val="center"/>
        <w:rPr>
          <w:rFonts w:ascii="Arial" w:hAnsi="Arial" w:cs="Arial"/>
          <w:sz w:val="26"/>
          <w:szCs w:val="26"/>
        </w:rPr>
      </w:pPr>
    </w:p>
    <w:p w14:paraId="43F87D3D" w14:textId="77777777" w:rsidR="00EE16B2" w:rsidRDefault="00EE16B2" w:rsidP="00EE16B2">
      <w:pPr>
        <w:spacing w:line="360" w:lineRule="auto"/>
        <w:ind w:right="49"/>
        <w:rPr>
          <w:rFonts w:ascii="Arial" w:hAnsi="Arial" w:cs="Arial"/>
          <w:sz w:val="26"/>
          <w:szCs w:val="26"/>
        </w:rPr>
      </w:pPr>
    </w:p>
    <w:p w14:paraId="2EE95D2F" w14:textId="0DDCBF38" w:rsidR="00EE16B2" w:rsidRDefault="00EE16B2" w:rsidP="00EE16B2">
      <w:pPr>
        <w:spacing w:line="360" w:lineRule="auto"/>
        <w:ind w:right="49"/>
        <w:rPr>
          <w:rFonts w:ascii="Arial" w:hAnsi="Arial" w:cs="Arial"/>
          <w:sz w:val="26"/>
          <w:szCs w:val="26"/>
        </w:rPr>
      </w:pPr>
    </w:p>
    <w:p w14:paraId="68A07A98" w14:textId="77777777" w:rsidR="00DE5280" w:rsidRDefault="00DE5280" w:rsidP="00EE16B2">
      <w:pPr>
        <w:spacing w:line="360" w:lineRule="auto"/>
        <w:ind w:right="49"/>
        <w:rPr>
          <w:rFonts w:ascii="Arial" w:hAnsi="Arial" w:cs="Arial"/>
          <w:sz w:val="26"/>
          <w:szCs w:val="26"/>
        </w:rPr>
      </w:pPr>
    </w:p>
    <w:p w14:paraId="49A8AD9D" w14:textId="77777777" w:rsidR="00EE16B2" w:rsidRDefault="00EE16B2" w:rsidP="00EE16B2">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7193C32" w14:textId="77777777" w:rsidR="00EE16B2" w:rsidRDefault="00EE16B2" w:rsidP="00EE16B2">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E27340A" w14:textId="77777777" w:rsidR="00EE16B2" w:rsidRDefault="00EE16B2" w:rsidP="00EE16B2">
      <w:pPr>
        <w:spacing w:after="0" w:line="240" w:lineRule="auto"/>
        <w:ind w:firstLine="567"/>
        <w:jc w:val="center"/>
        <w:rPr>
          <w:rFonts w:ascii="Arial" w:eastAsiaTheme="minorHAnsi" w:hAnsi="Arial" w:cs="Arial"/>
          <w:sz w:val="26"/>
          <w:szCs w:val="26"/>
          <w:lang w:eastAsia="en-US"/>
        </w:rPr>
      </w:pPr>
    </w:p>
    <w:p w14:paraId="3532F3FC" w14:textId="77777777" w:rsidR="00EE16B2" w:rsidRDefault="00EE16B2" w:rsidP="00EE16B2">
      <w:pPr>
        <w:spacing w:after="0" w:line="240" w:lineRule="auto"/>
        <w:ind w:firstLine="567"/>
        <w:jc w:val="center"/>
        <w:rPr>
          <w:rFonts w:ascii="Arial" w:eastAsiaTheme="minorHAnsi" w:hAnsi="Arial" w:cs="Arial"/>
          <w:sz w:val="26"/>
          <w:szCs w:val="26"/>
          <w:lang w:eastAsia="en-US"/>
        </w:rPr>
      </w:pPr>
    </w:p>
    <w:p w14:paraId="7EC6DD44" w14:textId="77777777" w:rsidR="00EE16B2" w:rsidRDefault="00EE16B2" w:rsidP="00EE16B2">
      <w:pPr>
        <w:spacing w:after="0" w:line="240" w:lineRule="auto"/>
        <w:rPr>
          <w:rFonts w:ascii="Arial" w:eastAsiaTheme="minorHAnsi" w:hAnsi="Arial" w:cs="Arial"/>
          <w:sz w:val="26"/>
          <w:szCs w:val="26"/>
          <w:lang w:eastAsia="en-US"/>
        </w:rPr>
      </w:pPr>
    </w:p>
    <w:p w14:paraId="2E2367ED" w14:textId="77777777" w:rsidR="00EE16B2" w:rsidRDefault="00EE16B2" w:rsidP="00EE16B2">
      <w:pPr>
        <w:spacing w:after="0" w:line="240" w:lineRule="auto"/>
        <w:rPr>
          <w:rFonts w:ascii="Arial" w:eastAsiaTheme="minorHAnsi" w:hAnsi="Arial" w:cs="Arial"/>
          <w:sz w:val="26"/>
          <w:szCs w:val="26"/>
          <w:lang w:eastAsia="en-US"/>
        </w:rPr>
      </w:pPr>
    </w:p>
    <w:p w14:paraId="5A653A2C" w14:textId="6F8BFC59" w:rsidR="00DE5280" w:rsidRDefault="00DE5280" w:rsidP="00EE16B2">
      <w:pPr>
        <w:spacing w:line="240" w:lineRule="auto"/>
        <w:ind w:firstLine="567"/>
        <w:jc w:val="center"/>
        <w:rPr>
          <w:rFonts w:ascii="Arial" w:eastAsiaTheme="minorHAnsi" w:hAnsi="Arial" w:cs="Arial"/>
          <w:sz w:val="26"/>
          <w:szCs w:val="26"/>
          <w:lang w:eastAsia="en-US"/>
        </w:rPr>
      </w:pPr>
    </w:p>
    <w:p w14:paraId="685CC815" w14:textId="77777777" w:rsidR="00DE5280" w:rsidRDefault="00DE5280" w:rsidP="00EE16B2">
      <w:pPr>
        <w:spacing w:line="240" w:lineRule="auto"/>
        <w:ind w:firstLine="567"/>
        <w:jc w:val="center"/>
        <w:rPr>
          <w:rFonts w:ascii="Arial" w:eastAsiaTheme="minorHAnsi" w:hAnsi="Arial" w:cs="Arial"/>
          <w:sz w:val="26"/>
          <w:szCs w:val="26"/>
          <w:lang w:eastAsia="en-US"/>
        </w:rPr>
      </w:pPr>
    </w:p>
    <w:p w14:paraId="50435C55" w14:textId="77777777" w:rsidR="00DE5280" w:rsidRDefault="00DE5280" w:rsidP="00EE16B2">
      <w:pPr>
        <w:spacing w:line="240" w:lineRule="auto"/>
        <w:ind w:firstLine="567"/>
        <w:jc w:val="center"/>
        <w:rPr>
          <w:rFonts w:ascii="Arial" w:eastAsiaTheme="minorHAnsi" w:hAnsi="Arial" w:cs="Arial"/>
          <w:sz w:val="26"/>
          <w:szCs w:val="26"/>
          <w:lang w:eastAsia="en-US"/>
        </w:rPr>
      </w:pPr>
    </w:p>
    <w:p w14:paraId="5AC72624" w14:textId="77777777" w:rsidR="00EE16B2" w:rsidRDefault="00EE16B2" w:rsidP="00EE16B2">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250F165C" w14:textId="77777777" w:rsidR="00EE16B2" w:rsidRDefault="00EE16B2" w:rsidP="00EE16B2">
      <w:pPr>
        <w:spacing w:after="120"/>
        <w:jc w:val="center"/>
        <w:rPr>
          <w:rFonts w:ascii="Arial" w:eastAsiaTheme="minorHAnsi" w:hAnsi="Arial" w:cs="Arial"/>
          <w:sz w:val="26"/>
          <w:szCs w:val="26"/>
          <w:lang w:eastAsia="en-US"/>
        </w:rPr>
      </w:pPr>
    </w:p>
    <w:p w14:paraId="4ED994BF" w14:textId="77777777" w:rsidR="00EE16B2" w:rsidRDefault="00EE16B2" w:rsidP="00EE16B2">
      <w:pPr>
        <w:spacing w:after="120"/>
        <w:jc w:val="center"/>
        <w:rPr>
          <w:rFonts w:ascii="Arial" w:eastAsiaTheme="minorHAnsi" w:hAnsi="Arial" w:cs="Arial"/>
          <w:sz w:val="26"/>
          <w:szCs w:val="26"/>
          <w:lang w:eastAsia="en-US"/>
        </w:rPr>
      </w:pPr>
    </w:p>
    <w:p w14:paraId="0C2C4E9D" w14:textId="77777777" w:rsidR="00EE16B2" w:rsidRDefault="00EE16B2" w:rsidP="00EE16B2">
      <w:pPr>
        <w:spacing w:after="120"/>
        <w:jc w:val="center"/>
        <w:rPr>
          <w:rFonts w:ascii="Arial" w:eastAsiaTheme="minorHAnsi" w:hAnsi="Arial" w:cs="Arial"/>
          <w:sz w:val="26"/>
          <w:szCs w:val="26"/>
          <w:lang w:eastAsia="en-US"/>
        </w:rPr>
      </w:pPr>
    </w:p>
    <w:p w14:paraId="1AD08DBE" w14:textId="77777777" w:rsidR="00EE16B2" w:rsidRDefault="00EE16B2" w:rsidP="00EE16B2">
      <w:pPr>
        <w:spacing w:after="120"/>
        <w:jc w:val="center"/>
        <w:rPr>
          <w:rFonts w:ascii="Arial" w:eastAsiaTheme="minorHAnsi" w:hAnsi="Arial" w:cs="Arial"/>
          <w:sz w:val="26"/>
          <w:szCs w:val="26"/>
          <w:lang w:eastAsia="en-US"/>
        </w:rPr>
      </w:pPr>
    </w:p>
    <w:p w14:paraId="4DDA680C" w14:textId="77777777" w:rsidR="00EE16B2" w:rsidRDefault="00EE16B2" w:rsidP="00EE16B2">
      <w:pPr>
        <w:tabs>
          <w:tab w:val="left" w:pos="1680"/>
          <w:tab w:val="center" w:pos="4277"/>
        </w:tabs>
        <w:spacing w:after="120" w:line="360" w:lineRule="auto"/>
        <w:jc w:val="center"/>
        <w:rPr>
          <w:rFonts w:ascii="Arial" w:eastAsiaTheme="minorHAnsi" w:hAnsi="Arial" w:cs="Arial"/>
          <w:b/>
          <w:sz w:val="16"/>
          <w:szCs w:val="16"/>
          <w:lang w:eastAsia="en-US"/>
        </w:rPr>
      </w:pPr>
    </w:p>
    <w:p w14:paraId="4CE076FF" w14:textId="77777777" w:rsidR="00EE16B2" w:rsidRDefault="00EE16B2" w:rsidP="00EE16B2">
      <w:pPr>
        <w:spacing w:after="120"/>
        <w:rPr>
          <w:rFonts w:ascii="Arial" w:eastAsiaTheme="minorHAnsi" w:hAnsi="Arial" w:cs="Arial"/>
          <w:sz w:val="26"/>
          <w:szCs w:val="26"/>
          <w:lang w:eastAsia="en-US"/>
        </w:rPr>
      </w:pPr>
    </w:p>
    <w:p w14:paraId="2FE1FEEC" w14:textId="77777777" w:rsidR="00EE16B2" w:rsidRDefault="00EE16B2" w:rsidP="00EE16B2">
      <w:pPr>
        <w:spacing w:after="120"/>
        <w:rPr>
          <w:rFonts w:ascii="Arial" w:eastAsiaTheme="minorHAnsi" w:hAnsi="Arial" w:cs="Arial"/>
          <w:sz w:val="26"/>
          <w:szCs w:val="26"/>
          <w:lang w:eastAsia="en-US"/>
        </w:rPr>
      </w:pPr>
    </w:p>
    <w:p w14:paraId="0BFD763C"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606D7FC6" w14:textId="77777777" w:rsidR="00BF2920" w:rsidRDefault="00BF2920" w:rsidP="00BF292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w:t>
      </w:r>
      <w:bookmarkStart w:id="5" w:name="_GoBack"/>
      <w:bookmarkEnd w:id="5"/>
      <w:r>
        <w:rPr>
          <w:rFonts w:ascii="Arial" w:eastAsiaTheme="minorHAnsi" w:hAnsi="Arial" w:cs="Arial"/>
          <w:b/>
          <w:sz w:val="16"/>
          <w:szCs w:val="16"/>
          <w:lang w:eastAsia="en-US"/>
        </w:rPr>
        <w:t>SOLUCIÓN DEL RECURSO DE REVISIÓN 0249/2022.</w:t>
      </w:r>
    </w:p>
    <w:p w14:paraId="15AD8EC0" w14:textId="77777777" w:rsidR="00EE16B2" w:rsidRDefault="00EE16B2" w:rsidP="00EE16B2">
      <w:pPr>
        <w:spacing w:after="120"/>
        <w:rPr>
          <w:rFonts w:ascii="Arial" w:eastAsiaTheme="minorHAnsi" w:hAnsi="Arial" w:cs="Arial"/>
          <w:sz w:val="26"/>
          <w:szCs w:val="26"/>
          <w:lang w:eastAsia="en-US"/>
        </w:rPr>
      </w:pPr>
    </w:p>
    <w:p w14:paraId="3E4A2302"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3D2DD39A"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221B868D" w14:textId="4339FD53"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15058D44"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11092C78"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27FBA501" w14:textId="77777777" w:rsidR="00EE16B2" w:rsidRDefault="00EE16B2" w:rsidP="00EE16B2">
      <w:pPr>
        <w:tabs>
          <w:tab w:val="left" w:pos="1680"/>
          <w:tab w:val="center" w:pos="4277"/>
        </w:tabs>
        <w:spacing w:after="120" w:line="360" w:lineRule="auto"/>
        <w:jc w:val="center"/>
        <w:rPr>
          <w:rFonts w:ascii="Arial" w:eastAsiaTheme="minorHAnsi" w:hAnsi="Arial" w:cs="Arial"/>
          <w:b/>
          <w:sz w:val="16"/>
          <w:szCs w:val="16"/>
          <w:lang w:eastAsia="en-US"/>
        </w:rPr>
      </w:pPr>
    </w:p>
    <w:p w14:paraId="7BF5CDAF" w14:textId="77777777" w:rsidR="00EE16B2" w:rsidRDefault="00EE16B2" w:rsidP="00EE16B2">
      <w:pPr>
        <w:tabs>
          <w:tab w:val="left" w:pos="1680"/>
          <w:tab w:val="center" w:pos="4277"/>
        </w:tabs>
        <w:spacing w:after="120" w:line="360" w:lineRule="auto"/>
        <w:jc w:val="center"/>
        <w:rPr>
          <w:rFonts w:ascii="Arial" w:eastAsiaTheme="minorHAnsi" w:hAnsi="Arial" w:cs="Arial"/>
          <w:b/>
          <w:sz w:val="16"/>
          <w:szCs w:val="16"/>
          <w:lang w:eastAsia="en-US"/>
        </w:rPr>
      </w:pPr>
    </w:p>
    <w:p w14:paraId="1FE0A6DD"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086E4288"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22DB6140"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552E907E"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66A0D1C"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5D85D51E"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724DDA1B" w14:textId="77777777" w:rsidR="00EE16B2" w:rsidRDefault="00EE16B2" w:rsidP="00EE16B2">
      <w:pPr>
        <w:tabs>
          <w:tab w:val="left" w:pos="1680"/>
          <w:tab w:val="center" w:pos="4277"/>
        </w:tabs>
        <w:spacing w:after="120" w:line="360" w:lineRule="auto"/>
        <w:jc w:val="center"/>
        <w:rPr>
          <w:rFonts w:ascii="Arial" w:eastAsiaTheme="minorHAnsi" w:hAnsi="Arial" w:cs="Arial"/>
          <w:sz w:val="26"/>
          <w:szCs w:val="26"/>
          <w:lang w:eastAsia="en-US"/>
        </w:rPr>
      </w:pPr>
    </w:p>
    <w:p w14:paraId="7C264BC6" w14:textId="77777777" w:rsidR="00DE5280" w:rsidRDefault="00DE5280" w:rsidP="00EE16B2">
      <w:pPr>
        <w:spacing w:after="0" w:line="240" w:lineRule="auto"/>
        <w:jc w:val="center"/>
        <w:rPr>
          <w:rFonts w:ascii="Arial" w:eastAsiaTheme="minorHAnsi" w:hAnsi="Arial" w:cs="Arial"/>
          <w:sz w:val="26"/>
          <w:szCs w:val="26"/>
          <w:lang w:eastAsia="en-US"/>
        </w:rPr>
      </w:pPr>
    </w:p>
    <w:p w14:paraId="4E619BA1" w14:textId="4A74C13E" w:rsidR="00EE16B2" w:rsidRDefault="00EE16B2" w:rsidP="00EE16B2">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119C4030" w14:textId="77777777" w:rsidR="00EE16B2" w:rsidRDefault="00EE16B2" w:rsidP="00EE16B2">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3CF1E384" w14:textId="32573CF7" w:rsidR="00372D4A" w:rsidRPr="00372D4A" w:rsidRDefault="00372D4A" w:rsidP="00EE16B2">
      <w:pPr>
        <w:tabs>
          <w:tab w:val="left" w:pos="1680"/>
          <w:tab w:val="center" w:pos="4277"/>
        </w:tabs>
        <w:spacing w:line="360" w:lineRule="auto"/>
        <w:jc w:val="both"/>
        <w:rPr>
          <w:rFonts w:ascii="Arial" w:hAnsi="Arial" w:cs="Arial"/>
          <w:sz w:val="26"/>
          <w:szCs w:val="26"/>
        </w:rPr>
      </w:pPr>
      <w:r w:rsidRPr="00372D4A">
        <w:rPr>
          <w:rFonts w:ascii="Arial" w:hAnsi="Arial" w:cs="Arial"/>
          <w:sz w:val="26"/>
          <w:szCs w:val="26"/>
        </w:rPr>
        <w:tab/>
      </w:r>
    </w:p>
    <w:p w14:paraId="26B205E9" w14:textId="77777777" w:rsidR="00372D4A" w:rsidRPr="00372D4A" w:rsidRDefault="00372D4A" w:rsidP="00372D4A">
      <w:pPr>
        <w:spacing w:before="240" w:line="360" w:lineRule="auto"/>
        <w:ind w:firstLine="708"/>
        <w:jc w:val="both"/>
        <w:rPr>
          <w:rFonts w:ascii="Arial" w:hAnsi="Arial" w:cs="Arial"/>
          <w:sz w:val="26"/>
          <w:szCs w:val="26"/>
        </w:rPr>
      </w:pPr>
    </w:p>
    <w:p w14:paraId="16999603" w14:textId="77777777" w:rsidR="00372D4A" w:rsidRPr="00372D4A" w:rsidRDefault="00372D4A" w:rsidP="00372D4A">
      <w:r w:rsidRPr="00372D4A">
        <w:t xml:space="preserve"> </w:t>
      </w:r>
    </w:p>
    <w:p w14:paraId="1D6BAA3A" w14:textId="0A885D88" w:rsidR="007A2758" w:rsidRPr="00C91F07" w:rsidRDefault="007A2758" w:rsidP="00372D4A">
      <w:pPr>
        <w:spacing w:after="0" w:line="240" w:lineRule="auto"/>
        <w:jc w:val="both"/>
        <w:rPr>
          <w:sz w:val="26"/>
          <w:szCs w:val="26"/>
        </w:rPr>
      </w:pPr>
    </w:p>
    <w:sectPr w:rsidR="007A2758" w:rsidRPr="00C91F07" w:rsidSect="0085265D">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AC215" w14:textId="77777777" w:rsidR="00905372" w:rsidRDefault="00905372">
      <w:pPr>
        <w:spacing w:after="0" w:line="240" w:lineRule="auto"/>
      </w:pPr>
      <w:r>
        <w:separator/>
      </w:r>
    </w:p>
  </w:endnote>
  <w:endnote w:type="continuationSeparator" w:id="0">
    <w:p w14:paraId="1FF30084" w14:textId="77777777" w:rsidR="00905372" w:rsidRDefault="00905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5FB7C" w14:textId="77777777" w:rsidR="00905372" w:rsidRDefault="00905372">
      <w:pPr>
        <w:spacing w:after="0" w:line="240" w:lineRule="auto"/>
      </w:pPr>
      <w:r>
        <w:separator/>
      </w:r>
    </w:p>
  </w:footnote>
  <w:footnote w:type="continuationSeparator" w:id="0">
    <w:p w14:paraId="5963E22F" w14:textId="77777777" w:rsidR="00905372" w:rsidRDefault="00905372">
      <w:pPr>
        <w:spacing w:after="0" w:line="240" w:lineRule="auto"/>
      </w:pPr>
      <w:r>
        <w:continuationSeparator/>
      </w:r>
    </w:p>
  </w:footnote>
  <w:footnote w:id="1">
    <w:p w14:paraId="1D1CA6D1" w14:textId="77777777" w:rsidR="00372D4A" w:rsidRPr="00FE676C" w:rsidRDefault="00372D4A" w:rsidP="00372D4A">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6F385C77" w14:textId="77777777" w:rsidR="00372D4A" w:rsidRPr="00FE676C" w:rsidRDefault="00372D4A" w:rsidP="00372D4A">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60403871" w14:textId="4BDA5B3C" w:rsidR="00372D4A" w:rsidRPr="003E515C" w:rsidRDefault="00372D4A" w:rsidP="00372D4A">
      <w:pPr>
        <w:pStyle w:val="Textonotapie"/>
        <w:jc w:val="both"/>
        <w:rPr>
          <w:rFonts w:ascii="Arial" w:hAnsi="Arial" w:cs="Arial"/>
        </w:rPr>
      </w:pPr>
      <w:r w:rsidRPr="003E515C">
        <w:rPr>
          <w:rStyle w:val="Refdenotaalpie"/>
          <w:rFonts w:ascii="Arial" w:hAnsi="Arial" w:cs="Arial"/>
        </w:rPr>
        <w:footnoteRef/>
      </w:r>
      <w:r w:rsidRPr="003E515C">
        <w:rPr>
          <w:rFonts w:ascii="Arial" w:hAnsi="Arial" w:cs="Arial"/>
        </w:rPr>
        <w:t xml:space="preserve"> Consult</w:t>
      </w:r>
      <w:r>
        <w:rPr>
          <w:rFonts w:ascii="Arial" w:hAnsi="Arial" w:cs="Arial"/>
        </w:rPr>
        <w:t>able de la foja 01 (uno) a la 13</w:t>
      </w:r>
      <w:r w:rsidRPr="003E515C">
        <w:rPr>
          <w:rFonts w:ascii="Arial" w:hAnsi="Arial" w:cs="Arial"/>
        </w:rPr>
        <w:t xml:space="preserve"> (</w:t>
      </w:r>
      <w:r>
        <w:rPr>
          <w:rFonts w:ascii="Arial" w:hAnsi="Arial" w:cs="Arial"/>
        </w:rPr>
        <w:t>tre</w:t>
      </w:r>
      <w:r w:rsidRPr="003E515C">
        <w:rPr>
          <w:rFonts w:ascii="Arial" w:hAnsi="Arial" w:cs="Arial"/>
        </w:rPr>
        <w:t xml:space="preserve">ce) del expediente </w:t>
      </w:r>
      <w:r>
        <w:rPr>
          <w:rFonts w:ascii="Arial" w:hAnsi="Arial" w:cs="Arial"/>
          <w:b/>
          <w:bCs/>
        </w:rPr>
        <w:t>0068</w:t>
      </w:r>
      <w:r w:rsidR="00C35A15">
        <w:rPr>
          <w:rFonts w:ascii="Arial" w:hAnsi="Arial" w:cs="Arial"/>
          <w:b/>
          <w:bCs/>
        </w:rPr>
        <w:t>/2022</w:t>
      </w:r>
      <w:r w:rsidRPr="003E515C">
        <w:rPr>
          <w:rFonts w:ascii="Arial" w:hAnsi="Arial" w:cs="Arial"/>
        </w:rPr>
        <w:t xml:space="preserve"> del índice de la </w:t>
      </w:r>
      <w:r>
        <w:rPr>
          <w:rFonts w:ascii="Arial" w:hAnsi="Arial" w:cs="Arial"/>
        </w:rPr>
        <w:t xml:space="preserve">Cuarta </w:t>
      </w:r>
      <w:r w:rsidRPr="003E515C">
        <w:rPr>
          <w:rFonts w:ascii="Arial" w:hAnsi="Arial" w:cs="Arial"/>
        </w:rPr>
        <w:t>Sala Unitaria de Primera Instancia.</w:t>
      </w:r>
    </w:p>
  </w:footnote>
  <w:footnote w:id="3">
    <w:p w14:paraId="1AC22098" w14:textId="7B249DCE" w:rsidR="00372D4A" w:rsidRPr="00372D4A" w:rsidRDefault="00372D4A" w:rsidP="00372D4A">
      <w:pPr>
        <w:pStyle w:val="Textonotapie"/>
        <w:jc w:val="both"/>
        <w:rPr>
          <w:rFonts w:ascii="Arial" w:hAnsi="Arial" w:cs="Arial"/>
          <w:i/>
        </w:rPr>
      </w:pPr>
      <w:r w:rsidRPr="00EA7357">
        <w:rPr>
          <w:rStyle w:val="Refdenotaalpie"/>
          <w:rFonts w:ascii="Arial" w:hAnsi="Arial" w:cs="Arial"/>
        </w:rPr>
        <w:footnoteRef/>
      </w:r>
      <w:r w:rsidRPr="00EA7357">
        <w:rPr>
          <w:rFonts w:ascii="Arial" w:hAnsi="Arial" w:cs="Arial"/>
        </w:rPr>
        <w:t xml:space="preserve"> </w:t>
      </w:r>
      <w:r>
        <w:rPr>
          <w:rFonts w:ascii="Arial" w:hAnsi="Arial" w:cs="Arial"/>
        </w:rPr>
        <w:t>A</w:t>
      </w:r>
      <w:r w:rsidRPr="00EA7357">
        <w:rPr>
          <w:rFonts w:ascii="Arial" w:hAnsi="Arial" w:cs="Arial"/>
        </w:rPr>
        <w:t>gregado de la foja 1</w:t>
      </w:r>
      <w:r>
        <w:rPr>
          <w:rFonts w:ascii="Arial" w:hAnsi="Arial" w:cs="Arial"/>
        </w:rPr>
        <w:t>4</w:t>
      </w:r>
      <w:r w:rsidRPr="00EA7357">
        <w:rPr>
          <w:rFonts w:ascii="Arial" w:hAnsi="Arial" w:cs="Arial"/>
        </w:rPr>
        <w:t xml:space="preserve"> (</w:t>
      </w:r>
      <w:r>
        <w:rPr>
          <w:rFonts w:ascii="Arial" w:hAnsi="Arial" w:cs="Arial"/>
        </w:rPr>
        <w:t>catorce</w:t>
      </w:r>
      <w:r w:rsidRPr="00EA7357">
        <w:rPr>
          <w:rFonts w:ascii="Arial" w:hAnsi="Arial" w:cs="Arial"/>
        </w:rPr>
        <w:t xml:space="preserve">) a </w:t>
      </w:r>
      <w:r>
        <w:rPr>
          <w:rFonts w:ascii="Arial" w:hAnsi="Arial" w:cs="Arial"/>
        </w:rPr>
        <w:t>la 19</w:t>
      </w:r>
      <w:r w:rsidRPr="00EA7357">
        <w:rPr>
          <w:rFonts w:ascii="Arial" w:hAnsi="Arial" w:cs="Arial"/>
        </w:rPr>
        <w:t xml:space="preserve"> (dieci</w:t>
      </w:r>
      <w:r>
        <w:rPr>
          <w:rFonts w:ascii="Arial" w:hAnsi="Arial" w:cs="Arial"/>
        </w:rPr>
        <w:t xml:space="preserve">nueve), </w:t>
      </w:r>
      <w:r w:rsidRPr="00372D4A">
        <w:rPr>
          <w:rFonts w:ascii="Arial" w:hAnsi="Arial" w:cs="Arial"/>
          <w:i/>
        </w:rPr>
        <w:t>ibídem.</w:t>
      </w:r>
    </w:p>
  </w:footnote>
  <w:footnote w:id="4">
    <w:p w14:paraId="24691D05" w14:textId="77777777" w:rsidR="00372D4A" w:rsidRPr="002A5B9B" w:rsidRDefault="00372D4A" w:rsidP="00372D4A">
      <w:pPr>
        <w:pStyle w:val="Default"/>
        <w:rPr>
          <w:i/>
          <w:sz w:val="20"/>
          <w:szCs w:val="20"/>
          <w:lang w:val="es-ES"/>
        </w:rPr>
      </w:pPr>
      <w:r>
        <w:rPr>
          <w:rStyle w:val="Refdenotaalpie"/>
        </w:rPr>
        <w:footnoteRef/>
      </w:r>
      <w:r>
        <w:t xml:space="preserve"> </w:t>
      </w:r>
      <w:r w:rsidRPr="002A5B9B">
        <w:rPr>
          <w:i/>
          <w:sz w:val="20"/>
          <w:szCs w:val="20"/>
        </w:rPr>
        <w:t>“</w:t>
      </w:r>
      <w:r w:rsidRPr="002A5B9B">
        <w:rPr>
          <w:b/>
          <w:bCs/>
          <w:i/>
          <w:sz w:val="20"/>
          <w:szCs w:val="20"/>
          <w:lang w:val="es-ES"/>
        </w:rPr>
        <w:t xml:space="preserve">Artículo 24.- </w:t>
      </w:r>
      <w:r w:rsidRPr="002A5B9B">
        <w:rPr>
          <w:i/>
          <w:sz w:val="20"/>
          <w:szCs w:val="20"/>
          <w:lang w:val="es-ES"/>
        </w:rPr>
        <w:t xml:space="preserve">Son atribuciones de la Sala Superior: </w:t>
      </w:r>
    </w:p>
    <w:p w14:paraId="6F8B0C53" w14:textId="77777777" w:rsidR="00372D4A" w:rsidRPr="002A5B9B" w:rsidRDefault="00372D4A" w:rsidP="00372D4A">
      <w:pPr>
        <w:autoSpaceDE w:val="0"/>
        <w:autoSpaceDN w:val="0"/>
        <w:adjustRightInd w:val="0"/>
        <w:spacing w:after="0" w:line="240" w:lineRule="auto"/>
        <w:rPr>
          <w:rFonts w:ascii="Arial" w:hAnsi="Arial" w:cs="Arial"/>
          <w:i/>
          <w:color w:val="000000"/>
          <w:sz w:val="20"/>
          <w:szCs w:val="20"/>
          <w:lang w:val="es-ES"/>
        </w:rPr>
      </w:pPr>
      <w:r w:rsidRPr="002A5B9B">
        <w:rPr>
          <w:rFonts w:ascii="Arial" w:hAnsi="Arial" w:cs="Arial"/>
          <w:i/>
          <w:color w:val="000000"/>
          <w:sz w:val="20"/>
          <w:szCs w:val="20"/>
          <w:lang w:val="es-ES"/>
        </w:rPr>
        <w:t xml:space="preserve">I. Resolver el recurso de revisión y Juicio de Inconformidad previstos en la Ley;” </w:t>
      </w:r>
    </w:p>
    <w:p w14:paraId="4464BF3E" w14:textId="77777777" w:rsidR="00372D4A" w:rsidRPr="002A5B9B" w:rsidRDefault="00372D4A" w:rsidP="00372D4A">
      <w:pPr>
        <w:pStyle w:val="Textonotapie"/>
        <w:rPr>
          <w:i/>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E71233" w:rsidR="000F5C41" w:rsidRDefault="00BF292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F2920">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6DE311F" w:rsidR="000F5C41" w:rsidRDefault="00BF292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F2920">
          <w:rPr>
            <w:noProof/>
            <w:lang w:val="es-ES"/>
          </w:rPr>
          <w:t>13</w:t>
        </w:r>
        <w:r w:rsidR="000F5C41">
          <w:fldChar w:fldCharType="end"/>
        </w:r>
      </w:sdtContent>
    </w:sdt>
  </w:p>
  <w:p w14:paraId="51E22156" w14:textId="4CC5CF52" w:rsidR="00655BA3" w:rsidRDefault="00BF292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237666D" wp14:editId="6C42766B">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26161A2" w14:textId="77777777" w:rsidR="00BF2920" w:rsidRDefault="00BF2920" w:rsidP="00BF292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7666D"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026161A2" w14:textId="77777777" w:rsidR="00BF2920" w:rsidRDefault="00BF2920" w:rsidP="00BF292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F292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3AD"/>
    <w:rsid w:val="0000488B"/>
    <w:rsid w:val="00005B69"/>
    <w:rsid w:val="00005BCB"/>
    <w:rsid w:val="00005EA0"/>
    <w:rsid w:val="0000608C"/>
    <w:rsid w:val="00007105"/>
    <w:rsid w:val="00007296"/>
    <w:rsid w:val="00007E09"/>
    <w:rsid w:val="00007EFD"/>
    <w:rsid w:val="00007FD5"/>
    <w:rsid w:val="000106FE"/>
    <w:rsid w:val="00011D42"/>
    <w:rsid w:val="000121A9"/>
    <w:rsid w:val="000126F6"/>
    <w:rsid w:val="00012918"/>
    <w:rsid w:val="00012DC1"/>
    <w:rsid w:val="00012E2B"/>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2B"/>
    <w:rsid w:val="000264DD"/>
    <w:rsid w:val="00026C11"/>
    <w:rsid w:val="00026CC5"/>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550"/>
    <w:rsid w:val="000B674B"/>
    <w:rsid w:val="000B6B86"/>
    <w:rsid w:val="000B6EF2"/>
    <w:rsid w:val="000B71FE"/>
    <w:rsid w:val="000B77B4"/>
    <w:rsid w:val="000B7A3A"/>
    <w:rsid w:val="000C02A9"/>
    <w:rsid w:val="000C0569"/>
    <w:rsid w:val="000C1E6B"/>
    <w:rsid w:val="000C238B"/>
    <w:rsid w:val="000C2764"/>
    <w:rsid w:val="000C3DC9"/>
    <w:rsid w:val="000C4139"/>
    <w:rsid w:val="000C4533"/>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24E8"/>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1A1"/>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41EB"/>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F3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3C27"/>
    <w:rsid w:val="001E4C02"/>
    <w:rsid w:val="001E65E8"/>
    <w:rsid w:val="001E6AE5"/>
    <w:rsid w:val="001E7020"/>
    <w:rsid w:val="001E71FD"/>
    <w:rsid w:val="001E77A9"/>
    <w:rsid w:val="001E7BD1"/>
    <w:rsid w:val="001F012E"/>
    <w:rsid w:val="001F1C43"/>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EDF"/>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750"/>
    <w:rsid w:val="00270831"/>
    <w:rsid w:val="0027275E"/>
    <w:rsid w:val="00272A7D"/>
    <w:rsid w:val="00273171"/>
    <w:rsid w:val="00273266"/>
    <w:rsid w:val="002748AA"/>
    <w:rsid w:val="00275418"/>
    <w:rsid w:val="00276E57"/>
    <w:rsid w:val="002805AC"/>
    <w:rsid w:val="00280919"/>
    <w:rsid w:val="00281661"/>
    <w:rsid w:val="00282C81"/>
    <w:rsid w:val="002834A7"/>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ADF"/>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08A"/>
    <w:rsid w:val="002D626E"/>
    <w:rsid w:val="002D6E4D"/>
    <w:rsid w:val="002D702E"/>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A9D"/>
    <w:rsid w:val="00315BA3"/>
    <w:rsid w:val="00316707"/>
    <w:rsid w:val="003177AC"/>
    <w:rsid w:val="00317B07"/>
    <w:rsid w:val="00317BDE"/>
    <w:rsid w:val="00317DC3"/>
    <w:rsid w:val="00320384"/>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37F4D"/>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29F"/>
    <w:rsid w:val="003509B6"/>
    <w:rsid w:val="00350B13"/>
    <w:rsid w:val="00351FF7"/>
    <w:rsid w:val="00352CC2"/>
    <w:rsid w:val="00352DE7"/>
    <w:rsid w:val="0035300A"/>
    <w:rsid w:val="0035347E"/>
    <w:rsid w:val="003549F9"/>
    <w:rsid w:val="00355E72"/>
    <w:rsid w:val="0035659D"/>
    <w:rsid w:val="0036085B"/>
    <w:rsid w:val="003611E4"/>
    <w:rsid w:val="0036133D"/>
    <w:rsid w:val="00361511"/>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2D4A"/>
    <w:rsid w:val="00374012"/>
    <w:rsid w:val="003743D7"/>
    <w:rsid w:val="003749C0"/>
    <w:rsid w:val="003750D6"/>
    <w:rsid w:val="003752B5"/>
    <w:rsid w:val="0037599C"/>
    <w:rsid w:val="00375FDD"/>
    <w:rsid w:val="0037725F"/>
    <w:rsid w:val="003775F7"/>
    <w:rsid w:val="003804A7"/>
    <w:rsid w:val="00381DC3"/>
    <w:rsid w:val="0038228C"/>
    <w:rsid w:val="00382BDE"/>
    <w:rsid w:val="003859C4"/>
    <w:rsid w:val="00385B11"/>
    <w:rsid w:val="00385EA5"/>
    <w:rsid w:val="00386F92"/>
    <w:rsid w:val="003874C3"/>
    <w:rsid w:val="00387725"/>
    <w:rsid w:val="00387C65"/>
    <w:rsid w:val="00390552"/>
    <w:rsid w:val="00390CDE"/>
    <w:rsid w:val="00391311"/>
    <w:rsid w:val="00392B20"/>
    <w:rsid w:val="00394516"/>
    <w:rsid w:val="003961E1"/>
    <w:rsid w:val="003974F9"/>
    <w:rsid w:val="003A051F"/>
    <w:rsid w:val="003A0AA1"/>
    <w:rsid w:val="003A0FE5"/>
    <w:rsid w:val="003A24EC"/>
    <w:rsid w:val="003A3EA0"/>
    <w:rsid w:val="003A5C88"/>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C47"/>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2A4"/>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715"/>
    <w:rsid w:val="004D5934"/>
    <w:rsid w:val="004D5E04"/>
    <w:rsid w:val="004D6148"/>
    <w:rsid w:val="004D66F7"/>
    <w:rsid w:val="004D6E5E"/>
    <w:rsid w:val="004D79AB"/>
    <w:rsid w:val="004E0DB7"/>
    <w:rsid w:val="004E0F78"/>
    <w:rsid w:val="004E1237"/>
    <w:rsid w:val="004E13BA"/>
    <w:rsid w:val="004E1A6E"/>
    <w:rsid w:val="004E1B12"/>
    <w:rsid w:val="004E32FC"/>
    <w:rsid w:val="004E3E15"/>
    <w:rsid w:val="004E4A63"/>
    <w:rsid w:val="004E531A"/>
    <w:rsid w:val="004E6061"/>
    <w:rsid w:val="004E6502"/>
    <w:rsid w:val="004E744E"/>
    <w:rsid w:val="004E77F6"/>
    <w:rsid w:val="004F026D"/>
    <w:rsid w:val="004F0402"/>
    <w:rsid w:val="004F07B7"/>
    <w:rsid w:val="004F12C9"/>
    <w:rsid w:val="004F1B13"/>
    <w:rsid w:val="004F2870"/>
    <w:rsid w:val="004F28AC"/>
    <w:rsid w:val="004F2A92"/>
    <w:rsid w:val="004F2E5D"/>
    <w:rsid w:val="004F2E7C"/>
    <w:rsid w:val="004F35C5"/>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82E"/>
    <w:rsid w:val="00506A1C"/>
    <w:rsid w:val="0050734D"/>
    <w:rsid w:val="00507AB3"/>
    <w:rsid w:val="00510956"/>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2ED"/>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2AA"/>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3773"/>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7B8"/>
    <w:rsid w:val="00585931"/>
    <w:rsid w:val="0058621D"/>
    <w:rsid w:val="00586D72"/>
    <w:rsid w:val="00586E4F"/>
    <w:rsid w:val="00587330"/>
    <w:rsid w:val="0058783F"/>
    <w:rsid w:val="00587984"/>
    <w:rsid w:val="00587A84"/>
    <w:rsid w:val="00590AF7"/>
    <w:rsid w:val="00590C17"/>
    <w:rsid w:val="00592360"/>
    <w:rsid w:val="00593333"/>
    <w:rsid w:val="005960D3"/>
    <w:rsid w:val="005973A7"/>
    <w:rsid w:val="005A0825"/>
    <w:rsid w:val="005A09A3"/>
    <w:rsid w:val="005A1798"/>
    <w:rsid w:val="005A1FEE"/>
    <w:rsid w:val="005A273F"/>
    <w:rsid w:val="005A3182"/>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49A"/>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A8C"/>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1C25"/>
    <w:rsid w:val="00672CE0"/>
    <w:rsid w:val="00672F8D"/>
    <w:rsid w:val="006730DE"/>
    <w:rsid w:val="006730F3"/>
    <w:rsid w:val="00673B33"/>
    <w:rsid w:val="00673B84"/>
    <w:rsid w:val="006747AB"/>
    <w:rsid w:val="00676465"/>
    <w:rsid w:val="006775C4"/>
    <w:rsid w:val="0068056E"/>
    <w:rsid w:val="00681AC1"/>
    <w:rsid w:val="00681EE7"/>
    <w:rsid w:val="00682165"/>
    <w:rsid w:val="00683178"/>
    <w:rsid w:val="0068325D"/>
    <w:rsid w:val="00684F50"/>
    <w:rsid w:val="00685785"/>
    <w:rsid w:val="00686F6A"/>
    <w:rsid w:val="006870F7"/>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5E89"/>
    <w:rsid w:val="006D668F"/>
    <w:rsid w:val="006E0406"/>
    <w:rsid w:val="006E05C7"/>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BCC"/>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6E54"/>
    <w:rsid w:val="00757070"/>
    <w:rsid w:val="0075716B"/>
    <w:rsid w:val="00757251"/>
    <w:rsid w:val="007573A2"/>
    <w:rsid w:val="00757BFC"/>
    <w:rsid w:val="00757FD7"/>
    <w:rsid w:val="00760108"/>
    <w:rsid w:val="0076081A"/>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D6A"/>
    <w:rsid w:val="00791F5C"/>
    <w:rsid w:val="007927EC"/>
    <w:rsid w:val="00792E46"/>
    <w:rsid w:val="00792E5F"/>
    <w:rsid w:val="00793C07"/>
    <w:rsid w:val="00795A12"/>
    <w:rsid w:val="00795EF7"/>
    <w:rsid w:val="00796315"/>
    <w:rsid w:val="00796538"/>
    <w:rsid w:val="00796AB8"/>
    <w:rsid w:val="00796CE5"/>
    <w:rsid w:val="007A0C87"/>
    <w:rsid w:val="007A0DD5"/>
    <w:rsid w:val="007A1877"/>
    <w:rsid w:val="007A1A79"/>
    <w:rsid w:val="007A2758"/>
    <w:rsid w:val="007A367E"/>
    <w:rsid w:val="007A3AF8"/>
    <w:rsid w:val="007A43A0"/>
    <w:rsid w:val="007A47F2"/>
    <w:rsid w:val="007A490A"/>
    <w:rsid w:val="007A530A"/>
    <w:rsid w:val="007A65AF"/>
    <w:rsid w:val="007A719C"/>
    <w:rsid w:val="007A726F"/>
    <w:rsid w:val="007A757A"/>
    <w:rsid w:val="007B08F4"/>
    <w:rsid w:val="007B0A40"/>
    <w:rsid w:val="007B14D2"/>
    <w:rsid w:val="007B284B"/>
    <w:rsid w:val="007B28E7"/>
    <w:rsid w:val="007B34BC"/>
    <w:rsid w:val="007B452B"/>
    <w:rsid w:val="007B4EEE"/>
    <w:rsid w:val="007B5EBB"/>
    <w:rsid w:val="007B65D2"/>
    <w:rsid w:val="007B6AD5"/>
    <w:rsid w:val="007C04A2"/>
    <w:rsid w:val="007C1271"/>
    <w:rsid w:val="007C2377"/>
    <w:rsid w:val="007C313D"/>
    <w:rsid w:val="007C3B2E"/>
    <w:rsid w:val="007C3F53"/>
    <w:rsid w:val="007C405D"/>
    <w:rsid w:val="007C4159"/>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681"/>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265D"/>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519"/>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19"/>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60"/>
    <w:rsid w:val="008C7394"/>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54B"/>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372"/>
    <w:rsid w:val="00905D8A"/>
    <w:rsid w:val="009064F4"/>
    <w:rsid w:val="0090696C"/>
    <w:rsid w:val="00907C15"/>
    <w:rsid w:val="0091170B"/>
    <w:rsid w:val="00911817"/>
    <w:rsid w:val="00912F68"/>
    <w:rsid w:val="009133A9"/>
    <w:rsid w:val="00913418"/>
    <w:rsid w:val="009137F9"/>
    <w:rsid w:val="00913C08"/>
    <w:rsid w:val="00915282"/>
    <w:rsid w:val="0091567A"/>
    <w:rsid w:val="00917551"/>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071A"/>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2BE8"/>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08AD"/>
    <w:rsid w:val="009818A2"/>
    <w:rsid w:val="00981998"/>
    <w:rsid w:val="009829E2"/>
    <w:rsid w:val="00983525"/>
    <w:rsid w:val="009842AF"/>
    <w:rsid w:val="009844CE"/>
    <w:rsid w:val="00984590"/>
    <w:rsid w:val="00984F92"/>
    <w:rsid w:val="00984FB7"/>
    <w:rsid w:val="009855CB"/>
    <w:rsid w:val="00985932"/>
    <w:rsid w:val="009868FC"/>
    <w:rsid w:val="00986D6A"/>
    <w:rsid w:val="00990013"/>
    <w:rsid w:val="00990765"/>
    <w:rsid w:val="00990D44"/>
    <w:rsid w:val="00990F3B"/>
    <w:rsid w:val="00991E94"/>
    <w:rsid w:val="00992712"/>
    <w:rsid w:val="00993E7E"/>
    <w:rsid w:val="0099690A"/>
    <w:rsid w:val="00997136"/>
    <w:rsid w:val="00997198"/>
    <w:rsid w:val="009971A7"/>
    <w:rsid w:val="009A0E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6DB"/>
    <w:rsid w:val="009C3841"/>
    <w:rsid w:val="009C607A"/>
    <w:rsid w:val="009C67B4"/>
    <w:rsid w:val="009C6929"/>
    <w:rsid w:val="009C6A52"/>
    <w:rsid w:val="009C72C2"/>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6D1"/>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5C0"/>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311"/>
    <w:rsid w:val="00A30D30"/>
    <w:rsid w:val="00A31158"/>
    <w:rsid w:val="00A3215A"/>
    <w:rsid w:val="00A32881"/>
    <w:rsid w:val="00A3359F"/>
    <w:rsid w:val="00A33F3B"/>
    <w:rsid w:val="00A34A41"/>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132"/>
    <w:rsid w:val="00A456F5"/>
    <w:rsid w:val="00A45C71"/>
    <w:rsid w:val="00A4628E"/>
    <w:rsid w:val="00A47209"/>
    <w:rsid w:val="00A47455"/>
    <w:rsid w:val="00A511A9"/>
    <w:rsid w:val="00A51781"/>
    <w:rsid w:val="00A5203E"/>
    <w:rsid w:val="00A52320"/>
    <w:rsid w:val="00A52762"/>
    <w:rsid w:val="00A537AD"/>
    <w:rsid w:val="00A54A2D"/>
    <w:rsid w:val="00A54AAC"/>
    <w:rsid w:val="00A55667"/>
    <w:rsid w:val="00A55915"/>
    <w:rsid w:val="00A55A68"/>
    <w:rsid w:val="00A56094"/>
    <w:rsid w:val="00A5698E"/>
    <w:rsid w:val="00A56B70"/>
    <w:rsid w:val="00A575B4"/>
    <w:rsid w:val="00A608CD"/>
    <w:rsid w:val="00A611D1"/>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5074"/>
    <w:rsid w:val="00A761F4"/>
    <w:rsid w:val="00A77448"/>
    <w:rsid w:val="00A77B65"/>
    <w:rsid w:val="00A77EC2"/>
    <w:rsid w:val="00A8007D"/>
    <w:rsid w:val="00A80761"/>
    <w:rsid w:val="00A80DC8"/>
    <w:rsid w:val="00A812F5"/>
    <w:rsid w:val="00A814C5"/>
    <w:rsid w:val="00A81C21"/>
    <w:rsid w:val="00A82953"/>
    <w:rsid w:val="00A82B2C"/>
    <w:rsid w:val="00A82E1F"/>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B7E85"/>
    <w:rsid w:val="00AC00B1"/>
    <w:rsid w:val="00AC0229"/>
    <w:rsid w:val="00AC12CF"/>
    <w:rsid w:val="00AC154D"/>
    <w:rsid w:val="00AC2548"/>
    <w:rsid w:val="00AC3C32"/>
    <w:rsid w:val="00AC3DB8"/>
    <w:rsid w:val="00AC621E"/>
    <w:rsid w:val="00AC648A"/>
    <w:rsid w:val="00AD100C"/>
    <w:rsid w:val="00AD1D85"/>
    <w:rsid w:val="00AD2540"/>
    <w:rsid w:val="00AD38ED"/>
    <w:rsid w:val="00AD39D6"/>
    <w:rsid w:val="00AD3C97"/>
    <w:rsid w:val="00AD4282"/>
    <w:rsid w:val="00AD5A42"/>
    <w:rsid w:val="00AD7073"/>
    <w:rsid w:val="00AD77FD"/>
    <w:rsid w:val="00AD79E2"/>
    <w:rsid w:val="00AD7FFB"/>
    <w:rsid w:val="00AE1C5C"/>
    <w:rsid w:val="00AE271F"/>
    <w:rsid w:val="00AE3DF5"/>
    <w:rsid w:val="00AE4862"/>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6062"/>
    <w:rsid w:val="00B0768C"/>
    <w:rsid w:val="00B10264"/>
    <w:rsid w:val="00B116CF"/>
    <w:rsid w:val="00B1212B"/>
    <w:rsid w:val="00B125A0"/>
    <w:rsid w:val="00B13177"/>
    <w:rsid w:val="00B13E8D"/>
    <w:rsid w:val="00B15219"/>
    <w:rsid w:val="00B15852"/>
    <w:rsid w:val="00B161B4"/>
    <w:rsid w:val="00B16887"/>
    <w:rsid w:val="00B176C8"/>
    <w:rsid w:val="00B17C50"/>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0C"/>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A21"/>
    <w:rsid w:val="00BE1BBE"/>
    <w:rsid w:val="00BE2C9F"/>
    <w:rsid w:val="00BE36D5"/>
    <w:rsid w:val="00BE4FDC"/>
    <w:rsid w:val="00BE6056"/>
    <w:rsid w:val="00BE6217"/>
    <w:rsid w:val="00BE7C10"/>
    <w:rsid w:val="00BF01B9"/>
    <w:rsid w:val="00BF0D7C"/>
    <w:rsid w:val="00BF1235"/>
    <w:rsid w:val="00BF1F39"/>
    <w:rsid w:val="00BF2920"/>
    <w:rsid w:val="00BF2AD9"/>
    <w:rsid w:val="00BF2FDA"/>
    <w:rsid w:val="00BF30D9"/>
    <w:rsid w:val="00BF5877"/>
    <w:rsid w:val="00BF5B35"/>
    <w:rsid w:val="00BF68A1"/>
    <w:rsid w:val="00C006E1"/>
    <w:rsid w:val="00C013E9"/>
    <w:rsid w:val="00C01536"/>
    <w:rsid w:val="00C0185C"/>
    <w:rsid w:val="00C01AE5"/>
    <w:rsid w:val="00C02CE7"/>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711"/>
    <w:rsid w:val="00C14A18"/>
    <w:rsid w:val="00C14B07"/>
    <w:rsid w:val="00C14BF5"/>
    <w:rsid w:val="00C14D5F"/>
    <w:rsid w:val="00C15877"/>
    <w:rsid w:val="00C15ADE"/>
    <w:rsid w:val="00C15B7A"/>
    <w:rsid w:val="00C15DA4"/>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448A"/>
    <w:rsid w:val="00C3542E"/>
    <w:rsid w:val="00C35A15"/>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7AF4"/>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4CDA"/>
    <w:rsid w:val="00CA5463"/>
    <w:rsid w:val="00CA5A6D"/>
    <w:rsid w:val="00CB0E39"/>
    <w:rsid w:val="00CB1AC1"/>
    <w:rsid w:val="00CB26F2"/>
    <w:rsid w:val="00CB2BAE"/>
    <w:rsid w:val="00CB2D37"/>
    <w:rsid w:val="00CB3166"/>
    <w:rsid w:val="00CB40D4"/>
    <w:rsid w:val="00CB638D"/>
    <w:rsid w:val="00CB6900"/>
    <w:rsid w:val="00CB6EB4"/>
    <w:rsid w:val="00CB7439"/>
    <w:rsid w:val="00CB748E"/>
    <w:rsid w:val="00CB7C3A"/>
    <w:rsid w:val="00CC098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895"/>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28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167C"/>
    <w:rsid w:val="00D62605"/>
    <w:rsid w:val="00D63073"/>
    <w:rsid w:val="00D6362A"/>
    <w:rsid w:val="00D6373A"/>
    <w:rsid w:val="00D63DA5"/>
    <w:rsid w:val="00D641C8"/>
    <w:rsid w:val="00D64B3A"/>
    <w:rsid w:val="00D64D09"/>
    <w:rsid w:val="00D6587E"/>
    <w:rsid w:val="00D65C48"/>
    <w:rsid w:val="00D671A0"/>
    <w:rsid w:val="00D67C48"/>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4FD"/>
    <w:rsid w:val="00D75AD5"/>
    <w:rsid w:val="00D81033"/>
    <w:rsid w:val="00D81136"/>
    <w:rsid w:val="00D81932"/>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019"/>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43D"/>
    <w:rsid w:val="00DA7986"/>
    <w:rsid w:val="00DA7A5F"/>
    <w:rsid w:val="00DB05C4"/>
    <w:rsid w:val="00DB0766"/>
    <w:rsid w:val="00DB0783"/>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5CB1"/>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280"/>
    <w:rsid w:val="00DE68DD"/>
    <w:rsid w:val="00DE77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0776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47D1A"/>
    <w:rsid w:val="00E50E09"/>
    <w:rsid w:val="00E540CA"/>
    <w:rsid w:val="00E54462"/>
    <w:rsid w:val="00E54583"/>
    <w:rsid w:val="00E55F46"/>
    <w:rsid w:val="00E5633C"/>
    <w:rsid w:val="00E56E97"/>
    <w:rsid w:val="00E56EE4"/>
    <w:rsid w:val="00E60A17"/>
    <w:rsid w:val="00E61834"/>
    <w:rsid w:val="00E621FE"/>
    <w:rsid w:val="00E622C2"/>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0E3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24"/>
    <w:rsid w:val="00ED59E7"/>
    <w:rsid w:val="00ED6771"/>
    <w:rsid w:val="00ED72E4"/>
    <w:rsid w:val="00ED7403"/>
    <w:rsid w:val="00ED7AA8"/>
    <w:rsid w:val="00EE057C"/>
    <w:rsid w:val="00EE0858"/>
    <w:rsid w:val="00EE16B2"/>
    <w:rsid w:val="00EE236A"/>
    <w:rsid w:val="00EE2649"/>
    <w:rsid w:val="00EE3015"/>
    <w:rsid w:val="00EE31AF"/>
    <w:rsid w:val="00EE34A1"/>
    <w:rsid w:val="00EE41A1"/>
    <w:rsid w:val="00EE50C5"/>
    <w:rsid w:val="00EE536C"/>
    <w:rsid w:val="00EE53E7"/>
    <w:rsid w:val="00EE664D"/>
    <w:rsid w:val="00EE71BF"/>
    <w:rsid w:val="00EE73E5"/>
    <w:rsid w:val="00EE7B44"/>
    <w:rsid w:val="00EE7D04"/>
    <w:rsid w:val="00EE7FB9"/>
    <w:rsid w:val="00EF09AC"/>
    <w:rsid w:val="00EF107F"/>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29E"/>
    <w:rsid w:val="00F2789C"/>
    <w:rsid w:val="00F30736"/>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37DB5"/>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B8B"/>
    <w:rsid w:val="00F86E1B"/>
    <w:rsid w:val="00F876B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295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18"/>
    <w:rsid w:val="00FC6C11"/>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EE1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982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130C9-9594-46CE-B391-9137AA3D7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13</Pages>
  <Words>4694</Words>
  <Characters>25823</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93</cp:revision>
  <cp:lastPrinted>2022-12-22T18:47:00Z</cp:lastPrinted>
  <dcterms:created xsi:type="dcterms:W3CDTF">2022-11-14T20:04:00Z</dcterms:created>
  <dcterms:modified xsi:type="dcterms:W3CDTF">2023-03-06T19:16:00Z</dcterms:modified>
</cp:coreProperties>
</file>