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BA0B7B" w14:paraId="7F050E72" w14:textId="77777777" w:rsidTr="009D778E">
        <w:trPr>
          <w:trHeight w:val="499"/>
        </w:trPr>
        <w:tc>
          <w:tcPr>
            <w:tcW w:w="7371" w:type="dxa"/>
            <w:gridSpan w:val="2"/>
          </w:tcPr>
          <w:p w14:paraId="7540CFBF" w14:textId="77777777" w:rsidR="00D96E91" w:rsidRPr="00BA0B7B" w:rsidRDefault="00D96E91" w:rsidP="009D778E">
            <w:pPr>
              <w:pStyle w:val="Encabezado"/>
              <w:jc w:val="both"/>
              <w:rPr>
                <w:rFonts w:ascii="Arial" w:eastAsia="Times New Roman" w:hAnsi="Arial" w:cs="Arial"/>
                <w:b/>
                <w:iCs/>
                <w:kern w:val="2"/>
                <w:sz w:val="24"/>
                <w:szCs w:val="24"/>
                <w:lang w:val="es-ES_tradnl" w:eastAsia="es-ES"/>
              </w:rPr>
            </w:pPr>
            <w:r w:rsidRPr="00BA0B7B">
              <w:rPr>
                <w:rFonts w:ascii="Arial" w:hAnsi="Arial" w:cs="Arial"/>
                <w:b/>
                <w:sz w:val="24"/>
                <w:szCs w:val="24"/>
              </w:rPr>
              <w:t>CUARTA SALA UNITARIA DE PRIMERA INSTANCIA DEL TRIBUNAL DE JUSTICIA ADMINISTRATIVA</w:t>
            </w:r>
            <w:r w:rsidRPr="00BA0B7B">
              <w:rPr>
                <w:rFonts w:ascii="Arial" w:eastAsia="Times New Roman" w:hAnsi="Arial" w:cs="Arial"/>
                <w:b/>
                <w:iCs/>
                <w:kern w:val="2"/>
                <w:sz w:val="24"/>
                <w:szCs w:val="24"/>
                <w:lang w:val="es-ES_tradnl" w:eastAsia="es-ES"/>
              </w:rPr>
              <w:t xml:space="preserve"> DEL ESTADO.</w:t>
            </w:r>
          </w:p>
          <w:p w14:paraId="526EC840" w14:textId="77777777" w:rsidR="00D96E91" w:rsidRPr="00BA0B7B" w:rsidRDefault="00D96E91" w:rsidP="009D778E">
            <w:pPr>
              <w:pStyle w:val="Encabezado"/>
              <w:jc w:val="both"/>
              <w:rPr>
                <w:rFonts w:ascii="Arial" w:hAnsi="Arial" w:cs="Arial"/>
                <w:b/>
                <w:sz w:val="24"/>
                <w:szCs w:val="24"/>
              </w:rPr>
            </w:pPr>
          </w:p>
        </w:tc>
      </w:tr>
      <w:tr w:rsidR="00D96E91" w:rsidRPr="00BA0B7B" w14:paraId="3A813442" w14:textId="77777777" w:rsidTr="009D778E">
        <w:trPr>
          <w:trHeight w:val="484"/>
        </w:trPr>
        <w:tc>
          <w:tcPr>
            <w:tcW w:w="2976" w:type="dxa"/>
            <w:hideMark/>
          </w:tcPr>
          <w:p w14:paraId="00082B65" w14:textId="77777777" w:rsidR="00D96E91" w:rsidRPr="00BA0B7B" w:rsidRDefault="00D96E91" w:rsidP="009D778E">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BA0B7B">
              <w:rPr>
                <w:rFonts w:ascii="Arial" w:eastAsia="Times New Roman" w:hAnsi="Arial" w:cs="Arial"/>
                <w:b/>
                <w:iCs/>
                <w:caps/>
                <w:kern w:val="2"/>
                <w:sz w:val="24"/>
                <w:szCs w:val="24"/>
                <w:lang w:val="es-ES_tradnl" w:eastAsia="es-ES"/>
              </w:rPr>
              <w:t>juicio de nulidad:</w:t>
            </w:r>
          </w:p>
        </w:tc>
        <w:tc>
          <w:tcPr>
            <w:tcW w:w="4395" w:type="dxa"/>
            <w:hideMark/>
          </w:tcPr>
          <w:p w14:paraId="54757E75" w14:textId="7A944C84" w:rsidR="00D96E91" w:rsidRPr="00BA0B7B" w:rsidRDefault="00097DAB" w:rsidP="00001257">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BA0B7B">
              <w:rPr>
                <w:rFonts w:ascii="Arial" w:eastAsia="Times New Roman" w:hAnsi="Arial" w:cs="Arial"/>
                <w:bCs/>
                <w:iCs/>
                <w:caps/>
                <w:kern w:val="2"/>
                <w:sz w:val="24"/>
                <w:szCs w:val="24"/>
                <w:lang w:val="es-ES_tradnl" w:eastAsia="es-ES"/>
              </w:rPr>
              <w:t>03/2021</w:t>
            </w:r>
          </w:p>
        </w:tc>
      </w:tr>
      <w:tr w:rsidR="00D96E91" w:rsidRPr="00BA0B7B" w14:paraId="3534DDA9" w14:textId="77777777" w:rsidTr="009D778E">
        <w:trPr>
          <w:trHeight w:val="235"/>
        </w:trPr>
        <w:tc>
          <w:tcPr>
            <w:tcW w:w="2976" w:type="dxa"/>
          </w:tcPr>
          <w:p w14:paraId="09BEA2B8" w14:textId="77777777" w:rsidR="00D96E91" w:rsidRPr="00BA0B7B"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BA0B7B">
              <w:rPr>
                <w:rFonts w:ascii="Arial" w:eastAsia="Times New Roman" w:hAnsi="Arial" w:cs="Arial"/>
                <w:b/>
                <w:iCs/>
                <w:caps/>
                <w:kern w:val="2"/>
                <w:sz w:val="24"/>
                <w:szCs w:val="24"/>
                <w:lang w:val="es-ES_tradnl" w:eastAsia="es-ES"/>
              </w:rPr>
              <w:t>ACTORa:</w:t>
            </w:r>
          </w:p>
        </w:tc>
        <w:tc>
          <w:tcPr>
            <w:tcW w:w="4395" w:type="dxa"/>
          </w:tcPr>
          <w:p w14:paraId="71751F0B" w14:textId="4AA5B91B" w:rsidR="00D96E91" w:rsidRPr="00BA0B7B" w:rsidRDefault="003F5A6E" w:rsidP="00181EC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D96E91" w:rsidRPr="00BA0B7B" w14:paraId="034F286F" w14:textId="77777777" w:rsidTr="009D778E">
        <w:trPr>
          <w:trHeight w:val="249"/>
        </w:trPr>
        <w:tc>
          <w:tcPr>
            <w:tcW w:w="2976" w:type="dxa"/>
          </w:tcPr>
          <w:p w14:paraId="48286F31" w14:textId="77777777" w:rsidR="00D96E91" w:rsidRPr="00BA0B7B" w:rsidRDefault="00D96E91"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523E79A0" w14:textId="77777777" w:rsidR="00D96E91" w:rsidRPr="00BA0B7B"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BA0B7B">
              <w:rPr>
                <w:rFonts w:ascii="Arial" w:eastAsia="Times New Roman" w:hAnsi="Arial" w:cs="Arial"/>
                <w:b/>
                <w:bCs/>
                <w:iCs/>
                <w:caps/>
                <w:kern w:val="2"/>
                <w:sz w:val="24"/>
                <w:szCs w:val="24"/>
                <w:lang w:val="es-ES_tradnl" w:eastAsia="es-ES"/>
              </w:rPr>
              <w:t>demandado:</w:t>
            </w:r>
          </w:p>
          <w:p w14:paraId="41CCCC43" w14:textId="77777777" w:rsidR="00D96E91" w:rsidRPr="00BA0B7B"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8C4F7B6" w14:textId="77777777" w:rsidR="00D96E91" w:rsidRPr="00BA0B7B"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75FE4FF" w14:textId="77777777" w:rsidR="00D96E91" w:rsidRPr="00BA0B7B"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FFF5F29" w14:textId="77777777" w:rsidR="00D96E91" w:rsidRPr="00BA0B7B"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BA0B7B">
              <w:rPr>
                <w:rFonts w:ascii="Arial" w:eastAsia="Times New Roman" w:hAnsi="Arial" w:cs="Arial"/>
                <w:b/>
                <w:bCs/>
                <w:iCs/>
                <w:caps/>
                <w:kern w:val="2"/>
                <w:sz w:val="24"/>
                <w:szCs w:val="24"/>
                <w:lang w:val="es-ES_tradnl" w:eastAsia="es-ES"/>
              </w:rPr>
              <w:t>SECRETARIa:</w:t>
            </w:r>
          </w:p>
        </w:tc>
        <w:tc>
          <w:tcPr>
            <w:tcW w:w="4395" w:type="dxa"/>
          </w:tcPr>
          <w:p w14:paraId="62F29B5B" w14:textId="77777777" w:rsidR="00D96E91" w:rsidRPr="00BA0B7B" w:rsidRDefault="00D96E91" w:rsidP="009D778E">
            <w:pPr>
              <w:suppressAutoHyphens/>
              <w:spacing w:after="0" w:line="100" w:lineRule="atLeast"/>
              <w:ind w:left="34" w:right="51"/>
              <w:jc w:val="both"/>
              <w:rPr>
                <w:rFonts w:ascii="Arial" w:eastAsia="Times New Roman" w:hAnsi="Arial" w:cs="Arial"/>
                <w:sz w:val="24"/>
                <w:szCs w:val="24"/>
                <w:lang w:val="es-ES_tradnl" w:eastAsia="es-ES"/>
              </w:rPr>
            </w:pPr>
          </w:p>
          <w:p w14:paraId="103EEEBE" w14:textId="1A670226" w:rsidR="00D96E91" w:rsidRPr="00BA0B7B" w:rsidRDefault="00D96E91" w:rsidP="009D778E">
            <w:pPr>
              <w:suppressAutoHyphens/>
              <w:spacing w:after="0" w:line="100" w:lineRule="atLeast"/>
              <w:ind w:right="51"/>
              <w:jc w:val="both"/>
              <w:rPr>
                <w:rFonts w:ascii="Arial" w:eastAsia="Times New Roman" w:hAnsi="Arial" w:cs="Arial"/>
                <w:sz w:val="24"/>
                <w:szCs w:val="24"/>
                <w:lang w:val="es-ES_tradnl" w:eastAsia="es-ES"/>
              </w:rPr>
            </w:pPr>
            <w:r w:rsidRPr="00BA0B7B">
              <w:rPr>
                <w:rFonts w:ascii="Arial" w:eastAsia="Times New Roman" w:hAnsi="Arial" w:cs="Arial"/>
                <w:sz w:val="24"/>
                <w:szCs w:val="24"/>
                <w:lang w:val="es-ES_tradnl" w:eastAsia="es-ES"/>
              </w:rPr>
              <w:t>DIRECTOR GENERAL DE LA OFICINA DE PENSIONES DEL ESTADO</w:t>
            </w:r>
          </w:p>
          <w:p w14:paraId="5959AC17" w14:textId="77777777" w:rsidR="00D96E91" w:rsidRPr="00BA0B7B"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14:paraId="3189820E" w14:textId="70579130" w:rsidR="00D96E91" w:rsidRPr="00BA0B7B" w:rsidRDefault="00D96E91" w:rsidP="009D778E">
            <w:pPr>
              <w:suppressAutoHyphens/>
              <w:spacing w:after="0" w:line="100" w:lineRule="atLeast"/>
              <w:ind w:right="51"/>
              <w:jc w:val="both"/>
              <w:rPr>
                <w:rFonts w:ascii="Arial" w:eastAsia="Times New Roman" w:hAnsi="Arial" w:cs="Arial"/>
                <w:bCs/>
                <w:iCs/>
                <w:caps/>
                <w:kern w:val="2"/>
                <w:sz w:val="24"/>
                <w:szCs w:val="24"/>
                <w:lang w:val="es-ES_tradnl" w:eastAsia="es-ES"/>
              </w:rPr>
            </w:pPr>
            <w:r w:rsidRPr="00BA0B7B">
              <w:rPr>
                <w:rFonts w:ascii="Arial" w:eastAsia="Times New Roman" w:hAnsi="Arial" w:cs="Arial"/>
                <w:sz w:val="24"/>
                <w:szCs w:val="24"/>
                <w:lang w:val="es-ES_tradnl" w:eastAsia="es-ES"/>
              </w:rPr>
              <w:t>LIC</w:t>
            </w:r>
            <w:r w:rsidR="00236EB6">
              <w:rPr>
                <w:rFonts w:ascii="Arial" w:eastAsia="Times New Roman" w:hAnsi="Arial" w:cs="Arial"/>
                <w:sz w:val="24"/>
                <w:szCs w:val="24"/>
                <w:lang w:val="es-ES_tradnl" w:eastAsia="es-ES"/>
              </w:rPr>
              <w:t>ENCIADA</w:t>
            </w:r>
            <w:r w:rsidRPr="00BA0B7B">
              <w:rPr>
                <w:rFonts w:ascii="Arial" w:eastAsia="Times New Roman" w:hAnsi="Arial" w:cs="Arial"/>
                <w:sz w:val="24"/>
                <w:szCs w:val="24"/>
                <w:lang w:val="es-ES_tradnl" w:eastAsia="es-ES"/>
              </w:rPr>
              <w:t xml:space="preserve"> MONSERRAT GARCÍA ALTAMIRANO.</w:t>
            </w:r>
          </w:p>
        </w:tc>
      </w:tr>
      <w:tr w:rsidR="004945D0" w:rsidRPr="00BA0B7B" w14:paraId="4D138D92" w14:textId="77777777" w:rsidTr="009D778E">
        <w:trPr>
          <w:trHeight w:val="249"/>
        </w:trPr>
        <w:tc>
          <w:tcPr>
            <w:tcW w:w="2976" w:type="dxa"/>
          </w:tcPr>
          <w:p w14:paraId="7CB73F7A" w14:textId="77777777" w:rsidR="004945D0" w:rsidRPr="00BA0B7B" w:rsidRDefault="004945D0"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14:paraId="1D0B1439" w14:textId="77777777" w:rsidR="004945D0" w:rsidRPr="00BA0B7B" w:rsidRDefault="004945D0" w:rsidP="009D778E">
            <w:pPr>
              <w:suppressAutoHyphens/>
              <w:spacing w:after="0" w:line="100" w:lineRule="atLeast"/>
              <w:ind w:left="34" w:right="51"/>
              <w:jc w:val="both"/>
              <w:rPr>
                <w:rFonts w:ascii="Arial" w:eastAsia="Times New Roman" w:hAnsi="Arial" w:cs="Arial"/>
                <w:sz w:val="24"/>
                <w:szCs w:val="24"/>
                <w:lang w:val="es-ES_tradnl" w:eastAsia="es-ES"/>
              </w:rPr>
            </w:pPr>
          </w:p>
        </w:tc>
      </w:tr>
    </w:tbl>
    <w:p w14:paraId="5D837B6D" w14:textId="075604C9" w:rsidR="000757F5" w:rsidRPr="00BA0B7B" w:rsidRDefault="000757F5" w:rsidP="00AC2821">
      <w:pPr>
        <w:widowControl w:val="0"/>
        <w:spacing w:line="360" w:lineRule="auto"/>
        <w:ind w:right="51"/>
        <w:jc w:val="both"/>
        <w:rPr>
          <w:rFonts w:ascii="Arial" w:eastAsia="Times New Roman" w:hAnsi="Arial" w:cs="Arial"/>
          <w:b/>
          <w:sz w:val="24"/>
          <w:szCs w:val="24"/>
          <w:lang w:val="es-ES" w:eastAsia="es-ES"/>
        </w:rPr>
      </w:pPr>
      <w:r w:rsidRPr="00BA0B7B">
        <w:rPr>
          <w:rFonts w:ascii="Arial" w:eastAsia="Times New Roman" w:hAnsi="Arial" w:cs="Arial"/>
          <w:b/>
          <w:sz w:val="24"/>
          <w:szCs w:val="24"/>
          <w:lang w:val="es-ES" w:eastAsia="es-ES"/>
        </w:rPr>
        <w:t xml:space="preserve">OAXACA DE JUÁREZ, OAXACA, </w:t>
      </w:r>
      <w:r w:rsidR="00236EB6">
        <w:rPr>
          <w:rFonts w:ascii="Arial" w:eastAsia="Times New Roman" w:hAnsi="Arial" w:cs="Arial"/>
          <w:b/>
          <w:sz w:val="24"/>
          <w:szCs w:val="24"/>
          <w:lang w:val="es-ES" w:eastAsia="es-ES"/>
        </w:rPr>
        <w:t xml:space="preserve">A NUEVE DE JULIO DE DOS MIL VEINTIUNO. - - - - - - - - - - - - - - - - - - - - - - - - - - - - - - - - - - - - - - - - - - - - - - - - - - - </w:t>
      </w:r>
      <w:r w:rsidRPr="00BA0B7B">
        <w:rPr>
          <w:rFonts w:ascii="Arial" w:eastAsia="Times New Roman" w:hAnsi="Arial" w:cs="Arial"/>
          <w:b/>
          <w:sz w:val="24"/>
          <w:szCs w:val="24"/>
          <w:lang w:val="es-ES" w:eastAsia="es-ES"/>
        </w:rPr>
        <w:t xml:space="preserve"> </w:t>
      </w:r>
    </w:p>
    <w:p w14:paraId="1822E602" w14:textId="0331E50D" w:rsidR="000757F5" w:rsidRDefault="000757F5" w:rsidP="000757F5">
      <w:pPr>
        <w:widowControl w:val="0"/>
        <w:spacing w:line="360" w:lineRule="auto"/>
        <w:ind w:right="51" w:firstLine="567"/>
        <w:jc w:val="both"/>
        <w:rPr>
          <w:rFonts w:ascii="Arial" w:eastAsia="Times New Roman" w:hAnsi="Arial" w:cs="Arial"/>
          <w:sz w:val="24"/>
          <w:szCs w:val="24"/>
          <w:lang w:val="es-ES_tradnl" w:eastAsia="es-ES"/>
        </w:rPr>
      </w:pPr>
      <w:r w:rsidRPr="00BA0B7B">
        <w:rPr>
          <w:rFonts w:ascii="Arial" w:eastAsia="Times New Roman" w:hAnsi="Arial" w:cs="Arial"/>
          <w:b/>
          <w:sz w:val="24"/>
          <w:szCs w:val="24"/>
          <w:lang w:val="es-ES_tradnl" w:eastAsia="es-ES"/>
        </w:rPr>
        <w:t xml:space="preserve">V I S T O S, </w:t>
      </w:r>
      <w:r w:rsidRPr="00BA0B7B">
        <w:rPr>
          <w:rFonts w:ascii="Arial" w:eastAsia="Times New Roman" w:hAnsi="Arial" w:cs="Arial"/>
          <w:sz w:val="24"/>
          <w:szCs w:val="24"/>
          <w:lang w:val="es-ES_tradnl" w:eastAsia="es-ES"/>
        </w:rPr>
        <w:t xml:space="preserve">para resolver los autos del juicio de nulidad número </w:t>
      </w:r>
      <w:r w:rsidR="002E64D0" w:rsidRPr="00BA0B7B">
        <w:rPr>
          <w:rFonts w:ascii="Arial" w:eastAsia="Times New Roman" w:hAnsi="Arial" w:cs="Arial"/>
          <w:b/>
          <w:bCs/>
          <w:sz w:val="24"/>
          <w:szCs w:val="24"/>
          <w:lang w:val="es-ES_tradnl" w:eastAsia="es-ES"/>
        </w:rPr>
        <w:t>003/2021</w:t>
      </w:r>
      <w:r w:rsidRPr="00BA0B7B">
        <w:rPr>
          <w:rFonts w:ascii="Arial" w:eastAsia="Times New Roman" w:hAnsi="Arial" w:cs="Arial"/>
          <w:sz w:val="24"/>
          <w:szCs w:val="24"/>
          <w:lang w:val="es-ES_tradnl" w:eastAsia="es-ES"/>
        </w:rPr>
        <w:t>, interpuesto por</w:t>
      </w:r>
      <w:r w:rsidR="00CC5E01" w:rsidRPr="00BA0B7B">
        <w:rPr>
          <w:rFonts w:ascii="Arial" w:eastAsia="Times New Roman" w:hAnsi="Arial" w:cs="Arial"/>
          <w:sz w:val="24"/>
          <w:szCs w:val="24"/>
          <w:lang w:val="es-ES_tradnl" w:eastAsia="es-ES"/>
        </w:rPr>
        <w:t xml:space="preserve"> </w:t>
      </w:r>
      <w:r w:rsidR="003F5A6E">
        <w:rPr>
          <w:rFonts w:ascii="Arial" w:eastAsia="Times New Roman" w:hAnsi="Arial" w:cs="Arial"/>
          <w:bCs/>
          <w:iCs/>
          <w:caps/>
          <w:kern w:val="2"/>
          <w:sz w:val="24"/>
          <w:szCs w:val="24"/>
          <w:lang w:val="es-ES_tradnl" w:eastAsia="es-ES"/>
        </w:rPr>
        <w:t>**********</w:t>
      </w:r>
      <w:r w:rsidR="00CC5E01" w:rsidRPr="00BA0B7B">
        <w:rPr>
          <w:rFonts w:ascii="Arial" w:eastAsia="Times New Roman" w:hAnsi="Arial" w:cs="Arial"/>
          <w:sz w:val="24"/>
          <w:szCs w:val="24"/>
          <w:lang w:val="es-ES_tradnl" w:eastAsia="es-ES"/>
        </w:rPr>
        <w:t xml:space="preserve">, </w:t>
      </w:r>
      <w:r w:rsidRPr="00BA0B7B">
        <w:rPr>
          <w:rFonts w:ascii="Arial" w:eastAsia="Times New Roman" w:hAnsi="Arial" w:cs="Arial"/>
          <w:sz w:val="24"/>
          <w:szCs w:val="24"/>
          <w:lang w:val="es-ES_tradnl" w:eastAsia="es-ES"/>
        </w:rPr>
        <w:t>en contra</w:t>
      </w:r>
      <w:r w:rsidR="00181EC9">
        <w:rPr>
          <w:rFonts w:ascii="Arial" w:eastAsia="Times New Roman" w:hAnsi="Arial" w:cs="Arial"/>
          <w:sz w:val="24"/>
          <w:szCs w:val="24"/>
          <w:lang w:val="es-ES_tradnl" w:eastAsia="es-ES"/>
        </w:rPr>
        <w:t xml:space="preserve"> del oficio </w:t>
      </w:r>
      <w:r w:rsidR="00181EC9" w:rsidRPr="00BA0B7B">
        <w:rPr>
          <w:rFonts w:ascii="Arial" w:hAnsi="Arial" w:cs="Arial"/>
          <w:bCs/>
          <w:snapToGrid w:val="0"/>
          <w:sz w:val="24"/>
          <w:szCs w:val="24"/>
        </w:rPr>
        <w:t xml:space="preserve">número </w:t>
      </w:r>
      <w:r w:rsidR="003F5A6E">
        <w:rPr>
          <w:rFonts w:ascii="Arial" w:eastAsia="Times New Roman" w:hAnsi="Arial" w:cs="Arial"/>
          <w:bCs/>
          <w:iCs/>
          <w:caps/>
          <w:kern w:val="2"/>
          <w:sz w:val="24"/>
          <w:szCs w:val="24"/>
          <w:lang w:val="es-ES_tradnl" w:eastAsia="es-ES"/>
        </w:rPr>
        <w:t>**********</w:t>
      </w:r>
      <w:r w:rsidR="00181EC9" w:rsidRPr="00BA0B7B">
        <w:rPr>
          <w:rFonts w:ascii="Arial" w:hAnsi="Arial" w:cs="Arial"/>
          <w:bCs/>
          <w:snapToGrid w:val="0"/>
          <w:sz w:val="24"/>
          <w:szCs w:val="24"/>
        </w:rPr>
        <w:t xml:space="preserve">, de fecha </w:t>
      </w:r>
      <w:r w:rsidR="00181EC9">
        <w:rPr>
          <w:rFonts w:ascii="Arial" w:hAnsi="Arial" w:cs="Arial"/>
          <w:bCs/>
          <w:snapToGrid w:val="0"/>
          <w:sz w:val="24"/>
          <w:szCs w:val="24"/>
        </w:rPr>
        <w:t xml:space="preserve">trece de enero de dos mil veintiuno, emitido por </w:t>
      </w:r>
      <w:r w:rsidRPr="00BA0B7B">
        <w:rPr>
          <w:rFonts w:ascii="Arial" w:eastAsia="Times New Roman" w:hAnsi="Arial" w:cs="Arial"/>
          <w:sz w:val="24"/>
          <w:szCs w:val="24"/>
          <w:lang w:val="es-ES_tradnl" w:eastAsia="es-ES"/>
        </w:rPr>
        <w:t xml:space="preserve">el </w:t>
      </w:r>
      <w:r w:rsidRPr="00BA0B7B">
        <w:rPr>
          <w:rFonts w:ascii="Arial" w:eastAsia="Times New Roman" w:hAnsi="Arial" w:cs="Arial"/>
          <w:b/>
          <w:sz w:val="24"/>
          <w:szCs w:val="24"/>
          <w:lang w:val="es-ES_tradnl" w:eastAsia="es-ES"/>
        </w:rPr>
        <w:t>DIRECTOR GENERAL DE LA OFICINA DE PENSIONES EL GOBIERNO DEL ESTADO DE OAXACA</w:t>
      </w:r>
      <w:r w:rsidRPr="00BA0B7B">
        <w:rPr>
          <w:rFonts w:ascii="Arial" w:eastAsia="Times New Roman" w:hAnsi="Arial" w:cs="Arial"/>
          <w:sz w:val="24"/>
          <w:szCs w:val="24"/>
          <w:lang w:val="es-ES_tradnl" w:eastAsia="es-ES"/>
        </w:rPr>
        <w:t xml:space="preserve">, y; </w:t>
      </w:r>
      <w:r w:rsidR="00BA0B7B" w:rsidRPr="00BA0B7B">
        <w:rPr>
          <w:rFonts w:ascii="Arial" w:eastAsia="Times New Roman" w:hAnsi="Arial" w:cs="Arial"/>
          <w:sz w:val="24"/>
          <w:szCs w:val="24"/>
          <w:lang w:val="es-ES_tradnl" w:eastAsia="es-ES"/>
        </w:rPr>
        <w:t>-</w:t>
      </w:r>
      <w:r w:rsidR="00CC5E01" w:rsidRPr="00BA0B7B">
        <w:rPr>
          <w:rFonts w:ascii="Arial" w:eastAsia="Times New Roman" w:hAnsi="Arial" w:cs="Arial"/>
          <w:sz w:val="24"/>
          <w:szCs w:val="24"/>
          <w:lang w:val="es-ES_tradnl" w:eastAsia="es-ES"/>
        </w:rPr>
        <w:t xml:space="preserve"> - - - - - </w:t>
      </w:r>
      <w:r w:rsidR="00BA0B7B" w:rsidRPr="00BA0B7B">
        <w:rPr>
          <w:rFonts w:ascii="Arial" w:eastAsia="Times New Roman" w:hAnsi="Arial" w:cs="Arial"/>
          <w:sz w:val="24"/>
          <w:szCs w:val="24"/>
          <w:lang w:val="es-ES_tradnl" w:eastAsia="es-ES"/>
        </w:rPr>
        <w:t xml:space="preserve">- - - - - - </w:t>
      </w:r>
    </w:p>
    <w:p w14:paraId="6EDD869C" w14:textId="7D293511" w:rsidR="000A2AFC" w:rsidRPr="000A2AFC" w:rsidRDefault="000A2AFC" w:rsidP="000A2AFC">
      <w:pPr>
        <w:widowControl w:val="0"/>
        <w:spacing w:line="360" w:lineRule="auto"/>
        <w:ind w:right="51" w:firstLine="567"/>
        <w:jc w:val="center"/>
        <w:rPr>
          <w:rFonts w:ascii="Arial" w:eastAsia="Times New Roman" w:hAnsi="Arial" w:cs="Arial"/>
          <w:b/>
          <w:sz w:val="24"/>
          <w:szCs w:val="24"/>
          <w:lang w:val="es-ES" w:eastAsia="es-ES"/>
        </w:rPr>
      </w:pPr>
      <w:r>
        <w:rPr>
          <w:rFonts w:ascii="Arial" w:eastAsia="Times New Roman" w:hAnsi="Arial" w:cs="Arial"/>
          <w:b/>
          <w:sz w:val="24"/>
          <w:szCs w:val="24"/>
          <w:lang w:val="es-ES_tradnl" w:eastAsia="es-ES"/>
        </w:rPr>
        <w:t>R E S U L T A N D O:</w:t>
      </w:r>
    </w:p>
    <w:p w14:paraId="561E7183" w14:textId="65DE1702" w:rsidR="00BA0B7B" w:rsidRPr="006D6ECA" w:rsidRDefault="00BA0B7B" w:rsidP="00BA0B7B">
      <w:pPr>
        <w:spacing w:line="360" w:lineRule="auto"/>
        <w:ind w:right="51" w:firstLine="567"/>
        <w:jc w:val="both"/>
        <w:rPr>
          <w:rFonts w:ascii="Arial" w:eastAsia="Times New Roman" w:hAnsi="Arial" w:cs="Arial"/>
          <w:sz w:val="24"/>
          <w:szCs w:val="24"/>
          <w:lang w:val="es-ES" w:eastAsia="es-ES"/>
        </w:rPr>
      </w:pPr>
      <w:r w:rsidRPr="006D6ECA">
        <w:rPr>
          <w:rFonts w:ascii="Arial" w:eastAsia="Times New Roman" w:hAnsi="Arial" w:cs="Arial"/>
          <w:b/>
          <w:bCs/>
          <w:sz w:val="24"/>
          <w:szCs w:val="24"/>
          <w:lang w:val="es-ES" w:eastAsia="es-ES"/>
        </w:rPr>
        <w:t xml:space="preserve">PRIMERO. </w:t>
      </w:r>
      <w:r w:rsidRPr="006D6ECA">
        <w:rPr>
          <w:rFonts w:ascii="Arial" w:eastAsia="Times New Roman" w:hAnsi="Arial" w:cs="Arial"/>
          <w:sz w:val="24"/>
          <w:szCs w:val="24"/>
          <w:lang w:val="es-ES" w:eastAsia="es-ES"/>
        </w:rPr>
        <w:t xml:space="preserve">Por auto de </w:t>
      </w:r>
      <w:r>
        <w:rPr>
          <w:rFonts w:ascii="Arial" w:eastAsia="Times New Roman" w:hAnsi="Arial" w:cs="Arial"/>
          <w:sz w:val="24"/>
          <w:szCs w:val="24"/>
          <w:lang w:val="es-ES" w:eastAsia="es-ES"/>
        </w:rPr>
        <w:t xml:space="preserve">dieciséis </w:t>
      </w:r>
      <w:r w:rsidRPr="006D6ECA">
        <w:rPr>
          <w:rFonts w:ascii="Arial" w:eastAsia="Times New Roman" w:hAnsi="Arial" w:cs="Arial"/>
          <w:sz w:val="24"/>
          <w:szCs w:val="24"/>
          <w:lang w:val="es-ES" w:eastAsia="es-ES"/>
        </w:rPr>
        <w:t xml:space="preserve">de febrero de dos mil veintiuno, </w:t>
      </w:r>
      <w:r w:rsidRPr="006D6ECA">
        <w:rPr>
          <w:rFonts w:ascii="Arial" w:eastAsia="Times New Roman" w:hAnsi="Arial" w:cs="Arial"/>
          <w:b/>
          <w:sz w:val="24"/>
          <w:szCs w:val="24"/>
          <w:lang w:val="es-ES" w:eastAsia="es-ES"/>
        </w:rPr>
        <w:t>se admitió a trámite la demanda de nulidad,</w:t>
      </w:r>
      <w:r w:rsidRPr="006D6ECA">
        <w:rPr>
          <w:rFonts w:ascii="Arial" w:eastAsia="Times New Roman" w:hAnsi="Arial" w:cs="Arial"/>
          <w:sz w:val="24"/>
          <w:szCs w:val="24"/>
          <w:lang w:val="es-ES" w:eastAsia="es-ES"/>
        </w:rPr>
        <w:t xml:space="preserve"> ordenándose </w:t>
      </w:r>
      <w:r w:rsidRPr="006D6ECA">
        <w:rPr>
          <w:rFonts w:ascii="Arial" w:eastAsia="Times New Roman" w:hAnsi="Arial" w:cs="Arial"/>
          <w:sz w:val="24"/>
          <w:szCs w:val="24"/>
          <w:lang w:val="es-ES_tradnl" w:eastAsia="es-ES"/>
        </w:rPr>
        <w:t xml:space="preserve">notificar, emplazar y correr traslado a la </w:t>
      </w:r>
      <w:r w:rsidRPr="006D6ECA">
        <w:rPr>
          <w:rFonts w:ascii="Arial" w:eastAsia="Times New Roman" w:hAnsi="Arial" w:cs="Arial"/>
          <w:b/>
          <w:sz w:val="24"/>
          <w:szCs w:val="24"/>
          <w:lang w:val="es-ES_tradnl" w:eastAsia="es-ES"/>
        </w:rPr>
        <w:t xml:space="preserve">autoridad demandada, </w:t>
      </w:r>
      <w:r w:rsidRPr="006D6ECA">
        <w:rPr>
          <w:rFonts w:ascii="Arial" w:eastAsia="Times New Roman" w:hAnsi="Arial" w:cs="Arial"/>
          <w:sz w:val="24"/>
          <w:szCs w:val="24"/>
          <w:lang w:val="es-ES_tradnl" w:eastAsia="es-ES"/>
        </w:rPr>
        <w:t xml:space="preserve">para que dentro del término de ley la contestara; apercibida que para el caso de no hacerlo se tendría por precluído su derecho y por contestada la demanda en sentido afirmativo, salvo prueba en contrario (fojas </w:t>
      </w:r>
      <w:r w:rsidR="00445B90">
        <w:rPr>
          <w:rFonts w:ascii="Arial" w:eastAsia="Times New Roman" w:hAnsi="Arial" w:cs="Arial"/>
          <w:sz w:val="24"/>
          <w:szCs w:val="24"/>
          <w:lang w:val="es-ES_tradnl" w:eastAsia="es-ES"/>
        </w:rPr>
        <w:t xml:space="preserve">31 </w:t>
      </w:r>
      <w:r w:rsidRPr="006D6ECA">
        <w:rPr>
          <w:rFonts w:ascii="Arial" w:eastAsia="Times New Roman" w:hAnsi="Arial" w:cs="Arial"/>
          <w:sz w:val="24"/>
          <w:szCs w:val="24"/>
          <w:lang w:val="es-ES_tradnl" w:eastAsia="es-ES"/>
        </w:rPr>
        <w:t xml:space="preserve">y </w:t>
      </w:r>
      <w:r w:rsidR="00445B90">
        <w:rPr>
          <w:rFonts w:ascii="Arial" w:eastAsia="Times New Roman" w:hAnsi="Arial" w:cs="Arial"/>
          <w:sz w:val="24"/>
          <w:szCs w:val="24"/>
          <w:lang w:val="es-ES_tradnl" w:eastAsia="es-ES"/>
        </w:rPr>
        <w:t>32</w:t>
      </w:r>
      <w:r w:rsidRPr="006D6ECA">
        <w:rPr>
          <w:rFonts w:ascii="Arial" w:eastAsia="Times New Roman" w:hAnsi="Arial" w:cs="Arial"/>
          <w:sz w:val="24"/>
          <w:szCs w:val="24"/>
          <w:lang w:val="es-ES_tradnl" w:eastAsia="es-ES"/>
        </w:rPr>
        <w:t>).</w:t>
      </w:r>
    </w:p>
    <w:p w14:paraId="68F580B6" w14:textId="52FB0F70" w:rsidR="00BA0B7B" w:rsidRPr="006D6ECA" w:rsidRDefault="00BA0B7B" w:rsidP="00BA0B7B">
      <w:pPr>
        <w:spacing w:line="360" w:lineRule="auto"/>
        <w:ind w:right="51" w:firstLine="567"/>
        <w:jc w:val="both"/>
        <w:rPr>
          <w:rFonts w:ascii="Arial" w:eastAsia="Times New Roman" w:hAnsi="Arial" w:cs="Arial"/>
          <w:sz w:val="24"/>
          <w:szCs w:val="24"/>
          <w:lang w:val="es-ES_tradnl" w:eastAsia="es-ES"/>
        </w:rPr>
      </w:pPr>
      <w:r w:rsidRPr="006D6ECA">
        <w:rPr>
          <w:rFonts w:ascii="Arial" w:eastAsia="Times New Roman" w:hAnsi="Arial" w:cs="Arial"/>
          <w:b/>
          <w:sz w:val="24"/>
          <w:szCs w:val="24"/>
          <w:lang w:val="es-ES" w:eastAsia="es-ES"/>
        </w:rPr>
        <w:t xml:space="preserve">SEGUNDO. </w:t>
      </w:r>
      <w:r w:rsidRPr="006D6ECA">
        <w:rPr>
          <w:rFonts w:ascii="Arial" w:eastAsia="Times New Roman" w:hAnsi="Arial" w:cs="Arial"/>
          <w:sz w:val="24"/>
          <w:szCs w:val="24"/>
          <w:lang w:val="es-ES" w:eastAsia="es-ES"/>
        </w:rPr>
        <w:t xml:space="preserve">Mediante proveído de </w:t>
      </w:r>
      <w:r w:rsidR="00C959AB">
        <w:rPr>
          <w:rFonts w:ascii="Arial" w:eastAsia="Times New Roman" w:hAnsi="Arial" w:cs="Arial"/>
          <w:sz w:val="24"/>
          <w:szCs w:val="24"/>
          <w:lang w:val="es-ES" w:eastAsia="es-ES"/>
        </w:rPr>
        <w:t xml:space="preserve">veintiuno </w:t>
      </w:r>
      <w:r w:rsidRPr="006D6ECA">
        <w:rPr>
          <w:rFonts w:ascii="Arial" w:eastAsia="Times New Roman" w:hAnsi="Arial" w:cs="Arial"/>
          <w:sz w:val="24"/>
          <w:szCs w:val="24"/>
          <w:lang w:val="es-ES" w:eastAsia="es-ES"/>
        </w:rPr>
        <w:t xml:space="preserve">de mayo de dos mil veintiuno, se tuvo </w:t>
      </w:r>
      <w:r w:rsidRPr="006D6ECA">
        <w:rPr>
          <w:rFonts w:ascii="Arial" w:hAnsi="Arial" w:cs="Arial"/>
          <w:b/>
          <w:sz w:val="24"/>
          <w:szCs w:val="24"/>
        </w:rPr>
        <w:t>en tiempo</w:t>
      </w:r>
      <w:r w:rsidRPr="006D6ECA">
        <w:rPr>
          <w:rFonts w:ascii="Arial" w:hAnsi="Arial" w:cs="Arial"/>
          <w:sz w:val="24"/>
          <w:szCs w:val="24"/>
        </w:rPr>
        <w:t xml:space="preserve"> </w:t>
      </w:r>
      <w:r w:rsidRPr="006D6ECA">
        <w:rPr>
          <w:rFonts w:ascii="Arial" w:hAnsi="Arial" w:cs="Arial"/>
          <w:b/>
          <w:sz w:val="24"/>
          <w:szCs w:val="24"/>
        </w:rPr>
        <w:t xml:space="preserve">contestando la demanda de nulidad </w:t>
      </w:r>
      <w:r w:rsidRPr="006D6ECA">
        <w:rPr>
          <w:rFonts w:ascii="Arial" w:hAnsi="Arial" w:cs="Arial"/>
          <w:sz w:val="24"/>
          <w:szCs w:val="24"/>
        </w:rPr>
        <w:t>al</w:t>
      </w:r>
      <w:r w:rsidR="00236EB6">
        <w:rPr>
          <w:rFonts w:ascii="Arial" w:hAnsi="Arial" w:cs="Arial"/>
          <w:sz w:val="24"/>
          <w:szCs w:val="24"/>
        </w:rPr>
        <w:t xml:space="preserve"> </w:t>
      </w:r>
      <w:r w:rsidRPr="006D6ECA">
        <w:rPr>
          <w:rFonts w:ascii="Arial" w:hAnsi="Arial" w:cs="Arial"/>
          <w:sz w:val="24"/>
          <w:szCs w:val="24"/>
        </w:rPr>
        <w:t xml:space="preserve">Director General de la Oficina de Pensiones del Estado de Oaxaca, </w:t>
      </w:r>
      <w:r w:rsidRPr="006D6ECA">
        <w:rPr>
          <w:rFonts w:ascii="Arial" w:eastAsia="Times New Roman" w:hAnsi="Arial" w:cs="Arial"/>
          <w:sz w:val="24"/>
          <w:szCs w:val="24"/>
          <w:lang w:val="es-ES_tradnl" w:eastAsia="es-ES"/>
        </w:rPr>
        <w:t xml:space="preserve">haciendo valer sus excepciones y defensas, por ofrecidas y admitidas sus pruebas, </w:t>
      </w:r>
      <w:r w:rsidRPr="006D6ECA">
        <w:rPr>
          <w:rFonts w:ascii="Arial" w:hAnsi="Arial" w:cs="Arial"/>
          <w:sz w:val="24"/>
          <w:szCs w:val="24"/>
          <w:lang w:val="es-ES"/>
        </w:rPr>
        <w:t>por lo que se fijó día y hora para que tuviera verificativo la audiencia de Ley</w:t>
      </w:r>
      <w:r w:rsidRPr="006D6ECA">
        <w:rPr>
          <w:rFonts w:ascii="Arial" w:eastAsia="Times New Roman" w:hAnsi="Arial" w:cs="Arial"/>
          <w:sz w:val="24"/>
          <w:szCs w:val="24"/>
          <w:lang w:val="es-ES_tradnl" w:eastAsia="es-ES"/>
        </w:rPr>
        <w:t xml:space="preserve"> (foja </w:t>
      </w:r>
      <w:r w:rsidR="00A81C62">
        <w:rPr>
          <w:rFonts w:ascii="Arial" w:eastAsia="Times New Roman" w:hAnsi="Arial" w:cs="Arial"/>
          <w:sz w:val="24"/>
          <w:szCs w:val="24"/>
          <w:lang w:val="es-ES_tradnl" w:eastAsia="es-ES"/>
        </w:rPr>
        <w:t>54</w:t>
      </w:r>
      <w:r w:rsidRPr="006D6ECA">
        <w:rPr>
          <w:rFonts w:ascii="Arial" w:eastAsia="Times New Roman" w:hAnsi="Arial" w:cs="Arial"/>
          <w:sz w:val="24"/>
          <w:szCs w:val="24"/>
          <w:lang w:val="es-ES_tradnl" w:eastAsia="es-ES"/>
        </w:rPr>
        <w:t>).</w:t>
      </w:r>
    </w:p>
    <w:p w14:paraId="189E42FA" w14:textId="612C8009" w:rsidR="003F616F" w:rsidRDefault="00BA0B7B" w:rsidP="003F616F">
      <w:pPr>
        <w:spacing w:after="0" w:line="360" w:lineRule="auto"/>
        <w:ind w:right="51" w:firstLine="567"/>
        <w:jc w:val="both"/>
        <w:rPr>
          <w:rFonts w:ascii="Arial" w:eastAsia="Times New Roman" w:hAnsi="Arial" w:cs="Arial"/>
          <w:sz w:val="24"/>
          <w:szCs w:val="24"/>
          <w:lang w:val="es-ES_tradnl" w:eastAsia="es-ES"/>
        </w:rPr>
      </w:pPr>
      <w:r w:rsidRPr="006D6ECA">
        <w:rPr>
          <w:rFonts w:ascii="Arial" w:eastAsia="Times New Roman" w:hAnsi="Arial" w:cs="Arial"/>
          <w:b/>
          <w:sz w:val="24"/>
          <w:szCs w:val="24"/>
          <w:lang w:val="es-ES_tradnl" w:eastAsia="es-ES"/>
        </w:rPr>
        <w:t xml:space="preserve">TERCERO. </w:t>
      </w:r>
      <w:r w:rsidRPr="006D6ECA">
        <w:rPr>
          <w:rFonts w:ascii="Arial" w:eastAsia="Times New Roman" w:hAnsi="Arial" w:cs="Arial"/>
          <w:snapToGrid w:val="0"/>
          <w:sz w:val="24"/>
          <w:szCs w:val="24"/>
          <w:lang w:val="es-ES_tradnl" w:eastAsia="es-ES"/>
        </w:rPr>
        <w:t xml:space="preserve">El </w:t>
      </w:r>
      <w:r w:rsidR="009B0E30">
        <w:rPr>
          <w:rFonts w:ascii="Arial" w:eastAsia="Times New Roman" w:hAnsi="Arial" w:cs="Arial"/>
          <w:snapToGrid w:val="0"/>
          <w:sz w:val="24"/>
          <w:szCs w:val="24"/>
          <w:lang w:val="es-ES_tradnl" w:eastAsia="es-ES"/>
        </w:rPr>
        <w:t xml:space="preserve">veintitrés </w:t>
      </w:r>
      <w:r w:rsidRPr="006D6ECA">
        <w:rPr>
          <w:rFonts w:ascii="Arial" w:eastAsia="Times New Roman" w:hAnsi="Arial" w:cs="Arial"/>
          <w:snapToGrid w:val="0"/>
          <w:sz w:val="24"/>
          <w:szCs w:val="24"/>
          <w:lang w:val="es-ES_tradnl" w:eastAsia="es-ES"/>
        </w:rPr>
        <w:t>de junio de dos mil veintiuno, se declaró</w:t>
      </w:r>
      <w:r w:rsidRPr="006D6ECA">
        <w:rPr>
          <w:rFonts w:ascii="Arial" w:eastAsia="Times New Roman" w:hAnsi="Arial" w:cs="Arial"/>
          <w:sz w:val="24"/>
          <w:szCs w:val="24"/>
          <w:lang w:eastAsia="es-ES"/>
        </w:rPr>
        <w:t xml:space="preserve"> abierta la audiencia de ley en la que no concurrieron las partes, ni persona alguna que legalmente las representara, </w:t>
      </w:r>
      <w:r w:rsidR="00BC1A51">
        <w:rPr>
          <w:rFonts w:ascii="Arial" w:eastAsia="Times New Roman" w:hAnsi="Arial" w:cs="Arial"/>
          <w:sz w:val="24"/>
          <w:szCs w:val="24"/>
          <w:lang w:eastAsia="es-ES"/>
        </w:rPr>
        <w:t xml:space="preserve">no se formularon alegatos </w:t>
      </w:r>
      <w:r w:rsidRPr="006D6ECA">
        <w:rPr>
          <w:rFonts w:ascii="Arial" w:eastAsia="Times New Roman" w:hAnsi="Arial" w:cs="Arial"/>
          <w:sz w:val="24"/>
          <w:szCs w:val="24"/>
          <w:lang w:val="es-ES_tradnl" w:eastAsia="es-ES"/>
        </w:rPr>
        <w:t xml:space="preserve">y se les citó para oír sentencia misma que ahora se pronuncia, en términos del artículo 205, de la Ley de Procedimiento y Justicia Administrativa para el Estado (foja </w:t>
      </w:r>
      <w:r w:rsidR="00BC1A51">
        <w:rPr>
          <w:rFonts w:ascii="Arial" w:eastAsia="Times New Roman" w:hAnsi="Arial" w:cs="Arial"/>
          <w:sz w:val="24"/>
          <w:szCs w:val="24"/>
          <w:lang w:val="es-ES_tradnl" w:eastAsia="es-ES"/>
        </w:rPr>
        <w:t>59</w:t>
      </w:r>
      <w:r w:rsidRPr="006D6ECA">
        <w:rPr>
          <w:rFonts w:ascii="Arial" w:eastAsia="Times New Roman" w:hAnsi="Arial" w:cs="Arial"/>
          <w:sz w:val="24"/>
          <w:szCs w:val="24"/>
          <w:lang w:val="es-ES_tradnl" w:eastAsia="es-ES"/>
        </w:rPr>
        <w:t>).</w:t>
      </w:r>
      <w:r w:rsidR="00236EB6">
        <w:rPr>
          <w:rFonts w:ascii="Arial" w:eastAsia="Times New Roman" w:hAnsi="Arial" w:cs="Arial"/>
          <w:sz w:val="24"/>
          <w:szCs w:val="24"/>
          <w:lang w:val="es-ES_tradnl" w:eastAsia="es-ES"/>
        </w:rPr>
        <w:t xml:space="preserve"> - - - - - - - - - - - </w:t>
      </w:r>
    </w:p>
    <w:p w14:paraId="6A5970B3" w14:textId="77777777" w:rsidR="003F616F" w:rsidRPr="006D6ECA" w:rsidRDefault="003F616F" w:rsidP="003F616F">
      <w:pPr>
        <w:spacing w:after="0" w:line="360" w:lineRule="auto"/>
        <w:ind w:right="51" w:firstLine="567"/>
        <w:jc w:val="both"/>
        <w:rPr>
          <w:rFonts w:ascii="Arial" w:eastAsia="Times New Roman" w:hAnsi="Arial" w:cs="Arial"/>
          <w:sz w:val="24"/>
          <w:szCs w:val="24"/>
          <w:lang w:val="es-ES_tradnl" w:eastAsia="es-ES"/>
        </w:rPr>
      </w:pPr>
    </w:p>
    <w:p w14:paraId="7C8490DC" w14:textId="77777777" w:rsidR="00BA0B7B" w:rsidRDefault="00BA0B7B" w:rsidP="00BA0B7B">
      <w:pPr>
        <w:spacing w:line="360" w:lineRule="auto"/>
        <w:ind w:right="51"/>
        <w:jc w:val="center"/>
        <w:rPr>
          <w:rFonts w:ascii="Arial" w:eastAsia="Times New Roman" w:hAnsi="Arial" w:cs="Arial"/>
          <w:b/>
          <w:bCs/>
          <w:sz w:val="24"/>
          <w:szCs w:val="24"/>
          <w:lang w:val="es-ES_tradnl" w:eastAsia="es-ES"/>
        </w:rPr>
      </w:pPr>
      <w:r w:rsidRPr="006D6ECA">
        <w:rPr>
          <w:rFonts w:ascii="Arial" w:eastAsia="Times New Roman" w:hAnsi="Arial" w:cs="Arial"/>
          <w:b/>
          <w:bCs/>
          <w:sz w:val="24"/>
          <w:szCs w:val="24"/>
          <w:lang w:val="es-ES_tradnl" w:eastAsia="es-ES"/>
        </w:rPr>
        <w:t>C O N S I D E R A N D O:</w:t>
      </w:r>
    </w:p>
    <w:p w14:paraId="04B64B80" w14:textId="77777777" w:rsidR="00BA0B7B" w:rsidRPr="006D6ECA" w:rsidRDefault="00BA0B7B" w:rsidP="00BA0B7B">
      <w:pPr>
        <w:spacing w:line="360" w:lineRule="auto"/>
        <w:ind w:right="51"/>
        <w:jc w:val="both"/>
        <w:rPr>
          <w:rFonts w:ascii="Arial" w:hAnsi="Arial" w:cs="Arial"/>
          <w:sz w:val="24"/>
          <w:szCs w:val="24"/>
        </w:rPr>
      </w:pPr>
      <w:r w:rsidRPr="006D6ECA">
        <w:rPr>
          <w:rFonts w:ascii="Arial" w:eastAsia="Times New Roman" w:hAnsi="Arial" w:cs="Arial"/>
          <w:b/>
          <w:sz w:val="24"/>
          <w:szCs w:val="24"/>
          <w:lang w:val="es-ES_tradnl" w:eastAsia="es-ES"/>
        </w:rPr>
        <w:tab/>
        <w:t>PRIMERO</w:t>
      </w:r>
      <w:r w:rsidRPr="006D6ECA">
        <w:rPr>
          <w:rFonts w:ascii="Arial" w:eastAsia="Times New Roman" w:hAnsi="Arial" w:cs="Arial"/>
          <w:b/>
          <w:color w:val="000000"/>
          <w:sz w:val="24"/>
          <w:szCs w:val="24"/>
          <w:lang w:val="es-ES_tradnl" w:eastAsia="es-ES"/>
        </w:rPr>
        <w:t xml:space="preserve">. Competencia. </w:t>
      </w:r>
      <w:r w:rsidRPr="006D6ECA">
        <w:rPr>
          <w:rFonts w:ascii="Arial" w:eastAsia="Times New Roman" w:hAnsi="Arial" w:cs="Arial"/>
          <w:bCs/>
          <w:sz w:val="24"/>
          <w:szCs w:val="24"/>
          <w:lang w:val="es-ES" w:eastAsia="es-ES"/>
        </w:rPr>
        <w:t xml:space="preserve">Esta </w:t>
      </w:r>
      <w:r w:rsidRPr="006D6ECA">
        <w:rPr>
          <w:rFonts w:ascii="Arial" w:hAnsi="Arial" w:cs="Arial"/>
          <w:sz w:val="24"/>
          <w:szCs w:val="24"/>
        </w:rPr>
        <w:t xml:space="preserve">Cuarta Sala Unitaria de Primera Instancia del Tribunal de Justicia Administrativa del Estado, </w:t>
      </w:r>
      <w:r w:rsidRPr="006D6ECA">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Pr="006D6ECA">
        <w:rPr>
          <w:rFonts w:ascii="Arial" w:eastAsia="Times New Roman" w:hAnsi="Arial" w:cs="Arial"/>
          <w:b/>
          <w:bCs/>
          <w:sz w:val="24"/>
          <w:szCs w:val="24"/>
          <w:lang w:val="es-ES" w:eastAsia="es-ES"/>
        </w:rPr>
        <w:t>carácter estatal</w:t>
      </w:r>
      <w:r w:rsidRPr="006D6ECA">
        <w:rPr>
          <w:rFonts w:ascii="Arial" w:eastAsia="Times New Roman" w:hAnsi="Arial" w:cs="Arial"/>
          <w:bCs/>
          <w:sz w:val="24"/>
          <w:szCs w:val="24"/>
          <w:lang w:val="es-ES" w:eastAsia="es-ES"/>
        </w:rPr>
        <w:t xml:space="preserve">, de conformidad con lo dispuesto por el artículo 116 fracción V, de la Constitución Federal y 114 QUÁTER, de </w:t>
      </w:r>
      <w:r w:rsidRPr="006D6ECA">
        <w:rPr>
          <w:rFonts w:ascii="Arial" w:hAnsi="Arial" w:cs="Arial"/>
          <w:sz w:val="24"/>
          <w:szCs w:val="24"/>
        </w:rPr>
        <w:t xml:space="preserve">la </w:t>
      </w:r>
      <w:r w:rsidRPr="006D6ECA">
        <w:rPr>
          <w:rFonts w:ascii="Arial" w:hAnsi="Arial" w:cs="Arial"/>
          <w:sz w:val="24"/>
          <w:szCs w:val="24"/>
        </w:rPr>
        <w:lastRenderedPageBreak/>
        <w:t>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607B1F7A" w14:textId="36E5A552" w:rsidR="00BA0B7B" w:rsidRPr="006D6ECA" w:rsidRDefault="00BA0B7B" w:rsidP="00BA0B7B">
      <w:pPr>
        <w:spacing w:line="360" w:lineRule="auto"/>
        <w:ind w:firstLine="567"/>
        <w:jc w:val="both"/>
        <w:rPr>
          <w:rFonts w:ascii="Arial" w:eastAsia="Times New Roman" w:hAnsi="Arial" w:cs="Arial"/>
          <w:b/>
          <w:sz w:val="24"/>
          <w:szCs w:val="24"/>
          <w:highlight w:val="yellow"/>
          <w:lang w:val="es-ES_tradnl" w:eastAsia="es-ES"/>
        </w:rPr>
      </w:pPr>
      <w:r w:rsidRPr="006D6ECA">
        <w:rPr>
          <w:rFonts w:ascii="Arial" w:eastAsia="Times New Roman" w:hAnsi="Arial" w:cs="Arial"/>
          <w:b/>
          <w:bCs/>
          <w:sz w:val="24"/>
          <w:szCs w:val="24"/>
          <w:lang w:val="es-ES_tradnl" w:eastAsia="es-ES"/>
        </w:rPr>
        <w:t>SEGUNDO</w:t>
      </w:r>
      <w:r w:rsidRPr="006D6ECA">
        <w:rPr>
          <w:rFonts w:ascii="Arial" w:eastAsia="Times New Roman" w:hAnsi="Arial" w:cs="Arial"/>
          <w:bCs/>
          <w:sz w:val="24"/>
          <w:szCs w:val="24"/>
          <w:lang w:val="es-ES_tradnl" w:eastAsia="es-ES"/>
        </w:rPr>
        <w:t>.</w:t>
      </w:r>
      <w:r w:rsidRPr="006D6ECA">
        <w:rPr>
          <w:rFonts w:ascii="Arial" w:eastAsia="Times New Roman" w:hAnsi="Arial" w:cs="Arial"/>
          <w:sz w:val="24"/>
          <w:szCs w:val="24"/>
          <w:lang w:val="es-ES_tradnl" w:eastAsia="es-ES"/>
        </w:rPr>
        <w:t xml:space="preserve"> </w:t>
      </w:r>
      <w:r w:rsidRPr="006D6ECA">
        <w:rPr>
          <w:rFonts w:ascii="Arial" w:eastAsia="Times New Roman" w:hAnsi="Arial" w:cs="Arial"/>
          <w:b/>
          <w:sz w:val="24"/>
          <w:szCs w:val="24"/>
          <w:lang w:val="es-ES_tradnl" w:eastAsia="es-ES"/>
        </w:rPr>
        <w:t xml:space="preserve">Personalidad. </w:t>
      </w:r>
      <w:r w:rsidRPr="006D6ECA">
        <w:rPr>
          <w:rFonts w:ascii="Arial" w:eastAsia="Times New Roman" w:hAnsi="Arial" w:cs="Arial"/>
          <w:sz w:val="24"/>
          <w:szCs w:val="24"/>
          <w:lang w:val="es-ES_tradnl" w:eastAsia="es-ES"/>
        </w:rPr>
        <w:t xml:space="preserve">La personalidad de la </w:t>
      </w:r>
      <w:r w:rsidRPr="006D6ECA">
        <w:rPr>
          <w:rFonts w:ascii="Arial" w:eastAsia="Times New Roman" w:hAnsi="Arial" w:cs="Arial"/>
          <w:b/>
          <w:sz w:val="24"/>
          <w:szCs w:val="24"/>
          <w:lang w:val="es-ES_tradnl" w:eastAsia="es-ES"/>
        </w:rPr>
        <w:t xml:space="preserve">actora </w:t>
      </w:r>
      <w:r w:rsidRPr="006D6ECA">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sidRPr="006D6ECA">
        <w:rPr>
          <w:rFonts w:ascii="Arial" w:eastAsia="Times New Roman" w:hAnsi="Arial" w:cs="Arial"/>
          <w:b/>
          <w:sz w:val="24"/>
          <w:szCs w:val="24"/>
          <w:lang w:val="es-ES_tradnl" w:eastAsia="es-ES"/>
        </w:rPr>
        <w:t>autoridad demandada</w:t>
      </w:r>
      <w:r w:rsidRPr="006D6ECA">
        <w:rPr>
          <w:rFonts w:ascii="Arial" w:eastAsia="Times New Roman" w:hAnsi="Arial" w:cs="Arial"/>
          <w:sz w:val="24"/>
          <w:szCs w:val="24"/>
          <w:lang w:val="es-ES_tradnl" w:eastAsia="es-ES"/>
        </w:rPr>
        <w:t xml:space="preserve"> </w:t>
      </w:r>
      <w:r w:rsidR="00695A64">
        <w:rPr>
          <w:rFonts w:ascii="Arial" w:eastAsia="Times New Roman" w:hAnsi="Arial" w:cs="Arial"/>
          <w:bCs/>
          <w:sz w:val="24"/>
          <w:szCs w:val="24"/>
          <w:lang w:val="es-ES_tradnl" w:eastAsia="es-ES"/>
        </w:rPr>
        <w:t xml:space="preserve">Director General </w:t>
      </w:r>
      <w:r w:rsidRPr="006D6ECA">
        <w:rPr>
          <w:rFonts w:ascii="Arial" w:eastAsia="Times New Roman" w:hAnsi="Arial" w:cs="Arial"/>
          <w:bCs/>
          <w:sz w:val="24"/>
          <w:szCs w:val="24"/>
          <w:lang w:val="es-ES_tradnl" w:eastAsia="es-ES"/>
        </w:rPr>
        <w:t>de la Oficina de Pensiones del Estado, lo acreditó en términos de lo dispuesto por el artículo 151 de la Ley citada.</w:t>
      </w:r>
    </w:p>
    <w:p w14:paraId="04551BEF" w14:textId="77777777" w:rsidR="00386A08" w:rsidRDefault="000757F5" w:rsidP="00386A08">
      <w:pPr>
        <w:spacing w:line="360" w:lineRule="auto"/>
        <w:ind w:firstLine="567"/>
        <w:jc w:val="both"/>
        <w:rPr>
          <w:rFonts w:ascii="Arial" w:eastAsia="Times New Roman" w:hAnsi="Arial" w:cs="Arial"/>
          <w:sz w:val="24"/>
          <w:szCs w:val="24"/>
          <w:lang w:val="es-ES_tradnl" w:eastAsia="es-ES"/>
        </w:rPr>
      </w:pPr>
      <w:r w:rsidRPr="00BA0B7B">
        <w:rPr>
          <w:rFonts w:ascii="Arial" w:hAnsi="Arial" w:cs="Arial"/>
          <w:b/>
          <w:snapToGrid w:val="0"/>
          <w:sz w:val="24"/>
          <w:szCs w:val="24"/>
        </w:rPr>
        <w:t>TERCERO.</w:t>
      </w:r>
      <w:r w:rsidRPr="00BA0B7B">
        <w:rPr>
          <w:rFonts w:ascii="Arial" w:hAnsi="Arial" w:cs="Arial"/>
          <w:bCs/>
          <w:snapToGrid w:val="0"/>
          <w:sz w:val="24"/>
          <w:szCs w:val="24"/>
        </w:rPr>
        <w:t xml:space="preserve"> </w:t>
      </w:r>
      <w:r w:rsidR="00386A08">
        <w:rPr>
          <w:rFonts w:ascii="Arial" w:eastAsia="Times New Roman" w:hAnsi="Arial" w:cs="Arial"/>
          <w:b/>
          <w:sz w:val="24"/>
          <w:szCs w:val="24"/>
          <w:lang w:val="es-ES_tradnl" w:eastAsia="es-ES"/>
        </w:rPr>
        <w:t>Causales de</w:t>
      </w:r>
      <w:r w:rsidR="00386A08">
        <w:rPr>
          <w:rFonts w:ascii="Arial" w:eastAsia="Times New Roman" w:hAnsi="Arial" w:cs="Arial"/>
          <w:sz w:val="24"/>
          <w:szCs w:val="24"/>
          <w:lang w:val="es-ES_tradnl" w:eastAsia="es-ES"/>
        </w:rPr>
        <w:t xml:space="preserve"> </w:t>
      </w:r>
      <w:r w:rsidR="00386A08">
        <w:rPr>
          <w:rFonts w:ascii="Arial" w:eastAsia="Times New Roman" w:hAnsi="Arial" w:cs="Arial"/>
          <w:b/>
          <w:sz w:val="24"/>
          <w:szCs w:val="24"/>
          <w:lang w:val="es-ES_tradnl" w:eastAsia="es-ES"/>
        </w:rPr>
        <w:t xml:space="preserve">improcedencia y sobreseimiento. </w:t>
      </w:r>
      <w:r w:rsidR="00386A08">
        <w:rPr>
          <w:rFonts w:ascii="Arial" w:eastAsia="Times New Roman" w:hAnsi="Arial" w:cs="Arial"/>
          <w:sz w:val="24"/>
          <w:szCs w:val="24"/>
          <w:lang w:val="es-ES_tradnl" w:eastAsia="es-ES"/>
        </w:rPr>
        <w:t>Por ser</w:t>
      </w:r>
      <w:r w:rsidR="00386A08">
        <w:rPr>
          <w:rFonts w:ascii="Arial" w:eastAsia="Times New Roman" w:hAnsi="Arial" w:cs="Arial"/>
          <w:b/>
          <w:sz w:val="24"/>
          <w:szCs w:val="24"/>
          <w:lang w:val="es-ES_tradnl" w:eastAsia="es-ES"/>
        </w:rPr>
        <w:t xml:space="preserve"> </w:t>
      </w:r>
      <w:r w:rsidR="00386A0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386A08">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386A08">
        <w:rPr>
          <w:rFonts w:ascii="Arial" w:eastAsia="Times New Roman" w:hAnsi="Arial" w:cs="Arial"/>
          <w:sz w:val="24"/>
          <w:szCs w:val="24"/>
          <w:lang w:val="es-ES_tradnl" w:eastAsia="es-ES"/>
        </w:rPr>
        <w:t xml:space="preserve"> de la Ley de Procedimiento y Justicia Administrativa para el Estado.</w:t>
      </w:r>
    </w:p>
    <w:p w14:paraId="50C0D0DB" w14:textId="1EE2561A" w:rsidR="002D43D7" w:rsidRDefault="002D43D7" w:rsidP="002D43D7">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001977CF">
        <w:rPr>
          <w:rFonts w:ascii="Arial" w:eastAsia="Times New Roman" w:hAnsi="Arial" w:cs="Arial"/>
          <w:bCs/>
          <w:sz w:val="24"/>
          <w:szCs w:val="24"/>
          <w:lang w:val="es-ES_tradnl" w:eastAsia="es-ES"/>
        </w:rPr>
        <w:t xml:space="preserve">Director General </w:t>
      </w:r>
      <w:r>
        <w:rPr>
          <w:rFonts w:ascii="Arial" w:eastAsia="Times New Roman" w:hAnsi="Arial" w:cs="Arial"/>
          <w:bCs/>
          <w:sz w:val="24"/>
          <w:szCs w:val="24"/>
          <w:lang w:val="es-ES_tradnl" w:eastAsia="es-ES"/>
        </w:rPr>
        <w:t xml:space="preserve">de la </w:t>
      </w:r>
      <w:r w:rsidR="005E406E">
        <w:rPr>
          <w:rFonts w:ascii="Arial" w:eastAsia="Times New Roman" w:hAnsi="Arial" w:cs="Arial"/>
          <w:bCs/>
          <w:sz w:val="24"/>
          <w:szCs w:val="24"/>
          <w:lang w:val="es-ES_tradnl" w:eastAsia="es-ES"/>
        </w:rPr>
        <w:t xml:space="preserve">Oficina de Pensiones del Estado, </w:t>
      </w:r>
      <w:r>
        <w:rPr>
          <w:rFonts w:ascii="Arial" w:eastAsia="Times New Roman" w:hAnsi="Arial" w:cs="Arial"/>
          <w:bCs/>
          <w:sz w:val="24"/>
          <w:szCs w:val="24"/>
          <w:lang w:val="es-ES_tradnl" w:eastAsia="es-ES"/>
        </w:rPr>
        <w:t>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que establecen:</w:t>
      </w:r>
    </w:p>
    <w:p w14:paraId="10194C09" w14:textId="77777777" w:rsidR="002D43D7" w:rsidRDefault="002D43D7" w:rsidP="002D43D7">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161. </w:t>
      </w:r>
      <w:r>
        <w:rPr>
          <w:rFonts w:ascii="Arial" w:eastAsia="Times New Roman" w:hAnsi="Arial" w:cs="Arial"/>
          <w:bCs/>
          <w:i/>
          <w:lang w:eastAsia="es-ES"/>
        </w:rPr>
        <w:t>Es improcedente el juicio ante el Tribunal contra actos:</w:t>
      </w:r>
    </w:p>
    <w:p w14:paraId="3586AD04" w14:textId="77777777" w:rsidR="002D43D7" w:rsidRDefault="002D43D7" w:rsidP="002D43D7">
      <w:pPr>
        <w:spacing w:after="0" w:line="276" w:lineRule="auto"/>
        <w:ind w:left="851" w:right="425"/>
        <w:jc w:val="both"/>
        <w:rPr>
          <w:rFonts w:ascii="Arial" w:eastAsia="Times New Roman" w:hAnsi="Arial" w:cs="Arial"/>
          <w:bCs/>
          <w:i/>
          <w:lang w:eastAsia="es-ES"/>
        </w:rPr>
      </w:pPr>
      <w:r>
        <w:rPr>
          <w:rFonts w:ascii="Arial" w:eastAsia="Times New Roman" w:hAnsi="Arial" w:cs="Arial"/>
          <w:bCs/>
          <w:i/>
          <w:lang w:eastAsia="es-ES"/>
        </w:rPr>
        <w:t>(…)</w:t>
      </w:r>
    </w:p>
    <w:p w14:paraId="0AA851B1" w14:textId="77777777" w:rsidR="002D43D7" w:rsidRDefault="002D43D7" w:rsidP="002D43D7">
      <w:pPr>
        <w:spacing w:after="0" w:line="276" w:lineRule="auto"/>
        <w:ind w:left="851" w:right="425"/>
        <w:jc w:val="both"/>
        <w:rPr>
          <w:rFonts w:ascii="Arial" w:eastAsia="Times New Roman" w:hAnsi="Arial" w:cs="Arial"/>
          <w:i/>
          <w:lang w:eastAsia="es-ES"/>
        </w:rPr>
      </w:pPr>
      <w:r>
        <w:rPr>
          <w:rFonts w:ascii="Arial" w:eastAsia="Times New Roman" w:hAnsi="Arial" w:cs="Arial"/>
          <w:b/>
          <w:bCs/>
          <w:i/>
          <w:lang w:eastAsia="es-ES"/>
        </w:rPr>
        <w:t xml:space="preserve">IX. </w:t>
      </w:r>
      <w:r>
        <w:rPr>
          <w:rFonts w:ascii="Arial" w:eastAsia="Times New Roman" w:hAnsi="Arial" w:cs="Arial"/>
          <w:i/>
          <w:lang w:eastAsia="es-ES"/>
        </w:rPr>
        <w:t>Cuando de las constancias de autos apareciere claramente que no existe el acto reclamado o cuando no se probare su existencia; y</w:t>
      </w:r>
    </w:p>
    <w:p w14:paraId="7652A19A" w14:textId="77777777" w:rsidR="002D43D7" w:rsidRDefault="002D43D7" w:rsidP="002D43D7">
      <w:pPr>
        <w:spacing w:after="0" w:line="276" w:lineRule="auto"/>
        <w:ind w:left="851" w:right="425"/>
        <w:jc w:val="both"/>
        <w:rPr>
          <w:rFonts w:ascii="Arial" w:eastAsia="Times New Roman" w:hAnsi="Arial" w:cs="Arial"/>
          <w:bCs/>
          <w:i/>
          <w:lang w:eastAsia="es-ES"/>
        </w:rPr>
      </w:pPr>
      <w:r>
        <w:rPr>
          <w:rFonts w:ascii="Arial" w:eastAsia="Times New Roman" w:hAnsi="Arial" w:cs="Arial"/>
          <w:b/>
          <w:bCs/>
          <w:i/>
          <w:lang w:eastAsia="es-ES"/>
        </w:rPr>
        <w:t xml:space="preserve">ARTÍCULO 162. </w:t>
      </w:r>
      <w:r>
        <w:rPr>
          <w:rFonts w:ascii="Arial" w:eastAsia="Times New Roman" w:hAnsi="Arial" w:cs="Arial"/>
          <w:bCs/>
          <w:i/>
          <w:lang w:eastAsia="es-ES"/>
        </w:rPr>
        <w:t>Procede el sobreseimiento del juicio:</w:t>
      </w:r>
    </w:p>
    <w:p w14:paraId="5B0E9AE3" w14:textId="77777777" w:rsidR="002D43D7" w:rsidRDefault="002D43D7" w:rsidP="002D43D7">
      <w:pPr>
        <w:spacing w:after="0" w:line="276" w:lineRule="auto"/>
        <w:ind w:left="851" w:right="425"/>
        <w:jc w:val="both"/>
        <w:rPr>
          <w:rFonts w:ascii="Arial" w:eastAsia="Times New Roman" w:hAnsi="Arial" w:cs="Arial"/>
          <w:i/>
          <w:lang w:eastAsia="es-ES"/>
        </w:rPr>
      </w:pPr>
      <w:r>
        <w:rPr>
          <w:rFonts w:ascii="Arial" w:eastAsia="Times New Roman" w:hAnsi="Arial" w:cs="Arial"/>
          <w:i/>
          <w:lang w:eastAsia="es-ES"/>
        </w:rPr>
        <w:t>(…)</w:t>
      </w:r>
    </w:p>
    <w:p w14:paraId="5A58DFBD" w14:textId="77777777" w:rsidR="002D43D7" w:rsidRDefault="002D43D7" w:rsidP="002D43D7">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 xml:space="preserve">V. </w:t>
      </w:r>
      <w:r>
        <w:rPr>
          <w:rFonts w:ascii="Arial" w:eastAsia="Times New Roman" w:hAnsi="Arial" w:cs="Arial"/>
          <w:i/>
          <w:lang w:eastAsia="es-ES"/>
        </w:rPr>
        <w:t>Cuando de las constancias de autos apareciere claramente que no existe el acto o resolución impugnada;</w:t>
      </w:r>
    </w:p>
    <w:p w14:paraId="1E8C375E" w14:textId="77777777" w:rsidR="002D43D7" w:rsidRDefault="002D43D7" w:rsidP="002D43D7">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 xml:space="preserve">VI. </w:t>
      </w:r>
      <w:r>
        <w:rPr>
          <w:rFonts w:ascii="Arial" w:eastAsia="Times New Roman" w:hAnsi="Arial" w:cs="Arial"/>
          <w:i/>
          <w:lang w:eastAsia="es-ES"/>
        </w:rPr>
        <w:t>En los demás casos en los que por disposición legal exista impedimento para emitir resoluciones en cuanto al fondo; y</w:t>
      </w:r>
    </w:p>
    <w:p w14:paraId="0434E599" w14:textId="77777777" w:rsidR="002D43D7" w:rsidRDefault="002D43D7" w:rsidP="002D43D7">
      <w:pPr>
        <w:spacing w:after="0" w:line="276" w:lineRule="auto"/>
        <w:ind w:left="851" w:right="425"/>
        <w:jc w:val="both"/>
        <w:rPr>
          <w:rFonts w:ascii="Arial" w:eastAsia="Times New Roman" w:hAnsi="Arial" w:cs="Arial"/>
          <w:b/>
          <w:bCs/>
          <w:i/>
          <w:lang w:eastAsia="es-ES"/>
        </w:rPr>
      </w:pPr>
    </w:p>
    <w:p w14:paraId="7C58C6E4" w14:textId="50AD012A" w:rsidR="002D43D7" w:rsidRDefault="002D43D7" w:rsidP="002D43D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de improcedencia prevista en la fracción </w:t>
      </w:r>
      <w:r>
        <w:rPr>
          <w:rFonts w:ascii="Arial" w:eastAsia="Times New Roman" w:hAnsi="Arial" w:cs="Arial"/>
          <w:b/>
          <w:bCs/>
          <w:sz w:val="24"/>
          <w:szCs w:val="24"/>
          <w:lang w:val="es-ES_tradnl" w:eastAsia="es-ES"/>
        </w:rPr>
        <w:t>IX del artículo 161</w:t>
      </w:r>
      <w:r>
        <w:rPr>
          <w:rFonts w:ascii="Arial" w:eastAsia="Times New Roman" w:hAnsi="Arial" w:cs="Arial"/>
          <w:bCs/>
          <w:sz w:val="24"/>
          <w:szCs w:val="24"/>
          <w:lang w:val="es-ES_tradnl" w:eastAsia="es-ES"/>
        </w:rPr>
        <w:t>, y en la</w:t>
      </w:r>
      <w:r w:rsidR="00236EB6">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fracci</w:t>
      </w:r>
      <w:r w:rsidR="00236EB6">
        <w:rPr>
          <w:rFonts w:ascii="Arial" w:eastAsia="Times New Roman" w:hAnsi="Arial" w:cs="Arial"/>
          <w:bCs/>
          <w:sz w:val="24"/>
          <w:szCs w:val="24"/>
          <w:lang w:val="es-ES_tradnl" w:eastAsia="es-ES"/>
        </w:rPr>
        <w:t>ones</w:t>
      </w:r>
      <w:r>
        <w:rPr>
          <w:rFonts w:ascii="Arial" w:eastAsia="Times New Roman" w:hAnsi="Arial" w:cs="Arial"/>
          <w:bCs/>
          <w:sz w:val="24"/>
          <w:szCs w:val="24"/>
          <w:lang w:val="es-ES_tradnl" w:eastAsia="es-ES"/>
        </w:rPr>
        <w:t xml:space="preserve"> </w:t>
      </w:r>
      <w:r>
        <w:rPr>
          <w:rFonts w:ascii="Arial" w:eastAsia="Times New Roman" w:hAnsi="Arial" w:cs="Arial"/>
          <w:b/>
          <w:bCs/>
          <w:sz w:val="24"/>
          <w:szCs w:val="24"/>
          <w:lang w:val="es-ES_tradnl" w:eastAsia="es-ES"/>
        </w:rPr>
        <w:t>V</w:t>
      </w:r>
      <w:r w:rsidR="00236EB6">
        <w:rPr>
          <w:rFonts w:ascii="Arial" w:eastAsia="Times New Roman" w:hAnsi="Arial" w:cs="Arial"/>
          <w:b/>
          <w:bCs/>
          <w:sz w:val="24"/>
          <w:szCs w:val="24"/>
          <w:lang w:val="es-ES_tradnl" w:eastAsia="es-ES"/>
        </w:rPr>
        <w:t xml:space="preserve"> y VI</w:t>
      </w:r>
      <w:r>
        <w:rPr>
          <w:rFonts w:ascii="Arial" w:eastAsia="Times New Roman" w:hAnsi="Arial" w:cs="Arial"/>
          <w:b/>
          <w:bCs/>
          <w:sz w:val="24"/>
          <w:szCs w:val="24"/>
          <w:lang w:val="es-ES_tradnl" w:eastAsia="es-ES"/>
        </w:rPr>
        <w:t xml:space="preserve"> del artículo 162</w:t>
      </w:r>
      <w:r>
        <w:rPr>
          <w:rFonts w:ascii="Arial" w:eastAsia="Times New Roman" w:hAnsi="Arial" w:cs="Arial"/>
          <w:bCs/>
          <w:sz w:val="24"/>
          <w:szCs w:val="24"/>
          <w:lang w:val="es-ES_tradnl" w:eastAsia="es-ES"/>
        </w:rPr>
        <w:t xml:space="preserve">, de la Ley de la Materia, </w:t>
      </w:r>
      <w:r>
        <w:rPr>
          <w:rFonts w:ascii="Arial" w:eastAsia="Times New Roman" w:hAnsi="Arial" w:cs="Arial"/>
          <w:b/>
          <w:bCs/>
          <w:sz w:val="24"/>
          <w:szCs w:val="24"/>
          <w:lang w:val="es-ES_tradnl" w:eastAsia="es-ES"/>
        </w:rPr>
        <w:t>no se configura</w:t>
      </w:r>
      <w:r w:rsidR="00236EB6">
        <w:rPr>
          <w:rFonts w:ascii="Arial" w:eastAsia="Times New Roman" w:hAnsi="Arial" w:cs="Arial"/>
          <w:b/>
          <w:bCs/>
          <w:sz w:val="24"/>
          <w:szCs w:val="24"/>
          <w:lang w:val="es-ES_tradnl" w:eastAsia="es-ES"/>
        </w:rPr>
        <w:t>n</w:t>
      </w:r>
      <w:r>
        <w:rPr>
          <w:rFonts w:ascii="Arial" w:eastAsia="Times New Roman" w:hAnsi="Arial" w:cs="Arial"/>
          <w:bCs/>
          <w:sz w:val="24"/>
          <w:szCs w:val="24"/>
          <w:lang w:val="es-ES_tradnl" w:eastAsia="es-ES"/>
        </w:rPr>
        <w:t xml:space="preserve">, en virtud que la parte actora </w:t>
      </w:r>
      <w:r>
        <w:rPr>
          <w:rFonts w:ascii="Arial" w:eastAsia="Times New Roman" w:hAnsi="Arial" w:cs="Arial"/>
          <w:b/>
          <w:sz w:val="24"/>
          <w:szCs w:val="24"/>
          <w:lang w:val="es-ES_tradnl" w:eastAsia="es-ES"/>
        </w:rPr>
        <w:t>acreditó la existencia del acto</w:t>
      </w:r>
      <w:r w:rsidR="006D5E5F">
        <w:rPr>
          <w:rFonts w:ascii="Arial" w:eastAsia="Times New Roman" w:hAnsi="Arial" w:cs="Arial"/>
          <w:bCs/>
          <w:sz w:val="24"/>
          <w:szCs w:val="24"/>
          <w:lang w:val="es-ES_tradnl" w:eastAsia="es-ES"/>
        </w:rPr>
        <w:t xml:space="preserve"> que impugna, ya que a foja 16</w:t>
      </w:r>
      <w:r>
        <w:rPr>
          <w:rFonts w:ascii="Arial" w:eastAsia="Times New Roman" w:hAnsi="Arial" w:cs="Arial"/>
          <w:bCs/>
          <w:sz w:val="24"/>
          <w:szCs w:val="24"/>
          <w:lang w:val="es-ES_tradnl" w:eastAsia="es-ES"/>
        </w:rPr>
        <w:t xml:space="preserve"> de autos, obra </w:t>
      </w:r>
      <w:r w:rsidR="006D5E5F">
        <w:rPr>
          <w:rFonts w:ascii="Arial" w:eastAsia="Times New Roman" w:hAnsi="Arial" w:cs="Arial"/>
          <w:bCs/>
          <w:sz w:val="24"/>
          <w:szCs w:val="24"/>
          <w:lang w:val="es-ES_tradnl" w:eastAsia="es-ES"/>
        </w:rPr>
        <w:t xml:space="preserve">el original </w:t>
      </w:r>
      <w:r>
        <w:rPr>
          <w:rFonts w:ascii="Arial" w:eastAsia="Times New Roman" w:hAnsi="Arial" w:cs="Arial"/>
          <w:bCs/>
          <w:sz w:val="24"/>
          <w:szCs w:val="24"/>
          <w:lang w:val="es-ES_tradnl" w:eastAsia="es-ES"/>
        </w:rPr>
        <w:t xml:space="preserve">del oficio número </w:t>
      </w:r>
      <w:r w:rsidR="003F5A6E">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w:t>
      </w:r>
      <w:r w:rsidR="006D5E5F">
        <w:rPr>
          <w:rFonts w:ascii="Arial" w:eastAsia="Times New Roman" w:hAnsi="Arial" w:cs="Arial"/>
          <w:bCs/>
          <w:sz w:val="24"/>
          <w:szCs w:val="24"/>
          <w:lang w:val="es-ES_tradnl" w:eastAsia="es-ES"/>
        </w:rPr>
        <w:t>trece de enero de dos mil veintiuno</w:t>
      </w:r>
      <w:r>
        <w:rPr>
          <w:rFonts w:ascii="Arial" w:eastAsia="Times New Roman" w:hAnsi="Arial" w:cs="Arial"/>
          <w:bCs/>
          <w:sz w:val="24"/>
          <w:szCs w:val="24"/>
          <w:lang w:val="es-ES_tradnl" w:eastAsia="es-ES"/>
        </w:rPr>
        <w:t>, emitido por el Director General de la Oficina de Pensiones del Gobierno del Estado, la cual al ser una documental pública expedida por una autoridad en ejercicio de sus funciones, hace prueba plena en términos del artículo 203 fracción I, de la Ley de Procedimiento y Justicia Administrativa para el Estado.</w:t>
      </w:r>
    </w:p>
    <w:p w14:paraId="74D30E63" w14:textId="77777777" w:rsidR="002D43D7" w:rsidRDefault="002D43D7" w:rsidP="002D43D7">
      <w:pPr>
        <w:tabs>
          <w:tab w:val="left" w:pos="567"/>
        </w:tabs>
        <w:spacing w:line="360" w:lineRule="auto"/>
        <w:ind w:right="51" w:firstLine="567"/>
        <w:jc w:val="both"/>
        <w:rPr>
          <w:rFonts w:ascii="Arial" w:hAnsi="Arial" w:cs="Arial"/>
          <w:sz w:val="24"/>
          <w:szCs w:val="24"/>
        </w:rPr>
      </w:pPr>
      <w:r>
        <w:rPr>
          <w:rFonts w:ascii="Arial" w:hAnsi="Arial" w:cs="Arial"/>
          <w:sz w:val="24"/>
          <w:szCs w:val="24"/>
        </w:rPr>
        <w:lastRenderedPageBreak/>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contenida en la</w:t>
      </w:r>
      <w:r>
        <w:rPr>
          <w:rFonts w:ascii="Arial" w:hAnsi="Arial" w:cs="Arial"/>
          <w:b/>
          <w:sz w:val="24"/>
          <w:szCs w:val="24"/>
        </w:rPr>
        <w:t xml:space="preserve"> fracción</w:t>
      </w:r>
      <w:r>
        <w:rPr>
          <w:rFonts w:ascii="Arial" w:hAnsi="Arial" w:cs="Arial"/>
          <w:sz w:val="24"/>
          <w:szCs w:val="24"/>
        </w:rPr>
        <w:t xml:space="preserve"> </w:t>
      </w:r>
      <w:r>
        <w:rPr>
          <w:rFonts w:ascii="Arial" w:hAnsi="Arial" w:cs="Arial"/>
          <w:b/>
          <w:sz w:val="24"/>
          <w:szCs w:val="24"/>
        </w:rPr>
        <w:t xml:space="preserve">VI </w:t>
      </w:r>
      <w:r>
        <w:rPr>
          <w:rFonts w:ascii="Arial" w:hAnsi="Arial" w:cs="Arial"/>
          <w:sz w:val="24"/>
          <w:szCs w:val="24"/>
        </w:rPr>
        <w:t xml:space="preserve">del artículo 162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5FDBEC04" w14:textId="77777777" w:rsidR="002D43D7" w:rsidRDefault="002D43D7" w:rsidP="002D43D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66BE5BCE" w14:textId="3CF0F9E3" w:rsidR="002726FF" w:rsidRDefault="000757F5" w:rsidP="002726FF">
      <w:pPr>
        <w:spacing w:line="360" w:lineRule="auto"/>
        <w:ind w:firstLine="567"/>
        <w:jc w:val="both"/>
        <w:rPr>
          <w:rFonts w:ascii="Arial" w:eastAsia="Times New Roman" w:hAnsi="Arial" w:cs="Arial"/>
          <w:sz w:val="24"/>
          <w:szCs w:val="24"/>
          <w:lang w:val="es-ES_tradnl" w:eastAsia="es-ES"/>
        </w:rPr>
      </w:pPr>
      <w:r w:rsidRPr="00BA0B7B">
        <w:rPr>
          <w:rFonts w:ascii="Arial" w:hAnsi="Arial" w:cs="Arial"/>
          <w:b/>
          <w:snapToGrid w:val="0"/>
          <w:sz w:val="24"/>
          <w:szCs w:val="24"/>
        </w:rPr>
        <w:t xml:space="preserve">CUARTO.- </w:t>
      </w:r>
      <w:r w:rsidR="002726FF">
        <w:rPr>
          <w:rFonts w:ascii="Arial" w:eastAsia="Times New Roman" w:hAnsi="Arial" w:cs="Arial"/>
          <w:b/>
          <w:bCs/>
          <w:sz w:val="24"/>
          <w:szCs w:val="24"/>
          <w:lang w:eastAsia="es-ES"/>
        </w:rPr>
        <w:t xml:space="preserve">Excepciones y defensas. </w:t>
      </w:r>
      <w:r w:rsidR="002726FF">
        <w:rPr>
          <w:rFonts w:ascii="Arial" w:eastAsia="Times New Roman" w:hAnsi="Arial" w:cs="Arial"/>
          <w:bCs/>
          <w:sz w:val="24"/>
          <w:szCs w:val="24"/>
          <w:lang w:eastAsia="es-ES"/>
        </w:rPr>
        <w:t xml:space="preserve">Se procede al análisis de las excepciones </w:t>
      </w:r>
      <w:r w:rsidR="002726FF">
        <w:rPr>
          <w:rFonts w:ascii="Arial" w:eastAsia="Times New Roman" w:hAnsi="Arial" w:cs="Arial"/>
          <w:b/>
          <w:sz w:val="24"/>
          <w:szCs w:val="24"/>
          <w:lang w:val="es-ES_tradnl" w:eastAsia="es-ES"/>
        </w:rPr>
        <w:t>de falta de acción, de derecho</w:t>
      </w:r>
      <w:r w:rsidR="002726FF">
        <w:rPr>
          <w:rFonts w:ascii="Arial" w:eastAsia="Times New Roman" w:hAnsi="Arial" w:cs="Arial"/>
          <w:sz w:val="24"/>
          <w:szCs w:val="24"/>
          <w:lang w:val="es-ES_tradnl" w:eastAsia="es-ES"/>
        </w:rPr>
        <w:t xml:space="preserve"> y </w:t>
      </w:r>
      <w:r w:rsidR="002726FF">
        <w:rPr>
          <w:rFonts w:ascii="Arial" w:eastAsia="Times New Roman" w:hAnsi="Arial" w:cs="Arial"/>
          <w:b/>
          <w:sz w:val="24"/>
          <w:szCs w:val="24"/>
          <w:lang w:val="es-ES_tradnl" w:eastAsia="es-ES"/>
        </w:rPr>
        <w:t xml:space="preserve">falsedad </w:t>
      </w:r>
      <w:r w:rsidR="002726FF">
        <w:rPr>
          <w:rFonts w:ascii="Arial" w:eastAsia="Times New Roman" w:hAnsi="Arial" w:cs="Arial"/>
          <w:bCs/>
          <w:sz w:val="24"/>
          <w:szCs w:val="24"/>
          <w:lang w:val="es-ES_tradnl" w:eastAsia="es-ES"/>
        </w:rPr>
        <w:t>de los hechos en que funda su demanda la parte actora</w:t>
      </w:r>
      <w:r w:rsidR="002726FF">
        <w:rPr>
          <w:rFonts w:ascii="Arial" w:eastAsia="Times New Roman" w:hAnsi="Arial" w:cs="Arial"/>
          <w:sz w:val="24"/>
          <w:szCs w:val="24"/>
          <w:lang w:val="es-ES_tradnl" w:eastAsia="es-ES"/>
        </w:rPr>
        <w:t xml:space="preserve">, </w:t>
      </w:r>
      <w:r w:rsidR="002726FF">
        <w:rPr>
          <w:rFonts w:ascii="Arial" w:eastAsia="Times New Roman" w:hAnsi="Arial" w:cs="Arial"/>
          <w:b/>
          <w:bCs/>
          <w:sz w:val="24"/>
          <w:szCs w:val="24"/>
          <w:lang w:val="es-ES_tradnl" w:eastAsia="es-ES"/>
        </w:rPr>
        <w:t>opuestas</w:t>
      </w:r>
      <w:r w:rsidR="002726FF">
        <w:rPr>
          <w:rFonts w:ascii="Arial" w:eastAsia="Times New Roman" w:hAnsi="Arial" w:cs="Arial"/>
          <w:sz w:val="24"/>
          <w:szCs w:val="24"/>
          <w:lang w:val="es-ES_tradnl" w:eastAsia="es-ES"/>
        </w:rPr>
        <w:t xml:space="preserve"> por el </w:t>
      </w:r>
      <w:r w:rsidR="002726FF">
        <w:rPr>
          <w:rFonts w:ascii="Arial" w:eastAsia="Times New Roman" w:hAnsi="Arial" w:cs="Arial"/>
          <w:bCs/>
          <w:sz w:val="24"/>
          <w:szCs w:val="24"/>
          <w:lang w:val="es-ES_tradnl" w:eastAsia="es-ES"/>
        </w:rPr>
        <w:t xml:space="preserve">Director General de la Oficina de Pensiones del Estado, </w:t>
      </w:r>
      <w:r w:rsidR="002726FF">
        <w:rPr>
          <w:rFonts w:ascii="Arial" w:eastAsia="Times New Roman" w:hAnsi="Arial" w:cs="Arial"/>
          <w:sz w:val="24"/>
          <w:szCs w:val="24"/>
          <w:lang w:val="es-ES_tradnl" w:eastAsia="es-ES"/>
        </w:rPr>
        <w:t>al dar contestación a</w:t>
      </w:r>
      <w:r w:rsidR="00D13BA8">
        <w:rPr>
          <w:rFonts w:ascii="Arial" w:eastAsia="Times New Roman" w:hAnsi="Arial" w:cs="Arial"/>
          <w:sz w:val="24"/>
          <w:szCs w:val="24"/>
          <w:lang w:val="es-ES_tradnl" w:eastAsia="es-ES"/>
        </w:rPr>
        <w:t xml:space="preserve"> la demanda, quién señaló: que </w:t>
      </w:r>
      <w:r w:rsidR="002726FF">
        <w:rPr>
          <w:rFonts w:ascii="Arial" w:eastAsia="Times New Roman" w:hAnsi="Arial" w:cs="Arial"/>
          <w:sz w:val="24"/>
          <w:szCs w:val="24"/>
          <w:lang w:val="es-ES_tradnl" w:eastAsia="es-ES"/>
        </w:rPr>
        <w:t>l</w:t>
      </w:r>
      <w:r w:rsidR="00D13BA8">
        <w:rPr>
          <w:rFonts w:ascii="Arial" w:eastAsia="Times New Roman" w:hAnsi="Arial" w:cs="Arial"/>
          <w:sz w:val="24"/>
          <w:szCs w:val="24"/>
          <w:lang w:val="es-ES_tradnl" w:eastAsia="es-ES"/>
        </w:rPr>
        <w:t>a</w:t>
      </w:r>
      <w:r w:rsidR="002726FF">
        <w:rPr>
          <w:rFonts w:ascii="Arial" w:eastAsia="Times New Roman" w:hAnsi="Arial" w:cs="Arial"/>
          <w:sz w:val="24"/>
          <w:szCs w:val="24"/>
          <w:lang w:val="es-ES_tradnl" w:eastAsia="es-ES"/>
        </w:rPr>
        <w:t xml:space="preserve"> actor</w:t>
      </w:r>
      <w:r w:rsidR="00D13BA8">
        <w:rPr>
          <w:rFonts w:ascii="Arial" w:eastAsia="Times New Roman" w:hAnsi="Arial" w:cs="Arial"/>
          <w:sz w:val="24"/>
          <w:szCs w:val="24"/>
          <w:lang w:val="es-ES_tradnl" w:eastAsia="es-ES"/>
        </w:rPr>
        <w:t>a</w:t>
      </w:r>
      <w:r w:rsidR="002726FF">
        <w:rPr>
          <w:rFonts w:ascii="Arial" w:eastAsia="Times New Roman" w:hAnsi="Arial" w:cs="Arial"/>
          <w:sz w:val="24"/>
          <w:szCs w:val="24"/>
          <w:lang w:val="es-ES_tradnl" w:eastAsia="es-ES"/>
        </w:rPr>
        <w:t xml:space="preserve"> carece de acción y derecho, y que son falsos los hechos en los que l</w:t>
      </w:r>
      <w:r w:rsidR="00D13BA8">
        <w:rPr>
          <w:rFonts w:ascii="Arial" w:eastAsia="Times New Roman" w:hAnsi="Arial" w:cs="Arial"/>
          <w:sz w:val="24"/>
          <w:szCs w:val="24"/>
          <w:lang w:val="es-ES_tradnl" w:eastAsia="es-ES"/>
        </w:rPr>
        <w:t>a</w:t>
      </w:r>
      <w:r w:rsidR="002726FF">
        <w:rPr>
          <w:rFonts w:ascii="Arial" w:eastAsia="Times New Roman" w:hAnsi="Arial" w:cs="Arial"/>
          <w:sz w:val="24"/>
          <w:szCs w:val="24"/>
          <w:lang w:val="es-ES_tradnl" w:eastAsia="es-ES"/>
        </w:rPr>
        <w:t xml:space="preserve"> actor</w:t>
      </w:r>
      <w:r w:rsidR="00D13BA8">
        <w:rPr>
          <w:rFonts w:ascii="Arial" w:eastAsia="Times New Roman" w:hAnsi="Arial" w:cs="Arial"/>
          <w:sz w:val="24"/>
          <w:szCs w:val="24"/>
          <w:lang w:val="es-ES_tradnl" w:eastAsia="es-ES"/>
        </w:rPr>
        <w:t>a</w:t>
      </w:r>
      <w:r w:rsidR="002726FF">
        <w:rPr>
          <w:rFonts w:ascii="Arial" w:eastAsia="Times New Roman" w:hAnsi="Arial" w:cs="Arial"/>
          <w:sz w:val="24"/>
          <w:szCs w:val="24"/>
          <w:lang w:val="es-ES_tradnl" w:eastAsia="es-ES"/>
        </w:rPr>
        <w:t xml:space="preserve"> funda su demanda.</w:t>
      </w:r>
    </w:p>
    <w:p w14:paraId="2FD4E3A0" w14:textId="77777777" w:rsidR="002726FF" w:rsidRDefault="002726FF" w:rsidP="002726F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Las excepciones</w:t>
      </w:r>
      <w:r>
        <w:rPr>
          <w:rFonts w:ascii="Arial" w:eastAsia="Times New Roman" w:hAnsi="Arial" w:cs="Arial"/>
          <w:b/>
          <w:sz w:val="24"/>
          <w:szCs w:val="24"/>
          <w:lang w:val="es-ES_tradnl" w:eastAsia="es-ES"/>
        </w:rPr>
        <w:t xml:space="preserve"> opuestas son improcedentes</w:t>
      </w:r>
      <w:r>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152D3949" w14:textId="1A9F990A" w:rsidR="002726FF" w:rsidRDefault="002726FF" w:rsidP="002726F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la misma manera, es </w:t>
      </w:r>
      <w:r>
        <w:rPr>
          <w:rFonts w:ascii="Arial" w:eastAsia="Times New Roman" w:hAnsi="Arial" w:cs="Arial"/>
          <w:b/>
          <w:sz w:val="24"/>
          <w:szCs w:val="24"/>
          <w:lang w:val="es-ES_tradnl" w:eastAsia="es-ES"/>
        </w:rPr>
        <w:t xml:space="preserve">improcedente </w:t>
      </w:r>
      <w:r>
        <w:rPr>
          <w:rFonts w:ascii="Arial" w:eastAsia="Times New Roman" w:hAnsi="Arial" w:cs="Arial"/>
          <w:sz w:val="24"/>
          <w:szCs w:val="24"/>
          <w:lang w:val="es-ES_tradnl" w:eastAsia="es-ES"/>
        </w:rPr>
        <w:t xml:space="preserve">la excepción de </w:t>
      </w:r>
      <w:r>
        <w:rPr>
          <w:rFonts w:ascii="Arial" w:eastAsia="Times New Roman" w:hAnsi="Arial" w:cs="Arial"/>
          <w:b/>
          <w:sz w:val="24"/>
          <w:szCs w:val="24"/>
          <w:lang w:val="es-ES_tradnl" w:eastAsia="es-ES"/>
        </w:rPr>
        <w:t>falsedad de hechos opuesta por la autoridad demandada</w:t>
      </w:r>
      <w:r>
        <w:rPr>
          <w:rFonts w:ascii="Arial" w:eastAsia="Times New Roman" w:hAnsi="Arial" w:cs="Arial"/>
          <w:sz w:val="24"/>
          <w:szCs w:val="24"/>
          <w:lang w:val="es-ES_tradnl" w:eastAsia="es-ES"/>
        </w:rPr>
        <w:t xml:space="preserve">, ya que el actor no se condujo con falsedad en su escrito de demanda de nulidad, al reclamar la nulidad del contenido en el oficio número </w:t>
      </w:r>
      <w:r w:rsidR="003F5A6E">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w:t>
      </w:r>
      <w:r w:rsidR="00D13BA8">
        <w:rPr>
          <w:rFonts w:ascii="Arial" w:eastAsia="Times New Roman" w:hAnsi="Arial" w:cs="Arial"/>
          <w:bCs/>
          <w:sz w:val="24"/>
          <w:szCs w:val="24"/>
          <w:lang w:val="es-ES_tradnl" w:eastAsia="es-ES"/>
        </w:rPr>
        <w:t xml:space="preserve">trece de enero de dos mil veintiuno, </w:t>
      </w:r>
      <w:r>
        <w:rPr>
          <w:rFonts w:ascii="Arial" w:eastAsia="Times New Roman" w:hAnsi="Arial" w:cs="Arial"/>
          <w:sz w:val="24"/>
          <w:szCs w:val="24"/>
          <w:lang w:val="es-ES_tradnl" w:eastAsia="es-ES"/>
        </w:rPr>
        <w:t xml:space="preserve">toda vez que el mismo afecta su esfera jurídica, tal como lo acreditó exhibiendo </w:t>
      </w:r>
      <w:r w:rsidR="00D13BA8">
        <w:rPr>
          <w:rFonts w:ascii="Arial" w:eastAsia="Times New Roman" w:hAnsi="Arial" w:cs="Arial"/>
          <w:sz w:val="24"/>
          <w:szCs w:val="24"/>
          <w:lang w:val="es-ES_tradnl" w:eastAsia="es-ES"/>
        </w:rPr>
        <w:t xml:space="preserve">el original </w:t>
      </w:r>
      <w:r>
        <w:rPr>
          <w:rFonts w:ascii="Arial" w:eastAsia="Times New Roman" w:hAnsi="Arial" w:cs="Arial"/>
          <w:sz w:val="24"/>
          <w:szCs w:val="24"/>
          <w:lang w:val="es-ES_tradnl" w:eastAsia="es-ES"/>
        </w:rPr>
        <w:t>del mismo.</w:t>
      </w:r>
    </w:p>
    <w:p w14:paraId="3ECE77F1" w14:textId="42C37047" w:rsidR="000757F5" w:rsidRPr="00E9207D" w:rsidRDefault="002726FF" w:rsidP="00386A08">
      <w:pPr>
        <w:spacing w:line="360" w:lineRule="auto"/>
        <w:ind w:right="51" w:firstLine="567"/>
        <w:jc w:val="both"/>
        <w:rPr>
          <w:rFonts w:ascii="Arial" w:hAnsi="Arial" w:cs="Arial"/>
          <w:b/>
          <w:bCs/>
          <w:snapToGrid w:val="0"/>
          <w:sz w:val="24"/>
          <w:szCs w:val="24"/>
        </w:rPr>
      </w:pPr>
      <w:r>
        <w:rPr>
          <w:rFonts w:ascii="Arial" w:eastAsia="Times New Roman" w:hAnsi="Arial" w:cs="Arial"/>
          <w:b/>
          <w:sz w:val="24"/>
          <w:szCs w:val="24"/>
          <w:lang w:val="es-ES_tradnl" w:eastAsia="es-ES"/>
        </w:rPr>
        <w:t xml:space="preserve">QUINTO. Análisis del fondo del asunto. </w:t>
      </w:r>
      <w:r w:rsidR="008141EF">
        <w:rPr>
          <w:rFonts w:ascii="Arial" w:hAnsi="Arial" w:cs="Arial"/>
          <w:bCs/>
          <w:snapToGrid w:val="0"/>
          <w:sz w:val="24"/>
          <w:szCs w:val="24"/>
        </w:rPr>
        <w:t xml:space="preserve">La parte actora </w:t>
      </w:r>
      <w:r w:rsidR="003F5A6E">
        <w:rPr>
          <w:rFonts w:ascii="Arial" w:eastAsia="Times New Roman" w:hAnsi="Arial" w:cs="Arial"/>
          <w:bCs/>
          <w:iCs/>
          <w:caps/>
          <w:kern w:val="2"/>
          <w:sz w:val="24"/>
          <w:szCs w:val="24"/>
          <w:lang w:val="es-ES_tradnl" w:eastAsia="es-ES"/>
        </w:rPr>
        <w:t>**********</w:t>
      </w:r>
      <w:r w:rsidR="000757F5" w:rsidRPr="00BA0B7B">
        <w:rPr>
          <w:rFonts w:ascii="Arial" w:hAnsi="Arial" w:cs="Arial"/>
          <w:bCs/>
          <w:snapToGrid w:val="0"/>
          <w:sz w:val="24"/>
          <w:szCs w:val="24"/>
        </w:rPr>
        <w:t xml:space="preserve">, por su propio derecho, demandó la nulidad del oficio número </w:t>
      </w:r>
      <w:r w:rsidR="003F5A6E">
        <w:rPr>
          <w:rFonts w:ascii="Arial" w:eastAsia="Times New Roman" w:hAnsi="Arial" w:cs="Arial"/>
          <w:bCs/>
          <w:iCs/>
          <w:caps/>
          <w:kern w:val="2"/>
          <w:sz w:val="24"/>
          <w:szCs w:val="24"/>
          <w:lang w:val="es-ES_tradnl" w:eastAsia="es-ES"/>
        </w:rPr>
        <w:t>**********</w:t>
      </w:r>
      <w:r w:rsidR="000757F5" w:rsidRPr="00BA0B7B">
        <w:rPr>
          <w:rFonts w:ascii="Arial" w:hAnsi="Arial" w:cs="Arial"/>
          <w:bCs/>
          <w:snapToGrid w:val="0"/>
          <w:sz w:val="24"/>
          <w:szCs w:val="24"/>
        </w:rPr>
        <w:t xml:space="preserve">, de fecha </w:t>
      </w:r>
      <w:r w:rsidR="00E9207D">
        <w:rPr>
          <w:rFonts w:ascii="Arial" w:hAnsi="Arial" w:cs="Arial"/>
          <w:bCs/>
          <w:snapToGrid w:val="0"/>
          <w:sz w:val="24"/>
          <w:szCs w:val="24"/>
        </w:rPr>
        <w:t xml:space="preserve">trece de enero de dos mil veintiuno, </w:t>
      </w:r>
      <w:r w:rsidR="000757F5" w:rsidRPr="00BA0B7B">
        <w:rPr>
          <w:rFonts w:ascii="Arial" w:hAnsi="Arial" w:cs="Arial"/>
          <w:bCs/>
          <w:snapToGrid w:val="0"/>
          <w:sz w:val="24"/>
          <w:szCs w:val="24"/>
        </w:rPr>
        <w:t>emitido por el Director General de la Oficina de Pensiones el Gobierno del Estado de Oaxaca, en virtud de que a su consideración, este se emitió en contravención a las disposiciones legales, causándole así un perjuicio directo.</w:t>
      </w:r>
    </w:p>
    <w:p w14:paraId="11DC3850" w14:textId="09B8308C"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Ahora bien, esta Sala realiza el análisis de los conceptos de impugnación hechos valer por la parte actora, sin que se transcriban dichos conceptos, esto en atención a la jurisprudencia número 2a</w:t>
      </w:r>
      <w:proofErr w:type="gramStart"/>
      <w:r w:rsidRPr="00BA0B7B">
        <w:rPr>
          <w:rFonts w:ascii="Arial" w:hAnsi="Arial" w:cs="Arial"/>
          <w:bCs/>
          <w:snapToGrid w:val="0"/>
          <w:sz w:val="24"/>
          <w:szCs w:val="24"/>
        </w:rPr>
        <w:t>./</w:t>
      </w:r>
      <w:proofErr w:type="gramEnd"/>
      <w:r w:rsidRPr="00BA0B7B">
        <w:rPr>
          <w:rFonts w:ascii="Arial" w:hAnsi="Arial" w:cs="Arial"/>
          <w:bCs/>
          <w:snapToGrid w:val="0"/>
          <w:sz w:val="24"/>
          <w:szCs w:val="24"/>
        </w:rPr>
        <w:t xml:space="preserve">J. 58/2010, con número de registro 164618 por la Segunda Sala de la Suprema Corte de Justicia de la Nación en el Semanario Judicial de la Federación y su Gaceta, Tomo XXXI, </w:t>
      </w:r>
      <w:r w:rsidR="00CC7BF2">
        <w:rPr>
          <w:rFonts w:ascii="Arial" w:hAnsi="Arial" w:cs="Arial"/>
          <w:bCs/>
          <w:snapToGrid w:val="0"/>
          <w:sz w:val="24"/>
          <w:szCs w:val="24"/>
        </w:rPr>
        <w:t>m</w:t>
      </w:r>
      <w:r w:rsidRPr="00BA0B7B">
        <w:rPr>
          <w:rFonts w:ascii="Arial" w:hAnsi="Arial" w:cs="Arial"/>
          <w:bCs/>
          <w:snapToGrid w:val="0"/>
          <w:sz w:val="24"/>
          <w:szCs w:val="24"/>
        </w:rPr>
        <w:t>ayo de 2010, Página 830, Novena Época, bajo el rubro y texto siguiente:</w:t>
      </w:r>
    </w:p>
    <w:p w14:paraId="48690DC8" w14:textId="7CAEF047" w:rsidR="000757F5" w:rsidRDefault="00723E68" w:rsidP="008B3027">
      <w:pPr>
        <w:spacing w:after="0"/>
        <w:ind w:left="567" w:right="615"/>
        <w:jc w:val="both"/>
        <w:rPr>
          <w:rFonts w:ascii="Arial" w:hAnsi="Arial" w:cs="Arial"/>
          <w:bCs/>
          <w:i/>
          <w:snapToGrid w:val="0"/>
          <w:sz w:val="24"/>
          <w:szCs w:val="24"/>
        </w:rPr>
      </w:pPr>
      <w:r>
        <w:rPr>
          <w:rFonts w:ascii="Arial" w:hAnsi="Arial" w:cs="Arial"/>
          <w:b/>
          <w:i/>
          <w:snapToGrid w:val="0"/>
          <w:sz w:val="24"/>
          <w:szCs w:val="24"/>
        </w:rPr>
        <w:t>“</w:t>
      </w:r>
      <w:r w:rsidR="000757F5" w:rsidRPr="00BA0B7B">
        <w:rPr>
          <w:rFonts w:ascii="Arial" w:hAnsi="Arial" w:cs="Arial"/>
          <w:b/>
          <w:i/>
          <w:snapToGrid w:val="0"/>
          <w:sz w:val="24"/>
          <w:szCs w:val="24"/>
        </w:rPr>
        <w:t>CONCEPTOS DE VIOLACIÓN O AGRAVIOS. PARA CUMPLIR CON LOS PRINCIPIOS DE CONGRUENCIA Y EXHAUSTIVIDAD EN LAS SENTENCIAS DE AMPARO ES INNECESARIA SU TRANSCRIPCIÓN.</w:t>
      </w:r>
      <w:r w:rsidR="000757F5" w:rsidRPr="00BA0B7B">
        <w:rPr>
          <w:rFonts w:ascii="Arial" w:hAnsi="Arial" w:cs="Arial"/>
          <w:bCs/>
          <w:i/>
          <w:snapToGrid w:val="0"/>
          <w:sz w:val="24"/>
          <w:szCs w:val="24"/>
        </w:rPr>
        <w:t xml:space="preserve"> De los preceptos integrantes del capítulo X "De las sentencias", del título primero "Reglas generales", del libro primero "Del amparo en general", </w:t>
      </w:r>
      <w:r w:rsidR="000757F5" w:rsidRPr="00BA0B7B">
        <w:rPr>
          <w:rFonts w:ascii="Arial" w:hAnsi="Arial" w:cs="Arial"/>
          <w:bCs/>
          <w:i/>
          <w:snapToGrid w:val="0"/>
          <w:sz w:val="24"/>
          <w:szCs w:val="24"/>
        </w:rPr>
        <w:lastRenderedPageBreak/>
        <w:t xml:space="preserve">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000757F5" w:rsidRPr="00BA0B7B">
        <w:rPr>
          <w:rFonts w:ascii="Arial" w:hAnsi="Arial" w:cs="Arial"/>
          <w:bCs/>
          <w:i/>
          <w:snapToGrid w:val="0"/>
          <w:sz w:val="24"/>
          <w:szCs w:val="24"/>
        </w:rPr>
        <w:t>litis</w:t>
      </w:r>
      <w:proofErr w:type="spellEnd"/>
      <w:r w:rsidR="000757F5" w:rsidRPr="00BA0B7B">
        <w:rPr>
          <w:rFonts w:ascii="Arial" w:hAnsi="Arial" w:cs="Arial"/>
          <w:bCs/>
          <w:i/>
          <w:snapToGrid w:val="0"/>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bCs/>
          <w:i/>
          <w:snapToGrid w:val="0"/>
          <w:sz w:val="24"/>
          <w:szCs w:val="24"/>
        </w:rPr>
        <w:t>”</w:t>
      </w:r>
    </w:p>
    <w:p w14:paraId="5E44DA10" w14:textId="77777777" w:rsidR="00723E68" w:rsidRDefault="00723E68" w:rsidP="00723E68">
      <w:pPr>
        <w:spacing w:after="0"/>
        <w:ind w:left="567" w:right="615"/>
        <w:jc w:val="both"/>
        <w:rPr>
          <w:rFonts w:ascii="Arial" w:hAnsi="Arial" w:cs="Arial"/>
          <w:bCs/>
          <w:snapToGrid w:val="0"/>
          <w:sz w:val="24"/>
          <w:szCs w:val="24"/>
        </w:rPr>
      </w:pPr>
    </w:p>
    <w:p w14:paraId="4F018842" w14:textId="77777777" w:rsidR="008B3027" w:rsidRPr="00B2388E" w:rsidRDefault="008B3027" w:rsidP="00723E68">
      <w:pPr>
        <w:spacing w:after="0"/>
        <w:ind w:left="567" w:right="615"/>
        <w:jc w:val="both"/>
        <w:rPr>
          <w:rFonts w:ascii="Arial" w:hAnsi="Arial" w:cs="Arial"/>
          <w:bCs/>
          <w:snapToGrid w:val="0"/>
          <w:sz w:val="24"/>
          <w:szCs w:val="24"/>
        </w:rPr>
      </w:pPr>
    </w:p>
    <w:p w14:paraId="01429EC2" w14:textId="387153C8"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En ese tenor, </w:t>
      </w:r>
      <w:r w:rsidR="006257A1">
        <w:rPr>
          <w:rFonts w:ascii="Arial" w:hAnsi="Arial" w:cs="Arial"/>
          <w:bCs/>
          <w:snapToGrid w:val="0"/>
          <w:sz w:val="24"/>
          <w:szCs w:val="24"/>
        </w:rPr>
        <w:t>la actora</w:t>
      </w:r>
      <w:r w:rsidRPr="00BA0B7B">
        <w:rPr>
          <w:rFonts w:ascii="Arial" w:hAnsi="Arial" w:cs="Arial"/>
          <w:bCs/>
          <w:snapToGrid w:val="0"/>
          <w:sz w:val="24"/>
          <w:szCs w:val="24"/>
        </w:rPr>
        <w:t xml:space="preserve"> argumenta en sus conceptos de impugnación, que se debe declarar la nulidad del acto impugnado en razón de que carece de los elementos y requisitos de validez exigidos por el artículo 17 de la Ley de Procedimiento y Justicia Administrativa para el Estado de Oaxaca, pues se configura una indebida fundamentación y motivación, en razón de que la autoridad fundamenta su decisión en el artículo </w:t>
      </w:r>
      <w:r w:rsidR="000A6995">
        <w:rPr>
          <w:rFonts w:ascii="Arial" w:hAnsi="Arial" w:cs="Arial"/>
          <w:bCs/>
          <w:snapToGrid w:val="0"/>
          <w:sz w:val="24"/>
          <w:szCs w:val="24"/>
        </w:rPr>
        <w:t>63</w:t>
      </w:r>
      <w:r w:rsidRPr="00BA0B7B">
        <w:rPr>
          <w:rFonts w:ascii="Arial" w:hAnsi="Arial" w:cs="Arial"/>
          <w:bCs/>
          <w:snapToGrid w:val="0"/>
          <w:sz w:val="24"/>
          <w:szCs w:val="24"/>
        </w:rPr>
        <w:t xml:space="preserve"> de la Ley de Pensiones para los </w:t>
      </w:r>
      <w:r w:rsidR="000A6995">
        <w:rPr>
          <w:rFonts w:ascii="Arial" w:hAnsi="Arial" w:cs="Arial"/>
          <w:bCs/>
          <w:snapToGrid w:val="0"/>
          <w:sz w:val="24"/>
          <w:szCs w:val="24"/>
        </w:rPr>
        <w:t>Trabajadores</w:t>
      </w:r>
      <w:r w:rsidRPr="00BA0B7B">
        <w:rPr>
          <w:rFonts w:ascii="Arial" w:hAnsi="Arial" w:cs="Arial"/>
          <w:bCs/>
          <w:snapToGrid w:val="0"/>
          <w:sz w:val="24"/>
          <w:szCs w:val="24"/>
        </w:rPr>
        <w:t xml:space="preserve"> del Gobierno del Estado, el cual resulta inaplicable al asunto por las características específicas de éste que impiden su adecuación o encuadre en la hipótesis normativa; además, que con su emisión se violenta lo previsto en el artículo 123 apartado b fracción XI de la Constitución Política de los Estados Unidos Mexicanos; asimismo, la autoridad demandada no observó lo dispuesto en el artículo 1° de la Constitución Federal, al negar la devolución de las cantidades descontadas a favor del fondo de pensiones, al señalar de que dichas cantidades habían prescrito a favor del mencionado fondo.</w:t>
      </w:r>
    </w:p>
    <w:p w14:paraId="73D11792" w14:textId="3413B4E3"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En ese sentido, es importante destacar que </w:t>
      </w:r>
      <w:r w:rsidR="006257A1">
        <w:rPr>
          <w:rFonts w:ascii="Arial" w:hAnsi="Arial" w:cs="Arial"/>
          <w:bCs/>
          <w:snapToGrid w:val="0"/>
          <w:sz w:val="24"/>
          <w:szCs w:val="24"/>
        </w:rPr>
        <w:t>la actora</w:t>
      </w:r>
      <w:r w:rsidRPr="00BA0B7B">
        <w:rPr>
          <w:rFonts w:ascii="Arial" w:hAnsi="Arial" w:cs="Arial"/>
          <w:bCs/>
          <w:snapToGrid w:val="0"/>
          <w:sz w:val="24"/>
          <w:szCs w:val="24"/>
        </w:rPr>
        <w:t xml:space="preserve"> </w:t>
      </w:r>
      <w:r w:rsidR="003F5A6E">
        <w:rPr>
          <w:rFonts w:ascii="Arial" w:eastAsia="Times New Roman" w:hAnsi="Arial" w:cs="Arial"/>
          <w:bCs/>
          <w:iCs/>
          <w:caps/>
          <w:kern w:val="2"/>
          <w:sz w:val="24"/>
          <w:szCs w:val="24"/>
          <w:lang w:val="es-ES_tradnl" w:eastAsia="es-ES"/>
        </w:rPr>
        <w:t>**********</w:t>
      </w:r>
      <w:r w:rsidRPr="00BA0B7B">
        <w:rPr>
          <w:rFonts w:ascii="Arial" w:hAnsi="Arial" w:cs="Arial"/>
          <w:bCs/>
          <w:snapToGrid w:val="0"/>
          <w:sz w:val="24"/>
          <w:szCs w:val="24"/>
        </w:rPr>
        <w:t xml:space="preserve">, mediante </w:t>
      </w:r>
      <w:r w:rsidR="006257A1">
        <w:rPr>
          <w:rFonts w:ascii="Arial" w:hAnsi="Arial" w:cs="Arial"/>
          <w:bCs/>
          <w:snapToGrid w:val="0"/>
          <w:sz w:val="24"/>
          <w:szCs w:val="24"/>
        </w:rPr>
        <w:t xml:space="preserve">escrito </w:t>
      </w:r>
      <w:r w:rsidR="00F25948">
        <w:rPr>
          <w:rFonts w:ascii="Arial" w:hAnsi="Arial" w:cs="Arial"/>
          <w:bCs/>
          <w:snapToGrid w:val="0"/>
          <w:sz w:val="24"/>
          <w:szCs w:val="24"/>
        </w:rPr>
        <w:t xml:space="preserve">recibido el </w:t>
      </w:r>
      <w:r w:rsidR="00B93465">
        <w:rPr>
          <w:rFonts w:ascii="Arial" w:hAnsi="Arial" w:cs="Arial"/>
          <w:bCs/>
          <w:snapToGrid w:val="0"/>
          <w:sz w:val="24"/>
          <w:szCs w:val="24"/>
        </w:rPr>
        <w:t xml:space="preserve">catorce de diciembre de dos mil veinte, presentado ante </w:t>
      </w:r>
      <w:r w:rsidRPr="00BA0B7B">
        <w:rPr>
          <w:rFonts w:ascii="Arial" w:hAnsi="Arial" w:cs="Arial"/>
          <w:bCs/>
          <w:snapToGrid w:val="0"/>
          <w:sz w:val="24"/>
          <w:szCs w:val="24"/>
        </w:rPr>
        <w:t xml:space="preserve">la Dirección </w:t>
      </w:r>
      <w:r w:rsidR="00B93465">
        <w:rPr>
          <w:rFonts w:ascii="Arial" w:hAnsi="Arial" w:cs="Arial"/>
          <w:bCs/>
          <w:snapToGrid w:val="0"/>
          <w:sz w:val="24"/>
          <w:szCs w:val="24"/>
        </w:rPr>
        <w:t xml:space="preserve">General de Pensiones del Estado, </w:t>
      </w:r>
      <w:r w:rsidRPr="00BA0B7B">
        <w:rPr>
          <w:rFonts w:ascii="Arial" w:hAnsi="Arial" w:cs="Arial"/>
          <w:bCs/>
          <w:snapToGrid w:val="0"/>
          <w:sz w:val="24"/>
          <w:szCs w:val="24"/>
        </w:rPr>
        <w:t>solicitó la devolución de las cantidades descontadas a su salario por concepto de aportación al Fondo de Pensiones, durante el periodo que laboró para el Gobierno del Estado.</w:t>
      </w:r>
    </w:p>
    <w:p w14:paraId="3782247E" w14:textId="2A2D8A7E"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Por ello, mediante oficio número </w:t>
      </w:r>
      <w:r w:rsidR="003F5A6E">
        <w:rPr>
          <w:rFonts w:ascii="Arial" w:eastAsia="Times New Roman" w:hAnsi="Arial" w:cs="Arial"/>
          <w:bCs/>
          <w:iCs/>
          <w:caps/>
          <w:kern w:val="2"/>
          <w:sz w:val="24"/>
          <w:szCs w:val="24"/>
          <w:lang w:val="es-ES_tradnl" w:eastAsia="es-ES"/>
        </w:rPr>
        <w:t>**********</w:t>
      </w:r>
      <w:r w:rsidRPr="00BA0B7B">
        <w:rPr>
          <w:rFonts w:ascii="Arial" w:hAnsi="Arial" w:cs="Arial"/>
          <w:bCs/>
          <w:snapToGrid w:val="0"/>
          <w:sz w:val="24"/>
          <w:szCs w:val="24"/>
        </w:rPr>
        <w:t>, de</w:t>
      </w:r>
      <w:r w:rsidR="00740503">
        <w:rPr>
          <w:rFonts w:ascii="Arial" w:hAnsi="Arial" w:cs="Arial"/>
          <w:bCs/>
          <w:snapToGrid w:val="0"/>
          <w:sz w:val="24"/>
          <w:szCs w:val="24"/>
        </w:rPr>
        <w:t xml:space="preserve"> trece de enero de dos mil veintiuno, </w:t>
      </w:r>
      <w:r w:rsidRPr="00BA0B7B">
        <w:rPr>
          <w:rFonts w:ascii="Arial" w:hAnsi="Arial" w:cs="Arial"/>
          <w:bCs/>
          <w:snapToGrid w:val="0"/>
          <w:sz w:val="24"/>
          <w:szCs w:val="24"/>
        </w:rPr>
        <w:t>el Director General de la Oficina de Pensio</w:t>
      </w:r>
      <w:r w:rsidR="006257A1">
        <w:rPr>
          <w:rFonts w:ascii="Arial" w:hAnsi="Arial" w:cs="Arial"/>
          <w:bCs/>
          <w:snapToGrid w:val="0"/>
          <w:sz w:val="24"/>
          <w:szCs w:val="24"/>
        </w:rPr>
        <w:t xml:space="preserve">nes del Gobierno del Estado, </w:t>
      </w:r>
      <w:r w:rsidR="003E7D59">
        <w:rPr>
          <w:rFonts w:ascii="Arial" w:hAnsi="Arial" w:cs="Arial"/>
          <w:bCs/>
          <w:snapToGrid w:val="0"/>
          <w:sz w:val="24"/>
          <w:szCs w:val="24"/>
        </w:rPr>
        <w:t>dio</w:t>
      </w:r>
      <w:r w:rsidRPr="00BA0B7B">
        <w:rPr>
          <w:rFonts w:ascii="Arial" w:hAnsi="Arial" w:cs="Arial"/>
          <w:bCs/>
          <w:snapToGrid w:val="0"/>
          <w:sz w:val="24"/>
          <w:szCs w:val="24"/>
        </w:rPr>
        <w:t xml:space="preserve"> contestación al escrito de</w:t>
      </w:r>
      <w:r w:rsidR="00740503">
        <w:rPr>
          <w:rFonts w:ascii="Arial" w:hAnsi="Arial" w:cs="Arial"/>
          <w:bCs/>
          <w:snapToGrid w:val="0"/>
          <w:sz w:val="24"/>
          <w:szCs w:val="24"/>
        </w:rPr>
        <w:t xml:space="preserve"> </w:t>
      </w:r>
      <w:r w:rsidRPr="00BA0B7B">
        <w:rPr>
          <w:rFonts w:ascii="Arial" w:hAnsi="Arial" w:cs="Arial"/>
          <w:bCs/>
          <w:snapToGrid w:val="0"/>
          <w:sz w:val="24"/>
          <w:szCs w:val="24"/>
        </w:rPr>
        <w:t>l</w:t>
      </w:r>
      <w:r w:rsidR="00740503">
        <w:rPr>
          <w:rFonts w:ascii="Arial" w:hAnsi="Arial" w:cs="Arial"/>
          <w:bCs/>
          <w:snapToGrid w:val="0"/>
          <w:sz w:val="24"/>
          <w:szCs w:val="24"/>
        </w:rPr>
        <w:t>a</w:t>
      </w:r>
      <w:r w:rsidRPr="00BA0B7B">
        <w:rPr>
          <w:rFonts w:ascii="Arial" w:hAnsi="Arial" w:cs="Arial"/>
          <w:bCs/>
          <w:snapToGrid w:val="0"/>
          <w:sz w:val="24"/>
          <w:szCs w:val="24"/>
        </w:rPr>
        <w:t xml:space="preserve"> actor</w:t>
      </w:r>
      <w:r w:rsidR="00740503">
        <w:rPr>
          <w:rFonts w:ascii="Arial" w:hAnsi="Arial" w:cs="Arial"/>
          <w:bCs/>
          <w:snapToGrid w:val="0"/>
          <w:sz w:val="24"/>
          <w:szCs w:val="24"/>
        </w:rPr>
        <w:t>a</w:t>
      </w:r>
      <w:r w:rsidRPr="00BA0B7B">
        <w:rPr>
          <w:rFonts w:ascii="Arial" w:hAnsi="Arial" w:cs="Arial"/>
          <w:bCs/>
          <w:snapToGrid w:val="0"/>
          <w:sz w:val="24"/>
          <w:szCs w:val="24"/>
        </w:rPr>
        <w:t xml:space="preserve">, en el que le indicó que era improcedente la devolución de las cantidad descontadas a su salario durante el periodo que laboró para el Gobierno del Estado, en razón, que el artículo </w:t>
      </w:r>
      <w:r w:rsidR="003E7D59">
        <w:rPr>
          <w:rFonts w:ascii="Arial" w:hAnsi="Arial" w:cs="Arial"/>
          <w:bCs/>
          <w:snapToGrid w:val="0"/>
          <w:sz w:val="24"/>
          <w:szCs w:val="24"/>
        </w:rPr>
        <w:t xml:space="preserve">63 </w:t>
      </w:r>
      <w:r w:rsidRPr="00BA0B7B">
        <w:rPr>
          <w:rFonts w:ascii="Arial" w:hAnsi="Arial" w:cs="Arial"/>
          <w:bCs/>
          <w:snapToGrid w:val="0"/>
          <w:sz w:val="24"/>
          <w:szCs w:val="24"/>
        </w:rPr>
        <w:t xml:space="preserve">de la Ley de Pensiones para los </w:t>
      </w:r>
      <w:r w:rsidR="003E7D59">
        <w:rPr>
          <w:rFonts w:ascii="Arial" w:hAnsi="Arial" w:cs="Arial"/>
          <w:bCs/>
          <w:snapToGrid w:val="0"/>
          <w:sz w:val="24"/>
          <w:szCs w:val="24"/>
        </w:rPr>
        <w:t xml:space="preserve">Trabajadores </w:t>
      </w:r>
      <w:r w:rsidRPr="00BA0B7B">
        <w:rPr>
          <w:rFonts w:ascii="Arial" w:hAnsi="Arial" w:cs="Arial"/>
          <w:bCs/>
          <w:snapToGrid w:val="0"/>
          <w:sz w:val="24"/>
          <w:szCs w:val="24"/>
        </w:rPr>
        <w:t xml:space="preserve">del Gobierno del Estado, establecía que la devolución de los descuentos efectuados a favor del Fondo de Pensiones del Estado, deberían de ser reclamados dentro de los tres años siguientes a partir de la fecha que hubieran sido exigibles, pues de lo contrario prescribirían a favor de dicho fondo, indicándole </w:t>
      </w:r>
      <w:r w:rsidRPr="00BA0B7B">
        <w:rPr>
          <w:rFonts w:ascii="Arial" w:hAnsi="Arial" w:cs="Arial"/>
          <w:bCs/>
          <w:snapToGrid w:val="0"/>
          <w:sz w:val="24"/>
          <w:szCs w:val="24"/>
        </w:rPr>
        <w:lastRenderedPageBreak/>
        <w:t xml:space="preserve">que la última aportación al fondo de pensiones la realizó </w:t>
      </w:r>
      <w:r w:rsidRPr="003E7D59">
        <w:rPr>
          <w:rFonts w:ascii="Arial" w:hAnsi="Arial" w:cs="Arial"/>
          <w:bCs/>
          <w:snapToGrid w:val="0"/>
          <w:sz w:val="24"/>
          <w:szCs w:val="24"/>
        </w:rPr>
        <w:t xml:space="preserve">el </w:t>
      </w:r>
      <w:r w:rsidR="00AC7608" w:rsidRPr="003E7D59">
        <w:rPr>
          <w:rFonts w:ascii="Arial" w:hAnsi="Arial" w:cs="Arial"/>
          <w:bCs/>
          <w:snapToGrid w:val="0"/>
          <w:sz w:val="24"/>
          <w:szCs w:val="24"/>
        </w:rPr>
        <w:t>quince de junio de dos mil diecisiete</w:t>
      </w:r>
      <w:r w:rsidRPr="003E7D59">
        <w:rPr>
          <w:rFonts w:ascii="Arial" w:hAnsi="Arial" w:cs="Arial"/>
          <w:bCs/>
          <w:snapToGrid w:val="0"/>
          <w:sz w:val="24"/>
          <w:szCs w:val="24"/>
        </w:rPr>
        <w:t xml:space="preserve">, por lo que su término de tres años para solicitar su devolución, concluía el </w:t>
      </w:r>
      <w:r w:rsidR="005C4042" w:rsidRPr="003E7D59">
        <w:rPr>
          <w:rFonts w:ascii="Arial" w:hAnsi="Arial" w:cs="Arial"/>
          <w:bCs/>
          <w:snapToGrid w:val="0"/>
          <w:sz w:val="24"/>
          <w:szCs w:val="24"/>
        </w:rPr>
        <w:t>quince de ju</w:t>
      </w:r>
      <w:r w:rsidR="00BA6A40" w:rsidRPr="003E7D59">
        <w:rPr>
          <w:rFonts w:ascii="Arial" w:hAnsi="Arial" w:cs="Arial"/>
          <w:bCs/>
          <w:snapToGrid w:val="0"/>
          <w:sz w:val="24"/>
          <w:szCs w:val="24"/>
        </w:rPr>
        <w:t>l</w:t>
      </w:r>
      <w:r w:rsidR="005C4042" w:rsidRPr="003E7D59">
        <w:rPr>
          <w:rFonts w:ascii="Arial" w:hAnsi="Arial" w:cs="Arial"/>
          <w:bCs/>
          <w:snapToGrid w:val="0"/>
          <w:sz w:val="24"/>
          <w:szCs w:val="24"/>
        </w:rPr>
        <w:t>io de dos mil veinte</w:t>
      </w:r>
      <w:r w:rsidR="00236EB6">
        <w:rPr>
          <w:rFonts w:ascii="Arial" w:hAnsi="Arial" w:cs="Arial"/>
          <w:bCs/>
          <w:snapToGrid w:val="0"/>
          <w:sz w:val="24"/>
          <w:szCs w:val="24"/>
        </w:rPr>
        <w:t>,</w:t>
      </w:r>
      <w:r w:rsidR="005C4042" w:rsidRPr="003E7D59">
        <w:rPr>
          <w:rFonts w:ascii="Arial" w:hAnsi="Arial" w:cs="Arial"/>
          <w:bCs/>
          <w:snapToGrid w:val="0"/>
          <w:sz w:val="24"/>
          <w:szCs w:val="24"/>
        </w:rPr>
        <w:t xml:space="preserve"> </w:t>
      </w:r>
      <w:r w:rsidRPr="003E7D59">
        <w:rPr>
          <w:rFonts w:ascii="Arial" w:hAnsi="Arial" w:cs="Arial"/>
          <w:bCs/>
          <w:snapToGrid w:val="0"/>
          <w:sz w:val="24"/>
          <w:szCs w:val="24"/>
        </w:rPr>
        <w:t>y siendo</w:t>
      </w:r>
      <w:r w:rsidRPr="00BA0B7B">
        <w:rPr>
          <w:rFonts w:ascii="Arial" w:hAnsi="Arial" w:cs="Arial"/>
          <w:bCs/>
          <w:snapToGrid w:val="0"/>
          <w:sz w:val="24"/>
          <w:szCs w:val="24"/>
        </w:rPr>
        <w:t xml:space="preserve"> que solicitó la devolución hasta el</w:t>
      </w:r>
      <w:r w:rsidR="005C4042">
        <w:rPr>
          <w:rFonts w:ascii="Arial" w:hAnsi="Arial" w:cs="Arial"/>
          <w:bCs/>
          <w:snapToGrid w:val="0"/>
          <w:sz w:val="24"/>
          <w:szCs w:val="24"/>
        </w:rPr>
        <w:t xml:space="preserve"> </w:t>
      </w:r>
      <w:r w:rsidR="00014084">
        <w:rPr>
          <w:rFonts w:ascii="Arial" w:hAnsi="Arial" w:cs="Arial"/>
          <w:bCs/>
          <w:snapToGrid w:val="0"/>
          <w:sz w:val="24"/>
          <w:szCs w:val="24"/>
        </w:rPr>
        <w:t>catorce de diciembre de dos mil veinte</w:t>
      </w:r>
      <w:r w:rsidRPr="00BA0B7B">
        <w:rPr>
          <w:rFonts w:ascii="Arial" w:hAnsi="Arial" w:cs="Arial"/>
          <w:bCs/>
          <w:snapToGrid w:val="0"/>
          <w:sz w:val="24"/>
          <w:szCs w:val="24"/>
        </w:rPr>
        <w:t>, dichas cantidades ya habían prescrito a favor del Fondo de Pensiones.</w:t>
      </w:r>
    </w:p>
    <w:p w14:paraId="1561FE93" w14:textId="4DE3B470" w:rsidR="000757F5" w:rsidRDefault="00050755" w:rsidP="00050755">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este sentido, los artículos 63 y 64, de la Ley de Pensiones </w:t>
      </w:r>
      <w:r w:rsidRPr="00BA0B7B">
        <w:rPr>
          <w:rFonts w:ascii="Arial" w:hAnsi="Arial" w:cs="Arial"/>
          <w:bCs/>
          <w:snapToGrid w:val="0"/>
          <w:sz w:val="24"/>
          <w:szCs w:val="24"/>
        </w:rPr>
        <w:t xml:space="preserve">para los </w:t>
      </w:r>
      <w:r>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w:t>
      </w:r>
      <w:r>
        <w:rPr>
          <w:rFonts w:ascii="Arial" w:hAnsi="Arial" w:cs="Arial"/>
          <w:bCs/>
          <w:snapToGrid w:val="0"/>
          <w:sz w:val="24"/>
          <w:szCs w:val="24"/>
        </w:rPr>
        <w:t>, establecen:</w:t>
      </w:r>
    </w:p>
    <w:p w14:paraId="4E131A45" w14:textId="35EBFBC4" w:rsidR="00050755" w:rsidRPr="00DD6DBB" w:rsidRDefault="00DD6DBB" w:rsidP="00236EB6">
      <w:pPr>
        <w:spacing w:line="276" w:lineRule="auto"/>
        <w:ind w:left="567" w:right="426" w:firstLine="567"/>
        <w:jc w:val="both"/>
        <w:rPr>
          <w:rFonts w:ascii="Arial" w:hAnsi="Arial" w:cs="Arial"/>
          <w:i/>
        </w:rPr>
      </w:pPr>
      <w:r w:rsidRPr="00DD6DBB">
        <w:rPr>
          <w:rFonts w:ascii="Arial" w:hAnsi="Arial" w:cs="Arial"/>
          <w:bCs/>
          <w:i/>
          <w:snapToGrid w:val="0"/>
        </w:rPr>
        <w:t>“</w:t>
      </w:r>
      <w:r w:rsidRPr="00DD6DBB">
        <w:rPr>
          <w:rFonts w:ascii="Arial" w:hAnsi="Arial" w:cs="Arial"/>
          <w:b/>
          <w:bCs/>
          <w:i/>
          <w:snapToGrid w:val="0"/>
        </w:rPr>
        <w:t>Artículo 63</w:t>
      </w:r>
      <w:r w:rsidRPr="00DD6DBB">
        <w:rPr>
          <w:rFonts w:ascii="Arial" w:hAnsi="Arial" w:cs="Arial"/>
          <w:bCs/>
          <w:i/>
          <w:snapToGrid w:val="0"/>
        </w:rPr>
        <w:t xml:space="preserve">. </w:t>
      </w:r>
      <w:r w:rsidRPr="00DD6DBB">
        <w:rPr>
          <w:rFonts w:ascii="Arial" w:hAnsi="Arial" w:cs="Arial"/>
          <w:i/>
        </w:rPr>
        <w:t xml:space="preserve">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 </w:t>
      </w:r>
    </w:p>
    <w:p w14:paraId="32C11FC1" w14:textId="50D07692" w:rsidR="00DD6DBB" w:rsidRDefault="00DD6DBB" w:rsidP="00236EB6">
      <w:pPr>
        <w:spacing w:line="276" w:lineRule="auto"/>
        <w:ind w:left="567" w:right="426" w:firstLine="567"/>
        <w:jc w:val="both"/>
        <w:rPr>
          <w:rFonts w:ascii="Arial" w:hAnsi="Arial" w:cs="Arial"/>
          <w:i/>
        </w:rPr>
      </w:pPr>
      <w:r w:rsidRPr="00DD6DBB">
        <w:rPr>
          <w:rFonts w:ascii="Arial" w:hAnsi="Arial" w:cs="Arial"/>
          <w:b/>
          <w:i/>
        </w:rPr>
        <w:t xml:space="preserve">Artículo 64. </w:t>
      </w:r>
      <w:r w:rsidRPr="00DD6DBB">
        <w:rPr>
          <w:rFonts w:ascii="Arial" w:hAnsi="Arial" w:cs="Arial"/>
          <w:i/>
        </w:rPr>
        <w:t xml:space="preserve">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 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14:paraId="77CAAFEE" w14:textId="77777777" w:rsidR="00DD6DBB" w:rsidRPr="00DD6DBB" w:rsidRDefault="00DD6DBB" w:rsidP="00DD6DBB">
      <w:pPr>
        <w:spacing w:after="0" w:line="276" w:lineRule="auto"/>
        <w:ind w:right="51" w:firstLine="567"/>
        <w:jc w:val="both"/>
        <w:rPr>
          <w:rFonts w:ascii="Arial" w:hAnsi="Arial" w:cs="Arial"/>
          <w:b/>
          <w:bCs/>
          <w:snapToGrid w:val="0"/>
        </w:rPr>
      </w:pPr>
    </w:p>
    <w:p w14:paraId="6B6FF7E2" w14:textId="77777777"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De una interpretación armónica de los artículos transcritos, podemos advertir, que cuando un trabajador se separe o sea separado de su empleo en el Gobierno del Estado, tendrá el derecho de que se le devuelvan la cantidades descontadas que se hubieran efectuado a favor del Fondo de Pensiones, </w:t>
      </w:r>
      <w:r w:rsidRPr="00BA0B7B">
        <w:rPr>
          <w:rFonts w:ascii="Arial" w:hAnsi="Arial" w:cs="Arial"/>
          <w:b/>
          <w:bCs/>
          <w:snapToGrid w:val="0"/>
          <w:sz w:val="24"/>
          <w:szCs w:val="24"/>
        </w:rPr>
        <w:t xml:space="preserve">sin embargo </w:t>
      </w:r>
      <w:r w:rsidRPr="00BA0B7B">
        <w:rPr>
          <w:rFonts w:ascii="Arial" w:hAnsi="Arial" w:cs="Arial"/>
          <w:bCs/>
          <w:snapToGrid w:val="0"/>
          <w:sz w:val="24"/>
          <w:szCs w:val="24"/>
        </w:rPr>
        <w:t>dicha devolución deberá de solicitarse dentro del término de tres años siguientes a que hubieran sido exigible la devolución, pues en caso de no solicitarse, dicha cantidad prescribirá a favor del Fondo de Pensiones, y por lo tanto, será improcedente la devolución de las cantidades descontadas.</w:t>
      </w:r>
    </w:p>
    <w:p w14:paraId="418598EE" w14:textId="6A656CD4"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En el presente caso, el último descuento al salario de</w:t>
      </w:r>
      <w:r w:rsidR="00EF77BC">
        <w:rPr>
          <w:rFonts w:ascii="Arial" w:hAnsi="Arial" w:cs="Arial"/>
          <w:bCs/>
          <w:snapToGrid w:val="0"/>
          <w:sz w:val="24"/>
          <w:szCs w:val="24"/>
        </w:rPr>
        <w:t xml:space="preserve"> </w:t>
      </w:r>
      <w:r w:rsidRPr="00BA0B7B">
        <w:rPr>
          <w:rFonts w:ascii="Arial" w:hAnsi="Arial" w:cs="Arial"/>
          <w:bCs/>
          <w:snapToGrid w:val="0"/>
          <w:sz w:val="24"/>
          <w:szCs w:val="24"/>
        </w:rPr>
        <w:t>l</w:t>
      </w:r>
      <w:r w:rsidR="00EF77BC">
        <w:rPr>
          <w:rFonts w:ascii="Arial" w:hAnsi="Arial" w:cs="Arial"/>
          <w:bCs/>
          <w:snapToGrid w:val="0"/>
          <w:sz w:val="24"/>
          <w:szCs w:val="24"/>
        </w:rPr>
        <w:t>a</w:t>
      </w:r>
      <w:r w:rsidRPr="00BA0B7B">
        <w:rPr>
          <w:rFonts w:ascii="Arial" w:hAnsi="Arial" w:cs="Arial"/>
          <w:bCs/>
          <w:snapToGrid w:val="0"/>
          <w:sz w:val="24"/>
          <w:szCs w:val="24"/>
        </w:rPr>
        <w:t xml:space="preserve"> actor</w:t>
      </w:r>
      <w:r w:rsidR="00EF77BC">
        <w:rPr>
          <w:rFonts w:ascii="Arial" w:hAnsi="Arial" w:cs="Arial"/>
          <w:bCs/>
          <w:snapToGrid w:val="0"/>
          <w:sz w:val="24"/>
          <w:szCs w:val="24"/>
        </w:rPr>
        <w:t>a</w:t>
      </w:r>
      <w:r w:rsidRPr="00BA0B7B">
        <w:rPr>
          <w:rFonts w:ascii="Arial" w:hAnsi="Arial" w:cs="Arial"/>
          <w:bCs/>
          <w:snapToGrid w:val="0"/>
          <w:sz w:val="24"/>
          <w:szCs w:val="24"/>
        </w:rPr>
        <w:t xml:space="preserve">, fue efectuado el </w:t>
      </w:r>
      <w:r w:rsidR="00576661">
        <w:rPr>
          <w:rFonts w:ascii="Arial" w:hAnsi="Arial" w:cs="Arial"/>
          <w:bCs/>
          <w:snapToGrid w:val="0"/>
          <w:sz w:val="24"/>
          <w:szCs w:val="24"/>
        </w:rPr>
        <w:t xml:space="preserve">quince de </w:t>
      </w:r>
      <w:r w:rsidR="00543F41">
        <w:rPr>
          <w:rFonts w:ascii="Arial" w:hAnsi="Arial" w:cs="Arial"/>
          <w:bCs/>
          <w:snapToGrid w:val="0"/>
          <w:sz w:val="24"/>
          <w:szCs w:val="24"/>
        </w:rPr>
        <w:t>enero d</w:t>
      </w:r>
      <w:r w:rsidR="00576661">
        <w:rPr>
          <w:rFonts w:ascii="Arial" w:hAnsi="Arial" w:cs="Arial"/>
          <w:bCs/>
          <w:snapToGrid w:val="0"/>
          <w:sz w:val="24"/>
          <w:szCs w:val="24"/>
        </w:rPr>
        <w:t>e dos mil diecisiete</w:t>
      </w:r>
      <w:r w:rsidRPr="00BA0B7B">
        <w:rPr>
          <w:rFonts w:ascii="Arial" w:hAnsi="Arial" w:cs="Arial"/>
          <w:bCs/>
          <w:snapToGrid w:val="0"/>
          <w:sz w:val="24"/>
          <w:szCs w:val="24"/>
        </w:rPr>
        <w:t xml:space="preserve">, por lo que a partir de esa fecha contaba con el término de tres años para solicitar la devolución de las cantidades descontadas a su pensión, los cuales concluyeron el </w:t>
      </w:r>
      <w:r w:rsidR="00576661">
        <w:rPr>
          <w:rFonts w:ascii="Arial" w:hAnsi="Arial" w:cs="Arial"/>
          <w:bCs/>
          <w:snapToGrid w:val="0"/>
          <w:sz w:val="24"/>
          <w:szCs w:val="24"/>
        </w:rPr>
        <w:t xml:space="preserve">quince de </w:t>
      </w:r>
      <w:r w:rsidR="00543F41">
        <w:rPr>
          <w:rFonts w:ascii="Arial" w:hAnsi="Arial" w:cs="Arial"/>
          <w:bCs/>
          <w:snapToGrid w:val="0"/>
          <w:sz w:val="24"/>
          <w:szCs w:val="24"/>
        </w:rPr>
        <w:t xml:space="preserve">enero de dos mil veinte, por así acreditarse con las pruebas exhibidas por la autoridad demandada consistentes en el aviso de baja, el escrito de renuncia de fecha trece de enero de dos mil diecisiete y la hoja de consulta del Sistema de Pensiones del Gobierno del Estado (SISPE), con folio histórico </w:t>
      </w:r>
      <w:r w:rsidR="003F5A6E">
        <w:rPr>
          <w:rFonts w:ascii="Arial" w:eastAsia="Times New Roman" w:hAnsi="Arial" w:cs="Arial"/>
          <w:bCs/>
          <w:iCs/>
          <w:caps/>
          <w:kern w:val="2"/>
          <w:sz w:val="24"/>
          <w:szCs w:val="24"/>
          <w:lang w:val="es-ES_tradnl" w:eastAsia="es-ES"/>
        </w:rPr>
        <w:t>**********</w:t>
      </w:r>
      <w:r w:rsidR="003F5A6E">
        <w:rPr>
          <w:rFonts w:ascii="Arial" w:hAnsi="Arial" w:cs="Arial"/>
          <w:bCs/>
          <w:snapToGrid w:val="0"/>
          <w:sz w:val="24"/>
          <w:szCs w:val="24"/>
        </w:rPr>
        <w:t xml:space="preserve"> </w:t>
      </w:r>
      <w:r w:rsidR="00543F41">
        <w:rPr>
          <w:rFonts w:ascii="Arial" w:hAnsi="Arial" w:cs="Arial"/>
          <w:bCs/>
          <w:snapToGrid w:val="0"/>
          <w:sz w:val="24"/>
          <w:szCs w:val="24"/>
        </w:rPr>
        <w:t>(fojas 46, 47 y 53).</w:t>
      </w:r>
    </w:p>
    <w:p w14:paraId="3D48B7CE" w14:textId="77777777"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Por lo que, en teoría, al no reclamar en tiempo la devolución de los descuentos efectuados, dichas cantidades pasaron a formar parte del patrimonio de la Oficina de Pensiones del Gobierno del Estado, de manera definitiva.</w:t>
      </w:r>
    </w:p>
    <w:p w14:paraId="29C02F68" w14:textId="77777777"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
          <w:bCs/>
          <w:snapToGrid w:val="0"/>
          <w:sz w:val="24"/>
          <w:szCs w:val="24"/>
        </w:rPr>
        <w:lastRenderedPageBreak/>
        <w:t xml:space="preserve">Sin embargo, </w:t>
      </w:r>
      <w:r w:rsidRPr="00BA0B7B">
        <w:rPr>
          <w:rFonts w:ascii="Arial" w:hAnsi="Arial" w:cs="Arial"/>
          <w:bCs/>
          <w:snapToGrid w:val="0"/>
          <w:sz w:val="24"/>
          <w:szCs w:val="24"/>
        </w:rPr>
        <w:t>el artículo 1° de la Constitución Política de los Estados Unidos Mexicanos, indica:</w:t>
      </w:r>
    </w:p>
    <w:p w14:paraId="4CE76CE4" w14:textId="79F5507F" w:rsidR="000757F5" w:rsidRPr="00236EB6" w:rsidRDefault="00236EB6" w:rsidP="000757F5">
      <w:pPr>
        <w:ind w:left="426" w:right="51" w:firstLine="567"/>
        <w:jc w:val="both"/>
        <w:rPr>
          <w:rFonts w:ascii="Arial" w:hAnsi="Arial" w:cs="Arial"/>
          <w:bCs/>
          <w:i/>
          <w:snapToGrid w:val="0"/>
        </w:rPr>
      </w:pPr>
      <w:r>
        <w:rPr>
          <w:rFonts w:ascii="Arial" w:hAnsi="Arial" w:cs="Arial"/>
          <w:i/>
          <w:snapToGrid w:val="0"/>
        </w:rPr>
        <w:t xml:space="preserve">“… </w:t>
      </w:r>
      <w:r w:rsidR="000757F5" w:rsidRPr="00236EB6">
        <w:rPr>
          <w:rFonts w:ascii="Arial" w:hAnsi="Arial" w:cs="Arial"/>
          <w:b/>
          <w:bCs/>
          <w:i/>
          <w:snapToGrid w:val="0"/>
        </w:rPr>
        <w:t>Artículo 1o.</w:t>
      </w:r>
      <w:r w:rsidR="000757F5" w:rsidRPr="00236EB6">
        <w:rPr>
          <w:rFonts w:ascii="Arial" w:hAnsi="Arial" w:cs="Arial"/>
          <w:bCs/>
          <w:i/>
          <w:snapToGrid w:val="0"/>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54944F0" w14:textId="77777777" w:rsidR="000757F5" w:rsidRPr="00236EB6" w:rsidRDefault="000757F5" w:rsidP="000757F5">
      <w:pPr>
        <w:ind w:left="426" w:right="51" w:firstLine="567"/>
        <w:jc w:val="both"/>
        <w:rPr>
          <w:rFonts w:ascii="Arial" w:hAnsi="Arial" w:cs="Arial"/>
          <w:bCs/>
          <w:i/>
          <w:snapToGrid w:val="0"/>
        </w:rPr>
      </w:pPr>
      <w:r w:rsidRPr="00236EB6">
        <w:rPr>
          <w:rFonts w:ascii="Arial" w:hAnsi="Arial" w:cs="Arial"/>
          <w:bCs/>
          <w:i/>
          <w:snapToGrid w:val="0"/>
        </w:rPr>
        <w:t>Las normas relativas a los derechos humanos se interpretarán de conformidad con esta Constitución y con los tratados internacionales de la materia favoreciendo en todo tiempo a las personas la protección más amplia.</w:t>
      </w:r>
    </w:p>
    <w:p w14:paraId="63DBF24B" w14:textId="37329ADB" w:rsidR="00F66737" w:rsidRDefault="000757F5" w:rsidP="00236EB6">
      <w:pPr>
        <w:ind w:left="426" w:right="51" w:firstLine="567"/>
        <w:jc w:val="both"/>
        <w:rPr>
          <w:rFonts w:ascii="Arial" w:hAnsi="Arial" w:cs="Arial"/>
          <w:bCs/>
          <w:i/>
          <w:snapToGrid w:val="0"/>
        </w:rPr>
      </w:pPr>
      <w:r w:rsidRPr="00236EB6">
        <w:rPr>
          <w:rFonts w:ascii="Arial" w:hAnsi="Arial" w:cs="Arial"/>
          <w:bCs/>
          <w:i/>
          <w:snapToGrid w:val="0"/>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00236EB6">
        <w:rPr>
          <w:rFonts w:ascii="Arial" w:hAnsi="Arial" w:cs="Arial"/>
          <w:bCs/>
          <w:i/>
          <w:snapToGrid w:val="0"/>
        </w:rPr>
        <w:t>…”</w:t>
      </w:r>
    </w:p>
    <w:p w14:paraId="2B6B86D9" w14:textId="77777777" w:rsidR="00236EB6" w:rsidRPr="00236EB6" w:rsidRDefault="00236EB6" w:rsidP="003F5A6E">
      <w:pPr>
        <w:ind w:left="426" w:right="51"/>
        <w:jc w:val="both"/>
        <w:rPr>
          <w:rFonts w:ascii="Arial" w:hAnsi="Arial" w:cs="Arial"/>
          <w:bCs/>
          <w:i/>
          <w:snapToGrid w:val="0"/>
        </w:rPr>
      </w:pPr>
    </w:p>
    <w:p w14:paraId="155925E8" w14:textId="27ED077E"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Dicho precep</w:t>
      </w:r>
      <w:r w:rsidR="00873B92">
        <w:rPr>
          <w:rFonts w:ascii="Arial" w:hAnsi="Arial" w:cs="Arial"/>
          <w:bCs/>
          <w:snapToGrid w:val="0"/>
          <w:sz w:val="24"/>
          <w:szCs w:val="24"/>
        </w:rPr>
        <w:t xml:space="preserve">to constitucional, obliga a </w:t>
      </w:r>
      <w:r w:rsidR="00873B92" w:rsidRPr="00543F41">
        <w:rPr>
          <w:rFonts w:ascii="Arial" w:hAnsi="Arial" w:cs="Arial"/>
          <w:bCs/>
          <w:snapToGrid w:val="0"/>
          <w:sz w:val="24"/>
          <w:szCs w:val="24"/>
        </w:rPr>
        <w:t>esta</w:t>
      </w:r>
      <w:r w:rsidRPr="00543F41">
        <w:rPr>
          <w:rFonts w:ascii="Arial" w:hAnsi="Arial" w:cs="Arial"/>
          <w:bCs/>
          <w:snapToGrid w:val="0"/>
          <w:sz w:val="24"/>
          <w:szCs w:val="24"/>
        </w:rPr>
        <w:t xml:space="preserve"> Juzgador</w:t>
      </w:r>
      <w:r w:rsidR="00873B92" w:rsidRPr="00543F41">
        <w:rPr>
          <w:rFonts w:ascii="Arial" w:hAnsi="Arial" w:cs="Arial"/>
          <w:bCs/>
          <w:snapToGrid w:val="0"/>
          <w:sz w:val="24"/>
          <w:szCs w:val="24"/>
        </w:rPr>
        <w:t>a</w:t>
      </w:r>
      <w:r w:rsidRPr="00BA0B7B">
        <w:rPr>
          <w:rFonts w:ascii="Arial" w:hAnsi="Arial" w:cs="Arial"/>
          <w:bCs/>
          <w:snapToGrid w:val="0"/>
          <w:sz w:val="24"/>
          <w:szCs w:val="24"/>
        </w:rPr>
        <w:t xml:space="preserve"> a promover, respetar, proteger y garantizar los derechos humanos de los gobernados, de conformidad con los principios de universalidad, indivisibilidad, interdependencia y progresividad; además, que las normas relativas que reconozcan los derechos humanos de los administrados, se interpretarán de conformidad con la Constitución Federal y los Tratados Internacionales suscritos y ratificados por el Estado Mexicano, favoreciendo en todo tiempo a las personas la protección más amplia, es decir, que en caso de que un juez o autoridad tenga que elegir qué norma aplicar a un determinado caso, deberá elegir la que más favorezca a la persona, sin importar si se trata de la Constitución, un tratado internacional o una ley</w:t>
      </w:r>
      <w:r w:rsidR="00873B92">
        <w:rPr>
          <w:rFonts w:ascii="Arial" w:hAnsi="Arial" w:cs="Arial"/>
          <w:bCs/>
          <w:snapToGrid w:val="0"/>
          <w:sz w:val="24"/>
          <w:szCs w:val="24"/>
        </w:rPr>
        <w:t>.</w:t>
      </w:r>
    </w:p>
    <w:p w14:paraId="180FF280" w14:textId="70A79D2D" w:rsidR="000757F5" w:rsidRPr="00BA0B7B" w:rsidRDefault="00873B92" w:rsidP="000757F5">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sentido, </w:t>
      </w:r>
      <w:r w:rsidRPr="00543F41">
        <w:rPr>
          <w:rFonts w:ascii="Arial" w:hAnsi="Arial" w:cs="Arial"/>
          <w:bCs/>
          <w:snapToGrid w:val="0"/>
          <w:sz w:val="24"/>
          <w:szCs w:val="24"/>
        </w:rPr>
        <w:t>esta</w:t>
      </w:r>
      <w:r w:rsidR="000757F5" w:rsidRPr="00543F41">
        <w:rPr>
          <w:rFonts w:ascii="Arial" w:hAnsi="Arial" w:cs="Arial"/>
          <w:bCs/>
          <w:snapToGrid w:val="0"/>
          <w:sz w:val="24"/>
          <w:szCs w:val="24"/>
        </w:rPr>
        <w:t xml:space="preserve"> Juzgador</w:t>
      </w:r>
      <w:r w:rsidRPr="00543F41">
        <w:rPr>
          <w:rFonts w:ascii="Arial" w:hAnsi="Arial" w:cs="Arial"/>
          <w:bCs/>
          <w:snapToGrid w:val="0"/>
          <w:sz w:val="24"/>
          <w:szCs w:val="24"/>
        </w:rPr>
        <w:t>a</w:t>
      </w:r>
      <w:r w:rsidR="000757F5" w:rsidRPr="00BA0B7B">
        <w:rPr>
          <w:rFonts w:ascii="Arial" w:hAnsi="Arial" w:cs="Arial"/>
          <w:bCs/>
          <w:snapToGrid w:val="0"/>
          <w:sz w:val="24"/>
          <w:szCs w:val="24"/>
        </w:rPr>
        <w:t xml:space="preserve"> considera que el artículo </w:t>
      </w:r>
      <w:r w:rsidR="00543F41">
        <w:rPr>
          <w:rFonts w:ascii="Arial" w:hAnsi="Arial" w:cs="Arial"/>
          <w:bCs/>
          <w:snapToGrid w:val="0"/>
          <w:sz w:val="24"/>
          <w:szCs w:val="24"/>
        </w:rPr>
        <w:t>63,</w:t>
      </w:r>
      <w:r w:rsidR="000757F5" w:rsidRPr="00BA0B7B">
        <w:rPr>
          <w:rFonts w:ascii="Arial" w:hAnsi="Arial" w:cs="Arial"/>
          <w:bCs/>
          <w:snapToGrid w:val="0"/>
          <w:sz w:val="24"/>
          <w:szCs w:val="24"/>
        </w:rPr>
        <w:t xml:space="preserve"> de la Ley de Pensiones para los </w:t>
      </w:r>
      <w:r w:rsidR="00543F41">
        <w:rPr>
          <w:rFonts w:ascii="Arial" w:hAnsi="Arial" w:cs="Arial"/>
          <w:bCs/>
          <w:snapToGrid w:val="0"/>
          <w:sz w:val="24"/>
          <w:szCs w:val="24"/>
        </w:rPr>
        <w:t xml:space="preserve">Trabajadores </w:t>
      </w:r>
      <w:r w:rsidR="000757F5" w:rsidRPr="00BA0B7B">
        <w:rPr>
          <w:rFonts w:ascii="Arial" w:hAnsi="Arial" w:cs="Arial"/>
          <w:bCs/>
          <w:snapToGrid w:val="0"/>
          <w:sz w:val="24"/>
          <w:szCs w:val="24"/>
        </w:rPr>
        <w:t xml:space="preserve">del Gobierno del Estado de Oaxaca, es contrario a lo establecido en el artículo 123 de la Constitución Política de los Estados Unidos Mexicanos, pues no señala con precisión alguna el momento en el cual empezará a correr el plazo de tres años para hacer efectiva la prescripción, ya que únicamente se limita a señalar </w:t>
      </w:r>
      <w:r w:rsidR="00592CC4">
        <w:rPr>
          <w:rFonts w:ascii="Arial" w:hAnsi="Arial" w:cs="Arial"/>
          <w:bCs/>
          <w:snapToGrid w:val="0"/>
          <w:sz w:val="24"/>
          <w:szCs w:val="24"/>
        </w:rPr>
        <w:t>de</w:t>
      </w:r>
      <w:r w:rsidR="000757F5" w:rsidRPr="00BA0B7B">
        <w:rPr>
          <w:rFonts w:ascii="Arial" w:hAnsi="Arial" w:cs="Arial"/>
          <w:bCs/>
          <w:snapToGrid w:val="0"/>
          <w:sz w:val="24"/>
          <w:szCs w:val="24"/>
        </w:rPr>
        <w:t xml:space="preserve"> manera genérica que dicho lapso se contará a partir de que dichas cantidades sean exigibles, así también, no contempla un aviso oportuno al trabajador o a sus beneficiarios, por lo tanto, genera una evidente incertidumbre jurídica en contra del trabajador, ante el desconocimiento de cuál es el momento idóneo para solicitar la devolución de los descuentos que le fueron hechos y de qué forma se va a computar ese plazo.</w:t>
      </w:r>
    </w:p>
    <w:p w14:paraId="36D6DB56" w14:textId="74B91352"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Por lo que, haciendo una interpre</w:t>
      </w:r>
      <w:r w:rsidR="00543F41">
        <w:rPr>
          <w:rFonts w:ascii="Arial" w:hAnsi="Arial" w:cs="Arial"/>
          <w:bCs/>
          <w:snapToGrid w:val="0"/>
          <w:sz w:val="24"/>
          <w:szCs w:val="24"/>
        </w:rPr>
        <w:t>tación extensiva del artículo 64</w:t>
      </w:r>
      <w:r w:rsidRPr="00BA0B7B">
        <w:rPr>
          <w:rFonts w:ascii="Arial" w:hAnsi="Arial" w:cs="Arial"/>
          <w:bCs/>
          <w:snapToGrid w:val="0"/>
          <w:sz w:val="24"/>
          <w:szCs w:val="24"/>
        </w:rPr>
        <w:t xml:space="preserve"> de la Ley de Pensiones para los </w:t>
      </w:r>
      <w:r w:rsidR="00543F41">
        <w:rPr>
          <w:rFonts w:ascii="Arial" w:hAnsi="Arial" w:cs="Arial"/>
          <w:bCs/>
          <w:snapToGrid w:val="0"/>
          <w:sz w:val="24"/>
          <w:szCs w:val="24"/>
        </w:rPr>
        <w:t xml:space="preserve">Trabajadores </w:t>
      </w:r>
      <w:r w:rsidRPr="00BA0B7B">
        <w:rPr>
          <w:rFonts w:ascii="Arial" w:hAnsi="Arial" w:cs="Arial"/>
          <w:bCs/>
          <w:snapToGrid w:val="0"/>
          <w:sz w:val="24"/>
          <w:szCs w:val="24"/>
        </w:rPr>
        <w:t xml:space="preserve">del Gobierno del Estado de Oaxaca, a la luz del principio pro persona contemplado en el artículo 1° Constitucional, podemos concluir que este artículo señala que todo trabajador que se separe o sea separado de su empleo en el Gobierno del Estado, tendrá el derecho de que se le </w:t>
      </w:r>
      <w:r w:rsidRPr="00BA0B7B">
        <w:rPr>
          <w:rFonts w:ascii="Arial" w:hAnsi="Arial" w:cs="Arial"/>
          <w:bCs/>
          <w:snapToGrid w:val="0"/>
          <w:sz w:val="24"/>
          <w:szCs w:val="24"/>
        </w:rPr>
        <w:lastRenderedPageBreak/>
        <w:t>devuelvan la cantidades descontadas que se hubieran efectuado a favor del Fondo de Pensiones, sin establecerse un plazo determinado para reclamar la devolución y sin exigir mayores requisitos que solicitarlo mediante escrito dirigido a la autoridad competente y acreditar que no se tienen adeudos con la Oficina de Pensiones del Estado.</w:t>
      </w:r>
    </w:p>
    <w:p w14:paraId="6BA94CFA" w14:textId="4F63BC6B"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De ahí, que en el presente asunto n</w:t>
      </w:r>
      <w:r w:rsidR="006D3786">
        <w:rPr>
          <w:rFonts w:ascii="Arial" w:hAnsi="Arial" w:cs="Arial"/>
          <w:bCs/>
          <w:snapToGrid w:val="0"/>
          <w:sz w:val="24"/>
          <w:szCs w:val="24"/>
        </w:rPr>
        <w:t>o se debe aplicar el artículo 63,</w:t>
      </w:r>
      <w:r w:rsidRPr="00BA0B7B">
        <w:rPr>
          <w:rFonts w:ascii="Arial" w:hAnsi="Arial" w:cs="Arial"/>
          <w:bCs/>
          <w:snapToGrid w:val="0"/>
          <w:sz w:val="24"/>
          <w:szCs w:val="24"/>
        </w:rPr>
        <w:t xml:space="preserve"> de la Ley de Pensiones </w:t>
      </w:r>
      <w:r w:rsidR="006D3786" w:rsidRPr="00BA0B7B">
        <w:rPr>
          <w:rFonts w:ascii="Arial" w:hAnsi="Arial" w:cs="Arial"/>
          <w:bCs/>
          <w:snapToGrid w:val="0"/>
          <w:sz w:val="24"/>
          <w:szCs w:val="24"/>
        </w:rPr>
        <w:t xml:space="preserve">para los </w:t>
      </w:r>
      <w:r w:rsidR="006D3786">
        <w:rPr>
          <w:rFonts w:ascii="Arial" w:hAnsi="Arial" w:cs="Arial"/>
          <w:bCs/>
          <w:snapToGrid w:val="0"/>
          <w:sz w:val="24"/>
          <w:szCs w:val="24"/>
        </w:rPr>
        <w:t>Trabajadores d</w:t>
      </w:r>
      <w:r w:rsidRPr="00BA0B7B">
        <w:rPr>
          <w:rFonts w:ascii="Arial" w:hAnsi="Arial" w:cs="Arial"/>
          <w:bCs/>
          <w:snapToGrid w:val="0"/>
          <w:sz w:val="24"/>
          <w:szCs w:val="24"/>
        </w:rPr>
        <w:t xml:space="preserve">el Gobierno del Estado de Oaxaca, por contravenir la Constitución Federal; y en su lugar aplicar de manera extensiva el artículo </w:t>
      </w:r>
      <w:r w:rsidR="006D3786">
        <w:rPr>
          <w:rFonts w:ascii="Arial" w:hAnsi="Arial" w:cs="Arial"/>
          <w:bCs/>
          <w:snapToGrid w:val="0"/>
          <w:sz w:val="24"/>
          <w:szCs w:val="24"/>
        </w:rPr>
        <w:t>64, de la l</w:t>
      </w:r>
      <w:r w:rsidRPr="00BA0B7B">
        <w:rPr>
          <w:rFonts w:ascii="Arial" w:hAnsi="Arial" w:cs="Arial"/>
          <w:bCs/>
          <w:snapToGrid w:val="0"/>
          <w:sz w:val="24"/>
          <w:szCs w:val="24"/>
        </w:rPr>
        <w:t>egislación citada, por resultar más benéfico p</w:t>
      </w:r>
      <w:r w:rsidR="00E613C8">
        <w:rPr>
          <w:rFonts w:ascii="Arial" w:hAnsi="Arial" w:cs="Arial"/>
          <w:bCs/>
          <w:snapToGrid w:val="0"/>
          <w:sz w:val="24"/>
          <w:szCs w:val="24"/>
        </w:rPr>
        <w:t xml:space="preserve">ara la </w:t>
      </w:r>
      <w:r w:rsidRPr="00BA0B7B">
        <w:rPr>
          <w:rFonts w:ascii="Arial" w:hAnsi="Arial" w:cs="Arial"/>
          <w:bCs/>
          <w:snapToGrid w:val="0"/>
          <w:sz w:val="24"/>
          <w:szCs w:val="24"/>
        </w:rPr>
        <w:t>actor</w:t>
      </w:r>
      <w:r w:rsidR="00E613C8">
        <w:rPr>
          <w:rFonts w:ascii="Arial" w:hAnsi="Arial" w:cs="Arial"/>
          <w:bCs/>
          <w:snapToGrid w:val="0"/>
          <w:sz w:val="24"/>
          <w:szCs w:val="24"/>
        </w:rPr>
        <w:t>a</w:t>
      </w:r>
      <w:r w:rsidRPr="00BA0B7B">
        <w:rPr>
          <w:rFonts w:ascii="Arial" w:hAnsi="Arial" w:cs="Arial"/>
          <w:bCs/>
          <w:snapToGrid w:val="0"/>
          <w:sz w:val="24"/>
          <w:szCs w:val="24"/>
        </w:rPr>
        <w:t xml:space="preserve"> </w:t>
      </w:r>
      <w:r w:rsidR="00672273">
        <w:rPr>
          <w:rFonts w:ascii="Arial" w:eastAsia="Times New Roman" w:hAnsi="Arial" w:cs="Arial"/>
          <w:bCs/>
          <w:iCs/>
          <w:caps/>
          <w:kern w:val="2"/>
          <w:sz w:val="24"/>
          <w:szCs w:val="24"/>
          <w:lang w:val="es-ES_tradnl" w:eastAsia="es-ES"/>
        </w:rPr>
        <w:t>**********</w:t>
      </w:r>
      <w:r w:rsidRPr="00BA0B7B">
        <w:rPr>
          <w:rFonts w:ascii="Arial" w:hAnsi="Arial" w:cs="Arial"/>
          <w:bCs/>
          <w:snapToGrid w:val="0"/>
          <w:sz w:val="24"/>
          <w:szCs w:val="24"/>
        </w:rPr>
        <w:t>, ya que, no debemos de perder de vista, que las cantidades que le fueron descontadas al salario que percibió como trabajador</w:t>
      </w:r>
      <w:r w:rsidR="00217186">
        <w:rPr>
          <w:rFonts w:ascii="Arial" w:hAnsi="Arial" w:cs="Arial"/>
          <w:bCs/>
          <w:snapToGrid w:val="0"/>
          <w:sz w:val="24"/>
          <w:szCs w:val="24"/>
        </w:rPr>
        <w:t>a</w:t>
      </w:r>
      <w:r w:rsidRPr="00BA0B7B">
        <w:rPr>
          <w:rFonts w:ascii="Arial" w:hAnsi="Arial" w:cs="Arial"/>
          <w:bCs/>
          <w:snapToGrid w:val="0"/>
          <w:sz w:val="24"/>
          <w:szCs w:val="24"/>
        </w:rPr>
        <w:t xml:space="preserve"> en activo del Gobierno del Estado de Oaxaca, servirían para en su momento se integra la pensión por jubilación a la que resultare beneficiado, por lo que es indudable, que si dichas cantidades no fueron utilizadas para la finalidad señalada, deben de regresar al patrimonio de</w:t>
      </w:r>
      <w:r w:rsidR="00217186">
        <w:rPr>
          <w:rFonts w:ascii="Arial" w:hAnsi="Arial" w:cs="Arial"/>
          <w:bCs/>
          <w:snapToGrid w:val="0"/>
          <w:sz w:val="24"/>
          <w:szCs w:val="24"/>
        </w:rPr>
        <w:t xml:space="preserve"> </w:t>
      </w:r>
      <w:r w:rsidRPr="00BA0B7B">
        <w:rPr>
          <w:rFonts w:ascii="Arial" w:hAnsi="Arial" w:cs="Arial"/>
          <w:bCs/>
          <w:snapToGrid w:val="0"/>
          <w:sz w:val="24"/>
          <w:szCs w:val="24"/>
        </w:rPr>
        <w:t>l</w:t>
      </w:r>
      <w:r w:rsidR="00217186">
        <w:rPr>
          <w:rFonts w:ascii="Arial" w:hAnsi="Arial" w:cs="Arial"/>
          <w:bCs/>
          <w:snapToGrid w:val="0"/>
          <w:sz w:val="24"/>
          <w:szCs w:val="24"/>
        </w:rPr>
        <w:t>a</w:t>
      </w:r>
      <w:r w:rsidRPr="00BA0B7B">
        <w:rPr>
          <w:rFonts w:ascii="Arial" w:hAnsi="Arial" w:cs="Arial"/>
          <w:bCs/>
          <w:snapToGrid w:val="0"/>
          <w:sz w:val="24"/>
          <w:szCs w:val="24"/>
        </w:rPr>
        <w:t xml:space="preserve"> actor</w:t>
      </w:r>
      <w:r w:rsidR="00217186">
        <w:rPr>
          <w:rFonts w:ascii="Arial" w:hAnsi="Arial" w:cs="Arial"/>
          <w:bCs/>
          <w:snapToGrid w:val="0"/>
          <w:sz w:val="24"/>
          <w:szCs w:val="24"/>
        </w:rPr>
        <w:t>a</w:t>
      </w:r>
      <w:r w:rsidRPr="00BA0B7B">
        <w:rPr>
          <w:rFonts w:ascii="Arial" w:hAnsi="Arial" w:cs="Arial"/>
          <w:bCs/>
          <w:snapToGrid w:val="0"/>
          <w:sz w:val="24"/>
          <w:szCs w:val="24"/>
        </w:rPr>
        <w:t>.</w:t>
      </w:r>
    </w:p>
    <w:p w14:paraId="58FB11BF" w14:textId="7E28BD02"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En consecuencia, resultan </w:t>
      </w:r>
      <w:r w:rsidRPr="00BA0B7B">
        <w:rPr>
          <w:rFonts w:ascii="Arial" w:hAnsi="Arial" w:cs="Arial"/>
          <w:b/>
          <w:bCs/>
          <w:snapToGrid w:val="0"/>
          <w:sz w:val="24"/>
          <w:szCs w:val="24"/>
        </w:rPr>
        <w:t xml:space="preserve">fundados </w:t>
      </w:r>
      <w:r w:rsidRPr="00BA0B7B">
        <w:rPr>
          <w:rFonts w:ascii="Arial" w:hAnsi="Arial" w:cs="Arial"/>
          <w:bCs/>
          <w:snapToGrid w:val="0"/>
          <w:sz w:val="24"/>
          <w:szCs w:val="24"/>
        </w:rPr>
        <w:t>los conceptos de impugnación de</w:t>
      </w:r>
      <w:r w:rsidR="006D3786">
        <w:rPr>
          <w:rFonts w:ascii="Arial" w:hAnsi="Arial" w:cs="Arial"/>
          <w:bCs/>
          <w:snapToGrid w:val="0"/>
          <w:sz w:val="24"/>
          <w:szCs w:val="24"/>
        </w:rPr>
        <w:t xml:space="preserve"> </w:t>
      </w:r>
      <w:r w:rsidRPr="00BA0B7B">
        <w:rPr>
          <w:rFonts w:ascii="Arial" w:hAnsi="Arial" w:cs="Arial"/>
          <w:bCs/>
          <w:snapToGrid w:val="0"/>
          <w:sz w:val="24"/>
          <w:szCs w:val="24"/>
        </w:rPr>
        <w:t>l</w:t>
      </w:r>
      <w:r w:rsidR="006D3786">
        <w:rPr>
          <w:rFonts w:ascii="Arial" w:hAnsi="Arial" w:cs="Arial"/>
          <w:bCs/>
          <w:snapToGrid w:val="0"/>
          <w:sz w:val="24"/>
          <w:szCs w:val="24"/>
        </w:rPr>
        <w:t>a</w:t>
      </w:r>
      <w:r w:rsidRPr="00BA0B7B">
        <w:rPr>
          <w:rFonts w:ascii="Arial" w:hAnsi="Arial" w:cs="Arial"/>
          <w:bCs/>
          <w:snapToGrid w:val="0"/>
          <w:sz w:val="24"/>
          <w:szCs w:val="24"/>
        </w:rPr>
        <w:t xml:space="preserve"> actor</w:t>
      </w:r>
      <w:r w:rsidR="006D3786">
        <w:rPr>
          <w:rFonts w:ascii="Arial" w:hAnsi="Arial" w:cs="Arial"/>
          <w:bCs/>
          <w:snapToGrid w:val="0"/>
          <w:sz w:val="24"/>
          <w:szCs w:val="24"/>
        </w:rPr>
        <w:t>a</w:t>
      </w:r>
      <w:r w:rsidRPr="00BA0B7B">
        <w:rPr>
          <w:rFonts w:ascii="Arial" w:hAnsi="Arial" w:cs="Arial"/>
          <w:bCs/>
          <w:snapToGrid w:val="0"/>
          <w:sz w:val="24"/>
          <w:szCs w:val="24"/>
        </w:rPr>
        <w:t>, suplidos en sus deficiencias, pues la autoridad demandada fundó su determinación en un artículo incompatible con lo establecido en la Constitución Política de los Estados Unidos Mexicanos, con lo que se acredita una indebida fundamentación y motivación del acto administrativo impugnado, pues dicho artículo es inaplicable al presente asunto por las características específicas de éste que impiden su adecuación o encuadre.</w:t>
      </w:r>
    </w:p>
    <w:p w14:paraId="32E4C133" w14:textId="1FB6194E"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 xml:space="preserve">Por lo que, se declara la </w:t>
      </w:r>
      <w:r w:rsidRPr="00BA0B7B">
        <w:rPr>
          <w:rFonts w:ascii="Arial" w:hAnsi="Arial" w:cs="Arial"/>
          <w:b/>
          <w:bCs/>
          <w:snapToGrid w:val="0"/>
          <w:sz w:val="24"/>
          <w:szCs w:val="24"/>
        </w:rPr>
        <w:t xml:space="preserve">NULIDAD </w:t>
      </w:r>
      <w:r w:rsidRPr="00BA0B7B">
        <w:rPr>
          <w:rFonts w:ascii="Arial" w:hAnsi="Arial" w:cs="Arial"/>
          <w:bCs/>
          <w:snapToGrid w:val="0"/>
          <w:sz w:val="24"/>
          <w:szCs w:val="24"/>
        </w:rPr>
        <w:t xml:space="preserve">del oficio </w:t>
      </w:r>
      <w:r w:rsidR="009E4DA3">
        <w:rPr>
          <w:rFonts w:ascii="Arial" w:eastAsia="Times New Roman" w:hAnsi="Arial" w:cs="Arial"/>
          <w:bCs/>
          <w:iCs/>
          <w:caps/>
          <w:kern w:val="2"/>
          <w:sz w:val="24"/>
          <w:szCs w:val="24"/>
          <w:lang w:val="es-ES_tradnl" w:eastAsia="es-ES"/>
        </w:rPr>
        <w:t>**********</w:t>
      </w:r>
      <w:r w:rsidRPr="00BA0B7B">
        <w:rPr>
          <w:rFonts w:ascii="Arial" w:hAnsi="Arial" w:cs="Arial"/>
          <w:bCs/>
          <w:snapToGrid w:val="0"/>
          <w:sz w:val="24"/>
          <w:szCs w:val="24"/>
        </w:rPr>
        <w:t xml:space="preserve">, de </w:t>
      </w:r>
      <w:r w:rsidR="00CB4C2A">
        <w:rPr>
          <w:rFonts w:ascii="Arial" w:hAnsi="Arial" w:cs="Arial"/>
          <w:bCs/>
          <w:snapToGrid w:val="0"/>
          <w:sz w:val="24"/>
          <w:szCs w:val="24"/>
        </w:rPr>
        <w:t>trece de enero de dos mil veintiuno</w:t>
      </w:r>
      <w:r w:rsidRPr="00BA0B7B">
        <w:rPr>
          <w:rFonts w:ascii="Arial" w:hAnsi="Arial" w:cs="Arial"/>
          <w:bCs/>
          <w:snapToGrid w:val="0"/>
          <w:sz w:val="24"/>
          <w:szCs w:val="24"/>
        </w:rPr>
        <w:t xml:space="preserve">, </w:t>
      </w:r>
      <w:r w:rsidRPr="00BA0B7B">
        <w:rPr>
          <w:rFonts w:ascii="Arial" w:hAnsi="Arial" w:cs="Arial"/>
          <w:b/>
          <w:bCs/>
          <w:snapToGrid w:val="0"/>
          <w:sz w:val="24"/>
          <w:szCs w:val="24"/>
        </w:rPr>
        <w:t>PARA EL EFECTO</w:t>
      </w:r>
      <w:r w:rsidRPr="00BA0B7B">
        <w:rPr>
          <w:rFonts w:ascii="Arial" w:hAnsi="Arial" w:cs="Arial"/>
          <w:bCs/>
          <w:snapToGrid w:val="0"/>
          <w:sz w:val="24"/>
          <w:szCs w:val="24"/>
        </w:rPr>
        <w:t xml:space="preserve"> de que la autoridad demandada </w:t>
      </w:r>
      <w:r w:rsidRPr="00BA0B7B">
        <w:rPr>
          <w:rFonts w:ascii="Arial" w:hAnsi="Arial" w:cs="Arial"/>
          <w:b/>
          <w:bCs/>
          <w:snapToGrid w:val="0"/>
          <w:sz w:val="24"/>
          <w:szCs w:val="24"/>
        </w:rPr>
        <w:t xml:space="preserve">Director General de la Oficina de Pensiones del Gobierno del Estado, </w:t>
      </w:r>
      <w:r w:rsidRPr="00BA0B7B">
        <w:rPr>
          <w:rFonts w:ascii="Arial" w:hAnsi="Arial" w:cs="Arial"/>
          <w:bCs/>
          <w:snapToGrid w:val="0"/>
          <w:sz w:val="24"/>
          <w:szCs w:val="24"/>
        </w:rPr>
        <w:t xml:space="preserve">emita otro acto administrativo en el que aplique a favor del administrado la interpretación extensiva del artículo </w:t>
      </w:r>
      <w:r w:rsidR="009B0D19">
        <w:rPr>
          <w:rFonts w:ascii="Arial" w:hAnsi="Arial" w:cs="Arial"/>
          <w:bCs/>
          <w:snapToGrid w:val="0"/>
          <w:sz w:val="24"/>
          <w:szCs w:val="24"/>
        </w:rPr>
        <w:t>64</w:t>
      </w:r>
      <w:r w:rsidRPr="00BA0B7B">
        <w:rPr>
          <w:rFonts w:ascii="Arial" w:hAnsi="Arial" w:cs="Arial"/>
          <w:bCs/>
          <w:snapToGrid w:val="0"/>
          <w:sz w:val="24"/>
          <w:szCs w:val="24"/>
        </w:rPr>
        <w:t xml:space="preserve"> de la Ley de Pensiones para los </w:t>
      </w:r>
      <w:r w:rsidR="009B0D19">
        <w:rPr>
          <w:rFonts w:ascii="Arial" w:hAnsi="Arial" w:cs="Arial"/>
          <w:bCs/>
          <w:snapToGrid w:val="0"/>
          <w:sz w:val="24"/>
          <w:szCs w:val="24"/>
        </w:rPr>
        <w:t xml:space="preserve">Trabajadores </w:t>
      </w:r>
      <w:r w:rsidRPr="00BA0B7B">
        <w:rPr>
          <w:rFonts w:ascii="Arial" w:hAnsi="Arial" w:cs="Arial"/>
          <w:bCs/>
          <w:snapToGrid w:val="0"/>
          <w:sz w:val="24"/>
          <w:szCs w:val="24"/>
        </w:rPr>
        <w:t>del Gobierno del Estado de Oaxaca, y realice la devolución a</w:t>
      </w:r>
      <w:r w:rsidR="00CB4C2A">
        <w:rPr>
          <w:rFonts w:ascii="Arial" w:hAnsi="Arial" w:cs="Arial"/>
          <w:bCs/>
          <w:snapToGrid w:val="0"/>
          <w:sz w:val="24"/>
          <w:szCs w:val="24"/>
        </w:rPr>
        <w:t xml:space="preserve"> </w:t>
      </w:r>
      <w:r w:rsidRPr="00BA0B7B">
        <w:rPr>
          <w:rFonts w:ascii="Arial" w:hAnsi="Arial" w:cs="Arial"/>
          <w:bCs/>
          <w:snapToGrid w:val="0"/>
          <w:sz w:val="24"/>
          <w:szCs w:val="24"/>
        </w:rPr>
        <w:t>l</w:t>
      </w:r>
      <w:r w:rsidR="00CB4C2A">
        <w:rPr>
          <w:rFonts w:ascii="Arial" w:hAnsi="Arial" w:cs="Arial"/>
          <w:bCs/>
          <w:snapToGrid w:val="0"/>
          <w:sz w:val="24"/>
          <w:szCs w:val="24"/>
        </w:rPr>
        <w:t>a</w:t>
      </w:r>
      <w:r w:rsidRPr="00BA0B7B">
        <w:rPr>
          <w:rFonts w:ascii="Arial" w:hAnsi="Arial" w:cs="Arial"/>
          <w:bCs/>
          <w:snapToGrid w:val="0"/>
          <w:sz w:val="24"/>
          <w:szCs w:val="24"/>
        </w:rPr>
        <w:t xml:space="preserve"> actor</w:t>
      </w:r>
      <w:r w:rsidR="00CB4C2A">
        <w:rPr>
          <w:rFonts w:ascii="Arial" w:hAnsi="Arial" w:cs="Arial"/>
          <w:bCs/>
          <w:snapToGrid w:val="0"/>
          <w:sz w:val="24"/>
          <w:szCs w:val="24"/>
        </w:rPr>
        <w:t>a</w:t>
      </w:r>
      <w:r w:rsidRPr="00BA0B7B">
        <w:rPr>
          <w:rFonts w:ascii="Arial" w:hAnsi="Arial" w:cs="Arial"/>
          <w:bCs/>
          <w:snapToGrid w:val="0"/>
          <w:sz w:val="24"/>
          <w:szCs w:val="24"/>
        </w:rPr>
        <w:t xml:space="preserve"> </w:t>
      </w:r>
      <w:r w:rsidR="009E4DA3">
        <w:rPr>
          <w:rFonts w:ascii="Arial" w:eastAsia="Times New Roman" w:hAnsi="Arial" w:cs="Arial"/>
          <w:bCs/>
          <w:iCs/>
          <w:caps/>
          <w:kern w:val="2"/>
          <w:sz w:val="24"/>
          <w:szCs w:val="24"/>
          <w:lang w:val="es-ES_tradnl" w:eastAsia="es-ES"/>
        </w:rPr>
        <w:t>**********</w:t>
      </w:r>
      <w:r w:rsidR="00CB4C2A" w:rsidRPr="00CB4C2A">
        <w:rPr>
          <w:rFonts w:ascii="Arial" w:hAnsi="Arial" w:cs="Arial"/>
          <w:bCs/>
          <w:snapToGrid w:val="0"/>
          <w:sz w:val="24"/>
          <w:szCs w:val="24"/>
        </w:rPr>
        <w:t>,</w:t>
      </w:r>
      <w:r w:rsidR="00CB4C2A">
        <w:rPr>
          <w:rFonts w:ascii="Arial" w:hAnsi="Arial" w:cs="Arial"/>
          <w:bCs/>
          <w:snapToGrid w:val="0"/>
          <w:sz w:val="24"/>
          <w:szCs w:val="24"/>
        </w:rPr>
        <w:t xml:space="preserve"> </w:t>
      </w:r>
      <w:r w:rsidRPr="00BA0B7B">
        <w:rPr>
          <w:rFonts w:ascii="Arial" w:hAnsi="Arial" w:cs="Arial"/>
          <w:bCs/>
          <w:snapToGrid w:val="0"/>
          <w:sz w:val="24"/>
          <w:szCs w:val="24"/>
        </w:rPr>
        <w:t>de las cantidades descontadas a favor del Fondo de Pensiones del Gobierno del Estado durante el tiempo que laboró en el Gobierno del Estado de Oaxaca.</w:t>
      </w:r>
    </w:p>
    <w:p w14:paraId="0CD4A230" w14:textId="6EEA49B7" w:rsidR="000757F5" w:rsidRPr="00BA0B7B" w:rsidRDefault="000757F5" w:rsidP="000757F5">
      <w:pPr>
        <w:spacing w:line="360" w:lineRule="auto"/>
        <w:ind w:right="51" w:firstLine="567"/>
        <w:jc w:val="both"/>
        <w:rPr>
          <w:rFonts w:ascii="Arial" w:hAnsi="Arial" w:cs="Arial"/>
          <w:bCs/>
          <w:snapToGrid w:val="0"/>
          <w:sz w:val="24"/>
          <w:szCs w:val="24"/>
        </w:rPr>
      </w:pPr>
      <w:r w:rsidRPr="00BA0B7B">
        <w:rPr>
          <w:rFonts w:ascii="Arial" w:hAnsi="Arial" w:cs="Arial"/>
          <w:bCs/>
          <w:snapToGrid w:val="0"/>
          <w:sz w:val="24"/>
          <w:szCs w:val="24"/>
        </w:rPr>
        <w:t>Por lo anteriormente expuesto, fundado y motivado, en términos de los artículos 207, 208 fracciones II y VI, y 209 de la Ley de Procedimiento y Justicia Administrativa para el Estado de Oaxaca, se;</w:t>
      </w:r>
      <w:r w:rsidR="00CB4C2A">
        <w:rPr>
          <w:rFonts w:ascii="Arial" w:hAnsi="Arial" w:cs="Arial"/>
          <w:bCs/>
          <w:snapToGrid w:val="0"/>
          <w:sz w:val="24"/>
          <w:szCs w:val="24"/>
        </w:rPr>
        <w:t xml:space="preserve"> </w:t>
      </w:r>
    </w:p>
    <w:p w14:paraId="545ECB0D" w14:textId="1BE2F959" w:rsidR="000757F5" w:rsidRPr="00BA0B7B" w:rsidRDefault="000757F5" w:rsidP="000757F5">
      <w:pPr>
        <w:spacing w:line="360" w:lineRule="auto"/>
        <w:ind w:right="51" w:firstLine="567"/>
        <w:jc w:val="center"/>
        <w:rPr>
          <w:rFonts w:ascii="Arial" w:hAnsi="Arial" w:cs="Arial"/>
          <w:b/>
          <w:sz w:val="24"/>
          <w:szCs w:val="24"/>
        </w:rPr>
      </w:pPr>
      <w:r w:rsidRPr="00BA0B7B">
        <w:rPr>
          <w:rFonts w:ascii="Arial" w:hAnsi="Arial" w:cs="Arial"/>
          <w:b/>
          <w:sz w:val="24"/>
          <w:szCs w:val="24"/>
        </w:rPr>
        <w:t>R E S U E L V E:</w:t>
      </w:r>
    </w:p>
    <w:p w14:paraId="2086EEB2" w14:textId="7AC1A509" w:rsidR="00CB4C2A" w:rsidRDefault="00CB4C2A" w:rsidP="00CB4C2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w:t>
      </w:r>
    </w:p>
    <w:p w14:paraId="737FD4F0" w14:textId="77777777" w:rsidR="00CB4C2A" w:rsidRDefault="00CB4C2A" w:rsidP="00CB4C2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p>
    <w:p w14:paraId="0A18F6D3" w14:textId="77777777" w:rsidR="00CB4C2A" w:rsidRDefault="00CB4C2A" w:rsidP="00CB4C2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w:t>
      </w:r>
      <w:r>
        <w:rPr>
          <w:rFonts w:ascii="Arial" w:eastAsia="Arial Unicode MS" w:hAnsi="Arial" w:cs="Arial"/>
          <w:kern w:val="2"/>
          <w:sz w:val="24"/>
          <w:szCs w:val="24"/>
          <w:lang w:eastAsia="ar-SA"/>
        </w:rPr>
        <w:lastRenderedPageBreak/>
        <w:t xml:space="preserve">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w:t>
      </w:r>
    </w:p>
    <w:p w14:paraId="14869B84" w14:textId="12D76AD2" w:rsidR="000757F5" w:rsidRPr="00056CB3" w:rsidRDefault="000757F5" w:rsidP="000757F5">
      <w:pPr>
        <w:pStyle w:val="Sangra2detindependiente1"/>
        <w:spacing w:after="240" w:line="360" w:lineRule="auto"/>
        <w:ind w:right="51" w:firstLine="567"/>
        <w:rPr>
          <w:rFonts w:cs="Arial"/>
          <w:bCs/>
          <w:i w:val="0"/>
          <w:szCs w:val="24"/>
        </w:rPr>
      </w:pPr>
      <w:r w:rsidRPr="00BA0B7B">
        <w:rPr>
          <w:rFonts w:cs="Arial"/>
          <w:i w:val="0"/>
          <w:szCs w:val="24"/>
        </w:rPr>
        <w:t>CUARTO.</w:t>
      </w:r>
      <w:r w:rsidRPr="00BA0B7B">
        <w:rPr>
          <w:rFonts w:cs="Arial"/>
          <w:b w:val="0"/>
          <w:bCs/>
          <w:i w:val="0"/>
          <w:szCs w:val="24"/>
        </w:rPr>
        <w:t xml:space="preserve"> </w:t>
      </w:r>
      <w:r w:rsidRPr="00BA0B7B">
        <w:rPr>
          <w:rFonts w:cs="Arial"/>
          <w:b w:val="0"/>
          <w:bCs/>
          <w:i w:val="0"/>
          <w:snapToGrid w:val="0"/>
          <w:szCs w:val="24"/>
        </w:rPr>
        <w:t>Se declara la</w:t>
      </w:r>
      <w:r w:rsidRPr="00BA0B7B">
        <w:rPr>
          <w:rFonts w:cs="Arial"/>
          <w:bCs/>
          <w:i w:val="0"/>
          <w:snapToGrid w:val="0"/>
          <w:szCs w:val="24"/>
        </w:rPr>
        <w:t xml:space="preserve"> NULIDAD </w:t>
      </w:r>
      <w:r w:rsidRPr="00BA0B7B">
        <w:rPr>
          <w:rFonts w:cs="Arial"/>
          <w:b w:val="0"/>
          <w:bCs/>
          <w:i w:val="0"/>
          <w:snapToGrid w:val="0"/>
          <w:szCs w:val="24"/>
        </w:rPr>
        <w:t>del oficio</w:t>
      </w:r>
      <w:r w:rsidRPr="00BA0B7B">
        <w:rPr>
          <w:rFonts w:cs="Arial"/>
          <w:bCs/>
          <w:i w:val="0"/>
          <w:snapToGrid w:val="0"/>
          <w:szCs w:val="24"/>
        </w:rPr>
        <w:t xml:space="preserve"> </w:t>
      </w:r>
      <w:r w:rsidR="009E4DA3">
        <w:rPr>
          <w:rFonts w:cs="Arial"/>
          <w:bCs/>
          <w:iCs/>
          <w:caps/>
          <w:kern w:val="2"/>
          <w:szCs w:val="24"/>
          <w:lang w:eastAsia="es-ES"/>
        </w:rPr>
        <w:t>**********</w:t>
      </w:r>
      <w:bookmarkStart w:id="0" w:name="_GoBack"/>
      <w:bookmarkEnd w:id="0"/>
      <w:r w:rsidRPr="00BA0B7B">
        <w:rPr>
          <w:rFonts w:cs="Arial"/>
          <w:bCs/>
          <w:i w:val="0"/>
          <w:snapToGrid w:val="0"/>
          <w:szCs w:val="24"/>
        </w:rPr>
        <w:t xml:space="preserve">, </w:t>
      </w:r>
      <w:r w:rsidRPr="00BA0B7B">
        <w:rPr>
          <w:rFonts w:cs="Arial"/>
          <w:b w:val="0"/>
          <w:bCs/>
          <w:i w:val="0"/>
          <w:snapToGrid w:val="0"/>
          <w:szCs w:val="24"/>
        </w:rPr>
        <w:t xml:space="preserve">de </w:t>
      </w:r>
      <w:r w:rsidR="00CB4C2A">
        <w:rPr>
          <w:rFonts w:cs="Arial"/>
          <w:b w:val="0"/>
          <w:bCs/>
          <w:i w:val="0"/>
          <w:snapToGrid w:val="0"/>
          <w:szCs w:val="24"/>
        </w:rPr>
        <w:t xml:space="preserve">trece de enero de dos mil veintiuno, </w:t>
      </w:r>
      <w:r w:rsidRPr="00BA0B7B">
        <w:rPr>
          <w:rFonts w:cs="Arial"/>
          <w:bCs/>
          <w:i w:val="0"/>
          <w:snapToGrid w:val="0"/>
          <w:szCs w:val="24"/>
        </w:rPr>
        <w:t>PARA EL EFECTO</w:t>
      </w:r>
      <w:r w:rsidRPr="00BA0B7B">
        <w:rPr>
          <w:rFonts w:cs="Arial"/>
          <w:b w:val="0"/>
          <w:bCs/>
          <w:i w:val="0"/>
          <w:szCs w:val="24"/>
        </w:rPr>
        <w:t xml:space="preserve">, de que el </w:t>
      </w:r>
      <w:r w:rsidRPr="00BA0B7B">
        <w:rPr>
          <w:rFonts w:cs="Arial"/>
          <w:bCs/>
          <w:i w:val="0"/>
          <w:szCs w:val="24"/>
        </w:rPr>
        <w:t xml:space="preserve">Director General de la Oficina de Pensiones del Gobierno del Estado, </w:t>
      </w:r>
      <w:r w:rsidRPr="00BA0B7B">
        <w:rPr>
          <w:rFonts w:cs="Arial"/>
          <w:b w:val="0"/>
          <w:bCs/>
          <w:i w:val="0"/>
          <w:szCs w:val="24"/>
        </w:rPr>
        <w:t xml:space="preserve">cumpla con lo expuesto en el considerando </w:t>
      </w:r>
      <w:r w:rsidR="00FB2EEC">
        <w:rPr>
          <w:rFonts w:cs="Arial"/>
          <w:b w:val="0"/>
          <w:bCs/>
          <w:i w:val="0"/>
          <w:szCs w:val="24"/>
        </w:rPr>
        <w:t>QUINTO</w:t>
      </w:r>
      <w:r w:rsidRPr="00BA0B7B">
        <w:rPr>
          <w:rFonts w:cs="Arial"/>
          <w:b w:val="0"/>
          <w:bCs/>
          <w:i w:val="0"/>
          <w:szCs w:val="24"/>
        </w:rPr>
        <w:t xml:space="preserve"> de esta sentencia.</w:t>
      </w:r>
      <w:r w:rsidR="00CB4C2A">
        <w:rPr>
          <w:rFonts w:cs="Arial"/>
          <w:b w:val="0"/>
          <w:bCs/>
          <w:i w:val="0"/>
          <w:szCs w:val="24"/>
        </w:rPr>
        <w:t xml:space="preserve"> - - - - - - - - - - - - - - - - - - - - - - - - - - - - - </w:t>
      </w:r>
    </w:p>
    <w:p w14:paraId="210BE65B" w14:textId="3DD5AA28" w:rsidR="00056CB3" w:rsidRDefault="00056CB3" w:rsidP="00592CC4">
      <w:pPr>
        <w:spacing w:before="240" w:after="240" w:line="360" w:lineRule="auto"/>
        <w:ind w:firstLine="567"/>
        <w:jc w:val="both"/>
        <w:rPr>
          <w:rFonts w:ascii="Arial" w:eastAsia="Arial Unicode MS" w:hAnsi="Arial" w:cs="Arial"/>
          <w:kern w:val="2"/>
          <w:sz w:val="24"/>
          <w:szCs w:val="24"/>
          <w:lang w:eastAsia="ar-SA"/>
        </w:rPr>
      </w:pPr>
      <w:r w:rsidRPr="00056CB3">
        <w:rPr>
          <w:rFonts w:ascii="Arial" w:eastAsia="Times New Roman" w:hAnsi="Arial" w:cs="Arial"/>
          <w:b/>
          <w:bCs/>
          <w:sz w:val="24"/>
          <w:szCs w:val="24"/>
          <w:lang w:val="es-ES" w:eastAsia="es-ES"/>
        </w:rPr>
        <w:t xml:space="preserve">QUINTO. </w:t>
      </w:r>
      <w:r>
        <w:rPr>
          <w:rFonts w:ascii="Arial" w:eastAsia="Arial Unicode MS" w:hAnsi="Arial" w:cs="Arial"/>
          <w:kern w:val="2"/>
          <w:sz w:val="24"/>
          <w:szCs w:val="24"/>
          <w:lang w:eastAsia="ar-SA"/>
        </w:rPr>
        <w:t xml:space="preserve">Se recibió en la Oficialía de Partes Común de Primera Instancia de este Tribunal, el </w:t>
      </w:r>
      <w:r w:rsidR="00D1588F">
        <w:rPr>
          <w:rFonts w:ascii="Arial" w:eastAsia="Arial Unicode MS" w:hAnsi="Arial" w:cs="Arial"/>
          <w:kern w:val="2"/>
          <w:sz w:val="24"/>
          <w:szCs w:val="24"/>
          <w:lang w:eastAsia="ar-SA"/>
        </w:rPr>
        <w:t>veinticuatro de junio de dos mil veintiuno</w:t>
      </w:r>
      <w:r>
        <w:rPr>
          <w:rFonts w:ascii="Arial" w:eastAsia="Arial Unicode MS" w:hAnsi="Arial" w:cs="Arial"/>
          <w:kern w:val="2"/>
          <w:sz w:val="24"/>
          <w:szCs w:val="24"/>
          <w:lang w:eastAsia="ar-SA"/>
        </w:rPr>
        <w:t xml:space="preserve">, el </w:t>
      </w:r>
      <w:r w:rsidR="00D1588F">
        <w:rPr>
          <w:rFonts w:ascii="Arial" w:eastAsia="Arial Unicode MS" w:hAnsi="Arial" w:cs="Arial"/>
          <w:kern w:val="2"/>
          <w:sz w:val="24"/>
          <w:szCs w:val="24"/>
          <w:lang w:eastAsia="ar-SA"/>
        </w:rPr>
        <w:t xml:space="preserve">escrito </w:t>
      </w:r>
      <w:r w:rsidR="00592CC4">
        <w:rPr>
          <w:rFonts w:ascii="Arial" w:eastAsia="Arial Unicode MS" w:hAnsi="Arial" w:cs="Arial"/>
          <w:kern w:val="2"/>
          <w:sz w:val="24"/>
          <w:szCs w:val="24"/>
          <w:lang w:eastAsia="ar-SA"/>
        </w:rPr>
        <w:t xml:space="preserve">del autorizado legal de la </w:t>
      </w:r>
      <w:r w:rsidR="002726FF">
        <w:rPr>
          <w:rFonts w:ascii="Arial" w:eastAsia="Arial Unicode MS" w:hAnsi="Arial" w:cs="Arial"/>
          <w:kern w:val="2"/>
          <w:sz w:val="24"/>
          <w:szCs w:val="24"/>
          <w:lang w:eastAsia="ar-SA"/>
        </w:rPr>
        <w:t>parte actora</w:t>
      </w:r>
      <w:r w:rsidR="00D1588F">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por medio del</w:t>
      </w:r>
      <w:r w:rsidR="00D1588F">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cual </w:t>
      </w:r>
      <w:r w:rsidR="00D1588F">
        <w:rPr>
          <w:rFonts w:ascii="Arial" w:eastAsia="Arial Unicode MS" w:hAnsi="Arial" w:cs="Arial"/>
          <w:kern w:val="2"/>
          <w:sz w:val="24"/>
          <w:szCs w:val="24"/>
          <w:lang w:eastAsia="ar-SA"/>
        </w:rPr>
        <w:t xml:space="preserve">solicita que se fije día </w:t>
      </w:r>
      <w:r w:rsidR="00FE45F6">
        <w:rPr>
          <w:rFonts w:ascii="Arial" w:eastAsia="Arial Unicode MS" w:hAnsi="Arial" w:cs="Arial"/>
          <w:kern w:val="2"/>
          <w:sz w:val="24"/>
          <w:szCs w:val="24"/>
          <w:lang w:eastAsia="ar-SA"/>
        </w:rPr>
        <w:t xml:space="preserve">y </w:t>
      </w:r>
      <w:r w:rsidR="00D1588F">
        <w:rPr>
          <w:rFonts w:ascii="Arial" w:eastAsia="Arial Unicode MS" w:hAnsi="Arial" w:cs="Arial"/>
          <w:kern w:val="2"/>
          <w:sz w:val="24"/>
          <w:szCs w:val="24"/>
          <w:lang w:eastAsia="ar-SA"/>
        </w:rPr>
        <w:t xml:space="preserve">hora para </w:t>
      </w:r>
      <w:r w:rsidR="00592CC4">
        <w:rPr>
          <w:rFonts w:ascii="Arial" w:eastAsia="Arial Unicode MS" w:hAnsi="Arial" w:cs="Arial"/>
          <w:kern w:val="2"/>
          <w:sz w:val="24"/>
          <w:szCs w:val="24"/>
          <w:lang w:eastAsia="ar-SA"/>
        </w:rPr>
        <w:t>la celebración de</w:t>
      </w:r>
      <w:r w:rsidR="00D1588F">
        <w:rPr>
          <w:rFonts w:ascii="Arial" w:eastAsia="Arial Unicode MS" w:hAnsi="Arial" w:cs="Arial"/>
          <w:kern w:val="2"/>
          <w:sz w:val="24"/>
          <w:szCs w:val="24"/>
          <w:lang w:eastAsia="ar-SA"/>
        </w:rPr>
        <w:t xml:space="preserve"> </w:t>
      </w:r>
      <w:r w:rsidR="00FE45F6">
        <w:rPr>
          <w:rFonts w:ascii="Arial" w:eastAsia="Arial Unicode MS" w:hAnsi="Arial" w:cs="Arial"/>
          <w:kern w:val="2"/>
          <w:sz w:val="24"/>
          <w:szCs w:val="24"/>
          <w:lang w:eastAsia="ar-SA"/>
        </w:rPr>
        <w:t xml:space="preserve">la </w:t>
      </w:r>
      <w:r w:rsidR="00D1588F">
        <w:rPr>
          <w:rFonts w:ascii="Arial" w:eastAsia="Arial Unicode MS" w:hAnsi="Arial" w:cs="Arial"/>
          <w:kern w:val="2"/>
          <w:sz w:val="24"/>
          <w:szCs w:val="24"/>
          <w:lang w:eastAsia="ar-SA"/>
        </w:rPr>
        <w:t>audiencia de Ley</w:t>
      </w:r>
      <w:r w:rsidR="00592CC4">
        <w:rPr>
          <w:rFonts w:ascii="Arial" w:eastAsia="Arial Unicode MS" w:hAnsi="Arial" w:cs="Arial"/>
          <w:kern w:val="2"/>
          <w:sz w:val="24"/>
          <w:szCs w:val="24"/>
          <w:lang w:eastAsia="ar-SA"/>
        </w:rPr>
        <w:t>;</w:t>
      </w:r>
      <w:r w:rsidR="00D1588F">
        <w:rPr>
          <w:rFonts w:ascii="Arial" w:eastAsia="Arial Unicode MS" w:hAnsi="Arial" w:cs="Arial"/>
          <w:kern w:val="2"/>
          <w:sz w:val="24"/>
          <w:szCs w:val="24"/>
          <w:lang w:eastAsia="ar-SA"/>
        </w:rPr>
        <w:t xml:space="preserve"> </w:t>
      </w:r>
      <w:r w:rsidR="00FE45F6">
        <w:rPr>
          <w:rFonts w:ascii="Arial" w:eastAsia="Arial Unicode MS" w:hAnsi="Arial" w:cs="Arial"/>
          <w:kern w:val="2"/>
          <w:sz w:val="24"/>
          <w:szCs w:val="24"/>
          <w:lang w:eastAsia="ar-SA"/>
        </w:rPr>
        <w:t xml:space="preserve">por lo </w:t>
      </w:r>
      <w:r w:rsidR="00592CC4">
        <w:rPr>
          <w:rFonts w:ascii="Arial" w:eastAsia="Arial Unicode MS" w:hAnsi="Arial" w:cs="Arial"/>
          <w:kern w:val="2"/>
          <w:sz w:val="24"/>
          <w:szCs w:val="24"/>
          <w:lang w:eastAsia="ar-SA"/>
        </w:rPr>
        <w:t>que,</w:t>
      </w:r>
      <w:r w:rsidR="00FE45F6">
        <w:rPr>
          <w:rFonts w:ascii="Arial" w:eastAsia="Arial Unicode MS" w:hAnsi="Arial" w:cs="Arial"/>
          <w:kern w:val="2"/>
          <w:sz w:val="24"/>
          <w:szCs w:val="24"/>
          <w:lang w:eastAsia="ar-SA"/>
        </w:rPr>
        <w:t xml:space="preserve"> al efecto, únicamente </w:t>
      </w:r>
      <w:r>
        <w:rPr>
          <w:rFonts w:ascii="Arial" w:eastAsia="Arial Unicode MS" w:hAnsi="Arial" w:cs="Arial"/>
          <w:kern w:val="2"/>
          <w:sz w:val="24"/>
          <w:szCs w:val="24"/>
          <w:lang w:eastAsia="ar-SA"/>
        </w:rPr>
        <w:t xml:space="preserve">se le tienen por hechas sus manifestaciones, promoción que únicamente se ordena mandar agregar a los autos, para que obre como corresponda. - - - - - - - - - - - - - - - - - - - - - </w:t>
      </w:r>
    </w:p>
    <w:p w14:paraId="400E0381" w14:textId="6090E7FB" w:rsidR="00BC5D04" w:rsidRDefault="00056CB3" w:rsidP="00BC5D04">
      <w:pPr>
        <w:spacing w:before="240" w:after="240" w:line="360" w:lineRule="auto"/>
        <w:ind w:firstLine="567"/>
        <w:jc w:val="both"/>
        <w:rPr>
          <w:rFonts w:ascii="Arial" w:hAnsi="Arial" w:cs="Arial"/>
          <w:bCs/>
          <w:sz w:val="24"/>
          <w:szCs w:val="24"/>
        </w:rPr>
      </w:pPr>
      <w:r>
        <w:rPr>
          <w:rFonts w:ascii="Arial" w:eastAsia="Times New Roman" w:hAnsi="Arial" w:cs="Arial"/>
          <w:b/>
          <w:bCs/>
          <w:sz w:val="24"/>
          <w:szCs w:val="24"/>
          <w:lang w:val="es-ES" w:eastAsia="es-ES"/>
        </w:rPr>
        <w:t>SEXTO</w:t>
      </w:r>
      <w:r w:rsidR="00BC5D04">
        <w:rPr>
          <w:rFonts w:ascii="Arial" w:eastAsia="Times New Roman" w:hAnsi="Arial" w:cs="Arial"/>
          <w:b/>
          <w:bCs/>
          <w:sz w:val="24"/>
          <w:szCs w:val="24"/>
          <w:lang w:val="es-ES" w:eastAsia="es-ES"/>
        </w:rPr>
        <w:t xml:space="preserve">. </w:t>
      </w:r>
      <w:r w:rsidR="00BC5D04">
        <w:rPr>
          <w:rFonts w:ascii="Arial" w:eastAsia="Calibri" w:hAnsi="Arial" w:cs="Arial"/>
          <w:b/>
          <w:sz w:val="24"/>
          <w:szCs w:val="24"/>
        </w:rPr>
        <w:t>Notifíquese personalmente a la parte actora y mediante oficio a la autoridad demandada</w:t>
      </w:r>
      <w:r w:rsidR="00BC5D04">
        <w:rPr>
          <w:rFonts w:ascii="Arial" w:eastAsia="Calibri" w:hAnsi="Arial" w:cs="Arial"/>
          <w:sz w:val="24"/>
          <w:szCs w:val="24"/>
        </w:rPr>
        <w:t xml:space="preserve">, en términos de los artículos 172 fracción I y 173 fracciones I y II, de la Ley de Procedimiento y Justicia Administrativa para el Estado. - - - - - - - - - - - - - - - - - - - - - - - - - - - - - - - - - - - - - - - - - - - - - - - - - - - - - - - </w:t>
      </w:r>
    </w:p>
    <w:p w14:paraId="74A940E7" w14:textId="77777777" w:rsidR="00BC5D04" w:rsidRDefault="00BC5D04" w:rsidP="00BC5D04">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w:t>
      </w:r>
    </w:p>
    <w:sectPr w:rsidR="00BC5D04" w:rsidSect="00857EB0">
      <w:headerReference w:type="even" r:id="rId8"/>
      <w:headerReference w:type="default" r:id="rId9"/>
      <w:footerReference w:type="even" r:id="rId10"/>
      <w:footerReference w:type="default" r:id="rId11"/>
      <w:headerReference w:type="first" r:id="rId12"/>
      <w:footerReference w:type="first" r:id="rId13"/>
      <w:pgSz w:w="12240" w:h="20160" w:code="5"/>
      <w:pgMar w:top="1313" w:right="104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67A60" w14:textId="77777777" w:rsidR="009D33B6" w:rsidRDefault="009D33B6" w:rsidP="00CD11C4">
      <w:pPr>
        <w:spacing w:after="0" w:line="240" w:lineRule="auto"/>
      </w:pPr>
      <w:r>
        <w:separator/>
      </w:r>
    </w:p>
  </w:endnote>
  <w:endnote w:type="continuationSeparator" w:id="0">
    <w:p w14:paraId="517DBC6E" w14:textId="77777777" w:rsidR="009D33B6" w:rsidRDefault="009D33B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82908" w14:textId="77777777" w:rsidR="008D6A7A" w:rsidRDefault="008D6A7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76390" w14:textId="77777777" w:rsidR="008D6A7A" w:rsidRDefault="008D6A7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F8410" w14:textId="77777777" w:rsidR="008D6A7A" w:rsidRDefault="008D6A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FDFD21" w14:textId="77777777" w:rsidR="009D33B6" w:rsidRDefault="009D33B6" w:rsidP="00CD11C4">
      <w:pPr>
        <w:spacing w:after="0" w:line="240" w:lineRule="auto"/>
      </w:pPr>
      <w:r>
        <w:separator/>
      </w:r>
    </w:p>
  </w:footnote>
  <w:footnote w:type="continuationSeparator" w:id="0">
    <w:p w14:paraId="2FAF9512" w14:textId="77777777" w:rsidR="009D33B6" w:rsidRDefault="009D33B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A158F" w14:textId="77777777" w:rsidR="008D6A7A" w:rsidRDefault="008D6A7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2289733"/>
      <w:docPartObj>
        <w:docPartGallery w:val="Page Numbers (Top of Page)"/>
        <w:docPartUnique/>
      </w:docPartObj>
    </w:sdtPr>
    <w:sdtEndPr/>
    <w:sdtContent>
      <w:p w14:paraId="5DFBC90D" w14:textId="77777777" w:rsidR="00CD11C4" w:rsidRDefault="00CD11C4">
        <w:pPr>
          <w:pStyle w:val="Encabezado"/>
          <w:jc w:val="center"/>
        </w:pPr>
        <w:r>
          <w:fldChar w:fldCharType="begin"/>
        </w:r>
        <w:r>
          <w:instrText>PAGE   \* MERGEFORMAT</w:instrText>
        </w:r>
        <w:r>
          <w:fldChar w:fldCharType="separate"/>
        </w:r>
        <w:r w:rsidR="009E4DA3" w:rsidRPr="009E4DA3">
          <w:rPr>
            <w:noProof/>
            <w:lang w:val="es-ES"/>
          </w:rPr>
          <w:t>8</w:t>
        </w:r>
        <w:r>
          <w:fldChar w:fldCharType="end"/>
        </w:r>
      </w:p>
    </w:sdtContent>
  </w:sdt>
  <w:p w14:paraId="1F5CE366" w14:textId="67CCA933" w:rsidR="00CD11C4" w:rsidRDefault="008D6A7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542D2CB" wp14:editId="050D675E">
              <wp:simplePos x="0" y="0"/>
              <wp:positionH relativeFrom="column">
                <wp:posOffset>-1008993</wp:posOffset>
              </wp:positionH>
              <wp:positionV relativeFrom="paragraph">
                <wp:posOffset>5594547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F9DAE75" w14:textId="77777777" w:rsidR="008D6A7A" w:rsidRDefault="008D6A7A" w:rsidP="008D6A7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42D2CB" id="_x0000_t202" coordsize="21600,21600" o:spt="202" path="m,l,21600r21600,l21600,xe">
              <v:stroke joinstyle="miter"/>
              <v:path gradientshapeok="t" o:connecttype="rect"/>
            </v:shapetype>
            <v:shape id="Cuadro de texto 2" o:spid="_x0000_s1026" type="#_x0000_t202" style="position:absolute;margin-left:-79.45pt;margin-top:44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">
              <v:textbox>
                <w:txbxContent>
                  <w:p w14:paraId="1F9DAE75" w14:textId="77777777" w:rsidR="008D6A7A" w:rsidRDefault="008D6A7A" w:rsidP="008D6A7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B5F2A" w14:textId="77777777" w:rsidR="008D6A7A" w:rsidRDefault="008D6A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257"/>
    <w:rsid w:val="0000694D"/>
    <w:rsid w:val="00011326"/>
    <w:rsid w:val="00014084"/>
    <w:rsid w:val="000147F3"/>
    <w:rsid w:val="000149D8"/>
    <w:rsid w:val="00017EC3"/>
    <w:rsid w:val="0002513C"/>
    <w:rsid w:val="00031BF4"/>
    <w:rsid w:val="00031D7D"/>
    <w:rsid w:val="0003304D"/>
    <w:rsid w:val="00035511"/>
    <w:rsid w:val="00036F22"/>
    <w:rsid w:val="00043832"/>
    <w:rsid w:val="0004716A"/>
    <w:rsid w:val="00047A57"/>
    <w:rsid w:val="00047A97"/>
    <w:rsid w:val="00050755"/>
    <w:rsid w:val="00056CB3"/>
    <w:rsid w:val="000578C2"/>
    <w:rsid w:val="000636D7"/>
    <w:rsid w:val="000715CD"/>
    <w:rsid w:val="000757F5"/>
    <w:rsid w:val="00077CB4"/>
    <w:rsid w:val="00083600"/>
    <w:rsid w:val="000842C9"/>
    <w:rsid w:val="000908D3"/>
    <w:rsid w:val="0009103C"/>
    <w:rsid w:val="00092517"/>
    <w:rsid w:val="00097DAB"/>
    <w:rsid w:val="000A023B"/>
    <w:rsid w:val="000A1143"/>
    <w:rsid w:val="000A12B4"/>
    <w:rsid w:val="000A1C49"/>
    <w:rsid w:val="000A2AFC"/>
    <w:rsid w:val="000A6995"/>
    <w:rsid w:val="000B335D"/>
    <w:rsid w:val="000B3C06"/>
    <w:rsid w:val="000B6026"/>
    <w:rsid w:val="000C1387"/>
    <w:rsid w:val="000C1948"/>
    <w:rsid w:val="000C1BC0"/>
    <w:rsid w:val="000E0FA2"/>
    <w:rsid w:val="000F3697"/>
    <w:rsid w:val="000F3AF1"/>
    <w:rsid w:val="000F5C89"/>
    <w:rsid w:val="001169A8"/>
    <w:rsid w:val="00122947"/>
    <w:rsid w:val="00123364"/>
    <w:rsid w:val="0012488E"/>
    <w:rsid w:val="001253D8"/>
    <w:rsid w:val="001305C4"/>
    <w:rsid w:val="001321A1"/>
    <w:rsid w:val="00135062"/>
    <w:rsid w:val="00136C11"/>
    <w:rsid w:val="001437EA"/>
    <w:rsid w:val="001442B7"/>
    <w:rsid w:val="001515F3"/>
    <w:rsid w:val="0015435A"/>
    <w:rsid w:val="00160510"/>
    <w:rsid w:val="0016103C"/>
    <w:rsid w:val="0016268C"/>
    <w:rsid w:val="001760B0"/>
    <w:rsid w:val="00176EE9"/>
    <w:rsid w:val="00181EC9"/>
    <w:rsid w:val="001824E2"/>
    <w:rsid w:val="001858BF"/>
    <w:rsid w:val="001919F1"/>
    <w:rsid w:val="001949B9"/>
    <w:rsid w:val="001977CF"/>
    <w:rsid w:val="001A2545"/>
    <w:rsid w:val="001A2830"/>
    <w:rsid w:val="001A4730"/>
    <w:rsid w:val="001A5DC0"/>
    <w:rsid w:val="001B265A"/>
    <w:rsid w:val="001B2B55"/>
    <w:rsid w:val="001B4F19"/>
    <w:rsid w:val="001B6111"/>
    <w:rsid w:val="001B64F8"/>
    <w:rsid w:val="001C5D0F"/>
    <w:rsid w:val="001D43FE"/>
    <w:rsid w:val="001D52AA"/>
    <w:rsid w:val="001D7126"/>
    <w:rsid w:val="001E54E4"/>
    <w:rsid w:val="001E5D35"/>
    <w:rsid w:val="001E6245"/>
    <w:rsid w:val="001F3332"/>
    <w:rsid w:val="001F481E"/>
    <w:rsid w:val="00202394"/>
    <w:rsid w:val="00202D49"/>
    <w:rsid w:val="0020614C"/>
    <w:rsid w:val="00212C74"/>
    <w:rsid w:val="0021418B"/>
    <w:rsid w:val="00216D78"/>
    <w:rsid w:val="00217186"/>
    <w:rsid w:val="00221771"/>
    <w:rsid w:val="002240EF"/>
    <w:rsid w:val="00231441"/>
    <w:rsid w:val="002322F4"/>
    <w:rsid w:val="00235449"/>
    <w:rsid w:val="00236EB6"/>
    <w:rsid w:val="002414DE"/>
    <w:rsid w:val="00241705"/>
    <w:rsid w:val="00245D55"/>
    <w:rsid w:val="00260EC0"/>
    <w:rsid w:val="002726FF"/>
    <w:rsid w:val="00275F64"/>
    <w:rsid w:val="00276ECC"/>
    <w:rsid w:val="00276F07"/>
    <w:rsid w:val="002770A9"/>
    <w:rsid w:val="00280C57"/>
    <w:rsid w:val="00293DAB"/>
    <w:rsid w:val="002A29FC"/>
    <w:rsid w:val="002A3900"/>
    <w:rsid w:val="002B3B40"/>
    <w:rsid w:val="002B65EC"/>
    <w:rsid w:val="002C108C"/>
    <w:rsid w:val="002C1411"/>
    <w:rsid w:val="002C1DF7"/>
    <w:rsid w:val="002D0CB8"/>
    <w:rsid w:val="002D1BB8"/>
    <w:rsid w:val="002D43D7"/>
    <w:rsid w:val="002D6364"/>
    <w:rsid w:val="002D732C"/>
    <w:rsid w:val="002D7AF4"/>
    <w:rsid w:val="002E10E1"/>
    <w:rsid w:val="002E2675"/>
    <w:rsid w:val="002E4BC7"/>
    <w:rsid w:val="002E64D0"/>
    <w:rsid w:val="00304D90"/>
    <w:rsid w:val="003070DA"/>
    <w:rsid w:val="00312050"/>
    <w:rsid w:val="00324B01"/>
    <w:rsid w:val="00326821"/>
    <w:rsid w:val="00331E6A"/>
    <w:rsid w:val="00335794"/>
    <w:rsid w:val="00335E3D"/>
    <w:rsid w:val="003367A9"/>
    <w:rsid w:val="003379C0"/>
    <w:rsid w:val="0034233E"/>
    <w:rsid w:val="0034317E"/>
    <w:rsid w:val="0034702F"/>
    <w:rsid w:val="0034796D"/>
    <w:rsid w:val="00350C5E"/>
    <w:rsid w:val="003512BE"/>
    <w:rsid w:val="00355782"/>
    <w:rsid w:val="0035608C"/>
    <w:rsid w:val="00362AE6"/>
    <w:rsid w:val="0037050E"/>
    <w:rsid w:val="003771A5"/>
    <w:rsid w:val="00381570"/>
    <w:rsid w:val="003835C5"/>
    <w:rsid w:val="00386A08"/>
    <w:rsid w:val="00390C7F"/>
    <w:rsid w:val="0039281B"/>
    <w:rsid w:val="003940B7"/>
    <w:rsid w:val="003B61B5"/>
    <w:rsid w:val="003C0361"/>
    <w:rsid w:val="003C1F86"/>
    <w:rsid w:val="003D1335"/>
    <w:rsid w:val="003D143E"/>
    <w:rsid w:val="003D1B33"/>
    <w:rsid w:val="003D4107"/>
    <w:rsid w:val="003D5B57"/>
    <w:rsid w:val="003E775D"/>
    <w:rsid w:val="003E7D59"/>
    <w:rsid w:val="003F0481"/>
    <w:rsid w:val="003F05FC"/>
    <w:rsid w:val="003F2AA8"/>
    <w:rsid w:val="003F5A6E"/>
    <w:rsid w:val="003F616F"/>
    <w:rsid w:val="00401ED7"/>
    <w:rsid w:val="00404335"/>
    <w:rsid w:val="00410B09"/>
    <w:rsid w:val="00412B36"/>
    <w:rsid w:val="004303F0"/>
    <w:rsid w:val="00434E82"/>
    <w:rsid w:val="00435602"/>
    <w:rsid w:val="00435614"/>
    <w:rsid w:val="00442BF7"/>
    <w:rsid w:val="00445B90"/>
    <w:rsid w:val="004609CC"/>
    <w:rsid w:val="0047106B"/>
    <w:rsid w:val="00474D04"/>
    <w:rsid w:val="004758FA"/>
    <w:rsid w:val="0047593B"/>
    <w:rsid w:val="00480404"/>
    <w:rsid w:val="00483AF4"/>
    <w:rsid w:val="00485BA7"/>
    <w:rsid w:val="00485BE6"/>
    <w:rsid w:val="004874DF"/>
    <w:rsid w:val="00490B8F"/>
    <w:rsid w:val="00492D81"/>
    <w:rsid w:val="004945D0"/>
    <w:rsid w:val="004A2DDF"/>
    <w:rsid w:val="004A62EA"/>
    <w:rsid w:val="004A69EF"/>
    <w:rsid w:val="004B5A65"/>
    <w:rsid w:val="004C30E8"/>
    <w:rsid w:val="004C404C"/>
    <w:rsid w:val="004C4F21"/>
    <w:rsid w:val="004C54A4"/>
    <w:rsid w:val="004C64A4"/>
    <w:rsid w:val="004C7278"/>
    <w:rsid w:val="004C7BB3"/>
    <w:rsid w:val="004D072E"/>
    <w:rsid w:val="004E1AB7"/>
    <w:rsid w:val="004E2317"/>
    <w:rsid w:val="004E366D"/>
    <w:rsid w:val="004E5083"/>
    <w:rsid w:val="004E59C3"/>
    <w:rsid w:val="004E6AF6"/>
    <w:rsid w:val="00500E4A"/>
    <w:rsid w:val="0050634A"/>
    <w:rsid w:val="00506CB0"/>
    <w:rsid w:val="00506CBE"/>
    <w:rsid w:val="00513F78"/>
    <w:rsid w:val="00515F49"/>
    <w:rsid w:val="005167BC"/>
    <w:rsid w:val="0051709B"/>
    <w:rsid w:val="0051725E"/>
    <w:rsid w:val="005212E1"/>
    <w:rsid w:val="005361E0"/>
    <w:rsid w:val="00536890"/>
    <w:rsid w:val="00537CC2"/>
    <w:rsid w:val="005418C7"/>
    <w:rsid w:val="005433B5"/>
    <w:rsid w:val="00543F41"/>
    <w:rsid w:val="00545E56"/>
    <w:rsid w:val="0054644C"/>
    <w:rsid w:val="005465EE"/>
    <w:rsid w:val="005526E0"/>
    <w:rsid w:val="00555064"/>
    <w:rsid w:val="00556D9D"/>
    <w:rsid w:val="00562D2D"/>
    <w:rsid w:val="00564C8A"/>
    <w:rsid w:val="005673DF"/>
    <w:rsid w:val="00570F0F"/>
    <w:rsid w:val="00571723"/>
    <w:rsid w:val="00573F76"/>
    <w:rsid w:val="00576269"/>
    <w:rsid w:val="00576661"/>
    <w:rsid w:val="0058030A"/>
    <w:rsid w:val="00584262"/>
    <w:rsid w:val="00586496"/>
    <w:rsid w:val="00592CC4"/>
    <w:rsid w:val="005A0A02"/>
    <w:rsid w:val="005A1356"/>
    <w:rsid w:val="005A3D0E"/>
    <w:rsid w:val="005B473C"/>
    <w:rsid w:val="005C0B9F"/>
    <w:rsid w:val="005C3DAE"/>
    <w:rsid w:val="005C4042"/>
    <w:rsid w:val="005C6B94"/>
    <w:rsid w:val="005D3ACB"/>
    <w:rsid w:val="005D3D43"/>
    <w:rsid w:val="005D7613"/>
    <w:rsid w:val="005E406E"/>
    <w:rsid w:val="005E44C1"/>
    <w:rsid w:val="005E5126"/>
    <w:rsid w:val="005E6002"/>
    <w:rsid w:val="005F1D40"/>
    <w:rsid w:val="0060113A"/>
    <w:rsid w:val="00605C75"/>
    <w:rsid w:val="00612F62"/>
    <w:rsid w:val="0061645B"/>
    <w:rsid w:val="006179E5"/>
    <w:rsid w:val="0062171B"/>
    <w:rsid w:val="006225B1"/>
    <w:rsid w:val="006257A1"/>
    <w:rsid w:val="00627C15"/>
    <w:rsid w:val="00635648"/>
    <w:rsid w:val="00637BE3"/>
    <w:rsid w:val="00637D7B"/>
    <w:rsid w:val="00643121"/>
    <w:rsid w:val="00645405"/>
    <w:rsid w:val="00652302"/>
    <w:rsid w:val="00655FF2"/>
    <w:rsid w:val="006576F4"/>
    <w:rsid w:val="006707C9"/>
    <w:rsid w:val="00671D10"/>
    <w:rsid w:val="00672273"/>
    <w:rsid w:val="0067366C"/>
    <w:rsid w:val="0068284B"/>
    <w:rsid w:val="006879B8"/>
    <w:rsid w:val="00693093"/>
    <w:rsid w:val="0069571E"/>
    <w:rsid w:val="00695A64"/>
    <w:rsid w:val="00696A94"/>
    <w:rsid w:val="006A16B3"/>
    <w:rsid w:val="006A3EB1"/>
    <w:rsid w:val="006A5373"/>
    <w:rsid w:val="006B0170"/>
    <w:rsid w:val="006B134B"/>
    <w:rsid w:val="006B3010"/>
    <w:rsid w:val="006B340E"/>
    <w:rsid w:val="006B74AE"/>
    <w:rsid w:val="006B7FFC"/>
    <w:rsid w:val="006C137A"/>
    <w:rsid w:val="006C330F"/>
    <w:rsid w:val="006C3B7F"/>
    <w:rsid w:val="006C53F0"/>
    <w:rsid w:val="006C7ACF"/>
    <w:rsid w:val="006C7B9F"/>
    <w:rsid w:val="006D131C"/>
    <w:rsid w:val="006D3786"/>
    <w:rsid w:val="006D5E5F"/>
    <w:rsid w:val="006D7D42"/>
    <w:rsid w:val="006E15C7"/>
    <w:rsid w:val="006E4075"/>
    <w:rsid w:val="006E63D7"/>
    <w:rsid w:val="006E652B"/>
    <w:rsid w:val="006F5709"/>
    <w:rsid w:val="006F780B"/>
    <w:rsid w:val="00704548"/>
    <w:rsid w:val="00705816"/>
    <w:rsid w:val="00710E73"/>
    <w:rsid w:val="00712198"/>
    <w:rsid w:val="007133C5"/>
    <w:rsid w:val="00721033"/>
    <w:rsid w:val="00722107"/>
    <w:rsid w:val="0072248C"/>
    <w:rsid w:val="00723E68"/>
    <w:rsid w:val="00740503"/>
    <w:rsid w:val="00743561"/>
    <w:rsid w:val="00743A60"/>
    <w:rsid w:val="00753E46"/>
    <w:rsid w:val="00757966"/>
    <w:rsid w:val="00763AAD"/>
    <w:rsid w:val="00767D2B"/>
    <w:rsid w:val="00790B86"/>
    <w:rsid w:val="00792104"/>
    <w:rsid w:val="007A0E80"/>
    <w:rsid w:val="007A3F59"/>
    <w:rsid w:val="007B0345"/>
    <w:rsid w:val="007B5CD1"/>
    <w:rsid w:val="007C016E"/>
    <w:rsid w:val="007C66D8"/>
    <w:rsid w:val="007D240D"/>
    <w:rsid w:val="007D3A92"/>
    <w:rsid w:val="007D4665"/>
    <w:rsid w:val="007E316A"/>
    <w:rsid w:val="0080169D"/>
    <w:rsid w:val="0080249C"/>
    <w:rsid w:val="00803473"/>
    <w:rsid w:val="00805981"/>
    <w:rsid w:val="008105CD"/>
    <w:rsid w:val="00813941"/>
    <w:rsid w:val="008141EF"/>
    <w:rsid w:val="00815F73"/>
    <w:rsid w:val="008212CA"/>
    <w:rsid w:val="0082455D"/>
    <w:rsid w:val="0082629B"/>
    <w:rsid w:val="00827BE1"/>
    <w:rsid w:val="00831AC1"/>
    <w:rsid w:val="00850788"/>
    <w:rsid w:val="00853FD2"/>
    <w:rsid w:val="00857EB0"/>
    <w:rsid w:val="008721A1"/>
    <w:rsid w:val="00873B92"/>
    <w:rsid w:val="00876025"/>
    <w:rsid w:val="0088012F"/>
    <w:rsid w:val="008804B8"/>
    <w:rsid w:val="008815B7"/>
    <w:rsid w:val="008851FF"/>
    <w:rsid w:val="008855CE"/>
    <w:rsid w:val="0088710B"/>
    <w:rsid w:val="00890540"/>
    <w:rsid w:val="008969DC"/>
    <w:rsid w:val="008A11E4"/>
    <w:rsid w:val="008A2FE0"/>
    <w:rsid w:val="008A72F6"/>
    <w:rsid w:val="008B3027"/>
    <w:rsid w:val="008B3529"/>
    <w:rsid w:val="008C5BEA"/>
    <w:rsid w:val="008C6836"/>
    <w:rsid w:val="008D0A8C"/>
    <w:rsid w:val="008D6A7A"/>
    <w:rsid w:val="008E3183"/>
    <w:rsid w:val="008F0B62"/>
    <w:rsid w:val="008F26B5"/>
    <w:rsid w:val="00902036"/>
    <w:rsid w:val="00905789"/>
    <w:rsid w:val="00910380"/>
    <w:rsid w:val="0091486F"/>
    <w:rsid w:val="0092321D"/>
    <w:rsid w:val="00927F93"/>
    <w:rsid w:val="00931402"/>
    <w:rsid w:val="00935FAE"/>
    <w:rsid w:val="0093627D"/>
    <w:rsid w:val="00943FB5"/>
    <w:rsid w:val="0095218E"/>
    <w:rsid w:val="0096528D"/>
    <w:rsid w:val="00966CD2"/>
    <w:rsid w:val="009708B5"/>
    <w:rsid w:val="00986A54"/>
    <w:rsid w:val="00987805"/>
    <w:rsid w:val="00987966"/>
    <w:rsid w:val="00993E23"/>
    <w:rsid w:val="00996C74"/>
    <w:rsid w:val="00997073"/>
    <w:rsid w:val="009A2C0B"/>
    <w:rsid w:val="009A4DF9"/>
    <w:rsid w:val="009B040F"/>
    <w:rsid w:val="009B0D19"/>
    <w:rsid w:val="009B0E30"/>
    <w:rsid w:val="009B6218"/>
    <w:rsid w:val="009C2361"/>
    <w:rsid w:val="009C5F1B"/>
    <w:rsid w:val="009D1437"/>
    <w:rsid w:val="009D2486"/>
    <w:rsid w:val="009D33B6"/>
    <w:rsid w:val="009D5877"/>
    <w:rsid w:val="009D7854"/>
    <w:rsid w:val="009E0E59"/>
    <w:rsid w:val="009E1ED1"/>
    <w:rsid w:val="009E2943"/>
    <w:rsid w:val="009E4DA3"/>
    <w:rsid w:val="009F4755"/>
    <w:rsid w:val="009F57EE"/>
    <w:rsid w:val="00A0281E"/>
    <w:rsid w:val="00A040A7"/>
    <w:rsid w:val="00A056D9"/>
    <w:rsid w:val="00A0684F"/>
    <w:rsid w:val="00A2257D"/>
    <w:rsid w:val="00A274D6"/>
    <w:rsid w:val="00A3401A"/>
    <w:rsid w:val="00A35A3F"/>
    <w:rsid w:val="00A37113"/>
    <w:rsid w:val="00A40E93"/>
    <w:rsid w:val="00A467A2"/>
    <w:rsid w:val="00A52103"/>
    <w:rsid w:val="00A54958"/>
    <w:rsid w:val="00A60FFA"/>
    <w:rsid w:val="00A645B7"/>
    <w:rsid w:val="00A66584"/>
    <w:rsid w:val="00A67E24"/>
    <w:rsid w:val="00A705B4"/>
    <w:rsid w:val="00A75965"/>
    <w:rsid w:val="00A80B55"/>
    <w:rsid w:val="00A81C62"/>
    <w:rsid w:val="00A823D1"/>
    <w:rsid w:val="00A8474E"/>
    <w:rsid w:val="00A854DA"/>
    <w:rsid w:val="00A94CAA"/>
    <w:rsid w:val="00AA0E3B"/>
    <w:rsid w:val="00AA2E77"/>
    <w:rsid w:val="00AA3DFE"/>
    <w:rsid w:val="00AA41A2"/>
    <w:rsid w:val="00AB40C6"/>
    <w:rsid w:val="00AB77B9"/>
    <w:rsid w:val="00AC2821"/>
    <w:rsid w:val="00AC7608"/>
    <w:rsid w:val="00AD75AB"/>
    <w:rsid w:val="00AD7966"/>
    <w:rsid w:val="00AE3877"/>
    <w:rsid w:val="00AF35C2"/>
    <w:rsid w:val="00AF4C59"/>
    <w:rsid w:val="00B04877"/>
    <w:rsid w:val="00B100B4"/>
    <w:rsid w:val="00B10E33"/>
    <w:rsid w:val="00B13BF5"/>
    <w:rsid w:val="00B155ED"/>
    <w:rsid w:val="00B17634"/>
    <w:rsid w:val="00B2052D"/>
    <w:rsid w:val="00B213D5"/>
    <w:rsid w:val="00B225D4"/>
    <w:rsid w:val="00B2388E"/>
    <w:rsid w:val="00B23D0C"/>
    <w:rsid w:val="00B240E8"/>
    <w:rsid w:val="00B261D9"/>
    <w:rsid w:val="00B26733"/>
    <w:rsid w:val="00B310B3"/>
    <w:rsid w:val="00B33690"/>
    <w:rsid w:val="00B37B0F"/>
    <w:rsid w:val="00B37E6B"/>
    <w:rsid w:val="00B40C15"/>
    <w:rsid w:val="00B41ECD"/>
    <w:rsid w:val="00B44143"/>
    <w:rsid w:val="00B47FC7"/>
    <w:rsid w:val="00B54A23"/>
    <w:rsid w:val="00B610C9"/>
    <w:rsid w:val="00B64DB8"/>
    <w:rsid w:val="00B65301"/>
    <w:rsid w:val="00B67D68"/>
    <w:rsid w:val="00B75419"/>
    <w:rsid w:val="00B770C7"/>
    <w:rsid w:val="00B823BA"/>
    <w:rsid w:val="00B864EE"/>
    <w:rsid w:val="00B86F9B"/>
    <w:rsid w:val="00B879A2"/>
    <w:rsid w:val="00B87DCA"/>
    <w:rsid w:val="00B92198"/>
    <w:rsid w:val="00B93465"/>
    <w:rsid w:val="00B971DF"/>
    <w:rsid w:val="00BA0B7B"/>
    <w:rsid w:val="00BA3B93"/>
    <w:rsid w:val="00BA502A"/>
    <w:rsid w:val="00BA6A40"/>
    <w:rsid w:val="00BB2CA8"/>
    <w:rsid w:val="00BC1A51"/>
    <w:rsid w:val="00BC5D04"/>
    <w:rsid w:val="00BE2A05"/>
    <w:rsid w:val="00BF3D21"/>
    <w:rsid w:val="00BF57F3"/>
    <w:rsid w:val="00C10E73"/>
    <w:rsid w:val="00C1147C"/>
    <w:rsid w:val="00C15AAF"/>
    <w:rsid w:val="00C31E91"/>
    <w:rsid w:val="00C404B9"/>
    <w:rsid w:val="00C43268"/>
    <w:rsid w:val="00C43F12"/>
    <w:rsid w:val="00C447A2"/>
    <w:rsid w:val="00C47DF8"/>
    <w:rsid w:val="00C51580"/>
    <w:rsid w:val="00C53626"/>
    <w:rsid w:val="00C62FED"/>
    <w:rsid w:val="00C63A6F"/>
    <w:rsid w:val="00C65402"/>
    <w:rsid w:val="00C776D8"/>
    <w:rsid w:val="00C83ECA"/>
    <w:rsid w:val="00C94CD9"/>
    <w:rsid w:val="00C959AB"/>
    <w:rsid w:val="00C96975"/>
    <w:rsid w:val="00CA13BD"/>
    <w:rsid w:val="00CA27A7"/>
    <w:rsid w:val="00CA45F0"/>
    <w:rsid w:val="00CA4D33"/>
    <w:rsid w:val="00CA6341"/>
    <w:rsid w:val="00CB4C2A"/>
    <w:rsid w:val="00CC4D02"/>
    <w:rsid w:val="00CC5E01"/>
    <w:rsid w:val="00CC7BF2"/>
    <w:rsid w:val="00CD110C"/>
    <w:rsid w:val="00CD11C4"/>
    <w:rsid w:val="00CD40C7"/>
    <w:rsid w:val="00CD51FE"/>
    <w:rsid w:val="00CD5EAB"/>
    <w:rsid w:val="00CD619A"/>
    <w:rsid w:val="00CD6F91"/>
    <w:rsid w:val="00CD70EF"/>
    <w:rsid w:val="00CD737E"/>
    <w:rsid w:val="00CE5220"/>
    <w:rsid w:val="00CE701C"/>
    <w:rsid w:val="00D0439F"/>
    <w:rsid w:val="00D1171A"/>
    <w:rsid w:val="00D13BA8"/>
    <w:rsid w:val="00D1588F"/>
    <w:rsid w:val="00D17463"/>
    <w:rsid w:val="00D20572"/>
    <w:rsid w:val="00D218D3"/>
    <w:rsid w:val="00D225A8"/>
    <w:rsid w:val="00D41396"/>
    <w:rsid w:val="00D46418"/>
    <w:rsid w:val="00D50AD9"/>
    <w:rsid w:val="00D55ED4"/>
    <w:rsid w:val="00D57F80"/>
    <w:rsid w:val="00D635A3"/>
    <w:rsid w:val="00D673E7"/>
    <w:rsid w:val="00D71F41"/>
    <w:rsid w:val="00D73FFF"/>
    <w:rsid w:val="00D838AC"/>
    <w:rsid w:val="00D838EB"/>
    <w:rsid w:val="00D94518"/>
    <w:rsid w:val="00D96504"/>
    <w:rsid w:val="00D96E91"/>
    <w:rsid w:val="00DA11E5"/>
    <w:rsid w:val="00DA1C35"/>
    <w:rsid w:val="00DA3A5D"/>
    <w:rsid w:val="00DB28C3"/>
    <w:rsid w:val="00DB3463"/>
    <w:rsid w:val="00DB5692"/>
    <w:rsid w:val="00DB7222"/>
    <w:rsid w:val="00DB777E"/>
    <w:rsid w:val="00DB77C3"/>
    <w:rsid w:val="00DC0B57"/>
    <w:rsid w:val="00DC7DD2"/>
    <w:rsid w:val="00DD0D18"/>
    <w:rsid w:val="00DD49A7"/>
    <w:rsid w:val="00DD576B"/>
    <w:rsid w:val="00DD61CF"/>
    <w:rsid w:val="00DD6DBB"/>
    <w:rsid w:val="00DE11C9"/>
    <w:rsid w:val="00DE44E2"/>
    <w:rsid w:val="00DF0BA0"/>
    <w:rsid w:val="00DF26DD"/>
    <w:rsid w:val="00DF59C4"/>
    <w:rsid w:val="00E015DB"/>
    <w:rsid w:val="00E03546"/>
    <w:rsid w:val="00E13BC1"/>
    <w:rsid w:val="00E14035"/>
    <w:rsid w:val="00E158E7"/>
    <w:rsid w:val="00E17BE9"/>
    <w:rsid w:val="00E22DB3"/>
    <w:rsid w:val="00E30E7F"/>
    <w:rsid w:val="00E31055"/>
    <w:rsid w:val="00E3629B"/>
    <w:rsid w:val="00E40025"/>
    <w:rsid w:val="00E40EE6"/>
    <w:rsid w:val="00E41CF0"/>
    <w:rsid w:val="00E4320A"/>
    <w:rsid w:val="00E46266"/>
    <w:rsid w:val="00E4790B"/>
    <w:rsid w:val="00E518CF"/>
    <w:rsid w:val="00E613C8"/>
    <w:rsid w:val="00E61F32"/>
    <w:rsid w:val="00E6227E"/>
    <w:rsid w:val="00E6309D"/>
    <w:rsid w:val="00E67FB3"/>
    <w:rsid w:val="00E70433"/>
    <w:rsid w:val="00E72DB4"/>
    <w:rsid w:val="00E83DBE"/>
    <w:rsid w:val="00E83DC9"/>
    <w:rsid w:val="00E879F1"/>
    <w:rsid w:val="00E9207D"/>
    <w:rsid w:val="00EA02E7"/>
    <w:rsid w:val="00EA4C7B"/>
    <w:rsid w:val="00EA56DF"/>
    <w:rsid w:val="00EB03AE"/>
    <w:rsid w:val="00EB07B5"/>
    <w:rsid w:val="00EB1424"/>
    <w:rsid w:val="00EB35EA"/>
    <w:rsid w:val="00EB53EB"/>
    <w:rsid w:val="00EB7B1A"/>
    <w:rsid w:val="00EC0AE8"/>
    <w:rsid w:val="00EC411E"/>
    <w:rsid w:val="00ED6002"/>
    <w:rsid w:val="00ED6940"/>
    <w:rsid w:val="00EE5504"/>
    <w:rsid w:val="00EF1F97"/>
    <w:rsid w:val="00EF215A"/>
    <w:rsid w:val="00EF3033"/>
    <w:rsid w:val="00EF3B4F"/>
    <w:rsid w:val="00EF69CD"/>
    <w:rsid w:val="00EF77BC"/>
    <w:rsid w:val="00EF79B8"/>
    <w:rsid w:val="00F038B1"/>
    <w:rsid w:val="00F13628"/>
    <w:rsid w:val="00F22D26"/>
    <w:rsid w:val="00F25507"/>
    <w:rsid w:val="00F25948"/>
    <w:rsid w:val="00F30896"/>
    <w:rsid w:val="00F31A8F"/>
    <w:rsid w:val="00F354B7"/>
    <w:rsid w:val="00F35FEF"/>
    <w:rsid w:val="00F41881"/>
    <w:rsid w:val="00F44BCC"/>
    <w:rsid w:val="00F45C9B"/>
    <w:rsid w:val="00F51AFE"/>
    <w:rsid w:val="00F53E9B"/>
    <w:rsid w:val="00F55785"/>
    <w:rsid w:val="00F66737"/>
    <w:rsid w:val="00F70B94"/>
    <w:rsid w:val="00F72173"/>
    <w:rsid w:val="00F73179"/>
    <w:rsid w:val="00F7572F"/>
    <w:rsid w:val="00F821FA"/>
    <w:rsid w:val="00F82372"/>
    <w:rsid w:val="00F829CC"/>
    <w:rsid w:val="00F83F35"/>
    <w:rsid w:val="00F849C8"/>
    <w:rsid w:val="00F90439"/>
    <w:rsid w:val="00F94DB2"/>
    <w:rsid w:val="00F94ED6"/>
    <w:rsid w:val="00FA1D69"/>
    <w:rsid w:val="00FA2EEA"/>
    <w:rsid w:val="00FA52A9"/>
    <w:rsid w:val="00FB01AE"/>
    <w:rsid w:val="00FB259A"/>
    <w:rsid w:val="00FB2EEC"/>
    <w:rsid w:val="00FB50FA"/>
    <w:rsid w:val="00FB6330"/>
    <w:rsid w:val="00FB7416"/>
    <w:rsid w:val="00FC580B"/>
    <w:rsid w:val="00FD0854"/>
    <w:rsid w:val="00FD0C3D"/>
    <w:rsid w:val="00FD114C"/>
    <w:rsid w:val="00FD5A00"/>
    <w:rsid w:val="00FE127C"/>
    <w:rsid w:val="00FE3C71"/>
    <w:rsid w:val="00FE45F6"/>
    <w:rsid w:val="00FE70EE"/>
    <w:rsid w:val="00FE7B4A"/>
    <w:rsid w:val="00FF4048"/>
    <w:rsid w:val="00FF45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48F15"/>
  <w15:docId w15:val="{B6EDBAC4-75EB-4B08-8759-84B4723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paragraph" w:customStyle="1" w:styleId="Sangra2detindependiente1">
    <w:name w:val="Sangría 2 de t. independiente1"/>
    <w:basedOn w:val="Normal"/>
    <w:rsid w:val="000757F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03274">
      <w:bodyDiv w:val="1"/>
      <w:marLeft w:val="0"/>
      <w:marRight w:val="0"/>
      <w:marTop w:val="0"/>
      <w:marBottom w:val="0"/>
      <w:divBdr>
        <w:top w:val="none" w:sz="0" w:space="0" w:color="auto"/>
        <w:left w:val="none" w:sz="0" w:space="0" w:color="auto"/>
        <w:bottom w:val="none" w:sz="0" w:space="0" w:color="auto"/>
        <w:right w:val="none" w:sz="0" w:space="0" w:color="auto"/>
      </w:divBdr>
    </w:div>
    <w:div w:id="166143756">
      <w:bodyDiv w:val="1"/>
      <w:marLeft w:val="0"/>
      <w:marRight w:val="0"/>
      <w:marTop w:val="0"/>
      <w:marBottom w:val="0"/>
      <w:divBdr>
        <w:top w:val="none" w:sz="0" w:space="0" w:color="auto"/>
        <w:left w:val="none" w:sz="0" w:space="0" w:color="auto"/>
        <w:bottom w:val="none" w:sz="0" w:space="0" w:color="auto"/>
        <w:right w:val="none" w:sz="0" w:space="0" w:color="auto"/>
      </w:divBdr>
    </w:div>
    <w:div w:id="295065362">
      <w:bodyDiv w:val="1"/>
      <w:marLeft w:val="0"/>
      <w:marRight w:val="0"/>
      <w:marTop w:val="0"/>
      <w:marBottom w:val="0"/>
      <w:divBdr>
        <w:top w:val="none" w:sz="0" w:space="0" w:color="auto"/>
        <w:left w:val="none" w:sz="0" w:space="0" w:color="auto"/>
        <w:bottom w:val="none" w:sz="0" w:space="0" w:color="auto"/>
        <w:right w:val="none" w:sz="0" w:space="0" w:color="auto"/>
      </w:divBdr>
    </w:div>
    <w:div w:id="314842880">
      <w:bodyDiv w:val="1"/>
      <w:marLeft w:val="0"/>
      <w:marRight w:val="0"/>
      <w:marTop w:val="0"/>
      <w:marBottom w:val="0"/>
      <w:divBdr>
        <w:top w:val="none" w:sz="0" w:space="0" w:color="auto"/>
        <w:left w:val="none" w:sz="0" w:space="0" w:color="auto"/>
        <w:bottom w:val="none" w:sz="0" w:space="0" w:color="auto"/>
        <w:right w:val="none" w:sz="0" w:space="0" w:color="auto"/>
      </w:divBdr>
    </w:div>
    <w:div w:id="506946175">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79987174">
      <w:bodyDiv w:val="1"/>
      <w:marLeft w:val="0"/>
      <w:marRight w:val="0"/>
      <w:marTop w:val="0"/>
      <w:marBottom w:val="0"/>
      <w:divBdr>
        <w:top w:val="none" w:sz="0" w:space="0" w:color="auto"/>
        <w:left w:val="none" w:sz="0" w:space="0" w:color="auto"/>
        <w:bottom w:val="none" w:sz="0" w:space="0" w:color="auto"/>
        <w:right w:val="none" w:sz="0" w:space="0" w:color="auto"/>
      </w:divBdr>
    </w:div>
    <w:div w:id="1946107090">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2EFC5-CA92-4562-8BC4-9A3CDEAF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3221</TotalTime>
  <Pages>8</Pages>
  <Words>3422</Words>
  <Characters>18822</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555</cp:revision>
  <cp:lastPrinted>2018-05-04T19:34:00Z</cp:lastPrinted>
  <dcterms:created xsi:type="dcterms:W3CDTF">2015-08-11T19:05:00Z</dcterms:created>
  <dcterms:modified xsi:type="dcterms:W3CDTF">2022-02-23T18:57:00Z</dcterms:modified>
</cp:coreProperties>
</file>