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2B8F44C9" w:rsidR="003B6CF0" w:rsidRPr="00620617" w:rsidRDefault="000A31CB" w:rsidP="00C563BC">
      <w:pPr>
        <w:ind w:left="2552"/>
        <w:jc w:val="both"/>
        <w:rPr>
          <w:rFonts w:ascii="Arial" w:hAnsi="Arial" w:cs="Arial"/>
          <w:b/>
          <w:sz w:val="26"/>
          <w:szCs w:val="26"/>
        </w:rPr>
      </w:pPr>
      <w:r>
        <w:rPr>
          <w:rFonts w:ascii="Arial" w:hAnsi="Arial" w:cs="Arial"/>
          <w:b/>
          <w:sz w:val="26"/>
          <w:szCs w:val="26"/>
        </w:rPr>
        <w:t xml:space="preserve">                                                                                                                                                                                                                                                                                                                                                                                                                                                                                                                                                                                                                                                                                                                                                                                                                                                                                                                                                                                                                                                                                                                                                                                                                                                                                                                                                                                                                                                                                                                                                                                                                            </w:t>
      </w:r>
      <w:r w:rsidR="003B6CF0" w:rsidRPr="00CB6405">
        <w:rPr>
          <w:rFonts w:ascii="Arial" w:hAnsi="Arial" w:cs="Arial"/>
          <w:b/>
          <w:sz w:val="26"/>
          <w:szCs w:val="26"/>
        </w:rPr>
        <w:t xml:space="preserve">SALA </w:t>
      </w:r>
      <w:r w:rsidR="003B6CF0" w:rsidRPr="00620617">
        <w:rPr>
          <w:rFonts w:ascii="Arial" w:hAnsi="Arial" w:cs="Arial"/>
          <w:b/>
          <w:sz w:val="26"/>
          <w:szCs w:val="26"/>
        </w:rPr>
        <w:t>SUPERIOR DEL TRIBUNAL DE JUSTICIA ADMINISTRATIVA DEL ESTADO DE OAXACA.</w:t>
      </w:r>
    </w:p>
    <w:p w14:paraId="18BAB690" w14:textId="0CF79290" w:rsidR="003B6CF0" w:rsidRPr="00620617" w:rsidRDefault="003B6CF0" w:rsidP="00C563BC">
      <w:pPr>
        <w:ind w:left="2552"/>
        <w:jc w:val="both"/>
        <w:rPr>
          <w:rFonts w:ascii="Arial" w:hAnsi="Arial" w:cs="Arial"/>
          <w:b/>
          <w:sz w:val="26"/>
          <w:szCs w:val="26"/>
        </w:rPr>
      </w:pPr>
      <w:r w:rsidRPr="00620617">
        <w:rPr>
          <w:rFonts w:ascii="Arial" w:hAnsi="Arial" w:cs="Arial"/>
          <w:b/>
          <w:sz w:val="26"/>
          <w:szCs w:val="26"/>
        </w:rPr>
        <w:t>RECURSO DE REVISIÓN:</w:t>
      </w:r>
      <w:r w:rsidRPr="00620617">
        <w:rPr>
          <w:rFonts w:ascii="Arial" w:hAnsi="Arial" w:cs="Arial"/>
          <w:b/>
          <w:sz w:val="26"/>
          <w:szCs w:val="26"/>
        </w:rPr>
        <w:tab/>
      </w:r>
      <w:r w:rsidR="00404C31">
        <w:rPr>
          <w:rFonts w:ascii="Arial" w:hAnsi="Arial" w:cs="Arial"/>
          <w:b/>
          <w:sz w:val="26"/>
          <w:szCs w:val="26"/>
        </w:rPr>
        <w:t>0325/2021</w:t>
      </w:r>
      <w:r w:rsidRPr="00620617">
        <w:rPr>
          <w:rFonts w:ascii="Arial" w:hAnsi="Arial" w:cs="Arial"/>
          <w:b/>
          <w:sz w:val="26"/>
          <w:szCs w:val="26"/>
        </w:rPr>
        <w:t>.</w:t>
      </w:r>
    </w:p>
    <w:p w14:paraId="4DFA70CD" w14:textId="1B6777A6" w:rsidR="003B6CF0" w:rsidRPr="00620617" w:rsidRDefault="003B6CF0" w:rsidP="00C563BC">
      <w:pPr>
        <w:ind w:left="2552"/>
        <w:jc w:val="both"/>
        <w:rPr>
          <w:rFonts w:ascii="Arial" w:hAnsi="Arial" w:cs="Arial"/>
          <w:b/>
          <w:sz w:val="26"/>
          <w:szCs w:val="26"/>
        </w:rPr>
      </w:pPr>
      <w:r w:rsidRPr="00620617">
        <w:rPr>
          <w:rFonts w:ascii="Arial" w:hAnsi="Arial" w:cs="Arial"/>
          <w:b/>
          <w:sz w:val="26"/>
          <w:szCs w:val="26"/>
        </w:rPr>
        <w:t>EXPEDIENTE:</w:t>
      </w:r>
      <w:r w:rsidRPr="00620617">
        <w:rPr>
          <w:rFonts w:ascii="Arial" w:hAnsi="Arial" w:cs="Arial"/>
          <w:b/>
          <w:sz w:val="26"/>
          <w:szCs w:val="26"/>
        </w:rPr>
        <w:tab/>
      </w:r>
      <w:r w:rsidR="00404C31">
        <w:rPr>
          <w:rFonts w:ascii="Arial" w:hAnsi="Arial" w:cs="Arial"/>
          <w:b/>
          <w:sz w:val="26"/>
          <w:szCs w:val="26"/>
        </w:rPr>
        <w:t>0019/2021 DE LA QUINTA</w:t>
      </w:r>
      <w:r w:rsidRPr="00620617">
        <w:rPr>
          <w:rFonts w:ascii="Arial" w:hAnsi="Arial" w:cs="Arial"/>
          <w:b/>
          <w:sz w:val="26"/>
          <w:szCs w:val="26"/>
        </w:rPr>
        <w:t xml:space="preserve"> SALA UNITARIA DE PRIMERA INSTANCIA</w:t>
      </w:r>
      <w:r w:rsidR="00404C31">
        <w:rPr>
          <w:rFonts w:ascii="Arial" w:hAnsi="Arial" w:cs="Arial"/>
          <w:b/>
          <w:sz w:val="26"/>
          <w:szCs w:val="26"/>
        </w:rPr>
        <w:t>.</w:t>
      </w:r>
    </w:p>
    <w:p w14:paraId="3E27FA47" w14:textId="77777777" w:rsidR="00346F2D" w:rsidRDefault="003B6CF0" w:rsidP="00C563BC">
      <w:pPr>
        <w:spacing w:after="120"/>
        <w:ind w:left="2552"/>
        <w:jc w:val="both"/>
        <w:rPr>
          <w:rFonts w:ascii="Arial" w:hAnsi="Arial" w:cs="Arial"/>
          <w:b/>
          <w:sz w:val="26"/>
          <w:szCs w:val="26"/>
        </w:rPr>
      </w:pPr>
      <w:r w:rsidRPr="00620617">
        <w:rPr>
          <w:rFonts w:ascii="Arial" w:hAnsi="Arial" w:cs="Arial"/>
          <w:b/>
          <w:sz w:val="26"/>
          <w:szCs w:val="26"/>
        </w:rPr>
        <w:t>PONENTE: MAGISTRAD</w:t>
      </w:r>
      <w:r w:rsidR="00DF6FB0" w:rsidRPr="00620617">
        <w:rPr>
          <w:rFonts w:ascii="Arial" w:hAnsi="Arial" w:cs="Arial"/>
          <w:b/>
          <w:sz w:val="26"/>
          <w:szCs w:val="26"/>
        </w:rPr>
        <w:t>A GLORIA DEL CARMEN CAMACHO MEZA.</w:t>
      </w:r>
    </w:p>
    <w:p w14:paraId="22B96868" w14:textId="43D8068D" w:rsidR="003B6CF0" w:rsidRPr="00620617" w:rsidRDefault="003B6CF0" w:rsidP="00346F2D">
      <w:pPr>
        <w:spacing w:after="120" w:line="240" w:lineRule="auto"/>
        <w:ind w:left="2124"/>
        <w:jc w:val="both"/>
        <w:rPr>
          <w:rFonts w:ascii="Arial" w:hAnsi="Arial" w:cs="Arial"/>
          <w:b/>
          <w:sz w:val="26"/>
          <w:szCs w:val="26"/>
        </w:rPr>
      </w:pPr>
    </w:p>
    <w:p w14:paraId="3DE7165A" w14:textId="667059F2" w:rsidR="003B6CF0" w:rsidRPr="00620617" w:rsidRDefault="00C563BC" w:rsidP="009D089A">
      <w:pPr>
        <w:spacing w:after="120"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3B6CF0" w:rsidRPr="00620617">
        <w:rPr>
          <w:rFonts w:ascii="Arial" w:hAnsi="Arial" w:cs="Arial"/>
          <w:b/>
          <w:sz w:val="26"/>
          <w:szCs w:val="26"/>
        </w:rPr>
        <w:t>DE DOS MIL VEINTI</w:t>
      </w:r>
      <w:r w:rsidR="00404C31">
        <w:rPr>
          <w:rFonts w:ascii="Arial" w:hAnsi="Arial" w:cs="Arial"/>
          <w:b/>
          <w:sz w:val="26"/>
          <w:szCs w:val="26"/>
        </w:rPr>
        <w:t>DÓS</w:t>
      </w:r>
      <w:r w:rsidR="003B6CF0" w:rsidRPr="00620617">
        <w:rPr>
          <w:rFonts w:ascii="Arial" w:hAnsi="Arial" w:cs="Arial"/>
          <w:b/>
          <w:sz w:val="26"/>
          <w:szCs w:val="26"/>
        </w:rPr>
        <w:t xml:space="preserve">. - - - - - - - - - - - - - - - - - - - - - - - - - - - - - - - - - - - </w:t>
      </w:r>
    </w:p>
    <w:p w14:paraId="0D99A643" w14:textId="781A333A" w:rsidR="00C5007B" w:rsidRDefault="003B6CF0" w:rsidP="00F65F1A">
      <w:pPr>
        <w:spacing w:line="360" w:lineRule="auto"/>
        <w:ind w:firstLine="708"/>
        <w:jc w:val="both"/>
        <w:rPr>
          <w:rFonts w:ascii="Arial" w:hAnsi="Arial" w:cs="Arial"/>
          <w:sz w:val="26"/>
          <w:szCs w:val="26"/>
        </w:rPr>
      </w:pPr>
      <w:r w:rsidRPr="00620617">
        <w:rPr>
          <w:rFonts w:ascii="Arial" w:hAnsi="Arial" w:cs="Arial"/>
          <w:sz w:val="26"/>
          <w:szCs w:val="26"/>
        </w:rPr>
        <w:t xml:space="preserve">Se tiene por recibido el cuaderno de recurso de revisión </w:t>
      </w:r>
      <w:r w:rsidR="00404C31">
        <w:rPr>
          <w:rFonts w:ascii="Arial" w:hAnsi="Arial" w:cs="Arial"/>
          <w:b/>
          <w:sz w:val="26"/>
          <w:szCs w:val="26"/>
        </w:rPr>
        <w:t>0325/2021</w:t>
      </w:r>
      <w:r w:rsidR="003E37F9" w:rsidRPr="00620617">
        <w:rPr>
          <w:rFonts w:ascii="Arial" w:hAnsi="Arial" w:cs="Arial"/>
          <w:sz w:val="26"/>
          <w:szCs w:val="26"/>
        </w:rPr>
        <w:t xml:space="preserve">, </w:t>
      </w:r>
      <w:r w:rsidRPr="00620617">
        <w:rPr>
          <w:rFonts w:ascii="Arial" w:hAnsi="Arial" w:cs="Arial"/>
          <w:sz w:val="26"/>
          <w:szCs w:val="26"/>
        </w:rPr>
        <w:t>turnado por la Secretaría General de Acuerdos con motivo del recu</w:t>
      </w:r>
      <w:r w:rsidR="007007A1" w:rsidRPr="00620617">
        <w:rPr>
          <w:rFonts w:ascii="Arial" w:hAnsi="Arial" w:cs="Arial"/>
          <w:sz w:val="26"/>
          <w:szCs w:val="26"/>
        </w:rPr>
        <w:t xml:space="preserve">rso de revisión interpuesto por </w:t>
      </w:r>
      <w:r w:rsidR="006B0DC8" w:rsidRPr="006B0DC8">
        <w:rPr>
          <w:rFonts w:ascii="Arial" w:hAnsi="Arial" w:cs="Arial"/>
          <w:sz w:val="26"/>
          <w:szCs w:val="26"/>
        </w:rPr>
        <w:t>el</w:t>
      </w:r>
      <w:r w:rsidR="003E37F9" w:rsidRPr="00620617">
        <w:rPr>
          <w:rFonts w:ascii="Arial" w:hAnsi="Arial" w:cs="Arial"/>
          <w:b/>
          <w:sz w:val="26"/>
          <w:szCs w:val="26"/>
        </w:rPr>
        <w:t xml:space="preserve"> </w:t>
      </w:r>
      <w:r w:rsidR="005A5EBB">
        <w:rPr>
          <w:rFonts w:ascii="Arial" w:hAnsi="Arial" w:cs="Arial"/>
          <w:b/>
          <w:sz w:val="26"/>
          <w:szCs w:val="26"/>
        </w:rPr>
        <w:t>DIRECTOR JURÍDICO DE LA SECRETARÍA DE MOVILIDAD DEL ESTADO DE OAXACA</w:t>
      </w:r>
      <w:r w:rsidR="005A5EBB" w:rsidRPr="00620617">
        <w:rPr>
          <w:rFonts w:ascii="Arial" w:eastAsiaTheme="minorHAnsi" w:hAnsi="Arial" w:cs="Arial"/>
          <w:b/>
          <w:bCs/>
          <w:sz w:val="26"/>
          <w:szCs w:val="26"/>
          <w:lang w:val="es-ES" w:eastAsia="en-US"/>
        </w:rPr>
        <w:t>,</w:t>
      </w:r>
      <w:r w:rsidR="005A5EBB" w:rsidRPr="00620617">
        <w:rPr>
          <w:rFonts w:ascii="Arial" w:hAnsi="Arial" w:cs="Arial"/>
          <w:b/>
          <w:sz w:val="26"/>
          <w:szCs w:val="26"/>
        </w:rPr>
        <w:t xml:space="preserve"> </w:t>
      </w:r>
      <w:r w:rsidRPr="00620617">
        <w:rPr>
          <w:rFonts w:ascii="Arial" w:hAnsi="Arial" w:cs="Arial"/>
          <w:sz w:val="26"/>
          <w:szCs w:val="26"/>
        </w:rPr>
        <w:t>en contra de</w:t>
      </w:r>
      <w:r w:rsidR="00404C31">
        <w:rPr>
          <w:rFonts w:ascii="Arial" w:hAnsi="Arial" w:cs="Arial"/>
          <w:sz w:val="26"/>
          <w:szCs w:val="26"/>
        </w:rPr>
        <w:t xml:space="preserve"> </w:t>
      </w:r>
      <w:r w:rsidR="00F00EFF" w:rsidRPr="00620617">
        <w:rPr>
          <w:rFonts w:ascii="Arial" w:hAnsi="Arial" w:cs="Arial"/>
          <w:sz w:val="26"/>
          <w:szCs w:val="26"/>
        </w:rPr>
        <w:t>l</w:t>
      </w:r>
      <w:r w:rsidR="00404C31">
        <w:rPr>
          <w:rFonts w:ascii="Arial" w:hAnsi="Arial" w:cs="Arial"/>
          <w:sz w:val="26"/>
          <w:szCs w:val="26"/>
        </w:rPr>
        <w:t>a parte relativa del</w:t>
      </w:r>
      <w:r w:rsidR="00F00EFF" w:rsidRPr="00620617">
        <w:rPr>
          <w:rFonts w:ascii="Arial" w:hAnsi="Arial" w:cs="Arial"/>
          <w:sz w:val="26"/>
          <w:szCs w:val="26"/>
        </w:rPr>
        <w:t xml:space="preserve"> acuerdo </w:t>
      </w:r>
      <w:r w:rsidR="00A202FC" w:rsidRPr="00620617">
        <w:rPr>
          <w:rFonts w:ascii="Arial" w:hAnsi="Arial" w:cs="Arial"/>
          <w:sz w:val="26"/>
          <w:szCs w:val="26"/>
        </w:rPr>
        <w:t xml:space="preserve">de </w:t>
      </w:r>
      <w:r w:rsidR="00404C31">
        <w:rPr>
          <w:rFonts w:ascii="Arial" w:hAnsi="Arial" w:cs="Arial"/>
          <w:sz w:val="26"/>
          <w:szCs w:val="26"/>
        </w:rPr>
        <w:t>quince de julio de dos mil veintiuno</w:t>
      </w:r>
      <w:r w:rsidRPr="00620617">
        <w:rPr>
          <w:rFonts w:ascii="Arial" w:hAnsi="Arial" w:cs="Arial"/>
          <w:sz w:val="26"/>
          <w:szCs w:val="26"/>
        </w:rPr>
        <w:t>, dictad</w:t>
      </w:r>
      <w:r w:rsidR="00F00EFF" w:rsidRPr="00620617">
        <w:rPr>
          <w:rFonts w:ascii="Arial" w:hAnsi="Arial" w:cs="Arial"/>
          <w:sz w:val="26"/>
          <w:szCs w:val="26"/>
        </w:rPr>
        <w:t>o</w:t>
      </w:r>
      <w:r w:rsidRPr="00620617">
        <w:rPr>
          <w:rFonts w:ascii="Arial" w:hAnsi="Arial" w:cs="Arial"/>
          <w:sz w:val="26"/>
          <w:szCs w:val="26"/>
        </w:rPr>
        <w:t xml:space="preserve"> </w:t>
      </w:r>
      <w:r w:rsidR="00DF6FB0" w:rsidRPr="00620617">
        <w:rPr>
          <w:rFonts w:ascii="Arial" w:hAnsi="Arial" w:cs="Arial"/>
          <w:color w:val="000000"/>
          <w:sz w:val="26"/>
          <w:szCs w:val="26"/>
        </w:rPr>
        <w:t xml:space="preserve">en el juicio de nulidad </w:t>
      </w:r>
      <w:r w:rsidR="00404C31">
        <w:rPr>
          <w:rFonts w:ascii="Arial" w:hAnsi="Arial" w:cs="Arial"/>
          <w:color w:val="000000"/>
          <w:sz w:val="26"/>
          <w:szCs w:val="26"/>
        </w:rPr>
        <w:t>0019/2021</w:t>
      </w:r>
      <w:r w:rsidR="00DF6FB0" w:rsidRPr="00620617">
        <w:rPr>
          <w:rFonts w:ascii="Arial" w:hAnsi="Arial" w:cs="Arial"/>
          <w:color w:val="000000"/>
          <w:sz w:val="26"/>
          <w:szCs w:val="26"/>
        </w:rPr>
        <w:t xml:space="preserve"> del índice de la </w:t>
      </w:r>
      <w:r w:rsidR="00404C31">
        <w:rPr>
          <w:rFonts w:ascii="Arial" w:hAnsi="Arial" w:cs="Arial"/>
          <w:color w:val="000000"/>
          <w:sz w:val="26"/>
          <w:szCs w:val="26"/>
        </w:rPr>
        <w:t>Quinta</w:t>
      </w:r>
      <w:r w:rsidR="00DF6FB0" w:rsidRPr="00620617">
        <w:rPr>
          <w:rFonts w:ascii="Arial" w:hAnsi="Arial" w:cs="Arial"/>
          <w:color w:val="000000"/>
          <w:sz w:val="26"/>
          <w:szCs w:val="26"/>
        </w:rPr>
        <w:t xml:space="preserve"> Sala Unitaria de Primera Instancia, r</w:t>
      </w:r>
      <w:r w:rsidRPr="00620617">
        <w:rPr>
          <w:rFonts w:ascii="Arial" w:hAnsi="Arial" w:cs="Arial"/>
          <w:sz w:val="26"/>
          <w:szCs w:val="26"/>
        </w:rPr>
        <w:t xml:space="preserve">elativo al </w:t>
      </w:r>
      <w:r w:rsidR="00D733BC" w:rsidRPr="00620617">
        <w:rPr>
          <w:rFonts w:ascii="Arial" w:hAnsi="Arial" w:cs="Arial"/>
          <w:sz w:val="26"/>
          <w:szCs w:val="26"/>
        </w:rPr>
        <w:t>juicio de nulidad promovido por</w:t>
      </w:r>
      <w:r w:rsidRPr="00620617">
        <w:rPr>
          <w:rFonts w:ascii="Arial" w:hAnsi="Arial" w:cs="Arial"/>
          <w:sz w:val="26"/>
          <w:szCs w:val="26"/>
        </w:rPr>
        <w:t xml:space="preserve"> </w:t>
      </w:r>
      <w:r w:rsidR="00D96E67">
        <w:rPr>
          <w:rFonts w:ascii="Arial" w:hAnsi="Arial" w:cs="Arial"/>
          <w:b/>
          <w:sz w:val="26"/>
          <w:szCs w:val="26"/>
        </w:rPr>
        <w:t>*******</w:t>
      </w:r>
      <w:r w:rsidR="00C343FA">
        <w:rPr>
          <w:rFonts w:ascii="Arial" w:hAnsi="Arial" w:cs="Arial"/>
          <w:sz w:val="26"/>
          <w:szCs w:val="26"/>
        </w:rPr>
        <w:t xml:space="preserve">, </w:t>
      </w:r>
      <w:r w:rsidR="00C343FA" w:rsidRPr="00C5007B">
        <w:rPr>
          <w:rFonts w:ascii="Arial" w:hAnsi="Arial" w:cs="Arial"/>
          <w:b/>
          <w:sz w:val="26"/>
          <w:szCs w:val="26"/>
        </w:rPr>
        <w:t xml:space="preserve">APODERADO LEGAL </w:t>
      </w:r>
      <w:r w:rsidR="00D96E67">
        <w:rPr>
          <w:rFonts w:ascii="Arial" w:hAnsi="Arial" w:cs="Arial"/>
          <w:b/>
          <w:sz w:val="26"/>
          <w:szCs w:val="26"/>
        </w:rPr>
        <w:t>*******</w:t>
      </w:r>
      <w:r w:rsidR="00C343FA" w:rsidRPr="00620617">
        <w:rPr>
          <w:rFonts w:ascii="Arial" w:hAnsi="Arial" w:cs="Arial"/>
          <w:bCs/>
          <w:sz w:val="26"/>
          <w:szCs w:val="26"/>
        </w:rPr>
        <w:t xml:space="preserve"> </w:t>
      </w:r>
      <w:r w:rsidRPr="00620617">
        <w:rPr>
          <w:rFonts w:ascii="Arial" w:hAnsi="Arial" w:cs="Arial"/>
          <w:sz w:val="26"/>
          <w:szCs w:val="26"/>
        </w:rPr>
        <w:t>en contra de</w:t>
      </w:r>
      <w:r w:rsidR="00C96C1A" w:rsidRPr="00620617">
        <w:rPr>
          <w:rFonts w:ascii="Arial" w:hAnsi="Arial" w:cs="Arial"/>
          <w:sz w:val="26"/>
          <w:szCs w:val="26"/>
        </w:rPr>
        <w:t>l</w:t>
      </w:r>
      <w:r w:rsidR="00F00EFF" w:rsidRPr="00620617">
        <w:rPr>
          <w:rFonts w:ascii="Arial" w:hAnsi="Arial" w:cs="Arial"/>
          <w:b/>
          <w:sz w:val="26"/>
          <w:szCs w:val="26"/>
        </w:rPr>
        <w:t xml:space="preserve"> </w:t>
      </w:r>
      <w:r w:rsidR="00C343FA" w:rsidRPr="0016098F">
        <w:rPr>
          <w:rFonts w:ascii="Arial" w:hAnsi="Arial" w:cs="Arial"/>
          <w:b/>
          <w:sz w:val="26"/>
          <w:szCs w:val="26"/>
        </w:rPr>
        <w:t>SECRETARIO DE MOVILIDAD DEL ESTADO DE OAXACA, DIRECTOR DE CONCESIONES Y DEPARTAMENTO DE RENOVACIONES, AUTORIDADES DE LA SECRETARÍA DE MOVILIDAD DEL ESTADO DE OAXACA</w:t>
      </w:r>
      <w:r w:rsidR="00B736E2" w:rsidRPr="0016098F">
        <w:rPr>
          <w:rFonts w:ascii="Arial" w:hAnsi="Arial" w:cs="Arial"/>
          <w:b/>
          <w:sz w:val="26"/>
          <w:szCs w:val="26"/>
        </w:rPr>
        <w:t>;</w:t>
      </w:r>
      <w:r w:rsidRPr="0016098F">
        <w:rPr>
          <w:rFonts w:ascii="Arial" w:hAnsi="Arial" w:cs="Arial"/>
          <w:sz w:val="26"/>
          <w:szCs w:val="26"/>
        </w:rPr>
        <w:t xml:space="preserve"> por</w:t>
      </w:r>
      <w:r w:rsidRPr="00620617">
        <w:rPr>
          <w:rFonts w:ascii="Arial" w:hAnsi="Arial" w:cs="Arial"/>
          <w:sz w:val="26"/>
          <w:szCs w:val="26"/>
        </w:rPr>
        <w:t xml:space="preserve"> lo que, con fundamento en los artículos 23</w:t>
      </w:r>
      <w:r w:rsidR="00EC7ECF">
        <w:rPr>
          <w:rFonts w:ascii="Arial" w:hAnsi="Arial" w:cs="Arial"/>
          <w:sz w:val="26"/>
          <w:szCs w:val="26"/>
        </w:rPr>
        <w:t>6,</w:t>
      </w:r>
      <w:r w:rsidR="00887EA5">
        <w:rPr>
          <w:rFonts w:ascii="Arial" w:hAnsi="Arial" w:cs="Arial"/>
          <w:sz w:val="26"/>
          <w:szCs w:val="26"/>
        </w:rPr>
        <w:t xml:space="preserve"> </w:t>
      </w:r>
      <w:r w:rsidRPr="00620617">
        <w:rPr>
          <w:rFonts w:ascii="Arial" w:hAnsi="Arial" w:cs="Arial"/>
          <w:sz w:val="26"/>
          <w:szCs w:val="26"/>
        </w:rPr>
        <w:t>238 de la Ley de Procedimiento y Justicia Administrativa p</w:t>
      </w:r>
      <w:r w:rsidR="00C5007B">
        <w:rPr>
          <w:rFonts w:ascii="Arial" w:hAnsi="Arial" w:cs="Arial"/>
          <w:sz w:val="26"/>
          <w:szCs w:val="26"/>
        </w:rPr>
        <w:t xml:space="preserve">ara el Estado de Oaxaca </w:t>
      </w:r>
      <w:r w:rsidR="00EC7ECF">
        <w:rPr>
          <w:rFonts w:ascii="Arial" w:hAnsi="Arial" w:cs="Arial"/>
          <w:sz w:val="26"/>
          <w:szCs w:val="26"/>
        </w:rPr>
        <w:t xml:space="preserve"> y </w:t>
      </w:r>
      <w:r w:rsidR="007A4532">
        <w:rPr>
          <w:rFonts w:ascii="Arial" w:eastAsiaTheme="minorHAnsi" w:hAnsi="Arial" w:cs="Arial"/>
          <w:sz w:val="26"/>
          <w:szCs w:val="26"/>
          <w:lang w:eastAsia="en-US"/>
        </w:rPr>
        <w:t xml:space="preserve">24 fracción I y III de la </w:t>
      </w:r>
      <w:r w:rsidR="007A4532" w:rsidRPr="00EB490F">
        <w:rPr>
          <w:rFonts w:ascii="Arial" w:eastAsiaTheme="minorHAnsi" w:hAnsi="Arial" w:cs="Arial"/>
          <w:sz w:val="26"/>
          <w:szCs w:val="26"/>
          <w:lang w:eastAsia="en-US"/>
        </w:rPr>
        <w:t>Ley Orgánica del Tribunal de Justicia Administrativa del Estado de Oaxaca</w:t>
      </w:r>
      <w:r w:rsidR="007A4532" w:rsidRPr="00263566">
        <w:rPr>
          <w:rFonts w:ascii="Arial" w:eastAsiaTheme="minorHAnsi" w:hAnsi="Arial" w:cs="Arial"/>
          <w:sz w:val="26"/>
          <w:szCs w:val="26"/>
          <w:lang w:eastAsia="en-US"/>
        </w:rPr>
        <w:t xml:space="preserve">, </w:t>
      </w:r>
      <w:r w:rsidR="007A4532">
        <w:rPr>
          <w:rFonts w:ascii="Arial" w:eastAsiaTheme="minorHAnsi" w:hAnsi="Arial" w:cs="Arial"/>
          <w:sz w:val="26"/>
          <w:szCs w:val="26"/>
          <w:lang w:eastAsia="en-US"/>
        </w:rPr>
        <w:t xml:space="preserve">se da tramite. Por consiguiente se procede a dictar </w:t>
      </w:r>
      <w:r w:rsidR="007A4532" w:rsidRPr="00263566">
        <w:rPr>
          <w:rFonts w:ascii="Arial" w:eastAsiaTheme="minorHAnsi" w:hAnsi="Arial" w:cs="Arial"/>
          <w:sz w:val="26"/>
          <w:szCs w:val="26"/>
          <w:lang w:eastAsia="en-US"/>
        </w:rPr>
        <w:t xml:space="preserve">resolución en los siguientes términos:- - </w:t>
      </w:r>
      <w:r w:rsidR="007A4532">
        <w:rPr>
          <w:rFonts w:ascii="Arial" w:eastAsiaTheme="minorHAnsi" w:hAnsi="Arial" w:cs="Arial"/>
          <w:sz w:val="26"/>
          <w:szCs w:val="26"/>
          <w:lang w:eastAsia="en-US"/>
        </w:rPr>
        <w:t xml:space="preserve">- - - - - - - - - - - </w:t>
      </w:r>
    </w:p>
    <w:p w14:paraId="42D76FAD" w14:textId="5DCFB35D" w:rsidR="003B6CF0" w:rsidRDefault="00392F32" w:rsidP="00C5007B">
      <w:pPr>
        <w:spacing w:line="360" w:lineRule="auto"/>
        <w:ind w:firstLine="708"/>
        <w:jc w:val="center"/>
        <w:rPr>
          <w:rFonts w:ascii="Arial" w:hAnsi="Arial" w:cs="Arial"/>
          <w:sz w:val="26"/>
          <w:szCs w:val="26"/>
        </w:rPr>
      </w:pPr>
      <w:r w:rsidRPr="00620617">
        <w:rPr>
          <w:rFonts w:ascii="Arial" w:hAnsi="Arial" w:cs="Arial"/>
          <w:b/>
          <w:bCs/>
          <w:sz w:val="26"/>
          <w:szCs w:val="26"/>
        </w:rPr>
        <w:t>R</w:t>
      </w:r>
      <w:r w:rsidR="003B6CF0" w:rsidRPr="00620617">
        <w:rPr>
          <w:rFonts w:ascii="Arial" w:hAnsi="Arial" w:cs="Arial"/>
          <w:b/>
          <w:bCs/>
          <w:sz w:val="26"/>
          <w:szCs w:val="26"/>
        </w:rPr>
        <w:t xml:space="preserve"> E S U L T A N D O</w:t>
      </w:r>
    </w:p>
    <w:p w14:paraId="2907CC89" w14:textId="67C82E45" w:rsidR="00F65F1A" w:rsidRPr="00620617" w:rsidRDefault="003B6CF0" w:rsidP="00F65F1A">
      <w:pPr>
        <w:spacing w:line="360" w:lineRule="auto"/>
        <w:ind w:firstLine="708"/>
        <w:jc w:val="both"/>
        <w:rPr>
          <w:rFonts w:ascii="Arial" w:hAnsi="Arial" w:cs="Arial"/>
          <w:sz w:val="26"/>
          <w:szCs w:val="26"/>
        </w:rPr>
      </w:pPr>
      <w:r w:rsidRPr="00620617">
        <w:rPr>
          <w:rFonts w:ascii="Arial" w:hAnsi="Arial" w:cs="Arial"/>
          <w:b/>
          <w:bCs/>
          <w:sz w:val="26"/>
          <w:szCs w:val="26"/>
        </w:rPr>
        <w:t xml:space="preserve">PRIMERO. </w:t>
      </w:r>
      <w:r w:rsidR="00C5007B">
        <w:rPr>
          <w:rFonts w:ascii="Arial" w:hAnsi="Arial" w:cs="Arial"/>
          <w:sz w:val="26"/>
          <w:szCs w:val="26"/>
        </w:rPr>
        <w:t xml:space="preserve">Inconforme con la parte relativa del </w:t>
      </w:r>
      <w:r w:rsidR="00F65F1A" w:rsidRPr="00620617">
        <w:rPr>
          <w:rFonts w:ascii="Arial" w:hAnsi="Arial" w:cs="Arial"/>
          <w:sz w:val="26"/>
          <w:szCs w:val="26"/>
        </w:rPr>
        <w:t xml:space="preserve">acuerdo de quince de </w:t>
      </w:r>
      <w:r w:rsidR="009C1207">
        <w:rPr>
          <w:rFonts w:ascii="Arial" w:hAnsi="Arial" w:cs="Arial"/>
          <w:sz w:val="26"/>
          <w:szCs w:val="26"/>
        </w:rPr>
        <w:t>julio de dos mil veintiuno</w:t>
      </w:r>
      <w:r w:rsidR="00F65F1A" w:rsidRPr="00620617">
        <w:rPr>
          <w:rFonts w:ascii="Arial" w:hAnsi="Arial" w:cs="Arial"/>
          <w:sz w:val="26"/>
          <w:szCs w:val="26"/>
        </w:rPr>
        <w:t xml:space="preserve">, dictado por la </w:t>
      </w:r>
      <w:r w:rsidR="00C5007B">
        <w:rPr>
          <w:rFonts w:ascii="Arial" w:hAnsi="Arial" w:cs="Arial"/>
          <w:sz w:val="26"/>
          <w:szCs w:val="26"/>
        </w:rPr>
        <w:t>Titular de la Quinta</w:t>
      </w:r>
      <w:r w:rsidR="00F65F1A" w:rsidRPr="00620617">
        <w:rPr>
          <w:rFonts w:ascii="Arial" w:hAnsi="Arial" w:cs="Arial"/>
          <w:sz w:val="26"/>
          <w:szCs w:val="26"/>
        </w:rPr>
        <w:t xml:space="preserve"> Sala Unitaria de Primera Instancia,</w:t>
      </w:r>
      <w:r w:rsidR="006B0DC8">
        <w:rPr>
          <w:rFonts w:ascii="Arial" w:hAnsi="Arial" w:cs="Arial"/>
          <w:sz w:val="26"/>
          <w:szCs w:val="26"/>
        </w:rPr>
        <w:t xml:space="preserve"> el</w:t>
      </w:r>
      <w:r w:rsidR="00F65F1A" w:rsidRPr="00620617">
        <w:rPr>
          <w:rFonts w:ascii="Arial" w:hAnsi="Arial" w:cs="Arial"/>
          <w:sz w:val="26"/>
          <w:szCs w:val="26"/>
        </w:rPr>
        <w:t xml:space="preserve"> </w:t>
      </w:r>
      <w:r w:rsidR="00C07D2B">
        <w:rPr>
          <w:rFonts w:ascii="Arial" w:hAnsi="Arial" w:cs="Arial"/>
          <w:b/>
          <w:sz w:val="26"/>
          <w:szCs w:val="26"/>
        </w:rPr>
        <w:t>DIRECTOR JURÍDICO DE LA SECRETARÍA DE MOVILIDAD DEL ESTADO DE OAXACA</w:t>
      </w:r>
      <w:r w:rsidR="00C07D2B" w:rsidRPr="00620617">
        <w:rPr>
          <w:rFonts w:ascii="Arial" w:eastAsiaTheme="minorHAnsi" w:hAnsi="Arial" w:cs="Arial"/>
          <w:b/>
          <w:bCs/>
          <w:sz w:val="26"/>
          <w:szCs w:val="26"/>
          <w:lang w:val="es-ES" w:eastAsia="en-US"/>
        </w:rPr>
        <w:t>,</w:t>
      </w:r>
      <w:r w:rsidR="00C07D2B" w:rsidRPr="00620617">
        <w:rPr>
          <w:rFonts w:ascii="Arial" w:hAnsi="Arial" w:cs="Arial"/>
          <w:b/>
          <w:sz w:val="26"/>
          <w:szCs w:val="26"/>
        </w:rPr>
        <w:t xml:space="preserve"> </w:t>
      </w:r>
      <w:r w:rsidR="00F65F1A" w:rsidRPr="00620617">
        <w:rPr>
          <w:rFonts w:ascii="Arial" w:hAnsi="Arial" w:cs="Arial"/>
          <w:sz w:val="26"/>
          <w:szCs w:val="26"/>
        </w:rPr>
        <w:t xml:space="preserve">interpuso en su contra recurso de revisión. - - - - - - </w:t>
      </w:r>
      <w:r w:rsidR="006B0DC8">
        <w:rPr>
          <w:rFonts w:ascii="Arial" w:hAnsi="Arial" w:cs="Arial"/>
          <w:sz w:val="26"/>
          <w:szCs w:val="26"/>
        </w:rPr>
        <w:t xml:space="preserve">- - - - - - - - - - - - - - - - - - - - - - </w:t>
      </w:r>
    </w:p>
    <w:p w14:paraId="2B3E75D1" w14:textId="1B02FD0C" w:rsidR="00F65F1A" w:rsidRDefault="00F65F1A" w:rsidP="00F65F1A">
      <w:pPr>
        <w:spacing w:after="0" w:line="360" w:lineRule="auto"/>
        <w:ind w:firstLine="708"/>
        <w:jc w:val="both"/>
        <w:rPr>
          <w:rFonts w:ascii="Arial" w:hAnsi="Arial" w:cs="Arial"/>
          <w:sz w:val="26"/>
          <w:szCs w:val="26"/>
        </w:rPr>
      </w:pPr>
      <w:r w:rsidRPr="006B0DC8">
        <w:rPr>
          <w:rFonts w:ascii="Arial" w:hAnsi="Arial" w:cs="Arial"/>
          <w:b/>
          <w:bCs/>
          <w:sz w:val="26"/>
          <w:szCs w:val="26"/>
        </w:rPr>
        <w:t xml:space="preserve">SEGUNDO. </w:t>
      </w:r>
      <w:r w:rsidR="00C5007B" w:rsidRPr="006B0DC8">
        <w:rPr>
          <w:rFonts w:ascii="Arial" w:hAnsi="Arial" w:cs="Arial"/>
          <w:bCs/>
          <w:sz w:val="26"/>
          <w:szCs w:val="26"/>
        </w:rPr>
        <w:t xml:space="preserve">La parte relativa del </w:t>
      </w:r>
      <w:r w:rsidRPr="006B0DC8">
        <w:rPr>
          <w:rFonts w:ascii="Arial" w:hAnsi="Arial" w:cs="Arial"/>
          <w:bCs/>
          <w:sz w:val="26"/>
          <w:szCs w:val="26"/>
        </w:rPr>
        <w:t>acuerdo recurrido es del tenor literal siguiente</w:t>
      </w:r>
      <w:r w:rsidRPr="006B0DC8">
        <w:rPr>
          <w:rFonts w:ascii="Arial" w:hAnsi="Arial" w:cs="Arial"/>
          <w:sz w:val="26"/>
          <w:szCs w:val="26"/>
        </w:rPr>
        <w:t>:</w:t>
      </w:r>
      <w:r w:rsidR="00C517A9">
        <w:rPr>
          <w:rFonts w:ascii="Arial" w:hAnsi="Arial" w:cs="Arial"/>
          <w:sz w:val="26"/>
          <w:szCs w:val="26"/>
        </w:rPr>
        <w:t>- - - - - - - - - - - - - - - - - - - - - - - - - - - - - - - - - - - - - - - - -</w:t>
      </w:r>
    </w:p>
    <w:p w14:paraId="73A1A34F" w14:textId="77777777" w:rsidR="00C517A9" w:rsidRPr="006B0DC8" w:rsidRDefault="00C517A9" w:rsidP="00F65F1A">
      <w:pPr>
        <w:spacing w:after="0" w:line="360" w:lineRule="auto"/>
        <w:ind w:firstLine="708"/>
        <w:jc w:val="both"/>
        <w:rPr>
          <w:rFonts w:ascii="Arial" w:hAnsi="Arial" w:cs="Arial"/>
          <w:sz w:val="26"/>
          <w:szCs w:val="26"/>
        </w:rPr>
      </w:pPr>
    </w:p>
    <w:p w14:paraId="78FB6B4D" w14:textId="301D22E6" w:rsidR="00C5007B" w:rsidRPr="00C517A9" w:rsidRDefault="00F65F1A" w:rsidP="00C517A9">
      <w:pPr>
        <w:spacing w:after="120"/>
        <w:ind w:left="1276" w:right="618"/>
        <w:jc w:val="both"/>
        <w:rPr>
          <w:rFonts w:ascii="Arial" w:eastAsia="Calibri" w:hAnsi="Arial" w:cs="Arial"/>
          <w:bCs/>
          <w:i/>
          <w:color w:val="000000" w:themeColor="text1"/>
          <w:sz w:val="24"/>
          <w:szCs w:val="24"/>
        </w:rPr>
      </w:pPr>
      <w:r w:rsidRPr="00C517A9">
        <w:rPr>
          <w:rFonts w:ascii="Arial" w:eastAsia="Calibri" w:hAnsi="Arial" w:cs="Arial"/>
          <w:bCs/>
          <w:color w:val="000000" w:themeColor="text1"/>
          <w:sz w:val="24"/>
          <w:szCs w:val="24"/>
        </w:rPr>
        <w:lastRenderedPageBreak/>
        <w:t xml:space="preserve"> </w:t>
      </w:r>
      <w:r w:rsidR="00C5007B" w:rsidRPr="00C517A9">
        <w:rPr>
          <w:rFonts w:ascii="Arial" w:eastAsia="Calibri" w:hAnsi="Arial" w:cs="Arial"/>
          <w:bCs/>
          <w:i/>
          <w:color w:val="000000" w:themeColor="text1"/>
          <w:sz w:val="24"/>
          <w:szCs w:val="24"/>
        </w:rPr>
        <w:t>“</w:t>
      </w:r>
      <w:r w:rsidR="001F5DFE" w:rsidRPr="00C517A9">
        <w:rPr>
          <w:rFonts w:ascii="Arial" w:eastAsia="Calibri" w:hAnsi="Arial" w:cs="Arial"/>
          <w:bCs/>
          <w:i/>
          <w:color w:val="000000" w:themeColor="text1"/>
          <w:sz w:val="24"/>
          <w:szCs w:val="24"/>
        </w:rPr>
        <w:t>Glóse</w:t>
      </w:r>
      <w:r w:rsidR="0059784C">
        <w:rPr>
          <w:rFonts w:ascii="Arial" w:eastAsia="Calibri" w:hAnsi="Arial" w:cs="Arial"/>
          <w:bCs/>
          <w:i/>
          <w:color w:val="000000" w:themeColor="text1"/>
          <w:sz w:val="24"/>
          <w:szCs w:val="24"/>
        </w:rPr>
        <w:t>n</w:t>
      </w:r>
      <w:r w:rsidR="001F5DFE" w:rsidRPr="00C517A9">
        <w:rPr>
          <w:rFonts w:ascii="Arial" w:eastAsia="Calibri" w:hAnsi="Arial" w:cs="Arial"/>
          <w:bCs/>
          <w:i/>
          <w:color w:val="000000" w:themeColor="text1"/>
          <w:sz w:val="24"/>
          <w:szCs w:val="24"/>
        </w:rPr>
        <w:t xml:space="preserve">se a los presentes autos los oficios de cuenta números </w:t>
      </w:r>
      <w:r w:rsidR="00D96E67">
        <w:rPr>
          <w:rFonts w:ascii="Arial" w:eastAsia="Calibri" w:hAnsi="Arial" w:cs="Arial"/>
          <w:bCs/>
          <w:i/>
          <w:color w:val="000000" w:themeColor="text1"/>
          <w:sz w:val="24"/>
          <w:szCs w:val="24"/>
        </w:rPr>
        <w:t>*******</w:t>
      </w:r>
      <w:r w:rsidR="00C071AF" w:rsidRPr="00C517A9">
        <w:rPr>
          <w:rFonts w:ascii="Arial" w:eastAsia="Calibri" w:hAnsi="Arial" w:cs="Arial"/>
          <w:bCs/>
          <w:i/>
          <w:color w:val="000000" w:themeColor="text1"/>
          <w:sz w:val="24"/>
          <w:szCs w:val="24"/>
        </w:rPr>
        <w:t>,</w:t>
      </w:r>
      <w:r w:rsidR="00D96E67">
        <w:rPr>
          <w:rFonts w:ascii="Arial" w:eastAsia="Calibri" w:hAnsi="Arial" w:cs="Arial"/>
          <w:bCs/>
          <w:i/>
          <w:color w:val="000000" w:themeColor="text1"/>
          <w:sz w:val="24"/>
          <w:szCs w:val="24"/>
        </w:rPr>
        <w:t>*******</w:t>
      </w:r>
      <w:r w:rsidR="00C071AF" w:rsidRPr="00C517A9">
        <w:rPr>
          <w:rFonts w:ascii="Arial" w:eastAsia="Calibri" w:hAnsi="Arial" w:cs="Arial"/>
          <w:bCs/>
          <w:i/>
          <w:color w:val="000000" w:themeColor="text1"/>
          <w:sz w:val="24"/>
          <w:szCs w:val="24"/>
        </w:rPr>
        <w:t>,</w:t>
      </w:r>
      <w:r w:rsidR="00D96E67">
        <w:rPr>
          <w:rFonts w:ascii="Arial" w:eastAsia="Calibri" w:hAnsi="Arial" w:cs="Arial"/>
          <w:bCs/>
          <w:i/>
          <w:color w:val="000000" w:themeColor="text1"/>
          <w:sz w:val="24"/>
          <w:szCs w:val="24"/>
        </w:rPr>
        <w:t xml:space="preserve"> *******</w:t>
      </w:r>
      <w:r w:rsidRPr="00C517A9">
        <w:rPr>
          <w:rFonts w:ascii="Arial" w:eastAsia="Calibri" w:hAnsi="Arial" w:cs="Arial"/>
          <w:bCs/>
          <w:i/>
          <w:color w:val="000000" w:themeColor="text1"/>
          <w:sz w:val="24"/>
          <w:szCs w:val="24"/>
        </w:rPr>
        <w:t xml:space="preserve"> </w:t>
      </w:r>
      <w:r w:rsidR="001F5DFE" w:rsidRPr="00C517A9">
        <w:rPr>
          <w:rFonts w:ascii="Arial" w:eastAsia="Calibri" w:hAnsi="Arial" w:cs="Arial"/>
          <w:bCs/>
          <w:i/>
          <w:color w:val="000000" w:themeColor="text1"/>
          <w:sz w:val="24"/>
          <w:szCs w:val="24"/>
        </w:rPr>
        <w:t xml:space="preserve">y </w:t>
      </w:r>
      <w:r w:rsidR="00D96E67">
        <w:rPr>
          <w:rFonts w:ascii="Arial" w:eastAsia="Calibri" w:hAnsi="Arial" w:cs="Arial"/>
          <w:bCs/>
          <w:i/>
          <w:color w:val="000000" w:themeColor="text1"/>
          <w:sz w:val="24"/>
          <w:szCs w:val="24"/>
        </w:rPr>
        <w:t xml:space="preserve">******* </w:t>
      </w:r>
      <w:r w:rsidR="001F5DFE" w:rsidRPr="00C517A9">
        <w:rPr>
          <w:rFonts w:ascii="Arial" w:eastAsia="Calibri" w:hAnsi="Arial" w:cs="Arial"/>
          <w:bCs/>
          <w:i/>
          <w:color w:val="000000" w:themeColor="text1"/>
          <w:sz w:val="24"/>
          <w:szCs w:val="24"/>
        </w:rPr>
        <w:t xml:space="preserve">los dos primeros signados por el Director Jurídico de la Secretaría de Movilidad y los últimos </w:t>
      </w:r>
      <w:r w:rsidR="00AD2FCE" w:rsidRPr="00C517A9">
        <w:rPr>
          <w:rFonts w:ascii="Arial" w:eastAsia="Calibri" w:hAnsi="Arial" w:cs="Arial"/>
          <w:bCs/>
          <w:i/>
          <w:color w:val="000000" w:themeColor="text1"/>
          <w:sz w:val="24"/>
          <w:szCs w:val="24"/>
        </w:rPr>
        <w:t xml:space="preserve"> </w:t>
      </w:r>
      <w:r w:rsidR="001F5DFE" w:rsidRPr="00C517A9">
        <w:rPr>
          <w:rFonts w:ascii="Arial" w:eastAsia="Calibri" w:hAnsi="Arial" w:cs="Arial"/>
          <w:bCs/>
          <w:i/>
          <w:color w:val="000000" w:themeColor="text1"/>
          <w:sz w:val="24"/>
          <w:szCs w:val="24"/>
        </w:rPr>
        <w:t>por el Director de Concesiones de la aludida dependencia, datados el catorce y nueve de abril del año en que se actúa, presentados ante la Oficialía de Partes Común de este Tribunal el quince y doce del mismo mes y año, respectivamente; atendiendo a su contenido, téngase a las citadas autoridades por acreditada la personalidad con la que comparece (sic), el primero de los nombrados en representación legal del Secretario de Movilidad y el segundo por s</w:t>
      </w:r>
      <w:r w:rsidR="00853AC4" w:rsidRPr="00C517A9">
        <w:rPr>
          <w:rFonts w:ascii="Arial" w:eastAsia="Calibri" w:hAnsi="Arial" w:cs="Arial"/>
          <w:bCs/>
          <w:i/>
          <w:color w:val="000000" w:themeColor="text1"/>
          <w:sz w:val="24"/>
          <w:szCs w:val="24"/>
        </w:rPr>
        <w:t xml:space="preserve">í, de conformidad con lo establecido en los artículos 148, párrafo cuarto y 151 de la Ley de Procedimiento y Justicia Administrativa, contestando la demanda en tiempo y forma, y en los términos en que lo hace, haciendo valer sus excepciones y defensas, mismas que serán analizadas en el momento procesal oportuno. Así mismo, téngaseles objetando las pruebas ofrecidas por la parte actora, objeción que será resuelta al momento del dictado el (sic) fallo en el presente asunto, de conformidad con lo establecido en el artículo 194 de la ley antes invocada. </w:t>
      </w:r>
    </w:p>
    <w:p w14:paraId="7449EC2A" w14:textId="433687FA" w:rsidR="00106197" w:rsidRPr="00C517A9" w:rsidRDefault="00106197" w:rsidP="00C517A9">
      <w:pPr>
        <w:spacing w:after="120"/>
        <w:ind w:left="1276" w:right="618"/>
        <w:jc w:val="both"/>
        <w:rPr>
          <w:rFonts w:ascii="Arial" w:eastAsia="Calibri" w:hAnsi="Arial" w:cs="Arial"/>
          <w:bCs/>
          <w:i/>
          <w:color w:val="000000" w:themeColor="text1"/>
          <w:sz w:val="24"/>
          <w:szCs w:val="24"/>
        </w:rPr>
      </w:pPr>
      <w:r w:rsidRPr="00C517A9">
        <w:rPr>
          <w:rFonts w:ascii="Arial" w:eastAsia="Calibri" w:hAnsi="Arial" w:cs="Arial"/>
          <w:bCs/>
          <w:i/>
          <w:color w:val="000000" w:themeColor="text1"/>
          <w:sz w:val="24"/>
          <w:szCs w:val="24"/>
        </w:rPr>
        <w:t xml:space="preserve">Por cuanto hace a la autoridad demandada DEPARTAMENTO DE RENOVACIONES DE LA SECRETARÍA DE MOVILIDAD DEL ESTADO DE OAXACA, y toda vez que ésta no contestó la demanda dentro del plazo concedido mediante proveído de veinticuatro de marzo de dos mil veintiuno, mismo que transcurrió del seis al dieciséis de abril del año en que se actúa, de conformidad con lo establecido en el artículo 165 de la Ley en cita, se declara </w:t>
      </w:r>
      <w:proofErr w:type="spellStart"/>
      <w:r w:rsidRPr="00C517A9">
        <w:rPr>
          <w:rFonts w:ascii="Arial" w:eastAsia="Calibri" w:hAnsi="Arial" w:cs="Arial"/>
          <w:bCs/>
          <w:i/>
          <w:color w:val="000000" w:themeColor="text1"/>
          <w:sz w:val="24"/>
          <w:szCs w:val="24"/>
        </w:rPr>
        <w:t>precluído</w:t>
      </w:r>
      <w:proofErr w:type="spellEnd"/>
      <w:r w:rsidRPr="00C517A9">
        <w:rPr>
          <w:rFonts w:ascii="Arial" w:eastAsia="Calibri" w:hAnsi="Arial" w:cs="Arial"/>
          <w:bCs/>
          <w:i/>
          <w:color w:val="000000" w:themeColor="text1"/>
          <w:sz w:val="24"/>
          <w:szCs w:val="24"/>
        </w:rPr>
        <w:t xml:space="preserve">, salvo prueba en contrario.- - - - - - - - - - </w:t>
      </w:r>
      <w:r w:rsidR="00A6484C">
        <w:rPr>
          <w:rFonts w:ascii="Arial" w:eastAsia="Calibri" w:hAnsi="Arial" w:cs="Arial"/>
          <w:bCs/>
          <w:i/>
          <w:color w:val="000000" w:themeColor="text1"/>
          <w:sz w:val="24"/>
          <w:szCs w:val="24"/>
        </w:rPr>
        <w:t>- - - - - - -</w:t>
      </w:r>
    </w:p>
    <w:p w14:paraId="52F5F613" w14:textId="246EF0C4" w:rsidR="00106197" w:rsidRPr="00C517A9" w:rsidRDefault="00106197" w:rsidP="00C517A9">
      <w:pPr>
        <w:spacing w:after="120"/>
        <w:ind w:left="1276" w:right="618"/>
        <w:jc w:val="both"/>
        <w:rPr>
          <w:rFonts w:ascii="Arial" w:eastAsia="Calibri" w:hAnsi="Arial" w:cs="Arial"/>
          <w:bCs/>
          <w:i/>
          <w:color w:val="000000" w:themeColor="text1"/>
          <w:sz w:val="24"/>
          <w:szCs w:val="24"/>
        </w:rPr>
      </w:pPr>
      <w:r w:rsidRPr="00C517A9">
        <w:rPr>
          <w:rFonts w:ascii="Arial" w:eastAsia="Calibri" w:hAnsi="Arial" w:cs="Arial"/>
          <w:bCs/>
          <w:i/>
          <w:color w:val="000000" w:themeColor="text1"/>
          <w:sz w:val="24"/>
          <w:szCs w:val="24"/>
        </w:rPr>
        <w:t xml:space="preserve">Con fundamento en lo dispuesto por el artículo 180 de la Ley de Procedimiento y Justicia Administrativa para el Estado de Oaxaca, </w:t>
      </w:r>
      <w:r w:rsidRPr="00C517A9">
        <w:rPr>
          <w:rFonts w:ascii="Arial" w:eastAsia="Calibri" w:hAnsi="Arial" w:cs="Arial"/>
          <w:b/>
          <w:bCs/>
          <w:i/>
          <w:color w:val="000000" w:themeColor="text1"/>
          <w:sz w:val="24"/>
          <w:szCs w:val="24"/>
        </w:rPr>
        <w:t xml:space="preserve">córrase traslado </w:t>
      </w:r>
      <w:r w:rsidRPr="00C517A9">
        <w:rPr>
          <w:rFonts w:ascii="Arial" w:eastAsia="Calibri" w:hAnsi="Arial" w:cs="Arial"/>
          <w:bCs/>
          <w:i/>
          <w:color w:val="000000" w:themeColor="text1"/>
          <w:sz w:val="24"/>
          <w:szCs w:val="24"/>
        </w:rPr>
        <w:t xml:space="preserve">a la parte actora de las contestaciones y objeciones realizadas por las demandadas, para que dentro del plazo de cinco días hábiles, contados a partir del día hábil siguiente en el que surta efectos la notificación del presente proveído, amplíe su demanda, apercibida que de no hacerlo, tendrá por </w:t>
      </w:r>
      <w:proofErr w:type="spellStart"/>
      <w:r w:rsidRPr="00C517A9">
        <w:rPr>
          <w:rFonts w:ascii="Arial" w:eastAsia="Calibri" w:hAnsi="Arial" w:cs="Arial"/>
          <w:bCs/>
          <w:i/>
          <w:color w:val="000000" w:themeColor="text1"/>
          <w:sz w:val="24"/>
          <w:szCs w:val="24"/>
        </w:rPr>
        <w:t>precluído</w:t>
      </w:r>
      <w:proofErr w:type="spellEnd"/>
      <w:r w:rsidRPr="00C517A9">
        <w:rPr>
          <w:rFonts w:ascii="Arial" w:eastAsia="Calibri" w:hAnsi="Arial" w:cs="Arial"/>
          <w:bCs/>
          <w:i/>
          <w:color w:val="000000" w:themeColor="text1"/>
          <w:sz w:val="24"/>
          <w:szCs w:val="24"/>
        </w:rPr>
        <w:t xml:space="preserve"> su derecho.- - - -</w:t>
      </w:r>
      <w:r w:rsidR="00225689">
        <w:rPr>
          <w:rFonts w:ascii="Arial" w:eastAsia="Calibri" w:hAnsi="Arial" w:cs="Arial"/>
          <w:bCs/>
          <w:i/>
          <w:color w:val="000000" w:themeColor="text1"/>
          <w:sz w:val="24"/>
          <w:szCs w:val="24"/>
        </w:rPr>
        <w:t xml:space="preserve"> - - - - - - - - - - - - - - - </w:t>
      </w:r>
      <w:r w:rsidR="00FE129F">
        <w:rPr>
          <w:rFonts w:ascii="Arial" w:eastAsia="Calibri" w:hAnsi="Arial" w:cs="Arial"/>
          <w:bCs/>
          <w:i/>
          <w:color w:val="000000" w:themeColor="text1"/>
          <w:sz w:val="24"/>
          <w:szCs w:val="24"/>
        </w:rPr>
        <w:t xml:space="preserve"> - - - - - - - - - - - - - - </w:t>
      </w:r>
      <w:r w:rsidRPr="00C517A9">
        <w:rPr>
          <w:rFonts w:ascii="Arial" w:eastAsia="Calibri" w:hAnsi="Arial" w:cs="Arial"/>
          <w:bCs/>
          <w:i/>
          <w:color w:val="000000" w:themeColor="text1"/>
          <w:sz w:val="24"/>
          <w:szCs w:val="24"/>
        </w:rPr>
        <w:t>- - - -</w:t>
      </w:r>
    </w:p>
    <w:p w14:paraId="4EF46623" w14:textId="0680D95F" w:rsidR="007341B8" w:rsidRPr="00C517A9" w:rsidRDefault="007341B8" w:rsidP="00C517A9">
      <w:pPr>
        <w:spacing w:after="120"/>
        <w:ind w:left="1276" w:right="618"/>
        <w:jc w:val="both"/>
        <w:rPr>
          <w:rFonts w:ascii="Arial" w:eastAsia="Calibri" w:hAnsi="Arial" w:cs="Arial"/>
          <w:bCs/>
          <w:i/>
          <w:color w:val="000000" w:themeColor="text1"/>
          <w:sz w:val="24"/>
          <w:szCs w:val="24"/>
        </w:rPr>
      </w:pPr>
      <w:r w:rsidRPr="00C517A9">
        <w:rPr>
          <w:rFonts w:ascii="Arial" w:eastAsia="Calibri" w:hAnsi="Arial" w:cs="Arial"/>
          <w:bCs/>
          <w:i/>
          <w:color w:val="000000" w:themeColor="text1"/>
          <w:sz w:val="24"/>
          <w:szCs w:val="24"/>
        </w:rPr>
        <w:t xml:space="preserve">De conformidad con lo establecido en los artículos 188 y 189 de la citada ley, téngase por </w:t>
      </w:r>
      <w:r w:rsidR="00C071AF" w:rsidRPr="00C517A9">
        <w:rPr>
          <w:rFonts w:ascii="Arial" w:eastAsia="Calibri" w:hAnsi="Arial" w:cs="Arial"/>
          <w:bCs/>
          <w:i/>
          <w:color w:val="000000" w:themeColor="text1"/>
          <w:sz w:val="24"/>
          <w:szCs w:val="24"/>
        </w:rPr>
        <w:t>admitidas las pruebas ofrecidas</w:t>
      </w:r>
      <w:r w:rsidRPr="00C517A9">
        <w:rPr>
          <w:rFonts w:ascii="Arial" w:eastAsia="Calibri" w:hAnsi="Arial" w:cs="Arial"/>
          <w:bCs/>
          <w:i/>
          <w:color w:val="000000" w:themeColor="text1"/>
          <w:sz w:val="24"/>
          <w:szCs w:val="24"/>
        </w:rPr>
        <w:t xml:space="preserve"> por el Secretario de Movilidad y el Director de Concesiones de la misma dependencia, las consistentes en: </w:t>
      </w:r>
      <w:r w:rsidRPr="00C517A9">
        <w:rPr>
          <w:rFonts w:ascii="Arial" w:eastAsia="Calibri" w:hAnsi="Arial" w:cs="Arial"/>
          <w:b/>
          <w:bCs/>
          <w:i/>
          <w:color w:val="000000" w:themeColor="text1"/>
          <w:sz w:val="24"/>
          <w:szCs w:val="24"/>
        </w:rPr>
        <w:t xml:space="preserve">1.- </w:t>
      </w:r>
      <w:r w:rsidRPr="00C517A9">
        <w:rPr>
          <w:rFonts w:ascii="Arial" w:eastAsia="Calibri" w:hAnsi="Arial" w:cs="Arial"/>
          <w:bCs/>
          <w:i/>
          <w:color w:val="000000" w:themeColor="text1"/>
          <w:sz w:val="24"/>
          <w:szCs w:val="24"/>
        </w:rPr>
        <w:t xml:space="preserve">Copia certificada del Memorándum número </w:t>
      </w:r>
      <w:r w:rsidR="00D96E67">
        <w:rPr>
          <w:rFonts w:ascii="Arial" w:eastAsia="Calibri" w:hAnsi="Arial" w:cs="Arial"/>
          <w:bCs/>
          <w:i/>
          <w:color w:val="000000" w:themeColor="text1"/>
          <w:sz w:val="24"/>
          <w:szCs w:val="24"/>
        </w:rPr>
        <w:t xml:space="preserve">******* </w:t>
      </w:r>
      <w:r w:rsidRPr="00C517A9">
        <w:rPr>
          <w:rFonts w:ascii="Arial" w:eastAsia="Calibri" w:hAnsi="Arial" w:cs="Arial"/>
          <w:bCs/>
          <w:i/>
          <w:color w:val="000000" w:themeColor="text1"/>
          <w:sz w:val="24"/>
          <w:szCs w:val="24"/>
        </w:rPr>
        <w:t xml:space="preserve"> de cinco de abril de dos mil veintiuno, suscrito por (sic) Secretaria Particular de la Secretaría de Movilidad, mismo que obra en los autos del cuaderno de suspensión deducido del presente juicio; </w:t>
      </w:r>
      <w:r w:rsidRPr="00C517A9">
        <w:rPr>
          <w:rFonts w:ascii="Arial" w:eastAsia="Calibri" w:hAnsi="Arial" w:cs="Arial"/>
          <w:b/>
          <w:bCs/>
          <w:i/>
          <w:color w:val="000000" w:themeColor="text1"/>
          <w:sz w:val="24"/>
          <w:szCs w:val="24"/>
        </w:rPr>
        <w:t xml:space="preserve">2.- </w:t>
      </w:r>
      <w:r w:rsidRPr="00C517A9">
        <w:rPr>
          <w:rFonts w:ascii="Arial" w:eastAsia="Calibri" w:hAnsi="Arial" w:cs="Arial"/>
          <w:bCs/>
          <w:i/>
          <w:color w:val="000000" w:themeColor="text1"/>
          <w:sz w:val="24"/>
          <w:szCs w:val="24"/>
        </w:rPr>
        <w:t xml:space="preserve">La </w:t>
      </w:r>
      <w:proofErr w:type="spellStart"/>
      <w:r w:rsidRPr="00C517A9">
        <w:rPr>
          <w:rFonts w:ascii="Arial" w:eastAsia="Calibri" w:hAnsi="Arial" w:cs="Arial"/>
          <w:bCs/>
          <w:i/>
          <w:color w:val="000000" w:themeColor="text1"/>
          <w:sz w:val="24"/>
          <w:szCs w:val="24"/>
        </w:rPr>
        <w:t>Presuncional</w:t>
      </w:r>
      <w:proofErr w:type="spellEnd"/>
      <w:r w:rsidRPr="00C517A9">
        <w:rPr>
          <w:rFonts w:ascii="Arial" w:eastAsia="Calibri" w:hAnsi="Arial" w:cs="Arial"/>
          <w:bCs/>
          <w:i/>
          <w:color w:val="000000" w:themeColor="text1"/>
          <w:sz w:val="24"/>
          <w:szCs w:val="24"/>
        </w:rPr>
        <w:t xml:space="preserve"> legal y humana, y, </w:t>
      </w:r>
      <w:r w:rsidRPr="00C517A9">
        <w:rPr>
          <w:rFonts w:ascii="Arial" w:eastAsia="Calibri" w:hAnsi="Arial" w:cs="Arial"/>
          <w:b/>
          <w:bCs/>
          <w:i/>
          <w:color w:val="000000" w:themeColor="text1"/>
          <w:sz w:val="24"/>
          <w:szCs w:val="24"/>
        </w:rPr>
        <w:t xml:space="preserve">3.- </w:t>
      </w:r>
      <w:r w:rsidRPr="00C517A9">
        <w:rPr>
          <w:rFonts w:ascii="Arial" w:eastAsia="Calibri" w:hAnsi="Arial" w:cs="Arial"/>
          <w:bCs/>
          <w:i/>
          <w:color w:val="000000" w:themeColor="text1"/>
          <w:sz w:val="24"/>
          <w:szCs w:val="24"/>
        </w:rPr>
        <w:t xml:space="preserve">La instrumental de Actuaciones.- - - - - - - - - - - - - - - - - - - - - - - - - -  -  - - - - - - - </w:t>
      </w:r>
    </w:p>
    <w:p w14:paraId="11A959EB" w14:textId="40415DDA" w:rsidR="004B1043" w:rsidRPr="00C517A9" w:rsidRDefault="004B1043" w:rsidP="00C517A9">
      <w:pPr>
        <w:spacing w:after="120"/>
        <w:ind w:left="1276" w:right="618"/>
        <w:jc w:val="both"/>
        <w:rPr>
          <w:rFonts w:ascii="Arial" w:eastAsia="Calibri" w:hAnsi="Arial" w:cs="Arial"/>
          <w:bCs/>
          <w:i/>
          <w:color w:val="000000" w:themeColor="text1"/>
          <w:sz w:val="24"/>
          <w:szCs w:val="24"/>
        </w:rPr>
      </w:pPr>
      <w:r w:rsidRPr="00C517A9">
        <w:rPr>
          <w:rFonts w:ascii="Arial" w:eastAsia="Calibri" w:hAnsi="Arial" w:cs="Arial"/>
          <w:bCs/>
          <w:i/>
          <w:color w:val="000000" w:themeColor="text1"/>
          <w:sz w:val="24"/>
          <w:szCs w:val="24"/>
        </w:rPr>
        <w:t xml:space="preserve">Por cuando hace a la prueba de cotejo, ésta no se admite en razón que las autoridades demandas no  relacionan las mismas con los hechos de la demanda, ni manifiesta (sic) </w:t>
      </w:r>
      <w:r w:rsidRPr="00C517A9">
        <w:rPr>
          <w:rFonts w:ascii="Arial" w:eastAsia="Calibri" w:hAnsi="Arial" w:cs="Arial"/>
          <w:bCs/>
          <w:i/>
          <w:color w:val="000000" w:themeColor="text1"/>
          <w:sz w:val="24"/>
          <w:szCs w:val="24"/>
        </w:rPr>
        <w:lastRenderedPageBreak/>
        <w:t xml:space="preserve">qué es lo que se pretende probar, de conformidad con lo establecido en el artículo 177, fracción IX de la Ley de Procedimiento y Justicia Administrativa para el Estado de Oaxaca, más aún cuando las autoridades oficiantes refieren que: “sean confrontados con los </w:t>
      </w:r>
      <w:r w:rsidR="004E3E0C" w:rsidRPr="00C517A9">
        <w:rPr>
          <w:rFonts w:ascii="Arial" w:eastAsia="Calibri" w:hAnsi="Arial" w:cs="Arial"/>
          <w:bCs/>
          <w:i/>
          <w:color w:val="000000" w:themeColor="text1"/>
          <w:sz w:val="24"/>
          <w:szCs w:val="24"/>
        </w:rPr>
        <w:t>ACUSES EN ORIGINAL (SIC) EL PERSONAL DE LOS PROPIOS OFICIOS</w:t>
      </w:r>
      <w:r w:rsidR="00D96E67">
        <w:rPr>
          <w:rFonts w:ascii="Arial" w:eastAsia="Calibri" w:hAnsi="Arial" w:cs="Arial"/>
          <w:bCs/>
          <w:i/>
          <w:color w:val="000000" w:themeColor="text1"/>
          <w:sz w:val="24"/>
          <w:szCs w:val="24"/>
        </w:rPr>
        <w:t xml:space="preserve"> *******</w:t>
      </w:r>
      <w:r w:rsidR="007B4C84">
        <w:rPr>
          <w:rFonts w:ascii="Arial" w:eastAsia="Calibri" w:hAnsi="Arial" w:cs="Arial"/>
          <w:bCs/>
          <w:i/>
          <w:color w:val="000000" w:themeColor="text1"/>
          <w:sz w:val="24"/>
          <w:szCs w:val="24"/>
        </w:rPr>
        <w:t xml:space="preserve">, </w:t>
      </w:r>
      <w:r w:rsidR="00D96E67">
        <w:rPr>
          <w:rFonts w:ascii="Arial" w:eastAsia="Calibri" w:hAnsi="Arial" w:cs="Arial"/>
          <w:bCs/>
          <w:i/>
          <w:color w:val="000000" w:themeColor="text1"/>
          <w:sz w:val="24"/>
          <w:szCs w:val="24"/>
        </w:rPr>
        <w:t>*******</w:t>
      </w:r>
      <w:r w:rsidR="00D96E67">
        <w:rPr>
          <w:rFonts w:ascii="Arial" w:eastAsia="Calibri" w:hAnsi="Arial" w:cs="Arial"/>
          <w:bCs/>
          <w:i/>
          <w:color w:val="000000" w:themeColor="text1"/>
          <w:sz w:val="24"/>
          <w:szCs w:val="24"/>
        </w:rPr>
        <w:t>,</w:t>
      </w:r>
      <w:r w:rsidR="004E3E0C" w:rsidRPr="00C517A9">
        <w:rPr>
          <w:rFonts w:ascii="Arial" w:eastAsia="Calibri" w:hAnsi="Arial" w:cs="Arial"/>
          <w:bCs/>
          <w:i/>
          <w:color w:val="000000" w:themeColor="text1"/>
          <w:sz w:val="24"/>
          <w:szCs w:val="24"/>
        </w:rPr>
        <w:t xml:space="preserve"> </w:t>
      </w:r>
      <w:r w:rsidR="00D96E67">
        <w:rPr>
          <w:rFonts w:ascii="Arial" w:eastAsia="Calibri" w:hAnsi="Arial" w:cs="Arial"/>
          <w:bCs/>
          <w:i/>
          <w:color w:val="000000" w:themeColor="text1"/>
          <w:sz w:val="24"/>
          <w:szCs w:val="24"/>
        </w:rPr>
        <w:t>*******</w:t>
      </w:r>
      <w:r w:rsidR="004E3E0C" w:rsidRPr="00C517A9">
        <w:rPr>
          <w:rFonts w:ascii="Arial" w:eastAsia="Calibri" w:hAnsi="Arial" w:cs="Arial"/>
          <w:bCs/>
          <w:i/>
          <w:color w:val="000000" w:themeColor="text1"/>
          <w:sz w:val="24"/>
          <w:szCs w:val="24"/>
        </w:rPr>
        <w:t xml:space="preserve"> </w:t>
      </w:r>
      <w:r w:rsidR="007B4C84">
        <w:rPr>
          <w:rFonts w:ascii="Arial" w:eastAsia="Calibri" w:hAnsi="Arial" w:cs="Arial"/>
          <w:bCs/>
          <w:i/>
          <w:color w:val="000000" w:themeColor="text1"/>
          <w:sz w:val="24"/>
          <w:szCs w:val="24"/>
        </w:rPr>
        <w:t xml:space="preserve">Y </w:t>
      </w:r>
      <w:r w:rsidR="00D96E67">
        <w:rPr>
          <w:rFonts w:ascii="Arial" w:eastAsia="Calibri" w:hAnsi="Arial" w:cs="Arial"/>
          <w:bCs/>
          <w:i/>
          <w:color w:val="000000" w:themeColor="text1"/>
          <w:sz w:val="24"/>
          <w:szCs w:val="24"/>
        </w:rPr>
        <w:t xml:space="preserve">******* </w:t>
      </w:r>
      <w:r w:rsidRPr="00C517A9">
        <w:rPr>
          <w:rFonts w:ascii="Arial" w:eastAsia="Calibri" w:hAnsi="Arial" w:cs="Arial"/>
          <w:bCs/>
          <w:i/>
          <w:color w:val="000000" w:themeColor="text1"/>
          <w:sz w:val="24"/>
          <w:szCs w:val="24"/>
        </w:rPr>
        <w:t>mediante los cuales notifica a esta Secretaría la demanda interpuesta por el actor…”-</w:t>
      </w:r>
      <w:r w:rsidR="007B4C84">
        <w:rPr>
          <w:rFonts w:ascii="Arial" w:eastAsia="Calibri" w:hAnsi="Arial" w:cs="Arial"/>
          <w:bCs/>
          <w:i/>
          <w:color w:val="000000" w:themeColor="text1"/>
          <w:sz w:val="24"/>
          <w:szCs w:val="24"/>
        </w:rPr>
        <w:t xml:space="preserve">- - - - - - - </w:t>
      </w:r>
    </w:p>
    <w:p w14:paraId="1A62715D" w14:textId="70743A4C" w:rsidR="004B1043" w:rsidRPr="004B1043" w:rsidRDefault="004B1043" w:rsidP="00C517A9">
      <w:pPr>
        <w:spacing w:after="120"/>
        <w:ind w:left="1276" w:right="618"/>
        <w:jc w:val="both"/>
        <w:rPr>
          <w:rFonts w:ascii="Arial" w:eastAsia="Calibri" w:hAnsi="Arial" w:cs="Arial"/>
          <w:bCs/>
          <w:i/>
          <w:color w:val="000000" w:themeColor="text1"/>
        </w:rPr>
      </w:pPr>
      <w:r>
        <w:rPr>
          <w:rFonts w:ascii="Arial" w:eastAsia="Calibri" w:hAnsi="Arial" w:cs="Arial"/>
          <w:bCs/>
          <w:i/>
          <w:color w:val="000000" w:themeColor="text1"/>
        </w:rPr>
        <w:t>[…]”</w:t>
      </w:r>
    </w:p>
    <w:p w14:paraId="5CF1A028" w14:textId="2041F30C" w:rsidR="00F65F1A" w:rsidRPr="00F65F1A" w:rsidRDefault="0054164F" w:rsidP="00C5007B">
      <w:pPr>
        <w:tabs>
          <w:tab w:val="left" w:pos="2460"/>
          <w:tab w:val="center" w:pos="4253"/>
        </w:tabs>
        <w:spacing w:line="360" w:lineRule="auto"/>
        <w:ind w:right="49"/>
        <w:jc w:val="center"/>
        <w:rPr>
          <w:rFonts w:ascii="Arial" w:eastAsia="Calibri" w:hAnsi="Arial" w:cs="Arial"/>
          <w:b/>
          <w:bCs/>
          <w:sz w:val="26"/>
          <w:szCs w:val="26"/>
        </w:rPr>
      </w:pPr>
      <w:r>
        <w:rPr>
          <w:rFonts w:ascii="Arial" w:eastAsia="Calibri" w:hAnsi="Arial" w:cs="Arial"/>
          <w:b/>
          <w:bCs/>
          <w:sz w:val="26"/>
          <w:szCs w:val="26"/>
        </w:rPr>
        <w:t>C O N S I D E R A N D O</w:t>
      </w:r>
    </w:p>
    <w:p w14:paraId="3C9A07EB" w14:textId="07D66778" w:rsidR="00F65F1A" w:rsidRPr="002A6561" w:rsidRDefault="00F65F1A" w:rsidP="00F65F1A">
      <w:pPr>
        <w:spacing w:line="360" w:lineRule="auto"/>
        <w:ind w:firstLine="426"/>
        <w:jc w:val="both"/>
        <w:rPr>
          <w:rFonts w:ascii="Arial" w:hAnsi="Arial" w:cs="Arial"/>
          <w:sz w:val="26"/>
          <w:szCs w:val="26"/>
        </w:rPr>
      </w:pPr>
      <w:r w:rsidRPr="006321D4">
        <w:rPr>
          <w:rFonts w:ascii="Arial" w:hAnsi="Arial" w:cs="Arial"/>
          <w:b/>
          <w:bCs/>
          <w:iCs/>
          <w:sz w:val="26"/>
          <w:szCs w:val="26"/>
          <w:lang w:eastAsia="es-ES"/>
        </w:rPr>
        <w:t>PRIMERO.</w:t>
      </w:r>
      <w:r w:rsidRPr="006321D4">
        <w:rPr>
          <w:rFonts w:ascii="Arial" w:hAnsi="Arial" w:cs="Arial"/>
          <w:b/>
          <w:bCs/>
          <w:iCs/>
          <w:sz w:val="26"/>
          <w:szCs w:val="26"/>
        </w:rPr>
        <w:t xml:space="preserve"> </w:t>
      </w:r>
      <w:r w:rsidRPr="009A3C83">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9A3C83">
        <w:rPr>
          <w:rFonts w:ascii="Arial" w:hAnsi="Arial" w:cs="Arial"/>
          <w:bCs/>
          <w:iCs/>
          <w:sz w:val="26"/>
          <w:szCs w:val="26"/>
        </w:rPr>
        <w:t xml:space="preserve">23, 24 </w:t>
      </w:r>
      <w:r w:rsidRPr="0016098F">
        <w:rPr>
          <w:rFonts w:ascii="Arial" w:hAnsi="Arial" w:cs="Arial"/>
          <w:bCs/>
          <w:iCs/>
          <w:sz w:val="26"/>
          <w:szCs w:val="26"/>
        </w:rPr>
        <w:t>fracci</w:t>
      </w:r>
      <w:r w:rsidR="00B478FC" w:rsidRPr="0016098F">
        <w:rPr>
          <w:rFonts w:ascii="Arial" w:hAnsi="Arial" w:cs="Arial"/>
          <w:bCs/>
          <w:iCs/>
          <w:sz w:val="26"/>
          <w:szCs w:val="26"/>
        </w:rPr>
        <w:t>ones</w:t>
      </w:r>
      <w:r w:rsidRPr="0016098F">
        <w:rPr>
          <w:rFonts w:ascii="Arial" w:hAnsi="Arial" w:cs="Arial"/>
          <w:bCs/>
          <w:iCs/>
          <w:sz w:val="26"/>
          <w:szCs w:val="26"/>
        </w:rPr>
        <w:t xml:space="preserve"> I</w:t>
      </w:r>
      <w:r w:rsidR="00B478FC" w:rsidRPr="0016098F">
        <w:rPr>
          <w:rFonts w:ascii="Arial" w:hAnsi="Arial" w:cs="Arial"/>
          <w:bCs/>
          <w:iCs/>
          <w:sz w:val="26"/>
          <w:szCs w:val="26"/>
        </w:rPr>
        <w:t xml:space="preserve"> y III</w:t>
      </w:r>
      <w:r w:rsidRPr="0016098F">
        <w:rPr>
          <w:rFonts w:ascii="Arial" w:hAnsi="Arial" w:cs="Arial"/>
          <w:bCs/>
          <w:iCs/>
          <w:sz w:val="26"/>
          <w:szCs w:val="26"/>
        </w:rPr>
        <w:t>, 25</w:t>
      </w:r>
      <w:r w:rsidRPr="009A3C83">
        <w:rPr>
          <w:rFonts w:ascii="Arial" w:hAnsi="Arial" w:cs="Arial"/>
          <w:bCs/>
          <w:iCs/>
          <w:sz w:val="26"/>
          <w:szCs w:val="26"/>
        </w:rPr>
        <w:t xml:space="preserve"> fracción I, 26 y 27 de la Ley Orgánica del Tribunal de Justicia Administrativa del Estado de Oaxaca, publicada en el Periódico Oficial del Estado de Oaxaca;</w:t>
      </w:r>
      <w:r w:rsidRPr="009A3C83">
        <w:rPr>
          <w:rFonts w:ascii="Arial" w:hAnsi="Arial" w:cs="Arial"/>
          <w:bCs/>
          <w:iCs/>
          <w:sz w:val="26"/>
          <w:szCs w:val="26"/>
          <w:lang w:eastAsia="es-ES"/>
        </w:rPr>
        <w:t xml:space="preserve"> 125, 127, 129, 130 fracción I, 131, 231, 236 y 238 </w:t>
      </w:r>
      <w:r w:rsidRPr="009A3C83">
        <w:rPr>
          <w:rFonts w:ascii="Arial" w:hAnsi="Arial" w:cs="Arial"/>
          <w:bCs/>
          <w:iCs/>
          <w:sz w:val="26"/>
          <w:szCs w:val="26"/>
        </w:rPr>
        <w:t xml:space="preserve">de la Ley de Procedimiento y Justicia Administrativa para el Estado de Oaxaca, dado que se trata de un recurso de </w:t>
      </w:r>
      <w:r w:rsidR="00021328">
        <w:rPr>
          <w:rFonts w:ascii="Arial" w:hAnsi="Arial" w:cs="Arial"/>
          <w:bCs/>
          <w:iCs/>
          <w:sz w:val="26"/>
          <w:szCs w:val="26"/>
        </w:rPr>
        <w:t>r</w:t>
      </w:r>
      <w:r w:rsidRPr="009A3C83">
        <w:rPr>
          <w:rFonts w:ascii="Arial" w:hAnsi="Arial" w:cs="Arial"/>
          <w:bCs/>
          <w:iCs/>
          <w:sz w:val="26"/>
          <w:szCs w:val="26"/>
        </w:rPr>
        <w:t>evisión interpuesto en contra de</w:t>
      </w:r>
      <w:r w:rsidR="00021328">
        <w:rPr>
          <w:rFonts w:ascii="Arial" w:hAnsi="Arial" w:cs="Arial"/>
          <w:bCs/>
          <w:iCs/>
          <w:sz w:val="26"/>
          <w:szCs w:val="26"/>
        </w:rPr>
        <w:t xml:space="preserve"> </w:t>
      </w:r>
      <w:r>
        <w:rPr>
          <w:rFonts w:ascii="Arial" w:hAnsi="Arial" w:cs="Arial"/>
          <w:bCs/>
          <w:iCs/>
          <w:sz w:val="26"/>
          <w:szCs w:val="26"/>
        </w:rPr>
        <w:t>l</w:t>
      </w:r>
      <w:r w:rsidR="00021328">
        <w:rPr>
          <w:rFonts w:ascii="Arial" w:hAnsi="Arial" w:cs="Arial"/>
          <w:bCs/>
          <w:iCs/>
          <w:sz w:val="26"/>
          <w:szCs w:val="26"/>
        </w:rPr>
        <w:t>a parte relativa del</w:t>
      </w:r>
      <w:r>
        <w:rPr>
          <w:rFonts w:ascii="Arial" w:hAnsi="Arial" w:cs="Arial"/>
          <w:bCs/>
          <w:iCs/>
          <w:sz w:val="26"/>
          <w:szCs w:val="26"/>
        </w:rPr>
        <w:t xml:space="preserve"> acuerdo de quince de </w:t>
      </w:r>
      <w:r w:rsidR="00021328">
        <w:rPr>
          <w:rFonts w:ascii="Arial" w:hAnsi="Arial" w:cs="Arial"/>
          <w:bCs/>
          <w:iCs/>
          <w:sz w:val="26"/>
          <w:szCs w:val="26"/>
        </w:rPr>
        <w:t>julio de dos mil veintiuno</w:t>
      </w:r>
      <w:r w:rsidRPr="009A3C83">
        <w:rPr>
          <w:rFonts w:ascii="Arial" w:hAnsi="Arial" w:cs="Arial"/>
          <w:sz w:val="26"/>
          <w:szCs w:val="26"/>
        </w:rPr>
        <w:t xml:space="preserve">, </w:t>
      </w:r>
      <w:r w:rsidR="001D057C">
        <w:rPr>
          <w:rFonts w:ascii="Arial" w:hAnsi="Arial" w:cs="Arial"/>
          <w:bCs/>
          <w:iCs/>
          <w:sz w:val="26"/>
          <w:szCs w:val="26"/>
          <w:lang w:eastAsia="es-ES"/>
        </w:rPr>
        <w:t xml:space="preserve">dictado por la Quinta  Sala Unitaria de Primera Instancia en el expediente </w:t>
      </w:r>
      <w:r w:rsidR="00021328">
        <w:rPr>
          <w:rFonts w:ascii="Arial" w:hAnsi="Arial" w:cs="Arial"/>
          <w:b/>
          <w:bCs/>
          <w:sz w:val="26"/>
          <w:szCs w:val="26"/>
        </w:rPr>
        <w:t>0019/2021</w:t>
      </w:r>
      <w:r w:rsidR="00021328">
        <w:rPr>
          <w:rFonts w:ascii="Arial" w:hAnsi="Arial" w:cs="Arial"/>
          <w:sz w:val="26"/>
          <w:szCs w:val="26"/>
        </w:rPr>
        <w:t>.</w:t>
      </w:r>
      <w:r w:rsidRPr="009A3C83">
        <w:rPr>
          <w:rFonts w:ascii="Arial" w:hAnsi="Arial" w:cs="Arial"/>
          <w:sz w:val="26"/>
          <w:szCs w:val="26"/>
        </w:rPr>
        <w:t xml:space="preserve"> </w:t>
      </w:r>
      <w:r w:rsidR="001D057C">
        <w:rPr>
          <w:rFonts w:ascii="Arial" w:hAnsi="Arial" w:cs="Arial"/>
          <w:sz w:val="26"/>
          <w:szCs w:val="26"/>
        </w:rPr>
        <w:t xml:space="preserve">- - - - - - </w:t>
      </w:r>
    </w:p>
    <w:p w14:paraId="7C2E8461" w14:textId="5BAD173D" w:rsidR="00F65F1A" w:rsidRPr="006321D4" w:rsidRDefault="00F65F1A" w:rsidP="00F65F1A">
      <w:pPr>
        <w:spacing w:line="360" w:lineRule="auto"/>
        <w:ind w:firstLine="708"/>
        <w:jc w:val="both"/>
        <w:rPr>
          <w:rFonts w:ascii="Arial" w:hAnsi="Arial" w:cs="Arial"/>
          <w:sz w:val="26"/>
          <w:szCs w:val="26"/>
        </w:rPr>
      </w:pPr>
      <w:r w:rsidRPr="006321D4">
        <w:rPr>
          <w:rFonts w:ascii="Arial" w:hAnsi="Arial" w:cs="Arial"/>
          <w:b/>
          <w:bCs/>
          <w:sz w:val="26"/>
          <w:szCs w:val="26"/>
        </w:rPr>
        <w:t>SEGUNDO.</w:t>
      </w:r>
      <w:r w:rsidRPr="006321D4">
        <w:rPr>
          <w:rFonts w:ascii="Arial" w:hAnsi="Arial" w:cs="Arial"/>
          <w:bCs/>
          <w:sz w:val="26"/>
          <w:szCs w:val="26"/>
        </w:rPr>
        <w:t xml:space="preserve"> Los agravios hechos valer se encuentran expuestos en el escrito respectivo del recurrente, por lo que no existe necesidad de transcribirlos, al no transgredirse derecho alguno, como tampoco se vulnera disposición expresa que imponga tal obligación</w:t>
      </w:r>
      <w:r w:rsidRPr="006321D4">
        <w:rPr>
          <w:rFonts w:ascii="Arial" w:hAnsi="Arial" w:cs="Arial"/>
          <w:sz w:val="26"/>
          <w:szCs w:val="26"/>
        </w:rPr>
        <w:t>. En apoyo a lo anterior, se invoca el criterio Jurisprudencial</w:t>
      </w:r>
      <w:r w:rsidRPr="006321D4">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w:t>
      </w:r>
      <w:r w:rsidR="00D17A1B">
        <w:rPr>
          <w:rFonts w:ascii="Arial" w:hAnsi="Arial" w:cs="Arial"/>
          <w:bCs/>
          <w:color w:val="000000"/>
          <w:sz w:val="26"/>
          <w:szCs w:val="26"/>
        </w:rPr>
        <w:t>m</w:t>
      </w:r>
      <w:r w:rsidRPr="006321D4">
        <w:rPr>
          <w:rFonts w:ascii="Arial" w:hAnsi="Arial" w:cs="Arial"/>
          <w:bCs/>
          <w:color w:val="000000"/>
          <w:sz w:val="26"/>
          <w:szCs w:val="26"/>
        </w:rPr>
        <w:t>ayo de 2010, visible a página 830, Novena Época, bajo el rubro y texto siguiente:</w:t>
      </w:r>
      <w:r>
        <w:rPr>
          <w:rFonts w:ascii="Arial" w:hAnsi="Arial" w:cs="Arial"/>
          <w:bCs/>
          <w:color w:val="000000"/>
          <w:sz w:val="26"/>
          <w:szCs w:val="26"/>
        </w:rPr>
        <w:t>- - - - - - - - -- - - - - - -</w:t>
      </w:r>
    </w:p>
    <w:p w14:paraId="1F997E6B" w14:textId="77777777" w:rsidR="00F65F1A" w:rsidRPr="006321D4" w:rsidRDefault="00F65F1A" w:rsidP="00346F2D">
      <w:pPr>
        <w:spacing w:before="240"/>
        <w:ind w:left="851" w:right="900"/>
        <w:jc w:val="both"/>
        <w:rPr>
          <w:rFonts w:ascii="Arial" w:eastAsia="Calibri" w:hAnsi="Arial" w:cs="Arial"/>
          <w:b/>
          <w:bCs/>
          <w:i/>
          <w:lang w:val="es-ES" w:eastAsia="en-US"/>
        </w:rPr>
      </w:pPr>
      <w:r w:rsidRPr="006321D4">
        <w:rPr>
          <w:rFonts w:ascii="Arial" w:eastAsia="Calibri" w:hAnsi="Arial" w:cs="Arial"/>
          <w:b/>
          <w:bCs/>
          <w:i/>
        </w:rPr>
        <w:t xml:space="preserve">“CONCEPTOS DE VIOLACIÓN O AGRAVIOS. PARA CUMPLIR CON LOS PRINCIPIOS DE CONGRUENCIA Y EXHAUSTIVIDAD EN LAS SENTENCIAS DE AMPARO ES INNECESARIA SU TRANSCRIPCIÓN. </w:t>
      </w:r>
      <w:r w:rsidRPr="006321D4">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w:t>
      </w:r>
      <w:r w:rsidRPr="006321D4">
        <w:rPr>
          <w:rFonts w:ascii="Arial" w:eastAsia="Calibri" w:hAnsi="Arial" w:cs="Arial"/>
          <w:bCs/>
          <w:i/>
        </w:rPr>
        <w:lastRenderedPageBreak/>
        <w:t>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EC677FC" w14:textId="2CF5086F" w:rsidR="0016098F" w:rsidRPr="00E378BD" w:rsidRDefault="0016098F" w:rsidP="008D1717">
      <w:pPr>
        <w:spacing w:after="12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TERCERO.- </w:t>
      </w:r>
      <w:r w:rsidR="00E378BD">
        <w:rPr>
          <w:rFonts w:ascii="Arial" w:eastAsia="Calibri" w:hAnsi="Arial" w:cs="Arial"/>
          <w:bCs/>
          <w:sz w:val="26"/>
          <w:szCs w:val="26"/>
        </w:rPr>
        <w:t xml:space="preserve">Señala </w:t>
      </w:r>
      <w:r w:rsidR="003C1A4E">
        <w:rPr>
          <w:rFonts w:ascii="Arial" w:eastAsia="Calibri" w:hAnsi="Arial" w:cs="Arial"/>
          <w:bCs/>
          <w:sz w:val="26"/>
          <w:szCs w:val="26"/>
        </w:rPr>
        <w:t xml:space="preserve">el recurrente </w:t>
      </w:r>
      <w:r w:rsidR="008D1717">
        <w:rPr>
          <w:rFonts w:ascii="Arial" w:eastAsia="Calibri" w:hAnsi="Arial" w:cs="Arial"/>
          <w:bCs/>
          <w:sz w:val="26"/>
          <w:szCs w:val="26"/>
        </w:rPr>
        <w:t xml:space="preserve">en su agravio </w:t>
      </w:r>
      <w:r w:rsidR="008D1717">
        <w:rPr>
          <w:rFonts w:ascii="Arial" w:eastAsia="Calibri" w:hAnsi="Arial" w:cs="Arial"/>
          <w:b/>
          <w:bCs/>
          <w:sz w:val="26"/>
          <w:szCs w:val="26"/>
        </w:rPr>
        <w:t xml:space="preserve">primero </w:t>
      </w:r>
      <w:r w:rsidR="003C1A4E">
        <w:rPr>
          <w:rFonts w:ascii="Arial" w:eastAsia="Calibri" w:hAnsi="Arial" w:cs="Arial"/>
          <w:bCs/>
          <w:sz w:val="26"/>
          <w:szCs w:val="26"/>
        </w:rPr>
        <w:t xml:space="preserve">que la parte relativa del acuerdo de quince de julio de dos mil veintiuno, es ilegal en virtud de que la Primera Instancia, determinó no admitir la prueba de cotejo ofrecida en su escrito de contestación de demanda, fundando su argumento en el artículo 177, fracción IX de la Ley de Procedimiento y Justicia Administrativa para el Estado de Oaxaca, el cual indica, no es aplicable a su representada Secretaría de Movilidad, pues está dirigido al actor y no a la parte demandada. –lo transcribe- - - -  - - - - - - - - - - - - </w:t>
      </w:r>
    </w:p>
    <w:p w14:paraId="4EF5F622" w14:textId="7C030AE6" w:rsidR="0016098F" w:rsidRDefault="003C1A4E" w:rsidP="008D1717">
      <w:pPr>
        <w:spacing w:after="120" w:line="360" w:lineRule="auto"/>
        <w:ind w:firstLine="709"/>
        <w:jc w:val="both"/>
        <w:rPr>
          <w:rFonts w:ascii="Arial" w:eastAsia="Calibri" w:hAnsi="Arial" w:cs="Arial"/>
          <w:bCs/>
          <w:sz w:val="26"/>
          <w:szCs w:val="26"/>
        </w:rPr>
      </w:pPr>
      <w:r w:rsidRPr="003C1A4E">
        <w:rPr>
          <w:rFonts w:ascii="Arial" w:eastAsia="Calibri" w:hAnsi="Arial" w:cs="Arial"/>
          <w:bCs/>
          <w:sz w:val="26"/>
          <w:szCs w:val="26"/>
        </w:rPr>
        <w:t xml:space="preserve">Refiere </w:t>
      </w:r>
      <w:r>
        <w:rPr>
          <w:rFonts w:ascii="Arial" w:eastAsia="Calibri" w:hAnsi="Arial" w:cs="Arial"/>
          <w:bCs/>
          <w:sz w:val="26"/>
          <w:szCs w:val="26"/>
        </w:rPr>
        <w:t>que la invocación de</w:t>
      </w:r>
      <w:r w:rsidR="00F46C0A">
        <w:rPr>
          <w:rFonts w:ascii="Arial" w:eastAsia="Calibri" w:hAnsi="Arial" w:cs="Arial"/>
          <w:bCs/>
          <w:sz w:val="26"/>
          <w:szCs w:val="26"/>
        </w:rPr>
        <w:t xml:space="preserve">l artículo 177, fracción IX de la Ley de Procedimiento y Justicia Administrativa para el Estado de Oaxaca </w:t>
      </w:r>
      <w:r>
        <w:rPr>
          <w:rFonts w:ascii="Arial" w:eastAsia="Calibri" w:hAnsi="Arial" w:cs="Arial"/>
          <w:bCs/>
          <w:sz w:val="26"/>
          <w:szCs w:val="26"/>
        </w:rPr>
        <w:t xml:space="preserve">en el </w:t>
      </w:r>
      <w:r w:rsidR="00F46C0A">
        <w:rPr>
          <w:rFonts w:ascii="Arial" w:eastAsia="Calibri" w:hAnsi="Arial" w:cs="Arial"/>
          <w:bCs/>
          <w:sz w:val="26"/>
          <w:szCs w:val="26"/>
        </w:rPr>
        <w:t xml:space="preserve">acuerdo recurrido es equivocado, máxime que en ninguna parte indica que no se tenga por admitida una prueba por la omisión de la fracción que menciona el A quo, por lo que la aplicación del citado precepto fue incorrecta, </w:t>
      </w:r>
      <w:r w:rsidR="0060749A">
        <w:rPr>
          <w:rFonts w:ascii="Arial" w:eastAsia="Calibri" w:hAnsi="Arial" w:cs="Arial"/>
          <w:bCs/>
          <w:sz w:val="26"/>
          <w:szCs w:val="26"/>
        </w:rPr>
        <w:t>pues</w:t>
      </w:r>
      <w:r w:rsidR="00F46C0A">
        <w:rPr>
          <w:rFonts w:ascii="Arial" w:eastAsia="Calibri" w:hAnsi="Arial" w:cs="Arial"/>
          <w:bCs/>
          <w:sz w:val="26"/>
          <w:szCs w:val="26"/>
        </w:rPr>
        <w:t xml:space="preserve"> indica que con dicho proceder, se le pretende privar a su representada del ofrecimiento de una prueba que es relevante en el presente asunto, lo cual solicita sea reparado en el presente recurso de revisión.- - - - - - - - - - - - - - - - - - - - - - - - - - - - - - -</w:t>
      </w:r>
      <w:r w:rsidR="0060749A">
        <w:rPr>
          <w:rFonts w:ascii="Arial" w:eastAsia="Calibri" w:hAnsi="Arial" w:cs="Arial"/>
          <w:bCs/>
          <w:sz w:val="26"/>
          <w:szCs w:val="26"/>
        </w:rPr>
        <w:t xml:space="preserve"> - - - - - - - - - - - - - - -</w:t>
      </w:r>
    </w:p>
    <w:p w14:paraId="0A7F7C79" w14:textId="5BCD34F4" w:rsidR="008D1717" w:rsidRDefault="008D1717" w:rsidP="008D1717">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Expone que al determinar no tener por admitida la prueba de cotejo, fundándose únicamente en el artículo 177, fracción IX de la Ley de Procedimiento y Justicia Administrativa para el Estado de Oaxaca, deja de manifiesto también la falta de fundamentación, pues la Primera Instancia no invocó otro artículo en el que haya basado su determinación, por lo que viola flagrantemente el derecho de ofrecer pruebas a favor de su representada y se le priva de la prueba de cotejo, la cual señala, fue ofrecida para demostrar que las características de los escritos presentados legal y formalmente ante la Secretaría de Movilidad del Estado de Oaxaca, no coinciden con las que supuestamente presentó la parte actora, que son escritos de petición, los cuales indica</w:t>
      </w:r>
      <w:r w:rsidR="008D2A8D">
        <w:rPr>
          <w:rFonts w:ascii="Arial" w:eastAsia="Calibri" w:hAnsi="Arial" w:cs="Arial"/>
          <w:bCs/>
          <w:sz w:val="26"/>
          <w:szCs w:val="26"/>
        </w:rPr>
        <w:t>,</w:t>
      </w:r>
      <w:r>
        <w:rPr>
          <w:rFonts w:ascii="Arial" w:eastAsia="Calibri" w:hAnsi="Arial" w:cs="Arial"/>
          <w:bCs/>
          <w:sz w:val="26"/>
          <w:szCs w:val="26"/>
        </w:rPr>
        <w:t xml:space="preserve"> no fueron recibidos en esa Secretaría, como fue expuesto en su escrito de contestación de demanda y en el ofrecimiento se expresó con claridad, qué se pretendía con dicha prueba.- - - - - - - - - - - - - - - - - - - -</w:t>
      </w:r>
    </w:p>
    <w:p w14:paraId="2074A371" w14:textId="1072E51E" w:rsidR="008D1717" w:rsidRDefault="008D1717" w:rsidP="008D1717">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 xml:space="preserve">Asimismo, indica que el acuerdo recurrido inobservó la debida o correcta motivación </w:t>
      </w:r>
      <w:r w:rsidR="0025740C">
        <w:rPr>
          <w:rFonts w:ascii="Arial" w:eastAsia="Calibri" w:hAnsi="Arial" w:cs="Arial"/>
          <w:bCs/>
          <w:sz w:val="26"/>
          <w:szCs w:val="26"/>
        </w:rPr>
        <w:t xml:space="preserve">en perjuicio de su representada, pues es falso lo que se aduce respecto a que el ofrecimiento </w:t>
      </w:r>
      <w:r w:rsidR="0025740C">
        <w:rPr>
          <w:rFonts w:ascii="Arial" w:eastAsia="Calibri" w:hAnsi="Arial" w:cs="Arial"/>
          <w:bCs/>
          <w:i/>
          <w:sz w:val="26"/>
          <w:szCs w:val="26"/>
        </w:rPr>
        <w:t xml:space="preserve">“no se relacionó con los hechos de la demanda”, </w:t>
      </w:r>
      <w:r w:rsidR="0025740C">
        <w:rPr>
          <w:rFonts w:ascii="Arial" w:eastAsia="Calibri" w:hAnsi="Arial" w:cs="Arial"/>
          <w:bCs/>
          <w:sz w:val="26"/>
          <w:szCs w:val="26"/>
        </w:rPr>
        <w:t xml:space="preserve">pues señala que en dicho ofrecimiento se expresó con claridad </w:t>
      </w:r>
      <w:r w:rsidR="0025740C" w:rsidRPr="0025740C">
        <w:rPr>
          <w:rFonts w:ascii="Arial" w:eastAsia="Calibri" w:hAnsi="Arial" w:cs="Arial"/>
          <w:b/>
          <w:bCs/>
          <w:i/>
          <w:sz w:val="24"/>
          <w:szCs w:val="24"/>
        </w:rPr>
        <w:t>“prueba que relaciono con todos y cada uno de los hechos planteados”,</w:t>
      </w:r>
      <w:r w:rsidR="0025740C">
        <w:rPr>
          <w:rFonts w:ascii="Arial" w:eastAsia="Calibri" w:hAnsi="Arial" w:cs="Arial"/>
          <w:bCs/>
          <w:i/>
          <w:sz w:val="26"/>
          <w:szCs w:val="26"/>
        </w:rPr>
        <w:t xml:space="preserve"> </w:t>
      </w:r>
      <w:r w:rsidR="0025740C">
        <w:rPr>
          <w:rFonts w:ascii="Arial" w:eastAsia="Calibri" w:hAnsi="Arial" w:cs="Arial"/>
          <w:bCs/>
          <w:sz w:val="26"/>
          <w:szCs w:val="26"/>
        </w:rPr>
        <w:t>lo cual deja evidenciado la falta de objetividad con la que lleva el asunto el A quo.- - - - - - - - - - - - - - - - - - - - - - -  -- - -  - - - - -- -  -</w:t>
      </w:r>
    </w:p>
    <w:p w14:paraId="22CC6865" w14:textId="4BCC0B00" w:rsidR="0025740C" w:rsidRDefault="0025740C" w:rsidP="008D1717">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Así también, refiere que la Primera Instancia argumentó que no se expuso qué es lo que se pretende probar con la prueba, cuando claramente se expuso que el cotejo era en cuanto a </w:t>
      </w:r>
      <w:r>
        <w:rPr>
          <w:rFonts w:ascii="Arial" w:eastAsia="Calibri" w:hAnsi="Arial" w:cs="Arial"/>
          <w:b/>
          <w:bCs/>
          <w:i/>
          <w:sz w:val="24"/>
          <w:szCs w:val="24"/>
        </w:rPr>
        <w:t xml:space="preserve">“el personal actuante verifique que los sellos puestos en los 5 escritos, coincidan con las características de los escritos de petición anexados al memorándum </w:t>
      </w:r>
      <w:r w:rsidR="00D96E67">
        <w:rPr>
          <w:rFonts w:ascii="Arial" w:eastAsia="Calibri" w:hAnsi="Arial" w:cs="Arial"/>
          <w:b/>
          <w:bCs/>
          <w:i/>
          <w:sz w:val="24"/>
          <w:szCs w:val="24"/>
        </w:rPr>
        <w:t>*******</w:t>
      </w:r>
      <w:r>
        <w:rPr>
          <w:rFonts w:ascii="Arial" w:eastAsia="Calibri" w:hAnsi="Arial" w:cs="Arial"/>
          <w:b/>
          <w:bCs/>
          <w:i/>
          <w:sz w:val="24"/>
          <w:szCs w:val="24"/>
        </w:rPr>
        <w:t xml:space="preserve">, de cinco de abril de dos mil veintiuno, suscrito por la Secretaria Particular de esta Secretaría, es decir, el sello, firma o rúbrica de la persona que recibió en la Secretaría el día 03 de abril de 2019”, </w:t>
      </w:r>
      <w:r w:rsidRPr="0025740C">
        <w:rPr>
          <w:rFonts w:ascii="Arial" w:eastAsia="Calibri" w:hAnsi="Arial" w:cs="Arial"/>
          <w:bCs/>
          <w:sz w:val="26"/>
          <w:szCs w:val="26"/>
        </w:rPr>
        <w:t xml:space="preserve">ello </w:t>
      </w:r>
      <w:r>
        <w:rPr>
          <w:rFonts w:ascii="Arial" w:eastAsia="Calibri" w:hAnsi="Arial" w:cs="Arial"/>
          <w:bCs/>
          <w:sz w:val="26"/>
          <w:szCs w:val="26"/>
        </w:rPr>
        <w:t>en virtud de la defensa que planteo en su contestaci</w:t>
      </w:r>
      <w:r w:rsidR="008802C7">
        <w:rPr>
          <w:rFonts w:ascii="Arial" w:eastAsia="Calibri" w:hAnsi="Arial" w:cs="Arial"/>
          <w:bCs/>
          <w:sz w:val="26"/>
          <w:szCs w:val="26"/>
        </w:rPr>
        <w:t xml:space="preserve">ón de demanda y se expuso que dicha prueba se relaciona con todos los hechos y circunstancias alegadas. - - - - - - - - - - - - - - - - - - - - - - - - - - - </w:t>
      </w:r>
      <w:r w:rsidR="00D96E67">
        <w:rPr>
          <w:rFonts w:ascii="Arial" w:eastAsia="Calibri" w:hAnsi="Arial" w:cs="Arial"/>
          <w:bCs/>
          <w:sz w:val="26"/>
          <w:szCs w:val="26"/>
        </w:rPr>
        <w:t>- - - - - - -</w:t>
      </w:r>
    </w:p>
    <w:p w14:paraId="00C43CC5" w14:textId="1251CAD2" w:rsidR="002E1FC8" w:rsidRPr="00B30C78" w:rsidRDefault="002E1FC8" w:rsidP="008D1717">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Arguye que el A quo, tiene la obligación de recabar las pruebas de oficio con tal de que sus sentencias no sean arbitrarias y se dicten apreciando la verdad de los hechos, como lo establece el artículo 190 de la Ley de Procedimiento y Justicia Administrativa para el Estado de Oaxaca, pues indica que en el caso en estudio, se está por medio del interés social, ya que tanto la Primera Instancia como la autoridad demandada, tienen la obligación de velar por sus intereses, pues los usuarios no tienen la oportunidad </w:t>
      </w:r>
      <w:r w:rsidRPr="00B30C78">
        <w:rPr>
          <w:rFonts w:ascii="Arial" w:eastAsia="Calibri" w:hAnsi="Arial" w:cs="Arial"/>
          <w:bCs/>
          <w:sz w:val="26"/>
          <w:szCs w:val="26"/>
        </w:rPr>
        <w:t xml:space="preserve">de demandar el mal servicio que puedan ofertar los concesionarios, pues no es legal que circulen las unidades que alude la parte actora para ofertar el servicio público, </w:t>
      </w:r>
      <w:r w:rsidR="00C071AF" w:rsidRPr="00B30C78">
        <w:rPr>
          <w:rFonts w:ascii="Arial" w:eastAsia="Calibri" w:hAnsi="Arial" w:cs="Arial"/>
          <w:bCs/>
          <w:sz w:val="26"/>
          <w:szCs w:val="26"/>
        </w:rPr>
        <w:t>s</w:t>
      </w:r>
      <w:r w:rsidRPr="00B30C78">
        <w:rPr>
          <w:rFonts w:ascii="Arial" w:eastAsia="Calibri" w:hAnsi="Arial" w:cs="Arial"/>
          <w:bCs/>
          <w:sz w:val="26"/>
          <w:szCs w:val="26"/>
        </w:rPr>
        <w:t xml:space="preserve">i no está en regla su documentación; es decir, si dichas unidades no están dadas de alta para circular y menos aún, si no se tiene la certeza de que están vinculadas a una concesión. - transcribe el artículo 190- y señala para justificar su dicho, el criterio con número registro digital 185767 de rubro: </w:t>
      </w:r>
      <w:r w:rsidRPr="00B30C78">
        <w:rPr>
          <w:rFonts w:ascii="Arial" w:eastAsia="Calibri" w:hAnsi="Arial" w:cs="Arial"/>
          <w:b/>
          <w:bCs/>
          <w:i/>
          <w:sz w:val="24"/>
          <w:szCs w:val="24"/>
        </w:rPr>
        <w:t>“DOCUMENTOS EXHIBIDOS CON LA DEMANDA DE AMPARO. SI EL QUEJOSO SOLICITÓ SU COTEJO CON LA FINALID</w:t>
      </w:r>
      <w:r w:rsidR="0068780E" w:rsidRPr="00B30C78">
        <w:rPr>
          <w:rFonts w:ascii="Arial" w:eastAsia="Calibri" w:hAnsi="Arial" w:cs="Arial"/>
          <w:b/>
          <w:bCs/>
          <w:i/>
          <w:sz w:val="24"/>
          <w:szCs w:val="24"/>
        </w:rPr>
        <w:t>A</w:t>
      </w:r>
      <w:r w:rsidRPr="00B30C78">
        <w:rPr>
          <w:rFonts w:ascii="Arial" w:eastAsia="Calibri" w:hAnsi="Arial" w:cs="Arial"/>
          <w:b/>
          <w:bCs/>
          <w:i/>
          <w:sz w:val="24"/>
          <w:szCs w:val="24"/>
        </w:rPr>
        <w:t>D DE OFRECERLOS COMO PRUEBA EN EL INCIDENTE DE SUSPENSIÓN Y EL JUEZ DE DISTRITO ES OMISO EN HACERLO, VIOLA LAS LEYES DEL PROCEDIMIENTO, LO QUE AMERITA SU REPOSICIÓN.”</w:t>
      </w:r>
      <w:r w:rsidRPr="00B30C78">
        <w:rPr>
          <w:rFonts w:ascii="Arial" w:eastAsia="Calibri" w:hAnsi="Arial" w:cs="Arial"/>
          <w:bCs/>
          <w:sz w:val="26"/>
          <w:szCs w:val="26"/>
        </w:rPr>
        <w:t xml:space="preserve"> - - - - - - - - - - - -</w:t>
      </w:r>
    </w:p>
    <w:p w14:paraId="1595E2AF" w14:textId="5DEF7777" w:rsidR="004921F9" w:rsidRPr="00B30C78" w:rsidRDefault="004921F9" w:rsidP="008D1717">
      <w:pPr>
        <w:spacing w:after="120" w:line="360" w:lineRule="auto"/>
        <w:ind w:firstLine="709"/>
        <w:jc w:val="both"/>
        <w:rPr>
          <w:rFonts w:ascii="Arial" w:eastAsia="Calibri" w:hAnsi="Arial" w:cs="Arial"/>
          <w:bCs/>
          <w:sz w:val="26"/>
          <w:szCs w:val="26"/>
        </w:rPr>
      </w:pPr>
      <w:r w:rsidRPr="00B30C78">
        <w:rPr>
          <w:rFonts w:ascii="Arial" w:eastAsia="Calibri" w:hAnsi="Arial" w:cs="Arial"/>
          <w:bCs/>
          <w:sz w:val="26"/>
          <w:szCs w:val="26"/>
        </w:rPr>
        <w:lastRenderedPageBreak/>
        <w:t>Por último, expone que en ningún precepto de la Ley de Procedimiento y Justicia Administrativa del Estado de O</w:t>
      </w:r>
      <w:r w:rsidR="0034714B" w:rsidRPr="00B30C78">
        <w:rPr>
          <w:rFonts w:ascii="Arial" w:eastAsia="Calibri" w:hAnsi="Arial" w:cs="Arial"/>
          <w:bCs/>
          <w:sz w:val="26"/>
          <w:szCs w:val="26"/>
        </w:rPr>
        <w:t>axaca, se establecen los requisitos para la prueba de cotejo, ni muchos menos aun donde se indique que tenga que expresar como requisito lo que pretende probar con la prueba, por lo que indica, al no expresar el A quo el argumento fundado y motivado, viola el artículo 63, último párrafo de la citada Ley, al imponer que toda resolución debe estar fundada y motiva da, lo cual es acorde a los artículos 14 y 16 de la Constitución Política de los Estados Unidos Mexicanos. –transcribe dicho artículo- - - - - - - - -</w:t>
      </w:r>
    </w:p>
    <w:p w14:paraId="418C9AD3" w14:textId="77777777" w:rsidR="00C03DCD" w:rsidRPr="00B30C78" w:rsidRDefault="00C03DCD" w:rsidP="00C03DCD">
      <w:pPr>
        <w:spacing w:line="360" w:lineRule="auto"/>
        <w:ind w:firstLine="708"/>
        <w:jc w:val="both"/>
        <w:rPr>
          <w:rFonts w:ascii="Arial" w:eastAsia="Calibri" w:hAnsi="Arial" w:cs="Arial"/>
          <w:bCs/>
          <w:sz w:val="26"/>
          <w:szCs w:val="26"/>
        </w:rPr>
      </w:pPr>
      <w:r w:rsidRPr="00B30C78">
        <w:rPr>
          <w:rFonts w:ascii="Arial" w:eastAsia="Calibri" w:hAnsi="Arial" w:cs="Arial"/>
          <w:b/>
          <w:bCs/>
          <w:sz w:val="26"/>
          <w:szCs w:val="26"/>
        </w:rPr>
        <w:t>De</w:t>
      </w:r>
      <w:r w:rsidRPr="00B30C78">
        <w:rPr>
          <w:rFonts w:ascii="Arial" w:eastAsia="Calibri" w:hAnsi="Arial" w:cs="Arial"/>
          <w:bCs/>
          <w:sz w:val="26"/>
          <w:szCs w:val="26"/>
        </w:rPr>
        <w:t xml:space="preserve"> las constancias que obran en el expediente principal remitido para la substanciación del presente asunto, con valor probatorio pleno en términos del artículo </w:t>
      </w:r>
      <w:r w:rsidRPr="00B30C78">
        <w:rPr>
          <w:rFonts w:ascii="Arial" w:hAnsi="Arial" w:cs="Arial"/>
          <w:color w:val="000000"/>
          <w:sz w:val="26"/>
          <w:szCs w:val="26"/>
        </w:rPr>
        <w:t>203</w:t>
      </w:r>
      <w:r w:rsidRPr="00B30C78">
        <w:rPr>
          <w:rStyle w:val="Refdenotaalpie"/>
          <w:rFonts w:ascii="Arial" w:hAnsi="Arial" w:cs="Arial"/>
          <w:color w:val="000000"/>
          <w:sz w:val="26"/>
          <w:szCs w:val="26"/>
        </w:rPr>
        <w:footnoteReference w:id="1"/>
      </w:r>
      <w:r w:rsidRPr="00B30C78">
        <w:rPr>
          <w:rFonts w:ascii="Arial" w:eastAsia="Calibri" w:hAnsi="Arial" w:cs="Arial"/>
          <w:bCs/>
          <w:sz w:val="26"/>
          <w:szCs w:val="26"/>
        </w:rPr>
        <w:t xml:space="preserve">, fracción I de la Ley de Procedimiento y Justicia Administrativa para el Estado de Oaxaca, se colige lo siguiente:- </w:t>
      </w:r>
    </w:p>
    <w:p w14:paraId="55154E25" w14:textId="04724E8C" w:rsidR="004E3E0C" w:rsidRPr="00B30C78" w:rsidRDefault="00B56B12" w:rsidP="004E3E0C">
      <w:pPr>
        <w:spacing w:after="120" w:line="360" w:lineRule="auto"/>
        <w:ind w:firstLine="709"/>
        <w:jc w:val="both"/>
        <w:rPr>
          <w:rFonts w:ascii="Arial" w:eastAsia="Calibri" w:hAnsi="Arial" w:cs="Arial"/>
          <w:bCs/>
          <w:sz w:val="26"/>
          <w:szCs w:val="26"/>
        </w:rPr>
      </w:pPr>
      <w:r w:rsidRPr="00B30C78">
        <w:rPr>
          <w:rFonts w:ascii="Arial" w:eastAsia="Calibri" w:hAnsi="Arial" w:cs="Arial"/>
          <w:b/>
          <w:sz w:val="26"/>
          <w:szCs w:val="26"/>
        </w:rPr>
        <w:t>1)</w:t>
      </w:r>
      <w:r w:rsidRPr="00B30C78">
        <w:rPr>
          <w:rFonts w:ascii="Arial" w:eastAsia="Calibri" w:hAnsi="Arial" w:cs="Arial"/>
          <w:bCs/>
          <w:sz w:val="26"/>
          <w:szCs w:val="26"/>
        </w:rPr>
        <w:t xml:space="preserve"> </w:t>
      </w:r>
      <w:r w:rsidR="00C03DCD" w:rsidRPr="00B30C78">
        <w:rPr>
          <w:rFonts w:ascii="Arial" w:eastAsia="Calibri" w:hAnsi="Arial" w:cs="Arial"/>
          <w:bCs/>
          <w:sz w:val="26"/>
          <w:szCs w:val="26"/>
        </w:rPr>
        <w:t xml:space="preserve">Oficio número </w:t>
      </w:r>
      <w:r w:rsidR="00D96E67">
        <w:rPr>
          <w:rFonts w:ascii="Arial" w:eastAsia="Calibri" w:hAnsi="Arial" w:cs="Arial"/>
          <w:bCs/>
          <w:sz w:val="26"/>
          <w:szCs w:val="26"/>
        </w:rPr>
        <w:t>*******</w:t>
      </w:r>
      <w:r w:rsidRPr="00B30C78">
        <w:rPr>
          <w:rFonts w:ascii="Arial" w:eastAsia="Calibri" w:hAnsi="Arial" w:cs="Arial"/>
          <w:bCs/>
          <w:sz w:val="26"/>
          <w:szCs w:val="26"/>
        </w:rPr>
        <w:t xml:space="preserve"> de catorce de abril de dos mil veintiuno, con el cual el Director Jurídico de la Secretaría de Movilidad del Estado de Oaxaca, en representación legal de dicha Secretaría, da contestación a la demanda </w:t>
      </w:r>
      <w:r w:rsidR="004E3E0C" w:rsidRPr="00B30C78">
        <w:rPr>
          <w:rFonts w:ascii="Arial" w:eastAsia="Calibri" w:hAnsi="Arial" w:cs="Arial"/>
          <w:bCs/>
          <w:sz w:val="26"/>
          <w:szCs w:val="26"/>
        </w:rPr>
        <w:t xml:space="preserve">promovida por </w:t>
      </w:r>
      <w:r w:rsidR="00D96E67">
        <w:rPr>
          <w:rFonts w:ascii="Arial" w:eastAsia="Calibri" w:hAnsi="Arial" w:cs="Arial"/>
          <w:bCs/>
          <w:sz w:val="26"/>
          <w:szCs w:val="26"/>
        </w:rPr>
        <w:t>*******</w:t>
      </w:r>
      <w:r w:rsidR="004E3E0C" w:rsidRPr="00B30C78">
        <w:rPr>
          <w:rFonts w:ascii="Arial" w:eastAsia="Calibri" w:hAnsi="Arial" w:cs="Arial"/>
          <w:bCs/>
          <w:sz w:val="26"/>
          <w:szCs w:val="26"/>
        </w:rPr>
        <w:t xml:space="preserve">, en representación de </w:t>
      </w:r>
      <w:r w:rsidR="00D96E67">
        <w:rPr>
          <w:rFonts w:ascii="Arial" w:eastAsia="Calibri" w:hAnsi="Arial" w:cs="Arial"/>
          <w:bCs/>
          <w:sz w:val="26"/>
          <w:szCs w:val="26"/>
        </w:rPr>
        <w:t>*******</w:t>
      </w:r>
      <w:r w:rsidR="004E3E0C" w:rsidRPr="00B30C78">
        <w:rPr>
          <w:rFonts w:ascii="Arial" w:eastAsia="Calibri" w:hAnsi="Arial" w:cs="Arial"/>
          <w:bCs/>
          <w:sz w:val="26"/>
          <w:szCs w:val="26"/>
        </w:rPr>
        <w:t xml:space="preserve">”, en donde ofrece la prueba de cotejo señalando lo siguiente: </w:t>
      </w:r>
      <w:r w:rsidR="00DF643F">
        <w:rPr>
          <w:rFonts w:ascii="Arial" w:eastAsia="Calibri" w:hAnsi="Arial" w:cs="Arial"/>
          <w:bCs/>
          <w:sz w:val="26"/>
          <w:szCs w:val="26"/>
        </w:rPr>
        <w:t xml:space="preserve">- - - - - - - - - - - </w:t>
      </w:r>
    </w:p>
    <w:p w14:paraId="1CE60435" w14:textId="05949844" w:rsidR="00106197" w:rsidRPr="00B30C78" w:rsidRDefault="004E3E0C" w:rsidP="004E3E0C">
      <w:pPr>
        <w:spacing w:after="120" w:line="360" w:lineRule="auto"/>
        <w:ind w:left="851" w:right="900" w:firstLine="709"/>
        <w:jc w:val="both"/>
        <w:rPr>
          <w:rFonts w:ascii="Arial" w:eastAsia="Calibri" w:hAnsi="Arial" w:cs="Arial"/>
          <w:bCs/>
          <w:i/>
          <w:color w:val="000000" w:themeColor="text1"/>
        </w:rPr>
      </w:pPr>
      <w:r w:rsidRPr="00B30C78">
        <w:rPr>
          <w:rFonts w:ascii="Arial" w:eastAsia="Calibri" w:hAnsi="Arial" w:cs="Arial"/>
          <w:bCs/>
          <w:i/>
        </w:rPr>
        <w:t>“</w:t>
      </w:r>
      <w:r w:rsidRPr="00B30C78">
        <w:rPr>
          <w:rFonts w:ascii="Arial" w:eastAsia="Calibri" w:hAnsi="Arial" w:cs="Arial"/>
          <w:b/>
          <w:bCs/>
          <w:i/>
        </w:rPr>
        <w:t xml:space="preserve">LA PRUEBA DE COTEJO: </w:t>
      </w:r>
      <w:r w:rsidRPr="00B30C78">
        <w:rPr>
          <w:rFonts w:ascii="Arial" w:eastAsia="Calibri" w:hAnsi="Arial" w:cs="Arial"/>
          <w:bCs/>
          <w:i/>
        </w:rPr>
        <w:t>que deberá realizarse a los 5 escritos de fecha  27 de febrero de 2019 y recibidos supuestamente el 03 de abril de 2019, exhibidos en copias certificadas para que sean confrontados o comparados con los acuses en original (sic) el personal de los propios oficios</w:t>
      </w:r>
      <w:r w:rsidR="00D96E67">
        <w:rPr>
          <w:rFonts w:ascii="Arial" w:eastAsia="Calibri" w:hAnsi="Arial" w:cs="Arial"/>
          <w:bCs/>
          <w:i/>
        </w:rPr>
        <w:t xml:space="preserve"> </w:t>
      </w:r>
      <w:r w:rsidR="00D96E67">
        <w:rPr>
          <w:rFonts w:ascii="Arial" w:eastAsia="Calibri" w:hAnsi="Arial" w:cs="Arial"/>
          <w:bCs/>
          <w:i/>
          <w:color w:val="000000" w:themeColor="text1"/>
        </w:rPr>
        <w:t>*******</w:t>
      </w:r>
      <w:r w:rsidRPr="00B30C78">
        <w:rPr>
          <w:rFonts w:ascii="Arial" w:eastAsia="Calibri" w:hAnsi="Arial" w:cs="Arial"/>
          <w:bCs/>
          <w:i/>
          <w:color w:val="000000" w:themeColor="text1"/>
        </w:rPr>
        <w:t xml:space="preserve">, </w:t>
      </w:r>
      <w:r w:rsidR="00D96E67">
        <w:rPr>
          <w:rFonts w:ascii="Arial" w:eastAsia="Calibri" w:hAnsi="Arial" w:cs="Arial"/>
          <w:bCs/>
          <w:i/>
          <w:color w:val="000000" w:themeColor="text1"/>
        </w:rPr>
        <w:t>*******</w:t>
      </w:r>
      <w:r w:rsidR="00D96E67">
        <w:rPr>
          <w:rFonts w:ascii="Arial" w:eastAsia="Calibri" w:hAnsi="Arial" w:cs="Arial"/>
          <w:bCs/>
          <w:i/>
          <w:color w:val="000000" w:themeColor="text1"/>
        </w:rPr>
        <w:t>,</w:t>
      </w:r>
      <w:r w:rsidRPr="00B30C78">
        <w:rPr>
          <w:rFonts w:ascii="Arial" w:eastAsia="Calibri" w:hAnsi="Arial" w:cs="Arial"/>
          <w:bCs/>
          <w:i/>
          <w:color w:val="000000" w:themeColor="text1"/>
        </w:rPr>
        <w:t xml:space="preserve"> </w:t>
      </w:r>
      <w:r w:rsidR="00D96E67">
        <w:rPr>
          <w:rFonts w:ascii="Arial" w:eastAsia="Calibri" w:hAnsi="Arial" w:cs="Arial"/>
          <w:bCs/>
          <w:i/>
          <w:color w:val="000000" w:themeColor="text1"/>
        </w:rPr>
        <w:t>*******</w:t>
      </w:r>
      <w:r w:rsidRPr="00B30C78">
        <w:rPr>
          <w:rFonts w:ascii="Arial" w:eastAsia="Calibri" w:hAnsi="Arial" w:cs="Arial"/>
          <w:bCs/>
          <w:i/>
          <w:color w:val="000000" w:themeColor="text1"/>
        </w:rPr>
        <w:t xml:space="preserve"> Y </w:t>
      </w:r>
      <w:r w:rsidR="00D96E67">
        <w:rPr>
          <w:rFonts w:ascii="Arial" w:eastAsia="Calibri" w:hAnsi="Arial" w:cs="Arial"/>
          <w:bCs/>
          <w:i/>
          <w:color w:val="000000" w:themeColor="text1"/>
        </w:rPr>
        <w:t>*******</w:t>
      </w:r>
      <w:r w:rsidRPr="00B30C78">
        <w:rPr>
          <w:rFonts w:ascii="Arial" w:eastAsia="Calibri" w:hAnsi="Arial" w:cs="Arial"/>
          <w:bCs/>
          <w:i/>
          <w:color w:val="000000" w:themeColor="text1"/>
        </w:rPr>
        <w:t xml:space="preserve"> mediantes (sic) los cuales notifica a esta Secretaría la demanda interpuesta por el actor en los cuales, puede apreciar el sello, la rúbrica, la descripción de los documentos si lo hubiere y el folio consecutivo.</w:t>
      </w:r>
    </w:p>
    <w:p w14:paraId="0F1965E6" w14:textId="78B408F8" w:rsidR="004E3E0C" w:rsidRPr="00B30C78" w:rsidRDefault="004E3E0C" w:rsidP="004E3E0C">
      <w:pPr>
        <w:spacing w:after="120" w:line="360" w:lineRule="auto"/>
        <w:ind w:left="851" w:right="900"/>
        <w:jc w:val="both"/>
        <w:rPr>
          <w:rFonts w:ascii="Arial" w:eastAsia="Calibri" w:hAnsi="Arial" w:cs="Arial"/>
          <w:bCs/>
          <w:i/>
        </w:rPr>
      </w:pPr>
      <w:r w:rsidRPr="00B30C78">
        <w:rPr>
          <w:rFonts w:ascii="Arial" w:eastAsia="Calibri" w:hAnsi="Arial" w:cs="Arial"/>
          <w:bCs/>
          <w:i/>
        </w:rPr>
        <w:t xml:space="preserve">Asimismo, el personal actuante verifique que los sellos puestos en los 5 escritos, coincidan con las características de los escritos de Petición anexados al memorándum </w:t>
      </w:r>
      <w:r w:rsidR="007B43BC">
        <w:rPr>
          <w:rFonts w:ascii="Arial" w:eastAsia="Calibri" w:hAnsi="Arial" w:cs="Arial"/>
          <w:b/>
          <w:bCs/>
          <w:i/>
        </w:rPr>
        <w:t>*******</w:t>
      </w:r>
      <w:r w:rsidRPr="00B30C78">
        <w:rPr>
          <w:rFonts w:ascii="Arial" w:eastAsia="Calibri" w:hAnsi="Arial" w:cs="Arial"/>
          <w:b/>
          <w:bCs/>
          <w:i/>
        </w:rPr>
        <w:t xml:space="preserve">, </w:t>
      </w:r>
      <w:r w:rsidRPr="00B30C78">
        <w:rPr>
          <w:rFonts w:ascii="Arial" w:eastAsia="Calibri" w:hAnsi="Arial" w:cs="Arial"/>
          <w:bCs/>
          <w:i/>
        </w:rPr>
        <w:t>de cinco de abril de dos mil veintiuno, suscrito por la Secretaria Particular d esta Secretaria, es decir, el sello, firma o rúbrica de las persona que recibió en la Secretaría el día 03 de abril de 2019.</w:t>
      </w:r>
    </w:p>
    <w:p w14:paraId="4E9C8160" w14:textId="3BF1088C" w:rsidR="007C0449" w:rsidRPr="00B30C78" w:rsidRDefault="007C0449" w:rsidP="004E3E0C">
      <w:pPr>
        <w:spacing w:after="120" w:line="360" w:lineRule="auto"/>
        <w:ind w:left="851" w:right="900"/>
        <w:jc w:val="both"/>
        <w:rPr>
          <w:rFonts w:ascii="Arial" w:eastAsia="Calibri" w:hAnsi="Arial" w:cs="Arial"/>
          <w:bCs/>
          <w:i/>
        </w:rPr>
      </w:pPr>
      <w:r w:rsidRPr="00B30C78">
        <w:rPr>
          <w:rFonts w:ascii="Arial" w:eastAsia="Calibri" w:hAnsi="Arial" w:cs="Arial"/>
          <w:bCs/>
          <w:i/>
        </w:rPr>
        <w:t>Lo anterior en términos de los artículos 330 y 331 del Código de Procedimientos Civiles para el Estado de Oaxaca de aplicación supletoria a la Ley de Proce</w:t>
      </w:r>
      <w:r w:rsidR="008D2A8D" w:rsidRPr="00B30C78">
        <w:rPr>
          <w:rFonts w:ascii="Arial" w:eastAsia="Calibri" w:hAnsi="Arial" w:cs="Arial"/>
          <w:bCs/>
          <w:i/>
        </w:rPr>
        <w:t>dimiento y Justicia Administrativa.</w:t>
      </w:r>
    </w:p>
    <w:p w14:paraId="2FFA99F5" w14:textId="20D263F9" w:rsidR="008D2A8D" w:rsidRPr="00B30C78" w:rsidRDefault="008D2A8D" w:rsidP="004E3E0C">
      <w:pPr>
        <w:spacing w:after="120" w:line="360" w:lineRule="auto"/>
        <w:ind w:left="851" w:right="900"/>
        <w:jc w:val="both"/>
        <w:rPr>
          <w:rFonts w:ascii="Arial" w:eastAsia="Calibri" w:hAnsi="Arial" w:cs="Arial"/>
          <w:b/>
          <w:bCs/>
          <w:i/>
        </w:rPr>
      </w:pPr>
      <w:r w:rsidRPr="00B30C78">
        <w:rPr>
          <w:rFonts w:ascii="Arial" w:eastAsia="Calibri" w:hAnsi="Arial" w:cs="Arial"/>
          <w:b/>
          <w:bCs/>
          <w:i/>
        </w:rPr>
        <w:lastRenderedPageBreak/>
        <w:t>“330. Podrá pedirse el cotejo de firmas y letras, siempre que se niegue o que se ponga en duda la autenticidad de un documento privado o de un documento que carezca de matriz. Para este cotejo se procederá son sujeción a lo que se previene en la sección IV de este capítulo.</w:t>
      </w:r>
    </w:p>
    <w:p w14:paraId="19EC7F0A" w14:textId="73608287" w:rsidR="008D2A8D" w:rsidRPr="00B30C78" w:rsidRDefault="008D2A8D" w:rsidP="004E3E0C">
      <w:pPr>
        <w:spacing w:after="120" w:line="360" w:lineRule="auto"/>
        <w:ind w:left="851" w:right="900"/>
        <w:jc w:val="both"/>
        <w:rPr>
          <w:rFonts w:ascii="Arial" w:eastAsia="Calibri" w:hAnsi="Arial" w:cs="Arial"/>
          <w:b/>
          <w:bCs/>
          <w:i/>
        </w:rPr>
      </w:pPr>
      <w:r w:rsidRPr="00B30C78">
        <w:rPr>
          <w:rFonts w:ascii="Arial" w:eastAsia="Calibri" w:hAnsi="Arial" w:cs="Arial"/>
          <w:b/>
          <w:bCs/>
          <w:i/>
        </w:rPr>
        <w:t>331.- La persona que pida el cotejo designará el documento o documentos indubitados con que debe hacerse, o pedirá al tribunal que cite al interesado para que en su presencia ponga la firma o letras que sirvan para el cotejo.</w:t>
      </w:r>
    </w:p>
    <w:p w14:paraId="587C7CF6" w14:textId="1B10518A" w:rsidR="008D2A8D" w:rsidRPr="00B30C78" w:rsidRDefault="008D2A8D" w:rsidP="004E3E0C">
      <w:pPr>
        <w:spacing w:after="120" w:line="360" w:lineRule="auto"/>
        <w:ind w:left="851" w:right="900"/>
        <w:jc w:val="both"/>
        <w:rPr>
          <w:rFonts w:ascii="Arial" w:eastAsia="Calibri" w:hAnsi="Arial" w:cs="Arial"/>
          <w:bCs/>
          <w:i/>
        </w:rPr>
      </w:pPr>
      <w:r w:rsidRPr="00B30C78">
        <w:rPr>
          <w:rFonts w:ascii="Arial" w:eastAsia="Calibri" w:hAnsi="Arial" w:cs="Arial"/>
          <w:bCs/>
          <w:i/>
        </w:rPr>
        <w:t>Prueba que relaciono</w:t>
      </w:r>
      <w:r w:rsidR="00C63723" w:rsidRPr="00B30C78">
        <w:rPr>
          <w:rFonts w:ascii="Arial" w:eastAsia="Calibri" w:hAnsi="Arial" w:cs="Arial"/>
          <w:bCs/>
          <w:i/>
        </w:rPr>
        <w:t xml:space="preserve"> (sic)</w:t>
      </w:r>
      <w:r w:rsidRPr="00B30C78">
        <w:rPr>
          <w:rFonts w:ascii="Arial" w:eastAsia="Calibri" w:hAnsi="Arial" w:cs="Arial"/>
          <w:bCs/>
          <w:i/>
        </w:rPr>
        <w:t xml:space="preserve"> con todos y cada uno de los hechos planteados.”</w:t>
      </w:r>
    </w:p>
    <w:p w14:paraId="149C5E40" w14:textId="2195B17C" w:rsidR="00576FC3" w:rsidRPr="00B30C78" w:rsidRDefault="00030156" w:rsidP="00053474">
      <w:pPr>
        <w:spacing w:after="120" w:line="360" w:lineRule="auto"/>
        <w:ind w:firstLine="709"/>
        <w:jc w:val="both"/>
        <w:rPr>
          <w:rFonts w:ascii="Arial" w:eastAsia="Calibri" w:hAnsi="Arial" w:cs="Arial"/>
          <w:bCs/>
          <w:color w:val="000000" w:themeColor="text1"/>
          <w:sz w:val="26"/>
          <w:szCs w:val="26"/>
        </w:rPr>
      </w:pPr>
      <w:r w:rsidRPr="00B30C78">
        <w:rPr>
          <w:rFonts w:ascii="Arial" w:hAnsi="Arial" w:cs="Arial"/>
          <w:sz w:val="26"/>
          <w:szCs w:val="26"/>
        </w:rPr>
        <w:t>R</w:t>
      </w:r>
      <w:r w:rsidR="00705D00" w:rsidRPr="00B30C78">
        <w:rPr>
          <w:rFonts w:ascii="Arial" w:eastAsia="Calibri" w:hAnsi="Arial" w:cs="Arial"/>
          <w:bCs/>
          <w:sz w:val="26"/>
          <w:szCs w:val="26"/>
        </w:rPr>
        <w:t xml:space="preserve">esulta </w:t>
      </w:r>
      <w:r w:rsidR="00705D00" w:rsidRPr="00B30C78">
        <w:rPr>
          <w:rFonts w:ascii="Arial" w:eastAsia="Calibri" w:hAnsi="Arial" w:cs="Arial"/>
          <w:b/>
          <w:bCs/>
          <w:sz w:val="26"/>
          <w:szCs w:val="26"/>
        </w:rPr>
        <w:t xml:space="preserve">INFUNDADO </w:t>
      </w:r>
      <w:r w:rsidR="00705D00" w:rsidRPr="00B30C78">
        <w:rPr>
          <w:rFonts w:ascii="Arial" w:eastAsia="Calibri" w:hAnsi="Arial" w:cs="Arial"/>
          <w:bCs/>
          <w:sz w:val="26"/>
          <w:szCs w:val="26"/>
        </w:rPr>
        <w:t>el agravio expuesto por el recurrente, toda vez que</w:t>
      </w:r>
      <w:r w:rsidR="00705D00" w:rsidRPr="00B30C78">
        <w:rPr>
          <w:rFonts w:ascii="Arial" w:hAnsi="Arial" w:cs="Arial"/>
          <w:sz w:val="26"/>
          <w:szCs w:val="26"/>
        </w:rPr>
        <w:t xml:space="preserve"> </w:t>
      </w:r>
      <w:r w:rsidR="00053474" w:rsidRPr="00B30C78">
        <w:rPr>
          <w:rFonts w:ascii="Arial" w:hAnsi="Arial" w:cs="Arial"/>
          <w:sz w:val="26"/>
          <w:szCs w:val="26"/>
        </w:rPr>
        <w:t>el Director Jurídico de la Secretaría de Movilidad</w:t>
      </w:r>
      <w:r w:rsidR="00AE5819" w:rsidRPr="00B30C78">
        <w:rPr>
          <w:rFonts w:ascii="Arial" w:hAnsi="Arial" w:cs="Arial"/>
          <w:sz w:val="26"/>
          <w:szCs w:val="26"/>
        </w:rPr>
        <w:t xml:space="preserve"> al contestar </w:t>
      </w:r>
      <w:r w:rsidR="00053474" w:rsidRPr="00B30C78">
        <w:rPr>
          <w:rFonts w:ascii="Arial" w:hAnsi="Arial" w:cs="Arial"/>
          <w:sz w:val="26"/>
          <w:szCs w:val="26"/>
        </w:rPr>
        <w:t xml:space="preserve">la demanda en representación del Secretario de Movilidad de Oaxaca, </w:t>
      </w:r>
      <w:r w:rsidR="002E3B1C" w:rsidRPr="00B30C78">
        <w:rPr>
          <w:rFonts w:ascii="Arial" w:hAnsi="Arial" w:cs="Arial"/>
          <w:sz w:val="26"/>
          <w:szCs w:val="26"/>
        </w:rPr>
        <w:t xml:space="preserve">señaló en su escrito </w:t>
      </w:r>
      <w:r w:rsidR="00AE5819" w:rsidRPr="00B30C78">
        <w:rPr>
          <w:rFonts w:ascii="Arial" w:hAnsi="Arial" w:cs="Arial"/>
          <w:sz w:val="26"/>
          <w:szCs w:val="26"/>
        </w:rPr>
        <w:t>respectivo presentado</w:t>
      </w:r>
      <w:r w:rsidR="00053474" w:rsidRPr="00B30C78">
        <w:rPr>
          <w:rFonts w:ascii="Arial" w:hAnsi="Arial" w:cs="Arial"/>
          <w:sz w:val="26"/>
          <w:szCs w:val="26"/>
        </w:rPr>
        <w:t xml:space="preserve"> el quince de abril de dos mil veintiuno, </w:t>
      </w:r>
      <w:r w:rsidR="002E3B1C" w:rsidRPr="00B30C78">
        <w:rPr>
          <w:rFonts w:ascii="Arial" w:hAnsi="Arial" w:cs="Arial"/>
          <w:sz w:val="26"/>
          <w:szCs w:val="26"/>
        </w:rPr>
        <w:t xml:space="preserve">que </w:t>
      </w:r>
      <w:r w:rsidR="00053474" w:rsidRPr="00B30C78">
        <w:rPr>
          <w:rFonts w:ascii="Arial" w:hAnsi="Arial" w:cs="Arial"/>
          <w:sz w:val="26"/>
          <w:szCs w:val="26"/>
        </w:rPr>
        <w:t xml:space="preserve">solicita </w:t>
      </w:r>
      <w:r w:rsidR="002E3B1C" w:rsidRPr="00B30C78">
        <w:rPr>
          <w:rFonts w:ascii="Arial" w:hAnsi="Arial" w:cs="Arial"/>
          <w:sz w:val="26"/>
          <w:szCs w:val="26"/>
        </w:rPr>
        <w:t>la prueba de</w:t>
      </w:r>
      <w:r w:rsidR="00053474" w:rsidRPr="00B30C78">
        <w:rPr>
          <w:rFonts w:ascii="Arial" w:hAnsi="Arial" w:cs="Arial"/>
          <w:sz w:val="26"/>
          <w:szCs w:val="26"/>
        </w:rPr>
        <w:t xml:space="preserve"> cotejo en los cinco escrito</w:t>
      </w:r>
      <w:r w:rsidR="00C071AF" w:rsidRPr="00B30C78">
        <w:rPr>
          <w:rFonts w:ascii="Arial" w:hAnsi="Arial" w:cs="Arial"/>
          <w:sz w:val="26"/>
          <w:szCs w:val="26"/>
        </w:rPr>
        <w:t>s</w:t>
      </w:r>
      <w:r w:rsidR="00053474" w:rsidRPr="00B30C78">
        <w:rPr>
          <w:rFonts w:ascii="Arial" w:hAnsi="Arial" w:cs="Arial"/>
          <w:sz w:val="26"/>
          <w:szCs w:val="26"/>
        </w:rPr>
        <w:t xml:space="preserve"> de petición de veintisiete de febrero de dos mil diecinueve, recibido</w:t>
      </w:r>
      <w:r w:rsidR="00AE5819" w:rsidRPr="00B30C78">
        <w:rPr>
          <w:rFonts w:ascii="Arial" w:hAnsi="Arial" w:cs="Arial"/>
          <w:sz w:val="26"/>
          <w:szCs w:val="26"/>
        </w:rPr>
        <w:t>s</w:t>
      </w:r>
      <w:r w:rsidR="00053474" w:rsidRPr="00B30C78">
        <w:rPr>
          <w:rFonts w:ascii="Arial" w:hAnsi="Arial" w:cs="Arial"/>
          <w:sz w:val="26"/>
          <w:szCs w:val="26"/>
        </w:rPr>
        <w:t xml:space="preserve"> </w:t>
      </w:r>
      <w:r w:rsidR="00C071AF" w:rsidRPr="00B30C78">
        <w:rPr>
          <w:rFonts w:ascii="Arial" w:hAnsi="Arial" w:cs="Arial"/>
          <w:sz w:val="26"/>
          <w:szCs w:val="26"/>
        </w:rPr>
        <w:t xml:space="preserve">por la secretaria particular de la Secretaría de Movilidad del Estado el tres de abril del </w:t>
      </w:r>
      <w:r w:rsidR="00053474" w:rsidRPr="00B30C78">
        <w:rPr>
          <w:rFonts w:ascii="Arial" w:hAnsi="Arial" w:cs="Arial"/>
          <w:sz w:val="26"/>
          <w:szCs w:val="26"/>
        </w:rPr>
        <w:t xml:space="preserve">mismo año, con los originales de los acuses de los oficios números </w:t>
      </w:r>
      <w:r w:rsidR="007B43BC">
        <w:rPr>
          <w:rFonts w:ascii="Arial" w:hAnsi="Arial" w:cs="Arial"/>
          <w:sz w:val="26"/>
          <w:szCs w:val="26"/>
        </w:rPr>
        <w:t>*</w:t>
      </w:r>
      <w:r w:rsidR="007B43BC">
        <w:rPr>
          <w:rFonts w:ascii="Arial" w:eastAsia="Calibri" w:hAnsi="Arial" w:cs="Arial"/>
          <w:bCs/>
          <w:color w:val="000000" w:themeColor="text1"/>
          <w:sz w:val="26"/>
          <w:szCs w:val="26"/>
        </w:rPr>
        <w:t>******</w:t>
      </w:r>
      <w:r w:rsidR="00053474" w:rsidRPr="00B30C78">
        <w:rPr>
          <w:rFonts w:ascii="Arial" w:eastAsia="Calibri" w:hAnsi="Arial" w:cs="Arial"/>
          <w:bCs/>
          <w:color w:val="000000" w:themeColor="text1"/>
          <w:sz w:val="26"/>
          <w:szCs w:val="26"/>
        </w:rPr>
        <w:t>,</w:t>
      </w:r>
      <w:r w:rsidR="007B43BC">
        <w:rPr>
          <w:rFonts w:ascii="Arial" w:hAnsi="Arial" w:cs="Arial"/>
          <w:sz w:val="26"/>
          <w:szCs w:val="26"/>
        </w:rPr>
        <w:t>*</w:t>
      </w:r>
      <w:r w:rsidR="007B43BC">
        <w:rPr>
          <w:rFonts w:ascii="Arial" w:eastAsia="Calibri" w:hAnsi="Arial" w:cs="Arial"/>
          <w:bCs/>
          <w:color w:val="000000" w:themeColor="text1"/>
          <w:sz w:val="26"/>
          <w:szCs w:val="26"/>
        </w:rPr>
        <w:t>******</w:t>
      </w:r>
      <w:r w:rsidR="00595F3F">
        <w:rPr>
          <w:rFonts w:ascii="Arial" w:eastAsia="Calibri" w:hAnsi="Arial" w:cs="Arial"/>
          <w:bCs/>
          <w:color w:val="000000" w:themeColor="text1"/>
          <w:sz w:val="26"/>
          <w:szCs w:val="26"/>
        </w:rPr>
        <w:t xml:space="preserve">, </w:t>
      </w:r>
      <w:r w:rsidR="007B43BC">
        <w:rPr>
          <w:rFonts w:ascii="Arial" w:hAnsi="Arial" w:cs="Arial"/>
          <w:sz w:val="26"/>
          <w:szCs w:val="26"/>
        </w:rPr>
        <w:t>*</w:t>
      </w:r>
      <w:r w:rsidR="007B43BC">
        <w:rPr>
          <w:rFonts w:ascii="Arial" w:eastAsia="Calibri" w:hAnsi="Arial" w:cs="Arial"/>
          <w:bCs/>
          <w:color w:val="000000" w:themeColor="text1"/>
          <w:sz w:val="26"/>
          <w:szCs w:val="26"/>
        </w:rPr>
        <w:t>******</w:t>
      </w:r>
      <w:r w:rsidR="00595F3F">
        <w:rPr>
          <w:rFonts w:ascii="Arial" w:eastAsia="Calibri" w:hAnsi="Arial" w:cs="Arial"/>
          <w:bCs/>
          <w:color w:val="000000" w:themeColor="text1"/>
          <w:sz w:val="26"/>
          <w:szCs w:val="26"/>
        </w:rPr>
        <w:t xml:space="preserve"> y</w:t>
      </w:r>
      <w:r w:rsidR="00053474" w:rsidRPr="00B30C78">
        <w:rPr>
          <w:rFonts w:ascii="Arial" w:eastAsia="Calibri" w:hAnsi="Arial" w:cs="Arial"/>
          <w:bCs/>
          <w:color w:val="000000" w:themeColor="text1"/>
          <w:sz w:val="26"/>
          <w:szCs w:val="26"/>
        </w:rPr>
        <w:t xml:space="preserve"> </w:t>
      </w:r>
      <w:r w:rsidR="007B43BC">
        <w:rPr>
          <w:rFonts w:ascii="Arial" w:hAnsi="Arial" w:cs="Arial"/>
          <w:sz w:val="26"/>
          <w:szCs w:val="26"/>
        </w:rPr>
        <w:t>*</w:t>
      </w:r>
      <w:r w:rsidR="007B43BC">
        <w:rPr>
          <w:rFonts w:ascii="Arial" w:eastAsia="Calibri" w:hAnsi="Arial" w:cs="Arial"/>
          <w:bCs/>
          <w:color w:val="000000" w:themeColor="text1"/>
          <w:sz w:val="26"/>
          <w:szCs w:val="26"/>
        </w:rPr>
        <w:t>******</w:t>
      </w:r>
      <w:r w:rsidR="00053474" w:rsidRPr="00B30C78">
        <w:rPr>
          <w:rFonts w:ascii="Arial" w:eastAsia="Calibri" w:hAnsi="Arial" w:cs="Arial"/>
          <w:bCs/>
          <w:color w:val="000000" w:themeColor="text1"/>
          <w:sz w:val="26"/>
          <w:szCs w:val="26"/>
        </w:rPr>
        <w:t>,</w:t>
      </w:r>
      <w:r w:rsidR="00053474" w:rsidRPr="00B30C78">
        <w:rPr>
          <w:rFonts w:ascii="Arial" w:eastAsia="Calibri" w:hAnsi="Arial" w:cs="Arial"/>
          <w:bCs/>
          <w:i/>
          <w:color w:val="000000" w:themeColor="text1"/>
        </w:rPr>
        <w:t xml:space="preserve"> </w:t>
      </w:r>
      <w:r w:rsidR="00053474" w:rsidRPr="00B30C78">
        <w:rPr>
          <w:rFonts w:ascii="Arial" w:eastAsia="Calibri" w:hAnsi="Arial" w:cs="Arial"/>
          <w:bCs/>
          <w:color w:val="000000" w:themeColor="text1"/>
          <w:sz w:val="26"/>
          <w:szCs w:val="26"/>
        </w:rPr>
        <w:t xml:space="preserve">mediante los cuales se notificó a la Secretaría de Movilidad del Estado de Oaxaca, la demanda interpuesta por el actor, </w:t>
      </w:r>
      <w:r w:rsidR="002E3B1C" w:rsidRPr="00B30C78">
        <w:rPr>
          <w:rFonts w:ascii="Arial" w:eastAsia="Calibri" w:hAnsi="Arial" w:cs="Arial"/>
          <w:bCs/>
          <w:color w:val="000000" w:themeColor="text1"/>
          <w:sz w:val="26"/>
          <w:szCs w:val="26"/>
        </w:rPr>
        <w:t>donde se puede</w:t>
      </w:r>
      <w:r w:rsidR="002E3B1C">
        <w:rPr>
          <w:rFonts w:ascii="Arial" w:eastAsia="Calibri" w:hAnsi="Arial" w:cs="Arial"/>
          <w:bCs/>
          <w:color w:val="000000" w:themeColor="text1"/>
          <w:sz w:val="26"/>
          <w:szCs w:val="26"/>
        </w:rPr>
        <w:t xml:space="preserve"> apreciar </w:t>
      </w:r>
      <w:r w:rsidR="00053474" w:rsidRPr="00053474">
        <w:rPr>
          <w:rFonts w:ascii="Arial" w:eastAsia="Calibri" w:hAnsi="Arial" w:cs="Arial"/>
          <w:bCs/>
          <w:color w:val="000000" w:themeColor="text1"/>
          <w:sz w:val="26"/>
          <w:szCs w:val="26"/>
        </w:rPr>
        <w:t>el sello, la rúbrica, la descripción de los documentos si lo</w:t>
      </w:r>
      <w:r w:rsidR="002E3B1C">
        <w:rPr>
          <w:rFonts w:ascii="Arial" w:eastAsia="Calibri" w:hAnsi="Arial" w:cs="Arial"/>
          <w:bCs/>
          <w:color w:val="000000" w:themeColor="text1"/>
          <w:sz w:val="26"/>
          <w:szCs w:val="26"/>
        </w:rPr>
        <w:t xml:space="preserve"> hubiere y el folio consecutivo</w:t>
      </w:r>
      <w:r w:rsidR="00BD7D3E">
        <w:rPr>
          <w:rFonts w:ascii="Arial" w:eastAsia="Calibri" w:hAnsi="Arial" w:cs="Arial"/>
          <w:bCs/>
          <w:color w:val="000000" w:themeColor="text1"/>
          <w:sz w:val="26"/>
          <w:szCs w:val="26"/>
        </w:rPr>
        <w:t>, y se</w:t>
      </w:r>
      <w:r w:rsidR="002E3B1C">
        <w:rPr>
          <w:rFonts w:ascii="Arial" w:eastAsia="Calibri" w:hAnsi="Arial" w:cs="Arial"/>
          <w:bCs/>
          <w:color w:val="000000" w:themeColor="text1"/>
          <w:sz w:val="26"/>
          <w:szCs w:val="26"/>
        </w:rPr>
        <w:t xml:space="preserve"> verifique que coincidan con los sellos, firma o rúbrica </w:t>
      </w:r>
      <w:r w:rsidR="00BD7D3E">
        <w:rPr>
          <w:rFonts w:ascii="Arial" w:eastAsia="Calibri" w:hAnsi="Arial" w:cs="Arial"/>
          <w:bCs/>
          <w:color w:val="000000" w:themeColor="text1"/>
          <w:sz w:val="26"/>
          <w:szCs w:val="26"/>
        </w:rPr>
        <w:t>puestos en los cinco escritos señalados, por</w:t>
      </w:r>
      <w:r w:rsidR="002E3B1C">
        <w:rPr>
          <w:rFonts w:ascii="Arial" w:eastAsia="Calibri" w:hAnsi="Arial" w:cs="Arial"/>
          <w:bCs/>
          <w:color w:val="000000" w:themeColor="text1"/>
          <w:sz w:val="26"/>
          <w:szCs w:val="26"/>
        </w:rPr>
        <w:t xml:space="preserve"> la persona que </w:t>
      </w:r>
      <w:r w:rsidR="00BD7D3E">
        <w:rPr>
          <w:rFonts w:ascii="Arial" w:eastAsia="Calibri" w:hAnsi="Arial" w:cs="Arial"/>
          <w:bCs/>
          <w:color w:val="000000" w:themeColor="text1"/>
          <w:sz w:val="26"/>
          <w:szCs w:val="26"/>
        </w:rPr>
        <w:t xml:space="preserve">los </w:t>
      </w:r>
      <w:r w:rsidR="002E3B1C">
        <w:rPr>
          <w:rFonts w:ascii="Arial" w:eastAsia="Calibri" w:hAnsi="Arial" w:cs="Arial"/>
          <w:bCs/>
          <w:color w:val="000000" w:themeColor="text1"/>
          <w:sz w:val="26"/>
          <w:szCs w:val="26"/>
        </w:rPr>
        <w:t>recibió en la citada Secretaría</w:t>
      </w:r>
      <w:r w:rsidR="00576FC3">
        <w:rPr>
          <w:rFonts w:ascii="Arial" w:eastAsia="Calibri" w:hAnsi="Arial" w:cs="Arial"/>
          <w:bCs/>
          <w:color w:val="000000" w:themeColor="text1"/>
          <w:sz w:val="26"/>
          <w:szCs w:val="26"/>
        </w:rPr>
        <w:t>; sin embargo, como se señaló en la parte del acuerdo recurrido, la autoridad aquí recurrente</w:t>
      </w:r>
      <w:r w:rsidR="00AE565E">
        <w:rPr>
          <w:rFonts w:ascii="Arial" w:eastAsia="Calibri" w:hAnsi="Arial" w:cs="Arial"/>
          <w:bCs/>
          <w:color w:val="000000" w:themeColor="text1"/>
          <w:sz w:val="26"/>
          <w:szCs w:val="26"/>
        </w:rPr>
        <w:t>,</w:t>
      </w:r>
      <w:r w:rsidR="00576FC3">
        <w:rPr>
          <w:rFonts w:ascii="Arial" w:eastAsia="Calibri" w:hAnsi="Arial" w:cs="Arial"/>
          <w:bCs/>
          <w:color w:val="000000" w:themeColor="text1"/>
          <w:sz w:val="26"/>
          <w:szCs w:val="26"/>
        </w:rPr>
        <w:t xml:space="preserve"> no manifestó que es lo que pretende con el cotejo que solicit</w:t>
      </w:r>
      <w:r w:rsidR="00AE565E">
        <w:rPr>
          <w:rFonts w:ascii="Arial" w:eastAsia="Calibri" w:hAnsi="Arial" w:cs="Arial"/>
          <w:bCs/>
          <w:color w:val="000000" w:themeColor="text1"/>
          <w:sz w:val="26"/>
          <w:szCs w:val="26"/>
        </w:rPr>
        <w:t>ó en su escrito de contestación de demanda</w:t>
      </w:r>
      <w:r w:rsidR="00576FC3">
        <w:rPr>
          <w:rFonts w:ascii="Arial" w:eastAsia="Calibri" w:hAnsi="Arial" w:cs="Arial"/>
          <w:bCs/>
          <w:color w:val="000000" w:themeColor="text1"/>
          <w:sz w:val="26"/>
          <w:szCs w:val="26"/>
        </w:rPr>
        <w:t xml:space="preserve">, pues únicamente </w:t>
      </w:r>
      <w:r w:rsidR="00AE565E">
        <w:rPr>
          <w:rFonts w:ascii="Arial" w:eastAsia="Calibri" w:hAnsi="Arial" w:cs="Arial"/>
          <w:bCs/>
          <w:color w:val="000000" w:themeColor="text1"/>
          <w:sz w:val="26"/>
          <w:szCs w:val="26"/>
        </w:rPr>
        <w:t xml:space="preserve">se remite a señalar </w:t>
      </w:r>
      <w:r w:rsidR="00576FC3">
        <w:rPr>
          <w:rFonts w:ascii="Arial" w:eastAsia="Calibri" w:hAnsi="Arial" w:cs="Arial"/>
          <w:bCs/>
          <w:color w:val="000000" w:themeColor="text1"/>
          <w:sz w:val="26"/>
          <w:szCs w:val="26"/>
        </w:rPr>
        <w:t xml:space="preserve">lo siguiente: </w:t>
      </w:r>
      <w:r w:rsidR="00576FC3">
        <w:rPr>
          <w:rFonts w:ascii="Arial" w:eastAsia="Calibri" w:hAnsi="Arial" w:cs="Arial"/>
          <w:bCs/>
          <w:i/>
          <w:iCs/>
          <w:color w:val="000000" w:themeColor="text1"/>
        </w:rPr>
        <w:t xml:space="preserve">“Asimismo, el personal actuante verifique que los sellos puestos en los 5 escritos, coinciden con las características de los escritos de petición anexados al memorándum </w:t>
      </w:r>
      <w:r w:rsidR="007B43BC">
        <w:rPr>
          <w:rFonts w:ascii="Arial" w:hAnsi="Arial" w:cs="Arial"/>
          <w:sz w:val="26"/>
          <w:szCs w:val="26"/>
        </w:rPr>
        <w:t>*</w:t>
      </w:r>
      <w:r w:rsidR="007B43BC">
        <w:rPr>
          <w:rFonts w:ascii="Arial" w:eastAsia="Calibri" w:hAnsi="Arial" w:cs="Arial"/>
          <w:bCs/>
          <w:color w:val="000000" w:themeColor="text1"/>
          <w:sz w:val="26"/>
          <w:szCs w:val="26"/>
        </w:rPr>
        <w:t>******</w:t>
      </w:r>
      <w:r w:rsidR="00576FC3">
        <w:rPr>
          <w:rFonts w:ascii="Arial" w:eastAsia="Calibri" w:hAnsi="Arial" w:cs="Arial"/>
          <w:bCs/>
          <w:i/>
          <w:iCs/>
          <w:color w:val="000000" w:themeColor="text1"/>
        </w:rPr>
        <w:t>, de cinco de abril de dos mil veintiuno, suscrito por la Secretaria Particular de esta Secretaría, es decir, el sello, firma o rúbrica de la persona que recibió en la Secretaría el día 03 de abril de 2019</w:t>
      </w:r>
      <w:r w:rsidR="00BB686D">
        <w:rPr>
          <w:rFonts w:ascii="Arial" w:eastAsia="Calibri" w:hAnsi="Arial" w:cs="Arial"/>
          <w:bCs/>
          <w:i/>
          <w:iCs/>
          <w:color w:val="000000" w:themeColor="text1"/>
        </w:rPr>
        <w:t xml:space="preserve">”, </w:t>
      </w:r>
      <w:r w:rsidR="00AE565E">
        <w:rPr>
          <w:rFonts w:ascii="Arial" w:eastAsia="Calibri" w:hAnsi="Arial" w:cs="Arial"/>
          <w:bCs/>
          <w:i/>
          <w:iCs/>
          <w:color w:val="000000" w:themeColor="text1"/>
        </w:rPr>
        <w:t xml:space="preserve"> </w:t>
      </w:r>
      <w:r w:rsidR="00BB686D">
        <w:rPr>
          <w:rFonts w:ascii="Arial" w:eastAsia="Calibri" w:hAnsi="Arial" w:cs="Arial"/>
          <w:bCs/>
          <w:color w:val="000000" w:themeColor="text1"/>
          <w:sz w:val="26"/>
          <w:szCs w:val="26"/>
        </w:rPr>
        <w:t>por lo que aun cuando solicita se verifiquen que los sellos, firma</w:t>
      </w:r>
      <w:r w:rsidR="00291470">
        <w:rPr>
          <w:rFonts w:ascii="Arial" w:eastAsia="Calibri" w:hAnsi="Arial" w:cs="Arial"/>
          <w:bCs/>
          <w:color w:val="000000" w:themeColor="text1"/>
          <w:sz w:val="26"/>
          <w:szCs w:val="26"/>
        </w:rPr>
        <w:t>s</w:t>
      </w:r>
      <w:r w:rsidR="00BB686D">
        <w:rPr>
          <w:rFonts w:ascii="Arial" w:eastAsia="Calibri" w:hAnsi="Arial" w:cs="Arial"/>
          <w:bCs/>
          <w:color w:val="000000" w:themeColor="text1"/>
          <w:sz w:val="26"/>
          <w:szCs w:val="26"/>
        </w:rPr>
        <w:t xml:space="preserve"> y rúbricas de ambos documentos coincidan, no </w:t>
      </w:r>
      <w:r w:rsidR="004A56D6">
        <w:rPr>
          <w:rFonts w:ascii="Arial" w:eastAsia="Calibri" w:hAnsi="Arial" w:cs="Arial"/>
          <w:bCs/>
          <w:color w:val="000000" w:themeColor="text1"/>
          <w:sz w:val="26"/>
          <w:szCs w:val="26"/>
        </w:rPr>
        <w:t xml:space="preserve">señala </w:t>
      </w:r>
      <w:r w:rsidR="004A56D6" w:rsidRPr="00B30C78">
        <w:rPr>
          <w:rFonts w:ascii="Arial" w:eastAsia="Calibri" w:hAnsi="Arial" w:cs="Arial"/>
          <w:bCs/>
          <w:color w:val="000000" w:themeColor="text1"/>
          <w:sz w:val="26"/>
          <w:szCs w:val="26"/>
        </w:rPr>
        <w:t>qu</w:t>
      </w:r>
      <w:r w:rsidR="00B60806" w:rsidRPr="00B30C78">
        <w:rPr>
          <w:rFonts w:ascii="Arial" w:eastAsia="Calibri" w:hAnsi="Arial" w:cs="Arial"/>
          <w:bCs/>
          <w:color w:val="000000" w:themeColor="text1"/>
          <w:sz w:val="26"/>
          <w:szCs w:val="26"/>
        </w:rPr>
        <w:t xml:space="preserve">é </w:t>
      </w:r>
      <w:r w:rsidR="004A56D6" w:rsidRPr="00B30C78">
        <w:rPr>
          <w:rFonts w:ascii="Arial" w:eastAsia="Calibri" w:hAnsi="Arial" w:cs="Arial"/>
          <w:bCs/>
          <w:color w:val="000000" w:themeColor="text1"/>
          <w:sz w:val="26"/>
          <w:szCs w:val="26"/>
        </w:rPr>
        <w:t>pretende probar con dicho cotejo.</w:t>
      </w:r>
      <w:r w:rsidRPr="00B30C78">
        <w:rPr>
          <w:rFonts w:ascii="Arial" w:eastAsia="Calibri" w:hAnsi="Arial" w:cs="Arial"/>
          <w:bCs/>
          <w:color w:val="000000" w:themeColor="text1"/>
          <w:sz w:val="26"/>
          <w:szCs w:val="26"/>
        </w:rPr>
        <w:t xml:space="preserve">  </w:t>
      </w:r>
    </w:p>
    <w:p w14:paraId="61CF292A" w14:textId="12443AC8" w:rsidR="00053474" w:rsidRDefault="004A56D6" w:rsidP="00053474">
      <w:pPr>
        <w:spacing w:after="120" w:line="360" w:lineRule="auto"/>
        <w:ind w:firstLine="709"/>
        <w:jc w:val="both"/>
        <w:rPr>
          <w:rFonts w:ascii="Arial" w:hAnsi="Arial" w:cs="Arial"/>
          <w:color w:val="212529"/>
          <w:sz w:val="26"/>
          <w:szCs w:val="26"/>
          <w:shd w:val="clear" w:color="auto" w:fill="FFFFFF"/>
        </w:rPr>
      </w:pPr>
      <w:r w:rsidRPr="00B30C78">
        <w:rPr>
          <w:rFonts w:ascii="Arial" w:eastAsia="Calibri" w:hAnsi="Arial" w:cs="Arial"/>
          <w:bCs/>
          <w:sz w:val="26"/>
          <w:szCs w:val="26"/>
        </w:rPr>
        <w:t xml:space="preserve">A más de lo anterior, </w:t>
      </w:r>
      <w:r w:rsidR="000D2EE0" w:rsidRPr="00B30C78">
        <w:rPr>
          <w:rFonts w:ascii="Arial" w:eastAsia="Calibri" w:hAnsi="Arial" w:cs="Arial"/>
          <w:bCs/>
          <w:sz w:val="26"/>
          <w:szCs w:val="26"/>
        </w:rPr>
        <w:t xml:space="preserve">los documentos con los que pretende se lleve a cabo el cotejo son los acuses de los oficios </w:t>
      </w:r>
      <w:r w:rsidR="007B43BC">
        <w:rPr>
          <w:rFonts w:ascii="Arial" w:eastAsia="Calibri" w:hAnsi="Arial" w:cs="Arial"/>
          <w:bCs/>
          <w:color w:val="000000" w:themeColor="text1"/>
          <w:sz w:val="26"/>
          <w:szCs w:val="26"/>
        </w:rPr>
        <w:t>*******</w:t>
      </w:r>
      <w:r w:rsidR="000D2EE0" w:rsidRPr="00B30C78">
        <w:rPr>
          <w:rFonts w:ascii="Arial" w:eastAsia="Calibri" w:hAnsi="Arial" w:cs="Arial"/>
          <w:bCs/>
          <w:color w:val="000000" w:themeColor="text1"/>
          <w:sz w:val="26"/>
          <w:szCs w:val="26"/>
        </w:rPr>
        <w:t xml:space="preserve">, </w:t>
      </w:r>
      <w:r w:rsidR="007B43BC">
        <w:rPr>
          <w:rFonts w:ascii="Arial" w:eastAsia="Calibri" w:hAnsi="Arial" w:cs="Arial"/>
          <w:bCs/>
          <w:color w:val="000000" w:themeColor="text1"/>
          <w:sz w:val="26"/>
          <w:szCs w:val="26"/>
        </w:rPr>
        <w:br/>
      </w:r>
      <w:r w:rsidR="007B43BC">
        <w:rPr>
          <w:rFonts w:ascii="Arial" w:eastAsia="Calibri" w:hAnsi="Arial" w:cs="Arial"/>
          <w:bCs/>
          <w:color w:val="000000" w:themeColor="text1"/>
          <w:sz w:val="26"/>
          <w:szCs w:val="26"/>
        </w:rPr>
        <w:t>*******</w:t>
      </w:r>
      <w:r w:rsidR="004A22C3">
        <w:rPr>
          <w:rFonts w:ascii="Arial" w:eastAsia="Calibri" w:hAnsi="Arial" w:cs="Arial"/>
          <w:bCs/>
          <w:color w:val="000000" w:themeColor="text1"/>
          <w:sz w:val="26"/>
          <w:szCs w:val="26"/>
        </w:rPr>
        <w:t xml:space="preserve">, </w:t>
      </w:r>
      <w:r w:rsidR="007B43BC">
        <w:rPr>
          <w:rFonts w:ascii="Arial" w:eastAsia="Calibri" w:hAnsi="Arial" w:cs="Arial"/>
          <w:bCs/>
          <w:color w:val="000000" w:themeColor="text1"/>
          <w:sz w:val="26"/>
          <w:szCs w:val="26"/>
        </w:rPr>
        <w:t>*******</w:t>
      </w:r>
      <w:r w:rsidR="004A22C3">
        <w:rPr>
          <w:rFonts w:ascii="Arial" w:eastAsia="Calibri" w:hAnsi="Arial" w:cs="Arial"/>
          <w:bCs/>
          <w:color w:val="000000" w:themeColor="text1"/>
          <w:sz w:val="26"/>
          <w:szCs w:val="26"/>
        </w:rPr>
        <w:t xml:space="preserve"> y</w:t>
      </w:r>
      <w:r w:rsidR="000D2EE0" w:rsidRPr="00B30C78">
        <w:rPr>
          <w:rFonts w:ascii="Arial" w:eastAsia="Calibri" w:hAnsi="Arial" w:cs="Arial"/>
          <w:bCs/>
          <w:color w:val="000000" w:themeColor="text1"/>
          <w:sz w:val="26"/>
          <w:szCs w:val="26"/>
        </w:rPr>
        <w:t xml:space="preserve"> </w:t>
      </w:r>
      <w:r w:rsidR="007B43BC">
        <w:rPr>
          <w:rFonts w:ascii="Arial" w:eastAsia="Calibri" w:hAnsi="Arial" w:cs="Arial"/>
          <w:bCs/>
          <w:color w:val="000000" w:themeColor="text1"/>
          <w:sz w:val="26"/>
          <w:szCs w:val="26"/>
        </w:rPr>
        <w:t>*******</w:t>
      </w:r>
      <w:r w:rsidR="00B30C78">
        <w:rPr>
          <w:rFonts w:ascii="Arial" w:eastAsia="Calibri" w:hAnsi="Arial" w:cs="Arial"/>
          <w:bCs/>
          <w:color w:val="000000" w:themeColor="text1"/>
          <w:sz w:val="26"/>
          <w:szCs w:val="26"/>
        </w:rPr>
        <w:t>,</w:t>
      </w:r>
      <w:r w:rsidR="00B60806" w:rsidRPr="00B30C78">
        <w:rPr>
          <w:rFonts w:ascii="Arial" w:eastAsia="Calibri" w:hAnsi="Arial" w:cs="Arial"/>
          <w:bCs/>
          <w:color w:val="000000" w:themeColor="text1"/>
          <w:sz w:val="26"/>
          <w:szCs w:val="26"/>
        </w:rPr>
        <w:t xml:space="preserve"> </w:t>
      </w:r>
      <w:r w:rsidR="000D2EE0" w:rsidRPr="00B30C78">
        <w:rPr>
          <w:rFonts w:ascii="Arial" w:eastAsia="Calibri" w:hAnsi="Arial" w:cs="Arial"/>
          <w:bCs/>
          <w:color w:val="000000" w:themeColor="text1"/>
          <w:sz w:val="26"/>
          <w:szCs w:val="26"/>
        </w:rPr>
        <w:t>suscritos por</w:t>
      </w:r>
      <w:r w:rsidR="000D2EE0">
        <w:rPr>
          <w:rFonts w:ascii="Arial" w:eastAsia="Calibri" w:hAnsi="Arial" w:cs="Arial"/>
          <w:bCs/>
          <w:color w:val="000000" w:themeColor="text1"/>
          <w:sz w:val="26"/>
          <w:szCs w:val="26"/>
        </w:rPr>
        <w:t xml:space="preserve"> el actuario adscrito a la Quinta Sala </w:t>
      </w:r>
      <w:r w:rsidR="000D2EE0">
        <w:rPr>
          <w:rFonts w:ascii="Arial" w:eastAsia="Calibri" w:hAnsi="Arial" w:cs="Arial"/>
          <w:bCs/>
          <w:color w:val="000000" w:themeColor="text1"/>
          <w:sz w:val="26"/>
          <w:szCs w:val="26"/>
        </w:rPr>
        <w:lastRenderedPageBreak/>
        <w:t>Unitaria de Primera Instancia, con</w:t>
      </w:r>
      <w:r w:rsidR="000D2EE0" w:rsidRPr="000D2EE0">
        <w:rPr>
          <w:rFonts w:ascii="Arial" w:eastAsia="Calibri" w:hAnsi="Arial" w:cs="Arial"/>
          <w:bCs/>
          <w:color w:val="000000" w:themeColor="text1"/>
          <w:sz w:val="26"/>
          <w:szCs w:val="26"/>
        </w:rPr>
        <w:t xml:space="preserve"> los cuales </w:t>
      </w:r>
      <w:r w:rsidR="000D2EE0">
        <w:rPr>
          <w:rFonts w:ascii="Arial" w:eastAsia="Calibri" w:hAnsi="Arial" w:cs="Arial"/>
          <w:bCs/>
          <w:color w:val="000000" w:themeColor="text1"/>
          <w:sz w:val="26"/>
          <w:szCs w:val="26"/>
        </w:rPr>
        <w:t xml:space="preserve">se </w:t>
      </w:r>
      <w:r w:rsidR="000D2EE0" w:rsidRPr="000D2EE0">
        <w:rPr>
          <w:rFonts w:ascii="Arial" w:eastAsia="Calibri" w:hAnsi="Arial" w:cs="Arial"/>
          <w:bCs/>
          <w:color w:val="000000" w:themeColor="text1"/>
          <w:sz w:val="26"/>
          <w:szCs w:val="26"/>
        </w:rPr>
        <w:t>notific</w:t>
      </w:r>
      <w:r w:rsidR="000D2EE0">
        <w:rPr>
          <w:rFonts w:ascii="Arial" w:eastAsia="Calibri" w:hAnsi="Arial" w:cs="Arial"/>
          <w:bCs/>
          <w:color w:val="000000" w:themeColor="text1"/>
          <w:sz w:val="26"/>
          <w:szCs w:val="26"/>
        </w:rPr>
        <w:t>ó</w:t>
      </w:r>
      <w:r w:rsidR="000D2EE0" w:rsidRPr="000D2EE0">
        <w:rPr>
          <w:rFonts w:ascii="Arial" w:eastAsia="Calibri" w:hAnsi="Arial" w:cs="Arial"/>
          <w:bCs/>
          <w:color w:val="000000" w:themeColor="text1"/>
          <w:sz w:val="26"/>
          <w:szCs w:val="26"/>
        </w:rPr>
        <w:t xml:space="preserve"> a </w:t>
      </w:r>
      <w:r w:rsidR="000D2EE0">
        <w:rPr>
          <w:rFonts w:ascii="Arial" w:eastAsia="Calibri" w:hAnsi="Arial" w:cs="Arial"/>
          <w:bCs/>
          <w:color w:val="000000" w:themeColor="text1"/>
          <w:sz w:val="26"/>
          <w:szCs w:val="26"/>
        </w:rPr>
        <w:t xml:space="preserve">las autoridades demandadas, la admisión de la demanda promovida por </w:t>
      </w:r>
      <w:r w:rsidR="00D96E67">
        <w:rPr>
          <w:rFonts w:ascii="Arial" w:hAnsi="Arial" w:cs="Arial"/>
          <w:b/>
          <w:sz w:val="26"/>
          <w:szCs w:val="26"/>
        </w:rPr>
        <w:t>*******</w:t>
      </w:r>
      <w:r w:rsidR="000D2EE0">
        <w:rPr>
          <w:rFonts w:ascii="Arial" w:hAnsi="Arial" w:cs="Arial"/>
          <w:sz w:val="26"/>
          <w:szCs w:val="26"/>
        </w:rPr>
        <w:t xml:space="preserve">, </w:t>
      </w:r>
      <w:r w:rsidR="000D2EE0" w:rsidRPr="00C5007B">
        <w:rPr>
          <w:rFonts w:ascii="Arial" w:hAnsi="Arial" w:cs="Arial"/>
          <w:b/>
          <w:sz w:val="26"/>
          <w:szCs w:val="26"/>
        </w:rPr>
        <w:t>apoderado legal de</w:t>
      </w:r>
      <w:r w:rsidR="00087AE3">
        <w:rPr>
          <w:rFonts w:ascii="Arial" w:hAnsi="Arial" w:cs="Arial"/>
          <w:b/>
          <w:sz w:val="26"/>
          <w:szCs w:val="26"/>
        </w:rPr>
        <w:t xml:space="preserve"> </w:t>
      </w:r>
      <w:r w:rsidR="00087AE3">
        <w:rPr>
          <w:rFonts w:ascii="Arial" w:eastAsia="Calibri" w:hAnsi="Arial" w:cs="Arial"/>
          <w:bCs/>
          <w:color w:val="000000" w:themeColor="text1"/>
          <w:sz w:val="26"/>
          <w:szCs w:val="26"/>
        </w:rPr>
        <w:t>*******</w:t>
      </w:r>
      <w:r w:rsidR="00087AE3">
        <w:rPr>
          <w:rFonts w:ascii="Arial" w:eastAsia="Calibri" w:hAnsi="Arial" w:cs="Arial"/>
          <w:bCs/>
          <w:color w:val="000000" w:themeColor="text1"/>
          <w:sz w:val="26"/>
          <w:szCs w:val="26"/>
        </w:rPr>
        <w:t xml:space="preserve"> </w:t>
      </w:r>
      <w:r w:rsidR="00803E1C">
        <w:rPr>
          <w:rFonts w:ascii="Arial" w:hAnsi="Arial" w:cs="Arial"/>
          <w:bCs/>
          <w:sz w:val="26"/>
          <w:szCs w:val="26"/>
        </w:rPr>
        <w:t xml:space="preserve">y toda vez que </w:t>
      </w:r>
      <w:r w:rsidRPr="004A56D6">
        <w:rPr>
          <w:rFonts w:ascii="Arial" w:eastAsia="Calibri" w:hAnsi="Arial" w:cs="Arial"/>
          <w:bCs/>
          <w:sz w:val="26"/>
          <w:szCs w:val="26"/>
        </w:rPr>
        <w:t>la</w:t>
      </w:r>
      <w:r w:rsidRPr="004A56D6">
        <w:rPr>
          <w:rFonts w:ascii="Arial" w:hAnsi="Arial" w:cs="Arial"/>
          <w:sz w:val="26"/>
          <w:szCs w:val="26"/>
          <w:shd w:val="clear" w:color="auto" w:fill="FFFFFF"/>
        </w:rPr>
        <w:t xml:space="preserve"> acción </w:t>
      </w:r>
      <w:r w:rsidRPr="00803E1C">
        <w:rPr>
          <w:rFonts w:ascii="Arial" w:hAnsi="Arial" w:cs="Arial"/>
          <w:sz w:val="26"/>
          <w:szCs w:val="26"/>
          <w:shd w:val="clear" w:color="auto" w:fill="FFFFFF"/>
        </w:rPr>
        <w:t>jurídica de cotejar, implica confrontar o comparar un documento con otro, dando fe de que el mismo es copia fiel del original que el funcionario ha tenido a la vista</w:t>
      </w:r>
      <w:r w:rsidR="00803E1C" w:rsidRPr="00803E1C">
        <w:rPr>
          <w:rFonts w:ascii="Arial" w:hAnsi="Arial" w:cs="Arial"/>
          <w:sz w:val="26"/>
          <w:szCs w:val="26"/>
          <w:shd w:val="clear" w:color="auto" w:fill="FFFFFF"/>
        </w:rPr>
        <w:t xml:space="preserve">, no puede llevarse el cotejo de los cinco escritos de petición </w:t>
      </w:r>
      <w:r w:rsidR="00A564E2">
        <w:rPr>
          <w:rFonts w:ascii="Arial" w:hAnsi="Arial" w:cs="Arial"/>
          <w:sz w:val="26"/>
          <w:szCs w:val="26"/>
          <w:shd w:val="clear" w:color="auto" w:fill="FFFFFF"/>
        </w:rPr>
        <w:t xml:space="preserve">de veintisiete de febrero de dos mil diecinueve </w:t>
      </w:r>
      <w:r w:rsidR="00462C8B">
        <w:rPr>
          <w:rFonts w:ascii="Arial" w:hAnsi="Arial" w:cs="Arial"/>
          <w:sz w:val="26"/>
          <w:szCs w:val="26"/>
          <w:shd w:val="clear" w:color="auto" w:fill="FFFFFF"/>
        </w:rPr>
        <w:t xml:space="preserve">y recibidos supuestamente en la Secretaría de Movilidad del Estado de Oaxaca el tres de abril del mismo año, </w:t>
      </w:r>
      <w:r w:rsidR="00803E1C" w:rsidRPr="00803E1C">
        <w:rPr>
          <w:rFonts w:ascii="Arial" w:hAnsi="Arial" w:cs="Arial"/>
          <w:sz w:val="26"/>
          <w:szCs w:val="26"/>
          <w:shd w:val="clear" w:color="auto" w:fill="FFFFFF"/>
        </w:rPr>
        <w:t xml:space="preserve">con los referidos oficios, pues </w:t>
      </w:r>
      <w:r w:rsidR="00030156" w:rsidRPr="00803E1C">
        <w:rPr>
          <w:rFonts w:ascii="Arial" w:hAnsi="Arial" w:cs="Arial"/>
          <w:sz w:val="26"/>
          <w:szCs w:val="26"/>
          <w:shd w:val="clear" w:color="auto" w:fill="FFFFFF"/>
        </w:rPr>
        <w:t xml:space="preserve">el cotejo </w:t>
      </w:r>
      <w:r w:rsidR="00030156" w:rsidRPr="00803E1C">
        <w:rPr>
          <w:rFonts w:ascii="Arial" w:hAnsi="Arial" w:cs="Arial"/>
          <w:sz w:val="26"/>
          <w:szCs w:val="26"/>
        </w:rPr>
        <w:t xml:space="preserve">sólo es procedente para aquellos casos en que se niegue o se ponga en duda la autenticidad </w:t>
      </w:r>
      <w:r w:rsidR="00030156" w:rsidRPr="00030156">
        <w:rPr>
          <w:rFonts w:ascii="Arial" w:hAnsi="Arial" w:cs="Arial"/>
          <w:sz w:val="26"/>
          <w:szCs w:val="26"/>
        </w:rPr>
        <w:t xml:space="preserve">de un documento </w:t>
      </w:r>
      <w:r w:rsidR="00696449">
        <w:rPr>
          <w:rFonts w:ascii="Arial" w:hAnsi="Arial" w:cs="Arial"/>
          <w:sz w:val="26"/>
          <w:szCs w:val="26"/>
        </w:rPr>
        <w:t>privado o de un documento público que carezca de matriz, de</w:t>
      </w:r>
      <w:r w:rsidR="00696449">
        <w:rPr>
          <w:rFonts w:ascii="Arial" w:hAnsi="Arial" w:cs="Arial"/>
          <w:color w:val="212529"/>
          <w:sz w:val="26"/>
          <w:szCs w:val="26"/>
          <w:shd w:val="clear" w:color="auto" w:fill="FFFFFF"/>
        </w:rPr>
        <w:t xml:space="preserve"> conformidad con el artículo </w:t>
      </w:r>
      <w:r w:rsidR="00696449">
        <w:rPr>
          <w:rFonts w:ascii="Arial" w:hAnsi="Arial" w:cs="Arial"/>
          <w:sz w:val="26"/>
          <w:szCs w:val="26"/>
        </w:rPr>
        <w:t>330</w:t>
      </w:r>
      <w:r w:rsidR="00696449">
        <w:rPr>
          <w:rStyle w:val="Refdenotaalpie"/>
          <w:rFonts w:ascii="Arial" w:hAnsi="Arial" w:cs="Arial"/>
          <w:sz w:val="26"/>
          <w:szCs w:val="26"/>
        </w:rPr>
        <w:footnoteReference w:id="2"/>
      </w:r>
      <w:r w:rsidR="00696449">
        <w:rPr>
          <w:rFonts w:ascii="Arial" w:hAnsi="Arial" w:cs="Arial"/>
          <w:sz w:val="26"/>
          <w:szCs w:val="26"/>
        </w:rPr>
        <w:t xml:space="preserve"> del Código de Procedimientos Civiles para el Estado de Oaxaca, de aplicación supletoria a la Ley de la materia; </w:t>
      </w:r>
      <w:r w:rsidR="00EE4DA8">
        <w:rPr>
          <w:rFonts w:ascii="Arial" w:hAnsi="Arial" w:cs="Arial"/>
          <w:color w:val="212529"/>
          <w:sz w:val="26"/>
          <w:szCs w:val="26"/>
          <w:shd w:val="clear" w:color="auto" w:fill="FFFFFF"/>
        </w:rPr>
        <w:t>por consiguiente, no puede llevarse a cabo una compulsa sobre documentos</w:t>
      </w:r>
      <w:r>
        <w:rPr>
          <w:rFonts w:ascii="Arial" w:hAnsi="Arial" w:cs="Arial"/>
          <w:color w:val="212529"/>
          <w:sz w:val="26"/>
          <w:szCs w:val="26"/>
          <w:shd w:val="clear" w:color="auto" w:fill="FFFFFF"/>
        </w:rPr>
        <w:t xml:space="preserve"> diversos como lo pretende la autoridad recurrente</w:t>
      </w:r>
      <w:r w:rsidR="00CE746B">
        <w:rPr>
          <w:rFonts w:ascii="Arial" w:hAnsi="Arial" w:cs="Arial"/>
          <w:color w:val="212529"/>
          <w:sz w:val="26"/>
          <w:szCs w:val="26"/>
          <w:shd w:val="clear" w:color="auto" w:fill="FFFFFF"/>
        </w:rPr>
        <w:t xml:space="preserve">. - - - - - </w:t>
      </w:r>
      <w:r w:rsidR="00087AE3">
        <w:rPr>
          <w:rFonts w:ascii="Arial" w:hAnsi="Arial" w:cs="Arial"/>
          <w:color w:val="212529"/>
          <w:sz w:val="26"/>
          <w:szCs w:val="26"/>
          <w:shd w:val="clear" w:color="auto" w:fill="FFFFFF"/>
        </w:rPr>
        <w:t>-</w:t>
      </w:r>
    </w:p>
    <w:p w14:paraId="57A953BF" w14:textId="1863DEFE" w:rsidR="00030156" w:rsidRDefault="00696449" w:rsidP="00030156">
      <w:pPr>
        <w:spacing w:after="120" w:line="360" w:lineRule="auto"/>
        <w:ind w:firstLine="709"/>
        <w:jc w:val="both"/>
        <w:rPr>
          <w:rFonts w:ascii="Arial" w:hAnsi="Arial" w:cs="Arial"/>
          <w:sz w:val="26"/>
          <w:szCs w:val="26"/>
        </w:rPr>
      </w:pPr>
      <w:r>
        <w:rPr>
          <w:rFonts w:ascii="Arial" w:eastAsia="Calibri" w:hAnsi="Arial" w:cs="Arial"/>
          <w:bCs/>
          <w:sz w:val="26"/>
          <w:szCs w:val="26"/>
        </w:rPr>
        <w:t>Por otra parte,</w:t>
      </w:r>
      <w:r w:rsidR="00030156">
        <w:rPr>
          <w:rFonts w:ascii="Arial" w:eastAsia="Calibri" w:hAnsi="Arial" w:cs="Arial"/>
          <w:bCs/>
          <w:sz w:val="26"/>
          <w:szCs w:val="26"/>
        </w:rPr>
        <w:t xml:space="preserve"> </w:t>
      </w:r>
      <w:r>
        <w:rPr>
          <w:rFonts w:ascii="Arial" w:eastAsia="Calibri" w:hAnsi="Arial" w:cs="Arial"/>
          <w:bCs/>
          <w:sz w:val="26"/>
          <w:szCs w:val="26"/>
        </w:rPr>
        <w:t>es</w:t>
      </w:r>
      <w:r w:rsidRPr="00030156">
        <w:rPr>
          <w:rFonts w:ascii="Arial" w:hAnsi="Arial" w:cs="Arial"/>
          <w:sz w:val="26"/>
          <w:szCs w:val="26"/>
        </w:rPr>
        <w:t xml:space="preserve"> erróne</w:t>
      </w:r>
      <w:r>
        <w:rPr>
          <w:rFonts w:ascii="Arial" w:hAnsi="Arial" w:cs="Arial"/>
          <w:sz w:val="26"/>
          <w:szCs w:val="26"/>
        </w:rPr>
        <w:t>a</w:t>
      </w:r>
      <w:r w:rsidRPr="00030156">
        <w:rPr>
          <w:rFonts w:ascii="Arial" w:hAnsi="Arial" w:cs="Arial"/>
          <w:sz w:val="26"/>
          <w:szCs w:val="26"/>
        </w:rPr>
        <w:t xml:space="preserve"> la apreciación </w:t>
      </w:r>
      <w:r>
        <w:rPr>
          <w:rFonts w:ascii="Arial" w:hAnsi="Arial" w:cs="Arial"/>
          <w:sz w:val="26"/>
          <w:szCs w:val="26"/>
        </w:rPr>
        <w:t xml:space="preserve">del aquí recurrente, </w:t>
      </w:r>
      <w:r w:rsidRPr="00030156">
        <w:rPr>
          <w:rFonts w:ascii="Arial" w:hAnsi="Arial" w:cs="Arial"/>
          <w:sz w:val="26"/>
          <w:szCs w:val="26"/>
        </w:rPr>
        <w:t xml:space="preserve">en el sentido de que el cotejo es una prueba y </w:t>
      </w:r>
      <w:r w:rsidR="000D2EE0" w:rsidRPr="00030156">
        <w:rPr>
          <w:rFonts w:ascii="Arial" w:hAnsi="Arial" w:cs="Arial"/>
          <w:sz w:val="26"/>
          <w:szCs w:val="26"/>
        </w:rPr>
        <w:t>que,</w:t>
      </w:r>
      <w:r w:rsidRPr="00030156">
        <w:rPr>
          <w:rFonts w:ascii="Arial" w:hAnsi="Arial" w:cs="Arial"/>
          <w:sz w:val="26"/>
          <w:szCs w:val="26"/>
        </w:rPr>
        <w:t xml:space="preserve"> como tal, puede ser ofrecida en el juicio</w:t>
      </w:r>
      <w:r>
        <w:rPr>
          <w:rFonts w:ascii="Arial" w:hAnsi="Arial" w:cs="Arial"/>
          <w:sz w:val="26"/>
          <w:szCs w:val="26"/>
        </w:rPr>
        <w:t xml:space="preserve"> administrativo, pues </w:t>
      </w:r>
      <w:r w:rsidR="00030156">
        <w:rPr>
          <w:rFonts w:ascii="Arial" w:eastAsia="Calibri" w:hAnsi="Arial" w:cs="Arial"/>
          <w:bCs/>
          <w:sz w:val="26"/>
          <w:szCs w:val="26"/>
        </w:rPr>
        <w:t xml:space="preserve">conforme al artículo 189 de la Ley de Procedimiento y Justicia Administrativa para el Estado de Oaxaca, se establece lo siguiente: </w:t>
      </w:r>
      <w:r w:rsidR="00030156">
        <w:rPr>
          <w:rFonts w:ascii="Arial" w:hAnsi="Arial" w:cs="Arial"/>
          <w:i/>
        </w:rPr>
        <w:t>“</w:t>
      </w:r>
      <w:r w:rsidR="00030156" w:rsidRPr="009C4F42">
        <w:rPr>
          <w:rFonts w:ascii="Arial" w:hAnsi="Arial" w:cs="Arial"/>
          <w:i/>
        </w:rPr>
        <w:t>Las partes deberán ofrecer las pruebas en los escritos de demanda, ampliación o contestación de ambas, debiendo ser desahogadas en la audiencia las que lo permitan. Las que ameritan posterior desahogo, se harán en un plazo de diez días. Las supervenientes podrán ofrecerse en cualquier momento, hasta tres días antes del señalado para la celebración de la audiencia, en este caso, se dará vista a la contraparte para que durante la misma audiencia exprese lo que a su derecho convenga, hecho lo cual, el Tribunal resolverá sobre su admisión, reservándose su valoración hasta la sentencia</w:t>
      </w:r>
      <w:r w:rsidR="00030156">
        <w:rPr>
          <w:rFonts w:ascii="Arial" w:hAnsi="Arial" w:cs="Arial"/>
          <w:i/>
        </w:rPr>
        <w:t xml:space="preserve">.” </w:t>
      </w:r>
      <w:r w:rsidR="00030156">
        <w:rPr>
          <w:rFonts w:ascii="Arial" w:hAnsi="Arial" w:cs="Arial"/>
          <w:sz w:val="26"/>
          <w:szCs w:val="26"/>
        </w:rPr>
        <w:t xml:space="preserve">; por tanto, no existe la prueba de cotejo dentro del procedimiento administrativo ante este Tribunal de Justicia Administrativa para el Estado de Oaxaca, conforme a la referida Ley; en consecuencia no debe relacionarla con los hechos de la demanda como lo establece el artículo 177, fracción IX de la Ley de </w:t>
      </w:r>
      <w:r w:rsidR="00030156" w:rsidRPr="00B30C78">
        <w:rPr>
          <w:rFonts w:ascii="Arial" w:hAnsi="Arial" w:cs="Arial"/>
          <w:sz w:val="26"/>
          <w:szCs w:val="26"/>
        </w:rPr>
        <w:t>Procedimiento y Justicia Administrativa para el Estado de Oaxaca, como lo señal</w:t>
      </w:r>
      <w:r w:rsidR="00291470" w:rsidRPr="00B30C78">
        <w:rPr>
          <w:rFonts w:ascii="Arial" w:hAnsi="Arial" w:cs="Arial"/>
          <w:sz w:val="26"/>
          <w:szCs w:val="26"/>
        </w:rPr>
        <w:t>ó</w:t>
      </w:r>
      <w:r w:rsidR="00030156" w:rsidRPr="00B30C78">
        <w:rPr>
          <w:rFonts w:ascii="Arial" w:hAnsi="Arial" w:cs="Arial"/>
          <w:sz w:val="26"/>
          <w:szCs w:val="26"/>
        </w:rPr>
        <w:t xml:space="preserve"> la Primera</w:t>
      </w:r>
      <w:r w:rsidR="00030156">
        <w:rPr>
          <w:rFonts w:ascii="Arial" w:hAnsi="Arial" w:cs="Arial"/>
          <w:sz w:val="26"/>
          <w:szCs w:val="26"/>
        </w:rPr>
        <w:t xml:space="preserve"> Instancia en el acuerdo que se recurre.- - - - - - - - - - - - - - - - - - </w:t>
      </w:r>
      <w:r>
        <w:rPr>
          <w:rFonts w:ascii="Arial" w:hAnsi="Arial" w:cs="Arial"/>
          <w:sz w:val="26"/>
          <w:szCs w:val="26"/>
        </w:rPr>
        <w:t>- - - - - - - - - - - - - - - - - - - - - - - - - - - - -</w:t>
      </w:r>
    </w:p>
    <w:p w14:paraId="3E38615F" w14:textId="257862BA" w:rsidR="00030156" w:rsidRPr="00030156" w:rsidRDefault="00696449" w:rsidP="00030156">
      <w:pPr>
        <w:spacing w:after="120" w:line="360" w:lineRule="auto"/>
        <w:ind w:firstLine="709"/>
        <w:jc w:val="both"/>
        <w:rPr>
          <w:rFonts w:ascii="Arial" w:hAnsi="Arial" w:cs="Arial"/>
          <w:sz w:val="26"/>
          <w:szCs w:val="26"/>
        </w:rPr>
      </w:pPr>
      <w:r>
        <w:rPr>
          <w:rFonts w:ascii="Arial" w:hAnsi="Arial" w:cs="Arial"/>
          <w:sz w:val="26"/>
          <w:szCs w:val="26"/>
        </w:rPr>
        <w:t>Sirve de apoyo a lo anterior, la Tesis con número de re</w:t>
      </w:r>
      <w:r w:rsidR="00030156" w:rsidRPr="00030156">
        <w:rPr>
          <w:rFonts w:ascii="Arial" w:hAnsi="Arial" w:cs="Arial"/>
          <w:sz w:val="26"/>
          <w:szCs w:val="26"/>
        </w:rPr>
        <w:t>gistro digital: 246720</w:t>
      </w:r>
      <w:r>
        <w:rPr>
          <w:rFonts w:ascii="Arial" w:hAnsi="Arial" w:cs="Arial"/>
          <w:sz w:val="26"/>
          <w:szCs w:val="26"/>
        </w:rPr>
        <w:t xml:space="preserve">, cuarto Tribunal Colegiado en Materia Administrativa del </w:t>
      </w:r>
      <w:r>
        <w:rPr>
          <w:rFonts w:ascii="Arial" w:hAnsi="Arial" w:cs="Arial"/>
          <w:sz w:val="26"/>
          <w:szCs w:val="26"/>
        </w:rPr>
        <w:lastRenderedPageBreak/>
        <w:t xml:space="preserve">Primer Circuito, </w:t>
      </w:r>
      <w:r w:rsidR="00030156" w:rsidRPr="00030156">
        <w:rPr>
          <w:rFonts w:ascii="Arial" w:hAnsi="Arial" w:cs="Arial"/>
          <w:sz w:val="26"/>
          <w:szCs w:val="26"/>
        </w:rPr>
        <w:t>Séptima Época</w:t>
      </w:r>
      <w:r>
        <w:rPr>
          <w:rFonts w:ascii="Arial" w:hAnsi="Arial" w:cs="Arial"/>
          <w:sz w:val="26"/>
          <w:szCs w:val="26"/>
        </w:rPr>
        <w:t xml:space="preserve"> del </w:t>
      </w:r>
      <w:r w:rsidR="00030156" w:rsidRPr="00030156">
        <w:rPr>
          <w:rFonts w:ascii="Arial" w:hAnsi="Arial" w:cs="Arial"/>
          <w:sz w:val="26"/>
          <w:szCs w:val="26"/>
        </w:rPr>
        <w:t xml:space="preserve">Semanario Judicial de la Federación. Volumen 217-228, Sexta Parte, página </w:t>
      </w:r>
      <w:r>
        <w:rPr>
          <w:rFonts w:ascii="Arial" w:hAnsi="Arial" w:cs="Arial"/>
          <w:sz w:val="26"/>
          <w:szCs w:val="26"/>
        </w:rPr>
        <w:t xml:space="preserve">ciento ochenta y dos, de rubro y texto siguientes: </w:t>
      </w:r>
      <w:r w:rsidR="000129AD">
        <w:rPr>
          <w:rFonts w:ascii="Arial" w:hAnsi="Arial" w:cs="Arial"/>
          <w:sz w:val="26"/>
          <w:szCs w:val="26"/>
        </w:rPr>
        <w:t xml:space="preserve">- - - - - - - - - - - - - - - - - - - - - - - - - - - - - - - - - - - - - - - - </w:t>
      </w:r>
    </w:p>
    <w:p w14:paraId="27080ECA" w14:textId="01296552" w:rsidR="00030156" w:rsidRPr="00696449" w:rsidRDefault="00696449" w:rsidP="00803E1C">
      <w:pPr>
        <w:spacing w:after="0" w:line="240" w:lineRule="auto"/>
        <w:ind w:left="851" w:right="902"/>
        <w:jc w:val="both"/>
        <w:rPr>
          <w:rFonts w:ascii="Arial" w:hAnsi="Arial" w:cs="Arial"/>
          <w:i/>
          <w:iCs/>
        </w:rPr>
      </w:pPr>
      <w:r w:rsidRPr="00696449">
        <w:rPr>
          <w:rFonts w:ascii="Arial" w:hAnsi="Arial" w:cs="Arial"/>
          <w:b/>
          <w:bCs/>
          <w:i/>
          <w:iCs/>
        </w:rPr>
        <w:t>“</w:t>
      </w:r>
      <w:r w:rsidR="00030156" w:rsidRPr="00696449">
        <w:rPr>
          <w:rFonts w:ascii="Arial" w:hAnsi="Arial" w:cs="Arial"/>
          <w:b/>
          <w:bCs/>
          <w:i/>
          <w:iCs/>
        </w:rPr>
        <w:t>COTEJO. PRUEBAS EN EL AMPARO</w:t>
      </w:r>
      <w:r w:rsidR="00030156" w:rsidRPr="00696449">
        <w:rPr>
          <w:rFonts w:ascii="Arial" w:hAnsi="Arial" w:cs="Arial"/>
          <w:i/>
          <w:iCs/>
        </w:rPr>
        <w:t xml:space="preserve">. Es erróneo la apreciación en el sentido de que el cotejo es una prueba y </w:t>
      </w:r>
      <w:r w:rsidR="007A346D" w:rsidRPr="00696449">
        <w:rPr>
          <w:rFonts w:ascii="Arial" w:hAnsi="Arial" w:cs="Arial"/>
          <w:i/>
          <w:iCs/>
        </w:rPr>
        <w:t>que,</w:t>
      </w:r>
      <w:r w:rsidR="00030156" w:rsidRPr="00696449">
        <w:rPr>
          <w:rFonts w:ascii="Arial" w:hAnsi="Arial" w:cs="Arial"/>
          <w:i/>
          <w:iCs/>
        </w:rPr>
        <w:t xml:space="preserve"> como tal, puede ser ofrecida en el juicio de amparo; toda vez que el Código Federal de Procedimientos Civiles aunque, efectivamente se refiere al cotejo, no lo hace propiamente como medio de prueba, sino como forma de perfeccionamiento de la prueba documental, el cual sólo es procedente para aquellos casos en que se niegue o se ponga en duda la autenticidad de un documento privado.</w:t>
      </w:r>
      <w:r w:rsidR="00055A02">
        <w:rPr>
          <w:rFonts w:ascii="Arial" w:hAnsi="Arial" w:cs="Arial"/>
          <w:i/>
          <w:iCs/>
        </w:rPr>
        <w:t>”</w:t>
      </w:r>
    </w:p>
    <w:p w14:paraId="3A1C6DE0" w14:textId="77777777" w:rsidR="00803E1C" w:rsidRDefault="00803E1C" w:rsidP="00803E1C">
      <w:pPr>
        <w:spacing w:after="0" w:line="360" w:lineRule="auto"/>
        <w:ind w:firstLine="709"/>
        <w:jc w:val="both"/>
        <w:rPr>
          <w:rFonts w:ascii="Arial" w:eastAsia="Calibri" w:hAnsi="Arial" w:cs="Arial"/>
          <w:bCs/>
          <w:sz w:val="26"/>
          <w:szCs w:val="26"/>
        </w:rPr>
      </w:pPr>
    </w:p>
    <w:p w14:paraId="4C79474A" w14:textId="3F6027D5" w:rsidR="002E1FC8" w:rsidRPr="00567C81" w:rsidRDefault="0034714B" w:rsidP="0060749A">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Por otra parte, e</w:t>
      </w:r>
      <w:r w:rsidR="002E1FC8">
        <w:rPr>
          <w:rFonts w:ascii="Arial" w:eastAsia="Calibri" w:hAnsi="Arial" w:cs="Arial"/>
          <w:bCs/>
          <w:sz w:val="26"/>
          <w:szCs w:val="26"/>
        </w:rPr>
        <w:t xml:space="preserve">n su agravio </w:t>
      </w:r>
      <w:r w:rsidR="002E1FC8">
        <w:rPr>
          <w:rFonts w:ascii="Arial" w:eastAsia="Calibri" w:hAnsi="Arial" w:cs="Arial"/>
          <w:b/>
          <w:bCs/>
          <w:sz w:val="26"/>
          <w:szCs w:val="26"/>
        </w:rPr>
        <w:t xml:space="preserve">segundo </w:t>
      </w:r>
      <w:r w:rsidR="00567C81">
        <w:rPr>
          <w:rFonts w:ascii="Arial" w:eastAsia="Calibri" w:hAnsi="Arial" w:cs="Arial"/>
          <w:bCs/>
          <w:sz w:val="26"/>
          <w:szCs w:val="26"/>
        </w:rPr>
        <w:t xml:space="preserve">manifiesta la autoridad recurrente, que la parte relativa del acuerdo de quince de julio de dos mil veintiuno, le causa perjuicios a su representada, al sostener que existe el Departamento de Renovaciones, cuando en los informes rendidos se aclaró que </w:t>
      </w:r>
      <w:r w:rsidR="0060749A">
        <w:rPr>
          <w:rFonts w:ascii="Arial" w:eastAsia="Calibri" w:hAnsi="Arial" w:cs="Arial"/>
          <w:bCs/>
          <w:sz w:val="26"/>
          <w:szCs w:val="26"/>
        </w:rPr>
        <w:t>el citado</w:t>
      </w:r>
      <w:r w:rsidR="00567C81">
        <w:rPr>
          <w:rFonts w:ascii="Arial" w:eastAsia="Calibri" w:hAnsi="Arial" w:cs="Arial"/>
          <w:bCs/>
          <w:sz w:val="26"/>
          <w:szCs w:val="26"/>
        </w:rPr>
        <w:t xml:space="preserve"> departamento no existe en la Secretaría de Movilidad, por lo que debió pronunciarse respecto a dicho informe y ordenar dar vista a la parte actora para que manifestara al respecto</w:t>
      </w:r>
      <w:r w:rsidR="0060749A">
        <w:rPr>
          <w:rFonts w:ascii="Arial" w:eastAsia="Calibri" w:hAnsi="Arial" w:cs="Arial"/>
          <w:bCs/>
          <w:sz w:val="26"/>
          <w:szCs w:val="26"/>
        </w:rPr>
        <w:t>, al haber sido quien señaló a esa</w:t>
      </w:r>
      <w:r w:rsidR="00567C81">
        <w:rPr>
          <w:rFonts w:ascii="Arial" w:eastAsia="Calibri" w:hAnsi="Arial" w:cs="Arial"/>
          <w:bCs/>
          <w:sz w:val="26"/>
          <w:szCs w:val="26"/>
        </w:rPr>
        <w:t xml:space="preserve"> autoridad.- - - - - - - - - - - - - - - - - - - - - - - </w:t>
      </w:r>
    </w:p>
    <w:p w14:paraId="4DBA2C88" w14:textId="4A6E713E" w:rsidR="000F5C2E" w:rsidRDefault="000F5C2E" w:rsidP="0060749A">
      <w:pPr>
        <w:spacing w:after="120" w:line="360" w:lineRule="auto"/>
        <w:ind w:firstLine="709"/>
        <w:jc w:val="both"/>
        <w:rPr>
          <w:rFonts w:ascii="Arial" w:hAnsi="Arial" w:cs="Arial"/>
          <w:bCs/>
          <w:sz w:val="26"/>
          <w:szCs w:val="26"/>
        </w:rPr>
      </w:pPr>
      <w:r>
        <w:rPr>
          <w:rFonts w:ascii="Arial" w:eastAsia="Calibri" w:hAnsi="Arial" w:cs="Arial"/>
          <w:bCs/>
          <w:sz w:val="26"/>
          <w:szCs w:val="26"/>
        </w:rPr>
        <w:t xml:space="preserve">Resulta </w:t>
      </w:r>
      <w:r w:rsidRPr="00F00642">
        <w:rPr>
          <w:rFonts w:ascii="Arial" w:eastAsia="Calibri" w:hAnsi="Arial" w:cs="Arial"/>
          <w:b/>
          <w:bCs/>
          <w:sz w:val="26"/>
          <w:szCs w:val="26"/>
        </w:rPr>
        <w:t>INOPERANTE</w:t>
      </w:r>
      <w:r>
        <w:rPr>
          <w:rFonts w:ascii="Arial" w:eastAsia="Calibri" w:hAnsi="Arial" w:cs="Arial"/>
          <w:b/>
          <w:bCs/>
          <w:sz w:val="26"/>
          <w:szCs w:val="26"/>
        </w:rPr>
        <w:t xml:space="preserve"> </w:t>
      </w:r>
      <w:r>
        <w:rPr>
          <w:rFonts w:ascii="Arial" w:eastAsia="Calibri" w:hAnsi="Arial" w:cs="Arial"/>
          <w:sz w:val="26"/>
          <w:szCs w:val="26"/>
        </w:rPr>
        <w:t>e</w:t>
      </w:r>
      <w:r w:rsidRPr="00C240AC">
        <w:rPr>
          <w:rFonts w:ascii="Arial" w:eastAsia="Calibri" w:hAnsi="Arial" w:cs="Arial"/>
          <w:bCs/>
          <w:sz w:val="26"/>
          <w:szCs w:val="26"/>
        </w:rPr>
        <w:t>l</w:t>
      </w:r>
      <w:r>
        <w:rPr>
          <w:rFonts w:ascii="Arial" w:eastAsia="Calibri" w:hAnsi="Arial" w:cs="Arial"/>
          <w:bCs/>
          <w:sz w:val="26"/>
          <w:szCs w:val="26"/>
        </w:rPr>
        <w:t xml:space="preserve"> agravio que hace valer la recurrente,</w:t>
      </w:r>
      <w:r w:rsidRPr="00F00642">
        <w:rPr>
          <w:rFonts w:ascii="Arial" w:eastAsia="Calibri" w:hAnsi="Arial" w:cs="Arial"/>
          <w:bCs/>
          <w:sz w:val="26"/>
          <w:szCs w:val="26"/>
        </w:rPr>
        <w:t xml:space="preserve"> porque </w:t>
      </w:r>
      <w:r>
        <w:rPr>
          <w:rFonts w:ascii="Arial" w:eastAsia="Calibri" w:hAnsi="Arial" w:cs="Arial"/>
          <w:bCs/>
          <w:color w:val="000000" w:themeColor="text1"/>
          <w:sz w:val="26"/>
          <w:szCs w:val="26"/>
          <w:lang w:eastAsia="en-US"/>
        </w:rPr>
        <w:t xml:space="preserve">no </w:t>
      </w:r>
      <w:r w:rsidRPr="00F00642">
        <w:rPr>
          <w:rFonts w:ascii="Arial" w:eastAsia="Calibri" w:hAnsi="Arial" w:cs="Arial"/>
          <w:bCs/>
          <w:sz w:val="26"/>
          <w:szCs w:val="26"/>
        </w:rPr>
        <w:t xml:space="preserve">expone argumento alguno destinado a combatir </w:t>
      </w:r>
      <w:r>
        <w:rPr>
          <w:rFonts w:ascii="Arial" w:eastAsia="Calibri" w:hAnsi="Arial" w:cs="Arial"/>
          <w:bCs/>
          <w:sz w:val="26"/>
          <w:szCs w:val="26"/>
        </w:rPr>
        <w:t xml:space="preserve">los motivos por los cuales </w:t>
      </w:r>
      <w:r w:rsidRPr="00B30C78">
        <w:rPr>
          <w:rFonts w:ascii="Arial" w:eastAsia="Calibri" w:hAnsi="Arial" w:cs="Arial"/>
          <w:bCs/>
          <w:sz w:val="26"/>
          <w:szCs w:val="26"/>
        </w:rPr>
        <w:t xml:space="preserve">la Quinta Sala Unitaria de Primera Instancia, procedió a tener por precluido el derecho </w:t>
      </w:r>
      <w:r w:rsidR="00291470" w:rsidRPr="00B30C78">
        <w:rPr>
          <w:rFonts w:ascii="Arial" w:eastAsia="Calibri" w:hAnsi="Arial" w:cs="Arial"/>
          <w:bCs/>
          <w:sz w:val="26"/>
          <w:szCs w:val="26"/>
        </w:rPr>
        <w:t xml:space="preserve">del </w:t>
      </w:r>
      <w:r w:rsidRPr="00B30C78">
        <w:rPr>
          <w:rFonts w:ascii="Arial" w:eastAsia="Calibri" w:hAnsi="Arial" w:cs="Arial"/>
          <w:bCs/>
          <w:sz w:val="26"/>
          <w:szCs w:val="26"/>
        </w:rPr>
        <w:t>Departamento de Renovaciones de la Secretaría de Movilidad del Estado de Oaxaca, para contestar la</w:t>
      </w:r>
      <w:r>
        <w:rPr>
          <w:rFonts w:ascii="Arial" w:eastAsia="Calibri" w:hAnsi="Arial" w:cs="Arial"/>
          <w:bCs/>
          <w:sz w:val="26"/>
          <w:szCs w:val="26"/>
        </w:rPr>
        <w:t xml:space="preserve"> demanda; </w:t>
      </w:r>
      <w:r w:rsidRPr="00C67BBA">
        <w:rPr>
          <w:rFonts w:ascii="Arial" w:hAnsi="Arial" w:cs="Arial"/>
          <w:bCs/>
          <w:color w:val="000000"/>
          <w:sz w:val="26"/>
          <w:szCs w:val="26"/>
        </w:rPr>
        <w:t xml:space="preserve">es decir, para ser </w:t>
      </w:r>
      <w:r w:rsidRPr="00D93025">
        <w:rPr>
          <w:rFonts w:ascii="Arial" w:hAnsi="Arial" w:cs="Arial"/>
          <w:bCs/>
          <w:color w:val="000000"/>
          <w:sz w:val="26"/>
          <w:szCs w:val="26"/>
        </w:rPr>
        <w:t xml:space="preserve">considerado como agravio, era necesario que expusiera cuál es el precepto violado por la resolutora, así como debían indicar las razones que estima son suficientes para combatir la determinación de la juzgadora primigenia, </w:t>
      </w:r>
      <w:r w:rsidRPr="00C67BBA">
        <w:rPr>
          <w:rFonts w:ascii="Arial" w:hAnsi="Arial" w:cs="Arial"/>
          <w:bCs/>
          <w:color w:val="000000"/>
          <w:sz w:val="26"/>
          <w:szCs w:val="26"/>
        </w:rPr>
        <w:t xml:space="preserve">lo que no logra al tratarse de meras afirmaciones sin sustento legal alguno, </w:t>
      </w:r>
      <w:r w:rsidRPr="00C67BBA">
        <w:rPr>
          <w:rFonts w:ascii="Arial" w:hAnsi="Arial" w:cs="Arial"/>
          <w:bCs/>
          <w:sz w:val="26"/>
          <w:szCs w:val="26"/>
        </w:rPr>
        <w:t xml:space="preserve">además se trata de argumentos genéricos, ambiguos y que en manera alguna explican la forma en que </w:t>
      </w:r>
      <w:r>
        <w:rPr>
          <w:rFonts w:ascii="Arial" w:hAnsi="Arial" w:cs="Arial"/>
          <w:bCs/>
          <w:sz w:val="26"/>
          <w:szCs w:val="26"/>
        </w:rPr>
        <w:t xml:space="preserve">el acuerdo recurrido le agravia. - - - - - - </w:t>
      </w:r>
      <w:r w:rsidR="00782A9A">
        <w:rPr>
          <w:rFonts w:ascii="Arial" w:hAnsi="Arial" w:cs="Arial"/>
          <w:bCs/>
          <w:sz w:val="26"/>
          <w:szCs w:val="26"/>
        </w:rPr>
        <w:t>- - - - - - - - - - - - -</w:t>
      </w:r>
    </w:p>
    <w:p w14:paraId="7A4B349F" w14:textId="77777777" w:rsidR="000F5C2E" w:rsidRDefault="000F5C2E" w:rsidP="000F5C2E">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Es decir, debe exponer </w:t>
      </w:r>
      <w:r>
        <w:rPr>
          <w:rFonts w:ascii="Arial" w:hAnsi="Arial" w:cs="Arial"/>
          <w:bCs/>
          <w:sz w:val="26"/>
          <w:szCs w:val="26"/>
        </w:rPr>
        <w:t>en qué consiste la lesión sufrida con la actuación de la juzgadora,</w:t>
      </w:r>
      <w:r>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procesal tratándose de recursos. - - - </w:t>
      </w:r>
    </w:p>
    <w:p w14:paraId="322EA216" w14:textId="77777777" w:rsidR="000F5C2E" w:rsidRDefault="000F5C2E" w:rsidP="000F5C2E">
      <w:pPr>
        <w:spacing w:before="120"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Semanario Judicial de la Federación y su Gaceta, Tomo XXV, enero de 2007, visible en la página 212, cuyo rubro y texto son del tenor siguiente:</w:t>
      </w:r>
    </w:p>
    <w:p w14:paraId="420CF63E" w14:textId="77777777" w:rsidR="000F5C2E" w:rsidRDefault="000F5C2E" w:rsidP="000F5C2E">
      <w:pPr>
        <w:pStyle w:val="NormalWeb"/>
        <w:shd w:val="clear" w:color="auto" w:fill="FFFFFF"/>
        <w:spacing w:before="120" w:beforeAutospacing="0" w:after="0" w:afterAutospacing="0"/>
        <w:ind w:left="851" w:right="902"/>
        <w:jc w:val="both"/>
        <w:rPr>
          <w:rFonts w:ascii="Arial" w:hAnsi="Arial" w:cs="Arial"/>
          <w:i/>
          <w:iCs/>
          <w:color w:val="222222"/>
          <w:sz w:val="22"/>
          <w:szCs w:val="22"/>
        </w:rPr>
      </w:pPr>
      <w:r>
        <w:rPr>
          <w:rFonts w:ascii="Arial" w:hAnsi="Arial" w:cs="Arial"/>
          <w:b/>
          <w:bCs/>
          <w:i/>
          <w:iCs/>
          <w:color w:val="222222"/>
          <w:sz w:val="22"/>
          <w:szCs w:val="22"/>
        </w:rPr>
        <w:lastRenderedPageBreak/>
        <w:t>“CONCEPTOS DE VIOLACIÓN O AGRAVIOS. SON INOPERANTES CUANDO LOS ARGUMENTOS EXPUESTOS POR EL QUEJOSO O EL RECURRENTE SON AMBIGUOS Y 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 - - - - - - - - - -</w:t>
      </w:r>
    </w:p>
    <w:p w14:paraId="064F709C" w14:textId="77777777" w:rsidR="000F5C2E" w:rsidRDefault="000F5C2E" w:rsidP="000F5C2E">
      <w:pPr>
        <w:pStyle w:val="NormalWeb"/>
        <w:shd w:val="clear" w:color="auto" w:fill="FFFFFF"/>
        <w:spacing w:before="0" w:beforeAutospacing="0" w:after="120" w:afterAutospacing="0"/>
        <w:ind w:left="851" w:right="902"/>
        <w:jc w:val="both"/>
        <w:rPr>
          <w:rFonts w:ascii="Arial" w:hAnsi="Arial" w:cs="Arial"/>
          <w:i/>
          <w:iCs/>
          <w:color w:val="222222"/>
          <w:sz w:val="22"/>
          <w:szCs w:val="22"/>
        </w:rPr>
      </w:pPr>
    </w:p>
    <w:p w14:paraId="309FBA1C" w14:textId="77777777" w:rsidR="000F5C2E" w:rsidRDefault="000F5C2E" w:rsidP="000F5C2E">
      <w:pPr>
        <w:spacing w:after="120" w:line="360" w:lineRule="auto"/>
        <w:ind w:firstLine="709"/>
        <w:jc w:val="both"/>
        <w:rPr>
          <w:rFonts w:ascii="Arial" w:hAnsi="Arial" w:cs="Arial"/>
          <w:bCs/>
          <w:sz w:val="24"/>
          <w:szCs w:val="24"/>
        </w:rPr>
      </w:pPr>
      <w:r>
        <w:rPr>
          <w:rFonts w:ascii="Arial" w:hAnsi="Arial" w:cs="Arial"/>
          <w:bCs/>
          <w:sz w:val="24"/>
          <w:szCs w:val="24"/>
        </w:rPr>
        <w:t>Así como en la jurisprudencia IV.3o. J/12 del Tercer Tribunal Colegiado del Cuarto Circuito de la octava época la cual está publicada en la Gaceta del Semanario Judicial de la Federación número 57 de septiembre de 1992, visible a página 57 con el rubro y texto del tenor literal siguiente: - - - - - - - - - - - - - - -</w:t>
      </w:r>
    </w:p>
    <w:p w14:paraId="7AB388CE" w14:textId="77777777" w:rsidR="000F5C2E" w:rsidRDefault="000F5C2E" w:rsidP="000F5C2E">
      <w:pPr>
        <w:spacing w:before="120" w:after="0" w:line="240" w:lineRule="auto"/>
        <w:ind w:left="851"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w:t>
      </w:r>
    </w:p>
    <w:p w14:paraId="54942F5C" w14:textId="77777777" w:rsidR="000F5C2E" w:rsidRPr="00907C0F" w:rsidRDefault="000F5C2E" w:rsidP="000F5C2E">
      <w:pPr>
        <w:spacing w:before="120" w:after="0" w:line="240" w:lineRule="auto"/>
        <w:ind w:left="851" w:right="900"/>
        <w:jc w:val="both"/>
        <w:rPr>
          <w:rFonts w:ascii="Arial" w:hAnsi="Arial" w:cs="Arial"/>
          <w:bCs/>
          <w:i/>
          <w:color w:val="000000" w:themeColor="text1"/>
        </w:rPr>
      </w:pPr>
    </w:p>
    <w:p w14:paraId="38CC3BDC" w14:textId="033CEA88" w:rsidR="00D26488" w:rsidRDefault="00B75B2A" w:rsidP="00D26488">
      <w:pPr>
        <w:spacing w:after="120" w:line="360" w:lineRule="auto"/>
        <w:ind w:firstLine="709"/>
        <w:jc w:val="both"/>
        <w:rPr>
          <w:rFonts w:ascii="Arial" w:hAnsi="Arial" w:cs="Arial"/>
          <w:bCs/>
          <w:sz w:val="26"/>
          <w:szCs w:val="26"/>
        </w:rPr>
      </w:pPr>
      <w:r>
        <w:rPr>
          <w:rFonts w:ascii="Arial" w:eastAsia="Calibri" w:hAnsi="Arial" w:cs="Arial"/>
          <w:bCs/>
          <w:sz w:val="26"/>
          <w:szCs w:val="26"/>
        </w:rPr>
        <w:t xml:space="preserve">Además, </w:t>
      </w:r>
      <w:r w:rsidR="00B60272">
        <w:rPr>
          <w:rFonts w:ascii="Arial" w:eastAsia="Calibri" w:hAnsi="Arial" w:cs="Arial"/>
          <w:bCs/>
          <w:sz w:val="26"/>
          <w:szCs w:val="26"/>
        </w:rPr>
        <w:t xml:space="preserve">del acuse de recibo del oficio </w:t>
      </w:r>
      <w:r w:rsidR="00087AE3">
        <w:rPr>
          <w:rFonts w:ascii="Arial" w:eastAsia="Calibri" w:hAnsi="Arial" w:cs="Arial"/>
          <w:bCs/>
          <w:color w:val="000000" w:themeColor="text1"/>
          <w:sz w:val="26"/>
          <w:szCs w:val="26"/>
        </w:rPr>
        <w:t>*******</w:t>
      </w:r>
      <w:r w:rsidR="00B60272">
        <w:rPr>
          <w:rFonts w:ascii="Arial" w:eastAsia="Calibri" w:hAnsi="Arial" w:cs="Arial"/>
          <w:bCs/>
          <w:color w:val="000000" w:themeColor="text1"/>
          <w:sz w:val="26"/>
          <w:szCs w:val="26"/>
        </w:rPr>
        <w:t xml:space="preserve"> de veinticinco de marzo de dos mil veintiuno, dirigido a: </w:t>
      </w:r>
      <w:r w:rsidR="00B60272">
        <w:rPr>
          <w:rFonts w:ascii="Arial" w:eastAsia="Calibri" w:hAnsi="Arial" w:cs="Arial"/>
          <w:bCs/>
          <w:i/>
          <w:iCs/>
          <w:color w:val="000000" w:themeColor="text1"/>
          <w:sz w:val="24"/>
          <w:szCs w:val="24"/>
        </w:rPr>
        <w:t>“</w:t>
      </w:r>
      <w:r w:rsidR="00B60272">
        <w:rPr>
          <w:rFonts w:ascii="Arial" w:eastAsia="Calibri" w:hAnsi="Arial" w:cs="Arial"/>
          <w:b/>
          <w:i/>
          <w:iCs/>
          <w:color w:val="000000" w:themeColor="text1"/>
          <w:sz w:val="24"/>
          <w:szCs w:val="24"/>
        </w:rPr>
        <w:t xml:space="preserve">DEPARTAMENTO </w:t>
      </w:r>
      <w:r w:rsidR="00B60272" w:rsidRPr="00B30C78">
        <w:rPr>
          <w:rFonts w:ascii="Arial" w:eastAsia="Calibri" w:hAnsi="Arial" w:cs="Arial"/>
          <w:b/>
          <w:i/>
          <w:iCs/>
          <w:color w:val="000000" w:themeColor="text1"/>
          <w:sz w:val="24"/>
          <w:szCs w:val="24"/>
        </w:rPr>
        <w:t xml:space="preserve">DE RENOVACIONES DE LA SECRETARÍA DE MOVILIDAD DEL ESTADO”, </w:t>
      </w:r>
      <w:r w:rsidR="00B60272" w:rsidRPr="00B30C78">
        <w:rPr>
          <w:rFonts w:ascii="Arial" w:eastAsia="Calibri" w:hAnsi="Arial" w:cs="Arial"/>
          <w:bCs/>
          <w:color w:val="000000" w:themeColor="text1"/>
          <w:sz w:val="26"/>
          <w:szCs w:val="26"/>
        </w:rPr>
        <w:t xml:space="preserve">suscrito por el actuario de la Quinta Sala Unitaria de Primera Instancia, </w:t>
      </w:r>
      <w:r w:rsidR="00A60B44" w:rsidRPr="00B30C78">
        <w:rPr>
          <w:rFonts w:ascii="Arial" w:eastAsia="Calibri" w:hAnsi="Arial" w:cs="Arial"/>
          <w:bCs/>
          <w:color w:val="000000" w:themeColor="text1"/>
          <w:sz w:val="26"/>
          <w:szCs w:val="26"/>
        </w:rPr>
        <w:t xml:space="preserve">mediante el que </w:t>
      </w:r>
      <w:r w:rsidR="00B60272" w:rsidRPr="00B30C78">
        <w:rPr>
          <w:rFonts w:ascii="Arial" w:eastAsia="Calibri" w:hAnsi="Arial" w:cs="Arial"/>
          <w:bCs/>
          <w:color w:val="000000" w:themeColor="text1"/>
          <w:sz w:val="26"/>
          <w:szCs w:val="26"/>
        </w:rPr>
        <w:t>se notific</w:t>
      </w:r>
      <w:r w:rsidRPr="00B30C78">
        <w:rPr>
          <w:rFonts w:ascii="Arial" w:eastAsia="Calibri" w:hAnsi="Arial" w:cs="Arial"/>
          <w:bCs/>
          <w:color w:val="000000" w:themeColor="text1"/>
          <w:sz w:val="26"/>
          <w:szCs w:val="26"/>
        </w:rPr>
        <w:t>ó</w:t>
      </w:r>
      <w:r w:rsidR="00B60272" w:rsidRPr="00B30C78">
        <w:rPr>
          <w:rFonts w:ascii="Arial" w:eastAsia="Calibri" w:hAnsi="Arial" w:cs="Arial"/>
          <w:bCs/>
          <w:color w:val="000000" w:themeColor="text1"/>
          <w:sz w:val="26"/>
          <w:szCs w:val="26"/>
        </w:rPr>
        <w:t xml:space="preserve"> el acuerdo de veinticuatro de marzo de dos mil veintiuno, en el cual se admitió la demanda y se ordenó correr traslado para que contestara la demanda</w:t>
      </w:r>
      <w:r w:rsidRPr="00B30C78">
        <w:rPr>
          <w:rFonts w:ascii="Arial" w:eastAsia="Calibri" w:hAnsi="Arial" w:cs="Arial"/>
          <w:bCs/>
          <w:color w:val="000000" w:themeColor="text1"/>
          <w:sz w:val="26"/>
          <w:szCs w:val="26"/>
        </w:rPr>
        <w:t xml:space="preserve"> </w:t>
      </w:r>
      <w:r w:rsidR="00B60272" w:rsidRPr="00B30C78">
        <w:rPr>
          <w:rFonts w:ascii="Arial" w:eastAsia="Calibri" w:hAnsi="Arial" w:cs="Arial"/>
          <w:bCs/>
          <w:color w:val="000000" w:themeColor="text1"/>
          <w:sz w:val="26"/>
          <w:szCs w:val="26"/>
        </w:rPr>
        <w:t xml:space="preserve">promovida por </w:t>
      </w:r>
      <w:r w:rsidR="00D96E67">
        <w:rPr>
          <w:rFonts w:ascii="Arial" w:hAnsi="Arial" w:cs="Arial"/>
          <w:b/>
          <w:sz w:val="26"/>
          <w:szCs w:val="26"/>
        </w:rPr>
        <w:t>*******</w:t>
      </w:r>
      <w:r w:rsidR="00B60272">
        <w:rPr>
          <w:rFonts w:ascii="Arial" w:hAnsi="Arial" w:cs="Arial"/>
          <w:sz w:val="26"/>
          <w:szCs w:val="26"/>
        </w:rPr>
        <w:t xml:space="preserve">, </w:t>
      </w:r>
      <w:r w:rsidR="00B60272" w:rsidRPr="00C5007B">
        <w:rPr>
          <w:rFonts w:ascii="Arial" w:hAnsi="Arial" w:cs="Arial"/>
          <w:b/>
          <w:sz w:val="26"/>
          <w:szCs w:val="26"/>
        </w:rPr>
        <w:t xml:space="preserve">apoderado legal </w:t>
      </w:r>
      <w:r w:rsidR="00D96E67">
        <w:rPr>
          <w:rFonts w:ascii="Arial" w:hAnsi="Arial" w:cs="Arial"/>
          <w:b/>
          <w:sz w:val="26"/>
          <w:szCs w:val="26"/>
        </w:rPr>
        <w:t>*******</w:t>
      </w:r>
      <w:r w:rsidR="00B60272">
        <w:rPr>
          <w:rFonts w:ascii="Arial" w:hAnsi="Arial" w:cs="Arial"/>
          <w:b/>
          <w:sz w:val="26"/>
          <w:szCs w:val="26"/>
        </w:rPr>
        <w:t xml:space="preserve"> </w:t>
      </w:r>
      <w:r w:rsidRPr="00B75B2A">
        <w:rPr>
          <w:rFonts w:ascii="Arial" w:hAnsi="Arial" w:cs="Arial"/>
          <w:bCs/>
          <w:sz w:val="26"/>
          <w:szCs w:val="26"/>
        </w:rPr>
        <w:t>en el plazo de nueve días</w:t>
      </w:r>
      <w:r>
        <w:rPr>
          <w:rFonts w:ascii="Arial" w:hAnsi="Arial" w:cs="Arial"/>
          <w:bCs/>
          <w:sz w:val="26"/>
          <w:szCs w:val="26"/>
        </w:rPr>
        <w:t>, contados a partir del día hábil siguiente a su notificación,</w:t>
      </w:r>
      <w:r>
        <w:rPr>
          <w:rFonts w:ascii="Arial" w:hAnsi="Arial" w:cs="Arial"/>
          <w:b/>
          <w:sz w:val="26"/>
          <w:szCs w:val="26"/>
        </w:rPr>
        <w:t xml:space="preserve"> </w:t>
      </w:r>
      <w:r w:rsidR="00B60272">
        <w:rPr>
          <w:rFonts w:ascii="Arial" w:hAnsi="Arial" w:cs="Arial"/>
          <w:bCs/>
          <w:sz w:val="26"/>
          <w:szCs w:val="26"/>
        </w:rPr>
        <w:t xml:space="preserve">se advierte que </w:t>
      </w:r>
      <w:r>
        <w:rPr>
          <w:rFonts w:ascii="Arial" w:hAnsi="Arial" w:cs="Arial"/>
          <w:bCs/>
          <w:sz w:val="26"/>
          <w:szCs w:val="26"/>
        </w:rPr>
        <w:t>fue recibido el veintiséis de marzo del citado año</w:t>
      </w:r>
      <w:r w:rsidR="00CD4372">
        <w:rPr>
          <w:rFonts w:ascii="Arial" w:hAnsi="Arial" w:cs="Arial"/>
          <w:bCs/>
          <w:sz w:val="26"/>
          <w:szCs w:val="26"/>
        </w:rPr>
        <w:t>,</w:t>
      </w:r>
      <w:r>
        <w:rPr>
          <w:rFonts w:ascii="Arial" w:hAnsi="Arial" w:cs="Arial"/>
          <w:bCs/>
          <w:sz w:val="26"/>
          <w:szCs w:val="26"/>
        </w:rPr>
        <w:t xml:space="preserve"> en la Secretaría de Movilidad del Estado de Oaxaca, sin que se adviert</w:t>
      </w:r>
      <w:r w:rsidR="00AC7C19">
        <w:rPr>
          <w:rFonts w:ascii="Arial" w:hAnsi="Arial" w:cs="Arial"/>
          <w:bCs/>
          <w:sz w:val="26"/>
          <w:szCs w:val="26"/>
        </w:rPr>
        <w:t>a</w:t>
      </w:r>
      <w:r>
        <w:rPr>
          <w:rFonts w:ascii="Arial" w:hAnsi="Arial" w:cs="Arial"/>
          <w:bCs/>
          <w:sz w:val="26"/>
          <w:szCs w:val="26"/>
        </w:rPr>
        <w:t xml:space="preserve"> razón alguna </w:t>
      </w:r>
      <w:r w:rsidRPr="00B30C78">
        <w:rPr>
          <w:rFonts w:ascii="Arial" w:hAnsi="Arial" w:cs="Arial"/>
          <w:bCs/>
          <w:sz w:val="26"/>
          <w:szCs w:val="26"/>
        </w:rPr>
        <w:t>del actuario, donde haya asentado que dicho Departamento no existe</w:t>
      </w:r>
      <w:r w:rsidR="00291470" w:rsidRPr="00B30C78">
        <w:rPr>
          <w:rFonts w:ascii="Arial" w:hAnsi="Arial" w:cs="Arial"/>
          <w:bCs/>
          <w:sz w:val="26"/>
          <w:szCs w:val="26"/>
        </w:rPr>
        <w:t>; además contrario a lo manifestado por la autoridad recurrente, de su escrito de contestación no se advierte que haya hecho manifestación alguna al respecto</w:t>
      </w:r>
      <w:r w:rsidRPr="00B30C78">
        <w:rPr>
          <w:rFonts w:ascii="Arial" w:hAnsi="Arial" w:cs="Arial"/>
          <w:bCs/>
          <w:sz w:val="26"/>
          <w:szCs w:val="26"/>
        </w:rPr>
        <w:t xml:space="preserve">; por lo </w:t>
      </w:r>
      <w:r w:rsidRPr="00B30C78">
        <w:rPr>
          <w:rFonts w:ascii="Arial" w:hAnsi="Arial" w:cs="Arial"/>
          <w:bCs/>
          <w:sz w:val="26"/>
          <w:szCs w:val="26"/>
        </w:rPr>
        <w:lastRenderedPageBreak/>
        <w:t>que resulta procedente lo acordad</w:t>
      </w:r>
      <w:bookmarkStart w:id="0" w:name="_GoBack"/>
      <w:bookmarkEnd w:id="0"/>
      <w:r w:rsidRPr="00B30C78">
        <w:rPr>
          <w:rFonts w:ascii="Arial" w:hAnsi="Arial" w:cs="Arial"/>
          <w:bCs/>
          <w:sz w:val="26"/>
          <w:szCs w:val="26"/>
        </w:rPr>
        <w:t>o por la Magistrada de Primera Instancia, en el sentido de que al no haber contestado la demanda dentro del plazo</w:t>
      </w:r>
      <w:r>
        <w:rPr>
          <w:rFonts w:ascii="Arial" w:hAnsi="Arial" w:cs="Arial"/>
          <w:bCs/>
          <w:sz w:val="26"/>
          <w:szCs w:val="26"/>
        </w:rPr>
        <w:t xml:space="preserve"> concedido, precluyó su derecho, salvo prueba en contrario.</w:t>
      </w:r>
      <w:r w:rsidR="00D26488">
        <w:rPr>
          <w:rFonts w:ascii="Arial" w:hAnsi="Arial" w:cs="Arial"/>
          <w:bCs/>
          <w:sz w:val="26"/>
          <w:szCs w:val="26"/>
        </w:rPr>
        <w:t xml:space="preserve">- - </w:t>
      </w:r>
    </w:p>
    <w:p w14:paraId="5EADFFBA" w14:textId="0E212604" w:rsidR="0016098F" w:rsidRPr="00D26488" w:rsidRDefault="0016098F" w:rsidP="00D26488">
      <w:pPr>
        <w:spacing w:after="120" w:line="360" w:lineRule="auto"/>
        <w:ind w:firstLine="709"/>
        <w:jc w:val="both"/>
        <w:rPr>
          <w:rFonts w:ascii="Arial" w:eastAsia="Calibri" w:hAnsi="Arial" w:cs="Arial"/>
          <w:bCs/>
          <w:sz w:val="26"/>
          <w:szCs w:val="26"/>
        </w:rPr>
      </w:pPr>
      <w:r w:rsidRPr="007E60C0">
        <w:rPr>
          <w:rFonts w:ascii="Arial" w:eastAsia="Calibri" w:hAnsi="Arial" w:cs="Arial"/>
          <w:bCs/>
          <w:sz w:val="26"/>
          <w:szCs w:val="26"/>
        </w:rPr>
        <w:t xml:space="preserve">En consecuencia, al no existir agravio que reparar por las razones aquí apuntadas, se </w:t>
      </w:r>
      <w:r w:rsidRPr="007E60C0">
        <w:rPr>
          <w:rFonts w:ascii="Arial" w:eastAsia="Calibri" w:hAnsi="Arial" w:cs="Arial"/>
          <w:b/>
          <w:bCs/>
          <w:sz w:val="26"/>
          <w:szCs w:val="26"/>
        </w:rPr>
        <w:t>CONFIRMA</w:t>
      </w:r>
      <w:r w:rsidRPr="007E60C0">
        <w:rPr>
          <w:rFonts w:ascii="Arial" w:eastAsia="Calibri" w:hAnsi="Arial" w:cs="Arial"/>
          <w:bCs/>
          <w:sz w:val="26"/>
          <w:szCs w:val="26"/>
        </w:rPr>
        <w:t xml:space="preserve"> el acuerdo recurrido y con fundamento en los artículos 23</w:t>
      </w:r>
      <w:r w:rsidR="00782A9A">
        <w:rPr>
          <w:rFonts w:ascii="Arial" w:eastAsia="Calibri" w:hAnsi="Arial" w:cs="Arial"/>
          <w:bCs/>
          <w:sz w:val="26"/>
          <w:szCs w:val="26"/>
        </w:rPr>
        <w:t>6</w:t>
      </w:r>
      <w:r w:rsidRPr="007E60C0">
        <w:rPr>
          <w:rFonts w:ascii="Arial" w:eastAsia="Calibri" w:hAnsi="Arial" w:cs="Arial"/>
          <w:bCs/>
          <w:sz w:val="26"/>
          <w:szCs w:val="26"/>
        </w:rPr>
        <w:t xml:space="preserve"> y 238 de la Ley de Procedimiento y Justicia Administrativa para el Estado, se - - - - - - - - - - - - - - - - - - - - - - - - - - - - </w:t>
      </w:r>
    </w:p>
    <w:p w14:paraId="54386F37" w14:textId="77777777" w:rsidR="0016098F" w:rsidRPr="007E60C0" w:rsidRDefault="0016098F" w:rsidP="0016098F">
      <w:pPr>
        <w:spacing w:before="120" w:after="0" w:line="360" w:lineRule="auto"/>
        <w:jc w:val="center"/>
        <w:rPr>
          <w:rFonts w:ascii="Arial" w:eastAsiaTheme="minorHAnsi" w:hAnsi="Arial" w:cs="Arial"/>
          <w:b/>
          <w:sz w:val="26"/>
          <w:szCs w:val="26"/>
          <w:lang w:eastAsia="en-US"/>
        </w:rPr>
      </w:pPr>
      <w:r w:rsidRPr="007E60C0">
        <w:rPr>
          <w:rFonts w:ascii="Arial" w:eastAsiaTheme="minorHAnsi" w:hAnsi="Arial" w:cs="Arial"/>
          <w:b/>
          <w:sz w:val="26"/>
          <w:szCs w:val="26"/>
          <w:lang w:eastAsia="en-US"/>
        </w:rPr>
        <w:t>R E S U E L V E</w:t>
      </w:r>
    </w:p>
    <w:p w14:paraId="140F795C" w14:textId="3C61D0FD" w:rsidR="0016098F" w:rsidRPr="007E60C0" w:rsidRDefault="0016098F" w:rsidP="0016098F">
      <w:pPr>
        <w:spacing w:before="120" w:after="0" w:line="360" w:lineRule="auto"/>
        <w:jc w:val="both"/>
        <w:rPr>
          <w:rFonts w:ascii="Arial" w:eastAsia="Calibri" w:hAnsi="Arial" w:cs="Arial"/>
          <w:sz w:val="26"/>
          <w:szCs w:val="26"/>
        </w:rPr>
      </w:pPr>
      <w:r w:rsidRPr="007E60C0">
        <w:rPr>
          <w:rFonts w:ascii="Arial" w:eastAsiaTheme="minorHAnsi" w:hAnsi="Arial" w:cs="Arial"/>
          <w:b/>
          <w:sz w:val="26"/>
          <w:szCs w:val="26"/>
          <w:lang w:eastAsia="en-US"/>
        </w:rPr>
        <w:tab/>
        <w:t>PRIMERO</w:t>
      </w:r>
      <w:r w:rsidRPr="007E60C0">
        <w:rPr>
          <w:rFonts w:ascii="Arial" w:eastAsia="Calibri" w:hAnsi="Arial" w:cs="Arial"/>
          <w:sz w:val="26"/>
          <w:szCs w:val="26"/>
        </w:rPr>
        <w:t xml:space="preserve">. Se </w:t>
      </w:r>
      <w:r w:rsidRPr="007E60C0">
        <w:rPr>
          <w:rFonts w:ascii="Arial" w:eastAsia="Calibri" w:hAnsi="Arial" w:cs="Arial"/>
          <w:b/>
          <w:sz w:val="26"/>
          <w:szCs w:val="26"/>
        </w:rPr>
        <w:t xml:space="preserve">CONFIRMA </w:t>
      </w:r>
      <w:r w:rsidRPr="007E60C0">
        <w:rPr>
          <w:rFonts w:ascii="Arial" w:eastAsia="Calibri" w:hAnsi="Arial" w:cs="Arial"/>
          <w:sz w:val="26"/>
          <w:szCs w:val="26"/>
        </w:rPr>
        <w:t xml:space="preserve">el acuerdo de </w:t>
      </w:r>
      <w:r w:rsidR="00782A9A">
        <w:rPr>
          <w:rFonts w:ascii="Arial" w:eastAsia="Calibri" w:hAnsi="Arial" w:cs="Arial"/>
          <w:bCs/>
          <w:sz w:val="26"/>
          <w:szCs w:val="26"/>
          <w:lang w:val="es-ES" w:eastAsia="en-US"/>
        </w:rPr>
        <w:t xml:space="preserve">quince de julio </w:t>
      </w:r>
      <w:r w:rsidRPr="007E60C0">
        <w:rPr>
          <w:rFonts w:ascii="Arial" w:eastAsia="Calibri" w:hAnsi="Arial" w:cs="Arial"/>
          <w:bCs/>
          <w:sz w:val="26"/>
          <w:szCs w:val="26"/>
          <w:lang w:val="es-ES" w:eastAsia="en-US"/>
        </w:rPr>
        <w:t>de dos mil veintiuno</w:t>
      </w:r>
      <w:r w:rsidRPr="007E60C0">
        <w:rPr>
          <w:rFonts w:ascii="Arial" w:eastAsia="Calibri" w:hAnsi="Arial" w:cs="Arial"/>
          <w:sz w:val="26"/>
          <w:szCs w:val="26"/>
        </w:rPr>
        <w:t xml:space="preserve">, </w:t>
      </w:r>
      <w:r w:rsidRPr="007E60C0">
        <w:rPr>
          <w:rFonts w:ascii="Arial" w:eastAsia="Calibri" w:hAnsi="Arial" w:cs="Arial"/>
          <w:bCs/>
          <w:sz w:val="26"/>
          <w:szCs w:val="26"/>
          <w:lang w:val="es-ES" w:eastAsia="en-US"/>
        </w:rPr>
        <w:t>por las consideraciones expuestas en la presente resolución</w:t>
      </w:r>
      <w:r w:rsidRPr="007E60C0">
        <w:rPr>
          <w:rFonts w:ascii="Arial" w:eastAsia="Calibri" w:hAnsi="Arial" w:cs="Arial"/>
          <w:sz w:val="26"/>
          <w:szCs w:val="26"/>
        </w:rPr>
        <w:t xml:space="preserve">. - - - - - - - - - - - - - - - - - - - - - - - - - - - </w:t>
      </w:r>
      <w:r w:rsidR="00782A9A">
        <w:rPr>
          <w:rFonts w:ascii="Arial" w:eastAsia="Calibri" w:hAnsi="Arial" w:cs="Arial"/>
          <w:sz w:val="26"/>
          <w:szCs w:val="26"/>
        </w:rPr>
        <w:t>- - - - - - - - - - - - - - - - -</w:t>
      </w:r>
    </w:p>
    <w:p w14:paraId="30AF72DF" w14:textId="7EBBD4E7" w:rsidR="0016098F" w:rsidRPr="007E60C0" w:rsidRDefault="0016098F" w:rsidP="0016098F">
      <w:pPr>
        <w:spacing w:before="120" w:after="0" w:line="360" w:lineRule="auto"/>
        <w:jc w:val="both"/>
        <w:rPr>
          <w:rFonts w:ascii="Arial" w:eastAsiaTheme="minorHAnsi" w:hAnsi="Arial" w:cs="Arial"/>
          <w:sz w:val="26"/>
          <w:szCs w:val="26"/>
          <w:lang w:eastAsia="en-US"/>
        </w:rPr>
      </w:pPr>
      <w:r w:rsidRPr="007E60C0">
        <w:rPr>
          <w:rFonts w:ascii="Arial" w:eastAsia="Calibri" w:hAnsi="Arial" w:cs="Arial"/>
          <w:sz w:val="26"/>
          <w:szCs w:val="26"/>
        </w:rPr>
        <w:tab/>
      </w:r>
      <w:r w:rsidRPr="007E60C0">
        <w:rPr>
          <w:rFonts w:ascii="Arial" w:hAnsi="Arial" w:cs="Arial"/>
          <w:b/>
          <w:sz w:val="26"/>
          <w:szCs w:val="26"/>
        </w:rPr>
        <w:t xml:space="preserve">SEGUNDO. </w:t>
      </w:r>
      <w:r w:rsidRPr="007E60C0">
        <w:rPr>
          <w:rFonts w:ascii="Arial" w:eastAsiaTheme="minorHAnsi" w:hAnsi="Arial" w:cs="Arial"/>
          <w:b/>
          <w:sz w:val="26"/>
          <w:szCs w:val="26"/>
          <w:lang w:eastAsia="en-US"/>
        </w:rPr>
        <w:t xml:space="preserve">NOTIFÍQUESE Y CÚMPLASE, </w:t>
      </w:r>
      <w:r w:rsidRPr="007E60C0">
        <w:rPr>
          <w:rFonts w:ascii="Arial" w:eastAsiaTheme="minorHAnsi" w:hAnsi="Arial" w:cs="Arial"/>
          <w:sz w:val="26"/>
          <w:szCs w:val="26"/>
          <w:lang w:eastAsia="en-US"/>
        </w:rPr>
        <w:t xml:space="preserve">remítase copia certificada de la presente resolución a la </w:t>
      </w:r>
      <w:r w:rsidR="00782A9A">
        <w:rPr>
          <w:rFonts w:ascii="Arial" w:eastAsiaTheme="minorHAnsi" w:hAnsi="Arial" w:cs="Arial"/>
          <w:sz w:val="26"/>
          <w:szCs w:val="26"/>
          <w:lang w:eastAsia="en-US"/>
        </w:rPr>
        <w:t>Quinta</w:t>
      </w:r>
      <w:r w:rsidRPr="007E60C0">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 - - - - - - - - - - - </w:t>
      </w:r>
      <w:r w:rsidR="00782A9A">
        <w:rPr>
          <w:rFonts w:ascii="Arial" w:eastAsiaTheme="minorHAnsi" w:hAnsi="Arial" w:cs="Arial"/>
          <w:sz w:val="26"/>
          <w:szCs w:val="26"/>
          <w:lang w:eastAsia="en-US"/>
        </w:rPr>
        <w:t>- - - - - - -</w:t>
      </w:r>
    </w:p>
    <w:p w14:paraId="2422E513" w14:textId="7302B015" w:rsidR="003B2AD4" w:rsidRDefault="0016098F" w:rsidP="003B2AD4">
      <w:pPr>
        <w:spacing w:before="100" w:beforeAutospacing="1" w:after="0" w:line="360" w:lineRule="auto"/>
        <w:ind w:firstLine="709"/>
        <w:jc w:val="both"/>
        <w:rPr>
          <w:rFonts w:ascii="Arial" w:hAnsi="Arial" w:cs="Arial"/>
          <w:sz w:val="26"/>
          <w:szCs w:val="26"/>
        </w:rPr>
      </w:pPr>
      <w:r w:rsidRPr="007E60C0">
        <w:rPr>
          <w:rFonts w:ascii="Arial" w:eastAsia="Calibri" w:hAnsi="Arial" w:cs="Arial"/>
          <w:sz w:val="26"/>
          <w:szCs w:val="26"/>
          <w:lang w:eastAsia="en-US"/>
        </w:rPr>
        <w:t xml:space="preserve">Así por unanimidad de votos, lo resolvieron y firmaron </w:t>
      </w:r>
      <w:r w:rsidRPr="007E60C0">
        <w:rPr>
          <w:rFonts w:ascii="Arial" w:eastAsiaTheme="minorHAnsi" w:hAnsi="Arial" w:cs="Arial"/>
          <w:sz w:val="26"/>
          <w:szCs w:val="26"/>
          <w:lang w:eastAsia="en-US"/>
        </w:rPr>
        <w:t>los Magistrados</w:t>
      </w:r>
      <w:r w:rsidRPr="007E60C0">
        <w:rPr>
          <w:rFonts w:ascii="Arial" w:eastAsia="Times New Roman" w:hAnsi="Arial" w:cs="Arial"/>
          <w:sz w:val="26"/>
          <w:szCs w:val="26"/>
        </w:rPr>
        <w:t xml:space="preserve"> </w:t>
      </w:r>
      <w:r w:rsidR="00A74704">
        <w:rPr>
          <w:rFonts w:ascii="Arial" w:eastAsia="Times New Roman" w:hAnsi="Arial" w:cs="Arial"/>
          <w:sz w:val="26"/>
          <w:szCs w:val="26"/>
        </w:rPr>
        <w:t xml:space="preserve">Integrantes de la Sala Superior </w:t>
      </w:r>
      <w:r w:rsidRPr="007E60C0">
        <w:rPr>
          <w:rFonts w:ascii="Arial" w:eastAsia="Times New Roman" w:hAnsi="Arial" w:cs="Arial"/>
          <w:sz w:val="26"/>
          <w:szCs w:val="26"/>
        </w:rPr>
        <w:t xml:space="preserve">Manuel Velasco Alcántara, </w:t>
      </w:r>
      <w:r w:rsidRPr="007E60C0">
        <w:rPr>
          <w:rFonts w:ascii="Arial" w:eastAsiaTheme="minorHAnsi" w:hAnsi="Arial" w:cs="Arial"/>
          <w:sz w:val="26"/>
          <w:szCs w:val="26"/>
          <w:lang w:eastAsia="en-US"/>
        </w:rPr>
        <w:t>Raúl Palomares Palomino, Gloria del Carmen Camacho Meza (</w:t>
      </w:r>
      <w:r w:rsidRPr="007E60C0">
        <w:rPr>
          <w:rFonts w:ascii="Arial" w:eastAsiaTheme="minorHAnsi" w:hAnsi="Arial" w:cs="Arial"/>
          <w:b/>
          <w:bCs/>
          <w:sz w:val="26"/>
          <w:szCs w:val="26"/>
          <w:lang w:eastAsia="en-US"/>
        </w:rPr>
        <w:t>ponente),</w:t>
      </w:r>
      <w:r w:rsidRPr="007E60C0">
        <w:rPr>
          <w:rFonts w:ascii="Arial" w:eastAsiaTheme="minorHAnsi" w:hAnsi="Arial" w:cs="Arial"/>
          <w:sz w:val="26"/>
          <w:szCs w:val="26"/>
          <w:lang w:eastAsia="en-US"/>
        </w:rPr>
        <w:t xml:space="preserve"> Paulo José Luis Tapia Palacios y Elías Cortés López, </w:t>
      </w:r>
      <w:r w:rsidR="003B2AD4">
        <w:rPr>
          <w:rFonts w:ascii="Arial" w:hAnsi="Arial" w:cs="Arial"/>
          <w:sz w:val="26"/>
          <w:szCs w:val="26"/>
        </w:rPr>
        <w:t xml:space="preserve">quienes actúan con el Licenciado Juan Edy García Coronado, Secretario General de Acuerdos de este Tribunal, que autoriza y da fe.- - - - - - - - - </w:t>
      </w:r>
    </w:p>
    <w:p w14:paraId="69BADD38" w14:textId="77777777" w:rsidR="003B2AD4" w:rsidRDefault="003B2AD4" w:rsidP="003B2AD4">
      <w:pPr>
        <w:spacing w:line="360" w:lineRule="auto"/>
        <w:ind w:right="49"/>
        <w:jc w:val="center"/>
        <w:rPr>
          <w:rFonts w:ascii="Arial" w:hAnsi="Arial" w:cs="Arial"/>
          <w:sz w:val="26"/>
          <w:szCs w:val="26"/>
        </w:rPr>
      </w:pPr>
    </w:p>
    <w:p w14:paraId="7A88A690" w14:textId="77777777" w:rsidR="003B2AD4" w:rsidRDefault="003B2AD4" w:rsidP="00CE75DA">
      <w:pPr>
        <w:spacing w:line="360" w:lineRule="auto"/>
        <w:ind w:right="49"/>
        <w:rPr>
          <w:rFonts w:ascii="Arial" w:hAnsi="Arial" w:cs="Arial"/>
          <w:sz w:val="26"/>
          <w:szCs w:val="26"/>
        </w:rPr>
      </w:pPr>
    </w:p>
    <w:p w14:paraId="676ADCAB" w14:textId="1E391301" w:rsidR="003B2AD4" w:rsidRDefault="003B2AD4" w:rsidP="003B2AD4">
      <w:pPr>
        <w:spacing w:line="360" w:lineRule="auto"/>
        <w:ind w:right="49"/>
        <w:jc w:val="center"/>
        <w:rPr>
          <w:rFonts w:ascii="Arial" w:hAnsi="Arial" w:cs="Arial"/>
          <w:sz w:val="26"/>
          <w:szCs w:val="26"/>
        </w:rPr>
      </w:pPr>
    </w:p>
    <w:p w14:paraId="0E9ACE68" w14:textId="77777777" w:rsidR="005928A9" w:rsidRDefault="005928A9" w:rsidP="003B2AD4">
      <w:pPr>
        <w:spacing w:line="360" w:lineRule="auto"/>
        <w:ind w:right="49"/>
        <w:jc w:val="center"/>
        <w:rPr>
          <w:rFonts w:ascii="Arial" w:hAnsi="Arial" w:cs="Arial"/>
          <w:sz w:val="26"/>
          <w:szCs w:val="26"/>
        </w:rPr>
      </w:pPr>
    </w:p>
    <w:p w14:paraId="09A07DCA" w14:textId="77777777" w:rsidR="003B2AD4" w:rsidRPr="00D97F7A" w:rsidRDefault="003B2AD4" w:rsidP="003B2AD4">
      <w:pPr>
        <w:pStyle w:val="Sinespaciado"/>
        <w:jc w:val="center"/>
        <w:rPr>
          <w:rFonts w:ascii="Arial" w:eastAsia="Times New Roman" w:hAnsi="Arial" w:cs="Arial"/>
          <w:sz w:val="26"/>
          <w:szCs w:val="26"/>
        </w:rPr>
      </w:pPr>
      <w:r w:rsidRPr="00D97F7A">
        <w:rPr>
          <w:rFonts w:ascii="Arial" w:eastAsia="Times New Roman" w:hAnsi="Arial" w:cs="Arial"/>
          <w:sz w:val="26"/>
          <w:szCs w:val="26"/>
        </w:rPr>
        <w:t>MAGISTRADO MANUEL VELASCO ALCÁNTARA</w:t>
      </w:r>
    </w:p>
    <w:p w14:paraId="6D0676E9" w14:textId="77777777" w:rsidR="003B2AD4" w:rsidRPr="00D97F7A" w:rsidRDefault="003B2AD4" w:rsidP="003B2AD4">
      <w:pPr>
        <w:pStyle w:val="Sinespaciado"/>
        <w:jc w:val="center"/>
        <w:rPr>
          <w:rFonts w:ascii="Arial" w:eastAsiaTheme="minorHAnsi" w:hAnsi="Arial" w:cs="Arial"/>
          <w:sz w:val="26"/>
          <w:szCs w:val="26"/>
          <w:lang w:eastAsia="en-US"/>
        </w:rPr>
      </w:pPr>
      <w:r w:rsidRPr="00D97F7A">
        <w:rPr>
          <w:rFonts w:ascii="Arial" w:eastAsiaTheme="minorHAnsi" w:hAnsi="Arial" w:cs="Arial"/>
          <w:sz w:val="26"/>
          <w:szCs w:val="26"/>
          <w:lang w:eastAsia="en-US"/>
        </w:rPr>
        <w:t>PRESIDENTE</w:t>
      </w:r>
    </w:p>
    <w:p w14:paraId="2C0CC241"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008509F7"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0ADBEDC0"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4A6255A6"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397CA902"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21B233B3" w14:textId="77777777" w:rsidR="003B2AD4" w:rsidRDefault="003B2AD4" w:rsidP="003B2AD4">
      <w:pPr>
        <w:spacing w:after="0" w:line="240" w:lineRule="auto"/>
        <w:ind w:firstLine="567"/>
        <w:jc w:val="center"/>
        <w:rPr>
          <w:rFonts w:ascii="Arial" w:eastAsiaTheme="minorHAnsi" w:hAnsi="Arial" w:cs="Arial"/>
          <w:sz w:val="26"/>
          <w:szCs w:val="26"/>
          <w:lang w:eastAsia="en-US"/>
        </w:rPr>
      </w:pPr>
    </w:p>
    <w:p w14:paraId="4C7620FC" w14:textId="77777777" w:rsidR="003B2AD4" w:rsidRDefault="003B2AD4" w:rsidP="003B2AD4">
      <w:pPr>
        <w:spacing w:line="240" w:lineRule="auto"/>
        <w:ind w:firstLine="567"/>
        <w:jc w:val="center"/>
        <w:rPr>
          <w:rFonts w:ascii="Arial" w:eastAsiaTheme="minorHAnsi" w:hAnsi="Arial" w:cs="Arial"/>
          <w:sz w:val="26"/>
          <w:szCs w:val="26"/>
          <w:lang w:eastAsia="en-US"/>
        </w:rPr>
      </w:pPr>
    </w:p>
    <w:p w14:paraId="6ADC3DE8" w14:textId="77777777" w:rsidR="003B2AD4" w:rsidRDefault="003B2AD4" w:rsidP="003B2AD4">
      <w:pPr>
        <w:spacing w:after="120"/>
        <w:jc w:val="center"/>
        <w:rPr>
          <w:rFonts w:ascii="Arial" w:eastAsiaTheme="minorHAnsi" w:hAnsi="Arial" w:cs="Arial"/>
          <w:sz w:val="26"/>
          <w:szCs w:val="26"/>
          <w:lang w:eastAsia="en-US"/>
        </w:rPr>
      </w:pPr>
      <w:r w:rsidRPr="00A979D7">
        <w:rPr>
          <w:rFonts w:ascii="Arial" w:eastAsiaTheme="minorHAnsi" w:hAnsi="Arial" w:cs="Arial"/>
          <w:sz w:val="26"/>
          <w:szCs w:val="26"/>
          <w:lang w:eastAsia="en-US"/>
        </w:rPr>
        <w:t>MAGISTRADO RAÚL PALOMARES PALOMINO</w:t>
      </w:r>
    </w:p>
    <w:p w14:paraId="1E3FEFBC" w14:textId="77777777" w:rsidR="003B2AD4" w:rsidRDefault="003B2AD4" w:rsidP="003B2AD4">
      <w:pPr>
        <w:spacing w:after="120"/>
        <w:jc w:val="center"/>
        <w:rPr>
          <w:rFonts w:ascii="Arial" w:eastAsiaTheme="minorHAnsi" w:hAnsi="Arial" w:cs="Arial"/>
          <w:sz w:val="26"/>
          <w:szCs w:val="26"/>
          <w:lang w:eastAsia="en-US"/>
        </w:rPr>
      </w:pPr>
    </w:p>
    <w:p w14:paraId="15DCBBEB" w14:textId="77777777" w:rsidR="003B2AD4" w:rsidRDefault="003B2AD4" w:rsidP="003B2AD4">
      <w:pPr>
        <w:spacing w:after="120"/>
        <w:jc w:val="center"/>
        <w:rPr>
          <w:rFonts w:ascii="Arial" w:eastAsiaTheme="minorHAnsi" w:hAnsi="Arial" w:cs="Arial"/>
          <w:sz w:val="26"/>
          <w:szCs w:val="26"/>
          <w:lang w:eastAsia="en-US"/>
        </w:rPr>
      </w:pPr>
    </w:p>
    <w:p w14:paraId="67B64898" w14:textId="77777777" w:rsidR="00087AE3" w:rsidRPr="00955749" w:rsidRDefault="00087AE3" w:rsidP="00087AE3">
      <w:pPr>
        <w:tabs>
          <w:tab w:val="left" w:pos="1680"/>
          <w:tab w:val="center" w:pos="4277"/>
        </w:tabs>
        <w:spacing w:after="120" w:line="360" w:lineRule="auto"/>
        <w:jc w:val="center"/>
        <w:rPr>
          <w:rFonts w:ascii="Arial" w:eastAsiaTheme="minorHAnsi" w:hAnsi="Arial" w:cs="Arial"/>
          <w:b/>
          <w:sz w:val="16"/>
          <w:szCs w:val="16"/>
          <w:lang w:eastAsia="en-US"/>
        </w:rPr>
      </w:pPr>
      <w:r w:rsidRPr="00955749">
        <w:rPr>
          <w:rFonts w:ascii="Arial" w:eastAsiaTheme="minorHAnsi" w:hAnsi="Arial" w:cs="Arial"/>
          <w:b/>
          <w:sz w:val="16"/>
          <w:szCs w:val="16"/>
          <w:lang w:eastAsia="en-US"/>
        </w:rPr>
        <w:lastRenderedPageBreak/>
        <w:t>LAS PRESENTES FIRMAS CORRESPONDEN A LA RESOLUC</w:t>
      </w:r>
      <w:r>
        <w:rPr>
          <w:rFonts w:ascii="Arial" w:eastAsiaTheme="minorHAnsi" w:hAnsi="Arial" w:cs="Arial"/>
          <w:b/>
          <w:sz w:val="16"/>
          <w:szCs w:val="16"/>
          <w:lang w:eastAsia="en-US"/>
        </w:rPr>
        <w:t>IÓN DEL RECURSO DE REVISIÓN 0325</w:t>
      </w:r>
      <w:r w:rsidRPr="00955749">
        <w:rPr>
          <w:rFonts w:ascii="Arial" w:eastAsiaTheme="minorHAnsi" w:hAnsi="Arial" w:cs="Arial"/>
          <w:b/>
          <w:sz w:val="16"/>
          <w:szCs w:val="16"/>
          <w:lang w:eastAsia="en-US"/>
        </w:rPr>
        <w:t>/2021.</w:t>
      </w:r>
    </w:p>
    <w:p w14:paraId="5021D7D3" w14:textId="77777777" w:rsidR="003B2AD4" w:rsidRDefault="003B2AD4" w:rsidP="003B2AD4">
      <w:pPr>
        <w:spacing w:after="120"/>
        <w:jc w:val="center"/>
        <w:rPr>
          <w:rFonts w:ascii="Arial" w:eastAsiaTheme="minorHAnsi" w:hAnsi="Arial" w:cs="Arial"/>
          <w:sz w:val="26"/>
          <w:szCs w:val="26"/>
          <w:lang w:eastAsia="en-US"/>
        </w:rPr>
      </w:pPr>
    </w:p>
    <w:p w14:paraId="3D618EFF" w14:textId="77777777" w:rsidR="003B2AD4" w:rsidRDefault="003B2AD4" w:rsidP="003B2AD4">
      <w:pPr>
        <w:spacing w:after="120"/>
        <w:jc w:val="center"/>
        <w:rPr>
          <w:rFonts w:ascii="Arial" w:eastAsiaTheme="minorHAnsi" w:hAnsi="Arial" w:cs="Arial"/>
          <w:sz w:val="26"/>
          <w:szCs w:val="26"/>
          <w:lang w:eastAsia="en-US"/>
        </w:rPr>
      </w:pPr>
    </w:p>
    <w:p w14:paraId="39D68F5D" w14:textId="77777777" w:rsidR="003B2AD4" w:rsidRPr="00A979D7" w:rsidRDefault="003B2AD4" w:rsidP="003B2AD4">
      <w:pPr>
        <w:spacing w:after="120"/>
        <w:jc w:val="center"/>
        <w:rPr>
          <w:rFonts w:ascii="Arial" w:eastAsiaTheme="minorHAnsi" w:hAnsi="Arial" w:cs="Arial"/>
          <w:sz w:val="26"/>
          <w:szCs w:val="26"/>
          <w:lang w:eastAsia="en-US"/>
        </w:rPr>
      </w:pPr>
    </w:p>
    <w:p w14:paraId="7746C0E4" w14:textId="77777777" w:rsidR="003B2AD4" w:rsidRPr="00A979D7" w:rsidRDefault="003B2AD4" w:rsidP="003B2AD4">
      <w:pPr>
        <w:spacing w:after="120"/>
        <w:jc w:val="center"/>
        <w:rPr>
          <w:rFonts w:ascii="Arial" w:eastAsiaTheme="minorHAnsi" w:hAnsi="Arial" w:cs="Arial"/>
          <w:sz w:val="26"/>
          <w:szCs w:val="26"/>
          <w:lang w:eastAsia="en-US"/>
        </w:rPr>
      </w:pPr>
    </w:p>
    <w:p w14:paraId="7062F06C"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EAE5A58"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21CCA63B"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3BA9643F"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6C77A16C"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3E44D79D" w14:textId="4929F9A8" w:rsidR="003B2AD4" w:rsidRDefault="003B2AD4" w:rsidP="00CE75DA">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A5B8EC0" w14:textId="77777777" w:rsidR="00CE75DA" w:rsidRDefault="00CE75DA" w:rsidP="003B2AD4">
      <w:pPr>
        <w:tabs>
          <w:tab w:val="left" w:pos="1680"/>
          <w:tab w:val="center" w:pos="4277"/>
        </w:tabs>
        <w:spacing w:after="120" w:line="360" w:lineRule="auto"/>
        <w:jc w:val="center"/>
        <w:rPr>
          <w:rFonts w:ascii="Arial" w:eastAsiaTheme="minorHAnsi" w:hAnsi="Arial" w:cs="Arial"/>
          <w:b/>
          <w:sz w:val="16"/>
          <w:szCs w:val="16"/>
          <w:lang w:eastAsia="en-US"/>
        </w:rPr>
      </w:pPr>
    </w:p>
    <w:p w14:paraId="7F475CB4"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0194AA4C"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3F55DCE8"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5C088C11"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EF26109"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43816F96"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57A294BF" w14:textId="77777777" w:rsidR="003B2AD4" w:rsidRDefault="003B2AD4" w:rsidP="003B2AD4">
      <w:pPr>
        <w:tabs>
          <w:tab w:val="left" w:pos="1680"/>
          <w:tab w:val="center" w:pos="4277"/>
        </w:tabs>
        <w:spacing w:after="120" w:line="360" w:lineRule="auto"/>
        <w:jc w:val="center"/>
        <w:rPr>
          <w:rFonts w:ascii="Arial" w:eastAsiaTheme="minorHAnsi" w:hAnsi="Arial" w:cs="Arial"/>
          <w:sz w:val="26"/>
          <w:szCs w:val="26"/>
          <w:lang w:eastAsia="en-US"/>
        </w:rPr>
      </w:pPr>
    </w:p>
    <w:p w14:paraId="543635F9" w14:textId="77777777" w:rsidR="003B2AD4" w:rsidRPr="00A979D7" w:rsidRDefault="003B2AD4" w:rsidP="003B2AD4">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w:t>
      </w:r>
      <w:r w:rsidRPr="00A979D7">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JUAN EDY GARCÍA CORONADO</w:t>
      </w:r>
    </w:p>
    <w:p w14:paraId="3EC17A95" w14:textId="77777777" w:rsidR="003B2AD4" w:rsidRDefault="003B2AD4" w:rsidP="003B2AD4">
      <w:pPr>
        <w:spacing w:after="0" w:line="240" w:lineRule="auto"/>
        <w:jc w:val="center"/>
        <w:rPr>
          <w:rStyle w:val="registros-movil-hide"/>
          <w:sz w:val="26"/>
          <w:szCs w:val="26"/>
        </w:rPr>
      </w:pPr>
      <w:r>
        <w:rPr>
          <w:rFonts w:ascii="Arial" w:eastAsiaTheme="minorHAnsi" w:hAnsi="Arial" w:cs="Arial"/>
          <w:sz w:val="26"/>
          <w:szCs w:val="26"/>
          <w:lang w:val="es-ES" w:eastAsia="en-US"/>
        </w:rPr>
        <w:t>SECRETARIO</w:t>
      </w:r>
      <w:r w:rsidRPr="00A979D7">
        <w:rPr>
          <w:rFonts w:ascii="Arial" w:eastAsiaTheme="minorHAnsi" w:hAnsi="Arial" w:cs="Arial"/>
          <w:sz w:val="26"/>
          <w:szCs w:val="26"/>
          <w:lang w:val="es-ES" w:eastAsia="en-US"/>
        </w:rPr>
        <w:t xml:space="preserve"> GENERAL DE ACUERDOS</w:t>
      </w:r>
    </w:p>
    <w:p w14:paraId="1F8879E7" w14:textId="77777777" w:rsidR="003B2AD4" w:rsidRDefault="003B2AD4" w:rsidP="003B2AD4">
      <w:pPr>
        <w:spacing w:line="360" w:lineRule="auto"/>
        <w:ind w:right="49"/>
        <w:jc w:val="center"/>
        <w:rPr>
          <w:rFonts w:ascii="Arial" w:hAnsi="Arial" w:cs="Arial"/>
          <w:sz w:val="26"/>
          <w:szCs w:val="26"/>
        </w:rPr>
      </w:pPr>
    </w:p>
    <w:p w14:paraId="50453FE0" w14:textId="132240F6" w:rsidR="00BA258A" w:rsidRPr="003B6CF0" w:rsidRDefault="00BA258A" w:rsidP="003B2AD4">
      <w:pPr>
        <w:spacing w:before="120" w:after="0" w:line="360" w:lineRule="auto"/>
        <w:ind w:firstLine="567"/>
        <w:jc w:val="both"/>
      </w:pPr>
    </w:p>
    <w:sectPr w:rsidR="00BA258A" w:rsidRPr="003B6CF0" w:rsidSect="005928A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02508" w14:textId="77777777" w:rsidR="00CD3485" w:rsidRDefault="00CD3485">
      <w:pPr>
        <w:spacing w:after="0" w:line="240" w:lineRule="auto"/>
      </w:pPr>
      <w:r>
        <w:separator/>
      </w:r>
    </w:p>
  </w:endnote>
  <w:endnote w:type="continuationSeparator" w:id="0">
    <w:p w14:paraId="3FDDC964" w14:textId="77777777" w:rsidR="00CD3485" w:rsidRDefault="00CD3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9C4F42" w:rsidRDefault="009C4F42">
    <w:pPr>
      <w:pStyle w:val="Piedepgina"/>
      <w:jc w:val="center"/>
    </w:pPr>
  </w:p>
  <w:p w14:paraId="195FF414" w14:textId="77777777" w:rsidR="009C4F42" w:rsidRDefault="009C4F4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86F7BC" w14:textId="77777777" w:rsidR="00CD3485" w:rsidRDefault="00CD3485">
      <w:pPr>
        <w:spacing w:after="0" w:line="240" w:lineRule="auto"/>
      </w:pPr>
      <w:r>
        <w:separator/>
      </w:r>
    </w:p>
  </w:footnote>
  <w:footnote w:type="continuationSeparator" w:id="0">
    <w:p w14:paraId="75D4B40E" w14:textId="77777777" w:rsidR="00CD3485" w:rsidRDefault="00CD3485">
      <w:pPr>
        <w:spacing w:after="0" w:line="240" w:lineRule="auto"/>
      </w:pPr>
      <w:r>
        <w:continuationSeparator/>
      </w:r>
    </w:p>
  </w:footnote>
  <w:footnote w:id="1">
    <w:p w14:paraId="4A1C5F8D" w14:textId="77777777" w:rsidR="009C4F42" w:rsidRDefault="009C4F42" w:rsidP="00C03DCD">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3D8A8854" w14:textId="77777777" w:rsidR="009C4F42" w:rsidRDefault="009C4F42" w:rsidP="00C03DCD">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3D06834F" w14:textId="77777777" w:rsidR="00696449" w:rsidRPr="00E04373" w:rsidRDefault="00696449" w:rsidP="00696449">
      <w:pPr>
        <w:pStyle w:val="Textonotapie"/>
        <w:jc w:val="both"/>
        <w:rPr>
          <w:rFonts w:ascii="Arial" w:hAnsi="Arial" w:cs="Arial"/>
          <w:sz w:val="18"/>
          <w:szCs w:val="18"/>
        </w:rPr>
      </w:pPr>
      <w:r w:rsidRPr="00E04373">
        <w:rPr>
          <w:rStyle w:val="Refdenotaalpie"/>
          <w:rFonts w:ascii="Arial" w:hAnsi="Arial" w:cs="Arial"/>
          <w:b/>
          <w:sz w:val="18"/>
          <w:szCs w:val="18"/>
        </w:rPr>
        <w:footnoteRef/>
      </w:r>
      <w:r w:rsidRPr="00E04373">
        <w:rPr>
          <w:rFonts w:ascii="Arial" w:hAnsi="Arial" w:cs="Arial"/>
          <w:b/>
          <w:sz w:val="18"/>
          <w:szCs w:val="18"/>
        </w:rPr>
        <w:t xml:space="preserve"> Artículo 330</w:t>
      </w:r>
      <w:r w:rsidRPr="00E04373">
        <w:rPr>
          <w:rFonts w:ascii="Arial" w:hAnsi="Arial" w:cs="Arial"/>
          <w:sz w:val="18"/>
          <w:szCs w:val="18"/>
        </w:rPr>
        <w:t>.- Podrá pedirse el cotejo de firmas y letras, siempre que se niegue o que se ponga en duda la autenticidad de un documento privado o de un documento público que carezca de matriz. Para este cotejo se procederá con sujeción a lo que se previene en la sección IV de este capítulo.</w:t>
      </w:r>
    </w:p>
    <w:p w14:paraId="3DE841D8" w14:textId="77777777" w:rsidR="00696449" w:rsidRPr="00E04373" w:rsidRDefault="00696449" w:rsidP="00696449">
      <w:pPr>
        <w:pStyle w:val="Textonotapie"/>
        <w:jc w:val="both"/>
        <w:rPr>
          <w:rFonts w:ascii="Arial" w:hAnsi="Arial" w:cs="Arial"/>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0B30B14" w:rsidR="009C4F42" w:rsidRDefault="00087AE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9C4F42">
          <w:fldChar w:fldCharType="begin"/>
        </w:r>
        <w:r w:rsidR="009C4F42">
          <w:instrText>PAGE   \* MERGEFORMAT</w:instrText>
        </w:r>
        <w:r w:rsidR="009C4F42">
          <w:fldChar w:fldCharType="separate"/>
        </w:r>
        <w:r w:rsidRPr="00087AE3">
          <w:rPr>
            <w:noProof/>
            <w:lang w:val="es-ES"/>
          </w:rPr>
          <w:t>10</w:t>
        </w:r>
        <w:r w:rsidR="009C4F42">
          <w:fldChar w:fldCharType="end"/>
        </w:r>
      </w:p>
    </w:sdtContent>
  </w:sdt>
  <w:p w14:paraId="0E68208C" w14:textId="77777777" w:rsidR="009C4F42" w:rsidRDefault="009C4F4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6AED36D" w:rsidR="009C4F42" w:rsidRDefault="00087AE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C4F42">
          <w:fldChar w:fldCharType="begin"/>
        </w:r>
        <w:r w:rsidR="009C4F42">
          <w:instrText>PAGE   \* MERGEFORMAT</w:instrText>
        </w:r>
        <w:r w:rsidR="009C4F42">
          <w:fldChar w:fldCharType="separate"/>
        </w:r>
        <w:r w:rsidRPr="00087AE3">
          <w:rPr>
            <w:noProof/>
            <w:lang w:val="es-ES"/>
          </w:rPr>
          <w:t>11</w:t>
        </w:r>
        <w:r w:rsidR="009C4F42">
          <w:fldChar w:fldCharType="end"/>
        </w:r>
      </w:sdtContent>
    </w:sdt>
  </w:p>
  <w:p w14:paraId="51E22156" w14:textId="7C15CC76" w:rsidR="009C4F42" w:rsidRDefault="00D96E6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505B1BB" wp14:editId="140417E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6805204" w14:textId="77777777" w:rsidR="00D96E67" w:rsidRDefault="00D96E67" w:rsidP="00D96E6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5B1BB"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26805204" w14:textId="77777777" w:rsidR="00D96E67" w:rsidRDefault="00D96E67" w:rsidP="00D96E6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9C4F42"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9C4F42" w:rsidRDefault="00087AE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7242222"/>
    <w:multiLevelType w:val="hybridMultilevel"/>
    <w:tmpl w:val="45A0571A"/>
    <w:lvl w:ilvl="0" w:tplc="3EC0A1B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ADF5F09"/>
    <w:multiLevelType w:val="hybridMultilevel"/>
    <w:tmpl w:val="42DEAA6C"/>
    <w:lvl w:ilvl="0" w:tplc="67E4F24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5D106E98"/>
    <w:multiLevelType w:val="hybridMultilevel"/>
    <w:tmpl w:val="8E6A132A"/>
    <w:lvl w:ilvl="0" w:tplc="B74EA0C8">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6E82488"/>
    <w:multiLevelType w:val="hybridMultilevel"/>
    <w:tmpl w:val="B93A9082"/>
    <w:lvl w:ilvl="0" w:tplc="9ED60D8A">
      <w:start w:val="1"/>
      <w:numFmt w:val="decimal"/>
      <w:lvlText w:val="%1)"/>
      <w:lvlJc w:val="left"/>
      <w:pPr>
        <w:ind w:left="1068" w:hanging="360"/>
      </w:pPr>
      <w:rPr>
        <w:rFonts w:eastAsia="Calibri" w:hint="default"/>
        <w:b w:val="0"/>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E906B2B"/>
    <w:multiLevelType w:val="hybridMultilevel"/>
    <w:tmpl w:val="62723674"/>
    <w:lvl w:ilvl="0" w:tplc="67C6B1B0">
      <w:start w:val="1"/>
      <w:numFmt w:val="decimal"/>
      <w:lvlText w:val="%1."/>
      <w:lvlJc w:val="left"/>
      <w:pPr>
        <w:ind w:left="1068" w:hanging="360"/>
      </w:pPr>
      <w:rPr>
        <w:rFonts w:ascii="Arial" w:eastAsia="Calibri" w:hAnsi="Arial" w:cs="Arial"/>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9"/>
  </w:num>
  <w:num w:numId="5">
    <w:abstractNumId w:val="13"/>
  </w:num>
  <w:num w:numId="6">
    <w:abstractNumId w:val="5"/>
  </w:num>
  <w:num w:numId="7">
    <w:abstractNumId w:val="4"/>
  </w:num>
  <w:num w:numId="8">
    <w:abstractNumId w:val="1"/>
  </w:num>
  <w:num w:numId="9">
    <w:abstractNumId w:val="3"/>
  </w:num>
  <w:num w:numId="10">
    <w:abstractNumId w:val="8"/>
  </w:num>
  <w:num w:numId="11">
    <w:abstractNumId w:val="10"/>
  </w:num>
  <w:num w:numId="12">
    <w:abstractNumId w:val="6"/>
  </w:num>
  <w:num w:numId="13">
    <w:abstractNumId w:val="14"/>
  </w:num>
  <w:num w:numId="14">
    <w:abstractNumId w:val="11"/>
  </w:num>
  <w:num w:numId="15">
    <w:abstractNumId w:val="12"/>
  </w:num>
  <w:num w:numId="16">
    <w:abstractNumId w:val="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3EC"/>
    <w:rsid w:val="00005B69"/>
    <w:rsid w:val="00005BCB"/>
    <w:rsid w:val="00005EA0"/>
    <w:rsid w:val="00007105"/>
    <w:rsid w:val="00007296"/>
    <w:rsid w:val="00007E09"/>
    <w:rsid w:val="00007EFD"/>
    <w:rsid w:val="00007FD5"/>
    <w:rsid w:val="000106FE"/>
    <w:rsid w:val="00011D42"/>
    <w:rsid w:val="000121A9"/>
    <w:rsid w:val="000126F6"/>
    <w:rsid w:val="00012918"/>
    <w:rsid w:val="000129AD"/>
    <w:rsid w:val="00012DC1"/>
    <w:rsid w:val="000130C8"/>
    <w:rsid w:val="000135AF"/>
    <w:rsid w:val="00014F98"/>
    <w:rsid w:val="0001695E"/>
    <w:rsid w:val="00016C0B"/>
    <w:rsid w:val="00016E88"/>
    <w:rsid w:val="000174F5"/>
    <w:rsid w:val="00020680"/>
    <w:rsid w:val="00020D86"/>
    <w:rsid w:val="00021328"/>
    <w:rsid w:val="00021989"/>
    <w:rsid w:val="00021B04"/>
    <w:rsid w:val="00021C5F"/>
    <w:rsid w:val="00022BBC"/>
    <w:rsid w:val="00023F33"/>
    <w:rsid w:val="00024545"/>
    <w:rsid w:val="00025BEB"/>
    <w:rsid w:val="000262A2"/>
    <w:rsid w:val="000264DD"/>
    <w:rsid w:val="00026703"/>
    <w:rsid w:val="00026C11"/>
    <w:rsid w:val="00030156"/>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03A0"/>
    <w:rsid w:val="00051149"/>
    <w:rsid w:val="000518FF"/>
    <w:rsid w:val="000525F8"/>
    <w:rsid w:val="0005285F"/>
    <w:rsid w:val="00053207"/>
    <w:rsid w:val="00053474"/>
    <w:rsid w:val="0005370C"/>
    <w:rsid w:val="000540E8"/>
    <w:rsid w:val="00054705"/>
    <w:rsid w:val="00054D3C"/>
    <w:rsid w:val="00055248"/>
    <w:rsid w:val="00055A02"/>
    <w:rsid w:val="00055F66"/>
    <w:rsid w:val="000562FB"/>
    <w:rsid w:val="000565B2"/>
    <w:rsid w:val="000568AF"/>
    <w:rsid w:val="00056FA4"/>
    <w:rsid w:val="00060DBB"/>
    <w:rsid w:val="00061268"/>
    <w:rsid w:val="00061610"/>
    <w:rsid w:val="000616B5"/>
    <w:rsid w:val="00061C4C"/>
    <w:rsid w:val="0006202A"/>
    <w:rsid w:val="000620CD"/>
    <w:rsid w:val="00062802"/>
    <w:rsid w:val="00062BE3"/>
    <w:rsid w:val="00064906"/>
    <w:rsid w:val="00064FD9"/>
    <w:rsid w:val="00065E9F"/>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AE3"/>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1CB"/>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08E"/>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CC3"/>
    <w:rsid w:val="000C3DC9"/>
    <w:rsid w:val="000C4139"/>
    <w:rsid w:val="000C47B5"/>
    <w:rsid w:val="000C5414"/>
    <w:rsid w:val="000C5BCE"/>
    <w:rsid w:val="000C5DC1"/>
    <w:rsid w:val="000C6670"/>
    <w:rsid w:val="000C795A"/>
    <w:rsid w:val="000D04BF"/>
    <w:rsid w:val="000D153E"/>
    <w:rsid w:val="000D170C"/>
    <w:rsid w:val="000D1CF0"/>
    <w:rsid w:val="000D2A1F"/>
    <w:rsid w:val="000D2BB6"/>
    <w:rsid w:val="000D2EE0"/>
    <w:rsid w:val="000D3E85"/>
    <w:rsid w:val="000D42B5"/>
    <w:rsid w:val="000D432F"/>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2E"/>
    <w:rsid w:val="000F5C41"/>
    <w:rsid w:val="000F5DE0"/>
    <w:rsid w:val="000F62C3"/>
    <w:rsid w:val="000F631D"/>
    <w:rsid w:val="000F75AF"/>
    <w:rsid w:val="000F77DE"/>
    <w:rsid w:val="001002F5"/>
    <w:rsid w:val="001019F2"/>
    <w:rsid w:val="001025E5"/>
    <w:rsid w:val="00102AFD"/>
    <w:rsid w:val="001041F6"/>
    <w:rsid w:val="00106197"/>
    <w:rsid w:val="0010644A"/>
    <w:rsid w:val="0010719A"/>
    <w:rsid w:val="001108F3"/>
    <w:rsid w:val="00110B09"/>
    <w:rsid w:val="00110C32"/>
    <w:rsid w:val="00111BFC"/>
    <w:rsid w:val="00111CBB"/>
    <w:rsid w:val="0011210D"/>
    <w:rsid w:val="001124CB"/>
    <w:rsid w:val="00112765"/>
    <w:rsid w:val="00112BF7"/>
    <w:rsid w:val="00113361"/>
    <w:rsid w:val="00113A46"/>
    <w:rsid w:val="00114AC5"/>
    <w:rsid w:val="001162E0"/>
    <w:rsid w:val="00116579"/>
    <w:rsid w:val="00116652"/>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B19"/>
    <w:rsid w:val="001471DD"/>
    <w:rsid w:val="00147C08"/>
    <w:rsid w:val="00147CCC"/>
    <w:rsid w:val="00147FEF"/>
    <w:rsid w:val="0015050B"/>
    <w:rsid w:val="00151A88"/>
    <w:rsid w:val="00151C79"/>
    <w:rsid w:val="00152DA5"/>
    <w:rsid w:val="00152F51"/>
    <w:rsid w:val="00152FB6"/>
    <w:rsid w:val="0015351E"/>
    <w:rsid w:val="00153BE4"/>
    <w:rsid w:val="001542BE"/>
    <w:rsid w:val="00154490"/>
    <w:rsid w:val="00156250"/>
    <w:rsid w:val="00156F22"/>
    <w:rsid w:val="001570E1"/>
    <w:rsid w:val="0016098F"/>
    <w:rsid w:val="00161661"/>
    <w:rsid w:val="0016171F"/>
    <w:rsid w:val="00161F6F"/>
    <w:rsid w:val="001621EF"/>
    <w:rsid w:val="00163EBF"/>
    <w:rsid w:val="00164BCE"/>
    <w:rsid w:val="001659D0"/>
    <w:rsid w:val="0016604B"/>
    <w:rsid w:val="001668F6"/>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0880"/>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57C"/>
    <w:rsid w:val="001D07F6"/>
    <w:rsid w:val="001D0DCF"/>
    <w:rsid w:val="001D2E60"/>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3CAA"/>
    <w:rsid w:val="001E4C02"/>
    <w:rsid w:val="001E65E8"/>
    <w:rsid w:val="001E6AE5"/>
    <w:rsid w:val="001E7020"/>
    <w:rsid w:val="001E71FD"/>
    <w:rsid w:val="001E77A9"/>
    <w:rsid w:val="001E7BD1"/>
    <w:rsid w:val="001F2154"/>
    <w:rsid w:val="001F287C"/>
    <w:rsid w:val="001F2D73"/>
    <w:rsid w:val="001F5050"/>
    <w:rsid w:val="001F5DFE"/>
    <w:rsid w:val="001F625A"/>
    <w:rsid w:val="001F6B28"/>
    <w:rsid w:val="001F6C56"/>
    <w:rsid w:val="001F72DF"/>
    <w:rsid w:val="001F77D0"/>
    <w:rsid w:val="002010A9"/>
    <w:rsid w:val="00201769"/>
    <w:rsid w:val="0020247E"/>
    <w:rsid w:val="002025FD"/>
    <w:rsid w:val="00203FD3"/>
    <w:rsid w:val="002046C1"/>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AE3"/>
    <w:rsid w:val="00214CE8"/>
    <w:rsid w:val="002160F3"/>
    <w:rsid w:val="002161AD"/>
    <w:rsid w:val="00216595"/>
    <w:rsid w:val="002165D6"/>
    <w:rsid w:val="00216AB7"/>
    <w:rsid w:val="002170A5"/>
    <w:rsid w:val="00217F57"/>
    <w:rsid w:val="002205DA"/>
    <w:rsid w:val="00221687"/>
    <w:rsid w:val="00221709"/>
    <w:rsid w:val="00222A05"/>
    <w:rsid w:val="00222E1E"/>
    <w:rsid w:val="0022341D"/>
    <w:rsid w:val="0022360E"/>
    <w:rsid w:val="00223F75"/>
    <w:rsid w:val="00224412"/>
    <w:rsid w:val="002246DF"/>
    <w:rsid w:val="002248E9"/>
    <w:rsid w:val="00225069"/>
    <w:rsid w:val="00225689"/>
    <w:rsid w:val="00225E51"/>
    <w:rsid w:val="00227445"/>
    <w:rsid w:val="00227471"/>
    <w:rsid w:val="00230D10"/>
    <w:rsid w:val="00231036"/>
    <w:rsid w:val="00232D7F"/>
    <w:rsid w:val="0023417B"/>
    <w:rsid w:val="00234AF0"/>
    <w:rsid w:val="002350A1"/>
    <w:rsid w:val="00235FE5"/>
    <w:rsid w:val="002369EA"/>
    <w:rsid w:val="002371FF"/>
    <w:rsid w:val="00237985"/>
    <w:rsid w:val="00237D5A"/>
    <w:rsid w:val="00237DC2"/>
    <w:rsid w:val="00240C99"/>
    <w:rsid w:val="0024189D"/>
    <w:rsid w:val="00241BC3"/>
    <w:rsid w:val="00241C7D"/>
    <w:rsid w:val="00241F55"/>
    <w:rsid w:val="00242699"/>
    <w:rsid w:val="00242FAE"/>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D9D"/>
    <w:rsid w:val="00256B3C"/>
    <w:rsid w:val="00256E7D"/>
    <w:rsid w:val="00256F27"/>
    <w:rsid w:val="0025740C"/>
    <w:rsid w:val="00257816"/>
    <w:rsid w:val="00257C5E"/>
    <w:rsid w:val="00260433"/>
    <w:rsid w:val="00260BA3"/>
    <w:rsid w:val="0026116F"/>
    <w:rsid w:val="002614F4"/>
    <w:rsid w:val="002617F9"/>
    <w:rsid w:val="00262666"/>
    <w:rsid w:val="00262D7C"/>
    <w:rsid w:val="002634BD"/>
    <w:rsid w:val="00263720"/>
    <w:rsid w:val="00265161"/>
    <w:rsid w:val="00265CF6"/>
    <w:rsid w:val="00265F1B"/>
    <w:rsid w:val="002665A2"/>
    <w:rsid w:val="00267012"/>
    <w:rsid w:val="00267221"/>
    <w:rsid w:val="00270087"/>
    <w:rsid w:val="002702D6"/>
    <w:rsid w:val="00270831"/>
    <w:rsid w:val="0027275E"/>
    <w:rsid w:val="00272A7D"/>
    <w:rsid w:val="00273171"/>
    <w:rsid w:val="00273266"/>
    <w:rsid w:val="002747A1"/>
    <w:rsid w:val="002748AA"/>
    <w:rsid w:val="00274A2F"/>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470"/>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D7"/>
    <w:rsid w:val="002A6EF0"/>
    <w:rsid w:val="002B0967"/>
    <w:rsid w:val="002B1C2A"/>
    <w:rsid w:val="002B21C2"/>
    <w:rsid w:val="002B2706"/>
    <w:rsid w:val="002B3BA3"/>
    <w:rsid w:val="002B4040"/>
    <w:rsid w:val="002B4737"/>
    <w:rsid w:val="002B5C09"/>
    <w:rsid w:val="002B5C82"/>
    <w:rsid w:val="002B5E81"/>
    <w:rsid w:val="002B6893"/>
    <w:rsid w:val="002B6B9D"/>
    <w:rsid w:val="002B6C19"/>
    <w:rsid w:val="002B6D0D"/>
    <w:rsid w:val="002B79C4"/>
    <w:rsid w:val="002B7DA8"/>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4B0"/>
    <w:rsid w:val="002E1666"/>
    <w:rsid w:val="002E1FC8"/>
    <w:rsid w:val="002E3358"/>
    <w:rsid w:val="002E3511"/>
    <w:rsid w:val="002E3777"/>
    <w:rsid w:val="002E3B1C"/>
    <w:rsid w:val="002E3B43"/>
    <w:rsid w:val="002E3D1C"/>
    <w:rsid w:val="002E5953"/>
    <w:rsid w:val="002E5971"/>
    <w:rsid w:val="002E5EAB"/>
    <w:rsid w:val="002E6032"/>
    <w:rsid w:val="002E60D4"/>
    <w:rsid w:val="002E67F6"/>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977"/>
    <w:rsid w:val="00301CB4"/>
    <w:rsid w:val="00302960"/>
    <w:rsid w:val="0030330D"/>
    <w:rsid w:val="00304999"/>
    <w:rsid w:val="00304F25"/>
    <w:rsid w:val="003056B2"/>
    <w:rsid w:val="00305D48"/>
    <w:rsid w:val="00306940"/>
    <w:rsid w:val="00307353"/>
    <w:rsid w:val="00307E06"/>
    <w:rsid w:val="00310126"/>
    <w:rsid w:val="0031096E"/>
    <w:rsid w:val="00311560"/>
    <w:rsid w:val="00311708"/>
    <w:rsid w:val="00311BB1"/>
    <w:rsid w:val="00312470"/>
    <w:rsid w:val="0031285C"/>
    <w:rsid w:val="00313A44"/>
    <w:rsid w:val="00313D6B"/>
    <w:rsid w:val="003150CD"/>
    <w:rsid w:val="003154AB"/>
    <w:rsid w:val="003155CF"/>
    <w:rsid w:val="00315BA3"/>
    <w:rsid w:val="0031607E"/>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20D"/>
    <w:rsid w:val="003448FF"/>
    <w:rsid w:val="00345946"/>
    <w:rsid w:val="00345C53"/>
    <w:rsid w:val="00346754"/>
    <w:rsid w:val="00346E4A"/>
    <w:rsid w:val="00346F2D"/>
    <w:rsid w:val="0034714B"/>
    <w:rsid w:val="00347AAB"/>
    <w:rsid w:val="00347FD3"/>
    <w:rsid w:val="0035006A"/>
    <w:rsid w:val="003502A7"/>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110"/>
    <w:rsid w:val="0037725F"/>
    <w:rsid w:val="003804A7"/>
    <w:rsid w:val="00381DC3"/>
    <w:rsid w:val="0038228C"/>
    <w:rsid w:val="00382BDE"/>
    <w:rsid w:val="003859C4"/>
    <w:rsid w:val="00385B11"/>
    <w:rsid w:val="00385EA5"/>
    <w:rsid w:val="00386F92"/>
    <w:rsid w:val="003874C3"/>
    <w:rsid w:val="00387725"/>
    <w:rsid w:val="00387C65"/>
    <w:rsid w:val="00387D65"/>
    <w:rsid w:val="00390CDE"/>
    <w:rsid w:val="003922BC"/>
    <w:rsid w:val="00392B20"/>
    <w:rsid w:val="00392F32"/>
    <w:rsid w:val="00394516"/>
    <w:rsid w:val="00394B5E"/>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AD4"/>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A4E"/>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AA9"/>
    <w:rsid w:val="003E1CD9"/>
    <w:rsid w:val="003E2CF8"/>
    <w:rsid w:val="003E3169"/>
    <w:rsid w:val="003E35FB"/>
    <w:rsid w:val="003E37F9"/>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744"/>
    <w:rsid w:val="003F4833"/>
    <w:rsid w:val="003F4B68"/>
    <w:rsid w:val="003F532D"/>
    <w:rsid w:val="003F7A40"/>
    <w:rsid w:val="00400352"/>
    <w:rsid w:val="004003E7"/>
    <w:rsid w:val="00400CE8"/>
    <w:rsid w:val="00401706"/>
    <w:rsid w:val="00401A8D"/>
    <w:rsid w:val="00401B8F"/>
    <w:rsid w:val="00401FEB"/>
    <w:rsid w:val="004022FC"/>
    <w:rsid w:val="00402763"/>
    <w:rsid w:val="004027A1"/>
    <w:rsid w:val="00404C3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780"/>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7031"/>
    <w:rsid w:val="00427142"/>
    <w:rsid w:val="00427899"/>
    <w:rsid w:val="00427DBB"/>
    <w:rsid w:val="00427FBB"/>
    <w:rsid w:val="00430399"/>
    <w:rsid w:val="00430DEA"/>
    <w:rsid w:val="00430E42"/>
    <w:rsid w:val="0043209C"/>
    <w:rsid w:val="004322A6"/>
    <w:rsid w:val="00433351"/>
    <w:rsid w:val="004340BA"/>
    <w:rsid w:val="004341EE"/>
    <w:rsid w:val="004348C5"/>
    <w:rsid w:val="00436B6F"/>
    <w:rsid w:val="00437D5A"/>
    <w:rsid w:val="0044044F"/>
    <w:rsid w:val="00441DE8"/>
    <w:rsid w:val="00442F67"/>
    <w:rsid w:val="00442FBB"/>
    <w:rsid w:val="00443487"/>
    <w:rsid w:val="0044467E"/>
    <w:rsid w:val="0044496C"/>
    <w:rsid w:val="00444F46"/>
    <w:rsid w:val="0044520F"/>
    <w:rsid w:val="00445B5E"/>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2C8B"/>
    <w:rsid w:val="00463325"/>
    <w:rsid w:val="00463D48"/>
    <w:rsid w:val="00464148"/>
    <w:rsid w:val="004647B9"/>
    <w:rsid w:val="00464F06"/>
    <w:rsid w:val="004652D5"/>
    <w:rsid w:val="00465BF5"/>
    <w:rsid w:val="00466042"/>
    <w:rsid w:val="004668E6"/>
    <w:rsid w:val="00466F78"/>
    <w:rsid w:val="004673D5"/>
    <w:rsid w:val="00470636"/>
    <w:rsid w:val="0047274B"/>
    <w:rsid w:val="00472B3D"/>
    <w:rsid w:val="00472D90"/>
    <w:rsid w:val="00473EB5"/>
    <w:rsid w:val="00474588"/>
    <w:rsid w:val="0047511F"/>
    <w:rsid w:val="0047647A"/>
    <w:rsid w:val="004771E5"/>
    <w:rsid w:val="00477357"/>
    <w:rsid w:val="00477E07"/>
    <w:rsid w:val="00480A69"/>
    <w:rsid w:val="004813E0"/>
    <w:rsid w:val="00482534"/>
    <w:rsid w:val="004826CB"/>
    <w:rsid w:val="00483B0E"/>
    <w:rsid w:val="00484AE9"/>
    <w:rsid w:val="00485508"/>
    <w:rsid w:val="0048659E"/>
    <w:rsid w:val="00486775"/>
    <w:rsid w:val="004874A4"/>
    <w:rsid w:val="00491E99"/>
    <w:rsid w:val="004921F9"/>
    <w:rsid w:val="004929E7"/>
    <w:rsid w:val="0049318A"/>
    <w:rsid w:val="00493A5B"/>
    <w:rsid w:val="00494F0A"/>
    <w:rsid w:val="00495547"/>
    <w:rsid w:val="00495DF9"/>
    <w:rsid w:val="004961AD"/>
    <w:rsid w:val="00496339"/>
    <w:rsid w:val="004967A0"/>
    <w:rsid w:val="00496C40"/>
    <w:rsid w:val="00497059"/>
    <w:rsid w:val="00497082"/>
    <w:rsid w:val="004973EC"/>
    <w:rsid w:val="00497B15"/>
    <w:rsid w:val="004A0617"/>
    <w:rsid w:val="004A1A63"/>
    <w:rsid w:val="004A22C3"/>
    <w:rsid w:val="004A2326"/>
    <w:rsid w:val="004A2A39"/>
    <w:rsid w:val="004A319F"/>
    <w:rsid w:val="004A32F1"/>
    <w:rsid w:val="004A363B"/>
    <w:rsid w:val="004A36A8"/>
    <w:rsid w:val="004A4745"/>
    <w:rsid w:val="004A56D6"/>
    <w:rsid w:val="004A5F27"/>
    <w:rsid w:val="004A6251"/>
    <w:rsid w:val="004A6CA2"/>
    <w:rsid w:val="004A770C"/>
    <w:rsid w:val="004A781C"/>
    <w:rsid w:val="004A7ECD"/>
    <w:rsid w:val="004B05CE"/>
    <w:rsid w:val="004B0EF8"/>
    <w:rsid w:val="004B1043"/>
    <w:rsid w:val="004B117E"/>
    <w:rsid w:val="004B17F7"/>
    <w:rsid w:val="004B1E33"/>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D55"/>
    <w:rsid w:val="004E3E0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AFF"/>
    <w:rsid w:val="004F2E5D"/>
    <w:rsid w:val="004F2E7C"/>
    <w:rsid w:val="004F373F"/>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668"/>
    <w:rsid w:val="00515288"/>
    <w:rsid w:val="00515B21"/>
    <w:rsid w:val="00515CF2"/>
    <w:rsid w:val="00516305"/>
    <w:rsid w:val="00517079"/>
    <w:rsid w:val="00520023"/>
    <w:rsid w:val="005201C4"/>
    <w:rsid w:val="00520569"/>
    <w:rsid w:val="005212AE"/>
    <w:rsid w:val="005229B8"/>
    <w:rsid w:val="00522C1A"/>
    <w:rsid w:val="00523091"/>
    <w:rsid w:val="005242CB"/>
    <w:rsid w:val="00524C38"/>
    <w:rsid w:val="00524D42"/>
    <w:rsid w:val="00526DC4"/>
    <w:rsid w:val="005274E0"/>
    <w:rsid w:val="00527F7B"/>
    <w:rsid w:val="005300DF"/>
    <w:rsid w:val="00531818"/>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64F"/>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81"/>
    <w:rsid w:val="00567CCF"/>
    <w:rsid w:val="00570608"/>
    <w:rsid w:val="005707BD"/>
    <w:rsid w:val="00570A3B"/>
    <w:rsid w:val="0057187A"/>
    <w:rsid w:val="005720EB"/>
    <w:rsid w:val="0057273D"/>
    <w:rsid w:val="005731B2"/>
    <w:rsid w:val="00573350"/>
    <w:rsid w:val="00573D28"/>
    <w:rsid w:val="00573E34"/>
    <w:rsid w:val="005740D5"/>
    <w:rsid w:val="005740DA"/>
    <w:rsid w:val="00574D7B"/>
    <w:rsid w:val="00576FC3"/>
    <w:rsid w:val="00577656"/>
    <w:rsid w:val="0057772B"/>
    <w:rsid w:val="00580176"/>
    <w:rsid w:val="005802AF"/>
    <w:rsid w:val="00581327"/>
    <w:rsid w:val="005817AB"/>
    <w:rsid w:val="00582C57"/>
    <w:rsid w:val="00583E0A"/>
    <w:rsid w:val="00584BAB"/>
    <w:rsid w:val="00584EFB"/>
    <w:rsid w:val="0058621D"/>
    <w:rsid w:val="00586D72"/>
    <w:rsid w:val="00586E4F"/>
    <w:rsid w:val="00587330"/>
    <w:rsid w:val="00587984"/>
    <w:rsid w:val="00587A84"/>
    <w:rsid w:val="00590AF7"/>
    <w:rsid w:val="00592360"/>
    <w:rsid w:val="005928A9"/>
    <w:rsid w:val="00593333"/>
    <w:rsid w:val="00595F3F"/>
    <w:rsid w:val="005960D3"/>
    <w:rsid w:val="005973A7"/>
    <w:rsid w:val="0059784C"/>
    <w:rsid w:val="005A0825"/>
    <w:rsid w:val="005A09A3"/>
    <w:rsid w:val="005A1FEE"/>
    <w:rsid w:val="005A273F"/>
    <w:rsid w:val="005A2F01"/>
    <w:rsid w:val="005A3583"/>
    <w:rsid w:val="005A4118"/>
    <w:rsid w:val="005A453F"/>
    <w:rsid w:val="005A493F"/>
    <w:rsid w:val="005A5EBB"/>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4E3"/>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5582"/>
    <w:rsid w:val="00605720"/>
    <w:rsid w:val="00605C0C"/>
    <w:rsid w:val="00605C57"/>
    <w:rsid w:val="00605C73"/>
    <w:rsid w:val="0060626C"/>
    <w:rsid w:val="006065FF"/>
    <w:rsid w:val="00607309"/>
    <w:rsid w:val="0060749A"/>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617"/>
    <w:rsid w:val="00620FB8"/>
    <w:rsid w:val="006214D7"/>
    <w:rsid w:val="00621B71"/>
    <w:rsid w:val="00622BEF"/>
    <w:rsid w:val="0062386E"/>
    <w:rsid w:val="00624802"/>
    <w:rsid w:val="00624F20"/>
    <w:rsid w:val="00625F4E"/>
    <w:rsid w:val="00626E45"/>
    <w:rsid w:val="006279BE"/>
    <w:rsid w:val="006304BB"/>
    <w:rsid w:val="0063071F"/>
    <w:rsid w:val="00630C62"/>
    <w:rsid w:val="00631207"/>
    <w:rsid w:val="0063216A"/>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74"/>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0E"/>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0A5"/>
    <w:rsid w:val="00696139"/>
    <w:rsid w:val="00696449"/>
    <w:rsid w:val="00696607"/>
    <w:rsid w:val="00696616"/>
    <w:rsid w:val="00696D5C"/>
    <w:rsid w:val="00696F11"/>
    <w:rsid w:val="006973E2"/>
    <w:rsid w:val="00697607"/>
    <w:rsid w:val="0069771F"/>
    <w:rsid w:val="00697D08"/>
    <w:rsid w:val="00697D57"/>
    <w:rsid w:val="006A07C1"/>
    <w:rsid w:val="006A136B"/>
    <w:rsid w:val="006A19D5"/>
    <w:rsid w:val="006A28FD"/>
    <w:rsid w:val="006A2BF4"/>
    <w:rsid w:val="006A326C"/>
    <w:rsid w:val="006A52BF"/>
    <w:rsid w:val="006A5821"/>
    <w:rsid w:val="006A5A6C"/>
    <w:rsid w:val="006A61E5"/>
    <w:rsid w:val="006A654C"/>
    <w:rsid w:val="006A6B9A"/>
    <w:rsid w:val="006A7061"/>
    <w:rsid w:val="006B0A9C"/>
    <w:rsid w:val="006B0B08"/>
    <w:rsid w:val="006B0DC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C0C"/>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1E1"/>
    <w:rsid w:val="0070428E"/>
    <w:rsid w:val="007042B5"/>
    <w:rsid w:val="00704634"/>
    <w:rsid w:val="00705D00"/>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1B8"/>
    <w:rsid w:val="00734300"/>
    <w:rsid w:val="0073439D"/>
    <w:rsid w:val="00734795"/>
    <w:rsid w:val="00736F71"/>
    <w:rsid w:val="00737905"/>
    <w:rsid w:val="00740397"/>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0E69"/>
    <w:rsid w:val="00761447"/>
    <w:rsid w:val="00761D3A"/>
    <w:rsid w:val="00762460"/>
    <w:rsid w:val="00762B99"/>
    <w:rsid w:val="007656A2"/>
    <w:rsid w:val="007657FA"/>
    <w:rsid w:val="00766389"/>
    <w:rsid w:val="007677CD"/>
    <w:rsid w:val="00767FE0"/>
    <w:rsid w:val="007702C1"/>
    <w:rsid w:val="00770340"/>
    <w:rsid w:val="00770536"/>
    <w:rsid w:val="00770AC5"/>
    <w:rsid w:val="007711A1"/>
    <w:rsid w:val="00771AF2"/>
    <w:rsid w:val="007722CF"/>
    <w:rsid w:val="00772E06"/>
    <w:rsid w:val="00773C44"/>
    <w:rsid w:val="00773E85"/>
    <w:rsid w:val="00774396"/>
    <w:rsid w:val="007743DD"/>
    <w:rsid w:val="007758EE"/>
    <w:rsid w:val="00775BD0"/>
    <w:rsid w:val="007779BF"/>
    <w:rsid w:val="00777B9A"/>
    <w:rsid w:val="00777CFA"/>
    <w:rsid w:val="00777F6C"/>
    <w:rsid w:val="007806D4"/>
    <w:rsid w:val="00781E84"/>
    <w:rsid w:val="00781EFF"/>
    <w:rsid w:val="00782019"/>
    <w:rsid w:val="00782A9A"/>
    <w:rsid w:val="00782D4F"/>
    <w:rsid w:val="007841D1"/>
    <w:rsid w:val="00786A0E"/>
    <w:rsid w:val="00787328"/>
    <w:rsid w:val="00787FF8"/>
    <w:rsid w:val="007904C9"/>
    <w:rsid w:val="00790CF4"/>
    <w:rsid w:val="00790DA7"/>
    <w:rsid w:val="007915BD"/>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46D"/>
    <w:rsid w:val="007A367E"/>
    <w:rsid w:val="007A3AF8"/>
    <w:rsid w:val="007A43A0"/>
    <w:rsid w:val="007A4532"/>
    <w:rsid w:val="007A47F2"/>
    <w:rsid w:val="007A490A"/>
    <w:rsid w:val="007A530A"/>
    <w:rsid w:val="007A65AF"/>
    <w:rsid w:val="007A719C"/>
    <w:rsid w:val="007A726F"/>
    <w:rsid w:val="007A757A"/>
    <w:rsid w:val="007B08F4"/>
    <w:rsid w:val="007B0A40"/>
    <w:rsid w:val="007B14D2"/>
    <w:rsid w:val="007B34BC"/>
    <w:rsid w:val="007B43BC"/>
    <w:rsid w:val="007B452B"/>
    <w:rsid w:val="007B4C84"/>
    <w:rsid w:val="007B4EEE"/>
    <w:rsid w:val="007B5EBB"/>
    <w:rsid w:val="007B65D2"/>
    <w:rsid w:val="007B6AD5"/>
    <w:rsid w:val="007C0449"/>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55D"/>
    <w:rsid w:val="007F5B11"/>
    <w:rsid w:val="007F7CB7"/>
    <w:rsid w:val="007F7F91"/>
    <w:rsid w:val="00801A10"/>
    <w:rsid w:val="00801F35"/>
    <w:rsid w:val="00803391"/>
    <w:rsid w:val="00803D63"/>
    <w:rsid w:val="00803E1C"/>
    <w:rsid w:val="00805B95"/>
    <w:rsid w:val="008061D6"/>
    <w:rsid w:val="008068C9"/>
    <w:rsid w:val="00806D14"/>
    <w:rsid w:val="0080728A"/>
    <w:rsid w:val="00807D76"/>
    <w:rsid w:val="00811182"/>
    <w:rsid w:val="00811407"/>
    <w:rsid w:val="00811B44"/>
    <w:rsid w:val="008122E4"/>
    <w:rsid w:val="00812D5A"/>
    <w:rsid w:val="00813494"/>
    <w:rsid w:val="00813755"/>
    <w:rsid w:val="00815844"/>
    <w:rsid w:val="008161D5"/>
    <w:rsid w:val="00817154"/>
    <w:rsid w:val="00817A06"/>
    <w:rsid w:val="0082001A"/>
    <w:rsid w:val="008205D0"/>
    <w:rsid w:val="0082070E"/>
    <w:rsid w:val="008208EA"/>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0714"/>
    <w:rsid w:val="00851000"/>
    <w:rsid w:val="00851789"/>
    <w:rsid w:val="00851F9C"/>
    <w:rsid w:val="00853AC4"/>
    <w:rsid w:val="00854886"/>
    <w:rsid w:val="00855029"/>
    <w:rsid w:val="0085507C"/>
    <w:rsid w:val="0085563E"/>
    <w:rsid w:val="00857E00"/>
    <w:rsid w:val="008601DA"/>
    <w:rsid w:val="00861653"/>
    <w:rsid w:val="00861978"/>
    <w:rsid w:val="00861BBB"/>
    <w:rsid w:val="008625C0"/>
    <w:rsid w:val="00862925"/>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2C7"/>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EA5"/>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D3D"/>
    <w:rsid w:val="008C65C9"/>
    <w:rsid w:val="008C7C52"/>
    <w:rsid w:val="008D08B2"/>
    <w:rsid w:val="008D1236"/>
    <w:rsid w:val="008D1717"/>
    <w:rsid w:val="008D1D99"/>
    <w:rsid w:val="008D1EDE"/>
    <w:rsid w:val="008D2A8D"/>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555"/>
    <w:rsid w:val="00912F68"/>
    <w:rsid w:val="009133A9"/>
    <w:rsid w:val="00913418"/>
    <w:rsid w:val="009137F9"/>
    <w:rsid w:val="00913C08"/>
    <w:rsid w:val="00915282"/>
    <w:rsid w:val="0091567A"/>
    <w:rsid w:val="00920287"/>
    <w:rsid w:val="00920947"/>
    <w:rsid w:val="0092099A"/>
    <w:rsid w:val="00920C90"/>
    <w:rsid w:val="00921E9D"/>
    <w:rsid w:val="009220E0"/>
    <w:rsid w:val="00922349"/>
    <w:rsid w:val="0092244D"/>
    <w:rsid w:val="00922FD0"/>
    <w:rsid w:val="0092383C"/>
    <w:rsid w:val="00923E83"/>
    <w:rsid w:val="00923FD8"/>
    <w:rsid w:val="009250CB"/>
    <w:rsid w:val="00926AC7"/>
    <w:rsid w:val="00926FCD"/>
    <w:rsid w:val="00927607"/>
    <w:rsid w:val="00931D14"/>
    <w:rsid w:val="009322BE"/>
    <w:rsid w:val="00932818"/>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701"/>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084E"/>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14E"/>
    <w:rsid w:val="00971321"/>
    <w:rsid w:val="00972B61"/>
    <w:rsid w:val="009730F2"/>
    <w:rsid w:val="00974250"/>
    <w:rsid w:val="00974F50"/>
    <w:rsid w:val="009756EC"/>
    <w:rsid w:val="009757EE"/>
    <w:rsid w:val="0097584C"/>
    <w:rsid w:val="00976FCC"/>
    <w:rsid w:val="0097768E"/>
    <w:rsid w:val="00980F10"/>
    <w:rsid w:val="009818A2"/>
    <w:rsid w:val="009828F5"/>
    <w:rsid w:val="009829E2"/>
    <w:rsid w:val="00983525"/>
    <w:rsid w:val="009842BD"/>
    <w:rsid w:val="009844CE"/>
    <w:rsid w:val="00984590"/>
    <w:rsid w:val="00984F92"/>
    <w:rsid w:val="00984FB7"/>
    <w:rsid w:val="009855CB"/>
    <w:rsid w:val="00985932"/>
    <w:rsid w:val="009868FC"/>
    <w:rsid w:val="00986D6A"/>
    <w:rsid w:val="00990013"/>
    <w:rsid w:val="00990669"/>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207"/>
    <w:rsid w:val="009C16E5"/>
    <w:rsid w:val="009C24D1"/>
    <w:rsid w:val="009C3841"/>
    <w:rsid w:val="009C4F42"/>
    <w:rsid w:val="009C607A"/>
    <w:rsid w:val="009C6929"/>
    <w:rsid w:val="009C6A52"/>
    <w:rsid w:val="009C72C2"/>
    <w:rsid w:val="009D0539"/>
    <w:rsid w:val="009D089A"/>
    <w:rsid w:val="009D183B"/>
    <w:rsid w:val="009D20C4"/>
    <w:rsid w:val="009D2378"/>
    <w:rsid w:val="009D267D"/>
    <w:rsid w:val="009D30C1"/>
    <w:rsid w:val="009D3356"/>
    <w:rsid w:val="009D351A"/>
    <w:rsid w:val="009D3CB7"/>
    <w:rsid w:val="009D3DBF"/>
    <w:rsid w:val="009D4901"/>
    <w:rsid w:val="009D4C43"/>
    <w:rsid w:val="009D5068"/>
    <w:rsid w:val="009D5281"/>
    <w:rsid w:val="009D54BA"/>
    <w:rsid w:val="009D5AC5"/>
    <w:rsid w:val="009D5D6A"/>
    <w:rsid w:val="009D6566"/>
    <w:rsid w:val="009D6EC6"/>
    <w:rsid w:val="009D7058"/>
    <w:rsid w:val="009D76EB"/>
    <w:rsid w:val="009D7E4B"/>
    <w:rsid w:val="009E0336"/>
    <w:rsid w:val="009E10EC"/>
    <w:rsid w:val="009E10F6"/>
    <w:rsid w:val="009E1628"/>
    <w:rsid w:val="009E2B95"/>
    <w:rsid w:val="009E2F5D"/>
    <w:rsid w:val="009E33BC"/>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3E20"/>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65D"/>
    <w:rsid w:val="00A07A56"/>
    <w:rsid w:val="00A1031F"/>
    <w:rsid w:val="00A10D42"/>
    <w:rsid w:val="00A11062"/>
    <w:rsid w:val="00A1186C"/>
    <w:rsid w:val="00A12661"/>
    <w:rsid w:val="00A12D31"/>
    <w:rsid w:val="00A12F8B"/>
    <w:rsid w:val="00A13C0F"/>
    <w:rsid w:val="00A164A6"/>
    <w:rsid w:val="00A165FE"/>
    <w:rsid w:val="00A16EFC"/>
    <w:rsid w:val="00A17A7F"/>
    <w:rsid w:val="00A17DD0"/>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2E6"/>
    <w:rsid w:val="00A47209"/>
    <w:rsid w:val="00A47455"/>
    <w:rsid w:val="00A51781"/>
    <w:rsid w:val="00A5203E"/>
    <w:rsid w:val="00A52320"/>
    <w:rsid w:val="00A52762"/>
    <w:rsid w:val="00A537AD"/>
    <w:rsid w:val="00A54A2D"/>
    <w:rsid w:val="00A54AAC"/>
    <w:rsid w:val="00A55915"/>
    <w:rsid w:val="00A55A68"/>
    <w:rsid w:val="00A56094"/>
    <w:rsid w:val="00A564E2"/>
    <w:rsid w:val="00A5698E"/>
    <w:rsid w:val="00A56B70"/>
    <w:rsid w:val="00A575B4"/>
    <w:rsid w:val="00A608CD"/>
    <w:rsid w:val="00A60B44"/>
    <w:rsid w:val="00A62EFE"/>
    <w:rsid w:val="00A64086"/>
    <w:rsid w:val="00A64280"/>
    <w:rsid w:val="00A6484C"/>
    <w:rsid w:val="00A64C7D"/>
    <w:rsid w:val="00A64E0F"/>
    <w:rsid w:val="00A654A2"/>
    <w:rsid w:val="00A654DF"/>
    <w:rsid w:val="00A655E9"/>
    <w:rsid w:val="00A66CB2"/>
    <w:rsid w:val="00A703F5"/>
    <w:rsid w:val="00A71119"/>
    <w:rsid w:val="00A72E3D"/>
    <w:rsid w:val="00A72EE1"/>
    <w:rsid w:val="00A73B00"/>
    <w:rsid w:val="00A746E4"/>
    <w:rsid w:val="00A74704"/>
    <w:rsid w:val="00A761F4"/>
    <w:rsid w:val="00A77448"/>
    <w:rsid w:val="00A77B65"/>
    <w:rsid w:val="00A77EC2"/>
    <w:rsid w:val="00A8007D"/>
    <w:rsid w:val="00A801C1"/>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F60"/>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3CDB"/>
    <w:rsid w:val="00AA438D"/>
    <w:rsid w:val="00AA55E0"/>
    <w:rsid w:val="00AA5BC8"/>
    <w:rsid w:val="00AA61B7"/>
    <w:rsid w:val="00AA689B"/>
    <w:rsid w:val="00AA7023"/>
    <w:rsid w:val="00AB00F1"/>
    <w:rsid w:val="00AB0CE7"/>
    <w:rsid w:val="00AB11B8"/>
    <w:rsid w:val="00AB22DC"/>
    <w:rsid w:val="00AB2794"/>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C6743"/>
    <w:rsid w:val="00AC7C19"/>
    <w:rsid w:val="00AD100C"/>
    <w:rsid w:val="00AD2540"/>
    <w:rsid w:val="00AD2FCE"/>
    <w:rsid w:val="00AD38ED"/>
    <w:rsid w:val="00AD39D6"/>
    <w:rsid w:val="00AD3C97"/>
    <w:rsid w:val="00AD413F"/>
    <w:rsid w:val="00AD4282"/>
    <w:rsid w:val="00AD5A42"/>
    <w:rsid w:val="00AD7073"/>
    <w:rsid w:val="00AD77FD"/>
    <w:rsid w:val="00AD79E2"/>
    <w:rsid w:val="00AD7FFB"/>
    <w:rsid w:val="00AE1C5C"/>
    <w:rsid w:val="00AE271F"/>
    <w:rsid w:val="00AE3DF5"/>
    <w:rsid w:val="00AE4CFF"/>
    <w:rsid w:val="00AE4E46"/>
    <w:rsid w:val="00AE52B0"/>
    <w:rsid w:val="00AE54F8"/>
    <w:rsid w:val="00AE565E"/>
    <w:rsid w:val="00AE5819"/>
    <w:rsid w:val="00AE5C7F"/>
    <w:rsid w:val="00AF053C"/>
    <w:rsid w:val="00AF05B7"/>
    <w:rsid w:val="00AF1629"/>
    <w:rsid w:val="00AF2172"/>
    <w:rsid w:val="00AF3B8C"/>
    <w:rsid w:val="00AF3E80"/>
    <w:rsid w:val="00AF4CB2"/>
    <w:rsid w:val="00AF4E0C"/>
    <w:rsid w:val="00AF4E17"/>
    <w:rsid w:val="00AF4F15"/>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58F0"/>
    <w:rsid w:val="00B0768C"/>
    <w:rsid w:val="00B10264"/>
    <w:rsid w:val="00B1212B"/>
    <w:rsid w:val="00B125A0"/>
    <w:rsid w:val="00B13177"/>
    <w:rsid w:val="00B13E8D"/>
    <w:rsid w:val="00B15852"/>
    <w:rsid w:val="00B161B4"/>
    <w:rsid w:val="00B16887"/>
    <w:rsid w:val="00B176C8"/>
    <w:rsid w:val="00B17F22"/>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0C78"/>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478FC"/>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B12"/>
    <w:rsid w:val="00B56F11"/>
    <w:rsid w:val="00B577E7"/>
    <w:rsid w:val="00B60272"/>
    <w:rsid w:val="00B60806"/>
    <w:rsid w:val="00B60E54"/>
    <w:rsid w:val="00B6152A"/>
    <w:rsid w:val="00B61A36"/>
    <w:rsid w:val="00B6219D"/>
    <w:rsid w:val="00B62B0D"/>
    <w:rsid w:val="00B62E87"/>
    <w:rsid w:val="00B635E2"/>
    <w:rsid w:val="00B636E6"/>
    <w:rsid w:val="00B64DB8"/>
    <w:rsid w:val="00B657BC"/>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5B2A"/>
    <w:rsid w:val="00B766B9"/>
    <w:rsid w:val="00B76E0C"/>
    <w:rsid w:val="00B7789B"/>
    <w:rsid w:val="00B77DF2"/>
    <w:rsid w:val="00B8020F"/>
    <w:rsid w:val="00B8071F"/>
    <w:rsid w:val="00B814A1"/>
    <w:rsid w:val="00B81C9C"/>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3FFB"/>
    <w:rsid w:val="00B950EF"/>
    <w:rsid w:val="00B95FE2"/>
    <w:rsid w:val="00B962C6"/>
    <w:rsid w:val="00B962EE"/>
    <w:rsid w:val="00B97246"/>
    <w:rsid w:val="00B9725F"/>
    <w:rsid w:val="00B972B2"/>
    <w:rsid w:val="00B97390"/>
    <w:rsid w:val="00BA03EE"/>
    <w:rsid w:val="00BA068A"/>
    <w:rsid w:val="00BA0DDD"/>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86D"/>
    <w:rsid w:val="00BB6A68"/>
    <w:rsid w:val="00BB739C"/>
    <w:rsid w:val="00BB7905"/>
    <w:rsid w:val="00BC0108"/>
    <w:rsid w:val="00BC088B"/>
    <w:rsid w:val="00BC0EFF"/>
    <w:rsid w:val="00BC1305"/>
    <w:rsid w:val="00BC2587"/>
    <w:rsid w:val="00BC342A"/>
    <w:rsid w:val="00BC38E6"/>
    <w:rsid w:val="00BC40F2"/>
    <w:rsid w:val="00BC45CE"/>
    <w:rsid w:val="00BC4F3D"/>
    <w:rsid w:val="00BC5B12"/>
    <w:rsid w:val="00BC64CE"/>
    <w:rsid w:val="00BC68AD"/>
    <w:rsid w:val="00BC7112"/>
    <w:rsid w:val="00BD0C00"/>
    <w:rsid w:val="00BD0DA0"/>
    <w:rsid w:val="00BD1F9D"/>
    <w:rsid w:val="00BD3693"/>
    <w:rsid w:val="00BD4259"/>
    <w:rsid w:val="00BD438C"/>
    <w:rsid w:val="00BD492B"/>
    <w:rsid w:val="00BD4F9A"/>
    <w:rsid w:val="00BD5E19"/>
    <w:rsid w:val="00BD6D4E"/>
    <w:rsid w:val="00BD71F1"/>
    <w:rsid w:val="00BD74CF"/>
    <w:rsid w:val="00BD7D3E"/>
    <w:rsid w:val="00BE1BBE"/>
    <w:rsid w:val="00BE2C9F"/>
    <w:rsid w:val="00BE33A0"/>
    <w:rsid w:val="00BE35D0"/>
    <w:rsid w:val="00BE36D5"/>
    <w:rsid w:val="00BE4FDC"/>
    <w:rsid w:val="00BE6056"/>
    <w:rsid w:val="00BE6217"/>
    <w:rsid w:val="00BE6785"/>
    <w:rsid w:val="00BE7C10"/>
    <w:rsid w:val="00BF01B9"/>
    <w:rsid w:val="00BF0D7C"/>
    <w:rsid w:val="00BF1235"/>
    <w:rsid w:val="00BF1F39"/>
    <w:rsid w:val="00BF232B"/>
    <w:rsid w:val="00BF2AD9"/>
    <w:rsid w:val="00BF2FDA"/>
    <w:rsid w:val="00BF5877"/>
    <w:rsid w:val="00BF68A1"/>
    <w:rsid w:val="00C006E1"/>
    <w:rsid w:val="00C013E9"/>
    <w:rsid w:val="00C01536"/>
    <w:rsid w:val="00C0185C"/>
    <w:rsid w:val="00C01AE5"/>
    <w:rsid w:val="00C0372A"/>
    <w:rsid w:val="00C03DCD"/>
    <w:rsid w:val="00C045DA"/>
    <w:rsid w:val="00C04F09"/>
    <w:rsid w:val="00C056CD"/>
    <w:rsid w:val="00C05725"/>
    <w:rsid w:val="00C060AE"/>
    <w:rsid w:val="00C06237"/>
    <w:rsid w:val="00C06404"/>
    <w:rsid w:val="00C06502"/>
    <w:rsid w:val="00C067A6"/>
    <w:rsid w:val="00C071AF"/>
    <w:rsid w:val="00C0780B"/>
    <w:rsid w:val="00C07BB8"/>
    <w:rsid w:val="00C07CCB"/>
    <w:rsid w:val="00C07D2B"/>
    <w:rsid w:val="00C1015F"/>
    <w:rsid w:val="00C1063F"/>
    <w:rsid w:val="00C11D9D"/>
    <w:rsid w:val="00C1296A"/>
    <w:rsid w:val="00C139BC"/>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F88"/>
    <w:rsid w:val="00C268F6"/>
    <w:rsid w:val="00C27D1A"/>
    <w:rsid w:val="00C31200"/>
    <w:rsid w:val="00C31A08"/>
    <w:rsid w:val="00C31BE7"/>
    <w:rsid w:val="00C32229"/>
    <w:rsid w:val="00C32DE7"/>
    <w:rsid w:val="00C32F73"/>
    <w:rsid w:val="00C32FD3"/>
    <w:rsid w:val="00C332C5"/>
    <w:rsid w:val="00C341CB"/>
    <w:rsid w:val="00C343FA"/>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E2C"/>
    <w:rsid w:val="00C5007B"/>
    <w:rsid w:val="00C500D2"/>
    <w:rsid w:val="00C50922"/>
    <w:rsid w:val="00C51440"/>
    <w:rsid w:val="00C517A9"/>
    <w:rsid w:val="00C52089"/>
    <w:rsid w:val="00C53E87"/>
    <w:rsid w:val="00C55CDE"/>
    <w:rsid w:val="00C563BC"/>
    <w:rsid w:val="00C56885"/>
    <w:rsid w:val="00C56AE3"/>
    <w:rsid w:val="00C56D20"/>
    <w:rsid w:val="00C57069"/>
    <w:rsid w:val="00C57680"/>
    <w:rsid w:val="00C57997"/>
    <w:rsid w:val="00C6124E"/>
    <w:rsid w:val="00C613CF"/>
    <w:rsid w:val="00C6230B"/>
    <w:rsid w:val="00C6257D"/>
    <w:rsid w:val="00C632FA"/>
    <w:rsid w:val="00C635D0"/>
    <w:rsid w:val="00C63723"/>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13A5"/>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368"/>
    <w:rsid w:val="00CC367C"/>
    <w:rsid w:val="00CC3FEE"/>
    <w:rsid w:val="00CC416D"/>
    <w:rsid w:val="00CC45E5"/>
    <w:rsid w:val="00CC466F"/>
    <w:rsid w:val="00CC55E8"/>
    <w:rsid w:val="00CC5DF0"/>
    <w:rsid w:val="00CC71C6"/>
    <w:rsid w:val="00CC7E7D"/>
    <w:rsid w:val="00CD0968"/>
    <w:rsid w:val="00CD0F21"/>
    <w:rsid w:val="00CD1491"/>
    <w:rsid w:val="00CD2580"/>
    <w:rsid w:val="00CD3485"/>
    <w:rsid w:val="00CD3739"/>
    <w:rsid w:val="00CD3AE0"/>
    <w:rsid w:val="00CD3B16"/>
    <w:rsid w:val="00CD4372"/>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46B"/>
    <w:rsid w:val="00CE75DA"/>
    <w:rsid w:val="00CF01EA"/>
    <w:rsid w:val="00CF10EF"/>
    <w:rsid w:val="00CF1F53"/>
    <w:rsid w:val="00CF1FAE"/>
    <w:rsid w:val="00CF3BED"/>
    <w:rsid w:val="00CF4A6D"/>
    <w:rsid w:val="00CF593F"/>
    <w:rsid w:val="00CF5B89"/>
    <w:rsid w:val="00CF6510"/>
    <w:rsid w:val="00CF65E5"/>
    <w:rsid w:val="00CF66B8"/>
    <w:rsid w:val="00CF6971"/>
    <w:rsid w:val="00CF6B1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7A1B"/>
    <w:rsid w:val="00D20368"/>
    <w:rsid w:val="00D209D8"/>
    <w:rsid w:val="00D20B6C"/>
    <w:rsid w:val="00D20DAB"/>
    <w:rsid w:val="00D2186C"/>
    <w:rsid w:val="00D22CCC"/>
    <w:rsid w:val="00D239A5"/>
    <w:rsid w:val="00D24260"/>
    <w:rsid w:val="00D2457A"/>
    <w:rsid w:val="00D25024"/>
    <w:rsid w:val="00D25A36"/>
    <w:rsid w:val="00D26250"/>
    <w:rsid w:val="00D26488"/>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FE1"/>
    <w:rsid w:val="00D60503"/>
    <w:rsid w:val="00D62605"/>
    <w:rsid w:val="00D6263B"/>
    <w:rsid w:val="00D63073"/>
    <w:rsid w:val="00D6362A"/>
    <w:rsid w:val="00D63DA5"/>
    <w:rsid w:val="00D641C8"/>
    <w:rsid w:val="00D64B3A"/>
    <w:rsid w:val="00D64D09"/>
    <w:rsid w:val="00D6587E"/>
    <w:rsid w:val="00D65C48"/>
    <w:rsid w:val="00D67C48"/>
    <w:rsid w:val="00D70CA3"/>
    <w:rsid w:val="00D718E2"/>
    <w:rsid w:val="00D719E5"/>
    <w:rsid w:val="00D72097"/>
    <w:rsid w:val="00D722FA"/>
    <w:rsid w:val="00D73167"/>
    <w:rsid w:val="00D7322F"/>
    <w:rsid w:val="00D733BC"/>
    <w:rsid w:val="00D73481"/>
    <w:rsid w:val="00D73C07"/>
    <w:rsid w:val="00D743AB"/>
    <w:rsid w:val="00D745B7"/>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87AAE"/>
    <w:rsid w:val="00D9154A"/>
    <w:rsid w:val="00D923F4"/>
    <w:rsid w:val="00D93271"/>
    <w:rsid w:val="00D93F15"/>
    <w:rsid w:val="00D9475D"/>
    <w:rsid w:val="00D96319"/>
    <w:rsid w:val="00D96E67"/>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3"/>
    <w:rsid w:val="00DB0766"/>
    <w:rsid w:val="00DB07C2"/>
    <w:rsid w:val="00DB0E2F"/>
    <w:rsid w:val="00DB0F5D"/>
    <w:rsid w:val="00DB1351"/>
    <w:rsid w:val="00DB16DB"/>
    <w:rsid w:val="00DB2AE9"/>
    <w:rsid w:val="00DB2C6D"/>
    <w:rsid w:val="00DB3037"/>
    <w:rsid w:val="00DB3D2F"/>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498"/>
    <w:rsid w:val="00DC596B"/>
    <w:rsid w:val="00DC78C5"/>
    <w:rsid w:val="00DC78FE"/>
    <w:rsid w:val="00DC7910"/>
    <w:rsid w:val="00DC7CCB"/>
    <w:rsid w:val="00DD016C"/>
    <w:rsid w:val="00DD054C"/>
    <w:rsid w:val="00DD0B1B"/>
    <w:rsid w:val="00DD1220"/>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112"/>
    <w:rsid w:val="00DF0FAE"/>
    <w:rsid w:val="00DF1506"/>
    <w:rsid w:val="00DF1880"/>
    <w:rsid w:val="00DF1F74"/>
    <w:rsid w:val="00DF2FA1"/>
    <w:rsid w:val="00DF5862"/>
    <w:rsid w:val="00DF5E93"/>
    <w:rsid w:val="00DF643F"/>
    <w:rsid w:val="00DF66BB"/>
    <w:rsid w:val="00DF6FB0"/>
    <w:rsid w:val="00DF7CC6"/>
    <w:rsid w:val="00DF7D55"/>
    <w:rsid w:val="00E00D89"/>
    <w:rsid w:val="00E00E3A"/>
    <w:rsid w:val="00E013E9"/>
    <w:rsid w:val="00E013EF"/>
    <w:rsid w:val="00E017F2"/>
    <w:rsid w:val="00E01B2C"/>
    <w:rsid w:val="00E0267C"/>
    <w:rsid w:val="00E02932"/>
    <w:rsid w:val="00E02CE1"/>
    <w:rsid w:val="00E03B4B"/>
    <w:rsid w:val="00E04373"/>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27F85"/>
    <w:rsid w:val="00E311CE"/>
    <w:rsid w:val="00E31D2B"/>
    <w:rsid w:val="00E31E30"/>
    <w:rsid w:val="00E31E40"/>
    <w:rsid w:val="00E33520"/>
    <w:rsid w:val="00E33741"/>
    <w:rsid w:val="00E33D3D"/>
    <w:rsid w:val="00E35EC1"/>
    <w:rsid w:val="00E35F95"/>
    <w:rsid w:val="00E3623E"/>
    <w:rsid w:val="00E369E0"/>
    <w:rsid w:val="00E36F87"/>
    <w:rsid w:val="00E36FAF"/>
    <w:rsid w:val="00E3760C"/>
    <w:rsid w:val="00E37775"/>
    <w:rsid w:val="00E37879"/>
    <w:rsid w:val="00E378BD"/>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861"/>
    <w:rsid w:val="00E67D3C"/>
    <w:rsid w:val="00E702B9"/>
    <w:rsid w:val="00E70CC3"/>
    <w:rsid w:val="00E70CCF"/>
    <w:rsid w:val="00E71269"/>
    <w:rsid w:val="00E71EAE"/>
    <w:rsid w:val="00E7339F"/>
    <w:rsid w:val="00E75146"/>
    <w:rsid w:val="00E755AB"/>
    <w:rsid w:val="00E75B19"/>
    <w:rsid w:val="00E75BB5"/>
    <w:rsid w:val="00E7676F"/>
    <w:rsid w:val="00E7767C"/>
    <w:rsid w:val="00E77805"/>
    <w:rsid w:val="00E77C72"/>
    <w:rsid w:val="00E801F8"/>
    <w:rsid w:val="00E8167D"/>
    <w:rsid w:val="00E81BCF"/>
    <w:rsid w:val="00E8217A"/>
    <w:rsid w:val="00E82708"/>
    <w:rsid w:val="00E82822"/>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5D"/>
    <w:rsid w:val="00EA689E"/>
    <w:rsid w:val="00EA7590"/>
    <w:rsid w:val="00EA7BE2"/>
    <w:rsid w:val="00EA7C5F"/>
    <w:rsid w:val="00EA7FAC"/>
    <w:rsid w:val="00EB0480"/>
    <w:rsid w:val="00EB0A75"/>
    <w:rsid w:val="00EB0E25"/>
    <w:rsid w:val="00EB1BF9"/>
    <w:rsid w:val="00EB1D2C"/>
    <w:rsid w:val="00EB2497"/>
    <w:rsid w:val="00EB2A4F"/>
    <w:rsid w:val="00EB2ACC"/>
    <w:rsid w:val="00EB2D9B"/>
    <w:rsid w:val="00EB2E5C"/>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C7ECF"/>
    <w:rsid w:val="00ED0365"/>
    <w:rsid w:val="00ED073E"/>
    <w:rsid w:val="00ED0BF4"/>
    <w:rsid w:val="00ED0E71"/>
    <w:rsid w:val="00ED18EC"/>
    <w:rsid w:val="00ED1A24"/>
    <w:rsid w:val="00ED2378"/>
    <w:rsid w:val="00ED29A6"/>
    <w:rsid w:val="00ED35F3"/>
    <w:rsid w:val="00ED3702"/>
    <w:rsid w:val="00ED3C6C"/>
    <w:rsid w:val="00ED525B"/>
    <w:rsid w:val="00ED5337"/>
    <w:rsid w:val="00ED59E7"/>
    <w:rsid w:val="00ED72E4"/>
    <w:rsid w:val="00ED7403"/>
    <w:rsid w:val="00ED7AA8"/>
    <w:rsid w:val="00EE057C"/>
    <w:rsid w:val="00EE0858"/>
    <w:rsid w:val="00EE1B1F"/>
    <w:rsid w:val="00EE236A"/>
    <w:rsid w:val="00EE2649"/>
    <w:rsid w:val="00EE3015"/>
    <w:rsid w:val="00EE31AF"/>
    <w:rsid w:val="00EE34A1"/>
    <w:rsid w:val="00EE41A1"/>
    <w:rsid w:val="00EE481B"/>
    <w:rsid w:val="00EE4DA8"/>
    <w:rsid w:val="00EE50C5"/>
    <w:rsid w:val="00EE536C"/>
    <w:rsid w:val="00EE53E7"/>
    <w:rsid w:val="00EE71BF"/>
    <w:rsid w:val="00EE73E5"/>
    <w:rsid w:val="00EE7B44"/>
    <w:rsid w:val="00EE7D04"/>
    <w:rsid w:val="00EE7FB9"/>
    <w:rsid w:val="00EF09AC"/>
    <w:rsid w:val="00EF14D1"/>
    <w:rsid w:val="00EF1D2A"/>
    <w:rsid w:val="00EF1DD2"/>
    <w:rsid w:val="00EF2D0C"/>
    <w:rsid w:val="00EF58F2"/>
    <w:rsid w:val="00EF60C8"/>
    <w:rsid w:val="00EF6733"/>
    <w:rsid w:val="00EF6AD7"/>
    <w:rsid w:val="00EF7B6F"/>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33D9"/>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C0A"/>
    <w:rsid w:val="00F46D5A"/>
    <w:rsid w:val="00F47228"/>
    <w:rsid w:val="00F47305"/>
    <w:rsid w:val="00F5036E"/>
    <w:rsid w:val="00F519A9"/>
    <w:rsid w:val="00F52AF5"/>
    <w:rsid w:val="00F53204"/>
    <w:rsid w:val="00F53860"/>
    <w:rsid w:val="00F54021"/>
    <w:rsid w:val="00F542AA"/>
    <w:rsid w:val="00F543D3"/>
    <w:rsid w:val="00F551B0"/>
    <w:rsid w:val="00F55452"/>
    <w:rsid w:val="00F55CC1"/>
    <w:rsid w:val="00F56A49"/>
    <w:rsid w:val="00F56F89"/>
    <w:rsid w:val="00F60D33"/>
    <w:rsid w:val="00F61136"/>
    <w:rsid w:val="00F6166A"/>
    <w:rsid w:val="00F624A5"/>
    <w:rsid w:val="00F62D15"/>
    <w:rsid w:val="00F6398A"/>
    <w:rsid w:val="00F63C51"/>
    <w:rsid w:val="00F64C5A"/>
    <w:rsid w:val="00F65E61"/>
    <w:rsid w:val="00F65F1A"/>
    <w:rsid w:val="00F66D81"/>
    <w:rsid w:val="00F67C3E"/>
    <w:rsid w:val="00F70281"/>
    <w:rsid w:val="00F707C2"/>
    <w:rsid w:val="00F707EE"/>
    <w:rsid w:val="00F710EA"/>
    <w:rsid w:val="00F7260E"/>
    <w:rsid w:val="00F73249"/>
    <w:rsid w:val="00F73BF7"/>
    <w:rsid w:val="00F74615"/>
    <w:rsid w:val="00F74CF0"/>
    <w:rsid w:val="00F75115"/>
    <w:rsid w:val="00F75D29"/>
    <w:rsid w:val="00F75F03"/>
    <w:rsid w:val="00F77624"/>
    <w:rsid w:val="00F804E8"/>
    <w:rsid w:val="00F80DF4"/>
    <w:rsid w:val="00F8147C"/>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1E8F"/>
    <w:rsid w:val="00FA2900"/>
    <w:rsid w:val="00FA39AD"/>
    <w:rsid w:val="00FA3C84"/>
    <w:rsid w:val="00FA46ED"/>
    <w:rsid w:val="00FA4A5E"/>
    <w:rsid w:val="00FA4B22"/>
    <w:rsid w:val="00FA5829"/>
    <w:rsid w:val="00FA746C"/>
    <w:rsid w:val="00FA7B8D"/>
    <w:rsid w:val="00FB0C83"/>
    <w:rsid w:val="00FB1043"/>
    <w:rsid w:val="00FB1078"/>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CF2"/>
    <w:rsid w:val="00FD1D4B"/>
    <w:rsid w:val="00FD1F76"/>
    <w:rsid w:val="00FD230C"/>
    <w:rsid w:val="00FD30CD"/>
    <w:rsid w:val="00FD40D5"/>
    <w:rsid w:val="00FD4636"/>
    <w:rsid w:val="00FD46BA"/>
    <w:rsid w:val="00FD4915"/>
    <w:rsid w:val="00FD4F18"/>
    <w:rsid w:val="00FD534A"/>
    <w:rsid w:val="00FD5D4A"/>
    <w:rsid w:val="00FD6B5B"/>
    <w:rsid w:val="00FE05FC"/>
    <w:rsid w:val="00FE0693"/>
    <w:rsid w:val="00FE086E"/>
    <w:rsid w:val="00FE0AF4"/>
    <w:rsid w:val="00FE127F"/>
    <w:rsid w:val="00FE129F"/>
    <w:rsid w:val="00FE27EE"/>
    <w:rsid w:val="00FE30E1"/>
    <w:rsid w:val="00FE520C"/>
    <w:rsid w:val="00FE65C5"/>
    <w:rsid w:val="00FE6DA0"/>
    <w:rsid w:val="00FF0C49"/>
    <w:rsid w:val="00FF0FDB"/>
    <w:rsid w:val="00FF1282"/>
    <w:rsid w:val="00FF1339"/>
    <w:rsid w:val="00FF1682"/>
    <w:rsid w:val="00FF33D3"/>
    <w:rsid w:val="00FF479B"/>
    <w:rsid w:val="00FF5100"/>
    <w:rsid w:val="00FF5281"/>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
    <w:name w:val="bold"/>
    <w:basedOn w:val="Fuentedeprrafopredeter"/>
    <w:rsid w:val="006D4C0C"/>
  </w:style>
  <w:style w:type="character" w:customStyle="1" w:styleId="registros-movil-hide">
    <w:name w:val="registros-movil-hide"/>
    <w:basedOn w:val="Fuentedeprrafopredeter"/>
    <w:rsid w:val="0016098F"/>
  </w:style>
  <w:style w:type="paragraph" w:customStyle="1" w:styleId="temp">
    <w:name w:val="temp"/>
    <w:basedOn w:val="Normal"/>
    <w:rsid w:val="001609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16098F"/>
  </w:style>
  <w:style w:type="paragraph" w:styleId="NormalWeb">
    <w:name w:val="Normal (Web)"/>
    <w:basedOn w:val="Normal"/>
    <w:uiPriority w:val="99"/>
    <w:unhideWhenUsed/>
    <w:rsid w:val="0016098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C2159-1B8D-44C7-B975-388DD768A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12</Pages>
  <Words>4613</Words>
  <Characters>25372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50</cp:revision>
  <cp:lastPrinted>2022-08-25T20:52:00Z</cp:lastPrinted>
  <dcterms:created xsi:type="dcterms:W3CDTF">2022-06-29T02:34:00Z</dcterms:created>
  <dcterms:modified xsi:type="dcterms:W3CDTF">2023-02-14T17:11:00Z</dcterms:modified>
</cp:coreProperties>
</file>