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C11A76">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1C32451" w:rsidR="003B6CF0" w:rsidRPr="00CB6405" w:rsidRDefault="003B6CF0" w:rsidP="00C11A76">
      <w:pPr>
        <w:spacing w:line="240" w:lineRule="auto"/>
        <w:ind w:left="2552"/>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035CD">
        <w:rPr>
          <w:rFonts w:ascii="Arial" w:hAnsi="Arial" w:cs="Arial"/>
          <w:b/>
          <w:sz w:val="26"/>
          <w:szCs w:val="26"/>
        </w:rPr>
        <w:t>336</w:t>
      </w:r>
      <w:r>
        <w:rPr>
          <w:rFonts w:ascii="Arial" w:hAnsi="Arial" w:cs="Arial"/>
          <w:b/>
          <w:sz w:val="26"/>
          <w:szCs w:val="26"/>
        </w:rPr>
        <w:t>/20</w:t>
      </w:r>
      <w:r w:rsidR="00D32C8F">
        <w:rPr>
          <w:rFonts w:ascii="Arial" w:hAnsi="Arial" w:cs="Arial"/>
          <w:b/>
          <w:sz w:val="26"/>
          <w:szCs w:val="26"/>
        </w:rPr>
        <w:t>2</w:t>
      </w:r>
      <w:r w:rsidR="00A035CD">
        <w:rPr>
          <w:rFonts w:ascii="Arial" w:hAnsi="Arial" w:cs="Arial"/>
          <w:b/>
          <w:sz w:val="26"/>
          <w:szCs w:val="26"/>
        </w:rPr>
        <w:t>1</w:t>
      </w:r>
      <w:r>
        <w:rPr>
          <w:rFonts w:ascii="Arial" w:hAnsi="Arial" w:cs="Arial"/>
          <w:b/>
          <w:sz w:val="26"/>
          <w:szCs w:val="26"/>
        </w:rPr>
        <w:t>.</w:t>
      </w:r>
    </w:p>
    <w:p w14:paraId="4DFA70CD" w14:textId="5BFEF33C" w:rsidR="003B6CF0" w:rsidRDefault="003B6CF0" w:rsidP="00C11A76">
      <w:pPr>
        <w:spacing w:line="240" w:lineRule="auto"/>
        <w:ind w:left="255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61C6D">
        <w:rPr>
          <w:rFonts w:ascii="Arial" w:hAnsi="Arial" w:cs="Arial"/>
          <w:b/>
          <w:sz w:val="26"/>
          <w:szCs w:val="26"/>
        </w:rPr>
        <w:t>0</w:t>
      </w:r>
      <w:r w:rsidR="00A035CD">
        <w:rPr>
          <w:rFonts w:ascii="Arial" w:hAnsi="Arial" w:cs="Arial"/>
          <w:b/>
          <w:sz w:val="26"/>
          <w:szCs w:val="26"/>
        </w:rPr>
        <w:t>045</w:t>
      </w:r>
      <w:r>
        <w:rPr>
          <w:rFonts w:ascii="Arial" w:hAnsi="Arial" w:cs="Arial"/>
          <w:b/>
          <w:sz w:val="26"/>
          <w:szCs w:val="26"/>
        </w:rPr>
        <w:t>/</w:t>
      </w:r>
      <w:r w:rsidRPr="00CB6405">
        <w:rPr>
          <w:rFonts w:ascii="Arial" w:hAnsi="Arial" w:cs="Arial"/>
          <w:b/>
          <w:sz w:val="26"/>
          <w:szCs w:val="26"/>
        </w:rPr>
        <w:t>20</w:t>
      </w:r>
      <w:r w:rsidR="005C6806">
        <w:rPr>
          <w:rFonts w:ascii="Arial" w:hAnsi="Arial" w:cs="Arial"/>
          <w:b/>
          <w:sz w:val="26"/>
          <w:szCs w:val="26"/>
        </w:rPr>
        <w:t>2</w:t>
      </w:r>
      <w:r w:rsidR="00A035CD">
        <w:rPr>
          <w:rFonts w:ascii="Arial" w:hAnsi="Arial" w:cs="Arial"/>
          <w:b/>
          <w:sz w:val="26"/>
          <w:szCs w:val="26"/>
        </w:rPr>
        <w:t>1</w:t>
      </w:r>
      <w:r w:rsidRPr="00CB6405">
        <w:rPr>
          <w:rFonts w:ascii="Arial" w:hAnsi="Arial" w:cs="Arial"/>
          <w:b/>
          <w:sz w:val="26"/>
          <w:szCs w:val="26"/>
        </w:rPr>
        <w:t xml:space="preserve"> </w:t>
      </w:r>
      <w:r w:rsidR="00D32C8F">
        <w:rPr>
          <w:rFonts w:ascii="Arial" w:hAnsi="Arial" w:cs="Arial"/>
          <w:b/>
          <w:sz w:val="26"/>
          <w:szCs w:val="26"/>
        </w:rPr>
        <w:t xml:space="preserve">DE LA </w:t>
      </w:r>
      <w:r w:rsidR="00A035CD">
        <w:rPr>
          <w:rFonts w:ascii="Arial" w:hAnsi="Arial" w:cs="Arial"/>
          <w:b/>
          <w:sz w:val="26"/>
          <w:szCs w:val="26"/>
        </w:rPr>
        <w:t>SEGUND</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C11A76">
      <w:pPr>
        <w:spacing w:line="240" w:lineRule="auto"/>
        <w:ind w:left="255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4A715615" w:rsidR="003B6CF0" w:rsidRDefault="00D6373A" w:rsidP="003B6CF0">
      <w:pPr>
        <w:spacing w:before="240" w:line="360" w:lineRule="auto"/>
        <w:jc w:val="both"/>
        <w:rPr>
          <w:rFonts w:ascii="Arial" w:hAnsi="Arial" w:cs="Arial"/>
          <w:b/>
          <w:sz w:val="26"/>
          <w:szCs w:val="26"/>
        </w:rPr>
      </w:pPr>
      <w:r>
        <w:rPr>
          <w:rFonts w:ascii="Arial" w:hAnsi="Arial" w:cs="Arial"/>
          <w:b/>
          <w:sz w:val="26"/>
          <w:szCs w:val="26"/>
        </w:rPr>
        <w:t xml:space="preserve"> </w:t>
      </w:r>
    </w:p>
    <w:p w14:paraId="3DE7165A" w14:textId="255F1435"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 A</w:t>
      </w:r>
      <w:r w:rsidR="00C92B0D">
        <w:rPr>
          <w:rFonts w:ascii="Arial" w:hAnsi="Arial" w:cs="Arial"/>
          <w:b/>
          <w:sz w:val="26"/>
          <w:szCs w:val="26"/>
        </w:rPr>
        <w:t xml:space="preserve"> SIETE DE SEPTIEMBRE </w:t>
      </w:r>
      <w:r w:rsidR="00D32C8F">
        <w:rPr>
          <w:rFonts w:ascii="Arial" w:hAnsi="Arial" w:cs="Arial"/>
          <w:b/>
          <w:sz w:val="26"/>
          <w:szCs w:val="26"/>
        </w:rPr>
        <w:t>DE DOS MIL VEINTIDÓS</w:t>
      </w:r>
      <w:r>
        <w:rPr>
          <w:rFonts w:ascii="Arial" w:hAnsi="Arial" w:cs="Arial"/>
          <w:b/>
          <w:sz w:val="26"/>
          <w:szCs w:val="26"/>
        </w:rPr>
        <w:t xml:space="preserve">. - - - - - - - - - - - - - - - - - - - - - - - - - - - - - - - - - </w:t>
      </w:r>
      <w:r w:rsidR="00C11A76">
        <w:rPr>
          <w:rFonts w:ascii="Arial" w:hAnsi="Arial" w:cs="Arial"/>
          <w:b/>
          <w:sz w:val="26"/>
          <w:szCs w:val="26"/>
        </w:rPr>
        <w:t xml:space="preserve">- - - - - - </w:t>
      </w:r>
    </w:p>
    <w:p w14:paraId="7CF0F441" w14:textId="03A79222" w:rsidR="003B6CF0" w:rsidRPr="00D32C8F" w:rsidRDefault="003B6CF0" w:rsidP="00C11A76">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A035CD">
        <w:rPr>
          <w:rFonts w:ascii="Arial" w:hAnsi="Arial" w:cs="Arial"/>
          <w:b/>
          <w:sz w:val="26"/>
          <w:szCs w:val="26"/>
        </w:rPr>
        <w:t>0336</w:t>
      </w:r>
      <w:r w:rsidRPr="00CB6405">
        <w:rPr>
          <w:rFonts w:ascii="Arial" w:hAnsi="Arial" w:cs="Arial"/>
          <w:b/>
          <w:sz w:val="26"/>
          <w:szCs w:val="26"/>
        </w:rPr>
        <w:t>/20</w:t>
      </w:r>
      <w:r w:rsidR="00D32C8F">
        <w:rPr>
          <w:rFonts w:ascii="Arial" w:hAnsi="Arial" w:cs="Arial"/>
          <w:b/>
          <w:sz w:val="26"/>
          <w:szCs w:val="26"/>
        </w:rPr>
        <w:t>2</w:t>
      </w:r>
      <w:r w:rsidR="00A035CD">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32C8F">
        <w:rPr>
          <w:rFonts w:ascii="Arial" w:hAnsi="Arial" w:cs="Arial"/>
          <w:b/>
          <w:sz w:val="26"/>
          <w:szCs w:val="26"/>
        </w:rPr>
        <w:t xml:space="preserve"> </w:t>
      </w:r>
      <w:r w:rsidR="00370C4E">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w:t>
      </w:r>
      <w:r w:rsidR="005C6806">
        <w:rPr>
          <w:rFonts w:ascii="Arial" w:hAnsi="Arial" w:cs="Arial"/>
          <w:sz w:val="26"/>
          <w:szCs w:val="26"/>
        </w:rPr>
        <w:t>del acuerdo</w:t>
      </w:r>
      <w:r w:rsidR="00AC648A">
        <w:rPr>
          <w:rFonts w:ascii="Arial" w:hAnsi="Arial" w:cs="Arial"/>
          <w:sz w:val="26"/>
          <w:szCs w:val="26"/>
        </w:rPr>
        <w:t xml:space="preserve"> de </w:t>
      </w:r>
      <w:r w:rsidR="00A035CD">
        <w:rPr>
          <w:rFonts w:ascii="Arial" w:hAnsi="Arial" w:cs="Arial"/>
          <w:sz w:val="26"/>
          <w:szCs w:val="26"/>
        </w:rPr>
        <w:t>veinticuatro</w:t>
      </w:r>
      <w:r>
        <w:rPr>
          <w:rFonts w:ascii="Arial" w:hAnsi="Arial" w:cs="Arial"/>
          <w:sz w:val="26"/>
          <w:szCs w:val="26"/>
        </w:rPr>
        <w:t xml:space="preserve"> de </w:t>
      </w:r>
      <w:r w:rsidR="00A035CD">
        <w:rPr>
          <w:rFonts w:ascii="Arial" w:hAnsi="Arial" w:cs="Arial"/>
          <w:sz w:val="26"/>
          <w:szCs w:val="26"/>
        </w:rPr>
        <w:t>mayo</w:t>
      </w:r>
      <w:r w:rsidR="005C6806">
        <w:rPr>
          <w:rFonts w:ascii="Arial" w:hAnsi="Arial" w:cs="Arial"/>
          <w:sz w:val="26"/>
          <w:szCs w:val="26"/>
        </w:rPr>
        <w:t xml:space="preserve"> </w:t>
      </w:r>
      <w:r>
        <w:rPr>
          <w:rFonts w:ascii="Arial" w:hAnsi="Arial" w:cs="Arial"/>
          <w:sz w:val="26"/>
          <w:szCs w:val="26"/>
        </w:rPr>
        <w:t xml:space="preserve">de dos mil </w:t>
      </w:r>
      <w:r w:rsidR="00A035CD">
        <w:rPr>
          <w:rFonts w:ascii="Arial" w:hAnsi="Arial" w:cs="Arial"/>
          <w:sz w:val="26"/>
          <w:szCs w:val="26"/>
        </w:rPr>
        <w:t>veintiuno</w:t>
      </w:r>
      <w:r>
        <w:rPr>
          <w:rFonts w:ascii="Arial" w:hAnsi="Arial" w:cs="Arial"/>
          <w:sz w:val="26"/>
          <w:szCs w:val="26"/>
        </w:rPr>
        <w:t>, dictad</w:t>
      </w:r>
      <w:r w:rsidR="008234FD">
        <w:rPr>
          <w:rFonts w:ascii="Arial" w:hAnsi="Arial" w:cs="Arial"/>
          <w:sz w:val="26"/>
          <w:szCs w:val="26"/>
        </w:rPr>
        <w:t>o</w:t>
      </w:r>
      <w:r>
        <w:rPr>
          <w:rFonts w:ascii="Arial" w:hAnsi="Arial" w:cs="Arial"/>
          <w:sz w:val="26"/>
          <w:szCs w:val="26"/>
        </w:rPr>
        <w:t xml:space="preserve"> en el expediente </w:t>
      </w:r>
      <w:r w:rsidR="00D3539A">
        <w:rPr>
          <w:rFonts w:ascii="Arial" w:hAnsi="Arial" w:cs="Arial"/>
          <w:b/>
          <w:sz w:val="26"/>
          <w:szCs w:val="26"/>
        </w:rPr>
        <w:t>0</w:t>
      </w:r>
      <w:r w:rsidR="00A035CD">
        <w:rPr>
          <w:rFonts w:ascii="Arial" w:hAnsi="Arial" w:cs="Arial"/>
          <w:b/>
          <w:sz w:val="26"/>
          <w:szCs w:val="26"/>
        </w:rPr>
        <w:t>045</w:t>
      </w:r>
      <w:r w:rsidR="007007A1">
        <w:rPr>
          <w:rFonts w:ascii="Arial" w:hAnsi="Arial" w:cs="Arial"/>
          <w:b/>
          <w:sz w:val="26"/>
          <w:szCs w:val="26"/>
        </w:rPr>
        <w:t>/20</w:t>
      </w:r>
      <w:r w:rsidR="005C6806">
        <w:rPr>
          <w:rFonts w:ascii="Arial" w:hAnsi="Arial" w:cs="Arial"/>
          <w:b/>
          <w:sz w:val="26"/>
          <w:szCs w:val="26"/>
        </w:rPr>
        <w:t>2</w:t>
      </w:r>
      <w:r w:rsidR="00A035CD">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A035CD">
        <w:rPr>
          <w:rFonts w:ascii="Arial" w:hAnsi="Arial" w:cs="Arial"/>
          <w:sz w:val="26"/>
          <w:szCs w:val="26"/>
        </w:rPr>
        <w:t>Segund</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D32C8F">
        <w:rPr>
          <w:rFonts w:ascii="Arial" w:hAnsi="Arial" w:cs="Arial"/>
          <w:b/>
          <w:sz w:val="26"/>
          <w:szCs w:val="26"/>
        </w:rPr>
        <w:t xml:space="preserve"> </w:t>
      </w:r>
      <w:r w:rsidR="00370C4E">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814333">
        <w:rPr>
          <w:rFonts w:ascii="Arial" w:hAnsi="Arial" w:cs="Arial"/>
          <w:sz w:val="26"/>
          <w:szCs w:val="26"/>
        </w:rPr>
        <w:t xml:space="preserve"> </w:t>
      </w:r>
      <w:r w:rsidR="00D4315A">
        <w:rPr>
          <w:rFonts w:ascii="Arial" w:hAnsi="Arial" w:cs="Arial"/>
          <w:sz w:val="26"/>
          <w:szCs w:val="26"/>
        </w:rPr>
        <w:t>l</w:t>
      </w:r>
      <w:r w:rsidR="00814333">
        <w:rPr>
          <w:rFonts w:ascii="Arial" w:hAnsi="Arial" w:cs="Arial"/>
          <w:sz w:val="26"/>
          <w:szCs w:val="26"/>
        </w:rPr>
        <w:t>a</w:t>
      </w:r>
      <w:r w:rsidR="00814333">
        <w:rPr>
          <w:rFonts w:ascii="Arial" w:hAnsi="Arial" w:cs="Arial"/>
          <w:b/>
          <w:sz w:val="26"/>
          <w:szCs w:val="26"/>
        </w:rPr>
        <w:t xml:space="preserve"> COORDINADORA DE C</w:t>
      </w:r>
      <w:r w:rsidR="00A035CD">
        <w:rPr>
          <w:rFonts w:ascii="Arial" w:hAnsi="Arial" w:cs="Arial"/>
          <w:b/>
          <w:sz w:val="26"/>
          <w:szCs w:val="26"/>
        </w:rPr>
        <w:t>OBRO COACTIVO Y NOTIFICADOR EJECUTOR DEPENDIENTE DE LA DELEGACIÓN FISCAL 28, ADSCRITO A LA DIRECCIÓN DE INGRESOS Y RECAUDACIÓN, AMBOS DE LA SECRETARÍA DE FINANZAS DEL PODER EJECUTIVO DEL ESTADO DE OAXACA</w:t>
      </w:r>
      <w:r w:rsidR="00B736E2">
        <w:rPr>
          <w:rFonts w:ascii="Arial" w:hAnsi="Arial" w:cs="Arial"/>
          <w:b/>
          <w:sz w:val="26"/>
          <w:szCs w:val="26"/>
        </w:rPr>
        <w:t>;</w:t>
      </w:r>
      <w:r>
        <w:rPr>
          <w:rFonts w:ascii="Arial" w:hAnsi="Arial" w:cs="Arial"/>
          <w:sz w:val="26"/>
          <w:szCs w:val="26"/>
        </w:rPr>
        <w:t xml:space="preserve"> por lo que, con </w:t>
      </w:r>
      <w:r w:rsidR="00D32C8F" w:rsidRPr="000C4EA3">
        <w:rPr>
          <w:rFonts w:ascii="Arial" w:hAnsi="Arial" w:cs="Arial"/>
          <w:sz w:val="26"/>
          <w:szCs w:val="26"/>
        </w:rPr>
        <w:t xml:space="preserve">fundamento en los artículos </w:t>
      </w:r>
      <w:r w:rsidR="00D32C8F">
        <w:rPr>
          <w:rFonts w:ascii="Arial" w:hAnsi="Arial" w:cs="Arial"/>
          <w:sz w:val="26"/>
          <w:szCs w:val="26"/>
        </w:rPr>
        <w:t>236 y 23</w:t>
      </w:r>
      <w:r w:rsidR="00D32C8F" w:rsidRPr="00671697">
        <w:rPr>
          <w:rFonts w:ascii="Arial" w:hAnsi="Arial" w:cs="Arial"/>
          <w:sz w:val="26"/>
          <w:szCs w:val="26"/>
        </w:rPr>
        <w:t>8</w:t>
      </w:r>
      <w:r w:rsidR="00D32C8F">
        <w:rPr>
          <w:rFonts w:ascii="Arial" w:hAnsi="Arial" w:cs="Arial"/>
          <w:sz w:val="26"/>
          <w:szCs w:val="26"/>
        </w:rPr>
        <w:t xml:space="preserve"> de la Ley de Procedimiento y Justicia Administrativa para el Estado de Oaxaca, y </w:t>
      </w:r>
      <w:r w:rsidR="00D32C8F">
        <w:rPr>
          <w:rFonts w:ascii="Arial" w:hAnsi="Arial" w:cs="Arial"/>
          <w:bCs/>
          <w:iCs/>
          <w:sz w:val="26"/>
          <w:szCs w:val="26"/>
        </w:rPr>
        <w:t xml:space="preserve">24 fracciones I y III </w:t>
      </w:r>
      <w:r w:rsidR="00D32C8F" w:rsidRPr="00455424">
        <w:rPr>
          <w:rFonts w:ascii="Arial" w:hAnsi="Arial" w:cs="Arial"/>
          <w:bCs/>
          <w:iCs/>
          <w:sz w:val="26"/>
          <w:szCs w:val="26"/>
        </w:rPr>
        <w:t>de la Ley Orgánica del Tribunal de Justicia Administrativa del Estado de Oaxaca</w:t>
      </w:r>
      <w:r w:rsidR="00D32C8F">
        <w:rPr>
          <w:rFonts w:ascii="Arial" w:hAnsi="Arial" w:cs="Arial"/>
          <w:bCs/>
          <w:iCs/>
          <w:sz w:val="26"/>
          <w:szCs w:val="26"/>
        </w:rPr>
        <w:t xml:space="preserve">, </w:t>
      </w:r>
      <w:r w:rsidR="00C11A76">
        <w:rPr>
          <w:rFonts w:ascii="Arial" w:hAnsi="Arial" w:cs="Arial"/>
          <w:bCs/>
          <w:iCs/>
          <w:sz w:val="26"/>
          <w:szCs w:val="26"/>
        </w:rPr>
        <w:t xml:space="preserve">se da tramite. Por consiguiente </w:t>
      </w:r>
      <w:r w:rsidR="00D32C8F">
        <w:rPr>
          <w:rFonts w:ascii="Arial" w:hAnsi="Arial" w:cs="Arial"/>
          <w:sz w:val="26"/>
          <w:szCs w:val="26"/>
        </w:rPr>
        <w:t>se procede a dictar resolución en los siguientes términos</w:t>
      </w:r>
      <w:r w:rsidR="00D32C8F" w:rsidRPr="003509B6">
        <w:rPr>
          <w:rFonts w:ascii="Arial" w:hAnsi="Arial" w:cs="Arial"/>
          <w:sz w:val="26"/>
          <w:szCs w:val="26"/>
        </w:rPr>
        <w:t>:</w:t>
      </w:r>
      <w:r w:rsidR="00C11A76">
        <w:rPr>
          <w:rFonts w:ascii="Arial" w:hAnsi="Arial" w:cs="Arial"/>
          <w:sz w:val="26"/>
          <w:szCs w:val="26"/>
        </w:rPr>
        <w:t xml:space="preserve"> - - - - - - - - - - - - </w:t>
      </w:r>
      <w:r w:rsidR="00370C4E">
        <w:rPr>
          <w:rFonts w:ascii="Arial" w:hAnsi="Arial" w:cs="Arial"/>
          <w:sz w:val="26"/>
          <w:szCs w:val="26"/>
        </w:rPr>
        <w:t xml:space="preserve">-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4E9DC2DF"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5C6806">
        <w:rPr>
          <w:rFonts w:ascii="Arial" w:hAnsi="Arial" w:cs="Arial"/>
          <w:sz w:val="26"/>
          <w:szCs w:val="26"/>
        </w:rPr>
        <w:t>e</w:t>
      </w:r>
      <w:r w:rsidR="00D32C8F">
        <w:rPr>
          <w:rFonts w:ascii="Arial" w:hAnsi="Arial" w:cs="Arial"/>
          <w:sz w:val="26"/>
          <w:szCs w:val="26"/>
        </w:rPr>
        <w:t>l</w:t>
      </w:r>
      <w:r w:rsidR="005C6806">
        <w:rPr>
          <w:rFonts w:ascii="Arial" w:hAnsi="Arial" w:cs="Arial"/>
          <w:sz w:val="26"/>
          <w:szCs w:val="26"/>
        </w:rPr>
        <w:t xml:space="preserve"> </w:t>
      </w:r>
      <w:r w:rsidR="00D32C8F">
        <w:rPr>
          <w:rFonts w:ascii="Arial" w:hAnsi="Arial" w:cs="Arial"/>
          <w:sz w:val="26"/>
          <w:szCs w:val="26"/>
        </w:rPr>
        <w:t>a</w:t>
      </w:r>
      <w:r w:rsidR="005C6806">
        <w:rPr>
          <w:rFonts w:ascii="Arial" w:hAnsi="Arial" w:cs="Arial"/>
          <w:sz w:val="26"/>
          <w:szCs w:val="26"/>
        </w:rPr>
        <w:t xml:space="preserve">cuerdo </w:t>
      </w:r>
      <w:r>
        <w:rPr>
          <w:rFonts w:ascii="Arial" w:hAnsi="Arial" w:cs="Arial"/>
          <w:sz w:val="26"/>
          <w:szCs w:val="26"/>
        </w:rPr>
        <w:t xml:space="preserve">de </w:t>
      </w:r>
      <w:r w:rsidR="00016637">
        <w:rPr>
          <w:rFonts w:ascii="Arial" w:hAnsi="Arial" w:cs="Arial"/>
          <w:sz w:val="26"/>
          <w:szCs w:val="26"/>
        </w:rPr>
        <w:t>veinticuatro</w:t>
      </w:r>
      <w:r w:rsidR="00B736E2">
        <w:rPr>
          <w:rFonts w:ascii="Arial" w:hAnsi="Arial" w:cs="Arial"/>
          <w:sz w:val="26"/>
          <w:szCs w:val="26"/>
        </w:rPr>
        <w:t xml:space="preserve"> </w:t>
      </w:r>
      <w:r w:rsidR="00D3539A">
        <w:rPr>
          <w:rFonts w:ascii="Arial" w:hAnsi="Arial" w:cs="Arial"/>
          <w:sz w:val="26"/>
          <w:szCs w:val="26"/>
        </w:rPr>
        <w:t xml:space="preserve">de </w:t>
      </w:r>
      <w:r w:rsidR="00016637">
        <w:rPr>
          <w:rFonts w:ascii="Arial" w:hAnsi="Arial" w:cs="Arial"/>
          <w:sz w:val="26"/>
          <w:szCs w:val="26"/>
        </w:rPr>
        <w:t>may</w:t>
      </w:r>
      <w:r w:rsidR="00814333">
        <w:rPr>
          <w:rFonts w:ascii="Arial" w:hAnsi="Arial" w:cs="Arial"/>
          <w:sz w:val="26"/>
          <w:szCs w:val="26"/>
        </w:rPr>
        <w:t>o</w:t>
      </w:r>
      <w:r w:rsidR="00D3539A">
        <w:rPr>
          <w:rFonts w:ascii="Arial" w:hAnsi="Arial" w:cs="Arial"/>
          <w:sz w:val="26"/>
          <w:szCs w:val="26"/>
        </w:rPr>
        <w:t xml:space="preserve"> de dos mil </w:t>
      </w:r>
      <w:r w:rsidR="00016637">
        <w:rPr>
          <w:rFonts w:ascii="Arial" w:hAnsi="Arial" w:cs="Arial"/>
          <w:sz w:val="26"/>
          <w:szCs w:val="26"/>
        </w:rPr>
        <w:t>veintiuno</w:t>
      </w:r>
      <w:r>
        <w:rPr>
          <w:rFonts w:ascii="Arial" w:hAnsi="Arial" w:cs="Arial"/>
          <w:sz w:val="26"/>
          <w:szCs w:val="26"/>
        </w:rPr>
        <w:t xml:space="preserve">, </w:t>
      </w:r>
      <w:r w:rsidRPr="00CB6405">
        <w:rPr>
          <w:rFonts w:ascii="Arial" w:hAnsi="Arial" w:cs="Arial"/>
          <w:sz w:val="26"/>
          <w:szCs w:val="26"/>
        </w:rPr>
        <w:t>dictad</w:t>
      </w:r>
      <w:r w:rsidR="008234FD">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016637">
        <w:rPr>
          <w:rFonts w:ascii="Arial" w:hAnsi="Arial" w:cs="Arial"/>
          <w:sz w:val="26"/>
          <w:szCs w:val="26"/>
        </w:rPr>
        <w:t>Segund</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370C4E">
        <w:rPr>
          <w:rFonts w:ascii="Arial" w:hAnsi="Arial" w:cs="Arial"/>
          <w:b/>
          <w:sz w:val="26"/>
          <w:szCs w:val="26"/>
        </w:rPr>
        <w:t>*******</w:t>
      </w:r>
      <w:r w:rsidR="00E84264">
        <w:rPr>
          <w:rFonts w:ascii="Arial" w:hAnsi="Arial" w:cs="Arial"/>
          <w:b/>
          <w:sz w:val="26"/>
          <w:szCs w:val="26"/>
        </w:rPr>
        <w:t>,</w:t>
      </w:r>
      <w:r w:rsidR="004C1769" w:rsidRPr="00CB6405">
        <w:rPr>
          <w:rFonts w:ascii="Arial" w:hAnsi="Arial" w:cs="Arial"/>
          <w:sz w:val="26"/>
          <w:szCs w:val="26"/>
        </w:rPr>
        <w:t xml:space="preserve"> </w:t>
      </w:r>
      <w:r w:rsidRPr="00CB6405">
        <w:rPr>
          <w:rFonts w:ascii="Arial" w:hAnsi="Arial" w:cs="Arial"/>
          <w:sz w:val="26"/>
          <w:szCs w:val="26"/>
        </w:rPr>
        <w:t>interpuso en su contra recurso de revisión.</w:t>
      </w:r>
      <w:r w:rsidR="00C11A76">
        <w:rPr>
          <w:rFonts w:ascii="Arial" w:hAnsi="Arial" w:cs="Arial"/>
          <w:sz w:val="26"/>
          <w:szCs w:val="26"/>
        </w:rPr>
        <w:t xml:space="preserve">  - - - - - - - - </w:t>
      </w:r>
    </w:p>
    <w:p w14:paraId="002DF9C7" w14:textId="77777777" w:rsidR="008234FD" w:rsidRDefault="003B6CF0" w:rsidP="008234FD">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8234FD">
        <w:rPr>
          <w:rFonts w:ascii="Arial" w:hAnsi="Arial" w:cs="Arial"/>
          <w:bCs/>
          <w:iCs/>
          <w:sz w:val="26"/>
          <w:szCs w:val="26"/>
        </w:rPr>
        <w:t>El texto del acuerdo recurrido es el siguiente</w:t>
      </w:r>
      <w:r w:rsidR="008234FD" w:rsidRPr="003B084B">
        <w:rPr>
          <w:rFonts w:ascii="Arial" w:hAnsi="Arial" w:cs="Arial"/>
          <w:bCs/>
          <w:iCs/>
          <w:sz w:val="26"/>
          <w:szCs w:val="26"/>
        </w:rPr>
        <w:t>:</w:t>
      </w:r>
    </w:p>
    <w:p w14:paraId="3D030AAB" w14:textId="77777777" w:rsidR="007057EB" w:rsidRDefault="008234FD" w:rsidP="007057EB">
      <w:pPr>
        <w:spacing w:after="0" w:line="360" w:lineRule="auto"/>
        <w:ind w:left="567" w:right="616"/>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p>
    <w:p w14:paraId="31407C94" w14:textId="094F29CB" w:rsidR="008234FD" w:rsidRDefault="003B6CF0" w:rsidP="00C11A76">
      <w:pPr>
        <w:spacing w:after="0"/>
        <w:ind w:left="567" w:right="616"/>
        <w:jc w:val="both"/>
        <w:rPr>
          <w:rFonts w:ascii="Arial" w:eastAsia="Times New Roman" w:hAnsi="Arial" w:cs="Arial"/>
          <w:b/>
          <w:bCs/>
          <w:i/>
          <w:iCs/>
          <w:lang w:eastAsia="es-ES"/>
        </w:rPr>
      </w:pPr>
      <w:r w:rsidRPr="003B084B">
        <w:rPr>
          <w:rFonts w:ascii="Arial" w:eastAsia="Times New Roman" w:hAnsi="Arial" w:cs="Arial"/>
          <w:b/>
          <w:bCs/>
          <w:i/>
          <w:iCs/>
          <w:lang w:eastAsia="es-ES"/>
        </w:rPr>
        <w:t>“</w:t>
      </w:r>
      <w:r w:rsidR="008234FD">
        <w:rPr>
          <w:rFonts w:ascii="Arial" w:eastAsia="Times New Roman" w:hAnsi="Arial" w:cs="Arial"/>
          <w:b/>
          <w:bCs/>
          <w:i/>
          <w:iCs/>
          <w:lang w:eastAsia="es-ES"/>
        </w:rPr>
        <w:t>O</w:t>
      </w:r>
      <w:r w:rsidR="00E37733">
        <w:rPr>
          <w:rFonts w:ascii="Arial" w:eastAsia="Times New Roman" w:hAnsi="Arial" w:cs="Arial"/>
          <w:b/>
          <w:bCs/>
          <w:i/>
          <w:iCs/>
          <w:lang w:eastAsia="es-ES"/>
        </w:rPr>
        <w:t>AXACA D</w:t>
      </w:r>
      <w:r w:rsidR="009C4313">
        <w:rPr>
          <w:rFonts w:ascii="Arial" w:eastAsia="Times New Roman" w:hAnsi="Arial" w:cs="Arial"/>
          <w:b/>
          <w:bCs/>
          <w:i/>
          <w:iCs/>
          <w:lang w:eastAsia="es-ES"/>
        </w:rPr>
        <w:t>E JUÁREZ, OAXACA, A VEINTICUATRO DE MAYO DE DOS MIL VEINTIUNO</w:t>
      </w:r>
      <w:r w:rsidR="001A38BD">
        <w:rPr>
          <w:rFonts w:ascii="Arial" w:eastAsia="Times New Roman" w:hAnsi="Arial" w:cs="Arial"/>
          <w:b/>
          <w:bCs/>
          <w:i/>
          <w:iCs/>
          <w:lang w:eastAsia="es-ES"/>
        </w:rPr>
        <w:t>.</w:t>
      </w:r>
    </w:p>
    <w:p w14:paraId="7EC3B663" w14:textId="0CE1BCD1" w:rsidR="00997198" w:rsidRDefault="001A38BD" w:rsidP="00C11A76">
      <w:pPr>
        <w:spacing w:after="0"/>
        <w:ind w:left="567" w:right="616"/>
        <w:jc w:val="both"/>
        <w:rPr>
          <w:rFonts w:ascii="Arial" w:eastAsia="Times New Roman" w:hAnsi="Arial" w:cs="Arial"/>
          <w:b/>
          <w:bCs/>
          <w:i/>
          <w:iCs/>
          <w:lang w:eastAsia="es-ES"/>
        </w:rPr>
      </w:pPr>
      <w:r>
        <w:rPr>
          <w:rFonts w:ascii="Arial" w:eastAsia="Times New Roman" w:hAnsi="Arial" w:cs="Arial"/>
          <w:bCs/>
          <w:i/>
          <w:iCs/>
          <w:lang w:eastAsia="es-ES"/>
        </w:rPr>
        <w:t xml:space="preserve">Por </w:t>
      </w:r>
      <w:r w:rsidR="009C4313">
        <w:rPr>
          <w:rFonts w:ascii="Arial" w:eastAsia="Times New Roman" w:hAnsi="Arial" w:cs="Arial"/>
          <w:bCs/>
          <w:i/>
          <w:iCs/>
          <w:lang w:eastAsia="es-ES"/>
        </w:rPr>
        <w:t xml:space="preserve">recibida la demanda </w:t>
      </w:r>
      <w:r w:rsidR="00265C25">
        <w:rPr>
          <w:rFonts w:ascii="Arial" w:eastAsia="Times New Roman" w:hAnsi="Arial" w:cs="Arial"/>
          <w:bCs/>
          <w:i/>
          <w:iCs/>
          <w:lang w:eastAsia="es-ES"/>
        </w:rPr>
        <w:t>y</w:t>
      </w:r>
      <w:r w:rsidR="009C4313">
        <w:rPr>
          <w:rFonts w:ascii="Arial" w:eastAsia="Times New Roman" w:hAnsi="Arial" w:cs="Arial"/>
          <w:bCs/>
          <w:i/>
          <w:iCs/>
          <w:lang w:eastAsia="es-ES"/>
        </w:rPr>
        <w:t xml:space="preserve"> anexos de </w:t>
      </w:r>
      <w:r w:rsidR="00370C4E">
        <w:rPr>
          <w:rFonts w:ascii="Arial" w:eastAsia="Times New Roman" w:hAnsi="Arial" w:cs="Arial"/>
          <w:bCs/>
          <w:i/>
          <w:iCs/>
          <w:lang w:eastAsia="es-ES"/>
        </w:rPr>
        <w:t>*******</w:t>
      </w:r>
      <w:r w:rsidR="009C4313">
        <w:rPr>
          <w:rFonts w:ascii="Arial" w:eastAsia="Times New Roman" w:hAnsi="Arial" w:cs="Arial"/>
          <w:bCs/>
          <w:i/>
          <w:iCs/>
          <w:lang w:eastAsia="es-ES"/>
        </w:rPr>
        <w:t xml:space="preserve">, el veintiuno de mayo pasado, quien promueve contra actos atribuidos a la Coordinadora de </w:t>
      </w:r>
      <w:r w:rsidR="009C4313">
        <w:rPr>
          <w:rFonts w:ascii="Arial" w:eastAsia="Times New Roman" w:hAnsi="Arial" w:cs="Arial"/>
          <w:bCs/>
          <w:i/>
          <w:iCs/>
          <w:lang w:eastAsia="es-ES"/>
        </w:rPr>
        <w:lastRenderedPageBreak/>
        <w:t xml:space="preserve">Cobro Coactivo de la Secretaría de Finanzas del Poder Ejecutivo del Estado de Oaxaca, así como del Notificador Ejecutor dependiente de la Delegación Fiscal 28, con domicilio en Tlaxiaco, adscrito a la Dirección de Ingresos y Recaudación de la Secretaría de Finanzas del Poder Ejecutivo del Estado de Oaxaca; en su atención, fórmese expediente y regístrese su ingreso en el Libro de Gobierno correspondiente con el número </w:t>
      </w:r>
      <w:r w:rsidR="009C4313">
        <w:rPr>
          <w:rFonts w:ascii="Arial" w:eastAsia="Times New Roman" w:hAnsi="Arial" w:cs="Arial"/>
          <w:b/>
          <w:bCs/>
          <w:i/>
          <w:iCs/>
          <w:lang w:eastAsia="es-ES"/>
        </w:rPr>
        <w:t>45/2021.</w:t>
      </w:r>
    </w:p>
    <w:p w14:paraId="03548B59" w14:textId="240DAB6D" w:rsidR="009C4313" w:rsidRDefault="009C4313" w:rsidP="00C11A76">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Ahora, del análisis integral de la demanda y anexos, se advierte que el promovente señala como acto impugnado: a) El mandamiento de ejecución con número </w:t>
      </w:r>
      <w:r w:rsidR="00370C4E">
        <w:rPr>
          <w:rFonts w:ascii="Arial" w:eastAsia="Times New Roman" w:hAnsi="Arial" w:cs="Arial"/>
          <w:bCs/>
          <w:i/>
          <w:iCs/>
          <w:lang w:eastAsia="es-ES"/>
        </w:rPr>
        <w:t>*******</w:t>
      </w:r>
      <w:r>
        <w:rPr>
          <w:rFonts w:ascii="Arial" w:eastAsia="Times New Roman" w:hAnsi="Arial" w:cs="Arial"/>
          <w:bCs/>
          <w:i/>
          <w:iCs/>
          <w:lang w:eastAsia="es-ES"/>
        </w:rPr>
        <w:t xml:space="preserve">, de fecha diecinueve de abril de dos mil veintiuno, relativa al crédito fiscal número </w:t>
      </w:r>
      <w:r w:rsidR="00370C4E">
        <w:rPr>
          <w:rFonts w:ascii="Arial" w:eastAsia="Times New Roman" w:hAnsi="Arial" w:cs="Arial"/>
          <w:bCs/>
          <w:i/>
          <w:iCs/>
          <w:lang w:eastAsia="es-ES"/>
        </w:rPr>
        <w:t>*******</w:t>
      </w:r>
      <w:r>
        <w:rPr>
          <w:rFonts w:ascii="Arial" w:eastAsia="Times New Roman" w:hAnsi="Arial" w:cs="Arial"/>
          <w:bCs/>
          <w:i/>
          <w:iCs/>
          <w:lang w:eastAsia="es-ES"/>
        </w:rPr>
        <w:t xml:space="preserve">, el cual deriva de la resolución dictada en el procedimiento </w:t>
      </w:r>
      <w:r w:rsidR="00370C4E">
        <w:rPr>
          <w:rFonts w:ascii="Arial" w:eastAsia="Times New Roman" w:hAnsi="Arial" w:cs="Arial"/>
          <w:bCs/>
          <w:i/>
          <w:iCs/>
          <w:lang w:eastAsia="es-ES"/>
        </w:rPr>
        <w:t>*******</w:t>
      </w:r>
      <w:r>
        <w:rPr>
          <w:rFonts w:ascii="Arial" w:eastAsia="Times New Roman" w:hAnsi="Arial" w:cs="Arial"/>
          <w:bCs/>
          <w:i/>
          <w:iCs/>
          <w:lang w:eastAsia="es-ES"/>
        </w:rPr>
        <w:t xml:space="preserve">; así como </w:t>
      </w:r>
      <w:r w:rsidR="00CE733B">
        <w:rPr>
          <w:rFonts w:ascii="Arial" w:eastAsia="Times New Roman" w:hAnsi="Arial" w:cs="Arial"/>
          <w:bCs/>
          <w:i/>
          <w:iCs/>
          <w:lang w:eastAsia="es-ES"/>
        </w:rPr>
        <w:t xml:space="preserve">la falta de convenio celebrado entre la Secretaria de Finanzas y el nuevo Órgano Superior de Fiscalización; y, b) La diligencia de notificación </w:t>
      </w:r>
      <w:r w:rsidR="00C91B6E">
        <w:rPr>
          <w:rFonts w:ascii="Arial" w:eastAsia="Times New Roman" w:hAnsi="Arial" w:cs="Arial"/>
          <w:bCs/>
          <w:i/>
          <w:iCs/>
          <w:lang w:eastAsia="es-ES"/>
        </w:rPr>
        <w:t xml:space="preserve">y requerimiento de pago efectuada del mandamiento de ejecución con número </w:t>
      </w:r>
      <w:r w:rsidR="00370C4E">
        <w:rPr>
          <w:rFonts w:ascii="Arial" w:eastAsia="Times New Roman" w:hAnsi="Arial" w:cs="Arial"/>
          <w:bCs/>
          <w:i/>
          <w:iCs/>
          <w:lang w:eastAsia="es-ES"/>
        </w:rPr>
        <w:t>*******</w:t>
      </w:r>
      <w:r w:rsidR="00C91B6E">
        <w:rPr>
          <w:rFonts w:ascii="Arial" w:eastAsia="Times New Roman" w:hAnsi="Arial" w:cs="Arial"/>
          <w:bCs/>
          <w:i/>
          <w:iCs/>
          <w:lang w:eastAsia="es-ES"/>
        </w:rPr>
        <w:t xml:space="preserve">, de fecha diecinueve de abril de dos mil veintiuno, relativa al crédito fiscal número </w:t>
      </w:r>
      <w:r w:rsidR="00370C4E">
        <w:rPr>
          <w:rFonts w:ascii="Arial" w:eastAsia="Times New Roman" w:hAnsi="Arial" w:cs="Arial"/>
          <w:bCs/>
          <w:i/>
          <w:iCs/>
          <w:lang w:eastAsia="es-ES"/>
        </w:rPr>
        <w:t>*******</w:t>
      </w:r>
      <w:r w:rsidR="00C91B6E">
        <w:rPr>
          <w:rFonts w:ascii="Arial" w:eastAsia="Times New Roman" w:hAnsi="Arial" w:cs="Arial"/>
          <w:bCs/>
          <w:i/>
          <w:iCs/>
          <w:lang w:eastAsia="es-ES"/>
        </w:rPr>
        <w:t xml:space="preserve">, derivado del procedimiento </w:t>
      </w:r>
      <w:r w:rsidR="00370C4E">
        <w:rPr>
          <w:rFonts w:ascii="Arial" w:eastAsia="Times New Roman" w:hAnsi="Arial" w:cs="Arial"/>
          <w:bCs/>
          <w:i/>
          <w:iCs/>
          <w:lang w:eastAsia="es-ES"/>
        </w:rPr>
        <w:t>*******</w:t>
      </w:r>
      <w:r w:rsidR="00C91B6E">
        <w:rPr>
          <w:rFonts w:ascii="Arial" w:eastAsia="Times New Roman" w:hAnsi="Arial" w:cs="Arial"/>
          <w:bCs/>
          <w:i/>
          <w:iCs/>
          <w:lang w:eastAsia="es-ES"/>
        </w:rPr>
        <w:t>.</w:t>
      </w:r>
    </w:p>
    <w:p w14:paraId="64896CB1" w14:textId="52A04220" w:rsidR="00C91B6E" w:rsidRDefault="00C91B6E" w:rsidP="00C11A76">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En ese orden, resulta oportuno transcribir el artículo 133 de la Ley de Procedimiento y Justicia Administrativa para el Estado de Oaxaca, el cual establece: (…)</w:t>
      </w:r>
    </w:p>
    <w:p w14:paraId="484320A2" w14:textId="3207EBE0" w:rsidR="00C91B6E" w:rsidRDefault="00C91B6E" w:rsidP="00C11A76">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Del artículo transcrito se advierte que una de las hipótesis de procedencia del juicio de nulidad ante este Tribunal, es la impugnación del procedimiento administrativo de ejecución realizad</w:t>
      </w:r>
      <w:r w:rsidR="00265C25">
        <w:rPr>
          <w:rFonts w:ascii="Arial" w:eastAsia="Times New Roman" w:hAnsi="Arial" w:cs="Arial"/>
          <w:bCs/>
          <w:i/>
          <w:iCs/>
          <w:lang w:eastAsia="es-ES"/>
        </w:rPr>
        <w:t>o</w:t>
      </w:r>
      <w:r>
        <w:rPr>
          <w:rFonts w:ascii="Arial" w:eastAsia="Times New Roman" w:hAnsi="Arial" w:cs="Arial"/>
          <w:bCs/>
          <w:i/>
          <w:iCs/>
          <w:lang w:eastAsia="es-ES"/>
        </w:rPr>
        <w:t xml:space="preserve"> por las autoridades fiscales en contra de los administrados, con la finalidad de exigir el cumplimiento de un crédito fiscal; en este supuesto, el promovente </w:t>
      </w:r>
      <w:r w:rsidR="002B04B5">
        <w:rPr>
          <w:rFonts w:ascii="Arial" w:eastAsia="Times New Roman" w:hAnsi="Arial" w:cs="Arial"/>
          <w:bCs/>
          <w:i/>
          <w:iCs/>
          <w:lang w:eastAsia="es-ES"/>
        </w:rPr>
        <w:t xml:space="preserve">podrá impugnar dicho procedimiento si opta por no interponer el recurso administrativo en su contra y cuando consideren que ese procedimiento no se ajusta a la Ley; sin embargo, la impugnación no podrá hacerse valer, sino en contra de la resolución que </w:t>
      </w:r>
      <w:r w:rsidR="00B81C5C">
        <w:rPr>
          <w:rFonts w:ascii="Arial" w:eastAsia="Times New Roman" w:hAnsi="Arial" w:cs="Arial"/>
          <w:bCs/>
          <w:i/>
          <w:iCs/>
          <w:lang w:eastAsia="es-ES"/>
        </w:rPr>
        <w:t>apruebe el remate, salvo que se trate de resoluciones cuya ejecución material sea de imposible reparación.</w:t>
      </w:r>
    </w:p>
    <w:p w14:paraId="57ACDDA8" w14:textId="73D77C7E" w:rsidR="00B81C5C" w:rsidRDefault="00B81C5C" w:rsidP="00C11A76">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En atención a lo anterior, es conveniente establecer cuáles son las etapas que integran el procedimiento administrativo de ejecución, las cuales están señaladas en el Titulo Cuarto, Capítulo Segundo, del Código Fiscal del Estado, capítulo denominado “Del procedimiento administrativo de ejecución”, de donde puede advertirse que el citado procedimiento, está integrado por: a). La expedición de un mandamiento de ejecución; b). La diligencia de requerimiento de pago y embargo; c). Determinación del valor de los bienes embargados; d). El remate de los bienes embargados; y, e). La aprobación del remate y adjudicación de los bienes.</w:t>
      </w:r>
    </w:p>
    <w:p w14:paraId="49BAEE77" w14:textId="0AF5CC80" w:rsidR="00010F5A" w:rsidRDefault="00B81C5C" w:rsidP="00C11A76">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De ahí, que el artículo 133 fracción VIII, inciso d) de la Ley de Procedimiento y Justicia Administrativa para el Estado, exige que en caso de que se impugne el procedimiento administrativo de ejecución por no ajustarse a lo dispuesto por la Ley, sea necesaria la aprobación del remate de los bienes embargados, pues éste constituye el último acto dentro del procedimiento de ejecución y es hasta entonces cuando le causa una afectación </w:t>
      </w:r>
      <w:r w:rsidR="00010F5A">
        <w:rPr>
          <w:rFonts w:ascii="Arial" w:eastAsia="Times New Roman" w:hAnsi="Arial" w:cs="Arial"/>
          <w:bCs/>
          <w:i/>
          <w:iCs/>
          <w:lang w:eastAsia="es-ES"/>
        </w:rPr>
        <w:t>real y de imposible reparación en su esfera jurídica, pues si bien es cierto el embargo constituye un acto de molestia en el patrimonio del promovente; también es verdad que no es un acto definitivo para efectos del juicio de nulidad.</w:t>
      </w:r>
    </w:p>
    <w:p w14:paraId="12B2F0CB" w14:textId="3F10BC67" w:rsidR="00010F5A" w:rsidRDefault="00010F5A" w:rsidP="00C11A76">
      <w:pPr>
        <w:spacing w:after="0"/>
        <w:ind w:left="567" w:right="616" w:firstLine="567"/>
        <w:jc w:val="both"/>
        <w:rPr>
          <w:rFonts w:ascii="Arial" w:eastAsia="Times New Roman" w:hAnsi="Arial" w:cs="Arial"/>
          <w:b/>
          <w:bCs/>
          <w:i/>
          <w:iCs/>
          <w:lang w:eastAsia="es-ES"/>
        </w:rPr>
      </w:pPr>
      <w:r>
        <w:rPr>
          <w:rFonts w:ascii="Arial" w:eastAsia="Times New Roman" w:hAnsi="Arial" w:cs="Arial"/>
          <w:bCs/>
          <w:i/>
          <w:iCs/>
          <w:lang w:eastAsia="es-ES"/>
        </w:rPr>
        <w:t>Sirve de apoyo a lo anterior, la jurisprudencia con número de registro 2011342, visible en la Gaceta del Semanario Judicial de la Federación, Libro 29, Abril de 2016, Tomo III, Materia (s): Común, Tesis: I.13o.T.J/10 (10a), Página: 1941, de rubro y texto:</w:t>
      </w:r>
      <w:r w:rsidR="00B907D7">
        <w:rPr>
          <w:rFonts w:ascii="Arial" w:eastAsia="Times New Roman" w:hAnsi="Arial" w:cs="Arial"/>
          <w:b/>
          <w:bCs/>
          <w:i/>
          <w:iCs/>
          <w:lang w:eastAsia="es-ES"/>
        </w:rPr>
        <w:t xml:space="preserve"> “</w:t>
      </w:r>
      <w:r>
        <w:rPr>
          <w:rFonts w:ascii="Arial" w:eastAsia="Times New Roman" w:hAnsi="Arial" w:cs="Arial"/>
          <w:b/>
          <w:bCs/>
          <w:i/>
          <w:iCs/>
          <w:lang w:eastAsia="es-ES"/>
        </w:rPr>
        <w:t xml:space="preserve">AMPARO INDIRECTO. ES IMPROCEDENTE CONTRA LA RESOLUCIÓN DICTADA EN EL RECURSO DE REVISIÓN DE ACTOS DEL EJECUTOR, CONSISTENTES EN EL EMBARGO, POR NO </w:t>
      </w:r>
      <w:r>
        <w:rPr>
          <w:rFonts w:ascii="Arial" w:eastAsia="Times New Roman" w:hAnsi="Arial" w:cs="Arial"/>
          <w:b/>
          <w:bCs/>
          <w:i/>
          <w:iCs/>
          <w:lang w:eastAsia="es-ES"/>
        </w:rPr>
        <w:lastRenderedPageBreak/>
        <w:t xml:space="preserve">CONSTITUIR LA ÚLTIMA ACTUACIÓN </w:t>
      </w:r>
      <w:r w:rsidR="00067D01">
        <w:rPr>
          <w:rFonts w:ascii="Arial" w:eastAsia="Times New Roman" w:hAnsi="Arial" w:cs="Arial"/>
          <w:b/>
          <w:bCs/>
          <w:i/>
          <w:iCs/>
          <w:lang w:eastAsia="es-ES"/>
        </w:rPr>
        <w:t xml:space="preserve">EN EL PROCEDIMIENTO DE EJECUCIÓN CORRESPONDIENTE”. </w:t>
      </w:r>
    </w:p>
    <w:p w14:paraId="35EF9A49" w14:textId="13BCC637" w:rsidR="00067D01" w:rsidRDefault="00067D01" w:rsidP="00C11A76">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Por lo tanto, si el promovente impugna la expedición del mandamiento de ejecución antes referido, con ello no se acredita que el procedimiento administrativo de ejecución, se encuentre en la etapa de remate de los bienes embargados y en su caso la adjudicación de éstos. </w:t>
      </w:r>
    </w:p>
    <w:p w14:paraId="4C0CD8A3" w14:textId="6C2FECFB" w:rsidR="00067D01" w:rsidRDefault="00067D01" w:rsidP="00C11A76">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En las relatadas consideraciones y en virtud que el mandamiento de ejecución referido, no es impugnable al carecer de definitividad, ni se encuentra dentro de las hipótesis previstas en los incisos a) b) y c), fracción VIII del artículo 133 de la Ley de la materia; por tanto, se </w:t>
      </w:r>
      <w:r>
        <w:rPr>
          <w:rFonts w:ascii="Arial" w:eastAsia="Times New Roman" w:hAnsi="Arial" w:cs="Arial"/>
          <w:b/>
          <w:bCs/>
          <w:i/>
          <w:iCs/>
          <w:lang w:eastAsia="es-ES"/>
        </w:rPr>
        <w:t xml:space="preserve">DESECHA LA DEMANDA, </w:t>
      </w:r>
      <w:r>
        <w:rPr>
          <w:rFonts w:ascii="Arial" w:eastAsia="Times New Roman" w:hAnsi="Arial" w:cs="Arial"/>
          <w:bCs/>
          <w:i/>
          <w:iCs/>
          <w:lang w:eastAsia="es-ES"/>
        </w:rPr>
        <w:t xml:space="preserve">por notoriamente improcedente, de conformidad con lo dispuesto en los artículos 158, 161 fracción X y 182 fracción I de la Ley de Procedimiento y Justicia Administrativa del Estado, y una vez que cause estado el presente auto, remítase presente expediente al </w:t>
      </w:r>
      <w:r>
        <w:rPr>
          <w:rFonts w:ascii="Arial" w:eastAsia="Times New Roman" w:hAnsi="Arial" w:cs="Arial"/>
          <w:b/>
          <w:bCs/>
          <w:i/>
          <w:iCs/>
          <w:lang w:eastAsia="es-ES"/>
        </w:rPr>
        <w:t xml:space="preserve">archivo </w:t>
      </w:r>
      <w:r>
        <w:rPr>
          <w:rFonts w:ascii="Arial" w:eastAsia="Times New Roman" w:hAnsi="Arial" w:cs="Arial"/>
          <w:bCs/>
          <w:i/>
          <w:iCs/>
          <w:lang w:eastAsia="es-ES"/>
        </w:rPr>
        <w:t xml:space="preserve">general de este Tribunal. </w:t>
      </w:r>
    </w:p>
    <w:p w14:paraId="05A3410A" w14:textId="3BDB73E2" w:rsidR="00067D01" w:rsidRDefault="00067D01" w:rsidP="00C11A76">
      <w:pPr>
        <w:spacing w:after="0"/>
        <w:ind w:left="567" w:right="616" w:firstLine="567"/>
        <w:jc w:val="both"/>
        <w:rPr>
          <w:rFonts w:ascii="Arial" w:eastAsia="Times New Roman" w:hAnsi="Arial" w:cs="Arial"/>
          <w:b/>
          <w:bCs/>
          <w:i/>
          <w:iCs/>
          <w:lang w:eastAsia="es-ES"/>
        </w:rPr>
      </w:pPr>
      <w:r>
        <w:rPr>
          <w:rFonts w:ascii="Arial" w:eastAsia="Times New Roman" w:hAnsi="Arial" w:cs="Arial"/>
          <w:bCs/>
          <w:i/>
          <w:iCs/>
          <w:lang w:eastAsia="es-ES"/>
        </w:rPr>
        <w:t xml:space="preserve">Sirve de apoyo a lo anterior, la jurisprudencia número 2ª./J.218/2007, con número de </w:t>
      </w:r>
      <w:r w:rsidR="000B713B">
        <w:rPr>
          <w:rFonts w:ascii="Arial" w:eastAsia="Times New Roman" w:hAnsi="Arial" w:cs="Arial"/>
          <w:bCs/>
          <w:i/>
          <w:iCs/>
          <w:lang w:eastAsia="es-ES"/>
        </w:rPr>
        <w:t>registro</w:t>
      </w:r>
      <w:r>
        <w:rPr>
          <w:rFonts w:ascii="Arial" w:eastAsia="Times New Roman" w:hAnsi="Arial" w:cs="Arial"/>
          <w:bCs/>
          <w:i/>
          <w:iCs/>
          <w:lang w:eastAsia="es-ES"/>
        </w:rPr>
        <w:t xml:space="preserve"> 170827, por l</w:t>
      </w:r>
      <w:r w:rsidR="000B713B">
        <w:rPr>
          <w:rFonts w:ascii="Arial" w:eastAsia="Times New Roman" w:hAnsi="Arial" w:cs="Arial"/>
          <w:bCs/>
          <w:i/>
          <w:iCs/>
          <w:lang w:eastAsia="es-ES"/>
        </w:rPr>
        <w:t xml:space="preserve">a Segunda Sala de la Suprema Corte de Justicia de la Nación en el Semanario Judicial de la Federación y su Gaceta, Tomo XXVI, Diciembre de 2007, página 154, Novena Época, bajo el rubro y texto siguiente: </w:t>
      </w:r>
      <w:r w:rsidR="000B713B">
        <w:rPr>
          <w:rFonts w:ascii="Arial" w:eastAsia="Times New Roman" w:hAnsi="Arial" w:cs="Arial"/>
          <w:b/>
          <w:bCs/>
          <w:i/>
          <w:iCs/>
          <w:lang w:eastAsia="es-ES"/>
        </w:rPr>
        <w:t>“COMPETENCIA. SU ESTUDIO OFICIOSO RESPECTO DE LA AUTORIDAD DEMANDADA EN EL JUICIO CONTENCIOSO ADMINISTRATIVO, DEBE SER ANALIZADA POR LAS SALAS DEL TRIBUNAL FEDERAL DE JUSTICIA FISCAL Y ADMINISTRATIVA”.</w:t>
      </w:r>
    </w:p>
    <w:p w14:paraId="3EB2EAD7" w14:textId="3C7425CB" w:rsidR="004C55FB" w:rsidRDefault="000B713B" w:rsidP="00C11A76">
      <w:pPr>
        <w:spacing w:after="0"/>
        <w:ind w:left="567" w:right="616" w:firstLine="567"/>
        <w:jc w:val="both"/>
        <w:rPr>
          <w:rFonts w:ascii="Arial" w:eastAsia="Times New Roman" w:hAnsi="Arial" w:cs="Arial"/>
          <w:b/>
          <w:bCs/>
          <w:i/>
          <w:iCs/>
          <w:lang w:eastAsia="es-ES"/>
        </w:rPr>
      </w:pPr>
      <w:r>
        <w:rPr>
          <w:rFonts w:ascii="Arial" w:eastAsia="Times New Roman" w:hAnsi="Arial" w:cs="Arial"/>
          <w:bCs/>
          <w:i/>
          <w:iCs/>
          <w:lang w:eastAsia="es-ES"/>
        </w:rPr>
        <w:t xml:space="preserve">De igual forma </w:t>
      </w:r>
      <w:r w:rsidR="004C55FB">
        <w:rPr>
          <w:rFonts w:ascii="Arial" w:eastAsia="Times New Roman" w:hAnsi="Arial" w:cs="Arial"/>
          <w:bCs/>
          <w:i/>
          <w:iCs/>
          <w:lang w:eastAsia="es-ES"/>
        </w:rPr>
        <w:t xml:space="preserve">sirve de sustento, la jurisprudencia número P./J.21/2018 (10a), con número de registro 2017811, por el Pleno de la Suprema Corte de Justicia de la Nación en la Gaceta del Semanario Judicial de la Federación, Libro 58, Septiembre de 20148, Tomo I, Materia Administrativa, Décima Época, bajo rubro y texto siguiente: </w:t>
      </w:r>
      <w:r w:rsidR="004C55FB">
        <w:rPr>
          <w:rFonts w:ascii="Arial" w:eastAsia="Times New Roman" w:hAnsi="Arial" w:cs="Arial"/>
          <w:b/>
          <w:bCs/>
          <w:i/>
          <w:iCs/>
          <w:lang w:eastAsia="es-ES"/>
        </w:rPr>
        <w:t xml:space="preserve">“IMPROCEDENCIA DE LA VÍA EN EL JUICIO CONTENCIOSO ADMINISTRATIVO, CUANDO LA DEMANDA RESPECTIVA SE HUBIERE ADMITIDO, EL TRIBUNAL FEDERAL DE JUSTICIA ADMINISTRATIVA DEBE LIMITARSE A SOBRESEER EN EL JUICIO”. </w:t>
      </w:r>
    </w:p>
    <w:p w14:paraId="50CBF348" w14:textId="27AEC4E9" w:rsidR="00C91B6E" w:rsidRPr="00C11A76" w:rsidRDefault="004C55FB" w:rsidP="00C11A76">
      <w:pPr>
        <w:spacing w:after="0"/>
        <w:ind w:left="567" w:right="616" w:firstLine="567"/>
        <w:jc w:val="both"/>
        <w:rPr>
          <w:rFonts w:ascii="Arial" w:eastAsia="Times New Roman" w:hAnsi="Arial" w:cs="Arial"/>
          <w:b/>
          <w:bCs/>
          <w:i/>
          <w:iCs/>
          <w:lang w:eastAsia="es-ES"/>
        </w:rPr>
      </w:pPr>
      <w:r>
        <w:rPr>
          <w:rFonts w:ascii="Arial" w:eastAsia="Times New Roman" w:hAnsi="Arial" w:cs="Arial"/>
          <w:bCs/>
          <w:i/>
          <w:iCs/>
          <w:lang w:eastAsia="es-ES"/>
        </w:rPr>
        <w:t>Así lo acordó y firma el licenciado Javier Martín Villa</w:t>
      </w:r>
      <w:r w:rsidR="00953D3E">
        <w:rPr>
          <w:rFonts w:ascii="Arial" w:eastAsia="Times New Roman" w:hAnsi="Arial" w:cs="Arial"/>
          <w:bCs/>
          <w:i/>
          <w:iCs/>
          <w:lang w:eastAsia="es-ES"/>
        </w:rPr>
        <w:t>nueva</w:t>
      </w:r>
      <w:r>
        <w:rPr>
          <w:rFonts w:ascii="Arial" w:eastAsia="Times New Roman" w:hAnsi="Arial" w:cs="Arial"/>
          <w:bCs/>
          <w:i/>
          <w:iCs/>
          <w:lang w:eastAsia="es-ES"/>
        </w:rPr>
        <w:t xml:space="preserve"> Hernández, Magistrado Titular de la Segunda Sala Unitaria de Primera Instancia, del Tribunal de Justicia Administrativa del Estado de Oaxaca, quien actúa con el licenciado Alan David Vásquez Pulido, Secretario de Acuerdos de esta Sala Unitaria, quien autoriza y da fe.</w:t>
      </w:r>
      <w:r w:rsidR="00C11A76">
        <w:rPr>
          <w:rFonts w:ascii="Arial" w:eastAsia="Times New Roman" w:hAnsi="Arial" w:cs="Arial"/>
          <w:b/>
          <w:bCs/>
          <w:i/>
          <w:iCs/>
          <w:lang w:eastAsia="es-ES"/>
        </w:rPr>
        <w:t xml:space="preserve"> - - - - - - - - - - - - -</w:t>
      </w: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278392F1"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953D3E">
        <w:rPr>
          <w:rFonts w:ascii="Arial" w:hAnsi="Arial" w:cs="Arial"/>
          <w:bCs/>
          <w:iCs/>
          <w:sz w:val="26"/>
          <w:szCs w:val="26"/>
        </w:rPr>
        <w:t>ones</w:t>
      </w:r>
      <w:r>
        <w:rPr>
          <w:rFonts w:ascii="Arial" w:hAnsi="Arial" w:cs="Arial"/>
          <w:bCs/>
          <w:iCs/>
          <w:sz w:val="26"/>
          <w:szCs w:val="26"/>
        </w:rPr>
        <w:t xml:space="preserve"> I</w:t>
      </w:r>
      <w:r w:rsidR="00953D3E">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057D93">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4441D1">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314087">
        <w:rPr>
          <w:rFonts w:ascii="Arial" w:hAnsi="Arial" w:cs="Arial"/>
          <w:bCs/>
          <w:iCs/>
          <w:sz w:val="26"/>
          <w:szCs w:val="26"/>
        </w:rPr>
        <w:t>l acuerdo</w:t>
      </w:r>
      <w:r>
        <w:rPr>
          <w:rFonts w:ascii="Arial" w:hAnsi="Arial" w:cs="Arial"/>
          <w:sz w:val="26"/>
          <w:szCs w:val="26"/>
        </w:rPr>
        <w:t xml:space="preserve"> de </w:t>
      </w:r>
      <w:r w:rsidR="00F039A3">
        <w:rPr>
          <w:rFonts w:ascii="Arial" w:hAnsi="Arial" w:cs="Arial"/>
          <w:sz w:val="26"/>
          <w:szCs w:val="26"/>
        </w:rPr>
        <w:t>veinticuatro</w:t>
      </w:r>
      <w:r w:rsidR="00D35524">
        <w:rPr>
          <w:rFonts w:ascii="Arial" w:hAnsi="Arial" w:cs="Arial"/>
          <w:sz w:val="26"/>
          <w:szCs w:val="26"/>
        </w:rPr>
        <w:t xml:space="preserve"> </w:t>
      </w:r>
      <w:r w:rsidR="006F7407">
        <w:rPr>
          <w:rFonts w:ascii="Arial" w:hAnsi="Arial" w:cs="Arial"/>
          <w:sz w:val="26"/>
          <w:szCs w:val="26"/>
        </w:rPr>
        <w:t xml:space="preserve">de </w:t>
      </w:r>
      <w:r w:rsidR="00F039A3">
        <w:rPr>
          <w:rFonts w:ascii="Arial" w:hAnsi="Arial" w:cs="Arial"/>
          <w:sz w:val="26"/>
          <w:szCs w:val="26"/>
        </w:rPr>
        <w:t>mayo</w:t>
      </w:r>
      <w:r w:rsidR="006F7407">
        <w:rPr>
          <w:rFonts w:ascii="Arial" w:hAnsi="Arial" w:cs="Arial"/>
          <w:sz w:val="26"/>
          <w:szCs w:val="26"/>
        </w:rPr>
        <w:t xml:space="preserve"> de dos mil </w:t>
      </w:r>
      <w:r w:rsidR="00F039A3">
        <w:rPr>
          <w:rFonts w:ascii="Arial" w:hAnsi="Arial" w:cs="Arial"/>
          <w:sz w:val="26"/>
          <w:szCs w:val="26"/>
        </w:rPr>
        <w:t>veintiuno</w:t>
      </w:r>
      <w:r w:rsidRPr="008E3662">
        <w:rPr>
          <w:rFonts w:ascii="Arial" w:hAnsi="Arial" w:cs="Arial"/>
          <w:bCs/>
          <w:iCs/>
          <w:sz w:val="26"/>
          <w:szCs w:val="26"/>
        </w:rPr>
        <w:t>, dictad</w:t>
      </w:r>
      <w:r w:rsidR="00314087">
        <w:rPr>
          <w:rFonts w:ascii="Arial" w:hAnsi="Arial" w:cs="Arial"/>
          <w:bCs/>
          <w:iCs/>
          <w:sz w:val="26"/>
          <w:szCs w:val="26"/>
        </w:rPr>
        <w:t>o</w:t>
      </w:r>
      <w:r w:rsidRPr="008E3662">
        <w:rPr>
          <w:rFonts w:ascii="Arial" w:hAnsi="Arial" w:cs="Arial"/>
          <w:bCs/>
          <w:iCs/>
          <w:sz w:val="26"/>
          <w:szCs w:val="26"/>
        </w:rPr>
        <w:t xml:space="preserve"> por la </w:t>
      </w:r>
      <w:r w:rsidR="00F039A3">
        <w:rPr>
          <w:rFonts w:ascii="Arial" w:hAnsi="Arial" w:cs="Arial"/>
          <w:bCs/>
          <w:iCs/>
          <w:sz w:val="26"/>
          <w:szCs w:val="26"/>
        </w:rPr>
        <w:t>Segund</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F039A3">
        <w:rPr>
          <w:rFonts w:ascii="Arial" w:hAnsi="Arial" w:cs="Arial"/>
          <w:b/>
          <w:bCs/>
          <w:iCs/>
          <w:sz w:val="26"/>
          <w:szCs w:val="26"/>
        </w:rPr>
        <w:t>045</w:t>
      </w:r>
      <w:r w:rsidRPr="00AE78C3">
        <w:rPr>
          <w:rFonts w:ascii="Arial" w:hAnsi="Arial" w:cs="Arial"/>
          <w:b/>
          <w:bCs/>
          <w:iCs/>
          <w:sz w:val="26"/>
          <w:szCs w:val="26"/>
        </w:rPr>
        <w:t>/20</w:t>
      </w:r>
      <w:r w:rsidR="00314087">
        <w:rPr>
          <w:rFonts w:ascii="Arial" w:hAnsi="Arial" w:cs="Arial"/>
          <w:b/>
          <w:bCs/>
          <w:iCs/>
          <w:sz w:val="26"/>
          <w:szCs w:val="26"/>
        </w:rPr>
        <w:t>2</w:t>
      </w:r>
      <w:r w:rsidR="00F039A3">
        <w:rPr>
          <w:rFonts w:ascii="Arial" w:hAnsi="Arial" w:cs="Arial"/>
          <w:b/>
          <w:bCs/>
          <w:iCs/>
          <w:sz w:val="26"/>
          <w:szCs w:val="26"/>
        </w:rPr>
        <w:t>1</w:t>
      </w:r>
      <w:r w:rsidRPr="00AE78C3">
        <w:rPr>
          <w:rFonts w:ascii="Arial" w:hAnsi="Arial" w:cs="Arial"/>
          <w:b/>
          <w:bCs/>
          <w:iCs/>
          <w:sz w:val="26"/>
          <w:szCs w:val="26"/>
        </w:rPr>
        <w:t>.</w:t>
      </w:r>
      <w:r w:rsidR="00C11A76" w:rsidRPr="00C11A76">
        <w:rPr>
          <w:rFonts w:ascii="Arial" w:hAnsi="Arial" w:cs="Arial"/>
          <w:iCs/>
          <w:sz w:val="26"/>
          <w:szCs w:val="26"/>
        </w:rPr>
        <w:t>- -</w:t>
      </w:r>
    </w:p>
    <w:p w14:paraId="45F854D1" w14:textId="77777777" w:rsidR="00D35524" w:rsidRPr="00011CEC" w:rsidRDefault="00D35524" w:rsidP="00D3552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lastRenderedPageBreak/>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62DAB3CF" w14:textId="77777777" w:rsidR="00D35524" w:rsidRPr="00011CEC" w:rsidRDefault="00D35524" w:rsidP="00C11A76">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883E853" w14:textId="65BDCA04" w:rsidR="000D04AC" w:rsidRDefault="006640AE" w:rsidP="000D04AC">
      <w:pPr>
        <w:spacing w:before="240" w:line="360" w:lineRule="auto"/>
        <w:ind w:firstLine="708"/>
        <w:jc w:val="both"/>
        <w:rPr>
          <w:rFonts w:ascii="Arial" w:hAnsi="Arial" w:cs="Arial"/>
          <w:sz w:val="26"/>
          <w:szCs w:val="26"/>
        </w:rPr>
      </w:pPr>
      <w:r w:rsidRPr="00626352">
        <w:rPr>
          <w:rFonts w:ascii="Arial" w:hAnsi="Arial" w:cs="Arial"/>
          <w:b/>
          <w:sz w:val="26"/>
          <w:szCs w:val="26"/>
        </w:rPr>
        <w:t>TERCERO.</w:t>
      </w:r>
      <w:r w:rsidR="00012E2B">
        <w:rPr>
          <w:rFonts w:ascii="Arial" w:hAnsi="Arial" w:cs="Arial"/>
          <w:b/>
          <w:sz w:val="26"/>
          <w:szCs w:val="26"/>
        </w:rPr>
        <w:t xml:space="preserve"> </w:t>
      </w:r>
      <w:r w:rsidR="00626352" w:rsidRPr="00626352">
        <w:rPr>
          <w:rFonts w:ascii="Arial" w:hAnsi="Arial" w:cs="Arial"/>
          <w:b/>
          <w:sz w:val="26"/>
          <w:szCs w:val="26"/>
        </w:rPr>
        <w:t xml:space="preserve"> </w:t>
      </w:r>
      <w:r w:rsidR="00C80018">
        <w:rPr>
          <w:rFonts w:ascii="Arial" w:hAnsi="Arial" w:cs="Arial"/>
          <w:sz w:val="26"/>
          <w:szCs w:val="26"/>
        </w:rPr>
        <w:t xml:space="preserve">Señala el recurrente le causa agravio </w:t>
      </w:r>
      <w:r w:rsidR="004462B7">
        <w:rPr>
          <w:rFonts w:ascii="Arial" w:hAnsi="Arial" w:cs="Arial"/>
          <w:sz w:val="26"/>
          <w:szCs w:val="26"/>
        </w:rPr>
        <w:t xml:space="preserve">el acuerdo de </w:t>
      </w:r>
      <w:r w:rsidR="000D04AC">
        <w:rPr>
          <w:rFonts w:ascii="Arial" w:hAnsi="Arial" w:cs="Arial"/>
          <w:sz w:val="26"/>
          <w:szCs w:val="26"/>
        </w:rPr>
        <w:t>veinticuatro de mayo de dos mil veintiuno, que recayó a su demanda de nulidad presentada el veintiuno de mayo del mismo año, ante la oficialía de partes del Tribunal, en virtud de que se le ve afectado su derecho humano de acceso a la justicia o de tutela judicial efectiva y en un plazo razonable, que establecen los artículos 8 y 25 de la Convención Americana sobre Derechos Humanos, y 17, de la Constitución Política de los Estados Unidos Mexicanos, pues en lugar de</w:t>
      </w:r>
      <w:r w:rsidR="00C1299B">
        <w:rPr>
          <w:rFonts w:ascii="Arial" w:hAnsi="Arial" w:cs="Arial"/>
          <w:sz w:val="26"/>
          <w:szCs w:val="26"/>
        </w:rPr>
        <w:t xml:space="preserve"> maximizarse conforme al artículo 1° de la Constitución Federal, se le imposibilitó a reclamar sus derechos mediante el debido proceso, a través de un tribunal mediante un juicio seguido con las formalidades esenciales del procedimiento, en consecuencia, se le deja en estado de indefensión porque el acto administrativo que se pretende impugnar aun cuando goza de presunción de validez eso no significa que sea justo, legal y no </w:t>
      </w:r>
      <w:r w:rsidR="00C1299B">
        <w:rPr>
          <w:rFonts w:ascii="Arial" w:hAnsi="Arial" w:cs="Arial"/>
          <w:sz w:val="26"/>
          <w:szCs w:val="26"/>
        </w:rPr>
        <w:lastRenderedPageBreak/>
        <w:t>sea arbitrario, porque alega que toda persona tiene derecho que le son inseparables, los cuales no pueden ser violentados por autoridad alguna sin una razón que tenga una base legal fundada y motivada.</w:t>
      </w:r>
      <w:r w:rsidR="00C11A76">
        <w:rPr>
          <w:rFonts w:ascii="Arial" w:hAnsi="Arial" w:cs="Arial"/>
          <w:sz w:val="26"/>
          <w:szCs w:val="26"/>
        </w:rPr>
        <w:t xml:space="preserve"> - - - - - - - - </w:t>
      </w:r>
    </w:p>
    <w:p w14:paraId="566A7CA5" w14:textId="25660215" w:rsidR="00093274" w:rsidRDefault="00C1299B" w:rsidP="00093274">
      <w:pPr>
        <w:spacing w:before="240" w:line="360" w:lineRule="auto"/>
        <w:ind w:firstLine="708"/>
        <w:jc w:val="both"/>
        <w:rPr>
          <w:rFonts w:ascii="Arial" w:hAnsi="Arial" w:cs="Arial"/>
          <w:sz w:val="26"/>
          <w:szCs w:val="26"/>
        </w:rPr>
      </w:pPr>
      <w:r>
        <w:rPr>
          <w:rFonts w:ascii="Arial" w:hAnsi="Arial" w:cs="Arial"/>
          <w:sz w:val="26"/>
          <w:szCs w:val="26"/>
        </w:rPr>
        <w:t xml:space="preserve">Hace mención que, de la Convención Americana sobre Derechos Humanos, </w:t>
      </w:r>
      <w:r w:rsidR="00093274">
        <w:rPr>
          <w:rFonts w:ascii="Arial" w:hAnsi="Arial" w:cs="Arial"/>
          <w:sz w:val="26"/>
          <w:szCs w:val="26"/>
        </w:rPr>
        <w:t xml:space="preserve">resulta </w:t>
      </w:r>
      <w:proofErr w:type="spellStart"/>
      <w:r w:rsidR="00093274">
        <w:rPr>
          <w:rFonts w:ascii="Arial" w:hAnsi="Arial" w:cs="Arial"/>
          <w:sz w:val="26"/>
          <w:szCs w:val="26"/>
        </w:rPr>
        <w:t>inconvencional</w:t>
      </w:r>
      <w:proofErr w:type="spellEnd"/>
      <w:r w:rsidR="00093274">
        <w:rPr>
          <w:rFonts w:ascii="Arial" w:hAnsi="Arial" w:cs="Arial"/>
          <w:sz w:val="26"/>
          <w:szCs w:val="26"/>
        </w:rPr>
        <w:t xml:space="preserve"> el artículo 133, fracción VIII, inciso d) de la Ley de Procedimiento y Justicia Administrativa para el Estado de Oaxaca, invocado en el auto que recurre, porque de una interpretación a contrario sensu a dicha porción normativa, la Sala Unitaria exigió como presupuesto para que sea competente de conocer y resolver del juicio promovido, que en el procedimiento de ejecución se haya interpuesto el recurso ordinario ante la autoridad competente y cuando afirme que el procedimiento coactivo no se ajuste a la ley, ahora bien, sino se hubiese interpuesto dicho recurso de revisión ordinario, entonces sostiene que no es competente la Primera Instancia de conocer del juicio planteado, lo anterior es violatorio en su perjuicio de los derechos humanos de protección judicial establecidos en los artículos 8.1 y 25.1 de la Convención Americana Sobre Derechos Humanos (Pacto de San José) que establecen: (lo transcribe). </w:t>
      </w:r>
      <w:r w:rsidR="00C11A76">
        <w:rPr>
          <w:rFonts w:ascii="Arial" w:hAnsi="Arial" w:cs="Arial"/>
          <w:sz w:val="26"/>
          <w:szCs w:val="26"/>
        </w:rPr>
        <w:t xml:space="preserve">- - - - - - - - - - - - - - - - - - - - - - - - - - - - - </w:t>
      </w:r>
    </w:p>
    <w:p w14:paraId="73A89DD0" w14:textId="457443D1" w:rsidR="00EA45DC" w:rsidRDefault="00093274" w:rsidP="00093274">
      <w:pPr>
        <w:spacing w:before="240" w:line="360" w:lineRule="auto"/>
        <w:jc w:val="both"/>
        <w:rPr>
          <w:rFonts w:ascii="Arial" w:hAnsi="Arial" w:cs="Arial"/>
          <w:sz w:val="26"/>
          <w:szCs w:val="26"/>
        </w:rPr>
      </w:pPr>
      <w:r>
        <w:rPr>
          <w:rFonts w:ascii="Arial" w:hAnsi="Arial" w:cs="Arial"/>
          <w:sz w:val="26"/>
          <w:szCs w:val="26"/>
        </w:rPr>
        <w:tab/>
        <w:t>Alega el inco</w:t>
      </w:r>
      <w:r w:rsidR="00AD73FE">
        <w:rPr>
          <w:rFonts w:ascii="Arial" w:hAnsi="Arial" w:cs="Arial"/>
          <w:sz w:val="26"/>
          <w:szCs w:val="26"/>
        </w:rPr>
        <w:t>n</w:t>
      </w:r>
      <w:r>
        <w:rPr>
          <w:rFonts w:ascii="Arial" w:hAnsi="Arial" w:cs="Arial"/>
          <w:sz w:val="26"/>
          <w:szCs w:val="26"/>
        </w:rPr>
        <w:t>forme que la Primera Instancia violó en su perjuicio los Derechos Humanos en los artículos 1, 14, párrafo primero y 16, párrafo primero, de la Constitución Política de los Estados Unidos Mexicanos</w:t>
      </w:r>
      <w:r w:rsidR="00AD73FE">
        <w:rPr>
          <w:rFonts w:ascii="Arial" w:hAnsi="Arial" w:cs="Arial"/>
          <w:sz w:val="26"/>
          <w:szCs w:val="26"/>
        </w:rPr>
        <w:t>, los derechos humanos y las garantías constitucionales violadas</w:t>
      </w:r>
      <w:r w:rsidR="006E5BF8">
        <w:rPr>
          <w:rFonts w:ascii="Arial" w:hAnsi="Arial" w:cs="Arial"/>
          <w:sz w:val="26"/>
          <w:szCs w:val="26"/>
        </w:rPr>
        <w:t xml:space="preserve">, </w:t>
      </w:r>
      <w:r w:rsidR="00663D40">
        <w:rPr>
          <w:rFonts w:ascii="Arial" w:hAnsi="Arial" w:cs="Arial"/>
          <w:sz w:val="26"/>
          <w:szCs w:val="26"/>
        </w:rPr>
        <w:t>al dictar el acuerdo que desecha su demanda de nulidad presentada el veintiuno de mayo de dos mil veintiuno, por lo cual es ilegal el acuerdo en la parte que se combate, pues se encuentra debidamente fundamentado y motivado al poner trabas al acceso a la tutela judicial efectiva ante los Tribunales y no ejercer violencia, como lo señala el art</w:t>
      </w:r>
      <w:r w:rsidR="00AD76B7">
        <w:rPr>
          <w:rFonts w:ascii="Arial" w:hAnsi="Arial" w:cs="Arial"/>
          <w:sz w:val="26"/>
          <w:szCs w:val="26"/>
        </w:rPr>
        <w:t xml:space="preserve">ículo 17 Constitucional, y respecto al artículo 1° de la Constitución Federal, fue con el objeto de garantizar los derechos humanos de los gobernador de acuerdo con la Constitución y con los tratados internacionales de la materia favoreciendo en todo tiempo a las personas la protección más amplia, hace mención del artículo 21 de la Ley de Procedimiento y Justicia Administrativa para el Estado de Oaxaca, que los actos y procedimientos administrativos se regirán por los principios de </w:t>
      </w:r>
      <w:r w:rsidR="00EA45DC">
        <w:rPr>
          <w:rFonts w:ascii="Arial" w:hAnsi="Arial" w:cs="Arial"/>
          <w:sz w:val="26"/>
          <w:szCs w:val="26"/>
        </w:rPr>
        <w:t xml:space="preserve">legalidad, sencillez, celeridad, oficiosidad, eficacia, publicidad, transparencia, gratitud, buena fe e informalidad a favor del administrado, </w:t>
      </w:r>
      <w:r w:rsidR="00EA45DC">
        <w:rPr>
          <w:rFonts w:ascii="Arial" w:hAnsi="Arial" w:cs="Arial"/>
          <w:sz w:val="26"/>
          <w:szCs w:val="26"/>
        </w:rPr>
        <w:lastRenderedPageBreak/>
        <w:t xml:space="preserve">por lo tanto, alega que el Secretario encargado de la Segunda Sala Unitaria debió haber realizado una interpretación armónica de la Ley de Procedimiento y Justicia Administrativa para el Estado de Oaxaca, y no emitir un acuerdo de </w:t>
      </w:r>
      <w:proofErr w:type="spellStart"/>
      <w:r w:rsidR="00EA45DC">
        <w:rPr>
          <w:rFonts w:ascii="Arial" w:hAnsi="Arial" w:cs="Arial"/>
          <w:sz w:val="26"/>
          <w:szCs w:val="26"/>
        </w:rPr>
        <w:t>desechamiento</w:t>
      </w:r>
      <w:proofErr w:type="spellEnd"/>
      <w:r w:rsidR="00EA45DC">
        <w:rPr>
          <w:rFonts w:ascii="Arial" w:hAnsi="Arial" w:cs="Arial"/>
          <w:sz w:val="26"/>
          <w:szCs w:val="26"/>
        </w:rPr>
        <w:t xml:space="preserve"> de demanda, de manera ilegal, señala que el recurso ordinario que debió interponerse ante la autoridad competente para que dicha Sala Unitaria se declare competente para conocer del juicio, es optativo y no de carácter obligatorio como lo pretende hacer ver la Sala responsable en el acuerdo recurrido, pues el artículo 98, de la Ley de la materia, lo establece con clarida</w:t>
      </w:r>
      <w:r w:rsidR="006E5BF8">
        <w:rPr>
          <w:rFonts w:ascii="Arial" w:hAnsi="Arial" w:cs="Arial"/>
          <w:sz w:val="26"/>
          <w:szCs w:val="26"/>
        </w:rPr>
        <w:t>d.</w:t>
      </w:r>
      <w:r w:rsidR="00C11A76">
        <w:rPr>
          <w:rFonts w:ascii="Arial" w:hAnsi="Arial" w:cs="Arial"/>
          <w:sz w:val="26"/>
          <w:szCs w:val="26"/>
        </w:rPr>
        <w:t xml:space="preserve"> - - - - - - - </w:t>
      </w:r>
    </w:p>
    <w:p w14:paraId="3AE9D265" w14:textId="7576B51B" w:rsidR="00EA45DC" w:rsidRDefault="00EA45DC" w:rsidP="00093274">
      <w:pPr>
        <w:spacing w:before="240" w:line="360" w:lineRule="auto"/>
        <w:jc w:val="both"/>
        <w:rPr>
          <w:rFonts w:ascii="Arial" w:hAnsi="Arial" w:cs="Arial"/>
          <w:sz w:val="26"/>
          <w:szCs w:val="26"/>
        </w:rPr>
      </w:pPr>
      <w:r>
        <w:rPr>
          <w:rFonts w:ascii="Arial" w:hAnsi="Arial" w:cs="Arial"/>
          <w:sz w:val="26"/>
          <w:szCs w:val="26"/>
        </w:rPr>
        <w:tab/>
        <w:t xml:space="preserve">En su </w:t>
      </w:r>
      <w:r w:rsidRPr="006E5BF8">
        <w:rPr>
          <w:rFonts w:ascii="Arial" w:hAnsi="Arial" w:cs="Arial"/>
          <w:b/>
          <w:bCs/>
          <w:sz w:val="26"/>
          <w:szCs w:val="26"/>
        </w:rPr>
        <w:t>segundo agravio</w:t>
      </w:r>
      <w:r>
        <w:rPr>
          <w:rFonts w:ascii="Arial" w:hAnsi="Arial" w:cs="Arial"/>
          <w:sz w:val="26"/>
          <w:szCs w:val="26"/>
        </w:rPr>
        <w:t xml:space="preserve"> manifiesta que la Primera Instancia como lo adujo en el concepto anterior, hizo nugatorio el acceso a la justicia o tutela judicial efectiva, al señalar que el mandamiento de ejecución y la notificación y su requerimiento de pago y embargo, no son impugnables en el juicio contencioso administrativo, </w:t>
      </w:r>
      <w:r w:rsidR="008F1AA1">
        <w:rPr>
          <w:rFonts w:ascii="Arial" w:hAnsi="Arial" w:cs="Arial"/>
          <w:sz w:val="26"/>
          <w:szCs w:val="26"/>
        </w:rPr>
        <w:t xml:space="preserve">porque el artículo 133, fracción VIII, inciso d), de la Ley de Procedimiento y Justicia Administrativa para el Estado, exige que en su caso de que se impugne el procedimiento administrativo de ejecución por no ajustarse a lo dispuesto por la ley, sea necesaria la aprobación del remate de los bienes embargados, pues éste constituye el último acto dentro del procedimiento de ejecución y es hasta entonces cuando le causa afectación real y de imposible reparación en su esfera jurídica, pues si bien es cierto, el embargado constituye un acto de molestia en el patrimonio del recurrente, también es verdad que no es un acto definitivo para efectos del juicio de nulidad. </w:t>
      </w:r>
    </w:p>
    <w:p w14:paraId="369CBE36" w14:textId="384F3D43" w:rsidR="00E60F4A" w:rsidRDefault="008F1AA1" w:rsidP="00093274">
      <w:pPr>
        <w:spacing w:before="240" w:line="360" w:lineRule="auto"/>
        <w:jc w:val="both"/>
        <w:rPr>
          <w:rFonts w:ascii="Arial" w:hAnsi="Arial" w:cs="Arial"/>
          <w:sz w:val="26"/>
          <w:szCs w:val="26"/>
        </w:rPr>
      </w:pPr>
      <w:r>
        <w:rPr>
          <w:rFonts w:ascii="Arial" w:hAnsi="Arial" w:cs="Arial"/>
          <w:sz w:val="26"/>
          <w:szCs w:val="26"/>
        </w:rPr>
        <w:tab/>
        <w:t>Alega que lo anterior es totalmente incorrecto porque si bien la ley, estableciera a este supuesto como un acto de afectación real y de imposible reparación en su esfera jurídic</w:t>
      </w:r>
      <w:r w:rsidR="00FE1128">
        <w:rPr>
          <w:rFonts w:ascii="Arial" w:hAnsi="Arial" w:cs="Arial"/>
          <w:sz w:val="26"/>
          <w:szCs w:val="26"/>
        </w:rPr>
        <w:t>a, a la luz de las disposiciones de los artículos 8.1 y 25.1, de la Convención Americana sobre Derechos Humanos y 17 de la Constitución Federal, porque pone trabas para que sea oído por un tribunal con las debidas garantías, en un plazo razonable y acceder a un recurso, rápido y s</w:t>
      </w:r>
      <w:r w:rsidR="00E60F4A">
        <w:rPr>
          <w:rFonts w:ascii="Arial" w:hAnsi="Arial" w:cs="Arial"/>
          <w:sz w:val="26"/>
          <w:szCs w:val="26"/>
        </w:rPr>
        <w:t>e</w:t>
      </w:r>
      <w:r w:rsidR="00FE1128">
        <w:rPr>
          <w:rFonts w:ascii="Arial" w:hAnsi="Arial" w:cs="Arial"/>
          <w:sz w:val="26"/>
          <w:szCs w:val="26"/>
        </w:rPr>
        <w:t>ncil</w:t>
      </w:r>
      <w:r w:rsidR="00E60F4A">
        <w:rPr>
          <w:rFonts w:ascii="Arial" w:hAnsi="Arial" w:cs="Arial"/>
          <w:sz w:val="26"/>
          <w:szCs w:val="26"/>
        </w:rPr>
        <w:t>l</w:t>
      </w:r>
      <w:r w:rsidR="00FE1128">
        <w:rPr>
          <w:rFonts w:ascii="Arial" w:hAnsi="Arial" w:cs="Arial"/>
          <w:sz w:val="26"/>
          <w:szCs w:val="26"/>
        </w:rPr>
        <w:t>o, pues en el caso que les ocupa, el mandamiento y diligencia de requerimiento de pago, le causa una afectación e imposible reparación, porque no se va a dejar sin efecto, sino por una r</w:t>
      </w:r>
      <w:r w:rsidR="00E60F4A">
        <w:rPr>
          <w:rFonts w:ascii="Arial" w:hAnsi="Arial" w:cs="Arial"/>
          <w:sz w:val="26"/>
          <w:szCs w:val="26"/>
        </w:rPr>
        <w:t>esolución del tribunal.</w:t>
      </w:r>
      <w:r w:rsidR="00C11A76">
        <w:rPr>
          <w:rFonts w:ascii="Arial" w:hAnsi="Arial" w:cs="Arial"/>
          <w:sz w:val="26"/>
          <w:szCs w:val="26"/>
        </w:rPr>
        <w:t xml:space="preserve"> - - - - - - - - - - - -- - - - - - - - - - - - - - </w:t>
      </w:r>
    </w:p>
    <w:p w14:paraId="0E341B16" w14:textId="00C86CF5" w:rsidR="00AD73FE" w:rsidRDefault="00E60F4A" w:rsidP="00093274">
      <w:pPr>
        <w:spacing w:before="240" w:line="360" w:lineRule="auto"/>
        <w:jc w:val="both"/>
        <w:rPr>
          <w:rFonts w:ascii="Arial" w:hAnsi="Arial" w:cs="Arial"/>
          <w:sz w:val="26"/>
          <w:szCs w:val="26"/>
        </w:rPr>
      </w:pPr>
      <w:r>
        <w:rPr>
          <w:rFonts w:ascii="Arial" w:hAnsi="Arial" w:cs="Arial"/>
          <w:sz w:val="26"/>
          <w:szCs w:val="26"/>
        </w:rPr>
        <w:tab/>
        <w:t xml:space="preserve">Por último, el inconforme alega que del acuerdo de veinticuatro de mayo de dos mil veintiuno, se vulnera el derecho </w:t>
      </w:r>
      <w:r w:rsidR="00B90AF5">
        <w:rPr>
          <w:rFonts w:ascii="Arial" w:hAnsi="Arial" w:cs="Arial"/>
          <w:sz w:val="26"/>
          <w:szCs w:val="26"/>
        </w:rPr>
        <w:t xml:space="preserve">a una tutela jurisdiccional efectiva exige que quienes tengan necesidad de que se les </w:t>
      </w:r>
      <w:r w:rsidR="00B90AF5">
        <w:rPr>
          <w:rFonts w:ascii="Arial" w:hAnsi="Arial" w:cs="Arial"/>
          <w:sz w:val="26"/>
          <w:szCs w:val="26"/>
        </w:rPr>
        <w:lastRenderedPageBreak/>
        <w:t>administre justicia, la reciban por órganos jurisdiccionales permanentes, creados con antelación al conflicto, sin más condición que las formalidades necesarias, razonables y proporcionales , y la Sala Unitaria al desechar la demanda, el acuerdo recurrid convalida el mandamiento de ejecución impugnado, pues causara perjuicios de imposible reparación al pretenderse embargar bienes, la no disposición de los mismos, gastos por su recuperación y desde luego ocasionara afectaciones a su salud por el estrés y preocupación, afectando a su tranquilidad, por lo que, es dable sea combatido a través del juicio promovido, si la misma norma lo permite esto es cuando se haya interpuesto el recurso ordinario y como ya se vio dichos recursos son optativos conforme al artículo 98, de la Ley de Procedimiento y Justicia Administrativa para el Estado de Oaxaca, en efecto, resulta restrictiva la interpretación realzada por la Segunda Sala Unitaria, que se traduce en una justicia incompleta, pues omitió dictar dicho acuerdo pasando por alto los principios de buena fe e inconformidad a favor del administrado.</w:t>
      </w:r>
    </w:p>
    <w:p w14:paraId="52831303" w14:textId="45ED5B6E" w:rsidR="00C10962" w:rsidRDefault="00C10962" w:rsidP="00C10962">
      <w:pPr>
        <w:pStyle w:val="Textoindependiente"/>
        <w:spacing w:after="200" w:line="360" w:lineRule="auto"/>
        <w:ind w:firstLine="708"/>
        <w:jc w:val="both"/>
        <w:rPr>
          <w:rFonts w:ascii="Arial" w:eastAsia="Calibri" w:hAnsi="Arial" w:cs="Arial"/>
          <w:sz w:val="26"/>
          <w:szCs w:val="26"/>
        </w:rPr>
      </w:pPr>
      <w:r>
        <w:rPr>
          <w:rFonts w:ascii="Arial" w:eastAsia="Calibri" w:hAnsi="Arial" w:cs="Arial"/>
          <w:sz w:val="26"/>
          <w:szCs w:val="26"/>
        </w:rPr>
        <w:t xml:space="preserve">Esta Sala Superior estima que son sustancialmente </w:t>
      </w:r>
      <w:r w:rsidRPr="00175B0E">
        <w:rPr>
          <w:rFonts w:ascii="Arial" w:eastAsia="Calibri" w:hAnsi="Arial" w:cs="Arial"/>
          <w:b/>
          <w:sz w:val="26"/>
          <w:szCs w:val="26"/>
        </w:rPr>
        <w:t>fundados</w:t>
      </w:r>
      <w:r>
        <w:rPr>
          <w:rFonts w:ascii="Arial" w:eastAsia="Calibri" w:hAnsi="Arial" w:cs="Arial"/>
          <w:sz w:val="26"/>
          <w:szCs w:val="26"/>
        </w:rPr>
        <w:t xml:space="preserve"> los agravios del recurrente.</w:t>
      </w:r>
      <w:r w:rsidR="00C11A76">
        <w:rPr>
          <w:rFonts w:ascii="Arial" w:eastAsia="Calibri" w:hAnsi="Arial" w:cs="Arial"/>
          <w:sz w:val="26"/>
          <w:szCs w:val="26"/>
        </w:rPr>
        <w:t xml:space="preserve"> </w:t>
      </w:r>
      <w:r w:rsidR="00C11A76">
        <w:rPr>
          <w:rFonts w:ascii="Arial" w:hAnsi="Arial" w:cs="Arial"/>
          <w:sz w:val="26"/>
          <w:szCs w:val="26"/>
        </w:rPr>
        <w:t xml:space="preserve">- - - - - - - - - - - - - - - - - - - - - - - - - - - - - - - - - - - </w:t>
      </w:r>
    </w:p>
    <w:p w14:paraId="1D9C70F8" w14:textId="253782C8" w:rsidR="000D2255" w:rsidRDefault="00C10962" w:rsidP="00C10962">
      <w:pPr>
        <w:pStyle w:val="Textoindependiente"/>
        <w:spacing w:after="20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principio es necesario indicar, que de </w:t>
      </w:r>
      <w:r w:rsidRPr="00F062FC">
        <w:rPr>
          <w:rFonts w:ascii="Arial" w:eastAsia="Calibri" w:hAnsi="Arial" w:cs="Arial"/>
          <w:bCs/>
          <w:sz w:val="26"/>
          <w:szCs w:val="26"/>
        </w:rPr>
        <w:t xml:space="preserve">las constancias </w:t>
      </w:r>
      <w:r>
        <w:rPr>
          <w:rFonts w:ascii="Arial" w:eastAsia="Calibri" w:hAnsi="Arial" w:cs="Arial"/>
          <w:bCs/>
          <w:sz w:val="26"/>
          <w:szCs w:val="26"/>
        </w:rPr>
        <w:t xml:space="preserve">procesales </w:t>
      </w:r>
      <w:r w:rsidRPr="00F062FC">
        <w:rPr>
          <w:rFonts w:ascii="Arial" w:eastAsia="Calibri" w:hAnsi="Arial" w:cs="Arial"/>
          <w:bCs/>
          <w:sz w:val="26"/>
          <w:szCs w:val="26"/>
        </w:rPr>
        <w:t>que integran el ex</w:t>
      </w:r>
      <w:r>
        <w:rPr>
          <w:rFonts w:ascii="Arial" w:eastAsia="Calibri" w:hAnsi="Arial" w:cs="Arial"/>
          <w:bCs/>
          <w:sz w:val="26"/>
          <w:szCs w:val="26"/>
        </w:rPr>
        <w:t xml:space="preserve">pediente de primera instancia, </w:t>
      </w:r>
      <w:r w:rsidRPr="00F062FC">
        <w:rPr>
          <w:rFonts w:ascii="Arial" w:eastAsia="Calibri" w:hAnsi="Arial" w:cs="Arial"/>
          <w:bCs/>
          <w:sz w:val="26"/>
          <w:szCs w:val="26"/>
        </w:rPr>
        <w:t xml:space="preserve">las que </w:t>
      </w:r>
      <w:r>
        <w:rPr>
          <w:rFonts w:ascii="Arial" w:eastAsia="Calibri" w:hAnsi="Arial" w:cs="Arial"/>
          <w:bCs/>
          <w:sz w:val="26"/>
          <w:szCs w:val="26"/>
        </w:rPr>
        <w:t>tienen</w:t>
      </w:r>
      <w:r w:rsidRPr="00F062FC">
        <w:rPr>
          <w:rFonts w:ascii="Arial" w:eastAsia="Calibri" w:hAnsi="Arial" w:cs="Arial"/>
          <w:bCs/>
          <w:sz w:val="26"/>
          <w:szCs w:val="26"/>
        </w:rPr>
        <w:t xml:space="preserve"> pleno valor probatorio por tratarse de actuaciones judiciales, conforme</w:t>
      </w:r>
      <w:r>
        <w:rPr>
          <w:rFonts w:ascii="Arial" w:eastAsia="Calibri" w:hAnsi="Arial" w:cs="Arial"/>
          <w:bCs/>
          <w:sz w:val="26"/>
          <w:szCs w:val="26"/>
        </w:rPr>
        <w:t xml:space="preserve"> a</w:t>
      </w:r>
      <w:r w:rsidRPr="00F062FC">
        <w:rPr>
          <w:rFonts w:ascii="Arial" w:eastAsia="Calibri" w:hAnsi="Arial" w:cs="Arial"/>
          <w:bCs/>
          <w:sz w:val="26"/>
          <w:szCs w:val="26"/>
        </w:rPr>
        <w:t xml:space="preserve"> lo dispuesto por el artículo 203 fracción I</w:t>
      </w:r>
      <w:r>
        <w:rPr>
          <w:rStyle w:val="Refdenotaalpie"/>
          <w:rFonts w:ascii="Arial" w:eastAsia="Calibri" w:hAnsi="Arial" w:cs="Arial"/>
          <w:bCs/>
          <w:sz w:val="26"/>
          <w:szCs w:val="26"/>
        </w:rPr>
        <w:footnoteReference w:id="1"/>
      </w:r>
      <w:r w:rsidRPr="00F062FC">
        <w:rPr>
          <w:rFonts w:ascii="Arial" w:eastAsia="Calibri" w:hAnsi="Arial" w:cs="Arial"/>
          <w:bCs/>
          <w:sz w:val="26"/>
          <w:szCs w:val="26"/>
        </w:rPr>
        <w:t xml:space="preserve"> de la Ley de Procedimiento y Justicia Administrativa para el Estado de Oaxaca, se </w:t>
      </w:r>
      <w:r>
        <w:rPr>
          <w:rFonts w:ascii="Arial" w:eastAsia="Calibri" w:hAnsi="Arial" w:cs="Arial"/>
          <w:bCs/>
          <w:sz w:val="26"/>
          <w:szCs w:val="26"/>
        </w:rPr>
        <w:t>observa que, en la demanda</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de nulidad, el actor impugnó los actos consistentes en el mandamiento de ejecución </w:t>
      </w:r>
      <w:r w:rsidRPr="00B60C24">
        <w:rPr>
          <w:rFonts w:ascii="Arial" w:eastAsia="Calibri" w:hAnsi="Arial" w:cs="Arial"/>
          <w:bCs/>
          <w:sz w:val="26"/>
          <w:szCs w:val="26"/>
        </w:rPr>
        <w:t>número</w:t>
      </w:r>
      <w:r>
        <w:rPr>
          <w:rFonts w:ascii="Arial" w:eastAsia="Calibri" w:hAnsi="Arial" w:cs="Arial"/>
          <w:bCs/>
          <w:sz w:val="26"/>
          <w:szCs w:val="26"/>
        </w:rPr>
        <w:t xml:space="preserve"> </w:t>
      </w:r>
      <w:bookmarkStart w:id="0" w:name="_Hlk109422150"/>
      <w:r w:rsidR="00370C4E">
        <w:rPr>
          <w:rFonts w:ascii="Arial" w:eastAsia="Calibri" w:hAnsi="Arial" w:cs="Arial"/>
          <w:b/>
          <w:sz w:val="26"/>
          <w:szCs w:val="26"/>
        </w:rPr>
        <w:t>*******</w:t>
      </w:r>
      <w:r w:rsidR="000D2255">
        <w:rPr>
          <w:rFonts w:ascii="Arial" w:eastAsia="Calibri" w:hAnsi="Arial" w:cs="Arial"/>
          <w:bCs/>
          <w:sz w:val="26"/>
          <w:szCs w:val="26"/>
        </w:rPr>
        <w:t xml:space="preserve"> de diecinueve de abril de dos mil veintiuno</w:t>
      </w:r>
      <w:bookmarkEnd w:id="0"/>
      <w:r w:rsidR="000D2255">
        <w:rPr>
          <w:rFonts w:ascii="Arial" w:eastAsia="Calibri" w:hAnsi="Arial" w:cs="Arial"/>
          <w:bCs/>
          <w:sz w:val="26"/>
          <w:szCs w:val="26"/>
        </w:rPr>
        <w:t xml:space="preserve">, </w:t>
      </w:r>
      <w:r>
        <w:rPr>
          <w:rFonts w:ascii="Arial" w:eastAsia="Calibri" w:hAnsi="Arial" w:cs="Arial"/>
          <w:bCs/>
          <w:sz w:val="26"/>
          <w:szCs w:val="26"/>
        </w:rPr>
        <w:t xml:space="preserve">que contiene el crédito </w:t>
      </w:r>
      <w:r w:rsidRPr="00B60C24">
        <w:rPr>
          <w:rFonts w:ascii="Arial" w:eastAsia="Calibri" w:hAnsi="Arial" w:cs="Arial"/>
          <w:bCs/>
          <w:sz w:val="26"/>
          <w:szCs w:val="26"/>
        </w:rPr>
        <w:t xml:space="preserve">número </w:t>
      </w:r>
      <w:r w:rsidR="00370C4E">
        <w:rPr>
          <w:rFonts w:ascii="Arial" w:eastAsia="Calibri" w:hAnsi="Arial" w:cs="Arial"/>
          <w:b/>
          <w:sz w:val="26"/>
          <w:szCs w:val="26"/>
        </w:rPr>
        <w:t>*******</w:t>
      </w:r>
      <w:r w:rsidR="000D2255" w:rsidRPr="003E515C">
        <w:rPr>
          <w:rFonts w:ascii="Arial" w:eastAsia="Calibri" w:hAnsi="Arial" w:cs="Arial"/>
          <w:b/>
          <w:sz w:val="26"/>
          <w:szCs w:val="26"/>
        </w:rPr>
        <w:t>,</w:t>
      </w:r>
      <w:r w:rsidR="000D2255">
        <w:rPr>
          <w:rFonts w:ascii="Arial" w:eastAsia="Calibri" w:hAnsi="Arial" w:cs="Arial"/>
          <w:bCs/>
          <w:sz w:val="26"/>
          <w:szCs w:val="26"/>
        </w:rPr>
        <w:t xml:space="preserve"> derivado de la resolución determinante </w:t>
      </w:r>
      <w:r w:rsidR="00370C4E">
        <w:rPr>
          <w:rFonts w:ascii="Arial" w:eastAsia="Calibri" w:hAnsi="Arial" w:cs="Arial"/>
          <w:b/>
          <w:sz w:val="26"/>
          <w:szCs w:val="26"/>
        </w:rPr>
        <w:t>*******</w:t>
      </w:r>
      <w:r w:rsidR="000D2255" w:rsidRPr="003E515C">
        <w:rPr>
          <w:rFonts w:ascii="Arial" w:eastAsia="Calibri" w:hAnsi="Arial" w:cs="Arial"/>
          <w:b/>
          <w:sz w:val="26"/>
          <w:szCs w:val="26"/>
        </w:rPr>
        <w:t>,</w:t>
      </w:r>
      <w:r w:rsidR="000D2255">
        <w:rPr>
          <w:rFonts w:ascii="Arial" w:eastAsia="Calibri" w:hAnsi="Arial" w:cs="Arial"/>
          <w:bCs/>
          <w:sz w:val="26"/>
          <w:szCs w:val="26"/>
        </w:rPr>
        <w:t xml:space="preserve"> </w:t>
      </w:r>
      <w:r w:rsidR="003E515C">
        <w:rPr>
          <w:rFonts w:ascii="Arial" w:eastAsia="Calibri" w:hAnsi="Arial" w:cs="Arial"/>
          <w:bCs/>
          <w:sz w:val="26"/>
          <w:szCs w:val="26"/>
        </w:rPr>
        <w:t xml:space="preserve">de nueve de mayo de dos mil dieciséis. </w:t>
      </w:r>
      <w:r w:rsidR="00C11A76">
        <w:rPr>
          <w:rFonts w:ascii="Arial" w:hAnsi="Arial" w:cs="Arial"/>
          <w:sz w:val="26"/>
          <w:szCs w:val="26"/>
        </w:rPr>
        <w:t xml:space="preserve">- - - - - - - - - - - - - - - - - - - - - - - - - - - - - - - - - - - - - </w:t>
      </w:r>
    </w:p>
    <w:p w14:paraId="78F9079E" w14:textId="748A3EF2" w:rsidR="00C10962" w:rsidRDefault="00C10962" w:rsidP="00C10962">
      <w:pPr>
        <w:pStyle w:val="Textoindependiente"/>
        <w:spacing w:after="20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ese orden de ideas, del análisis efectuado a las constancias del mandamiento de ejecución </w:t>
      </w:r>
      <w:r w:rsidR="00370C4E">
        <w:rPr>
          <w:rFonts w:ascii="Arial" w:eastAsia="Calibri" w:hAnsi="Arial" w:cs="Arial"/>
          <w:b/>
          <w:sz w:val="26"/>
          <w:szCs w:val="26"/>
        </w:rPr>
        <w:t>*******</w:t>
      </w:r>
      <w:r w:rsidRPr="008B5A96">
        <w:rPr>
          <w:rStyle w:val="Refdenotaalpie"/>
          <w:rFonts w:ascii="Arial" w:eastAsia="Calibri" w:hAnsi="Arial" w:cs="Arial"/>
          <w:b/>
          <w:sz w:val="26"/>
          <w:szCs w:val="26"/>
        </w:rPr>
        <w:footnoteReference w:id="3"/>
      </w:r>
      <w:r w:rsidR="003A3E05" w:rsidRPr="008B5A96">
        <w:rPr>
          <w:rFonts w:ascii="Arial" w:eastAsia="Calibri" w:hAnsi="Arial" w:cs="Arial"/>
          <w:b/>
          <w:sz w:val="26"/>
          <w:szCs w:val="26"/>
        </w:rPr>
        <w:t>,</w:t>
      </w:r>
      <w:r>
        <w:rPr>
          <w:rFonts w:ascii="Arial" w:eastAsia="Calibri" w:hAnsi="Arial" w:cs="Arial"/>
          <w:bCs/>
          <w:sz w:val="26"/>
          <w:szCs w:val="26"/>
        </w:rPr>
        <w:t xml:space="preserve"> se observa lo siguiente:</w:t>
      </w:r>
    </w:p>
    <w:p w14:paraId="5F2BD8FD" w14:textId="06EF488C" w:rsidR="00BB4679" w:rsidRDefault="00C10962" w:rsidP="00BB4679">
      <w:pPr>
        <w:pStyle w:val="Textoindependiente"/>
        <w:numPr>
          <w:ilvl w:val="0"/>
          <w:numId w:val="13"/>
        </w:numPr>
        <w:spacing w:after="200" w:line="360" w:lineRule="auto"/>
        <w:jc w:val="both"/>
        <w:rPr>
          <w:rFonts w:ascii="Arial" w:eastAsia="Calibri" w:hAnsi="Arial" w:cs="Arial"/>
          <w:bCs/>
          <w:sz w:val="26"/>
          <w:szCs w:val="26"/>
        </w:rPr>
      </w:pPr>
      <w:r>
        <w:rPr>
          <w:rFonts w:ascii="Arial" w:eastAsia="Calibri" w:hAnsi="Arial" w:cs="Arial"/>
          <w:bCs/>
          <w:sz w:val="26"/>
          <w:szCs w:val="26"/>
        </w:rPr>
        <w:lastRenderedPageBreak/>
        <w:t xml:space="preserve">Que la resolución determinante del crédito número </w:t>
      </w:r>
      <w:r w:rsidR="00370C4E">
        <w:rPr>
          <w:rFonts w:ascii="Arial" w:eastAsia="Calibri" w:hAnsi="Arial" w:cs="Arial"/>
          <w:b/>
          <w:sz w:val="26"/>
          <w:szCs w:val="26"/>
        </w:rPr>
        <w:t>*******</w:t>
      </w:r>
      <w:r>
        <w:rPr>
          <w:rFonts w:ascii="Arial" w:eastAsia="Calibri" w:hAnsi="Arial" w:cs="Arial"/>
          <w:bCs/>
          <w:sz w:val="26"/>
          <w:szCs w:val="26"/>
        </w:rPr>
        <w:t xml:space="preserve"> fue la identificada con el número</w:t>
      </w:r>
      <w:r w:rsidR="00BB4679">
        <w:rPr>
          <w:rFonts w:ascii="Arial" w:eastAsia="Calibri" w:hAnsi="Arial" w:cs="Arial"/>
          <w:bCs/>
          <w:sz w:val="26"/>
          <w:szCs w:val="26"/>
        </w:rPr>
        <w:t xml:space="preserve"> </w:t>
      </w:r>
      <w:r w:rsidR="00370C4E">
        <w:rPr>
          <w:rFonts w:ascii="Arial" w:eastAsia="Calibri" w:hAnsi="Arial" w:cs="Arial"/>
          <w:b/>
          <w:sz w:val="26"/>
          <w:szCs w:val="26"/>
        </w:rPr>
        <w:t>*******</w:t>
      </w:r>
      <w:r w:rsidR="00BB4679" w:rsidRPr="003E515C">
        <w:rPr>
          <w:rFonts w:ascii="Arial" w:eastAsia="Calibri" w:hAnsi="Arial" w:cs="Arial"/>
          <w:b/>
          <w:sz w:val="26"/>
          <w:szCs w:val="26"/>
        </w:rPr>
        <w:t>,</w:t>
      </w:r>
      <w:r w:rsidR="00BB4679">
        <w:rPr>
          <w:rFonts w:ascii="Arial" w:eastAsia="Calibri" w:hAnsi="Arial" w:cs="Arial"/>
          <w:bCs/>
          <w:sz w:val="26"/>
          <w:szCs w:val="26"/>
        </w:rPr>
        <w:t xml:space="preserve"> de nueve de mayo de dos mil dieciséis. </w:t>
      </w:r>
    </w:p>
    <w:p w14:paraId="780FBB1A" w14:textId="36E35358" w:rsidR="00C10962" w:rsidRDefault="00C10962" w:rsidP="00C10962">
      <w:pPr>
        <w:pStyle w:val="Textoindependiente"/>
        <w:numPr>
          <w:ilvl w:val="0"/>
          <w:numId w:val="13"/>
        </w:numPr>
        <w:spacing w:after="200" w:line="360" w:lineRule="auto"/>
        <w:jc w:val="both"/>
        <w:rPr>
          <w:rFonts w:ascii="Arial" w:eastAsia="Calibri" w:hAnsi="Arial" w:cs="Arial"/>
          <w:bCs/>
          <w:sz w:val="26"/>
          <w:szCs w:val="26"/>
        </w:rPr>
      </w:pPr>
      <w:r>
        <w:rPr>
          <w:rFonts w:ascii="Arial" w:eastAsia="Calibri" w:hAnsi="Arial" w:cs="Arial"/>
          <w:bCs/>
          <w:sz w:val="26"/>
          <w:szCs w:val="26"/>
        </w:rPr>
        <w:t xml:space="preserve">Que el concepto de pago requerido, es </w:t>
      </w:r>
      <w:bookmarkStart w:id="1" w:name="_Hlk109422400"/>
      <w:proofErr w:type="gramStart"/>
      <w:r>
        <w:rPr>
          <w:rFonts w:ascii="Arial" w:eastAsia="Calibri" w:hAnsi="Arial" w:cs="Arial"/>
          <w:bCs/>
          <w:sz w:val="26"/>
          <w:szCs w:val="26"/>
        </w:rPr>
        <w:t>“</w:t>
      </w:r>
      <w:r w:rsidR="00611094">
        <w:rPr>
          <w:rFonts w:ascii="Arial" w:eastAsia="Calibri" w:hAnsi="Arial" w:cs="Arial"/>
          <w:bCs/>
          <w:sz w:val="26"/>
          <w:szCs w:val="26"/>
        </w:rPr>
        <w:t xml:space="preserve"> el</w:t>
      </w:r>
      <w:proofErr w:type="gramEnd"/>
      <w:r w:rsidR="00611094">
        <w:rPr>
          <w:rFonts w:ascii="Arial" w:eastAsia="Calibri" w:hAnsi="Arial" w:cs="Arial"/>
          <w:bCs/>
          <w:sz w:val="26"/>
          <w:szCs w:val="26"/>
        </w:rPr>
        <w:t xml:space="preserve"> resarcimiento de daños y perjuicios causados a la hacienda pública municipal del Municipio de </w:t>
      </w:r>
      <w:r w:rsidR="00370C4E">
        <w:rPr>
          <w:rFonts w:ascii="Arial" w:eastAsia="Calibri" w:hAnsi="Arial" w:cs="Arial"/>
          <w:bCs/>
          <w:sz w:val="26"/>
          <w:szCs w:val="26"/>
        </w:rPr>
        <w:t>*******</w:t>
      </w:r>
      <w:r w:rsidR="00611094">
        <w:rPr>
          <w:rFonts w:ascii="Arial" w:eastAsia="Calibri" w:hAnsi="Arial" w:cs="Arial"/>
          <w:bCs/>
          <w:sz w:val="26"/>
          <w:szCs w:val="26"/>
        </w:rPr>
        <w:t xml:space="preserve">, </w:t>
      </w:r>
      <w:r w:rsidR="0013194F">
        <w:rPr>
          <w:rFonts w:ascii="Arial" w:eastAsia="Calibri" w:hAnsi="Arial" w:cs="Arial"/>
          <w:bCs/>
          <w:sz w:val="26"/>
          <w:szCs w:val="26"/>
        </w:rPr>
        <w:t>durante el ejercicio fiscal 2010</w:t>
      </w:r>
      <w:r>
        <w:rPr>
          <w:rFonts w:ascii="Arial" w:eastAsia="Calibri" w:hAnsi="Arial" w:cs="Arial"/>
          <w:bCs/>
          <w:sz w:val="26"/>
          <w:szCs w:val="26"/>
        </w:rPr>
        <w:t>”</w:t>
      </w:r>
      <w:r w:rsidR="0013194F">
        <w:rPr>
          <w:rFonts w:ascii="Arial" w:eastAsia="Calibri" w:hAnsi="Arial" w:cs="Arial"/>
          <w:bCs/>
          <w:sz w:val="26"/>
          <w:szCs w:val="26"/>
        </w:rPr>
        <w:t xml:space="preserve">, cuando </w:t>
      </w:r>
      <w:r w:rsidR="00370C4E">
        <w:rPr>
          <w:rFonts w:ascii="Arial" w:eastAsia="Calibri" w:hAnsi="Arial" w:cs="Arial"/>
          <w:bCs/>
          <w:sz w:val="26"/>
          <w:szCs w:val="26"/>
        </w:rPr>
        <w:t>*******</w:t>
      </w:r>
      <w:r w:rsidR="0013194F">
        <w:rPr>
          <w:rFonts w:ascii="Arial" w:eastAsia="Calibri" w:hAnsi="Arial" w:cs="Arial"/>
          <w:bCs/>
          <w:sz w:val="26"/>
          <w:szCs w:val="26"/>
        </w:rPr>
        <w:t xml:space="preserve"> fungió como regidor de hacienda de ese municipio. </w:t>
      </w:r>
    </w:p>
    <w:bookmarkEnd w:id="1"/>
    <w:p w14:paraId="0E89D57A" w14:textId="4BDD6AE7" w:rsidR="00C10962" w:rsidRPr="00A90EA7" w:rsidRDefault="00C10962" w:rsidP="003D4358">
      <w:pPr>
        <w:pStyle w:val="Textoindependiente"/>
        <w:numPr>
          <w:ilvl w:val="0"/>
          <w:numId w:val="13"/>
        </w:numPr>
        <w:spacing w:after="200" w:line="360" w:lineRule="auto"/>
        <w:jc w:val="both"/>
        <w:rPr>
          <w:rFonts w:ascii="Arial" w:eastAsia="Calibri" w:hAnsi="Arial" w:cs="Arial"/>
          <w:b/>
          <w:sz w:val="26"/>
          <w:szCs w:val="26"/>
        </w:rPr>
      </w:pPr>
      <w:r w:rsidRPr="0013194F">
        <w:rPr>
          <w:rFonts w:ascii="Arial" w:eastAsia="Calibri" w:hAnsi="Arial" w:cs="Arial"/>
          <w:bCs/>
          <w:sz w:val="26"/>
          <w:szCs w:val="26"/>
        </w:rPr>
        <w:t>Que se trata de un</w:t>
      </w:r>
      <w:r w:rsidR="0013194F" w:rsidRPr="0013194F">
        <w:rPr>
          <w:rFonts w:ascii="Arial" w:eastAsia="Calibri" w:hAnsi="Arial" w:cs="Arial"/>
          <w:bCs/>
          <w:sz w:val="26"/>
          <w:szCs w:val="26"/>
        </w:rPr>
        <w:t xml:space="preserve"> requerimiento de pago derivado de un procedimiento de responsabilidad resarcitoria, que no tiene carácter fiscal, </w:t>
      </w:r>
      <w:r w:rsidRPr="0013194F">
        <w:rPr>
          <w:rFonts w:ascii="Arial" w:eastAsia="Calibri" w:hAnsi="Arial" w:cs="Arial"/>
          <w:bCs/>
          <w:sz w:val="26"/>
          <w:szCs w:val="26"/>
        </w:rPr>
        <w:t xml:space="preserve">por un importe determinado en cantidad de </w:t>
      </w:r>
      <w:bookmarkStart w:id="2" w:name="_Hlk109421515"/>
      <w:r w:rsidRPr="00A90EA7">
        <w:rPr>
          <w:rFonts w:ascii="Arial" w:eastAsia="Calibri" w:hAnsi="Arial" w:cs="Arial"/>
          <w:b/>
          <w:sz w:val="26"/>
          <w:szCs w:val="26"/>
        </w:rPr>
        <w:t>$</w:t>
      </w:r>
      <w:r w:rsidR="00370C4E">
        <w:rPr>
          <w:rFonts w:ascii="Arial" w:eastAsia="Calibri" w:hAnsi="Arial" w:cs="Arial"/>
          <w:b/>
          <w:sz w:val="26"/>
          <w:szCs w:val="26"/>
        </w:rPr>
        <w:t>*******</w:t>
      </w:r>
      <w:r w:rsidRPr="00A90EA7">
        <w:rPr>
          <w:rFonts w:ascii="Arial" w:eastAsia="Calibri" w:hAnsi="Arial" w:cs="Arial"/>
          <w:b/>
          <w:sz w:val="26"/>
          <w:szCs w:val="26"/>
        </w:rPr>
        <w:t>).</w:t>
      </w:r>
    </w:p>
    <w:bookmarkEnd w:id="2"/>
    <w:p w14:paraId="58CF54B4" w14:textId="5FC401A9" w:rsidR="00C10962" w:rsidRDefault="00C10962" w:rsidP="00C10962">
      <w:pPr>
        <w:pStyle w:val="Textoindependiente"/>
        <w:spacing w:after="200" w:line="360" w:lineRule="auto"/>
        <w:ind w:firstLine="360"/>
        <w:jc w:val="both"/>
        <w:rPr>
          <w:rFonts w:ascii="Arial" w:eastAsia="Calibri" w:hAnsi="Arial" w:cs="Arial"/>
          <w:bCs/>
          <w:sz w:val="26"/>
          <w:szCs w:val="26"/>
        </w:rPr>
      </w:pPr>
      <w:r>
        <w:rPr>
          <w:rFonts w:ascii="Arial" w:eastAsia="Calibri" w:hAnsi="Arial" w:cs="Arial"/>
          <w:bCs/>
          <w:sz w:val="26"/>
          <w:szCs w:val="26"/>
        </w:rPr>
        <w:t>Como se ve, el mandamiento de ejecución impugnado se deriva de una multa que no es de naturaleza tributaria, si no que proviene de un procedimiento de fiscalización instaurado en contra del ahora recurrente por la Auditoría Superior del Estado en aquél tiempo, ahora Órgano Superior de Fiscalización del Estado, aunque dicho acto haya sido emitido por la Coordinadora de Cobro Coactivo de la Secretaría de Finanzas del Estado de Oaxaca y se haya diligenciado conforme al procedimiento administrativo de ejecución establecido en el Código Fiscal para el Estado de Oaxaca vigente.</w:t>
      </w:r>
      <w:r w:rsidR="00C11A76">
        <w:rPr>
          <w:rFonts w:ascii="Arial" w:eastAsia="Calibri" w:hAnsi="Arial" w:cs="Arial"/>
          <w:bCs/>
          <w:sz w:val="26"/>
          <w:szCs w:val="26"/>
        </w:rPr>
        <w:t xml:space="preserve"> </w:t>
      </w:r>
      <w:r w:rsidR="00C11A76">
        <w:rPr>
          <w:rFonts w:ascii="Arial" w:hAnsi="Arial" w:cs="Arial"/>
          <w:sz w:val="26"/>
          <w:szCs w:val="26"/>
        </w:rPr>
        <w:t xml:space="preserve">- - - - - - - - - - - - - - - - - - - - - - </w:t>
      </w:r>
    </w:p>
    <w:p w14:paraId="24F15DC0" w14:textId="1DA1FB2F" w:rsidR="00C10962" w:rsidRDefault="00C10962" w:rsidP="00095249">
      <w:pPr>
        <w:pStyle w:val="Textoindependiente"/>
        <w:spacing w:after="200" w:line="360" w:lineRule="auto"/>
        <w:ind w:firstLine="708"/>
        <w:jc w:val="both"/>
        <w:rPr>
          <w:rFonts w:ascii="Arial" w:eastAsia="Calibri" w:hAnsi="Arial" w:cs="Arial"/>
          <w:bCs/>
          <w:sz w:val="26"/>
          <w:szCs w:val="26"/>
        </w:rPr>
      </w:pPr>
      <w:r>
        <w:rPr>
          <w:rFonts w:ascii="Arial" w:eastAsia="Calibri" w:hAnsi="Arial" w:cs="Arial"/>
          <w:bCs/>
          <w:sz w:val="26"/>
          <w:szCs w:val="26"/>
        </w:rPr>
        <w:t xml:space="preserve">Sin embargo, en el acuerdo de </w:t>
      </w:r>
      <w:r w:rsidR="00095249">
        <w:rPr>
          <w:rFonts w:ascii="Arial" w:eastAsia="Calibri" w:hAnsi="Arial" w:cs="Arial"/>
          <w:bCs/>
          <w:sz w:val="26"/>
          <w:szCs w:val="26"/>
        </w:rPr>
        <w:t xml:space="preserve">veinticuatro de mayo </w:t>
      </w:r>
      <w:r>
        <w:rPr>
          <w:rFonts w:ascii="Arial" w:eastAsia="Calibri" w:hAnsi="Arial" w:cs="Arial"/>
          <w:bCs/>
          <w:sz w:val="26"/>
          <w:szCs w:val="26"/>
        </w:rPr>
        <w:t>de dos mil veint</w:t>
      </w:r>
      <w:r w:rsidR="00095249">
        <w:rPr>
          <w:rFonts w:ascii="Arial" w:eastAsia="Calibri" w:hAnsi="Arial" w:cs="Arial"/>
          <w:bCs/>
          <w:sz w:val="26"/>
          <w:szCs w:val="26"/>
        </w:rPr>
        <w:t>iuno</w:t>
      </w:r>
      <w:r>
        <w:rPr>
          <w:rFonts w:ascii="Arial" w:eastAsia="Calibri" w:hAnsi="Arial" w:cs="Arial"/>
          <w:bCs/>
          <w:sz w:val="26"/>
          <w:szCs w:val="26"/>
        </w:rPr>
        <w:t xml:space="preserve">, </w:t>
      </w:r>
      <w:r w:rsidR="00095249">
        <w:rPr>
          <w:rFonts w:ascii="Arial" w:eastAsia="Calibri" w:hAnsi="Arial" w:cs="Arial"/>
          <w:bCs/>
          <w:sz w:val="26"/>
          <w:szCs w:val="26"/>
        </w:rPr>
        <w:t xml:space="preserve">la Segunda </w:t>
      </w:r>
      <w:r>
        <w:rPr>
          <w:rFonts w:ascii="Arial" w:eastAsia="Calibri" w:hAnsi="Arial" w:cs="Arial"/>
          <w:bCs/>
          <w:sz w:val="26"/>
          <w:szCs w:val="26"/>
        </w:rPr>
        <w:t>Sala Unitaria de Primera Instancia, sin haber realizado el análisis integral de los actos impugnados por</w:t>
      </w:r>
      <w:r w:rsidR="00095249">
        <w:rPr>
          <w:rFonts w:ascii="Arial" w:eastAsia="Calibri" w:hAnsi="Arial" w:cs="Arial"/>
          <w:bCs/>
          <w:sz w:val="26"/>
          <w:szCs w:val="26"/>
        </w:rPr>
        <w:t xml:space="preserve"> </w:t>
      </w:r>
      <w:r w:rsidR="00370C4E">
        <w:rPr>
          <w:rFonts w:ascii="Arial" w:eastAsia="Calibri" w:hAnsi="Arial" w:cs="Arial"/>
          <w:b/>
          <w:sz w:val="26"/>
          <w:szCs w:val="26"/>
        </w:rPr>
        <w:t>*******</w:t>
      </w:r>
      <w:r w:rsidR="007E64CE" w:rsidRPr="007E64CE">
        <w:rPr>
          <w:rFonts w:ascii="Arial" w:eastAsia="Calibri" w:hAnsi="Arial" w:cs="Arial"/>
          <w:b/>
          <w:sz w:val="26"/>
          <w:szCs w:val="26"/>
        </w:rPr>
        <w:t>,</w:t>
      </w:r>
      <w:r w:rsidR="007E64CE">
        <w:rPr>
          <w:rFonts w:ascii="Arial" w:eastAsia="Calibri" w:hAnsi="Arial" w:cs="Arial"/>
          <w:bCs/>
          <w:sz w:val="26"/>
          <w:szCs w:val="26"/>
        </w:rPr>
        <w:t xml:space="preserve"> </w:t>
      </w:r>
      <w:r>
        <w:rPr>
          <w:rFonts w:ascii="Arial" w:eastAsia="Calibri" w:hAnsi="Arial" w:cs="Arial"/>
          <w:bCs/>
          <w:sz w:val="26"/>
          <w:szCs w:val="26"/>
        </w:rPr>
        <w:t xml:space="preserve">determinó desechar por improcedente la demanda promovida en contra del </w:t>
      </w:r>
      <w:r w:rsidRPr="00ED277A">
        <w:rPr>
          <w:rFonts w:ascii="Arial" w:eastAsia="Calibri" w:hAnsi="Arial" w:cs="Arial"/>
          <w:bCs/>
          <w:sz w:val="26"/>
          <w:szCs w:val="26"/>
        </w:rPr>
        <w:t>mandamiento de ejecución</w:t>
      </w:r>
      <w:r w:rsidR="00095249">
        <w:rPr>
          <w:rFonts w:ascii="Arial" w:eastAsia="Calibri" w:hAnsi="Arial" w:cs="Arial"/>
          <w:bCs/>
          <w:sz w:val="26"/>
          <w:szCs w:val="26"/>
        </w:rPr>
        <w:t xml:space="preserve"> </w:t>
      </w:r>
      <w:r w:rsidR="00370C4E">
        <w:rPr>
          <w:rFonts w:ascii="Arial" w:eastAsia="Calibri" w:hAnsi="Arial" w:cs="Arial"/>
          <w:b/>
          <w:sz w:val="26"/>
          <w:szCs w:val="26"/>
        </w:rPr>
        <w:t>*******</w:t>
      </w:r>
      <w:r w:rsidR="00095249">
        <w:rPr>
          <w:rFonts w:ascii="Arial" w:eastAsia="Calibri" w:hAnsi="Arial" w:cs="Arial"/>
          <w:b/>
          <w:sz w:val="26"/>
          <w:szCs w:val="26"/>
        </w:rPr>
        <w:t xml:space="preserve">, </w:t>
      </w:r>
      <w:r>
        <w:rPr>
          <w:rFonts w:ascii="Arial" w:eastAsia="Calibri" w:hAnsi="Arial" w:cs="Arial"/>
          <w:bCs/>
          <w:sz w:val="26"/>
          <w:szCs w:val="26"/>
        </w:rPr>
        <w:t xml:space="preserve"> porque estimó que este acto no es</w:t>
      </w:r>
      <w:r w:rsidR="00095249">
        <w:rPr>
          <w:rFonts w:ascii="Arial" w:eastAsia="Calibri" w:hAnsi="Arial" w:cs="Arial"/>
          <w:bCs/>
          <w:sz w:val="26"/>
          <w:szCs w:val="26"/>
        </w:rPr>
        <w:t xml:space="preserve"> impugnable al carecer de definitividad, por no encontrarse en las hipótesis del artículo </w:t>
      </w:r>
      <w:r>
        <w:rPr>
          <w:rFonts w:ascii="Arial" w:eastAsia="Calibri" w:hAnsi="Arial" w:cs="Arial"/>
          <w:bCs/>
          <w:sz w:val="26"/>
          <w:szCs w:val="26"/>
        </w:rPr>
        <w:t>133 fracción VIII incisos a), b)</w:t>
      </w:r>
      <w:r w:rsidR="00095249">
        <w:rPr>
          <w:rFonts w:ascii="Arial" w:eastAsia="Calibri" w:hAnsi="Arial" w:cs="Arial"/>
          <w:bCs/>
          <w:sz w:val="26"/>
          <w:szCs w:val="26"/>
        </w:rPr>
        <w:t xml:space="preserve"> y </w:t>
      </w:r>
      <w:r>
        <w:rPr>
          <w:rFonts w:ascii="Arial" w:eastAsia="Calibri" w:hAnsi="Arial" w:cs="Arial"/>
          <w:bCs/>
          <w:sz w:val="26"/>
          <w:szCs w:val="26"/>
        </w:rPr>
        <w:t xml:space="preserve"> c) </w:t>
      </w:r>
      <w:r w:rsidR="00095249">
        <w:rPr>
          <w:rFonts w:ascii="Arial" w:eastAsia="Calibri" w:hAnsi="Arial" w:cs="Arial"/>
          <w:bCs/>
          <w:sz w:val="26"/>
          <w:szCs w:val="26"/>
        </w:rPr>
        <w:t>de</w:t>
      </w:r>
      <w:r>
        <w:rPr>
          <w:rFonts w:ascii="Arial" w:eastAsia="Calibri" w:hAnsi="Arial" w:cs="Arial"/>
          <w:bCs/>
          <w:sz w:val="26"/>
          <w:szCs w:val="26"/>
        </w:rPr>
        <w:t xml:space="preserve"> la</w:t>
      </w:r>
      <w:r w:rsidRPr="00181701">
        <w:rPr>
          <w:rFonts w:ascii="Arial" w:eastAsia="Calibri" w:hAnsi="Arial" w:cs="Arial"/>
          <w:bCs/>
          <w:sz w:val="26"/>
          <w:szCs w:val="26"/>
        </w:rPr>
        <w:t xml:space="preserve"> Ley de Procedimiento y Justicia Administ</w:t>
      </w:r>
      <w:r>
        <w:rPr>
          <w:rFonts w:ascii="Arial" w:eastAsia="Calibri" w:hAnsi="Arial" w:cs="Arial"/>
          <w:bCs/>
          <w:sz w:val="26"/>
          <w:szCs w:val="26"/>
        </w:rPr>
        <w:t>rativa para el Estado de Oaxaca, que establecen:</w:t>
      </w:r>
    </w:p>
    <w:p w14:paraId="639A4964" w14:textId="42020732" w:rsidR="00C10962" w:rsidRPr="00F432B6" w:rsidRDefault="00C10962" w:rsidP="00C11A76">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“ARTÍCULO 133.-</w:t>
      </w:r>
      <w:r w:rsidRPr="00F432B6">
        <w:rPr>
          <w:rFonts w:ascii="Arial" w:eastAsia="Calibri" w:hAnsi="Arial" w:cs="Arial"/>
          <w:bCs/>
          <w:i/>
          <w:sz w:val="22"/>
          <w:szCs w:val="22"/>
        </w:rPr>
        <w:t xml:space="preserve"> Las Salas Unitarias del Tribunal son competentes para conocer y resolver los juicios que se promuevan en contra de: (…)</w:t>
      </w:r>
    </w:p>
    <w:p w14:paraId="30FE73F8" w14:textId="77777777" w:rsidR="00C10962" w:rsidRPr="00F432B6" w:rsidRDefault="00C10962" w:rsidP="00C11A76">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VIII.</w:t>
      </w:r>
      <w:r w:rsidRPr="00F432B6">
        <w:rPr>
          <w:rFonts w:ascii="Arial" w:eastAsia="Calibri" w:hAnsi="Arial" w:cs="Arial"/>
          <w:bCs/>
          <w:i/>
          <w:sz w:val="22"/>
          <w:szCs w:val="22"/>
        </w:rPr>
        <w:t xml:space="preserve"> El procedimiento administrativo de ejecución cuando el afectado en dicho procedimiento opte por no interponer el recurso ordinario ante las autoridades competentes y cuando afirme:</w:t>
      </w:r>
    </w:p>
    <w:p w14:paraId="2CB3C77D" w14:textId="77777777" w:rsidR="00C10962" w:rsidRPr="00F432B6" w:rsidRDefault="00C10962" w:rsidP="00C11A76">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 xml:space="preserve">a) </w:t>
      </w:r>
      <w:r w:rsidRPr="00F432B6">
        <w:rPr>
          <w:rFonts w:ascii="Arial" w:eastAsia="Calibri" w:hAnsi="Arial" w:cs="Arial"/>
          <w:bCs/>
          <w:i/>
          <w:sz w:val="22"/>
          <w:szCs w:val="22"/>
        </w:rPr>
        <w:t>Que el crédito que le exige se ha extinguido legalmente;</w:t>
      </w:r>
    </w:p>
    <w:p w14:paraId="07F8CA73" w14:textId="77777777" w:rsidR="00C10962" w:rsidRPr="00F432B6" w:rsidRDefault="00C10962" w:rsidP="00C11A76">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b)</w:t>
      </w:r>
      <w:r w:rsidRPr="00F432B6">
        <w:rPr>
          <w:rFonts w:ascii="Arial" w:eastAsia="Calibri" w:hAnsi="Arial" w:cs="Arial"/>
          <w:bCs/>
          <w:i/>
          <w:sz w:val="22"/>
          <w:szCs w:val="22"/>
        </w:rPr>
        <w:t xml:space="preserve"> Que el monto del crédito es inferior al exigible;</w:t>
      </w:r>
    </w:p>
    <w:p w14:paraId="0B8180F2" w14:textId="490DD1F3" w:rsidR="00C10962" w:rsidRPr="00F432B6" w:rsidRDefault="00C10962" w:rsidP="00C11A76">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lastRenderedPageBreak/>
        <w:t>c)</w:t>
      </w:r>
      <w:r w:rsidRPr="00F432B6">
        <w:rPr>
          <w:rFonts w:ascii="Arial" w:eastAsia="Calibri" w:hAnsi="Arial" w:cs="Arial"/>
          <w:bCs/>
          <w:i/>
          <w:sz w:val="22"/>
          <w:szCs w:val="22"/>
        </w:rPr>
        <w:t xml:space="preserve"> Que es poseedor, a título de propietario, del bien embargado;”</w:t>
      </w:r>
    </w:p>
    <w:p w14:paraId="023C7200" w14:textId="118F005E" w:rsidR="00C10962" w:rsidRDefault="00C10962" w:rsidP="00C11A76">
      <w:pPr>
        <w:pStyle w:val="Textoindependiente"/>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Los preceptos legales invocados contemplan el supuesto de procedencia del juicio contencioso administrativo en contra del procedimiento administrativo de ejecución cuando no se promueva el recurso administrativo ante las autoridades competentes. Aunado a esto, </w:t>
      </w:r>
      <w:bookmarkStart w:id="3" w:name="_Hlk109426215"/>
      <w:r>
        <w:rPr>
          <w:rFonts w:ascii="Arial" w:eastAsia="Calibri" w:hAnsi="Arial" w:cs="Arial"/>
          <w:bCs/>
          <w:sz w:val="26"/>
          <w:szCs w:val="26"/>
        </w:rPr>
        <w:t xml:space="preserve">es pertinente mencionar que si bien es cierto que el numeral 120 fracción I de la </w:t>
      </w:r>
      <w:r w:rsidRPr="00181701">
        <w:rPr>
          <w:rFonts w:ascii="Arial" w:eastAsia="Calibri" w:hAnsi="Arial" w:cs="Arial"/>
          <w:bCs/>
          <w:sz w:val="26"/>
          <w:szCs w:val="26"/>
        </w:rPr>
        <w:t>Ley de Procedimiento y Justicia Administ</w:t>
      </w:r>
      <w:r>
        <w:rPr>
          <w:rFonts w:ascii="Arial" w:eastAsia="Calibri" w:hAnsi="Arial" w:cs="Arial"/>
          <w:bCs/>
          <w:sz w:val="26"/>
          <w:szCs w:val="26"/>
        </w:rPr>
        <w:t xml:space="preserve">rativa para el Estado de Oaxaca, dispone que este Tribunal es competente para resolver las controversias de carácter fiscal que se susciten entre los </w:t>
      </w:r>
      <w:r w:rsidRPr="00920599">
        <w:rPr>
          <w:rFonts w:ascii="Arial" w:eastAsia="Calibri" w:hAnsi="Arial" w:cs="Arial"/>
          <w:bCs/>
          <w:sz w:val="26"/>
          <w:szCs w:val="26"/>
        </w:rPr>
        <w:t>particulares y las autoridades de la administración pública del Estado</w:t>
      </w:r>
      <w:r>
        <w:rPr>
          <w:rFonts w:ascii="Arial" w:eastAsia="Calibri" w:hAnsi="Arial" w:cs="Arial"/>
          <w:bCs/>
          <w:sz w:val="26"/>
          <w:szCs w:val="26"/>
        </w:rPr>
        <w:t>, también se debe tener en cuenta que el artículo 1 de la Ley d</w:t>
      </w:r>
      <w:r w:rsidRPr="007807F4">
        <w:rPr>
          <w:rFonts w:ascii="Arial" w:eastAsia="Calibri" w:hAnsi="Arial" w:cs="Arial"/>
          <w:bCs/>
          <w:sz w:val="26"/>
          <w:szCs w:val="26"/>
        </w:rPr>
        <w:t xml:space="preserve">e Justicia </w:t>
      </w:r>
      <w:r>
        <w:rPr>
          <w:rFonts w:ascii="Arial" w:eastAsia="Calibri" w:hAnsi="Arial" w:cs="Arial"/>
          <w:bCs/>
          <w:sz w:val="26"/>
          <w:szCs w:val="26"/>
        </w:rPr>
        <w:t>de Fiscalización y</w:t>
      </w:r>
      <w:r w:rsidRPr="007807F4">
        <w:rPr>
          <w:rFonts w:ascii="Arial" w:eastAsia="Calibri" w:hAnsi="Arial" w:cs="Arial"/>
          <w:bCs/>
          <w:sz w:val="26"/>
          <w:szCs w:val="26"/>
        </w:rPr>
        <w:t xml:space="preserve"> Rendición</w:t>
      </w:r>
      <w:r>
        <w:rPr>
          <w:rFonts w:ascii="Arial" w:eastAsia="Calibri" w:hAnsi="Arial" w:cs="Arial"/>
          <w:bCs/>
          <w:sz w:val="26"/>
          <w:szCs w:val="26"/>
        </w:rPr>
        <w:t xml:space="preserve"> de Cuentas para el Estado d</w:t>
      </w:r>
      <w:r w:rsidRPr="007807F4">
        <w:rPr>
          <w:rFonts w:ascii="Arial" w:eastAsia="Calibri" w:hAnsi="Arial" w:cs="Arial"/>
          <w:bCs/>
          <w:sz w:val="26"/>
          <w:szCs w:val="26"/>
        </w:rPr>
        <w:t>e Oaxaca</w:t>
      </w:r>
      <w:r>
        <w:rPr>
          <w:rFonts w:ascii="Arial" w:eastAsia="Calibri" w:hAnsi="Arial" w:cs="Arial"/>
          <w:bCs/>
          <w:sz w:val="26"/>
          <w:szCs w:val="26"/>
        </w:rPr>
        <w:t xml:space="preserve"> establece que a través del juicio de inconformidad debe garantizarse que </w:t>
      </w:r>
      <w:r w:rsidRPr="007807F4">
        <w:rPr>
          <w:rFonts w:ascii="Arial" w:eastAsia="Calibri" w:hAnsi="Arial" w:cs="Arial"/>
          <w:bCs/>
          <w:sz w:val="26"/>
          <w:szCs w:val="26"/>
        </w:rPr>
        <w:t>los actos y resoluciones de la Auditoría Superior del Estado,</w:t>
      </w:r>
      <w:r>
        <w:rPr>
          <w:rFonts w:ascii="Arial" w:eastAsia="Calibri" w:hAnsi="Arial" w:cs="Arial"/>
          <w:bCs/>
          <w:sz w:val="26"/>
          <w:szCs w:val="26"/>
        </w:rPr>
        <w:t xml:space="preserve"> ahora Órgano Superior de Fiscalización del Estado de Oaxaca, </w:t>
      </w:r>
      <w:r w:rsidRPr="007807F4">
        <w:rPr>
          <w:rFonts w:ascii="Arial" w:eastAsia="Calibri" w:hAnsi="Arial" w:cs="Arial"/>
          <w:bCs/>
          <w:sz w:val="26"/>
          <w:szCs w:val="26"/>
        </w:rPr>
        <w:t>se sujeten a los principios de legalidad, defin</w:t>
      </w:r>
      <w:r>
        <w:rPr>
          <w:rFonts w:ascii="Arial" w:eastAsia="Calibri" w:hAnsi="Arial" w:cs="Arial"/>
          <w:bCs/>
          <w:sz w:val="26"/>
          <w:szCs w:val="26"/>
        </w:rPr>
        <w:t>i</w:t>
      </w:r>
      <w:r w:rsidRPr="007807F4">
        <w:rPr>
          <w:rFonts w:ascii="Arial" w:eastAsia="Calibri" w:hAnsi="Arial" w:cs="Arial"/>
          <w:bCs/>
          <w:sz w:val="26"/>
          <w:szCs w:val="26"/>
        </w:rPr>
        <w:t>tividad</w:t>
      </w:r>
      <w:r>
        <w:rPr>
          <w:rFonts w:ascii="Arial" w:eastAsia="Calibri" w:hAnsi="Arial" w:cs="Arial"/>
          <w:bCs/>
          <w:sz w:val="26"/>
          <w:szCs w:val="26"/>
        </w:rPr>
        <w:t xml:space="preserve"> </w:t>
      </w:r>
      <w:r w:rsidRPr="007807F4">
        <w:rPr>
          <w:rFonts w:ascii="Arial" w:eastAsia="Calibri" w:hAnsi="Arial" w:cs="Arial"/>
          <w:bCs/>
          <w:sz w:val="26"/>
          <w:szCs w:val="26"/>
        </w:rPr>
        <w:t>y demás principios constitucionales</w:t>
      </w:r>
      <w:r>
        <w:rPr>
          <w:rFonts w:ascii="Arial" w:eastAsia="Calibri" w:hAnsi="Arial" w:cs="Arial"/>
          <w:bCs/>
          <w:sz w:val="26"/>
          <w:szCs w:val="26"/>
        </w:rPr>
        <w:t>.</w:t>
      </w:r>
      <w:r w:rsidR="00C11A76" w:rsidRPr="00C11A76">
        <w:rPr>
          <w:rFonts w:ascii="Arial" w:hAnsi="Arial" w:cs="Arial"/>
          <w:sz w:val="26"/>
          <w:szCs w:val="26"/>
        </w:rPr>
        <w:t xml:space="preserve"> </w:t>
      </w:r>
      <w:r w:rsidR="00C11A76">
        <w:rPr>
          <w:rFonts w:ascii="Arial" w:hAnsi="Arial" w:cs="Arial"/>
          <w:sz w:val="26"/>
          <w:szCs w:val="26"/>
        </w:rPr>
        <w:t xml:space="preserve">- - - - - - - - - - - - - - - - - - - - - - - - - - - - - - - - - - - - - - - - </w:t>
      </w:r>
    </w:p>
    <w:bookmarkEnd w:id="3"/>
    <w:p w14:paraId="63EE124F" w14:textId="3016CA51" w:rsidR="00C10962" w:rsidRDefault="00C10962" w:rsidP="00A90EA7">
      <w:pPr>
        <w:pStyle w:val="Textoindependiente"/>
        <w:spacing w:line="360" w:lineRule="auto"/>
        <w:ind w:right="49" w:firstLine="567"/>
        <w:jc w:val="both"/>
        <w:rPr>
          <w:rFonts w:ascii="Arial" w:eastAsia="Calibri" w:hAnsi="Arial" w:cs="Arial"/>
          <w:bCs/>
          <w:sz w:val="26"/>
          <w:szCs w:val="26"/>
        </w:rPr>
      </w:pPr>
      <w:r>
        <w:rPr>
          <w:rFonts w:ascii="Arial" w:eastAsia="Calibri" w:hAnsi="Arial" w:cs="Arial"/>
          <w:bCs/>
          <w:sz w:val="26"/>
          <w:szCs w:val="26"/>
        </w:rPr>
        <w:t>Bajo esa consideración, se tiene que la vía adecuada para impugnar el mandamiento de ejecución</w:t>
      </w:r>
      <w:r w:rsidR="007E64CE">
        <w:rPr>
          <w:rFonts w:ascii="Arial" w:eastAsia="Calibri" w:hAnsi="Arial" w:cs="Arial"/>
          <w:bCs/>
          <w:sz w:val="26"/>
          <w:szCs w:val="26"/>
        </w:rPr>
        <w:t xml:space="preserve"> </w:t>
      </w:r>
      <w:r w:rsidR="00370C4E">
        <w:rPr>
          <w:rFonts w:ascii="Arial" w:eastAsia="Calibri" w:hAnsi="Arial" w:cs="Arial"/>
          <w:b/>
          <w:sz w:val="26"/>
          <w:szCs w:val="26"/>
        </w:rPr>
        <w:t>*******</w:t>
      </w:r>
      <w:r w:rsidR="007E64CE">
        <w:rPr>
          <w:rFonts w:ascii="Arial" w:eastAsia="Calibri" w:hAnsi="Arial" w:cs="Arial"/>
          <w:b/>
          <w:sz w:val="26"/>
          <w:szCs w:val="26"/>
        </w:rPr>
        <w:t xml:space="preserve">, </w:t>
      </w:r>
      <w:r w:rsidR="007E64CE" w:rsidRPr="004B5D56">
        <w:rPr>
          <w:rFonts w:ascii="Arial" w:eastAsia="Calibri" w:hAnsi="Arial" w:cs="Arial"/>
          <w:bCs/>
          <w:sz w:val="26"/>
          <w:szCs w:val="26"/>
        </w:rPr>
        <w:t>dirigido</w:t>
      </w:r>
      <w:r w:rsidR="007E64CE">
        <w:rPr>
          <w:rFonts w:ascii="Arial" w:eastAsia="Calibri" w:hAnsi="Arial" w:cs="Arial"/>
          <w:b/>
          <w:bCs/>
          <w:sz w:val="26"/>
          <w:szCs w:val="26"/>
        </w:rPr>
        <w:t xml:space="preserve"> </w:t>
      </w:r>
      <w:r w:rsidR="007E64CE" w:rsidRPr="004B5D56">
        <w:rPr>
          <w:rFonts w:ascii="Arial" w:eastAsia="Calibri" w:hAnsi="Arial" w:cs="Arial"/>
          <w:bCs/>
          <w:sz w:val="26"/>
          <w:szCs w:val="26"/>
        </w:rPr>
        <w:t>a</w:t>
      </w:r>
      <w:r w:rsidR="007E64CE">
        <w:rPr>
          <w:rFonts w:ascii="Arial" w:eastAsia="Calibri" w:hAnsi="Arial" w:cs="Arial"/>
          <w:bCs/>
          <w:sz w:val="26"/>
          <w:szCs w:val="26"/>
        </w:rPr>
        <w:t xml:space="preserve"> </w:t>
      </w:r>
      <w:r w:rsidR="00370C4E">
        <w:rPr>
          <w:rFonts w:ascii="Arial" w:eastAsia="Calibri" w:hAnsi="Arial" w:cs="Arial"/>
          <w:b/>
          <w:sz w:val="26"/>
          <w:szCs w:val="26"/>
        </w:rPr>
        <w:t>*******</w:t>
      </w:r>
      <w:r w:rsidR="007E64CE" w:rsidRPr="007E64CE">
        <w:rPr>
          <w:rFonts w:ascii="Arial" w:eastAsia="Calibri" w:hAnsi="Arial" w:cs="Arial"/>
          <w:b/>
          <w:sz w:val="26"/>
          <w:szCs w:val="26"/>
        </w:rPr>
        <w:t>,</w:t>
      </w:r>
      <w:r w:rsidR="007E64CE">
        <w:rPr>
          <w:rFonts w:ascii="Arial" w:eastAsia="Calibri" w:hAnsi="Arial" w:cs="Arial"/>
          <w:b/>
          <w:sz w:val="26"/>
          <w:szCs w:val="26"/>
        </w:rPr>
        <w:t xml:space="preserve"> </w:t>
      </w:r>
      <w:r w:rsidRPr="00AE33E1">
        <w:rPr>
          <w:rFonts w:ascii="Arial" w:eastAsia="Calibri" w:hAnsi="Arial" w:cs="Arial"/>
          <w:bCs/>
          <w:sz w:val="26"/>
          <w:szCs w:val="26"/>
        </w:rPr>
        <w:t xml:space="preserve">es a través del </w:t>
      </w:r>
      <w:r>
        <w:rPr>
          <w:rFonts w:ascii="Arial" w:eastAsia="Calibri" w:hAnsi="Arial" w:cs="Arial"/>
          <w:b/>
          <w:bCs/>
          <w:sz w:val="26"/>
          <w:szCs w:val="26"/>
        </w:rPr>
        <w:t xml:space="preserve">juicio de inconformidad, </w:t>
      </w:r>
      <w:r w:rsidRPr="00AE33E1">
        <w:rPr>
          <w:rFonts w:ascii="Arial" w:eastAsia="Calibri" w:hAnsi="Arial" w:cs="Arial"/>
          <w:bCs/>
          <w:sz w:val="26"/>
          <w:szCs w:val="26"/>
        </w:rPr>
        <w:t xml:space="preserve">porque </w:t>
      </w:r>
      <w:r w:rsidR="007E1255">
        <w:rPr>
          <w:rFonts w:ascii="Arial" w:eastAsia="Calibri" w:hAnsi="Arial" w:cs="Arial"/>
          <w:bCs/>
          <w:sz w:val="26"/>
          <w:szCs w:val="26"/>
        </w:rPr>
        <w:t xml:space="preserve">el </w:t>
      </w:r>
      <w:r w:rsidR="00A90EA7">
        <w:rPr>
          <w:rFonts w:ascii="Arial" w:eastAsia="Calibri" w:hAnsi="Arial" w:cs="Arial"/>
          <w:bCs/>
          <w:sz w:val="26"/>
          <w:szCs w:val="26"/>
        </w:rPr>
        <w:t xml:space="preserve">requerimiento de </w:t>
      </w:r>
      <w:r w:rsidR="007E1255">
        <w:rPr>
          <w:rFonts w:ascii="Arial" w:eastAsia="Calibri" w:hAnsi="Arial" w:cs="Arial"/>
          <w:bCs/>
          <w:sz w:val="26"/>
          <w:szCs w:val="26"/>
        </w:rPr>
        <w:t>pag</w:t>
      </w:r>
      <w:r w:rsidR="00A90EA7">
        <w:rPr>
          <w:rFonts w:ascii="Arial" w:eastAsia="Calibri" w:hAnsi="Arial" w:cs="Arial"/>
          <w:bCs/>
          <w:sz w:val="26"/>
          <w:szCs w:val="26"/>
        </w:rPr>
        <w:t>o</w:t>
      </w:r>
      <w:r w:rsidR="007E1255">
        <w:rPr>
          <w:rFonts w:ascii="Arial" w:eastAsia="Calibri" w:hAnsi="Arial" w:cs="Arial"/>
          <w:bCs/>
          <w:sz w:val="26"/>
          <w:szCs w:val="26"/>
        </w:rPr>
        <w:t xml:space="preserve"> </w:t>
      </w:r>
      <w:r w:rsidRPr="004B5D56">
        <w:rPr>
          <w:rFonts w:ascii="Arial" w:eastAsia="Calibri" w:hAnsi="Arial" w:cs="Arial"/>
          <w:bCs/>
          <w:sz w:val="26"/>
          <w:szCs w:val="26"/>
        </w:rPr>
        <w:t>en cantidad de</w:t>
      </w:r>
      <w:r w:rsidRPr="004B5D56">
        <w:rPr>
          <w:rFonts w:ascii="Arial" w:eastAsia="Calibri" w:hAnsi="Arial" w:cs="Arial"/>
          <w:b/>
          <w:bCs/>
          <w:sz w:val="26"/>
          <w:szCs w:val="26"/>
        </w:rPr>
        <w:t xml:space="preserve"> </w:t>
      </w:r>
      <w:bookmarkStart w:id="4" w:name="_Hlk109422471"/>
      <w:r w:rsidR="00A90EA7" w:rsidRPr="00A90EA7">
        <w:rPr>
          <w:rFonts w:ascii="Arial" w:eastAsia="Calibri" w:hAnsi="Arial" w:cs="Arial"/>
          <w:b/>
          <w:bCs/>
          <w:sz w:val="26"/>
          <w:szCs w:val="26"/>
        </w:rPr>
        <w:t>$</w:t>
      </w:r>
      <w:r w:rsidR="00370C4E">
        <w:rPr>
          <w:rFonts w:ascii="Arial" w:eastAsia="Calibri" w:hAnsi="Arial" w:cs="Arial"/>
          <w:b/>
          <w:bCs/>
          <w:sz w:val="26"/>
          <w:szCs w:val="26"/>
        </w:rPr>
        <w:t>*******</w:t>
      </w:r>
      <w:r w:rsidR="00A90EA7" w:rsidRPr="00A90EA7">
        <w:rPr>
          <w:rFonts w:ascii="Arial" w:eastAsia="Calibri" w:hAnsi="Arial" w:cs="Arial"/>
          <w:b/>
          <w:bCs/>
          <w:sz w:val="26"/>
          <w:szCs w:val="26"/>
        </w:rPr>
        <w:t>)</w:t>
      </w:r>
      <w:r w:rsidR="00A90EA7">
        <w:rPr>
          <w:rFonts w:ascii="Arial" w:eastAsia="Calibri" w:hAnsi="Arial" w:cs="Arial"/>
          <w:b/>
          <w:bCs/>
          <w:sz w:val="26"/>
          <w:szCs w:val="26"/>
        </w:rPr>
        <w:t xml:space="preserve">, </w:t>
      </w:r>
      <w:bookmarkEnd w:id="4"/>
      <w:r w:rsidRPr="00AE33E1">
        <w:rPr>
          <w:rFonts w:ascii="Arial" w:eastAsia="Calibri" w:hAnsi="Arial" w:cs="Arial"/>
          <w:bCs/>
          <w:sz w:val="26"/>
          <w:szCs w:val="26"/>
        </w:rPr>
        <w:t xml:space="preserve">tiene su origen en una determinación </w:t>
      </w:r>
      <w:r w:rsidRPr="003E7D26">
        <w:rPr>
          <w:rFonts w:ascii="Arial" w:eastAsia="Calibri" w:hAnsi="Arial" w:cs="Arial"/>
          <w:b/>
          <w:bCs/>
          <w:sz w:val="26"/>
          <w:szCs w:val="26"/>
        </w:rPr>
        <w:t>no fiscal</w:t>
      </w:r>
      <w:r w:rsidRPr="004B5D56">
        <w:rPr>
          <w:rFonts w:ascii="Arial" w:eastAsia="Calibri" w:hAnsi="Arial" w:cs="Arial"/>
          <w:bCs/>
          <w:sz w:val="26"/>
          <w:szCs w:val="26"/>
        </w:rPr>
        <w:t xml:space="preserve">, </w:t>
      </w:r>
      <w:r>
        <w:rPr>
          <w:rFonts w:ascii="Arial" w:eastAsia="Calibri" w:hAnsi="Arial" w:cs="Arial"/>
          <w:bCs/>
          <w:sz w:val="26"/>
          <w:szCs w:val="26"/>
        </w:rPr>
        <w:t xml:space="preserve">que es la resolución </w:t>
      </w:r>
      <w:r w:rsidRPr="003E7D26">
        <w:rPr>
          <w:rFonts w:ascii="Arial" w:eastAsia="Calibri" w:hAnsi="Arial" w:cs="Arial"/>
          <w:bCs/>
          <w:sz w:val="26"/>
          <w:szCs w:val="26"/>
        </w:rPr>
        <w:t xml:space="preserve">número </w:t>
      </w:r>
      <w:r w:rsidR="00370C4E">
        <w:rPr>
          <w:rFonts w:ascii="Arial" w:eastAsia="Calibri" w:hAnsi="Arial" w:cs="Arial"/>
          <w:b/>
          <w:sz w:val="26"/>
          <w:szCs w:val="26"/>
        </w:rPr>
        <w:t>*******</w:t>
      </w:r>
      <w:r w:rsidR="00A90EA7" w:rsidRPr="003E515C">
        <w:rPr>
          <w:rFonts w:ascii="Arial" w:eastAsia="Calibri" w:hAnsi="Arial" w:cs="Arial"/>
          <w:b/>
          <w:sz w:val="26"/>
          <w:szCs w:val="26"/>
        </w:rPr>
        <w:t>,</w:t>
      </w:r>
      <w:r w:rsidR="00A90EA7">
        <w:rPr>
          <w:rFonts w:ascii="Arial" w:eastAsia="Calibri" w:hAnsi="Arial" w:cs="Arial"/>
          <w:bCs/>
          <w:sz w:val="26"/>
          <w:szCs w:val="26"/>
        </w:rPr>
        <w:t xml:space="preserve"> de nueve de mayo de dos mil dieciséis, </w:t>
      </w:r>
      <w:r>
        <w:rPr>
          <w:rFonts w:ascii="Arial" w:eastAsia="Calibri" w:hAnsi="Arial" w:cs="Arial"/>
          <w:bCs/>
          <w:sz w:val="26"/>
          <w:szCs w:val="26"/>
        </w:rPr>
        <w:t xml:space="preserve">emitida en aquel tiempo por </w:t>
      </w:r>
      <w:r w:rsidRPr="003E7D26">
        <w:rPr>
          <w:rFonts w:ascii="Arial" w:eastAsia="Calibri" w:hAnsi="Arial" w:cs="Arial"/>
          <w:bCs/>
          <w:sz w:val="26"/>
          <w:szCs w:val="26"/>
        </w:rPr>
        <w:t>l</w:t>
      </w:r>
      <w:r>
        <w:rPr>
          <w:rFonts w:ascii="Arial" w:eastAsia="Calibri" w:hAnsi="Arial" w:cs="Arial"/>
          <w:bCs/>
          <w:sz w:val="26"/>
          <w:szCs w:val="26"/>
        </w:rPr>
        <w:t>a Auditoría Superior del Estado, ahora Órgano Superior de Fiscalización del Estado de Oaxaca.</w:t>
      </w:r>
      <w:r w:rsidR="00C11A76">
        <w:rPr>
          <w:rFonts w:ascii="Arial" w:eastAsia="Calibri" w:hAnsi="Arial" w:cs="Arial"/>
          <w:bCs/>
          <w:sz w:val="26"/>
          <w:szCs w:val="26"/>
        </w:rPr>
        <w:t xml:space="preserve"> - - - - - - </w:t>
      </w:r>
    </w:p>
    <w:p w14:paraId="489738F5" w14:textId="755C5346" w:rsidR="00C10962" w:rsidRPr="00A90EA7" w:rsidRDefault="00C10962" w:rsidP="00A90EA7">
      <w:pPr>
        <w:pStyle w:val="Textoindependiente"/>
        <w:spacing w:line="360" w:lineRule="auto"/>
        <w:ind w:right="49" w:firstLine="567"/>
        <w:jc w:val="both"/>
        <w:rPr>
          <w:rFonts w:ascii="Arial" w:eastAsia="Calibri" w:hAnsi="Arial" w:cs="Arial"/>
          <w:b/>
          <w:bCs/>
          <w:sz w:val="26"/>
          <w:szCs w:val="26"/>
        </w:rPr>
      </w:pPr>
      <w:r>
        <w:rPr>
          <w:rFonts w:ascii="Arial" w:eastAsia="Calibri" w:hAnsi="Arial" w:cs="Arial"/>
          <w:bCs/>
          <w:sz w:val="26"/>
          <w:szCs w:val="26"/>
        </w:rPr>
        <w:t>Por lo tanto, no es dable permitir que por un lado se instaure el juicio contencioso administrativo para pretender la anulación del mandamiento de ejecución</w:t>
      </w:r>
      <w:r w:rsidR="00A90EA7">
        <w:rPr>
          <w:rFonts w:ascii="Arial" w:eastAsia="Calibri" w:hAnsi="Arial" w:cs="Arial"/>
          <w:bCs/>
          <w:sz w:val="26"/>
          <w:szCs w:val="26"/>
        </w:rPr>
        <w:t xml:space="preserve"> </w:t>
      </w:r>
      <w:r w:rsidR="00370C4E">
        <w:rPr>
          <w:rFonts w:ascii="Arial" w:eastAsia="Calibri" w:hAnsi="Arial" w:cs="Arial"/>
          <w:b/>
          <w:sz w:val="26"/>
          <w:szCs w:val="26"/>
        </w:rPr>
        <w:t>*******</w:t>
      </w:r>
      <w:r w:rsidR="00A90EA7">
        <w:rPr>
          <w:rFonts w:ascii="Arial" w:eastAsia="Calibri" w:hAnsi="Arial" w:cs="Arial"/>
          <w:b/>
          <w:sz w:val="26"/>
          <w:szCs w:val="26"/>
        </w:rPr>
        <w:t xml:space="preserve">, </w:t>
      </w:r>
      <w:r w:rsidRPr="00A90EA7">
        <w:rPr>
          <w:rFonts w:ascii="Arial" w:eastAsia="Calibri" w:hAnsi="Arial" w:cs="Arial"/>
          <w:sz w:val="26"/>
          <w:szCs w:val="26"/>
        </w:rPr>
        <w:t>y que</w:t>
      </w:r>
      <w:r w:rsidR="00A90EA7" w:rsidRPr="00A90EA7">
        <w:rPr>
          <w:rFonts w:ascii="Arial" w:eastAsia="Calibri" w:hAnsi="Arial" w:cs="Arial"/>
          <w:sz w:val="26"/>
          <w:szCs w:val="26"/>
        </w:rPr>
        <w:t>,</w:t>
      </w:r>
      <w:r w:rsidRPr="00A90EA7">
        <w:rPr>
          <w:rFonts w:ascii="Arial" w:eastAsia="Calibri" w:hAnsi="Arial" w:cs="Arial"/>
          <w:sz w:val="26"/>
          <w:szCs w:val="26"/>
        </w:rPr>
        <w:t xml:space="preserve"> por otra parte, a través del juicio de inconformidad, se combata la resolución</w:t>
      </w:r>
      <w:r>
        <w:rPr>
          <w:rFonts w:ascii="Arial" w:eastAsia="Calibri" w:hAnsi="Arial" w:cs="Arial"/>
          <w:b/>
          <w:bCs/>
          <w:sz w:val="26"/>
          <w:szCs w:val="26"/>
        </w:rPr>
        <w:t xml:space="preserve"> </w:t>
      </w:r>
      <w:r w:rsidRPr="003E7D26">
        <w:rPr>
          <w:rFonts w:ascii="Arial" w:eastAsia="Calibri" w:hAnsi="Arial" w:cs="Arial"/>
          <w:bCs/>
          <w:sz w:val="26"/>
          <w:szCs w:val="26"/>
        </w:rPr>
        <w:t xml:space="preserve">número </w:t>
      </w:r>
      <w:r w:rsidR="00370C4E">
        <w:rPr>
          <w:rFonts w:ascii="Arial" w:eastAsia="Calibri" w:hAnsi="Arial" w:cs="Arial"/>
          <w:b/>
          <w:sz w:val="26"/>
          <w:szCs w:val="26"/>
        </w:rPr>
        <w:t>*******</w:t>
      </w:r>
      <w:r w:rsidR="00A90EA7">
        <w:rPr>
          <w:rFonts w:ascii="Arial" w:eastAsia="Calibri" w:hAnsi="Arial" w:cs="Arial"/>
          <w:b/>
          <w:sz w:val="26"/>
          <w:szCs w:val="26"/>
        </w:rPr>
        <w:t xml:space="preserve"> </w:t>
      </w:r>
      <w:r w:rsidR="00A90EA7">
        <w:rPr>
          <w:rFonts w:ascii="Arial" w:eastAsia="Calibri" w:hAnsi="Arial" w:cs="Arial"/>
          <w:bCs/>
          <w:sz w:val="26"/>
          <w:szCs w:val="26"/>
        </w:rPr>
        <w:t>de nueve de mayo de dos mil dieciséis,</w:t>
      </w:r>
      <w:r w:rsidR="00A90EA7">
        <w:rPr>
          <w:rFonts w:ascii="Arial" w:eastAsia="Calibri" w:hAnsi="Arial" w:cs="Arial"/>
          <w:b/>
          <w:bCs/>
          <w:sz w:val="26"/>
          <w:szCs w:val="26"/>
        </w:rPr>
        <w:t xml:space="preserve"> </w:t>
      </w:r>
      <w:r>
        <w:rPr>
          <w:rFonts w:ascii="Arial" w:eastAsia="Calibri" w:hAnsi="Arial" w:cs="Arial"/>
          <w:bCs/>
          <w:sz w:val="26"/>
          <w:szCs w:val="26"/>
        </w:rPr>
        <w:t xml:space="preserve">porque la pretensión contenida en la demanda es indivisible y tiene que analizarse de manera integral, considerando ambos actos se encuentran firmemente vinculados entre sí, siendo imposible segmentar su análisis a través de diferentes juicios, aunque estos se tramiten ante el mismo órgano jurisdiccional. </w:t>
      </w:r>
      <w:r w:rsidR="00C11A76">
        <w:rPr>
          <w:rFonts w:ascii="Arial" w:hAnsi="Arial" w:cs="Arial"/>
          <w:sz w:val="26"/>
          <w:szCs w:val="26"/>
        </w:rPr>
        <w:t xml:space="preserve">- - - - - - - </w:t>
      </w:r>
    </w:p>
    <w:p w14:paraId="6C70E911" w14:textId="77777777" w:rsidR="00C10962" w:rsidRDefault="00C10962" w:rsidP="00C10962">
      <w:pPr>
        <w:pStyle w:val="Textoindependiente"/>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En apoyo a lo anterior se invoca la tesis </w:t>
      </w:r>
      <w:r w:rsidRPr="00935F05">
        <w:rPr>
          <w:rFonts w:ascii="Arial" w:eastAsia="Calibri" w:hAnsi="Arial" w:cs="Arial"/>
          <w:bCs/>
          <w:sz w:val="26"/>
          <w:szCs w:val="26"/>
        </w:rPr>
        <w:t>I.8o.C.4 K</w:t>
      </w:r>
      <w:r>
        <w:rPr>
          <w:rFonts w:ascii="Arial" w:eastAsia="Calibri" w:hAnsi="Arial" w:cs="Arial"/>
          <w:bCs/>
          <w:sz w:val="26"/>
          <w:szCs w:val="26"/>
        </w:rPr>
        <w:t xml:space="preserve"> con número de registro digital </w:t>
      </w:r>
      <w:r w:rsidRPr="00935F05">
        <w:rPr>
          <w:rFonts w:ascii="Arial" w:eastAsia="Calibri" w:hAnsi="Arial" w:cs="Arial"/>
          <w:bCs/>
          <w:sz w:val="26"/>
          <w:szCs w:val="26"/>
        </w:rPr>
        <w:t>213106</w:t>
      </w:r>
      <w:r>
        <w:rPr>
          <w:rFonts w:ascii="Arial" w:eastAsia="Calibri" w:hAnsi="Arial" w:cs="Arial"/>
          <w:bCs/>
          <w:sz w:val="26"/>
          <w:szCs w:val="26"/>
        </w:rPr>
        <w:t xml:space="preserve">, emitida por los Tribunales Colegiados de Circuito, visible en el </w:t>
      </w:r>
      <w:r w:rsidRPr="00935F05">
        <w:rPr>
          <w:rFonts w:ascii="Arial" w:eastAsia="Calibri" w:hAnsi="Arial" w:cs="Arial"/>
          <w:bCs/>
          <w:sz w:val="26"/>
          <w:szCs w:val="26"/>
        </w:rPr>
        <w:t>Semanario Judicial de la</w:t>
      </w:r>
      <w:r>
        <w:rPr>
          <w:rFonts w:ascii="Arial" w:eastAsia="Calibri" w:hAnsi="Arial" w:cs="Arial"/>
          <w:bCs/>
          <w:sz w:val="26"/>
          <w:szCs w:val="26"/>
        </w:rPr>
        <w:t xml:space="preserve"> Federación, </w:t>
      </w:r>
      <w:r w:rsidRPr="00935F05">
        <w:rPr>
          <w:rFonts w:ascii="Arial" w:eastAsia="Calibri" w:hAnsi="Arial" w:cs="Arial"/>
          <w:bCs/>
          <w:sz w:val="26"/>
          <w:szCs w:val="26"/>
        </w:rPr>
        <w:t>Tomo XIII, Marzo de 1994, página 353</w:t>
      </w:r>
      <w:r>
        <w:rPr>
          <w:rFonts w:ascii="Arial" w:eastAsia="Calibri" w:hAnsi="Arial" w:cs="Arial"/>
          <w:bCs/>
          <w:sz w:val="26"/>
          <w:szCs w:val="26"/>
        </w:rPr>
        <w:t>, de rubro y texto siguientes:</w:t>
      </w:r>
    </w:p>
    <w:p w14:paraId="42AA17C1" w14:textId="77777777" w:rsidR="00C10962" w:rsidRPr="00935F05" w:rsidRDefault="00C10962" w:rsidP="00C11A76">
      <w:pPr>
        <w:pStyle w:val="Textoindependiente"/>
        <w:spacing w:line="276" w:lineRule="auto"/>
        <w:ind w:left="567" w:right="616"/>
        <w:jc w:val="both"/>
        <w:rPr>
          <w:rFonts w:ascii="Arial" w:eastAsia="Calibri" w:hAnsi="Arial" w:cs="Arial"/>
          <w:b/>
          <w:bCs/>
          <w:i/>
          <w:sz w:val="22"/>
          <w:szCs w:val="22"/>
        </w:rPr>
      </w:pPr>
      <w:r>
        <w:rPr>
          <w:rFonts w:ascii="Arial" w:eastAsia="Calibri" w:hAnsi="Arial" w:cs="Arial"/>
          <w:b/>
          <w:bCs/>
          <w:i/>
          <w:sz w:val="22"/>
          <w:szCs w:val="22"/>
        </w:rPr>
        <w:lastRenderedPageBreak/>
        <w:t>“</w:t>
      </w:r>
      <w:r w:rsidRPr="00935F05">
        <w:rPr>
          <w:rFonts w:ascii="Arial" w:eastAsia="Calibri" w:hAnsi="Arial" w:cs="Arial"/>
          <w:b/>
          <w:bCs/>
          <w:i/>
          <w:sz w:val="22"/>
          <w:szCs w:val="22"/>
        </w:rPr>
        <w:t>INTERPRETACION RIGIDA QUE PUEDA TOMARSE COMO REGLA GENERAL.</w:t>
      </w:r>
    </w:p>
    <w:p w14:paraId="125E1438" w14:textId="77777777" w:rsidR="00C10962" w:rsidRPr="00935F05" w:rsidRDefault="00C10962" w:rsidP="00C11A76">
      <w:pPr>
        <w:pStyle w:val="Textoindependiente"/>
        <w:spacing w:line="276" w:lineRule="auto"/>
        <w:ind w:left="567" w:right="616"/>
        <w:jc w:val="both"/>
        <w:rPr>
          <w:rFonts w:ascii="Arial" w:eastAsia="Calibri" w:hAnsi="Arial" w:cs="Arial"/>
          <w:bCs/>
          <w:i/>
          <w:sz w:val="22"/>
          <w:szCs w:val="22"/>
        </w:rPr>
      </w:pPr>
      <w:r w:rsidRPr="00935F05">
        <w:rPr>
          <w:rFonts w:ascii="Arial" w:eastAsia="Calibri" w:hAnsi="Arial" w:cs="Arial"/>
          <w:bCs/>
          <w:i/>
          <w:sz w:val="22"/>
          <w:szCs w:val="22"/>
        </w:rPr>
        <w:t>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es posible desmembrar; y sólo cuando la demanda contenga actos aislados o independientes que puedan examinarse por separado, será necesario estudiar si procede aplicar las reglas anteriores, tomando en cuenta el caso concreto.</w:t>
      </w:r>
    </w:p>
    <w:p w14:paraId="3E3A584C" w14:textId="77777777" w:rsidR="00C10962" w:rsidRPr="00935F05" w:rsidRDefault="00C10962" w:rsidP="00C11A76">
      <w:pPr>
        <w:pStyle w:val="Textoindependiente"/>
        <w:spacing w:line="276" w:lineRule="auto"/>
        <w:ind w:left="567" w:right="616"/>
        <w:jc w:val="both"/>
        <w:rPr>
          <w:rFonts w:ascii="Arial" w:eastAsia="Calibri" w:hAnsi="Arial" w:cs="Arial"/>
          <w:bCs/>
          <w:i/>
          <w:sz w:val="22"/>
          <w:szCs w:val="22"/>
        </w:rPr>
      </w:pPr>
      <w:r w:rsidRPr="00935F05">
        <w:rPr>
          <w:rFonts w:ascii="Arial" w:eastAsia="Calibri" w:hAnsi="Arial" w:cs="Arial"/>
          <w:bCs/>
          <w:i/>
          <w:sz w:val="22"/>
          <w:szCs w:val="22"/>
        </w:rPr>
        <w:t>OCTAVO TRIBUNAL COLEGIADO EN MATERIA CIVIL DEL PRIMER CIRCUITO.</w:t>
      </w:r>
      <w:r>
        <w:rPr>
          <w:rFonts w:ascii="Arial" w:eastAsia="Calibri" w:hAnsi="Arial" w:cs="Arial"/>
          <w:bCs/>
          <w:i/>
          <w:sz w:val="22"/>
          <w:szCs w:val="22"/>
        </w:rPr>
        <w:t>”</w:t>
      </w:r>
    </w:p>
    <w:p w14:paraId="5F5A3F0A" w14:textId="34934F07" w:rsidR="00C10962" w:rsidRDefault="00C10962" w:rsidP="00C11A76">
      <w:pPr>
        <w:pStyle w:val="Textoindependiente"/>
        <w:spacing w:after="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Por ello, se colige que es el juicio de inconformidad, el medio para garantizar al recurrente el derecho al debido proceso y el acceso a la tutela judicial efectiva previstos respectivamente, en los artículos 14 y 17 de la Constitución Política de los Estados Unidos Mexicanos, por lo tanto, la </w:t>
      </w:r>
      <w:r w:rsidR="00A90EA7">
        <w:rPr>
          <w:rFonts w:ascii="Arial" w:eastAsia="Calibri" w:hAnsi="Arial" w:cs="Arial"/>
          <w:bCs/>
          <w:sz w:val="26"/>
          <w:szCs w:val="26"/>
        </w:rPr>
        <w:t>Segunda</w:t>
      </w:r>
      <w:r>
        <w:rPr>
          <w:rFonts w:ascii="Arial" w:eastAsia="Calibri" w:hAnsi="Arial" w:cs="Arial"/>
          <w:bCs/>
          <w:sz w:val="26"/>
          <w:szCs w:val="26"/>
        </w:rPr>
        <w:t xml:space="preserve"> Sala Unitaria, en vez de desechar por improcedente la demanda en el acuerdo recurrido, debió analizar de manera integral su contenido y declinar su competencia a favor de la Sala Superior de este Tribunal, que es la instancia competente para resolver el juicio de inconformidad, en términos de</w:t>
      </w:r>
      <w:r w:rsidR="009431EA">
        <w:rPr>
          <w:rFonts w:ascii="Arial" w:eastAsia="Calibri" w:hAnsi="Arial" w:cs="Arial"/>
          <w:bCs/>
          <w:sz w:val="26"/>
          <w:szCs w:val="26"/>
        </w:rPr>
        <w:t xml:space="preserve"> los </w:t>
      </w:r>
      <w:r>
        <w:rPr>
          <w:rFonts w:ascii="Arial" w:eastAsia="Calibri" w:hAnsi="Arial" w:cs="Arial"/>
          <w:bCs/>
          <w:sz w:val="26"/>
          <w:szCs w:val="26"/>
        </w:rPr>
        <w:t>artículo</w:t>
      </w:r>
      <w:r w:rsidR="009431EA">
        <w:rPr>
          <w:rFonts w:ascii="Arial" w:eastAsia="Calibri" w:hAnsi="Arial" w:cs="Arial"/>
          <w:bCs/>
          <w:sz w:val="26"/>
          <w:szCs w:val="26"/>
        </w:rPr>
        <w:t xml:space="preserve">s 130 fracción VI de la </w:t>
      </w:r>
      <w:r w:rsidR="00FA532E">
        <w:rPr>
          <w:rFonts w:ascii="Arial" w:eastAsia="Calibri" w:hAnsi="Arial" w:cs="Arial"/>
          <w:bCs/>
          <w:sz w:val="26"/>
          <w:szCs w:val="26"/>
        </w:rPr>
        <w:t xml:space="preserve">Ley de Procedimiento y Justicia Administrativa para el Estado de Oaxaca y </w:t>
      </w:r>
      <w:r>
        <w:rPr>
          <w:rFonts w:ascii="Arial" w:eastAsia="Calibri" w:hAnsi="Arial" w:cs="Arial"/>
          <w:bCs/>
          <w:sz w:val="26"/>
          <w:szCs w:val="26"/>
        </w:rPr>
        <w:t>24 fracción I</w:t>
      </w:r>
      <w:r>
        <w:rPr>
          <w:rStyle w:val="Refdenotaalpie"/>
          <w:rFonts w:ascii="Arial" w:eastAsia="Calibri" w:hAnsi="Arial" w:cs="Arial"/>
          <w:bCs/>
          <w:sz w:val="26"/>
          <w:szCs w:val="26"/>
        </w:rPr>
        <w:footnoteReference w:id="4"/>
      </w:r>
      <w:r>
        <w:rPr>
          <w:rFonts w:ascii="Arial" w:eastAsia="Calibri" w:hAnsi="Arial" w:cs="Arial"/>
          <w:bCs/>
          <w:sz w:val="26"/>
          <w:szCs w:val="26"/>
        </w:rPr>
        <w:t xml:space="preserve"> de la Ley Orgánica del Tribunal de Justicia Administrativa para el Estado de Oaxaca, para salvaguardar el derecho de acceso a la justicia del demandante. De ahí lo</w:t>
      </w:r>
      <w:r w:rsidRPr="00FF11F2">
        <w:rPr>
          <w:rFonts w:ascii="Arial" w:eastAsia="Calibri" w:hAnsi="Arial" w:cs="Arial"/>
          <w:b/>
          <w:bCs/>
          <w:sz w:val="26"/>
          <w:szCs w:val="26"/>
        </w:rPr>
        <w:t xml:space="preserve"> fundado</w:t>
      </w:r>
      <w:r>
        <w:rPr>
          <w:rFonts w:ascii="Arial" w:eastAsia="Calibri" w:hAnsi="Arial" w:cs="Arial"/>
          <w:bCs/>
          <w:sz w:val="26"/>
          <w:szCs w:val="26"/>
        </w:rPr>
        <w:t xml:space="preserve"> del agravio. </w:t>
      </w:r>
      <w:r w:rsidR="00C11A76">
        <w:rPr>
          <w:rFonts w:ascii="Arial" w:eastAsia="Calibri" w:hAnsi="Arial" w:cs="Arial"/>
          <w:bCs/>
          <w:sz w:val="26"/>
          <w:szCs w:val="26"/>
        </w:rPr>
        <w:t xml:space="preserve">- - - - - - - - - - - </w:t>
      </w:r>
    </w:p>
    <w:p w14:paraId="24313DE6" w14:textId="77777777" w:rsidR="00C10962" w:rsidRDefault="00C10962" w:rsidP="00C10962">
      <w:pPr>
        <w:widowControl w:val="0"/>
        <w:tabs>
          <w:tab w:val="left" w:pos="0"/>
        </w:tabs>
        <w:spacing w:before="240" w:after="0" w:line="360" w:lineRule="auto"/>
        <w:ind w:right="18"/>
        <w:jc w:val="both"/>
        <w:rPr>
          <w:rFonts w:ascii="Calibri" w:hAnsi="Calibri" w:cs="Calibri"/>
          <w:color w:val="212529"/>
          <w:sz w:val="26"/>
          <w:szCs w:val="26"/>
        </w:rPr>
      </w:pPr>
      <w:r>
        <w:rPr>
          <w:rFonts w:ascii="Arial" w:hAnsi="Arial" w:cs="Arial"/>
          <w:sz w:val="26"/>
          <w:szCs w:val="26"/>
        </w:rPr>
        <w:tab/>
        <w:t xml:space="preserve">Es aplicable al caso la jurisprudencia de la Décima Época, número I. 14o.T.J./3 (10a.), con número de registro digital 2019394, emitida por los Tribunales Colegiados de Circuito, publicado en la Gaceta del Semanario Judicial de la Federación, Libro 63, Febrero de 2019, Tomo II, visible a página 2478, cuyo rubro y texto mencionan: </w:t>
      </w:r>
    </w:p>
    <w:p w14:paraId="10205D2D" w14:textId="77777777" w:rsidR="00C10962" w:rsidRPr="006C60DF" w:rsidRDefault="00C10962" w:rsidP="00C11A76">
      <w:pPr>
        <w:pStyle w:val="NormalWeb"/>
        <w:shd w:val="clear" w:color="auto" w:fill="FFFFFF"/>
        <w:spacing w:line="276" w:lineRule="auto"/>
        <w:ind w:left="567" w:right="616"/>
        <w:jc w:val="both"/>
        <w:rPr>
          <w:rFonts w:ascii="Arial" w:hAnsi="Arial" w:cs="Arial"/>
          <w:i/>
          <w:sz w:val="22"/>
          <w:szCs w:val="22"/>
        </w:rPr>
      </w:pPr>
      <w:r w:rsidRPr="006C60DF">
        <w:rPr>
          <w:rFonts w:ascii="Arial" w:hAnsi="Arial" w:cs="Arial"/>
          <w:b/>
          <w:bCs/>
          <w:i/>
          <w:sz w:val="22"/>
          <w:szCs w:val="22"/>
        </w:rPr>
        <w:t>“TUTELA JUDICIAL EFECTIVA. SU RELACIÓN CON LOS FORMALISMOS PROCESALES</w:t>
      </w:r>
      <w:r w:rsidRPr="006C60DF">
        <w:rPr>
          <w:rFonts w:ascii="Arial" w:hAnsi="Arial" w:cs="Arial"/>
          <w:bCs/>
          <w:i/>
          <w:sz w:val="22"/>
          <w:szCs w:val="22"/>
        </w:rPr>
        <w:t xml:space="preserve">. </w:t>
      </w:r>
      <w:r w:rsidRPr="006C60DF">
        <w:rPr>
          <w:rFonts w:ascii="Arial" w:hAnsi="Arial" w:cs="Arial"/>
          <w:i/>
          <w:sz w:val="22"/>
          <w:szCs w:val="22"/>
        </w:rPr>
        <w:t>El artículo </w:t>
      </w:r>
      <w:hyperlink r:id="rId8" w:history="1">
        <w:r w:rsidRPr="006C60DF">
          <w:rPr>
            <w:rStyle w:val="Hipervnculo"/>
            <w:rFonts w:ascii="Arial" w:eastAsiaTheme="majorEastAsia" w:hAnsi="Arial" w:cs="Arial"/>
            <w:i/>
            <w:color w:val="auto"/>
            <w:sz w:val="22"/>
            <w:szCs w:val="22"/>
          </w:rPr>
          <w:t>17, párrafo tercero, de la Constitución Política de los Estados Unidos Mexicanos</w:t>
        </w:r>
      </w:hyperlink>
      <w:r w:rsidRPr="006C60DF">
        <w:rPr>
          <w:rFonts w:ascii="Arial" w:hAnsi="Arial" w:cs="Arial"/>
          <w:i/>
          <w:sz w:val="22"/>
          <w:szCs w:val="22"/>
        </w:rPr>
        <w:t xml:space="preserve">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w:t>
      </w:r>
      <w:r w:rsidRPr="006C60DF">
        <w:rPr>
          <w:rFonts w:ascii="Arial" w:hAnsi="Arial" w:cs="Arial"/>
          <w:i/>
          <w:sz w:val="22"/>
          <w:szCs w:val="22"/>
        </w:rPr>
        <w:lastRenderedPageBreak/>
        <w:t>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ídem, contradicción, de preclusión, de eventualidad, de inmediación, de concentración, de publicidad, etcétera. Atento a lo anterior, debe considerarse que los formalismos tienen como razón de ser garantizar tres cosas: 1) la buena fe de las partes durante el proceso; 2) la no arbitrariedad de los Jueces; y, 3) la seguridad jurídica (en el 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6C60DF">
        <w:rPr>
          <w:rFonts w:ascii="Arial" w:hAnsi="Arial" w:cs="Arial"/>
          <w:b/>
          <w:i/>
          <w:sz w:val="22"/>
          <w:szCs w:val="22"/>
        </w:rPr>
        <w:t>”</w:t>
      </w:r>
    </w:p>
    <w:p w14:paraId="44A338CD" w14:textId="26402D54" w:rsidR="00C10962" w:rsidRDefault="00C10962" w:rsidP="00C10962">
      <w:pPr>
        <w:spacing w:line="360" w:lineRule="auto"/>
        <w:ind w:firstLine="567"/>
        <w:jc w:val="both"/>
        <w:rPr>
          <w:rFonts w:ascii="Arial" w:eastAsia="Calibri" w:hAnsi="Arial" w:cs="Arial"/>
          <w:bCs/>
          <w:sz w:val="26"/>
          <w:szCs w:val="26"/>
        </w:rPr>
      </w:pPr>
      <w:r>
        <w:rPr>
          <w:rFonts w:ascii="Arial" w:eastAsia="Times New Roman" w:hAnsi="Arial" w:cs="Arial"/>
          <w:iCs/>
          <w:sz w:val="26"/>
          <w:szCs w:val="26"/>
        </w:rPr>
        <w:t xml:space="preserve">Ahora, toda vez que la </w:t>
      </w:r>
      <w:r w:rsidR="00A90EA7">
        <w:rPr>
          <w:rFonts w:ascii="Arial" w:eastAsia="Times New Roman" w:hAnsi="Arial" w:cs="Arial"/>
          <w:iCs/>
          <w:sz w:val="26"/>
          <w:szCs w:val="26"/>
        </w:rPr>
        <w:t xml:space="preserve">Segunda </w:t>
      </w:r>
      <w:r>
        <w:rPr>
          <w:rFonts w:ascii="Arial" w:eastAsia="Times New Roman" w:hAnsi="Arial" w:cs="Arial"/>
          <w:iCs/>
          <w:sz w:val="26"/>
          <w:szCs w:val="26"/>
        </w:rPr>
        <w:t>Sala Unitaria de Primera Instancia irrogó los</w:t>
      </w:r>
      <w:r w:rsidRPr="00DE5BB0">
        <w:rPr>
          <w:rFonts w:ascii="Arial" w:eastAsia="Times New Roman" w:hAnsi="Arial" w:cs="Arial"/>
          <w:bCs/>
          <w:color w:val="000000"/>
          <w:sz w:val="26"/>
          <w:szCs w:val="26"/>
        </w:rPr>
        <w:t xml:space="preserve"> agravio</w:t>
      </w:r>
      <w:r>
        <w:rPr>
          <w:rFonts w:ascii="Arial" w:eastAsia="Times New Roman" w:hAnsi="Arial" w:cs="Arial"/>
          <w:bCs/>
          <w:color w:val="000000"/>
          <w:sz w:val="26"/>
          <w:szCs w:val="26"/>
        </w:rPr>
        <w:t>s</w:t>
      </w:r>
      <w:r w:rsidRPr="00DE5BB0">
        <w:rPr>
          <w:rFonts w:ascii="Arial" w:eastAsia="Times New Roman" w:hAnsi="Arial" w:cs="Arial"/>
          <w:bCs/>
          <w:color w:val="000000"/>
          <w:sz w:val="26"/>
          <w:szCs w:val="26"/>
        </w:rPr>
        <w:t xml:space="preserve"> aducido</w:t>
      </w:r>
      <w:r>
        <w:rPr>
          <w:rFonts w:ascii="Arial" w:eastAsia="Times New Roman" w:hAnsi="Arial" w:cs="Arial"/>
          <w:bCs/>
          <w:color w:val="000000"/>
          <w:sz w:val="26"/>
          <w:szCs w:val="26"/>
        </w:rPr>
        <w:t>s</w:t>
      </w:r>
      <w:r w:rsidRPr="00DE5BB0">
        <w:rPr>
          <w:rFonts w:ascii="Arial" w:eastAsia="Times New Roman" w:hAnsi="Arial" w:cs="Arial"/>
          <w:sz w:val="26"/>
          <w:szCs w:val="26"/>
        </w:rPr>
        <w:t>, a fin de repararlo</w:t>
      </w:r>
      <w:r>
        <w:rPr>
          <w:rFonts w:ascii="Arial" w:eastAsia="Times New Roman" w:hAnsi="Arial" w:cs="Arial"/>
          <w:sz w:val="26"/>
          <w:szCs w:val="26"/>
        </w:rPr>
        <w:t>s, es procedente</w:t>
      </w:r>
      <w:r w:rsidRPr="00DE5BB0">
        <w:rPr>
          <w:rFonts w:ascii="Arial" w:eastAsia="Times New Roman" w:hAnsi="Arial" w:cs="Arial"/>
          <w:sz w:val="26"/>
          <w:szCs w:val="26"/>
        </w:rPr>
        <w:t xml:space="preserve"> </w:t>
      </w:r>
      <w:r>
        <w:rPr>
          <w:rFonts w:ascii="Arial" w:eastAsia="Times New Roman" w:hAnsi="Arial" w:cs="Arial"/>
          <w:b/>
          <w:sz w:val="26"/>
          <w:szCs w:val="26"/>
        </w:rPr>
        <w:t xml:space="preserve">REVOCAR </w:t>
      </w:r>
      <w:r w:rsidRPr="00DE5BB0">
        <w:rPr>
          <w:rFonts w:ascii="Arial" w:eastAsia="Times New Roman" w:hAnsi="Arial" w:cs="Arial"/>
          <w:sz w:val="26"/>
          <w:szCs w:val="26"/>
        </w:rPr>
        <w:t>el auto recurrido</w:t>
      </w:r>
      <w:r>
        <w:rPr>
          <w:rFonts w:ascii="Arial" w:eastAsia="Times New Roman" w:hAnsi="Arial" w:cs="Arial"/>
          <w:sz w:val="26"/>
          <w:szCs w:val="26"/>
        </w:rPr>
        <w:t xml:space="preserve"> dictar otro en su lugar</w:t>
      </w:r>
      <w:r w:rsidRPr="00DE5BB0">
        <w:rPr>
          <w:rFonts w:ascii="Arial" w:eastAsia="Times New Roman" w:hAnsi="Arial" w:cs="Arial"/>
          <w:sz w:val="26"/>
          <w:szCs w:val="26"/>
        </w:rPr>
        <w:t>,</w:t>
      </w:r>
      <w:r>
        <w:rPr>
          <w:rFonts w:ascii="Arial" w:eastAsia="Times New Roman" w:hAnsi="Arial" w:cs="Arial"/>
          <w:sz w:val="26"/>
          <w:szCs w:val="26"/>
        </w:rPr>
        <w:t xml:space="preserve"> </w:t>
      </w:r>
      <w:r>
        <w:rPr>
          <w:rFonts w:ascii="Arial" w:eastAsia="Calibri" w:hAnsi="Arial" w:cs="Arial"/>
          <w:bCs/>
          <w:sz w:val="26"/>
          <w:szCs w:val="26"/>
        </w:rPr>
        <w:t xml:space="preserve">en los siguientes términos: </w:t>
      </w:r>
    </w:p>
    <w:p w14:paraId="32C1D664" w14:textId="1EFB7727" w:rsidR="002D30FE" w:rsidRPr="00C11A76" w:rsidRDefault="002D30FE" w:rsidP="00C11A76">
      <w:pPr>
        <w:ind w:left="567" w:right="616"/>
        <w:jc w:val="both"/>
        <w:rPr>
          <w:rFonts w:ascii="Arial" w:hAnsi="Arial" w:cs="Arial"/>
          <w:i/>
          <w:iCs/>
        </w:rPr>
      </w:pPr>
      <w:r w:rsidRPr="005859BB">
        <w:rPr>
          <w:rFonts w:ascii="Arial" w:eastAsia="Times New Roman" w:hAnsi="Arial" w:cs="Arial"/>
          <w:b/>
          <w:bCs/>
          <w:i/>
          <w:iCs/>
          <w:lang w:eastAsia="es-ES"/>
        </w:rPr>
        <w:t>“</w:t>
      </w:r>
      <w:r w:rsidRPr="005859BB">
        <w:rPr>
          <w:rFonts w:ascii="Arial" w:hAnsi="Arial" w:cs="Arial"/>
          <w:i/>
          <w:iCs/>
        </w:rPr>
        <w:t xml:space="preserve">Por recibido en la oficialía de partes común de este Tribunal, el </w:t>
      </w:r>
      <w:r>
        <w:rPr>
          <w:rFonts w:ascii="Arial" w:hAnsi="Arial" w:cs="Arial"/>
          <w:i/>
          <w:iCs/>
        </w:rPr>
        <w:t xml:space="preserve">veintiuno de mayo </w:t>
      </w:r>
      <w:r w:rsidRPr="005859BB">
        <w:rPr>
          <w:rFonts w:ascii="Arial" w:hAnsi="Arial" w:cs="Arial"/>
          <w:i/>
          <w:iCs/>
        </w:rPr>
        <w:t>de dos mil veintiuno, el escrito de</w:t>
      </w:r>
      <w:r>
        <w:rPr>
          <w:rFonts w:ascii="Arial" w:hAnsi="Arial" w:cs="Arial"/>
          <w:b/>
          <w:bCs/>
          <w:i/>
          <w:iCs/>
        </w:rPr>
        <w:t xml:space="preserve"> </w:t>
      </w:r>
      <w:r w:rsidR="00370C4E">
        <w:rPr>
          <w:rFonts w:ascii="Arial" w:hAnsi="Arial" w:cs="Arial"/>
          <w:b/>
          <w:bCs/>
          <w:i/>
          <w:iCs/>
        </w:rPr>
        <w:t>*******</w:t>
      </w:r>
      <w:r>
        <w:rPr>
          <w:rFonts w:ascii="Arial" w:hAnsi="Arial" w:cs="Arial"/>
          <w:b/>
          <w:bCs/>
          <w:i/>
          <w:iCs/>
        </w:rPr>
        <w:t xml:space="preserve">, </w:t>
      </w:r>
      <w:r w:rsidRPr="005859BB">
        <w:rPr>
          <w:rFonts w:ascii="Arial" w:hAnsi="Arial" w:cs="Arial"/>
          <w:b/>
          <w:bCs/>
          <w:i/>
          <w:iCs/>
        </w:rPr>
        <w:t xml:space="preserve"> </w:t>
      </w:r>
      <w:r w:rsidRPr="005859BB">
        <w:rPr>
          <w:rFonts w:ascii="Arial" w:hAnsi="Arial" w:cs="Arial"/>
          <w:i/>
          <w:iCs/>
        </w:rPr>
        <w:t xml:space="preserve">quien promueve por su propio derecho </w:t>
      </w:r>
      <w:r w:rsidR="00981F1A">
        <w:rPr>
          <w:rFonts w:ascii="Arial" w:hAnsi="Arial" w:cs="Arial"/>
          <w:i/>
          <w:iCs/>
        </w:rPr>
        <w:t xml:space="preserve">el </w:t>
      </w:r>
      <w:r w:rsidRPr="005859BB">
        <w:rPr>
          <w:rFonts w:ascii="Arial" w:hAnsi="Arial" w:cs="Arial"/>
          <w:b/>
          <w:i/>
          <w:iCs/>
        </w:rPr>
        <w:t xml:space="preserve">juicio de nulidad </w:t>
      </w:r>
      <w:r w:rsidRPr="005859BB">
        <w:rPr>
          <w:rFonts w:ascii="Arial" w:hAnsi="Arial" w:cs="Arial"/>
          <w:i/>
          <w:iCs/>
        </w:rPr>
        <w:t>en contra del mandamiento de ejecución número</w:t>
      </w:r>
      <w:r w:rsidR="00981F1A">
        <w:rPr>
          <w:rFonts w:ascii="Arial" w:hAnsi="Arial" w:cs="Arial"/>
          <w:i/>
          <w:iCs/>
        </w:rPr>
        <w:t xml:space="preserve"> </w:t>
      </w:r>
      <w:r w:rsidR="00370C4E">
        <w:rPr>
          <w:rFonts w:ascii="Arial" w:hAnsi="Arial" w:cs="Arial"/>
          <w:b/>
          <w:bCs/>
          <w:i/>
          <w:iCs/>
        </w:rPr>
        <w:t>*******</w:t>
      </w:r>
      <w:r w:rsidR="00981F1A" w:rsidRPr="00981F1A">
        <w:rPr>
          <w:rFonts w:ascii="Arial" w:hAnsi="Arial" w:cs="Arial"/>
          <w:i/>
          <w:iCs/>
        </w:rPr>
        <w:t xml:space="preserve"> de diecinueve de abril de dos mil veintiuno</w:t>
      </w:r>
      <w:r w:rsidR="00981F1A">
        <w:rPr>
          <w:rFonts w:ascii="Arial" w:hAnsi="Arial" w:cs="Arial"/>
          <w:i/>
          <w:iCs/>
        </w:rPr>
        <w:t xml:space="preserve">, </w:t>
      </w:r>
      <w:r w:rsidRPr="005859BB">
        <w:rPr>
          <w:rFonts w:ascii="Arial" w:hAnsi="Arial" w:cs="Arial"/>
          <w:i/>
          <w:iCs/>
        </w:rPr>
        <w:t xml:space="preserve">emitido por la </w:t>
      </w:r>
      <w:r w:rsidRPr="005859BB">
        <w:rPr>
          <w:rFonts w:ascii="Arial" w:hAnsi="Arial" w:cs="Arial"/>
          <w:b/>
          <w:i/>
          <w:iCs/>
        </w:rPr>
        <w:t>Coordinadora de Cobro Coactivo de la Secretaría de Finanzas del Gobierno del Estado</w:t>
      </w:r>
      <w:r>
        <w:rPr>
          <w:rFonts w:ascii="Arial" w:hAnsi="Arial" w:cs="Arial"/>
          <w:b/>
          <w:i/>
          <w:iCs/>
        </w:rPr>
        <w:t xml:space="preserve">, </w:t>
      </w:r>
      <w:r w:rsidRPr="003751AD">
        <w:rPr>
          <w:rFonts w:ascii="Arial" w:hAnsi="Arial" w:cs="Arial"/>
          <w:bCs/>
          <w:i/>
          <w:iCs/>
        </w:rPr>
        <w:t>por el cual se requiere el pago de</w:t>
      </w:r>
      <w:r>
        <w:rPr>
          <w:rFonts w:ascii="Arial" w:hAnsi="Arial" w:cs="Arial"/>
          <w:bCs/>
          <w:i/>
          <w:iCs/>
        </w:rPr>
        <w:t>l crédito</w:t>
      </w:r>
      <w:r w:rsidRPr="00146286">
        <w:rPr>
          <w:rFonts w:ascii="Arial" w:hAnsi="Arial" w:cs="Arial"/>
          <w:bCs/>
          <w:i/>
          <w:iCs/>
        </w:rPr>
        <w:t xml:space="preserve"> </w:t>
      </w:r>
      <w:r w:rsidR="00370C4E">
        <w:rPr>
          <w:rFonts w:ascii="Arial" w:hAnsi="Arial" w:cs="Arial"/>
          <w:bCs/>
          <w:i/>
          <w:iCs/>
        </w:rPr>
        <w:t>*******</w:t>
      </w:r>
      <w:r w:rsidRPr="00146286">
        <w:rPr>
          <w:rFonts w:ascii="Arial" w:hAnsi="Arial" w:cs="Arial"/>
          <w:bCs/>
          <w:i/>
          <w:iCs/>
        </w:rPr>
        <w:t xml:space="preserve"> </w:t>
      </w:r>
      <w:r>
        <w:rPr>
          <w:rFonts w:ascii="Arial" w:hAnsi="Arial" w:cs="Arial"/>
          <w:bCs/>
          <w:i/>
          <w:iCs/>
        </w:rPr>
        <w:t>derivado de la resolución número</w:t>
      </w:r>
      <w:r w:rsidRPr="00146286">
        <w:rPr>
          <w:rFonts w:ascii="Arial" w:hAnsi="Arial" w:cs="Arial"/>
          <w:bCs/>
          <w:i/>
          <w:iCs/>
        </w:rPr>
        <w:t xml:space="preserve"> </w:t>
      </w:r>
      <w:r w:rsidR="00370C4E">
        <w:rPr>
          <w:rFonts w:ascii="Arial" w:hAnsi="Arial" w:cs="Arial"/>
          <w:b/>
          <w:i/>
          <w:iCs/>
        </w:rPr>
        <w:t>*******</w:t>
      </w:r>
      <w:r w:rsidRPr="00146286">
        <w:rPr>
          <w:rFonts w:ascii="Arial" w:hAnsi="Arial" w:cs="Arial"/>
          <w:bCs/>
          <w:i/>
          <w:iCs/>
        </w:rPr>
        <w:t xml:space="preserve">, de </w:t>
      </w:r>
      <w:r w:rsidR="0014563E">
        <w:rPr>
          <w:rFonts w:ascii="Arial" w:hAnsi="Arial" w:cs="Arial"/>
          <w:bCs/>
          <w:i/>
          <w:iCs/>
        </w:rPr>
        <w:t xml:space="preserve">nueve de mayo </w:t>
      </w:r>
      <w:r w:rsidRPr="00146286">
        <w:rPr>
          <w:rFonts w:ascii="Arial" w:hAnsi="Arial" w:cs="Arial"/>
          <w:bCs/>
          <w:i/>
          <w:iCs/>
        </w:rPr>
        <w:t xml:space="preserve">de dos mil </w:t>
      </w:r>
      <w:r w:rsidR="0014563E">
        <w:rPr>
          <w:rFonts w:ascii="Arial" w:hAnsi="Arial" w:cs="Arial"/>
          <w:bCs/>
          <w:i/>
          <w:iCs/>
        </w:rPr>
        <w:t>dieciséis</w:t>
      </w:r>
      <w:r w:rsidRPr="00146286">
        <w:rPr>
          <w:rFonts w:ascii="Arial" w:hAnsi="Arial" w:cs="Arial"/>
          <w:bCs/>
          <w:i/>
          <w:iCs/>
        </w:rPr>
        <w:t>, emitida por la entonces Auditoría Superior del Estado</w:t>
      </w:r>
      <w:r>
        <w:rPr>
          <w:rFonts w:ascii="Arial" w:hAnsi="Arial" w:cs="Arial"/>
          <w:bCs/>
          <w:i/>
          <w:iCs/>
        </w:rPr>
        <w:t xml:space="preserve">; </w:t>
      </w:r>
      <w:r w:rsidRPr="005859BB">
        <w:rPr>
          <w:rFonts w:ascii="Arial" w:hAnsi="Arial" w:cs="Arial"/>
          <w:i/>
          <w:iCs/>
        </w:rPr>
        <w:t xml:space="preserve">en consecuencia, fórmese expediente y regístrese en el libro que para tal efecto se lleva en esta </w:t>
      </w:r>
      <w:r w:rsidR="0014563E">
        <w:rPr>
          <w:rFonts w:ascii="Arial" w:hAnsi="Arial" w:cs="Arial"/>
          <w:i/>
          <w:iCs/>
        </w:rPr>
        <w:t>Segunda</w:t>
      </w:r>
      <w:r w:rsidRPr="005859BB">
        <w:rPr>
          <w:rFonts w:ascii="Arial" w:hAnsi="Arial" w:cs="Arial"/>
          <w:i/>
          <w:iCs/>
        </w:rPr>
        <w:t xml:space="preserve"> Sala Unitaria de Primera Instancia.- </w:t>
      </w:r>
      <w:r w:rsidRPr="005859BB">
        <w:rPr>
          <w:rFonts w:ascii="Arial" w:hAnsi="Arial" w:cs="Arial"/>
          <w:b/>
          <w:bCs/>
          <w:i/>
          <w:iCs/>
        </w:rPr>
        <w:t>Ahora bien,</w:t>
      </w:r>
      <w:r w:rsidRPr="005859BB">
        <w:rPr>
          <w:rFonts w:ascii="Arial" w:hAnsi="Arial" w:cs="Arial"/>
          <w:i/>
          <w:iCs/>
        </w:rPr>
        <w:t xml:space="preserve"> de la lectura del escrito de demanda y los documentos anexos, se advierte que lo que el promovente</w:t>
      </w:r>
      <w:r w:rsidR="0014563E">
        <w:rPr>
          <w:rFonts w:ascii="Arial" w:hAnsi="Arial" w:cs="Arial"/>
          <w:b/>
          <w:bCs/>
          <w:i/>
          <w:iCs/>
        </w:rPr>
        <w:t xml:space="preserve"> </w:t>
      </w:r>
      <w:r w:rsidR="00370C4E">
        <w:rPr>
          <w:rFonts w:ascii="Arial" w:hAnsi="Arial" w:cs="Arial"/>
          <w:b/>
          <w:bCs/>
          <w:i/>
          <w:iCs/>
        </w:rPr>
        <w:t>*******</w:t>
      </w:r>
      <w:r>
        <w:rPr>
          <w:rFonts w:ascii="Arial" w:hAnsi="Arial" w:cs="Arial"/>
          <w:b/>
          <w:bCs/>
          <w:i/>
          <w:iCs/>
        </w:rPr>
        <w:t xml:space="preserve">, </w:t>
      </w:r>
      <w:r w:rsidRPr="005859BB">
        <w:rPr>
          <w:rFonts w:ascii="Arial" w:hAnsi="Arial" w:cs="Arial"/>
          <w:i/>
          <w:iCs/>
        </w:rPr>
        <w:t xml:space="preserve">intenta impugnar es la resolución </w:t>
      </w:r>
      <w:r w:rsidRPr="00F120B7">
        <w:rPr>
          <w:rFonts w:ascii="Arial" w:hAnsi="Arial" w:cs="Arial"/>
          <w:i/>
          <w:iCs/>
        </w:rPr>
        <w:t xml:space="preserve">número </w:t>
      </w:r>
      <w:r w:rsidR="00370C4E">
        <w:rPr>
          <w:rFonts w:ascii="Arial" w:hAnsi="Arial" w:cs="Arial"/>
          <w:b/>
          <w:i/>
          <w:iCs/>
        </w:rPr>
        <w:t>*******</w:t>
      </w:r>
      <w:r w:rsidR="0014563E" w:rsidRPr="00146286">
        <w:rPr>
          <w:rFonts w:ascii="Arial" w:hAnsi="Arial" w:cs="Arial"/>
          <w:bCs/>
          <w:i/>
          <w:iCs/>
        </w:rPr>
        <w:t xml:space="preserve">, de </w:t>
      </w:r>
      <w:r w:rsidR="0014563E">
        <w:rPr>
          <w:rFonts w:ascii="Arial" w:hAnsi="Arial" w:cs="Arial"/>
          <w:bCs/>
          <w:i/>
          <w:iCs/>
        </w:rPr>
        <w:t xml:space="preserve">nueve de mayo </w:t>
      </w:r>
      <w:r w:rsidR="0014563E" w:rsidRPr="00146286">
        <w:rPr>
          <w:rFonts w:ascii="Arial" w:hAnsi="Arial" w:cs="Arial"/>
          <w:bCs/>
          <w:i/>
          <w:iCs/>
        </w:rPr>
        <w:t xml:space="preserve">de dos mil </w:t>
      </w:r>
      <w:r w:rsidR="0014563E">
        <w:rPr>
          <w:rFonts w:ascii="Arial" w:hAnsi="Arial" w:cs="Arial"/>
          <w:bCs/>
          <w:i/>
          <w:iCs/>
        </w:rPr>
        <w:t>dieciséis</w:t>
      </w:r>
      <w:r w:rsidR="0014563E" w:rsidRPr="00146286">
        <w:rPr>
          <w:rFonts w:ascii="Arial" w:hAnsi="Arial" w:cs="Arial"/>
          <w:bCs/>
          <w:i/>
          <w:iCs/>
        </w:rPr>
        <w:t>,</w:t>
      </w:r>
      <w:r w:rsidR="0014563E">
        <w:rPr>
          <w:rFonts w:ascii="Arial" w:hAnsi="Arial" w:cs="Arial"/>
          <w:bCs/>
          <w:i/>
          <w:iCs/>
        </w:rPr>
        <w:t xml:space="preserve"> </w:t>
      </w:r>
      <w:r w:rsidRPr="00F120B7">
        <w:rPr>
          <w:rFonts w:ascii="Arial" w:hAnsi="Arial" w:cs="Arial"/>
          <w:i/>
          <w:iCs/>
        </w:rPr>
        <w:t>emitida por la entonces Auditoría Superior del Estado, ahora Órgano Superior de Fiscalización del Estado</w:t>
      </w:r>
      <w:r>
        <w:rPr>
          <w:rFonts w:ascii="Arial" w:hAnsi="Arial" w:cs="Arial"/>
          <w:i/>
          <w:iCs/>
        </w:rPr>
        <w:t xml:space="preserve">, por </w:t>
      </w:r>
      <w:r w:rsidR="0014563E" w:rsidRPr="0014563E">
        <w:rPr>
          <w:rFonts w:ascii="Arial" w:hAnsi="Arial" w:cs="Arial"/>
          <w:i/>
          <w:iCs/>
        </w:rPr>
        <w:t xml:space="preserve">“ el resarcimiento de daños y perjuicios causados a la hacienda pública municipal del Municipio de </w:t>
      </w:r>
      <w:r w:rsidR="00370C4E">
        <w:rPr>
          <w:rFonts w:ascii="Arial" w:hAnsi="Arial" w:cs="Arial"/>
          <w:i/>
          <w:iCs/>
        </w:rPr>
        <w:t>*******</w:t>
      </w:r>
      <w:r w:rsidR="0014563E" w:rsidRPr="0014563E">
        <w:rPr>
          <w:rFonts w:ascii="Arial" w:hAnsi="Arial" w:cs="Arial"/>
          <w:i/>
          <w:iCs/>
        </w:rPr>
        <w:t xml:space="preserve">, durante el ejercicio fiscal 2010”, </w:t>
      </w:r>
      <w:r w:rsidRPr="003751AD">
        <w:rPr>
          <w:rFonts w:ascii="Arial" w:hAnsi="Arial" w:cs="Arial"/>
          <w:bCs/>
          <w:i/>
          <w:iCs/>
        </w:rPr>
        <w:t xml:space="preserve">en cantidad de </w:t>
      </w:r>
      <w:r w:rsidR="0014563E" w:rsidRPr="0014563E">
        <w:rPr>
          <w:rFonts w:ascii="Arial" w:hAnsi="Arial" w:cs="Arial"/>
          <w:bCs/>
          <w:i/>
          <w:iCs/>
        </w:rPr>
        <w:t>$</w:t>
      </w:r>
      <w:r w:rsidR="00370C4E">
        <w:rPr>
          <w:rFonts w:ascii="Arial" w:hAnsi="Arial" w:cs="Arial"/>
          <w:b/>
          <w:i/>
          <w:iCs/>
        </w:rPr>
        <w:t>*******</w:t>
      </w:r>
      <w:r w:rsidR="0014563E" w:rsidRPr="0014563E">
        <w:rPr>
          <w:rFonts w:ascii="Arial" w:hAnsi="Arial" w:cs="Arial"/>
          <w:b/>
          <w:i/>
          <w:iCs/>
        </w:rPr>
        <w:t>),</w:t>
      </w:r>
      <w:r w:rsidR="0014563E">
        <w:rPr>
          <w:rFonts w:ascii="Arial" w:hAnsi="Arial" w:cs="Arial"/>
          <w:b/>
          <w:i/>
          <w:iCs/>
        </w:rPr>
        <w:t xml:space="preserve"> </w:t>
      </w:r>
      <w:r w:rsidRPr="003751AD">
        <w:rPr>
          <w:rFonts w:ascii="Arial" w:hAnsi="Arial" w:cs="Arial"/>
          <w:bCs/>
          <w:i/>
          <w:iCs/>
        </w:rPr>
        <w:t>que se originó</w:t>
      </w:r>
      <w:r w:rsidR="0014563E">
        <w:rPr>
          <w:rFonts w:ascii="Arial" w:hAnsi="Arial" w:cs="Arial"/>
          <w:bCs/>
          <w:i/>
          <w:iCs/>
        </w:rPr>
        <w:t xml:space="preserve"> </w:t>
      </w:r>
      <w:r w:rsidR="0014563E" w:rsidRPr="0014563E">
        <w:rPr>
          <w:rFonts w:ascii="Arial" w:hAnsi="Arial" w:cs="Arial"/>
          <w:bCs/>
          <w:i/>
          <w:iCs/>
        </w:rPr>
        <w:t>cuando el demandante fungió como regidor de hacienda de ese municipio,</w:t>
      </w:r>
      <w:r w:rsidR="0014563E">
        <w:rPr>
          <w:rFonts w:ascii="Arial" w:hAnsi="Arial" w:cs="Arial"/>
          <w:bCs/>
          <w:i/>
          <w:iCs/>
        </w:rPr>
        <w:t xml:space="preserve"> </w:t>
      </w:r>
      <w:r w:rsidRPr="005859BB">
        <w:rPr>
          <w:rFonts w:ascii="Arial" w:hAnsi="Arial" w:cs="Arial"/>
          <w:i/>
          <w:iCs/>
        </w:rPr>
        <w:t xml:space="preserve">controversia que debe ser resuelta a través del </w:t>
      </w:r>
      <w:r w:rsidRPr="005859BB">
        <w:rPr>
          <w:rFonts w:ascii="Arial" w:hAnsi="Arial" w:cs="Arial"/>
          <w:b/>
          <w:i/>
          <w:iCs/>
        </w:rPr>
        <w:t>juicio de inconformidad</w:t>
      </w:r>
      <w:r w:rsidRPr="005859BB">
        <w:rPr>
          <w:rFonts w:ascii="Arial" w:hAnsi="Arial" w:cs="Arial"/>
          <w:i/>
          <w:iCs/>
        </w:rPr>
        <w:t xml:space="preserve">, siendo la Sala Superior de este Tribunal de Justicia Administrativa del Estado de Oaxaca, la instancia competente para conocer de ello, en términos de los numerales 130 fracción VI  de la Ley de Procedimiento y Justicia Administrativa para el Estado de Oaxaca y 24 fracción I  de la Ley Orgánica del Tribunal de Justicia Administrativa del Estado de Oaxaca. Por lo que, con la finalidad de garantizar los derechos de seguridad jurídica, tutela judicial efectiva y debido proceso del promovente, contenidos en los artículos 14, 16 y 17 de la Constitución Federal, esta Primera Sala Unitaria de Primera Instancia </w:t>
      </w:r>
      <w:r w:rsidRPr="005859BB">
        <w:rPr>
          <w:rFonts w:ascii="Arial" w:hAnsi="Arial" w:cs="Arial"/>
          <w:b/>
          <w:i/>
          <w:iCs/>
        </w:rPr>
        <w:t>SE DECLARA INCOMPETENTE</w:t>
      </w:r>
      <w:r w:rsidRPr="005859BB">
        <w:rPr>
          <w:rFonts w:ascii="Arial" w:hAnsi="Arial" w:cs="Arial"/>
          <w:i/>
          <w:iCs/>
        </w:rPr>
        <w:t xml:space="preserve"> para tramitar la demanda de</w:t>
      </w:r>
      <w:r w:rsidR="0014563E">
        <w:rPr>
          <w:rFonts w:ascii="Arial" w:hAnsi="Arial" w:cs="Arial"/>
          <w:b/>
          <w:bCs/>
          <w:i/>
          <w:iCs/>
        </w:rPr>
        <w:t xml:space="preserve"> </w:t>
      </w:r>
      <w:r w:rsidR="00370C4E">
        <w:rPr>
          <w:rFonts w:ascii="Arial" w:hAnsi="Arial" w:cs="Arial"/>
          <w:b/>
          <w:bCs/>
          <w:i/>
          <w:iCs/>
        </w:rPr>
        <w:t>*******</w:t>
      </w:r>
      <w:r>
        <w:rPr>
          <w:rFonts w:ascii="Arial" w:hAnsi="Arial" w:cs="Arial"/>
          <w:b/>
          <w:bCs/>
          <w:i/>
          <w:iCs/>
        </w:rPr>
        <w:t xml:space="preserve">, </w:t>
      </w:r>
      <w:r w:rsidRPr="005859BB">
        <w:rPr>
          <w:rFonts w:ascii="Arial" w:hAnsi="Arial" w:cs="Arial"/>
          <w:bCs/>
          <w:i/>
          <w:iCs/>
        </w:rPr>
        <w:t xml:space="preserve">a través del juicio </w:t>
      </w:r>
      <w:r w:rsidRPr="005859BB">
        <w:rPr>
          <w:rFonts w:ascii="Arial" w:hAnsi="Arial" w:cs="Arial"/>
          <w:bCs/>
          <w:i/>
          <w:iCs/>
        </w:rPr>
        <w:lastRenderedPageBreak/>
        <w:t xml:space="preserve">de nulidad, y se ordena remitir a la Secretaría General de Acuerdos de este Tribunal los autos del presente expediente, </w:t>
      </w:r>
      <w:r w:rsidRPr="005859BB">
        <w:rPr>
          <w:rFonts w:ascii="Arial" w:hAnsi="Arial" w:cs="Arial"/>
          <w:i/>
          <w:iCs/>
        </w:rPr>
        <w:t xml:space="preserve">para que desahogue el trámite del juicio de inconformidad ante la Sala Superior, que es la instancia competente para sustanciar y dirimir los asuntos planteados contra la autoridad en materia de fiscalización y rendición de cuentas. </w:t>
      </w:r>
      <w:r w:rsidRPr="005859BB">
        <w:rPr>
          <w:rFonts w:ascii="Arial" w:eastAsia="Times New Roman" w:hAnsi="Arial" w:cs="Arial"/>
          <w:b/>
          <w:i/>
          <w:iCs/>
        </w:rPr>
        <w:t>NOTIFÍQUESE</w:t>
      </w:r>
      <w:r w:rsidRPr="005859BB">
        <w:rPr>
          <w:rFonts w:ascii="Arial" w:eastAsia="Times New Roman" w:hAnsi="Arial" w:cs="Arial"/>
          <w:bCs/>
          <w:i/>
          <w:iCs/>
        </w:rPr>
        <w:t xml:space="preserve"> personalmente al promovente en el domicilio que señala en el escrito de demanda a través de las personas que autoriza, con fundamento en lo dispuesto por los artículos 172 y 173 de la Ley de Procedimiento y Justicia Administrativa para el Estado de Oaxaca, </w:t>
      </w:r>
      <w:r w:rsidRPr="005859BB">
        <w:rPr>
          <w:rFonts w:ascii="Arial" w:hAnsi="Arial" w:cs="Arial"/>
          <w:b/>
          <w:i/>
          <w:iCs/>
        </w:rPr>
        <w:t xml:space="preserve">CÚMPLASE. </w:t>
      </w:r>
      <w:r w:rsidRPr="005859BB">
        <w:rPr>
          <w:rFonts w:ascii="Arial" w:eastAsia="Times New Roman" w:hAnsi="Arial" w:cs="Arial"/>
          <w:b/>
          <w:i/>
          <w:iCs/>
        </w:rPr>
        <w:t>…</w:t>
      </w:r>
      <w:r w:rsidRPr="005859BB">
        <w:rPr>
          <w:rFonts w:ascii="Arial" w:hAnsi="Arial" w:cs="Arial"/>
          <w:i/>
        </w:rPr>
        <w:t xml:space="preserve"> ”</w:t>
      </w:r>
      <w:r w:rsidRPr="005859BB">
        <w:rPr>
          <w:rFonts w:ascii="Arial" w:eastAsia="Times New Roman" w:hAnsi="Arial" w:cs="Arial"/>
          <w:b/>
          <w:bCs/>
          <w:i/>
          <w:iCs/>
          <w:lang w:eastAsia="es-ES"/>
        </w:rPr>
        <w:t xml:space="preserve"> </w:t>
      </w:r>
    </w:p>
    <w:p w14:paraId="3A2EC43F" w14:textId="31ECE3CD" w:rsidR="00C10962" w:rsidRDefault="00C10962" w:rsidP="00C10962">
      <w:pPr>
        <w:pStyle w:val="Textoindependiente"/>
        <w:spacing w:after="200" w:line="360" w:lineRule="auto"/>
        <w:ind w:firstLine="708"/>
        <w:jc w:val="both"/>
        <w:rPr>
          <w:rFonts w:ascii="Arial" w:hAnsi="Arial" w:cs="Arial"/>
          <w:sz w:val="26"/>
          <w:szCs w:val="26"/>
        </w:rPr>
      </w:pPr>
      <w:r>
        <w:rPr>
          <w:rFonts w:ascii="Arial" w:hAnsi="Arial" w:cs="Arial"/>
          <w:sz w:val="26"/>
          <w:szCs w:val="26"/>
        </w:rPr>
        <w:t>En mérito de lo anterior, con fundamento en los artículos 23</w:t>
      </w:r>
      <w:r w:rsidR="00063708">
        <w:rPr>
          <w:rFonts w:ascii="Arial" w:hAnsi="Arial" w:cs="Arial"/>
          <w:sz w:val="26"/>
          <w:szCs w:val="26"/>
        </w:rPr>
        <w:t>6</w:t>
      </w:r>
      <w:r>
        <w:rPr>
          <w:rFonts w:ascii="Arial" w:hAnsi="Arial" w:cs="Arial"/>
          <w:sz w:val="26"/>
          <w:szCs w:val="26"/>
        </w:rPr>
        <w:t xml:space="preserve"> y 238 de la Ley de Procedimiento y Justicia Administrativa para el Estado de Oaxaca, se</w:t>
      </w:r>
      <w:r w:rsidRPr="008C1633">
        <w:rPr>
          <w:rFonts w:ascii="Arial" w:hAnsi="Arial" w:cs="Arial"/>
          <w:sz w:val="26"/>
          <w:szCs w:val="26"/>
        </w:rPr>
        <w:t>:</w:t>
      </w:r>
      <w:r w:rsidR="00C11A76">
        <w:rPr>
          <w:rFonts w:ascii="Arial" w:hAnsi="Arial" w:cs="Arial"/>
          <w:sz w:val="26"/>
          <w:szCs w:val="26"/>
        </w:rPr>
        <w:t xml:space="preserve"> - - - - - - - - - - - - - - - - - - - - - - - - - - - - - - - - - - - - - - - - - </w:t>
      </w:r>
    </w:p>
    <w:p w14:paraId="2F2B82FF" w14:textId="77777777" w:rsidR="00C10962" w:rsidRPr="00C11A76" w:rsidRDefault="00C10962" w:rsidP="00C10962">
      <w:pPr>
        <w:pStyle w:val="Sinespaciado"/>
        <w:spacing w:before="240" w:line="360" w:lineRule="auto"/>
        <w:jc w:val="center"/>
        <w:rPr>
          <w:rFonts w:ascii="Arial" w:hAnsi="Arial" w:cs="Arial"/>
          <w:b/>
          <w:sz w:val="26"/>
          <w:szCs w:val="26"/>
        </w:rPr>
      </w:pPr>
      <w:r w:rsidRPr="00C11A76">
        <w:rPr>
          <w:rFonts w:ascii="Arial" w:hAnsi="Arial" w:cs="Arial"/>
          <w:b/>
          <w:sz w:val="26"/>
          <w:szCs w:val="26"/>
        </w:rPr>
        <w:t>R E S U E L V E</w:t>
      </w:r>
    </w:p>
    <w:p w14:paraId="334D4FDF" w14:textId="18AFAA98" w:rsidR="00C10962" w:rsidRDefault="00C10962" w:rsidP="00C1096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REVOCA </w:t>
      </w:r>
      <w:r>
        <w:rPr>
          <w:rFonts w:ascii="Arial" w:hAnsi="Arial" w:cs="Arial"/>
          <w:bCs/>
          <w:color w:val="000000"/>
          <w:sz w:val="26"/>
          <w:szCs w:val="26"/>
          <w:lang w:val="es-MX"/>
        </w:rPr>
        <w:t xml:space="preserve">el acuerdo </w:t>
      </w:r>
      <w:r w:rsidR="00063708">
        <w:rPr>
          <w:rFonts w:ascii="Arial" w:hAnsi="Arial" w:cs="Arial"/>
          <w:bCs/>
          <w:color w:val="000000"/>
          <w:sz w:val="26"/>
          <w:szCs w:val="26"/>
          <w:lang w:val="es-MX"/>
        </w:rPr>
        <w:t xml:space="preserve">de veinticuatro de mayo de dos mil veintiuno y se dicta uno nuevo, </w:t>
      </w:r>
      <w:r>
        <w:rPr>
          <w:rFonts w:ascii="Arial" w:hAnsi="Arial" w:cs="Arial"/>
          <w:color w:val="000000"/>
          <w:sz w:val="26"/>
          <w:szCs w:val="26"/>
          <w:lang w:val="es-MX"/>
        </w:rPr>
        <w:t>por las razones expuestas por esta Sala Superior en el considerando que antecede.</w:t>
      </w:r>
      <w:r w:rsidR="00C11A76" w:rsidRPr="00C11A76">
        <w:rPr>
          <w:rFonts w:ascii="Arial" w:hAnsi="Arial" w:cs="Arial"/>
          <w:sz w:val="26"/>
          <w:szCs w:val="26"/>
        </w:rPr>
        <w:t xml:space="preserve"> </w:t>
      </w:r>
      <w:r w:rsidR="00C11A76">
        <w:rPr>
          <w:rFonts w:ascii="Arial" w:hAnsi="Arial" w:cs="Arial"/>
          <w:sz w:val="26"/>
          <w:szCs w:val="26"/>
        </w:rPr>
        <w:t xml:space="preserve">- - - - - - - - - - - - - </w:t>
      </w:r>
    </w:p>
    <w:p w14:paraId="37FDF2AE" w14:textId="0DCA9B2B" w:rsidR="00C10962" w:rsidRPr="00C27215" w:rsidRDefault="00C10962" w:rsidP="00C10962">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Pr="006B717B">
        <w:rPr>
          <w:rFonts w:ascii="Arial" w:hAnsi="Arial" w:cs="Arial"/>
          <w:sz w:val="26"/>
          <w:szCs w:val="26"/>
        </w:rPr>
        <w:t>En cumplimiento a la presente resolución, s</w:t>
      </w:r>
      <w:r w:rsidRPr="00C27215">
        <w:rPr>
          <w:rFonts w:ascii="Arial" w:hAnsi="Arial" w:cs="Arial"/>
          <w:sz w:val="26"/>
          <w:szCs w:val="26"/>
        </w:rPr>
        <w:t xml:space="preserve">e ordena a la </w:t>
      </w:r>
      <w:r w:rsidR="00063708">
        <w:rPr>
          <w:rFonts w:ascii="Arial" w:hAnsi="Arial" w:cs="Arial"/>
          <w:sz w:val="26"/>
          <w:szCs w:val="26"/>
        </w:rPr>
        <w:t>Segunda</w:t>
      </w:r>
      <w:r w:rsidRPr="00C27215">
        <w:rPr>
          <w:rFonts w:ascii="Arial" w:hAnsi="Arial" w:cs="Arial"/>
          <w:sz w:val="26"/>
          <w:szCs w:val="26"/>
        </w:rPr>
        <w:t xml:space="preserve"> Sala Unitaria de Primera I</w:t>
      </w:r>
      <w:r>
        <w:rPr>
          <w:rFonts w:ascii="Arial" w:hAnsi="Arial" w:cs="Arial"/>
          <w:sz w:val="26"/>
          <w:szCs w:val="26"/>
        </w:rPr>
        <w:t xml:space="preserve">nstancia, que remita a la Secretaría General de Acuerdos de este Tribunal, las constancias del expediente </w:t>
      </w:r>
      <w:r w:rsidRPr="007118C8">
        <w:rPr>
          <w:rFonts w:ascii="Arial" w:hAnsi="Arial" w:cs="Arial"/>
          <w:b/>
          <w:sz w:val="26"/>
          <w:szCs w:val="26"/>
        </w:rPr>
        <w:t>0</w:t>
      </w:r>
      <w:r w:rsidR="00063708">
        <w:rPr>
          <w:rFonts w:ascii="Arial" w:hAnsi="Arial" w:cs="Arial"/>
          <w:b/>
          <w:sz w:val="26"/>
          <w:szCs w:val="26"/>
        </w:rPr>
        <w:t>045</w:t>
      </w:r>
      <w:r w:rsidRPr="007118C8">
        <w:rPr>
          <w:rFonts w:ascii="Arial" w:hAnsi="Arial" w:cs="Arial"/>
          <w:b/>
          <w:sz w:val="26"/>
          <w:szCs w:val="26"/>
        </w:rPr>
        <w:t>/202</w:t>
      </w:r>
      <w:r w:rsidR="00063708">
        <w:rPr>
          <w:rFonts w:ascii="Arial" w:hAnsi="Arial" w:cs="Arial"/>
          <w:b/>
          <w:sz w:val="26"/>
          <w:szCs w:val="26"/>
        </w:rPr>
        <w:t>1</w:t>
      </w:r>
      <w:r>
        <w:rPr>
          <w:rFonts w:ascii="Arial" w:hAnsi="Arial" w:cs="Arial"/>
          <w:sz w:val="26"/>
          <w:szCs w:val="26"/>
        </w:rPr>
        <w:t xml:space="preserve"> de su índice, para la tramitación del juicio de inconformidad correspondiente. </w:t>
      </w:r>
      <w:r w:rsidR="00C11A76">
        <w:rPr>
          <w:rFonts w:ascii="Arial" w:hAnsi="Arial" w:cs="Arial"/>
          <w:sz w:val="26"/>
          <w:szCs w:val="26"/>
        </w:rPr>
        <w:t>- - - - - - - - - - - - - - - - - - - - - - - - - - - - -</w:t>
      </w:r>
    </w:p>
    <w:p w14:paraId="2453E0CB" w14:textId="049B307A" w:rsidR="00C10962" w:rsidRDefault="00C10962" w:rsidP="00C10962">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063708">
        <w:rPr>
          <w:rFonts w:ascii="Arial" w:hAnsi="Arial" w:cs="Arial"/>
          <w:sz w:val="26"/>
          <w:szCs w:val="26"/>
        </w:rPr>
        <w:t>Segunda</w:t>
      </w:r>
      <w:r>
        <w:rPr>
          <w:rFonts w:ascii="Arial" w:hAnsi="Arial" w:cs="Arial"/>
          <w:sz w:val="26"/>
          <w:szCs w:val="26"/>
        </w:rPr>
        <w:t xml:space="preserve"> Sala Unitaria de Primera Instancia de este Tribunal y en su oportunidad archívese el presente cuaderno de revisión como asunto concluido.</w:t>
      </w:r>
      <w:r w:rsidR="00C11A76">
        <w:rPr>
          <w:rFonts w:ascii="Arial" w:hAnsi="Arial" w:cs="Arial"/>
          <w:sz w:val="26"/>
          <w:szCs w:val="26"/>
        </w:rPr>
        <w:t xml:space="preserve"> - - - - - - - - - - - - </w:t>
      </w:r>
    </w:p>
    <w:p w14:paraId="40E38E95" w14:textId="70C7D74D" w:rsidR="00C10962" w:rsidRPr="00E9212E" w:rsidRDefault="00C10962" w:rsidP="00C10962">
      <w:pPr>
        <w:tabs>
          <w:tab w:val="left" w:pos="1680"/>
          <w:tab w:val="center" w:pos="4277"/>
        </w:tabs>
        <w:spacing w:line="360" w:lineRule="auto"/>
        <w:jc w:val="both"/>
        <w:rPr>
          <w:rFonts w:ascii="Arial" w:hAnsi="Arial" w:cs="Arial"/>
          <w:sz w:val="26"/>
          <w:szCs w:val="26"/>
        </w:rPr>
      </w:pPr>
      <w:r w:rsidRPr="003B6CF0">
        <w:t xml:space="preserve"> </w:t>
      </w:r>
      <w:r w:rsidRPr="00E9212E">
        <w:rPr>
          <w:rFonts w:ascii="Arial" w:hAnsi="Arial" w:cs="Arial"/>
          <w:sz w:val="26"/>
          <w:szCs w:val="26"/>
        </w:rPr>
        <w:t xml:space="preserve">       Por unanimidad de votos, lo resolvieron y firmaron los magistrados integrantes de la Sala Superior, Manuel Velasco Alcántara, Raúl Palomares Palomino </w:t>
      </w:r>
      <w:r w:rsidRPr="00E9212E">
        <w:rPr>
          <w:rFonts w:ascii="Arial" w:hAnsi="Arial" w:cs="Arial"/>
          <w:b/>
          <w:bCs/>
          <w:sz w:val="26"/>
          <w:szCs w:val="26"/>
        </w:rPr>
        <w:t>(ponente)</w:t>
      </w:r>
      <w:r w:rsidRPr="00E9212E">
        <w:rPr>
          <w:rFonts w:ascii="Arial" w:hAnsi="Arial" w:cs="Arial"/>
          <w:sz w:val="26"/>
          <w:szCs w:val="26"/>
        </w:rPr>
        <w:t>, Gloria del Carmen Camacho Meza, Paulo José Luis Tapia Palacios, Elías Cortés López, quienes actúan con el Licenciado Juan Edy García Coronado, secretario General de Acuerdos de este Tr</w:t>
      </w:r>
      <w:r>
        <w:rPr>
          <w:rFonts w:ascii="Arial" w:hAnsi="Arial" w:cs="Arial"/>
          <w:sz w:val="26"/>
          <w:szCs w:val="26"/>
        </w:rPr>
        <w:t>ibunal, que autoriza y da fe.</w:t>
      </w:r>
      <w:r w:rsidR="00370C4E">
        <w:rPr>
          <w:rFonts w:ascii="Arial" w:hAnsi="Arial" w:cs="Arial"/>
          <w:sz w:val="26"/>
          <w:szCs w:val="26"/>
        </w:rPr>
        <w:t>- - - - - - - - - - - - - - - - - -</w:t>
      </w:r>
    </w:p>
    <w:p w14:paraId="74E1C4DD" w14:textId="509F716A" w:rsidR="00C10962" w:rsidRDefault="00C10962" w:rsidP="00C10962">
      <w:pPr>
        <w:tabs>
          <w:tab w:val="left" w:pos="1680"/>
          <w:tab w:val="center" w:pos="4277"/>
        </w:tabs>
        <w:jc w:val="center"/>
        <w:rPr>
          <w:rFonts w:ascii="Arial" w:hAnsi="Arial" w:cs="Arial"/>
          <w:sz w:val="26"/>
          <w:szCs w:val="26"/>
        </w:rPr>
      </w:pPr>
    </w:p>
    <w:p w14:paraId="0FCED916" w14:textId="0D6AD1D9" w:rsidR="00C11A76" w:rsidRDefault="00C11A76" w:rsidP="00C10962">
      <w:pPr>
        <w:tabs>
          <w:tab w:val="left" w:pos="1680"/>
          <w:tab w:val="center" w:pos="4277"/>
        </w:tabs>
        <w:jc w:val="center"/>
        <w:rPr>
          <w:rFonts w:ascii="Arial" w:hAnsi="Arial" w:cs="Arial"/>
          <w:sz w:val="26"/>
          <w:szCs w:val="26"/>
        </w:rPr>
      </w:pPr>
    </w:p>
    <w:p w14:paraId="38DFA260" w14:textId="77777777" w:rsidR="00C11A76" w:rsidRPr="00E9212E" w:rsidRDefault="00C11A76" w:rsidP="00370C4E">
      <w:pPr>
        <w:tabs>
          <w:tab w:val="left" w:pos="1680"/>
          <w:tab w:val="center" w:pos="4277"/>
        </w:tabs>
        <w:rPr>
          <w:rFonts w:ascii="Arial" w:hAnsi="Arial" w:cs="Arial"/>
          <w:sz w:val="26"/>
          <w:szCs w:val="26"/>
        </w:rPr>
      </w:pPr>
    </w:p>
    <w:p w14:paraId="144A5137" w14:textId="77777777" w:rsidR="00C10962" w:rsidRPr="00E9212E" w:rsidRDefault="00C10962" w:rsidP="00C10962">
      <w:pPr>
        <w:tabs>
          <w:tab w:val="left" w:pos="1680"/>
          <w:tab w:val="center" w:pos="4277"/>
        </w:tabs>
        <w:spacing w:after="0" w:line="240" w:lineRule="auto"/>
        <w:jc w:val="center"/>
        <w:rPr>
          <w:rFonts w:ascii="Arial" w:hAnsi="Arial" w:cs="Arial"/>
          <w:sz w:val="26"/>
          <w:szCs w:val="26"/>
        </w:rPr>
      </w:pPr>
      <w:r w:rsidRPr="00E9212E">
        <w:rPr>
          <w:rFonts w:ascii="Arial" w:hAnsi="Arial" w:cs="Arial"/>
          <w:sz w:val="26"/>
          <w:szCs w:val="26"/>
        </w:rPr>
        <w:t xml:space="preserve">MAGISTRADO MANUEL VELASCO ALCÁNTARA </w:t>
      </w:r>
    </w:p>
    <w:p w14:paraId="021A796F" w14:textId="77777777" w:rsidR="00C10962" w:rsidRPr="00E9212E" w:rsidRDefault="00C10962" w:rsidP="00C10962">
      <w:pPr>
        <w:tabs>
          <w:tab w:val="left" w:pos="1680"/>
          <w:tab w:val="center" w:pos="4277"/>
        </w:tabs>
        <w:spacing w:after="0" w:line="240" w:lineRule="auto"/>
        <w:jc w:val="center"/>
        <w:rPr>
          <w:rFonts w:ascii="Arial" w:hAnsi="Arial" w:cs="Arial"/>
          <w:sz w:val="26"/>
          <w:szCs w:val="26"/>
        </w:rPr>
      </w:pPr>
      <w:r w:rsidRPr="00E9212E">
        <w:rPr>
          <w:rFonts w:ascii="Arial" w:hAnsi="Arial" w:cs="Arial"/>
          <w:sz w:val="26"/>
          <w:szCs w:val="26"/>
        </w:rPr>
        <w:t xml:space="preserve">PRESIDENTE </w:t>
      </w:r>
    </w:p>
    <w:p w14:paraId="4CB1519E" w14:textId="7665028E" w:rsidR="00C10962" w:rsidRDefault="00C10962" w:rsidP="00C10962">
      <w:pPr>
        <w:spacing w:line="360" w:lineRule="auto"/>
        <w:jc w:val="center"/>
        <w:rPr>
          <w:rFonts w:ascii="Arial" w:hAnsi="Arial" w:cs="Arial"/>
          <w:sz w:val="26"/>
          <w:szCs w:val="26"/>
        </w:rPr>
      </w:pPr>
    </w:p>
    <w:p w14:paraId="1C1FFEF2" w14:textId="1284390C" w:rsidR="00C11A76" w:rsidRDefault="00C11A76" w:rsidP="00C10962">
      <w:pPr>
        <w:spacing w:line="360" w:lineRule="auto"/>
        <w:jc w:val="center"/>
        <w:rPr>
          <w:rFonts w:ascii="Arial" w:hAnsi="Arial" w:cs="Arial"/>
          <w:sz w:val="26"/>
          <w:szCs w:val="26"/>
        </w:rPr>
      </w:pPr>
    </w:p>
    <w:p w14:paraId="3D9B89D4" w14:textId="77777777" w:rsidR="00370C4E" w:rsidRDefault="00370C4E" w:rsidP="00370C4E">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0336/2021.</w:t>
      </w:r>
    </w:p>
    <w:p w14:paraId="639D2B9B" w14:textId="77777777" w:rsidR="00C11A76" w:rsidRDefault="00C11A76" w:rsidP="00370C4E">
      <w:pPr>
        <w:spacing w:line="360" w:lineRule="auto"/>
        <w:rPr>
          <w:rFonts w:ascii="Arial" w:hAnsi="Arial" w:cs="Arial"/>
          <w:sz w:val="26"/>
          <w:szCs w:val="26"/>
        </w:rPr>
      </w:pPr>
    </w:p>
    <w:p w14:paraId="13035060" w14:textId="77777777" w:rsidR="00370C4E" w:rsidRDefault="00370C4E" w:rsidP="00370C4E">
      <w:pPr>
        <w:spacing w:line="360" w:lineRule="auto"/>
        <w:rPr>
          <w:rFonts w:ascii="Arial" w:hAnsi="Arial" w:cs="Arial"/>
          <w:sz w:val="26"/>
          <w:szCs w:val="26"/>
        </w:rPr>
      </w:pPr>
    </w:p>
    <w:p w14:paraId="0CDA62DF" w14:textId="310FBDCF" w:rsidR="00C11A76" w:rsidRDefault="00C11A76" w:rsidP="00C10962">
      <w:pPr>
        <w:spacing w:line="360" w:lineRule="auto"/>
        <w:jc w:val="center"/>
        <w:rPr>
          <w:rFonts w:ascii="Arial" w:hAnsi="Arial" w:cs="Arial"/>
          <w:sz w:val="26"/>
          <w:szCs w:val="26"/>
        </w:rPr>
      </w:pPr>
    </w:p>
    <w:p w14:paraId="68CEBC70" w14:textId="77777777" w:rsidR="00C11A76" w:rsidRPr="00E9212E" w:rsidRDefault="00C11A76" w:rsidP="00C10962">
      <w:pPr>
        <w:spacing w:line="360" w:lineRule="auto"/>
        <w:jc w:val="center"/>
        <w:rPr>
          <w:rFonts w:ascii="Arial" w:hAnsi="Arial" w:cs="Arial"/>
          <w:sz w:val="26"/>
          <w:szCs w:val="26"/>
        </w:rPr>
      </w:pPr>
    </w:p>
    <w:p w14:paraId="49950061" w14:textId="5E1FF2F2" w:rsidR="00C10962" w:rsidRDefault="00C10962" w:rsidP="00C10962">
      <w:pPr>
        <w:tabs>
          <w:tab w:val="center" w:pos="4135"/>
          <w:tab w:val="left" w:pos="7515"/>
        </w:tabs>
        <w:spacing w:line="360" w:lineRule="auto"/>
        <w:jc w:val="center"/>
        <w:rPr>
          <w:rFonts w:ascii="Arial" w:hAnsi="Arial" w:cs="Arial"/>
          <w:sz w:val="26"/>
          <w:szCs w:val="26"/>
        </w:rPr>
      </w:pPr>
      <w:r w:rsidRPr="00E9212E">
        <w:rPr>
          <w:rFonts w:ascii="Arial" w:hAnsi="Arial" w:cs="Arial"/>
          <w:sz w:val="26"/>
          <w:szCs w:val="26"/>
        </w:rPr>
        <w:t>MAGISTRADO RAÚL PALOMARES PALOMINO</w:t>
      </w:r>
    </w:p>
    <w:p w14:paraId="0AB81B17" w14:textId="53F3E76B" w:rsidR="00C11A76" w:rsidRDefault="00C11A76" w:rsidP="00C10962">
      <w:pPr>
        <w:tabs>
          <w:tab w:val="center" w:pos="4135"/>
          <w:tab w:val="left" w:pos="7515"/>
        </w:tabs>
        <w:spacing w:line="360" w:lineRule="auto"/>
        <w:jc w:val="center"/>
        <w:rPr>
          <w:rFonts w:ascii="Arial" w:hAnsi="Arial" w:cs="Arial"/>
          <w:sz w:val="26"/>
          <w:szCs w:val="26"/>
        </w:rPr>
      </w:pPr>
    </w:p>
    <w:p w14:paraId="110B14A5" w14:textId="683B0EED" w:rsidR="00C11A76" w:rsidRDefault="00C11A76" w:rsidP="004221E5">
      <w:pPr>
        <w:tabs>
          <w:tab w:val="center" w:pos="4135"/>
          <w:tab w:val="left" w:pos="7515"/>
        </w:tabs>
        <w:spacing w:line="360" w:lineRule="auto"/>
        <w:rPr>
          <w:rFonts w:ascii="Arial" w:hAnsi="Arial" w:cs="Arial"/>
          <w:sz w:val="26"/>
          <w:szCs w:val="26"/>
        </w:rPr>
      </w:pPr>
    </w:p>
    <w:p w14:paraId="3CB887F1" w14:textId="77777777" w:rsidR="004221E5" w:rsidRPr="00E9212E" w:rsidRDefault="004221E5" w:rsidP="004221E5">
      <w:pPr>
        <w:tabs>
          <w:tab w:val="center" w:pos="4135"/>
          <w:tab w:val="left" w:pos="7515"/>
        </w:tabs>
        <w:spacing w:line="360" w:lineRule="auto"/>
        <w:rPr>
          <w:rFonts w:ascii="Arial" w:hAnsi="Arial" w:cs="Arial"/>
          <w:sz w:val="26"/>
          <w:szCs w:val="26"/>
        </w:rPr>
      </w:pPr>
    </w:p>
    <w:p w14:paraId="58E574EF" w14:textId="0E440D55" w:rsidR="004221E5" w:rsidRDefault="00C10962" w:rsidP="004221E5">
      <w:pPr>
        <w:tabs>
          <w:tab w:val="left" w:pos="1925"/>
          <w:tab w:val="center" w:pos="4135"/>
        </w:tabs>
        <w:jc w:val="center"/>
        <w:rPr>
          <w:rFonts w:ascii="Arial" w:hAnsi="Arial" w:cs="Arial"/>
          <w:sz w:val="26"/>
          <w:szCs w:val="26"/>
        </w:rPr>
      </w:pPr>
      <w:r w:rsidRPr="00E9212E">
        <w:rPr>
          <w:rFonts w:ascii="Arial" w:hAnsi="Arial" w:cs="Arial"/>
          <w:sz w:val="26"/>
          <w:szCs w:val="26"/>
        </w:rPr>
        <w:t>MAGISTRADA GLORIA DEL CARMEN CAMACHO MEZA</w:t>
      </w:r>
    </w:p>
    <w:p w14:paraId="3F40CE0F" w14:textId="342DFB94" w:rsidR="00C11A76" w:rsidRDefault="00C11A76" w:rsidP="00C10962">
      <w:pPr>
        <w:tabs>
          <w:tab w:val="left" w:pos="1925"/>
          <w:tab w:val="center" w:pos="4135"/>
        </w:tabs>
        <w:jc w:val="center"/>
        <w:rPr>
          <w:rFonts w:ascii="Arial" w:hAnsi="Arial" w:cs="Arial"/>
          <w:sz w:val="26"/>
          <w:szCs w:val="26"/>
        </w:rPr>
      </w:pPr>
    </w:p>
    <w:p w14:paraId="63192658" w14:textId="56E0E60B" w:rsidR="00C11A76" w:rsidRDefault="00C11A76" w:rsidP="00C10962">
      <w:pPr>
        <w:tabs>
          <w:tab w:val="left" w:pos="1925"/>
          <w:tab w:val="center" w:pos="4135"/>
        </w:tabs>
        <w:jc w:val="center"/>
        <w:rPr>
          <w:rFonts w:ascii="Arial" w:hAnsi="Arial" w:cs="Arial"/>
          <w:sz w:val="26"/>
          <w:szCs w:val="26"/>
        </w:rPr>
      </w:pPr>
    </w:p>
    <w:p w14:paraId="0CE6194D" w14:textId="7E0DFD53" w:rsidR="00C11A76" w:rsidRDefault="00C11A76" w:rsidP="00C10962">
      <w:pPr>
        <w:tabs>
          <w:tab w:val="left" w:pos="1925"/>
          <w:tab w:val="center" w:pos="4135"/>
        </w:tabs>
        <w:jc w:val="center"/>
        <w:rPr>
          <w:rFonts w:ascii="Arial" w:hAnsi="Arial" w:cs="Arial"/>
          <w:sz w:val="26"/>
          <w:szCs w:val="26"/>
        </w:rPr>
      </w:pPr>
    </w:p>
    <w:p w14:paraId="79BC41F9" w14:textId="77777777" w:rsidR="00C11A76" w:rsidRPr="00E9212E" w:rsidRDefault="00C11A76" w:rsidP="00C10962">
      <w:pPr>
        <w:tabs>
          <w:tab w:val="left" w:pos="1925"/>
          <w:tab w:val="center" w:pos="4135"/>
        </w:tabs>
        <w:jc w:val="center"/>
        <w:rPr>
          <w:rFonts w:ascii="Arial" w:hAnsi="Arial" w:cs="Arial"/>
          <w:sz w:val="26"/>
          <w:szCs w:val="26"/>
        </w:rPr>
      </w:pPr>
    </w:p>
    <w:p w14:paraId="4A9DD45A" w14:textId="01B461F0" w:rsidR="00C10962" w:rsidRDefault="00C10962" w:rsidP="00C10962">
      <w:pPr>
        <w:tabs>
          <w:tab w:val="left" w:pos="1925"/>
          <w:tab w:val="center" w:pos="4135"/>
        </w:tabs>
        <w:jc w:val="center"/>
        <w:rPr>
          <w:rFonts w:ascii="Arial" w:hAnsi="Arial" w:cs="Arial"/>
          <w:sz w:val="26"/>
          <w:szCs w:val="26"/>
        </w:rPr>
      </w:pPr>
      <w:r w:rsidRPr="00E9212E">
        <w:rPr>
          <w:rFonts w:ascii="Arial" w:hAnsi="Arial" w:cs="Arial"/>
          <w:sz w:val="26"/>
          <w:szCs w:val="26"/>
        </w:rPr>
        <w:t>MAGISTRADO PAULO JOSÉ LUIS TAPIA PALACIOS</w:t>
      </w:r>
    </w:p>
    <w:p w14:paraId="001DE4E5" w14:textId="15E2DB38" w:rsidR="00C11A76" w:rsidRDefault="00C11A76" w:rsidP="00C10962">
      <w:pPr>
        <w:tabs>
          <w:tab w:val="left" w:pos="1925"/>
          <w:tab w:val="center" w:pos="4135"/>
        </w:tabs>
        <w:jc w:val="center"/>
        <w:rPr>
          <w:rFonts w:ascii="Arial" w:hAnsi="Arial" w:cs="Arial"/>
          <w:sz w:val="26"/>
          <w:szCs w:val="26"/>
        </w:rPr>
      </w:pPr>
    </w:p>
    <w:p w14:paraId="0C2F9C49" w14:textId="77777777" w:rsidR="00C11A76" w:rsidRDefault="00C11A76" w:rsidP="00C10962">
      <w:pPr>
        <w:tabs>
          <w:tab w:val="left" w:pos="1925"/>
          <w:tab w:val="center" w:pos="4135"/>
        </w:tabs>
        <w:jc w:val="center"/>
        <w:rPr>
          <w:rFonts w:ascii="Arial" w:hAnsi="Arial" w:cs="Arial"/>
          <w:sz w:val="26"/>
          <w:szCs w:val="26"/>
        </w:rPr>
      </w:pPr>
    </w:p>
    <w:p w14:paraId="12DCE49A" w14:textId="3F3A967A" w:rsidR="00C11A76" w:rsidRDefault="00C11A76" w:rsidP="00C10962">
      <w:pPr>
        <w:tabs>
          <w:tab w:val="left" w:pos="1925"/>
          <w:tab w:val="center" w:pos="4135"/>
        </w:tabs>
        <w:jc w:val="center"/>
        <w:rPr>
          <w:rFonts w:ascii="Arial" w:hAnsi="Arial" w:cs="Arial"/>
          <w:sz w:val="26"/>
          <w:szCs w:val="26"/>
        </w:rPr>
      </w:pPr>
    </w:p>
    <w:p w14:paraId="45AB9871" w14:textId="77777777" w:rsidR="00C11A76" w:rsidRPr="00E9212E" w:rsidRDefault="00C11A76" w:rsidP="00C10962">
      <w:pPr>
        <w:tabs>
          <w:tab w:val="left" w:pos="1925"/>
          <w:tab w:val="center" w:pos="4135"/>
        </w:tabs>
        <w:jc w:val="center"/>
        <w:rPr>
          <w:rFonts w:ascii="Arial" w:hAnsi="Arial" w:cs="Arial"/>
          <w:sz w:val="26"/>
          <w:szCs w:val="26"/>
        </w:rPr>
      </w:pPr>
    </w:p>
    <w:p w14:paraId="23E8663A" w14:textId="630403E3" w:rsidR="00C10962" w:rsidRDefault="00C10962" w:rsidP="00C10962">
      <w:pPr>
        <w:tabs>
          <w:tab w:val="left" w:pos="1925"/>
          <w:tab w:val="center" w:pos="4135"/>
        </w:tabs>
        <w:jc w:val="center"/>
        <w:rPr>
          <w:rFonts w:ascii="Arial" w:hAnsi="Arial" w:cs="Arial"/>
          <w:sz w:val="26"/>
          <w:szCs w:val="26"/>
        </w:rPr>
      </w:pPr>
      <w:r w:rsidRPr="00E9212E">
        <w:rPr>
          <w:rFonts w:ascii="Arial" w:hAnsi="Arial" w:cs="Arial"/>
          <w:sz w:val="26"/>
          <w:szCs w:val="26"/>
        </w:rPr>
        <w:t>MAGISTRADO ELÍAS CORTÉS LÓPEZ</w:t>
      </w:r>
    </w:p>
    <w:p w14:paraId="2C15F754" w14:textId="61BE1F84" w:rsidR="00C11A76" w:rsidRDefault="00C11A76" w:rsidP="00C10962">
      <w:pPr>
        <w:tabs>
          <w:tab w:val="left" w:pos="1925"/>
          <w:tab w:val="center" w:pos="4135"/>
        </w:tabs>
        <w:jc w:val="center"/>
        <w:rPr>
          <w:rFonts w:ascii="Arial" w:hAnsi="Arial" w:cs="Arial"/>
          <w:sz w:val="26"/>
          <w:szCs w:val="26"/>
        </w:rPr>
      </w:pPr>
    </w:p>
    <w:p w14:paraId="55CBE82A" w14:textId="198B5551" w:rsidR="00C11A76" w:rsidRDefault="00C11A76" w:rsidP="00C10962">
      <w:pPr>
        <w:tabs>
          <w:tab w:val="left" w:pos="1925"/>
          <w:tab w:val="center" w:pos="4135"/>
        </w:tabs>
        <w:jc w:val="center"/>
        <w:rPr>
          <w:rFonts w:ascii="Arial" w:hAnsi="Arial" w:cs="Arial"/>
          <w:sz w:val="26"/>
          <w:szCs w:val="26"/>
        </w:rPr>
      </w:pPr>
    </w:p>
    <w:p w14:paraId="65FDA108" w14:textId="4E179BBA" w:rsidR="00C11A76" w:rsidRDefault="00C11A76" w:rsidP="00C10962">
      <w:pPr>
        <w:tabs>
          <w:tab w:val="left" w:pos="1925"/>
          <w:tab w:val="center" w:pos="4135"/>
        </w:tabs>
        <w:jc w:val="center"/>
        <w:rPr>
          <w:rFonts w:ascii="Arial" w:hAnsi="Arial" w:cs="Arial"/>
          <w:sz w:val="26"/>
          <w:szCs w:val="26"/>
        </w:rPr>
      </w:pPr>
    </w:p>
    <w:p w14:paraId="7ABE1704" w14:textId="77777777" w:rsidR="00C11A76" w:rsidRPr="00E9212E" w:rsidRDefault="00C11A76" w:rsidP="00C10962">
      <w:pPr>
        <w:tabs>
          <w:tab w:val="left" w:pos="1925"/>
          <w:tab w:val="center" w:pos="4135"/>
        </w:tabs>
        <w:jc w:val="center"/>
        <w:rPr>
          <w:rFonts w:ascii="Arial" w:hAnsi="Arial" w:cs="Arial"/>
          <w:sz w:val="26"/>
          <w:szCs w:val="26"/>
        </w:rPr>
      </w:pPr>
    </w:p>
    <w:p w14:paraId="7087199A" w14:textId="77777777" w:rsidR="00C11A76" w:rsidRDefault="00C10962" w:rsidP="00C11A76">
      <w:pPr>
        <w:tabs>
          <w:tab w:val="left" w:pos="1925"/>
          <w:tab w:val="center" w:pos="4135"/>
        </w:tabs>
        <w:spacing w:after="0" w:line="240" w:lineRule="auto"/>
        <w:jc w:val="center"/>
        <w:rPr>
          <w:rFonts w:ascii="Arial" w:hAnsi="Arial" w:cs="Arial"/>
          <w:sz w:val="26"/>
          <w:szCs w:val="26"/>
        </w:rPr>
      </w:pPr>
      <w:r w:rsidRPr="00E9212E">
        <w:rPr>
          <w:rFonts w:ascii="Arial" w:hAnsi="Arial" w:cs="Arial"/>
          <w:sz w:val="26"/>
          <w:szCs w:val="26"/>
        </w:rPr>
        <w:t>LICENCIADO JUAN EDY GARCÍA CORONADO</w:t>
      </w:r>
    </w:p>
    <w:p w14:paraId="2F6D9264" w14:textId="75A25AEC" w:rsidR="00AD73FE" w:rsidRDefault="00C10962" w:rsidP="00C11A76">
      <w:pPr>
        <w:tabs>
          <w:tab w:val="left" w:pos="1925"/>
          <w:tab w:val="center" w:pos="4135"/>
        </w:tabs>
        <w:spacing w:after="0" w:line="240" w:lineRule="auto"/>
        <w:jc w:val="center"/>
        <w:rPr>
          <w:rFonts w:ascii="Arial" w:hAnsi="Arial" w:cs="Arial"/>
          <w:sz w:val="26"/>
          <w:szCs w:val="26"/>
        </w:rPr>
      </w:pPr>
      <w:r w:rsidRPr="00E9212E">
        <w:rPr>
          <w:rFonts w:ascii="Arial" w:hAnsi="Arial" w:cs="Arial"/>
          <w:sz w:val="26"/>
          <w:szCs w:val="26"/>
        </w:rPr>
        <w:t>SECRETARIO GENERAL DE ACUERDOS</w:t>
      </w:r>
    </w:p>
    <w:p w14:paraId="18BF1CF8" w14:textId="5C66E234" w:rsidR="00674EE6" w:rsidRPr="00C80018" w:rsidRDefault="00674EE6" w:rsidP="00674EE6">
      <w:pPr>
        <w:spacing w:before="240" w:line="360" w:lineRule="auto"/>
        <w:jc w:val="both"/>
        <w:rPr>
          <w:rFonts w:ascii="Arial" w:hAnsi="Arial" w:cs="Arial"/>
          <w:sz w:val="26"/>
          <w:szCs w:val="26"/>
        </w:rPr>
      </w:pPr>
      <w:r>
        <w:rPr>
          <w:rFonts w:ascii="Arial" w:hAnsi="Arial" w:cs="Arial"/>
          <w:sz w:val="26"/>
          <w:szCs w:val="26"/>
        </w:rPr>
        <w:tab/>
      </w:r>
    </w:p>
    <w:p w14:paraId="400C5EEC" w14:textId="77777777" w:rsidR="001F012E" w:rsidRDefault="001F012E" w:rsidP="00627D62">
      <w:pPr>
        <w:spacing w:before="240" w:line="360" w:lineRule="auto"/>
        <w:ind w:firstLine="708"/>
        <w:jc w:val="both"/>
        <w:rPr>
          <w:rFonts w:ascii="Arial" w:hAnsi="Arial" w:cs="Arial"/>
          <w:sz w:val="26"/>
          <w:szCs w:val="26"/>
        </w:rPr>
      </w:pPr>
    </w:p>
    <w:p w14:paraId="50453FE0" w14:textId="00EF8C3C" w:rsidR="00BA258A" w:rsidRPr="003B6CF0" w:rsidRDefault="006D1DB2" w:rsidP="003B6CF0">
      <w:r w:rsidRPr="003B6CF0">
        <w:t xml:space="preserve"> </w:t>
      </w:r>
    </w:p>
    <w:sectPr w:rsidR="00BA258A" w:rsidRPr="003B6CF0" w:rsidSect="0024672A">
      <w:headerReference w:type="even" r:id="rId9"/>
      <w:headerReference w:type="default" r:id="rId10"/>
      <w:footerReference w:type="even" r:id="rId11"/>
      <w:footerReference w:type="default" r:id="rId12"/>
      <w:headerReference w:type="first" r:id="rId13"/>
      <w:footerReference w:type="first" r:id="rId14"/>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FB7145" w14:textId="77777777" w:rsidR="00453792" w:rsidRDefault="00453792">
      <w:pPr>
        <w:spacing w:after="0" w:line="240" w:lineRule="auto"/>
      </w:pPr>
      <w:r>
        <w:separator/>
      </w:r>
    </w:p>
  </w:endnote>
  <w:endnote w:type="continuationSeparator" w:id="0">
    <w:p w14:paraId="6C1BD8DF" w14:textId="77777777" w:rsidR="00453792" w:rsidRDefault="00453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181741" w14:textId="77777777" w:rsidR="00370C4E" w:rsidRDefault="00370C4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CE733B" w:rsidRDefault="00CE733B">
    <w:pPr>
      <w:pStyle w:val="Piedepgina"/>
      <w:jc w:val="center"/>
    </w:pPr>
  </w:p>
  <w:p w14:paraId="195FF414" w14:textId="77777777" w:rsidR="00CE733B" w:rsidRDefault="00CE733B">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B410E" w14:textId="77777777" w:rsidR="00370C4E" w:rsidRDefault="00370C4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3D0EF8" w14:textId="77777777" w:rsidR="00453792" w:rsidRDefault="00453792">
      <w:pPr>
        <w:spacing w:after="0" w:line="240" w:lineRule="auto"/>
      </w:pPr>
      <w:r>
        <w:separator/>
      </w:r>
    </w:p>
  </w:footnote>
  <w:footnote w:type="continuationSeparator" w:id="0">
    <w:p w14:paraId="6E6ACD2A" w14:textId="77777777" w:rsidR="00453792" w:rsidRDefault="00453792">
      <w:pPr>
        <w:spacing w:after="0" w:line="240" w:lineRule="auto"/>
      </w:pPr>
      <w:r>
        <w:continuationSeparator/>
      </w:r>
    </w:p>
  </w:footnote>
  <w:footnote w:id="1">
    <w:p w14:paraId="1DDDE7E9" w14:textId="77777777" w:rsidR="00C10962" w:rsidRPr="00FE676C" w:rsidRDefault="00C10962" w:rsidP="00C10962">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6516951B" w14:textId="77777777" w:rsidR="00C10962" w:rsidRPr="00FE676C" w:rsidRDefault="00C10962" w:rsidP="00C10962">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14:paraId="20C7B8BC" w14:textId="55F03D33" w:rsidR="00C10962" w:rsidRPr="003E515C" w:rsidRDefault="00C10962" w:rsidP="003E515C">
      <w:pPr>
        <w:pStyle w:val="Textonotapie"/>
        <w:jc w:val="both"/>
        <w:rPr>
          <w:rFonts w:ascii="Arial" w:hAnsi="Arial" w:cs="Arial"/>
        </w:rPr>
      </w:pPr>
      <w:r w:rsidRPr="003E515C">
        <w:rPr>
          <w:rStyle w:val="Refdenotaalpie"/>
          <w:rFonts w:ascii="Arial" w:hAnsi="Arial" w:cs="Arial"/>
        </w:rPr>
        <w:footnoteRef/>
      </w:r>
      <w:r w:rsidRPr="003E515C">
        <w:rPr>
          <w:rFonts w:ascii="Arial" w:hAnsi="Arial" w:cs="Arial"/>
        </w:rPr>
        <w:t xml:space="preserve"> Consultable de la foja 01 (uno) a la 11 (once) del </w:t>
      </w:r>
      <w:r w:rsidR="003E515C" w:rsidRPr="003E515C">
        <w:rPr>
          <w:rFonts w:ascii="Arial" w:hAnsi="Arial" w:cs="Arial"/>
        </w:rPr>
        <w:t xml:space="preserve">expediente </w:t>
      </w:r>
      <w:r w:rsidR="003E515C" w:rsidRPr="003E515C">
        <w:rPr>
          <w:rFonts w:ascii="Arial" w:hAnsi="Arial" w:cs="Arial"/>
          <w:b/>
          <w:bCs/>
        </w:rPr>
        <w:t>0045/2021</w:t>
      </w:r>
      <w:r w:rsidR="003E515C" w:rsidRPr="003E515C">
        <w:rPr>
          <w:rFonts w:ascii="Arial" w:hAnsi="Arial" w:cs="Arial"/>
        </w:rPr>
        <w:t xml:space="preserve"> del índice de la Segunda Sala Unitaria de Primera Instancia.</w:t>
      </w:r>
    </w:p>
  </w:footnote>
  <w:footnote w:id="3">
    <w:p w14:paraId="2E63273E" w14:textId="4AC8A14F" w:rsidR="00C10962" w:rsidRPr="00EA7357" w:rsidRDefault="00C10962" w:rsidP="00C10962">
      <w:pPr>
        <w:pStyle w:val="Textonotapie"/>
        <w:jc w:val="both"/>
        <w:rPr>
          <w:rFonts w:ascii="Arial" w:hAnsi="Arial" w:cs="Arial"/>
        </w:rPr>
      </w:pPr>
      <w:r w:rsidRPr="00EA7357">
        <w:rPr>
          <w:rStyle w:val="Refdenotaalpie"/>
          <w:rFonts w:ascii="Arial" w:hAnsi="Arial" w:cs="Arial"/>
        </w:rPr>
        <w:footnoteRef/>
      </w:r>
      <w:r w:rsidRPr="00EA7357">
        <w:rPr>
          <w:rFonts w:ascii="Arial" w:hAnsi="Arial" w:cs="Arial"/>
        </w:rPr>
        <w:t xml:space="preserve"> </w:t>
      </w:r>
      <w:r w:rsidR="003E515C">
        <w:rPr>
          <w:rFonts w:ascii="Arial" w:hAnsi="Arial" w:cs="Arial"/>
        </w:rPr>
        <w:t>A</w:t>
      </w:r>
      <w:r w:rsidRPr="00EA7357">
        <w:rPr>
          <w:rFonts w:ascii="Arial" w:hAnsi="Arial" w:cs="Arial"/>
        </w:rPr>
        <w:t>gregado de la foja 1</w:t>
      </w:r>
      <w:r w:rsidR="003E515C">
        <w:rPr>
          <w:rFonts w:ascii="Arial" w:hAnsi="Arial" w:cs="Arial"/>
        </w:rPr>
        <w:t>2</w:t>
      </w:r>
      <w:r w:rsidRPr="00EA7357">
        <w:rPr>
          <w:rFonts w:ascii="Arial" w:hAnsi="Arial" w:cs="Arial"/>
        </w:rPr>
        <w:t xml:space="preserve"> (</w:t>
      </w:r>
      <w:r w:rsidR="003E515C">
        <w:rPr>
          <w:rFonts w:ascii="Arial" w:hAnsi="Arial" w:cs="Arial"/>
        </w:rPr>
        <w:t>doce</w:t>
      </w:r>
      <w:r w:rsidRPr="00EA7357">
        <w:rPr>
          <w:rFonts w:ascii="Arial" w:hAnsi="Arial" w:cs="Arial"/>
        </w:rPr>
        <w:t xml:space="preserve">) a </w:t>
      </w:r>
      <w:r w:rsidR="003E515C">
        <w:rPr>
          <w:rFonts w:ascii="Arial" w:hAnsi="Arial" w:cs="Arial"/>
        </w:rPr>
        <w:t xml:space="preserve">la </w:t>
      </w:r>
      <w:r w:rsidRPr="00EA7357">
        <w:rPr>
          <w:rFonts w:ascii="Arial" w:hAnsi="Arial" w:cs="Arial"/>
        </w:rPr>
        <w:t>1</w:t>
      </w:r>
      <w:r w:rsidR="003E515C">
        <w:rPr>
          <w:rFonts w:ascii="Arial" w:hAnsi="Arial" w:cs="Arial"/>
        </w:rPr>
        <w:t>6</w:t>
      </w:r>
      <w:r w:rsidRPr="00EA7357">
        <w:rPr>
          <w:rFonts w:ascii="Arial" w:hAnsi="Arial" w:cs="Arial"/>
        </w:rPr>
        <w:t xml:space="preserve"> (diecis</w:t>
      </w:r>
      <w:r w:rsidR="003E515C">
        <w:rPr>
          <w:rFonts w:ascii="Arial" w:hAnsi="Arial" w:cs="Arial"/>
        </w:rPr>
        <w:t>éis</w:t>
      </w:r>
      <w:r w:rsidRPr="00EA7357">
        <w:rPr>
          <w:rFonts w:ascii="Arial" w:hAnsi="Arial" w:cs="Arial"/>
        </w:rPr>
        <w:t xml:space="preserve">) del </w:t>
      </w:r>
      <w:r w:rsidR="003E515C">
        <w:rPr>
          <w:rFonts w:ascii="Arial" w:hAnsi="Arial" w:cs="Arial"/>
        </w:rPr>
        <w:t>mismo</w:t>
      </w:r>
      <w:r w:rsidRPr="00EA7357">
        <w:rPr>
          <w:rFonts w:ascii="Arial" w:hAnsi="Arial" w:cs="Arial"/>
        </w:rPr>
        <w:t xml:space="preserve"> expediente.</w:t>
      </w:r>
    </w:p>
  </w:footnote>
  <w:footnote w:id="4">
    <w:p w14:paraId="2CE547B9" w14:textId="77777777" w:rsidR="00C10962" w:rsidRPr="002A5B9B" w:rsidRDefault="00C10962" w:rsidP="00C10962">
      <w:pPr>
        <w:pStyle w:val="Default"/>
        <w:rPr>
          <w:i/>
          <w:sz w:val="20"/>
          <w:szCs w:val="20"/>
          <w:lang w:val="es-ES"/>
        </w:rPr>
      </w:pPr>
      <w:r>
        <w:rPr>
          <w:rStyle w:val="Refdenotaalpie"/>
        </w:rPr>
        <w:footnoteRef/>
      </w:r>
      <w:r>
        <w:t xml:space="preserve"> </w:t>
      </w:r>
      <w:r w:rsidRPr="002A5B9B">
        <w:rPr>
          <w:i/>
          <w:sz w:val="20"/>
          <w:szCs w:val="20"/>
        </w:rPr>
        <w:t>“</w:t>
      </w:r>
      <w:r w:rsidRPr="002A5B9B">
        <w:rPr>
          <w:b/>
          <w:bCs/>
          <w:i/>
          <w:sz w:val="20"/>
          <w:szCs w:val="20"/>
          <w:lang w:val="es-ES"/>
        </w:rPr>
        <w:t xml:space="preserve">Artículo 24.- </w:t>
      </w:r>
      <w:r w:rsidRPr="002A5B9B">
        <w:rPr>
          <w:i/>
          <w:sz w:val="20"/>
          <w:szCs w:val="20"/>
          <w:lang w:val="es-ES"/>
        </w:rPr>
        <w:t xml:space="preserve">Son atribuciones de la Sala Superior: </w:t>
      </w:r>
    </w:p>
    <w:p w14:paraId="72FD41A5" w14:textId="77777777" w:rsidR="00C10962" w:rsidRPr="002A5B9B" w:rsidRDefault="00C10962" w:rsidP="00C10962">
      <w:pPr>
        <w:autoSpaceDE w:val="0"/>
        <w:autoSpaceDN w:val="0"/>
        <w:adjustRightInd w:val="0"/>
        <w:spacing w:after="0" w:line="240" w:lineRule="auto"/>
        <w:rPr>
          <w:rFonts w:ascii="Arial" w:hAnsi="Arial" w:cs="Arial"/>
          <w:i/>
          <w:color w:val="000000"/>
          <w:sz w:val="20"/>
          <w:szCs w:val="20"/>
          <w:lang w:val="es-ES"/>
        </w:rPr>
      </w:pPr>
      <w:r w:rsidRPr="002A5B9B">
        <w:rPr>
          <w:rFonts w:ascii="Arial" w:hAnsi="Arial" w:cs="Arial"/>
          <w:i/>
          <w:color w:val="000000"/>
          <w:sz w:val="20"/>
          <w:szCs w:val="20"/>
          <w:lang w:val="es-ES"/>
        </w:rPr>
        <w:t xml:space="preserve">I. Resolver el recurso de revisión y Juicio de Inconformidad previstos en la Ley;” </w:t>
      </w:r>
    </w:p>
    <w:p w14:paraId="78CC550B" w14:textId="77777777" w:rsidR="00C10962" w:rsidRPr="002A5B9B" w:rsidRDefault="00C10962" w:rsidP="00C10962">
      <w:pPr>
        <w:pStyle w:val="Textonotapie"/>
        <w:rPr>
          <w:i/>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107AA87" w:rsidR="00CE733B" w:rsidRDefault="00370C4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E733B">
          <w:fldChar w:fldCharType="begin"/>
        </w:r>
        <w:r w:rsidR="00CE733B">
          <w:instrText>PAGE   \* MERGEFORMAT</w:instrText>
        </w:r>
        <w:r w:rsidR="00CE733B">
          <w:fldChar w:fldCharType="separate"/>
        </w:r>
        <w:r w:rsidRPr="00370C4E">
          <w:rPr>
            <w:noProof/>
            <w:lang w:val="es-ES"/>
          </w:rPr>
          <w:t>12</w:t>
        </w:r>
        <w:r w:rsidR="00CE733B">
          <w:fldChar w:fldCharType="end"/>
        </w:r>
      </w:p>
    </w:sdtContent>
  </w:sdt>
  <w:p w14:paraId="0E68208C" w14:textId="77777777" w:rsidR="00CE733B" w:rsidRDefault="00CE733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6B4421C" w:rsidR="00CE733B" w:rsidRDefault="00370C4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E733B">
          <w:fldChar w:fldCharType="begin"/>
        </w:r>
        <w:r w:rsidR="00CE733B">
          <w:instrText>PAGE   \* MERGEFORMAT</w:instrText>
        </w:r>
        <w:r w:rsidR="00CE733B">
          <w:fldChar w:fldCharType="separate"/>
        </w:r>
        <w:r w:rsidRPr="00370C4E">
          <w:rPr>
            <w:noProof/>
            <w:lang w:val="es-ES"/>
          </w:rPr>
          <w:t>13</w:t>
        </w:r>
        <w:r w:rsidR="00CE733B">
          <w:fldChar w:fldCharType="end"/>
        </w:r>
      </w:sdtContent>
    </w:sdt>
  </w:p>
  <w:p w14:paraId="51E22156" w14:textId="757F72EB" w:rsidR="00CE733B" w:rsidRDefault="00370C4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6FD02D6" wp14:editId="230AEEFF">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362A521" w14:textId="77777777" w:rsidR="00370C4E" w:rsidRDefault="00370C4E" w:rsidP="00370C4E">
                          <w:bookmarkStart w:id="5" w:name="_GoBack"/>
                          <w:r>
                            <w:t xml:space="preserve">Datos personales protegidos por el Art. 116 de la </w:t>
                          </w:r>
                          <w:proofErr w:type="spellStart"/>
                          <w:r>
                            <w:t>LGTAIP</w:t>
                          </w:r>
                          <w:proofErr w:type="spellEnd"/>
                          <w:r>
                            <w:t xml:space="preserve"> y el Art. 56 de la </w:t>
                          </w:r>
                          <w:proofErr w:type="spellStart"/>
                          <w:r>
                            <w:t>LTAIPEO</w:t>
                          </w:r>
                          <w:bookmarkEnd w:id="5"/>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FD02D6"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7362A521" w14:textId="77777777" w:rsidR="00370C4E" w:rsidRDefault="00370C4E" w:rsidP="00370C4E">
                    <w:bookmarkStart w:id="6" w:name="_GoBack"/>
                    <w:r>
                      <w:t xml:space="preserve">Datos personales protegidos por el Art. 116 de la </w:t>
                    </w:r>
                    <w:proofErr w:type="spellStart"/>
                    <w:r>
                      <w:t>LGTAIP</w:t>
                    </w:r>
                    <w:proofErr w:type="spellEnd"/>
                    <w:r>
                      <w:t xml:space="preserve"> y el Art. 56 de la </w:t>
                    </w:r>
                    <w:proofErr w:type="spellStart"/>
                    <w:r>
                      <w:t>LTAIPEO</w:t>
                    </w:r>
                    <w:bookmarkEnd w:id="6"/>
                    <w:proofErr w:type="spellEnd"/>
                  </w:p>
                </w:txbxContent>
              </v:textbox>
            </v:shape>
          </w:pict>
        </mc:Fallback>
      </mc:AlternateContent>
    </w:r>
    <w:r w:rsidR="00CE733B"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E733B" w:rsidRDefault="00370C4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D7045B"/>
    <w:multiLevelType w:val="hybridMultilevel"/>
    <w:tmpl w:val="5BD21ECA"/>
    <w:lvl w:ilvl="0" w:tplc="AB34552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0F5A"/>
    <w:rsid w:val="00011D42"/>
    <w:rsid w:val="000121A9"/>
    <w:rsid w:val="000126F6"/>
    <w:rsid w:val="00012918"/>
    <w:rsid w:val="00012DC1"/>
    <w:rsid w:val="00012E2B"/>
    <w:rsid w:val="000130C8"/>
    <w:rsid w:val="000135AF"/>
    <w:rsid w:val="00014F98"/>
    <w:rsid w:val="00016637"/>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3F9"/>
    <w:rsid w:val="000264DD"/>
    <w:rsid w:val="00026C11"/>
    <w:rsid w:val="0002727A"/>
    <w:rsid w:val="000306D4"/>
    <w:rsid w:val="00030BAF"/>
    <w:rsid w:val="00032045"/>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57D93"/>
    <w:rsid w:val="00060DBB"/>
    <w:rsid w:val="00061268"/>
    <w:rsid w:val="00061610"/>
    <w:rsid w:val="000616B5"/>
    <w:rsid w:val="00061C4C"/>
    <w:rsid w:val="0006202A"/>
    <w:rsid w:val="000620CD"/>
    <w:rsid w:val="00062802"/>
    <w:rsid w:val="00062BE3"/>
    <w:rsid w:val="00063708"/>
    <w:rsid w:val="00064906"/>
    <w:rsid w:val="00064FD9"/>
    <w:rsid w:val="00067B5A"/>
    <w:rsid w:val="00067D01"/>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48AB"/>
    <w:rsid w:val="00085132"/>
    <w:rsid w:val="0008514D"/>
    <w:rsid w:val="00085F74"/>
    <w:rsid w:val="00087470"/>
    <w:rsid w:val="000875DB"/>
    <w:rsid w:val="000900BD"/>
    <w:rsid w:val="000904A5"/>
    <w:rsid w:val="0009077C"/>
    <w:rsid w:val="00090D7D"/>
    <w:rsid w:val="000910E0"/>
    <w:rsid w:val="00091B93"/>
    <w:rsid w:val="00093274"/>
    <w:rsid w:val="000939DB"/>
    <w:rsid w:val="00093C95"/>
    <w:rsid w:val="00094EB2"/>
    <w:rsid w:val="00095249"/>
    <w:rsid w:val="00095419"/>
    <w:rsid w:val="000964DE"/>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35D9"/>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3B"/>
    <w:rsid w:val="000B71FE"/>
    <w:rsid w:val="000B77B4"/>
    <w:rsid w:val="000B7A3A"/>
    <w:rsid w:val="000C02A9"/>
    <w:rsid w:val="000C0569"/>
    <w:rsid w:val="000C169D"/>
    <w:rsid w:val="000C1E6B"/>
    <w:rsid w:val="000C238B"/>
    <w:rsid w:val="000C2764"/>
    <w:rsid w:val="000C3DC9"/>
    <w:rsid w:val="000C4139"/>
    <w:rsid w:val="000C47B5"/>
    <w:rsid w:val="000C506E"/>
    <w:rsid w:val="000C5414"/>
    <w:rsid w:val="000C5BCE"/>
    <w:rsid w:val="000C5DC1"/>
    <w:rsid w:val="000C6670"/>
    <w:rsid w:val="000D04AC"/>
    <w:rsid w:val="000D04BF"/>
    <w:rsid w:val="000D153E"/>
    <w:rsid w:val="000D170C"/>
    <w:rsid w:val="000D1CF0"/>
    <w:rsid w:val="000D2255"/>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E3A"/>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94F"/>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563E"/>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C30"/>
    <w:rsid w:val="00171FD7"/>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4F76"/>
    <w:rsid w:val="001854BD"/>
    <w:rsid w:val="00185DC5"/>
    <w:rsid w:val="00186701"/>
    <w:rsid w:val="00186FB3"/>
    <w:rsid w:val="0018765B"/>
    <w:rsid w:val="00192287"/>
    <w:rsid w:val="001923AE"/>
    <w:rsid w:val="001924B2"/>
    <w:rsid w:val="00193379"/>
    <w:rsid w:val="00194B7B"/>
    <w:rsid w:val="001951A3"/>
    <w:rsid w:val="00195583"/>
    <w:rsid w:val="001A059E"/>
    <w:rsid w:val="001A0745"/>
    <w:rsid w:val="001A1302"/>
    <w:rsid w:val="001A16CC"/>
    <w:rsid w:val="001A18E1"/>
    <w:rsid w:val="001A2144"/>
    <w:rsid w:val="001A2FDB"/>
    <w:rsid w:val="001A3755"/>
    <w:rsid w:val="001A38BD"/>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6BC3"/>
    <w:rsid w:val="001D754A"/>
    <w:rsid w:val="001E288A"/>
    <w:rsid w:val="001E2A02"/>
    <w:rsid w:val="001E2B84"/>
    <w:rsid w:val="001E338B"/>
    <w:rsid w:val="001E3B11"/>
    <w:rsid w:val="001E4C02"/>
    <w:rsid w:val="001E65E8"/>
    <w:rsid w:val="001E6AE5"/>
    <w:rsid w:val="001E7020"/>
    <w:rsid w:val="001E71FD"/>
    <w:rsid w:val="001E77A9"/>
    <w:rsid w:val="001E7BD1"/>
    <w:rsid w:val="001F012E"/>
    <w:rsid w:val="001F1C43"/>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AF0"/>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C25"/>
    <w:rsid w:val="00265F1B"/>
    <w:rsid w:val="002665A2"/>
    <w:rsid w:val="00267221"/>
    <w:rsid w:val="00270087"/>
    <w:rsid w:val="00270750"/>
    <w:rsid w:val="00270831"/>
    <w:rsid w:val="0027275E"/>
    <w:rsid w:val="00272A7D"/>
    <w:rsid w:val="00273171"/>
    <w:rsid w:val="00273266"/>
    <w:rsid w:val="002748AA"/>
    <w:rsid w:val="00275418"/>
    <w:rsid w:val="00276E57"/>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4B5"/>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0FE"/>
    <w:rsid w:val="002D3701"/>
    <w:rsid w:val="002D3CF1"/>
    <w:rsid w:val="002D3F79"/>
    <w:rsid w:val="002D413F"/>
    <w:rsid w:val="002D4B99"/>
    <w:rsid w:val="002D608A"/>
    <w:rsid w:val="002D6E4D"/>
    <w:rsid w:val="002D724E"/>
    <w:rsid w:val="002D7BA0"/>
    <w:rsid w:val="002E10A5"/>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087"/>
    <w:rsid w:val="003150CD"/>
    <w:rsid w:val="003154AB"/>
    <w:rsid w:val="003155CF"/>
    <w:rsid w:val="00315A9D"/>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1FF7"/>
    <w:rsid w:val="00352CC2"/>
    <w:rsid w:val="00352DE7"/>
    <w:rsid w:val="0035300A"/>
    <w:rsid w:val="0035347E"/>
    <w:rsid w:val="003549F9"/>
    <w:rsid w:val="00355E72"/>
    <w:rsid w:val="0035659D"/>
    <w:rsid w:val="0036085B"/>
    <w:rsid w:val="003611E4"/>
    <w:rsid w:val="0036133D"/>
    <w:rsid w:val="003617D9"/>
    <w:rsid w:val="00361938"/>
    <w:rsid w:val="003625FB"/>
    <w:rsid w:val="003633B9"/>
    <w:rsid w:val="003636DE"/>
    <w:rsid w:val="003646B9"/>
    <w:rsid w:val="003646E5"/>
    <w:rsid w:val="003652C6"/>
    <w:rsid w:val="003654A6"/>
    <w:rsid w:val="003660A9"/>
    <w:rsid w:val="00366573"/>
    <w:rsid w:val="00366829"/>
    <w:rsid w:val="003668C0"/>
    <w:rsid w:val="0036711C"/>
    <w:rsid w:val="00370629"/>
    <w:rsid w:val="003708D3"/>
    <w:rsid w:val="00370C4E"/>
    <w:rsid w:val="00371249"/>
    <w:rsid w:val="003726E1"/>
    <w:rsid w:val="00374012"/>
    <w:rsid w:val="003743D7"/>
    <w:rsid w:val="003749C0"/>
    <w:rsid w:val="003750D6"/>
    <w:rsid w:val="003752B5"/>
    <w:rsid w:val="0037599C"/>
    <w:rsid w:val="00375FDD"/>
    <w:rsid w:val="0037725F"/>
    <w:rsid w:val="003775F7"/>
    <w:rsid w:val="003804A7"/>
    <w:rsid w:val="00381DC3"/>
    <w:rsid w:val="0038228C"/>
    <w:rsid w:val="00382BDE"/>
    <w:rsid w:val="00383234"/>
    <w:rsid w:val="003859C4"/>
    <w:rsid w:val="00385B11"/>
    <w:rsid w:val="00385EA5"/>
    <w:rsid w:val="00386F92"/>
    <w:rsid w:val="003874C3"/>
    <w:rsid w:val="00387725"/>
    <w:rsid w:val="00387C65"/>
    <w:rsid w:val="00390CDE"/>
    <w:rsid w:val="00391311"/>
    <w:rsid w:val="00392B20"/>
    <w:rsid w:val="00394516"/>
    <w:rsid w:val="003961E1"/>
    <w:rsid w:val="003974F9"/>
    <w:rsid w:val="003A0AA1"/>
    <w:rsid w:val="003A0FE5"/>
    <w:rsid w:val="003A24EC"/>
    <w:rsid w:val="003A3E05"/>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15C"/>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21E5"/>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1D1"/>
    <w:rsid w:val="0044467E"/>
    <w:rsid w:val="0044496C"/>
    <w:rsid w:val="00444F46"/>
    <w:rsid w:val="0044520F"/>
    <w:rsid w:val="004462B7"/>
    <w:rsid w:val="004468EC"/>
    <w:rsid w:val="00446A05"/>
    <w:rsid w:val="00446B69"/>
    <w:rsid w:val="004502C5"/>
    <w:rsid w:val="004509CE"/>
    <w:rsid w:val="004515BE"/>
    <w:rsid w:val="00452B43"/>
    <w:rsid w:val="00453288"/>
    <w:rsid w:val="00453792"/>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9B7"/>
    <w:rsid w:val="004C1578"/>
    <w:rsid w:val="004C1769"/>
    <w:rsid w:val="004C1927"/>
    <w:rsid w:val="004C2276"/>
    <w:rsid w:val="004C3A42"/>
    <w:rsid w:val="004C4721"/>
    <w:rsid w:val="004C4B13"/>
    <w:rsid w:val="004C4B5E"/>
    <w:rsid w:val="004C5064"/>
    <w:rsid w:val="004C513B"/>
    <w:rsid w:val="004C54F2"/>
    <w:rsid w:val="004C55FB"/>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2762"/>
    <w:rsid w:val="004E32FC"/>
    <w:rsid w:val="004E3E15"/>
    <w:rsid w:val="004E425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DBD"/>
    <w:rsid w:val="00510F23"/>
    <w:rsid w:val="0051133B"/>
    <w:rsid w:val="005115C3"/>
    <w:rsid w:val="00511812"/>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07B0"/>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3F"/>
    <w:rsid w:val="005A3182"/>
    <w:rsid w:val="005A3583"/>
    <w:rsid w:val="005A4118"/>
    <w:rsid w:val="005A453F"/>
    <w:rsid w:val="005A493F"/>
    <w:rsid w:val="005A55D0"/>
    <w:rsid w:val="005A69C8"/>
    <w:rsid w:val="005A6A9E"/>
    <w:rsid w:val="005A752F"/>
    <w:rsid w:val="005B1E67"/>
    <w:rsid w:val="005B223E"/>
    <w:rsid w:val="005B2365"/>
    <w:rsid w:val="005B296A"/>
    <w:rsid w:val="005B3184"/>
    <w:rsid w:val="005B36F5"/>
    <w:rsid w:val="005B3BB9"/>
    <w:rsid w:val="005B3F3B"/>
    <w:rsid w:val="005B3FFB"/>
    <w:rsid w:val="005B5FC8"/>
    <w:rsid w:val="005B6E2C"/>
    <w:rsid w:val="005B7761"/>
    <w:rsid w:val="005C08BA"/>
    <w:rsid w:val="005C0DC0"/>
    <w:rsid w:val="005C194D"/>
    <w:rsid w:val="005C21B5"/>
    <w:rsid w:val="005C3179"/>
    <w:rsid w:val="005C464F"/>
    <w:rsid w:val="005C565F"/>
    <w:rsid w:val="005C5B71"/>
    <w:rsid w:val="005C639C"/>
    <w:rsid w:val="005C6806"/>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0ECD"/>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109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352"/>
    <w:rsid w:val="006279BE"/>
    <w:rsid w:val="00627D62"/>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D40"/>
    <w:rsid w:val="00663F47"/>
    <w:rsid w:val="006640AE"/>
    <w:rsid w:val="00664AC4"/>
    <w:rsid w:val="00664FB0"/>
    <w:rsid w:val="0066505B"/>
    <w:rsid w:val="00665895"/>
    <w:rsid w:val="00665ACE"/>
    <w:rsid w:val="0066701C"/>
    <w:rsid w:val="006671D4"/>
    <w:rsid w:val="0066750D"/>
    <w:rsid w:val="00667F2F"/>
    <w:rsid w:val="00671338"/>
    <w:rsid w:val="00672CE0"/>
    <w:rsid w:val="00672F8D"/>
    <w:rsid w:val="006730DE"/>
    <w:rsid w:val="006730F3"/>
    <w:rsid w:val="00673B33"/>
    <w:rsid w:val="006747AB"/>
    <w:rsid w:val="00674EE6"/>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45E"/>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1CF7"/>
    <w:rsid w:val="006E22C9"/>
    <w:rsid w:val="006E2B27"/>
    <w:rsid w:val="006E58AF"/>
    <w:rsid w:val="006E5BF8"/>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6F78D0"/>
    <w:rsid w:val="00700013"/>
    <w:rsid w:val="007007A1"/>
    <w:rsid w:val="007007EB"/>
    <w:rsid w:val="00701329"/>
    <w:rsid w:val="007017F0"/>
    <w:rsid w:val="00702862"/>
    <w:rsid w:val="007037DD"/>
    <w:rsid w:val="00703AE1"/>
    <w:rsid w:val="00703B2F"/>
    <w:rsid w:val="0070428E"/>
    <w:rsid w:val="007042B5"/>
    <w:rsid w:val="00704634"/>
    <w:rsid w:val="007057EB"/>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2AD"/>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AD4"/>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1255"/>
    <w:rsid w:val="007E2481"/>
    <w:rsid w:val="007E3210"/>
    <w:rsid w:val="007E322F"/>
    <w:rsid w:val="007E32FC"/>
    <w:rsid w:val="007E4266"/>
    <w:rsid w:val="007E4EA5"/>
    <w:rsid w:val="007E5A5C"/>
    <w:rsid w:val="007E64CE"/>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B7"/>
    <w:rsid w:val="00811182"/>
    <w:rsid w:val="00811407"/>
    <w:rsid w:val="00811B44"/>
    <w:rsid w:val="008122E4"/>
    <w:rsid w:val="00812D5A"/>
    <w:rsid w:val="00813494"/>
    <w:rsid w:val="00813755"/>
    <w:rsid w:val="00814333"/>
    <w:rsid w:val="008161D5"/>
    <w:rsid w:val="00816B1F"/>
    <w:rsid w:val="00817A06"/>
    <w:rsid w:val="0082001A"/>
    <w:rsid w:val="008205D0"/>
    <w:rsid w:val="0082070E"/>
    <w:rsid w:val="00820D99"/>
    <w:rsid w:val="00820E06"/>
    <w:rsid w:val="008211F5"/>
    <w:rsid w:val="008234FD"/>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1C51"/>
    <w:rsid w:val="00853011"/>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247"/>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E36"/>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94D"/>
    <w:rsid w:val="008B4EBC"/>
    <w:rsid w:val="008B5073"/>
    <w:rsid w:val="008B5200"/>
    <w:rsid w:val="008B5A96"/>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394"/>
    <w:rsid w:val="008C7C52"/>
    <w:rsid w:val="008D1236"/>
    <w:rsid w:val="008D1EDE"/>
    <w:rsid w:val="008D32AD"/>
    <w:rsid w:val="008D3620"/>
    <w:rsid w:val="008D458F"/>
    <w:rsid w:val="008D52D9"/>
    <w:rsid w:val="008D6236"/>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AA1"/>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31EA"/>
    <w:rsid w:val="00944D79"/>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53F"/>
    <w:rsid w:val="00953D3E"/>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FCC"/>
    <w:rsid w:val="0097768E"/>
    <w:rsid w:val="009806E4"/>
    <w:rsid w:val="009818A2"/>
    <w:rsid w:val="00981F1A"/>
    <w:rsid w:val="009829E2"/>
    <w:rsid w:val="00983525"/>
    <w:rsid w:val="009842AF"/>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98"/>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4313"/>
    <w:rsid w:val="009C607A"/>
    <w:rsid w:val="009C6103"/>
    <w:rsid w:val="009C6929"/>
    <w:rsid w:val="009C6A52"/>
    <w:rsid w:val="009C72C2"/>
    <w:rsid w:val="009D183B"/>
    <w:rsid w:val="009D20C4"/>
    <w:rsid w:val="009D2378"/>
    <w:rsid w:val="009D267D"/>
    <w:rsid w:val="009D2DC9"/>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DDF"/>
    <w:rsid w:val="009F5F75"/>
    <w:rsid w:val="009F6D03"/>
    <w:rsid w:val="009F74A6"/>
    <w:rsid w:val="009F75C0"/>
    <w:rsid w:val="009F7671"/>
    <w:rsid w:val="00A00067"/>
    <w:rsid w:val="00A00501"/>
    <w:rsid w:val="00A01117"/>
    <w:rsid w:val="00A022D9"/>
    <w:rsid w:val="00A023EE"/>
    <w:rsid w:val="00A028E8"/>
    <w:rsid w:val="00A02F13"/>
    <w:rsid w:val="00A0357E"/>
    <w:rsid w:val="00A035CD"/>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EA7"/>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3FE"/>
    <w:rsid w:val="00AD76B7"/>
    <w:rsid w:val="00AD77FD"/>
    <w:rsid w:val="00AD79E2"/>
    <w:rsid w:val="00AD7FFB"/>
    <w:rsid w:val="00AE1C5C"/>
    <w:rsid w:val="00AE271F"/>
    <w:rsid w:val="00AE3DF5"/>
    <w:rsid w:val="00AE4CFF"/>
    <w:rsid w:val="00AE4E46"/>
    <w:rsid w:val="00AE52B0"/>
    <w:rsid w:val="00AE54F8"/>
    <w:rsid w:val="00AE5C7F"/>
    <w:rsid w:val="00AF1629"/>
    <w:rsid w:val="00AF2172"/>
    <w:rsid w:val="00AF2735"/>
    <w:rsid w:val="00AF3B8C"/>
    <w:rsid w:val="00AF3E80"/>
    <w:rsid w:val="00AF4CB2"/>
    <w:rsid w:val="00AF4E0C"/>
    <w:rsid w:val="00AF4E17"/>
    <w:rsid w:val="00AF5B71"/>
    <w:rsid w:val="00AF5E8F"/>
    <w:rsid w:val="00AF67FD"/>
    <w:rsid w:val="00AF6C6B"/>
    <w:rsid w:val="00AF6E07"/>
    <w:rsid w:val="00AF72B1"/>
    <w:rsid w:val="00B0093A"/>
    <w:rsid w:val="00B00AAC"/>
    <w:rsid w:val="00B01EC0"/>
    <w:rsid w:val="00B02152"/>
    <w:rsid w:val="00B0229E"/>
    <w:rsid w:val="00B02BB1"/>
    <w:rsid w:val="00B02FB6"/>
    <w:rsid w:val="00B0340C"/>
    <w:rsid w:val="00B03ACC"/>
    <w:rsid w:val="00B04123"/>
    <w:rsid w:val="00B049EC"/>
    <w:rsid w:val="00B04B6B"/>
    <w:rsid w:val="00B04DD6"/>
    <w:rsid w:val="00B050D6"/>
    <w:rsid w:val="00B0768C"/>
    <w:rsid w:val="00B10264"/>
    <w:rsid w:val="00B116CF"/>
    <w:rsid w:val="00B1212B"/>
    <w:rsid w:val="00B125A0"/>
    <w:rsid w:val="00B13177"/>
    <w:rsid w:val="00B13E8D"/>
    <w:rsid w:val="00B15219"/>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0F57"/>
    <w:rsid w:val="00B6152A"/>
    <w:rsid w:val="00B61A36"/>
    <w:rsid w:val="00B6219D"/>
    <w:rsid w:val="00B62B0D"/>
    <w:rsid w:val="00B62E87"/>
    <w:rsid w:val="00B635E2"/>
    <w:rsid w:val="00B636E6"/>
    <w:rsid w:val="00B64927"/>
    <w:rsid w:val="00B64DB8"/>
    <w:rsid w:val="00B652A9"/>
    <w:rsid w:val="00B6575A"/>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1C5C"/>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7D7"/>
    <w:rsid w:val="00B90AF5"/>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2A9"/>
    <w:rsid w:val="00BA79B7"/>
    <w:rsid w:val="00BB0D35"/>
    <w:rsid w:val="00BB13C5"/>
    <w:rsid w:val="00BB1812"/>
    <w:rsid w:val="00BB23CB"/>
    <w:rsid w:val="00BB2532"/>
    <w:rsid w:val="00BB2686"/>
    <w:rsid w:val="00BB37EA"/>
    <w:rsid w:val="00BB3A96"/>
    <w:rsid w:val="00BB4679"/>
    <w:rsid w:val="00BB4D08"/>
    <w:rsid w:val="00BB6A68"/>
    <w:rsid w:val="00BB739C"/>
    <w:rsid w:val="00BB7905"/>
    <w:rsid w:val="00BC0108"/>
    <w:rsid w:val="00BC088B"/>
    <w:rsid w:val="00BC1305"/>
    <w:rsid w:val="00BC2587"/>
    <w:rsid w:val="00BC342A"/>
    <w:rsid w:val="00BC40F2"/>
    <w:rsid w:val="00BC45CE"/>
    <w:rsid w:val="00BC4BE7"/>
    <w:rsid w:val="00BC4F3D"/>
    <w:rsid w:val="00BC64CE"/>
    <w:rsid w:val="00BC68AD"/>
    <w:rsid w:val="00BC7112"/>
    <w:rsid w:val="00BD0C00"/>
    <w:rsid w:val="00BD0DA0"/>
    <w:rsid w:val="00BD1F9D"/>
    <w:rsid w:val="00BD3693"/>
    <w:rsid w:val="00BD438C"/>
    <w:rsid w:val="00BD492B"/>
    <w:rsid w:val="00BD4F9A"/>
    <w:rsid w:val="00BD545C"/>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962"/>
    <w:rsid w:val="00C11A76"/>
    <w:rsid w:val="00C11D9D"/>
    <w:rsid w:val="00C1296A"/>
    <w:rsid w:val="00C1299B"/>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542E"/>
    <w:rsid w:val="00C35B5E"/>
    <w:rsid w:val="00C370A0"/>
    <w:rsid w:val="00C4017A"/>
    <w:rsid w:val="00C404FF"/>
    <w:rsid w:val="00C40770"/>
    <w:rsid w:val="00C41148"/>
    <w:rsid w:val="00C41357"/>
    <w:rsid w:val="00C41799"/>
    <w:rsid w:val="00C4244D"/>
    <w:rsid w:val="00C42947"/>
    <w:rsid w:val="00C42C2F"/>
    <w:rsid w:val="00C43B8F"/>
    <w:rsid w:val="00C45268"/>
    <w:rsid w:val="00C455CD"/>
    <w:rsid w:val="00C45BBF"/>
    <w:rsid w:val="00C46708"/>
    <w:rsid w:val="00C47216"/>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018"/>
    <w:rsid w:val="00C80261"/>
    <w:rsid w:val="00C808D5"/>
    <w:rsid w:val="00C810FC"/>
    <w:rsid w:val="00C83651"/>
    <w:rsid w:val="00C83754"/>
    <w:rsid w:val="00C83F2B"/>
    <w:rsid w:val="00C84998"/>
    <w:rsid w:val="00C855DB"/>
    <w:rsid w:val="00C9111E"/>
    <w:rsid w:val="00C91446"/>
    <w:rsid w:val="00C919AB"/>
    <w:rsid w:val="00C91B6E"/>
    <w:rsid w:val="00C92681"/>
    <w:rsid w:val="00C92B0D"/>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D37"/>
    <w:rsid w:val="00CB3166"/>
    <w:rsid w:val="00CB40D4"/>
    <w:rsid w:val="00CB638D"/>
    <w:rsid w:val="00CB6900"/>
    <w:rsid w:val="00CB6EB4"/>
    <w:rsid w:val="00CB7439"/>
    <w:rsid w:val="00CB748E"/>
    <w:rsid w:val="00CB79F8"/>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33B"/>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739"/>
    <w:rsid w:val="00D05261"/>
    <w:rsid w:val="00D05454"/>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7D62"/>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C8F"/>
    <w:rsid w:val="00D33362"/>
    <w:rsid w:val="00D33C0D"/>
    <w:rsid w:val="00D34C41"/>
    <w:rsid w:val="00D3539A"/>
    <w:rsid w:val="00D35524"/>
    <w:rsid w:val="00D35BC6"/>
    <w:rsid w:val="00D3635F"/>
    <w:rsid w:val="00D36532"/>
    <w:rsid w:val="00D367F9"/>
    <w:rsid w:val="00D37FBA"/>
    <w:rsid w:val="00D40A87"/>
    <w:rsid w:val="00D40D10"/>
    <w:rsid w:val="00D418AA"/>
    <w:rsid w:val="00D41CA2"/>
    <w:rsid w:val="00D42026"/>
    <w:rsid w:val="00D424A2"/>
    <w:rsid w:val="00D4251B"/>
    <w:rsid w:val="00D42ECA"/>
    <w:rsid w:val="00D4315A"/>
    <w:rsid w:val="00D44BD1"/>
    <w:rsid w:val="00D45359"/>
    <w:rsid w:val="00D45556"/>
    <w:rsid w:val="00D47AB6"/>
    <w:rsid w:val="00D507D9"/>
    <w:rsid w:val="00D50BC3"/>
    <w:rsid w:val="00D52E63"/>
    <w:rsid w:val="00D53E86"/>
    <w:rsid w:val="00D545A8"/>
    <w:rsid w:val="00D548A5"/>
    <w:rsid w:val="00D548E5"/>
    <w:rsid w:val="00D55BD9"/>
    <w:rsid w:val="00D56163"/>
    <w:rsid w:val="00D566F5"/>
    <w:rsid w:val="00D56BF3"/>
    <w:rsid w:val="00D60503"/>
    <w:rsid w:val="00D60CD4"/>
    <w:rsid w:val="00D62605"/>
    <w:rsid w:val="00D63073"/>
    <w:rsid w:val="00D6362A"/>
    <w:rsid w:val="00D6373A"/>
    <w:rsid w:val="00D63DA5"/>
    <w:rsid w:val="00D641C8"/>
    <w:rsid w:val="00D64B3A"/>
    <w:rsid w:val="00D64D09"/>
    <w:rsid w:val="00D6587E"/>
    <w:rsid w:val="00D65C48"/>
    <w:rsid w:val="00D671A0"/>
    <w:rsid w:val="00D67C48"/>
    <w:rsid w:val="00D70CA3"/>
    <w:rsid w:val="00D718E2"/>
    <w:rsid w:val="00D719E5"/>
    <w:rsid w:val="00D72097"/>
    <w:rsid w:val="00D73167"/>
    <w:rsid w:val="00D7322F"/>
    <w:rsid w:val="00D733BC"/>
    <w:rsid w:val="00D73481"/>
    <w:rsid w:val="00D73C07"/>
    <w:rsid w:val="00D743AB"/>
    <w:rsid w:val="00D74799"/>
    <w:rsid w:val="00D74FDC"/>
    <w:rsid w:val="00D751EB"/>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5CB1"/>
    <w:rsid w:val="00DC78C5"/>
    <w:rsid w:val="00DC78FE"/>
    <w:rsid w:val="00DC7910"/>
    <w:rsid w:val="00DC7CCB"/>
    <w:rsid w:val="00DD016C"/>
    <w:rsid w:val="00DD054C"/>
    <w:rsid w:val="00DD0B1B"/>
    <w:rsid w:val="00DD0CB8"/>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2DC"/>
    <w:rsid w:val="00DF0FAE"/>
    <w:rsid w:val="00DF1506"/>
    <w:rsid w:val="00DF18FE"/>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CD0"/>
    <w:rsid w:val="00E2102F"/>
    <w:rsid w:val="00E21CDD"/>
    <w:rsid w:val="00E21E11"/>
    <w:rsid w:val="00E233B1"/>
    <w:rsid w:val="00E233C9"/>
    <w:rsid w:val="00E23438"/>
    <w:rsid w:val="00E24415"/>
    <w:rsid w:val="00E24D01"/>
    <w:rsid w:val="00E25521"/>
    <w:rsid w:val="00E25917"/>
    <w:rsid w:val="00E25DEB"/>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33"/>
    <w:rsid w:val="00E37775"/>
    <w:rsid w:val="00E37879"/>
    <w:rsid w:val="00E40220"/>
    <w:rsid w:val="00E4029A"/>
    <w:rsid w:val="00E410B5"/>
    <w:rsid w:val="00E41DFA"/>
    <w:rsid w:val="00E4205C"/>
    <w:rsid w:val="00E42264"/>
    <w:rsid w:val="00E42D1E"/>
    <w:rsid w:val="00E433EA"/>
    <w:rsid w:val="00E43435"/>
    <w:rsid w:val="00E44850"/>
    <w:rsid w:val="00E44E11"/>
    <w:rsid w:val="00E455A1"/>
    <w:rsid w:val="00E45DF0"/>
    <w:rsid w:val="00E45F05"/>
    <w:rsid w:val="00E47A30"/>
    <w:rsid w:val="00E50E09"/>
    <w:rsid w:val="00E540CA"/>
    <w:rsid w:val="00E54462"/>
    <w:rsid w:val="00E54583"/>
    <w:rsid w:val="00E55F46"/>
    <w:rsid w:val="00E5633C"/>
    <w:rsid w:val="00E56E97"/>
    <w:rsid w:val="00E56EE4"/>
    <w:rsid w:val="00E60A17"/>
    <w:rsid w:val="00E60F4A"/>
    <w:rsid w:val="00E61834"/>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90CAB"/>
    <w:rsid w:val="00E90E54"/>
    <w:rsid w:val="00E9118C"/>
    <w:rsid w:val="00E914A9"/>
    <w:rsid w:val="00E92595"/>
    <w:rsid w:val="00E92FE6"/>
    <w:rsid w:val="00E93151"/>
    <w:rsid w:val="00E93342"/>
    <w:rsid w:val="00E94929"/>
    <w:rsid w:val="00E9535A"/>
    <w:rsid w:val="00E9559A"/>
    <w:rsid w:val="00E9569C"/>
    <w:rsid w:val="00E968B6"/>
    <w:rsid w:val="00E96D3C"/>
    <w:rsid w:val="00E97839"/>
    <w:rsid w:val="00E97BE5"/>
    <w:rsid w:val="00EA2148"/>
    <w:rsid w:val="00EA2910"/>
    <w:rsid w:val="00EA2C19"/>
    <w:rsid w:val="00EA3031"/>
    <w:rsid w:val="00EA3072"/>
    <w:rsid w:val="00EA3B39"/>
    <w:rsid w:val="00EA3BBF"/>
    <w:rsid w:val="00EA3EA7"/>
    <w:rsid w:val="00EA45DC"/>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1FDC"/>
    <w:rsid w:val="00F02736"/>
    <w:rsid w:val="00F02A35"/>
    <w:rsid w:val="00F02DE0"/>
    <w:rsid w:val="00F030A2"/>
    <w:rsid w:val="00F0344E"/>
    <w:rsid w:val="00F03930"/>
    <w:rsid w:val="00F039A3"/>
    <w:rsid w:val="00F04DD4"/>
    <w:rsid w:val="00F05140"/>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2E0D"/>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C3E"/>
    <w:rsid w:val="00F70127"/>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39AD"/>
    <w:rsid w:val="00FA3C84"/>
    <w:rsid w:val="00FA46ED"/>
    <w:rsid w:val="00FA4A5E"/>
    <w:rsid w:val="00FA4B22"/>
    <w:rsid w:val="00FA532E"/>
    <w:rsid w:val="00FA5829"/>
    <w:rsid w:val="00FA746C"/>
    <w:rsid w:val="00FA7B8D"/>
    <w:rsid w:val="00FB0C83"/>
    <w:rsid w:val="00FB1043"/>
    <w:rsid w:val="00FB20F3"/>
    <w:rsid w:val="00FB43AC"/>
    <w:rsid w:val="00FB47EA"/>
    <w:rsid w:val="00FB50FA"/>
    <w:rsid w:val="00FB567E"/>
    <w:rsid w:val="00FB5DB2"/>
    <w:rsid w:val="00FB7C38"/>
    <w:rsid w:val="00FB7F1F"/>
    <w:rsid w:val="00FC054A"/>
    <w:rsid w:val="00FC0790"/>
    <w:rsid w:val="00FC0A0D"/>
    <w:rsid w:val="00FC0F4A"/>
    <w:rsid w:val="00FC1289"/>
    <w:rsid w:val="00FC16C4"/>
    <w:rsid w:val="00FC1758"/>
    <w:rsid w:val="00FC2C91"/>
    <w:rsid w:val="00FC3459"/>
    <w:rsid w:val="00FC387F"/>
    <w:rsid w:val="00FC4C6D"/>
    <w:rsid w:val="00FC4DC2"/>
    <w:rsid w:val="00FC5311"/>
    <w:rsid w:val="00FC5618"/>
    <w:rsid w:val="00FC6C11"/>
    <w:rsid w:val="00FC6D4D"/>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128"/>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109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93612980">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50914-C4B2-44E4-BB62-29DF13754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13</Pages>
  <Words>5003</Words>
  <Characters>27518</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30</cp:revision>
  <cp:lastPrinted>2022-09-29T20:46:00Z</cp:lastPrinted>
  <dcterms:created xsi:type="dcterms:W3CDTF">2022-07-23T02:40:00Z</dcterms:created>
  <dcterms:modified xsi:type="dcterms:W3CDTF">2023-02-22T20:44:00Z</dcterms:modified>
</cp:coreProperties>
</file>