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7A543E" w14:textId="77777777" w:rsidR="004E39C3" w:rsidRDefault="004E39C3" w:rsidP="00DC2812">
      <w:pPr>
        <w:spacing w:line="276" w:lineRule="auto"/>
        <w:ind w:left="2977"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4FFEC210" w14:textId="2EAC07DD" w:rsidR="004E39C3" w:rsidRDefault="004E39C3" w:rsidP="00DC2812">
      <w:pPr>
        <w:spacing w:line="276" w:lineRule="auto"/>
        <w:ind w:left="2977" w:right="49"/>
        <w:jc w:val="both"/>
        <w:rPr>
          <w:rFonts w:ascii="Arial" w:hAnsi="Arial" w:cs="Arial"/>
          <w:b/>
          <w:sz w:val="26"/>
          <w:szCs w:val="26"/>
        </w:rPr>
      </w:pPr>
      <w:r>
        <w:rPr>
          <w:rFonts w:ascii="Arial" w:hAnsi="Arial" w:cs="Arial"/>
          <w:b/>
          <w:sz w:val="26"/>
          <w:szCs w:val="26"/>
        </w:rPr>
        <w:t>RECURSO DE REVISIÓN: 0337/2021</w:t>
      </w:r>
    </w:p>
    <w:p w14:paraId="7B67BD18" w14:textId="21C85844" w:rsidR="004E39C3" w:rsidRDefault="004E39C3" w:rsidP="00DC2812">
      <w:pPr>
        <w:spacing w:line="276" w:lineRule="auto"/>
        <w:ind w:left="2977" w:right="49"/>
        <w:jc w:val="both"/>
        <w:rPr>
          <w:rFonts w:ascii="Arial" w:hAnsi="Arial" w:cs="Arial"/>
          <w:b/>
          <w:sz w:val="26"/>
          <w:szCs w:val="26"/>
        </w:rPr>
      </w:pPr>
      <w:r>
        <w:rPr>
          <w:rFonts w:ascii="Arial" w:hAnsi="Arial" w:cs="Arial"/>
          <w:b/>
          <w:sz w:val="26"/>
          <w:szCs w:val="26"/>
        </w:rPr>
        <w:t>EXPEDIENTE: 0042/2021 DE LA PRIMERA SALA UNITARIA DE PRIMERA INSTANCIA</w:t>
      </w:r>
    </w:p>
    <w:p w14:paraId="55CE4764" w14:textId="77777777" w:rsidR="004E39C3" w:rsidRDefault="004E39C3" w:rsidP="00DC2812">
      <w:pPr>
        <w:spacing w:line="276" w:lineRule="auto"/>
        <w:ind w:left="2977" w:right="49"/>
        <w:jc w:val="both"/>
        <w:rPr>
          <w:rFonts w:ascii="Arial" w:hAnsi="Arial" w:cs="Arial"/>
          <w:b/>
          <w:sz w:val="26"/>
          <w:szCs w:val="26"/>
        </w:rPr>
      </w:pPr>
      <w:r>
        <w:rPr>
          <w:rFonts w:ascii="Arial" w:hAnsi="Arial" w:cs="Arial"/>
          <w:b/>
          <w:sz w:val="26"/>
          <w:szCs w:val="26"/>
        </w:rPr>
        <w:t>PONENTE: MAGISTRADO ELÍAS CORTÉS LÓPEZ.</w:t>
      </w:r>
    </w:p>
    <w:p w14:paraId="6595A2F7" w14:textId="77777777" w:rsidR="004E39C3" w:rsidRDefault="004E39C3" w:rsidP="00E62248">
      <w:pPr>
        <w:spacing w:line="240" w:lineRule="auto"/>
        <w:ind w:left="2124" w:right="49"/>
        <w:jc w:val="both"/>
        <w:rPr>
          <w:rFonts w:ascii="Arial" w:hAnsi="Arial" w:cs="Arial"/>
          <w:b/>
          <w:sz w:val="26"/>
          <w:szCs w:val="26"/>
        </w:rPr>
      </w:pPr>
    </w:p>
    <w:p w14:paraId="3899BD31" w14:textId="41D7CB90" w:rsidR="004E39C3" w:rsidRDefault="004E39C3" w:rsidP="00E62248">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w:t>
      </w:r>
      <w:r w:rsidR="00DA46C9">
        <w:rPr>
          <w:rFonts w:ascii="Arial" w:hAnsi="Arial" w:cs="Arial"/>
          <w:b/>
          <w:sz w:val="26"/>
          <w:szCs w:val="26"/>
        </w:rPr>
        <w:t xml:space="preserve">SIETE DE </w:t>
      </w:r>
      <w:r>
        <w:rPr>
          <w:rFonts w:ascii="Arial" w:hAnsi="Arial" w:cs="Arial"/>
          <w:b/>
          <w:sz w:val="26"/>
          <w:szCs w:val="26"/>
        </w:rPr>
        <w:t>JU</w:t>
      </w:r>
      <w:r w:rsidR="00B4161A">
        <w:rPr>
          <w:rFonts w:ascii="Arial" w:hAnsi="Arial" w:cs="Arial"/>
          <w:b/>
          <w:sz w:val="26"/>
          <w:szCs w:val="26"/>
        </w:rPr>
        <w:t>L</w:t>
      </w:r>
      <w:r>
        <w:rPr>
          <w:rFonts w:ascii="Arial" w:hAnsi="Arial" w:cs="Arial"/>
          <w:b/>
          <w:sz w:val="26"/>
          <w:szCs w:val="26"/>
        </w:rPr>
        <w:t xml:space="preserve">IO DE DOS MIL </w:t>
      </w:r>
      <w:r w:rsidR="00DC2812">
        <w:rPr>
          <w:rFonts w:ascii="Arial" w:hAnsi="Arial" w:cs="Arial"/>
          <w:b/>
          <w:sz w:val="26"/>
          <w:szCs w:val="26"/>
        </w:rPr>
        <w:t>VEINTIDÓS. -</w:t>
      </w:r>
      <w:r>
        <w:rPr>
          <w:rFonts w:ascii="Arial" w:hAnsi="Arial" w:cs="Arial"/>
          <w:b/>
          <w:sz w:val="26"/>
          <w:szCs w:val="26"/>
        </w:rPr>
        <w:t xml:space="preserve"> - - - - - - - - - - - - - - - - - - - - - - - - - - - - - - - - - - - - - - - - - </w:t>
      </w:r>
    </w:p>
    <w:p w14:paraId="7CFBC402" w14:textId="44391F55" w:rsidR="004E39C3" w:rsidRDefault="004E39C3" w:rsidP="00E62248">
      <w:pPr>
        <w:spacing w:line="360" w:lineRule="auto"/>
        <w:ind w:right="49" w:firstLine="708"/>
        <w:jc w:val="both"/>
        <w:rPr>
          <w:rFonts w:ascii="Arial" w:hAnsi="Arial" w:cs="Arial"/>
          <w:sz w:val="26"/>
          <w:szCs w:val="26"/>
        </w:rPr>
      </w:pPr>
      <w:r>
        <w:rPr>
          <w:rFonts w:ascii="Arial" w:hAnsi="Arial" w:cs="Arial"/>
          <w:sz w:val="26"/>
          <w:szCs w:val="26"/>
        </w:rPr>
        <w:t xml:space="preserve">Por recibido el cuaderno de revisión </w:t>
      </w:r>
      <w:r w:rsidRPr="004B3584">
        <w:rPr>
          <w:rFonts w:ascii="Arial" w:hAnsi="Arial" w:cs="Arial"/>
          <w:b/>
          <w:sz w:val="26"/>
          <w:szCs w:val="26"/>
        </w:rPr>
        <w:t>0</w:t>
      </w:r>
      <w:r>
        <w:rPr>
          <w:rFonts w:ascii="Arial" w:hAnsi="Arial" w:cs="Arial"/>
          <w:b/>
          <w:sz w:val="26"/>
          <w:szCs w:val="26"/>
        </w:rPr>
        <w:t>337/2021</w:t>
      </w:r>
      <w:r>
        <w:rPr>
          <w:rFonts w:ascii="Arial" w:hAnsi="Arial" w:cs="Arial"/>
          <w:sz w:val="26"/>
          <w:szCs w:val="26"/>
        </w:rPr>
        <w:t xml:space="preserve"> que remite la Secretaría General de Acuerdos, con motivo del recurso de revisión interpuesto por </w:t>
      </w:r>
      <w:r w:rsidR="00CF28E1">
        <w:rPr>
          <w:rFonts w:ascii="Arial" w:hAnsi="Arial" w:cs="Arial"/>
          <w:b/>
          <w:bCs/>
          <w:sz w:val="26"/>
          <w:szCs w:val="26"/>
        </w:rPr>
        <w:t>*******</w:t>
      </w:r>
      <w:r w:rsidRPr="004E39C3">
        <w:rPr>
          <w:rFonts w:ascii="Arial" w:hAnsi="Arial" w:cs="Arial"/>
          <w:sz w:val="26"/>
          <w:szCs w:val="26"/>
        </w:rPr>
        <w:t>,</w:t>
      </w:r>
      <w:r>
        <w:rPr>
          <w:rFonts w:ascii="Arial" w:hAnsi="Arial" w:cs="Arial"/>
          <w:sz w:val="26"/>
          <w:szCs w:val="26"/>
        </w:rPr>
        <w:t xml:space="preserve"> en contra del a</w:t>
      </w:r>
      <w:r w:rsidR="00D16792">
        <w:rPr>
          <w:rFonts w:ascii="Arial" w:hAnsi="Arial" w:cs="Arial"/>
          <w:sz w:val="26"/>
          <w:szCs w:val="26"/>
        </w:rPr>
        <w:t>cuerdo</w:t>
      </w:r>
      <w:r>
        <w:rPr>
          <w:rFonts w:ascii="Arial" w:hAnsi="Arial" w:cs="Arial"/>
          <w:sz w:val="26"/>
          <w:szCs w:val="26"/>
        </w:rPr>
        <w:t xml:space="preserve"> de seis de julio de dos mil veintiuno</w:t>
      </w:r>
      <w:r w:rsidR="00684FF9">
        <w:rPr>
          <w:rFonts w:ascii="Arial" w:hAnsi="Arial" w:cs="Arial"/>
          <w:sz w:val="26"/>
          <w:szCs w:val="26"/>
        </w:rPr>
        <w:t>,</w:t>
      </w:r>
      <w:r>
        <w:rPr>
          <w:rFonts w:ascii="Arial" w:hAnsi="Arial" w:cs="Arial"/>
          <w:sz w:val="26"/>
          <w:szCs w:val="26"/>
        </w:rPr>
        <w:t xml:space="preserve"> dictado en el expediente </w:t>
      </w:r>
      <w:r>
        <w:rPr>
          <w:rFonts w:ascii="Arial" w:hAnsi="Arial" w:cs="Arial"/>
          <w:b/>
          <w:sz w:val="26"/>
          <w:szCs w:val="26"/>
        </w:rPr>
        <w:t>0042/2021</w:t>
      </w:r>
      <w:r>
        <w:rPr>
          <w:rFonts w:ascii="Arial" w:hAnsi="Arial" w:cs="Arial"/>
          <w:sz w:val="26"/>
          <w:szCs w:val="26"/>
        </w:rPr>
        <w:t xml:space="preserve"> de la Primera Sala Unitaria de Primera Instancia, relativo al juicio de nulidad promovido por el </w:t>
      </w:r>
      <w:r w:rsidR="00447A22" w:rsidRPr="00352409">
        <w:rPr>
          <w:rFonts w:ascii="Arial" w:hAnsi="Arial" w:cs="Arial"/>
          <w:b/>
          <w:sz w:val="26"/>
          <w:szCs w:val="26"/>
        </w:rPr>
        <w:t>RECURRENTE</w:t>
      </w:r>
      <w:r w:rsidRPr="00352409">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 la</w:t>
      </w:r>
      <w:r>
        <w:rPr>
          <w:rFonts w:ascii="Arial" w:hAnsi="Arial" w:cs="Arial"/>
          <w:b/>
          <w:sz w:val="26"/>
          <w:szCs w:val="26"/>
        </w:rPr>
        <w:t xml:space="preserve"> </w:t>
      </w:r>
      <w:r w:rsidR="00282F5E">
        <w:rPr>
          <w:rFonts w:ascii="Arial" w:hAnsi="Arial" w:cs="Arial"/>
          <w:b/>
          <w:sz w:val="26"/>
          <w:szCs w:val="26"/>
        </w:rPr>
        <w:t>TESORERA MUNICIPAL Y SUBDIRECTOR DE INGRESOS AMBOS DEL MUNICIPIO DE OAXACA DE JUÁREZ, OAXACA</w:t>
      </w:r>
      <w:r w:rsidRPr="00352409">
        <w:rPr>
          <w:rFonts w:ascii="Arial" w:hAnsi="Arial" w:cs="Arial"/>
          <w:sz w:val="26"/>
          <w:szCs w:val="26"/>
        </w:rPr>
        <w:t>;</w:t>
      </w:r>
      <w:r>
        <w:rPr>
          <w:rFonts w:ascii="Arial" w:hAnsi="Arial" w:cs="Arial"/>
          <w:b/>
          <w:sz w:val="26"/>
          <w:szCs w:val="26"/>
        </w:rPr>
        <w:t xml:space="preserve"> </w:t>
      </w:r>
      <w:r w:rsidR="00362E41" w:rsidRPr="00CF7FEC">
        <w:rPr>
          <w:rFonts w:ascii="Arial" w:hAnsi="Arial" w:cs="Arial"/>
          <w:sz w:val="26"/>
          <w:szCs w:val="26"/>
        </w:rPr>
        <w:t>por lo que con fundamento en los artículos 236 y 238 de la Ley de Procedimiento y Justicia Administrativa para el Estado de Oaxaca y 24, fracciones I y III de la Ley Orgánica del Tribunal de Justicia Administrativa del Estado de Oaxaca,</w:t>
      </w:r>
      <w:r w:rsidR="00362E41">
        <w:rPr>
          <w:rFonts w:ascii="Arial" w:hAnsi="Arial" w:cs="Arial"/>
          <w:sz w:val="26"/>
          <w:szCs w:val="26"/>
        </w:rPr>
        <w:t xml:space="preserve"> se da tramite. Por lo consiguiente</w:t>
      </w:r>
      <w:r w:rsidR="00362E41" w:rsidRPr="00CF7FEC">
        <w:rPr>
          <w:rFonts w:ascii="Arial" w:hAnsi="Arial" w:cs="Arial"/>
          <w:sz w:val="26"/>
          <w:szCs w:val="26"/>
        </w:rPr>
        <w:t xml:space="preserve"> se procede a dictar resolución en los siguientes términos:</w:t>
      </w:r>
      <w:r w:rsidR="00362E41">
        <w:rPr>
          <w:rFonts w:ascii="Arial" w:hAnsi="Arial" w:cs="Arial"/>
          <w:sz w:val="26"/>
          <w:szCs w:val="26"/>
        </w:rPr>
        <w:t>-</w:t>
      </w:r>
      <w:r w:rsidR="00B55242">
        <w:rPr>
          <w:rFonts w:ascii="Arial" w:hAnsi="Arial" w:cs="Arial"/>
          <w:sz w:val="26"/>
          <w:szCs w:val="26"/>
        </w:rPr>
        <w:t xml:space="preserve"> - -- -- - - - - - -- - - - - - - - - - - - - - </w:t>
      </w:r>
      <w:r w:rsidR="00CF28E1">
        <w:rPr>
          <w:rFonts w:ascii="Arial" w:hAnsi="Arial" w:cs="Arial"/>
          <w:sz w:val="26"/>
          <w:szCs w:val="26"/>
        </w:rPr>
        <w:t>- - - - - - - - - - - - - - - - - - - - -</w:t>
      </w:r>
    </w:p>
    <w:p w14:paraId="619B7E4E" w14:textId="77777777" w:rsidR="004E39C3" w:rsidRDefault="004E39C3" w:rsidP="00E62248">
      <w:pPr>
        <w:spacing w:line="360" w:lineRule="auto"/>
        <w:ind w:right="49"/>
        <w:jc w:val="center"/>
        <w:rPr>
          <w:rFonts w:ascii="Arial" w:hAnsi="Arial" w:cs="Arial"/>
          <w:b/>
          <w:bCs/>
          <w:sz w:val="26"/>
          <w:szCs w:val="26"/>
        </w:rPr>
      </w:pPr>
      <w:r>
        <w:rPr>
          <w:rFonts w:ascii="Arial" w:hAnsi="Arial" w:cs="Arial"/>
          <w:b/>
          <w:bCs/>
          <w:sz w:val="26"/>
          <w:szCs w:val="26"/>
        </w:rPr>
        <w:t>R E S U L T A N D O</w:t>
      </w:r>
    </w:p>
    <w:p w14:paraId="254960A9" w14:textId="5E73EBED" w:rsidR="004E39C3" w:rsidRDefault="004E39C3" w:rsidP="00E62248">
      <w:pPr>
        <w:spacing w:line="360" w:lineRule="auto"/>
        <w:ind w:right="49"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el </w:t>
      </w:r>
      <w:r w:rsidR="00730FD1">
        <w:rPr>
          <w:rFonts w:ascii="Arial" w:hAnsi="Arial" w:cs="Arial"/>
          <w:sz w:val="26"/>
          <w:szCs w:val="26"/>
        </w:rPr>
        <w:t>acuerdo</w:t>
      </w:r>
      <w:r>
        <w:rPr>
          <w:rFonts w:ascii="Arial" w:hAnsi="Arial" w:cs="Arial"/>
          <w:sz w:val="26"/>
          <w:szCs w:val="26"/>
        </w:rPr>
        <w:t xml:space="preserve"> de seis de julio de dos mil veintiuno</w:t>
      </w:r>
      <w:r w:rsidR="00730FD1">
        <w:rPr>
          <w:rFonts w:ascii="Arial" w:hAnsi="Arial" w:cs="Arial"/>
          <w:sz w:val="26"/>
          <w:szCs w:val="26"/>
        </w:rPr>
        <w:t>,</w:t>
      </w:r>
      <w:r>
        <w:rPr>
          <w:rFonts w:ascii="Arial" w:hAnsi="Arial" w:cs="Arial"/>
          <w:sz w:val="26"/>
          <w:szCs w:val="26"/>
        </w:rPr>
        <w:t xml:space="preserve"> dictado por la Primera Sala Unitaria de Primera Instancia, </w:t>
      </w:r>
      <w:r w:rsidR="00CF28E1">
        <w:rPr>
          <w:rFonts w:ascii="Arial" w:hAnsi="Arial" w:cs="Arial"/>
          <w:b/>
          <w:bCs/>
          <w:sz w:val="26"/>
          <w:szCs w:val="26"/>
        </w:rPr>
        <w:t>*******</w:t>
      </w:r>
      <w:r w:rsidR="00A22C46">
        <w:rPr>
          <w:rFonts w:ascii="Arial" w:hAnsi="Arial" w:cs="Arial"/>
          <w:sz w:val="26"/>
          <w:szCs w:val="26"/>
        </w:rPr>
        <w:t xml:space="preserve"> </w:t>
      </w:r>
      <w:r>
        <w:rPr>
          <w:rFonts w:ascii="Arial" w:hAnsi="Arial" w:cs="Arial"/>
          <w:sz w:val="26"/>
          <w:szCs w:val="26"/>
        </w:rPr>
        <w:t xml:space="preserve">interpuso en su contra recurso de revisión.- - - - - - - - - - - - - - - - </w:t>
      </w:r>
    </w:p>
    <w:p w14:paraId="0B0E0392" w14:textId="54FE11BA" w:rsidR="004E39C3" w:rsidRDefault="004E39C3" w:rsidP="00E62248">
      <w:pPr>
        <w:spacing w:line="360" w:lineRule="auto"/>
        <w:ind w:right="49" w:firstLine="708"/>
        <w:jc w:val="both"/>
        <w:rPr>
          <w:rFonts w:ascii="Arial" w:hAnsi="Arial" w:cs="Arial"/>
          <w:bCs/>
          <w:sz w:val="26"/>
          <w:szCs w:val="26"/>
        </w:rPr>
      </w:pPr>
      <w:r>
        <w:rPr>
          <w:rFonts w:ascii="Arial" w:hAnsi="Arial" w:cs="Arial"/>
          <w:b/>
          <w:bCs/>
          <w:sz w:val="26"/>
          <w:szCs w:val="26"/>
        </w:rPr>
        <w:t xml:space="preserve">SEGUNDO. </w:t>
      </w:r>
      <w:bookmarkStart w:id="0" w:name="_Hlk99357326"/>
      <w:r>
        <w:rPr>
          <w:rFonts w:ascii="Arial" w:hAnsi="Arial" w:cs="Arial"/>
          <w:bCs/>
          <w:sz w:val="26"/>
          <w:szCs w:val="26"/>
        </w:rPr>
        <w:t xml:space="preserve">El </w:t>
      </w:r>
      <w:r w:rsidR="00085705">
        <w:rPr>
          <w:rFonts w:ascii="Arial" w:hAnsi="Arial" w:cs="Arial"/>
          <w:bCs/>
          <w:sz w:val="26"/>
          <w:szCs w:val="26"/>
        </w:rPr>
        <w:t>acuerd</w:t>
      </w:r>
      <w:r>
        <w:rPr>
          <w:rFonts w:ascii="Arial" w:hAnsi="Arial" w:cs="Arial"/>
          <w:bCs/>
          <w:sz w:val="26"/>
          <w:szCs w:val="26"/>
        </w:rPr>
        <w:t>o recurrido es el siguiente</w:t>
      </w:r>
      <w:bookmarkEnd w:id="0"/>
      <w:r>
        <w:rPr>
          <w:rFonts w:ascii="Arial" w:hAnsi="Arial" w:cs="Arial"/>
          <w:bCs/>
          <w:sz w:val="26"/>
          <w:szCs w:val="26"/>
        </w:rPr>
        <w:t xml:space="preserve">:- - - - - - - - - - - - </w:t>
      </w:r>
    </w:p>
    <w:p w14:paraId="1ED00488" w14:textId="54A55282" w:rsidR="00FC0A5C" w:rsidRPr="00BC3859" w:rsidRDefault="004E39C3" w:rsidP="00E62248">
      <w:pPr>
        <w:spacing w:after="0" w:line="360" w:lineRule="auto"/>
        <w:ind w:left="1134" w:right="474" w:firstLine="282"/>
        <w:jc w:val="both"/>
        <w:rPr>
          <w:rFonts w:ascii="Arial" w:hAnsi="Arial" w:cs="Arial"/>
          <w:bCs/>
          <w:i/>
          <w:iCs/>
          <w:sz w:val="24"/>
          <w:szCs w:val="24"/>
        </w:rPr>
      </w:pPr>
      <w:r w:rsidRPr="00BC3859">
        <w:rPr>
          <w:rFonts w:ascii="Arial" w:hAnsi="Arial" w:cs="Arial"/>
          <w:bCs/>
          <w:i/>
          <w:iCs/>
          <w:sz w:val="24"/>
          <w:szCs w:val="24"/>
        </w:rPr>
        <w:t>“Se recibió en la Oficialí</w:t>
      </w:r>
      <w:r w:rsidR="00B62FE4" w:rsidRPr="00BC3859">
        <w:rPr>
          <w:rFonts w:ascii="Arial" w:hAnsi="Arial" w:cs="Arial"/>
          <w:bCs/>
          <w:i/>
          <w:iCs/>
          <w:sz w:val="24"/>
          <w:szCs w:val="24"/>
        </w:rPr>
        <w:t xml:space="preserve">a de Partes de Términos Primera </w:t>
      </w:r>
      <w:r w:rsidRPr="00BC3859">
        <w:rPr>
          <w:rFonts w:ascii="Arial" w:hAnsi="Arial" w:cs="Arial"/>
          <w:bCs/>
          <w:i/>
          <w:iCs/>
          <w:sz w:val="24"/>
          <w:szCs w:val="24"/>
        </w:rPr>
        <w:t xml:space="preserve">y Segunda Instancia de este Tribunal, el veinticinco de junio del presente año, el escrito de </w:t>
      </w:r>
      <w:r w:rsidR="00CF28E1">
        <w:rPr>
          <w:rFonts w:ascii="Arial" w:hAnsi="Arial" w:cs="Arial"/>
          <w:b/>
          <w:bCs/>
          <w:i/>
          <w:iCs/>
          <w:sz w:val="24"/>
          <w:szCs w:val="24"/>
        </w:rPr>
        <w:t>*******</w:t>
      </w:r>
      <w:r w:rsidRPr="00BC3859">
        <w:rPr>
          <w:rFonts w:ascii="Arial" w:hAnsi="Arial" w:cs="Arial"/>
          <w:b/>
          <w:bCs/>
          <w:i/>
          <w:iCs/>
          <w:sz w:val="24"/>
          <w:szCs w:val="24"/>
        </w:rPr>
        <w:t xml:space="preserve">, </w:t>
      </w:r>
      <w:r w:rsidRPr="00BC3859">
        <w:rPr>
          <w:rFonts w:ascii="Arial" w:hAnsi="Arial" w:cs="Arial"/>
          <w:bCs/>
          <w:i/>
          <w:iCs/>
          <w:sz w:val="24"/>
          <w:szCs w:val="24"/>
          <w:u w:val="single"/>
        </w:rPr>
        <w:t xml:space="preserve">por medio del cual: </w:t>
      </w:r>
      <w:r w:rsidRPr="00BC3859">
        <w:rPr>
          <w:rFonts w:ascii="Arial" w:hAnsi="Arial" w:cs="Arial"/>
          <w:b/>
          <w:bCs/>
          <w:i/>
          <w:iCs/>
          <w:sz w:val="24"/>
          <w:szCs w:val="24"/>
          <w:u w:val="single"/>
        </w:rPr>
        <w:t xml:space="preserve">a) </w:t>
      </w:r>
      <w:r w:rsidRPr="00BC3859">
        <w:rPr>
          <w:rFonts w:ascii="Arial" w:hAnsi="Arial" w:cs="Arial"/>
          <w:bCs/>
          <w:i/>
          <w:iCs/>
          <w:sz w:val="24"/>
          <w:szCs w:val="24"/>
          <w:u w:val="single"/>
        </w:rPr>
        <w:t xml:space="preserve">formula los conceptos de </w:t>
      </w:r>
      <w:r w:rsidR="006D3688" w:rsidRPr="00BC3859">
        <w:rPr>
          <w:rFonts w:ascii="Arial" w:hAnsi="Arial" w:cs="Arial"/>
          <w:bCs/>
          <w:i/>
          <w:iCs/>
          <w:sz w:val="24"/>
          <w:szCs w:val="24"/>
          <w:u w:val="single"/>
        </w:rPr>
        <w:t xml:space="preserve">impugnación en contra de la resolución negativa ficta recaída en el escrito de trece de noviembre de dos mil veinte, </w:t>
      </w:r>
      <w:r w:rsidR="006D3688" w:rsidRPr="00BC3859">
        <w:rPr>
          <w:rFonts w:ascii="Arial" w:hAnsi="Arial" w:cs="Arial"/>
          <w:b/>
          <w:bCs/>
          <w:i/>
          <w:iCs/>
          <w:sz w:val="24"/>
          <w:szCs w:val="24"/>
          <w:u w:val="single"/>
        </w:rPr>
        <w:t xml:space="preserve">b) </w:t>
      </w:r>
      <w:r w:rsidR="006D3688" w:rsidRPr="00BC3859">
        <w:rPr>
          <w:rFonts w:ascii="Arial" w:hAnsi="Arial" w:cs="Arial"/>
          <w:bCs/>
          <w:i/>
          <w:iCs/>
          <w:sz w:val="24"/>
          <w:szCs w:val="24"/>
          <w:u w:val="single"/>
        </w:rPr>
        <w:t xml:space="preserve">exhibe copia simple del formato único de liquidación número </w:t>
      </w:r>
      <w:r w:rsidR="00CF28E1">
        <w:rPr>
          <w:rFonts w:ascii="Arial" w:hAnsi="Arial" w:cs="Arial"/>
          <w:bCs/>
          <w:i/>
          <w:iCs/>
          <w:sz w:val="24"/>
          <w:szCs w:val="24"/>
          <w:u w:val="single"/>
        </w:rPr>
        <w:t>*******</w:t>
      </w:r>
      <w:r w:rsidR="006D3688" w:rsidRPr="00BC3859">
        <w:rPr>
          <w:rFonts w:ascii="Arial" w:hAnsi="Arial" w:cs="Arial"/>
          <w:bCs/>
          <w:i/>
          <w:iCs/>
          <w:sz w:val="24"/>
          <w:szCs w:val="24"/>
          <w:u w:val="single"/>
        </w:rPr>
        <w:t xml:space="preserve">, en contra del cual fue interpuesto el recurso de revocación mediante escrito de trece </w:t>
      </w:r>
      <w:r w:rsidR="006D3688" w:rsidRPr="00BC3859">
        <w:rPr>
          <w:rFonts w:ascii="Arial" w:hAnsi="Arial" w:cs="Arial"/>
          <w:bCs/>
          <w:i/>
          <w:iCs/>
          <w:sz w:val="24"/>
          <w:szCs w:val="24"/>
          <w:u w:val="single"/>
        </w:rPr>
        <w:lastRenderedPageBreak/>
        <w:t xml:space="preserve">de noviembre de dos mil veinte, y </w:t>
      </w:r>
      <w:r w:rsidR="006D3688" w:rsidRPr="00BC3859">
        <w:rPr>
          <w:rFonts w:ascii="Arial" w:hAnsi="Arial" w:cs="Arial"/>
          <w:b/>
          <w:bCs/>
          <w:i/>
          <w:iCs/>
          <w:sz w:val="24"/>
          <w:szCs w:val="24"/>
          <w:u w:val="single"/>
        </w:rPr>
        <w:t xml:space="preserve">c) </w:t>
      </w:r>
      <w:r w:rsidR="006D3688" w:rsidRPr="00BC3859">
        <w:rPr>
          <w:rFonts w:ascii="Arial" w:hAnsi="Arial" w:cs="Arial"/>
          <w:bCs/>
          <w:i/>
          <w:iCs/>
          <w:sz w:val="24"/>
          <w:szCs w:val="24"/>
          <w:u w:val="single"/>
        </w:rPr>
        <w:t>informa que debido a la naturaleza del expediente administrativo que se le ha solicitado, el mismo debe encontrarse resguardado por la autoridad demandada y toda vez que se controvierte la figura de negativa ficta, no le ha sido dada a conocer el número de control o expediente asignado al recurso formulado</w:t>
      </w:r>
      <w:r w:rsidR="006D3688" w:rsidRPr="00BC3859">
        <w:rPr>
          <w:rFonts w:ascii="Arial" w:hAnsi="Arial" w:cs="Arial"/>
          <w:bCs/>
          <w:i/>
          <w:iCs/>
          <w:sz w:val="24"/>
          <w:szCs w:val="24"/>
        </w:rPr>
        <w:t xml:space="preserve">; por medio del cual </w:t>
      </w:r>
      <w:r w:rsidR="006D3688" w:rsidRPr="00BC3859">
        <w:rPr>
          <w:rFonts w:ascii="Arial" w:hAnsi="Arial" w:cs="Arial"/>
          <w:bCs/>
          <w:i/>
          <w:iCs/>
          <w:sz w:val="24"/>
          <w:szCs w:val="24"/>
          <w:u w:val="single"/>
        </w:rPr>
        <w:t>se le tiene dando cumplimiento al auto de veinticinco de mayo de dos mil veintiuno</w:t>
      </w:r>
      <w:r w:rsidR="006D3688" w:rsidRPr="00BC3859">
        <w:rPr>
          <w:rFonts w:ascii="Arial" w:hAnsi="Arial" w:cs="Arial"/>
          <w:bCs/>
          <w:i/>
          <w:iCs/>
          <w:sz w:val="24"/>
          <w:szCs w:val="24"/>
        </w:rPr>
        <w:t>, en consecuencia</w:t>
      </w:r>
      <w:r w:rsidR="00DC1DCB" w:rsidRPr="00BC3859">
        <w:rPr>
          <w:rFonts w:ascii="Arial" w:hAnsi="Arial" w:cs="Arial"/>
          <w:bCs/>
          <w:i/>
          <w:iCs/>
          <w:sz w:val="24"/>
          <w:szCs w:val="24"/>
        </w:rPr>
        <w:t xml:space="preserve">, se procede acordar su escrito de demanda inicial en los siguientes términos: Que visto su contenido, se le tiene por su propio derecho promoviendo juicio de nulidad en contra de; </w:t>
      </w:r>
      <w:r w:rsidR="00DC1DCB" w:rsidRPr="00BC3859">
        <w:rPr>
          <w:rFonts w:ascii="Arial" w:hAnsi="Arial" w:cs="Arial"/>
          <w:b/>
          <w:bCs/>
          <w:i/>
          <w:iCs/>
          <w:sz w:val="24"/>
          <w:szCs w:val="24"/>
        </w:rPr>
        <w:t xml:space="preserve">a) </w:t>
      </w:r>
      <w:r w:rsidR="00DC1DCB" w:rsidRPr="00BC3859">
        <w:rPr>
          <w:rFonts w:ascii="Arial" w:hAnsi="Arial" w:cs="Arial"/>
          <w:bCs/>
          <w:i/>
          <w:iCs/>
          <w:sz w:val="24"/>
          <w:szCs w:val="24"/>
        </w:rPr>
        <w:t xml:space="preserve">La declaración </w:t>
      </w:r>
      <w:r w:rsidR="00DC1DCB" w:rsidRPr="00BC3859">
        <w:rPr>
          <w:rFonts w:ascii="Arial" w:hAnsi="Arial" w:cs="Arial"/>
          <w:b/>
          <w:bCs/>
          <w:i/>
          <w:iCs/>
          <w:sz w:val="24"/>
          <w:szCs w:val="24"/>
        </w:rPr>
        <w:t xml:space="preserve">negativa ficta recaída en su escrito de trece de noviembre de dos mil veinte, </w:t>
      </w:r>
      <w:r w:rsidR="00DC1DCB" w:rsidRPr="00BC3859">
        <w:rPr>
          <w:rFonts w:ascii="Arial" w:hAnsi="Arial" w:cs="Arial"/>
          <w:bCs/>
          <w:i/>
          <w:iCs/>
          <w:sz w:val="24"/>
          <w:szCs w:val="24"/>
        </w:rPr>
        <w:t xml:space="preserve">por medio del cual interpuso recurso de revocación, y </w:t>
      </w:r>
      <w:r w:rsidR="00DC1DCB" w:rsidRPr="00BC3859">
        <w:rPr>
          <w:rFonts w:ascii="Arial" w:hAnsi="Arial" w:cs="Arial"/>
          <w:b/>
          <w:bCs/>
          <w:i/>
          <w:iCs/>
          <w:sz w:val="24"/>
          <w:szCs w:val="24"/>
        </w:rPr>
        <w:t xml:space="preserve">b). La caducidad especifica o preclusión y/o prescripción </w:t>
      </w:r>
      <w:r w:rsidR="00DC1DCB" w:rsidRPr="00BC3859">
        <w:rPr>
          <w:rFonts w:ascii="Arial" w:hAnsi="Arial" w:cs="Arial"/>
          <w:bCs/>
          <w:i/>
          <w:iCs/>
          <w:sz w:val="24"/>
          <w:szCs w:val="24"/>
        </w:rPr>
        <w:t xml:space="preserve">del derecho de las responsables para determinar diferencia a cargo del acto, en atención a no haber realizado en forma oportuna el procedimiento que debió haber aplicado; señalando como autoridades demandadas a la Tesorera Municipal y Subdirector de Ingresos, autoridades del Municipio de Oaxaca de Juárez, con el mismo, fórmese expediente y regístrese en el libro respectivo, bajo el número que le corresponda, por ello, con fundamento en los artículos 114 </w:t>
      </w:r>
      <w:proofErr w:type="spellStart"/>
      <w:r w:rsidR="00DC1DCB" w:rsidRPr="00BC3859">
        <w:rPr>
          <w:rFonts w:ascii="Arial" w:hAnsi="Arial" w:cs="Arial"/>
          <w:bCs/>
          <w:i/>
          <w:iCs/>
          <w:sz w:val="24"/>
          <w:szCs w:val="24"/>
        </w:rPr>
        <w:t>Quáter</w:t>
      </w:r>
      <w:proofErr w:type="spellEnd"/>
      <w:r w:rsidR="00DC1DCB" w:rsidRPr="00BC3859">
        <w:rPr>
          <w:rFonts w:ascii="Arial" w:hAnsi="Arial" w:cs="Arial"/>
          <w:bCs/>
          <w:i/>
          <w:iCs/>
          <w:sz w:val="24"/>
          <w:szCs w:val="24"/>
        </w:rPr>
        <w:t xml:space="preserve"> de la Constitución Política del Estado Libre y Soberano de Oaxaca; 1, 119. 120, fracción IV, 122, 123, 124, 129, 132, 133, fracción I, 145, 146, 147, 149, 150, 163, 164, 166, </w:t>
      </w:r>
      <w:r w:rsidR="003C32C9" w:rsidRPr="00BC3859">
        <w:rPr>
          <w:rFonts w:ascii="Arial" w:hAnsi="Arial" w:cs="Arial"/>
          <w:bCs/>
          <w:i/>
          <w:iCs/>
          <w:sz w:val="24"/>
          <w:szCs w:val="24"/>
        </w:rPr>
        <w:t xml:space="preserve">primer párrafo, 176, 177 y 178 de la Ley de Procedimiento y Justicia Administrativa para el Estado de Oaxaca, </w:t>
      </w:r>
      <w:r w:rsidR="003C32C9" w:rsidRPr="00BC3859">
        <w:rPr>
          <w:rFonts w:ascii="Arial" w:hAnsi="Arial" w:cs="Arial"/>
          <w:b/>
          <w:bCs/>
          <w:i/>
          <w:iCs/>
          <w:sz w:val="24"/>
          <w:szCs w:val="24"/>
        </w:rPr>
        <w:t xml:space="preserve">SE ADMITE </w:t>
      </w:r>
      <w:r w:rsidR="003C32C9" w:rsidRPr="00BC3859">
        <w:rPr>
          <w:rFonts w:ascii="Arial" w:hAnsi="Arial" w:cs="Arial"/>
          <w:bCs/>
          <w:i/>
          <w:iCs/>
          <w:sz w:val="24"/>
          <w:szCs w:val="24"/>
        </w:rPr>
        <w:t>a trámite su demanda de nulidad en contra del acto y autoridades en comento, por l</w:t>
      </w:r>
      <w:r w:rsidR="00F30440" w:rsidRPr="00BC3859">
        <w:rPr>
          <w:rFonts w:ascii="Arial" w:hAnsi="Arial" w:cs="Arial"/>
          <w:bCs/>
          <w:i/>
          <w:iCs/>
          <w:sz w:val="24"/>
          <w:szCs w:val="24"/>
        </w:rPr>
        <w:t>o que, con las copias simples que</w:t>
      </w:r>
      <w:r w:rsidR="003C32C9" w:rsidRPr="00BC3859">
        <w:rPr>
          <w:rFonts w:ascii="Arial" w:hAnsi="Arial" w:cs="Arial"/>
          <w:bCs/>
          <w:i/>
          <w:iCs/>
          <w:sz w:val="24"/>
          <w:szCs w:val="24"/>
        </w:rPr>
        <w:t xml:space="preserve"> acompaña se ordena </w:t>
      </w:r>
      <w:r w:rsidR="003C32C9" w:rsidRPr="00BC3859">
        <w:rPr>
          <w:rFonts w:ascii="Arial" w:hAnsi="Arial" w:cs="Arial"/>
          <w:b/>
          <w:bCs/>
          <w:i/>
          <w:iCs/>
          <w:sz w:val="24"/>
          <w:szCs w:val="24"/>
        </w:rPr>
        <w:t xml:space="preserve">notificar, emplazar y correr traslado </w:t>
      </w:r>
      <w:r w:rsidR="003C32C9" w:rsidRPr="00BC3859">
        <w:rPr>
          <w:rFonts w:ascii="Arial" w:hAnsi="Arial" w:cs="Arial"/>
          <w:bCs/>
          <w:i/>
          <w:iCs/>
          <w:sz w:val="24"/>
          <w:szCs w:val="24"/>
        </w:rPr>
        <w:t xml:space="preserve">a las </w:t>
      </w:r>
      <w:r w:rsidR="003C32C9" w:rsidRPr="00BC3859">
        <w:rPr>
          <w:rFonts w:ascii="Arial" w:hAnsi="Arial" w:cs="Arial"/>
          <w:b/>
          <w:bCs/>
          <w:i/>
          <w:iCs/>
          <w:sz w:val="24"/>
          <w:szCs w:val="24"/>
        </w:rPr>
        <w:t xml:space="preserve">autoridades demandadas </w:t>
      </w:r>
      <w:r w:rsidR="003C32C9" w:rsidRPr="00BC3859">
        <w:rPr>
          <w:rFonts w:ascii="Arial" w:hAnsi="Arial" w:cs="Arial"/>
          <w:bCs/>
          <w:i/>
          <w:iCs/>
          <w:sz w:val="24"/>
          <w:szCs w:val="24"/>
        </w:rPr>
        <w:t xml:space="preserve">antes mencionadas, para que dentro del término de </w:t>
      </w:r>
      <w:r w:rsidR="003C32C9" w:rsidRPr="00BC3859">
        <w:rPr>
          <w:rFonts w:ascii="Arial" w:hAnsi="Arial" w:cs="Arial"/>
          <w:b/>
          <w:bCs/>
          <w:i/>
          <w:iCs/>
          <w:sz w:val="24"/>
          <w:szCs w:val="24"/>
        </w:rPr>
        <w:t xml:space="preserve">nueve días hábiles </w:t>
      </w:r>
      <w:r w:rsidR="003C32C9" w:rsidRPr="00BC3859">
        <w:rPr>
          <w:rFonts w:ascii="Arial" w:hAnsi="Arial" w:cs="Arial"/>
          <w:bCs/>
          <w:i/>
          <w:iCs/>
          <w:sz w:val="24"/>
          <w:szCs w:val="24"/>
        </w:rPr>
        <w:t xml:space="preserve">contados a partir del día hábiles siguiente a aquel en que surta efectos su notificación, </w:t>
      </w:r>
      <w:r w:rsidR="003C32C9" w:rsidRPr="00BC3859">
        <w:rPr>
          <w:rFonts w:ascii="Arial" w:hAnsi="Arial" w:cs="Arial"/>
          <w:b/>
          <w:bCs/>
          <w:i/>
          <w:iCs/>
          <w:sz w:val="24"/>
          <w:szCs w:val="24"/>
        </w:rPr>
        <w:t xml:space="preserve">den contestación por escrito a la demanda de nulidad interpuesta en su contra, </w:t>
      </w:r>
      <w:r w:rsidR="003C32C9" w:rsidRPr="00BC3859">
        <w:rPr>
          <w:rFonts w:ascii="Arial" w:hAnsi="Arial" w:cs="Arial"/>
          <w:bCs/>
          <w:i/>
          <w:iCs/>
          <w:sz w:val="24"/>
          <w:szCs w:val="24"/>
        </w:rPr>
        <w:t>así mismo, conforme a lo establecido por el artículo 190 de la ley de la Materia, (sic) que faculta a este juzgador a solicitar las pruebas necesarias para u</w:t>
      </w:r>
      <w:r w:rsidR="008C3CAA" w:rsidRPr="00BC3859">
        <w:rPr>
          <w:rFonts w:ascii="Arial" w:hAnsi="Arial" w:cs="Arial"/>
          <w:bCs/>
          <w:i/>
          <w:iCs/>
          <w:sz w:val="24"/>
          <w:szCs w:val="24"/>
        </w:rPr>
        <w:t>n</w:t>
      </w:r>
      <w:r w:rsidR="003C32C9" w:rsidRPr="00BC3859">
        <w:rPr>
          <w:rFonts w:ascii="Arial" w:hAnsi="Arial" w:cs="Arial"/>
          <w:bCs/>
          <w:i/>
          <w:iCs/>
          <w:sz w:val="24"/>
          <w:szCs w:val="24"/>
        </w:rPr>
        <w:t xml:space="preserve"> mejor dictado a la hora de emitir la sentencia en el presente juicio, </w:t>
      </w:r>
      <w:r w:rsidR="003C32C9" w:rsidRPr="00BC3859">
        <w:rPr>
          <w:rFonts w:ascii="Arial" w:hAnsi="Arial" w:cs="Arial"/>
          <w:bCs/>
          <w:i/>
          <w:iCs/>
          <w:sz w:val="24"/>
          <w:szCs w:val="24"/>
          <w:u w:val="single"/>
        </w:rPr>
        <w:t>se ordena requerir a las autoridades demandadas para que al momento de dar contestación remitan a esta Sala Unitaria copia certificada de:</w:t>
      </w:r>
      <w:r w:rsidR="00FC0A5C" w:rsidRPr="00BC3859">
        <w:rPr>
          <w:rFonts w:ascii="Arial" w:hAnsi="Arial" w:cs="Arial"/>
          <w:bCs/>
          <w:i/>
          <w:iCs/>
          <w:sz w:val="24"/>
          <w:szCs w:val="24"/>
          <w:u w:val="single"/>
        </w:rPr>
        <w:t xml:space="preserve"> </w:t>
      </w:r>
      <w:r w:rsidR="00FC0A5C" w:rsidRPr="00BC3859">
        <w:rPr>
          <w:rFonts w:ascii="Arial" w:hAnsi="Arial" w:cs="Arial"/>
          <w:b/>
          <w:bCs/>
          <w:i/>
          <w:iCs/>
          <w:sz w:val="24"/>
          <w:szCs w:val="24"/>
          <w:u w:val="single"/>
        </w:rPr>
        <w:t>1. Copia certificada de todo l</w:t>
      </w:r>
      <w:r w:rsidR="008C3CAA" w:rsidRPr="00BC3859">
        <w:rPr>
          <w:rFonts w:ascii="Arial" w:hAnsi="Arial" w:cs="Arial"/>
          <w:b/>
          <w:bCs/>
          <w:i/>
          <w:iCs/>
          <w:sz w:val="24"/>
          <w:szCs w:val="24"/>
          <w:u w:val="single"/>
        </w:rPr>
        <w:t>o</w:t>
      </w:r>
      <w:r w:rsidR="00FC0A5C" w:rsidRPr="00BC3859">
        <w:rPr>
          <w:rFonts w:ascii="Arial" w:hAnsi="Arial" w:cs="Arial"/>
          <w:b/>
          <w:bCs/>
          <w:i/>
          <w:iCs/>
          <w:sz w:val="24"/>
          <w:szCs w:val="24"/>
          <w:u w:val="single"/>
        </w:rPr>
        <w:t xml:space="preserve"> </w:t>
      </w:r>
      <w:r w:rsidR="00FC0A5C" w:rsidRPr="00BC3859">
        <w:rPr>
          <w:rFonts w:ascii="Arial" w:hAnsi="Arial" w:cs="Arial"/>
          <w:b/>
          <w:bCs/>
          <w:i/>
          <w:iCs/>
          <w:sz w:val="24"/>
          <w:szCs w:val="24"/>
          <w:u w:val="single"/>
        </w:rPr>
        <w:lastRenderedPageBreak/>
        <w:t xml:space="preserve">actuado dentro expediente administrativo que contiene el recurso de revocación interpuesto por </w:t>
      </w:r>
      <w:r w:rsidR="00CF28E1">
        <w:rPr>
          <w:rFonts w:ascii="Arial" w:hAnsi="Arial" w:cs="Arial"/>
          <w:b/>
          <w:bCs/>
          <w:i/>
          <w:iCs/>
          <w:sz w:val="24"/>
          <w:szCs w:val="24"/>
          <w:u w:val="single"/>
        </w:rPr>
        <w:t>*******</w:t>
      </w:r>
      <w:r w:rsidR="00FC0A5C" w:rsidRPr="00BC3859">
        <w:rPr>
          <w:rFonts w:ascii="Arial" w:hAnsi="Arial" w:cs="Arial"/>
          <w:b/>
          <w:bCs/>
          <w:i/>
          <w:iCs/>
          <w:sz w:val="24"/>
          <w:szCs w:val="24"/>
        </w:rPr>
        <w:t xml:space="preserve">, apercibidas </w:t>
      </w:r>
      <w:r w:rsidR="00FC0A5C" w:rsidRPr="00BC3859">
        <w:rPr>
          <w:rFonts w:ascii="Arial" w:hAnsi="Arial" w:cs="Arial"/>
          <w:bCs/>
          <w:i/>
          <w:iCs/>
          <w:sz w:val="24"/>
          <w:szCs w:val="24"/>
        </w:rPr>
        <w:t>que en caso de omisión se declarará la preclusión de su derecho correspondiente y se les tendrá contestando la demanda de nulidad en sentido afirmativo salvo prueba en contrario, y en caso de no referirse a todos los hechos planteados en la demanda se les tendrá por cierto, salvo prueba en contrario, lo anterior con fundamento en los artículos 183 y 184 de la Ley de Procedimiento y Justicia Administrativa para el Estado de Oaxaca.</w:t>
      </w:r>
    </w:p>
    <w:p w14:paraId="55F945A1" w14:textId="7616A613" w:rsidR="00FC0A5C" w:rsidRPr="00BC3859" w:rsidRDefault="00FC0A5C" w:rsidP="00E62248">
      <w:pPr>
        <w:spacing w:before="240" w:after="0" w:line="360" w:lineRule="auto"/>
        <w:ind w:left="1134" w:right="474" w:firstLine="282"/>
        <w:jc w:val="both"/>
        <w:rPr>
          <w:rFonts w:ascii="Arial" w:hAnsi="Arial" w:cs="Arial"/>
          <w:bCs/>
          <w:i/>
          <w:iCs/>
          <w:sz w:val="24"/>
          <w:szCs w:val="24"/>
        </w:rPr>
      </w:pPr>
      <w:r w:rsidRPr="00BC3859">
        <w:rPr>
          <w:rFonts w:ascii="Arial" w:hAnsi="Arial" w:cs="Arial"/>
          <w:bCs/>
          <w:i/>
          <w:iCs/>
          <w:sz w:val="24"/>
          <w:szCs w:val="24"/>
        </w:rPr>
        <w:t xml:space="preserve">Conforme a lo dispuesto por los artículos 177 fracción IX, 188 y 189 de la Ley de la Materia, (sic) se tiene a la parte actora ofreciendo sus prueba, de las cuales se admiten las siguientes: </w:t>
      </w:r>
      <w:r w:rsidRPr="00BC3859">
        <w:rPr>
          <w:rFonts w:ascii="Arial" w:hAnsi="Arial" w:cs="Arial"/>
          <w:b/>
          <w:bCs/>
          <w:i/>
          <w:iCs/>
          <w:sz w:val="24"/>
          <w:szCs w:val="24"/>
        </w:rPr>
        <w:t xml:space="preserve">1. Documental pública. </w:t>
      </w:r>
      <w:r w:rsidRPr="00BC3859">
        <w:rPr>
          <w:rFonts w:ascii="Arial" w:hAnsi="Arial" w:cs="Arial"/>
          <w:bCs/>
          <w:i/>
          <w:iCs/>
          <w:sz w:val="24"/>
          <w:szCs w:val="24"/>
        </w:rPr>
        <w:t>Consistente en el escrito de trece de noviembre de dos mil veinte por medio del cual el acto</w:t>
      </w:r>
      <w:r w:rsidR="00F30440" w:rsidRPr="00BC3859">
        <w:rPr>
          <w:rFonts w:ascii="Arial" w:hAnsi="Arial" w:cs="Arial"/>
          <w:bCs/>
          <w:i/>
          <w:iCs/>
          <w:sz w:val="24"/>
          <w:szCs w:val="24"/>
        </w:rPr>
        <w:t>r</w:t>
      </w:r>
      <w:r w:rsidRPr="00BC3859">
        <w:rPr>
          <w:rFonts w:ascii="Arial" w:hAnsi="Arial" w:cs="Arial"/>
          <w:bCs/>
          <w:i/>
          <w:iCs/>
          <w:sz w:val="24"/>
          <w:szCs w:val="24"/>
        </w:rPr>
        <w:t xml:space="preserve"> interpone recurso de revocación, con sello de recepción original de la Subdirección de Ingresos de la Tesorería Municipal de Oaxaca de Juárez, fechado el diecisiete de noviembre de dos mil veinte, y </w:t>
      </w:r>
      <w:r w:rsidRPr="00BC3859">
        <w:rPr>
          <w:rFonts w:ascii="Arial" w:hAnsi="Arial" w:cs="Arial"/>
          <w:b/>
          <w:bCs/>
          <w:i/>
          <w:iCs/>
          <w:sz w:val="24"/>
          <w:szCs w:val="24"/>
        </w:rPr>
        <w:t xml:space="preserve">2. Documental pública. </w:t>
      </w:r>
      <w:r w:rsidRPr="00BC3859">
        <w:rPr>
          <w:rFonts w:ascii="Arial" w:hAnsi="Arial" w:cs="Arial"/>
          <w:bCs/>
          <w:i/>
          <w:iCs/>
          <w:sz w:val="24"/>
          <w:szCs w:val="24"/>
        </w:rPr>
        <w:t xml:space="preserve">Consistente en la copia simple del formato único de liquidación número </w:t>
      </w:r>
      <w:r w:rsidR="00CF28E1">
        <w:rPr>
          <w:rFonts w:ascii="Arial" w:hAnsi="Arial" w:cs="Arial"/>
          <w:bCs/>
          <w:i/>
          <w:iCs/>
          <w:sz w:val="24"/>
          <w:szCs w:val="24"/>
        </w:rPr>
        <w:t>*******</w:t>
      </w:r>
      <w:r w:rsidRPr="00BC3859">
        <w:rPr>
          <w:rFonts w:ascii="Arial" w:hAnsi="Arial" w:cs="Arial"/>
          <w:bCs/>
          <w:i/>
          <w:iCs/>
          <w:sz w:val="24"/>
          <w:szCs w:val="24"/>
        </w:rPr>
        <w:t xml:space="preserve"> expedido a favor de </w:t>
      </w:r>
      <w:r w:rsidR="00CF28E1">
        <w:rPr>
          <w:rFonts w:ascii="Arial" w:hAnsi="Arial" w:cs="Arial"/>
          <w:bCs/>
          <w:i/>
          <w:iCs/>
          <w:sz w:val="24"/>
          <w:szCs w:val="24"/>
        </w:rPr>
        <w:t>*******</w:t>
      </w:r>
      <w:r w:rsidRPr="00BC3859">
        <w:rPr>
          <w:rFonts w:ascii="Arial" w:hAnsi="Arial" w:cs="Arial"/>
          <w:bCs/>
          <w:i/>
          <w:iCs/>
          <w:sz w:val="24"/>
          <w:szCs w:val="24"/>
        </w:rPr>
        <w:t>. Ahora bien, en relación al expediente administrativo que refiere en el inciso a) de su capítulo de pruebas, dígasele que no ha lugar a la admisión de dicha prueba, tomando en consideración que si bien el oferente de la prueba manifiesta que no puede exhibir dicho expediente administrativo, lo cierto es que, de acuerdo a lo previsto por el numeral 191 de la Ley de la materia, este debió haber acreditado que previa a la presentación de la demanda ante este</w:t>
      </w:r>
      <w:r w:rsidR="00F30440" w:rsidRPr="00BC3859">
        <w:rPr>
          <w:rFonts w:ascii="Arial" w:hAnsi="Arial" w:cs="Arial"/>
          <w:bCs/>
          <w:i/>
          <w:iCs/>
          <w:sz w:val="24"/>
          <w:szCs w:val="24"/>
        </w:rPr>
        <w:t xml:space="preserve"> Órgano Jurisdiccional, solicitó</w:t>
      </w:r>
      <w:r w:rsidRPr="00BC3859">
        <w:rPr>
          <w:rFonts w:ascii="Arial" w:hAnsi="Arial" w:cs="Arial"/>
          <w:bCs/>
          <w:i/>
          <w:iCs/>
          <w:sz w:val="24"/>
          <w:szCs w:val="24"/>
        </w:rPr>
        <w:t xml:space="preserve"> ante la autoridad demandada tales documentos y que estos le fueron negados, para tal efecto debió exhibir en su caso el acuse de recibo, como así lo establece el numeral acabado de invocar, sin embargo, no lo hizo.</w:t>
      </w:r>
    </w:p>
    <w:p w14:paraId="2ECB562A" w14:textId="1D967645" w:rsidR="00FC0A5C" w:rsidRPr="00BC3859" w:rsidRDefault="00FC0A5C" w:rsidP="00E62248">
      <w:pPr>
        <w:spacing w:before="240" w:after="0" w:line="360" w:lineRule="auto"/>
        <w:ind w:left="1134" w:right="474" w:firstLine="282"/>
        <w:jc w:val="both"/>
        <w:rPr>
          <w:rFonts w:ascii="Arial" w:hAnsi="Arial" w:cs="Arial"/>
          <w:bCs/>
          <w:i/>
          <w:iCs/>
          <w:sz w:val="24"/>
          <w:szCs w:val="24"/>
        </w:rPr>
      </w:pPr>
      <w:r w:rsidRPr="00BC3859">
        <w:rPr>
          <w:rFonts w:ascii="Arial" w:hAnsi="Arial" w:cs="Arial"/>
          <w:bCs/>
          <w:i/>
          <w:iCs/>
          <w:sz w:val="24"/>
          <w:szCs w:val="24"/>
        </w:rPr>
        <w:t xml:space="preserve">En términos del artículo 171 de la Ley de la Materia (sic), se le tiene </w:t>
      </w:r>
      <w:r w:rsidRPr="00BC3859">
        <w:rPr>
          <w:rFonts w:ascii="Arial" w:hAnsi="Arial" w:cs="Arial"/>
          <w:b/>
          <w:bCs/>
          <w:i/>
          <w:iCs/>
          <w:sz w:val="24"/>
          <w:szCs w:val="24"/>
        </w:rPr>
        <w:t>señalando domicilio para oír y recibir notificaciones</w:t>
      </w:r>
      <w:r w:rsidRPr="00BC3859">
        <w:rPr>
          <w:rFonts w:ascii="Arial" w:hAnsi="Arial" w:cs="Arial"/>
          <w:bCs/>
          <w:i/>
          <w:iCs/>
          <w:sz w:val="24"/>
          <w:szCs w:val="24"/>
        </w:rPr>
        <w:t>, el ubicado en</w:t>
      </w:r>
      <w:r w:rsidR="00CF28E1">
        <w:rPr>
          <w:rFonts w:ascii="Arial" w:hAnsi="Arial" w:cs="Arial"/>
          <w:bCs/>
          <w:i/>
          <w:iCs/>
          <w:sz w:val="24"/>
          <w:szCs w:val="24"/>
        </w:rPr>
        <w:t>*******</w:t>
      </w:r>
      <w:r w:rsidRPr="00BC3859">
        <w:rPr>
          <w:rFonts w:ascii="Arial" w:hAnsi="Arial" w:cs="Arial"/>
          <w:bCs/>
          <w:i/>
          <w:iCs/>
          <w:sz w:val="24"/>
          <w:szCs w:val="24"/>
        </w:rPr>
        <w:t>, y autorizando a los CC.</w:t>
      </w:r>
      <w:r w:rsidR="00CF28E1">
        <w:rPr>
          <w:rFonts w:ascii="Arial" w:hAnsi="Arial" w:cs="Arial"/>
          <w:bCs/>
          <w:i/>
          <w:iCs/>
          <w:sz w:val="24"/>
          <w:szCs w:val="24"/>
        </w:rPr>
        <w:t xml:space="preserve"> *******</w:t>
      </w:r>
      <w:r w:rsidRPr="00BC3859">
        <w:rPr>
          <w:rFonts w:ascii="Arial" w:hAnsi="Arial" w:cs="Arial"/>
          <w:bCs/>
          <w:i/>
          <w:iCs/>
          <w:sz w:val="24"/>
          <w:szCs w:val="24"/>
        </w:rPr>
        <w:t xml:space="preserve">, </w:t>
      </w:r>
      <w:proofErr w:type="gramStart"/>
      <w:r w:rsidRPr="00BC3859">
        <w:rPr>
          <w:rFonts w:ascii="Arial" w:hAnsi="Arial" w:cs="Arial"/>
          <w:bCs/>
          <w:i/>
          <w:iCs/>
          <w:sz w:val="24"/>
          <w:szCs w:val="24"/>
        </w:rPr>
        <w:t>para</w:t>
      </w:r>
      <w:proofErr w:type="gramEnd"/>
      <w:r w:rsidRPr="00BC3859">
        <w:rPr>
          <w:rFonts w:ascii="Arial" w:hAnsi="Arial" w:cs="Arial"/>
          <w:bCs/>
          <w:i/>
          <w:iCs/>
          <w:sz w:val="24"/>
          <w:szCs w:val="24"/>
        </w:rPr>
        <w:t xml:space="preserve"> que reciban notificaciones a su nombre, no así para que concurran a las audiencias con facultades </w:t>
      </w:r>
      <w:r w:rsidR="00D142FC" w:rsidRPr="00BC3859">
        <w:rPr>
          <w:rFonts w:ascii="Arial" w:hAnsi="Arial" w:cs="Arial"/>
          <w:bCs/>
          <w:i/>
          <w:iCs/>
          <w:sz w:val="24"/>
          <w:szCs w:val="24"/>
        </w:rPr>
        <w:t xml:space="preserve">para rendir pruebas y alegar e interponer recursos, en razón de que no acreditan contar con cédula de Licenciados en Derecho </w:t>
      </w:r>
      <w:r w:rsidR="00D142FC" w:rsidRPr="00BC3859">
        <w:rPr>
          <w:rFonts w:ascii="Arial" w:hAnsi="Arial" w:cs="Arial"/>
          <w:bCs/>
          <w:i/>
          <w:iCs/>
          <w:sz w:val="24"/>
          <w:szCs w:val="24"/>
        </w:rPr>
        <w:lastRenderedPageBreak/>
        <w:t>legalmente expedida por autoridad competente, lo anterior, conforme a lo dispuesto en el artículo 148 párrafo quinto de la Ley de Procedimiento y Justicia Administrativa para el Estado de Oaxaca.</w:t>
      </w:r>
    </w:p>
    <w:p w14:paraId="2829F723" w14:textId="27F186A2" w:rsidR="00D142FC" w:rsidRPr="00BC3859" w:rsidRDefault="00D142FC" w:rsidP="00E62248">
      <w:pPr>
        <w:spacing w:before="240" w:after="0" w:line="360" w:lineRule="auto"/>
        <w:ind w:left="1134" w:right="474" w:firstLine="282"/>
        <w:jc w:val="both"/>
        <w:rPr>
          <w:rFonts w:ascii="Arial" w:hAnsi="Arial" w:cs="Arial"/>
          <w:bCs/>
          <w:i/>
          <w:iCs/>
          <w:sz w:val="24"/>
          <w:szCs w:val="24"/>
        </w:rPr>
      </w:pPr>
      <w:r w:rsidRPr="00BC3859">
        <w:rPr>
          <w:rFonts w:ascii="Arial" w:hAnsi="Arial" w:cs="Arial"/>
          <w:bCs/>
          <w:i/>
          <w:iCs/>
          <w:sz w:val="24"/>
          <w:szCs w:val="24"/>
        </w:rPr>
        <w:t xml:space="preserve">Ahora bien, en términos del artículo 218, fracción IV, inciso b) del Ordenamiento Legal antes invocado, </w:t>
      </w:r>
      <w:r w:rsidRPr="00BC3859">
        <w:rPr>
          <w:rFonts w:ascii="Arial" w:hAnsi="Arial" w:cs="Arial"/>
          <w:b/>
          <w:bCs/>
          <w:i/>
          <w:iCs/>
          <w:sz w:val="24"/>
          <w:szCs w:val="24"/>
        </w:rPr>
        <w:t xml:space="preserve">se ordena formar por cuerda separa el cuaderno de suspensión </w:t>
      </w:r>
      <w:r w:rsidRPr="00BC3859">
        <w:rPr>
          <w:rFonts w:ascii="Arial" w:hAnsi="Arial" w:cs="Arial"/>
          <w:bCs/>
          <w:i/>
          <w:iCs/>
          <w:sz w:val="24"/>
          <w:szCs w:val="24"/>
        </w:rPr>
        <w:t>con una copia de la demanda anexo al expediente principal.</w:t>
      </w:r>
    </w:p>
    <w:p w14:paraId="5D5BDB1B" w14:textId="6545526C" w:rsidR="00D142FC" w:rsidRPr="00BC3859" w:rsidRDefault="00D142FC" w:rsidP="00E62248">
      <w:pPr>
        <w:spacing w:before="240" w:after="0" w:line="360" w:lineRule="auto"/>
        <w:ind w:left="1134" w:right="474" w:firstLine="282"/>
        <w:jc w:val="both"/>
        <w:rPr>
          <w:rFonts w:ascii="Arial" w:hAnsi="Arial" w:cs="Arial"/>
          <w:bCs/>
          <w:i/>
          <w:iCs/>
          <w:sz w:val="24"/>
          <w:szCs w:val="24"/>
        </w:rPr>
      </w:pPr>
      <w:r w:rsidRPr="00BC3859">
        <w:rPr>
          <w:rFonts w:ascii="Arial" w:hAnsi="Arial" w:cs="Arial"/>
          <w:bCs/>
          <w:i/>
          <w:iCs/>
          <w:sz w:val="24"/>
          <w:szCs w:val="24"/>
        </w:rPr>
        <w:t>Por último, con la finalidad de que éste órgano jurisdiccional pueda garantizar la secrecía de los datos personales de la parte actora en este juicio de nulidad, se le hace del conocimiento el derecho que tiene el administrado a oponerse a la publicación de los mismos en relación con terceros, para lo cual podrá hacerlo de manera expresa hasta antes del día y hora que fije ésta Sala para el desahogo de la Audiencia Final, apercibido el promovente que la falta de oposición conlleva su consentimiento para que la sentencia que se dicte en el presente asunto, se publiquen sus datos personales, lo anterior conforme a lo establecido en los artículos 12 y 23 fracción VII de la Ley de Transparencia y Acceso a la Información Pública para el Estado de Oaxaca.</w:t>
      </w:r>
    </w:p>
    <w:p w14:paraId="3ABC9265" w14:textId="4301AB7C" w:rsidR="004E39C3" w:rsidRPr="00BC3859" w:rsidRDefault="00D142FC" w:rsidP="00E62248">
      <w:pPr>
        <w:spacing w:before="240" w:after="0" w:line="360" w:lineRule="auto"/>
        <w:ind w:left="1134" w:right="474" w:firstLine="282"/>
        <w:jc w:val="both"/>
        <w:rPr>
          <w:rFonts w:ascii="Arial" w:hAnsi="Arial" w:cs="Arial"/>
          <w:bCs/>
          <w:i/>
          <w:iCs/>
          <w:sz w:val="24"/>
          <w:szCs w:val="24"/>
        </w:rPr>
      </w:pPr>
      <w:r w:rsidRPr="00BC3859">
        <w:rPr>
          <w:rFonts w:ascii="Arial" w:hAnsi="Arial" w:cs="Arial"/>
          <w:b/>
          <w:bCs/>
          <w:i/>
          <w:iCs/>
          <w:sz w:val="24"/>
          <w:szCs w:val="24"/>
        </w:rPr>
        <w:t xml:space="preserve">Notifíquese personalmente a la parte actora y mediante oficio a las autoridades demandadas, </w:t>
      </w:r>
      <w:r w:rsidRPr="00BC3859">
        <w:rPr>
          <w:rFonts w:ascii="Arial" w:hAnsi="Arial" w:cs="Arial"/>
          <w:bCs/>
          <w:i/>
          <w:iCs/>
          <w:sz w:val="24"/>
          <w:szCs w:val="24"/>
        </w:rPr>
        <w:t>conforme a lo dispuesto por los artículos 172 fracción I y 173 fracciones I y II de la Ley de la materia.</w:t>
      </w:r>
      <w:r w:rsidR="004E39C3" w:rsidRPr="00BC3859">
        <w:rPr>
          <w:rFonts w:ascii="Arial" w:hAnsi="Arial" w:cs="Arial"/>
          <w:bCs/>
          <w:i/>
          <w:iCs/>
          <w:sz w:val="24"/>
          <w:szCs w:val="24"/>
        </w:rPr>
        <w:t>”</w:t>
      </w:r>
    </w:p>
    <w:p w14:paraId="6F490AE0" w14:textId="77777777" w:rsidR="004E39C3" w:rsidRDefault="004E39C3" w:rsidP="00E62248">
      <w:pPr>
        <w:widowControl w:val="0"/>
        <w:tabs>
          <w:tab w:val="left" w:pos="7938"/>
        </w:tabs>
        <w:spacing w:before="240" w:after="0" w:line="360" w:lineRule="auto"/>
        <w:ind w:left="1134" w:right="49"/>
        <w:jc w:val="center"/>
        <w:rPr>
          <w:rFonts w:ascii="Arial" w:eastAsia="Calibri" w:hAnsi="Arial" w:cs="Arial"/>
          <w:b/>
          <w:bCs/>
          <w:sz w:val="26"/>
          <w:szCs w:val="26"/>
        </w:rPr>
      </w:pPr>
      <w:r>
        <w:rPr>
          <w:rFonts w:ascii="Arial" w:eastAsia="Calibri" w:hAnsi="Arial" w:cs="Arial"/>
          <w:b/>
          <w:bCs/>
          <w:sz w:val="26"/>
          <w:szCs w:val="26"/>
        </w:rPr>
        <w:t>C O N S I D E R A N D O</w:t>
      </w:r>
    </w:p>
    <w:p w14:paraId="60331993" w14:textId="18869A67" w:rsidR="004E39C3" w:rsidRDefault="004E39C3" w:rsidP="00E62248">
      <w:pPr>
        <w:spacing w:before="240" w:line="360" w:lineRule="auto"/>
        <w:ind w:right="49" w:firstLine="708"/>
        <w:jc w:val="both"/>
        <w:rPr>
          <w:rFonts w:ascii="Arial" w:hAnsi="Arial" w:cs="Arial"/>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w:t>
      </w:r>
      <w:r w:rsidR="00B75E01">
        <w:rPr>
          <w:rFonts w:ascii="Arial" w:hAnsi="Arial" w:cs="Arial"/>
          <w:bCs/>
          <w:iCs/>
          <w:sz w:val="26"/>
          <w:szCs w:val="26"/>
        </w:rPr>
        <w:t xml:space="preserve">ones </w:t>
      </w:r>
      <w:r>
        <w:rPr>
          <w:rFonts w:ascii="Arial" w:hAnsi="Arial" w:cs="Arial"/>
          <w:bCs/>
          <w:iCs/>
          <w:sz w:val="26"/>
          <w:szCs w:val="26"/>
        </w:rPr>
        <w:t>I</w:t>
      </w:r>
      <w:r w:rsidR="00B75E01">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w:t>
      </w:r>
      <w:r w:rsidR="00C50BC9">
        <w:rPr>
          <w:rFonts w:ascii="Arial" w:hAnsi="Arial" w:cs="Arial"/>
          <w:bCs/>
          <w:iCs/>
          <w:sz w:val="26"/>
          <w:szCs w:val="26"/>
        </w:rPr>
        <w:t>nistrativa del Estado de Oaxaca</w:t>
      </w:r>
      <w:r>
        <w:rPr>
          <w:rFonts w:ascii="Arial" w:hAnsi="Arial" w:cs="Arial"/>
          <w:bCs/>
          <w:iCs/>
          <w:sz w:val="26"/>
          <w:szCs w:val="26"/>
        </w:rPr>
        <w:t>;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del a</w:t>
      </w:r>
      <w:r w:rsidR="00F96DA7">
        <w:rPr>
          <w:rFonts w:ascii="Arial" w:hAnsi="Arial" w:cs="Arial"/>
          <w:bCs/>
          <w:iCs/>
          <w:sz w:val="26"/>
          <w:szCs w:val="26"/>
        </w:rPr>
        <w:t>cuerdo</w:t>
      </w:r>
      <w:r>
        <w:rPr>
          <w:rFonts w:ascii="Arial" w:hAnsi="Arial" w:cs="Arial"/>
          <w:bCs/>
          <w:iCs/>
          <w:sz w:val="26"/>
          <w:szCs w:val="26"/>
        </w:rPr>
        <w:t xml:space="preserve"> de </w:t>
      </w:r>
      <w:r w:rsidR="00D142FC">
        <w:rPr>
          <w:rFonts w:ascii="Arial" w:hAnsi="Arial" w:cs="Arial"/>
          <w:bCs/>
          <w:iCs/>
          <w:sz w:val="26"/>
          <w:szCs w:val="26"/>
        </w:rPr>
        <w:t xml:space="preserve">seis de julio </w:t>
      </w:r>
      <w:r>
        <w:rPr>
          <w:rFonts w:ascii="Arial" w:hAnsi="Arial" w:cs="Arial"/>
          <w:bCs/>
          <w:iCs/>
          <w:sz w:val="26"/>
          <w:szCs w:val="26"/>
        </w:rPr>
        <w:t>de dos mil veint</w:t>
      </w:r>
      <w:r w:rsidR="00D142FC">
        <w:rPr>
          <w:rFonts w:ascii="Arial" w:hAnsi="Arial" w:cs="Arial"/>
          <w:bCs/>
          <w:iCs/>
          <w:sz w:val="26"/>
          <w:szCs w:val="26"/>
        </w:rPr>
        <w:t xml:space="preserve">iuno </w:t>
      </w:r>
      <w:r>
        <w:rPr>
          <w:rFonts w:ascii="Arial" w:hAnsi="Arial" w:cs="Arial"/>
          <w:bCs/>
          <w:iCs/>
          <w:sz w:val="26"/>
          <w:szCs w:val="26"/>
        </w:rPr>
        <w:t xml:space="preserve">dictado por la </w:t>
      </w:r>
      <w:r w:rsidR="00D142FC">
        <w:rPr>
          <w:rFonts w:ascii="Arial" w:hAnsi="Arial" w:cs="Arial"/>
          <w:bCs/>
          <w:iCs/>
          <w:sz w:val="26"/>
          <w:szCs w:val="26"/>
        </w:rPr>
        <w:t xml:space="preserve">Primera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D142FC">
        <w:rPr>
          <w:rFonts w:ascii="Arial" w:hAnsi="Arial" w:cs="Arial"/>
          <w:b/>
          <w:bCs/>
          <w:iCs/>
          <w:sz w:val="26"/>
          <w:szCs w:val="26"/>
        </w:rPr>
        <w:t>042</w:t>
      </w:r>
      <w:r>
        <w:rPr>
          <w:rFonts w:ascii="Arial" w:hAnsi="Arial" w:cs="Arial"/>
          <w:b/>
          <w:bCs/>
          <w:iCs/>
          <w:sz w:val="26"/>
          <w:szCs w:val="26"/>
        </w:rPr>
        <w:t>/20</w:t>
      </w:r>
      <w:r w:rsidR="00D142FC">
        <w:rPr>
          <w:rFonts w:ascii="Arial" w:hAnsi="Arial" w:cs="Arial"/>
          <w:b/>
          <w:bCs/>
          <w:iCs/>
          <w:sz w:val="26"/>
          <w:szCs w:val="26"/>
        </w:rPr>
        <w:t>21</w:t>
      </w:r>
      <w:r>
        <w:rPr>
          <w:rFonts w:ascii="Arial" w:hAnsi="Arial" w:cs="Arial"/>
          <w:sz w:val="26"/>
          <w:szCs w:val="26"/>
        </w:rPr>
        <w:t xml:space="preserve">.- - - - - - - - - - - </w:t>
      </w:r>
      <w:r w:rsidR="00B62FE4">
        <w:rPr>
          <w:rFonts w:ascii="Arial" w:hAnsi="Arial" w:cs="Arial"/>
          <w:sz w:val="26"/>
          <w:szCs w:val="26"/>
        </w:rPr>
        <w:t xml:space="preserve">- </w:t>
      </w:r>
      <w:r w:rsidR="00C50BC9">
        <w:rPr>
          <w:rFonts w:ascii="Arial" w:hAnsi="Arial" w:cs="Arial"/>
          <w:sz w:val="26"/>
          <w:szCs w:val="26"/>
        </w:rPr>
        <w:t>- - - - - - - - - - - - -</w:t>
      </w:r>
    </w:p>
    <w:p w14:paraId="23691351" w14:textId="55C3B91F" w:rsidR="004E39C3" w:rsidRDefault="004E39C3" w:rsidP="00E62248">
      <w:pPr>
        <w:spacing w:before="240" w:after="0" w:line="360" w:lineRule="auto"/>
        <w:ind w:right="49" w:firstLine="709"/>
        <w:jc w:val="both"/>
        <w:rPr>
          <w:rFonts w:ascii="Arial" w:hAnsi="Arial" w:cs="Arial"/>
          <w:sz w:val="26"/>
          <w:szCs w:val="26"/>
        </w:rPr>
      </w:pPr>
      <w:bookmarkStart w:id="1" w:name="_Hlk100838219"/>
      <w:r>
        <w:rPr>
          <w:rFonts w:ascii="Arial" w:hAnsi="Arial" w:cs="Arial"/>
          <w:b/>
          <w:sz w:val="26"/>
          <w:szCs w:val="26"/>
        </w:rPr>
        <w:lastRenderedPageBreak/>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w:t>
      </w:r>
      <w:r w:rsidR="00D142FC">
        <w:rPr>
          <w:rFonts w:ascii="Arial" w:hAnsi="Arial" w:cs="Arial"/>
          <w:sz w:val="26"/>
          <w:szCs w:val="26"/>
        </w:rPr>
        <w:t xml:space="preserve">- - - - - - - - - - - - - - - </w:t>
      </w:r>
    </w:p>
    <w:p w14:paraId="1116C805" w14:textId="77777777" w:rsidR="004E39C3" w:rsidRPr="000E3401" w:rsidRDefault="004E39C3" w:rsidP="00E356E4">
      <w:pPr>
        <w:spacing w:before="240" w:line="276" w:lineRule="auto"/>
        <w:ind w:left="1134" w:right="474"/>
        <w:jc w:val="both"/>
        <w:rPr>
          <w:rFonts w:ascii="Arial" w:hAnsi="Arial" w:cs="Arial"/>
          <w:i/>
          <w:iCs/>
          <w:sz w:val="24"/>
          <w:szCs w:val="24"/>
        </w:rPr>
      </w:pPr>
      <w:r w:rsidRPr="000E3401">
        <w:rPr>
          <w:rFonts w:ascii="Arial" w:eastAsia="Calibri" w:hAnsi="Arial" w:cs="Arial"/>
          <w:bCs/>
          <w:i/>
          <w:iCs/>
          <w:color w:val="000000" w:themeColor="text1"/>
          <w:sz w:val="24"/>
          <w:szCs w:val="24"/>
        </w:rPr>
        <w:t>“</w:t>
      </w:r>
      <w:r w:rsidRPr="000E3401">
        <w:rPr>
          <w:rFonts w:ascii="Arial" w:eastAsia="Calibri" w:hAnsi="Arial" w:cs="Arial"/>
          <w:b/>
          <w:bCs/>
          <w:i/>
          <w:iCs/>
          <w:color w:val="000000" w:themeColor="text1"/>
          <w:sz w:val="24"/>
          <w:szCs w:val="24"/>
        </w:rPr>
        <w:t xml:space="preserve">CONCEPTOS DE VIOLACIÓN O AGRAVIOS. PARA CUMPLIR CON LOS PRINCIPIOS DE CONGRUENCIA Y EXHAUSTIVIDAD EN LAS SENTENCIAS DE AMPARO ES INNECESARIA SU TRANSCRIPCIÓN. </w:t>
      </w:r>
      <w:r w:rsidRPr="000E3401">
        <w:rPr>
          <w:rFonts w:ascii="Arial" w:eastAsia="Calibri" w:hAnsi="Arial" w:cs="Arial"/>
          <w:bCs/>
          <w:i/>
          <w:iCs/>
          <w:color w:val="000000" w:themeColor="text1"/>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E3401">
        <w:rPr>
          <w:rStyle w:val="Refdenotaalpie"/>
          <w:rFonts w:ascii="Arial" w:hAnsi="Arial" w:cs="Arial"/>
          <w:i/>
          <w:iCs/>
          <w:sz w:val="24"/>
          <w:szCs w:val="24"/>
        </w:rPr>
        <w:footnoteReference w:id="1"/>
      </w:r>
      <w:r w:rsidRPr="000E3401">
        <w:rPr>
          <w:rFonts w:ascii="Arial" w:hAnsi="Arial" w:cs="Arial"/>
          <w:i/>
          <w:iCs/>
          <w:sz w:val="24"/>
          <w:szCs w:val="24"/>
        </w:rPr>
        <w:t xml:space="preserve">. </w:t>
      </w:r>
    </w:p>
    <w:bookmarkEnd w:id="1"/>
    <w:p w14:paraId="00C9A398" w14:textId="753D3BAB" w:rsidR="00AD23A9" w:rsidRDefault="004E39C3" w:rsidP="00E62248">
      <w:pPr>
        <w:spacing w:before="240" w:line="360" w:lineRule="auto"/>
        <w:ind w:right="49" w:firstLine="708"/>
        <w:jc w:val="both"/>
        <w:rPr>
          <w:rFonts w:ascii="Arial" w:hAnsi="Arial" w:cs="Arial"/>
          <w:sz w:val="26"/>
          <w:szCs w:val="26"/>
        </w:rPr>
      </w:pPr>
      <w:r>
        <w:rPr>
          <w:rFonts w:ascii="Arial" w:hAnsi="Arial" w:cs="Arial"/>
          <w:b/>
          <w:sz w:val="26"/>
          <w:szCs w:val="26"/>
        </w:rPr>
        <w:t>TERCERO</w:t>
      </w:r>
      <w:r w:rsidR="00AD23A9">
        <w:rPr>
          <w:rFonts w:ascii="Arial" w:hAnsi="Arial" w:cs="Arial"/>
          <w:sz w:val="26"/>
          <w:szCs w:val="26"/>
        </w:rPr>
        <w:t>. Inicia sus alegaciones el recurrente refiriendo</w:t>
      </w:r>
      <w:r w:rsidR="00172C29">
        <w:rPr>
          <w:rFonts w:ascii="Arial" w:hAnsi="Arial" w:cs="Arial"/>
          <w:sz w:val="26"/>
          <w:szCs w:val="26"/>
        </w:rPr>
        <w:t xml:space="preserve"> de manera esencial, que la determinación de la Primera Instancia de no admitirle el expediente administrativo </w:t>
      </w:r>
      <w:r w:rsidR="003A7056">
        <w:rPr>
          <w:rFonts w:ascii="Arial" w:hAnsi="Arial" w:cs="Arial"/>
          <w:sz w:val="26"/>
          <w:szCs w:val="26"/>
        </w:rPr>
        <w:t xml:space="preserve">que ofreció como prueba en su escrito inicial de demanda </w:t>
      </w:r>
      <w:r w:rsidR="00172C29">
        <w:rPr>
          <w:rFonts w:ascii="Arial" w:hAnsi="Arial" w:cs="Arial"/>
          <w:sz w:val="26"/>
          <w:szCs w:val="26"/>
        </w:rPr>
        <w:t>es ilegal, porque el artículo 191 de la Ley de Procedimiento y Justicia Administ</w:t>
      </w:r>
      <w:r w:rsidR="00375FC1">
        <w:rPr>
          <w:rFonts w:ascii="Arial" w:hAnsi="Arial" w:cs="Arial"/>
          <w:sz w:val="26"/>
          <w:szCs w:val="26"/>
        </w:rPr>
        <w:t xml:space="preserve">rativa para el Estado de Oaxaca, </w:t>
      </w:r>
      <w:r w:rsidR="00277AD0">
        <w:rPr>
          <w:rFonts w:ascii="Arial" w:hAnsi="Arial" w:cs="Arial"/>
          <w:sz w:val="26"/>
          <w:szCs w:val="26"/>
        </w:rPr>
        <w:t xml:space="preserve">no se </w:t>
      </w:r>
      <w:r w:rsidR="00AD23A9">
        <w:rPr>
          <w:rFonts w:ascii="Arial" w:hAnsi="Arial" w:cs="Arial"/>
          <w:sz w:val="26"/>
          <w:szCs w:val="26"/>
        </w:rPr>
        <w:t xml:space="preserve">refiere </w:t>
      </w:r>
      <w:r w:rsidR="00277AD0">
        <w:rPr>
          <w:rFonts w:ascii="Arial" w:hAnsi="Arial" w:cs="Arial"/>
          <w:sz w:val="26"/>
          <w:szCs w:val="26"/>
        </w:rPr>
        <w:t>de</w:t>
      </w:r>
      <w:r w:rsidR="00AD23A9">
        <w:rPr>
          <w:rFonts w:ascii="Arial" w:hAnsi="Arial" w:cs="Arial"/>
          <w:sz w:val="26"/>
          <w:szCs w:val="26"/>
        </w:rPr>
        <w:t xml:space="preserve"> forma precisa y expresa a la prueba de expediente administrativo, sino a aquellas pruebas </w:t>
      </w:r>
      <w:r w:rsidR="00A47B37">
        <w:rPr>
          <w:rFonts w:ascii="Arial" w:hAnsi="Arial" w:cs="Arial"/>
          <w:sz w:val="26"/>
          <w:szCs w:val="26"/>
        </w:rPr>
        <w:t xml:space="preserve">que se encuentren </w:t>
      </w:r>
      <w:r w:rsidR="00AD23A9">
        <w:rPr>
          <w:rFonts w:ascii="Arial" w:hAnsi="Arial" w:cs="Arial"/>
          <w:sz w:val="26"/>
          <w:szCs w:val="26"/>
        </w:rPr>
        <w:t>en poder de una autoridad diversa a la demandada, sin que se establezca limitante alguna cuando la probanza ofrecida sea un expediente adm</w:t>
      </w:r>
      <w:r w:rsidR="0006521A">
        <w:rPr>
          <w:rFonts w:ascii="Arial" w:hAnsi="Arial" w:cs="Arial"/>
          <w:sz w:val="26"/>
          <w:szCs w:val="26"/>
        </w:rPr>
        <w:t>inistrativo, entendiéndose por é</w:t>
      </w:r>
      <w:r w:rsidR="00AD23A9">
        <w:rPr>
          <w:rFonts w:ascii="Arial" w:hAnsi="Arial" w:cs="Arial"/>
          <w:sz w:val="26"/>
          <w:szCs w:val="26"/>
        </w:rPr>
        <w:t>ste, al original de las actuaciones llevadas a cabo ante la propia autoridad demandada</w:t>
      </w:r>
      <w:r w:rsidR="00277AD0">
        <w:rPr>
          <w:rFonts w:ascii="Arial" w:hAnsi="Arial" w:cs="Arial"/>
          <w:sz w:val="26"/>
          <w:szCs w:val="26"/>
        </w:rPr>
        <w:t xml:space="preserve">, por lo que resulta inaplicable el citado dispositivo legal, al no haberse ofrecido como prueba la copia de </w:t>
      </w:r>
      <w:r w:rsidR="00277AD0">
        <w:rPr>
          <w:rFonts w:ascii="Arial" w:hAnsi="Arial" w:cs="Arial"/>
          <w:sz w:val="26"/>
          <w:szCs w:val="26"/>
        </w:rPr>
        <w:lastRenderedPageBreak/>
        <w:t>las documentales que obran en poder de la demanda</w:t>
      </w:r>
      <w:r w:rsidR="0006521A">
        <w:rPr>
          <w:rFonts w:ascii="Arial" w:hAnsi="Arial" w:cs="Arial"/>
          <w:sz w:val="26"/>
          <w:szCs w:val="26"/>
        </w:rPr>
        <w:t>da</w:t>
      </w:r>
      <w:r w:rsidR="00277AD0">
        <w:rPr>
          <w:rFonts w:ascii="Arial" w:hAnsi="Arial" w:cs="Arial"/>
          <w:sz w:val="26"/>
          <w:szCs w:val="26"/>
        </w:rPr>
        <w:t xml:space="preserve"> sino el expediente administrativo</w:t>
      </w:r>
      <w:r w:rsidR="00AD23A9">
        <w:rPr>
          <w:rFonts w:ascii="Arial" w:hAnsi="Arial" w:cs="Arial"/>
          <w:sz w:val="26"/>
          <w:szCs w:val="26"/>
        </w:rPr>
        <w:t>.- - - - - - - - - - - - - - - - - - - - - - - - - - - - -</w:t>
      </w:r>
      <w:r w:rsidR="00502F2D">
        <w:rPr>
          <w:rFonts w:ascii="Arial" w:hAnsi="Arial" w:cs="Arial"/>
          <w:sz w:val="26"/>
          <w:szCs w:val="26"/>
        </w:rPr>
        <w:t xml:space="preserve"> - - - </w:t>
      </w:r>
      <w:r w:rsidR="00B62FE4">
        <w:rPr>
          <w:rFonts w:ascii="Arial" w:hAnsi="Arial" w:cs="Arial"/>
          <w:sz w:val="26"/>
          <w:szCs w:val="26"/>
        </w:rPr>
        <w:t xml:space="preserve">- </w:t>
      </w:r>
    </w:p>
    <w:p w14:paraId="6CB1BE8C" w14:textId="2FADC498" w:rsidR="00B62FE4" w:rsidRDefault="00502F2D" w:rsidP="00E62248">
      <w:pPr>
        <w:spacing w:before="240" w:line="360" w:lineRule="auto"/>
        <w:ind w:right="49" w:firstLine="708"/>
        <w:jc w:val="both"/>
        <w:rPr>
          <w:rFonts w:ascii="Arial" w:hAnsi="Arial" w:cs="Arial"/>
          <w:sz w:val="26"/>
          <w:szCs w:val="26"/>
        </w:rPr>
      </w:pPr>
      <w:r>
        <w:rPr>
          <w:rFonts w:ascii="Arial" w:hAnsi="Arial" w:cs="Arial"/>
          <w:sz w:val="26"/>
          <w:szCs w:val="26"/>
        </w:rPr>
        <w:t xml:space="preserve">Esta primera parte de sus alegaciones son </w:t>
      </w:r>
      <w:r w:rsidRPr="00502F2D">
        <w:rPr>
          <w:rFonts w:ascii="Arial" w:hAnsi="Arial" w:cs="Arial"/>
          <w:b/>
          <w:sz w:val="26"/>
          <w:szCs w:val="26"/>
        </w:rPr>
        <w:t>inoperantes</w:t>
      </w:r>
      <w:r>
        <w:rPr>
          <w:rFonts w:ascii="Arial" w:hAnsi="Arial" w:cs="Arial"/>
          <w:sz w:val="26"/>
          <w:szCs w:val="26"/>
        </w:rPr>
        <w:t xml:space="preserve"> al no controvertir la raz</w:t>
      </w:r>
      <w:r w:rsidR="0077583D">
        <w:rPr>
          <w:rFonts w:ascii="Arial" w:hAnsi="Arial" w:cs="Arial"/>
          <w:sz w:val="26"/>
          <w:szCs w:val="26"/>
        </w:rPr>
        <w:t>ó</w:t>
      </w:r>
      <w:r>
        <w:rPr>
          <w:rFonts w:ascii="Arial" w:hAnsi="Arial" w:cs="Arial"/>
          <w:sz w:val="26"/>
          <w:szCs w:val="26"/>
        </w:rPr>
        <w:t xml:space="preserve">n toral que tuvo la Primera Instancia para </w:t>
      </w:r>
      <w:r w:rsidR="0077583D">
        <w:rPr>
          <w:rFonts w:ascii="Arial" w:hAnsi="Arial" w:cs="Arial"/>
          <w:sz w:val="26"/>
          <w:szCs w:val="26"/>
        </w:rPr>
        <w:t xml:space="preserve">determinar </w:t>
      </w:r>
      <w:r>
        <w:rPr>
          <w:rFonts w:ascii="Arial" w:hAnsi="Arial" w:cs="Arial"/>
          <w:sz w:val="26"/>
          <w:szCs w:val="26"/>
        </w:rPr>
        <w:t>no admitir la prueba</w:t>
      </w:r>
      <w:r w:rsidR="00277AD0">
        <w:rPr>
          <w:rFonts w:ascii="Arial" w:hAnsi="Arial" w:cs="Arial"/>
          <w:sz w:val="26"/>
          <w:szCs w:val="26"/>
        </w:rPr>
        <w:t xml:space="preserve"> de referencia, </w:t>
      </w:r>
      <w:r w:rsidR="0077583D">
        <w:rPr>
          <w:rFonts w:ascii="Arial" w:hAnsi="Arial" w:cs="Arial"/>
          <w:sz w:val="26"/>
          <w:szCs w:val="26"/>
        </w:rPr>
        <w:t>consistente en que no acreditó conforme lo prevé el artículo 191 de la Ley de Procedimiento y Justicia Administrativa para el Estado de Oaxaca, que previ</w:t>
      </w:r>
      <w:r w:rsidR="00F30440">
        <w:rPr>
          <w:rFonts w:ascii="Arial" w:hAnsi="Arial" w:cs="Arial"/>
          <w:sz w:val="26"/>
          <w:szCs w:val="26"/>
        </w:rPr>
        <w:t>o</w:t>
      </w:r>
      <w:r w:rsidR="0077583D">
        <w:rPr>
          <w:rFonts w:ascii="Arial" w:hAnsi="Arial" w:cs="Arial"/>
          <w:sz w:val="26"/>
          <w:szCs w:val="26"/>
        </w:rPr>
        <w:t xml:space="preserve"> a la presentación de su demanda solicitó ante la autoridad la documental que ofrece y que </w:t>
      </w:r>
      <w:r w:rsidR="00277AD0">
        <w:rPr>
          <w:rFonts w:ascii="Arial" w:hAnsi="Arial" w:cs="Arial"/>
          <w:sz w:val="26"/>
          <w:szCs w:val="26"/>
        </w:rPr>
        <w:t>é</w:t>
      </w:r>
      <w:r w:rsidR="0077583D">
        <w:rPr>
          <w:rFonts w:ascii="Arial" w:hAnsi="Arial" w:cs="Arial"/>
          <w:sz w:val="26"/>
          <w:szCs w:val="26"/>
        </w:rPr>
        <w:t>st</w:t>
      </w:r>
      <w:r w:rsidR="00F30382">
        <w:rPr>
          <w:rFonts w:ascii="Arial" w:hAnsi="Arial" w:cs="Arial"/>
          <w:sz w:val="26"/>
          <w:szCs w:val="26"/>
        </w:rPr>
        <w:t>a</w:t>
      </w:r>
      <w:r w:rsidR="0077583D">
        <w:rPr>
          <w:rFonts w:ascii="Arial" w:hAnsi="Arial" w:cs="Arial"/>
          <w:sz w:val="26"/>
          <w:szCs w:val="26"/>
        </w:rPr>
        <w:t xml:space="preserve"> le fue negado; </w:t>
      </w:r>
      <w:r w:rsidR="00EB7C7D">
        <w:rPr>
          <w:rFonts w:ascii="Arial" w:hAnsi="Arial" w:cs="Arial"/>
          <w:sz w:val="26"/>
          <w:szCs w:val="26"/>
        </w:rPr>
        <w:t xml:space="preserve">pues con sus alegaciones únicamente se concreta a señalar que dicho artículo es inaplicable, realizando una interpretación incorrecta del contenido del </w:t>
      </w:r>
      <w:r w:rsidR="0006521A">
        <w:rPr>
          <w:rFonts w:ascii="Arial" w:hAnsi="Arial" w:cs="Arial"/>
          <w:sz w:val="26"/>
          <w:szCs w:val="26"/>
        </w:rPr>
        <w:t>mismo, pues indica que é</w:t>
      </w:r>
      <w:r w:rsidR="00EB7C7D">
        <w:rPr>
          <w:rFonts w:ascii="Arial" w:hAnsi="Arial" w:cs="Arial"/>
          <w:sz w:val="26"/>
          <w:szCs w:val="26"/>
        </w:rPr>
        <w:t xml:space="preserve">ste se refiere a aquellas pruebas que se encuentren en poder de una autoridad diversa a la demandada, consideración que no es acertada, porque el dispositivo legal señala </w:t>
      </w:r>
      <w:r w:rsidR="00F30382">
        <w:rPr>
          <w:rFonts w:ascii="Arial" w:hAnsi="Arial" w:cs="Arial"/>
          <w:sz w:val="26"/>
          <w:szCs w:val="26"/>
        </w:rPr>
        <w:t>“</w:t>
      </w:r>
      <w:r w:rsidR="00F30382" w:rsidRPr="00F30382">
        <w:rPr>
          <w:rFonts w:ascii="Arial" w:hAnsi="Arial" w:cs="Arial"/>
        </w:rPr>
        <w:t>L</w:t>
      </w:r>
      <w:r w:rsidR="00EB7C7D" w:rsidRPr="00F30382">
        <w:rPr>
          <w:rFonts w:ascii="Arial" w:hAnsi="Arial" w:cs="Arial"/>
        </w:rPr>
        <w:t xml:space="preserve">os </w:t>
      </w:r>
      <w:r w:rsidR="00F30382" w:rsidRPr="00F30382">
        <w:rPr>
          <w:rFonts w:ascii="Arial" w:hAnsi="Arial" w:cs="Arial"/>
        </w:rPr>
        <w:t>S</w:t>
      </w:r>
      <w:r w:rsidR="00EB7C7D" w:rsidRPr="00F30382">
        <w:rPr>
          <w:rFonts w:ascii="Arial" w:hAnsi="Arial" w:cs="Arial"/>
        </w:rPr>
        <w:t xml:space="preserve">ervidores </w:t>
      </w:r>
      <w:r w:rsidR="00F30382" w:rsidRPr="00F30382">
        <w:rPr>
          <w:rFonts w:ascii="Arial" w:hAnsi="Arial" w:cs="Arial"/>
        </w:rPr>
        <w:t>P</w:t>
      </w:r>
      <w:r w:rsidR="00EB7C7D" w:rsidRPr="00F30382">
        <w:rPr>
          <w:rFonts w:ascii="Arial" w:hAnsi="Arial" w:cs="Arial"/>
        </w:rPr>
        <w:t>úblicos o autoridades</w:t>
      </w:r>
      <w:r w:rsidR="00F30382">
        <w:rPr>
          <w:rFonts w:ascii="Arial" w:hAnsi="Arial" w:cs="Arial"/>
          <w:sz w:val="26"/>
          <w:szCs w:val="26"/>
        </w:rPr>
        <w:t>”</w:t>
      </w:r>
      <w:r w:rsidR="00EB7C7D">
        <w:rPr>
          <w:rFonts w:ascii="Arial" w:hAnsi="Arial" w:cs="Arial"/>
          <w:sz w:val="26"/>
          <w:szCs w:val="26"/>
        </w:rPr>
        <w:t xml:space="preserve"> </w:t>
      </w:r>
      <w:r w:rsidR="00B64A23">
        <w:rPr>
          <w:rFonts w:ascii="Arial" w:hAnsi="Arial" w:cs="Arial"/>
          <w:sz w:val="26"/>
          <w:szCs w:val="26"/>
        </w:rPr>
        <w:t xml:space="preserve">es decir, hace referencia </w:t>
      </w:r>
      <w:r w:rsidR="00EB7C7D">
        <w:rPr>
          <w:rFonts w:ascii="Arial" w:hAnsi="Arial" w:cs="Arial"/>
          <w:sz w:val="26"/>
          <w:szCs w:val="26"/>
        </w:rPr>
        <w:t>en general, sean las demanda</w:t>
      </w:r>
      <w:r w:rsidR="0006521A">
        <w:rPr>
          <w:rFonts w:ascii="Arial" w:hAnsi="Arial" w:cs="Arial"/>
          <w:sz w:val="26"/>
          <w:szCs w:val="26"/>
        </w:rPr>
        <w:t>da</w:t>
      </w:r>
      <w:r w:rsidR="00EB7C7D">
        <w:rPr>
          <w:rFonts w:ascii="Arial" w:hAnsi="Arial" w:cs="Arial"/>
          <w:sz w:val="26"/>
          <w:szCs w:val="26"/>
        </w:rPr>
        <w:t>s o terceros</w:t>
      </w:r>
      <w:r w:rsidR="00B62FE4">
        <w:rPr>
          <w:rFonts w:ascii="Arial" w:hAnsi="Arial" w:cs="Arial"/>
          <w:sz w:val="26"/>
          <w:szCs w:val="26"/>
        </w:rPr>
        <w:t xml:space="preserve">.- - - - - - - - - - - </w:t>
      </w:r>
    </w:p>
    <w:p w14:paraId="275F76B2" w14:textId="36BE89F9" w:rsidR="0077583D" w:rsidRDefault="00B64A23" w:rsidP="00E62248">
      <w:pPr>
        <w:spacing w:before="240" w:line="360" w:lineRule="auto"/>
        <w:ind w:right="49" w:firstLine="708"/>
        <w:jc w:val="both"/>
        <w:rPr>
          <w:rFonts w:ascii="Arial" w:hAnsi="Arial" w:cs="Arial"/>
          <w:sz w:val="26"/>
          <w:szCs w:val="26"/>
        </w:rPr>
      </w:pPr>
      <w:r w:rsidRPr="00E62248">
        <w:rPr>
          <w:rFonts w:ascii="Arial" w:hAnsi="Arial" w:cs="Arial"/>
          <w:b/>
          <w:sz w:val="26"/>
          <w:szCs w:val="26"/>
        </w:rPr>
        <w:t>Por otra parte</w:t>
      </w:r>
      <w:r w:rsidR="00B62FE4" w:rsidRPr="00E62248">
        <w:rPr>
          <w:rFonts w:ascii="Arial" w:hAnsi="Arial" w:cs="Arial"/>
          <w:b/>
          <w:sz w:val="26"/>
          <w:szCs w:val="26"/>
        </w:rPr>
        <w:t xml:space="preserve"> </w:t>
      </w:r>
      <w:r w:rsidR="0077583D" w:rsidRPr="00E62248">
        <w:rPr>
          <w:rFonts w:ascii="Arial" w:hAnsi="Arial" w:cs="Arial"/>
          <w:b/>
          <w:sz w:val="26"/>
          <w:szCs w:val="26"/>
        </w:rPr>
        <w:t>señala</w:t>
      </w:r>
      <w:r w:rsidR="00E62248">
        <w:rPr>
          <w:rFonts w:ascii="Arial" w:hAnsi="Arial" w:cs="Arial"/>
          <w:sz w:val="26"/>
          <w:szCs w:val="26"/>
        </w:rPr>
        <w:t>,</w:t>
      </w:r>
      <w:r w:rsidR="0077583D">
        <w:rPr>
          <w:rFonts w:ascii="Arial" w:hAnsi="Arial" w:cs="Arial"/>
          <w:sz w:val="26"/>
          <w:szCs w:val="26"/>
        </w:rPr>
        <w:t xml:space="preserve"> que contrario a lo estimado por la Primera Instancia en el sentido de que previ</w:t>
      </w:r>
      <w:r w:rsidR="00F30440">
        <w:rPr>
          <w:rFonts w:ascii="Arial" w:hAnsi="Arial" w:cs="Arial"/>
          <w:sz w:val="26"/>
          <w:szCs w:val="26"/>
        </w:rPr>
        <w:t>o</w:t>
      </w:r>
      <w:r w:rsidR="0077583D">
        <w:rPr>
          <w:rFonts w:ascii="Arial" w:hAnsi="Arial" w:cs="Arial"/>
          <w:sz w:val="26"/>
          <w:szCs w:val="26"/>
        </w:rPr>
        <w:t xml:space="preserve"> a la presentación de la demanda debió solicitar ante la autoridad los documentos ofrecidos como prueba, carece de razón al realizar un análisis parcial de las documentales que obran en el expediente primigenio, pues admitió como prueba de su parte el escrito de trece de noviembre de dos mil veinte con el que se int</w:t>
      </w:r>
      <w:r w:rsidR="00B62FE4">
        <w:rPr>
          <w:rFonts w:ascii="Arial" w:hAnsi="Arial" w:cs="Arial"/>
          <w:sz w:val="26"/>
          <w:szCs w:val="26"/>
        </w:rPr>
        <w:t>erpuso recurso de revocación y de</w:t>
      </w:r>
      <w:r w:rsidR="0077583D">
        <w:rPr>
          <w:rFonts w:ascii="Arial" w:hAnsi="Arial" w:cs="Arial"/>
          <w:sz w:val="26"/>
          <w:szCs w:val="26"/>
        </w:rPr>
        <w:t xml:space="preserve"> dicho ocurso se puede advertir que el contexto de la impugnación, fue que los actos de la autoridad que originaron la resolución recurrida no fueron debidamente notificados y derivado de ello, se solicitaron los documentos desconocidos; de ahí que</w:t>
      </w:r>
      <w:r w:rsidR="00B62FE4">
        <w:rPr>
          <w:rFonts w:ascii="Arial" w:hAnsi="Arial" w:cs="Arial"/>
          <w:sz w:val="26"/>
          <w:szCs w:val="26"/>
        </w:rPr>
        <w:t>,</w:t>
      </w:r>
      <w:r w:rsidR="0077583D">
        <w:rPr>
          <w:rFonts w:ascii="Arial" w:hAnsi="Arial" w:cs="Arial"/>
          <w:sz w:val="26"/>
          <w:szCs w:val="26"/>
        </w:rPr>
        <w:t xml:space="preserve"> los actos desconocidos se solicitaron a la autoridad en sede administrativa previó a la presentación de la demanda, siendo así el acuse correspondiente el escrito de interposición de recurso de trece de noviembre de dos mil veinte.- - - - - - - - - - - - - - - - - - - - - - - - - - - - - - - </w:t>
      </w:r>
    </w:p>
    <w:p w14:paraId="206FBDA0" w14:textId="4D90D9AB" w:rsidR="005810E9" w:rsidRDefault="00B62FE4" w:rsidP="00E62248">
      <w:pPr>
        <w:spacing w:before="240" w:line="360" w:lineRule="auto"/>
        <w:ind w:right="49" w:firstLine="708"/>
        <w:jc w:val="both"/>
        <w:rPr>
          <w:rFonts w:ascii="Arial" w:hAnsi="Arial" w:cs="Arial"/>
          <w:sz w:val="26"/>
          <w:szCs w:val="26"/>
        </w:rPr>
      </w:pPr>
      <w:r>
        <w:rPr>
          <w:rFonts w:ascii="Arial" w:hAnsi="Arial" w:cs="Arial"/>
          <w:sz w:val="26"/>
          <w:szCs w:val="26"/>
        </w:rPr>
        <w:t xml:space="preserve">Esta parte de sus alegaciones </w:t>
      </w:r>
      <w:r w:rsidR="005810E9">
        <w:rPr>
          <w:rFonts w:ascii="Arial" w:hAnsi="Arial" w:cs="Arial"/>
          <w:sz w:val="26"/>
          <w:szCs w:val="26"/>
        </w:rPr>
        <w:t xml:space="preserve">también </w:t>
      </w:r>
      <w:r w:rsidR="00E62248">
        <w:rPr>
          <w:rFonts w:ascii="Arial" w:hAnsi="Arial" w:cs="Arial"/>
          <w:sz w:val="26"/>
          <w:szCs w:val="26"/>
        </w:rPr>
        <w:t>e</w:t>
      </w:r>
      <w:r w:rsidR="005810E9">
        <w:rPr>
          <w:rFonts w:ascii="Arial" w:eastAsia="Times New Roman" w:hAnsi="Arial" w:cs="Arial"/>
          <w:sz w:val="26"/>
          <w:szCs w:val="26"/>
        </w:rPr>
        <w:t xml:space="preserve">s </w:t>
      </w:r>
      <w:r w:rsidR="005810E9" w:rsidRPr="009D5BB4">
        <w:rPr>
          <w:rFonts w:ascii="Arial" w:hAnsi="Arial" w:cs="Arial"/>
          <w:b/>
          <w:sz w:val="26"/>
          <w:szCs w:val="26"/>
        </w:rPr>
        <w:t>in</w:t>
      </w:r>
      <w:r w:rsidR="005810E9">
        <w:rPr>
          <w:rFonts w:ascii="Arial" w:hAnsi="Arial" w:cs="Arial"/>
          <w:b/>
          <w:sz w:val="26"/>
          <w:szCs w:val="26"/>
        </w:rPr>
        <w:t>operante</w:t>
      </w:r>
      <w:r w:rsidR="00E62248">
        <w:rPr>
          <w:rFonts w:ascii="Arial" w:hAnsi="Arial" w:cs="Arial"/>
          <w:sz w:val="26"/>
          <w:szCs w:val="26"/>
        </w:rPr>
        <w:t>, al encontrarse construida</w:t>
      </w:r>
      <w:r w:rsidR="005810E9">
        <w:rPr>
          <w:rFonts w:ascii="Arial" w:hAnsi="Arial" w:cs="Arial"/>
          <w:sz w:val="26"/>
          <w:szCs w:val="26"/>
        </w:rPr>
        <w:t xml:space="preserve"> en una premisa falsa, pues contrario a lo argüido, el escrito de trece de noviembre de dos mil veinte con el que interpuso recurso de revocación</w:t>
      </w:r>
      <w:r w:rsidR="004C6EFD" w:rsidRPr="004C6EFD">
        <w:rPr>
          <w:rFonts w:ascii="Arial" w:hAnsi="Arial" w:cs="Arial"/>
          <w:sz w:val="26"/>
          <w:szCs w:val="26"/>
        </w:rPr>
        <w:t xml:space="preserve"> </w:t>
      </w:r>
      <w:r w:rsidR="004C6EFD">
        <w:rPr>
          <w:rFonts w:ascii="Arial" w:hAnsi="Arial" w:cs="Arial"/>
          <w:sz w:val="26"/>
          <w:szCs w:val="26"/>
        </w:rPr>
        <w:t>ante la autoridad administrativa</w:t>
      </w:r>
      <w:r w:rsidR="005810E9">
        <w:rPr>
          <w:rFonts w:ascii="Arial" w:hAnsi="Arial" w:cs="Arial"/>
          <w:sz w:val="26"/>
          <w:szCs w:val="26"/>
        </w:rPr>
        <w:t>, no puede considerarse como el acuse de recibo que justifique que previ</w:t>
      </w:r>
      <w:r w:rsidR="00F30440">
        <w:rPr>
          <w:rFonts w:ascii="Arial" w:hAnsi="Arial" w:cs="Arial"/>
          <w:sz w:val="26"/>
          <w:szCs w:val="26"/>
        </w:rPr>
        <w:t>o</w:t>
      </w:r>
      <w:r w:rsidR="005810E9">
        <w:rPr>
          <w:rFonts w:ascii="Arial" w:hAnsi="Arial" w:cs="Arial"/>
          <w:sz w:val="26"/>
          <w:szCs w:val="26"/>
        </w:rPr>
        <w:t xml:space="preserve"> a la presentación de la demanda solicitó ante la autoridad copias del expediente administrativo que ofreció como prueba</w:t>
      </w:r>
      <w:r w:rsidR="00B64A23">
        <w:rPr>
          <w:rFonts w:ascii="Arial" w:hAnsi="Arial" w:cs="Arial"/>
          <w:sz w:val="26"/>
          <w:szCs w:val="26"/>
        </w:rPr>
        <w:t>, pues como el propio documento l</w:t>
      </w:r>
      <w:r w:rsidR="00E62248">
        <w:rPr>
          <w:rFonts w:ascii="Arial" w:hAnsi="Arial" w:cs="Arial"/>
          <w:sz w:val="26"/>
          <w:szCs w:val="26"/>
        </w:rPr>
        <w:t>o refiriere y el actor lo señaló</w:t>
      </w:r>
      <w:r w:rsidR="00B64A23">
        <w:rPr>
          <w:rFonts w:ascii="Arial" w:hAnsi="Arial" w:cs="Arial"/>
          <w:sz w:val="26"/>
          <w:szCs w:val="26"/>
        </w:rPr>
        <w:t>, ese ocurso es el</w:t>
      </w:r>
      <w:r w:rsidR="00E62248">
        <w:rPr>
          <w:rFonts w:ascii="Arial" w:hAnsi="Arial" w:cs="Arial"/>
          <w:sz w:val="26"/>
          <w:szCs w:val="26"/>
        </w:rPr>
        <w:t xml:space="preserve"> escrito con </w:t>
      </w:r>
      <w:r w:rsidR="00E62248">
        <w:rPr>
          <w:rFonts w:ascii="Arial" w:hAnsi="Arial" w:cs="Arial"/>
          <w:sz w:val="26"/>
          <w:szCs w:val="26"/>
        </w:rPr>
        <w:lastRenderedPageBreak/>
        <w:t>el que se interpuso</w:t>
      </w:r>
      <w:r w:rsidR="00B64A23">
        <w:rPr>
          <w:rFonts w:ascii="Arial" w:hAnsi="Arial" w:cs="Arial"/>
          <w:sz w:val="26"/>
          <w:szCs w:val="26"/>
        </w:rPr>
        <w:t xml:space="preserve"> un medio de defensa y no en el que se realizó determinada solicitud</w:t>
      </w:r>
      <w:r w:rsidR="005810E9">
        <w:rPr>
          <w:rFonts w:ascii="Arial" w:hAnsi="Arial" w:cs="Arial"/>
          <w:sz w:val="26"/>
          <w:szCs w:val="26"/>
        </w:rPr>
        <w:t>; por lo que, a ningún fin práctico conduciría su estudio, ya que al proceder de una suposición equivocada, su conclusión es ineficaz para obtener lo pretendido (revocación del auto)</w:t>
      </w:r>
      <w:r w:rsidR="00A7403E">
        <w:rPr>
          <w:rFonts w:ascii="Arial" w:hAnsi="Arial" w:cs="Arial"/>
          <w:sz w:val="26"/>
          <w:szCs w:val="26"/>
        </w:rPr>
        <w:t>.</w:t>
      </w:r>
      <w:r w:rsidR="00B063B0">
        <w:rPr>
          <w:rFonts w:ascii="Arial" w:hAnsi="Arial" w:cs="Arial"/>
          <w:sz w:val="26"/>
          <w:szCs w:val="26"/>
        </w:rPr>
        <w:t xml:space="preserve"> </w:t>
      </w:r>
      <w:r w:rsidR="005810E9">
        <w:rPr>
          <w:rFonts w:ascii="Arial" w:hAnsi="Arial" w:cs="Arial"/>
          <w:sz w:val="26"/>
          <w:szCs w:val="26"/>
        </w:rPr>
        <w:t xml:space="preserve">Sirve de sustento a lo anterior el criterio jurisprudencia de rubro y texto siguientes:- - - - - - - - - - - - - - - - - - - - - - </w:t>
      </w:r>
      <w:r w:rsidR="00B64A23">
        <w:rPr>
          <w:rFonts w:ascii="Arial" w:hAnsi="Arial" w:cs="Arial"/>
          <w:sz w:val="26"/>
          <w:szCs w:val="26"/>
        </w:rPr>
        <w:t xml:space="preserve">- - - - - - - - - - - - - - - - - - - - - - </w:t>
      </w:r>
    </w:p>
    <w:p w14:paraId="79CA782A" w14:textId="77777777" w:rsidR="005810E9" w:rsidRPr="006F0E68" w:rsidRDefault="005810E9" w:rsidP="006F0E68">
      <w:pPr>
        <w:spacing w:before="240" w:line="276" w:lineRule="auto"/>
        <w:ind w:left="1134" w:right="474"/>
        <w:jc w:val="both"/>
        <w:rPr>
          <w:rFonts w:ascii="Arial" w:hAnsi="Arial" w:cs="Arial"/>
          <w:i/>
          <w:iCs/>
          <w:sz w:val="24"/>
          <w:szCs w:val="24"/>
        </w:rPr>
      </w:pPr>
      <w:r w:rsidRPr="006F0E68">
        <w:rPr>
          <w:rFonts w:ascii="Arial" w:hAnsi="Arial" w:cs="Arial"/>
          <w:i/>
          <w:iCs/>
          <w:sz w:val="24"/>
          <w:szCs w:val="24"/>
        </w:rPr>
        <w:t>“</w:t>
      </w:r>
      <w:r w:rsidRPr="006F0E68">
        <w:rPr>
          <w:rFonts w:ascii="Arial" w:hAnsi="Arial" w:cs="Arial"/>
          <w:b/>
          <w:i/>
          <w:iCs/>
          <w:sz w:val="24"/>
          <w:szCs w:val="24"/>
        </w:rPr>
        <w:t xml:space="preserve">CONCEPTOS DE VIOLACIÓN INOPERANTES. LO SON AQUELLOS QUE TIENEN COMO SUSTENTO UN POSTULADO NO VERÍDICO [APLICACIÓN ANALÓGICA DE LA JURISPRUDENCIA 2a./J. 108/2012 (10a.)]. </w:t>
      </w:r>
      <w:r w:rsidRPr="006F0E68">
        <w:rPr>
          <w:rFonts w:ascii="Arial" w:hAnsi="Arial" w:cs="Arial"/>
          <w:i/>
          <w:iCs/>
          <w:sz w:val="24"/>
          <w:szCs w:val="24"/>
        </w:rPr>
        <w:t>La Segunda Sala de la Suprema Corte de Justicia de la Nación, en la jurisprudencia en cita, determinó que los agravios cuya construcción parte de premisas falsas son inoperantes, ya que a ningún fin práctico conduciría su estudio pues, al partir de una suposición no verdadera, su conclusión es ineficaz para obtener la revocación de la sentencia recurrida; principio que aplica a los conceptos de violación cuyo sustento es un postulado que resultó no verídico; de ahí que sea ocioso su análisis y, por ende, merecen el calificativo de inoperantes</w:t>
      </w:r>
      <w:r w:rsidRPr="006F0E68">
        <w:rPr>
          <w:rFonts w:ascii="Arial" w:eastAsia="Times New Roman" w:hAnsi="Arial"/>
          <w:i/>
          <w:iCs/>
          <w:color w:val="000000" w:themeColor="text1"/>
          <w:sz w:val="24"/>
          <w:szCs w:val="24"/>
        </w:rPr>
        <w:t>.</w:t>
      </w:r>
      <w:r w:rsidRPr="006F0E68">
        <w:rPr>
          <w:rFonts w:ascii="Arial" w:eastAsia="Calibri" w:hAnsi="Arial" w:cs="Arial"/>
          <w:bCs/>
          <w:i/>
          <w:iCs/>
          <w:color w:val="000000" w:themeColor="text1"/>
          <w:sz w:val="24"/>
          <w:szCs w:val="24"/>
        </w:rPr>
        <w:t>”</w:t>
      </w:r>
      <w:r w:rsidRPr="006F0E68">
        <w:rPr>
          <w:rStyle w:val="Refdenotaalpie"/>
          <w:rFonts w:ascii="Arial" w:hAnsi="Arial" w:cs="Arial"/>
          <w:i/>
          <w:iCs/>
          <w:sz w:val="24"/>
          <w:szCs w:val="24"/>
        </w:rPr>
        <w:footnoteReference w:id="2"/>
      </w:r>
      <w:r w:rsidRPr="006F0E68">
        <w:rPr>
          <w:rFonts w:ascii="Arial" w:hAnsi="Arial" w:cs="Arial"/>
          <w:i/>
          <w:iCs/>
          <w:sz w:val="24"/>
          <w:szCs w:val="24"/>
        </w:rPr>
        <w:t>.</w:t>
      </w:r>
    </w:p>
    <w:p w14:paraId="36C3040B" w14:textId="33CAE3AD" w:rsidR="008504E8" w:rsidRDefault="00B063B0" w:rsidP="00E62248">
      <w:pPr>
        <w:spacing w:before="240" w:line="360" w:lineRule="auto"/>
        <w:ind w:right="49" w:firstLine="708"/>
        <w:jc w:val="both"/>
        <w:rPr>
          <w:rFonts w:ascii="Arial" w:hAnsi="Arial" w:cs="Arial"/>
          <w:sz w:val="26"/>
          <w:szCs w:val="26"/>
        </w:rPr>
      </w:pPr>
      <w:r>
        <w:rPr>
          <w:rFonts w:ascii="Arial" w:hAnsi="Arial" w:cs="Arial"/>
          <w:sz w:val="26"/>
          <w:szCs w:val="26"/>
        </w:rPr>
        <w:t>Aunado a lo anterior resulta trascendental destacar</w:t>
      </w:r>
      <w:r w:rsidR="0068543C">
        <w:rPr>
          <w:rFonts w:ascii="Arial" w:hAnsi="Arial" w:cs="Arial"/>
          <w:sz w:val="26"/>
          <w:szCs w:val="26"/>
        </w:rPr>
        <w:t>,</w:t>
      </w:r>
      <w:r>
        <w:rPr>
          <w:rFonts w:ascii="Arial" w:hAnsi="Arial" w:cs="Arial"/>
          <w:sz w:val="26"/>
          <w:szCs w:val="26"/>
        </w:rPr>
        <w:t xml:space="preserve"> que por auto de veinticinco de mayo de dos mil veintiuno la Primera Instancia de manera expresa requirió al aquí recurrente para que exhibiera el expediente administrativo o bien el acuse de recibo por medio del cual solicitó las copias de dicho documento ante la autoridad, previo a la presentación de la demanda, apercibiéndolo que de no cumplir se acordaría lo procedente respecto a sus pruebas, de acuerdo con lo dispuesto por el artículo 179 de la Ley de Procedimiento y Justicia Administrativa para el Estado de Oaxaca</w:t>
      </w:r>
      <w:r>
        <w:rPr>
          <w:rStyle w:val="Refdenotaalpie"/>
          <w:rFonts w:ascii="Arial" w:hAnsi="Arial" w:cs="Arial"/>
          <w:sz w:val="26"/>
          <w:szCs w:val="26"/>
        </w:rPr>
        <w:footnoteReference w:id="3"/>
      </w:r>
      <w:r>
        <w:rPr>
          <w:rFonts w:ascii="Arial" w:hAnsi="Arial" w:cs="Arial"/>
          <w:sz w:val="26"/>
          <w:szCs w:val="26"/>
        </w:rPr>
        <w:t>, el cual es puntual en establecer que cuando no se anexen los documentos a que se refieren los artículos 177 y 178 de la Ley en cita, se deberá requerir al actor para que subsane las omisiones</w:t>
      </w:r>
      <w:r w:rsidR="00E62248">
        <w:rPr>
          <w:rFonts w:ascii="Arial" w:hAnsi="Arial" w:cs="Arial"/>
          <w:sz w:val="26"/>
          <w:szCs w:val="26"/>
        </w:rPr>
        <w:t xml:space="preserve">; por lo que derivado de ello, </w:t>
      </w:r>
      <w:r w:rsidR="008504E8">
        <w:rPr>
          <w:rFonts w:ascii="Arial" w:hAnsi="Arial" w:cs="Arial"/>
          <w:sz w:val="26"/>
          <w:szCs w:val="26"/>
        </w:rPr>
        <w:t xml:space="preserve">es que el </w:t>
      </w:r>
      <w:r w:rsidR="00E62248">
        <w:rPr>
          <w:rFonts w:ascii="Arial" w:hAnsi="Arial" w:cs="Arial"/>
          <w:sz w:val="26"/>
          <w:szCs w:val="26"/>
        </w:rPr>
        <w:t>A quo acordó lo que consideró</w:t>
      </w:r>
      <w:r w:rsidR="008504E8">
        <w:rPr>
          <w:rFonts w:ascii="Arial" w:hAnsi="Arial" w:cs="Arial"/>
          <w:sz w:val="26"/>
          <w:szCs w:val="26"/>
        </w:rPr>
        <w:t xml:space="preserve"> procedente en relación a sus pruebas.</w:t>
      </w:r>
      <w:r w:rsidR="0068543C">
        <w:rPr>
          <w:rFonts w:ascii="Arial" w:hAnsi="Arial" w:cs="Arial"/>
          <w:sz w:val="26"/>
          <w:szCs w:val="26"/>
        </w:rPr>
        <w:t xml:space="preserve">- - - - - </w:t>
      </w:r>
    </w:p>
    <w:p w14:paraId="47CD2AEA" w14:textId="07A47BB8" w:rsidR="004E39C3" w:rsidRDefault="004E39C3" w:rsidP="00E62248">
      <w:pPr>
        <w:spacing w:before="240" w:line="360" w:lineRule="auto"/>
        <w:ind w:right="49" w:firstLine="708"/>
        <w:jc w:val="both"/>
        <w:rPr>
          <w:rFonts w:ascii="Arial" w:hAnsi="Arial" w:cs="Arial"/>
          <w:sz w:val="26"/>
          <w:szCs w:val="26"/>
        </w:rPr>
      </w:pPr>
      <w:r>
        <w:rPr>
          <w:rFonts w:ascii="Arial" w:hAnsi="Arial" w:cs="Arial"/>
          <w:sz w:val="26"/>
          <w:szCs w:val="26"/>
        </w:rPr>
        <w:t>En mérito de lo anterior</w:t>
      </w:r>
      <w:r w:rsidR="008504E8">
        <w:rPr>
          <w:rFonts w:ascii="Arial" w:hAnsi="Arial" w:cs="Arial"/>
          <w:sz w:val="26"/>
          <w:szCs w:val="26"/>
        </w:rPr>
        <w:t xml:space="preserve"> y ante lo </w:t>
      </w:r>
      <w:r w:rsidR="008504E8">
        <w:rPr>
          <w:rFonts w:ascii="Arial" w:hAnsi="Arial" w:cs="Arial"/>
          <w:b/>
          <w:sz w:val="26"/>
          <w:szCs w:val="26"/>
        </w:rPr>
        <w:t>inoperante</w:t>
      </w:r>
      <w:r w:rsidR="008504E8">
        <w:rPr>
          <w:rFonts w:ascii="Arial" w:hAnsi="Arial" w:cs="Arial"/>
          <w:sz w:val="26"/>
          <w:szCs w:val="26"/>
        </w:rPr>
        <w:t xml:space="preserve"> de los agravios planteados, </w:t>
      </w:r>
      <w:r>
        <w:rPr>
          <w:rFonts w:ascii="Arial" w:hAnsi="Arial" w:cs="Arial"/>
          <w:sz w:val="26"/>
          <w:szCs w:val="26"/>
        </w:rPr>
        <w:t>con fundamento en los artículos 23</w:t>
      </w:r>
      <w:r w:rsidR="00E62248">
        <w:rPr>
          <w:rFonts w:ascii="Arial" w:hAnsi="Arial" w:cs="Arial"/>
          <w:sz w:val="26"/>
          <w:szCs w:val="26"/>
        </w:rPr>
        <w:t>6</w:t>
      </w:r>
      <w:r>
        <w:rPr>
          <w:rFonts w:ascii="Arial" w:hAnsi="Arial" w:cs="Arial"/>
          <w:sz w:val="26"/>
          <w:szCs w:val="26"/>
        </w:rPr>
        <w:t xml:space="preserve"> y 238 de la Ley de Procedimiento y Justicia Administrativa para el Estado de Oaxaca, se:- </w:t>
      </w:r>
    </w:p>
    <w:p w14:paraId="24F41C5D" w14:textId="77777777" w:rsidR="004E39C3" w:rsidRDefault="004E39C3" w:rsidP="00E62248">
      <w:pPr>
        <w:tabs>
          <w:tab w:val="left" w:pos="1134"/>
        </w:tabs>
        <w:spacing w:line="360" w:lineRule="auto"/>
        <w:ind w:right="49"/>
        <w:jc w:val="center"/>
        <w:rPr>
          <w:rFonts w:ascii="Arial" w:hAnsi="Arial" w:cs="Arial"/>
          <w:b/>
          <w:sz w:val="26"/>
          <w:szCs w:val="26"/>
        </w:rPr>
      </w:pPr>
      <w:r>
        <w:rPr>
          <w:rFonts w:ascii="Arial" w:hAnsi="Arial" w:cs="Arial"/>
          <w:b/>
          <w:sz w:val="26"/>
          <w:szCs w:val="26"/>
        </w:rPr>
        <w:lastRenderedPageBreak/>
        <w:t>R E S U E L V E</w:t>
      </w:r>
    </w:p>
    <w:p w14:paraId="43F0EEF5" w14:textId="5AAB66E7" w:rsidR="004E39C3" w:rsidRDefault="004E39C3" w:rsidP="00E62248">
      <w:pPr>
        <w:pStyle w:val="Textoindependiente21"/>
        <w:tabs>
          <w:tab w:val="left" w:pos="7938"/>
        </w:tabs>
        <w:spacing w:line="360" w:lineRule="auto"/>
        <w:ind w:right="49"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sidR="007F5927">
        <w:rPr>
          <w:rFonts w:ascii="Arial" w:hAnsi="Arial" w:cs="Arial"/>
          <w:b/>
          <w:sz w:val="26"/>
          <w:szCs w:val="26"/>
        </w:rPr>
        <w:t>CONFIRMA</w:t>
      </w:r>
      <w:r>
        <w:rPr>
          <w:rFonts w:ascii="Arial" w:hAnsi="Arial" w:cs="Arial"/>
          <w:b/>
          <w:sz w:val="26"/>
          <w:szCs w:val="26"/>
        </w:rPr>
        <w:t xml:space="preserve"> </w:t>
      </w:r>
      <w:r>
        <w:rPr>
          <w:rFonts w:ascii="Arial" w:hAnsi="Arial" w:cs="Arial"/>
          <w:sz w:val="26"/>
          <w:szCs w:val="26"/>
        </w:rPr>
        <w:t>el</w:t>
      </w:r>
      <w:r w:rsidR="007F5927">
        <w:rPr>
          <w:rFonts w:ascii="Arial" w:hAnsi="Arial" w:cs="Arial"/>
          <w:sz w:val="26"/>
          <w:szCs w:val="26"/>
        </w:rPr>
        <w:t xml:space="preserve"> acuerdo</w:t>
      </w:r>
      <w:r>
        <w:rPr>
          <w:rFonts w:ascii="Arial" w:hAnsi="Arial" w:cs="Arial"/>
          <w:sz w:val="26"/>
          <w:szCs w:val="26"/>
        </w:rPr>
        <w:t xml:space="preserve"> de </w:t>
      </w:r>
      <w:r w:rsidR="008504E8">
        <w:rPr>
          <w:rFonts w:ascii="Arial" w:hAnsi="Arial" w:cs="Arial"/>
          <w:sz w:val="26"/>
          <w:szCs w:val="26"/>
        </w:rPr>
        <w:t xml:space="preserve">seis </w:t>
      </w:r>
      <w:r>
        <w:rPr>
          <w:rFonts w:ascii="Arial" w:hAnsi="Arial" w:cs="Arial"/>
          <w:color w:val="000000"/>
          <w:sz w:val="26"/>
          <w:szCs w:val="26"/>
        </w:rPr>
        <w:t xml:space="preserve">de </w:t>
      </w:r>
      <w:r w:rsidR="008504E8">
        <w:rPr>
          <w:rFonts w:ascii="Arial" w:hAnsi="Arial" w:cs="Arial"/>
          <w:color w:val="000000"/>
          <w:sz w:val="26"/>
          <w:szCs w:val="26"/>
        </w:rPr>
        <w:t xml:space="preserve">julio </w:t>
      </w:r>
      <w:r>
        <w:rPr>
          <w:rFonts w:ascii="Arial" w:hAnsi="Arial" w:cs="Arial"/>
          <w:color w:val="000000"/>
          <w:sz w:val="26"/>
          <w:szCs w:val="26"/>
        </w:rPr>
        <w:t xml:space="preserve">de dos mil </w:t>
      </w:r>
      <w:r w:rsidR="008504E8">
        <w:rPr>
          <w:rFonts w:ascii="Arial" w:hAnsi="Arial" w:cs="Arial"/>
          <w:color w:val="000000"/>
          <w:sz w:val="26"/>
          <w:szCs w:val="26"/>
        </w:rPr>
        <w:t>veintiuno</w:t>
      </w:r>
      <w:r>
        <w:rPr>
          <w:rFonts w:ascii="Arial" w:hAnsi="Arial" w:cs="Arial"/>
          <w:sz w:val="26"/>
          <w:szCs w:val="26"/>
        </w:rPr>
        <w:t xml:space="preserve">, por las razones expuestas en el considerando que </w:t>
      </w:r>
      <w:r w:rsidR="007F5927">
        <w:rPr>
          <w:rFonts w:ascii="Arial" w:hAnsi="Arial" w:cs="Arial"/>
          <w:sz w:val="26"/>
          <w:szCs w:val="26"/>
        </w:rPr>
        <w:t xml:space="preserve">antecede. </w:t>
      </w:r>
    </w:p>
    <w:p w14:paraId="0D0BF84F" w14:textId="5E196634" w:rsidR="004E39C3" w:rsidRDefault="004E39C3" w:rsidP="00E62248">
      <w:pPr>
        <w:widowControl w:val="0"/>
        <w:tabs>
          <w:tab w:val="left" w:pos="0"/>
        </w:tabs>
        <w:spacing w:before="240" w:line="360" w:lineRule="auto"/>
        <w:ind w:right="49"/>
        <w:jc w:val="both"/>
        <w:rPr>
          <w:rFonts w:ascii="Arial" w:hAnsi="Arial" w:cs="Arial"/>
          <w:sz w:val="26"/>
          <w:szCs w:val="26"/>
        </w:rPr>
      </w:pPr>
      <w:r>
        <w:rPr>
          <w:rFonts w:ascii="Arial" w:hAnsi="Arial" w:cs="Arial"/>
          <w:b/>
          <w:sz w:val="26"/>
          <w:szCs w:val="26"/>
        </w:rPr>
        <w:tab/>
        <w:t xml:space="preserve">SEGUNDO. </w:t>
      </w:r>
      <w:r w:rsidR="007F5927">
        <w:rPr>
          <w:rFonts w:ascii="Arial" w:hAnsi="Arial" w:cs="Arial"/>
          <w:b/>
          <w:sz w:val="26"/>
          <w:szCs w:val="26"/>
        </w:rPr>
        <w:t>NOTIFÍQUESE Y CÚMPLASE</w:t>
      </w:r>
      <w:r w:rsidR="007F5927">
        <w:rPr>
          <w:rFonts w:ascii="Arial" w:hAnsi="Arial" w:cs="Arial"/>
          <w:sz w:val="26"/>
          <w:szCs w:val="26"/>
        </w:rPr>
        <w:t xml:space="preserve">, </w:t>
      </w:r>
      <w:r>
        <w:rPr>
          <w:rFonts w:ascii="Arial" w:hAnsi="Arial" w:cs="Arial"/>
          <w:sz w:val="26"/>
          <w:szCs w:val="26"/>
        </w:rPr>
        <w:t xml:space="preserve">remítase copia certificada de la presente resolución a la </w:t>
      </w:r>
      <w:r w:rsidR="008504E8">
        <w:rPr>
          <w:rFonts w:ascii="Arial" w:hAnsi="Arial" w:cs="Arial"/>
          <w:sz w:val="26"/>
          <w:szCs w:val="26"/>
        </w:rPr>
        <w:t xml:space="preserve">Primera </w:t>
      </w:r>
      <w:r>
        <w:rPr>
          <w:rFonts w:ascii="Arial" w:hAnsi="Arial" w:cs="Arial"/>
          <w:sz w:val="26"/>
          <w:szCs w:val="26"/>
        </w:rPr>
        <w:t xml:space="preserve">Sala Unitaria de Primera Instancia de este Tribunal y en su oportunidad archívese el cuaderno de revisión como asunto </w:t>
      </w:r>
      <w:r w:rsidR="007F5927">
        <w:rPr>
          <w:rFonts w:ascii="Arial" w:hAnsi="Arial" w:cs="Arial"/>
          <w:sz w:val="26"/>
          <w:szCs w:val="26"/>
        </w:rPr>
        <w:t>concluido. -</w:t>
      </w:r>
      <w:r>
        <w:rPr>
          <w:rFonts w:ascii="Arial" w:hAnsi="Arial" w:cs="Arial"/>
          <w:sz w:val="26"/>
          <w:szCs w:val="26"/>
        </w:rPr>
        <w:t xml:space="preserve"> - - - - - - - - - - - - - - - - - - </w:t>
      </w:r>
    </w:p>
    <w:p w14:paraId="1F41B73B" w14:textId="1E7E7CC3" w:rsidR="004E39C3" w:rsidRDefault="004E39C3" w:rsidP="00E62248">
      <w:pPr>
        <w:spacing w:line="360" w:lineRule="auto"/>
        <w:ind w:right="49"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7B6F4B">
        <w:rPr>
          <w:rFonts w:ascii="Arial" w:hAnsi="Arial" w:cs="Arial"/>
          <w:sz w:val="26"/>
          <w:szCs w:val="26"/>
        </w:rPr>
        <w:t xml:space="preserve">Integrantes de la Sala Superior </w:t>
      </w:r>
      <w:r>
        <w:rPr>
          <w:rFonts w:ascii="Arial" w:hAnsi="Arial" w:cs="Arial"/>
          <w:sz w:val="26"/>
          <w:szCs w:val="26"/>
        </w:rPr>
        <w:t>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w:t>
      </w:r>
    </w:p>
    <w:p w14:paraId="371F25AE" w14:textId="77777777" w:rsidR="004E39C3" w:rsidRDefault="004E39C3" w:rsidP="00E62248">
      <w:pPr>
        <w:spacing w:line="360" w:lineRule="auto"/>
        <w:ind w:right="49"/>
        <w:jc w:val="center"/>
        <w:rPr>
          <w:rFonts w:ascii="Arial" w:hAnsi="Arial" w:cs="Arial"/>
          <w:sz w:val="26"/>
          <w:szCs w:val="26"/>
        </w:rPr>
      </w:pPr>
    </w:p>
    <w:p w14:paraId="017806AF" w14:textId="77777777" w:rsidR="00307D59" w:rsidRDefault="00307D59" w:rsidP="00307D59">
      <w:pPr>
        <w:tabs>
          <w:tab w:val="left" w:pos="1680"/>
          <w:tab w:val="center" w:pos="4277"/>
        </w:tabs>
        <w:spacing w:line="360" w:lineRule="auto"/>
        <w:rPr>
          <w:rFonts w:ascii="Arial" w:hAnsi="Arial" w:cs="Arial"/>
          <w:sz w:val="26"/>
          <w:szCs w:val="26"/>
        </w:rPr>
      </w:pPr>
    </w:p>
    <w:p w14:paraId="1D5D8DE0" w14:textId="77777777" w:rsidR="00307D59" w:rsidRPr="00FE0D56" w:rsidRDefault="00307D59" w:rsidP="00307D59">
      <w:pPr>
        <w:tabs>
          <w:tab w:val="left" w:pos="1680"/>
          <w:tab w:val="center" w:pos="4277"/>
        </w:tabs>
        <w:spacing w:line="360" w:lineRule="auto"/>
        <w:jc w:val="center"/>
        <w:rPr>
          <w:rFonts w:ascii="Arial" w:hAnsi="Arial" w:cs="Arial"/>
          <w:sz w:val="26"/>
          <w:szCs w:val="26"/>
        </w:rPr>
      </w:pPr>
    </w:p>
    <w:p w14:paraId="29187CA7"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B72E7F0"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7238B0C9"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03E2FD9E"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36284DC5"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433C6152"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7E6E700F"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6DCDF784"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119D7DC4" w14:textId="77777777" w:rsidR="00307D59" w:rsidRDefault="00307D59" w:rsidP="00307D59">
      <w:pPr>
        <w:tabs>
          <w:tab w:val="center" w:pos="4135"/>
          <w:tab w:val="left" w:pos="7515"/>
        </w:tabs>
        <w:spacing w:after="0" w:line="240" w:lineRule="auto"/>
        <w:jc w:val="center"/>
        <w:rPr>
          <w:rFonts w:ascii="Arial" w:eastAsia="Times New Roman" w:hAnsi="Arial" w:cs="Arial"/>
          <w:sz w:val="26"/>
          <w:szCs w:val="26"/>
        </w:rPr>
      </w:pPr>
    </w:p>
    <w:p w14:paraId="61EE7096" w14:textId="77777777" w:rsidR="00307D59" w:rsidRDefault="00307D59" w:rsidP="00307D59">
      <w:pPr>
        <w:tabs>
          <w:tab w:val="center" w:pos="4135"/>
          <w:tab w:val="left" w:pos="7515"/>
        </w:tabs>
        <w:spacing w:line="360" w:lineRule="auto"/>
        <w:rPr>
          <w:rFonts w:ascii="Arial" w:eastAsia="Times New Roman" w:hAnsi="Arial" w:cs="Arial"/>
          <w:sz w:val="26"/>
          <w:szCs w:val="26"/>
        </w:rPr>
      </w:pPr>
    </w:p>
    <w:p w14:paraId="13622707"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77FE6AC"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40C137FD" w14:textId="77777777" w:rsidR="00307D59" w:rsidRPr="00171A7C" w:rsidRDefault="00307D59" w:rsidP="00307D59">
      <w:pPr>
        <w:tabs>
          <w:tab w:val="center" w:pos="4135"/>
          <w:tab w:val="left" w:pos="7515"/>
        </w:tabs>
        <w:spacing w:line="360" w:lineRule="auto"/>
        <w:rPr>
          <w:rFonts w:ascii="Arial" w:eastAsia="Times New Roman" w:hAnsi="Arial" w:cs="Arial"/>
          <w:b/>
          <w:bCs/>
          <w:sz w:val="16"/>
          <w:szCs w:val="16"/>
        </w:rPr>
      </w:pPr>
    </w:p>
    <w:p w14:paraId="0D1D8EF1"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4A9B0C0F" w14:textId="77777777" w:rsidR="00307D59" w:rsidRDefault="00307D59" w:rsidP="00307D59">
      <w:pPr>
        <w:tabs>
          <w:tab w:val="center" w:pos="4135"/>
          <w:tab w:val="left" w:pos="7515"/>
        </w:tabs>
        <w:spacing w:line="360" w:lineRule="auto"/>
        <w:rPr>
          <w:rFonts w:ascii="Arial" w:eastAsia="Times New Roman" w:hAnsi="Arial" w:cs="Arial"/>
          <w:sz w:val="26"/>
          <w:szCs w:val="26"/>
        </w:rPr>
      </w:pPr>
    </w:p>
    <w:p w14:paraId="392A82C7"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324DB847" w14:textId="7A3C9CDF" w:rsidR="00307D59" w:rsidRDefault="00307D59" w:rsidP="00957D19">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2305BCE4" w14:textId="07D72A8A" w:rsidR="00307D59" w:rsidRPr="00171A7C" w:rsidRDefault="00307D59" w:rsidP="00307D59">
      <w:pPr>
        <w:tabs>
          <w:tab w:val="center" w:pos="4135"/>
          <w:tab w:val="left" w:pos="7515"/>
        </w:tabs>
        <w:spacing w:line="360" w:lineRule="auto"/>
        <w:jc w:val="center"/>
        <w:rPr>
          <w:rFonts w:ascii="Arial" w:eastAsia="Times New Roman" w:hAnsi="Arial" w:cs="Arial"/>
          <w:b/>
          <w:bCs/>
          <w:sz w:val="16"/>
          <w:szCs w:val="1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337</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6AA338A2"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7D75EE9B" w14:textId="2E2C30E6"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705CB8A0" w14:textId="3023C07F" w:rsidR="00307D59" w:rsidRDefault="00307D59" w:rsidP="00307D59">
      <w:pPr>
        <w:tabs>
          <w:tab w:val="center" w:pos="4135"/>
          <w:tab w:val="left" w:pos="7515"/>
        </w:tabs>
        <w:spacing w:line="360" w:lineRule="auto"/>
        <w:jc w:val="center"/>
        <w:rPr>
          <w:rFonts w:ascii="Arial" w:eastAsia="Times New Roman" w:hAnsi="Arial" w:cs="Arial"/>
          <w:sz w:val="26"/>
          <w:szCs w:val="26"/>
        </w:rPr>
      </w:pPr>
      <w:bookmarkStart w:id="2" w:name="_GoBack"/>
      <w:bookmarkEnd w:id="2"/>
    </w:p>
    <w:p w14:paraId="669C910A"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7E050E62"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12C08B93" w14:textId="304FBCA7" w:rsidR="00307D59" w:rsidRDefault="00307D59" w:rsidP="00307D59">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7FB74F61"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366D394B"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173BD23B" w14:textId="77777777" w:rsidR="00307D59" w:rsidRDefault="00307D59" w:rsidP="00307D59">
      <w:pPr>
        <w:tabs>
          <w:tab w:val="center" w:pos="4135"/>
          <w:tab w:val="left" w:pos="7515"/>
        </w:tabs>
        <w:spacing w:line="360" w:lineRule="auto"/>
        <w:rPr>
          <w:rFonts w:ascii="Arial" w:eastAsia="Times New Roman" w:hAnsi="Arial" w:cs="Arial"/>
          <w:sz w:val="26"/>
          <w:szCs w:val="26"/>
        </w:rPr>
      </w:pPr>
    </w:p>
    <w:p w14:paraId="3E6BF32F"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p>
    <w:p w14:paraId="4E5D18BB" w14:textId="77777777" w:rsidR="00307D59" w:rsidRDefault="00307D59" w:rsidP="00307D59">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648AA2C9" w14:textId="77777777" w:rsidR="00307D59" w:rsidRDefault="00307D59" w:rsidP="00307D59">
      <w:pPr>
        <w:spacing w:after="0" w:line="240" w:lineRule="auto"/>
        <w:jc w:val="center"/>
        <w:rPr>
          <w:rFonts w:ascii="Arial" w:eastAsia="Times New Roman" w:hAnsi="Arial" w:cs="Arial"/>
          <w:sz w:val="26"/>
          <w:szCs w:val="26"/>
        </w:rPr>
      </w:pPr>
    </w:p>
    <w:p w14:paraId="3593E597" w14:textId="77777777" w:rsidR="00307D59" w:rsidRDefault="00307D59" w:rsidP="00307D59">
      <w:pPr>
        <w:spacing w:after="0" w:line="240" w:lineRule="auto"/>
        <w:jc w:val="center"/>
        <w:rPr>
          <w:rFonts w:ascii="Arial" w:eastAsia="Times New Roman" w:hAnsi="Arial" w:cs="Arial"/>
          <w:sz w:val="26"/>
          <w:szCs w:val="26"/>
        </w:rPr>
      </w:pPr>
    </w:p>
    <w:p w14:paraId="05DBB344" w14:textId="77777777" w:rsidR="00307D59" w:rsidRDefault="00307D59" w:rsidP="00307D59">
      <w:pPr>
        <w:spacing w:after="0" w:line="240" w:lineRule="auto"/>
        <w:jc w:val="center"/>
        <w:rPr>
          <w:rFonts w:ascii="Arial" w:eastAsia="Times New Roman" w:hAnsi="Arial" w:cs="Arial"/>
          <w:sz w:val="26"/>
          <w:szCs w:val="26"/>
        </w:rPr>
      </w:pPr>
    </w:p>
    <w:p w14:paraId="5878F046" w14:textId="77777777" w:rsidR="00307D59" w:rsidRDefault="00307D59" w:rsidP="00307D59">
      <w:pPr>
        <w:spacing w:after="0" w:line="240" w:lineRule="auto"/>
        <w:jc w:val="center"/>
        <w:rPr>
          <w:rFonts w:ascii="Arial" w:eastAsia="Times New Roman" w:hAnsi="Arial" w:cs="Arial"/>
          <w:sz w:val="26"/>
          <w:szCs w:val="26"/>
        </w:rPr>
      </w:pPr>
    </w:p>
    <w:p w14:paraId="32A68C97" w14:textId="77777777" w:rsidR="00307D59" w:rsidRDefault="00307D59" w:rsidP="00307D59">
      <w:pPr>
        <w:spacing w:after="0" w:line="240" w:lineRule="auto"/>
        <w:jc w:val="center"/>
        <w:rPr>
          <w:rFonts w:ascii="Arial" w:eastAsia="Times New Roman" w:hAnsi="Arial" w:cs="Arial"/>
          <w:sz w:val="26"/>
          <w:szCs w:val="26"/>
        </w:rPr>
      </w:pPr>
    </w:p>
    <w:p w14:paraId="3A6C4A8F" w14:textId="77777777" w:rsidR="00307D59" w:rsidRDefault="00307D59" w:rsidP="00307D59">
      <w:pPr>
        <w:spacing w:after="0" w:line="240" w:lineRule="auto"/>
        <w:jc w:val="center"/>
        <w:rPr>
          <w:rFonts w:ascii="Arial" w:eastAsia="Times New Roman" w:hAnsi="Arial" w:cs="Arial"/>
          <w:sz w:val="26"/>
          <w:szCs w:val="26"/>
        </w:rPr>
      </w:pPr>
    </w:p>
    <w:p w14:paraId="67751149" w14:textId="77777777" w:rsidR="00307D59" w:rsidRDefault="00307D59" w:rsidP="00307D59">
      <w:pPr>
        <w:spacing w:after="0" w:line="240" w:lineRule="auto"/>
        <w:jc w:val="center"/>
        <w:rPr>
          <w:rFonts w:ascii="Arial" w:eastAsia="Times New Roman" w:hAnsi="Arial" w:cs="Arial"/>
          <w:sz w:val="26"/>
          <w:szCs w:val="26"/>
        </w:rPr>
      </w:pPr>
    </w:p>
    <w:p w14:paraId="11250659" w14:textId="77777777" w:rsidR="00307D59" w:rsidRDefault="00307D59" w:rsidP="00307D59">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54713C3A" w14:textId="77777777" w:rsidR="00307D59" w:rsidRDefault="00307D59" w:rsidP="00307D59">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17206A3E" w14:textId="77777777" w:rsidR="00307D59" w:rsidRPr="007D39FB" w:rsidRDefault="00307D59" w:rsidP="00307D59">
      <w:pPr>
        <w:rPr>
          <w:lang w:val="es-ES"/>
        </w:rPr>
      </w:pPr>
      <w:r>
        <w:tab/>
        <w:t xml:space="preserve">  </w:t>
      </w:r>
    </w:p>
    <w:p w14:paraId="3995D00C" w14:textId="661B9BB8" w:rsidR="004E39C3" w:rsidRDefault="004E39C3" w:rsidP="00307D59">
      <w:pPr>
        <w:spacing w:line="360" w:lineRule="auto"/>
        <w:ind w:right="49"/>
        <w:jc w:val="center"/>
        <w:rPr>
          <w:sz w:val="26"/>
          <w:szCs w:val="26"/>
        </w:rPr>
      </w:pPr>
    </w:p>
    <w:sectPr w:rsidR="004E39C3" w:rsidSect="00DC281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86E81E" w14:textId="77777777" w:rsidR="00343E90" w:rsidRDefault="00343E90" w:rsidP="000F1EC9">
      <w:pPr>
        <w:spacing w:after="0" w:line="240" w:lineRule="auto"/>
      </w:pPr>
      <w:r>
        <w:separator/>
      </w:r>
    </w:p>
  </w:endnote>
  <w:endnote w:type="continuationSeparator" w:id="0">
    <w:p w14:paraId="470A69C4" w14:textId="77777777" w:rsidR="00343E90" w:rsidRDefault="00343E90" w:rsidP="000F1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606B8" w14:textId="77777777" w:rsidR="009D3EB2" w:rsidRDefault="009D3EB2">
    <w:pPr>
      <w:pStyle w:val="Piedepgina"/>
      <w:jc w:val="center"/>
    </w:pPr>
  </w:p>
  <w:p w14:paraId="602C6C4D" w14:textId="77777777" w:rsidR="009D3EB2" w:rsidRDefault="009D3EB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5DB385" w14:textId="77777777" w:rsidR="00343E90" w:rsidRDefault="00343E90" w:rsidP="000F1EC9">
      <w:pPr>
        <w:spacing w:after="0" w:line="240" w:lineRule="auto"/>
      </w:pPr>
      <w:r>
        <w:separator/>
      </w:r>
    </w:p>
  </w:footnote>
  <w:footnote w:type="continuationSeparator" w:id="0">
    <w:p w14:paraId="3B18C409" w14:textId="77777777" w:rsidR="00343E90" w:rsidRDefault="00343E90" w:rsidP="000F1EC9">
      <w:pPr>
        <w:spacing w:after="0" w:line="240" w:lineRule="auto"/>
      </w:pPr>
      <w:r>
        <w:continuationSeparator/>
      </w:r>
    </w:p>
  </w:footnote>
  <w:footnote w:id="1">
    <w:p w14:paraId="435B2C28" w14:textId="77777777" w:rsidR="009D3EB2" w:rsidRDefault="009D3EB2" w:rsidP="008504E8">
      <w:pPr>
        <w:pStyle w:val="Textonotapie"/>
        <w:ind w:right="-142"/>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6770E9AD" w14:textId="77777777" w:rsidR="005810E9" w:rsidRDefault="005810E9" w:rsidP="008504E8">
      <w:pPr>
        <w:pStyle w:val="Textonotapie"/>
        <w:ind w:right="-142"/>
        <w:jc w:val="both"/>
      </w:pPr>
      <w:r>
        <w:rPr>
          <w:rStyle w:val="Refdenotaalpie"/>
        </w:rPr>
        <w:footnoteRef/>
      </w:r>
      <w:r>
        <w:t xml:space="preserve"> Primer Tribunal Colegiado en materias Civil y de trabajo del Décimo Séptimo Circuito, Gaceta del Semanario Judicial de la Federación, décima época, l. 14, enero de 2015, t. II, p. 1605, registro digital 2008226.</w:t>
      </w:r>
    </w:p>
  </w:footnote>
  <w:footnote w:id="3">
    <w:p w14:paraId="249DDD09" w14:textId="77777777" w:rsidR="00B063B0" w:rsidRPr="004C6EFD" w:rsidRDefault="00B063B0" w:rsidP="008504E8">
      <w:pPr>
        <w:pStyle w:val="Textonotapie"/>
        <w:ind w:right="-142"/>
        <w:jc w:val="both"/>
      </w:pPr>
      <w:r>
        <w:rPr>
          <w:rStyle w:val="Refdenotaalpie"/>
        </w:rPr>
        <w:footnoteRef/>
      </w:r>
      <w:r>
        <w:t xml:space="preserve"> “</w:t>
      </w:r>
      <w:r>
        <w:rPr>
          <w:b/>
        </w:rPr>
        <w:t xml:space="preserve">ARTÍCULO 179.- </w:t>
      </w:r>
      <w:r>
        <w:t>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122524DD" w14:textId="77777777" w:rsidR="009D3EB2" w:rsidRDefault="00CF28E1">
        <w:pPr>
          <w:pStyle w:val="Encabezado"/>
          <w:jc w:val="center"/>
        </w:pPr>
        <w:r>
          <w:rPr>
            <w:noProof/>
          </w:rPr>
          <w:pict w14:anchorId="4616D8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9264;mso-position-horizontal:center;mso-position-horizontal-relative:margin;mso-position-vertical:center;mso-position-vertical-relative:margin" o:allowincell="f">
              <v:imagedata r:id="rId1" o:title="imagen" gain="19661f" blacklevel="22938f"/>
              <w10:wrap anchorx="margin" anchory="margin"/>
            </v:shape>
          </w:pict>
        </w:r>
        <w:r w:rsidR="009D3EB2">
          <w:fldChar w:fldCharType="begin"/>
        </w:r>
        <w:r w:rsidR="009D3EB2">
          <w:instrText>PAGE   \* MERGEFORMAT</w:instrText>
        </w:r>
        <w:r w:rsidR="009D3EB2">
          <w:fldChar w:fldCharType="separate"/>
        </w:r>
        <w:r w:rsidRPr="00CF28E1">
          <w:rPr>
            <w:noProof/>
            <w:lang w:val="es-ES"/>
          </w:rPr>
          <w:t>4</w:t>
        </w:r>
        <w:r w:rsidR="009D3EB2">
          <w:rPr>
            <w:noProof/>
            <w:lang w:val="es-ES"/>
          </w:rPr>
          <w:fldChar w:fldCharType="end"/>
        </w:r>
      </w:p>
    </w:sdtContent>
  </w:sdt>
  <w:p w14:paraId="3603F74C" w14:textId="77777777" w:rsidR="009D3EB2" w:rsidRDefault="009D3EB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5EB465" w14:textId="77777777" w:rsidR="009D3EB2" w:rsidRDefault="00CF28E1">
    <w:pPr>
      <w:pStyle w:val="Encabezado"/>
      <w:jc w:val="center"/>
    </w:pPr>
    <w:r>
      <w:rPr>
        <w:noProof/>
      </w:rPr>
      <w:pict w14:anchorId="75849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9D3EB2">
          <w:fldChar w:fldCharType="begin"/>
        </w:r>
        <w:r w:rsidR="009D3EB2">
          <w:instrText>PAGE   \* MERGEFORMAT</w:instrText>
        </w:r>
        <w:r w:rsidR="009D3EB2">
          <w:fldChar w:fldCharType="separate"/>
        </w:r>
        <w:r w:rsidRPr="00CF28E1">
          <w:rPr>
            <w:noProof/>
            <w:lang w:val="es-ES"/>
          </w:rPr>
          <w:t>3</w:t>
        </w:r>
        <w:r w:rsidR="009D3EB2">
          <w:rPr>
            <w:noProof/>
            <w:lang w:val="es-ES"/>
          </w:rPr>
          <w:fldChar w:fldCharType="end"/>
        </w:r>
      </w:sdtContent>
    </w:sdt>
  </w:p>
  <w:p w14:paraId="773B5FDA" w14:textId="37C3E0EC" w:rsidR="009D3EB2" w:rsidRDefault="00CF28E1" w:rsidP="00BA1DEE">
    <w:pPr>
      <w:pStyle w:val="Encabezado"/>
      <w:tabs>
        <w:tab w:val="left" w:pos="142"/>
      </w:tabs>
      <w:ind w:left="284"/>
    </w:pPr>
    <w:r>
      <w:rPr>
        <w:noProof/>
        <w:lang w:eastAsia="es-MX"/>
      </w:rPr>
      <mc:AlternateContent>
        <mc:Choice Requires="wps">
          <w:drawing>
            <wp:anchor distT="0" distB="0" distL="114300" distR="114300" simplePos="0" relativeHeight="251661312" behindDoc="0" locked="0" layoutInCell="1" allowOverlap="1" wp14:anchorId="1A5C4670" wp14:editId="24E9C3C9">
              <wp:simplePos x="0" y="0"/>
              <wp:positionH relativeFrom="column">
                <wp:posOffset>-1582799</wp:posOffset>
              </wp:positionH>
              <wp:positionV relativeFrom="paragraph">
                <wp:posOffset>4824036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106F4A7" w14:textId="77777777" w:rsidR="00CF28E1" w:rsidRDefault="00CF28E1" w:rsidP="00CF28E1">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5C4670" id="_x0000_t202" coordsize="21600,21600" o:spt="202" path="m,l,21600r21600,l21600,xe">
              <v:stroke joinstyle="miter"/>
              <v:path gradientshapeok="t" o:connecttype="rect"/>
            </v:shapetype>
            <v:shape id="Cuadro de texto 2" o:spid="_x0000_s1026" type="#_x0000_t202" style="position:absolute;left:0;text-align:left;margin-left:-124.65pt;margin-top:379.85pt;width:101.05pt;height:9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" fillcolor="white [3201]" strokeweight=".5pt">
              <v:textbox>
                <w:txbxContent>
                  <w:p w14:paraId="6106F4A7" w14:textId="77777777" w:rsidR="00CF28E1" w:rsidRDefault="00CF28E1" w:rsidP="00CF28E1">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5C28F4" w14:textId="77777777" w:rsidR="009D3EB2" w:rsidRDefault="00CF28E1">
    <w:pPr>
      <w:pStyle w:val="Encabezado"/>
    </w:pPr>
    <w:r>
      <w:rPr>
        <w:noProof/>
      </w:rPr>
      <w:pict w14:anchorId="7B6FFC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625754"/>
    <w:multiLevelType w:val="hybridMultilevel"/>
    <w:tmpl w:val="74960736"/>
    <w:lvl w:ilvl="0" w:tplc="EC16C0C6">
      <w:start w:val="1"/>
      <w:numFmt w:val="decimal"/>
      <w:lvlText w:val="%1."/>
      <w:lvlJc w:val="left"/>
      <w:pPr>
        <w:ind w:left="928" w:hanging="360"/>
      </w:pPr>
      <w:rPr>
        <w:b/>
      </w:rPr>
    </w:lvl>
    <w:lvl w:ilvl="1" w:tplc="080A0019" w:tentative="1">
      <w:start w:val="1"/>
      <w:numFmt w:val="lowerLetter"/>
      <w:lvlText w:val="%2."/>
      <w:lvlJc w:val="left"/>
      <w:pPr>
        <w:ind w:left="1648" w:hanging="360"/>
      </w:pPr>
    </w:lvl>
    <w:lvl w:ilvl="2" w:tplc="080A001B" w:tentative="1">
      <w:start w:val="1"/>
      <w:numFmt w:val="lowerRoman"/>
      <w:lvlText w:val="%3."/>
      <w:lvlJc w:val="right"/>
      <w:pPr>
        <w:ind w:left="2368" w:hanging="180"/>
      </w:pPr>
    </w:lvl>
    <w:lvl w:ilvl="3" w:tplc="080A000F" w:tentative="1">
      <w:start w:val="1"/>
      <w:numFmt w:val="decimal"/>
      <w:lvlText w:val="%4."/>
      <w:lvlJc w:val="left"/>
      <w:pPr>
        <w:ind w:left="3088" w:hanging="360"/>
      </w:pPr>
    </w:lvl>
    <w:lvl w:ilvl="4" w:tplc="080A0019" w:tentative="1">
      <w:start w:val="1"/>
      <w:numFmt w:val="lowerLetter"/>
      <w:lvlText w:val="%5."/>
      <w:lvlJc w:val="left"/>
      <w:pPr>
        <w:ind w:left="3808" w:hanging="360"/>
      </w:pPr>
    </w:lvl>
    <w:lvl w:ilvl="5" w:tplc="080A001B" w:tentative="1">
      <w:start w:val="1"/>
      <w:numFmt w:val="lowerRoman"/>
      <w:lvlText w:val="%6."/>
      <w:lvlJc w:val="right"/>
      <w:pPr>
        <w:ind w:left="4528" w:hanging="180"/>
      </w:pPr>
    </w:lvl>
    <w:lvl w:ilvl="6" w:tplc="080A000F" w:tentative="1">
      <w:start w:val="1"/>
      <w:numFmt w:val="decimal"/>
      <w:lvlText w:val="%7."/>
      <w:lvlJc w:val="left"/>
      <w:pPr>
        <w:ind w:left="5248" w:hanging="360"/>
      </w:pPr>
    </w:lvl>
    <w:lvl w:ilvl="7" w:tplc="080A0019" w:tentative="1">
      <w:start w:val="1"/>
      <w:numFmt w:val="lowerLetter"/>
      <w:lvlText w:val="%8."/>
      <w:lvlJc w:val="left"/>
      <w:pPr>
        <w:ind w:left="5968" w:hanging="360"/>
      </w:pPr>
    </w:lvl>
    <w:lvl w:ilvl="8" w:tplc="080A001B" w:tentative="1">
      <w:start w:val="1"/>
      <w:numFmt w:val="lowerRoman"/>
      <w:lvlText w:val="%9."/>
      <w:lvlJc w:val="right"/>
      <w:pPr>
        <w:ind w:left="6688" w:hanging="180"/>
      </w:pPr>
    </w:lvl>
  </w:abstractNum>
  <w:abstractNum w:abstractNumId="1">
    <w:nsid w:val="07F21056"/>
    <w:multiLevelType w:val="hybridMultilevel"/>
    <w:tmpl w:val="7B12C76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2D411AF"/>
    <w:multiLevelType w:val="hybridMultilevel"/>
    <w:tmpl w:val="21842BF6"/>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nsid w:val="20BC0C49"/>
    <w:multiLevelType w:val="hybridMultilevel"/>
    <w:tmpl w:val="98822AB6"/>
    <w:lvl w:ilvl="0" w:tplc="E1DC3384">
      <w:start w:val="1"/>
      <w:numFmt w:val="lowerLetter"/>
      <w:lvlText w:val="%1)"/>
      <w:lvlJc w:val="left"/>
      <w:pPr>
        <w:ind w:left="1080" w:hanging="360"/>
      </w:pPr>
      <w:rPr>
        <w:rFonts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24575D22"/>
    <w:multiLevelType w:val="hybridMultilevel"/>
    <w:tmpl w:val="CED6A51E"/>
    <w:lvl w:ilvl="0" w:tplc="080A000F">
      <w:start w:val="1"/>
      <w:numFmt w:val="decimal"/>
      <w:lvlText w:val="%1."/>
      <w:lvlJc w:val="left"/>
      <w:pPr>
        <w:ind w:left="1428" w:hanging="360"/>
      </w:pPr>
      <w:rPr>
        <w:rFont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2DE55B0C"/>
    <w:multiLevelType w:val="hybridMultilevel"/>
    <w:tmpl w:val="1FB6F7C2"/>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6DD6A5E"/>
    <w:multiLevelType w:val="hybridMultilevel"/>
    <w:tmpl w:val="C4C0780C"/>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nsid w:val="37FF5F0E"/>
    <w:multiLevelType w:val="hybridMultilevel"/>
    <w:tmpl w:val="F2BCA2F0"/>
    <w:lvl w:ilvl="0" w:tplc="A87C27DC">
      <w:start w:val="1"/>
      <w:numFmt w:val="decimal"/>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8850C33"/>
    <w:multiLevelType w:val="hybridMultilevel"/>
    <w:tmpl w:val="2E3AEE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10E472D"/>
    <w:multiLevelType w:val="hybridMultilevel"/>
    <w:tmpl w:val="98EC441E"/>
    <w:lvl w:ilvl="0" w:tplc="A87C27DC">
      <w:start w:val="1"/>
      <w:numFmt w:val="decimal"/>
      <w:lvlText w:val="%1."/>
      <w:lvlJc w:val="center"/>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4"/>
  </w:num>
  <w:num w:numId="2">
    <w:abstractNumId w:val="8"/>
  </w:num>
  <w:num w:numId="3">
    <w:abstractNumId w:val="1"/>
  </w:num>
  <w:num w:numId="4">
    <w:abstractNumId w:val="6"/>
  </w:num>
  <w:num w:numId="5">
    <w:abstractNumId w:val="7"/>
  </w:num>
  <w:num w:numId="6">
    <w:abstractNumId w:val="9"/>
  </w:num>
  <w:num w:numId="7">
    <w:abstractNumId w:val="5"/>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EC9"/>
    <w:rsid w:val="000167F0"/>
    <w:rsid w:val="00035B15"/>
    <w:rsid w:val="000404B2"/>
    <w:rsid w:val="0006521A"/>
    <w:rsid w:val="00070FE7"/>
    <w:rsid w:val="00076198"/>
    <w:rsid w:val="00085705"/>
    <w:rsid w:val="000A1A25"/>
    <w:rsid w:val="000A4591"/>
    <w:rsid w:val="000B22A7"/>
    <w:rsid w:val="000B309B"/>
    <w:rsid w:val="000C02AE"/>
    <w:rsid w:val="000C64F7"/>
    <w:rsid w:val="000C79BB"/>
    <w:rsid w:val="000E3401"/>
    <w:rsid w:val="000F1EC9"/>
    <w:rsid w:val="00130BE0"/>
    <w:rsid w:val="001552CC"/>
    <w:rsid w:val="001611C0"/>
    <w:rsid w:val="00161438"/>
    <w:rsid w:val="00166C6E"/>
    <w:rsid w:val="00172C29"/>
    <w:rsid w:val="0018016E"/>
    <w:rsid w:val="00193CFB"/>
    <w:rsid w:val="00197A8D"/>
    <w:rsid w:val="001A0389"/>
    <w:rsid w:val="001B4EF0"/>
    <w:rsid w:val="001B63D8"/>
    <w:rsid w:val="001C2CAE"/>
    <w:rsid w:val="001C67FC"/>
    <w:rsid w:val="002011C8"/>
    <w:rsid w:val="00216BCB"/>
    <w:rsid w:val="00232B97"/>
    <w:rsid w:val="00234DDD"/>
    <w:rsid w:val="0025058D"/>
    <w:rsid w:val="00254530"/>
    <w:rsid w:val="00256EC9"/>
    <w:rsid w:val="0026409E"/>
    <w:rsid w:val="00265828"/>
    <w:rsid w:val="0027157C"/>
    <w:rsid w:val="00277AD0"/>
    <w:rsid w:val="0028037F"/>
    <w:rsid w:val="00282F5E"/>
    <w:rsid w:val="00295A12"/>
    <w:rsid w:val="002A5215"/>
    <w:rsid w:val="002A79D8"/>
    <w:rsid w:val="002B718A"/>
    <w:rsid w:val="002D7003"/>
    <w:rsid w:val="00304867"/>
    <w:rsid w:val="00307D59"/>
    <w:rsid w:val="00310C19"/>
    <w:rsid w:val="00330BC1"/>
    <w:rsid w:val="00333A20"/>
    <w:rsid w:val="00334D62"/>
    <w:rsid w:val="00343E90"/>
    <w:rsid w:val="00362E41"/>
    <w:rsid w:val="003704DD"/>
    <w:rsid w:val="00375FC1"/>
    <w:rsid w:val="003A7056"/>
    <w:rsid w:val="003B20DD"/>
    <w:rsid w:val="003C2659"/>
    <w:rsid w:val="003C32C9"/>
    <w:rsid w:val="00402CE9"/>
    <w:rsid w:val="00432EEE"/>
    <w:rsid w:val="00434A10"/>
    <w:rsid w:val="00444B1D"/>
    <w:rsid w:val="00447A22"/>
    <w:rsid w:val="00451B03"/>
    <w:rsid w:val="00470D3D"/>
    <w:rsid w:val="00476185"/>
    <w:rsid w:val="00484170"/>
    <w:rsid w:val="00484D1F"/>
    <w:rsid w:val="004923F8"/>
    <w:rsid w:val="004A0834"/>
    <w:rsid w:val="004C6EFD"/>
    <w:rsid w:val="004E39C3"/>
    <w:rsid w:val="004F12B6"/>
    <w:rsid w:val="00501716"/>
    <w:rsid w:val="00502F2D"/>
    <w:rsid w:val="005446DF"/>
    <w:rsid w:val="00546199"/>
    <w:rsid w:val="00561D91"/>
    <w:rsid w:val="005677E9"/>
    <w:rsid w:val="00572C03"/>
    <w:rsid w:val="00575E9E"/>
    <w:rsid w:val="005810E9"/>
    <w:rsid w:val="00581FE3"/>
    <w:rsid w:val="00585A89"/>
    <w:rsid w:val="005B2A14"/>
    <w:rsid w:val="005C51EA"/>
    <w:rsid w:val="005D2BF6"/>
    <w:rsid w:val="005F6963"/>
    <w:rsid w:val="0060308D"/>
    <w:rsid w:val="006637B0"/>
    <w:rsid w:val="00684FF9"/>
    <w:rsid w:val="0068543C"/>
    <w:rsid w:val="006A4E72"/>
    <w:rsid w:val="006C00DB"/>
    <w:rsid w:val="006C013A"/>
    <w:rsid w:val="006C1802"/>
    <w:rsid w:val="006D272B"/>
    <w:rsid w:val="006D3688"/>
    <w:rsid w:val="006E4E22"/>
    <w:rsid w:val="006F0E68"/>
    <w:rsid w:val="0070304E"/>
    <w:rsid w:val="00707120"/>
    <w:rsid w:val="00712C70"/>
    <w:rsid w:val="007149E4"/>
    <w:rsid w:val="00715745"/>
    <w:rsid w:val="00722E02"/>
    <w:rsid w:val="00730FD1"/>
    <w:rsid w:val="00767DFC"/>
    <w:rsid w:val="0077583D"/>
    <w:rsid w:val="00783A5F"/>
    <w:rsid w:val="00793A44"/>
    <w:rsid w:val="007B6F4B"/>
    <w:rsid w:val="007D09DF"/>
    <w:rsid w:val="007F5927"/>
    <w:rsid w:val="0080334B"/>
    <w:rsid w:val="0080481E"/>
    <w:rsid w:val="00804AE3"/>
    <w:rsid w:val="008171CB"/>
    <w:rsid w:val="00821A61"/>
    <w:rsid w:val="00830496"/>
    <w:rsid w:val="008329D2"/>
    <w:rsid w:val="00847823"/>
    <w:rsid w:val="008504E8"/>
    <w:rsid w:val="00856385"/>
    <w:rsid w:val="008C3CAA"/>
    <w:rsid w:val="008C55D6"/>
    <w:rsid w:val="008D7E08"/>
    <w:rsid w:val="008E754D"/>
    <w:rsid w:val="008F16D3"/>
    <w:rsid w:val="00916290"/>
    <w:rsid w:val="00936845"/>
    <w:rsid w:val="00954A21"/>
    <w:rsid w:val="00957D19"/>
    <w:rsid w:val="009703BB"/>
    <w:rsid w:val="0099061E"/>
    <w:rsid w:val="0099148E"/>
    <w:rsid w:val="009926FF"/>
    <w:rsid w:val="00992DD2"/>
    <w:rsid w:val="00994E25"/>
    <w:rsid w:val="00994E8A"/>
    <w:rsid w:val="009C1C17"/>
    <w:rsid w:val="009D3EB2"/>
    <w:rsid w:val="00A200F4"/>
    <w:rsid w:val="00A22C46"/>
    <w:rsid w:val="00A35511"/>
    <w:rsid w:val="00A400D3"/>
    <w:rsid w:val="00A4340E"/>
    <w:rsid w:val="00A466F3"/>
    <w:rsid w:val="00A47B37"/>
    <w:rsid w:val="00A555B3"/>
    <w:rsid w:val="00A7403E"/>
    <w:rsid w:val="00A75A05"/>
    <w:rsid w:val="00A81CBF"/>
    <w:rsid w:val="00A9655A"/>
    <w:rsid w:val="00AA0A30"/>
    <w:rsid w:val="00AA2A08"/>
    <w:rsid w:val="00AD1089"/>
    <w:rsid w:val="00AD23A9"/>
    <w:rsid w:val="00AD4525"/>
    <w:rsid w:val="00AE0931"/>
    <w:rsid w:val="00AE4BA2"/>
    <w:rsid w:val="00AF2E49"/>
    <w:rsid w:val="00AF2F19"/>
    <w:rsid w:val="00B063B0"/>
    <w:rsid w:val="00B10A4D"/>
    <w:rsid w:val="00B13AF2"/>
    <w:rsid w:val="00B1422D"/>
    <w:rsid w:val="00B25151"/>
    <w:rsid w:val="00B3376B"/>
    <w:rsid w:val="00B4161A"/>
    <w:rsid w:val="00B42F78"/>
    <w:rsid w:val="00B55242"/>
    <w:rsid w:val="00B615DB"/>
    <w:rsid w:val="00B62FE4"/>
    <w:rsid w:val="00B64A23"/>
    <w:rsid w:val="00B71C81"/>
    <w:rsid w:val="00B75E01"/>
    <w:rsid w:val="00B8415D"/>
    <w:rsid w:val="00B87491"/>
    <w:rsid w:val="00BA1DEE"/>
    <w:rsid w:val="00BA388E"/>
    <w:rsid w:val="00BB2612"/>
    <w:rsid w:val="00BB4A78"/>
    <w:rsid w:val="00BC3859"/>
    <w:rsid w:val="00BD2899"/>
    <w:rsid w:val="00BE4826"/>
    <w:rsid w:val="00BE7EF0"/>
    <w:rsid w:val="00C05671"/>
    <w:rsid w:val="00C06C23"/>
    <w:rsid w:val="00C22BD1"/>
    <w:rsid w:val="00C4778F"/>
    <w:rsid w:val="00C50BC9"/>
    <w:rsid w:val="00C553F3"/>
    <w:rsid w:val="00C8644C"/>
    <w:rsid w:val="00CA1DCB"/>
    <w:rsid w:val="00CB7078"/>
    <w:rsid w:val="00CD4497"/>
    <w:rsid w:val="00CE4819"/>
    <w:rsid w:val="00CF28E1"/>
    <w:rsid w:val="00D02E98"/>
    <w:rsid w:val="00D142FC"/>
    <w:rsid w:val="00D16792"/>
    <w:rsid w:val="00D21A4A"/>
    <w:rsid w:val="00D24410"/>
    <w:rsid w:val="00D36443"/>
    <w:rsid w:val="00D54DD6"/>
    <w:rsid w:val="00D67E1F"/>
    <w:rsid w:val="00D84982"/>
    <w:rsid w:val="00D84CA3"/>
    <w:rsid w:val="00D84CFB"/>
    <w:rsid w:val="00DA3D9B"/>
    <w:rsid w:val="00DA46C9"/>
    <w:rsid w:val="00DB6840"/>
    <w:rsid w:val="00DC1DCB"/>
    <w:rsid w:val="00DC2812"/>
    <w:rsid w:val="00DC32E2"/>
    <w:rsid w:val="00DD0E11"/>
    <w:rsid w:val="00DE0DAB"/>
    <w:rsid w:val="00DE15B0"/>
    <w:rsid w:val="00E07AB0"/>
    <w:rsid w:val="00E2186D"/>
    <w:rsid w:val="00E356E4"/>
    <w:rsid w:val="00E558AA"/>
    <w:rsid w:val="00E62248"/>
    <w:rsid w:val="00E65A6B"/>
    <w:rsid w:val="00E729BC"/>
    <w:rsid w:val="00E943D9"/>
    <w:rsid w:val="00EB7C7D"/>
    <w:rsid w:val="00EC072C"/>
    <w:rsid w:val="00EC438C"/>
    <w:rsid w:val="00F118D3"/>
    <w:rsid w:val="00F30382"/>
    <w:rsid w:val="00F30440"/>
    <w:rsid w:val="00F4223D"/>
    <w:rsid w:val="00F44146"/>
    <w:rsid w:val="00F530B4"/>
    <w:rsid w:val="00F53F45"/>
    <w:rsid w:val="00F63928"/>
    <w:rsid w:val="00F70568"/>
    <w:rsid w:val="00F7745B"/>
    <w:rsid w:val="00F92B8B"/>
    <w:rsid w:val="00F93A6B"/>
    <w:rsid w:val="00F96DA7"/>
    <w:rsid w:val="00F96F4A"/>
    <w:rsid w:val="00FC0A5C"/>
    <w:rsid w:val="00FD57B7"/>
    <w:rsid w:val="00FD67D4"/>
    <w:rsid w:val="00FE54E1"/>
    <w:rsid w:val="00FF4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4058F"/>
  <w15:chartTrackingRefBased/>
  <w15:docId w15:val="{F0B126D3-B1C7-4B32-B259-EF8490E2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9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0F1EC9"/>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0F1EC9"/>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0F1EC9"/>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0F1EC9"/>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0F1EC9"/>
    <w:rPr>
      <w:rFonts w:eastAsiaTheme="minorEastAsia"/>
      <w:sz w:val="20"/>
      <w:szCs w:val="20"/>
      <w:lang w:eastAsia="es-MX"/>
    </w:rPr>
  </w:style>
  <w:style w:type="character" w:styleId="Refdenotaalpie">
    <w:name w:val="footnote reference"/>
    <w:basedOn w:val="Fuentedeprrafopredeter"/>
    <w:uiPriority w:val="99"/>
    <w:unhideWhenUsed/>
    <w:rsid w:val="000F1EC9"/>
    <w:rPr>
      <w:vertAlign w:val="superscript"/>
    </w:rPr>
  </w:style>
  <w:style w:type="paragraph" w:styleId="Piedepgina">
    <w:name w:val="footer"/>
    <w:basedOn w:val="Normal"/>
    <w:link w:val="PiedepginaCar"/>
    <w:uiPriority w:val="99"/>
    <w:unhideWhenUsed/>
    <w:rsid w:val="000F1EC9"/>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0F1EC9"/>
    <w:rPr>
      <w:rFonts w:eastAsiaTheme="minorEastAsia"/>
      <w:lang w:eastAsia="es-MX"/>
    </w:rPr>
  </w:style>
  <w:style w:type="paragraph" w:styleId="Prrafodelista">
    <w:name w:val="List Paragraph"/>
    <w:basedOn w:val="Normal"/>
    <w:uiPriority w:val="34"/>
    <w:qFormat/>
    <w:rsid w:val="00DE0DAB"/>
    <w:pPr>
      <w:ind w:left="720"/>
      <w:contextualSpacing/>
    </w:pPr>
  </w:style>
  <w:style w:type="paragraph" w:styleId="Textodeglobo">
    <w:name w:val="Balloon Text"/>
    <w:basedOn w:val="Normal"/>
    <w:link w:val="TextodegloboCar"/>
    <w:uiPriority w:val="99"/>
    <w:semiHidden/>
    <w:unhideWhenUsed/>
    <w:rsid w:val="002011C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11C8"/>
    <w:rPr>
      <w:rFonts w:ascii="Segoe UI" w:hAnsi="Segoe UI" w:cs="Segoe UI"/>
      <w:sz w:val="18"/>
      <w:szCs w:val="18"/>
    </w:rPr>
  </w:style>
  <w:style w:type="character" w:customStyle="1" w:styleId="red">
    <w:name w:val="red"/>
    <w:basedOn w:val="Fuentedeprrafopredeter"/>
    <w:rsid w:val="00FE54E1"/>
  </w:style>
  <w:style w:type="character" w:styleId="Hipervnculo">
    <w:name w:val="Hyperlink"/>
    <w:basedOn w:val="Fuentedeprrafopredeter"/>
    <w:uiPriority w:val="99"/>
    <w:unhideWhenUsed/>
    <w:rsid w:val="0099061E"/>
    <w:rPr>
      <w:color w:val="0000FF"/>
      <w:u w:val="single"/>
    </w:rPr>
  </w:style>
  <w:style w:type="paragraph" w:styleId="Sinespaciado">
    <w:name w:val="No Spacing"/>
    <w:uiPriority w:val="1"/>
    <w:qFormat/>
    <w:rsid w:val="004E39C3"/>
    <w:pPr>
      <w:spacing w:after="0" w:line="240" w:lineRule="auto"/>
    </w:pPr>
    <w:rPr>
      <w:rFonts w:eastAsiaTheme="minorEastAsia"/>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220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3FB4A-5F06-440A-8C0C-EBE19D567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2710</Words>
  <Characters>14911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36</cp:revision>
  <cp:lastPrinted>2022-07-12T19:37:00Z</cp:lastPrinted>
  <dcterms:created xsi:type="dcterms:W3CDTF">2022-07-08T16:25:00Z</dcterms:created>
  <dcterms:modified xsi:type="dcterms:W3CDTF">2023-02-08T20:57:00Z</dcterms:modified>
</cp:coreProperties>
</file>