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A543E" w14:textId="77777777" w:rsidR="004E39C3" w:rsidRDefault="004E39C3" w:rsidP="008308BB">
      <w:pPr>
        <w:spacing w:line="240" w:lineRule="auto"/>
        <w:ind w:left="3119"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4FFEC210" w14:textId="4316FE39" w:rsidR="004E39C3" w:rsidRDefault="004E39C3" w:rsidP="008308BB">
      <w:pPr>
        <w:spacing w:line="240" w:lineRule="auto"/>
        <w:ind w:left="3119" w:right="49"/>
        <w:jc w:val="both"/>
        <w:rPr>
          <w:rFonts w:ascii="Arial" w:hAnsi="Arial" w:cs="Arial"/>
          <w:b/>
          <w:sz w:val="26"/>
          <w:szCs w:val="26"/>
        </w:rPr>
      </w:pPr>
      <w:r>
        <w:rPr>
          <w:rFonts w:ascii="Arial" w:hAnsi="Arial" w:cs="Arial"/>
          <w:b/>
          <w:sz w:val="26"/>
          <w:szCs w:val="26"/>
        </w:rPr>
        <w:t>RECURSO DE REVISIÓN: 033</w:t>
      </w:r>
      <w:r w:rsidR="00A32D54">
        <w:rPr>
          <w:rFonts w:ascii="Arial" w:hAnsi="Arial" w:cs="Arial"/>
          <w:b/>
          <w:sz w:val="26"/>
          <w:szCs w:val="26"/>
        </w:rPr>
        <w:t>8</w:t>
      </w:r>
      <w:r>
        <w:rPr>
          <w:rFonts w:ascii="Arial" w:hAnsi="Arial" w:cs="Arial"/>
          <w:b/>
          <w:sz w:val="26"/>
          <w:szCs w:val="26"/>
        </w:rPr>
        <w:t>/2021</w:t>
      </w:r>
    </w:p>
    <w:p w14:paraId="7B67BD18" w14:textId="494F57A4" w:rsidR="004E39C3" w:rsidRDefault="00A32D54" w:rsidP="008308BB">
      <w:pPr>
        <w:spacing w:line="240" w:lineRule="auto"/>
        <w:ind w:left="3119" w:right="49"/>
        <w:jc w:val="both"/>
        <w:rPr>
          <w:rFonts w:ascii="Arial" w:hAnsi="Arial" w:cs="Arial"/>
          <w:b/>
          <w:sz w:val="26"/>
          <w:szCs w:val="26"/>
        </w:rPr>
      </w:pPr>
      <w:r>
        <w:rPr>
          <w:rFonts w:ascii="Arial" w:hAnsi="Arial" w:cs="Arial"/>
          <w:b/>
          <w:sz w:val="26"/>
          <w:szCs w:val="26"/>
        </w:rPr>
        <w:t xml:space="preserve">CUADERNO DE SUSPENSIÓN DEDUCIDO DEL </w:t>
      </w:r>
      <w:r w:rsidR="004E39C3">
        <w:rPr>
          <w:rFonts w:ascii="Arial" w:hAnsi="Arial" w:cs="Arial"/>
          <w:b/>
          <w:sz w:val="26"/>
          <w:szCs w:val="26"/>
        </w:rPr>
        <w:t>EXPEDIENTE: 0042/2021 DE LA PRIMERA SALA UNITARIA DE PRIMERA INSTANCIA</w:t>
      </w:r>
    </w:p>
    <w:p w14:paraId="55CE4764" w14:textId="77777777" w:rsidR="004E39C3" w:rsidRDefault="004E39C3" w:rsidP="008308BB">
      <w:pPr>
        <w:spacing w:line="240" w:lineRule="auto"/>
        <w:ind w:left="3119" w:right="49"/>
        <w:jc w:val="both"/>
        <w:rPr>
          <w:rFonts w:ascii="Arial" w:hAnsi="Arial" w:cs="Arial"/>
          <w:b/>
          <w:sz w:val="26"/>
          <w:szCs w:val="26"/>
        </w:rPr>
      </w:pPr>
      <w:r>
        <w:rPr>
          <w:rFonts w:ascii="Arial" w:hAnsi="Arial" w:cs="Arial"/>
          <w:b/>
          <w:sz w:val="26"/>
          <w:szCs w:val="26"/>
        </w:rPr>
        <w:t>PONENTE: MAGISTRADO ELÍAS CORTÉS LÓPEZ.</w:t>
      </w:r>
    </w:p>
    <w:p w14:paraId="6595A2F7" w14:textId="77777777" w:rsidR="004E39C3" w:rsidRDefault="004E39C3" w:rsidP="00E62248">
      <w:pPr>
        <w:spacing w:line="240" w:lineRule="auto"/>
        <w:ind w:left="2124" w:right="49"/>
        <w:jc w:val="both"/>
        <w:rPr>
          <w:rFonts w:ascii="Arial" w:hAnsi="Arial" w:cs="Arial"/>
          <w:b/>
          <w:sz w:val="26"/>
          <w:szCs w:val="26"/>
        </w:rPr>
      </w:pPr>
    </w:p>
    <w:p w14:paraId="3899BD31" w14:textId="2DB87DA4" w:rsidR="004E39C3" w:rsidRDefault="004E39C3" w:rsidP="00E62248">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7F254A">
        <w:rPr>
          <w:rFonts w:ascii="Arial" w:hAnsi="Arial" w:cs="Arial"/>
          <w:b/>
          <w:sz w:val="26"/>
          <w:szCs w:val="26"/>
        </w:rPr>
        <w:t xml:space="preserve">SIETE </w:t>
      </w:r>
      <w:r w:rsidR="00DA46C9">
        <w:rPr>
          <w:rFonts w:ascii="Arial" w:hAnsi="Arial" w:cs="Arial"/>
          <w:b/>
          <w:sz w:val="26"/>
          <w:szCs w:val="26"/>
        </w:rPr>
        <w:t xml:space="preserve">DE </w:t>
      </w:r>
      <w:r w:rsidR="00183D0D">
        <w:rPr>
          <w:rFonts w:ascii="Arial" w:hAnsi="Arial" w:cs="Arial"/>
          <w:b/>
          <w:sz w:val="26"/>
          <w:szCs w:val="26"/>
        </w:rPr>
        <w:t xml:space="preserve">SEPTIEMBRE </w:t>
      </w:r>
      <w:r>
        <w:rPr>
          <w:rFonts w:ascii="Arial" w:hAnsi="Arial" w:cs="Arial"/>
          <w:b/>
          <w:sz w:val="26"/>
          <w:szCs w:val="26"/>
        </w:rPr>
        <w:t xml:space="preserve">DE DOS MIL VEINTIDÓS.- - - - - - - - - - - - - - - - - - - - - - - - - - - - - - - - - - - - - - - - </w:t>
      </w:r>
    </w:p>
    <w:p w14:paraId="7CFBC402" w14:textId="03BD02A1" w:rsidR="004E39C3" w:rsidRDefault="004E39C3" w:rsidP="00E622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Pr>
          <w:rFonts w:ascii="Arial" w:hAnsi="Arial" w:cs="Arial"/>
          <w:b/>
          <w:sz w:val="26"/>
          <w:szCs w:val="26"/>
        </w:rPr>
        <w:t>33</w:t>
      </w:r>
      <w:r w:rsidR="00A32D54">
        <w:rPr>
          <w:rFonts w:ascii="Arial" w:hAnsi="Arial" w:cs="Arial"/>
          <w:b/>
          <w:sz w:val="26"/>
          <w:szCs w:val="26"/>
        </w:rPr>
        <w:t>8</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F929F5">
        <w:rPr>
          <w:rFonts w:ascii="Arial" w:hAnsi="Arial" w:cs="Arial"/>
          <w:b/>
          <w:bCs/>
          <w:sz w:val="26"/>
          <w:szCs w:val="26"/>
        </w:rPr>
        <w:t>*******</w:t>
      </w:r>
      <w:r w:rsidRPr="004E39C3">
        <w:rPr>
          <w:rFonts w:ascii="Arial" w:hAnsi="Arial" w:cs="Arial"/>
          <w:sz w:val="26"/>
          <w:szCs w:val="26"/>
        </w:rPr>
        <w:t>,</w:t>
      </w:r>
      <w:r>
        <w:rPr>
          <w:rFonts w:ascii="Arial" w:hAnsi="Arial" w:cs="Arial"/>
          <w:sz w:val="26"/>
          <w:szCs w:val="26"/>
        </w:rPr>
        <w:t xml:space="preserve"> en contra del auto de seis de julio de dos mil veintiuno dictado en el </w:t>
      </w:r>
      <w:r w:rsidR="00A32D54">
        <w:rPr>
          <w:rFonts w:ascii="Arial" w:hAnsi="Arial" w:cs="Arial"/>
          <w:sz w:val="26"/>
          <w:szCs w:val="26"/>
        </w:rPr>
        <w:t xml:space="preserve">cuaderno de suspensión deducido del </w:t>
      </w:r>
      <w:r>
        <w:rPr>
          <w:rFonts w:ascii="Arial" w:hAnsi="Arial" w:cs="Arial"/>
          <w:sz w:val="26"/>
          <w:szCs w:val="26"/>
        </w:rPr>
        <w:t xml:space="preserve">expediente </w:t>
      </w:r>
      <w:r>
        <w:rPr>
          <w:rFonts w:ascii="Arial" w:hAnsi="Arial" w:cs="Arial"/>
          <w:b/>
          <w:sz w:val="26"/>
          <w:szCs w:val="26"/>
        </w:rPr>
        <w:t>0042/2021</w:t>
      </w:r>
      <w:r>
        <w:rPr>
          <w:rFonts w:ascii="Arial" w:hAnsi="Arial" w:cs="Arial"/>
          <w:sz w:val="26"/>
          <w:szCs w:val="26"/>
        </w:rPr>
        <w:t xml:space="preserve"> de la Primera Sala Unitaria de Primera Instancia, relativo al juicio de nulidad promovido por el </w:t>
      </w:r>
      <w:r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 la</w:t>
      </w:r>
      <w:r>
        <w:rPr>
          <w:rFonts w:ascii="Arial" w:hAnsi="Arial" w:cs="Arial"/>
          <w:b/>
          <w:sz w:val="26"/>
          <w:szCs w:val="26"/>
        </w:rPr>
        <w:t xml:space="preserve"> </w:t>
      </w:r>
      <w:r w:rsidR="000F5825">
        <w:rPr>
          <w:rFonts w:ascii="Arial" w:hAnsi="Arial" w:cs="Arial"/>
          <w:b/>
          <w:sz w:val="26"/>
          <w:szCs w:val="26"/>
        </w:rPr>
        <w:t xml:space="preserve">TESORERA MUNICIPAL </w:t>
      </w:r>
      <w:r>
        <w:rPr>
          <w:rFonts w:ascii="Arial" w:hAnsi="Arial" w:cs="Arial"/>
          <w:b/>
          <w:sz w:val="26"/>
          <w:szCs w:val="26"/>
        </w:rPr>
        <w:t xml:space="preserve">y </w:t>
      </w:r>
      <w:r w:rsidR="000F5825">
        <w:rPr>
          <w:rFonts w:ascii="Arial" w:hAnsi="Arial" w:cs="Arial"/>
          <w:b/>
          <w:sz w:val="26"/>
          <w:szCs w:val="26"/>
        </w:rPr>
        <w:t xml:space="preserve">SUBDIRECTOR DE INGRESOS </w:t>
      </w:r>
      <w:r>
        <w:rPr>
          <w:rFonts w:ascii="Arial" w:hAnsi="Arial" w:cs="Arial"/>
          <w:b/>
          <w:sz w:val="26"/>
          <w:szCs w:val="26"/>
        </w:rPr>
        <w:t xml:space="preserve">ambos del </w:t>
      </w:r>
      <w:r w:rsidR="000F5825">
        <w:rPr>
          <w:rFonts w:ascii="Arial" w:hAnsi="Arial" w:cs="Arial"/>
          <w:b/>
          <w:sz w:val="26"/>
          <w:szCs w:val="26"/>
        </w:rPr>
        <w:t>MUNICIPIO DE OAXACA DE JUÁREZ, OAXACA</w:t>
      </w:r>
      <w:r w:rsidRPr="00352409">
        <w:rPr>
          <w:rFonts w:ascii="Arial" w:hAnsi="Arial" w:cs="Arial"/>
          <w:sz w:val="26"/>
          <w:szCs w:val="26"/>
        </w:rPr>
        <w:t>;</w:t>
      </w:r>
      <w:r>
        <w:rPr>
          <w:rFonts w:ascii="Arial" w:hAnsi="Arial" w:cs="Arial"/>
          <w:b/>
          <w:sz w:val="26"/>
          <w:szCs w:val="26"/>
        </w:rPr>
        <w:t xml:space="preserve"> </w:t>
      </w:r>
      <w:r w:rsidR="00B75E01">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0F5825">
        <w:rPr>
          <w:rFonts w:ascii="Arial" w:hAnsi="Arial" w:cs="Arial"/>
          <w:sz w:val="26"/>
          <w:szCs w:val="26"/>
        </w:rPr>
        <w:t xml:space="preserve">se da tramite. </w:t>
      </w:r>
      <w:r w:rsidR="004B2CAC">
        <w:rPr>
          <w:rFonts w:ascii="Arial" w:hAnsi="Arial" w:cs="Arial"/>
          <w:sz w:val="26"/>
          <w:szCs w:val="26"/>
        </w:rPr>
        <w:t xml:space="preserve">Por consiguiente </w:t>
      </w:r>
      <w:r w:rsidR="00B75E01">
        <w:rPr>
          <w:rFonts w:ascii="Arial" w:hAnsi="Arial" w:cs="Arial"/>
          <w:sz w:val="26"/>
          <w:szCs w:val="26"/>
        </w:rPr>
        <w:t>se procede a resolver en los siguientes términos:</w:t>
      </w:r>
      <w:r>
        <w:rPr>
          <w:rFonts w:ascii="Arial" w:hAnsi="Arial" w:cs="Arial"/>
          <w:sz w:val="26"/>
          <w:szCs w:val="26"/>
        </w:rPr>
        <w:t xml:space="preserve">- - - </w:t>
      </w:r>
      <w:r w:rsidR="00F929F5">
        <w:rPr>
          <w:rFonts w:ascii="Arial" w:hAnsi="Arial" w:cs="Arial"/>
          <w:sz w:val="26"/>
          <w:szCs w:val="26"/>
        </w:rPr>
        <w:t>- -</w:t>
      </w:r>
      <w:r w:rsidR="00B4161A">
        <w:rPr>
          <w:rFonts w:ascii="Arial" w:hAnsi="Arial" w:cs="Arial"/>
          <w:sz w:val="26"/>
          <w:szCs w:val="26"/>
        </w:rPr>
        <w:t xml:space="preserve"> </w:t>
      </w:r>
      <w:r w:rsidR="004B2CAC">
        <w:rPr>
          <w:rFonts w:ascii="Arial" w:hAnsi="Arial" w:cs="Arial"/>
          <w:sz w:val="26"/>
          <w:szCs w:val="26"/>
        </w:rPr>
        <w:t xml:space="preserve">- - </w:t>
      </w:r>
    </w:p>
    <w:p w14:paraId="619B7E4E" w14:textId="77777777" w:rsidR="004E39C3" w:rsidRDefault="004E39C3" w:rsidP="00E62248">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254960A9" w14:textId="051A8B6C" w:rsidR="004E39C3" w:rsidRDefault="004E39C3" w:rsidP="00E62248">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auto de seis de julio de dos mil veintiuno dictado por la Primera Sala Unitaria de Primera Instancia, </w:t>
      </w:r>
      <w:r w:rsidR="00F929F5">
        <w:rPr>
          <w:rFonts w:ascii="Arial" w:hAnsi="Arial" w:cs="Arial"/>
          <w:b/>
          <w:bCs/>
          <w:sz w:val="26"/>
          <w:szCs w:val="26"/>
        </w:rPr>
        <w:t>*******</w:t>
      </w:r>
      <w:r w:rsidR="004B2CAC">
        <w:rPr>
          <w:rFonts w:ascii="Arial" w:hAnsi="Arial" w:cs="Arial"/>
          <w:sz w:val="26"/>
          <w:szCs w:val="26"/>
        </w:rPr>
        <w:t xml:space="preserve"> </w:t>
      </w:r>
      <w:r>
        <w:rPr>
          <w:rFonts w:ascii="Arial" w:hAnsi="Arial" w:cs="Arial"/>
          <w:sz w:val="26"/>
          <w:szCs w:val="26"/>
        </w:rPr>
        <w:t xml:space="preserve">interpuso en su contra recurso de </w:t>
      </w:r>
      <w:r w:rsidR="004B2CAC">
        <w:rPr>
          <w:rFonts w:ascii="Arial" w:hAnsi="Arial" w:cs="Arial"/>
          <w:sz w:val="26"/>
          <w:szCs w:val="26"/>
        </w:rPr>
        <w:t>revisión. -</w:t>
      </w:r>
      <w:r>
        <w:rPr>
          <w:rFonts w:ascii="Arial" w:hAnsi="Arial" w:cs="Arial"/>
          <w:sz w:val="26"/>
          <w:szCs w:val="26"/>
        </w:rPr>
        <w:t xml:space="preserve"> - - - - - - - - - - - - - - - </w:t>
      </w:r>
    </w:p>
    <w:p w14:paraId="0B0E0392" w14:textId="3CDB46DE" w:rsidR="004E39C3" w:rsidRDefault="004E39C3" w:rsidP="00E62248">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El auto recurrido es el siguiente</w:t>
      </w:r>
      <w:bookmarkEnd w:id="0"/>
      <w:r>
        <w:rPr>
          <w:rFonts w:ascii="Arial" w:hAnsi="Arial" w:cs="Arial"/>
          <w:bCs/>
          <w:sz w:val="26"/>
          <w:szCs w:val="26"/>
        </w:rPr>
        <w:t xml:space="preserve">: </w:t>
      </w:r>
    </w:p>
    <w:p w14:paraId="56B6AAB5" w14:textId="2E7FE3DB" w:rsidR="00A32D54" w:rsidRPr="00552EC7" w:rsidRDefault="004E39C3" w:rsidP="004B2CAC">
      <w:pPr>
        <w:spacing w:after="0" w:line="276" w:lineRule="auto"/>
        <w:ind w:left="1134" w:right="474" w:firstLine="282"/>
        <w:jc w:val="both"/>
        <w:rPr>
          <w:rFonts w:ascii="Arial" w:hAnsi="Arial" w:cs="Arial"/>
          <w:bCs/>
          <w:i/>
          <w:iCs/>
        </w:rPr>
      </w:pPr>
      <w:r w:rsidRPr="00552EC7">
        <w:rPr>
          <w:rFonts w:ascii="Arial" w:hAnsi="Arial" w:cs="Arial"/>
          <w:bCs/>
          <w:i/>
          <w:iCs/>
          <w:sz w:val="26"/>
          <w:szCs w:val="26"/>
        </w:rPr>
        <w:t>“</w:t>
      </w:r>
      <w:r w:rsidR="00A32D54" w:rsidRPr="00552EC7">
        <w:rPr>
          <w:rFonts w:ascii="Arial" w:hAnsi="Arial" w:cs="Arial"/>
          <w:bCs/>
          <w:i/>
          <w:iCs/>
        </w:rPr>
        <w:t xml:space="preserve">En cumplimiento al auto dictado al día de hoy, en el juicio principal </w:t>
      </w:r>
      <w:r w:rsidR="00A32D54" w:rsidRPr="00552EC7">
        <w:rPr>
          <w:rFonts w:ascii="Arial" w:hAnsi="Arial" w:cs="Arial"/>
          <w:b/>
          <w:bCs/>
          <w:i/>
          <w:iCs/>
        </w:rPr>
        <w:t xml:space="preserve">42/2021, </w:t>
      </w:r>
      <w:r w:rsidR="00A32D54" w:rsidRPr="00552EC7">
        <w:rPr>
          <w:rFonts w:ascii="Arial" w:hAnsi="Arial" w:cs="Arial"/>
          <w:bCs/>
          <w:i/>
          <w:iCs/>
        </w:rPr>
        <w:t xml:space="preserve">promovido por </w:t>
      </w:r>
      <w:r w:rsidR="00F929F5">
        <w:rPr>
          <w:rFonts w:ascii="Arial" w:hAnsi="Arial" w:cs="Arial"/>
          <w:b/>
          <w:bCs/>
          <w:i/>
          <w:iCs/>
        </w:rPr>
        <w:t>*******</w:t>
      </w:r>
      <w:r w:rsidR="00A32D54" w:rsidRPr="00552EC7">
        <w:rPr>
          <w:rFonts w:ascii="Arial" w:hAnsi="Arial" w:cs="Arial"/>
          <w:bCs/>
          <w:i/>
          <w:iCs/>
        </w:rPr>
        <w:t xml:space="preserve">, en contra de: </w:t>
      </w:r>
      <w:r w:rsidR="00DC1DCB" w:rsidRPr="00552EC7">
        <w:rPr>
          <w:rFonts w:ascii="Arial" w:hAnsi="Arial" w:cs="Arial"/>
          <w:b/>
          <w:bCs/>
          <w:i/>
          <w:iCs/>
        </w:rPr>
        <w:t xml:space="preserve">a) </w:t>
      </w:r>
      <w:r w:rsidR="00DC1DCB" w:rsidRPr="00552EC7">
        <w:rPr>
          <w:rFonts w:ascii="Arial" w:hAnsi="Arial" w:cs="Arial"/>
          <w:bCs/>
          <w:i/>
          <w:iCs/>
        </w:rPr>
        <w:t xml:space="preserve">La declaración </w:t>
      </w:r>
      <w:r w:rsidR="00DC1DCB" w:rsidRPr="00552EC7">
        <w:rPr>
          <w:rFonts w:ascii="Arial" w:hAnsi="Arial" w:cs="Arial"/>
          <w:b/>
          <w:bCs/>
          <w:i/>
          <w:iCs/>
        </w:rPr>
        <w:t xml:space="preserve">negativa ficta recaída en su escrito de trece de noviembre de dos mil veinte, </w:t>
      </w:r>
      <w:r w:rsidR="00DC1DCB" w:rsidRPr="00552EC7">
        <w:rPr>
          <w:rFonts w:ascii="Arial" w:hAnsi="Arial" w:cs="Arial"/>
          <w:bCs/>
          <w:i/>
          <w:iCs/>
        </w:rPr>
        <w:t xml:space="preserve">por medio del cual interpuso recurso de revocación, y </w:t>
      </w:r>
      <w:r w:rsidR="00DC1DCB" w:rsidRPr="00552EC7">
        <w:rPr>
          <w:rFonts w:ascii="Arial" w:hAnsi="Arial" w:cs="Arial"/>
          <w:b/>
          <w:bCs/>
          <w:i/>
          <w:iCs/>
        </w:rPr>
        <w:t xml:space="preserve">b). La caducidad especifica o preclusión y/o prescripción </w:t>
      </w:r>
      <w:r w:rsidR="00DC1DCB" w:rsidRPr="00552EC7">
        <w:rPr>
          <w:rFonts w:ascii="Arial" w:hAnsi="Arial" w:cs="Arial"/>
          <w:bCs/>
          <w:i/>
          <w:iCs/>
        </w:rPr>
        <w:t>del derecho de las responsables para determinar diferencia a cargo del acto</w:t>
      </w:r>
      <w:r w:rsidR="00A32D54" w:rsidRPr="00552EC7">
        <w:rPr>
          <w:rFonts w:ascii="Arial" w:hAnsi="Arial" w:cs="Arial"/>
          <w:bCs/>
          <w:i/>
          <w:iCs/>
        </w:rPr>
        <w:t>r</w:t>
      </w:r>
      <w:r w:rsidR="00DC1DCB" w:rsidRPr="00552EC7">
        <w:rPr>
          <w:rFonts w:ascii="Arial" w:hAnsi="Arial" w:cs="Arial"/>
          <w:bCs/>
          <w:i/>
          <w:iCs/>
        </w:rPr>
        <w:t>, en atención a no haber realizado en forma oportuna el procedimiento que debió haber aplicado</w:t>
      </w:r>
      <w:r w:rsidR="00A32D54" w:rsidRPr="00552EC7">
        <w:rPr>
          <w:rFonts w:ascii="Arial" w:hAnsi="Arial" w:cs="Arial"/>
          <w:bCs/>
          <w:i/>
          <w:iCs/>
        </w:rPr>
        <w:t>,</w:t>
      </w:r>
      <w:r w:rsidR="00DC1DCB" w:rsidRPr="00552EC7">
        <w:rPr>
          <w:rFonts w:ascii="Arial" w:hAnsi="Arial" w:cs="Arial"/>
          <w:bCs/>
          <w:i/>
          <w:iCs/>
        </w:rPr>
        <w:t xml:space="preserve"> señalando como autoridades demandadas a la Tesorera Municipal y Subdirector de Ingresos, autoridades del Municipio de Oaxaca de Juárez</w:t>
      </w:r>
      <w:r w:rsidR="00A32D54" w:rsidRPr="00552EC7">
        <w:rPr>
          <w:rFonts w:ascii="Arial" w:hAnsi="Arial" w:cs="Arial"/>
          <w:bCs/>
          <w:i/>
          <w:iCs/>
        </w:rPr>
        <w:t>, Oaxaca.</w:t>
      </w:r>
    </w:p>
    <w:p w14:paraId="349C275C" w14:textId="77777777" w:rsidR="00A32D54" w:rsidRPr="00552EC7" w:rsidRDefault="00A32D54" w:rsidP="004B2CAC">
      <w:pPr>
        <w:spacing w:before="240" w:after="0" w:line="276" w:lineRule="auto"/>
        <w:ind w:left="1134" w:right="474" w:firstLine="282"/>
        <w:jc w:val="both"/>
        <w:rPr>
          <w:rFonts w:ascii="Arial" w:hAnsi="Arial" w:cs="Arial"/>
          <w:bCs/>
          <w:i/>
          <w:iCs/>
        </w:rPr>
      </w:pPr>
      <w:r w:rsidRPr="00552EC7">
        <w:rPr>
          <w:rFonts w:ascii="Arial" w:hAnsi="Arial" w:cs="Arial"/>
          <w:bCs/>
          <w:i/>
          <w:iCs/>
        </w:rPr>
        <w:lastRenderedPageBreak/>
        <w:t>En el caso concreto, la parte actora solicita la suspensión de los actos impugnados, manifestando: ´…De  igual forma solicito la suspensión del acto reclamado, para el efecto de que se indique el impuesto a pagar por los ejercicios 2019, 2020 y 2021, sin considerar la determinación que se impugna en el recurso de revocación inicialmente presentado ante las demandadas, es decir, las diferencias y determinación de nueva base gravable, al no haberla realizado conforme a las disposiciones legales que resulta aplicables…´</w:t>
      </w:r>
    </w:p>
    <w:p w14:paraId="2486F3FE" w14:textId="77777777" w:rsidR="00A32D54" w:rsidRPr="00552EC7" w:rsidRDefault="00A32D54" w:rsidP="004B2CAC">
      <w:pPr>
        <w:spacing w:before="240" w:after="0" w:line="276" w:lineRule="auto"/>
        <w:ind w:left="1134" w:right="474" w:firstLine="282"/>
        <w:jc w:val="both"/>
        <w:rPr>
          <w:rFonts w:ascii="Arial" w:hAnsi="Arial" w:cs="Arial"/>
          <w:bCs/>
          <w:i/>
          <w:iCs/>
        </w:rPr>
      </w:pPr>
      <w:r w:rsidRPr="00552EC7">
        <w:rPr>
          <w:rFonts w:ascii="Arial" w:hAnsi="Arial" w:cs="Arial"/>
          <w:bCs/>
          <w:i/>
          <w:iCs/>
        </w:rPr>
        <w:t>Ahora bien, el artículo 215 de la Ley de Procedimiento y Justicia Administrativa para el Estado, dispone:</w:t>
      </w:r>
    </w:p>
    <w:p w14:paraId="1CDE5FC1" w14:textId="77777777" w:rsidR="00A32D54" w:rsidRPr="00552EC7" w:rsidRDefault="00A32D54" w:rsidP="004B2CAC">
      <w:pPr>
        <w:spacing w:after="0" w:line="276" w:lineRule="auto"/>
        <w:ind w:left="1134" w:right="474" w:firstLine="282"/>
        <w:jc w:val="both"/>
        <w:rPr>
          <w:rFonts w:ascii="Arial" w:hAnsi="Arial" w:cs="Arial"/>
          <w:bCs/>
          <w:i/>
          <w:iCs/>
        </w:rPr>
      </w:pPr>
      <w:r w:rsidRPr="00552EC7">
        <w:rPr>
          <w:rFonts w:ascii="Arial" w:hAnsi="Arial" w:cs="Arial"/>
          <w:bCs/>
          <w:i/>
          <w:iCs/>
        </w:rPr>
        <w:t>…</w:t>
      </w:r>
    </w:p>
    <w:p w14:paraId="20FF8AC4" w14:textId="4C20AFDC" w:rsidR="00A32D54" w:rsidRPr="00552EC7" w:rsidRDefault="00A32D54" w:rsidP="004B2CAC">
      <w:pPr>
        <w:spacing w:before="240" w:after="0" w:line="276" w:lineRule="auto"/>
        <w:ind w:left="1134" w:right="474" w:firstLine="282"/>
        <w:jc w:val="both"/>
        <w:rPr>
          <w:rFonts w:ascii="Arial" w:hAnsi="Arial" w:cs="Arial"/>
          <w:bCs/>
          <w:i/>
          <w:iCs/>
        </w:rPr>
      </w:pPr>
      <w:r w:rsidRPr="00552EC7">
        <w:rPr>
          <w:rFonts w:ascii="Arial" w:hAnsi="Arial" w:cs="Arial"/>
          <w:bCs/>
          <w:i/>
          <w:iCs/>
        </w:rPr>
        <w:t xml:space="preserve">El artículo 215, de la Ley citada, señala que para conceder la suspensión del acto impugnado se requiere que se cumplan los siguientes requisitos: </w:t>
      </w:r>
      <w:r w:rsidRPr="00552EC7">
        <w:rPr>
          <w:rFonts w:ascii="Arial" w:hAnsi="Arial" w:cs="Arial"/>
          <w:b/>
          <w:bCs/>
          <w:i/>
          <w:iCs/>
        </w:rPr>
        <w:t xml:space="preserve">a) </w:t>
      </w:r>
      <w:r w:rsidRPr="00552EC7">
        <w:rPr>
          <w:rFonts w:ascii="Arial" w:hAnsi="Arial" w:cs="Arial"/>
          <w:bCs/>
          <w:i/>
          <w:iCs/>
        </w:rPr>
        <w:t xml:space="preserve">el actor solicite la suspensión del acto impugnado; </w:t>
      </w:r>
      <w:r w:rsidRPr="00552EC7">
        <w:rPr>
          <w:rFonts w:ascii="Arial" w:hAnsi="Arial" w:cs="Arial"/>
          <w:b/>
          <w:bCs/>
          <w:i/>
          <w:iCs/>
        </w:rPr>
        <w:t xml:space="preserve">b) </w:t>
      </w:r>
      <w:r w:rsidRPr="00552EC7">
        <w:rPr>
          <w:rFonts w:ascii="Arial" w:hAnsi="Arial" w:cs="Arial"/>
          <w:bCs/>
          <w:i/>
          <w:iCs/>
        </w:rPr>
        <w:t xml:space="preserve">Que el acto sea susceptible de ser suspendido; </w:t>
      </w:r>
      <w:r w:rsidRPr="00552EC7">
        <w:rPr>
          <w:rFonts w:ascii="Arial" w:hAnsi="Arial" w:cs="Arial"/>
          <w:b/>
          <w:bCs/>
          <w:i/>
          <w:iCs/>
        </w:rPr>
        <w:t xml:space="preserve">c) </w:t>
      </w:r>
      <w:r w:rsidRPr="00552EC7">
        <w:rPr>
          <w:rFonts w:ascii="Arial" w:hAnsi="Arial" w:cs="Arial"/>
          <w:bCs/>
          <w:i/>
          <w:iCs/>
        </w:rPr>
        <w:t>Que de otorgarse la suspensión definitiva</w:t>
      </w:r>
      <w:r w:rsidR="00FA7EBE" w:rsidRPr="00552EC7">
        <w:rPr>
          <w:rFonts w:ascii="Arial" w:hAnsi="Arial" w:cs="Arial"/>
          <w:bCs/>
          <w:i/>
          <w:iCs/>
        </w:rPr>
        <w:t xml:space="preserve"> se sigue conservando la materia del juicio; </w:t>
      </w:r>
      <w:r w:rsidR="00FA7EBE" w:rsidRPr="00552EC7">
        <w:rPr>
          <w:rFonts w:ascii="Arial" w:hAnsi="Arial" w:cs="Arial"/>
          <w:b/>
          <w:bCs/>
          <w:i/>
          <w:iCs/>
        </w:rPr>
        <w:t xml:space="preserve">d) </w:t>
      </w:r>
      <w:r w:rsidR="00FA7EBE" w:rsidRPr="00552EC7">
        <w:rPr>
          <w:rFonts w:ascii="Arial" w:hAnsi="Arial" w:cs="Arial"/>
          <w:bCs/>
          <w:i/>
          <w:iCs/>
        </w:rPr>
        <w:t xml:space="preserve">Que con la concesión de la suspensión no se afecta el interés social, ni se contravienen disposiciones de orden púbico; </w:t>
      </w:r>
      <w:r w:rsidR="00FA7EBE" w:rsidRPr="00552EC7">
        <w:rPr>
          <w:rFonts w:ascii="Arial" w:hAnsi="Arial" w:cs="Arial"/>
          <w:b/>
          <w:bCs/>
          <w:i/>
          <w:iCs/>
        </w:rPr>
        <w:t xml:space="preserve">e) </w:t>
      </w:r>
      <w:r w:rsidR="00FA7EBE" w:rsidRPr="00552EC7">
        <w:rPr>
          <w:rFonts w:ascii="Arial" w:hAnsi="Arial" w:cs="Arial"/>
          <w:bCs/>
          <w:i/>
          <w:iCs/>
        </w:rPr>
        <w:t>Que sea de difícil reparación los daños o perjuicios que se causen al solicitante con la ejecución del acto impugnado.</w:t>
      </w:r>
    </w:p>
    <w:p w14:paraId="592DC663" w14:textId="613CD151" w:rsidR="00FA7EBE" w:rsidRPr="00552EC7" w:rsidRDefault="00FA7EBE" w:rsidP="004B2CAC">
      <w:pPr>
        <w:spacing w:before="240" w:after="0" w:line="276" w:lineRule="auto"/>
        <w:ind w:left="1134" w:right="474" w:firstLine="282"/>
        <w:jc w:val="both"/>
        <w:rPr>
          <w:rFonts w:ascii="Arial" w:hAnsi="Arial" w:cs="Arial"/>
          <w:bCs/>
          <w:i/>
          <w:iCs/>
        </w:rPr>
      </w:pPr>
      <w:r w:rsidRPr="00552EC7">
        <w:rPr>
          <w:rFonts w:ascii="Arial" w:hAnsi="Arial" w:cs="Arial"/>
          <w:bCs/>
          <w:i/>
          <w:iCs/>
        </w:rPr>
        <w:t>Por su parte el artículo 219 de la Ley de la materia, establece que:</w:t>
      </w:r>
      <w:r w:rsidR="000A4E32" w:rsidRPr="00552EC7">
        <w:rPr>
          <w:rFonts w:ascii="Arial" w:hAnsi="Arial" w:cs="Arial"/>
          <w:bCs/>
          <w:i/>
          <w:iCs/>
        </w:rPr>
        <w:t xml:space="preserve"> ´La suspensión podrá concederse con efectos restitutorios, únicamente cuando se trate de actos privativos de la libertad decretados al particular por la autoridad administrativa; o bien, cuando a juicio del Magistrado sea necesario otorgar estos efectos, con el objeto de conservar la materia del litigio o impedir perjuicios irreparables al particular. (sic)</w:t>
      </w:r>
    </w:p>
    <w:p w14:paraId="38117BC6" w14:textId="2B4C8CA4" w:rsidR="00FA7EBE" w:rsidRPr="00552EC7" w:rsidRDefault="00FA7EBE" w:rsidP="004B2CAC">
      <w:pPr>
        <w:spacing w:before="240" w:after="0" w:line="276" w:lineRule="auto"/>
        <w:ind w:left="1134" w:right="474" w:firstLine="282"/>
        <w:jc w:val="both"/>
        <w:rPr>
          <w:rFonts w:ascii="Arial" w:hAnsi="Arial" w:cs="Arial"/>
          <w:bCs/>
          <w:i/>
          <w:iCs/>
        </w:rPr>
      </w:pPr>
      <w:r w:rsidRPr="00552EC7">
        <w:rPr>
          <w:rFonts w:ascii="Arial" w:hAnsi="Arial" w:cs="Arial"/>
          <w:bCs/>
          <w:i/>
          <w:iCs/>
        </w:rPr>
        <w:t>Luego, si bien la parte actora tiene a su favor la apariencia del buen derecho, que es apuntar a una credibilidad objetiva y seria, que descarte una pretensión manifiestamente infundada, temeraria y cuestionable, lo que se logra a través de un conocimiento superficial, dirigido a lograr una decisión de mera probabilidad respecto de la existencia del derecho discutido en el proceso</w:t>
      </w:r>
      <w:r w:rsidR="00CA68AE" w:rsidRPr="00552EC7">
        <w:rPr>
          <w:rFonts w:ascii="Arial" w:hAnsi="Arial" w:cs="Arial"/>
          <w:bCs/>
          <w:i/>
          <w:iCs/>
        </w:rPr>
        <w:t>.</w:t>
      </w:r>
    </w:p>
    <w:p w14:paraId="2766BC25" w14:textId="55AC4D40" w:rsidR="00CA68AE" w:rsidRPr="00552EC7" w:rsidRDefault="00CA68AE" w:rsidP="004B2CAC">
      <w:pPr>
        <w:spacing w:before="240" w:after="0" w:line="276" w:lineRule="auto"/>
        <w:ind w:left="1134" w:right="474" w:firstLine="282"/>
        <w:jc w:val="both"/>
        <w:rPr>
          <w:rFonts w:ascii="Arial" w:hAnsi="Arial" w:cs="Arial"/>
          <w:bCs/>
          <w:i/>
          <w:iCs/>
        </w:rPr>
      </w:pPr>
      <w:r w:rsidRPr="00552EC7">
        <w:rPr>
          <w:rFonts w:ascii="Arial" w:hAnsi="Arial" w:cs="Arial"/>
          <w:bCs/>
          <w:i/>
          <w:iCs/>
        </w:rPr>
        <w:t>En el caso de concederse la suspensión solicitada por la parte actora, se estarían dándole efectos restitutorios a dicha medida cautelar</w:t>
      </w:r>
      <w:r w:rsidR="00BB7D90" w:rsidRPr="00552EC7">
        <w:rPr>
          <w:rFonts w:ascii="Arial" w:hAnsi="Arial" w:cs="Arial"/>
          <w:bCs/>
          <w:i/>
          <w:iCs/>
        </w:rPr>
        <w:t>, extralimitando los efectos de la suspensión provisional, los cuales son propios de la sentencia definitiva en donde se estudiara el fondo del asunto, ya que, para otorgarse la suspensión del acto impugnado se debe conservar la materia del juicio.</w:t>
      </w:r>
    </w:p>
    <w:p w14:paraId="49296FA1" w14:textId="06001E69" w:rsidR="00BB7D90" w:rsidRPr="00552EC7" w:rsidRDefault="00BB7D90" w:rsidP="004B2CAC">
      <w:pPr>
        <w:spacing w:before="240" w:after="0" w:line="276" w:lineRule="auto"/>
        <w:ind w:left="1134" w:right="474" w:firstLine="282"/>
        <w:jc w:val="both"/>
        <w:rPr>
          <w:rFonts w:ascii="Arial" w:hAnsi="Arial" w:cs="Arial"/>
          <w:bCs/>
          <w:i/>
          <w:iCs/>
        </w:rPr>
      </w:pPr>
      <w:r w:rsidRPr="00552EC7">
        <w:rPr>
          <w:rFonts w:ascii="Arial" w:hAnsi="Arial" w:cs="Arial"/>
          <w:bCs/>
          <w:i/>
          <w:iCs/>
        </w:rPr>
        <w:t xml:space="preserve">Por lo tanto, </w:t>
      </w:r>
      <w:r w:rsidRPr="00552EC7">
        <w:rPr>
          <w:rFonts w:ascii="Arial" w:hAnsi="Arial" w:cs="Arial"/>
          <w:b/>
          <w:bCs/>
          <w:i/>
          <w:iCs/>
        </w:rPr>
        <w:t xml:space="preserve">SE NIEGA LA SUSPENSIÓN PROVISIONAL </w:t>
      </w:r>
      <w:r w:rsidRPr="00552EC7">
        <w:rPr>
          <w:rFonts w:ascii="Arial" w:hAnsi="Arial" w:cs="Arial"/>
          <w:bCs/>
          <w:i/>
          <w:iCs/>
        </w:rPr>
        <w:t xml:space="preserve">solicitada por </w:t>
      </w:r>
      <w:r w:rsidR="00F929F5">
        <w:rPr>
          <w:rFonts w:ascii="Arial" w:hAnsi="Arial" w:cs="Arial"/>
          <w:bCs/>
          <w:i/>
          <w:iCs/>
        </w:rPr>
        <w:t>*******</w:t>
      </w:r>
      <w:r w:rsidRPr="00552EC7">
        <w:rPr>
          <w:rFonts w:ascii="Arial" w:hAnsi="Arial" w:cs="Arial"/>
          <w:bCs/>
          <w:i/>
          <w:iCs/>
        </w:rPr>
        <w:t>.</w:t>
      </w:r>
    </w:p>
    <w:p w14:paraId="3ABC9265" w14:textId="23DEDEC5" w:rsidR="004E39C3" w:rsidRPr="004B2CAC" w:rsidRDefault="00BB7D90" w:rsidP="004B2CAC">
      <w:pPr>
        <w:spacing w:after="0" w:line="276" w:lineRule="auto"/>
        <w:ind w:left="1134" w:right="474" w:firstLine="282"/>
        <w:jc w:val="both"/>
        <w:rPr>
          <w:rFonts w:ascii="Arial" w:hAnsi="Arial" w:cs="Arial"/>
          <w:bCs/>
        </w:rPr>
      </w:pPr>
      <w:r w:rsidRPr="004B2CAC">
        <w:rPr>
          <w:rFonts w:ascii="Arial" w:hAnsi="Arial" w:cs="Arial"/>
          <w:bCs/>
        </w:rPr>
        <w:t>…</w:t>
      </w:r>
      <w:r w:rsidR="004E39C3" w:rsidRPr="004B2CAC">
        <w:rPr>
          <w:rFonts w:ascii="Arial" w:hAnsi="Arial" w:cs="Arial"/>
          <w:bCs/>
        </w:rPr>
        <w:t>”</w:t>
      </w:r>
    </w:p>
    <w:p w14:paraId="6F490AE0" w14:textId="77777777" w:rsidR="004E39C3" w:rsidRDefault="004E39C3" w:rsidP="00E62248">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0331993" w14:textId="077D6557" w:rsidR="004E39C3" w:rsidRDefault="004E39C3" w:rsidP="00E62248">
      <w:pPr>
        <w:spacing w:before="240" w:line="360" w:lineRule="auto"/>
        <w:ind w:right="49"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B75E01">
        <w:rPr>
          <w:rFonts w:ascii="Arial" w:hAnsi="Arial" w:cs="Arial"/>
          <w:bCs/>
          <w:iCs/>
          <w:sz w:val="26"/>
          <w:szCs w:val="26"/>
        </w:rPr>
        <w:t xml:space="preserve">ones </w:t>
      </w:r>
      <w:r>
        <w:rPr>
          <w:rFonts w:ascii="Arial" w:hAnsi="Arial" w:cs="Arial"/>
          <w:bCs/>
          <w:iCs/>
          <w:sz w:val="26"/>
          <w:szCs w:val="26"/>
        </w:rPr>
        <w:t>I</w:t>
      </w:r>
      <w:r w:rsidR="00B75E01">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C50BC9">
        <w:rPr>
          <w:rFonts w:ascii="Arial" w:hAnsi="Arial" w:cs="Arial"/>
          <w:bCs/>
          <w:iCs/>
          <w:sz w:val="26"/>
          <w:szCs w:val="26"/>
        </w:rPr>
        <w:t>nistrativa del Estado de Oaxaca</w:t>
      </w:r>
      <w:r>
        <w:rPr>
          <w:rFonts w:ascii="Arial" w:hAnsi="Arial" w:cs="Arial"/>
          <w:bCs/>
          <w:iCs/>
          <w:sz w:val="26"/>
          <w:szCs w:val="26"/>
        </w:rPr>
        <w:t xml:space="preserve">; </w:t>
      </w:r>
      <w:r>
        <w:rPr>
          <w:rFonts w:ascii="Arial" w:hAnsi="Arial" w:cs="Arial"/>
          <w:bCs/>
          <w:iCs/>
          <w:sz w:val="26"/>
          <w:szCs w:val="26"/>
        </w:rPr>
        <w:lastRenderedPageBreak/>
        <w:t>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del auto de </w:t>
      </w:r>
      <w:r w:rsidR="00D142FC">
        <w:rPr>
          <w:rFonts w:ascii="Arial" w:hAnsi="Arial" w:cs="Arial"/>
          <w:bCs/>
          <w:iCs/>
          <w:sz w:val="26"/>
          <w:szCs w:val="26"/>
        </w:rPr>
        <w:t xml:space="preserve">seis de julio </w:t>
      </w:r>
      <w:r>
        <w:rPr>
          <w:rFonts w:ascii="Arial" w:hAnsi="Arial" w:cs="Arial"/>
          <w:bCs/>
          <w:iCs/>
          <w:sz w:val="26"/>
          <w:szCs w:val="26"/>
        </w:rPr>
        <w:t>de dos mil veint</w:t>
      </w:r>
      <w:r w:rsidR="00D142FC">
        <w:rPr>
          <w:rFonts w:ascii="Arial" w:hAnsi="Arial" w:cs="Arial"/>
          <w:bCs/>
          <w:iCs/>
          <w:sz w:val="26"/>
          <w:szCs w:val="26"/>
        </w:rPr>
        <w:t xml:space="preserve">iuno </w:t>
      </w:r>
      <w:r>
        <w:rPr>
          <w:rFonts w:ascii="Arial" w:hAnsi="Arial" w:cs="Arial"/>
          <w:bCs/>
          <w:iCs/>
          <w:sz w:val="26"/>
          <w:szCs w:val="26"/>
        </w:rPr>
        <w:t xml:space="preserve">dictado por la </w:t>
      </w:r>
      <w:r w:rsidR="00D142FC">
        <w:rPr>
          <w:rFonts w:ascii="Arial" w:hAnsi="Arial" w:cs="Arial"/>
          <w:bCs/>
          <w:iCs/>
          <w:sz w:val="26"/>
          <w:szCs w:val="26"/>
        </w:rPr>
        <w:t xml:space="preserve">Primera </w:t>
      </w:r>
      <w:r>
        <w:rPr>
          <w:rFonts w:ascii="Arial" w:hAnsi="Arial" w:cs="Arial"/>
          <w:bCs/>
          <w:iCs/>
          <w:sz w:val="26"/>
          <w:szCs w:val="26"/>
        </w:rPr>
        <w:t xml:space="preserve">Sala Unitaria de Primera Instancia de este Tribunal, en el </w:t>
      </w:r>
      <w:r w:rsidR="00A00777">
        <w:rPr>
          <w:rFonts w:ascii="Arial" w:hAnsi="Arial" w:cs="Arial"/>
          <w:bCs/>
          <w:iCs/>
          <w:sz w:val="26"/>
          <w:szCs w:val="26"/>
        </w:rPr>
        <w:t xml:space="preserve">cuaderno de suspensión deducido del </w:t>
      </w:r>
      <w:r>
        <w:rPr>
          <w:rFonts w:ascii="Arial" w:hAnsi="Arial" w:cs="Arial"/>
          <w:bCs/>
          <w:iCs/>
          <w:sz w:val="26"/>
          <w:szCs w:val="26"/>
        </w:rPr>
        <w:t xml:space="preserve">expediente </w:t>
      </w:r>
      <w:r w:rsidRPr="004B3584">
        <w:rPr>
          <w:rFonts w:ascii="Arial" w:hAnsi="Arial" w:cs="Arial"/>
          <w:b/>
          <w:bCs/>
          <w:iCs/>
          <w:sz w:val="26"/>
          <w:szCs w:val="26"/>
        </w:rPr>
        <w:t>0</w:t>
      </w:r>
      <w:r w:rsidR="00D142FC">
        <w:rPr>
          <w:rFonts w:ascii="Arial" w:hAnsi="Arial" w:cs="Arial"/>
          <w:b/>
          <w:bCs/>
          <w:iCs/>
          <w:sz w:val="26"/>
          <w:szCs w:val="26"/>
        </w:rPr>
        <w:t>042</w:t>
      </w:r>
      <w:r>
        <w:rPr>
          <w:rFonts w:ascii="Arial" w:hAnsi="Arial" w:cs="Arial"/>
          <w:b/>
          <w:bCs/>
          <w:iCs/>
          <w:sz w:val="26"/>
          <w:szCs w:val="26"/>
        </w:rPr>
        <w:t>/20</w:t>
      </w:r>
      <w:r w:rsidR="00D142FC">
        <w:rPr>
          <w:rFonts w:ascii="Arial" w:hAnsi="Arial" w:cs="Arial"/>
          <w:b/>
          <w:bCs/>
          <w:iCs/>
          <w:sz w:val="26"/>
          <w:szCs w:val="26"/>
        </w:rPr>
        <w:t>21</w:t>
      </w:r>
      <w:r>
        <w:rPr>
          <w:rFonts w:ascii="Arial" w:hAnsi="Arial" w:cs="Arial"/>
          <w:sz w:val="26"/>
          <w:szCs w:val="26"/>
        </w:rPr>
        <w:t xml:space="preserve">.- - - - - - - - - - - </w:t>
      </w:r>
      <w:r w:rsidR="00B62FE4">
        <w:rPr>
          <w:rFonts w:ascii="Arial" w:hAnsi="Arial" w:cs="Arial"/>
          <w:sz w:val="26"/>
          <w:szCs w:val="26"/>
        </w:rPr>
        <w:t xml:space="preserve">- </w:t>
      </w:r>
      <w:r w:rsidR="00C50BC9">
        <w:rPr>
          <w:rFonts w:ascii="Arial" w:hAnsi="Arial" w:cs="Arial"/>
          <w:sz w:val="26"/>
          <w:szCs w:val="26"/>
        </w:rPr>
        <w:t>- - - - - - - - - - - - -</w:t>
      </w:r>
      <w:r w:rsidR="00A00777">
        <w:rPr>
          <w:rFonts w:ascii="Arial" w:hAnsi="Arial" w:cs="Arial"/>
          <w:sz w:val="26"/>
          <w:szCs w:val="26"/>
        </w:rPr>
        <w:t xml:space="preserve"> - - - - - - - - - - - - - - - - - - - </w:t>
      </w:r>
    </w:p>
    <w:p w14:paraId="0F2F9683" w14:textId="25709D25" w:rsidR="00CD720E" w:rsidRDefault="00CD720E" w:rsidP="00CD720E">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Pr>
          <w:rStyle w:val="Refdenotaalpie"/>
          <w:rFonts w:ascii="Arial" w:hAnsi="Arial" w:cs="Arial"/>
          <w:sz w:val="26"/>
          <w:szCs w:val="26"/>
        </w:rPr>
        <w:footnoteReference w:id="1"/>
      </w:r>
      <w:r w:rsidR="009477B4" w:rsidRPr="009477B4">
        <w:rPr>
          <w:rFonts w:ascii="Arial" w:hAnsi="Arial" w:cs="Arial"/>
          <w:sz w:val="26"/>
          <w:szCs w:val="26"/>
        </w:rPr>
        <w:t xml:space="preserve"> </w:t>
      </w:r>
      <w:r w:rsidR="009477B4">
        <w:rPr>
          <w:rFonts w:ascii="Arial" w:hAnsi="Arial" w:cs="Arial"/>
          <w:sz w:val="26"/>
          <w:szCs w:val="26"/>
        </w:rPr>
        <w:t>de rubro y texto siguientes</w:t>
      </w:r>
      <w:r>
        <w:rPr>
          <w:rFonts w:ascii="Arial" w:hAnsi="Arial" w:cs="Arial"/>
          <w:sz w:val="26"/>
          <w:szCs w:val="26"/>
        </w:rPr>
        <w:t xml:space="preserve">:- - - - - - - - - - - - - - - - - - - - - - - - - - - - - - - - - - - - - - - - - - - - </w:t>
      </w:r>
    </w:p>
    <w:p w14:paraId="2FADCAC0" w14:textId="77777777" w:rsidR="00CD720E" w:rsidRPr="009735D0" w:rsidRDefault="00CD720E" w:rsidP="009735D0">
      <w:pPr>
        <w:spacing w:before="240" w:line="276" w:lineRule="auto"/>
        <w:ind w:left="1134" w:right="476"/>
        <w:jc w:val="both"/>
        <w:rPr>
          <w:rFonts w:ascii="Arial" w:hAnsi="Arial" w:cs="Arial"/>
          <w:i/>
          <w:iCs/>
        </w:rPr>
      </w:pPr>
      <w:r w:rsidRPr="009735D0">
        <w:rPr>
          <w:rFonts w:ascii="Arial" w:eastAsia="Calibri" w:hAnsi="Arial" w:cs="Arial"/>
          <w:bCs/>
          <w:i/>
          <w:iCs/>
          <w:color w:val="000000" w:themeColor="text1"/>
        </w:rPr>
        <w:t>“</w:t>
      </w:r>
      <w:r w:rsidRPr="009735D0">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9735D0">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F5FA7A6" w14:textId="13F05FFB" w:rsidR="005014FF" w:rsidRPr="009735D0" w:rsidRDefault="004E39C3" w:rsidP="00246970">
      <w:pPr>
        <w:spacing w:before="240" w:line="360" w:lineRule="auto"/>
        <w:ind w:right="49" w:firstLine="708"/>
        <w:jc w:val="both"/>
        <w:rPr>
          <w:rFonts w:ascii="Arial" w:hAnsi="Arial" w:cs="Arial"/>
          <w:i/>
          <w:iCs/>
          <w:sz w:val="26"/>
          <w:szCs w:val="26"/>
        </w:rPr>
      </w:pPr>
      <w:r>
        <w:rPr>
          <w:rFonts w:ascii="Arial" w:hAnsi="Arial" w:cs="Arial"/>
          <w:b/>
          <w:sz w:val="26"/>
          <w:szCs w:val="26"/>
        </w:rPr>
        <w:t>TERCERO</w:t>
      </w:r>
      <w:r w:rsidR="00AD23A9">
        <w:rPr>
          <w:rFonts w:ascii="Arial" w:hAnsi="Arial" w:cs="Arial"/>
          <w:sz w:val="26"/>
          <w:szCs w:val="26"/>
        </w:rPr>
        <w:t>. Inicia sus alegaciones el recurrente refiriendo</w:t>
      </w:r>
      <w:r w:rsidR="00183D0D">
        <w:rPr>
          <w:rFonts w:ascii="Arial" w:hAnsi="Arial" w:cs="Arial"/>
          <w:sz w:val="26"/>
          <w:szCs w:val="26"/>
        </w:rPr>
        <w:t xml:space="preserve"> </w:t>
      </w:r>
      <w:r w:rsidR="005E3416">
        <w:rPr>
          <w:rFonts w:ascii="Arial" w:hAnsi="Arial" w:cs="Arial"/>
          <w:sz w:val="26"/>
          <w:szCs w:val="26"/>
        </w:rPr>
        <w:t>que</w:t>
      </w:r>
      <w:r w:rsidR="008D4A48">
        <w:rPr>
          <w:rFonts w:ascii="Arial" w:hAnsi="Arial" w:cs="Arial"/>
          <w:sz w:val="26"/>
          <w:szCs w:val="26"/>
        </w:rPr>
        <w:t xml:space="preserve"> es ilegal </w:t>
      </w:r>
      <w:r w:rsidR="005E3416" w:rsidRPr="009735D0">
        <w:rPr>
          <w:rFonts w:ascii="Arial" w:hAnsi="Arial" w:cs="Arial"/>
          <w:i/>
          <w:iCs/>
          <w:sz w:val="26"/>
          <w:szCs w:val="26"/>
        </w:rPr>
        <w:t>“</w:t>
      </w:r>
      <w:r w:rsidR="005E3416" w:rsidRPr="009735D0">
        <w:rPr>
          <w:rFonts w:ascii="Arial" w:hAnsi="Arial" w:cs="Arial"/>
          <w:i/>
          <w:iCs/>
        </w:rPr>
        <w:t>la resolución</w:t>
      </w:r>
      <w:r w:rsidR="005E3416" w:rsidRPr="009735D0">
        <w:rPr>
          <w:rFonts w:ascii="Arial" w:hAnsi="Arial" w:cs="Arial"/>
          <w:i/>
          <w:iCs/>
          <w:sz w:val="26"/>
          <w:szCs w:val="26"/>
        </w:rPr>
        <w:t>”</w:t>
      </w:r>
      <w:r w:rsidR="005E3416">
        <w:rPr>
          <w:rFonts w:ascii="Arial" w:hAnsi="Arial" w:cs="Arial"/>
          <w:sz w:val="26"/>
          <w:szCs w:val="26"/>
        </w:rPr>
        <w:t xml:space="preserve"> de Primera Instancia</w:t>
      </w:r>
      <w:r w:rsidR="008D4A48">
        <w:rPr>
          <w:rFonts w:ascii="Arial" w:hAnsi="Arial" w:cs="Arial"/>
          <w:sz w:val="26"/>
          <w:szCs w:val="26"/>
        </w:rPr>
        <w:t xml:space="preserve">, porque de forma dogmática al no motivar debidamente </w:t>
      </w:r>
      <w:r w:rsidR="000928DE">
        <w:rPr>
          <w:rFonts w:ascii="Arial" w:hAnsi="Arial" w:cs="Arial"/>
          <w:sz w:val="26"/>
          <w:szCs w:val="26"/>
        </w:rPr>
        <w:t>establece “</w:t>
      </w:r>
      <w:r w:rsidR="000928DE" w:rsidRPr="009735D0">
        <w:rPr>
          <w:rFonts w:ascii="Arial" w:hAnsi="Arial" w:cs="Arial"/>
          <w:i/>
          <w:iCs/>
        </w:rPr>
        <w:t>que de concederse la suspensión se estaría otorgando efectos restitutorios a la medida cautelar</w:t>
      </w:r>
      <w:r w:rsidR="008D4A48" w:rsidRPr="009735D0">
        <w:rPr>
          <w:rFonts w:ascii="Arial" w:hAnsi="Arial" w:cs="Arial"/>
          <w:i/>
          <w:iCs/>
          <w:sz w:val="26"/>
          <w:szCs w:val="26"/>
        </w:rPr>
        <w:t>”</w:t>
      </w:r>
      <w:r w:rsidR="005014FF" w:rsidRPr="009735D0">
        <w:rPr>
          <w:rFonts w:ascii="Arial" w:hAnsi="Arial" w:cs="Arial"/>
          <w:i/>
          <w:iCs/>
          <w:sz w:val="26"/>
          <w:szCs w:val="26"/>
        </w:rPr>
        <w:t>,</w:t>
      </w:r>
      <w:r w:rsidR="005014FF">
        <w:rPr>
          <w:rFonts w:ascii="Arial" w:hAnsi="Arial" w:cs="Arial"/>
          <w:sz w:val="26"/>
          <w:szCs w:val="26"/>
        </w:rPr>
        <w:t xml:space="preserve"> pues omite </w:t>
      </w:r>
      <w:r w:rsidR="00246970">
        <w:rPr>
          <w:rFonts w:ascii="Arial" w:hAnsi="Arial" w:cs="Arial"/>
          <w:sz w:val="26"/>
          <w:szCs w:val="26"/>
        </w:rPr>
        <w:t xml:space="preserve">decir en qué forma o qué derecho se estaría restituyendo; toda vez que, de acuerdo con el concepto de restituir, a efecto de actualizar la restitución que señala </w:t>
      </w:r>
      <w:r w:rsidR="00BF43BB" w:rsidRPr="009735D0">
        <w:rPr>
          <w:rFonts w:ascii="Arial" w:hAnsi="Arial" w:cs="Arial"/>
          <w:i/>
          <w:iCs/>
          <w:sz w:val="26"/>
          <w:szCs w:val="26"/>
        </w:rPr>
        <w:t>“</w:t>
      </w:r>
      <w:r w:rsidR="00246970" w:rsidRPr="009735D0">
        <w:rPr>
          <w:rFonts w:ascii="Arial" w:hAnsi="Arial" w:cs="Arial"/>
          <w:i/>
          <w:iCs/>
        </w:rPr>
        <w:t>la responsable</w:t>
      </w:r>
      <w:r w:rsidR="00BF43BB">
        <w:rPr>
          <w:rFonts w:ascii="Arial" w:hAnsi="Arial" w:cs="Arial"/>
          <w:sz w:val="26"/>
          <w:szCs w:val="26"/>
        </w:rPr>
        <w:t>”</w:t>
      </w:r>
      <w:r w:rsidR="00246970">
        <w:rPr>
          <w:rFonts w:ascii="Arial" w:hAnsi="Arial" w:cs="Arial"/>
          <w:sz w:val="26"/>
          <w:szCs w:val="26"/>
        </w:rPr>
        <w:t xml:space="preserve">, requiere que en un primer momento se materialice un acto sobre el solicitante, porque restitutorio consiste en </w:t>
      </w:r>
      <w:r w:rsidR="00246970">
        <w:rPr>
          <w:rFonts w:ascii="Arial" w:hAnsi="Arial" w:cs="Arial"/>
          <w:sz w:val="26"/>
          <w:szCs w:val="26"/>
        </w:rPr>
        <w:lastRenderedPageBreak/>
        <w:t>que se elimine la afectación sobre el peticionario de la medida cautelar, lo que en el caso no sucede, porque no solicitó se eliminara o dejara sin efecto las diferencias del impuesto predial por rectificación de base gravable y su</w:t>
      </w:r>
      <w:r w:rsidR="00BF43BB">
        <w:rPr>
          <w:rFonts w:ascii="Arial" w:hAnsi="Arial" w:cs="Arial"/>
          <w:sz w:val="26"/>
          <w:szCs w:val="26"/>
        </w:rPr>
        <w:t>s consecuencias, ni</w:t>
      </w:r>
      <w:r w:rsidR="00246970">
        <w:rPr>
          <w:rFonts w:ascii="Arial" w:hAnsi="Arial" w:cs="Arial"/>
          <w:sz w:val="26"/>
          <w:szCs w:val="26"/>
        </w:rPr>
        <w:t xml:space="preserve"> solicitó la devolución de las cantidades pagadas por tal concepto, para que se actualizara un efecto restitutorio, porque únicamente </w:t>
      </w:r>
      <w:r w:rsidR="00BF43BB">
        <w:rPr>
          <w:rFonts w:ascii="Arial" w:hAnsi="Arial" w:cs="Arial"/>
          <w:sz w:val="26"/>
          <w:szCs w:val="26"/>
        </w:rPr>
        <w:t>pidió</w:t>
      </w:r>
      <w:r w:rsidR="00246970">
        <w:rPr>
          <w:rFonts w:ascii="Arial" w:hAnsi="Arial" w:cs="Arial"/>
          <w:sz w:val="26"/>
          <w:szCs w:val="26"/>
        </w:rPr>
        <w:t xml:space="preserve"> se le permitiera el cumplimiento de su obligaciones no controvertidas por los ejercicios pendientes de pago</w:t>
      </w:r>
      <w:r w:rsidR="005014FF">
        <w:rPr>
          <w:rFonts w:ascii="Arial" w:hAnsi="Arial" w:cs="Arial"/>
          <w:sz w:val="26"/>
          <w:szCs w:val="26"/>
        </w:rPr>
        <w:t>; cita co</w:t>
      </w:r>
      <w:r w:rsidR="00246970">
        <w:rPr>
          <w:rFonts w:ascii="Arial" w:hAnsi="Arial" w:cs="Arial"/>
          <w:sz w:val="26"/>
          <w:szCs w:val="26"/>
        </w:rPr>
        <w:t xml:space="preserve">mo apoyo el criterio de rubro: </w:t>
      </w:r>
      <w:r w:rsidR="00246970" w:rsidRPr="009735D0">
        <w:rPr>
          <w:rFonts w:ascii="Arial" w:hAnsi="Arial" w:cs="Arial"/>
          <w:i/>
          <w:iCs/>
          <w:sz w:val="26"/>
          <w:szCs w:val="26"/>
        </w:rPr>
        <w:t>“</w:t>
      </w:r>
      <w:r w:rsidR="00246970" w:rsidRPr="009735D0">
        <w:rPr>
          <w:rFonts w:ascii="Arial" w:hAnsi="Arial" w:cs="Arial"/>
          <w:i/>
          <w:iCs/>
          <w:sz w:val="20"/>
          <w:szCs w:val="20"/>
        </w:rPr>
        <w:t>SUSPENSIÓN EN EL AMPARO, CON EFECTOS RESTITUTORIOS. ES IMPROCEDENTE CONTRA ACTOS NEGATIVOS.</w:t>
      </w:r>
      <w:r w:rsidR="00246970" w:rsidRPr="009735D0">
        <w:rPr>
          <w:rFonts w:ascii="Arial" w:hAnsi="Arial" w:cs="Arial"/>
          <w:i/>
          <w:iCs/>
          <w:sz w:val="26"/>
          <w:szCs w:val="26"/>
        </w:rPr>
        <w:t xml:space="preserve">”.- - - </w:t>
      </w:r>
    </w:p>
    <w:p w14:paraId="1D644BD0" w14:textId="69FA85E5" w:rsidR="007830C7" w:rsidRDefault="007830C7" w:rsidP="007830C7">
      <w:pPr>
        <w:spacing w:before="240" w:line="360" w:lineRule="auto"/>
        <w:ind w:right="49" w:firstLine="708"/>
        <w:jc w:val="both"/>
        <w:rPr>
          <w:rFonts w:ascii="Arial" w:hAnsi="Arial" w:cs="Arial"/>
          <w:sz w:val="26"/>
          <w:szCs w:val="26"/>
        </w:rPr>
      </w:pPr>
      <w:r w:rsidRPr="007830C7">
        <w:rPr>
          <w:rFonts w:ascii="Arial" w:hAnsi="Arial" w:cs="Arial"/>
          <w:sz w:val="26"/>
          <w:szCs w:val="26"/>
        </w:rPr>
        <w:t xml:space="preserve">Por </w:t>
      </w:r>
      <w:r>
        <w:rPr>
          <w:rFonts w:ascii="Arial" w:hAnsi="Arial" w:cs="Arial"/>
          <w:sz w:val="26"/>
          <w:szCs w:val="26"/>
        </w:rPr>
        <w:t xml:space="preserve">otra parte arguye el recurrente, </w:t>
      </w:r>
      <w:r w:rsidRPr="007830C7">
        <w:rPr>
          <w:rFonts w:ascii="Arial" w:hAnsi="Arial" w:cs="Arial"/>
          <w:sz w:val="26"/>
          <w:szCs w:val="26"/>
        </w:rPr>
        <w:t>que aun cuando se actualice</w:t>
      </w:r>
      <w:r>
        <w:rPr>
          <w:rFonts w:ascii="Arial" w:hAnsi="Arial" w:cs="Arial"/>
          <w:sz w:val="26"/>
          <w:szCs w:val="26"/>
        </w:rPr>
        <w:t xml:space="preserve"> el efecto restitutorio, la Primera Instancia pierde de vista la parte final, del primer párrafo, del artículo 219 de la Ley de la materia (lo transcribe), porque de forma injustificada se le impide el cumplimiento de sus obligaciones no controvertidas, además de generarse afectaciones que de concederse la sentencia definitiva no podrán ser desincorporadas de su esfera jurídica y de ahí que se actualice la parte final, del primer párrafo del artículo 219.- - - - - - - - - - - - - - - - - - - - - - - - - - - - - - - - - - - </w:t>
      </w:r>
    </w:p>
    <w:p w14:paraId="1A96E1EF" w14:textId="2C6FB339" w:rsidR="007830C7" w:rsidRDefault="000928DE" w:rsidP="007830C7">
      <w:pPr>
        <w:spacing w:before="240" w:line="360" w:lineRule="auto"/>
        <w:ind w:right="49" w:firstLine="708"/>
        <w:jc w:val="both"/>
        <w:rPr>
          <w:rFonts w:ascii="Arial" w:hAnsi="Arial" w:cs="Arial"/>
          <w:sz w:val="26"/>
          <w:szCs w:val="26"/>
        </w:rPr>
      </w:pPr>
      <w:r>
        <w:rPr>
          <w:rFonts w:ascii="Arial" w:hAnsi="Arial" w:cs="Arial"/>
          <w:sz w:val="26"/>
          <w:szCs w:val="26"/>
        </w:rPr>
        <w:t>Esta</w:t>
      </w:r>
      <w:r w:rsidR="008D4A48">
        <w:rPr>
          <w:rFonts w:ascii="Arial" w:hAnsi="Arial" w:cs="Arial"/>
          <w:sz w:val="26"/>
          <w:szCs w:val="26"/>
        </w:rPr>
        <w:t>s</w:t>
      </w:r>
      <w:r>
        <w:rPr>
          <w:rFonts w:ascii="Arial" w:hAnsi="Arial" w:cs="Arial"/>
          <w:sz w:val="26"/>
          <w:szCs w:val="26"/>
        </w:rPr>
        <w:t xml:space="preserve"> alegaciones son </w:t>
      </w:r>
      <w:r w:rsidRPr="00502F2D">
        <w:rPr>
          <w:rFonts w:ascii="Arial" w:hAnsi="Arial" w:cs="Arial"/>
          <w:b/>
          <w:sz w:val="26"/>
          <w:szCs w:val="26"/>
        </w:rPr>
        <w:t>inoperantes</w:t>
      </w:r>
      <w:r>
        <w:rPr>
          <w:rFonts w:ascii="Arial" w:hAnsi="Arial" w:cs="Arial"/>
          <w:sz w:val="26"/>
          <w:szCs w:val="26"/>
        </w:rPr>
        <w:t xml:space="preserve"> al no controvertir la razón toral que tuvo la Primera Instancia para </w:t>
      </w:r>
      <w:r w:rsidR="008D4A48">
        <w:rPr>
          <w:rFonts w:ascii="Arial" w:hAnsi="Arial" w:cs="Arial"/>
          <w:sz w:val="26"/>
          <w:szCs w:val="26"/>
        </w:rPr>
        <w:t>negar la suspensión provisional</w:t>
      </w:r>
      <w:r>
        <w:rPr>
          <w:rFonts w:ascii="Arial" w:hAnsi="Arial" w:cs="Arial"/>
          <w:sz w:val="26"/>
          <w:szCs w:val="26"/>
        </w:rPr>
        <w:t xml:space="preserve">, consistente en que </w:t>
      </w:r>
      <w:r w:rsidR="008D4A48">
        <w:rPr>
          <w:rFonts w:ascii="Arial" w:hAnsi="Arial" w:cs="Arial"/>
          <w:sz w:val="26"/>
          <w:szCs w:val="26"/>
        </w:rPr>
        <w:t xml:space="preserve">el artículo 219 de la Ley de la materia, establece que la suspensión podrá concederse con efectos restitutorios, únicamente cuando se trate de actos privativos de la libertad decretados al particular por la autoridad administrativa o bien cuando a juicio del Magistrado sea necesario otorgar estos efectos, con el objeto de conservar la materia del litigio o impedir perjuicios irreparables al particular; por lo que en caso de concederse la suspensión se: </w:t>
      </w:r>
      <w:r w:rsidR="008D4A48">
        <w:rPr>
          <w:rFonts w:ascii="Arial" w:hAnsi="Arial" w:cs="Arial"/>
          <w:b/>
          <w:sz w:val="26"/>
          <w:szCs w:val="26"/>
        </w:rPr>
        <w:t xml:space="preserve">a) </w:t>
      </w:r>
      <w:r w:rsidR="008D4A48">
        <w:rPr>
          <w:rFonts w:ascii="Arial" w:hAnsi="Arial" w:cs="Arial"/>
          <w:sz w:val="26"/>
          <w:szCs w:val="26"/>
        </w:rPr>
        <w:t>D</w:t>
      </w:r>
      <w:r w:rsidR="008D4A48" w:rsidRPr="008D4A48">
        <w:rPr>
          <w:rFonts w:ascii="Arial" w:hAnsi="Arial" w:cs="Arial"/>
          <w:sz w:val="26"/>
          <w:szCs w:val="26"/>
        </w:rPr>
        <w:t>arían efectos re</w:t>
      </w:r>
      <w:r w:rsidR="008D4A48">
        <w:rPr>
          <w:rFonts w:ascii="Arial" w:hAnsi="Arial" w:cs="Arial"/>
          <w:sz w:val="26"/>
          <w:szCs w:val="26"/>
        </w:rPr>
        <w:t xml:space="preserve">stitutorios a la medida cautelar, </w:t>
      </w:r>
      <w:r w:rsidR="008D4A48">
        <w:rPr>
          <w:rFonts w:ascii="Arial" w:hAnsi="Arial" w:cs="Arial"/>
          <w:b/>
          <w:sz w:val="26"/>
          <w:szCs w:val="26"/>
        </w:rPr>
        <w:t xml:space="preserve">b) </w:t>
      </w:r>
      <w:r w:rsidR="008D4A48">
        <w:rPr>
          <w:rFonts w:ascii="Arial" w:hAnsi="Arial" w:cs="Arial"/>
          <w:sz w:val="26"/>
          <w:szCs w:val="26"/>
        </w:rPr>
        <w:t xml:space="preserve">Se extralimitarían los efectos de la suspensión provisional, propios de la sentencia en donde se estudia el fondo del asunto y </w:t>
      </w:r>
      <w:r w:rsidR="008D4A48" w:rsidRPr="008D4A48">
        <w:rPr>
          <w:rFonts w:ascii="Arial" w:hAnsi="Arial" w:cs="Arial"/>
          <w:b/>
          <w:sz w:val="26"/>
          <w:szCs w:val="26"/>
        </w:rPr>
        <w:t>c)</w:t>
      </w:r>
      <w:r w:rsidR="000A4E32">
        <w:rPr>
          <w:rFonts w:ascii="Arial" w:hAnsi="Arial" w:cs="Arial"/>
          <w:sz w:val="26"/>
          <w:szCs w:val="26"/>
        </w:rPr>
        <w:t xml:space="preserve"> Que de</w:t>
      </w:r>
      <w:r w:rsidR="008D4A48">
        <w:rPr>
          <w:rFonts w:ascii="Arial" w:hAnsi="Arial" w:cs="Arial"/>
          <w:sz w:val="26"/>
          <w:szCs w:val="26"/>
        </w:rPr>
        <w:t xml:space="preserve"> otorgarse la suspensión del acto i</w:t>
      </w:r>
      <w:r w:rsidR="00997631">
        <w:rPr>
          <w:rFonts w:ascii="Arial" w:hAnsi="Arial" w:cs="Arial"/>
          <w:sz w:val="26"/>
          <w:szCs w:val="26"/>
        </w:rPr>
        <w:t>m</w:t>
      </w:r>
      <w:r w:rsidR="008D4A48">
        <w:rPr>
          <w:rFonts w:ascii="Arial" w:hAnsi="Arial" w:cs="Arial"/>
          <w:sz w:val="26"/>
          <w:szCs w:val="26"/>
        </w:rPr>
        <w:t xml:space="preserve">pugnado </w:t>
      </w:r>
      <w:r w:rsidR="000A4E32">
        <w:rPr>
          <w:rFonts w:ascii="Arial" w:hAnsi="Arial" w:cs="Arial"/>
          <w:sz w:val="26"/>
          <w:szCs w:val="26"/>
        </w:rPr>
        <w:t xml:space="preserve">no </w:t>
      </w:r>
      <w:r w:rsidR="008D4A48">
        <w:rPr>
          <w:rFonts w:ascii="Arial" w:hAnsi="Arial" w:cs="Arial"/>
          <w:sz w:val="26"/>
          <w:szCs w:val="26"/>
        </w:rPr>
        <w:t>se conservar</w:t>
      </w:r>
      <w:r w:rsidR="000A4E32">
        <w:rPr>
          <w:rFonts w:ascii="Arial" w:hAnsi="Arial" w:cs="Arial"/>
          <w:sz w:val="26"/>
          <w:szCs w:val="26"/>
        </w:rPr>
        <w:t xml:space="preserve">ía </w:t>
      </w:r>
      <w:r w:rsidR="008D4A48">
        <w:rPr>
          <w:rFonts w:ascii="Arial" w:hAnsi="Arial" w:cs="Arial"/>
          <w:sz w:val="26"/>
          <w:szCs w:val="26"/>
        </w:rPr>
        <w:t>la materia del juicio</w:t>
      </w:r>
      <w:r w:rsidR="00020D9D">
        <w:rPr>
          <w:rFonts w:ascii="Arial" w:hAnsi="Arial" w:cs="Arial"/>
          <w:sz w:val="26"/>
          <w:szCs w:val="26"/>
        </w:rPr>
        <w:t xml:space="preserve">; pues con sus alegaciones únicamente se concreta a señalar que no solicitó se eliminara o dejara sin efecto las diferencias del impuesto predial por rectificación de base gravable y sus consecuencias, ni solicitó la devolución de las cantidades pagadas por tal concepto para que se actualizara un efecto restitutorio, porque </w:t>
      </w:r>
      <w:r w:rsidR="00B07CB3">
        <w:rPr>
          <w:rFonts w:ascii="Arial" w:hAnsi="Arial" w:cs="Arial"/>
          <w:sz w:val="26"/>
          <w:szCs w:val="26"/>
        </w:rPr>
        <w:t>sólo</w:t>
      </w:r>
      <w:r w:rsidR="00020D9D">
        <w:rPr>
          <w:rFonts w:ascii="Arial" w:hAnsi="Arial" w:cs="Arial"/>
          <w:sz w:val="26"/>
          <w:szCs w:val="26"/>
        </w:rPr>
        <w:t xml:space="preserve"> pidió se le permitiera el cumplimiento de su obligaciones no controvertidas por los ejercicios pendientes de pago</w:t>
      </w:r>
      <w:r w:rsidR="007830C7">
        <w:rPr>
          <w:rFonts w:ascii="Arial" w:hAnsi="Arial" w:cs="Arial"/>
          <w:sz w:val="26"/>
          <w:szCs w:val="26"/>
        </w:rPr>
        <w:t xml:space="preserve">; así como que de forma injustificada se le impide el cumplimiento de sus obligaciones no </w:t>
      </w:r>
      <w:r w:rsidR="007830C7">
        <w:rPr>
          <w:rFonts w:ascii="Arial" w:hAnsi="Arial" w:cs="Arial"/>
          <w:sz w:val="26"/>
          <w:szCs w:val="26"/>
        </w:rPr>
        <w:lastRenderedPageBreak/>
        <w:t xml:space="preserve">controvertidas, además de generársele afectaciones que de concederse la sentencia definitiva no podrán ser desincorporadas de su esfera jurídica (sin precisarlas).- - </w:t>
      </w:r>
      <w:r w:rsidR="00B07CB3">
        <w:rPr>
          <w:rFonts w:ascii="Arial" w:hAnsi="Arial" w:cs="Arial"/>
          <w:sz w:val="26"/>
          <w:szCs w:val="26"/>
        </w:rPr>
        <w:t xml:space="preserve">- - - - - - - - - - - - - - - - - - - - - - - - - - - - - - - - </w:t>
      </w:r>
    </w:p>
    <w:p w14:paraId="07C914F9" w14:textId="546AF7C4" w:rsidR="00B07CB3" w:rsidRDefault="00020D9D" w:rsidP="00B07CB3">
      <w:pPr>
        <w:spacing w:before="240" w:after="0" w:line="360" w:lineRule="auto"/>
        <w:ind w:firstLine="709"/>
        <w:jc w:val="both"/>
        <w:rPr>
          <w:rFonts w:ascii="Arial" w:eastAsia="Times New Roman" w:hAnsi="Arial"/>
          <w:color w:val="000000" w:themeColor="text1"/>
          <w:sz w:val="26"/>
          <w:szCs w:val="26"/>
        </w:rPr>
      </w:pPr>
      <w:r>
        <w:rPr>
          <w:rFonts w:ascii="Arial" w:eastAsia="Calibri" w:hAnsi="Arial" w:cs="Arial"/>
          <w:bCs/>
          <w:sz w:val="26"/>
          <w:szCs w:val="26"/>
        </w:rPr>
        <w:t xml:space="preserve">Resultando por ello </w:t>
      </w:r>
      <w:r>
        <w:rPr>
          <w:rFonts w:ascii="Arial" w:eastAsia="Calibri" w:hAnsi="Arial" w:cs="Arial"/>
          <w:b/>
          <w:bCs/>
          <w:sz w:val="26"/>
          <w:szCs w:val="26"/>
        </w:rPr>
        <w:t>inoperantes</w:t>
      </w:r>
      <w:r>
        <w:rPr>
          <w:rFonts w:ascii="Arial" w:eastAsia="Calibri" w:hAnsi="Arial" w:cs="Arial"/>
          <w:bCs/>
          <w:sz w:val="26"/>
          <w:szCs w:val="26"/>
        </w:rPr>
        <w:t xml:space="preserve"> las alegaciones, porque para evidenciar la ilegalidad de la determinación emitida por la Primera Instancia, era necesario que realizara manifestaciones tendientes a combatir los razonamientos y fundamentos considerados por el A quo para sustentar su negativa de otorgar la suspensión provisional solicitada; esto es, debió con sus argumentos debatir que contrario a lo precisado por la Primera Instancia con el otorgamiento de la medida cautelar no se dan </w:t>
      </w:r>
      <w:r w:rsidRPr="008D4A48">
        <w:rPr>
          <w:rFonts w:ascii="Arial" w:hAnsi="Arial" w:cs="Arial"/>
          <w:sz w:val="26"/>
          <w:szCs w:val="26"/>
        </w:rPr>
        <w:t>efectos re</w:t>
      </w:r>
      <w:r>
        <w:rPr>
          <w:rFonts w:ascii="Arial" w:hAnsi="Arial" w:cs="Arial"/>
          <w:sz w:val="26"/>
          <w:szCs w:val="26"/>
        </w:rPr>
        <w:t>stitutorios, no se extralimitan los efectos de la suspensión provisional, propios de la sentencia, ni se deja de conservar la materia del juicio; por l</w:t>
      </w:r>
      <w:r>
        <w:rPr>
          <w:rFonts w:ascii="Arial" w:eastAsia="Calibri" w:hAnsi="Arial" w:cs="Arial"/>
          <w:bCs/>
          <w:sz w:val="26"/>
          <w:szCs w:val="26"/>
        </w:rPr>
        <w:t>o que, al no hacerlo así es evidente que no precisa la lesión que le causa los sustentos del fallo combatido; consecuentemente, las consideraciones emitidas por la Primera Instancia siguen rigiendo el sentido del auto en revisión</w:t>
      </w:r>
      <w:r w:rsidR="00B07CB3">
        <w:rPr>
          <w:rFonts w:ascii="Arial" w:eastAsia="Calibri" w:hAnsi="Arial" w:cs="Arial"/>
          <w:bCs/>
          <w:sz w:val="26"/>
          <w:szCs w:val="26"/>
        </w:rPr>
        <w:t>;</w:t>
      </w:r>
      <w:r>
        <w:rPr>
          <w:rFonts w:ascii="Arial" w:eastAsia="Calibri" w:hAnsi="Arial" w:cs="Arial"/>
          <w:bCs/>
          <w:sz w:val="26"/>
          <w:szCs w:val="26"/>
        </w:rPr>
        <w:t xml:space="preserve"> </w:t>
      </w:r>
      <w:r w:rsidR="00B07CB3">
        <w:rPr>
          <w:rFonts w:ascii="Arial" w:eastAsia="Calibri" w:hAnsi="Arial" w:cs="Arial"/>
          <w:bCs/>
          <w:sz w:val="26"/>
          <w:szCs w:val="26"/>
        </w:rPr>
        <w:t>s</w:t>
      </w:r>
      <w:r w:rsidR="00B07CB3">
        <w:rPr>
          <w:rFonts w:ascii="Arial" w:hAnsi="Arial" w:cs="Arial"/>
          <w:bCs/>
          <w:color w:val="000000" w:themeColor="text1"/>
          <w:sz w:val="26"/>
          <w:szCs w:val="26"/>
        </w:rPr>
        <w:t xml:space="preserve">irve de apoyo a lo anterior </w:t>
      </w:r>
      <w:r w:rsidR="009477B4">
        <w:rPr>
          <w:rFonts w:ascii="Arial" w:hAnsi="Arial" w:cs="Arial"/>
          <w:bCs/>
          <w:color w:val="000000" w:themeColor="text1"/>
          <w:sz w:val="26"/>
          <w:szCs w:val="26"/>
        </w:rPr>
        <w:t>e</w:t>
      </w:r>
      <w:r w:rsidR="00B07CB3">
        <w:rPr>
          <w:rFonts w:ascii="Arial" w:hAnsi="Arial" w:cs="Arial"/>
          <w:bCs/>
          <w:color w:val="000000" w:themeColor="text1"/>
          <w:sz w:val="26"/>
          <w:szCs w:val="26"/>
        </w:rPr>
        <w:t>l siguiente criterio</w:t>
      </w:r>
      <w:r w:rsidR="009477B4">
        <w:rPr>
          <w:rFonts w:ascii="Arial" w:eastAsia="Times New Roman" w:hAnsi="Arial"/>
          <w:color w:val="000000" w:themeColor="text1"/>
        </w:rPr>
        <w:t>.</w:t>
      </w:r>
      <w:r w:rsidR="009477B4">
        <w:rPr>
          <w:rFonts w:ascii="Arial" w:eastAsia="Calibri" w:hAnsi="Arial" w:cs="Arial"/>
          <w:bCs/>
          <w:color w:val="000000" w:themeColor="text1"/>
        </w:rPr>
        <w:t>”</w:t>
      </w:r>
      <w:r w:rsidR="009477B4">
        <w:rPr>
          <w:rStyle w:val="Refdenotaalpie"/>
          <w:rFonts w:ascii="Arial" w:hAnsi="Arial" w:cs="Arial"/>
          <w:sz w:val="26"/>
          <w:szCs w:val="26"/>
        </w:rPr>
        <w:footnoteReference w:id="2"/>
      </w:r>
      <w:r w:rsidR="00B07CB3">
        <w:rPr>
          <w:rFonts w:ascii="Arial" w:hAnsi="Arial" w:cs="Arial"/>
          <w:bCs/>
          <w:color w:val="000000" w:themeColor="text1"/>
          <w:sz w:val="26"/>
          <w:szCs w:val="26"/>
        </w:rPr>
        <w:t xml:space="preserve"> </w:t>
      </w:r>
      <w:r w:rsidR="00B07CB3">
        <w:rPr>
          <w:rFonts w:ascii="Arial" w:eastAsia="Times New Roman" w:hAnsi="Arial"/>
          <w:color w:val="000000" w:themeColor="text1"/>
          <w:sz w:val="26"/>
          <w:szCs w:val="26"/>
        </w:rPr>
        <w:t xml:space="preserve">cuyo rubro y texto son los siguientes:- </w:t>
      </w:r>
    </w:p>
    <w:p w14:paraId="48363760" w14:textId="55CFCB18" w:rsidR="00B07CB3" w:rsidRPr="009735D0" w:rsidRDefault="00B07CB3" w:rsidP="009735D0">
      <w:pPr>
        <w:spacing w:before="240" w:after="120" w:line="276" w:lineRule="auto"/>
        <w:ind w:left="1134" w:right="474"/>
        <w:jc w:val="both"/>
        <w:rPr>
          <w:rFonts w:ascii="Arial" w:eastAsia="Calibri" w:hAnsi="Arial" w:cs="Arial"/>
          <w:bCs/>
          <w:i/>
          <w:iCs/>
          <w:color w:val="000000" w:themeColor="text1"/>
        </w:rPr>
      </w:pPr>
      <w:r w:rsidRPr="009735D0">
        <w:rPr>
          <w:rFonts w:ascii="Arial" w:eastAsia="Times New Roman" w:hAnsi="Arial"/>
          <w:i/>
          <w:iCs/>
          <w:color w:val="000000" w:themeColor="text1"/>
          <w:sz w:val="26"/>
          <w:szCs w:val="26"/>
        </w:rPr>
        <w:t>“</w:t>
      </w:r>
      <w:r w:rsidRPr="009735D0">
        <w:rPr>
          <w:rFonts w:ascii="Arial" w:eastAsia="Times New Roman" w:hAnsi="Arial"/>
          <w:b/>
          <w:i/>
          <w:iCs/>
          <w:color w:val="000000" w:themeColor="text1"/>
          <w:sz w:val="20"/>
          <w:szCs w:val="20"/>
        </w:rPr>
        <w:t>AGRAVIOS. DEBEN DE IMPUGNAR LA ILEGALIDAD DEL FALLO RECURRIDO</w:t>
      </w:r>
      <w:r w:rsidRPr="009735D0">
        <w:rPr>
          <w:rFonts w:ascii="Arial" w:eastAsia="Times New Roman" w:hAnsi="Arial"/>
          <w:b/>
          <w:i/>
          <w:iCs/>
          <w:color w:val="000000" w:themeColor="text1"/>
        </w:rPr>
        <w:t xml:space="preserve">. </w:t>
      </w:r>
      <w:r w:rsidRPr="009735D0">
        <w:rPr>
          <w:rFonts w:ascii="Arial" w:eastAsia="Times New Roman" w:hAnsi="Arial"/>
          <w:i/>
          <w:iCs/>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9735D0">
        <w:rPr>
          <w:rFonts w:ascii="Arial" w:eastAsia="Calibri" w:hAnsi="Arial" w:cs="Arial"/>
          <w:bCs/>
          <w:i/>
          <w:iCs/>
          <w:color w:val="000000" w:themeColor="text1"/>
        </w:rPr>
        <w:t>”</w:t>
      </w:r>
    </w:p>
    <w:p w14:paraId="1FAF3023" w14:textId="3DCB6F67" w:rsidR="009477B4" w:rsidRPr="009477B4" w:rsidRDefault="009477B4" w:rsidP="009477B4">
      <w:pPr>
        <w:spacing w:before="240" w:after="120" w:line="360" w:lineRule="auto"/>
        <w:ind w:right="-376"/>
        <w:jc w:val="both"/>
        <w:rPr>
          <w:rFonts w:ascii="Arial" w:hAnsi="Arial" w:cs="Arial"/>
          <w:sz w:val="26"/>
          <w:szCs w:val="26"/>
        </w:rPr>
      </w:pPr>
      <w:r w:rsidRPr="009477B4">
        <w:rPr>
          <w:rFonts w:ascii="Arial" w:eastAsia="Calibri" w:hAnsi="Arial" w:cs="Arial"/>
          <w:bCs/>
          <w:color w:val="000000" w:themeColor="text1"/>
          <w:sz w:val="26"/>
          <w:szCs w:val="26"/>
        </w:rPr>
        <w:tab/>
        <w:t>Así como la Jurisprudencia</w:t>
      </w:r>
      <w:r>
        <w:rPr>
          <w:rFonts w:ascii="Arial" w:eastAsia="Times New Roman" w:hAnsi="Arial"/>
          <w:color w:val="000000" w:themeColor="text1"/>
        </w:rPr>
        <w:t>.</w:t>
      </w:r>
      <w:r>
        <w:rPr>
          <w:rFonts w:ascii="Arial" w:eastAsia="Calibri" w:hAnsi="Arial" w:cs="Arial"/>
          <w:bCs/>
          <w:color w:val="000000" w:themeColor="text1"/>
        </w:rPr>
        <w:t>”</w:t>
      </w:r>
      <w:r>
        <w:rPr>
          <w:rStyle w:val="Refdenotaalpie"/>
          <w:rFonts w:ascii="Arial" w:hAnsi="Arial" w:cs="Arial"/>
          <w:sz w:val="26"/>
          <w:szCs w:val="26"/>
        </w:rPr>
        <w:footnoteReference w:id="3"/>
      </w:r>
      <w:r w:rsidRPr="009477B4">
        <w:rPr>
          <w:rFonts w:ascii="Arial" w:eastAsia="Calibri" w:hAnsi="Arial" w:cs="Arial"/>
          <w:bCs/>
          <w:color w:val="000000" w:themeColor="text1"/>
          <w:sz w:val="26"/>
          <w:szCs w:val="26"/>
        </w:rPr>
        <w:t xml:space="preserve"> </w:t>
      </w:r>
      <w:proofErr w:type="gramStart"/>
      <w:r w:rsidRPr="009477B4">
        <w:rPr>
          <w:rFonts w:ascii="Arial" w:eastAsia="Calibri" w:hAnsi="Arial" w:cs="Arial"/>
          <w:bCs/>
          <w:color w:val="000000" w:themeColor="text1"/>
          <w:sz w:val="26"/>
          <w:szCs w:val="26"/>
        </w:rPr>
        <w:t>de</w:t>
      </w:r>
      <w:proofErr w:type="gramEnd"/>
      <w:r w:rsidRPr="009477B4">
        <w:rPr>
          <w:rFonts w:ascii="Arial" w:eastAsia="Calibri" w:hAnsi="Arial" w:cs="Arial"/>
          <w:bCs/>
          <w:color w:val="000000" w:themeColor="text1"/>
          <w:sz w:val="26"/>
          <w:szCs w:val="26"/>
        </w:rPr>
        <w:t xml:space="preserve"> rubro y texto siguiente:</w:t>
      </w:r>
      <w:r>
        <w:rPr>
          <w:rFonts w:ascii="Arial" w:eastAsia="Calibri" w:hAnsi="Arial" w:cs="Arial"/>
          <w:bCs/>
          <w:color w:val="000000" w:themeColor="text1"/>
          <w:sz w:val="26"/>
          <w:szCs w:val="26"/>
        </w:rPr>
        <w:t>- - - - - - - - -</w:t>
      </w:r>
    </w:p>
    <w:p w14:paraId="62F72A13" w14:textId="2AD284D4" w:rsidR="00B07CB3" w:rsidRPr="009735D0" w:rsidRDefault="00B07CB3" w:rsidP="009735D0">
      <w:pPr>
        <w:spacing w:before="240" w:after="0" w:line="276" w:lineRule="auto"/>
        <w:ind w:left="1134" w:right="474"/>
        <w:jc w:val="both"/>
        <w:rPr>
          <w:rFonts w:ascii="Arial" w:eastAsia="Calibri" w:hAnsi="Arial" w:cs="Arial"/>
          <w:bCs/>
          <w:i/>
          <w:iCs/>
          <w:sz w:val="26"/>
          <w:szCs w:val="26"/>
        </w:rPr>
      </w:pPr>
      <w:r w:rsidRPr="009735D0">
        <w:rPr>
          <w:rFonts w:ascii="Arial" w:eastAsia="Calibri" w:hAnsi="Arial" w:cs="Arial"/>
          <w:bCs/>
          <w:i/>
          <w:iCs/>
          <w:sz w:val="26"/>
          <w:szCs w:val="26"/>
        </w:rPr>
        <w:t>“</w:t>
      </w:r>
      <w:r w:rsidRPr="009735D0">
        <w:rPr>
          <w:rFonts w:ascii="Arial" w:eastAsia="Calibri" w:hAnsi="Arial" w:cs="Arial"/>
          <w:b/>
          <w:bCs/>
          <w:i/>
          <w:iCs/>
          <w:sz w:val="20"/>
          <w:szCs w:val="20"/>
        </w:rPr>
        <w:t>AGRAVIOS INOPERANTES EN LA REVISIÓN. SON AQUELLOS EN LOS QUE SE PRODUCE UN IMPEDIMENTO TÉCNICO QUE IMPOSIBILITA EL EXAMEN DEL PLANTEAMIENTO QUE CONTIENEN</w:t>
      </w:r>
      <w:r w:rsidRPr="009735D0">
        <w:rPr>
          <w:rFonts w:ascii="Arial" w:eastAsia="Calibri" w:hAnsi="Arial" w:cs="Arial"/>
          <w:bCs/>
          <w:i/>
          <w:iCs/>
        </w:rPr>
        <w:t xml:space="preserve">. 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w:t>
      </w:r>
      <w:r w:rsidRPr="009735D0">
        <w:rPr>
          <w:rFonts w:ascii="Arial" w:eastAsia="Calibri" w:hAnsi="Arial" w:cs="Arial"/>
          <w:bCs/>
          <w:i/>
          <w:iCs/>
        </w:rPr>
        <w:lastRenderedPageBreak/>
        <w:t>respeto a las normas fundamentales que rigen el procedimiento del juicio, labor realizada por el órgano revisor a la luz de los agravios expuestos por el recurrente, con el objeto de atacar las consideraciones que sustentan la sentencia recurrida o para 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a) al no controvertir de manera suficiente y eficaz las consideraciones que rigen la sentencia; b) al introducir pruebas o argumentos novedosos a la litis del juicio de amparo;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planteamiento propuesto, como puede ser cuando se desatienda la naturaleza de la revisión y del órgano que emitió la sentencia o la existencia de jurisprudencia que resuelve el fondo del asunto planteado</w:t>
      </w:r>
      <w:r w:rsidRPr="009735D0">
        <w:rPr>
          <w:rFonts w:ascii="Arial" w:eastAsia="Times New Roman" w:hAnsi="Arial"/>
          <w:i/>
          <w:iCs/>
          <w:color w:val="000000" w:themeColor="text1"/>
        </w:rPr>
        <w:t>.</w:t>
      </w:r>
      <w:r w:rsidRPr="009735D0">
        <w:rPr>
          <w:rFonts w:ascii="Arial" w:eastAsia="Calibri" w:hAnsi="Arial" w:cs="Arial"/>
          <w:bCs/>
          <w:i/>
          <w:iCs/>
          <w:color w:val="000000" w:themeColor="text1"/>
        </w:rPr>
        <w:t>”</w:t>
      </w:r>
    </w:p>
    <w:p w14:paraId="47CD2AEA" w14:textId="57D7AB07" w:rsidR="004E39C3" w:rsidRDefault="004E39C3" w:rsidP="00B07CB3">
      <w:pPr>
        <w:spacing w:before="240" w:line="360" w:lineRule="auto"/>
        <w:ind w:firstLine="709"/>
        <w:jc w:val="both"/>
        <w:rPr>
          <w:rFonts w:ascii="Arial" w:hAnsi="Arial" w:cs="Arial"/>
          <w:sz w:val="26"/>
          <w:szCs w:val="26"/>
        </w:rPr>
      </w:pPr>
      <w:r>
        <w:rPr>
          <w:rFonts w:ascii="Arial" w:hAnsi="Arial" w:cs="Arial"/>
          <w:sz w:val="26"/>
          <w:szCs w:val="26"/>
        </w:rPr>
        <w:t>En mérito de lo anterior</w:t>
      </w:r>
      <w:r w:rsidR="008504E8">
        <w:rPr>
          <w:rFonts w:ascii="Arial" w:hAnsi="Arial" w:cs="Arial"/>
          <w:sz w:val="26"/>
          <w:szCs w:val="26"/>
        </w:rPr>
        <w:t xml:space="preserve"> y ante lo </w:t>
      </w:r>
      <w:r w:rsidR="008504E8">
        <w:rPr>
          <w:rFonts w:ascii="Arial" w:hAnsi="Arial" w:cs="Arial"/>
          <w:b/>
          <w:sz w:val="26"/>
          <w:szCs w:val="26"/>
        </w:rPr>
        <w:t>inoperante</w:t>
      </w:r>
      <w:r w:rsidR="008504E8">
        <w:rPr>
          <w:rFonts w:ascii="Arial" w:hAnsi="Arial" w:cs="Arial"/>
          <w:sz w:val="26"/>
          <w:szCs w:val="26"/>
        </w:rPr>
        <w:t xml:space="preserve"> de los agravios planteados, </w:t>
      </w:r>
      <w:r>
        <w:rPr>
          <w:rFonts w:ascii="Arial" w:hAnsi="Arial" w:cs="Arial"/>
          <w:sz w:val="26"/>
          <w:szCs w:val="26"/>
        </w:rPr>
        <w:t>con fundamento en los artículos 23</w:t>
      </w:r>
      <w:r w:rsidR="00E62248">
        <w:rPr>
          <w:rFonts w:ascii="Arial" w:hAnsi="Arial" w:cs="Arial"/>
          <w:sz w:val="26"/>
          <w:szCs w:val="26"/>
        </w:rPr>
        <w:t>6</w:t>
      </w:r>
      <w:r>
        <w:rPr>
          <w:rFonts w:ascii="Arial" w:hAnsi="Arial" w:cs="Arial"/>
          <w:sz w:val="26"/>
          <w:szCs w:val="26"/>
        </w:rPr>
        <w:t xml:space="preserve"> y 238 de la Ley de Procedimiento y Justicia Administrativa para el Estado de Oaxaca, se:- </w:t>
      </w:r>
    </w:p>
    <w:p w14:paraId="24F41C5D" w14:textId="77777777" w:rsidR="004E39C3" w:rsidRDefault="004E39C3" w:rsidP="00E62248">
      <w:pPr>
        <w:tabs>
          <w:tab w:val="left" w:pos="1134"/>
        </w:tabs>
        <w:spacing w:line="360" w:lineRule="auto"/>
        <w:ind w:right="49"/>
        <w:jc w:val="center"/>
        <w:rPr>
          <w:rFonts w:ascii="Arial" w:hAnsi="Arial" w:cs="Arial"/>
          <w:b/>
          <w:sz w:val="26"/>
          <w:szCs w:val="26"/>
        </w:rPr>
      </w:pPr>
      <w:r>
        <w:rPr>
          <w:rFonts w:ascii="Arial" w:hAnsi="Arial" w:cs="Arial"/>
          <w:b/>
          <w:sz w:val="26"/>
          <w:szCs w:val="26"/>
        </w:rPr>
        <w:t>R E S U E L V E</w:t>
      </w:r>
    </w:p>
    <w:p w14:paraId="43F0EEF5" w14:textId="0915BAC5" w:rsidR="004E39C3" w:rsidRDefault="004E39C3" w:rsidP="00E62248">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9735D0">
        <w:rPr>
          <w:rFonts w:ascii="Arial" w:hAnsi="Arial" w:cs="Arial"/>
          <w:b/>
          <w:sz w:val="26"/>
          <w:szCs w:val="26"/>
        </w:rPr>
        <w:t>CONFIRMA</w:t>
      </w:r>
      <w:r>
        <w:rPr>
          <w:rFonts w:ascii="Arial" w:hAnsi="Arial" w:cs="Arial"/>
          <w:b/>
          <w:sz w:val="26"/>
          <w:szCs w:val="26"/>
        </w:rPr>
        <w:t xml:space="preserve"> </w:t>
      </w:r>
      <w:r>
        <w:rPr>
          <w:rFonts w:ascii="Arial" w:hAnsi="Arial" w:cs="Arial"/>
          <w:sz w:val="26"/>
          <w:szCs w:val="26"/>
        </w:rPr>
        <w:t xml:space="preserve">el auto de </w:t>
      </w:r>
      <w:r w:rsidR="008504E8">
        <w:rPr>
          <w:rFonts w:ascii="Arial" w:hAnsi="Arial" w:cs="Arial"/>
          <w:sz w:val="26"/>
          <w:szCs w:val="26"/>
        </w:rPr>
        <w:t xml:space="preserve">seis </w:t>
      </w:r>
      <w:r>
        <w:rPr>
          <w:rFonts w:ascii="Arial" w:hAnsi="Arial" w:cs="Arial"/>
          <w:color w:val="000000"/>
          <w:sz w:val="26"/>
          <w:szCs w:val="26"/>
        </w:rPr>
        <w:t xml:space="preserve">de </w:t>
      </w:r>
      <w:r w:rsidR="008504E8">
        <w:rPr>
          <w:rFonts w:ascii="Arial" w:hAnsi="Arial" w:cs="Arial"/>
          <w:color w:val="000000"/>
          <w:sz w:val="26"/>
          <w:szCs w:val="26"/>
        </w:rPr>
        <w:t xml:space="preserve">julio </w:t>
      </w:r>
      <w:r>
        <w:rPr>
          <w:rFonts w:ascii="Arial" w:hAnsi="Arial" w:cs="Arial"/>
          <w:color w:val="000000"/>
          <w:sz w:val="26"/>
          <w:szCs w:val="26"/>
        </w:rPr>
        <w:t xml:space="preserve">de dos mil </w:t>
      </w:r>
      <w:r w:rsidR="008504E8">
        <w:rPr>
          <w:rFonts w:ascii="Arial" w:hAnsi="Arial" w:cs="Arial"/>
          <w:color w:val="000000"/>
          <w:sz w:val="26"/>
          <w:szCs w:val="26"/>
        </w:rPr>
        <w:t>veintiuno</w:t>
      </w:r>
      <w:r>
        <w:rPr>
          <w:rFonts w:ascii="Arial" w:hAnsi="Arial" w:cs="Arial"/>
          <w:sz w:val="26"/>
          <w:szCs w:val="26"/>
        </w:rPr>
        <w:t xml:space="preserve">, por las razones expuestas en el considerando que </w:t>
      </w:r>
      <w:r w:rsidR="009735D0">
        <w:rPr>
          <w:rFonts w:ascii="Arial" w:hAnsi="Arial" w:cs="Arial"/>
          <w:sz w:val="26"/>
          <w:szCs w:val="26"/>
        </w:rPr>
        <w:t xml:space="preserve">antecede. </w:t>
      </w:r>
    </w:p>
    <w:p w14:paraId="0D0BF84F" w14:textId="7747667C" w:rsidR="004E39C3" w:rsidRDefault="004E39C3" w:rsidP="00E62248">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8504E8">
        <w:rPr>
          <w:rFonts w:ascii="Arial" w:hAnsi="Arial" w:cs="Arial"/>
          <w:sz w:val="26"/>
          <w:szCs w:val="26"/>
        </w:rPr>
        <w:t xml:space="preserve">Primera </w:t>
      </w:r>
      <w:r>
        <w:rPr>
          <w:rFonts w:ascii="Arial" w:hAnsi="Arial" w:cs="Arial"/>
          <w:sz w:val="26"/>
          <w:szCs w:val="26"/>
        </w:rPr>
        <w:t xml:space="preserve">Sala Unitaria de Primera Instancia de este Tribunal y en su oportunidad archívese el cuaderno de revisión como asunto concluido.- - - - - - - - - - - - - - - - - - - - - - - - - - - - - - - - - - - </w:t>
      </w:r>
    </w:p>
    <w:p w14:paraId="1F41B73B" w14:textId="0933AD85" w:rsidR="004E39C3" w:rsidRDefault="004E39C3" w:rsidP="00E62248">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69411765" w14:textId="21AACA12" w:rsidR="007830C7" w:rsidRDefault="007830C7" w:rsidP="00E62248">
      <w:pPr>
        <w:spacing w:line="360" w:lineRule="auto"/>
        <w:ind w:right="49"/>
        <w:jc w:val="center"/>
        <w:rPr>
          <w:rFonts w:ascii="Arial" w:hAnsi="Arial" w:cs="Arial"/>
          <w:sz w:val="26"/>
          <w:szCs w:val="26"/>
        </w:rPr>
      </w:pPr>
    </w:p>
    <w:p w14:paraId="3016D85A" w14:textId="77777777" w:rsidR="009735D0" w:rsidRDefault="009735D0" w:rsidP="009735D0">
      <w:pPr>
        <w:spacing w:before="240" w:line="360" w:lineRule="auto"/>
        <w:ind w:right="49"/>
        <w:jc w:val="center"/>
        <w:rPr>
          <w:rFonts w:ascii="Arial" w:hAnsi="Arial" w:cs="Arial"/>
          <w:sz w:val="26"/>
          <w:szCs w:val="26"/>
        </w:rPr>
      </w:pPr>
    </w:p>
    <w:p w14:paraId="36C7F2DF" w14:textId="77777777" w:rsidR="009735D0" w:rsidRDefault="009735D0" w:rsidP="00E62248">
      <w:pPr>
        <w:spacing w:line="360" w:lineRule="auto"/>
        <w:ind w:right="49"/>
        <w:jc w:val="center"/>
        <w:rPr>
          <w:rFonts w:ascii="Arial" w:hAnsi="Arial" w:cs="Arial"/>
          <w:sz w:val="26"/>
          <w:szCs w:val="26"/>
        </w:rPr>
      </w:pPr>
    </w:p>
    <w:p w14:paraId="4433959F" w14:textId="18CB1034" w:rsidR="009735D0" w:rsidRDefault="009735D0" w:rsidP="009735D0">
      <w:pPr>
        <w:spacing w:line="360" w:lineRule="auto"/>
        <w:ind w:right="49"/>
        <w:rPr>
          <w:rFonts w:ascii="Arial" w:hAnsi="Arial" w:cs="Arial"/>
          <w:sz w:val="26"/>
          <w:szCs w:val="26"/>
        </w:rPr>
      </w:pPr>
    </w:p>
    <w:p w14:paraId="40409CB6" w14:textId="77777777" w:rsidR="00F929F5" w:rsidRDefault="00F929F5" w:rsidP="00F929F5">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lastRenderedPageBreak/>
        <w:t>LAS PRESENTES FIRMAS CORRESPONDEN A LA RESOLUCIÓN DEL RECURSO DE REVISIÓN 0338/2021.</w:t>
      </w:r>
    </w:p>
    <w:p w14:paraId="41396A8A" w14:textId="77777777" w:rsidR="009735D0" w:rsidRDefault="009735D0" w:rsidP="009735D0">
      <w:pPr>
        <w:spacing w:line="360" w:lineRule="auto"/>
        <w:ind w:right="49"/>
        <w:rPr>
          <w:rFonts w:ascii="Arial" w:hAnsi="Arial" w:cs="Arial"/>
          <w:sz w:val="26"/>
          <w:szCs w:val="26"/>
        </w:rPr>
      </w:pPr>
    </w:p>
    <w:p w14:paraId="69E6A595" w14:textId="77777777" w:rsidR="009735D0" w:rsidRDefault="009735D0" w:rsidP="00E62248">
      <w:pPr>
        <w:spacing w:line="360" w:lineRule="auto"/>
        <w:ind w:right="49"/>
        <w:jc w:val="center"/>
        <w:rPr>
          <w:rFonts w:ascii="Arial" w:hAnsi="Arial" w:cs="Arial"/>
          <w:sz w:val="26"/>
          <w:szCs w:val="26"/>
        </w:rPr>
      </w:pPr>
    </w:p>
    <w:p w14:paraId="09C8CFA2" w14:textId="77777777" w:rsidR="00F929F5" w:rsidRDefault="00F929F5" w:rsidP="00E62248">
      <w:pPr>
        <w:spacing w:line="360" w:lineRule="auto"/>
        <w:ind w:right="49"/>
        <w:jc w:val="center"/>
        <w:rPr>
          <w:rFonts w:ascii="Arial" w:hAnsi="Arial" w:cs="Arial"/>
          <w:sz w:val="26"/>
          <w:szCs w:val="26"/>
        </w:rPr>
      </w:pPr>
    </w:p>
    <w:p w14:paraId="77D22156" w14:textId="77777777" w:rsidR="00F929F5" w:rsidRDefault="00F929F5" w:rsidP="00E62248">
      <w:pPr>
        <w:spacing w:line="360" w:lineRule="auto"/>
        <w:ind w:right="49"/>
        <w:jc w:val="center"/>
        <w:rPr>
          <w:rFonts w:ascii="Arial" w:hAnsi="Arial" w:cs="Arial"/>
          <w:sz w:val="26"/>
          <w:szCs w:val="26"/>
        </w:rPr>
      </w:pPr>
    </w:p>
    <w:p w14:paraId="1F039775" w14:textId="4A062C84" w:rsidR="004E39C3" w:rsidRDefault="004E39C3" w:rsidP="009735D0">
      <w:pPr>
        <w:spacing w:after="0" w:line="240" w:lineRule="auto"/>
        <w:ind w:right="49"/>
        <w:jc w:val="center"/>
        <w:rPr>
          <w:rFonts w:ascii="Arial" w:hAnsi="Arial" w:cs="Arial"/>
          <w:sz w:val="26"/>
          <w:szCs w:val="26"/>
        </w:rPr>
      </w:pPr>
      <w:r>
        <w:rPr>
          <w:rFonts w:ascii="Arial" w:hAnsi="Arial" w:cs="Arial"/>
          <w:sz w:val="26"/>
          <w:szCs w:val="26"/>
        </w:rPr>
        <w:t>MAGISTRADO MANUEL VELASCO ALCÁNTARA</w:t>
      </w:r>
    </w:p>
    <w:p w14:paraId="67D6371F" w14:textId="323AA68F" w:rsidR="004E39C3" w:rsidRDefault="004E39C3" w:rsidP="009735D0">
      <w:pPr>
        <w:spacing w:after="0" w:line="240" w:lineRule="auto"/>
        <w:ind w:right="49"/>
        <w:jc w:val="center"/>
        <w:rPr>
          <w:rFonts w:ascii="Arial" w:hAnsi="Arial" w:cs="Arial"/>
          <w:sz w:val="26"/>
          <w:szCs w:val="26"/>
        </w:rPr>
      </w:pPr>
      <w:r>
        <w:rPr>
          <w:rFonts w:ascii="Arial" w:hAnsi="Arial" w:cs="Arial"/>
          <w:sz w:val="26"/>
          <w:szCs w:val="26"/>
        </w:rPr>
        <w:t>PRESIDENTE</w:t>
      </w:r>
    </w:p>
    <w:p w14:paraId="0F148B3A" w14:textId="222DEA4B" w:rsidR="009735D0" w:rsidRDefault="009735D0" w:rsidP="009735D0">
      <w:pPr>
        <w:spacing w:after="0" w:line="240" w:lineRule="auto"/>
        <w:ind w:right="49"/>
        <w:jc w:val="center"/>
        <w:rPr>
          <w:rFonts w:ascii="Arial" w:hAnsi="Arial" w:cs="Arial"/>
          <w:sz w:val="26"/>
          <w:szCs w:val="26"/>
        </w:rPr>
      </w:pPr>
    </w:p>
    <w:p w14:paraId="5681F7E4" w14:textId="530FCBF4" w:rsidR="009735D0" w:rsidRDefault="009735D0" w:rsidP="009735D0">
      <w:pPr>
        <w:spacing w:after="0" w:line="240" w:lineRule="auto"/>
        <w:ind w:right="49"/>
        <w:jc w:val="center"/>
        <w:rPr>
          <w:rFonts w:ascii="Arial" w:hAnsi="Arial" w:cs="Arial"/>
          <w:sz w:val="26"/>
          <w:szCs w:val="26"/>
        </w:rPr>
      </w:pPr>
    </w:p>
    <w:p w14:paraId="3549A5C5" w14:textId="77777777" w:rsidR="00B44570" w:rsidRDefault="00B44570" w:rsidP="009735D0">
      <w:pPr>
        <w:spacing w:after="0" w:line="240" w:lineRule="auto"/>
        <w:ind w:right="49"/>
        <w:jc w:val="center"/>
        <w:rPr>
          <w:rFonts w:ascii="Arial" w:hAnsi="Arial" w:cs="Arial"/>
          <w:sz w:val="26"/>
          <w:szCs w:val="26"/>
        </w:rPr>
      </w:pPr>
    </w:p>
    <w:p w14:paraId="5E0DF331" w14:textId="2D4DDA18" w:rsidR="009735D0" w:rsidRDefault="009735D0" w:rsidP="009735D0">
      <w:pPr>
        <w:spacing w:after="0" w:line="240" w:lineRule="auto"/>
        <w:ind w:right="49"/>
        <w:jc w:val="center"/>
        <w:rPr>
          <w:rFonts w:ascii="Arial" w:hAnsi="Arial" w:cs="Arial"/>
          <w:sz w:val="26"/>
          <w:szCs w:val="26"/>
        </w:rPr>
      </w:pPr>
    </w:p>
    <w:p w14:paraId="3DA36226" w14:textId="77777777" w:rsidR="00B44570" w:rsidRDefault="00B44570" w:rsidP="009735D0">
      <w:pPr>
        <w:spacing w:after="0" w:line="240" w:lineRule="auto"/>
        <w:ind w:right="49"/>
        <w:jc w:val="center"/>
        <w:rPr>
          <w:rFonts w:ascii="Arial" w:hAnsi="Arial" w:cs="Arial"/>
          <w:sz w:val="26"/>
          <w:szCs w:val="26"/>
        </w:rPr>
      </w:pPr>
    </w:p>
    <w:p w14:paraId="6541A87A" w14:textId="5EBA55B7" w:rsidR="003E48FD" w:rsidRDefault="003E48FD" w:rsidP="00E62248">
      <w:pPr>
        <w:spacing w:line="360" w:lineRule="auto"/>
        <w:ind w:right="49"/>
        <w:jc w:val="center"/>
        <w:rPr>
          <w:rFonts w:ascii="Arial" w:hAnsi="Arial" w:cs="Arial"/>
          <w:sz w:val="26"/>
          <w:szCs w:val="26"/>
        </w:rPr>
      </w:pPr>
    </w:p>
    <w:p w14:paraId="2D774897" w14:textId="77777777" w:rsidR="00B44570" w:rsidRDefault="00B44570" w:rsidP="00E62248">
      <w:pPr>
        <w:spacing w:line="360" w:lineRule="auto"/>
        <w:ind w:right="49"/>
        <w:jc w:val="center"/>
        <w:rPr>
          <w:rFonts w:ascii="Arial" w:hAnsi="Arial" w:cs="Arial"/>
          <w:sz w:val="26"/>
          <w:szCs w:val="26"/>
        </w:rPr>
      </w:pPr>
    </w:p>
    <w:p w14:paraId="5B132D7D" w14:textId="3FF91070" w:rsidR="004E39C3" w:rsidRDefault="004E39C3" w:rsidP="00E62248">
      <w:pPr>
        <w:spacing w:line="360" w:lineRule="auto"/>
        <w:ind w:right="49"/>
        <w:jc w:val="center"/>
        <w:rPr>
          <w:rFonts w:ascii="Arial" w:hAnsi="Arial" w:cs="Arial"/>
          <w:sz w:val="26"/>
          <w:szCs w:val="26"/>
        </w:rPr>
      </w:pPr>
      <w:r>
        <w:rPr>
          <w:rFonts w:ascii="Arial" w:hAnsi="Arial" w:cs="Arial"/>
          <w:sz w:val="26"/>
          <w:szCs w:val="26"/>
        </w:rPr>
        <w:t>MAGISTRADO RAÚL PALOMARES PALOMINO</w:t>
      </w:r>
    </w:p>
    <w:p w14:paraId="00C3043D" w14:textId="548659A6" w:rsidR="00B44570" w:rsidRDefault="00B44570" w:rsidP="00E62248">
      <w:pPr>
        <w:spacing w:line="360" w:lineRule="auto"/>
        <w:ind w:right="49"/>
        <w:jc w:val="center"/>
        <w:rPr>
          <w:rFonts w:ascii="Arial" w:hAnsi="Arial" w:cs="Arial"/>
          <w:sz w:val="26"/>
          <w:szCs w:val="26"/>
        </w:rPr>
      </w:pPr>
    </w:p>
    <w:p w14:paraId="412A05B4" w14:textId="65694889" w:rsidR="00B44570" w:rsidRDefault="00B44570" w:rsidP="00E62248">
      <w:pPr>
        <w:spacing w:line="360" w:lineRule="auto"/>
        <w:ind w:right="49"/>
        <w:jc w:val="center"/>
        <w:rPr>
          <w:rFonts w:ascii="Arial" w:hAnsi="Arial" w:cs="Arial"/>
          <w:sz w:val="26"/>
          <w:szCs w:val="26"/>
        </w:rPr>
      </w:pPr>
    </w:p>
    <w:p w14:paraId="1310A509" w14:textId="77777777" w:rsidR="00B44570" w:rsidRDefault="00B44570" w:rsidP="00E62248">
      <w:pPr>
        <w:spacing w:line="360" w:lineRule="auto"/>
        <w:ind w:right="49"/>
        <w:jc w:val="center"/>
        <w:rPr>
          <w:rFonts w:ascii="Arial" w:hAnsi="Arial" w:cs="Arial"/>
          <w:sz w:val="26"/>
          <w:szCs w:val="26"/>
        </w:rPr>
      </w:pPr>
    </w:p>
    <w:p w14:paraId="4DB36FEA" w14:textId="77777777" w:rsidR="00B44570" w:rsidRDefault="00B44570" w:rsidP="00E62248">
      <w:pPr>
        <w:spacing w:line="360" w:lineRule="auto"/>
        <w:ind w:right="49"/>
        <w:jc w:val="center"/>
        <w:rPr>
          <w:rFonts w:ascii="Arial" w:hAnsi="Arial" w:cs="Arial"/>
          <w:sz w:val="26"/>
          <w:szCs w:val="26"/>
        </w:rPr>
      </w:pPr>
    </w:p>
    <w:p w14:paraId="78943904" w14:textId="77D93F0B" w:rsidR="004E39C3" w:rsidRDefault="004E39C3" w:rsidP="00E62248">
      <w:pPr>
        <w:spacing w:line="360" w:lineRule="auto"/>
        <w:ind w:right="49"/>
        <w:jc w:val="center"/>
        <w:rPr>
          <w:rFonts w:ascii="Arial" w:hAnsi="Arial" w:cs="Arial"/>
          <w:sz w:val="26"/>
          <w:szCs w:val="26"/>
        </w:rPr>
      </w:pPr>
      <w:r>
        <w:rPr>
          <w:rFonts w:ascii="Arial" w:hAnsi="Arial" w:cs="Arial"/>
          <w:sz w:val="26"/>
          <w:szCs w:val="26"/>
        </w:rPr>
        <w:t>MAGISTRADA GLORIA DEL CARMEN CAMACHO MEZA</w:t>
      </w:r>
    </w:p>
    <w:p w14:paraId="64547D6F" w14:textId="185CEFA8" w:rsidR="00B44570" w:rsidRDefault="00B44570" w:rsidP="00E62248">
      <w:pPr>
        <w:spacing w:line="360" w:lineRule="auto"/>
        <w:ind w:right="49"/>
        <w:jc w:val="center"/>
        <w:rPr>
          <w:rFonts w:ascii="Arial" w:hAnsi="Arial" w:cs="Arial"/>
          <w:sz w:val="26"/>
          <w:szCs w:val="26"/>
        </w:rPr>
      </w:pPr>
    </w:p>
    <w:p w14:paraId="4062BBD3" w14:textId="26CC658C" w:rsidR="00B44570" w:rsidRDefault="00B44570" w:rsidP="00E62248">
      <w:pPr>
        <w:spacing w:line="360" w:lineRule="auto"/>
        <w:ind w:right="49"/>
        <w:jc w:val="center"/>
        <w:rPr>
          <w:rFonts w:ascii="Arial" w:hAnsi="Arial" w:cs="Arial"/>
          <w:sz w:val="26"/>
          <w:szCs w:val="26"/>
        </w:rPr>
      </w:pPr>
    </w:p>
    <w:p w14:paraId="63782857" w14:textId="77777777" w:rsidR="00B44570" w:rsidRDefault="00B44570" w:rsidP="00E62248">
      <w:pPr>
        <w:spacing w:line="360" w:lineRule="auto"/>
        <w:ind w:right="49"/>
        <w:jc w:val="center"/>
        <w:rPr>
          <w:rFonts w:ascii="Arial" w:hAnsi="Arial" w:cs="Arial"/>
          <w:sz w:val="26"/>
          <w:szCs w:val="26"/>
        </w:rPr>
      </w:pPr>
    </w:p>
    <w:p w14:paraId="5FD98116" w14:textId="77777777" w:rsidR="00B44570" w:rsidRDefault="00B44570" w:rsidP="00E62248">
      <w:pPr>
        <w:spacing w:line="360" w:lineRule="auto"/>
        <w:ind w:right="49"/>
        <w:jc w:val="center"/>
        <w:rPr>
          <w:rFonts w:ascii="Arial" w:hAnsi="Arial" w:cs="Arial"/>
          <w:sz w:val="26"/>
          <w:szCs w:val="26"/>
        </w:rPr>
      </w:pPr>
    </w:p>
    <w:p w14:paraId="32AE1D0F" w14:textId="3639FF89" w:rsidR="004E39C3" w:rsidRDefault="004E39C3" w:rsidP="00E62248">
      <w:pPr>
        <w:spacing w:line="360" w:lineRule="auto"/>
        <w:ind w:right="49"/>
        <w:jc w:val="center"/>
        <w:rPr>
          <w:rFonts w:ascii="Arial" w:hAnsi="Arial" w:cs="Arial"/>
          <w:sz w:val="26"/>
          <w:szCs w:val="26"/>
        </w:rPr>
      </w:pPr>
      <w:r>
        <w:rPr>
          <w:rFonts w:ascii="Arial" w:hAnsi="Arial" w:cs="Arial"/>
          <w:sz w:val="26"/>
          <w:szCs w:val="26"/>
        </w:rPr>
        <w:t>MAGISTRADO PAULO JOSÉ LUIS TAPIA PALACIOS</w:t>
      </w:r>
    </w:p>
    <w:p w14:paraId="6A0CFCBD" w14:textId="0F48D3ED" w:rsidR="00B44570" w:rsidRDefault="00B44570" w:rsidP="00E62248">
      <w:pPr>
        <w:spacing w:line="360" w:lineRule="auto"/>
        <w:ind w:right="49"/>
        <w:jc w:val="center"/>
        <w:rPr>
          <w:rFonts w:ascii="Arial" w:hAnsi="Arial" w:cs="Arial"/>
          <w:sz w:val="26"/>
          <w:szCs w:val="26"/>
        </w:rPr>
      </w:pPr>
    </w:p>
    <w:p w14:paraId="3B578063" w14:textId="26E5381F" w:rsidR="00B44570" w:rsidRDefault="00B44570" w:rsidP="00F929F5">
      <w:pPr>
        <w:spacing w:line="360" w:lineRule="auto"/>
        <w:ind w:right="49"/>
        <w:rPr>
          <w:rFonts w:ascii="Arial" w:hAnsi="Arial" w:cs="Arial"/>
          <w:sz w:val="26"/>
          <w:szCs w:val="26"/>
        </w:rPr>
      </w:pPr>
    </w:p>
    <w:p w14:paraId="7E71619A" w14:textId="77777777" w:rsidR="00B44570" w:rsidRDefault="00B44570" w:rsidP="00F929F5">
      <w:pPr>
        <w:spacing w:line="360" w:lineRule="auto"/>
        <w:ind w:right="49"/>
        <w:rPr>
          <w:rFonts w:ascii="Arial" w:hAnsi="Arial" w:cs="Arial"/>
          <w:sz w:val="26"/>
          <w:szCs w:val="26"/>
        </w:rPr>
      </w:pPr>
    </w:p>
    <w:p w14:paraId="5EFF8154" w14:textId="77777777" w:rsidR="00B44570" w:rsidRDefault="00B44570" w:rsidP="00E62248">
      <w:pPr>
        <w:spacing w:line="360" w:lineRule="auto"/>
        <w:ind w:right="49"/>
        <w:jc w:val="center"/>
        <w:rPr>
          <w:rFonts w:ascii="Arial" w:hAnsi="Arial" w:cs="Arial"/>
          <w:sz w:val="26"/>
          <w:szCs w:val="26"/>
        </w:rPr>
      </w:pPr>
    </w:p>
    <w:p w14:paraId="1D9B3DF7" w14:textId="77777777" w:rsidR="004E39C3" w:rsidRDefault="004E39C3" w:rsidP="00E62248">
      <w:pPr>
        <w:spacing w:line="360" w:lineRule="auto"/>
        <w:ind w:right="49"/>
        <w:jc w:val="center"/>
        <w:rPr>
          <w:rFonts w:ascii="Arial" w:hAnsi="Arial" w:cs="Arial"/>
          <w:sz w:val="26"/>
          <w:szCs w:val="26"/>
        </w:rPr>
      </w:pPr>
      <w:r>
        <w:rPr>
          <w:rFonts w:ascii="Arial" w:hAnsi="Arial" w:cs="Arial"/>
          <w:sz w:val="26"/>
          <w:szCs w:val="26"/>
        </w:rPr>
        <w:t>MAGISTRADO ELÍAS CORTÉS LÓPEZ</w:t>
      </w:r>
    </w:p>
    <w:p w14:paraId="22E94A9B" w14:textId="50AD5E65" w:rsidR="003E48FD" w:rsidRDefault="003E48FD" w:rsidP="00E62248">
      <w:pPr>
        <w:spacing w:line="360" w:lineRule="auto"/>
        <w:ind w:right="49"/>
        <w:jc w:val="center"/>
        <w:rPr>
          <w:rFonts w:ascii="Arial" w:hAnsi="Arial" w:cs="Arial"/>
          <w:sz w:val="26"/>
          <w:szCs w:val="26"/>
        </w:rPr>
      </w:pPr>
    </w:p>
    <w:p w14:paraId="260B3A5C" w14:textId="17CAA3F5" w:rsidR="00B44570" w:rsidRDefault="00B44570" w:rsidP="00E62248">
      <w:pPr>
        <w:spacing w:line="360" w:lineRule="auto"/>
        <w:ind w:right="49"/>
        <w:jc w:val="center"/>
        <w:rPr>
          <w:rFonts w:ascii="Arial" w:hAnsi="Arial" w:cs="Arial"/>
          <w:sz w:val="26"/>
          <w:szCs w:val="26"/>
        </w:rPr>
      </w:pPr>
    </w:p>
    <w:p w14:paraId="1EFAF979" w14:textId="77777777" w:rsidR="00F929F5" w:rsidRDefault="00F929F5" w:rsidP="00F929F5">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lastRenderedPageBreak/>
        <w:t>LAS PRESENTES FIRMAS CORRESPONDEN A LA R</w:t>
      </w:r>
      <w:bookmarkStart w:id="1" w:name="_GoBack"/>
      <w:bookmarkEnd w:id="1"/>
      <w:r>
        <w:rPr>
          <w:rFonts w:ascii="Arial" w:hAnsi="Arial" w:cs="Arial"/>
          <w:b/>
          <w:sz w:val="16"/>
          <w:szCs w:val="16"/>
        </w:rPr>
        <w:t>ESOLUCIÓN DEL RECURSO DE REVISIÓN 0338/2021.</w:t>
      </w:r>
    </w:p>
    <w:p w14:paraId="54009AE3" w14:textId="3642C8BD" w:rsidR="00B44570" w:rsidRDefault="00B44570" w:rsidP="00E62248">
      <w:pPr>
        <w:spacing w:line="360" w:lineRule="auto"/>
        <w:ind w:right="49"/>
        <w:jc w:val="center"/>
        <w:rPr>
          <w:rFonts w:ascii="Arial" w:hAnsi="Arial" w:cs="Arial"/>
          <w:sz w:val="26"/>
          <w:szCs w:val="26"/>
        </w:rPr>
      </w:pPr>
    </w:p>
    <w:p w14:paraId="1D415D8B" w14:textId="77777777" w:rsidR="00F929F5" w:rsidRDefault="00F929F5" w:rsidP="00E62248">
      <w:pPr>
        <w:spacing w:line="360" w:lineRule="auto"/>
        <w:ind w:right="49"/>
        <w:jc w:val="center"/>
        <w:rPr>
          <w:rFonts w:ascii="Arial" w:hAnsi="Arial" w:cs="Arial"/>
          <w:sz w:val="26"/>
          <w:szCs w:val="26"/>
        </w:rPr>
      </w:pPr>
    </w:p>
    <w:p w14:paraId="3B1BBF12" w14:textId="327DE929" w:rsidR="00B44570" w:rsidRDefault="00B44570" w:rsidP="00E62248">
      <w:pPr>
        <w:spacing w:line="360" w:lineRule="auto"/>
        <w:ind w:right="49"/>
        <w:jc w:val="center"/>
        <w:rPr>
          <w:rFonts w:ascii="Arial" w:hAnsi="Arial" w:cs="Arial"/>
          <w:sz w:val="26"/>
          <w:szCs w:val="26"/>
        </w:rPr>
      </w:pPr>
    </w:p>
    <w:p w14:paraId="7CDBAFA9" w14:textId="77777777" w:rsidR="00B44570" w:rsidRDefault="00B44570" w:rsidP="00E62248">
      <w:pPr>
        <w:spacing w:line="360" w:lineRule="auto"/>
        <w:ind w:right="49"/>
        <w:jc w:val="center"/>
        <w:rPr>
          <w:rFonts w:ascii="Arial" w:hAnsi="Arial" w:cs="Arial"/>
          <w:sz w:val="26"/>
          <w:szCs w:val="26"/>
        </w:rPr>
      </w:pPr>
    </w:p>
    <w:p w14:paraId="76F1E973" w14:textId="77777777" w:rsidR="004E39C3" w:rsidRDefault="004E39C3" w:rsidP="00B44570">
      <w:pPr>
        <w:spacing w:after="0" w:line="240" w:lineRule="auto"/>
        <w:ind w:right="49"/>
        <w:jc w:val="center"/>
        <w:rPr>
          <w:rFonts w:ascii="Arial" w:hAnsi="Arial" w:cs="Arial"/>
          <w:sz w:val="26"/>
          <w:szCs w:val="26"/>
        </w:rPr>
      </w:pPr>
      <w:r>
        <w:rPr>
          <w:rFonts w:ascii="Arial" w:hAnsi="Arial" w:cs="Arial"/>
          <w:sz w:val="26"/>
          <w:szCs w:val="26"/>
        </w:rPr>
        <w:t>LIC. JUAN EDY GARCÍA CORONADO</w:t>
      </w:r>
    </w:p>
    <w:p w14:paraId="3995D00C" w14:textId="77777777" w:rsidR="004E39C3" w:rsidRDefault="004E39C3" w:rsidP="00B44570">
      <w:pPr>
        <w:spacing w:after="0" w:line="240" w:lineRule="auto"/>
        <w:ind w:right="49"/>
        <w:jc w:val="center"/>
        <w:rPr>
          <w:sz w:val="26"/>
          <w:szCs w:val="26"/>
        </w:rPr>
      </w:pPr>
      <w:r>
        <w:rPr>
          <w:rFonts w:ascii="Arial" w:hAnsi="Arial" w:cs="Arial"/>
          <w:sz w:val="26"/>
          <w:szCs w:val="26"/>
        </w:rPr>
        <w:t>SECRETARIO GENERAL DE ACUERDOS</w:t>
      </w:r>
    </w:p>
    <w:sectPr w:rsidR="004E39C3" w:rsidSect="00E6224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49DFF" w14:textId="77777777" w:rsidR="0083172B" w:rsidRDefault="0083172B" w:rsidP="000F1EC9">
      <w:pPr>
        <w:spacing w:after="0" w:line="240" w:lineRule="auto"/>
      </w:pPr>
      <w:r>
        <w:separator/>
      </w:r>
    </w:p>
  </w:endnote>
  <w:endnote w:type="continuationSeparator" w:id="0">
    <w:p w14:paraId="6BC904C7" w14:textId="77777777" w:rsidR="0083172B" w:rsidRDefault="0083172B" w:rsidP="000F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606B8" w14:textId="77777777" w:rsidR="009D3EB2" w:rsidRDefault="009D3EB2">
    <w:pPr>
      <w:pStyle w:val="Piedepgina"/>
      <w:jc w:val="center"/>
    </w:pPr>
  </w:p>
  <w:p w14:paraId="602C6C4D" w14:textId="77777777" w:rsidR="009D3EB2" w:rsidRDefault="009D3EB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13521" w14:textId="77777777" w:rsidR="0083172B" w:rsidRDefault="0083172B" w:rsidP="000F1EC9">
      <w:pPr>
        <w:spacing w:after="0" w:line="240" w:lineRule="auto"/>
      </w:pPr>
      <w:r>
        <w:separator/>
      </w:r>
    </w:p>
  </w:footnote>
  <w:footnote w:type="continuationSeparator" w:id="0">
    <w:p w14:paraId="3C480ECF" w14:textId="77777777" w:rsidR="0083172B" w:rsidRDefault="0083172B" w:rsidP="000F1EC9">
      <w:pPr>
        <w:spacing w:after="0" w:line="240" w:lineRule="auto"/>
      </w:pPr>
      <w:r>
        <w:continuationSeparator/>
      </w:r>
    </w:p>
  </w:footnote>
  <w:footnote w:id="1">
    <w:p w14:paraId="3947F334" w14:textId="77777777" w:rsidR="00CD720E" w:rsidRDefault="00CD720E" w:rsidP="00CD720E">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3CA1F36" w14:textId="77777777" w:rsidR="009477B4" w:rsidRDefault="009477B4" w:rsidP="009477B4">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 w:id="3">
    <w:p w14:paraId="407D87E0" w14:textId="77777777" w:rsidR="009477B4" w:rsidRDefault="009477B4" w:rsidP="009477B4">
      <w:pPr>
        <w:pStyle w:val="Textonotapie"/>
        <w:jc w:val="both"/>
      </w:pPr>
      <w:r>
        <w:rPr>
          <w:rStyle w:val="Refdenotaalpie"/>
        </w:rPr>
        <w:footnoteRef/>
      </w:r>
      <w:r>
        <w:t xml:space="preserve"> Segunda Sala de la Suprema Corte de Justicia de la Nación, Semanario Judicial de la Federación y su Gaceta, novena época, t. XXX, noviembre de 2009, p. 424, registro digital 166031.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22524DD" w14:textId="77777777" w:rsidR="009D3EB2" w:rsidRDefault="00F929F5">
        <w:pPr>
          <w:pStyle w:val="Encabezado"/>
          <w:jc w:val="center"/>
        </w:pPr>
        <w:r>
          <w:rPr>
            <w:noProof/>
          </w:rPr>
          <w:pict w14:anchorId="4616D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9D3EB2">
          <w:fldChar w:fldCharType="begin"/>
        </w:r>
        <w:r w:rsidR="009D3EB2">
          <w:instrText>PAGE   \* MERGEFORMAT</w:instrText>
        </w:r>
        <w:r w:rsidR="009D3EB2">
          <w:fldChar w:fldCharType="separate"/>
        </w:r>
        <w:r w:rsidRPr="00F929F5">
          <w:rPr>
            <w:noProof/>
            <w:lang w:val="es-ES"/>
          </w:rPr>
          <w:t>8</w:t>
        </w:r>
        <w:r w:rsidR="009D3EB2">
          <w:rPr>
            <w:noProof/>
            <w:lang w:val="es-ES"/>
          </w:rPr>
          <w:fldChar w:fldCharType="end"/>
        </w:r>
      </w:p>
    </w:sdtContent>
  </w:sdt>
  <w:p w14:paraId="3603F74C" w14:textId="77777777" w:rsidR="009D3EB2" w:rsidRDefault="009D3EB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B465" w14:textId="77777777" w:rsidR="009D3EB2" w:rsidRDefault="00F929F5">
    <w:pPr>
      <w:pStyle w:val="Encabezado"/>
      <w:jc w:val="center"/>
    </w:pPr>
    <w:r>
      <w:rPr>
        <w:noProof/>
      </w:rPr>
      <w:pict w14:anchorId="75849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D3EB2">
          <w:fldChar w:fldCharType="begin"/>
        </w:r>
        <w:r w:rsidR="009D3EB2">
          <w:instrText>PAGE   \* MERGEFORMAT</w:instrText>
        </w:r>
        <w:r w:rsidR="009D3EB2">
          <w:fldChar w:fldCharType="separate"/>
        </w:r>
        <w:r w:rsidRPr="00F929F5">
          <w:rPr>
            <w:noProof/>
            <w:lang w:val="es-ES"/>
          </w:rPr>
          <w:t>7</w:t>
        </w:r>
        <w:r w:rsidR="009D3EB2">
          <w:rPr>
            <w:noProof/>
            <w:lang w:val="es-ES"/>
          </w:rPr>
          <w:fldChar w:fldCharType="end"/>
        </w:r>
      </w:sdtContent>
    </w:sdt>
  </w:p>
  <w:p w14:paraId="773B5FDA" w14:textId="37CB5734" w:rsidR="009D3EB2" w:rsidRDefault="00F929F5" w:rsidP="00BA1DE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5C3FE793" wp14:editId="3F2634FB">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AA3D2B0" w14:textId="77777777" w:rsidR="00F929F5" w:rsidRDefault="00F929F5" w:rsidP="00F929F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FE793"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AA3D2B0" w14:textId="77777777" w:rsidR="00F929F5" w:rsidRDefault="00F929F5" w:rsidP="00F929F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D3EB2">
      <w:rPr>
        <w:noProof/>
        <w:sz w:val="22"/>
        <w:szCs w:val="22"/>
        <w:lang w:eastAsia="es-MX"/>
      </w:rPr>
      <mc:AlternateContent>
        <mc:Choice Requires="wpg">
          <w:drawing>
            <wp:anchor distT="0" distB="0" distL="114300" distR="114300" simplePos="0" relativeHeight="251656192" behindDoc="0" locked="0" layoutInCell="1" allowOverlap="1" wp14:anchorId="25723F3D" wp14:editId="2AF0C5CD">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F0D87"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C28F4" w14:textId="77777777" w:rsidR="009D3EB2" w:rsidRDefault="00F929F5">
    <w:pPr>
      <w:pStyle w:val="Encabezado"/>
    </w:pPr>
    <w:r>
      <w:rPr>
        <w:noProof/>
      </w:rPr>
      <w:pict w14:anchorId="7B6FF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25754"/>
    <w:multiLevelType w:val="hybridMultilevel"/>
    <w:tmpl w:val="74960736"/>
    <w:lvl w:ilvl="0" w:tplc="EC16C0C6">
      <w:start w:val="1"/>
      <w:numFmt w:val="decimal"/>
      <w:lvlText w:val="%1."/>
      <w:lvlJc w:val="left"/>
      <w:pPr>
        <w:ind w:left="928" w:hanging="360"/>
      </w:pPr>
      <w:rPr>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
    <w:nsid w:val="07F21056"/>
    <w:multiLevelType w:val="hybridMultilevel"/>
    <w:tmpl w:val="7B12C7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D411AF"/>
    <w:multiLevelType w:val="hybridMultilevel"/>
    <w:tmpl w:val="21842BF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20BC0C49"/>
    <w:multiLevelType w:val="hybridMultilevel"/>
    <w:tmpl w:val="98822AB6"/>
    <w:lvl w:ilvl="0" w:tplc="E1DC3384">
      <w:start w:val="1"/>
      <w:numFmt w:val="lowerLetter"/>
      <w:lvlText w:val="%1)"/>
      <w:lvlJc w:val="left"/>
      <w:pPr>
        <w:ind w:left="1080" w:hanging="360"/>
      </w:pPr>
      <w:rPr>
        <w:rFonts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24575D22"/>
    <w:multiLevelType w:val="hybridMultilevel"/>
    <w:tmpl w:val="CED6A51E"/>
    <w:lvl w:ilvl="0" w:tplc="080A000F">
      <w:start w:val="1"/>
      <w:numFmt w:val="decimal"/>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2DE55B0C"/>
    <w:multiLevelType w:val="hybridMultilevel"/>
    <w:tmpl w:val="1FB6F7C2"/>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6DD6A5E"/>
    <w:multiLevelType w:val="hybridMultilevel"/>
    <w:tmpl w:val="C4C0780C"/>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37FF5F0E"/>
    <w:multiLevelType w:val="hybridMultilevel"/>
    <w:tmpl w:val="F2BCA2F0"/>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850C33"/>
    <w:multiLevelType w:val="hybridMultilevel"/>
    <w:tmpl w:val="2E3AEE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10E472D"/>
    <w:multiLevelType w:val="hybridMultilevel"/>
    <w:tmpl w:val="98EC441E"/>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4"/>
  </w:num>
  <w:num w:numId="2">
    <w:abstractNumId w:val="8"/>
  </w:num>
  <w:num w:numId="3">
    <w:abstractNumId w:val="1"/>
  </w:num>
  <w:num w:numId="4">
    <w:abstractNumId w:val="6"/>
  </w:num>
  <w:num w:numId="5">
    <w:abstractNumId w:val="7"/>
  </w:num>
  <w:num w:numId="6">
    <w:abstractNumId w:val="9"/>
  </w:num>
  <w:num w:numId="7">
    <w:abstractNumId w:val="5"/>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EC9"/>
    <w:rsid w:val="000167F0"/>
    <w:rsid w:val="00020D9D"/>
    <w:rsid w:val="00035B15"/>
    <w:rsid w:val="000404B2"/>
    <w:rsid w:val="0006521A"/>
    <w:rsid w:val="00070FE7"/>
    <w:rsid w:val="000928DE"/>
    <w:rsid w:val="000A4591"/>
    <w:rsid w:val="000A4E32"/>
    <w:rsid w:val="000A5259"/>
    <w:rsid w:val="000B309B"/>
    <w:rsid w:val="000C02AE"/>
    <w:rsid w:val="000C64F7"/>
    <w:rsid w:val="000C79BB"/>
    <w:rsid w:val="000F1EC9"/>
    <w:rsid w:val="000F5825"/>
    <w:rsid w:val="00130BE0"/>
    <w:rsid w:val="001552CC"/>
    <w:rsid w:val="001611C0"/>
    <w:rsid w:val="00161438"/>
    <w:rsid w:val="00166C6E"/>
    <w:rsid w:val="00172C29"/>
    <w:rsid w:val="0018016E"/>
    <w:rsid w:val="00183D0D"/>
    <w:rsid w:val="00193CFB"/>
    <w:rsid w:val="00197A8D"/>
    <w:rsid w:val="001A0389"/>
    <w:rsid w:val="001B4EF0"/>
    <w:rsid w:val="001B63D8"/>
    <w:rsid w:val="001C2CAE"/>
    <w:rsid w:val="001C67FC"/>
    <w:rsid w:val="002011C8"/>
    <w:rsid w:val="00216BCB"/>
    <w:rsid w:val="00232B97"/>
    <w:rsid w:val="00234DDD"/>
    <w:rsid w:val="00246970"/>
    <w:rsid w:val="0025058D"/>
    <w:rsid w:val="00254530"/>
    <w:rsid w:val="00256EC9"/>
    <w:rsid w:val="0026409E"/>
    <w:rsid w:val="00265828"/>
    <w:rsid w:val="0027157C"/>
    <w:rsid w:val="00277AD0"/>
    <w:rsid w:val="0028037F"/>
    <w:rsid w:val="00295A12"/>
    <w:rsid w:val="002A5215"/>
    <w:rsid w:val="002A79D8"/>
    <w:rsid w:val="002B718A"/>
    <w:rsid w:val="002D7003"/>
    <w:rsid w:val="00304867"/>
    <w:rsid w:val="00310C19"/>
    <w:rsid w:val="00330BC1"/>
    <w:rsid w:val="00333A20"/>
    <w:rsid w:val="00334D62"/>
    <w:rsid w:val="00375FC1"/>
    <w:rsid w:val="003A7056"/>
    <w:rsid w:val="003B20DD"/>
    <w:rsid w:val="003C2659"/>
    <w:rsid w:val="003C32C9"/>
    <w:rsid w:val="003E48FD"/>
    <w:rsid w:val="00402CE9"/>
    <w:rsid w:val="00432EEE"/>
    <w:rsid w:val="00434A10"/>
    <w:rsid w:val="00444B1D"/>
    <w:rsid w:val="00451B03"/>
    <w:rsid w:val="00470D3D"/>
    <w:rsid w:val="00476185"/>
    <w:rsid w:val="00484170"/>
    <w:rsid w:val="00484D1F"/>
    <w:rsid w:val="004923F8"/>
    <w:rsid w:val="004A0834"/>
    <w:rsid w:val="004B2CAC"/>
    <w:rsid w:val="004C6EFD"/>
    <w:rsid w:val="004E39C3"/>
    <w:rsid w:val="004F12B6"/>
    <w:rsid w:val="005014FF"/>
    <w:rsid w:val="00501716"/>
    <w:rsid w:val="00502F2D"/>
    <w:rsid w:val="005446DF"/>
    <w:rsid w:val="00552EC7"/>
    <w:rsid w:val="00561D91"/>
    <w:rsid w:val="005677E9"/>
    <w:rsid w:val="00572C03"/>
    <w:rsid w:val="00575E9E"/>
    <w:rsid w:val="005810E9"/>
    <w:rsid w:val="00581FE3"/>
    <w:rsid w:val="00585A89"/>
    <w:rsid w:val="005B2A14"/>
    <w:rsid w:val="005C51EA"/>
    <w:rsid w:val="005D2BF6"/>
    <w:rsid w:val="005E3416"/>
    <w:rsid w:val="005F2857"/>
    <w:rsid w:val="005F6963"/>
    <w:rsid w:val="0060308D"/>
    <w:rsid w:val="006637B0"/>
    <w:rsid w:val="0068543C"/>
    <w:rsid w:val="006C00DB"/>
    <w:rsid w:val="006C013A"/>
    <w:rsid w:val="006C1802"/>
    <w:rsid w:val="006D272B"/>
    <w:rsid w:val="006D3688"/>
    <w:rsid w:val="006E4E22"/>
    <w:rsid w:val="0070304E"/>
    <w:rsid w:val="00707120"/>
    <w:rsid w:val="00712C70"/>
    <w:rsid w:val="007149E4"/>
    <w:rsid w:val="00715745"/>
    <w:rsid w:val="00722E02"/>
    <w:rsid w:val="00767DFC"/>
    <w:rsid w:val="0077583D"/>
    <w:rsid w:val="007830C7"/>
    <w:rsid w:val="00783A5F"/>
    <w:rsid w:val="00793A44"/>
    <w:rsid w:val="007D09DF"/>
    <w:rsid w:val="007F254A"/>
    <w:rsid w:val="0080334B"/>
    <w:rsid w:val="0080481E"/>
    <w:rsid w:val="00804AE3"/>
    <w:rsid w:val="008171CB"/>
    <w:rsid w:val="00821A61"/>
    <w:rsid w:val="00830496"/>
    <w:rsid w:val="008308BB"/>
    <w:rsid w:val="0083172B"/>
    <w:rsid w:val="008329D2"/>
    <w:rsid w:val="00847823"/>
    <w:rsid w:val="008504E8"/>
    <w:rsid w:val="00856385"/>
    <w:rsid w:val="008C3CAA"/>
    <w:rsid w:val="008C55D6"/>
    <w:rsid w:val="008D4A48"/>
    <w:rsid w:val="008D7E08"/>
    <w:rsid w:val="008E754D"/>
    <w:rsid w:val="008F16D3"/>
    <w:rsid w:val="00916290"/>
    <w:rsid w:val="00936845"/>
    <w:rsid w:val="009477B4"/>
    <w:rsid w:val="00954A21"/>
    <w:rsid w:val="009703BB"/>
    <w:rsid w:val="009735D0"/>
    <w:rsid w:val="0099061E"/>
    <w:rsid w:val="0099148E"/>
    <w:rsid w:val="009926FF"/>
    <w:rsid w:val="00992DD2"/>
    <w:rsid w:val="00994E8A"/>
    <w:rsid w:val="00997631"/>
    <w:rsid w:val="009C1C17"/>
    <w:rsid w:val="009D1A55"/>
    <w:rsid w:val="009D3EB2"/>
    <w:rsid w:val="00A00777"/>
    <w:rsid w:val="00A200F4"/>
    <w:rsid w:val="00A32D54"/>
    <w:rsid w:val="00A35511"/>
    <w:rsid w:val="00A400D3"/>
    <w:rsid w:val="00A4340E"/>
    <w:rsid w:val="00A466F3"/>
    <w:rsid w:val="00A47B37"/>
    <w:rsid w:val="00A7403E"/>
    <w:rsid w:val="00A75A05"/>
    <w:rsid w:val="00A81CBF"/>
    <w:rsid w:val="00A9655A"/>
    <w:rsid w:val="00AA0A30"/>
    <w:rsid w:val="00AA2A08"/>
    <w:rsid w:val="00AD1089"/>
    <w:rsid w:val="00AD23A9"/>
    <w:rsid w:val="00AD4525"/>
    <w:rsid w:val="00AE0931"/>
    <w:rsid w:val="00AE4BA2"/>
    <w:rsid w:val="00AF2E49"/>
    <w:rsid w:val="00AF2F19"/>
    <w:rsid w:val="00B063B0"/>
    <w:rsid w:val="00B07CB3"/>
    <w:rsid w:val="00B13AF2"/>
    <w:rsid w:val="00B1422D"/>
    <w:rsid w:val="00B25151"/>
    <w:rsid w:val="00B3376B"/>
    <w:rsid w:val="00B4161A"/>
    <w:rsid w:val="00B42F78"/>
    <w:rsid w:val="00B44570"/>
    <w:rsid w:val="00B615DB"/>
    <w:rsid w:val="00B62FE4"/>
    <w:rsid w:val="00B64A23"/>
    <w:rsid w:val="00B71C81"/>
    <w:rsid w:val="00B75E01"/>
    <w:rsid w:val="00B8415D"/>
    <w:rsid w:val="00B87491"/>
    <w:rsid w:val="00BA1DEE"/>
    <w:rsid w:val="00BA388E"/>
    <w:rsid w:val="00BB2612"/>
    <w:rsid w:val="00BB4A78"/>
    <w:rsid w:val="00BB7D90"/>
    <w:rsid w:val="00BD2899"/>
    <w:rsid w:val="00BD6F3D"/>
    <w:rsid w:val="00BE4826"/>
    <w:rsid w:val="00BE7EF0"/>
    <w:rsid w:val="00BF43BB"/>
    <w:rsid w:val="00C05671"/>
    <w:rsid w:val="00C06C23"/>
    <w:rsid w:val="00C22BD1"/>
    <w:rsid w:val="00C4778F"/>
    <w:rsid w:val="00C50BC9"/>
    <w:rsid w:val="00C553F3"/>
    <w:rsid w:val="00C72532"/>
    <w:rsid w:val="00C8644C"/>
    <w:rsid w:val="00CA1DCB"/>
    <w:rsid w:val="00CA2524"/>
    <w:rsid w:val="00CA68AE"/>
    <w:rsid w:val="00CB7078"/>
    <w:rsid w:val="00CD4497"/>
    <w:rsid w:val="00CD720E"/>
    <w:rsid w:val="00CE4819"/>
    <w:rsid w:val="00D02E98"/>
    <w:rsid w:val="00D142FC"/>
    <w:rsid w:val="00D21A4A"/>
    <w:rsid w:val="00D24410"/>
    <w:rsid w:val="00D36443"/>
    <w:rsid w:val="00D54DD6"/>
    <w:rsid w:val="00D67E1F"/>
    <w:rsid w:val="00D84982"/>
    <w:rsid w:val="00D84CA3"/>
    <w:rsid w:val="00D84CFB"/>
    <w:rsid w:val="00DA3D9B"/>
    <w:rsid w:val="00DA46C9"/>
    <w:rsid w:val="00DB6840"/>
    <w:rsid w:val="00DC1DCB"/>
    <w:rsid w:val="00DC32E2"/>
    <w:rsid w:val="00DD0E11"/>
    <w:rsid w:val="00DE0DAB"/>
    <w:rsid w:val="00DE15B0"/>
    <w:rsid w:val="00E032DD"/>
    <w:rsid w:val="00E07AB0"/>
    <w:rsid w:val="00E558AA"/>
    <w:rsid w:val="00E62248"/>
    <w:rsid w:val="00E65A6B"/>
    <w:rsid w:val="00E700B6"/>
    <w:rsid w:val="00E729BC"/>
    <w:rsid w:val="00E943D9"/>
    <w:rsid w:val="00EB7C7D"/>
    <w:rsid w:val="00EC072C"/>
    <w:rsid w:val="00EC438C"/>
    <w:rsid w:val="00F118D3"/>
    <w:rsid w:val="00F30382"/>
    <w:rsid w:val="00F30440"/>
    <w:rsid w:val="00F4223D"/>
    <w:rsid w:val="00F44146"/>
    <w:rsid w:val="00F530B4"/>
    <w:rsid w:val="00F53F45"/>
    <w:rsid w:val="00F63928"/>
    <w:rsid w:val="00F70568"/>
    <w:rsid w:val="00F7330A"/>
    <w:rsid w:val="00F7745B"/>
    <w:rsid w:val="00F929F5"/>
    <w:rsid w:val="00F92B8B"/>
    <w:rsid w:val="00F93A6B"/>
    <w:rsid w:val="00F96F4A"/>
    <w:rsid w:val="00FA7EBE"/>
    <w:rsid w:val="00FC0A5C"/>
    <w:rsid w:val="00FD57B7"/>
    <w:rsid w:val="00FD67D4"/>
    <w:rsid w:val="00FE54E1"/>
    <w:rsid w:val="00FF4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4058F"/>
  <w15:chartTrackingRefBased/>
  <w15:docId w15:val="{F0B126D3-B1C7-4B32-B259-EF8490E2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9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0F1EC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0F1EC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F1EC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0F1EC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0F1EC9"/>
    <w:rPr>
      <w:rFonts w:eastAsiaTheme="minorEastAsia"/>
      <w:sz w:val="20"/>
      <w:szCs w:val="20"/>
      <w:lang w:eastAsia="es-MX"/>
    </w:rPr>
  </w:style>
  <w:style w:type="character" w:styleId="Refdenotaalpie">
    <w:name w:val="footnote reference"/>
    <w:basedOn w:val="Fuentedeprrafopredeter"/>
    <w:uiPriority w:val="99"/>
    <w:unhideWhenUsed/>
    <w:rsid w:val="000F1EC9"/>
    <w:rPr>
      <w:vertAlign w:val="superscript"/>
    </w:rPr>
  </w:style>
  <w:style w:type="paragraph" w:styleId="Piedepgina">
    <w:name w:val="footer"/>
    <w:basedOn w:val="Normal"/>
    <w:link w:val="PiedepginaCar"/>
    <w:uiPriority w:val="99"/>
    <w:unhideWhenUsed/>
    <w:rsid w:val="000F1EC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0F1EC9"/>
    <w:rPr>
      <w:rFonts w:eastAsiaTheme="minorEastAsia"/>
      <w:lang w:eastAsia="es-MX"/>
    </w:rPr>
  </w:style>
  <w:style w:type="paragraph" w:styleId="Prrafodelista">
    <w:name w:val="List Paragraph"/>
    <w:basedOn w:val="Normal"/>
    <w:uiPriority w:val="34"/>
    <w:qFormat/>
    <w:rsid w:val="00DE0DAB"/>
    <w:pPr>
      <w:ind w:left="720"/>
      <w:contextualSpacing/>
    </w:pPr>
  </w:style>
  <w:style w:type="paragraph" w:styleId="Textodeglobo">
    <w:name w:val="Balloon Text"/>
    <w:basedOn w:val="Normal"/>
    <w:link w:val="TextodegloboCar"/>
    <w:uiPriority w:val="99"/>
    <w:semiHidden/>
    <w:unhideWhenUsed/>
    <w:rsid w:val="002011C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11C8"/>
    <w:rPr>
      <w:rFonts w:ascii="Segoe UI" w:hAnsi="Segoe UI" w:cs="Segoe UI"/>
      <w:sz w:val="18"/>
      <w:szCs w:val="18"/>
    </w:rPr>
  </w:style>
  <w:style w:type="character" w:customStyle="1" w:styleId="red">
    <w:name w:val="red"/>
    <w:basedOn w:val="Fuentedeprrafopredeter"/>
    <w:rsid w:val="00FE54E1"/>
  </w:style>
  <w:style w:type="character" w:styleId="Hipervnculo">
    <w:name w:val="Hyperlink"/>
    <w:basedOn w:val="Fuentedeprrafopredeter"/>
    <w:uiPriority w:val="99"/>
    <w:unhideWhenUsed/>
    <w:rsid w:val="0099061E"/>
    <w:rPr>
      <w:color w:val="0000FF"/>
      <w:u w:val="single"/>
    </w:rPr>
  </w:style>
  <w:style w:type="paragraph" w:styleId="Sinespaciado">
    <w:name w:val="No Spacing"/>
    <w:uiPriority w:val="1"/>
    <w:qFormat/>
    <w:rsid w:val="004E39C3"/>
    <w:pPr>
      <w:spacing w:after="0" w:line="240" w:lineRule="auto"/>
    </w:pPr>
    <w:rPr>
      <w:rFonts w:eastAsiaTheme="minorEastAsia"/>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598439">
      <w:bodyDiv w:val="1"/>
      <w:marLeft w:val="0"/>
      <w:marRight w:val="0"/>
      <w:marTop w:val="0"/>
      <w:marBottom w:val="0"/>
      <w:divBdr>
        <w:top w:val="none" w:sz="0" w:space="0" w:color="auto"/>
        <w:left w:val="none" w:sz="0" w:space="0" w:color="auto"/>
        <w:bottom w:val="none" w:sz="0" w:space="0" w:color="auto"/>
        <w:right w:val="none" w:sz="0" w:space="0" w:color="auto"/>
      </w:divBdr>
    </w:div>
    <w:div w:id="546183024">
      <w:bodyDiv w:val="1"/>
      <w:marLeft w:val="0"/>
      <w:marRight w:val="0"/>
      <w:marTop w:val="0"/>
      <w:marBottom w:val="0"/>
      <w:divBdr>
        <w:top w:val="none" w:sz="0" w:space="0" w:color="auto"/>
        <w:left w:val="none" w:sz="0" w:space="0" w:color="auto"/>
        <w:bottom w:val="none" w:sz="0" w:space="0" w:color="auto"/>
        <w:right w:val="none" w:sz="0" w:space="0" w:color="auto"/>
      </w:divBdr>
    </w:div>
    <w:div w:id="595333142">
      <w:bodyDiv w:val="1"/>
      <w:marLeft w:val="0"/>
      <w:marRight w:val="0"/>
      <w:marTop w:val="0"/>
      <w:marBottom w:val="0"/>
      <w:divBdr>
        <w:top w:val="none" w:sz="0" w:space="0" w:color="auto"/>
        <w:left w:val="none" w:sz="0" w:space="0" w:color="auto"/>
        <w:bottom w:val="none" w:sz="0" w:space="0" w:color="auto"/>
        <w:right w:val="none" w:sz="0" w:space="0" w:color="auto"/>
      </w:divBdr>
    </w:div>
    <w:div w:id="988166532">
      <w:bodyDiv w:val="1"/>
      <w:marLeft w:val="0"/>
      <w:marRight w:val="0"/>
      <w:marTop w:val="0"/>
      <w:marBottom w:val="0"/>
      <w:divBdr>
        <w:top w:val="none" w:sz="0" w:space="0" w:color="auto"/>
        <w:left w:val="none" w:sz="0" w:space="0" w:color="auto"/>
        <w:bottom w:val="none" w:sz="0" w:space="0" w:color="auto"/>
        <w:right w:val="none" w:sz="0" w:space="0" w:color="auto"/>
      </w:divBdr>
    </w:div>
    <w:div w:id="19722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13593-4E35-431D-B4D8-66480C84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2327</TotalTime>
  <Pages>8</Pages>
  <Words>2501</Words>
  <Characters>13756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93</cp:revision>
  <cp:lastPrinted>2022-09-29T18:36:00Z</cp:lastPrinted>
  <dcterms:created xsi:type="dcterms:W3CDTF">2022-04-20T16:48:00Z</dcterms:created>
  <dcterms:modified xsi:type="dcterms:W3CDTF">2023-02-20T20:49:00Z</dcterms:modified>
</cp:coreProperties>
</file>