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EB7617">
      <w:pPr>
        <w:spacing w:line="240" w:lineRule="auto"/>
        <w:ind w:left="3261"/>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AF6A254" w:rsidR="003B6CF0" w:rsidRPr="00CB6405" w:rsidRDefault="003B6CF0" w:rsidP="00EB7617">
      <w:pPr>
        <w:spacing w:line="240" w:lineRule="auto"/>
        <w:ind w:left="3261"/>
        <w:jc w:val="both"/>
        <w:rPr>
          <w:rFonts w:ascii="Arial" w:hAnsi="Arial" w:cs="Arial"/>
          <w:b/>
          <w:sz w:val="26"/>
          <w:szCs w:val="26"/>
        </w:rPr>
      </w:pPr>
      <w:r w:rsidRPr="00CB6405">
        <w:rPr>
          <w:rFonts w:ascii="Arial" w:hAnsi="Arial" w:cs="Arial"/>
          <w:b/>
          <w:sz w:val="26"/>
          <w:szCs w:val="26"/>
        </w:rPr>
        <w:t>RECURSO DE REVISIÓN:</w:t>
      </w:r>
      <w:r w:rsidR="00EB7617">
        <w:rPr>
          <w:rFonts w:ascii="Arial" w:hAnsi="Arial" w:cs="Arial"/>
          <w:b/>
          <w:sz w:val="26"/>
          <w:szCs w:val="26"/>
        </w:rPr>
        <w:t xml:space="preserve"> </w:t>
      </w:r>
      <w:r w:rsidRPr="00CB6405">
        <w:rPr>
          <w:rFonts w:ascii="Arial" w:hAnsi="Arial" w:cs="Arial"/>
          <w:b/>
          <w:sz w:val="26"/>
          <w:szCs w:val="26"/>
        </w:rPr>
        <w:t>0</w:t>
      </w:r>
      <w:r w:rsidR="00AB6EE7">
        <w:rPr>
          <w:rFonts w:ascii="Arial" w:hAnsi="Arial" w:cs="Arial"/>
          <w:b/>
          <w:sz w:val="26"/>
          <w:szCs w:val="26"/>
        </w:rPr>
        <w:t>362</w:t>
      </w:r>
      <w:r w:rsidR="005839F9">
        <w:rPr>
          <w:rFonts w:ascii="Arial" w:hAnsi="Arial" w:cs="Arial"/>
          <w:b/>
          <w:sz w:val="26"/>
          <w:szCs w:val="26"/>
        </w:rPr>
        <w:t>/2021</w:t>
      </w:r>
      <w:r>
        <w:rPr>
          <w:rFonts w:ascii="Arial" w:hAnsi="Arial" w:cs="Arial"/>
          <w:b/>
          <w:sz w:val="26"/>
          <w:szCs w:val="26"/>
        </w:rPr>
        <w:t>.</w:t>
      </w:r>
    </w:p>
    <w:p w14:paraId="4DFA70CD" w14:textId="5B076BA8" w:rsidR="003B6CF0" w:rsidRDefault="003B6CF0" w:rsidP="00EB7617">
      <w:pPr>
        <w:spacing w:line="240" w:lineRule="auto"/>
        <w:ind w:left="3261"/>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AB6EE7">
        <w:rPr>
          <w:rFonts w:ascii="Arial" w:hAnsi="Arial" w:cs="Arial"/>
          <w:b/>
          <w:sz w:val="26"/>
          <w:szCs w:val="26"/>
        </w:rPr>
        <w:t>0049</w:t>
      </w:r>
      <w:r>
        <w:rPr>
          <w:rFonts w:ascii="Arial" w:hAnsi="Arial" w:cs="Arial"/>
          <w:b/>
          <w:sz w:val="26"/>
          <w:szCs w:val="26"/>
        </w:rPr>
        <w:t>/</w:t>
      </w:r>
      <w:r w:rsidR="00611EB0">
        <w:rPr>
          <w:rFonts w:ascii="Arial" w:hAnsi="Arial" w:cs="Arial"/>
          <w:b/>
          <w:sz w:val="26"/>
          <w:szCs w:val="26"/>
        </w:rPr>
        <w:t>20</w:t>
      </w:r>
      <w:r w:rsidR="00AB6EE7">
        <w:rPr>
          <w:rFonts w:ascii="Arial" w:hAnsi="Arial" w:cs="Arial"/>
          <w:b/>
          <w:sz w:val="26"/>
          <w:szCs w:val="26"/>
        </w:rPr>
        <w:t>19</w:t>
      </w:r>
      <w:r w:rsidRPr="00CB6405">
        <w:rPr>
          <w:rFonts w:ascii="Arial" w:hAnsi="Arial" w:cs="Arial"/>
          <w:b/>
          <w:sz w:val="26"/>
          <w:szCs w:val="26"/>
        </w:rPr>
        <w:t xml:space="preserve"> </w:t>
      </w:r>
      <w:r w:rsidR="000765F6">
        <w:rPr>
          <w:rFonts w:ascii="Arial" w:hAnsi="Arial" w:cs="Arial"/>
          <w:b/>
          <w:sz w:val="26"/>
          <w:szCs w:val="26"/>
        </w:rPr>
        <w:t xml:space="preserve">DE LA </w:t>
      </w:r>
      <w:r w:rsidR="00AB6EE7">
        <w:rPr>
          <w:rFonts w:ascii="Arial" w:hAnsi="Arial" w:cs="Arial"/>
          <w:b/>
          <w:sz w:val="26"/>
          <w:szCs w:val="26"/>
        </w:rPr>
        <w:t>TERCER</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EB7617">
      <w:pPr>
        <w:spacing w:line="240" w:lineRule="auto"/>
        <w:ind w:left="3261"/>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2FEDA06A"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EB7617">
        <w:rPr>
          <w:rFonts w:ascii="Arial" w:hAnsi="Arial" w:cs="Arial"/>
          <w:b/>
          <w:sz w:val="26"/>
          <w:szCs w:val="26"/>
        </w:rPr>
        <w:t>VEINTINUEVE</w:t>
      </w:r>
      <w:r w:rsidR="00B83946">
        <w:rPr>
          <w:rFonts w:ascii="Arial" w:hAnsi="Arial" w:cs="Arial"/>
          <w:b/>
          <w:sz w:val="26"/>
          <w:szCs w:val="26"/>
        </w:rPr>
        <w:t xml:space="preserve"> DE </w:t>
      </w:r>
      <w:r w:rsidR="00EB7617">
        <w:rPr>
          <w:rFonts w:ascii="Arial" w:hAnsi="Arial" w:cs="Arial"/>
          <w:b/>
          <w:sz w:val="26"/>
          <w:szCs w:val="26"/>
        </w:rPr>
        <w:t>SEPTIEMBRE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w:t>
      </w:r>
    </w:p>
    <w:p w14:paraId="7CF0F441" w14:textId="0866414A" w:rsidR="003B6CF0" w:rsidRPr="00676F27" w:rsidRDefault="003B6CF0" w:rsidP="00EB7617">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AB6EE7">
        <w:rPr>
          <w:rFonts w:ascii="Arial" w:hAnsi="Arial" w:cs="Arial"/>
          <w:b/>
          <w:sz w:val="26"/>
          <w:szCs w:val="26"/>
        </w:rPr>
        <w:t>362</w:t>
      </w:r>
      <w:r w:rsidRPr="00CB6405">
        <w:rPr>
          <w:rFonts w:ascii="Arial" w:hAnsi="Arial" w:cs="Arial"/>
          <w:b/>
          <w:sz w:val="26"/>
          <w:szCs w:val="26"/>
        </w:rPr>
        <w:t>/20</w:t>
      </w:r>
      <w:r>
        <w:rPr>
          <w:rFonts w:ascii="Arial" w:hAnsi="Arial" w:cs="Arial"/>
          <w:b/>
          <w:sz w:val="26"/>
          <w:szCs w:val="26"/>
        </w:rPr>
        <w:t>2</w:t>
      </w:r>
      <w:r w:rsidR="005839F9">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AB6EE7">
        <w:rPr>
          <w:rFonts w:ascii="Arial" w:hAnsi="Arial" w:cs="Arial"/>
          <w:b/>
          <w:sz w:val="26"/>
          <w:szCs w:val="26"/>
        </w:rPr>
        <w:t xml:space="preserve"> </w:t>
      </w:r>
      <w:r w:rsidR="00053613">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AB6EE7">
        <w:rPr>
          <w:rFonts w:ascii="Arial" w:hAnsi="Arial" w:cs="Arial"/>
          <w:sz w:val="26"/>
          <w:szCs w:val="26"/>
        </w:rPr>
        <w:t>quince</w:t>
      </w:r>
      <w:r w:rsidR="000E2300">
        <w:rPr>
          <w:rFonts w:ascii="Arial" w:hAnsi="Arial" w:cs="Arial"/>
          <w:sz w:val="26"/>
          <w:szCs w:val="26"/>
        </w:rPr>
        <w:t xml:space="preserve"> de </w:t>
      </w:r>
      <w:r w:rsidR="00AB6EE7">
        <w:rPr>
          <w:rFonts w:ascii="Arial" w:hAnsi="Arial" w:cs="Arial"/>
          <w:sz w:val="26"/>
          <w:szCs w:val="26"/>
        </w:rPr>
        <w:t>julio</w:t>
      </w:r>
      <w:r w:rsidR="000E2300">
        <w:rPr>
          <w:rFonts w:ascii="Arial" w:hAnsi="Arial" w:cs="Arial"/>
          <w:sz w:val="26"/>
          <w:szCs w:val="26"/>
        </w:rPr>
        <w:t xml:space="preserve"> de dos mil veintiuno</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AB6EE7">
        <w:rPr>
          <w:rFonts w:ascii="Arial" w:hAnsi="Arial" w:cs="Arial"/>
          <w:b/>
          <w:sz w:val="26"/>
          <w:szCs w:val="26"/>
        </w:rPr>
        <w:t>049</w:t>
      </w:r>
      <w:r w:rsidR="007007A1">
        <w:rPr>
          <w:rFonts w:ascii="Arial" w:hAnsi="Arial" w:cs="Arial"/>
          <w:b/>
          <w:sz w:val="26"/>
          <w:szCs w:val="26"/>
        </w:rPr>
        <w:t>/20</w:t>
      </w:r>
      <w:r w:rsidR="00AB6EE7">
        <w:rPr>
          <w:rFonts w:ascii="Arial" w:hAnsi="Arial" w:cs="Arial"/>
          <w:b/>
          <w:sz w:val="26"/>
          <w:szCs w:val="26"/>
        </w:rPr>
        <w:t>19</w:t>
      </w:r>
      <w:r>
        <w:rPr>
          <w:rFonts w:ascii="Arial" w:hAnsi="Arial" w:cs="Arial"/>
          <w:b/>
          <w:sz w:val="26"/>
          <w:szCs w:val="26"/>
        </w:rPr>
        <w:t xml:space="preserve"> </w:t>
      </w:r>
      <w:r w:rsidR="007007A1">
        <w:rPr>
          <w:rFonts w:ascii="Arial" w:hAnsi="Arial" w:cs="Arial"/>
          <w:sz w:val="26"/>
          <w:szCs w:val="26"/>
        </w:rPr>
        <w:t xml:space="preserve">del índice de la </w:t>
      </w:r>
      <w:r w:rsidR="00AB6EE7">
        <w:rPr>
          <w:rFonts w:ascii="Arial" w:hAnsi="Arial" w:cs="Arial"/>
          <w:sz w:val="26"/>
          <w:szCs w:val="26"/>
        </w:rPr>
        <w:t>Tercer</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AB6EE7">
        <w:rPr>
          <w:rFonts w:ascii="Arial" w:hAnsi="Arial" w:cs="Arial"/>
          <w:sz w:val="26"/>
          <w:szCs w:val="26"/>
        </w:rPr>
        <w:t xml:space="preserve"> </w:t>
      </w:r>
      <w:r w:rsidR="00053613">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986C11">
        <w:rPr>
          <w:rFonts w:ascii="Arial" w:hAnsi="Arial" w:cs="Arial"/>
          <w:sz w:val="26"/>
          <w:szCs w:val="26"/>
        </w:rPr>
        <w:t>l</w:t>
      </w:r>
      <w:r w:rsidR="00AB6EE7">
        <w:rPr>
          <w:rFonts w:ascii="Arial" w:hAnsi="Arial" w:cs="Arial"/>
          <w:b/>
          <w:sz w:val="26"/>
          <w:szCs w:val="26"/>
        </w:rPr>
        <w:t xml:space="preserve"> PRESIDENTE</w:t>
      </w:r>
      <w:r w:rsidR="007D43F3">
        <w:rPr>
          <w:rFonts w:ascii="Arial" w:hAnsi="Arial" w:cs="Arial"/>
          <w:b/>
          <w:sz w:val="26"/>
          <w:szCs w:val="26"/>
        </w:rPr>
        <w:t xml:space="preserve"> MUNICIP</w:t>
      </w:r>
      <w:r w:rsidR="00AB6EE7">
        <w:rPr>
          <w:rFonts w:ascii="Arial" w:hAnsi="Arial" w:cs="Arial"/>
          <w:b/>
          <w:sz w:val="26"/>
          <w:szCs w:val="26"/>
        </w:rPr>
        <w:t>A</w:t>
      </w:r>
      <w:r w:rsidR="007D43F3">
        <w:rPr>
          <w:rFonts w:ascii="Arial" w:hAnsi="Arial" w:cs="Arial"/>
          <w:b/>
          <w:sz w:val="26"/>
          <w:szCs w:val="26"/>
        </w:rPr>
        <w:t>L</w:t>
      </w:r>
      <w:r w:rsidR="00AB6EE7">
        <w:rPr>
          <w:rFonts w:ascii="Arial" w:hAnsi="Arial" w:cs="Arial"/>
          <w:b/>
          <w:sz w:val="26"/>
          <w:szCs w:val="26"/>
        </w:rPr>
        <w:t xml:space="preserve"> Y TESORERO MUNICIPAL, AMBOS DE SANTA LUCÍA DEL CAMINO, DISTRITO CENTRO, ESTADO DE OAXACA</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676F27" w:rsidRPr="000C4EA3">
        <w:rPr>
          <w:rFonts w:ascii="Arial" w:hAnsi="Arial" w:cs="Arial"/>
          <w:sz w:val="26"/>
          <w:szCs w:val="26"/>
        </w:rPr>
        <w:t xml:space="preserve">fundamento en los artículos </w:t>
      </w:r>
      <w:r w:rsidR="00676F27">
        <w:rPr>
          <w:rFonts w:ascii="Arial" w:hAnsi="Arial" w:cs="Arial"/>
          <w:sz w:val="26"/>
          <w:szCs w:val="26"/>
        </w:rPr>
        <w:t>236, 23</w:t>
      </w:r>
      <w:r w:rsidR="00676F27" w:rsidRPr="00671697">
        <w:rPr>
          <w:rFonts w:ascii="Arial" w:hAnsi="Arial" w:cs="Arial"/>
          <w:sz w:val="26"/>
          <w:szCs w:val="26"/>
        </w:rPr>
        <w:t>8</w:t>
      </w:r>
      <w:r w:rsidR="00676F27">
        <w:rPr>
          <w:rFonts w:ascii="Arial" w:hAnsi="Arial" w:cs="Arial"/>
          <w:sz w:val="26"/>
          <w:szCs w:val="26"/>
        </w:rPr>
        <w:t xml:space="preserve"> de la Ley de Procedimiento y Justicia Administrativa para el Estado de Oaxaca y </w:t>
      </w:r>
      <w:r w:rsidR="00676F27">
        <w:rPr>
          <w:rFonts w:ascii="Arial" w:hAnsi="Arial" w:cs="Arial"/>
          <w:bCs/>
          <w:iCs/>
          <w:sz w:val="26"/>
          <w:szCs w:val="26"/>
        </w:rPr>
        <w:t xml:space="preserve">24, fracciones I y III </w:t>
      </w:r>
      <w:r w:rsidR="00676F27" w:rsidRPr="00455424">
        <w:rPr>
          <w:rFonts w:ascii="Arial" w:hAnsi="Arial" w:cs="Arial"/>
          <w:bCs/>
          <w:iCs/>
          <w:sz w:val="26"/>
          <w:szCs w:val="26"/>
        </w:rPr>
        <w:t>de la Ley Orgánica del Tribunal de Justicia Administrativa del Estado de Oaxaca</w:t>
      </w:r>
      <w:r w:rsidR="00676F27">
        <w:rPr>
          <w:rFonts w:ascii="Arial" w:hAnsi="Arial" w:cs="Arial"/>
          <w:bCs/>
          <w:iCs/>
          <w:sz w:val="26"/>
          <w:szCs w:val="26"/>
        </w:rPr>
        <w:t>,</w:t>
      </w:r>
      <w:r w:rsidR="00EB7617">
        <w:rPr>
          <w:rFonts w:ascii="Arial" w:hAnsi="Arial" w:cs="Arial"/>
          <w:bCs/>
          <w:iCs/>
          <w:sz w:val="26"/>
          <w:szCs w:val="26"/>
        </w:rPr>
        <w:t xml:space="preserve"> se da tramite. Por consiguiente,</w:t>
      </w:r>
      <w:r w:rsidR="00676F27">
        <w:rPr>
          <w:rFonts w:ascii="Arial" w:hAnsi="Arial" w:cs="Arial"/>
          <w:bCs/>
          <w:iCs/>
          <w:sz w:val="26"/>
          <w:szCs w:val="26"/>
        </w:rPr>
        <w:t xml:space="preserve"> </w:t>
      </w:r>
      <w:r w:rsidR="00676F27">
        <w:rPr>
          <w:rFonts w:ascii="Arial" w:hAnsi="Arial" w:cs="Arial"/>
          <w:sz w:val="26"/>
          <w:szCs w:val="26"/>
        </w:rPr>
        <w:t>se procede a dictar resolución en los siguientes términos</w:t>
      </w:r>
      <w:r w:rsidR="00676F27" w:rsidRPr="003509B6">
        <w:rPr>
          <w:rFonts w:ascii="Arial" w:hAnsi="Arial" w:cs="Arial"/>
          <w:sz w:val="26"/>
          <w:szCs w:val="26"/>
        </w:rPr>
        <w:t>:</w:t>
      </w:r>
      <w:r w:rsidR="00EB7617">
        <w:rPr>
          <w:rFonts w:ascii="Arial" w:hAnsi="Arial" w:cs="Arial"/>
          <w:sz w:val="26"/>
          <w:szCs w:val="26"/>
        </w:rPr>
        <w:t xml:space="preserve"> - - - - - - - - - - </w:t>
      </w:r>
    </w:p>
    <w:p w14:paraId="42D76FAD" w14:textId="77777777" w:rsidR="003B6CF0" w:rsidRPr="00CB6405" w:rsidRDefault="003B6CF0" w:rsidP="003B6CF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55E36EED"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AB6EE7">
        <w:rPr>
          <w:rFonts w:ascii="Arial" w:hAnsi="Arial" w:cs="Arial"/>
          <w:sz w:val="26"/>
          <w:szCs w:val="26"/>
        </w:rPr>
        <w:t>la sentencia de quince</w:t>
      </w:r>
      <w:r w:rsidR="00D863E5">
        <w:rPr>
          <w:rFonts w:ascii="Arial" w:hAnsi="Arial" w:cs="Arial"/>
          <w:sz w:val="26"/>
          <w:szCs w:val="26"/>
        </w:rPr>
        <w:t xml:space="preserve"> de </w:t>
      </w:r>
      <w:r w:rsidR="00AB6EE7">
        <w:rPr>
          <w:rFonts w:ascii="Arial" w:hAnsi="Arial" w:cs="Arial"/>
          <w:sz w:val="26"/>
          <w:szCs w:val="26"/>
        </w:rPr>
        <w:t>julio</w:t>
      </w:r>
      <w:r w:rsidR="00D863E5">
        <w:rPr>
          <w:rFonts w:ascii="Arial" w:hAnsi="Arial" w:cs="Arial"/>
          <w:sz w:val="26"/>
          <w:szCs w:val="26"/>
        </w:rPr>
        <w:t xml:space="preserve"> de dos mil veintiuno</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AB6EE7">
        <w:rPr>
          <w:rFonts w:ascii="Arial" w:hAnsi="Arial" w:cs="Arial"/>
          <w:sz w:val="26"/>
          <w:szCs w:val="26"/>
        </w:rPr>
        <w:t>Tercer</w:t>
      </w:r>
      <w:r w:rsidR="00611EB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Sala</w:t>
      </w:r>
      <w:r w:rsidR="002C1B14">
        <w:rPr>
          <w:rFonts w:ascii="Arial" w:hAnsi="Arial" w:cs="Arial"/>
          <w:sz w:val="26"/>
          <w:szCs w:val="26"/>
        </w:rPr>
        <w:t xml:space="preserve"> Unitaria de Primera Instancia,</w:t>
      </w:r>
      <w:r w:rsidR="00986C11">
        <w:rPr>
          <w:rFonts w:ascii="Arial" w:hAnsi="Arial" w:cs="Arial"/>
          <w:sz w:val="26"/>
          <w:szCs w:val="26"/>
        </w:rPr>
        <w:t xml:space="preserve"> </w:t>
      </w:r>
      <w:r w:rsidR="00053613">
        <w:rPr>
          <w:rFonts w:ascii="Arial" w:hAnsi="Arial" w:cs="Arial"/>
          <w:b/>
          <w:sz w:val="26"/>
          <w:szCs w:val="26"/>
        </w:rPr>
        <w:t>*******</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EB7617">
        <w:rPr>
          <w:rFonts w:ascii="Arial" w:hAnsi="Arial" w:cs="Arial"/>
          <w:sz w:val="26"/>
          <w:szCs w:val="26"/>
        </w:rPr>
        <w:t xml:space="preserve"> - - - - - - - - - - - - - - - - </w:t>
      </w:r>
    </w:p>
    <w:p w14:paraId="63BAFC69" w14:textId="77777777" w:rsidR="000E2300" w:rsidRPr="003B084B"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2300" w:rsidRPr="003B084B">
        <w:rPr>
          <w:rFonts w:ascii="Arial" w:hAnsi="Arial" w:cs="Arial"/>
          <w:bCs/>
          <w:iCs/>
          <w:sz w:val="26"/>
          <w:szCs w:val="26"/>
        </w:rPr>
        <w:t>Los puntos resolutivos de la sentencia recurrida son los siguientes:</w:t>
      </w:r>
    </w:p>
    <w:p w14:paraId="4231C4CC" w14:textId="620B39F3" w:rsidR="00F0794F" w:rsidRDefault="00F0794F" w:rsidP="009F7753">
      <w:pPr>
        <w:spacing w:after="0" w:line="360" w:lineRule="auto"/>
        <w:ind w:left="567"/>
        <w:jc w:val="both"/>
        <w:rPr>
          <w:rFonts w:ascii="Arial" w:hAnsi="Arial" w:cs="Arial"/>
          <w:bCs/>
          <w:iCs/>
          <w:sz w:val="26"/>
          <w:szCs w:val="26"/>
        </w:rPr>
      </w:pPr>
    </w:p>
    <w:p w14:paraId="1BE220CE" w14:textId="410F4869" w:rsidR="009A5534" w:rsidRDefault="00F0794F" w:rsidP="00EB7617">
      <w:pPr>
        <w:spacing w:after="0"/>
        <w:ind w:left="567" w:right="191"/>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 </w:t>
      </w:r>
      <w:r w:rsidR="007A2A08">
        <w:rPr>
          <w:rFonts w:ascii="Arial" w:eastAsia="Times New Roman" w:hAnsi="Arial" w:cs="Arial"/>
          <w:bCs/>
          <w:i/>
          <w:iCs/>
          <w:lang w:eastAsia="es-ES"/>
        </w:rPr>
        <w:t xml:space="preserve">Esta </w:t>
      </w:r>
      <w:r w:rsidR="00AB6EE7">
        <w:rPr>
          <w:rFonts w:ascii="Arial" w:eastAsia="Times New Roman" w:hAnsi="Arial" w:cs="Arial"/>
          <w:bCs/>
          <w:i/>
          <w:iCs/>
          <w:lang w:eastAsia="es-ES"/>
        </w:rPr>
        <w:t>Tercera</w:t>
      </w:r>
      <w:r w:rsidR="002C1B14">
        <w:rPr>
          <w:rFonts w:ascii="Arial" w:eastAsia="Times New Roman" w:hAnsi="Arial" w:cs="Arial"/>
          <w:bCs/>
          <w:i/>
          <w:iCs/>
          <w:lang w:eastAsia="es-ES"/>
        </w:rPr>
        <w:t xml:space="preserve"> </w:t>
      </w:r>
      <w:r w:rsidR="007D43F3">
        <w:rPr>
          <w:rFonts w:ascii="Arial" w:eastAsia="Times New Roman" w:hAnsi="Arial" w:cs="Arial"/>
          <w:bCs/>
          <w:i/>
          <w:iCs/>
          <w:lang w:eastAsia="es-ES"/>
        </w:rPr>
        <w:t xml:space="preserve">Sala </w:t>
      </w:r>
      <w:r w:rsidR="002C1B14">
        <w:rPr>
          <w:rFonts w:ascii="Arial" w:eastAsia="Times New Roman" w:hAnsi="Arial" w:cs="Arial"/>
          <w:bCs/>
          <w:i/>
          <w:iCs/>
          <w:lang w:eastAsia="es-ES"/>
        </w:rPr>
        <w:t xml:space="preserve">de Primera </w:t>
      </w:r>
      <w:r w:rsidR="004D0430">
        <w:rPr>
          <w:rFonts w:ascii="Arial" w:eastAsia="Times New Roman" w:hAnsi="Arial" w:cs="Arial"/>
          <w:bCs/>
          <w:i/>
          <w:iCs/>
          <w:lang w:eastAsia="es-ES"/>
        </w:rPr>
        <w:t>Instancia</w:t>
      </w:r>
      <w:r w:rsidR="002C1B14">
        <w:rPr>
          <w:rFonts w:ascii="Arial" w:eastAsia="Times New Roman" w:hAnsi="Arial" w:cs="Arial"/>
          <w:bCs/>
          <w:i/>
          <w:iCs/>
          <w:lang w:eastAsia="es-ES"/>
        </w:rPr>
        <w:t xml:space="preserve"> de</w:t>
      </w:r>
      <w:r w:rsidR="00AB6EE7">
        <w:rPr>
          <w:rFonts w:ascii="Arial" w:eastAsia="Times New Roman" w:hAnsi="Arial" w:cs="Arial"/>
          <w:bCs/>
          <w:i/>
          <w:iCs/>
          <w:lang w:eastAsia="es-ES"/>
        </w:rPr>
        <w:t xml:space="preserve">l </w:t>
      </w:r>
      <w:r w:rsidR="002C1B14">
        <w:rPr>
          <w:rFonts w:ascii="Arial" w:eastAsia="Times New Roman" w:hAnsi="Arial" w:cs="Arial"/>
          <w:bCs/>
          <w:i/>
          <w:iCs/>
          <w:lang w:eastAsia="es-ES"/>
        </w:rPr>
        <w:t xml:space="preserve">Tribunal </w:t>
      </w:r>
      <w:r w:rsidR="00AB6EE7">
        <w:rPr>
          <w:rFonts w:ascii="Arial" w:eastAsia="Times New Roman" w:hAnsi="Arial" w:cs="Arial"/>
          <w:bCs/>
          <w:i/>
          <w:iCs/>
          <w:lang w:eastAsia="es-ES"/>
        </w:rPr>
        <w:t>de Justicia Administrativa d</w:t>
      </w:r>
      <w:r w:rsidR="002C1B14">
        <w:rPr>
          <w:rFonts w:ascii="Arial" w:eastAsia="Times New Roman" w:hAnsi="Arial" w:cs="Arial"/>
          <w:bCs/>
          <w:i/>
          <w:iCs/>
          <w:lang w:eastAsia="es-ES"/>
        </w:rPr>
        <w:t xml:space="preserve">el Estado de Oaxaca, </w:t>
      </w:r>
      <w:r w:rsidR="00AB6EE7">
        <w:rPr>
          <w:rFonts w:ascii="Arial" w:eastAsia="Times New Roman" w:hAnsi="Arial" w:cs="Arial"/>
          <w:bCs/>
          <w:i/>
          <w:iCs/>
          <w:lang w:eastAsia="es-ES"/>
        </w:rPr>
        <w:t>es legalmente</w:t>
      </w:r>
      <w:r w:rsidR="002C1B14">
        <w:rPr>
          <w:rFonts w:ascii="Arial" w:eastAsia="Times New Roman" w:hAnsi="Arial" w:cs="Arial"/>
          <w:bCs/>
          <w:i/>
          <w:iCs/>
          <w:lang w:eastAsia="es-ES"/>
        </w:rPr>
        <w:t xml:space="preserve"> competente para conoce</w:t>
      </w:r>
      <w:r w:rsidR="00AB6EE7">
        <w:rPr>
          <w:rFonts w:ascii="Arial" w:eastAsia="Times New Roman" w:hAnsi="Arial" w:cs="Arial"/>
          <w:bCs/>
          <w:i/>
          <w:iCs/>
          <w:lang w:eastAsia="es-ES"/>
        </w:rPr>
        <w:t>r y resolver del presente Juicio de Nulidad.</w:t>
      </w:r>
      <w:r w:rsidR="00E670C0">
        <w:rPr>
          <w:rFonts w:ascii="Arial" w:eastAsia="Times New Roman" w:hAnsi="Arial" w:cs="Arial"/>
          <w:bCs/>
          <w:i/>
          <w:iCs/>
          <w:lang w:eastAsia="es-ES"/>
        </w:rPr>
        <w:t xml:space="preserve"> </w:t>
      </w:r>
    </w:p>
    <w:p w14:paraId="1D16604F" w14:textId="04B39D55" w:rsidR="007A2A08" w:rsidRDefault="007A2A08" w:rsidP="00EB7617">
      <w:pPr>
        <w:spacing w:after="0"/>
        <w:ind w:left="567" w:right="191"/>
        <w:jc w:val="both"/>
        <w:rPr>
          <w:rFonts w:ascii="Arial" w:eastAsia="Times New Roman" w:hAnsi="Arial" w:cs="Arial"/>
          <w:bCs/>
          <w:i/>
          <w:iCs/>
          <w:lang w:eastAsia="es-ES"/>
        </w:rPr>
      </w:pPr>
      <w:r>
        <w:rPr>
          <w:rFonts w:ascii="Arial" w:eastAsia="Times New Roman" w:hAnsi="Arial" w:cs="Arial"/>
          <w:b/>
          <w:bCs/>
          <w:i/>
          <w:iCs/>
          <w:lang w:eastAsia="es-ES"/>
        </w:rPr>
        <w:t xml:space="preserve">SEGUNDO. </w:t>
      </w:r>
      <w:r w:rsidR="00AB6EE7">
        <w:rPr>
          <w:rFonts w:ascii="Arial" w:eastAsia="Times New Roman" w:hAnsi="Arial" w:cs="Arial"/>
          <w:b/>
          <w:bCs/>
          <w:i/>
          <w:iCs/>
          <w:lang w:eastAsia="es-ES"/>
        </w:rPr>
        <w:t>–</w:t>
      </w:r>
      <w:r>
        <w:rPr>
          <w:rFonts w:ascii="Arial" w:eastAsia="Times New Roman" w:hAnsi="Arial" w:cs="Arial"/>
          <w:b/>
          <w:bCs/>
          <w:i/>
          <w:iCs/>
          <w:lang w:eastAsia="es-ES"/>
        </w:rPr>
        <w:t xml:space="preserve"> </w:t>
      </w:r>
      <w:r w:rsidR="00AB6EE7">
        <w:rPr>
          <w:rFonts w:ascii="Arial" w:eastAsia="Times New Roman" w:hAnsi="Arial" w:cs="Arial"/>
          <w:bCs/>
          <w:i/>
          <w:iCs/>
          <w:lang w:eastAsia="es-ES"/>
        </w:rPr>
        <w:t>No se actualizó causal de improcedencia alguna, por lo que NO SE SOBRESEE EL JUICIO, en términos del considerando QUINTO de esta resolución.</w:t>
      </w:r>
    </w:p>
    <w:p w14:paraId="30DCF996" w14:textId="1486AD14" w:rsidR="007A2A08" w:rsidRPr="00B957A1" w:rsidRDefault="007A2A08" w:rsidP="00EB7617">
      <w:pPr>
        <w:spacing w:after="0"/>
        <w:ind w:left="567" w:right="191"/>
        <w:jc w:val="both"/>
        <w:rPr>
          <w:rFonts w:ascii="Arial" w:eastAsia="Times New Roman" w:hAnsi="Arial" w:cs="Arial"/>
          <w:bCs/>
          <w:i/>
          <w:iCs/>
          <w:lang w:eastAsia="es-ES"/>
        </w:rPr>
      </w:pPr>
      <w:r>
        <w:rPr>
          <w:rFonts w:ascii="Arial" w:eastAsia="Times New Roman" w:hAnsi="Arial" w:cs="Arial"/>
          <w:b/>
          <w:bCs/>
          <w:i/>
          <w:iCs/>
          <w:lang w:eastAsia="es-ES"/>
        </w:rPr>
        <w:lastRenderedPageBreak/>
        <w:t xml:space="preserve">TERCERO. </w:t>
      </w:r>
      <w:r w:rsidR="00B957A1">
        <w:rPr>
          <w:rFonts w:ascii="Arial" w:eastAsia="Times New Roman" w:hAnsi="Arial" w:cs="Arial"/>
          <w:b/>
          <w:bCs/>
          <w:i/>
          <w:iCs/>
          <w:lang w:eastAsia="es-ES"/>
        </w:rPr>
        <w:t>–</w:t>
      </w:r>
      <w:r>
        <w:rPr>
          <w:rFonts w:ascii="Arial" w:eastAsia="Times New Roman" w:hAnsi="Arial" w:cs="Arial"/>
          <w:b/>
          <w:bCs/>
          <w:i/>
          <w:iCs/>
          <w:lang w:eastAsia="es-ES"/>
        </w:rPr>
        <w:t xml:space="preserve"> </w:t>
      </w:r>
      <w:r w:rsidR="00B957A1">
        <w:rPr>
          <w:rFonts w:ascii="Arial" w:eastAsia="Times New Roman" w:hAnsi="Arial" w:cs="Arial"/>
          <w:bCs/>
          <w:i/>
          <w:iCs/>
          <w:lang w:eastAsia="es-ES"/>
        </w:rPr>
        <w:t xml:space="preserve">Se declara la </w:t>
      </w:r>
      <w:r w:rsidR="00B957A1">
        <w:rPr>
          <w:rFonts w:ascii="Arial" w:eastAsia="Times New Roman" w:hAnsi="Arial" w:cs="Arial"/>
          <w:b/>
          <w:bCs/>
          <w:i/>
          <w:iCs/>
          <w:lang w:eastAsia="es-ES"/>
        </w:rPr>
        <w:t xml:space="preserve">VALIDEZ de la orden de pago sobre impuesto de traslado de dominio con folio </w:t>
      </w:r>
      <w:r w:rsidR="00053613">
        <w:rPr>
          <w:rFonts w:ascii="Arial" w:eastAsia="Times New Roman" w:hAnsi="Arial" w:cs="Arial"/>
          <w:b/>
          <w:bCs/>
          <w:i/>
          <w:iCs/>
          <w:lang w:eastAsia="es-ES"/>
        </w:rPr>
        <w:t>*******</w:t>
      </w:r>
      <w:r w:rsidR="00B957A1">
        <w:rPr>
          <w:rFonts w:ascii="Arial" w:eastAsia="Times New Roman" w:hAnsi="Arial" w:cs="Arial"/>
          <w:b/>
          <w:bCs/>
          <w:i/>
          <w:iCs/>
          <w:lang w:eastAsia="es-ES"/>
        </w:rPr>
        <w:t xml:space="preserve"> de fecha nueve de mayo de dos mil diecinueve (09/05/2019), </w:t>
      </w:r>
      <w:r w:rsidR="00B957A1">
        <w:rPr>
          <w:rFonts w:ascii="Arial" w:eastAsia="Times New Roman" w:hAnsi="Arial" w:cs="Arial"/>
          <w:bCs/>
          <w:i/>
          <w:iCs/>
          <w:lang w:eastAsia="es-ES"/>
        </w:rPr>
        <w:t>emitido por el Tesorero Municipal de Santa Lucía del Camino, Oaxaca; y por ello, se ordena al actor cubrir sus pagos, para la conclusión de sus trámites, lo anterior en términos precisados en el considerando SEXTO de esta resolución.</w:t>
      </w:r>
    </w:p>
    <w:p w14:paraId="4034A77D" w14:textId="18BBDFB4" w:rsidR="007A2A08" w:rsidRPr="00B957A1" w:rsidRDefault="007A2A08" w:rsidP="00EB7617">
      <w:pPr>
        <w:spacing w:after="0"/>
        <w:ind w:left="567" w:right="191"/>
        <w:jc w:val="both"/>
        <w:rPr>
          <w:rFonts w:ascii="Arial" w:eastAsia="Times New Roman" w:hAnsi="Arial" w:cs="Arial"/>
          <w:b/>
          <w:bCs/>
          <w:i/>
          <w:iCs/>
          <w:lang w:eastAsia="es-ES"/>
        </w:rPr>
      </w:pPr>
      <w:r>
        <w:rPr>
          <w:rFonts w:ascii="Arial" w:eastAsia="Times New Roman" w:hAnsi="Arial" w:cs="Arial"/>
          <w:b/>
          <w:bCs/>
          <w:i/>
          <w:iCs/>
          <w:lang w:eastAsia="es-ES"/>
        </w:rPr>
        <w:t xml:space="preserve">CUARTO. </w:t>
      </w:r>
      <w:r w:rsidR="004D0430">
        <w:rPr>
          <w:rFonts w:ascii="Arial" w:eastAsia="Times New Roman" w:hAnsi="Arial" w:cs="Arial"/>
          <w:b/>
          <w:bCs/>
          <w:i/>
          <w:iCs/>
          <w:lang w:eastAsia="es-ES"/>
        </w:rPr>
        <w:t>–</w:t>
      </w:r>
      <w:r>
        <w:rPr>
          <w:rFonts w:ascii="Arial" w:eastAsia="Times New Roman" w:hAnsi="Arial" w:cs="Arial"/>
          <w:b/>
          <w:bCs/>
          <w:i/>
          <w:iCs/>
          <w:lang w:eastAsia="es-ES"/>
        </w:rPr>
        <w:t xml:space="preserve"> </w:t>
      </w:r>
      <w:r w:rsidR="00B957A1">
        <w:rPr>
          <w:rFonts w:ascii="Arial" w:eastAsia="Times New Roman" w:hAnsi="Arial" w:cs="Arial"/>
          <w:bCs/>
          <w:i/>
          <w:iCs/>
          <w:lang w:eastAsia="es-ES"/>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sidR="00B957A1">
        <w:rPr>
          <w:rFonts w:ascii="Arial" w:eastAsia="Times New Roman" w:hAnsi="Arial" w:cs="Arial"/>
          <w:b/>
          <w:bCs/>
          <w:i/>
          <w:iCs/>
          <w:lang w:eastAsia="es-ES"/>
        </w:rPr>
        <w:t xml:space="preserve">NOTIFÍQUESE PERSONALMENTE A LA PARTE ACTORA Y POR OFICIO A LA AUTORIDAD DEMANDADA. CÚMPLASE. </w:t>
      </w:r>
    </w:p>
    <w:p w14:paraId="44BB227C" w14:textId="4AF8EBC5" w:rsidR="007A2A08" w:rsidRDefault="007A2A08" w:rsidP="00EB7617">
      <w:pPr>
        <w:spacing w:after="0"/>
        <w:ind w:left="567" w:right="191"/>
        <w:jc w:val="both"/>
        <w:rPr>
          <w:rFonts w:ascii="Arial" w:eastAsia="Times New Roman" w:hAnsi="Arial" w:cs="Arial"/>
          <w:bCs/>
          <w:i/>
          <w:iCs/>
          <w:lang w:eastAsia="es-ES"/>
        </w:rPr>
      </w:pPr>
      <w:r>
        <w:rPr>
          <w:rFonts w:ascii="Arial" w:eastAsia="Times New Roman" w:hAnsi="Arial" w:cs="Arial"/>
          <w:b/>
          <w:bCs/>
          <w:i/>
          <w:iCs/>
          <w:lang w:eastAsia="es-ES"/>
        </w:rPr>
        <w:t xml:space="preserve">QUINTO. </w:t>
      </w:r>
      <w:r w:rsidR="004D0430">
        <w:rPr>
          <w:rFonts w:ascii="Arial" w:eastAsia="Times New Roman" w:hAnsi="Arial" w:cs="Arial"/>
          <w:b/>
          <w:bCs/>
          <w:i/>
          <w:iCs/>
          <w:lang w:eastAsia="es-ES"/>
        </w:rPr>
        <w:t>–</w:t>
      </w:r>
      <w:r w:rsidR="004D0430">
        <w:rPr>
          <w:rFonts w:ascii="Arial" w:eastAsia="Times New Roman" w:hAnsi="Arial" w:cs="Arial"/>
          <w:bCs/>
          <w:i/>
          <w:iCs/>
          <w:lang w:eastAsia="es-ES"/>
        </w:rPr>
        <w:t xml:space="preserve"> </w:t>
      </w:r>
      <w:r w:rsidR="004D0430">
        <w:rPr>
          <w:rFonts w:ascii="Arial" w:eastAsia="Times New Roman" w:hAnsi="Arial" w:cs="Arial"/>
          <w:b/>
          <w:bCs/>
          <w:i/>
          <w:iCs/>
          <w:lang w:eastAsia="es-ES"/>
        </w:rPr>
        <w:t xml:space="preserve">NOTIFÍQUESE </w:t>
      </w:r>
      <w:r w:rsidR="004D0430">
        <w:rPr>
          <w:rFonts w:ascii="Arial" w:eastAsia="Times New Roman" w:hAnsi="Arial" w:cs="Arial"/>
          <w:bCs/>
          <w:i/>
          <w:iCs/>
          <w:u w:val="single"/>
          <w:lang w:eastAsia="es-ES"/>
        </w:rPr>
        <w:t>personalmente</w:t>
      </w:r>
      <w:r w:rsidR="004D0430">
        <w:rPr>
          <w:rFonts w:ascii="Arial" w:eastAsia="Times New Roman" w:hAnsi="Arial" w:cs="Arial"/>
          <w:bCs/>
          <w:i/>
          <w:iCs/>
          <w:lang w:eastAsia="es-ES"/>
        </w:rPr>
        <w:t xml:space="preserve"> al actor y por </w:t>
      </w:r>
      <w:r w:rsidR="004D0430">
        <w:rPr>
          <w:rFonts w:ascii="Arial" w:eastAsia="Times New Roman" w:hAnsi="Arial" w:cs="Arial"/>
          <w:bCs/>
          <w:i/>
          <w:iCs/>
          <w:u w:val="single"/>
          <w:lang w:eastAsia="es-ES"/>
        </w:rPr>
        <w:t>oficio</w:t>
      </w:r>
      <w:r w:rsidR="004D0430">
        <w:rPr>
          <w:rFonts w:ascii="Arial" w:eastAsia="Times New Roman" w:hAnsi="Arial" w:cs="Arial"/>
          <w:bCs/>
          <w:i/>
          <w:iCs/>
          <w:lang w:eastAsia="es-ES"/>
        </w:rPr>
        <w:t xml:space="preserve"> a la autoridad demandada vía correo certificado, conform</w:t>
      </w:r>
      <w:r w:rsidR="00CD74A3">
        <w:rPr>
          <w:rFonts w:ascii="Arial" w:eastAsia="Times New Roman" w:hAnsi="Arial" w:cs="Arial"/>
          <w:bCs/>
          <w:i/>
          <w:iCs/>
          <w:lang w:eastAsia="es-ES"/>
        </w:rPr>
        <w:t>e lo dispuesto en los artículos 172 fracciones I</w:t>
      </w:r>
      <w:r w:rsidR="004D0430">
        <w:rPr>
          <w:rFonts w:ascii="Arial" w:eastAsia="Times New Roman" w:hAnsi="Arial" w:cs="Arial"/>
          <w:bCs/>
          <w:i/>
          <w:iCs/>
          <w:lang w:eastAsia="es-ES"/>
        </w:rPr>
        <w:t xml:space="preserve"> y 173 fracciones I y II, de la Ley de Procedimiento y Justicia Administrativa para el Estado de Oaxaca. </w:t>
      </w:r>
      <w:r w:rsidR="004D0430">
        <w:rPr>
          <w:rFonts w:ascii="Arial" w:eastAsia="Times New Roman" w:hAnsi="Arial" w:cs="Arial"/>
          <w:b/>
          <w:bCs/>
          <w:i/>
          <w:iCs/>
          <w:lang w:eastAsia="es-ES"/>
        </w:rPr>
        <w:t>CÚMPLASE.</w:t>
      </w:r>
      <w:r>
        <w:rPr>
          <w:rFonts w:ascii="Arial" w:eastAsia="Times New Roman" w:hAnsi="Arial" w:cs="Arial"/>
          <w:bCs/>
          <w:i/>
          <w:iCs/>
          <w:lang w:eastAsia="es-ES"/>
        </w:rPr>
        <w:t xml:space="preserve"> </w:t>
      </w:r>
      <w:r w:rsidR="00C15DCD">
        <w:rPr>
          <w:rFonts w:ascii="Arial" w:eastAsia="Times New Roman" w:hAnsi="Arial" w:cs="Arial"/>
          <w:bCs/>
          <w:i/>
          <w:iCs/>
          <w:lang w:eastAsia="es-ES"/>
        </w:rPr>
        <w:t xml:space="preserve">- - - - - - - - </w:t>
      </w:r>
      <w:r w:rsidR="00EB7617">
        <w:rPr>
          <w:rFonts w:ascii="Arial" w:eastAsia="Times New Roman" w:hAnsi="Arial" w:cs="Arial"/>
          <w:bCs/>
          <w:i/>
          <w:iCs/>
          <w:lang w:eastAsia="es-ES"/>
        </w:rPr>
        <w:t xml:space="preserve">- - - - - - - </w:t>
      </w:r>
    </w:p>
    <w:p w14:paraId="45FE1FD4" w14:textId="18E14002" w:rsidR="00676F27" w:rsidRPr="00605A9C" w:rsidRDefault="00676F27" w:rsidP="00EB7617">
      <w:pPr>
        <w:spacing w:after="0"/>
        <w:ind w:left="567" w:right="191"/>
        <w:jc w:val="both"/>
        <w:rPr>
          <w:rFonts w:ascii="Arial" w:eastAsia="Times New Roman" w:hAnsi="Arial" w:cs="Arial"/>
          <w:bCs/>
          <w:i/>
          <w:iCs/>
          <w:lang w:eastAsia="es-ES"/>
        </w:rPr>
      </w:pPr>
      <w:r>
        <w:rPr>
          <w:rFonts w:ascii="Arial" w:eastAsia="Times New Roman" w:hAnsi="Arial" w:cs="Arial"/>
          <w:bCs/>
          <w:i/>
          <w:iCs/>
          <w:lang w:eastAsia="es-ES"/>
        </w:rPr>
        <w:t xml:space="preserve">Así lo resolvió y firma </w:t>
      </w:r>
      <w:r w:rsidR="00B957A1">
        <w:rPr>
          <w:rFonts w:ascii="Arial" w:eastAsia="Times New Roman" w:hAnsi="Arial" w:cs="Arial"/>
          <w:bCs/>
          <w:i/>
          <w:iCs/>
          <w:lang w:eastAsia="es-ES"/>
        </w:rPr>
        <w:t xml:space="preserve">Licenciada TANIA RAMOS MARTÍNEZ, Magistrada Titular de la Sala Unitaria de Primera Instancia, quien actúa legalmente con el Licenciado ERNESTO GARCÍA GONZÁLEZ, Secretario de Acuerdo de Sala, que autoriza y da fe.” </w:t>
      </w:r>
    </w:p>
    <w:p w14:paraId="0F7E4CB7" w14:textId="18B0B8A6"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6F5D9D82" w:rsidR="00CC03AB" w:rsidRPr="00B434C8" w:rsidRDefault="00CC03AB" w:rsidP="00B957A1">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AF069B">
        <w:rPr>
          <w:rFonts w:ascii="Arial" w:hAnsi="Arial" w:cs="Arial"/>
          <w:bCs/>
          <w:iCs/>
          <w:sz w:val="26"/>
          <w:szCs w:val="26"/>
        </w:rPr>
        <w:t>ones I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Administrativa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C73CF4">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B957A1">
        <w:rPr>
          <w:rFonts w:ascii="Arial" w:hAnsi="Arial" w:cs="Arial"/>
          <w:sz w:val="26"/>
          <w:szCs w:val="26"/>
        </w:rPr>
        <w:t>quince</w:t>
      </w:r>
      <w:r w:rsidR="0006276F">
        <w:rPr>
          <w:rFonts w:ascii="Arial" w:hAnsi="Arial" w:cs="Arial"/>
          <w:sz w:val="26"/>
          <w:szCs w:val="26"/>
        </w:rPr>
        <w:t xml:space="preserve"> de </w:t>
      </w:r>
      <w:r w:rsidR="00B957A1">
        <w:rPr>
          <w:rFonts w:ascii="Arial" w:hAnsi="Arial" w:cs="Arial"/>
          <w:sz w:val="26"/>
          <w:szCs w:val="26"/>
        </w:rPr>
        <w:t>julio</w:t>
      </w:r>
      <w:r w:rsidR="0006276F">
        <w:rPr>
          <w:rFonts w:ascii="Arial" w:hAnsi="Arial" w:cs="Arial"/>
          <w:sz w:val="26"/>
          <w:szCs w:val="26"/>
        </w:rPr>
        <w:t xml:space="preserve"> de dos mil veintiuno</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B957A1">
        <w:rPr>
          <w:rFonts w:ascii="Arial" w:hAnsi="Arial" w:cs="Arial"/>
          <w:bCs/>
          <w:iCs/>
          <w:sz w:val="26"/>
          <w:szCs w:val="26"/>
        </w:rPr>
        <w:t>Tercer</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B957A1">
        <w:rPr>
          <w:rFonts w:ascii="Arial" w:hAnsi="Arial" w:cs="Arial"/>
          <w:b/>
          <w:bCs/>
          <w:iCs/>
          <w:sz w:val="26"/>
          <w:szCs w:val="26"/>
        </w:rPr>
        <w:t>049</w:t>
      </w:r>
      <w:r w:rsidR="0060416A">
        <w:rPr>
          <w:rFonts w:ascii="Arial" w:hAnsi="Arial" w:cs="Arial"/>
          <w:b/>
          <w:bCs/>
          <w:iCs/>
          <w:sz w:val="26"/>
          <w:szCs w:val="26"/>
        </w:rPr>
        <w:t>/20</w:t>
      </w:r>
      <w:r w:rsidR="00B957A1">
        <w:rPr>
          <w:rFonts w:ascii="Arial" w:hAnsi="Arial" w:cs="Arial"/>
          <w:b/>
          <w:bCs/>
          <w:iCs/>
          <w:sz w:val="26"/>
          <w:szCs w:val="26"/>
        </w:rPr>
        <w:t>19</w:t>
      </w:r>
      <w:r w:rsidRPr="00EB7617">
        <w:rPr>
          <w:rFonts w:ascii="Arial" w:hAnsi="Arial" w:cs="Arial"/>
          <w:iCs/>
          <w:sz w:val="26"/>
          <w:szCs w:val="26"/>
        </w:rPr>
        <w:t>.</w:t>
      </w:r>
      <w:r w:rsidR="00EB7617" w:rsidRPr="00EB7617">
        <w:rPr>
          <w:rFonts w:ascii="Arial" w:hAnsi="Arial" w:cs="Arial"/>
          <w:iCs/>
          <w:sz w:val="26"/>
          <w:szCs w:val="26"/>
        </w:rPr>
        <w:t xml:space="preserve">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EB7617">
      <w:pPr>
        <w:spacing w:before="240"/>
        <w:ind w:left="709" w:right="616"/>
        <w:jc w:val="both"/>
        <w:rPr>
          <w:rFonts w:ascii="Arial" w:eastAsia="Times New Roman" w:hAnsi="Arial" w:cs="Arial"/>
          <w:i/>
          <w:iCs/>
        </w:rPr>
      </w:pPr>
      <w:r w:rsidRPr="00011CEC">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F00100F" w14:textId="4CEA82AD" w:rsidR="00535E0D" w:rsidRDefault="003B6CF0" w:rsidP="00535E0D">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Cs/>
          <w:sz w:val="26"/>
          <w:szCs w:val="26"/>
        </w:rPr>
        <w:tab/>
      </w:r>
      <w:r w:rsidR="00B32A93">
        <w:rPr>
          <w:rFonts w:ascii="Arial" w:eastAsia="Calibri" w:hAnsi="Arial" w:cs="Arial"/>
          <w:bCs/>
          <w:sz w:val="26"/>
          <w:szCs w:val="26"/>
        </w:rPr>
        <w:tab/>
      </w:r>
      <w:r w:rsidR="00C15DCD">
        <w:rPr>
          <w:rFonts w:ascii="Arial" w:eastAsia="Calibri" w:hAnsi="Arial" w:cs="Arial"/>
          <w:b/>
          <w:bCs/>
          <w:sz w:val="26"/>
          <w:szCs w:val="26"/>
        </w:rPr>
        <w:t xml:space="preserve">TERCERO. </w:t>
      </w:r>
      <w:r w:rsidR="00F627EB">
        <w:rPr>
          <w:rFonts w:ascii="Arial" w:eastAsia="Calibri" w:hAnsi="Arial" w:cs="Arial"/>
          <w:bCs/>
          <w:sz w:val="26"/>
          <w:szCs w:val="26"/>
        </w:rPr>
        <w:t xml:space="preserve">En su </w:t>
      </w:r>
      <w:r w:rsidR="00535E0D">
        <w:rPr>
          <w:rFonts w:ascii="Arial" w:eastAsia="Calibri" w:hAnsi="Arial" w:cs="Arial"/>
          <w:bCs/>
          <w:sz w:val="26"/>
          <w:szCs w:val="26"/>
        </w:rPr>
        <w:t xml:space="preserve">único agravio señala el recurrente, que por acuerdo que le fue notificado el once de octubre de dos mil veintiuno, se le hizo del conocimiento que la Primera Instancia dictó la validez del acto impugnado en el juicio de nulidad, en contra de los actos contenidos en la orden de pago de impuestos sobre traslación de dominio de folio </w:t>
      </w:r>
      <w:r w:rsidR="00053613">
        <w:rPr>
          <w:rFonts w:ascii="Arial" w:eastAsia="Calibri" w:hAnsi="Arial" w:cs="Arial"/>
          <w:bCs/>
          <w:sz w:val="26"/>
          <w:szCs w:val="26"/>
        </w:rPr>
        <w:t>*******</w:t>
      </w:r>
      <w:r w:rsidR="00535E0D">
        <w:rPr>
          <w:rFonts w:ascii="Arial" w:eastAsia="Calibri" w:hAnsi="Arial" w:cs="Arial"/>
          <w:bCs/>
          <w:sz w:val="26"/>
          <w:szCs w:val="26"/>
        </w:rPr>
        <w:t xml:space="preserve"> de nueve de mayo de dos mil diecinueve, expedida por el Tesorero Municipal del Municipio de Santa Lucía del Camino, Oaxaca, respecto del predio ubicado en el paraje conocido como </w:t>
      </w:r>
      <w:r w:rsidR="00140952">
        <w:rPr>
          <w:rFonts w:ascii="Arial" w:eastAsia="Calibri" w:hAnsi="Arial" w:cs="Arial"/>
          <w:bCs/>
          <w:sz w:val="26"/>
          <w:szCs w:val="26"/>
        </w:rPr>
        <w:t>“</w:t>
      </w:r>
      <w:r w:rsidR="00053613">
        <w:rPr>
          <w:rFonts w:ascii="Arial" w:eastAsia="Calibri" w:hAnsi="Arial" w:cs="Arial"/>
          <w:bCs/>
          <w:sz w:val="26"/>
          <w:szCs w:val="26"/>
        </w:rPr>
        <w:t>*******</w:t>
      </w:r>
      <w:r w:rsidR="00140952">
        <w:rPr>
          <w:rFonts w:ascii="Arial" w:eastAsia="Calibri" w:hAnsi="Arial" w:cs="Arial"/>
          <w:bCs/>
          <w:sz w:val="26"/>
          <w:szCs w:val="26"/>
        </w:rPr>
        <w:t>”</w:t>
      </w:r>
      <w:r w:rsidR="00535E0D">
        <w:rPr>
          <w:rFonts w:ascii="Arial" w:eastAsia="Calibri" w:hAnsi="Arial" w:cs="Arial"/>
          <w:bCs/>
          <w:sz w:val="26"/>
          <w:szCs w:val="26"/>
        </w:rPr>
        <w:t>, argumentando</w:t>
      </w:r>
      <w:r w:rsidR="00C73CF4">
        <w:rPr>
          <w:rFonts w:ascii="Arial" w:eastAsia="Calibri" w:hAnsi="Arial" w:cs="Arial"/>
          <w:bCs/>
          <w:sz w:val="26"/>
          <w:szCs w:val="26"/>
        </w:rPr>
        <w:t xml:space="preserve"> la Sala Unitaria</w:t>
      </w:r>
      <w:r w:rsidR="00535E0D">
        <w:rPr>
          <w:rFonts w:ascii="Arial" w:eastAsia="Calibri" w:hAnsi="Arial" w:cs="Arial"/>
          <w:bCs/>
          <w:sz w:val="26"/>
          <w:szCs w:val="26"/>
        </w:rPr>
        <w:t xml:space="preserve"> la falta de causales de improcedencia o sobreseimiento por cu</w:t>
      </w:r>
      <w:r w:rsidR="00C73CF4">
        <w:rPr>
          <w:rFonts w:ascii="Arial" w:eastAsia="Calibri" w:hAnsi="Arial" w:cs="Arial"/>
          <w:bCs/>
          <w:sz w:val="26"/>
          <w:szCs w:val="26"/>
        </w:rPr>
        <w:t>a</w:t>
      </w:r>
      <w:r w:rsidR="00535E0D">
        <w:rPr>
          <w:rFonts w:ascii="Arial" w:eastAsia="Calibri" w:hAnsi="Arial" w:cs="Arial"/>
          <w:bCs/>
          <w:sz w:val="26"/>
          <w:szCs w:val="26"/>
        </w:rPr>
        <w:t>l no se sobresee el juicio.</w:t>
      </w:r>
      <w:r w:rsidR="00EB7617">
        <w:rPr>
          <w:rFonts w:ascii="Arial" w:eastAsia="Calibri" w:hAnsi="Arial" w:cs="Arial"/>
          <w:bCs/>
          <w:sz w:val="26"/>
          <w:szCs w:val="26"/>
        </w:rPr>
        <w:t xml:space="preserve"> - - - </w:t>
      </w:r>
      <w:r w:rsidR="00053613">
        <w:rPr>
          <w:rFonts w:ascii="Arial" w:hAnsi="Arial" w:cs="Arial"/>
          <w:sz w:val="26"/>
          <w:szCs w:val="26"/>
        </w:rPr>
        <w:t>- - - - - - - - - - - - - - - - - - - - - - - - - - - - -</w:t>
      </w:r>
    </w:p>
    <w:p w14:paraId="1247DABE" w14:textId="4248EA28" w:rsidR="00535E0D" w:rsidRDefault="00535E0D" w:rsidP="00535E0D">
      <w:pPr>
        <w:widowControl w:val="0"/>
        <w:spacing w:before="240" w:after="0" w:line="360" w:lineRule="auto"/>
        <w:ind w:left="-142"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
          <w:bCs/>
          <w:sz w:val="26"/>
          <w:szCs w:val="26"/>
        </w:rPr>
        <w:tab/>
      </w:r>
      <w:r w:rsidR="007D43F3">
        <w:rPr>
          <w:rFonts w:ascii="Arial" w:eastAsia="Calibri" w:hAnsi="Arial" w:cs="Arial"/>
          <w:bCs/>
          <w:sz w:val="26"/>
          <w:szCs w:val="26"/>
        </w:rPr>
        <w:t>Argumenta</w:t>
      </w:r>
      <w:r>
        <w:rPr>
          <w:rFonts w:ascii="Arial" w:eastAsia="Calibri" w:hAnsi="Arial" w:cs="Arial"/>
          <w:bCs/>
          <w:sz w:val="26"/>
          <w:szCs w:val="26"/>
        </w:rPr>
        <w:t xml:space="preserve"> que se impugna el considerando sexto, pues la Sala Unitaria al realizar su estudio amplía sus facultades haciendo la cuenta aritmética y la justificación legal de cobro del impuesto sin que la autoridad demandada man</w:t>
      </w:r>
      <w:r w:rsidR="007D43F3">
        <w:rPr>
          <w:rFonts w:ascii="Arial" w:eastAsia="Calibri" w:hAnsi="Arial" w:cs="Arial"/>
          <w:bCs/>
          <w:sz w:val="26"/>
          <w:szCs w:val="26"/>
        </w:rPr>
        <w:t>ifestar</w:t>
      </w:r>
      <w:r w:rsidR="00E612D5">
        <w:rPr>
          <w:rFonts w:ascii="Arial" w:eastAsia="Calibri" w:hAnsi="Arial" w:cs="Arial"/>
          <w:bCs/>
          <w:sz w:val="26"/>
          <w:szCs w:val="26"/>
        </w:rPr>
        <w:t>a</w:t>
      </w:r>
      <w:r w:rsidR="007D43F3">
        <w:rPr>
          <w:rFonts w:ascii="Arial" w:eastAsia="Calibri" w:hAnsi="Arial" w:cs="Arial"/>
          <w:bCs/>
          <w:sz w:val="26"/>
          <w:szCs w:val="26"/>
        </w:rPr>
        <w:t xml:space="preserve"> la fundamentación y motivación del acto que se reclama por lo que únicamente en su sentencia debió analizar si el acto impugnado contaba con los elementos de validez, es decir, si tenía la fundamentación y motivación, así como el medio de impugnación que hacer valer en dado caso. </w:t>
      </w:r>
      <w:r w:rsidR="00EB7617">
        <w:rPr>
          <w:rFonts w:ascii="Arial" w:hAnsi="Arial" w:cs="Arial"/>
          <w:sz w:val="26"/>
          <w:szCs w:val="26"/>
        </w:rPr>
        <w:t xml:space="preserve">- - - - - - - - - - - - - - - - - - - - - - - - - - - - - - </w:t>
      </w:r>
    </w:p>
    <w:p w14:paraId="5163DEDB" w14:textId="79EBC1EB" w:rsidR="00E612D5" w:rsidRDefault="00E612D5" w:rsidP="00E612D5">
      <w:pPr>
        <w:widowControl w:val="0"/>
        <w:spacing w:before="240" w:after="0" w:line="360" w:lineRule="auto"/>
        <w:ind w:left="-142" w:right="18" w:firstLine="850"/>
        <w:jc w:val="both"/>
        <w:rPr>
          <w:rFonts w:ascii="Arial" w:eastAsia="Calibri" w:hAnsi="Arial" w:cs="Arial"/>
          <w:bCs/>
          <w:sz w:val="26"/>
          <w:szCs w:val="26"/>
        </w:rPr>
      </w:pPr>
      <w:r>
        <w:rPr>
          <w:rFonts w:ascii="Arial" w:eastAsia="Calibri" w:hAnsi="Arial" w:cs="Arial"/>
          <w:bCs/>
          <w:sz w:val="26"/>
          <w:szCs w:val="26"/>
        </w:rPr>
        <w:t xml:space="preserve">Esta Sala Superior estima que es </w:t>
      </w:r>
      <w:r w:rsidRPr="00042531">
        <w:rPr>
          <w:rFonts w:ascii="Arial" w:eastAsia="Calibri" w:hAnsi="Arial" w:cs="Arial"/>
          <w:b/>
          <w:sz w:val="26"/>
          <w:szCs w:val="26"/>
        </w:rPr>
        <w:t>sustancialmente fundado</w:t>
      </w:r>
      <w:r>
        <w:rPr>
          <w:rFonts w:ascii="Arial" w:eastAsia="Calibri" w:hAnsi="Arial" w:cs="Arial"/>
          <w:bCs/>
          <w:sz w:val="26"/>
          <w:szCs w:val="26"/>
        </w:rPr>
        <w:t xml:space="preserve"> el agravio del recurrente.</w:t>
      </w:r>
      <w:r w:rsidR="00EB7617">
        <w:rPr>
          <w:rFonts w:ascii="Arial" w:eastAsia="Calibri" w:hAnsi="Arial" w:cs="Arial"/>
          <w:bCs/>
          <w:sz w:val="26"/>
          <w:szCs w:val="26"/>
        </w:rPr>
        <w:t xml:space="preserve"> </w:t>
      </w:r>
      <w:r w:rsidR="00EB7617">
        <w:rPr>
          <w:rFonts w:ascii="Arial" w:hAnsi="Arial" w:cs="Arial"/>
          <w:sz w:val="26"/>
          <w:szCs w:val="26"/>
        </w:rPr>
        <w:t>- - - - - - - - - - - - - - - - - - - - - - - - - - - -  - - - - - - - -</w:t>
      </w:r>
    </w:p>
    <w:p w14:paraId="6FC501D4" w14:textId="6F298716" w:rsidR="00296C2E" w:rsidRDefault="00E612D5" w:rsidP="00296C2E">
      <w:pPr>
        <w:widowControl w:val="0"/>
        <w:spacing w:before="240" w:after="0" w:line="360" w:lineRule="auto"/>
        <w:ind w:left="-142" w:right="18" w:firstLine="850"/>
        <w:jc w:val="both"/>
        <w:rPr>
          <w:rFonts w:ascii="Arial" w:hAnsi="Arial" w:cs="Arial"/>
          <w:bCs/>
          <w:sz w:val="26"/>
          <w:szCs w:val="26"/>
        </w:rPr>
      </w:pPr>
      <w:r>
        <w:rPr>
          <w:rFonts w:ascii="Arial" w:eastAsia="Calibri" w:hAnsi="Arial" w:cs="Arial"/>
          <w:bCs/>
          <w:sz w:val="26"/>
          <w:szCs w:val="26"/>
        </w:rPr>
        <w:t>De las</w:t>
      </w:r>
      <w:r w:rsidR="00042531">
        <w:rPr>
          <w:rFonts w:ascii="Arial" w:eastAsia="Calibri" w:hAnsi="Arial" w:cs="Arial"/>
          <w:bCs/>
          <w:sz w:val="26"/>
          <w:szCs w:val="26"/>
        </w:rPr>
        <w:t xml:space="preserve"> </w:t>
      </w:r>
      <w:r w:rsidR="00042531">
        <w:rPr>
          <w:rFonts w:ascii="Arial" w:hAnsi="Arial" w:cs="Arial"/>
          <w:bCs/>
          <w:sz w:val="26"/>
          <w:szCs w:val="26"/>
        </w:rPr>
        <w:t>d</w:t>
      </w:r>
      <w:r w:rsidR="00042531" w:rsidRPr="00E463D2">
        <w:rPr>
          <w:rFonts w:ascii="Arial" w:hAnsi="Arial" w:cs="Arial"/>
          <w:bCs/>
          <w:sz w:val="26"/>
          <w:szCs w:val="26"/>
        </w:rPr>
        <w:t xml:space="preserve">e las constancias </w:t>
      </w:r>
      <w:r w:rsidR="00042531">
        <w:rPr>
          <w:rFonts w:ascii="Arial" w:hAnsi="Arial" w:cs="Arial"/>
          <w:bCs/>
          <w:sz w:val="26"/>
          <w:szCs w:val="26"/>
        </w:rPr>
        <w:t xml:space="preserve">procesales </w:t>
      </w:r>
      <w:r w:rsidR="00042531" w:rsidRPr="00E463D2">
        <w:rPr>
          <w:rFonts w:ascii="Arial" w:hAnsi="Arial" w:cs="Arial"/>
          <w:bCs/>
          <w:sz w:val="26"/>
          <w:szCs w:val="26"/>
        </w:rPr>
        <w:t>que integran</w:t>
      </w:r>
      <w:r w:rsidR="00042531">
        <w:rPr>
          <w:rFonts w:ascii="Arial" w:hAnsi="Arial" w:cs="Arial"/>
          <w:bCs/>
          <w:sz w:val="26"/>
          <w:szCs w:val="26"/>
        </w:rPr>
        <w:t xml:space="preserve"> el expediente de primera instancia </w:t>
      </w:r>
      <w:r w:rsidR="00042531" w:rsidRPr="00E463D2">
        <w:rPr>
          <w:rFonts w:ascii="Arial" w:hAnsi="Arial" w:cs="Arial"/>
          <w:bCs/>
          <w:sz w:val="26"/>
          <w:szCs w:val="26"/>
        </w:rPr>
        <w:t>las que</w:t>
      </w:r>
      <w:r w:rsidR="00042531">
        <w:rPr>
          <w:rFonts w:ascii="Arial" w:hAnsi="Arial" w:cs="Arial"/>
          <w:bCs/>
          <w:sz w:val="26"/>
          <w:szCs w:val="26"/>
        </w:rPr>
        <w:t>,</w:t>
      </w:r>
      <w:r w:rsidR="00042531" w:rsidRPr="00E463D2">
        <w:rPr>
          <w:rFonts w:ascii="Arial" w:hAnsi="Arial" w:cs="Arial"/>
          <w:bCs/>
          <w:sz w:val="26"/>
          <w:szCs w:val="26"/>
        </w:rPr>
        <w:t xml:space="preserve"> por tratarse de actuaciones judiciales</w:t>
      </w:r>
      <w:r w:rsidR="00042531">
        <w:rPr>
          <w:rFonts w:ascii="Arial" w:hAnsi="Arial" w:cs="Arial"/>
          <w:bCs/>
          <w:sz w:val="26"/>
          <w:szCs w:val="26"/>
        </w:rPr>
        <w:t xml:space="preserve">, tienen </w:t>
      </w:r>
      <w:r w:rsidR="00042531" w:rsidRPr="00E463D2">
        <w:rPr>
          <w:rFonts w:ascii="Arial" w:hAnsi="Arial" w:cs="Arial"/>
          <w:bCs/>
          <w:sz w:val="26"/>
          <w:szCs w:val="26"/>
        </w:rPr>
        <w:lastRenderedPageBreak/>
        <w:t xml:space="preserve">pleno valor probatorio </w:t>
      </w:r>
      <w:r w:rsidR="00042531">
        <w:rPr>
          <w:rFonts w:ascii="Arial" w:hAnsi="Arial" w:cs="Arial"/>
          <w:bCs/>
          <w:sz w:val="26"/>
          <w:szCs w:val="26"/>
        </w:rPr>
        <w:t xml:space="preserve">en términos del </w:t>
      </w:r>
      <w:r w:rsidR="00042531" w:rsidRPr="00E463D2">
        <w:rPr>
          <w:rFonts w:ascii="Arial" w:hAnsi="Arial" w:cs="Arial"/>
          <w:bCs/>
          <w:sz w:val="26"/>
          <w:szCs w:val="26"/>
        </w:rPr>
        <w:t xml:space="preserve">artículo </w:t>
      </w:r>
      <w:r w:rsidR="00042531">
        <w:rPr>
          <w:rFonts w:ascii="Arial" w:hAnsi="Arial" w:cs="Arial"/>
          <w:color w:val="000000"/>
          <w:sz w:val="26"/>
          <w:szCs w:val="26"/>
        </w:rPr>
        <w:t>203 fracción I</w:t>
      </w:r>
      <w:r w:rsidR="00042531">
        <w:rPr>
          <w:rStyle w:val="Refdenotaalpie"/>
          <w:rFonts w:ascii="Arial" w:hAnsi="Arial" w:cs="Arial"/>
          <w:color w:val="000000"/>
          <w:sz w:val="26"/>
          <w:szCs w:val="26"/>
        </w:rPr>
        <w:footnoteReference w:id="1"/>
      </w:r>
      <w:r w:rsidR="00042531" w:rsidRPr="00E463D2">
        <w:rPr>
          <w:rFonts w:ascii="Arial" w:hAnsi="Arial" w:cs="Arial"/>
          <w:bCs/>
          <w:sz w:val="26"/>
          <w:szCs w:val="26"/>
        </w:rPr>
        <w:t xml:space="preserve"> </w:t>
      </w:r>
      <w:bookmarkStart w:id="0" w:name="_Hlk95135796"/>
      <w:r w:rsidR="00042531" w:rsidRPr="00E463D2">
        <w:rPr>
          <w:rFonts w:ascii="Arial" w:hAnsi="Arial" w:cs="Arial"/>
          <w:bCs/>
          <w:sz w:val="26"/>
          <w:szCs w:val="26"/>
        </w:rPr>
        <w:t xml:space="preserve">de la Ley de </w:t>
      </w:r>
      <w:r w:rsidR="00042531">
        <w:rPr>
          <w:rFonts w:ascii="Arial" w:hAnsi="Arial" w:cs="Arial"/>
          <w:bCs/>
          <w:sz w:val="26"/>
          <w:szCs w:val="26"/>
        </w:rPr>
        <w:t xml:space="preserve">Procedimiento y </w:t>
      </w:r>
      <w:r w:rsidR="00042531" w:rsidRPr="00E463D2">
        <w:rPr>
          <w:rFonts w:ascii="Arial" w:hAnsi="Arial" w:cs="Arial"/>
          <w:bCs/>
          <w:sz w:val="26"/>
          <w:szCs w:val="26"/>
        </w:rPr>
        <w:t>Justicia Administrativa para el Estado de Oaxaca</w:t>
      </w:r>
      <w:bookmarkEnd w:id="0"/>
      <w:r w:rsidR="00042531" w:rsidRPr="00E463D2">
        <w:rPr>
          <w:rFonts w:ascii="Arial" w:hAnsi="Arial" w:cs="Arial"/>
          <w:bCs/>
          <w:sz w:val="26"/>
          <w:szCs w:val="26"/>
        </w:rPr>
        <w:t>,</w:t>
      </w:r>
      <w:r w:rsidR="00042531">
        <w:rPr>
          <w:rFonts w:ascii="Arial" w:hAnsi="Arial" w:cs="Arial"/>
          <w:bCs/>
          <w:sz w:val="26"/>
          <w:szCs w:val="26"/>
        </w:rPr>
        <w:t xml:space="preserve"> se observa que </w:t>
      </w:r>
      <w:r w:rsidR="00053613">
        <w:rPr>
          <w:rFonts w:ascii="Arial" w:hAnsi="Arial" w:cs="Arial"/>
          <w:b/>
          <w:sz w:val="26"/>
          <w:szCs w:val="26"/>
        </w:rPr>
        <w:t>*******</w:t>
      </w:r>
      <w:r w:rsidR="00042531" w:rsidRPr="008B7917">
        <w:rPr>
          <w:rFonts w:ascii="Arial" w:hAnsi="Arial" w:cs="Arial"/>
          <w:b/>
          <w:sz w:val="26"/>
          <w:szCs w:val="26"/>
        </w:rPr>
        <w:t>,</w:t>
      </w:r>
      <w:r w:rsidR="00042531">
        <w:rPr>
          <w:rFonts w:ascii="Arial" w:hAnsi="Arial" w:cs="Arial"/>
          <w:bCs/>
          <w:sz w:val="26"/>
          <w:szCs w:val="26"/>
        </w:rPr>
        <w:t xml:space="preserve"> demandó la nulidad de </w:t>
      </w:r>
      <w:bookmarkStart w:id="1" w:name="_Hlk110030029"/>
      <w:r w:rsidR="00042531">
        <w:rPr>
          <w:rFonts w:ascii="Arial" w:hAnsi="Arial" w:cs="Arial"/>
          <w:bCs/>
          <w:sz w:val="26"/>
          <w:szCs w:val="26"/>
        </w:rPr>
        <w:t xml:space="preserve">la orden de pago de impuestos sobre traslado de dominio con número de folio </w:t>
      </w:r>
      <w:r w:rsidR="00053613">
        <w:rPr>
          <w:rFonts w:ascii="Arial" w:hAnsi="Arial" w:cs="Arial"/>
          <w:bCs/>
          <w:sz w:val="26"/>
          <w:szCs w:val="26"/>
        </w:rPr>
        <w:t>*******</w:t>
      </w:r>
      <w:r w:rsidR="00042531">
        <w:rPr>
          <w:rStyle w:val="Refdenotaalpie"/>
          <w:rFonts w:ascii="Arial" w:hAnsi="Arial" w:cs="Arial"/>
          <w:bCs/>
          <w:sz w:val="26"/>
          <w:szCs w:val="26"/>
        </w:rPr>
        <w:footnoteReference w:id="2"/>
      </w:r>
      <w:r w:rsidR="00042531">
        <w:rPr>
          <w:rFonts w:ascii="Arial" w:hAnsi="Arial" w:cs="Arial"/>
          <w:bCs/>
          <w:sz w:val="26"/>
          <w:szCs w:val="26"/>
        </w:rPr>
        <w:t xml:space="preserve"> de fecha nueve de mayo de dos mil diecinueve, emit</w:t>
      </w:r>
      <w:r w:rsidR="00296C2E">
        <w:rPr>
          <w:rFonts w:ascii="Arial" w:hAnsi="Arial" w:cs="Arial"/>
          <w:bCs/>
          <w:sz w:val="26"/>
          <w:szCs w:val="26"/>
        </w:rPr>
        <w:t xml:space="preserve">ida </w:t>
      </w:r>
      <w:r w:rsidR="00042531">
        <w:rPr>
          <w:rFonts w:ascii="Arial" w:hAnsi="Arial" w:cs="Arial"/>
          <w:bCs/>
          <w:sz w:val="26"/>
          <w:szCs w:val="26"/>
        </w:rPr>
        <w:t>por el Tesorero Municipal de Santa Lucía del Camino, Oaxaca</w:t>
      </w:r>
      <w:r w:rsidR="008B7917">
        <w:rPr>
          <w:rFonts w:ascii="Arial" w:hAnsi="Arial" w:cs="Arial"/>
          <w:bCs/>
          <w:sz w:val="26"/>
          <w:szCs w:val="26"/>
        </w:rPr>
        <w:t xml:space="preserve">, </w:t>
      </w:r>
      <w:bookmarkEnd w:id="1"/>
      <w:r w:rsidR="00296C2E">
        <w:rPr>
          <w:rFonts w:ascii="Arial" w:hAnsi="Arial" w:cs="Arial"/>
          <w:bCs/>
          <w:sz w:val="26"/>
          <w:szCs w:val="26"/>
        </w:rPr>
        <w:t>y en sus conceptos de impugnación manifestó que esta autoridad no fundó ni motivó debidamente los recargos que aducen en la orden de pago por concepto del impuesto de traslación de dominio.</w:t>
      </w:r>
      <w:r w:rsidR="00EB7617">
        <w:rPr>
          <w:rFonts w:ascii="Arial" w:hAnsi="Arial" w:cs="Arial"/>
          <w:bCs/>
          <w:sz w:val="26"/>
          <w:szCs w:val="26"/>
        </w:rPr>
        <w:t xml:space="preserve"> </w:t>
      </w:r>
      <w:r w:rsidR="00EB7617">
        <w:rPr>
          <w:rFonts w:ascii="Arial" w:hAnsi="Arial" w:cs="Arial"/>
          <w:sz w:val="26"/>
          <w:szCs w:val="26"/>
        </w:rPr>
        <w:t xml:space="preserve">- - - - - - </w:t>
      </w:r>
      <w:r w:rsidR="00053613">
        <w:rPr>
          <w:rFonts w:ascii="Arial" w:hAnsi="Arial" w:cs="Arial"/>
          <w:sz w:val="26"/>
          <w:szCs w:val="26"/>
        </w:rPr>
        <w:t>- - - - - - - - - - - - - - - - - - - - - - - - - - - - -</w:t>
      </w:r>
      <w:r w:rsidR="00053613">
        <w:rPr>
          <w:rFonts w:ascii="Arial" w:hAnsi="Arial" w:cs="Arial"/>
          <w:sz w:val="26"/>
          <w:szCs w:val="26"/>
        </w:rPr>
        <w:t xml:space="preserve"> - -</w:t>
      </w:r>
    </w:p>
    <w:p w14:paraId="51605C25" w14:textId="396C57FA" w:rsidR="00296C2E" w:rsidRDefault="00296C2E" w:rsidP="00296C2E">
      <w:pPr>
        <w:widowControl w:val="0"/>
        <w:spacing w:before="240" w:after="0" w:line="360" w:lineRule="auto"/>
        <w:ind w:left="-142" w:right="18" w:firstLine="850"/>
        <w:jc w:val="both"/>
        <w:rPr>
          <w:rFonts w:ascii="Arial" w:hAnsi="Arial" w:cs="Arial"/>
          <w:bCs/>
          <w:sz w:val="26"/>
          <w:szCs w:val="26"/>
        </w:rPr>
      </w:pPr>
      <w:r>
        <w:rPr>
          <w:rFonts w:ascii="Arial" w:hAnsi="Arial" w:cs="Arial"/>
          <w:bCs/>
          <w:sz w:val="26"/>
          <w:szCs w:val="26"/>
        </w:rPr>
        <w:t>En el considerando sexto de la sentencia de quince de julio de dos mil veintiuno, la Tercera Sala Unitaria determinó lo siguiente:</w:t>
      </w:r>
    </w:p>
    <w:p w14:paraId="0C77EE0F" w14:textId="01989D8C" w:rsidR="00296C2E" w:rsidRPr="00D931E8" w:rsidRDefault="00296C2E" w:rsidP="00EB7617">
      <w:pPr>
        <w:widowControl w:val="0"/>
        <w:spacing w:before="240" w:after="0"/>
        <w:ind w:left="567" w:right="616"/>
        <w:jc w:val="both"/>
        <w:rPr>
          <w:rFonts w:ascii="Arial" w:hAnsi="Arial" w:cs="Arial"/>
          <w:bCs/>
          <w:i/>
          <w:iCs/>
        </w:rPr>
      </w:pPr>
      <w:r w:rsidRPr="00D931E8">
        <w:rPr>
          <w:rFonts w:ascii="Arial" w:hAnsi="Arial" w:cs="Arial"/>
          <w:b/>
          <w:i/>
          <w:iCs/>
        </w:rPr>
        <w:t>“SEXTO. ESTUDIO DE FONDO.-</w:t>
      </w:r>
      <w:r w:rsidRPr="00D931E8">
        <w:rPr>
          <w:rFonts w:ascii="Arial" w:hAnsi="Arial" w:cs="Arial"/>
          <w:bCs/>
          <w:i/>
          <w:iCs/>
        </w:rPr>
        <w:t xml:space="preserve"> </w:t>
      </w:r>
      <w:r w:rsidR="00E1433E" w:rsidRPr="00D931E8">
        <w:rPr>
          <w:rFonts w:ascii="Arial" w:hAnsi="Arial" w:cs="Arial"/>
          <w:bCs/>
          <w:i/>
          <w:iCs/>
        </w:rPr>
        <w:t xml:space="preserve">Esta Juzgadora toma en cuenta, que el actor </w:t>
      </w:r>
      <w:r w:rsidR="00053613">
        <w:rPr>
          <w:rFonts w:ascii="Arial" w:hAnsi="Arial" w:cs="Arial"/>
          <w:b/>
          <w:i/>
          <w:iCs/>
        </w:rPr>
        <w:t>*******</w:t>
      </w:r>
      <w:r w:rsidR="00E1433E" w:rsidRPr="00D931E8">
        <w:rPr>
          <w:rFonts w:ascii="Arial" w:hAnsi="Arial" w:cs="Arial"/>
          <w:b/>
          <w:i/>
          <w:iCs/>
        </w:rPr>
        <w:t xml:space="preserve">, </w:t>
      </w:r>
      <w:r w:rsidR="00E1433E" w:rsidRPr="00D931E8">
        <w:rPr>
          <w:rFonts w:ascii="Arial" w:hAnsi="Arial" w:cs="Arial"/>
          <w:bCs/>
          <w:i/>
          <w:iCs/>
        </w:rPr>
        <w:t>acudió a este</w:t>
      </w:r>
      <w:r w:rsidR="00E1433E" w:rsidRPr="00D931E8">
        <w:rPr>
          <w:rFonts w:ascii="Arial" w:hAnsi="Arial" w:cs="Arial"/>
          <w:b/>
          <w:i/>
          <w:iCs/>
        </w:rPr>
        <w:t xml:space="preserve"> </w:t>
      </w:r>
      <w:r w:rsidR="007A756F" w:rsidRPr="00D931E8">
        <w:rPr>
          <w:rFonts w:ascii="Arial" w:hAnsi="Arial" w:cs="Arial"/>
          <w:bCs/>
          <w:i/>
          <w:iCs/>
        </w:rPr>
        <w:t xml:space="preserve">Tribunal a solicitar la nulidad de la orden de pago de impuestos sobre Traslado de Dominio con folio </w:t>
      </w:r>
      <w:r w:rsidR="00053613">
        <w:rPr>
          <w:rFonts w:ascii="Arial" w:hAnsi="Arial" w:cs="Arial"/>
          <w:bCs/>
          <w:i/>
          <w:iCs/>
        </w:rPr>
        <w:t>*******</w:t>
      </w:r>
      <w:r w:rsidR="007A756F" w:rsidRPr="00D931E8">
        <w:rPr>
          <w:rFonts w:ascii="Arial" w:hAnsi="Arial" w:cs="Arial"/>
          <w:bCs/>
          <w:i/>
          <w:iCs/>
        </w:rPr>
        <w:t xml:space="preserve"> de fecha nueve de mayo de dos mil diecinueve (09/05/2019), emitida por el Tesorero Municipal de </w:t>
      </w:r>
      <w:bookmarkStart w:id="2" w:name="_Hlk110026272"/>
      <w:r w:rsidR="007A756F" w:rsidRPr="00D931E8">
        <w:rPr>
          <w:rFonts w:ascii="Arial" w:hAnsi="Arial" w:cs="Arial"/>
          <w:bCs/>
          <w:i/>
          <w:iCs/>
        </w:rPr>
        <w:t xml:space="preserve">Santa Lucía del Camino, </w:t>
      </w:r>
      <w:r w:rsidR="00351081" w:rsidRPr="00D931E8">
        <w:rPr>
          <w:rFonts w:ascii="Arial" w:hAnsi="Arial" w:cs="Arial"/>
          <w:bCs/>
          <w:i/>
          <w:iCs/>
        </w:rPr>
        <w:t xml:space="preserve">Distrito del Centro, Estado de </w:t>
      </w:r>
      <w:r w:rsidR="007A756F" w:rsidRPr="00D931E8">
        <w:rPr>
          <w:rFonts w:ascii="Arial" w:hAnsi="Arial" w:cs="Arial"/>
          <w:bCs/>
          <w:i/>
          <w:iCs/>
        </w:rPr>
        <w:t xml:space="preserve">Oaxaca, </w:t>
      </w:r>
      <w:bookmarkEnd w:id="2"/>
      <w:r w:rsidR="00351081" w:rsidRPr="00D931E8">
        <w:rPr>
          <w:rFonts w:ascii="Arial" w:hAnsi="Arial" w:cs="Arial"/>
          <w:bCs/>
          <w:i/>
          <w:iCs/>
        </w:rPr>
        <w:t xml:space="preserve">alegando que se violentan en su perjuicio, al no ser fundados y motivados </w:t>
      </w:r>
      <w:r w:rsidR="00FA7DEB" w:rsidRPr="00D931E8">
        <w:rPr>
          <w:rFonts w:ascii="Arial" w:hAnsi="Arial" w:cs="Arial"/>
          <w:bCs/>
          <w:i/>
          <w:iCs/>
        </w:rPr>
        <w:t xml:space="preserve">debidamente los recargos que aducen en la orden de pago por concepto del traslado de dominio (acto impugnado); al respecto, debe decirse, que este impuesto se genera cuando se adquiere una propiedad, como en el caso del actor se justifica con el instrumento </w:t>
      </w:r>
      <w:r w:rsidR="00053613">
        <w:rPr>
          <w:rFonts w:ascii="Arial" w:hAnsi="Arial" w:cs="Arial"/>
          <w:bCs/>
          <w:i/>
          <w:iCs/>
        </w:rPr>
        <w:t>******* del volumen *******</w:t>
      </w:r>
      <w:r w:rsidR="00FA7DEB" w:rsidRPr="00D931E8">
        <w:rPr>
          <w:rFonts w:ascii="Arial" w:hAnsi="Arial" w:cs="Arial"/>
          <w:bCs/>
          <w:i/>
          <w:iCs/>
        </w:rPr>
        <w:t xml:space="preserve"> de fecha dieciocho de enero del año dos mil dieciséis (18/01/2016), pasada ante la fe del Notario Público número </w:t>
      </w:r>
      <w:r w:rsidR="00053613">
        <w:rPr>
          <w:rFonts w:ascii="Arial" w:hAnsi="Arial" w:cs="Arial"/>
          <w:bCs/>
          <w:i/>
          <w:iCs/>
        </w:rPr>
        <w:t>*******</w:t>
      </w:r>
      <w:r w:rsidR="00FA7DEB" w:rsidRPr="00D931E8">
        <w:rPr>
          <w:rFonts w:ascii="Arial" w:hAnsi="Arial" w:cs="Arial"/>
          <w:bCs/>
          <w:i/>
          <w:iCs/>
        </w:rPr>
        <w:t xml:space="preserve"> en el Estado de Oaxaca, relativo al predio ubicado en el paraje conocido como </w:t>
      </w:r>
      <w:r w:rsidR="00053613">
        <w:rPr>
          <w:rFonts w:ascii="Arial" w:hAnsi="Arial" w:cs="Arial"/>
          <w:bCs/>
          <w:i/>
          <w:iCs/>
        </w:rPr>
        <w:t>*******</w:t>
      </w:r>
      <w:r w:rsidR="00FA7DEB" w:rsidRPr="00D931E8">
        <w:rPr>
          <w:rFonts w:ascii="Arial" w:hAnsi="Arial" w:cs="Arial"/>
          <w:bCs/>
          <w:i/>
          <w:iCs/>
        </w:rPr>
        <w:t>.</w:t>
      </w:r>
    </w:p>
    <w:p w14:paraId="07A772F9" w14:textId="004ADDE7" w:rsidR="00FA7DEB" w:rsidRPr="00D931E8" w:rsidRDefault="00FA7DEB" w:rsidP="00EB7617">
      <w:pPr>
        <w:widowControl w:val="0"/>
        <w:spacing w:before="240" w:after="0"/>
        <w:ind w:left="567" w:right="616"/>
        <w:jc w:val="both"/>
        <w:rPr>
          <w:rFonts w:ascii="Arial" w:hAnsi="Arial" w:cs="Arial"/>
          <w:bCs/>
          <w:i/>
          <w:iCs/>
        </w:rPr>
      </w:pPr>
      <w:r w:rsidRPr="00D931E8">
        <w:rPr>
          <w:rFonts w:ascii="Arial" w:hAnsi="Arial" w:cs="Arial"/>
          <w:bCs/>
          <w:i/>
          <w:iCs/>
        </w:rPr>
        <w:t xml:space="preserve">Ahora bien, al haber adquirido el actor el referido inmueble, dentro de los trámites a realizar en el Instituto Catastral del Estado de Oaxaca, se encuentra la valuación del predio, por el que se otorga un valor catastral, como en el caso particular </w:t>
      </w:r>
      <w:r w:rsidR="00DD1413" w:rsidRPr="00D931E8">
        <w:rPr>
          <w:rFonts w:ascii="Arial" w:hAnsi="Arial" w:cs="Arial"/>
          <w:bCs/>
          <w:i/>
          <w:iCs/>
        </w:rPr>
        <w:t>se advierte de la cédula catastral emitida con fecha veintinueve de abril de dos mil diecinueve (29/04/2019, foja 9 de autos), en la que se estableció una base catastral asignada por la cantidad de $</w:t>
      </w:r>
      <w:r w:rsidR="00053613">
        <w:rPr>
          <w:rFonts w:ascii="Arial" w:hAnsi="Arial" w:cs="Arial"/>
          <w:bCs/>
          <w:i/>
          <w:iCs/>
        </w:rPr>
        <w:t>*******</w:t>
      </w:r>
      <w:r w:rsidR="00DD1413" w:rsidRPr="00D931E8">
        <w:rPr>
          <w:rFonts w:ascii="Arial" w:hAnsi="Arial" w:cs="Arial"/>
          <w:bCs/>
          <w:i/>
          <w:iCs/>
        </w:rPr>
        <w:t>).</w:t>
      </w:r>
    </w:p>
    <w:p w14:paraId="6B995E8E" w14:textId="070F574D" w:rsidR="00DD1413" w:rsidRPr="00D931E8" w:rsidRDefault="00DD1413" w:rsidP="00EB7617">
      <w:pPr>
        <w:widowControl w:val="0"/>
        <w:spacing w:before="240" w:after="0"/>
        <w:ind w:left="567" w:right="616"/>
        <w:jc w:val="both"/>
        <w:rPr>
          <w:rFonts w:ascii="Arial" w:hAnsi="Arial" w:cs="Arial"/>
          <w:bCs/>
          <w:i/>
          <w:iCs/>
        </w:rPr>
      </w:pPr>
      <w:r w:rsidRPr="00D931E8">
        <w:rPr>
          <w:rFonts w:ascii="Arial" w:hAnsi="Arial" w:cs="Arial"/>
          <w:bCs/>
          <w:i/>
          <w:iCs/>
        </w:rPr>
        <w:t>Por otra parte, el traslado de dominio es el pago que se hace por adquirir la propiedad en el Municipio</w:t>
      </w:r>
      <w:r w:rsidR="006F12EB" w:rsidRPr="00D931E8">
        <w:rPr>
          <w:rFonts w:ascii="Arial" w:hAnsi="Arial" w:cs="Arial"/>
          <w:bCs/>
          <w:i/>
          <w:iCs/>
        </w:rPr>
        <w:t xml:space="preserve"> al que pertenezca el predio, en este caso el Municipio de Santa Lucía del Camino, Oaxaca, y en la orden de pago con número de folio </w:t>
      </w:r>
      <w:r w:rsidR="00053613">
        <w:rPr>
          <w:rFonts w:ascii="Arial" w:hAnsi="Arial" w:cs="Arial"/>
          <w:bCs/>
          <w:i/>
          <w:iCs/>
        </w:rPr>
        <w:t>*******</w:t>
      </w:r>
      <w:r w:rsidR="006F12EB" w:rsidRPr="00D931E8">
        <w:rPr>
          <w:rFonts w:ascii="Arial" w:hAnsi="Arial" w:cs="Arial"/>
          <w:bCs/>
          <w:i/>
          <w:iCs/>
        </w:rPr>
        <w:t xml:space="preserve"> de fecha nueve de mayo de dos mil diecinueve (09/05/2019), se especifica que el pago por concepto de TRASLADO DE DOMINIO es de $</w:t>
      </w:r>
      <w:r w:rsidR="00053613">
        <w:rPr>
          <w:rFonts w:ascii="Arial" w:hAnsi="Arial" w:cs="Arial"/>
          <w:bCs/>
          <w:i/>
          <w:iCs/>
        </w:rPr>
        <w:t>*******</w:t>
      </w:r>
      <w:r w:rsidR="006F12EB" w:rsidRPr="00D931E8">
        <w:rPr>
          <w:rFonts w:ascii="Arial" w:hAnsi="Arial" w:cs="Arial"/>
          <w:bCs/>
          <w:i/>
          <w:iCs/>
        </w:rPr>
        <w:t xml:space="preserve">), así como el concepto de RECARGOS de traslado de dominio </w:t>
      </w:r>
      <w:r w:rsidR="00065914" w:rsidRPr="00D931E8">
        <w:rPr>
          <w:rFonts w:ascii="Arial" w:hAnsi="Arial" w:cs="Arial"/>
          <w:bCs/>
          <w:i/>
          <w:iCs/>
        </w:rPr>
        <w:t>por la cantidad de $</w:t>
      </w:r>
      <w:r w:rsidR="00053613">
        <w:rPr>
          <w:rFonts w:ascii="Arial" w:hAnsi="Arial" w:cs="Arial"/>
          <w:bCs/>
          <w:i/>
          <w:iCs/>
        </w:rPr>
        <w:t>*******</w:t>
      </w:r>
      <w:r w:rsidR="00092E17" w:rsidRPr="00D931E8">
        <w:rPr>
          <w:rFonts w:ascii="Arial" w:hAnsi="Arial" w:cs="Arial"/>
          <w:bCs/>
          <w:i/>
          <w:iCs/>
        </w:rPr>
        <w:t>), y cédula fiscal inmobiliaria por $</w:t>
      </w:r>
      <w:r w:rsidR="00053613">
        <w:rPr>
          <w:rFonts w:ascii="Arial" w:hAnsi="Arial" w:cs="Arial"/>
          <w:bCs/>
          <w:i/>
          <w:iCs/>
        </w:rPr>
        <w:t>*******</w:t>
      </w:r>
      <w:r w:rsidR="00092E17" w:rsidRPr="00D931E8">
        <w:rPr>
          <w:rFonts w:ascii="Arial" w:hAnsi="Arial" w:cs="Arial"/>
          <w:bCs/>
          <w:i/>
          <w:iCs/>
        </w:rPr>
        <w:t xml:space="preserve">); ahora bien, el monto establecido por concepto de </w:t>
      </w:r>
      <w:r w:rsidR="00092E17" w:rsidRPr="00D931E8">
        <w:rPr>
          <w:rFonts w:ascii="Arial" w:hAnsi="Arial" w:cs="Arial"/>
          <w:b/>
          <w:i/>
          <w:iCs/>
        </w:rPr>
        <w:t>traslado de dominio</w:t>
      </w:r>
      <w:r w:rsidR="00092E17" w:rsidRPr="00D931E8">
        <w:rPr>
          <w:rFonts w:ascii="Arial" w:hAnsi="Arial" w:cs="Arial"/>
          <w:bCs/>
          <w:i/>
          <w:iCs/>
        </w:rPr>
        <w:t xml:space="preserve"> se obtiene del </w:t>
      </w:r>
      <w:r w:rsidR="0015605C" w:rsidRPr="00D931E8">
        <w:rPr>
          <w:rFonts w:ascii="Arial" w:hAnsi="Arial" w:cs="Arial"/>
          <w:bCs/>
          <w:i/>
          <w:iCs/>
        </w:rPr>
        <w:t xml:space="preserve">2.50% de la base catastral asignada; respecto de los recargos, estos se tomaron en cuenta por el </w:t>
      </w:r>
      <w:r w:rsidR="0015605C" w:rsidRPr="00D931E8">
        <w:rPr>
          <w:rFonts w:ascii="Arial" w:hAnsi="Arial" w:cs="Arial"/>
          <w:bCs/>
          <w:i/>
          <w:iCs/>
        </w:rPr>
        <w:lastRenderedPageBreak/>
        <w:t xml:space="preserve">lapso existente entre la fecha de celebración del contrato, que fue el dieciocho de enero de dos mil dieciséis (18/01/2016), y la fecha en que el actor </w:t>
      </w:r>
      <w:r w:rsidR="000C2B41" w:rsidRPr="00D931E8">
        <w:rPr>
          <w:rFonts w:ascii="Arial" w:hAnsi="Arial" w:cs="Arial"/>
          <w:bCs/>
          <w:i/>
          <w:iCs/>
        </w:rPr>
        <w:t xml:space="preserve">realizó el trámite de traslado de dominio, el día nueve de mayo de dos mil diecinueve (09/05/2019), existiendo un lapso de aproximadamente TRES AÑOS entre las referidas fechas, </w:t>
      </w:r>
      <w:r w:rsidR="00B9753A" w:rsidRPr="00D931E8">
        <w:rPr>
          <w:rFonts w:ascii="Arial" w:hAnsi="Arial" w:cs="Arial"/>
          <w:bCs/>
          <w:i/>
          <w:iCs/>
        </w:rPr>
        <w:t>de ahí que se hayan generado recargos.</w:t>
      </w:r>
    </w:p>
    <w:p w14:paraId="124F4725" w14:textId="2AEA1C27" w:rsidR="00B9753A" w:rsidRPr="00D931E8" w:rsidRDefault="00B9753A" w:rsidP="00EB7617">
      <w:pPr>
        <w:widowControl w:val="0"/>
        <w:spacing w:before="240" w:after="0"/>
        <w:ind w:left="567" w:right="616"/>
        <w:jc w:val="both"/>
        <w:rPr>
          <w:rFonts w:ascii="Arial" w:hAnsi="Arial" w:cs="Arial"/>
          <w:bCs/>
          <w:i/>
          <w:iCs/>
        </w:rPr>
      </w:pPr>
      <w:r w:rsidRPr="00D931E8">
        <w:rPr>
          <w:rFonts w:ascii="Arial" w:hAnsi="Arial" w:cs="Arial"/>
          <w:bCs/>
          <w:i/>
          <w:iCs/>
        </w:rPr>
        <w:t xml:space="preserve">El impuesto de traslado de dominio, así como los recargos, se encuentran establecidos en la Ley de Ingresos </w:t>
      </w:r>
      <w:bookmarkStart w:id="3" w:name="_Hlk110027998"/>
      <w:r w:rsidRPr="00D931E8">
        <w:rPr>
          <w:rFonts w:ascii="Arial" w:hAnsi="Arial" w:cs="Arial"/>
          <w:bCs/>
          <w:i/>
          <w:iCs/>
        </w:rPr>
        <w:t xml:space="preserve">del </w:t>
      </w:r>
      <w:bookmarkStart w:id="4" w:name="_Hlk110027837"/>
      <w:r w:rsidRPr="00D931E8">
        <w:rPr>
          <w:rFonts w:ascii="Arial" w:hAnsi="Arial" w:cs="Arial"/>
          <w:bCs/>
          <w:i/>
          <w:iCs/>
        </w:rPr>
        <w:t xml:space="preserve">Municipio de Santa Lucía del Camino, Oaxaca, </w:t>
      </w:r>
      <w:bookmarkEnd w:id="4"/>
      <w:r w:rsidRPr="00D931E8">
        <w:rPr>
          <w:rFonts w:ascii="Arial" w:hAnsi="Arial" w:cs="Arial"/>
          <w:bCs/>
          <w:i/>
          <w:iCs/>
        </w:rPr>
        <w:t xml:space="preserve">para el ejercicio fiscal 2019, </w:t>
      </w:r>
      <w:bookmarkEnd w:id="3"/>
      <w:r w:rsidRPr="00D931E8">
        <w:rPr>
          <w:rFonts w:ascii="Arial" w:hAnsi="Arial" w:cs="Arial"/>
          <w:bCs/>
          <w:i/>
          <w:iCs/>
        </w:rPr>
        <w:t xml:space="preserve">publicado en el Periódico Oficial del Gobierno del Estado, de fecha veintitrés de marzo de dos mil diecinueve (23/03/2019), tomo CI, número 12; precisamente en el Capítulo II, de los Ingresos de la Hacienda Pública Municipal del ejercicio fiscal 2019 (111 de autos), </w:t>
      </w:r>
      <w:r w:rsidR="009A5BAC" w:rsidRPr="00D931E8">
        <w:rPr>
          <w:rFonts w:ascii="Arial" w:hAnsi="Arial" w:cs="Arial"/>
          <w:bCs/>
          <w:i/>
          <w:iCs/>
        </w:rPr>
        <w:t xml:space="preserve">así como en el Capítulo II, </w:t>
      </w:r>
      <w:r w:rsidR="005D559E" w:rsidRPr="00D931E8">
        <w:rPr>
          <w:rFonts w:ascii="Arial" w:hAnsi="Arial" w:cs="Arial"/>
          <w:bCs/>
          <w:i/>
          <w:iCs/>
        </w:rPr>
        <w:t xml:space="preserve">Impuestos sobre el Patrimonio, sección I. De los impuestos Inmobiliarios, artículo 76 que dice: “La determinación de las bases gravables, para el cobro de contribuciones inmobiliarias tales como impuesto predial y traslación de dominio, se realizará en los términos de la presente ley aplicando supletoriamente sólo en lo que no se oponga, la Ley de Hacienda Municipal, basándose en los valores unitarios de terreno y construcción, así como en los procedimientos que se indican a continuación: I. Tabla de valores unitarios por metro cuadrado de suelo: …” (117 vuelta de autos); así mismo, en el Capítulo III. Impuesto sobre la producción, el consumo y las transacciones, Sección Única, Del Impuesto sobre Traslación de Dominio, artículo 91, que dice: “El Impuesto sobre Traslación de Dominio </w:t>
      </w:r>
      <w:r w:rsidR="002C1570" w:rsidRPr="00D931E8">
        <w:rPr>
          <w:rFonts w:ascii="Arial" w:hAnsi="Arial" w:cs="Arial"/>
          <w:bCs/>
          <w:i/>
          <w:iCs/>
        </w:rPr>
        <w:t>se causará, determinará y se pagará en los términos del artículo 76 de esta Ley, aplicando supletoriamente el Título Segundo, Capítulo II, de la Ley de Hacienda… Esta ley reconoce como fuente que origina la adquisición de inmuebles, así como los derechos sobre los mismos, los siguientes actos: I. Todo acto por el que se transmita la propiedad…”</w:t>
      </w:r>
    </w:p>
    <w:p w14:paraId="7246D563" w14:textId="1B9D49B5" w:rsidR="002C1570" w:rsidRPr="00D931E8" w:rsidRDefault="002C1570" w:rsidP="00EB7617">
      <w:pPr>
        <w:widowControl w:val="0"/>
        <w:spacing w:before="240" w:after="0"/>
        <w:ind w:left="567" w:right="616"/>
        <w:jc w:val="both"/>
        <w:rPr>
          <w:rFonts w:ascii="Arial" w:hAnsi="Arial" w:cs="Arial"/>
          <w:bCs/>
          <w:i/>
          <w:iCs/>
        </w:rPr>
      </w:pPr>
      <w:r w:rsidRPr="00D931E8">
        <w:rPr>
          <w:rFonts w:ascii="Arial" w:hAnsi="Arial" w:cs="Arial"/>
          <w:bCs/>
          <w:i/>
          <w:iCs/>
        </w:rPr>
        <w:t>El artículo 92 de la Ley de Ingresos referida dispone: “Son sujetos de este impuesto las personas físicas o morales que adquieran inmuebles que consistan en el suelo y construcciones adheridas a él, así como los derechos relacionados en los mismos, ubicados en la jurisdicción del Municipio de Santa Lucía del Camino, Centro, Oaxaca</w:t>
      </w:r>
    </w:p>
    <w:p w14:paraId="7C216B68" w14:textId="1AB2B398" w:rsidR="00C53B21" w:rsidRPr="00D931E8" w:rsidRDefault="00C53B21" w:rsidP="00EB7617">
      <w:pPr>
        <w:widowControl w:val="0"/>
        <w:spacing w:before="240" w:after="0"/>
        <w:ind w:left="567" w:right="616"/>
        <w:jc w:val="both"/>
        <w:rPr>
          <w:rFonts w:ascii="Arial" w:hAnsi="Arial" w:cs="Arial"/>
          <w:bCs/>
          <w:i/>
          <w:iCs/>
        </w:rPr>
      </w:pPr>
      <w:r w:rsidRPr="00D931E8">
        <w:rPr>
          <w:rFonts w:ascii="Arial" w:hAnsi="Arial" w:cs="Arial"/>
          <w:bCs/>
          <w:i/>
          <w:iCs/>
        </w:rPr>
        <w:t>Determinándose de manera específica sujetos del impuesto:</w:t>
      </w:r>
    </w:p>
    <w:p w14:paraId="54A08E22" w14:textId="62E318CD" w:rsidR="00C53B21" w:rsidRPr="00D931E8" w:rsidRDefault="00C53B21" w:rsidP="00EB7617">
      <w:pPr>
        <w:pStyle w:val="Prrafodelista"/>
        <w:widowControl w:val="0"/>
        <w:numPr>
          <w:ilvl w:val="0"/>
          <w:numId w:val="13"/>
        </w:numPr>
        <w:spacing w:before="240" w:after="0"/>
        <w:ind w:left="567" w:right="616" w:firstLine="0"/>
        <w:jc w:val="both"/>
        <w:rPr>
          <w:rFonts w:ascii="Arial" w:hAnsi="Arial" w:cs="Arial"/>
          <w:bCs/>
          <w:i/>
          <w:iCs/>
        </w:rPr>
      </w:pPr>
      <w:r w:rsidRPr="00D931E8">
        <w:rPr>
          <w:rFonts w:ascii="Arial" w:hAnsi="Arial" w:cs="Arial"/>
          <w:bCs/>
          <w:i/>
          <w:iCs/>
        </w:rPr>
        <w:t xml:space="preserve">La persona que adquiera la propiedad de bienes inmuebles o derechos de copropiedad sobre éstos, </w:t>
      </w:r>
      <w:r w:rsidR="00582557" w:rsidRPr="00D931E8">
        <w:rPr>
          <w:rFonts w:ascii="Arial" w:hAnsi="Arial" w:cs="Arial"/>
          <w:bCs/>
          <w:i/>
          <w:iCs/>
        </w:rPr>
        <w:t>el enajenante estará solidariamente obligado al pago del impuesto.</w:t>
      </w:r>
    </w:p>
    <w:p w14:paraId="3D3B6C2E" w14:textId="16CDC6C9" w:rsidR="00582557" w:rsidRPr="00D931E8" w:rsidRDefault="00582557" w:rsidP="00EB7617">
      <w:pPr>
        <w:widowControl w:val="0"/>
        <w:spacing w:before="240" w:after="0"/>
        <w:ind w:left="567" w:right="616"/>
        <w:jc w:val="both"/>
        <w:rPr>
          <w:rFonts w:ascii="Arial" w:hAnsi="Arial" w:cs="Arial"/>
          <w:bCs/>
          <w:i/>
          <w:iCs/>
        </w:rPr>
      </w:pPr>
      <w:r w:rsidRPr="00D931E8">
        <w:rPr>
          <w:rFonts w:ascii="Arial" w:hAnsi="Arial" w:cs="Arial"/>
          <w:bCs/>
          <w:i/>
          <w:iCs/>
        </w:rPr>
        <w:t>Por su parte, en los artículos 94, 95, 96 y 98 de la Ley de Ingresos del Municipio de Santa Lucía del Camino, Oaxaca, para el ejercicio fiscal 2019,</w:t>
      </w:r>
      <w:r w:rsidR="00F61279" w:rsidRPr="00D931E8">
        <w:rPr>
          <w:rFonts w:ascii="Arial" w:hAnsi="Arial" w:cs="Arial"/>
          <w:bCs/>
          <w:i/>
          <w:iCs/>
        </w:rPr>
        <w:t xml:space="preserve"> se dispone:</w:t>
      </w:r>
    </w:p>
    <w:p w14:paraId="6F4FD0C1" w14:textId="2F986E49" w:rsidR="00F61279" w:rsidRDefault="00F61279" w:rsidP="00EB7617">
      <w:pPr>
        <w:widowControl w:val="0"/>
        <w:spacing w:before="240" w:after="0"/>
        <w:ind w:left="567" w:right="616"/>
        <w:jc w:val="both"/>
        <w:rPr>
          <w:rFonts w:ascii="Arial" w:hAnsi="Arial" w:cs="Arial"/>
          <w:bCs/>
          <w:i/>
          <w:iCs/>
        </w:rPr>
      </w:pPr>
      <w:r w:rsidRPr="00D931E8">
        <w:rPr>
          <w:rFonts w:ascii="Arial" w:hAnsi="Arial" w:cs="Arial"/>
          <w:bCs/>
          <w:i/>
          <w:iCs/>
        </w:rPr>
        <w:t>“Artículo 94. El impuesto sobre traslado de dominio y otras operaciones de bienes inmuebles, se causará y se pagará aplicando las siguientes tasas sobre la base determinada, conforme al artículo anterior.</w:t>
      </w:r>
    </w:p>
    <w:p w14:paraId="05CBA77C" w14:textId="77777777" w:rsidR="00377563" w:rsidRPr="00D931E8" w:rsidRDefault="00377563" w:rsidP="00EB7617">
      <w:pPr>
        <w:widowControl w:val="0"/>
        <w:spacing w:before="240" w:after="0"/>
        <w:ind w:left="567" w:right="616"/>
        <w:jc w:val="both"/>
        <w:rPr>
          <w:rFonts w:ascii="Arial" w:hAnsi="Arial" w:cs="Arial"/>
          <w:bCs/>
          <w:i/>
          <w:iCs/>
        </w:rPr>
      </w:pPr>
    </w:p>
    <w:tbl>
      <w:tblPr>
        <w:tblStyle w:val="Tablaconcuadrcula"/>
        <w:tblW w:w="0" w:type="auto"/>
        <w:jc w:val="center"/>
        <w:tblLook w:val="04A0" w:firstRow="1" w:lastRow="0" w:firstColumn="1" w:lastColumn="0" w:noHBand="0" w:noVBand="1"/>
      </w:tblPr>
      <w:tblGrid>
        <w:gridCol w:w="3397"/>
        <w:gridCol w:w="2562"/>
      </w:tblGrid>
      <w:tr w:rsidR="00F61279" w:rsidRPr="00D931E8" w14:paraId="20C38F63" w14:textId="77777777" w:rsidTr="00D931E8">
        <w:trPr>
          <w:jc w:val="center"/>
        </w:trPr>
        <w:tc>
          <w:tcPr>
            <w:tcW w:w="3397" w:type="dxa"/>
          </w:tcPr>
          <w:p w14:paraId="08B3443E" w14:textId="7D0C8D59" w:rsidR="00F61279" w:rsidRPr="00D931E8" w:rsidRDefault="00F61279" w:rsidP="00D931E8">
            <w:pPr>
              <w:pStyle w:val="Sinespaciado"/>
              <w:rPr>
                <w:rFonts w:ascii="Arial" w:hAnsi="Arial" w:cs="Arial"/>
                <w:i/>
                <w:iCs/>
              </w:rPr>
            </w:pPr>
            <w:r w:rsidRPr="00D931E8">
              <w:rPr>
                <w:rFonts w:ascii="Arial" w:hAnsi="Arial" w:cs="Arial"/>
                <w:i/>
                <w:iCs/>
              </w:rPr>
              <w:t>BASE GRAVABLE</w:t>
            </w:r>
          </w:p>
        </w:tc>
        <w:tc>
          <w:tcPr>
            <w:tcW w:w="2562" w:type="dxa"/>
          </w:tcPr>
          <w:p w14:paraId="604DB91E" w14:textId="29385299" w:rsidR="00F61279" w:rsidRPr="00D931E8" w:rsidRDefault="00F61279" w:rsidP="00D931E8">
            <w:pPr>
              <w:pStyle w:val="Sinespaciado"/>
              <w:rPr>
                <w:rFonts w:ascii="Arial" w:hAnsi="Arial" w:cs="Arial"/>
                <w:i/>
                <w:iCs/>
              </w:rPr>
            </w:pPr>
            <w:r w:rsidRPr="00D931E8">
              <w:rPr>
                <w:rFonts w:ascii="Arial" w:hAnsi="Arial" w:cs="Arial"/>
                <w:i/>
                <w:iCs/>
              </w:rPr>
              <w:t>TASA APLICABLE</w:t>
            </w:r>
          </w:p>
        </w:tc>
      </w:tr>
      <w:tr w:rsidR="00F61279" w:rsidRPr="00D931E8" w14:paraId="38108CC1" w14:textId="77777777" w:rsidTr="00D931E8">
        <w:trPr>
          <w:jc w:val="center"/>
        </w:trPr>
        <w:tc>
          <w:tcPr>
            <w:tcW w:w="3397" w:type="dxa"/>
          </w:tcPr>
          <w:p w14:paraId="09609A7E" w14:textId="19608F3E" w:rsidR="00F61279" w:rsidRPr="00D931E8" w:rsidRDefault="00F61279" w:rsidP="00D931E8">
            <w:pPr>
              <w:pStyle w:val="Sinespaciado"/>
              <w:rPr>
                <w:rFonts w:ascii="Arial" w:hAnsi="Arial" w:cs="Arial"/>
                <w:i/>
                <w:iCs/>
              </w:rPr>
            </w:pPr>
            <w:r w:rsidRPr="00D931E8">
              <w:rPr>
                <w:rFonts w:ascii="Arial" w:hAnsi="Arial" w:cs="Arial"/>
                <w:i/>
                <w:iCs/>
              </w:rPr>
              <w:t>De $1 hasta $1000,000.00 (sic).</w:t>
            </w:r>
          </w:p>
        </w:tc>
        <w:tc>
          <w:tcPr>
            <w:tcW w:w="2562" w:type="dxa"/>
          </w:tcPr>
          <w:p w14:paraId="5A1378DD" w14:textId="5FDAF91C" w:rsidR="00F61279" w:rsidRPr="00D931E8" w:rsidRDefault="00F61279" w:rsidP="00D931E8">
            <w:pPr>
              <w:pStyle w:val="Sinespaciado"/>
              <w:rPr>
                <w:rFonts w:ascii="Arial" w:hAnsi="Arial" w:cs="Arial"/>
                <w:i/>
                <w:iCs/>
              </w:rPr>
            </w:pPr>
            <w:r w:rsidRPr="00D931E8">
              <w:rPr>
                <w:rFonts w:ascii="Arial" w:hAnsi="Arial" w:cs="Arial"/>
                <w:i/>
                <w:iCs/>
              </w:rPr>
              <w:t>1.50 %</w:t>
            </w:r>
          </w:p>
        </w:tc>
      </w:tr>
      <w:tr w:rsidR="00F61279" w:rsidRPr="00D931E8" w14:paraId="150EF31B" w14:textId="77777777" w:rsidTr="00D931E8">
        <w:trPr>
          <w:jc w:val="center"/>
        </w:trPr>
        <w:tc>
          <w:tcPr>
            <w:tcW w:w="3397" w:type="dxa"/>
          </w:tcPr>
          <w:p w14:paraId="6DF4931D" w14:textId="7E441E4E" w:rsidR="00F61279" w:rsidRPr="00D931E8" w:rsidRDefault="00F61279" w:rsidP="00D931E8">
            <w:pPr>
              <w:pStyle w:val="Sinespaciado"/>
              <w:rPr>
                <w:rFonts w:ascii="Arial" w:hAnsi="Arial" w:cs="Arial"/>
                <w:i/>
                <w:iCs/>
              </w:rPr>
            </w:pPr>
            <w:r w:rsidRPr="00D931E8">
              <w:rPr>
                <w:rFonts w:ascii="Arial" w:hAnsi="Arial" w:cs="Arial"/>
                <w:i/>
                <w:iCs/>
              </w:rPr>
              <w:t>De $100,000.01 a $375,000.00</w:t>
            </w:r>
            <w:r w:rsidR="004B7A77" w:rsidRPr="00D931E8">
              <w:rPr>
                <w:rFonts w:ascii="Arial" w:hAnsi="Arial" w:cs="Arial"/>
                <w:i/>
                <w:iCs/>
              </w:rPr>
              <w:t>.</w:t>
            </w:r>
          </w:p>
        </w:tc>
        <w:tc>
          <w:tcPr>
            <w:tcW w:w="2562" w:type="dxa"/>
          </w:tcPr>
          <w:p w14:paraId="5ABCB8EB" w14:textId="3992357D" w:rsidR="00F61279" w:rsidRPr="00D931E8" w:rsidRDefault="00F61279" w:rsidP="00D931E8">
            <w:pPr>
              <w:pStyle w:val="Sinespaciado"/>
              <w:rPr>
                <w:rFonts w:ascii="Arial" w:hAnsi="Arial" w:cs="Arial"/>
                <w:i/>
                <w:iCs/>
              </w:rPr>
            </w:pPr>
            <w:r w:rsidRPr="00D931E8">
              <w:rPr>
                <w:rFonts w:ascii="Arial" w:hAnsi="Arial" w:cs="Arial"/>
                <w:i/>
                <w:iCs/>
              </w:rPr>
              <w:t>1.75 %</w:t>
            </w:r>
          </w:p>
        </w:tc>
      </w:tr>
      <w:tr w:rsidR="00F61279" w:rsidRPr="00D931E8" w14:paraId="5885547E" w14:textId="77777777" w:rsidTr="00D931E8">
        <w:trPr>
          <w:jc w:val="center"/>
        </w:trPr>
        <w:tc>
          <w:tcPr>
            <w:tcW w:w="3397" w:type="dxa"/>
          </w:tcPr>
          <w:p w14:paraId="7990FD37" w14:textId="3807356B" w:rsidR="00F61279" w:rsidRPr="00D931E8" w:rsidRDefault="00FB19ED" w:rsidP="00D931E8">
            <w:pPr>
              <w:pStyle w:val="Sinespaciado"/>
              <w:rPr>
                <w:rFonts w:ascii="Arial" w:hAnsi="Arial" w:cs="Arial"/>
                <w:i/>
                <w:iCs/>
              </w:rPr>
            </w:pPr>
            <w:r w:rsidRPr="00D931E8">
              <w:rPr>
                <w:rFonts w:ascii="Arial" w:hAnsi="Arial" w:cs="Arial"/>
                <w:i/>
                <w:iCs/>
              </w:rPr>
              <w:t>De $375,000.01 a $500,000.00</w:t>
            </w:r>
          </w:p>
        </w:tc>
        <w:tc>
          <w:tcPr>
            <w:tcW w:w="2562" w:type="dxa"/>
          </w:tcPr>
          <w:p w14:paraId="4A4F1FD7" w14:textId="5444EEF6" w:rsidR="00F61279" w:rsidRPr="00D931E8" w:rsidRDefault="00FB19ED" w:rsidP="00D931E8">
            <w:pPr>
              <w:pStyle w:val="Sinespaciado"/>
              <w:rPr>
                <w:rFonts w:ascii="Arial" w:hAnsi="Arial" w:cs="Arial"/>
                <w:i/>
                <w:iCs/>
              </w:rPr>
            </w:pPr>
            <w:r w:rsidRPr="00D931E8">
              <w:rPr>
                <w:rFonts w:ascii="Arial" w:hAnsi="Arial" w:cs="Arial"/>
                <w:i/>
                <w:iCs/>
              </w:rPr>
              <w:t>2.00%</w:t>
            </w:r>
          </w:p>
        </w:tc>
      </w:tr>
      <w:tr w:rsidR="00F61279" w:rsidRPr="00D931E8" w14:paraId="02D1131D" w14:textId="77777777" w:rsidTr="00D931E8">
        <w:trPr>
          <w:jc w:val="center"/>
        </w:trPr>
        <w:tc>
          <w:tcPr>
            <w:tcW w:w="3397" w:type="dxa"/>
          </w:tcPr>
          <w:p w14:paraId="0E075A5D" w14:textId="63DFA5AD" w:rsidR="00F61279" w:rsidRPr="00D931E8" w:rsidRDefault="00365D6B" w:rsidP="00D931E8">
            <w:pPr>
              <w:pStyle w:val="Sinespaciado"/>
              <w:rPr>
                <w:rFonts w:ascii="Arial" w:hAnsi="Arial" w:cs="Arial"/>
                <w:i/>
                <w:iCs/>
              </w:rPr>
            </w:pPr>
            <w:r w:rsidRPr="00D931E8">
              <w:rPr>
                <w:rFonts w:ascii="Arial" w:hAnsi="Arial" w:cs="Arial"/>
                <w:i/>
                <w:iCs/>
              </w:rPr>
              <w:t>De $500,000.01 a $750,000.00</w:t>
            </w:r>
          </w:p>
        </w:tc>
        <w:tc>
          <w:tcPr>
            <w:tcW w:w="2562" w:type="dxa"/>
          </w:tcPr>
          <w:p w14:paraId="4B226D8A" w14:textId="59242615" w:rsidR="00F61279" w:rsidRPr="00D931E8" w:rsidRDefault="00365D6B" w:rsidP="00D931E8">
            <w:pPr>
              <w:pStyle w:val="Sinespaciado"/>
              <w:rPr>
                <w:rFonts w:ascii="Arial" w:hAnsi="Arial" w:cs="Arial"/>
                <w:i/>
                <w:iCs/>
              </w:rPr>
            </w:pPr>
            <w:r w:rsidRPr="00D931E8">
              <w:rPr>
                <w:rFonts w:ascii="Arial" w:hAnsi="Arial" w:cs="Arial"/>
                <w:i/>
                <w:iCs/>
              </w:rPr>
              <w:t>2.50%</w:t>
            </w:r>
          </w:p>
        </w:tc>
      </w:tr>
    </w:tbl>
    <w:p w14:paraId="1D252D69" w14:textId="77777777" w:rsidR="00377563" w:rsidRDefault="00377563" w:rsidP="00D931E8">
      <w:pPr>
        <w:widowControl w:val="0"/>
        <w:spacing w:before="240" w:after="0" w:line="360" w:lineRule="auto"/>
        <w:ind w:left="567" w:right="616"/>
        <w:jc w:val="both"/>
        <w:rPr>
          <w:rFonts w:ascii="Arial" w:hAnsi="Arial" w:cs="Arial"/>
          <w:bCs/>
          <w:i/>
          <w:iCs/>
        </w:rPr>
      </w:pPr>
    </w:p>
    <w:p w14:paraId="5F6BC018" w14:textId="70E50607" w:rsidR="00F61279" w:rsidRPr="00D931E8" w:rsidRDefault="00365D6B" w:rsidP="00EB7617">
      <w:pPr>
        <w:widowControl w:val="0"/>
        <w:spacing w:before="240" w:after="0"/>
        <w:ind w:left="567" w:right="616"/>
        <w:jc w:val="both"/>
        <w:rPr>
          <w:rFonts w:ascii="Arial" w:hAnsi="Arial" w:cs="Arial"/>
          <w:bCs/>
          <w:i/>
          <w:iCs/>
        </w:rPr>
      </w:pPr>
      <w:r w:rsidRPr="00D931E8">
        <w:rPr>
          <w:rFonts w:ascii="Arial" w:hAnsi="Arial" w:cs="Arial"/>
          <w:bCs/>
          <w:i/>
          <w:iCs/>
        </w:rPr>
        <w:lastRenderedPageBreak/>
        <w:t xml:space="preserve">Artículo 95. </w:t>
      </w:r>
      <w:r w:rsidR="00135D08" w:rsidRPr="00D931E8">
        <w:rPr>
          <w:rFonts w:ascii="Arial" w:hAnsi="Arial" w:cs="Arial"/>
          <w:bCs/>
          <w:i/>
          <w:iCs/>
        </w:rPr>
        <w:t>El impuesto deberá pagarse dentro de los treinta días naturales siguientes a la fecha en que se realice las operaciones objeto de este impuesto, …</w:t>
      </w:r>
    </w:p>
    <w:p w14:paraId="2EE1C14E" w14:textId="6D1394DA" w:rsidR="00135D08" w:rsidRPr="00D931E8" w:rsidRDefault="00135D08" w:rsidP="00EB7617">
      <w:pPr>
        <w:widowControl w:val="0"/>
        <w:spacing w:before="240" w:after="0"/>
        <w:ind w:left="567" w:right="616"/>
        <w:jc w:val="both"/>
        <w:rPr>
          <w:rFonts w:ascii="Arial" w:hAnsi="Arial" w:cs="Arial"/>
          <w:bCs/>
          <w:i/>
          <w:iCs/>
        </w:rPr>
      </w:pPr>
      <w:r w:rsidRPr="00D931E8">
        <w:rPr>
          <w:rFonts w:ascii="Arial" w:hAnsi="Arial" w:cs="Arial"/>
          <w:bCs/>
          <w:i/>
          <w:iCs/>
        </w:rPr>
        <w:t>CAPÍTULO IV.</w:t>
      </w:r>
    </w:p>
    <w:p w14:paraId="23425D1E" w14:textId="2995A56D" w:rsidR="00135D08" w:rsidRPr="00D931E8" w:rsidRDefault="00135D08" w:rsidP="00EB7617">
      <w:pPr>
        <w:widowControl w:val="0"/>
        <w:spacing w:before="240" w:after="0"/>
        <w:ind w:left="567" w:right="616"/>
        <w:jc w:val="both"/>
        <w:rPr>
          <w:rFonts w:ascii="Arial" w:hAnsi="Arial" w:cs="Arial"/>
          <w:bCs/>
          <w:i/>
          <w:iCs/>
        </w:rPr>
      </w:pPr>
      <w:r w:rsidRPr="00D931E8">
        <w:rPr>
          <w:rFonts w:ascii="Arial" w:hAnsi="Arial" w:cs="Arial"/>
          <w:bCs/>
          <w:i/>
          <w:iCs/>
        </w:rPr>
        <w:t>ACCESORIOS</w:t>
      </w:r>
    </w:p>
    <w:p w14:paraId="6CF80A2E" w14:textId="00EBB40B" w:rsidR="00135D08" w:rsidRPr="00D931E8" w:rsidRDefault="00135D08" w:rsidP="00EB7617">
      <w:pPr>
        <w:widowControl w:val="0"/>
        <w:spacing w:before="240" w:after="0"/>
        <w:ind w:left="567" w:right="616"/>
        <w:jc w:val="both"/>
        <w:rPr>
          <w:rFonts w:ascii="Arial" w:hAnsi="Arial" w:cs="Arial"/>
          <w:bCs/>
          <w:i/>
          <w:iCs/>
        </w:rPr>
      </w:pPr>
      <w:r w:rsidRPr="00D931E8">
        <w:rPr>
          <w:rFonts w:ascii="Arial" w:hAnsi="Arial" w:cs="Arial"/>
          <w:bCs/>
          <w:i/>
          <w:iCs/>
        </w:rPr>
        <w:t>Sección única. De las multas, recargos y gastos de ejecución</w:t>
      </w:r>
      <w:r w:rsidR="00E56196" w:rsidRPr="00D931E8">
        <w:rPr>
          <w:rFonts w:ascii="Arial" w:hAnsi="Arial" w:cs="Arial"/>
          <w:bCs/>
          <w:i/>
          <w:iCs/>
        </w:rPr>
        <w:t>.</w:t>
      </w:r>
    </w:p>
    <w:p w14:paraId="6D66A93D" w14:textId="22282ABB" w:rsidR="00E56196" w:rsidRPr="00D931E8" w:rsidRDefault="00E56196" w:rsidP="00EB7617">
      <w:pPr>
        <w:widowControl w:val="0"/>
        <w:spacing w:before="240" w:after="0"/>
        <w:ind w:left="567" w:right="616"/>
        <w:jc w:val="both"/>
        <w:rPr>
          <w:rFonts w:ascii="Arial" w:hAnsi="Arial" w:cs="Arial"/>
          <w:bCs/>
          <w:i/>
          <w:iCs/>
        </w:rPr>
      </w:pPr>
      <w:r w:rsidRPr="00D931E8">
        <w:rPr>
          <w:rFonts w:ascii="Arial" w:hAnsi="Arial" w:cs="Arial"/>
          <w:bCs/>
          <w:i/>
          <w:iCs/>
        </w:rPr>
        <w:t xml:space="preserve">Artículo 96. El pago extemporáneo de Impuestos será sancionado con una multa de acuerdo a los tabuladores que para tal efecto se propongan y se turnarán a la Tesorería, la cual percibirá el ingreso derivado de la infracción. </w:t>
      </w:r>
    </w:p>
    <w:p w14:paraId="79FC0E5D" w14:textId="5285D7A6" w:rsidR="00E56196" w:rsidRPr="00D931E8" w:rsidRDefault="007B0E0E" w:rsidP="00EB7617">
      <w:pPr>
        <w:widowControl w:val="0"/>
        <w:spacing w:before="240" w:after="0"/>
        <w:ind w:left="567" w:right="616"/>
        <w:jc w:val="both"/>
        <w:rPr>
          <w:rFonts w:ascii="Arial" w:hAnsi="Arial" w:cs="Arial"/>
          <w:bCs/>
          <w:i/>
          <w:iCs/>
        </w:rPr>
      </w:pPr>
      <w:r w:rsidRPr="00D931E8">
        <w:rPr>
          <w:rFonts w:ascii="Arial" w:hAnsi="Arial" w:cs="Arial"/>
          <w:bCs/>
          <w:i/>
          <w:iCs/>
        </w:rPr>
        <w:t>Artículo 98. El pago de contribuciones municipales y los créditos fiscales realizados fuera de los plazos señalados en las Leyes respectivas, dará lugar al cobro de recargos de conformidad con el artículo 145 de la Ley de Hacienda Municipal, a razón de 3% de interés simple sobre el monto total de los mismos por cada mes o fracción que transcurra a partir del día en que debió hacerse el pago y hasta el día en que el mismo se efectúe.</w:t>
      </w:r>
    </w:p>
    <w:p w14:paraId="48A1401F" w14:textId="6994EE9F" w:rsidR="00C30CA1" w:rsidRPr="00D931E8" w:rsidRDefault="007B0E0E" w:rsidP="00EB7617">
      <w:pPr>
        <w:widowControl w:val="0"/>
        <w:spacing w:before="240" w:after="0"/>
        <w:ind w:left="567" w:right="616"/>
        <w:jc w:val="both"/>
        <w:rPr>
          <w:rFonts w:ascii="Arial" w:hAnsi="Arial" w:cs="Arial"/>
          <w:bCs/>
          <w:i/>
          <w:iCs/>
        </w:rPr>
      </w:pPr>
      <w:r w:rsidRPr="00D931E8">
        <w:rPr>
          <w:rFonts w:ascii="Arial" w:hAnsi="Arial" w:cs="Arial"/>
          <w:bCs/>
          <w:i/>
          <w:iCs/>
        </w:rPr>
        <w:t>De lo transcrito se deduce, que el pago del impuesto sobre traslado de dominio, se genera por la adquisición de un inmueble, y que el monto por ese concepto se obtiene de la tasa aplicable por la base gravable correspondiente, que en el caso particular del predio del actor es del 2.50%</w:t>
      </w:r>
      <w:r w:rsidR="00310AB5" w:rsidRPr="00D931E8">
        <w:rPr>
          <w:rFonts w:ascii="Arial" w:hAnsi="Arial" w:cs="Arial"/>
          <w:bCs/>
          <w:i/>
          <w:iCs/>
        </w:rPr>
        <w:t>, así mismo, que este concepto por traslado de dominio debe pagarse dentro de los 30 días naturales después de la adquisición, es decir, cuando se firma el contrato de compraventa, en el presente caso, con Fedatario Público el día dieciocho de enero de dos mil dieciséis (18/01/2016), es decir, el concepto de traslado de dominio debió pagarse el dieci</w:t>
      </w:r>
      <w:r w:rsidR="007001CE" w:rsidRPr="00D931E8">
        <w:rPr>
          <w:rFonts w:ascii="Arial" w:hAnsi="Arial" w:cs="Arial"/>
          <w:bCs/>
          <w:i/>
          <w:iCs/>
        </w:rPr>
        <w:t>nueve</w:t>
      </w:r>
      <w:r w:rsidR="00310AB5" w:rsidRPr="00D931E8">
        <w:rPr>
          <w:rFonts w:ascii="Arial" w:hAnsi="Arial" w:cs="Arial"/>
          <w:bCs/>
          <w:i/>
          <w:iCs/>
        </w:rPr>
        <w:t xml:space="preserve"> de febrero de dos mil dieciséis (1</w:t>
      </w:r>
      <w:r w:rsidR="007001CE" w:rsidRPr="00D931E8">
        <w:rPr>
          <w:rFonts w:ascii="Arial" w:hAnsi="Arial" w:cs="Arial"/>
          <w:bCs/>
          <w:i/>
          <w:iCs/>
        </w:rPr>
        <w:t>9</w:t>
      </w:r>
      <w:r w:rsidR="00310AB5" w:rsidRPr="00D931E8">
        <w:rPr>
          <w:rFonts w:ascii="Arial" w:hAnsi="Arial" w:cs="Arial"/>
          <w:bCs/>
          <w:i/>
          <w:iCs/>
        </w:rPr>
        <w:t>/0</w:t>
      </w:r>
      <w:r w:rsidR="007001CE" w:rsidRPr="00D931E8">
        <w:rPr>
          <w:rFonts w:ascii="Arial" w:hAnsi="Arial" w:cs="Arial"/>
          <w:bCs/>
          <w:i/>
          <w:iCs/>
        </w:rPr>
        <w:t>2</w:t>
      </w:r>
      <w:r w:rsidR="00310AB5" w:rsidRPr="00D931E8">
        <w:rPr>
          <w:rFonts w:ascii="Arial" w:hAnsi="Arial" w:cs="Arial"/>
          <w:bCs/>
          <w:i/>
          <w:iCs/>
        </w:rPr>
        <w:t xml:space="preserve">/2016), </w:t>
      </w:r>
      <w:r w:rsidR="007001CE" w:rsidRPr="00D931E8">
        <w:rPr>
          <w:rFonts w:ascii="Arial" w:hAnsi="Arial" w:cs="Arial"/>
          <w:bCs/>
          <w:i/>
          <w:iCs/>
        </w:rPr>
        <w:t xml:space="preserve">al no pagarse dentro de esos días se generaron recargos en un 3% por cada mes que no se efectuó el pago, es decir, toda vez que el actor pretendió hacer el pago el nueve de mayo de dos mil diecinueve (09/05/2019), aproximadamente TRES años posteriores a la compraventa, esta circunstancia le </w:t>
      </w:r>
      <w:r w:rsidR="00D931E8" w:rsidRPr="00D931E8">
        <w:rPr>
          <w:rFonts w:ascii="Arial" w:hAnsi="Arial" w:cs="Arial"/>
          <w:bCs/>
          <w:i/>
          <w:iCs/>
        </w:rPr>
        <w:t>generó los recargos establecidos en su orden de pago (acto impugnado), de ahí que el cobro por los referidos conceptos, se consideren legalmente válidos.</w:t>
      </w:r>
    </w:p>
    <w:p w14:paraId="11933A4F" w14:textId="0FAA9AA9" w:rsidR="00D931E8" w:rsidRPr="00D931E8" w:rsidRDefault="00D931E8" w:rsidP="00EB7617">
      <w:pPr>
        <w:widowControl w:val="0"/>
        <w:spacing w:before="240" w:after="0"/>
        <w:ind w:left="567" w:right="616"/>
        <w:jc w:val="both"/>
        <w:rPr>
          <w:rFonts w:ascii="Arial" w:eastAsia="Calibri" w:hAnsi="Arial" w:cs="Arial"/>
          <w:bCs/>
          <w:i/>
          <w:iCs/>
        </w:rPr>
      </w:pPr>
      <w:r w:rsidRPr="00D931E8">
        <w:rPr>
          <w:rFonts w:ascii="Arial" w:hAnsi="Arial" w:cs="Arial"/>
          <w:bCs/>
          <w:i/>
          <w:iCs/>
        </w:rPr>
        <w:t xml:space="preserve">Por las razones y fundamentos anteriores, deviene validar la orden de pago sobre impuesto de traslado de dominio con folio </w:t>
      </w:r>
      <w:r w:rsidR="00053613">
        <w:rPr>
          <w:rFonts w:ascii="Arial" w:hAnsi="Arial" w:cs="Arial"/>
          <w:bCs/>
          <w:i/>
          <w:iCs/>
        </w:rPr>
        <w:t>*******</w:t>
      </w:r>
      <w:r w:rsidRPr="00D931E8">
        <w:rPr>
          <w:rFonts w:ascii="Arial" w:hAnsi="Arial" w:cs="Arial"/>
          <w:bCs/>
          <w:i/>
          <w:iCs/>
        </w:rPr>
        <w:t xml:space="preserve"> de fecha nueve de mayo de dos mil diecinueve (09/05/2019), emitido por el Tesorero Municipal de Santa Lucía del Camino, Oaxaca, ante su ilegalidad”. </w:t>
      </w:r>
    </w:p>
    <w:p w14:paraId="26925790" w14:textId="44D4C5AF" w:rsidR="00EF4A0A" w:rsidRDefault="00C30CA1" w:rsidP="00DC1685">
      <w:pPr>
        <w:widowControl w:val="0"/>
        <w:spacing w:before="240" w:after="0" w:line="360" w:lineRule="auto"/>
        <w:ind w:right="49"/>
        <w:jc w:val="both"/>
        <w:rPr>
          <w:rFonts w:ascii="Arial" w:hAnsi="Arial" w:cs="Arial"/>
          <w:bCs/>
          <w:sz w:val="26"/>
          <w:szCs w:val="26"/>
        </w:rPr>
      </w:pPr>
      <w:r w:rsidRPr="00D931E8">
        <w:rPr>
          <w:rFonts w:ascii="Arial" w:eastAsia="Calibri" w:hAnsi="Arial" w:cs="Arial"/>
          <w:bCs/>
          <w:i/>
          <w:iCs/>
        </w:rPr>
        <w:tab/>
      </w:r>
      <w:r w:rsidR="00706D31">
        <w:rPr>
          <w:rFonts w:ascii="Arial" w:eastAsia="Calibri" w:hAnsi="Arial" w:cs="Arial"/>
          <w:bCs/>
          <w:sz w:val="26"/>
          <w:szCs w:val="26"/>
        </w:rPr>
        <w:t>De</w:t>
      </w:r>
      <w:r w:rsidR="0044255A">
        <w:rPr>
          <w:rFonts w:ascii="Arial" w:eastAsia="Calibri" w:hAnsi="Arial" w:cs="Arial"/>
          <w:bCs/>
          <w:sz w:val="26"/>
          <w:szCs w:val="26"/>
        </w:rPr>
        <w:t xml:space="preserve">l análisis efectuado al considerando sexto de la sentencia en revisión, </w:t>
      </w:r>
      <w:r w:rsidR="00BE6369">
        <w:rPr>
          <w:rFonts w:ascii="Arial" w:eastAsia="Calibri" w:hAnsi="Arial" w:cs="Arial"/>
          <w:bCs/>
          <w:sz w:val="26"/>
          <w:szCs w:val="26"/>
        </w:rPr>
        <w:t xml:space="preserve">se advierte que </w:t>
      </w:r>
      <w:r w:rsidR="006B6A8B">
        <w:rPr>
          <w:rFonts w:ascii="Arial" w:eastAsia="Calibri" w:hAnsi="Arial" w:cs="Arial"/>
          <w:bCs/>
          <w:sz w:val="26"/>
          <w:szCs w:val="26"/>
        </w:rPr>
        <w:t xml:space="preserve">sustancialmente le asiste la razón al recurrente, porque la Sala </w:t>
      </w:r>
      <w:r w:rsidR="006B6A8B" w:rsidRPr="006B6A8B">
        <w:rPr>
          <w:rFonts w:ascii="Arial" w:eastAsia="Calibri" w:hAnsi="Arial" w:cs="Arial"/>
          <w:bCs/>
          <w:i/>
          <w:iCs/>
          <w:sz w:val="26"/>
          <w:szCs w:val="26"/>
        </w:rPr>
        <w:t>A quo</w:t>
      </w:r>
      <w:r w:rsidR="006B6A8B">
        <w:rPr>
          <w:rFonts w:ascii="Arial" w:eastAsia="Calibri" w:hAnsi="Arial" w:cs="Arial"/>
          <w:bCs/>
          <w:sz w:val="26"/>
          <w:szCs w:val="26"/>
        </w:rPr>
        <w:t xml:space="preserve"> </w:t>
      </w:r>
      <w:r w:rsidR="001E1E13">
        <w:rPr>
          <w:rFonts w:ascii="Arial" w:eastAsia="Calibri" w:hAnsi="Arial" w:cs="Arial"/>
          <w:bCs/>
          <w:sz w:val="26"/>
          <w:szCs w:val="26"/>
        </w:rPr>
        <w:t>indebidamente se limitó a señalar que el impuesto de traslado de dominio y los recargos correspondientes al ejercicio fiscal 2019 en el Municipio de Santa Lucía del Camino, Oaxaca,</w:t>
      </w:r>
      <w:r w:rsidR="0080551A">
        <w:rPr>
          <w:rFonts w:ascii="Arial" w:eastAsia="Calibri" w:hAnsi="Arial" w:cs="Arial"/>
          <w:bCs/>
          <w:sz w:val="26"/>
          <w:szCs w:val="26"/>
        </w:rPr>
        <w:t xml:space="preserve"> fueron establecidos en la ley de ingresos de ese municipio para esa anualidad,</w:t>
      </w:r>
      <w:r w:rsidR="00225A79">
        <w:rPr>
          <w:rFonts w:ascii="Arial" w:eastAsia="Calibri" w:hAnsi="Arial" w:cs="Arial"/>
          <w:bCs/>
          <w:sz w:val="26"/>
          <w:szCs w:val="26"/>
        </w:rPr>
        <w:t xml:space="preserve"> </w:t>
      </w:r>
      <w:r w:rsidR="00EF4A0A">
        <w:rPr>
          <w:rFonts w:ascii="Arial" w:eastAsia="Calibri" w:hAnsi="Arial" w:cs="Arial"/>
          <w:bCs/>
          <w:sz w:val="26"/>
          <w:szCs w:val="26"/>
        </w:rPr>
        <w:t>pero tal análisis</w:t>
      </w:r>
      <w:r w:rsidR="00225A79">
        <w:rPr>
          <w:rFonts w:ascii="Arial" w:eastAsia="Calibri" w:hAnsi="Arial" w:cs="Arial"/>
          <w:bCs/>
          <w:sz w:val="26"/>
          <w:szCs w:val="26"/>
        </w:rPr>
        <w:t xml:space="preserve"> fue </w:t>
      </w:r>
      <w:r w:rsidR="006166CB">
        <w:rPr>
          <w:rFonts w:ascii="Arial" w:eastAsia="Calibri" w:hAnsi="Arial" w:cs="Arial"/>
          <w:bCs/>
          <w:sz w:val="26"/>
          <w:szCs w:val="26"/>
        </w:rPr>
        <w:t xml:space="preserve">incorrecto, </w:t>
      </w:r>
      <w:r w:rsidR="00EA5DE5">
        <w:rPr>
          <w:rFonts w:ascii="Arial" w:eastAsia="Calibri" w:hAnsi="Arial" w:cs="Arial"/>
          <w:bCs/>
          <w:sz w:val="26"/>
          <w:szCs w:val="26"/>
        </w:rPr>
        <w:t>porque</w:t>
      </w:r>
      <w:r w:rsidR="006166CB">
        <w:rPr>
          <w:rFonts w:ascii="Arial" w:eastAsia="Calibri" w:hAnsi="Arial" w:cs="Arial"/>
          <w:bCs/>
          <w:sz w:val="26"/>
          <w:szCs w:val="26"/>
        </w:rPr>
        <w:t xml:space="preserve"> lo que</w:t>
      </w:r>
      <w:r w:rsidR="00EA5DE5">
        <w:rPr>
          <w:rFonts w:ascii="Arial" w:eastAsia="Calibri" w:hAnsi="Arial" w:cs="Arial"/>
          <w:bCs/>
          <w:sz w:val="26"/>
          <w:szCs w:val="26"/>
        </w:rPr>
        <w:t xml:space="preserve"> </w:t>
      </w:r>
      <w:r w:rsidR="00225A79">
        <w:rPr>
          <w:rFonts w:ascii="Arial" w:eastAsia="Calibri" w:hAnsi="Arial" w:cs="Arial"/>
          <w:bCs/>
          <w:sz w:val="26"/>
          <w:szCs w:val="26"/>
        </w:rPr>
        <w:t xml:space="preserve">debió de haber estudiado la Sala </w:t>
      </w:r>
      <w:r w:rsidR="00225A79" w:rsidRPr="00116615">
        <w:rPr>
          <w:rFonts w:ascii="Arial" w:eastAsia="Calibri" w:hAnsi="Arial" w:cs="Arial"/>
          <w:bCs/>
          <w:i/>
          <w:iCs/>
          <w:sz w:val="26"/>
          <w:szCs w:val="26"/>
        </w:rPr>
        <w:t>A quo,</w:t>
      </w:r>
      <w:r w:rsidR="00225A79">
        <w:rPr>
          <w:rFonts w:ascii="Arial" w:eastAsia="Calibri" w:hAnsi="Arial" w:cs="Arial"/>
          <w:bCs/>
          <w:sz w:val="26"/>
          <w:szCs w:val="26"/>
        </w:rPr>
        <w:t xml:space="preserve"> conforme al concepto de impugnación señalado por el </w:t>
      </w:r>
      <w:r w:rsidR="00225A79">
        <w:rPr>
          <w:rFonts w:ascii="Arial" w:eastAsia="Calibri" w:hAnsi="Arial" w:cs="Arial"/>
          <w:bCs/>
          <w:sz w:val="26"/>
          <w:szCs w:val="26"/>
        </w:rPr>
        <w:lastRenderedPageBreak/>
        <w:t xml:space="preserve">actor, </w:t>
      </w:r>
      <w:r w:rsidR="005A792F">
        <w:rPr>
          <w:rFonts w:ascii="Arial" w:eastAsia="Calibri" w:hAnsi="Arial" w:cs="Arial"/>
          <w:bCs/>
          <w:sz w:val="26"/>
          <w:szCs w:val="26"/>
        </w:rPr>
        <w:t xml:space="preserve">era </w:t>
      </w:r>
      <w:r w:rsidR="00225A79">
        <w:rPr>
          <w:rFonts w:ascii="Arial" w:eastAsia="Calibri" w:hAnsi="Arial" w:cs="Arial"/>
          <w:bCs/>
          <w:sz w:val="26"/>
          <w:szCs w:val="26"/>
        </w:rPr>
        <w:t xml:space="preserve">si </w:t>
      </w:r>
      <w:r w:rsidR="006B6A8B">
        <w:rPr>
          <w:rFonts w:ascii="Arial" w:hAnsi="Arial" w:cs="Arial"/>
          <w:bCs/>
          <w:sz w:val="26"/>
          <w:szCs w:val="26"/>
        </w:rPr>
        <w:t xml:space="preserve">la orden de pago de impuestos sobre traslado de dominio con número de folio </w:t>
      </w:r>
      <w:r w:rsidR="00053613">
        <w:rPr>
          <w:rFonts w:ascii="Arial" w:hAnsi="Arial" w:cs="Arial"/>
          <w:bCs/>
          <w:sz w:val="26"/>
          <w:szCs w:val="26"/>
        </w:rPr>
        <w:t>*******</w:t>
      </w:r>
      <w:r w:rsidR="006B6A8B">
        <w:rPr>
          <w:rFonts w:ascii="Arial" w:hAnsi="Arial" w:cs="Arial"/>
          <w:bCs/>
          <w:sz w:val="26"/>
          <w:szCs w:val="26"/>
        </w:rPr>
        <w:t xml:space="preserve"> de fecha nueve de mayo de dos mil diecinueve, emitida por el Tesorero Municipal de Santa Lucía del Camino, Oaxaca, </w:t>
      </w:r>
      <w:r w:rsidR="005C7395">
        <w:rPr>
          <w:rFonts w:ascii="Arial" w:hAnsi="Arial" w:cs="Arial"/>
          <w:bCs/>
          <w:sz w:val="26"/>
          <w:szCs w:val="26"/>
        </w:rPr>
        <w:t xml:space="preserve">cumple con el requisito </w:t>
      </w:r>
      <w:r w:rsidR="001E1E13">
        <w:rPr>
          <w:rFonts w:ascii="Arial" w:hAnsi="Arial" w:cs="Arial"/>
          <w:bCs/>
          <w:sz w:val="26"/>
          <w:szCs w:val="26"/>
        </w:rPr>
        <w:t xml:space="preserve">de </w:t>
      </w:r>
      <w:r w:rsidR="004F743F">
        <w:rPr>
          <w:rFonts w:ascii="Arial" w:hAnsi="Arial" w:cs="Arial"/>
          <w:bCs/>
          <w:sz w:val="26"/>
          <w:szCs w:val="26"/>
        </w:rPr>
        <w:t xml:space="preserve">debida fundamentación </w:t>
      </w:r>
      <w:r w:rsidR="00B6422B">
        <w:rPr>
          <w:rFonts w:ascii="Arial" w:hAnsi="Arial" w:cs="Arial"/>
          <w:bCs/>
          <w:sz w:val="26"/>
          <w:szCs w:val="26"/>
        </w:rPr>
        <w:t xml:space="preserve">y motivación </w:t>
      </w:r>
      <w:r w:rsidR="004F743F">
        <w:rPr>
          <w:rFonts w:ascii="Arial" w:hAnsi="Arial" w:cs="Arial"/>
          <w:bCs/>
          <w:sz w:val="26"/>
          <w:szCs w:val="26"/>
        </w:rPr>
        <w:t>en cuanto a la imposición de los recargos</w:t>
      </w:r>
      <w:r w:rsidR="005A792F">
        <w:rPr>
          <w:rFonts w:ascii="Arial" w:hAnsi="Arial" w:cs="Arial"/>
          <w:bCs/>
          <w:sz w:val="26"/>
          <w:szCs w:val="26"/>
        </w:rPr>
        <w:t xml:space="preserve"> cuya nulidad reclama el actor</w:t>
      </w:r>
      <w:r w:rsidR="00B6422B">
        <w:rPr>
          <w:rFonts w:ascii="Arial" w:hAnsi="Arial" w:cs="Arial"/>
          <w:bCs/>
          <w:sz w:val="26"/>
          <w:szCs w:val="26"/>
        </w:rPr>
        <w:t xml:space="preserve">, </w:t>
      </w:r>
      <w:r w:rsidR="005A792F">
        <w:rPr>
          <w:rFonts w:ascii="Arial" w:hAnsi="Arial" w:cs="Arial"/>
          <w:bCs/>
          <w:sz w:val="26"/>
          <w:szCs w:val="26"/>
        </w:rPr>
        <w:t xml:space="preserve">es decir, que debió cerciorarse si la autoridad demandada citó en el cuerpo del </w:t>
      </w:r>
      <w:r w:rsidR="00834C75">
        <w:rPr>
          <w:rFonts w:ascii="Arial" w:hAnsi="Arial" w:cs="Arial"/>
          <w:bCs/>
          <w:sz w:val="26"/>
          <w:szCs w:val="26"/>
        </w:rPr>
        <w:t xml:space="preserve">documento cuestionado los preceptos legales y razones aplicables al caso particular, </w:t>
      </w:r>
      <w:r w:rsidR="00EF4A0A">
        <w:rPr>
          <w:rFonts w:ascii="Arial" w:hAnsi="Arial" w:cs="Arial"/>
          <w:bCs/>
          <w:sz w:val="26"/>
          <w:szCs w:val="26"/>
        </w:rPr>
        <w:t xml:space="preserve">conforme a lo dispuesto en el artículo 17 fracciones IV y V de la Ley de Procedimiento y Justicia Administrativa para el Estado de Oaxaca, y resulta insuficiente </w:t>
      </w:r>
      <w:r w:rsidR="00DC1685">
        <w:rPr>
          <w:rFonts w:ascii="Arial" w:hAnsi="Arial" w:cs="Arial"/>
          <w:bCs/>
          <w:sz w:val="26"/>
          <w:szCs w:val="26"/>
        </w:rPr>
        <w:t>que sólo haya aludido a las norma de la cual emana el impuesto, sin haberse cerciorado de que la autoridad demandada haya colmado es</w:t>
      </w:r>
      <w:r w:rsidR="00834C75">
        <w:rPr>
          <w:rFonts w:ascii="Arial" w:hAnsi="Arial" w:cs="Arial"/>
          <w:bCs/>
          <w:sz w:val="26"/>
          <w:szCs w:val="26"/>
        </w:rPr>
        <w:t>os</w:t>
      </w:r>
      <w:r w:rsidR="00DC1685">
        <w:rPr>
          <w:rFonts w:ascii="Arial" w:hAnsi="Arial" w:cs="Arial"/>
          <w:bCs/>
          <w:sz w:val="26"/>
          <w:szCs w:val="26"/>
        </w:rPr>
        <w:t xml:space="preserve"> requisito</w:t>
      </w:r>
      <w:r w:rsidR="00834C75">
        <w:rPr>
          <w:rFonts w:ascii="Arial" w:hAnsi="Arial" w:cs="Arial"/>
          <w:bCs/>
          <w:sz w:val="26"/>
          <w:szCs w:val="26"/>
        </w:rPr>
        <w:t xml:space="preserve">s antes mencionados. </w:t>
      </w:r>
      <w:r w:rsidR="00EB7617">
        <w:rPr>
          <w:rFonts w:ascii="Arial" w:hAnsi="Arial" w:cs="Arial"/>
          <w:sz w:val="26"/>
          <w:szCs w:val="26"/>
        </w:rPr>
        <w:t xml:space="preserve">- - - - - - - - - - - - - - - - - - - - - - - - - - - - - - </w:t>
      </w:r>
    </w:p>
    <w:p w14:paraId="58E1B2A3" w14:textId="377BC45C" w:rsidR="008123FD" w:rsidRPr="009226EF" w:rsidRDefault="008123FD" w:rsidP="008123FD">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Esta omisión de la primera instancia</w:t>
      </w:r>
      <w:r w:rsidR="002E7076">
        <w:rPr>
          <w:rFonts w:ascii="Arial" w:hAnsi="Arial" w:cs="Arial"/>
          <w:bCs/>
          <w:color w:val="000000"/>
          <w:sz w:val="26"/>
          <w:szCs w:val="26"/>
          <w:lang w:val="es-MX"/>
        </w:rPr>
        <w:t xml:space="preserve"> </w:t>
      </w:r>
      <w:r>
        <w:rPr>
          <w:rFonts w:ascii="Arial" w:hAnsi="Arial" w:cs="Arial"/>
          <w:bCs/>
          <w:color w:val="000000"/>
          <w:sz w:val="26"/>
          <w:szCs w:val="26"/>
          <w:lang w:val="es-MX"/>
        </w:rPr>
        <w:t xml:space="preserve">implica que </w:t>
      </w:r>
      <w:r w:rsidR="002E7076">
        <w:rPr>
          <w:rFonts w:ascii="Arial" w:hAnsi="Arial" w:cs="Arial"/>
          <w:bCs/>
          <w:color w:val="000000"/>
          <w:sz w:val="26"/>
          <w:szCs w:val="26"/>
          <w:lang w:val="es-MX"/>
        </w:rPr>
        <w:t xml:space="preserve">contravino </w:t>
      </w:r>
      <w:r w:rsidR="002E7076" w:rsidRPr="00B36667">
        <w:rPr>
          <w:rFonts w:ascii="Arial" w:hAnsi="Arial" w:cs="Arial"/>
          <w:bCs/>
          <w:i/>
          <w:color w:val="000000"/>
          <w:sz w:val="26"/>
          <w:szCs w:val="26"/>
          <w:lang w:val="es-MX"/>
        </w:rPr>
        <w:t>el principio de exhaustividad</w:t>
      </w:r>
      <w:r w:rsidR="002E7076">
        <w:rPr>
          <w:rFonts w:ascii="Arial" w:hAnsi="Arial" w:cs="Arial"/>
          <w:bCs/>
          <w:i/>
          <w:color w:val="000000"/>
          <w:sz w:val="26"/>
          <w:szCs w:val="26"/>
          <w:lang w:val="es-MX"/>
        </w:rPr>
        <w:t xml:space="preserve">, </w:t>
      </w:r>
      <w:r w:rsidR="002E7076" w:rsidRPr="00F33CEB">
        <w:rPr>
          <w:rFonts w:ascii="Arial" w:hAnsi="Arial" w:cs="Arial"/>
          <w:bCs/>
          <w:iCs/>
          <w:color w:val="000000"/>
          <w:sz w:val="26"/>
          <w:szCs w:val="26"/>
          <w:lang w:val="es-MX"/>
        </w:rPr>
        <w:t>establecido en</w:t>
      </w:r>
      <w:r w:rsidR="002E7076">
        <w:rPr>
          <w:rFonts w:ascii="Arial" w:hAnsi="Arial" w:cs="Arial"/>
          <w:bCs/>
          <w:i/>
          <w:color w:val="000000"/>
          <w:sz w:val="26"/>
          <w:szCs w:val="26"/>
          <w:lang w:val="es-MX"/>
        </w:rPr>
        <w:t xml:space="preserve"> </w:t>
      </w:r>
      <w:r w:rsidR="002E7076" w:rsidRPr="00F33CEB">
        <w:rPr>
          <w:rFonts w:ascii="Arial" w:hAnsi="Arial" w:cs="Arial"/>
          <w:bCs/>
          <w:iCs/>
          <w:color w:val="000000"/>
          <w:sz w:val="26"/>
          <w:szCs w:val="26"/>
          <w:lang w:val="es-MX"/>
        </w:rPr>
        <w:t xml:space="preserve">el </w:t>
      </w:r>
      <w:r w:rsidR="002E7076">
        <w:rPr>
          <w:rFonts w:ascii="Arial" w:hAnsi="Arial" w:cs="Arial"/>
          <w:bCs/>
          <w:color w:val="000000"/>
          <w:sz w:val="26"/>
          <w:szCs w:val="26"/>
          <w:lang w:val="es-MX"/>
        </w:rPr>
        <w:t>artículo 207</w:t>
      </w:r>
      <w:r w:rsidR="002E7076">
        <w:rPr>
          <w:rStyle w:val="Refdenotaalpie"/>
          <w:rFonts w:ascii="Arial" w:hAnsi="Arial" w:cs="Arial"/>
          <w:bCs/>
          <w:color w:val="000000"/>
          <w:sz w:val="26"/>
          <w:szCs w:val="26"/>
          <w:lang w:val="es-MX"/>
        </w:rPr>
        <w:footnoteReference w:id="3"/>
      </w:r>
      <w:r w:rsidR="002E7076">
        <w:rPr>
          <w:rFonts w:ascii="Arial" w:hAnsi="Arial" w:cs="Arial"/>
          <w:bCs/>
          <w:color w:val="000000"/>
          <w:sz w:val="26"/>
          <w:szCs w:val="26"/>
          <w:lang w:val="es-MX"/>
        </w:rPr>
        <w:t xml:space="preserve"> de la </w:t>
      </w:r>
      <w:r w:rsidR="002E7076" w:rsidRPr="00F062FC">
        <w:rPr>
          <w:rFonts w:ascii="Arial" w:eastAsia="Calibri" w:hAnsi="Arial" w:cs="Arial"/>
          <w:bCs/>
          <w:sz w:val="26"/>
          <w:szCs w:val="26"/>
        </w:rPr>
        <w:t>Ley de Procedimiento y Justicia Administrativa para el Estado de Oaxaca</w:t>
      </w:r>
      <w:r w:rsidR="002E7076">
        <w:rPr>
          <w:rFonts w:ascii="Arial" w:eastAsia="Calibri" w:hAnsi="Arial" w:cs="Arial"/>
          <w:bCs/>
          <w:sz w:val="26"/>
          <w:szCs w:val="26"/>
        </w:rPr>
        <w:t xml:space="preserve">, porque </w:t>
      </w:r>
      <w:r>
        <w:rPr>
          <w:rFonts w:ascii="Arial" w:hAnsi="Arial" w:cs="Arial"/>
          <w:bCs/>
          <w:color w:val="000000"/>
          <w:sz w:val="26"/>
          <w:szCs w:val="26"/>
          <w:lang w:val="es-MX"/>
        </w:rPr>
        <w:t>dejó de atender de forma integral el asunto sometido a su conocimiento,</w:t>
      </w:r>
      <w:r w:rsidRPr="008F3237">
        <w:rPr>
          <w:rFonts w:ascii="Arial" w:hAnsi="Arial" w:cs="Arial"/>
          <w:bCs/>
          <w:color w:val="000000"/>
          <w:sz w:val="26"/>
          <w:szCs w:val="26"/>
          <w:lang w:val="es-MX"/>
        </w:rPr>
        <w:t xml:space="preserve"> </w:t>
      </w:r>
      <w:r w:rsidR="002E7076">
        <w:rPr>
          <w:rFonts w:ascii="Arial" w:hAnsi="Arial" w:cs="Arial"/>
          <w:bCs/>
          <w:color w:val="000000"/>
          <w:sz w:val="26"/>
          <w:szCs w:val="26"/>
          <w:lang w:val="es-MX"/>
        </w:rPr>
        <w:t xml:space="preserve">ya que </w:t>
      </w:r>
      <w:r w:rsidR="00FA5AAC">
        <w:rPr>
          <w:rFonts w:ascii="Arial" w:hAnsi="Arial" w:cs="Arial"/>
          <w:bCs/>
          <w:color w:val="000000"/>
          <w:sz w:val="26"/>
          <w:szCs w:val="26"/>
          <w:lang w:val="es-MX"/>
        </w:rPr>
        <w:t>soslayó</w:t>
      </w:r>
      <w:r w:rsidR="00D7237A">
        <w:rPr>
          <w:rFonts w:ascii="Arial" w:hAnsi="Arial" w:cs="Arial"/>
          <w:bCs/>
          <w:color w:val="000000"/>
          <w:sz w:val="26"/>
          <w:szCs w:val="26"/>
          <w:lang w:val="es-MX"/>
        </w:rPr>
        <w:t xml:space="preserve"> estudiar</w:t>
      </w:r>
      <w:r w:rsidR="002E7076">
        <w:rPr>
          <w:rFonts w:ascii="Arial" w:hAnsi="Arial" w:cs="Arial"/>
          <w:bCs/>
          <w:color w:val="000000"/>
          <w:sz w:val="26"/>
          <w:szCs w:val="26"/>
          <w:lang w:val="es-MX"/>
        </w:rPr>
        <w:t xml:space="preserve"> el concepto de impugnación expresado por el actor</w:t>
      </w:r>
      <w:r w:rsidR="00DA2851">
        <w:rPr>
          <w:rFonts w:ascii="Arial" w:hAnsi="Arial" w:cs="Arial"/>
          <w:bCs/>
          <w:color w:val="000000"/>
          <w:sz w:val="26"/>
          <w:szCs w:val="26"/>
          <w:lang w:val="es-MX"/>
        </w:rPr>
        <w:t xml:space="preserve"> y tampoco analizó oficiosamente la ausencia total o parcial de la fundamentación del acto impugnado, como lo permite el numeral 208 último párrafo</w:t>
      </w:r>
      <w:r w:rsidR="00DA2851">
        <w:rPr>
          <w:rStyle w:val="Refdenotaalpie"/>
          <w:rFonts w:ascii="Arial" w:hAnsi="Arial" w:cs="Arial"/>
          <w:bCs/>
          <w:color w:val="000000"/>
          <w:sz w:val="26"/>
          <w:szCs w:val="26"/>
          <w:lang w:val="es-MX"/>
        </w:rPr>
        <w:footnoteReference w:id="4"/>
      </w:r>
      <w:r w:rsidR="00DA2851">
        <w:rPr>
          <w:rFonts w:ascii="Arial" w:hAnsi="Arial" w:cs="Arial"/>
          <w:bCs/>
          <w:color w:val="000000"/>
          <w:sz w:val="26"/>
          <w:szCs w:val="26"/>
          <w:lang w:val="es-MX"/>
        </w:rPr>
        <w:t xml:space="preserve"> de la ley en cita. </w:t>
      </w:r>
      <w:r>
        <w:rPr>
          <w:rFonts w:ascii="Arial" w:eastAsia="Calibri" w:hAnsi="Arial" w:cs="Arial"/>
          <w:bCs/>
          <w:sz w:val="26"/>
          <w:szCs w:val="26"/>
        </w:rPr>
        <w:t xml:space="preserve">De ahí lo </w:t>
      </w:r>
      <w:r w:rsidRPr="001E02C5">
        <w:rPr>
          <w:rFonts w:ascii="Arial" w:eastAsia="Calibri" w:hAnsi="Arial" w:cs="Arial"/>
          <w:b/>
          <w:bCs/>
          <w:sz w:val="26"/>
          <w:szCs w:val="26"/>
        </w:rPr>
        <w:t xml:space="preserve">sustancialmente </w:t>
      </w:r>
      <w:r w:rsidRPr="008D1BD6">
        <w:rPr>
          <w:rFonts w:ascii="Arial" w:eastAsia="Calibri" w:hAnsi="Arial" w:cs="Arial"/>
          <w:b/>
          <w:bCs/>
          <w:sz w:val="26"/>
          <w:szCs w:val="26"/>
        </w:rPr>
        <w:t>fundado</w:t>
      </w:r>
      <w:r>
        <w:rPr>
          <w:rFonts w:ascii="Arial" w:eastAsia="Calibri" w:hAnsi="Arial" w:cs="Arial"/>
          <w:bCs/>
          <w:sz w:val="26"/>
          <w:szCs w:val="26"/>
        </w:rPr>
        <w:t xml:space="preserve"> del agravio expuestos por el recurrente. </w:t>
      </w:r>
      <w:r w:rsidR="00EB7617">
        <w:rPr>
          <w:rFonts w:ascii="Arial" w:hAnsi="Arial" w:cs="Arial"/>
          <w:sz w:val="26"/>
          <w:szCs w:val="26"/>
        </w:rPr>
        <w:t xml:space="preserve">- - - - - - - - - - - - - - - - </w:t>
      </w:r>
    </w:p>
    <w:p w14:paraId="658F04AF" w14:textId="77777777" w:rsidR="008123FD" w:rsidRPr="004D398B" w:rsidRDefault="008123FD" w:rsidP="008123FD">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Resulta aplicable</w:t>
      </w:r>
      <w:r w:rsidRPr="004D398B">
        <w:rPr>
          <w:rFonts w:ascii="Arial" w:hAnsi="Arial" w:cs="Arial"/>
          <w:bCs/>
          <w:color w:val="000000"/>
          <w:sz w:val="26"/>
          <w:szCs w:val="26"/>
          <w:lang w:val="es-MX"/>
        </w:rPr>
        <w:t xml:space="preserve"> la tesis I.4o.C.2 K (10a.), con número de registro 2005968, emitida por los Tribunales Colegiados de Circuito, perteneciente a la Décima Época, visible en la Gaceta del Semanario Judicial de la Federación; Libro 4, </w:t>
      </w:r>
      <w:r>
        <w:rPr>
          <w:rFonts w:ascii="Arial" w:hAnsi="Arial" w:cs="Arial"/>
          <w:bCs/>
          <w:color w:val="000000"/>
          <w:sz w:val="26"/>
          <w:szCs w:val="26"/>
          <w:lang w:val="es-MX"/>
        </w:rPr>
        <w:t>m</w:t>
      </w:r>
      <w:r w:rsidRPr="004D398B">
        <w:rPr>
          <w:rFonts w:ascii="Arial" w:hAnsi="Arial" w:cs="Arial"/>
          <w:bCs/>
          <w:color w:val="000000"/>
          <w:sz w:val="26"/>
          <w:szCs w:val="26"/>
          <w:lang w:val="es-MX"/>
        </w:rPr>
        <w:t>arzo de 2014, Pág. 1772, de rubro y texto siguientes:</w:t>
      </w:r>
    </w:p>
    <w:p w14:paraId="3AB395E0" w14:textId="77777777" w:rsidR="008123FD" w:rsidRPr="00CF6D3A" w:rsidRDefault="008123FD" w:rsidP="008123FD">
      <w:pPr>
        <w:pStyle w:val="Sinespaciado"/>
        <w:spacing w:before="240" w:line="276" w:lineRule="auto"/>
        <w:ind w:left="567" w:right="616"/>
        <w:jc w:val="both"/>
        <w:rPr>
          <w:rFonts w:ascii="Arial" w:hAnsi="Arial" w:cs="Arial"/>
          <w:bCs/>
          <w:i/>
          <w:color w:val="000000"/>
          <w:lang w:val="es-MX"/>
        </w:rPr>
      </w:pPr>
      <w:r w:rsidRPr="00CF6D3A">
        <w:rPr>
          <w:rFonts w:ascii="Arial" w:hAnsi="Arial" w:cs="Arial"/>
          <w:b/>
          <w:bCs/>
          <w:i/>
          <w:color w:val="000000"/>
          <w:lang w:val="es-MX"/>
        </w:rPr>
        <w:t xml:space="preserve">“EXHAUSTIVIDAD. SU EXIGENCIA IMPLICA LA MAYOR CALIDAD POSIBLE DE LAS SENTENCIAS, PARA CUMPLIR CON LA PLENITUD </w:t>
      </w:r>
      <w:r w:rsidRPr="00CF6D3A">
        <w:rPr>
          <w:rFonts w:ascii="Arial" w:hAnsi="Arial" w:cs="Arial"/>
          <w:b/>
          <w:bCs/>
          <w:i/>
          <w:color w:val="000000"/>
          <w:lang w:val="es-MX"/>
        </w:rPr>
        <w:lastRenderedPageBreak/>
        <w:t>EXIGIDA POR EL ARTÍCULO 17 CONSTITUCIONAL.</w:t>
      </w:r>
      <w:r w:rsidRPr="00CF6D3A">
        <w:rPr>
          <w:rFonts w:ascii="Arial" w:hAnsi="Arial" w:cs="Arial"/>
          <w:bCs/>
          <w:i/>
          <w:color w:val="000000"/>
          <w:lang w:val="es-MX"/>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el juzgador no sólo se ocupe de 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14:paraId="16898639" w14:textId="77777777" w:rsidR="008123FD" w:rsidRPr="00CF6D3A" w:rsidRDefault="008123FD" w:rsidP="008123FD">
      <w:pPr>
        <w:pStyle w:val="Sinespaciado"/>
        <w:spacing w:before="240" w:line="276" w:lineRule="auto"/>
        <w:ind w:left="567" w:right="616"/>
        <w:jc w:val="both"/>
        <w:rPr>
          <w:rFonts w:ascii="Arial" w:hAnsi="Arial" w:cs="Arial"/>
          <w:bCs/>
          <w:i/>
          <w:color w:val="000000"/>
          <w:lang w:val="es-MX"/>
        </w:rPr>
      </w:pPr>
      <w:r w:rsidRPr="00CF6D3A">
        <w:rPr>
          <w:rFonts w:ascii="Arial" w:hAnsi="Arial" w:cs="Arial"/>
          <w:bCs/>
          <w:i/>
          <w:color w:val="000000"/>
          <w:lang w:val="es-MX"/>
        </w:rPr>
        <w:t xml:space="preserve">CUARTO TRIBUNAL COLEGIADO EN MATERIA CIVIL DEL PRIMER CIRCUITO. </w:t>
      </w:r>
    </w:p>
    <w:p w14:paraId="4E6027CE" w14:textId="169C6D90" w:rsidR="008123FD" w:rsidRPr="00EB7617" w:rsidRDefault="008123FD" w:rsidP="00EB7617">
      <w:pPr>
        <w:pStyle w:val="Sinespaciado"/>
        <w:spacing w:before="240" w:line="276" w:lineRule="auto"/>
        <w:ind w:left="567" w:right="616"/>
        <w:jc w:val="both"/>
        <w:rPr>
          <w:rFonts w:ascii="Arial" w:hAnsi="Arial" w:cs="Arial"/>
          <w:bCs/>
          <w:i/>
          <w:color w:val="000000"/>
          <w:lang w:val="es-MX"/>
        </w:rPr>
      </w:pPr>
      <w:r w:rsidRPr="00CF6D3A">
        <w:rPr>
          <w:rFonts w:ascii="Arial" w:hAnsi="Arial" w:cs="Arial"/>
          <w:bCs/>
          <w:i/>
          <w:color w:val="000000"/>
          <w:lang w:val="es-MX"/>
        </w:rPr>
        <w:t>Amparo directo 401/2013. Carlos Sánchez Castillo. 20 de septiembre de 2013. Unanimidad de votos. Ponente: Leonel Castillo González. Secretaria: Norma Leonor Morales González.</w:t>
      </w:r>
    </w:p>
    <w:p w14:paraId="59E3E074" w14:textId="2C5125FF" w:rsidR="008123FD" w:rsidRPr="00FA5AAC" w:rsidRDefault="008123FD" w:rsidP="008123FD">
      <w:pPr>
        <w:spacing w:before="100" w:beforeAutospacing="1" w:after="0" w:line="360" w:lineRule="auto"/>
        <w:ind w:firstLine="705"/>
        <w:jc w:val="both"/>
        <w:rPr>
          <w:rFonts w:ascii="Arial" w:eastAsia="Calibri" w:hAnsi="Arial" w:cs="Arial"/>
          <w:bCs/>
          <w:sz w:val="26"/>
          <w:szCs w:val="26"/>
        </w:rPr>
      </w:pPr>
      <w:r w:rsidRPr="00FA5AAC">
        <w:rPr>
          <w:rFonts w:ascii="Arial" w:eastAsia="Calibri" w:hAnsi="Arial" w:cs="Arial"/>
          <w:sz w:val="26"/>
          <w:szCs w:val="26"/>
        </w:rPr>
        <w:t>En tal virtud,</w:t>
      </w:r>
      <w:r w:rsidRPr="00FA5AAC">
        <w:rPr>
          <w:rFonts w:ascii="Arial" w:eastAsia="Calibri" w:hAnsi="Arial" w:cs="Arial"/>
          <w:bCs/>
          <w:sz w:val="26"/>
          <w:szCs w:val="26"/>
        </w:rPr>
        <w:t xml:space="preserve"> </w:t>
      </w:r>
      <w:r w:rsidRPr="00FA5AAC">
        <w:rPr>
          <w:rFonts w:ascii="Arial" w:hAnsi="Arial" w:cs="Arial"/>
          <w:sz w:val="26"/>
          <w:szCs w:val="26"/>
        </w:rPr>
        <w:t xml:space="preserve">toda vez que </w:t>
      </w:r>
      <w:r w:rsidRPr="00FA5AAC">
        <w:rPr>
          <w:rFonts w:ascii="Arial" w:eastAsia="Calibri" w:hAnsi="Arial" w:cs="Arial"/>
          <w:bCs/>
          <w:sz w:val="26"/>
          <w:szCs w:val="26"/>
        </w:rPr>
        <w:t>l</w:t>
      </w:r>
      <w:r w:rsidR="00D7237A" w:rsidRPr="00FA5AAC">
        <w:rPr>
          <w:rFonts w:ascii="Arial" w:eastAsia="Calibri" w:hAnsi="Arial" w:cs="Arial"/>
          <w:bCs/>
          <w:sz w:val="26"/>
          <w:szCs w:val="26"/>
        </w:rPr>
        <w:t>a</w:t>
      </w:r>
      <w:r w:rsidRPr="00FA5AAC">
        <w:rPr>
          <w:rFonts w:ascii="Arial" w:eastAsia="Calibri" w:hAnsi="Arial" w:cs="Arial"/>
          <w:bCs/>
          <w:sz w:val="26"/>
          <w:szCs w:val="26"/>
        </w:rPr>
        <w:t xml:space="preserve"> Magistrad</w:t>
      </w:r>
      <w:r w:rsidR="00D7237A" w:rsidRPr="00FA5AAC">
        <w:rPr>
          <w:rFonts w:ascii="Arial" w:eastAsia="Calibri" w:hAnsi="Arial" w:cs="Arial"/>
          <w:bCs/>
          <w:sz w:val="26"/>
          <w:szCs w:val="26"/>
        </w:rPr>
        <w:t>a</w:t>
      </w:r>
      <w:r w:rsidRPr="00FA5AAC">
        <w:rPr>
          <w:rFonts w:ascii="Arial" w:eastAsia="Calibri" w:hAnsi="Arial" w:cs="Arial"/>
          <w:bCs/>
          <w:sz w:val="26"/>
          <w:szCs w:val="26"/>
        </w:rPr>
        <w:t xml:space="preserve"> de Primera Instancia, </w:t>
      </w:r>
      <w:r w:rsidRPr="00FA5AAC">
        <w:rPr>
          <w:rFonts w:ascii="Arial" w:hAnsi="Arial" w:cs="Arial"/>
          <w:b/>
          <w:bCs/>
          <w:color w:val="000000"/>
          <w:sz w:val="26"/>
          <w:szCs w:val="26"/>
        </w:rPr>
        <w:t>no ha emitido efectivamente un fallo en cuanto al fondo de la cuestión puesta a su conocimiento</w:t>
      </w:r>
      <w:r w:rsidRPr="00FA5AAC">
        <w:rPr>
          <w:rFonts w:ascii="Arial" w:hAnsi="Arial" w:cs="Arial"/>
          <w:bCs/>
          <w:color w:val="000000"/>
          <w:sz w:val="26"/>
          <w:szCs w:val="26"/>
        </w:rPr>
        <w:t xml:space="preserve">, </w:t>
      </w:r>
      <w:r w:rsidRPr="00FA5AAC">
        <w:rPr>
          <w:rFonts w:ascii="Arial" w:eastAsia="Calibri" w:hAnsi="Arial" w:cs="Arial"/>
          <w:b/>
          <w:sz w:val="26"/>
          <w:szCs w:val="26"/>
        </w:rPr>
        <w:t xml:space="preserve">lo procedente es REVOCAR </w:t>
      </w:r>
      <w:r w:rsidRPr="00FA5AAC">
        <w:rPr>
          <w:rFonts w:ascii="Arial" w:eastAsia="Calibri" w:hAnsi="Arial" w:cs="Arial"/>
          <w:bCs/>
          <w:sz w:val="26"/>
          <w:szCs w:val="26"/>
        </w:rPr>
        <w:t xml:space="preserve">la sentencia de </w:t>
      </w:r>
      <w:r w:rsidR="00CA73A6" w:rsidRPr="00FA5AAC">
        <w:rPr>
          <w:rFonts w:ascii="Arial" w:eastAsia="Calibri" w:hAnsi="Arial" w:cs="Arial"/>
          <w:bCs/>
          <w:sz w:val="26"/>
          <w:szCs w:val="26"/>
        </w:rPr>
        <w:t xml:space="preserve">quince de julio </w:t>
      </w:r>
      <w:r w:rsidRPr="00FA5AAC">
        <w:rPr>
          <w:rFonts w:ascii="Arial" w:eastAsia="Calibri" w:hAnsi="Arial" w:cs="Arial"/>
          <w:bCs/>
          <w:sz w:val="26"/>
          <w:szCs w:val="26"/>
        </w:rPr>
        <w:t>de dos mil veint</w:t>
      </w:r>
      <w:r w:rsidR="00CA73A6" w:rsidRPr="00FA5AAC">
        <w:rPr>
          <w:rFonts w:ascii="Arial" w:eastAsia="Calibri" w:hAnsi="Arial" w:cs="Arial"/>
          <w:bCs/>
          <w:sz w:val="26"/>
          <w:szCs w:val="26"/>
        </w:rPr>
        <w:t>iuno</w:t>
      </w:r>
      <w:r w:rsidRPr="00FA5AAC">
        <w:rPr>
          <w:rFonts w:ascii="Arial" w:eastAsia="Calibri" w:hAnsi="Arial" w:cs="Arial"/>
          <w:bCs/>
          <w:sz w:val="26"/>
          <w:szCs w:val="26"/>
        </w:rPr>
        <w:t xml:space="preserve">, y en consecuencia, </w:t>
      </w:r>
      <w:r w:rsidRPr="00FA5AAC">
        <w:rPr>
          <w:rFonts w:ascii="Arial" w:eastAsia="Times New Roman" w:hAnsi="Arial" w:cs="Arial"/>
          <w:b/>
          <w:sz w:val="26"/>
          <w:szCs w:val="26"/>
          <w:lang w:eastAsia="es-ES"/>
        </w:rPr>
        <w:t>esta Sala Superior</w:t>
      </w:r>
      <w:r w:rsidRPr="00FA5AAC">
        <w:rPr>
          <w:rFonts w:ascii="Arial" w:eastAsia="Times New Roman" w:hAnsi="Arial" w:cs="Arial"/>
          <w:bCs/>
          <w:sz w:val="26"/>
          <w:szCs w:val="26"/>
          <w:lang w:eastAsia="es-ES"/>
        </w:rPr>
        <w:t xml:space="preserve"> </w:t>
      </w:r>
      <w:r w:rsidRPr="00FA5AAC">
        <w:rPr>
          <w:rFonts w:ascii="Arial" w:eastAsia="Times New Roman" w:hAnsi="Arial" w:cs="Arial"/>
          <w:b/>
          <w:bCs/>
          <w:sz w:val="26"/>
          <w:szCs w:val="26"/>
          <w:lang w:eastAsia="es-ES"/>
        </w:rPr>
        <w:t>REASUME JURISDICCIÓN</w:t>
      </w:r>
      <w:r w:rsidRPr="00FA5AAC">
        <w:rPr>
          <w:rFonts w:ascii="Arial" w:eastAsia="Times New Roman" w:hAnsi="Arial" w:cs="Arial"/>
          <w:bCs/>
          <w:sz w:val="26"/>
          <w:szCs w:val="26"/>
          <w:lang w:eastAsia="es-ES"/>
        </w:rPr>
        <w:t xml:space="preserve"> a efecto de que se analice el acto </w:t>
      </w:r>
      <w:r w:rsidRPr="00FA5AAC">
        <w:rPr>
          <w:rFonts w:ascii="Arial" w:eastAsia="Times New Roman" w:hAnsi="Arial" w:cs="Arial"/>
          <w:bCs/>
          <w:sz w:val="26"/>
          <w:szCs w:val="26"/>
          <w:lang w:eastAsia="es-ES"/>
        </w:rPr>
        <w:lastRenderedPageBreak/>
        <w:t>sometido a</w:t>
      </w:r>
      <w:r w:rsidR="002560EF" w:rsidRPr="00FA5AAC">
        <w:rPr>
          <w:rFonts w:ascii="Arial" w:eastAsia="Times New Roman" w:hAnsi="Arial" w:cs="Arial"/>
          <w:bCs/>
          <w:sz w:val="26"/>
          <w:szCs w:val="26"/>
          <w:lang w:eastAsia="es-ES"/>
        </w:rPr>
        <w:t>l conocimiento</w:t>
      </w:r>
      <w:r w:rsidRPr="00FA5AAC">
        <w:rPr>
          <w:rFonts w:ascii="Arial" w:eastAsia="Times New Roman" w:hAnsi="Arial" w:cs="Arial"/>
          <w:bCs/>
          <w:sz w:val="26"/>
          <w:szCs w:val="26"/>
          <w:lang w:eastAsia="es-ES"/>
        </w:rPr>
        <w:t xml:space="preserve"> de la primera instancia. Las consideraciones se respaldan, por identidad en el tema, en la jurisprudencia</w:t>
      </w:r>
      <w:r w:rsidRPr="00FA5AAC">
        <w:rPr>
          <w:rFonts w:ascii="Arial" w:hAnsi="Arial" w:cs="Arial"/>
          <w:sz w:val="26"/>
          <w:szCs w:val="26"/>
        </w:rPr>
        <w:t xml:space="preserve"> XI.2o. J/29 emitida por el Segundo Tribunal Colegiado del Décimo Primer Circuito, en la Novena Época, publicada en el Semanario Judicial de la Federación y su Gaceta, Tomo XXII, de Octubre de 2005, consultable a página 2075, bajo el rubro y texto del tenor literal siguiente: </w:t>
      </w:r>
    </w:p>
    <w:p w14:paraId="16269B15" w14:textId="77777777" w:rsidR="008123FD" w:rsidRPr="00F062FC" w:rsidRDefault="008123FD" w:rsidP="00EB7617">
      <w:pPr>
        <w:spacing w:before="100" w:beforeAutospacing="1" w:after="0"/>
        <w:ind w:left="851" w:right="900"/>
        <w:jc w:val="both"/>
        <w:rPr>
          <w:rFonts w:ascii="Arial" w:hAnsi="Arial" w:cs="Arial"/>
          <w:i/>
        </w:rPr>
      </w:pPr>
      <w:r w:rsidRPr="00F062FC">
        <w:rPr>
          <w:rFonts w:ascii="Arial" w:hAnsi="Arial" w:cs="Arial"/>
          <w:b/>
          <w:i/>
        </w:rPr>
        <w:t xml:space="preserve">“AGRAVIOS EN LA APELACIÓN. AL NO EXISTIR REENVÍO EL AD </w:t>
      </w:r>
      <w:proofErr w:type="spellStart"/>
      <w:r w:rsidRPr="00F062FC">
        <w:rPr>
          <w:rFonts w:ascii="Arial" w:hAnsi="Arial" w:cs="Arial"/>
          <w:b/>
          <w:i/>
        </w:rPr>
        <w:t>QUEM</w:t>
      </w:r>
      <w:proofErr w:type="spellEnd"/>
      <w:r w:rsidRPr="00F062FC">
        <w:rPr>
          <w:rFonts w:ascii="Arial" w:hAnsi="Arial" w:cs="Arial"/>
          <w:b/>
          <w:i/>
        </w:rPr>
        <w:t xml:space="preserve"> DEBE REASUMIR JURISDICCIÓN Y ABORDAR OFICIOSAMENTE SU ANÁLISIS, SIN QUE ELLO IMPLIQUE SUPLENCIA DE AQUÉLLOS.</w:t>
      </w:r>
      <w:r w:rsidRPr="00F062FC">
        <w:rPr>
          <w:rFonts w:ascii="Arial"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F062FC">
        <w:rPr>
          <w:rFonts w:ascii="Arial" w:hAnsi="Arial" w:cs="Arial"/>
          <w:i/>
        </w:rPr>
        <w:t>quem</w:t>
      </w:r>
      <w:proofErr w:type="spellEnd"/>
      <w:r w:rsidRPr="00F062FC">
        <w:rPr>
          <w:rFonts w:ascii="Arial" w:hAnsi="Arial" w:cs="Arial"/>
          <w:i/>
        </w:rPr>
        <w:t xml:space="preserve"> debe reasumir jurisdicción y abordar oficiosamente el análisis correspondiente, sin que ello implique suplencia de los agravios.” </w:t>
      </w:r>
    </w:p>
    <w:p w14:paraId="57DBEFD0" w14:textId="1C672523" w:rsidR="00FA5AAC" w:rsidRDefault="002560EF" w:rsidP="00F33C9E">
      <w:pPr>
        <w:widowControl w:val="0"/>
        <w:spacing w:before="240" w:after="0" w:line="360" w:lineRule="auto"/>
        <w:ind w:right="49" w:firstLine="709"/>
        <w:jc w:val="both"/>
        <w:rPr>
          <w:rFonts w:ascii="Arial" w:hAnsi="Arial" w:cs="Arial"/>
          <w:bCs/>
          <w:sz w:val="26"/>
          <w:szCs w:val="26"/>
        </w:rPr>
      </w:pPr>
      <w:r w:rsidRPr="00F33C9E">
        <w:rPr>
          <w:rFonts w:ascii="Arial" w:eastAsia="Calibri" w:hAnsi="Arial" w:cs="Arial"/>
          <w:bCs/>
          <w:sz w:val="26"/>
          <w:szCs w:val="26"/>
        </w:rPr>
        <w:t>Enseguida, se procede a</w:t>
      </w:r>
      <w:r w:rsidR="00FA5AAC" w:rsidRPr="00F33C9E">
        <w:rPr>
          <w:rFonts w:ascii="Arial" w:eastAsia="Calibri" w:hAnsi="Arial" w:cs="Arial"/>
          <w:bCs/>
          <w:sz w:val="26"/>
          <w:szCs w:val="26"/>
        </w:rPr>
        <w:t xml:space="preserve"> analizar el concepto de impugnación del actor, en el que reclama que </w:t>
      </w:r>
      <w:r w:rsidR="00FA5AAC">
        <w:rPr>
          <w:rFonts w:ascii="Arial" w:eastAsia="Calibri" w:hAnsi="Arial" w:cs="Arial"/>
          <w:bCs/>
          <w:sz w:val="26"/>
          <w:szCs w:val="26"/>
        </w:rPr>
        <w:t xml:space="preserve">en </w:t>
      </w:r>
      <w:r w:rsidR="00FA5AAC">
        <w:rPr>
          <w:rFonts w:ascii="Arial" w:hAnsi="Arial" w:cs="Arial"/>
          <w:bCs/>
          <w:sz w:val="26"/>
          <w:szCs w:val="26"/>
        </w:rPr>
        <w:t xml:space="preserve">la orden de pago de impuestos sobre traslado de dominio con número de folio </w:t>
      </w:r>
      <w:r w:rsidR="00053613">
        <w:rPr>
          <w:rFonts w:ascii="Arial" w:hAnsi="Arial" w:cs="Arial"/>
          <w:bCs/>
          <w:sz w:val="26"/>
          <w:szCs w:val="26"/>
        </w:rPr>
        <w:t>*******</w:t>
      </w:r>
      <w:r w:rsidR="00FA5AAC">
        <w:rPr>
          <w:rFonts w:ascii="Arial" w:hAnsi="Arial" w:cs="Arial"/>
          <w:bCs/>
          <w:sz w:val="26"/>
          <w:szCs w:val="26"/>
        </w:rPr>
        <w:t xml:space="preserve"> de fecha nueve de mayo de dos mil diecinueve, emitida por el Tesorero Municipal de Santa Lucía del Camino, Oaxaca, “no se encuentra debidamente fundado y motivado el recargo del impuesto sobre traslación de dominio por la cantidad de $</w:t>
      </w:r>
      <w:r w:rsidR="00053613">
        <w:rPr>
          <w:rFonts w:ascii="Arial" w:hAnsi="Arial" w:cs="Arial"/>
          <w:bCs/>
          <w:i/>
          <w:iCs/>
        </w:rPr>
        <w:t>*******</w:t>
      </w:r>
      <w:r w:rsidR="00FA5AAC">
        <w:rPr>
          <w:rFonts w:ascii="Arial" w:hAnsi="Arial" w:cs="Arial"/>
          <w:bCs/>
          <w:sz w:val="26"/>
          <w:szCs w:val="26"/>
        </w:rPr>
        <w:t>)</w:t>
      </w:r>
      <w:r w:rsidR="006F7DE8">
        <w:rPr>
          <w:rFonts w:ascii="Arial" w:hAnsi="Arial" w:cs="Arial"/>
          <w:bCs/>
          <w:sz w:val="26"/>
          <w:szCs w:val="26"/>
        </w:rPr>
        <w:t>”</w:t>
      </w:r>
      <w:r w:rsidR="006F7DE8">
        <w:rPr>
          <w:rStyle w:val="Refdenotaalpie"/>
          <w:rFonts w:ascii="Arial" w:hAnsi="Arial" w:cs="Arial"/>
          <w:bCs/>
          <w:sz w:val="26"/>
          <w:szCs w:val="26"/>
        </w:rPr>
        <w:footnoteReference w:id="5"/>
      </w:r>
      <w:r w:rsidR="006F7DE8">
        <w:rPr>
          <w:rFonts w:ascii="Arial" w:hAnsi="Arial" w:cs="Arial"/>
          <w:bCs/>
          <w:sz w:val="26"/>
          <w:szCs w:val="26"/>
        </w:rPr>
        <w:t xml:space="preserve"> y que con ello se violenta en su perjuicio el artículo 16 primer párrafo de la Constitución Política de los Estados Unidos Mexicanos.</w:t>
      </w:r>
      <w:r w:rsidR="00EB7617">
        <w:rPr>
          <w:rFonts w:ascii="Arial" w:hAnsi="Arial" w:cs="Arial"/>
          <w:bCs/>
          <w:sz w:val="26"/>
          <w:szCs w:val="26"/>
        </w:rPr>
        <w:t xml:space="preserve"> </w:t>
      </w:r>
      <w:r w:rsidR="00EB7617">
        <w:rPr>
          <w:rFonts w:ascii="Arial" w:hAnsi="Arial" w:cs="Arial"/>
          <w:sz w:val="26"/>
          <w:szCs w:val="26"/>
        </w:rPr>
        <w:t xml:space="preserve">- - </w:t>
      </w:r>
    </w:p>
    <w:p w14:paraId="636E065D" w14:textId="14BB0504" w:rsidR="00FA5AAC" w:rsidRDefault="00D03265" w:rsidP="002560EF">
      <w:pPr>
        <w:widowControl w:val="0"/>
        <w:spacing w:before="240" w:after="0" w:line="360" w:lineRule="auto"/>
        <w:ind w:left="-142" w:right="18" w:firstLine="851"/>
        <w:jc w:val="both"/>
        <w:rPr>
          <w:rFonts w:ascii="Arial" w:hAnsi="Arial" w:cs="Arial"/>
          <w:b/>
          <w:sz w:val="26"/>
          <w:szCs w:val="26"/>
        </w:rPr>
      </w:pPr>
      <w:r>
        <w:rPr>
          <w:rFonts w:ascii="Arial" w:hAnsi="Arial" w:cs="Arial"/>
          <w:bCs/>
          <w:sz w:val="26"/>
          <w:szCs w:val="26"/>
        </w:rPr>
        <w:t xml:space="preserve">El concepto de impugnación del actor deviene </w:t>
      </w:r>
      <w:r w:rsidRPr="00D03265">
        <w:rPr>
          <w:rFonts w:ascii="Arial" w:hAnsi="Arial" w:cs="Arial"/>
          <w:b/>
          <w:sz w:val="26"/>
          <w:szCs w:val="26"/>
        </w:rPr>
        <w:t xml:space="preserve">sustancialmente fundado. </w:t>
      </w:r>
      <w:r w:rsidR="00EB7617">
        <w:rPr>
          <w:rFonts w:ascii="Arial" w:hAnsi="Arial" w:cs="Arial"/>
          <w:sz w:val="26"/>
          <w:szCs w:val="26"/>
        </w:rPr>
        <w:t>- - - - - - - - - - - - - - - - - - - - - - - - - - - - - - - - - - - - - - - - - - - - - -</w:t>
      </w:r>
    </w:p>
    <w:p w14:paraId="0BE3C16B" w14:textId="2C4D709A" w:rsidR="00F92178" w:rsidRPr="00F92178" w:rsidRDefault="00D03265" w:rsidP="00F92178">
      <w:pPr>
        <w:widowControl w:val="0"/>
        <w:spacing w:before="240" w:after="0" w:line="360" w:lineRule="auto"/>
        <w:ind w:left="-142" w:right="18" w:firstLine="851"/>
        <w:jc w:val="both"/>
        <w:rPr>
          <w:rFonts w:ascii="Arial" w:hAnsi="Arial" w:cs="Arial"/>
          <w:bCs/>
          <w:sz w:val="26"/>
          <w:szCs w:val="26"/>
        </w:rPr>
      </w:pPr>
      <w:r>
        <w:rPr>
          <w:rFonts w:ascii="Arial" w:hAnsi="Arial" w:cs="Arial"/>
          <w:bCs/>
          <w:sz w:val="26"/>
          <w:szCs w:val="26"/>
        </w:rPr>
        <w:t xml:space="preserve">Como ya se dijo, el acto impugnado consiste en </w:t>
      </w:r>
      <w:r w:rsidR="00BF41A1">
        <w:rPr>
          <w:rFonts w:ascii="Arial" w:hAnsi="Arial" w:cs="Arial"/>
          <w:bCs/>
          <w:sz w:val="26"/>
          <w:szCs w:val="26"/>
        </w:rPr>
        <w:t xml:space="preserve">la orden de pago de impuestos sobre traslado de dominio con número de folio </w:t>
      </w:r>
      <w:r w:rsidR="00053613">
        <w:rPr>
          <w:rFonts w:ascii="Arial" w:hAnsi="Arial" w:cs="Arial"/>
          <w:bCs/>
          <w:sz w:val="26"/>
          <w:szCs w:val="26"/>
        </w:rPr>
        <w:t>*******</w:t>
      </w:r>
      <w:r w:rsidR="00BF41A1">
        <w:rPr>
          <w:rFonts w:ascii="Arial" w:hAnsi="Arial" w:cs="Arial"/>
          <w:bCs/>
          <w:sz w:val="26"/>
          <w:szCs w:val="26"/>
        </w:rPr>
        <w:t xml:space="preserve"> de fecha nueve de mayo de dos mil diecinueve, expedida por el Tesorero Municipal de Santa Lucía del Camino, Oaxaca, cuya imagen es conveniente traer a la vista:</w:t>
      </w:r>
    </w:p>
    <w:p w14:paraId="1509E6AA" w14:textId="6C003B1D" w:rsidR="00F92178" w:rsidRPr="00E5102A" w:rsidRDefault="00053613" w:rsidP="002560EF">
      <w:pPr>
        <w:widowControl w:val="0"/>
        <w:spacing w:before="240" w:after="0" w:line="360" w:lineRule="auto"/>
        <w:ind w:left="-142" w:right="18" w:firstLine="851"/>
        <w:jc w:val="both"/>
        <w:rPr>
          <w:rFonts w:ascii="Arial" w:eastAsia="Calibri" w:hAnsi="Arial" w:cs="Arial"/>
          <w:bCs/>
          <w:sz w:val="26"/>
          <w:szCs w:val="26"/>
          <w:highlight w:val="yellow"/>
        </w:rPr>
      </w:pPr>
      <w:r>
        <w:rPr>
          <w:noProof/>
        </w:rPr>
        <w:t>(imagen de orden de traslado de dominio)</w:t>
      </w:r>
    </w:p>
    <w:p w14:paraId="61BFC695" w14:textId="742A9031" w:rsidR="00D5482D" w:rsidRDefault="00045390" w:rsidP="00D5482D">
      <w:pPr>
        <w:widowControl w:val="0"/>
        <w:spacing w:before="240" w:after="0" w:line="360" w:lineRule="auto"/>
        <w:ind w:left="-142" w:right="18" w:firstLine="851"/>
        <w:jc w:val="both"/>
        <w:rPr>
          <w:rFonts w:ascii="Arial" w:hAnsi="Arial" w:cs="Arial"/>
          <w:bCs/>
          <w:sz w:val="26"/>
          <w:szCs w:val="26"/>
        </w:rPr>
      </w:pPr>
      <w:r>
        <w:rPr>
          <w:rFonts w:ascii="Arial" w:eastAsia="Calibri" w:hAnsi="Arial" w:cs="Arial"/>
          <w:bCs/>
          <w:sz w:val="26"/>
          <w:szCs w:val="26"/>
        </w:rPr>
        <w:lastRenderedPageBreak/>
        <w:t xml:space="preserve">De la imagen insertada, se identifica que </w:t>
      </w:r>
      <w:r w:rsidR="00A72E40">
        <w:rPr>
          <w:rFonts w:ascii="Arial" w:eastAsia="Calibri" w:hAnsi="Arial" w:cs="Arial"/>
          <w:bCs/>
          <w:sz w:val="26"/>
          <w:szCs w:val="26"/>
        </w:rPr>
        <w:t>a</w:t>
      </w:r>
      <w:r>
        <w:rPr>
          <w:rFonts w:ascii="Arial" w:eastAsia="Calibri" w:hAnsi="Arial" w:cs="Arial"/>
          <w:bCs/>
          <w:sz w:val="26"/>
          <w:szCs w:val="26"/>
        </w:rPr>
        <w:t xml:space="preserve">l contribuyente </w:t>
      </w:r>
      <w:r w:rsidR="00053613">
        <w:rPr>
          <w:rFonts w:ascii="Arial" w:eastAsia="Calibri" w:hAnsi="Arial" w:cs="Arial"/>
          <w:b/>
          <w:sz w:val="26"/>
          <w:szCs w:val="26"/>
        </w:rPr>
        <w:t>*******</w:t>
      </w:r>
      <w:r>
        <w:rPr>
          <w:rFonts w:ascii="Arial" w:eastAsia="Calibri" w:hAnsi="Arial" w:cs="Arial"/>
          <w:bCs/>
          <w:sz w:val="26"/>
          <w:szCs w:val="26"/>
        </w:rPr>
        <w:t xml:space="preserve"> </w:t>
      </w:r>
      <w:r w:rsidR="00A72E40">
        <w:rPr>
          <w:rFonts w:ascii="Arial" w:eastAsia="Calibri" w:hAnsi="Arial" w:cs="Arial"/>
          <w:bCs/>
          <w:sz w:val="26"/>
          <w:szCs w:val="26"/>
        </w:rPr>
        <w:t xml:space="preserve">le fue requerido el pago de la cantidad de </w:t>
      </w:r>
      <w:bookmarkStart w:id="5" w:name="_Hlk110116719"/>
      <w:r w:rsidR="00A72E40" w:rsidRPr="001C06F8">
        <w:rPr>
          <w:rFonts w:ascii="Arial" w:hAnsi="Arial" w:cs="Arial"/>
          <w:b/>
          <w:sz w:val="26"/>
          <w:szCs w:val="26"/>
        </w:rPr>
        <w:t>$</w:t>
      </w:r>
      <w:r w:rsidR="00053613">
        <w:rPr>
          <w:rFonts w:ascii="Arial" w:hAnsi="Arial" w:cs="Arial"/>
          <w:b/>
          <w:sz w:val="26"/>
          <w:szCs w:val="26"/>
        </w:rPr>
        <w:t>*******</w:t>
      </w:r>
      <w:r w:rsidR="00A72E40" w:rsidRPr="001C06F8">
        <w:rPr>
          <w:rFonts w:ascii="Arial" w:hAnsi="Arial" w:cs="Arial"/>
          <w:b/>
          <w:sz w:val="26"/>
          <w:szCs w:val="26"/>
        </w:rPr>
        <w:t>)</w:t>
      </w:r>
      <w:r w:rsidR="00106AA4">
        <w:rPr>
          <w:rFonts w:ascii="Arial" w:hAnsi="Arial" w:cs="Arial"/>
          <w:bCs/>
          <w:sz w:val="26"/>
          <w:szCs w:val="26"/>
        </w:rPr>
        <w:t xml:space="preserve"> </w:t>
      </w:r>
      <w:bookmarkEnd w:id="5"/>
      <w:r w:rsidR="00106AA4">
        <w:rPr>
          <w:rFonts w:ascii="Arial" w:hAnsi="Arial" w:cs="Arial"/>
          <w:bCs/>
          <w:sz w:val="26"/>
          <w:szCs w:val="26"/>
        </w:rPr>
        <w:t xml:space="preserve">por concepto de “RECARGOS DE TRASLACIÓN DE DOMINIO” </w:t>
      </w:r>
      <w:bookmarkStart w:id="6" w:name="_Hlk110117332"/>
      <w:r w:rsidR="00106AA4">
        <w:rPr>
          <w:rFonts w:ascii="Arial" w:hAnsi="Arial" w:cs="Arial"/>
          <w:bCs/>
          <w:sz w:val="26"/>
          <w:szCs w:val="26"/>
        </w:rPr>
        <w:t xml:space="preserve">en relación con el predio ubicado en el paraje </w:t>
      </w:r>
      <w:r w:rsidR="00053613">
        <w:rPr>
          <w:rFonts w:ascii="Arial" w:hAnsi="Arial" w:cs="Arial"/>
          <w:bCs/>
          <w:sz w:val="26"/>
          <w:szCs w:val="26"/>
        </w:rPr>
        <w:t>*******</w:t>
      </w:r>
      <w:r w:rsidR="006321E7">
        <w:rPr>
          <w:rFonts w:ascii="Arial" w:hAnsi="Arial" w:cs="Arial"/>
          <w:bCs/>
          <w:sz w:val="26"/>
          <w:szCs w:val="26"/>
        </w:rPr>
        <w:t xml:space="preserve">, al que le corresponde la cuenta predial </w:t>
      </w:r>
      <w:r w:rsidR="00053613">
        <w:rPr>
          <w:rFonts w:ascii="Arial" w:hAnsi="Arial" w:cs="Arial"/>
          <w:bCs/>
          <w:sz w:val="26"/>
          <w:szCs w:val="26"/>
        </w:rPr>
        <w:t>*******</w:t>
      </w:r>
      <w:bookmarkEnd w:id="6"/>
      <w:r w:rsidR="006321E7">
        <w:rPr>
          <w:rFonts w:ascii="Arial" w:hAnsi="Arial" w:cs="Arial"/>
          <w:bCs/>
          <w:sz w:val="26"/>
          <w:szCs w:val="26"/>
        </w:rPr>
        <w:t xml:space="preserve">, </w:t>
      </w:r>
      <w:r w:rsidR="00D5482D">
        <w:rPr>
          <w:rFonts w:ascii="Arial" w:hAnsi="Arial" w:cs="Arial"/>
          <w:bCs/>
          <w:sz w:val="26"/>
          <w:szCs w:val="26"/>
        </w:rPr>
        <w:t xml:space="preserve">pero se observa que este acto carece de fundamentación y motivación y vulnera en perjuicio del actor la garantía de legalidad contenida en el artículo 16 de la Constitución Federal, ya </w:t>
      </w:r>
      <w:r w:rsidR="00E972F7">
        <w:rPr>
          <w:rFonts w:ascii="Arial" w:hAnsi="Arial" w:cs="Arial"/>
          <w:bCs/>
          <w:sz w:val="26"/>
          <w:szCs w:val="26"/>
        </w:rPr>
        <w:t xml:space="preserve">que la autoridad demandada </w:t>
      </w:r>
      <w:r w:rsidR="00D5482D">
        <w:rPr>
          <w:rFonts w:ascii="Arial" w:hAnsi="Arial" w:cs="Arial"/>
          <w:bCs/>
          <w:sz w:val="26"/>
          <w:szCs w:val="26"/>
        </w:rPr>
        <w:t xml:space="preserve">no invocó </w:t>
      </w:r>
      <w:r w:rsidR="00E972F7">
        <w:rPr>
          <w:rFonts w:ascii="Arial" w:hAnsi="Arial" w:cs="Arial"/>
          <w:bCs/>
          <w:sz w:val="26"/>
          <w:szCs w:val="26"/>
        </w:rPr>
        <w:t xml:space="preserve">en el cuerpo de la resolución </w:t>
      </w:r>
      <w:r w:rsidR="00DC1685">
        <w:rPr>
          <w:rFonts w:ascii="Arial" w:hAnsi="Arial" w:cs="Arial"/>
          <w:bCs/>
          <w:sz w:val="26"/>
          <w:szCs w:val="26"/>
        </w:rPr>
        <w:t xml:space="preserve">los preceptos legales </w:t>
      </w:r>
      <w:r w:rsidR="00D5482D">
        <w:rPr>
          <w:rFonts w:ascii="Arial" w:hAnsi="Arial" w:cs="Arial"/>
          <w:bCs/>
          <w:sz w:val="26"/>
          <w:szCs w:val="26"/>
        </w:rPr>
        <w:t>en los que apoyó su actuación y las razones que la llevaron a tomar la determinación de fincar recargos al actor</w:t>
      </w:r>
      <w:r w:rsidR="00DC1685">
        <w:rPr>
          <w:rFonts w:ascii="Arial" w:hAnsi="Arial" w:cs="Arial"/>
          <w:bCs/>
          <w:sz w:val="26"/>
          <w:szCs w:val="26"/>
        </w:rPr>
        <w:t xml:space="preserve">, </w:t>
      </w:r>
      <w:r w:rsidR="00D5482D">
        <w:rPr>
          <w:rFonts w:ascii="Arial" w:hAnsi="Arial" w:cs="Arial"/>
          <w:bCs/>
          <w:sz w:val="26"/>
          <w:szCs w:val="26"/>
        </w:rPr>
        <w:t>a lo cual está obligada conforme a lo dispuesto en el artículo 17 fracciones IV y V de la Ley de Procedimiento y Justicia Administrativa para el Estado de Oaxaca, que se insertan enseguida:</w:t>
      </w:r>
    </w:p>
    <w:p w14:paraId="15323D3D" w14:textId="77777777" w:rsidR="00D5482D" w:rsidRPr="005D506F" w:rsidRDefault="00D5482D" w:rsidP="00EB7617">
      <w:pPr>
        <w:widowControl w:val="0"/>
        <w:spacing w:before="240" w:after="0"/>
        <w:ind w:left="567" w:right="616"/>
        <w:jc w:val="both"/>
        <w:rPr>
          <w:rFonts w:ascii="Arial" w:hAnsi="Arial" w:cs="Arial"/>
          <w:bCs/>
          <w:i/>
          <w:iCs/>
        </w:rPr>
      </w:pPr>
      <w:r w:rsidRPr="005D506F">
        <w:rPr>
          <w:rFonts w:ascii="Arial" w:hAnsi="Arial" w:cs="Arial"/>
          <w:b/>
          <w:i/>
          <w:iCs/>
        </w:rPr>
        <w:t>“ARTÍCULO 17.-</w:t>
      </w:r>
      <w:r w:rsidRPr="005D506F">
        <w:rPr>
          <w:rFonts w:ascii="Arial" w:hAnsi="Arial" w:cs="Arial"/>
          <w:bCs/>
          <w:i/>
          <w:iCs/>
        </w:rPr>
        <w:t xml:space="preserve"> Son elementos y requisitos de validez del acto administrativo: (…)</w:t>
      </w:r>
    </w:p>
    <w:p w14:paraId="43641158" w14:textId="77777777" w:rsidR="00D5482D" w:rsidRPr="005D506F" w:rsidRDefault="00D5482D" w:rsidP="00EB7617">
      <w:pPr>
        <w:widowControl w:val="0"/>
        <w:spacing w:before="240" w:after="0"/>
        <w:ind w:left="567" w:right="616"/>
        <w:jc w:val="both"/>
        <w:rPr>
          <w:rFonts w:ascii="Arial" w:hAnsi="Arial" w:cs="Arial"/>
          <w:bCs/>
          <w:i/>
          <w:iCs/>
        </w:rPr>
      </w:pPr>
      <w:r w:rsidRPr="005D506F">
        <w:rPr>
          <w:rFonts w:ascii="Arial" w:hAnsi="Arial" w:cs="Arial"/>
          <w:b/>
          <w:i/>
          <w:iCs/>
        </w:rPr>
        <w:t>IV.</w:t>
      </w:r>
      <w:r w:rsidRPr="005D506F">
        <w:rPr>
          <w:rFonts w:ascii="Arial" w:hAnsi="Arial" w:cs="Arial"/>
          <w:bCs/>
          <w:i/>
          <w:iCs/>
        </w:rPr>
        <w:t xml:space="preserve"> Constar por escrito y con la firma autógrafa de la autoridad que lo expida, salvo en aquellos casos en que la ley autorice otra forma de expedición o se trate de negativa ficta;</w:t>
      </w:r>
    </w:p>
    <w:p w14:paraId="70FA420B" w14:textId="77777777" w:rsidR="00D5482D" w:rsidRPr="005D506F" w:rsidRDefault="00D5482D" w:rsidP="00EB7617">
      <w:pPr>
        <w:widowControl w:val="0"/>
        <w:spacing w:before="240" w:after="0"/>
        <w:ind w:left="567" w:right="616"/>
        <w:jc w:val="both"/>
        <w:rPr>
          <w:rFonts w:ascii="Arial" w:hAnsi="Arial" w:cs="Arial"/>
          <w:bCs/>
          <w:i/>
          <w:iCs/>
        </w:rPr>
      </w:pPr>
      <w:r w:rsidRPr="005D506F">
        <w:rPr>
          <w:rFonts w:ascii="Arial" w:hAnsi="Arial" w:cs="Arial"/>
          <w:b/>
          <w:i/>
          <w:iCs/>
        </w:rPr>
        <w:t>V.</w:t>
      </w:r>
      <w:r w:rsidRPr="005D506F">
        <w:rPr>
          <w:rFonts w:ascii="Arial" w:hAnsi="Arial" w:cs="Arial"/>
          <w:bCs/>
          <w:i/>
          <w:iCs/>
        </w:rPr>
        <w:t xml:space="preserve"> Estar fundado y motivado; …”</w:t>
      </w:r>
    </w:p>
    <w:p w14:paraId="5EF4BE03" w14:textId="375B2BC9" w:rsidR="00655F7D" w:rsidRPr="00655F7D" w:rsidRDefault="00110B19" w:rsidP="002F6A2C">
      <w:pPr>
        <w:widowControl w:val="0"/>
        <w:spacing w:before="240" w:after="0" w:line="360" w:lineRule="auto"/>
        <w:ind w:left="-142" w:right="18" w:firstLine="709"/>
        <w:jc w:val="both"/>
        <w:rPr>
          <w:rFonts w:ascii="Arial" w:eastAsia="Calibri" w:hAnsi="Arial" w:cs="Arial"/>
          <w:bCs/>
          <w:sz w:val="26"/>
          <w:szCs w:val="26"/>
        </w:rPr>
      </w:pPr>
      <w:r>
        <w:rPr>
          <w:rFonts w:ascii="Arial" w:hAnsi="Arial" w:cs="Arial"/>
          <w:bCs/>
          <w:sz w:val="26"/>
          <w:szCs w:val="26"/>
        </w:rPr>
        <w:t xml:space="preserve">En respaldo a lo anterior, se invoca la </w:t>
      </w:r>
      <w:r>
        <w:rPr>
          <w:rFonts w:ascii="Arial" w:eastAsia="Calibri" w:hAnsi="Arial" w:cs="Arial"/>
          <w:bCs/>
          <w:sz w:val="26"/>
          <w:szCs w:val="26"/>
        </w:rPr>
        <w:t>j</w:t>
      </w:r>
      <w:r w:rsidRPr="00655F7D">
        <w:rPr>
          <w:rFonts w:ascii="Arial" w:eastAsia="Calibri" w:hAnsi="Arial" w:cs="Arial"/>
          <w:bCs/>
          <w:sz w:val="26"/>
          <w:szCs w:val="26"/>
        </w:rPr>
        <w:t>urisprudencia</w:t>
      </w:r>
      <w:r>
        <w:rPr>
          <w:rFonts w:ascii="Arial" w:eastAsia="Calibri" w:hAnsi="Arial" w:cs="Arial"/>
          <w:bCs/>
          <w:sz w:val="26"/>
          <w:szCs w:val="26"/>
        </w:rPr>
        <w:t xml:space="preserve"> con r</w:t>
      </w:r>
      <w:r w:rsidRPr="00655F7D">
        <w:rPr>
          <w:rFonts w:ascii="Arial" w:eastAsia="Calibri" w:hAnsi="Arial" w:cs="Arial"/>
          <w:bCs/>
          <w:sz w:val="26"/>
          <w:szCs w:val="26"/>
        </w:rPr>
        <w:t>egistro digital 237870</w:t>
      </w:r>
      <w:r>
        <w:rPr>
          <w:rStyle w:val="Refdenotaalpie"/>
          <w:rFonts w:ascii="Arial" w:eastAsia="Calibri" w:hAnsi="Arial" w:cs="Arial"/>
          <w:bCs/>
          <w:sz w:val="26"/>
          <w:szCs w:val="26"/>
        </w:rPr>
        <w:footnoteReference w:id="6"/>
      </w:r>
      <w:r>
        <w:rPr>
          <w:rFonts w:ascii="Arial" w:eastAsia="Calibri" w:hAnsi="Arial" w:cs="Arial"/>
          <w:bCs/>
          <w:sz w:val="26"/>
          <w:szCs w:val="26"/>
        </w:rPr>
        <w:t xml:space="preserve">, </w:t>
      </w:r>
      <w:r w:rsidR="002F6A2C">
        <w:rPr>
          <w:rFonts w:ascii="Arial" w:eastAsia="Calibri" w:hAnsi="Arial" w:cs="Arial"/>
          <w:bCs/>
          <w:sz w:val="26"/>
          <w:szCs w:val="26"/>
        </w:rPr>
        <w:t xml:space="preserve">emitida por la </w:t>
      </w:r>
      <w:r w:rsidR="002F6A2C" w:rsidRPr="00655F7D">
        <w:rPr>
          <w:rFonts w:ascii="Arial" w:eastAsia="Calibri" w:hAnsi="Arial" w:cs="Arial"/>
          <w:bCs/>
          <w:sz w:val="26"/>
          <w:szCs w:val="26"/>
        </w:rPr>
        <w:t>Segunda Sala</w:t>
      </w:r>
      <w:r w:rsidR="002F6A2C">
        <w:rPr>
          <w:rFonts w:ascii="Arial" w:eastAsia="Calibri" w:hAnsi="Arial" w:cs="Arial"/>
          <w:bCs/>
          <w:sz w:val="26"/>
          <w:szCs w:val="26"/>
        </w:rPr>
        <w:t xml:space="preserve"> de la </w:t>
      </w:r>
      <w:r w:rsidR="002F6A2C" w:rsidRPr="00655F7D">
        <w:rPr>
          <w:rFonts w:ascii="Arial" w:eastAsia="Calibri" w:hAnsi="Arial" w:cs="Arial"/>
          <w:bCs/>
          <w:sz w:val="26"/>
          <w:szCs w:val="26"/>
        </w:rPr>
        <w:t>Suprema Corte de Justicia de la Nación</w:t>
      </w:r>
      <w:r w:rsidR="002F6A2C">
        <w:rPr>
          <w:rFonts w:ascii="Arial" w:eastAsia="Calibri" w:hAnsi="Arial" w:cs="Arial"/>
          <w:bCs/>
          <w:sz w:val="26"/>
          <w:szCs w:val="26"/>
        </w:rPr>
        <w:t xml:space="preserve">, en la </w:t>
      </w:r>
      <w:r w:rsidR="00655F7D" w:rsidRPr="00655F7D">
        <w:rPr>
          <w:rFonts w:ascii="Arial" w:eastAsia="Calibri" w:hAnsi="Arial" w:cs="Arial"/>
          <w:bCs/>
          <w:sz w:val="26"/>
          <w:szCs w:val="26"/>
        </w:rPr>
        <w:t>Séptima Época</w:t>
      </w:r>
      <w:r w:rsidR="002F6A2C">
        <w:rPr>
          <w:rFonts w:ascii="Arial" w:eastAsia="Calibri" w:hAnsi="Arial" w:cs="Arial"/>
          <w:bCs/>
          <w:sz w:val="26"/>
          <w:szCs w:val="26"/>
        </w:rPr>
        <w:t xml:space="preserve">, visible en el </w:t>
      </w:r>
      <w:r w:rsidR="00655F7D" w:rsidRPr="00655F7D">
        <w:rPr>
          <w:rFonts w:ascii="Arial" w:eastAsia="Calibri" w:hAnsi="Arial" w:cs="Arial"/>
          <w:bCs/>
          <w:sz w:val="26"/>
          <w:szCs w:val="26"/>
        </w:rPr>
        <w:t>Semanario Judicial de la Federación. Volumen 139-144, Tercera Parte, página 201</w:t>
      </w:r>
      <w:r w:rsidR="002F6A2C">
        <w:rPr>
          <w:rFonts w:ascii="Arial" w:eastAsia="Calibri" w:hAnsi="Arial" w:cs="Arial"/>
          <w:bCs/>
          <w:sz w:val="26"/>
          <w:szCs w:val="26"/>
        </w:rPr>
        <w:t xml:space="preserve">, de rubro y texto siguiente: </w:t>
      </w:r>
    </w:p>
    <w:p w14:paraId="6D87AEE8" w14:textId="521A3063" w:rsidR="00655F7D" w:rsidRPr="002F6A2C" w:rsidRDefault="002F6A2C" w:rsidP="00EB7617">
      <w:pPr>
        <w:widowControl w:val="0"/>
        <w:spacing w:before="240" w:after="0"/>
        <w:ind w:left="567" w:right="616"/>
        <w:jc w:val="both"/>
        <w:rPr>
          <w:rFonts w:ascii="Arial" w:eastAsia="Calibri" w:hAnsi="Arial" w:cs="Arial"/>
          <w:bCs/>
          <w:i/>
          <w:iCs/>
        </w:rPr>
      </w:pPr>
      <w:r>
        <w:rPr>
          <w:rFonts w:ascii="Arial" w:eastAsia="Calibri" w:hAnsi="Arial" w:cs="Arial"/>
          <w:bCs/>
          <w:i/>
          <w:iCs/>
        </w:rPr>
        <w:t>“</w:t>
      </w:r>
      <w:r w:rsidR="00EB7617" w:rsidRPr="002F6A2C">
        <w:rPr>
          <w:rFonts w:ascii="Arial" w:eastAsia="Calibri" w:hAnsi="Arial" w:cs="Arial"/>
          <w:bCs/>
          <w:i/>
          <w:iCs/>
        </w:rPr>
        <w:t>FUNDAMENTACIÓN</w:t>
      </w:r>
      <w:r w:rsidR="00655F7D" w:rsidRPr="002F6A2C">
        <w:rPr>
          <w:rFonts w:ascii="Arial" w:eastAsia="Calibri" w:hAnsi="Arial" w:cs="Arial"/>
          <w:bCs/>
          <w:i/>
          <w:iCs/>
        </w:rPr>
        <w:t xml:space="preserve"> Y </w:t>
      </w:r>
      <w:r w:rsidR="00EB7617" w:rsidRPr="002F6A2C">
        <w:rPr>
          <w:rFonts w:ascii="Arial" w:eastAsia="Calibri" w:hAnsi="Arial" w:cs="Arial"/>
          <w:bCs/>
          <w:i/>
          <w:iCs/>
        </w:rPr>
        <w:t>MOTIVACIÓN</w:t>
      </w:r>
      <w:r w:rsidR="00655F7D" w:rsidRPr="002F6A2C">
        <w:rPr>
          <w:rFonts w:ascii="Arial" w:eastAsia="Calibri" w:hAnsi="Arial" w:cs="Arial"/>
          <w:bCs/>
          <w:i/>
          <w:iCs/>
        </w:rPr>
        <w:t xml:space="preserve">. DEBEN CONSTAR EN EL CUERPO DE LA </w:t>
      </w:r>
      <w:r w:rsidR="00EB7617" w:rsidRPr="002F6A2C">
        <w:rPr>
          <w:rFonts w:ascii="Arial" w:eastAsia="Calibri" w:hAnsi="Arial" w:cs="Arial"/>
          <w:bCs/>
          <w:i/>
          <w:iCs/>
        </w:rPr>
        <w:t>RESOLUCIÓN</w:t>
      </w:r>
      <w:r w:rsidR="00655F7D" w:rsidRPr="002F6A2C">
        <w:rPr>
          <w:rFonts w:ascii="Arial" w:eastAsia="Calibri" w:hAnsi="Arial" w:cs="Arial"/>
          <w:bCs/>
          <w:i/>
          <w:iCs/>
        </w:rPr>
        <w:t xml:space="preserve"> Y NO EN DOCUMENTO DISTINTO.</w:t>
      </w:r>
    </w:p>
    <w:p w14:paraId="094DFF22" w14:textId="0B6CFA73" w:rsidR="00655F7D" w:rsidRDefault="00655F7D" w:rsidP="00EB7617">
      <w:pPr>
        <w:widowControl w:val="0"/>
        <w:spacing w:before="240" w:after="0"/>
        <w:ind w:left="567" w:right="616"/>
        <w:jc w:val="both"/>
        <w:rPr>
          <w:rFonts w:ascii="Arial" w:eastAsia="Calibri" w:hAnsi="Arial" w:cs="Arial"/>
          <w:bCs/>
          <w:i/>
          <w:iCs/>
        </w:rPr>
      </w:pPr>
      <w:r w:rsidRPr="002F6A2C">
        <w:rPr>
          <w:rFonts w:ascii="Arial" w:eastAsia="Calibri" w:hAnsi="Arial" w:cs="Arial"/>
          <w:bCs/>
          <w:i/>
          <w:iCs/>
        </w:rPr>
        <w:t>Las autoridades responsables no cumplen con la obligación constitucional de fundar y motivar debidamente las resoluciones que pronuncian, expresando las razones de hecho y las consideraciones legales en que se apoyan, cuando éstas aparecen en documento distinto.</w:t>
      </w:r>
      <w:r w:rsidR="002F6A2C">
        <w:rPr>
          <w:rFonts w:ascii="Arial" w:eastAsia="Calibri" w:hAnsi="Arial" w:cs="Arial"/>
          <w:bCs/>
          <w:i/>
          <w:iCs/>
        </w:rPr>
        <w:t>”</w:t>
      </w:r>
      <w:r w:rsidR="002F6A2C">
        <w:rPr>
          <w:rFonts w:ascii="Arial" w:eastAsia="Calibri" w:hAnsi="Arial" w:cs="Arial"/>
          <w:bCs/>
          <w:i/>
          <w:iCs/>
        </w:rPr>
        <w:br/>
      </w:r>
    </w:p>
    <w:p w14:paraId="6ED0BAA8" w14:textId="694C5DD3" w:rsidR="002F6A2C" w:rsidRDefault="00980C65" w:rsidP="00A83880">
      <w:pPr>
        <w:widowControl w:val="0"/>
        <w:spacing w:before="240" w:after="0" w:line="360" w:lineRule="auto"/>
        <w:ind w:right="49"/>
        <w:jc w:val="both"/>
        <w:rPr>
          <w:rFonts w:ascii="Arial" w:hAnsi="Arial" w:cs="Arial"/>
          <w:bCs/>
          <w:sz w:val="26"/>
          <w:szCs w:val="26"/>
        </w:rPr>
      </w:pPr>
      <w:r>
        <w:rPr>
          <w:rFonts w:ascii="Arial" w:eastAsia="Calibri" w:hAnsi="Arial" w:cs="Arial"/>
          <w:bCs/>
          <w:sz w:val="26"/>
          <w:szCs w:val="26"/>
        </w:rPr>
        <w:tab/>
      </w:r>
      <w:r w:rsidR="00A83880">
        <w:rPr>
          <w:rFonts w:ascii="Arial" w:eastAsia="Calibri" w:hAnsi="Arial" w:cs="Arial"/>
          <w:bCs/>
          <w:sz w:val="26"/>
          <w:szCs w:val="26"/>
        </w:rPr>
        <w:t xml:space="preserve">Dada la omisión en que incurrió la autoridad demandada, y considerando que </w:t>
      </w:r>
      <w:bookmarkStart w:id="7" w:name="_Hlk110117770"/>
      <w:r w:rsidR="00A83880">
        <w:rPr>
          <w:rFonts w:ascii="Arial" w:hAnsi="Arial" w:cs="Arial"/>
          <w:bCs/>
          <w:sz w:val="26"/>
          <w:szCs w:val="26"/>
        </w:rPr>
        <w:t xml:space="preserve">la orden de pago de impuestos sobre traslado de dominio con número de folio </w:t>
      </w:r>
      <w:r w:rsidR="00053613">
        <w:rPr>
          <w:rFonts w:ascii="Arial" w:hAnsi="Arial" w:cs="Arial"/>
          <w:bCs/>
          <w:sz w:val="26"/>
          <w:szCs w:val="26"/>
        </w:rPr>
        <w:t>*******</w:t>
      </w:r>
      <w:r w:rsidR="00A83880">
        <w:rPr>
          <w:rFonts w:ascii="Arial" w:hAnsi="Arial" w:cs="Arial"/>
          <w:bCs/>
          <w:sz w:val="26"/>
          <w:szCs w:val="26"/>
        </w:rPr>
        <w:t xml:space="preserve"> de fecha nueve de mayo de dos mil diecinueve, </w:t>
      </w:r>
      <w:bookmarkEnd w:id="7"/>
      <w:r w:rsidR="00A83880">
        <w:rPr>
          <w:rFonts w:ascii="Arial" w:hAnsi="Arial" w:cs="Arial"/>
          <w:bCs/>
          <w:sz w:val="26"/>
          <w:szCs w:val="26"/>
        </w:rPr>
        <w:t xml:space="preserve">expedida por el Tesorero Municipal de Santa Lucía del Camino, Oaxaca, adolece de fundamentación y motivación en cuanto al concepto de “recargos de traslación de dominio” en cantidad de </w:t>
      </w:r>
      <w:r w:rsidR="00A83880" w:rsidRPr="001C06F8">
        <w:rPr>
          <w:rFonts w:ascii="Arial" w:hAnsi="Arial" w:cs="Arial"/>
          <w:b/>
          <w:sz w:val="26"/>
          <w:szCs w:val="26"/>
        </w:rPr>
        <w:lastRenderedPageBreak/>
        <w:t>$</w:t>
      </w:r>
      <w:r w:rsidR="00053613">
        <w:rPr>
          <w:rFonts w:ascii="Arial" w:hAnsi="Arial" w:cs="Arial"/>
          <w:b/>
          <w:sz w:val="26"/>
          <w:szCs w:val="26"/>
        </w:rPr>
        <w:t>*******</w:t>
      </w:r>
      <w:r w:rsidR="00A83880" w:rsidRPr="001C06F8">
        <w:rPr>
          <w:rFonts w:ascii="Arial" w:hAnsi="Arial" w:cs="Arial"/>
          <w:b/>
          <w:sz w:val="26"/>
          <w:szCs w:val="26"/>
        </w:rPr>
        <w:t>)</w:t>
      </w:r>
      <w:r w:rsidR="00A83880">
        <w:rPr>
          <w:rFonts w:ascii="Arial" w:hAnsi="Arial" w:cs="Arial"/>
          <w:b/>
          <w:sz w:val="26"/>
          <w:szCs w:val="26"/>
        </w:rPr>
        <w:t xml:space="preserve">, </w:t>
      </w:r>
      <w:r w:rsidR="00A83880">
        <w:rPr>
          <w:rFonts w:ascii="Arial" w:hAnsi="Arial" w:cs="Arial"/>
          <w:bCs/>
          <w:sz w:val="26"/>
          <w:szCs w:val="26"/>
        </w:rPr>
        <w:t>en términos de</w:t>
      </w:r>
      <w:r w:rsidR="00FE7521">
        <w:rPr>
          <w:rFonts w:ascii="Arial" w:hAnsi="Arial" w:cs="Arial"/>
          <w:bCs/>
          <w:sz w:val="26"/>
          <w:szCs w:val="26"/>
        </w:rPr>
        <w:t xml:space="preserve"> </w:t>
      </w:r>
      <w:r w:rsidR="00A83880">
        <w:rPr>
          <w:rFonts w:ascii="Arial" w:hAnsi="Arial" w:cs="Arial"/>
          <w:bCs/>
          <w:sz w:val="26"/>
          <w:szCs w:val="26"/>
        </w:rPr>
        <w:t>l</w:t>
      </w:r>
      <w:r w:rsidR="00FE7521">
        <w:rPr>
          <w:rFonts w:ascii="Arial" w:hAnsi="Arial" w:cs="Arial"/>
          <w:bCs/>
          <w:sz w:val="26"/>
          <w:szCs w:val="26"/>
        </w:rPr>
        <w:t>os</w:t>
      </w:r>
      <w:r w:rsidR="00A83880">
        <w:rPr>
          <w:rFonts w:ascii="Arial" w:hAnsi="Arial" w:cs="Arial"/>
          <w:bCs/>
          <w:sz w:val="26"/>
          <w:szCs w:val="26"/>
        </w:rPr>
        <w:t xml:space="preserve"> artículo</w:t>
      </w:r>
      <w:r w:rsidR="00FE7521">
        <w:rPr>
          <w:rFonts w:ascii="Arial" w:hAnsi="Arial" w:cs="Arial"/>
          <w:bCs/>
          <w:sz w:val="26"/>
          <w:szCs w:val="26"/>
        </w:rPr>
        <w:t>s</w:t>
      </w:r>
      <w:r w:rsidR="00A83880">
        <w:rPr>
          <w:rFonts w:ascii="Arial" w:hAnsi="Arial" w:cs="Arial"/>
          <w:bCs/>
          <w:sz w:val="26"/>
          <w:szCs w:val="26"/>
        </w:rPr>
        <w:t xml:space="preserve"> 18</w:t>
      </w:r>
      <w:r w:rsidR="00FE7521">
        <w:rPr>
          <w:rFonts w:ascii="Arial" w:hAnsi="Arial" w:cs="Arial"/>
          <w:bCs/>
          <w:sz w:val="26"/>
          <w:szCs w:val="26"/>
        </w:rPr>
        <w:t xml:space="preserve"> fracción I, 208 fracción II</w:t>
      </w:r>
      <w:r w:rsidR="00FE7521">
        <w:rPr>
          <w:rStyle w:val="Refdenotaalpie"/>
          <w:rFonts w:ascii="Arial" w:hAnsi="Arial" w:cs="Arial"/>
          <w:bCs/>
          <w:sz w:val="26"/>
          <w:szCs w:val="26"/>
        </w:rPr>
        <w:footnoteReference w:id="7"/>
      </w:r>
      <w:r w:rsidR="00A83880">
        <w:rPr>
          <w:rFonts w:ascii="Arial" w:hAnsi="Arial" w:cs="Arial"/>
          <w:bCs/>
          <w:sz w:val="26"/>
          <w:szCs w:val="26"/>
        </w:rPr>
        <w:t xml:space="preserve"> </w:t>
      </w:r>
      <w:r w:rsidR="00FE7521">
        <w:rPr>
          <w:rFonts w:ascii="Arial" w:hAnsi="Arial" w:cs="Arial"/>
          <w:bCs/>
          <w:sz w:val="26"/>
          <w:szCs w:val="26"/>
        </w:rPr>
        <w:t>y 209</w:t>
      </w:r>
      <w:r w:rsidR="00FE7521">
        <w:rPr>
          <w:rStyle w:val="Refdenotaalpie"/>
          <w:rFonts w:ascii="Arial" w:hAnsi="Arial" w:cs="Arial"/>
          <w:bCs/>
          <w:sz w:val="26"/>
          <w:szCs w:val="26"/>
        </w:rPr>
        <w:footnoteReference w:id="8"/>
      </w:r>
      <w:r w:rsidR="00FE7521">
        <w:rPr>
          <w:rFonts w:ascii="Arial" w:hAnsi="Arial" w:cs="Arial"/>
          <w:bCs/>
          <w:sz w:val="26"/>
          <w:szCs w:val="26"/>
        </w:rPr>
        <w:t xml:space="preserve"> de la Ley de Procedimiento y Justicia Administrativa para el Estado de Oaxaca, </w:t>
      </w:r>
      <w:r w:rsidR="006A327C">
        <w:rPr>
          <w:rFonts w:ascii="Arial" w:hAnsi="Arial" w:cs="Arial"/>
          <w:bCs/>
          <w:sz w:val="26"/>
          <w:szCs w:val="26"/>
        </w:rPr>
        <w:t xml:space="preserve">es procedente declarar la </w:t>
      </w:r>
      <w:r w:rsidR="006A327C" w:rsidRPr="006A327C">
        <w:rPr>
          <w:rFonts w:ascii="Arial" w:hAnsi="Arial" w:cs="Arial"/>
          <w:b/>
          <w:sz w:val="26"/>
          <w:szCs w:val="26"/>
        </w:rPr>
        <w:t xml:space="preserve">NULIDAD </w:t>
      </w:r>
      <w:r w:rsidR="006A327C">
        <w:rPr>
          <w:rFonts w:ascii="Arial" w:hAnsi="Arial" w:cs="Arial"/>
          <w:bCs/>
          <w:sz w:val="26"/>
          <w:szCs w:val="26"/>
        </w:rPr>
        <w:t xml:space="preserve">de ese acto </w:t>
      </w:r>
      <w:r w:rsidR="006A327C" w:rsidRPr="005B5890">
        <w:rPr>
          <w:rFonts w:ascii="Arial" w:hAnsi="Arial" w:cs="Arial"/>
          <w:b/>
          <w:sz w:val="26"/>
          <w:szCs w:val="26"/>
        </w:rPr>
        <w:t>PARA EL EFECTO</w:t>
      </w:r>
      <w:r w:rsidR="006A327C">
        <w:rPr>
          <w:rFonts w:ascii="Arial" w:hAnsi="Arial" w:cs="Arial"/>
          <w:bCs/>
          <w:sz w:val="26"/>
          <w:szCs w:val="26"/>
        </w:rPr>
        <w:t xml:space="preserve"> </w:t>
      </w:r>
      <w:bookmarkStart w:id="8" w:name="_Hlk110117806"/>
      <w:r w:rsidR="006A327C">
        <w:rPr>
          <w:rFonts w:ascii="Arial" w:hAnsi="Arial" w:cs="Arial"/>
          <w:bCs/>
          <w:sz w:val="26"/>
          <w:szCs w:val="26"/>
        </w:rPr>
        <w:t xml:space="preserve">de que el Tesorero Municipal de Santa Lucía del Camino, Oaxaca, emita otra orden de pago en la que funde y motive debidamente el concepto de “recargos de traslación de dominio” que pretende cobrar al actor </w:t>
      </w:r>
      <w:r w:rsidR="00053613">
        <w:rPr>
          <w:rFonts w:ascii="Arial" w:eastAsia="Calibri" w:hAnsi="Arial" w:cs="Arial"/>
          <w:b/>
          <w:sz w:val="26"/>
          <w:szCs w:val="26"/>
        </w:rPr>
        <w:t>*******</w:t>
      </w:r>
      <w:r w:rsidR="006A327C">
        <w:rPr>
          <w:rFonts w:ascii="Arial" w:eastAsia="Calibri" w:hAnsi="Arial" w:cs="Arial"/>
          <w:b/>
          <w:sz w:val="26"/>
          <w:szCs w:val="26"/>
        </w:rPr>
        <w:t xml:space="preserve"> </w:t>
      </w:r>
      <w:r w:rsidR="006A327C">
        <w:rPr>
          <w:rFonts w:ascii="Arial" w:hAnsi="Arial" w:cs="Arial"/>
          <w:bCs/>
          <w:sz w:val="26"/>
          <w:szCs w:val="26"/>
        </w:rPr>
        <w:t xml:space="preserve">en relación con el predio ubicado en el paraje </w:t>
      </w:r>
      <w:r w:rsidR="00053613">
        <w:rPr>
          <w:rFonts w:ascii="Arial" w:hAnsi="Arial" w:cs="Arial"/>
          <w:bCs/>
          <w:sz w:val="26"/>
          <w:szCs w:val="26"/>
        </w:rPr>
        <w:t>*******</w:t>
      </w:r>
      <w:r w:rsidR="006A327C">
        <w:rPr>
          <w:rFonts w:ascii="Arial" w:hAnsi="Arial" w:cs="Arial"/>
          <w:bCs/>
          <w:sz w:val="26"/>
          <w:szCs w:val="26"/>
        </w:rPr>
        <w:t xml:space="preserve">, al que le corresponde la cuenta predial </w:t>
      </w:r>
      <w:r w:rsidR="00053613">
        <w:rPr>
          <w:rFonts w:ascii="Arial" w:hAnsi="Arial" w:cs="Arial"/>
          <w:bCs/>
          <w:sz w:val="26"/>
          <w:szCs w:val="26"/>
        </w:rPr>
        <w:t>*******</w:t>
      </w:r>
      <w:r w:rsidR="006A327C">
        <w:rPr>
          <w:rFonts w:ascii="Arial" w:hAnsi="Arial" w:cs="Arial"/>
          <w:bCs/>
          <w:sz w:val="26"/>
          <w:szCs w:val="26"/>
        </w:rPr>
        <w:t xml:space="preserve">. </w:t>
      </w:r>
      <w:bookmarkEnd w:id="8"/>
      <w:r w:rsidR="00EB7617">
        <w:rPr>
          <w:rFonts w:ascii="Arial" w:hAnsi="Arial" w:cs="Arial"/>
          <w:sz w:val="26"/>
          <w:szCs w:val="26"/>
        </w:rPr>
        <w:t xml:space="preserve">- - - - - - - - - - - - - - - - - - - - </w:t>
      </w:r>
    </w:p>
    <w:p w14:paraId="22C382FF" w14:textId="3152985E" w:rsidR="001150EF" w:rsidRPr="00EB7617" w:rsidRDefault="004B6121" w:rsidP="00EB7617">
      <w:pPr>
        <w:widowControl w:val="0"/>
        <w:spacing w:before="240" w:after="0" w:line="360" w:lineRule="auto"/>
        <w:ind w:right="18" w:firstLine="709"/>
        <w:jc w:val="both"/>
        <w:rPr>
          <w:rFonts w:ascii="Arial" w:eastAsia="Calibri" w:hAnsi="Arial" w:cs="Arial"/>
          <w:bCs/>
          <w:sz w:val="26"/>
          <w:szCs w:val="26"/>
        </w:rPr>
      </w:pPr>
      <w:r>
        <w:rPr>
          <w:rFonts w:ascii="Arial" w:hAnsi="Arial" w:cs="Arial"/>
          <w:bCs/>
          <w:sz w:val="26"/>
          <w:szCs w:val="26"/>
        </w:rPr>
        <w:t>Robustece esta determinación, la t</w:t>
      </w:r>
      <w:r w:rsidRPr="00191C2C">
        <w:rPr>
          <w:rFonts w:ascii="Arial" w:eastAsia="Calibri" w:hAnsi="Arial" w:cs="Arial"/>
          <w:bCs/>
          <w:sz w:val="26"/>
          <w:szCs w:val="26"/>
        </w:rPr>
        <w:t>esis I.6o.A.33</w:t>
      </w:r>
      <w:r>
        <w:rPr>
          <w:rFonts w:ascii="Arial" w:eastAsia="Calibri" w:hAnsi="Arial" w:cs="Arial"/>
          <w:bCs/>
          <w:sz w:val="26"/>
          <w:szCs w:val="26"/>
        </w:rPr>
        <w:t xml:space="preserve"> con r</w:t>
      </w:r>
      <w:r w:rsidRPr="00191C2C">
        <w:rPr>
          <w:rFonts w:ascii="Arial" w:eastAsia="Calibri" w:hAnsi="Arial" w:cs="Arial"/>
          <w:bCs/>
          <w:sz w:val="26"/>
          <w:szCs w:val="26"/>
        </w:rPr>
        <w:t>egistro digital 187531</w:t>
      </w:r>
      <w:r>
        <w:rPr>
          <w:rStyle w:val="Refdenotaalpie"/>
          <w:rFonts w:ascii="Arial" w:eastAsia="Calibri" w:hAnsi="Arial" w:cs="Arial"/>
          <w:bCs/>
          <w:sz w:val="26"/>
          <w:szCs w:val="26"/>
        </w:rPr>
        <w:footnoteReference w:id="9"/>
      </w:r>
      <w:r w:rsidR="001150EF">
        <w:rPr>
          <w:rFonts w:ascii="Arial" w:eastAsia="Calibri" w:hAnsi="Arial" w:cs="Arial"/>
          <w:bCs/>
          <w:sz w:val="26"/>
          <w:szCs w:val="26"/>
        </w:rPr>
        <w:t xml:space="preserve">, emitida por los </w:t>
      </w:r>
      <w:r w:rsidR="001150EF" w:rsidRPr="00191C2C">
        <w:rPr>
          <w:rFonts w:ascii="Arial" w:eastAsia="Calibri" w:hAnsi="Arial" w:cs="Arial"/>
          <w:bCs/>
          <w:sz w:val="26"/>
          <w:szCs w:val="26"/>
        </w:rPr>
        <w:t>Tribunales Colegiados de Circuito</w:t>
      </w:r>
      <w:r w:rsidR="001150EF">
        <w:rPr>
          <w:rFonts w:ascii="Arial" w:eastAsia="Calibri" w:hAnsi="Arial" w:cs="Arial"/>
          <w:bCs/>
          <w:sz w:val="26"/>
          <w:szCs w:val="26"/>
        </w:rPr>
        <w:t xml:space="preserve"> en la </w:t>
      </w:r>
      <w:r w:rsidR="00191C2C" w:rsidRPr="00191C2C">
        <w:rPr>
          <w:rFonts w:ascii="Arial" w:eastAsia="Calibri" w:hAnsi="Arial" w:cs="Arial"/>
          <w:bCs/>
          <w:sz w:val="26"/>
          <w:szCs w:val="26"/>
        </w:rPr>
        <w:t>Novena Época</w:t>
      </w:r>
      <w:r w:rsidR="001150EF">
        <w:rPr>
          <w:rFonts w:ascii="Arial" w:eastAsia="Calibri" w:hAnsi="Arial" w:cs="Arial"/>
          <w:bCs/>
          <w:sz w:val="26"/>
          <w:szCs w:val="26"/>
        </w:rPr>
        <w:t xml:space="preserve">, consultable en el </w:t>
      </w:r>
      <w:r w:rsidR="00191C2C" w:rsidRPr="00191C2C">
        <w:rPr>
          <w:rFonts w:ascii="Arial" w:eastAsia="Calibri" w:hAnsi="Arial" w:cs="Arial"/>
          <w:bCs/>
          <w:sz w:val="26"/>
          <w:szCs w:val="26"/>
        </w:rPr>
        <w:t xml:space="preserve">Semanario Judicial de la Federación y su Gaceta. Tomo XV, </w:t>
      </w:r>
      <w:r w:rsidR="001150EF">
        <w:rPr>
          <w:rFonts w:ascii="Arial" w:eastAsia="Calibri" w:hAnsi="Arial" w:cs="Arial"/>
          <w:bCs/>
          <w:sz w:val="26"/>
          <w:szCs w:val="26"/>
        </w:rPr>
        <w:t>m</w:t>
      </w:r>
      <w:r w:rsidR="00191C2C" w:rsidRPr="00191C2C">
        <w:rPr>
          <w:rFonts w:ascii="Arial" w:eastAsia="Calibri" w:hAnsi="Arial" w:cs="Arial"/>
          <w:bCs/>
          <w:sz w:val="26"/>
          <w:szCs w:val="26"/>
        </w:rPr>
        <w:t>arzo de 2002, página 1350</w:t>
      </w:r>
      <w:r w:rsidR="001150EF">
        <w:rPr>
          <w:rFonts w:ascii="Arial" w:eastAsia="Calibri" w:hAnsi="Arial" w:cs="Arial"/>
          <w:bCs/>
          <w:sz w:val="26"/>
          <w:szCs w:val="26"/>
        </w:rPr>
        <w:t xml:space="preserve">, de rubro y texto siguientes: </w:t>
      </w:r>
    </w:p>
    <w:p w14:paraId="1CDDC1B0" w14:textId="546A388D" w:rsidR="00191C2C" w:rsidRPr="001150EF" w:rsidRDefault="001150EF" w:rsidP="00EB7617">
      <w:pPr>
        <w:widowControl w:val="0"/>
        <w:spacing w:before="240" w:after="0"/>
        <w:ind w:left="567" w:right="616"/>
        <w:jc w:val="both"/>
        <w:rPr>
          <w:rFonts w:ascii="Arial" w:eastAsia="Calibri" w:hAnsi="Arial" w:cs="Arial"/>
          <w:b/>
          <w:i/>
          <w:iCs/>
        </w:rPr>
      </w:pPr>
      <w:r>
        <w:rPr>
          <w:rFonts w:ascii="Arial" w:eastAsia="Calibri" w:hAnsi="Arial" w:cs="Arial"/>
          <w:b/>
          <w:i/>
          <w:iCs/>
        </w:rPr>
        <w:t>“</w:t>
      </w:r>
      <w:r w:rsidR="00191C2C" w:rsidRPr="001150EF">
        <w:rPr>
          <w:rFonts w:ascii="Arial" w:eastAsia="Calibri" w:hAnsi="Arial" w:cs="Arial"/>
          <w:b/>
          <w:i/>
          <w:iCs/>
        </w:rPr>
        <w:t>FUNDAMENTACIÓN Y MOTIVACIÓN, FALTA O INDEBIDA. EN CUANTO SON DISTINTAS, UNAS GENERAN NULIDAD LISA Y LLANA Y OTRAS PARA EFECTOS.</w:t>
      </w:r>
    </w:p>
    <w:p w14:paraId="25302A64" w14:textId="77777777" w:rsidR="00191C2C" w:rsidRPr="001150EF" w:rsidRDefault="00191C2C" w:rsidP="00EB7617">
      <w:pPr>
        <w:widowControl w:val="0"/>
        <w:spacing w:before="240" w:after="0"/>
        <w:ind w:left="567" w:right="616"/>
        <w:jc w:val="both"/>
        <w:rPr>
          <w:rFonts w:ascii="Arial" w:eastAsia="Calibri" w:hAnsi="Arial" w:cs="Arial"/>
          <w:bCs/>
          <w:i/>
          <w:iCs/>
        </w:rPr>
      </w:pPr>
      <w:r w:rsidRPr="001150EF">
        <w:rPr>
          <w:rFonts w:ascii="Arial" w:eastAsia="Calibri" w:hAnsi="Arial" w:cs="Arial"/>
          <w:bCs/>
          <w:i/>
          <w:iCs/>
        </w:rPr>
        <w:t xml:space="preserve">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w:t>
      </w:r>
      <w:r w:rsidRPr="001150EF">
        <w:rPr>
          <w:rFonts w:ascii="Arial" w:eastAsia="Calibri" w:hAnsi="Arial" w:cs="Arial"/>
          <w:bCs/>
          <w:i/>
          <w:iCs/>
        </w:rPr>
        <w:lastRenderedPageBreak/>
        <w:t>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14:paraId="28DC0AF1" w14:textId="30866140" w:rsidR="00191C2C" w:rsidRPr="001150EF" w:rsidRDefault="00191C2C" w:rsidP="00EB7617">
      <w:pPr>
        <w:widowControl w:val="0"/>
        <w:spacing w:before="240" w:after="0"/>
        <w:ind w:left="567" w:right="616"/>
        <w:jc w:val="both"/>
        <w:rPr>
          <w:rFonts w:ascii="Arial" w:eastAsia="Calibri" w:hAnsi="Arial" w:cs="Arial"/>
          <w:bCs/>
          <w:i/>
          <w:iCs/>
        </w:rPr>
      </w:pPr>
      <w:r w:rsidRPr="001150EF">
        <w:rPr>
          <w:rFonts w:ascii="Arial" w:eastAsia="Calibri" w:hAnsi="Arial" w:cs="Arial"/>
          <w:bCs/>
          <w:i/>
          <w:iCs/>
        </w:rPr>
        <w:t>SEXTO TRIBUNAL COLEGIADO EN MATERIA ADMINISTRATIVA DEL PRIMER CIRCUITO.</w:t>
      </w:r>
      <w:r w:rsidR="001150EF">
        <w:rPr>
          <w:rFonts w:ascii="Arial" w:eastAsia="Calibri" w:hAnsi="Arial" w:cs="Arial"/>
          <w:bCs/>
          <w:i/>
          <w:iCs/>
        </w:rPr>
        <w:t>”</w:t>
      </w:r>
    </w:p>
    <w:p w14:paraId="1C9C91D3" w14:textId="77777777" w:rsidR="00191C2C" w:rsidRPr="001150EF" w:rsidRDefault="00191C2C" w:rsidP="00EB7617">
      <w:pPr>
        <w:widowControl w:val="0"/>
        <w:spacing w:before="240" w:after="0"/>
        <w:ind w:left="567" w:right="616"/>
        <w:jc w:val="both"/>
        <w:rPr>
          <w:rFonts w:ascii="Arial" w:eastAsia="Calibri" w:hAnsi="Arial" w:cs="Arial"/>
          <w:bCs/>
          <w:i/>
          <w:iCs/>
        </w:rPr>
      </w:pPr>
    </w:p>
    <w:p w14:paraId="4DF15147" w14:textId="6F1EC267" w:rsidR="001150EF" w:rsidRDefault="001150EF" w:rsidP="001150EF">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Finalmente, atendiendo a las consideraciones anteriormente expuestas, es procedente</w:t>
      </w:r>
      <w:r>
        <w:rPr>
          <w:rFonts w:ascii="Arial" w:eastAsia="Calibri" w:hAnsi="Arial" w:cs="Arial"/>
          <w:b/>
          <w:bCs/>
          <w:sz w:val="26"/>
          <w:szCs w:val="26"/>
        </w:rPr>
        <w:t xml:space="preserve"> REVOCAR </w:t>
      </w:r>
      <w:r w:rsidRPr="00867780">
        <w:rPr>
          <w:rFonts w:ascii="Arial" w:eastAsia="Calibri" w:hAnsi="Arial" w:cs="Arial"/>
          <w:sz w:val="26"/>
          <w:szCs w:val="26"/>
        </w:rPr>
        <w:t>la sentencia recurrida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w:t>
      </w:r>
      <w:r>
        <w:rPr>
          <w:rFonts w:ascii="Arial" w:eastAsia="Calibri" w:hAnsi="Arial" w:cs="Arial"/>
          <w:sz w:val="26"/>
          <w:szCs w:val="26"/>
        </w:rPr>
        <w:t>6</w:t>
      </w:r>
      <w:r w:rsidRPr="006406CE">
        <w:rPr>
          <w:rFonts w:ascii="Arial" w:eastAsia="Calibri" w:hAnsi="Arial" w:cs="Arial"/>
          <w:sz w:val="26"/>
          <w:szCs w:val="26"/>
        </w:rPr>
        <w:t xml:space="preserve">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EB7617">
        <w:rPr>
          <w:rFonts w:ascii="Arial" w:hAnsi="Arial" w:cs="Arial"/>
          <w:sz w:val="26"/>
          <w:szCs w:val="26"/>
        </w:rPr>
        <w:t xml:space="preserve"> - - - - - - - - - - - - - - - - - - - </w:t>
      </w:r>
    </w:p>
    <w:p w14:paraId="699F69A9" w14:textId="77777777" w:rsidR="00E670C0" w:rsidRPr="001150EF" w:rsidRDefault="00E670C0" w:rsidP="00E670C0">
      <w:pPr>
        <w:pStyle w:val="Sinespaciado"/>
        <w:spacing w:before="240" w:line="360" w:lineRule="auto"/>
        <w:jc w:val="center"/>
        <w:rPr>
          <w:rFonts w:ascii="Arial" w:hAnsi="Arial" w:cs="Arial"/>
          <w:b/>
          <w:sz w:val="26"/>
          <w:szCs w:val="26"/>
        </w:rPr>
      </w:pPr>
      <w:r w:rsidRPr="001150EF">
        <w:rPr>
          <w:rFonts w:ascii="Arial" w:hAnsi="Arial" w:cs="Arial"/>
          <w:b/>
          <w:sz w:val="26"/>
          <w:szCs w:val="26"/>
        </w:rPr>
        <w:t>R E S U E L V E</w:t>
      </w:r>
    </w:p>
    <w:p w14:paraId="23A572E8" w14:textId="20896799" w:rsidR="00E670C0" w:rsidRPr="001150EF" w:rsidRDefault="00E670C0" w:rsidP="001150EF">
      <w:pPr>
        <w:pStyle w:val="Sinespaciado"/>
        <w:spacing w:before="240" w:line="360" w:lineRule="auto"/>
        <w:ind w:firstLine="708"/>
        <w:jc w:val="both"/>
        <w:rPr>
          <w:rFonts w:ascii="Arial" w:hAnsi="Arial" w:cs="Arial"/>
          <w:bCs/>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Se</w:t>
      </w:r>
      <w:r>
        <w:rPr>
          <w:rFonts w:ascii="Arial" w:hAnsi="Arial" w:cs="Arial"/>
          <w:b/>
          <w:color w:val="000000"/>
          <w:sz w:val="26"/>
          <w:szCs w:val="26"/>
          <w:lang w:val="es-MX"/>
        </w:rPr>
        <w:t xml:space="preserve"> </w:t>
      </w:r>
      <w:r w:rsidR="001150EF">
        <w:rPr>
          <w:rFonts w:ascii="Arial" w:hAnsi="Arial" w:cs="Arial"/>
          <w:b/>
          <w:color w:val="000000"/>
          <w:sz w:val="26"/>
          <w:szCs w:val="26"/>
          <w:lang w:val="es-MX"/>
        </w:rPr>
        <w:t xml:space="preserve">REVOCA </w:t>
      </w:r>
      <w:r w:rsidRPr="00867780">
        <w:rPr>
          <w:rFonts w:ascii="Arial" w:hAnsi="Arial" w:cs="Arial"/>
          <w:bCs/>
          <w:color w:val="000000"/>
          <w:sz w:val="26"/>
          <w:szCs w:val="26"/>
          <w:lang w:val="es-MX"/>
        </w:rPr>
        <w:t xml:space="preserve">la sentencia </w:t>
      </w:r>
      <w:r w:rsidR="001150EF">
        <w:rPr>
          <w:rFonts w:ascii="Arial" w:hAnsi="Arial" w:cs="Arial"/>
          <w:bCs/>
          <w:color w:val="000000"/>
          <w:sz w:val="26"/>
          <w:szCs w:val="26"/>
          <w:lang w:val="es-MX"/>
        </w:rPr>
        <w:t xml:space="preserve">de quince de julio de dos mil veintiuno, </w:t>
      </w:r>
      <w:r>
        <w:rPr>
          <w:rFonts w:ascii="Arial" w:hAnsi="Arial" w:cs="Arial"/>
          <w:color w:val="000000"/>
          <w:sz w:val="26"/>
          <w:szCs w:val="26"/>
          <w:lang w:val="es-MX"/>
        </w:rPr>
        <w:t>por las razones expuestas por esta Sala Superior en el considerando que antecede.</w:t>
      </w:r>
      <w:r w:rsidR="00EB7617">
        <w:rPr>
          <w:rFonts w:ascii="Arial" w:hAnsi="Arial" w:cs="Arial"/>
          <w:color w:val="000000"/>
          <w:sz w:val="26"/>
          <w:szCs w:val="26"/>
          <w:lang w:val="es-MX"/>
        </w:rPr>
        <w:t xml:space="preserve"> </w:t>
      </w:r>
      <w:r w:rsidR="00EB7617">
        <w:rPr>
          <w:rFonts w:ascii="Arial" w:hAnsi="Arial" w:cs="Arial"/>
          <w:sz w:val="26"/>
          <w:szCs w:val="26"/>
        </w:rPr>
        <w:t xml:space="preserve">- - - - - - - - - - - - - - - - - - - - - - - - - - - - - - - </w:t>
      </w:r>
    </w:p>
    <w:p w14:paraId="36C59ED7" w14:textId="31B84DB5" w:rsidR="00AB3379" w:rsidRDefault="00E670C0" w:rsidP="00E670C0">
      <w:pPr>
        <w:widowControl w:val="0"/>
        <w:tabs>
          <w:tab w:val="left" w:pos="0"/>
        </w:tabs>
        <w:spacing w:before="240" w:after="0" w:line="360" w:lineRule="auto"/>
        <w:ind w:right="18"/>
        <w:jc w:val="both"/>
        <w:rPr>
          <w:rFonts w:ascii="Arial" w:hAnsi="Arial" w:cs="Arial"/>
          <w:b/>
          <w:sz w:val="26"/>
          <w:szCs w:val="26"/>
        </w:rPr>
      </w:pPr>
      <w:r>
        <w:rPr>
          <w:rFonts w:ascii="Arial" w:hAnsi="Arial" w:cs="Arial"/>
          <w:b/>
          <w:sz w:val="26"/>
          <w:szCs w:val="26"/>
        </w:rPr>
        <w:tab/>
        <w:t xml:space="preserve">SEGUNDO.- </w:t>
      </w:r>
      <w:r w:rsidR="00AB3379" w:rsidRPr="007E48A8">
        <w:rPr>
          <w:rFonts w:ascii="Arial" w:hAnsi="Arial" w:cs="Arial"/>
          <w:bCs/>
          <w:sz w:val="26"/>
          <w:szCs w:val="26"/>
        </w:rPr>
        <w:t>Se declara la</w:t>
      </w:r>
      <w:r w:rsidR="00AB3379">
        <w:rPr>
          <w:rFonts w:ascii="Arial" w:hAnsi="Arial" w:cs="Arial"/>
          <w:b/>
          <w:sz w:val="26"/>
          <w:szCs w:val="26"/>
        </w:rPr>
        <w:t xml:space="preserve"> NULIDAD </w:t>
      </w:r>
      <w:r w:rsidR="00AB3379" w:rsidRPr="007E48A8">
        <w:rPr>
          <w:rFonts w:ascii="Arial" w:hAnsi="Arial" w:cs="Arial"/>
          <w:bCs/>
          <w:sz w:val="26"/>
          <w:szCs w:val="26"/>
        </w:rPr>
        <w:t>de</w:t>
      </w:r>
      <w:r w:rsidR="00AB3379">
        <w:rPr>
          <w:rFonts w:ascii="Arial" w:hAnsi="Arial" w:cs="Arial"/>
          <w:b/>
          <w:sz w:val="26"/>
          <w:szCs w:val="26"/>
        </w:rPr>
        <w:t xml:space="preserve"> </w:t>
      </w:r>
      <w:r w:rsidR="00AB3379">
        <w:rPr>
          <w:rFonts w:ascii="Arial" w:hAnsi="Arial" w:cs="Arial"/>
          <w:bCs/>
          <w:sz w:val="26"/>
          <w:szCs w:val="26"/>
        </w:rPr>
        <w:t xml:space="preserve">la orden de pago de impuestos sobre traslado de dominio con número de folio </w:t>
      </w:r>
      <w:r w:rsidR="00053613">
        <w:rPr>
          <w:rFonts w:ascii="Arial" w:hAnsi="Arial" w:cs="Arial"/>
          <w:bCs/>
          <w:sz w:val="26"/>
          <w:szCs w:val="26"/>
        </w:rPr>
        <w:t>*******</w:t>
      </w:r>
      <w:r w:rsidR="00AB3379">
        <w:rPr>
          <w:rFonts w:ascii="Arial" w:hAnsi="Arial" w:cs="Arial"/>
          <w:bCs/>
          <w:sz w:val="26"/>
          <w:szCs w:val="26"/>
        </w:rPr>
        <w:t xml:space="preserve"> de fecha nueve de mayo de dos mil diecinueve,</w:t>
      </w:r>
      <w:r w:rsidR="007E48A8">
        <w:rPr>
          <w:rFonts w:ascii="Arial" w:hAnsi="Arial" w:cs="Arial"/>
          <w:bCs/>
          <w:sz w:val="26"/>
          <w:szCs w:val="26"/>
        </w:rPr>
        <w:t xml:space="preserve"> PARA EL EFECTO de que el Tesorero Municipal de Santa Lucía del Camino, Oaxaca, emita otra orden de pago en la que funde y motive debidamente el concepto de “recargos de traslación de dominio” que pretende cobrar al actor </w:t>
      </w:r>
      <w:r w:rsidR="00053613">
        <w:rPr>
          <w:rFonts w:ascii="Arial" w:eastAsia="Calibri" w:hAnsi="Arial" w:cs="Arial"/>
          <w:b/>
          <w:sz w:val="26"/>
          <w:szCs w:val="26"/>
        </w:rPr>
        <w:t>*******</w:t>
      </w:r>
      <w:r w:rsidR="007E48A8">
        <w:rPr>
          <w:rFonts w:ascii="Arial" w:eastAsia="Calibri" w:hAnsi="Arial" w:cs="Arial"/>
          <w:b/>
          <w:sz w:val="26"/>
          <w:szCs w:val="26"/>
        </w:rPr>
        <w:t xml:space="preserve"> </w:t>
      </w:r>
      <w:r w:rsidR="007E48A8">
        <w:rPr>
          <w:rFonts w:ascii="Arial" w:hAnsi="Arial" w:cs="Arial"/>
          <w:bCs/>
          <w:sz w:val="26"/>
          <w:szCs w:val="26"/>
        </w:rPr>
        <w:t xml:space="preserve">en relación con el predio ubicado en el paraje </w:t>
      </w:r>
      <w:r w:rsidR="00053613">
        <w:rPr>
          <w:rFonts w:ascii="Arial" w:hAnsi="Arial" w:cs="Arial"/>
          <w:bCs/>
          <w:sz w:val="26"/>
          <w:szCs w:val="26"/>
        </w:rPr>
        <w:t>*******</w:t>
      </w:r>
      <w:r w:rsidR="007E48A8">
        <w:rPr>
          <w:rFonts w:ascii="Arial" w:hAnsi="Arial" w:cs="Arial"/>
          <w:bCs/>
          <w:sz w:val="26"/>
          <w:szCs w:val="26"/>
        </w:rPr>
        <w:t xml:space="preserve">, al que le corresponde la cuenta predial </w:t>
      </w:r>
      <w:r w:rsidR="00053613">
        <w:rPr>
          <w:rFonts w:ascii="Arial" w:hAnsi="Arial" w:cs="Arial"/>
          <w:bCs/>
          <w:sz w:val="26"/>
          <w:szCs w:val="26"/>
        </w:rPr>
        <w:t>*******</w:t>
      </w:r>
      <w:r w:rsidR="007E48A8">
        <w:rPr>
          <w:rFonts w:ascii="Arial" w:hAnsi="Arial" w:cs="Arial"/>
          <w:bCs/>
          <w:sz w:val="26"/>
          <w:szCs w:val="26"/>
        </w:rPr>
        <w:t>.</w:t>
      </w:r>
      <w:r w:rsidR="00EB7617">
        <w:rPr>
          <w:rFonts w:ascii="Arial" w:hAnsi="Arial" w:cs="Arial"/>
          <w:bCs/>
          <w:sz w:val="26"/>
          <w:szCs w:val="26"/>
        </w:rPr>
        <w:t xml:space="preserve"> </w:t>
      </w:r>
      <w:r w:rsidR="00EB7617">
        <w:rPr>
          <w:rFonts w:ascii="Arial" w:hAnsi="Arial" w:cs="Arial"/>
          <w:sz w:val="26"/>
          <w:szCs w:val="26"/>
        </w:rPr>
        <w:t xml:space="preserve">- - - - - - - - - - - - - - - - - - - - - - - - - </w:t>
      </w:r>
    </w:p>
    <w:p w14:paraId="1D35E116" w14:textId="393A1B20" w:rsidR="00E670C0" w:rsidRDefault="007E48A8"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TERCERO.- </w:t>
      </w:r>
      <w:r w:rsidR="00E670C0" w:rsidRPr="007B1E95">
        <w:rPr>
          <w:rFonts w:ascii="Arial" w:hAnsi="Arial" w:cs="Arial"/>
          <w:b/>
          <w:sz w:val="26"/>
          <w:szCs w:val="26"/>
        </w:rPr>
        <w:t>N</w:t>
      </w:r>
      <w:r w:rsidR="00E670C0" w:rsidRPr="006E349D">
        <w:rPr>
          <w:rFonts w:ascii="Arial" w:hAnsi="Arial" w:cs="Arial"/>
          <w:b/>
          <w:sz w:val="26"/>
          <w:szCs w:val="26"/>
        </w:rPr>
        <w:t>OTIFÍQUESE</w:t>
      </w:r>
      <w:r w:rsidR="00E670C0">
        <w:rPr>
          <w:rFonts w:ascii="Arial" w:hAnsi="Arial" w:cs="Arial"/>
          <w:b/>
          <w:sz w:val="26"/>
          <w:szCs w:val="26"/>
        </w:rPr>
        <w:t xml:space="preserve"> Y CÚMPLASE,</w:t>
      </w:r>
      <w:r w:rsidR="00E670C0" w:rsidRPr="00986534">
        <w:rPr>
          <w:rFonts w:ascii="Arial" w:hAnsi="Arial" w:cs="Arial"/>
          <w:sz w:val="26"/>
          <w:szCs w:val="26"/>
        </w:rPr>
        <w:t xml:space="preserve"> </w:t>
      </w:r>
      <w:r w:rsidR="00E670C0">
        <w:rPr>
          <w:rFonts w:ascii="Arial" w:hAnsi="Arial" w:cs="Arial"/>
          <w:sz w:val="26"/>
          <w:szCs w:val="26"/>
        </w:rPr>
        <w:t xml:space="preserve">remítase copia certificada de la presente resolución a la </w:t>
      </w:r>
      <w:r w:rsidR="007D43F3">
        <w:rPr>
          <w:rFonts w:ascii="Arial" w:hAnsi="Arial" w:cs="Arial"/>
          <w:sz w:val="26"/>
          <w:szCs w:val="26"/>
        </w:rPr>
        <w:t>Tercer</w:t>
      </w:r>
      <w:r w:rsidR="00E670C0">
        <w:rPr>
          <w:rFonts w:ascii="Arial" w:hAnsi="Arial" w:cs="Arial"/>
          <w:sz w:val="26"/>
          <w:szCs w:val="26"/>
        </w:rPr>
        <w:t>a Sala Unitaria de Primera Instancia de este Tribunal y en su oportunidad archívese el presente cuaderno de revisión como asunto concluido.</w:t>
      </w:r>
      <w:r w:rsidR="00EB7617" w:rsidRPr="00EB7617">
        <w:rPr>
          <w:rFonts w:ascii="Arial" w:hAnsi="Arial" w:cs="Arial"/>
          <w:sz w:val="26"/>
          <w:szCs w:val="26"/>
        </w:rPr>
        <w:t xml:space="preserve"> </w:t>
      </w:r>
      <w:r w:rsidR="00EB7617">
        <w:rPr>
          <w:rFonts w:ascii="Arial" w:hAnsi="Arial" w:cs="Arial"/>
          <w:sz w:val="26"/>
          <w:szCs w:val="26"/>
        </w:rPr>
        <w:t xml:space="preserve">- - - - - - - - - - - - </w:t>
      </w:r>
    </w:p>
    <w:p w14:paraId="3708C250" w14:textId="29B9EDBF" w:rsidR="00E670C0" w:rsidRPr="00B32A93" w:rsidRDefault="00E670C0" w:rsidP="00E670C0">
      <w:pPr>
        <w:spacing w:before="240" w:line="360" w:lineRule="auto"/>
        <w:ind w:firstLine="708"/>
        <w:jc w:val="both"/>
        <w:rPr>
          <w:rFonts w:ascii="Arial" w:hAnsi="Arial" w:cs="Arial"/>
          <w:sz w:val="26"/>
          <w:szCs w:val="26"/>
        </w:rPr>
      </w:pPr>
      <w:r w:rsidRPr="00B32A93">
        <w:rPr>
          <w:rFonts w:ascii="Arial" w:hAnsi="Arial" w:cs="Arial"/>
          <w:sz w:val="26"/>
          <w:szCs w:val="26"/>
        </w:rPr>
        <w:lastRenderedPageBreak/>
        <w:t>Por unanimidad de votos, lo re</w:t>
      </w:r>
      <w:bookmarkStart w:id="9" w:name="_GoBack"/>
      <w:bookmarkEnd w:id="9"/>
      <w:r w:rsidRPr="00B32A93">
        <w:rPr>
          <w:rFonts w:ascii="Arial" w:hAnsi="Arial" w:cs="Arial"/>
          <w:sz w:val="26"/>
          <w:szCs w:val="26"/>
        </w:rPr>
        <w:t xml:space="preserve">solvieron y firmaron los Magistrados </w:t>
      </w:r>
      <w:r w:rsidR="00EB7617">
        <w:rPr>
          <w:rFonts w:ascii="Arial" w:hAnsi="Arial" w:cs="Arial"/>
          <w:sz w:val="26"/>
          <w:szCs w:val="26"/>
        </w:rPr>
        <w:t xml:space="preserve">integrantes de Sala Superior </w:t>
      </w:r>
      <w:r w:rsidRPr="00B32A93">
        <w:rPr>
          <w:rFonts w:ascii="Arial" w:hAnsi="Arial" w:cs="Arial"/>
          <w:sz w:val="26"/>
          <w:szCs w:val="26"/>
        </w:rPr>
        <w:t xml:space="preserve">Manuel Velasco Alcántara; Raúl Palomares Palomino </w:t>
      </w:r>
      <w:r w:rsidRPr="00EB7617">
        <w:rPr>
          <w:rFonts w:ascii="Arial" w:hAnsi="Arial" w:cs="Arial"/>
          <w:b/>
          <w:sz w:val="26"/>
          <w:szCs w:val="26"/>
        </w:rPr>
        <w:t>(ponente)</w:t>
      </w:r>
      <w:r w:rsidRPr="00B32A93">
        <w:rPr>
          <w:rFonts w:ascii="Arial" w:hAnsi="Arial" w:cs="Arial"/>
          <w:sz w:val="26"/>
          <w:szCs w:val="26"/>
        </w:rPr>
        <w:t>, Gloria del Carmen Camacho Meza, Paulo José Luis Tapia Palacios y Elías Cortés López, quienes actúan con el Licenciado Juan Edy García Coronado, Secretario</w:t>
      </w:r>
      <w:r w:rsidR="005D506F">
        <w:rPr>
          <w:rFonts w:ascii="Arial" w:hAnsi="Arial" w:cs="Arial"/>
          <w:sz w:val="26"/>
          <w:szCs w:val="26"/>
        </w:rPr>
        <w:t xml:space="preserve"> </w:t>
      </w:r>
      <w:r w:rsidRPr="00B32A93">
        <w:rPr>
          <w:rFonts w:ascii="Arial" w:hAnsi="Arial" w:cs="Arial"/>
          <w:sz w:val="26"/>
          <w:szCs w:val="26"/>
        </w:rPr>
        <w:t xml:space="preserve">General de Acuerdos de este Tribunal, que autoriza y da fe. </w:t>
      </w:r>
      <w:r w:rsidR="00EB7617">
        <w:rPr>
          <w:rFonts w:ascii="Arial" w:hAnsi="Arial" w:cs="Arial"/>
          <w:sz w:val="26"/>
          <w:szCs w:val="26"/>
        </w:rPr>
        <w:t xml:space="preserve">- - - - - - - - - - - - - - - - - - - - - - - - </w:t>
      </w:r>
    </w:p>
    <w:p w14:paraId="3C5FA01C" w14:textId="77777777" w:rsidR="00EB7617" w:rsidRDefault="00EB7617" w:rsidP="00EB7617">
      <w:pPr>
        <w:tabs>
          <w:tab w:val="center" w:pos="4135"/>
          <w:tab w:val="left" w:pos="7515"/>
        </w:tabs>
        <w:spacing w:line="360" w:lineRule="auto"/>
        <w:jc w:val="center"/>
        <w:rPr>
          <w:rFonts w:ascii="Arial" w:hAnsi="Arial" w:cs="Arial"/>
          <w:sz w:val="26"/>
          <w:szCs w:val="26"/>
        </w:rPr>
      </w:pPr>
    </w:p>
    <w:p w14:paraId="3C48C207" w14:textId="4E484B2D" w:rsidR="00EB7617" w:rsidRDefault="00EB7617" w:rsidP="00EB7617">
      <w:pPr>
        <w:tabs>
          <w:tab w:val="center" w:pos="4135"/>
          <w:tab w:val="left" w:pos="7515"/>
        </w:tabs>
        <w:spacing w:line="360" w:lineRule="auto"/>
        <w:jc w:val="center"/>
        <w:rPr>
          <w:rFonts w:ascii="Arial" w:hAnsi="Arial" w:cs="Arial"/>
          <w:sz w:val="26"/>
          <w:szCs w:val="26"/>
        </w:rPr>
      </w:pPr>
    </w:p>
    <w:p w14:paraId="4678E5DF" w14:textId="77777777" w:rsidR="00EB7617" w:rsidRDefault="00EB7617" w:rsidP="00EB7617">
      <w:pPr>
        <w:tabs>
          <w:tab w:val="center" w:pos="4135"/>
          <w:tab w:val="left" w:pos="7515"/>
        </w:tabs>
        <w:spacing w:line="360" w:lineRule="auto"/>
        <w:jc w:val="center"/>
        <w:rPr>
          <w:rFonts w:ascii="Arial" w:hAnsi="Arial" w:cs="Arial"/>
          <w:sz w:val="26"/>
          <w:szCs w:val="26"/>
        </w:rPr>
      </w:pPr>
    </w:p>
    <w:p w14:paraId="56443765" w14:textId="77777777" w:rsidR="00EB7617" w:rsidRDefault="00EB7617" w:rsidP="00EB7617">
      <w:pPr>
        <w:tabs>
          <w:tab w:val="center" w:pos="4135"/>
          <w:tab w:val="left" w:pos="7515"/>
        </w:tabs>
        <w:spacing w:line="240" w:lineRule="auto"/>
        <w:jc w:val="center"/>
        <w:rPr>
          <w:rFonts w:ascii="Arial" w:hAnsi="Arial" w:cs="Arial"/>
          <w:sz w:val="26"/>
          <w:szCs w:val="26"/>
        </w:rPr>
      </w:pPr>
      <w:r w:rsidRPr="00366AD3">
        <w:rPr>
          <w:rFonts w:ascii="Arial" w:hAnsi="Arial" w:cs="Arial"/>
          <w:sz w:val="26"/>
          <w:szCs w:val="26"/>
        </w:rPr>
        <w:t>MAGISTRADO MANUEL VELASCO ALCÁNTARA</w:t>
      </w:r>
      <w:r>
        <w:rPr>
          <w:rFonts w:ascii="Arial" w:hAnsi="Arial" w:cs="Arial"/>
          <w:sz w:val="26"/>
          <w:szCs w:val="26"/>
        </w:rPr>
        <w:br/>
      </w:r>
      <w:r w:rsidRPr="00366AD3">
        <w:rPr>
          <w:rFonts w:ascii="Arial" w:hAnsi="Arial" w:cs="Arial"/>
          <w:sz w:val="26"/>
          <w:szCs w:val="26"/>
        </w:rPr>
        <w:t>PRESIDENTE</w:t>
      </w:r>
    </w:p>
    <w:p w14:paraId="120DEF5E" w14:textId="77777777" w:rsidR="00EB7617" w:rsidRDefault="00EB7617" w:rsidP="00EB7617">
      <w:pPr>
        <w:tabs>
          <w:tab w:val="center" w:pos="4135"/>
          <w:tab w:val="left" w:pos="7515"/>
        </w:tabs>
        <w:spacing w:line="240" w:lineRule="auto"/>
        <w:jc w:val="center"/>
        <w:rPr>
          <w:rFonts w:ascii="Arial" w:hAnsi="Arial" w:cs="Arial"/>
          <w:sz w:val="26"/>
          <w:szCs w:val="26"/>
        </w:rPr>
      </w:pPr>
    </w:p>
    <w:p w14:paraId="176F2B28" w14:textId="271784C3" w:rsidR="00EB7617" w:rsidRDefault="00EB7617" w:rsidP="00EB7617">
      <w:pPr>
        <w:tabs>
          <w:tab w:val="center" w:pos="4135"/>
          <w:tab w:val="left" w:pos="7515"/>
        </w:tabs>
        <w:spacing w:line="240" w:lineRule="auto"/>
        <w:jc w:val="center"/>
        <w:rPr>
          <w:rFonts w:ascii="Arial" w:hAnsi="Arial" w:cs="Arial"/>
          <w:sz w:val="26"/>
          <w:szCs w:val="26"/>
        </w:rPr>
      </w:pPr>
    </w:p>
    <w:p w14:paraId="4C4D0422" w14:textId="77777777" w:rsidR="00EB7617" w:rsidRDefault="00EB7617" w:rsidP="00EB7617">
      <w:pPr>
        <w:tabs>
          <w:tab w:val="center" w:pos="4135"/>
          <w:tab w:val="left" w:pos="7515"/>
        </w:tabs>
        <w:spacing w:line="240" w:lineRule="auto"/>
        <w:jc w:val="center"/>
        <w:rPr>
          <w:rFonts w:ascii="Arial" w:hAnsi="Arial" w:cs="Arial"/>
          <w:sz w:val="26"/>
          <w:szCs w:val="26"/>
        </w:rPr>
      </w:pPr>
    </w:p>
    <w:p w14:paraId="1ED76983" w14:textId="77777777" w:rsidR="00EB7617" w:rsidRDefault="00EB7617" w:rsidP="00EB7617">
      <w:pPr>
        <w:tabs>
          <w:tab w:val="center" w:pos="4135"/>
          <w:tab w:val="left" w:pos="7515"/>
        </w:tabs>
        <w:spacing w:line="240" w:lineRule="auto"/>
        <w:jc w:val="center"/>
        <w:rPr>
          <w:rFonts w:ascii="Arial" w:hAnsi="Arial" w:cs="Arial"/>
          <w:sz w:val="26"/>
          <w:szCs w:val="26"/>
        </w:rPr>
      </w:pPr>
    </w:p>
    <w:p w14:paraId="48F7811C" w14:textId="77777777" w:rsidR="00EB7617" w:rsidRDefault="00EB7617" w:rsidP="00EB7617">
      <w:pPr>
        <w:tabs>
          <w:tab w:val="center" w:pos="4135"/>
          <w:tab w:val="left" w:pos="7515"/>
        </w:tabs>
        <w:spacing w:line="360" w:lineRule="auto"/>
        <w:jc w:val="center"/>
        <w:rPr>
          <w:rFonts w:ascii="Arial" w:hAnsi="Arial" w:cs="Arial"/>
          <w:sz w:val="26"/>
          <w:szCs w:val="26"/>
        </w:rPr>
      </w:pPr>
      <w:r w:rsidRPr="00366AD3">
        <w:rPr>
          <w:rFonts w:ascii="Arial" w:hAnsi="Arial" w:cs="Arial"/>
          <w:sz w:val="26"/>
          <w:szCs w:val="26"/>
        </w:rPr>
        <w:t>MAGISTRADO RAÚL PALOMARES PALOMINO</w:t>
      </w:r>
    </w:p>
    <w:p w14:paraId="044A2A36" w14:textId="77777777" w:rsidR="00EB7617" w:rsidRDefault="00EB7617" w:rsidP="00EB7617">
      <w:pPr>
        <w:tabs>
          <w:tab w:val="center" w:pos="4135"/>
          <w:tab w:val="left" w:pos="7515"/>
        </w:tabs>
        <w:spacing w:line="360" w:lineRule="auto"/>
        <w:jc w:val="center"/>
        <w:rPr>
          <w:rFonts w:ascii="Arial" w:hAnsi="Arial" w:cs="Arial"/>
          <w:sz w:val="26"/>
          <w:szCs w:val="26"/>
        </w:rPr>
      </w:pPr>
    </w:p>
    <w:p w14:paraId="0689DB5E" w14:textId="77777777" w:rsidR="00053613" w:rsidRDefault="00053613" w:rsidP="00EB7617">
      <w:pPr>
        <w:tabs>
          <w:tab w:val="center" w:pos="4135"/>
          <w:tab w:val="left" w:pos="7515"/>
        </w:tabs>
        <w:spacing w:line="360" w:lineRule="auto"/>
        <w:jc w:val="center"/>
        <w:rPr>
          <w:rFonts w:ascii="Arial" w:hAnsi="Arial" w:cs="Arial"/>
          <w:sz w:val="26"/>
          <w:szCs w:val="26"/>
        </w:rPr>
      </w:pPr>
    </w:p>
    <w:p w14:paraId="063703F4" w14:textId="77777777" w:rsidR="00EB7617" w:rsidRDefault="00EB7617" w:rsidP="00EB7617">
      <w:pPr>
        <w:tabs>
          <w:tab w:val="center" w:pos="4135"/>
          <w:tab w:val="left" w:pos="7515"/>
        </w:tabs>
        <w:spacing w:line="360" w:lineRule="auto"/>
        <w:jc w:val="center"/>
        <w:rPr>
          <w:rFonts w:ascii="Arial" w:hAnsi="Arial" w:cs="Arial"/>
          <w:sz w:val="26"/>
          <w:szCs w:val="26"/>
        </w:rPr>
      </w:pPr>
    </w:p>
    <w:p w14:paraId="079F526E" w14:textId="77777777" w:rsidR="00EB7617" w:rsidRDefault="00EB7617" w:rsidP="00EB7617">
      <w:pPr>
        <w:tabs>
          <w:tab w:val="left" w:pos="1925"/>
          <w:tab w:val="center" w:pos="4135"/>
        </w:tabs>
        <w:jc w:val="center"/>
        <w:rPr>
          <w:rFonts w:ascii="Arial" w:hAnsi="Arial" w:cs="Arial"/>
          <w:sz w:val="26"/>
          <w:szCs w:val="26"/>
        </w:rPr>
      </w:pPr>
      <w:r w:rsidRPr="00366AD3">
        <w:rPr>
          <w:rFonts w:ascii="Arial" w:hAnsi="Arial" w:cs="Arial"/>
          <w:sz w:val="26"/>
          <w:szCs w:val="26"/>
        </w:rPr>
        <w:t>MAGISTRADA GLORIA DEL CARMEN CAMACHO MEZA</w:t>
      </w:r>
    </w:p>
    <w:p w14:paraId="0629EE93" w14:textId="77777777" w:rsidR="00EB7617" w:rsidRDefault="00EB7617" w:rsidP="00EB7617">
      <w:pPr>
        <w:tabs>
          <w:tab w:val="left" w:pos="1925"/>
          <w:tab w:val="center" w:pos="4135"/>
        </w:tabs>
        <w:jc w:val="center"/>
        <w:rPr>
          <w:rFonts w:ascii="Arial" w:hAnsi="Arial" w:cs="Arial"/>
          <w:sz w:val="26"/>
          <w:szCs w:val="26"/>
        </w:rPr>
      </w:pPr>
    </w:p>
    <w:p w14:paraId="30DB06B5" w14:textId="77777777" w:rsidR="00EB7617" w:rsidRDefault="00EB7617" w:rsidP="00EB7617">
      <w:pPr>
        <w:tabs>
          <w:tab w:val="left" w:pos="1925"/>
          <w:tab w:val="center" w:pos="4135"/>
        </w:tabs>
        <w:rPr>
          <w:rFonts w:ascii="Arial" w:hAnsi="Arial" w:cs="Arial"/>
          <w:sz w:val="26"/>
          <w:szCs w:val="26"/>
        </w:rPr>
      </w:pPr>
    </w:p>
    <w:p w14:paraId="5D9D1C21" w14:textId="41A45748" w:rsidR="00EB7617" w:rsidRDefault="00EB7617" w:rsidP="00EB7617">
      <w:pPr>
        <w:tabs>
          <w:tab w:val="left" w:pos="1925"/>
          <w:tab w:val="center" w:pos="4135"/>
        </w:tabs>
        <w:jc w:val="center"/>
        <w:rPr>
          <w:rFonts w:ascii="Arial" w:hAnsi="Arial" w:cs="Arial"/>
          <w:sz w:val="26"/>
          <w:szCs w:val="26"/>
        </w:rPr>
      </w:pPr>
    </w:p>
    <w:p w14:paraId="58B53135" w14:textId="77777777" w:rsidR="00EB7617" w:rsidRDefault="00EB7617" w:rsidP="00EB7617">
      <w:pPr>
        <w:tabs>
          <w:tab w:val="left" w:pos="1925"/>
          <w:tab w:val="center" w:pos="4135"/>
        </w:tabs>
        <w:jc w:val="center"/>
        <w:rPr>
          <w:rFonts w:ascii="Arial" w:hAnsi="Arial" w:cs="Arial"/>
          <w:sz w:val="26"/>
          <w:szCs w:val="26"/>
        </w:rPr>
      </w:pPr>
    </w:p>
    <w:p w14:paraId="516F1269" w14:textId="2C420946" w:rsidR="00EB7617" w:rsidRDefault="00EB7617" w:rsidP="00EB7617">
      <w:pPr>
        <w:tabs>
          <w:tab w:val="left" w:pos="1925"/>
          <w:tab w:val="center" w:pos="4135"/>
        </w:tabs>
        <w:jc w:val="center"/>
        <w:rPr>
          <w:rFonts w:ascii="Arial" w:hAnsi="Arial" w:cs="Arial"/>
          <w:sz w:val="26"/>
          <w:szCs w:val="26"/>
        </w:rPr>
      </w:pPr>
      <w:r w:rsidRPr="00366AD3">
        <w:rPr>
          <w:rFonts w:ascii="Arial" w:hAnsi="Arial" w:cs="Arial"/>
          <w:sz w:val="26"/>
          <w:szCs w:val="26"/>
        </w:rPr>
        <w:t>MAGISTRADO PAULO JOSÉ LUIS TAPIA PALACIOS</w:t>
      </w:r>
    </w:p>
    <w:p w14:paraId="51FA4BD7" w14:textId="77777777" w:rsidR="00EB7617" w:rsidRDefault="00EB7617" w:rsidP="00EB7617">
      <w:pPr>
        <w:tabs>
          <w:tab w:val="left" w:pos="1925"/>
          <w:tab w:val="center" w:pos="4135"/>
        </w:tabs>
        <w:jc w:val="center"/>
        <w:rPr>
          <w:rFonts w:ascii="Arial" w:hAnsi="Arial" w:cs="Arial"/>
          <w:sz w:val="26"/>
          <w:szCs w:val="26"/>
        </w:rPr>
      </w:pPr>
    </w:p>
    <w:p w14:paraId="0A3C6B53" w14:textId="77777777" w:rsidR="00EB7617" w:rsidRDefault="00EB7617" w:rsidP="00EB7617">
      <w:pPr>
        <w:tabs>
          <w:tab w:val="left" w:pos="1925"/>
          <w:tab w:val="center" w:pos="4135"/>
        </w:tabs>
        <w:jc w:val="center"/>
        <w:rPr>
          <w:rFonts w:ascii="Arial" w:hAnsi="Arial" w:cs="Arial"/>
          <w:sz w:val="26"/>
          <w:szCs w:val="26"/>
        </w:rPr>
      </w:pPr>
    </w:p>
    <w:p w14:paraId="4AEDF810" w14:textId="77777777" w:rsidR="00EB7617" w:rsidRDefault="00EB7617" w:rsidP="00EB7617">
      <w:pPr>
        <w:tabs>
          <w:tab w:val="left" w:pos="1925"/>
          <w:tab w:val="center" w:pos="4135"/>
        </w:tabs>
        <w:jc w:val="center"/>
        <w:rPr>
          <w:rFonts w:ascii="Arial" w:hAnsi="Arial" w:cs="Arial"/>
          <w:sz w:val="26"/>
          <w:szCs w:val="26"/>
        </w:rPr>
      </w:pPr>
    </w:p>
    <w:p w14:paraId="26525E66" w14:textId="77777777" w:rsidR="00EB7617" w:rsidRPr="00366AD3" w:rsidRDefault="00EB7617" w:rsidP="00EB7617">
      <w:pPr>
        <w:tabs>
          <w:tab w:val="left" w:pos="1925"/>
          <w:tab w:val="center" w:pos="4135"/>
        </w:tabs>
        <w:jc w:val="center"/>
        <w:rPr>
          <w:rFonts w:ascii="Arial" w:hAnsi="Arial" w:cs="Arial"/>
          <w:sz w:val="26"/>
          <w:szCs w:val="26"/>
        </w:rPr>
      </w:pPr>
    </w:p>
    <w:p w14:paraId="40FC27B3" w14:textId="77777777" w:rsidR="00EB7617" w:rsidRDefault="00EB7617" w:rsidP="00EB7617">
      <w:pPr>
        <w:tabs>
          <w:tab w:val="center" w:pos="4135"/>
          <w:tab w:val="left" w:pos="7515"/>
        </w:tabs>
        <w:spacing w:line="360" w:lineRule="auto"/>
        <w:jc w:val="center"/>
        <w:rPr>
          <w:rFonts w:ascii="Arial" w:hAnsi="Arial" w:cs="Arial"/>
          <w:sz w:val="26"/>
          <w:szCs w:val="26"/>
        </w:rPr>
      </w:pPr>
      <w:r w:rsidRPr="003A0222">
        <w:rPr>
          <w:rFonts w:ascii="Arial" w:hAnsi="Arial" w:cs="Arial"/>
          <w:sz w:val="26"/>
          <w:szCs w:val="26"/>
        </w:rPr>
        <w:t>MAGISTRADO ELÍAS CORTÉS LÓPEZ</w:t>
      </w:r>
    </w:p>
    <w:p w14:paraId="248BE428" w14:textId="77777777" w:rsidR="00EB7617" w:rsidRDefault="00EB7617" w:rsidP="00EB7617">
      <w:pPr>
        <w:tabs>
          <w:tab w:val="center" w:pos="4135"/>
          <w:tab w:val="left" w:pos="7515"/>
        </w:tabs>
        <w:spacing w:line="360" w:lineRule="auto"/>
        <w:jc w:val="center"/>
        <w:rPr>
          <w:rFonts w:ascii="Arial" w:hAnsi="Arial" w:cs="Arial"/>
          <w:sz w:val="26"/>
          <w:szCs w:val="26"/>
        </w:rPr>
      </w:pPr>
    </w:p>
    <w:p w14:paraId="514499C9" w14:textId="77777777" w:rsidR="00053613" w:rsidRPr="00326DD7" w:rsidRDefault="00053613" w:rsidP="00053613">
      <w:pPr>
        <w:tabs>
          <w:tab w:val="center" w:pos="4135"/>
          <w:tab w:val="left" w:pos="7515"/>
        </w:tabs>
        <w:spacing w:line="360" w:lineRule="auto"/>
        <w:jc w:val="center"/>
        <w:rPr>
          <w:rFonts w:ascii="Arial" w:hAnsi="Arial" w:cs="Arial"/>
          <w:b/>
          <w:sz w:val="16"/>
          <w:szCs w:val="16"/>
        </w:rPr>
      </w:pPr>
      <w:r w:rsidRPr="00326DD7">
        <w:rPr>
          <w:rFonts w:ascii="Arial" w:hAnsi="Arial" w:cs="Arial"/>
          <w:b/>
          <w:sz w:val="16"/>
          <w:szCs w:val="16"/>
        </w:rPr>
        <w:lastRenderedPageBreak/>
        <w:t>LAS PRESENTES FIRMAS CORRESPONDEN A LA RESOLUCIÓN DEL RECURSO DE REVISIÓN 0</w:t>
      </w:r>
      <w:r>
        <w:rPr>
          <w:rFonts w:ascii="Arial" w:hAnsi="Arial" w:cs="Arial"/>
          <w:b/>
          <w:sz w:val="16"/>
          <w:szCs w:val="16"/>
        </w:rPr>
        <w:t>362</w:t>
      </w:r>
      <w:r w:rsidRPr="00326DD7">
        <w:rPr>
          <w:rFonts w:ascii="Arial" w:hAnsi="Arial" w:cs="Arial"/>
          <w:b/>
          <w:sz w:val="16"/>
          <w:szCs w:val="16"/>
        </w:rPr>
        <w:t>/20</w:t>
      </w:r>
      <w:r>
        <w:rPr>
          <w:rFonts w:ascii="Arial" w:hAnsi="Arial" w:cs="Arial"/>
          <w:b/>
          <w:sz w:val="16"/>
          <w:szCs w:val="16"/>
        </w:rPr>
        <w:t>21</w:t>
      </w:r>
      <w:r w:rsidRPr="00326DD7">
        <w:rPr>
          <w:rFonts w:ascii="Arial" w:hAnsi="Arial" w:cs="Arial"/>
          <w:b/>
          <w:sz w:val="16"/>
          <w:szCs w:val="16"/>
        </w:rPr>
        <w:t>.</w:t>
      </w:r>
    </w:p>
    <w:p w14:paraId="25BC9C1D" w14:textId="77777777" w:rsidR="00EB7617" w:rsidRDefault="00EB7617" w:rsidP="00EB7617">
      <w:pPr>
        <w:tabs>
          <w:tab w:val="center" w:pos="4135"/>
          <w:tab w:val="left" w:pos="7515"/>
        </w:tabs>
        <w:spacing w:line="360" w:lineRule="auto"/>
        <w:jc w:val="center"/>
        <w:rPr>
          <w:rFonts w:ascii="Arial" w:hAnsi="Arial" w:cs="Arial"/>
          <w:sz w:val="26"/>
          <w:szCs w:val="26"/>
        </w:rPr>
      </w:pPr>
    </w:p>
    <w:p w14:paraId="4FBDC63F" w14:textId="77777777" w:rsidR="00EB7617" w:rsidRDefault="00EB7617" w:rsidP="00EB7617">
      <w:pPr>
        <w:tabs>
          <w:tab w:val="center" w:pos="4135"/>
          <w:tab w:val="left" w:pos="7515"/>
        </w:tabs>
        <w:spacing w:line="360" w:lineRule="auto"/>
        <w:jc w:val="center"/>
        <w:rPr>
          <w:rFonts w:ascii="Arial" w:hAnsi="Arial" w:cs="Arial"/>
          <w:sz w:val="26"/>
          <w:szCs w:val="26"/>
        </w:rPr>
      </w:pPr>
    </w:p>
    <w:p w14:paraId="3E6B4431" w14:textId="77777777" w:rsidR="00EB7617" w:rsidRDefault="00EB7617" w:rsidP="00EB7617">
      <w:pPr>
        <w:jc w:val="center"/>
        <w:rPr>
          <w:rFonts w:ascii="Arial" w:hAnsi="Arial" w:cs="Arial"/>
          <w:sz w:val="26"/>
          <w:szCs w:val="26"/>
        </w:rPr>
      </w:pPr>
    </w:p>
    <w:p w14:paraId="3423D575" w14:textId="77777777" w:rsidR="00EB7617" w:rsidRDefault="00EB7617" w:rsidP="00EB7617">
      <w:pPr>
        <w:spacing w:after="0" w:line="240" w:lineRule="auto"/>
        <w:jc w:val="center"/>
        <w:rPr>
          <w:rFonts w:ascii="Arial" w:hAnsi="Arial" w:cs="Arial"/>
          <w:sz w:val="26"/>
          <w:szCs w:val="26"/>
        </w:rPr>
      </w:pPr>
      <w:r w:rsidRPr="00366AD3">
        <w:rPr>
          <w:rFonts w:ascii="Arial" w:hAnsi="Arial" w:cs="Arial"/>
          <w:sz w:val="26"/>
          <w:szCs w:val="26"/>
        </w:rPr>
        <w:t>LIC. JUAN EDY GARCÍA CORONADO</w:t>
      </w:r>
    </w:p>
    <w:p w14:paraId="5DC0B22F" w14:textId="77777777" w:rsidR="00EB7617" w:rsidRPr="00E5261F" w:rsidRDefault="00EB7617" w:rsidP="00EB7617">
      <w:pPr>
        <w:spacing w:after="0" w:line="240" w:lineRule="auto"/>
        <w:jc w:val="center"/>
        <w:rPr>
          <w:sz w:val="26"/>
          <w:szCs w:val="26"/>
        </w:rPr>
      </w:pPr>
      <w:r w:rsidRPr="00366AD3">
        <w:rPr>
          <w:rFonts w:ascii="Arial" w:hAnsi="Arial" w:cs="Arial"/>
          <w:sz w:val="26"/>
          <w:szCs w:val="26"/>
        </w:rPr>
        <w:t>SECRETARIO GENERAL DE ACUERDOS</w:t>
      </w:r>
    </w:p>
    <w:p w14:paraId="44809642" w14:textId="77777777" w:rsidR="00EB7617" w:rsidRPr="00A57E1D" w:rsidRDefault="00EB7617" w:rsidP="00EB7617">
      <w:pPr>
        <w:tabs>
          <w:tab w:val="center" w:pos="4135"/>
          <w:tab w:val="left" w:pos="7515"/>
        </w:tabs>
        <w:spacing w:after="0" w:line="360" w:lineRule="auto"/>
        <w:jc w:val="center"/>
      </w:pPr>
    </w:p>
    <w:p w14:paraId="099C5C99" w14:textId="77777777" w:rsidR="002614F4" w:rsidRDefault="002614F4"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00EF8C3C" w:rsidR="00BA258A" w:rsidRPr="003B6CF0" w:rsidRDefault="006D1DB2" w:rsidP="003B6CF0">
      <w:r w:rsidRPr="003B6CF0">
        <w:t xml:space="preserve"> </w:t>
      </w:r>
    </w:p>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4897EF" w14:textId="77777777" w:rsidR="000D49AB" w:rsidRDefault="000D49AB">
      <w:pPr>
        <w:spacing w:after="0" w:line="240" w:lineRule="auto"/>
      </w:pPr>
      <w:r>
        <w:separator/>
      </w:r>
    </w:p>
  </w:endnote>
  <w:endnote w:type="continuationSeparator" w:id="0">
    <w:p w14:paraId="00121270" w14:textId="77777777" w:rsidR="000D49AB" w:rsidRDefault="000D4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84F36E" w14:textId="77777777" w:rsidR="000D49AB" w:rsidRDefault="000D49AB">
      <w:pPr>
        <w:spacing w:after="0" w:line="240" w:lineRule="auto"/>
      </w:pPr>
      <w:r>
        <w:separator/>
      </w:r>
    </w:p>
  </w:footnote>
  <w:footnote w:type="continuationSeparator" w:id="0">
    <w:p w14:paraId="463D3C8A" w14:textId="77777777" w:rsidR="000D49AB" w:rsidRDefault="000D49AB">
      <w:pPr>
        <w:spacing w:after="0" w:line="240" w:lineRule="auto"/>
      </w:pPr>
      <w:r>
        <w:continuationSeparator/>
      </w:r>
    </w:p>
  </w:footnote>
  <w:footnote w:id="1">
    <w:p w14:paraId="44B86BCF" w14:textId="77777777" w:rsidR="00042531" w:rsidRPr="00446A19" w:rsidRDefault="00042531" w:rsidP="00042531">
      <w:pPr>
        <w:pStyle w:val="Textonotapie"/>
        <w:jc w:val="both"/>
        <w:rPr>
          <w:rFonts w:ascii="Arial" w:hAnsi="Arial" w:cs="Arial"/>
          <w:i/>
        </w:rPr>
      </w:pPr>
      <w:r w:rsidRPr="00446A19">
        <w:rPr>
          <w:rStyle w:val="Refdenotaalpie"/>
          <w:rFonts w:ascii="Arial" w:hAnsi="Arial" w:cs="Arial"/>
          <w:i/>
        </w:rPr>
        <w:footnoteRef/>
      </w:r>
      <w:r w:rsidRPr="00446A19">
        <w:rPr>
          <w:rFonts w:ascii="Arial" w:hAnsi="Arial" w:cs="Arial"/>
          <w:i/>
        </w:rPr>
        <w:t xml:space="preserve"> “</w:t>
      </w:r>
      <w:r w:rsidRPr="00446A19">
        <w:rPr>
          <w:rFonts w:ascii="Arial" w:hAnsi="Arial" w:cs="Arial"/>
          <w:b/>
          <w:i/>
        </w:rPr>
        <w:t xml:space="preserve">ARTÍCULO 203.- </w:t>
      </w:r>
      <w:r w:rsidRPr="00446A19">
        <w:rPr>
          <w:rFonts w:ascii="Arial" w:hAnsi="Arial" w:cs="Arial"/>
          <w:i/>
        </w:rPr>
        <w:t>La valoración de las pruebas se hará de acuerdo con las siguientes reglas:</w:t>
      </w:r>
    </w:p>
    <w:p w14:paraId="720CB51E" w14:textId="77777777" w:rsidR="00042531" w:rsidRPr="00446A19" w:rsidRDefault="00042531" w:rsidP="00042531">
      <w:pPr>
        <w:pStyle w:val="Textonotapie"/>
        <w:jc w:val="both"/>
        <w:rPr>
          <w:rFonts w:ascii="Arial" w:hAnsi="Arial" w:cs="Arial"/>
          <w:i/>
        </w:rPr>
      </w:pPr>
      <w:r w:rsidRPr="00446A19">
        <w:rPr>
          <w:rFonts w:ascii="Arial" w:hAnsi="Arial" w:cs="Arial"/>
          <w:i/>
        </w:rPr>
        <w:t xml:space="preserve">   I. Harán prueba plena la confesión expresa de las partes y los actos contenidos en documentos públicos, si en éstos últimos se cont</w:t>
      </w:r>
      <w:r>
        <w:rPr>
          <w:rFonts w:ascii="Arial" w:hAnsi="Arial" w:cs="Arial"/>
          <w:i/>
        </w:rPr>
        <w:t>ienen</w:t>
      </w:r>
      <w:r w:rsidRPr="00446A19">
        <w:rPr>
          <w:rFonts w:ascii="Arial" w:hAnsi="Arial" w:cs="Arial"/>
          <w:i/>
        </w:rPr>
        <w:t xml:space="preserve"> declaraciones de verdad o manifestaciones de hechos de particulares; y</w:t>
      </w:r>
    </w:p>
    <w:p w14:paraId="6C8D46B1" w14:textId="77777777" w:rsidR="00042531" w:rsidRPr="002E365A" w:rsidRDefault="00042531" w:rsidP="00042531">
      <w:pPr>
        <w:pStyle w:val="Textonotapie"/>
        <w:jc w:val="both"/>
      </w:pPr>
      <w:r>
        <w:t xml:space="preserve">   …”</w:t>
      </w:r>
    </w:p>
  </w:footnote>
  <w:footnote w:id="2">
    <w:p w14:paraId="42550613" w14:textId="76B74FBB" w:rsidR="00042531" w:rsidRPr="008B7917" w:rsidRDefault="00042531" w:rsidP="00042531">
      <w:pPr>
        <w:pStyle w:val="Textonotapie"/>
        <w:jc w:val="both"/>
        <w:rPr>
          <w:rFonts w:ascii="Arial" w:hAnsi="Arial" w:cs="Arial"/>
        </w:rPr>
      </w:pPr>
      <w:r w:rsidRPr="008B7917">
        <w:rPr>
          <w:rStyle w:val="Refdenotaalpie"/>
          <w:rFonts w:ascii="Arial" w:hAnsi="Arial" w:cs="Arial"/>
        </w:rPr>
        <w:footnoteRef/>
      </w:r>
      <w:r w:rsidRPr="008B7917">
        <w:rPr>
          <w:rFonts w:ascii="Arial" w:hAnsi="Arial" w:cs="Arial"/>
        </w:rPr>
        <w:t xml:space="preserve"> Visible en la foja 10 (diez) del expediente </w:t>
      </w:r>
      <w:r w:rsidRPr="008B7917">
        <w:rPr>
          <w:rFonts w:ascii="Arial" w:hAnsi="Arial" w:cs="Arial"/>
          <w:b/>
          <w:bCs/>
        </w:rPr>
        <w:t>0049/2019</w:t>
      </w:r>
      <w:r w:rsidRPr="008B7917">
        <w:rPr>
          <w:rFonts w:ascii="Arial" w:hAnsi="Arial" w:cs="Arial"/>
        </w:rPr>
        <w:t xml:space="preserve"> del índice de la Tercera Sala Unitaria de Primera Instancia. </w:t>
      </w:r>
    </w:p>
  </w:footnote>
  <w:footnote w:id="3">
    <w:p w14:paraId="315186AE" w14:textId="77777777" w:rsidR="002E7076" w:rsidRPr="002E7076" w:rsidRDefault="002E7076" w:rsidP="002E7076">
      <w:pPr>
        <w:pStyle w:val="Textonotapie"/>
        <w:jc w:val="both"/>
        <w:rPr>
          <w:rFonts w:ascii="Arial" w:hAnsi="Arial" w:cs="Arial"/>
          <w:i/>
          <w:iCs/>
        </w:rPr>
      </w:pPr>
      <w:r w:rsidRPr="002E7076">
        <w:rPr>
          <w:rStyle w:val="Refdenotaalpie"/>
          <w:rFonts w:ascii="Arial" w:hAnsi="Arial" w:cs="Arial"/>
          <w:i/>
          <w:iCs/>
        </w:rPr>
        <w:footnoteRef/>
      </w:r>
      <w:r w:rsidRPr="002E7076">
        <w:rPr>
          <w:rFonts w:ascii="Arial" w:hAnsi="Arial" w:cs="Arial"/>
          <w:i/>
          <w:iCs/>
        </w:rPr>
        <w:t xml:space="preserve"> </w:t>
      </w:r>
      <w:r w:rsidRPr="002E7076">
        <w:rPr>
          <w:rFonts w:ascii="Arial" w:hAnsi="Arial" w:cs="Arial"/>
          <w:b/>
          <w:bCs/>
          <w:i/>
          <w:iCs/>
        </w:rPr>
        <w:t>“ARTÍCULO 207.-</w:t>
      </w:r>
      <w:r w:rsidRPr="002E7076">
        <w:rPr>
          <w:rFonts w:ascii="Arial" w:hAnsi="Arial" w:cs="Arial"/>
          <w:i/>
          <w:iCs/>
        </w:rPr>
        <w:t xml:space="preserve"> Las sentencias que emita el Tribunal, deberán de contener: </w:t>
      </w:r>
    </w:p>
    <w:p w14:paraId="1FA88313" w14:textId="77777777" w:rsidR="002E7076" w:rsidRPr="002E7076" w:rsidRDefault="002E7076" w:rsidP="002E7076">
      <w:pPr>
        <w:pStyle w:val="Textonotapie"/>
        <w:jc w:val="both"/>
        <w:rPr>
          <w:rFonts w:ascii="Arial" w:hAnsi="Arial" w:cs="Arial"/>
          <w:i/>
          <w:iCs/>
        </w:rPr>
      </w:pPr>
      <w:r w:rsidRPr="002E7076">
        <w:rPr>
          <w:rFonts w:ascii="Arial" w:hAnsi="Arial" w:cs="Arial"/>
          <w:i/>
          <w:iCs/>
        </w:rPr>
        <w:t xml:space="preserve">I. La fijación clara y precisa de los puntos controvertidos, la exposición de las razones por las que, en su caso, se haga uso de la facultad para suplir la deficiencia de la queja, así como el examen y valoración de las pruebas que se hayan rendido; </w:t>
      </w:r>
    </w:p>
    <w:p w14:paraId="1EB93CC8" w14:textId="77777777" w:rsidR="002E7076" w:rsidRPr="002E7076" w:rsidRDefault="002E7076" w:rsidP="002E7076">
      <w:pPr>
        <w:pStyle w:val="Textonotapie"/>
        <w:jc w:val="both"/>
        <w:rPr>
          <w:rFonts w:ascii="Arial" w:hAnsi="Arial" w:cs="Arial"/>
          <w:i/>
          <w:iCs/>
        </w:rPr>
      </w:pPr>
      <w:r w:rsidRPr="002E7076">
        <w:rPr>
          <w:rFonts w:ascii="Arial" w:hAnsi="Arial" w:cs="Arial"/>
          <w:i/>
          <w:iCs/>
        </w:rPr>
        <w:t xml:space="preserve">II. La exposición debidamente fundada y motivada de las consideraciones en que se basa la resolución; y </w:t>
      </w:r>
    </w:p>
    <w:p w14:paraId="435D8612" w14:textId="77777777" w:rsidR="002E7076" w:rsidRPr="002E7076" w:rsidRDefault="002E7076" w:rsidP="002E7076">
      <w:pPr>
        <w:pStyle w:val="Textonotapie"/>
        <w:jc w:val="both"/>
        <w:rPr>
          <w:rFonts w:ascii="Arial" w:hAnsi="Arial" w:cs="Arial"/>
          <w:i/>
          <w:iCs/>
        </w:rPr>
      </w:pPr>
      <w:r w:rsidRPr="002E7076">
        <w:rPr>
          <w:rFonts w:ascii="Arial" w:hAnsi="Arial" w:cs="Arial"/>
          <w:i/>
          <w:iCs/>
        </w:rPr>
        <w:t>III. Los puntos resolutivos, los que expresarán los actos o resoluciones cuya validez se reconozca o cuya nulidad se declare.</w:t>
      </w:r>
      <w:r>
        <w:rPr>
          <w:rFonts w:ascii="Arial" w:hAnsi="Arial" w:cs="Arial"/>
          <w:i/>
          <w:iCs/>
        </w:rPr>
        <w:t>”</w:t>
      </w:r>
    </w:p>
  </w:footnote>
  <w:footnote w:id="4">
    <w:p w14:paraId="1553BBFA" w14:textId="467D2871" w:rsidR="00DA2851" w:rsidRPr="00DA2851" w:rsidRDefault="00DA2851" w:rsidP="00DA2851">
      <w:pPr>
        <w:pStyle w:val="Textonotapie"/>
        <w:jc w:val="both"/>
        <w:rPr>
          <w:rFonts w:ascii="Arial" w:hAnsi="Arial" w:cs="Arial"/>
          <w:i/>
          <w:iCs/>
        </w:rPr>
      </w:pPr>
      <w:r w:rsidRPr="00DA2851">
        <w:rPr>
          <w:rStyle w:val="Refdenotaalpie"/>
          <w:rFonts w:ascii="Arial" w:hAnsi="Arial" w:cs="Arial"/>
          <w:i/>
          <w:iCs/>
        </w:rPr>
        <w:footnoteRef/>
      </w:r>
      <w:r w:rsidRPr="00DA2851">
        <w:rPr>
          <w:rFonts w:ascii="Arial" w:hAnsi="Arial" w:cs="Arial"/>
          <w:i/>
          <w:iCs/>
        </w:rPr>
        <w:t xml:space="preserve"> </w:t>
      </w:r>
      <w:r w:rsidRPr="00DA2851">
        <w:rPr>
          <w:rFonts w:ascii="Arial" w:hAnsi="Arial" w:cs="Arial"/>
          <w:b/>
          <w:bCs/>
          <w:i/>
          <w:iCs/>
        </w:rPr>
        <w:t>“ARTÍCULO 208.-</w:t>
      </w:r>
      <w:r w:rsidRPr="00DA2851">
        <w:rPr>
          <w:rFonts w:ascii="Arial" w:hAnsi="Arial" w:cs="Arial"/>
          <w:i/>
          <w:iCs/>
        </w:rPr>
        <w:t xml:space="preserve"> Se declarará que un acto administrativo es ilegal si de esa ilegalidad</w:t>
      </w:r>
      <w:r>
        <w:rPr>
          <w:rFonts w:ascii="Arial" w:hAnsi="Arial" w:cs="Arial"/>
          <w:i/>
          <w:iCs/>
        </w:rPr>
        <w:t xml:space="preserve"> </w:t>
      </w:r>
      <w:r w:rsidRPr="00DA2851">
        <w:rPr>
          <w:rFonts w:ascii="Arial" w:hAnsi="Arial" w:cs="Arial"/>
          <w:i/>
          <w:iCs/>
        </w:rPr>
        <w:t>nace su nulidad relativa o absoluta, cuando se demuestre alguna de las siguientes causales:</w:t>
      </w:r>
      <w:r>
        <w:rPr>
          <w:rFonts w:ascii="Arial" w:hAnsi="Arial" w:cs="Arial"/>
          <w:i/>
          <w:iCs/>
        </w:rPr>
        <w:t xml:space="preserve"> (…)</w:t>
      </w:r>
    </w:p>
    <w:p w14:paraId="355987CF" w14:textId="53BCA3C1" w:rsidR="00DA2851" w:rsidRPr="00DA2851" w:rsidRDefault="00DA2851" w:rsidP="00DA2851">
      <w:pPr>
        <w:pStyle w:val="Textonotapie"/>
        <w:jc w:val="both"/>
        <w:rPr>
          <w:rFonts w:ascii="Arial" w:hAnsi="Arial" w:cs="Arial"/>
          <w:i/>
          <w:iCs/>
        </w:rPr>
      </w:pPr>
      <w:r w:rsidRPr="00DA2851">
        <w:rPr>
          <w:rFonts w:ascii="Arial" w:hAnsi="Arial" w:cs="Arial"/>
          <w:i/>
          <w:iCs/>
        </w:rPr>
        <w:t>El Tribunal podrá hacer valer de oficio, por ser de orden público, la incompetencia de la autoridad para dictar la resolución impugnada y la ausencia total o parcial de fundamentación o motivación en dicha resolución.</w:t>
      </w:r>
      <w:r>
        <w:rPr>
          <w:rFonts w:ascii="Arial" w:hAnsi="Arial" w:cs="Arial"/>
          <w:i/>
          <w:iCs/>
        </w:rPr>
        <w:t>”</w:t>
      </w:r>
    </w:p>
  </w:footnote>
  <w:footnote w:id="5">
    <w:p w14:paraId="595952CA" w14:textId="2EF44FAB" w:rsidR="006F7DE8" w:rsidRPr="006F7DE8" w:rsidRDefault="006F7DE8" w:rsidP="006F7DE8">
      <w:pPr>
        <w:pStyle w:val="Textonotapie"/>
        <w:jc w:val="both"/>
        <w:rPr>
          <w:rFonts w:ascii="Arial" w:hAnsi="Arial" w:cs="Arial"/>
        </w:rPr>
      </w:pPr>
      <w:r w:rsidRPr="006F7DE8">
        <w:rPr>
          <w:rStyle w:val="Refdenotaalpie"/>
          <w:rFonts w:ascii="Arial" w:hAnsi="Arial" w:cs="Arial"/>
        </w:rPr>
        <w:footnoteRef/>
      </w:r>
      <w:r w:rsidRPr="006F7DE8">
        <w:rPr>
          <w:rFonts w:ascii="Arial" w:hAnsi="Arial" w:cs="Arial"/>
        </w:rPr>
        <w:t xml:space="preserve"> Demanda agregada de la foja 01 (uno) a la 08 (ocho) del expediente </w:t>
      </w:r>
      <w:r w:rsidRPr="006F7DE8">
        <w:rPr>
          <w:rFonts w:ascii="Arial" w:hAnsi="Arial" w:cs="Arial"/>
          <w:b/>
          <w:bCs/>
        </w:rPr>
        <w:t>0049/2019</w:t>
      </w:r>
      <w:r w:rsidRPr="006F7DE8">
        <w:rPr>
          <w:rFonts w:ascii="Arial" w:hAnsi="Arial" w:cs="Arial"/>
        </w:rPr>
        <w:t xml:space="preserve"> del índice de la Tercera Sala Unitaria de Primera Instancia.</w:t>
      </w:r>
    </w:p>
  </w:footnote>
  <w:footnote w:id="6">
    <w:p w14:paraId="5333F3BF" w14:textId="77777777" w:rsidR="00110B19" w:rsidRDefault="00110B19" w:rsidP="00110B19">
      <w:pPr>
        <w:pStyle w:val="Textonotapie"/>
      </w:pPr>
      <w:r>
        <w:rPr>
          <w:rStyle w:val="Refdenotaalpie"/>
        </w:rPr>
        <w:footnoteRef/>
      </w:r>
      <w:r>
        <w:t xml:space="preserve"> </w:t>
      </w:r>
      <w:r w:rsidRPr="00872E20">
        <w:t>https://sjf2.scjn.gob.mx/detalle/tesis/237870</w:t>
      </w:r>
    </w:p>
  </w:footnote>
  <w:footnote w:id="7">
    <w:p w14:paraId="02C3D78C" w14:textId="7C28BE40" w:rsidR="00FE7521" w:rsidRPr="00FE7521" w:rsidRDefault="00FE7521" w:rsidP="00FE7521">
      <w:pPr>
        <w:pStyle w:val="Textonotapie"/>
        <w:jc w:val="both"/>
        <w:rPr>
          <w:rFonts w:ascii="Arial" w:hAnsi="Arial" w:cs="Arial"/>
          <w:i/>
          <w:iCs/>
        </w:rPr>
      </w:pPr>
      <w:r w:rsidRPr="00FE7521">
        <w:rPr>
          <w:rStyle w:val="Refdenotaalpie"/>
          <w:rFonts w:ascii="Arial" w:hAnsi="Arial" w:cs="Arial"/>
          <w:i/>
          <w:iCs/>
        </w:rPr>
        <w:footnoteRef/>
      </w:r>
      <w:r w:rsidRPr="00FE7521">
        <w:rPr>
          <w:rFonts w:ascii="Arial" w:hAnsi="Arial" w:cs="Arial"/>
          <w:i/>
          <w:iCs/>
        </w:rPr>
        <w:t xml:space="preserve"> </w:t>
      </w:r>
      <w:r>
        <w:rPr>
          <w:rFonts w:ascii="Arial" w:hAnsi="Arial" w:cs="Arial"/>
          <w:i/>
          <w:iCs/>
        </w:rPr>
        <w:t>“</w:t>
      </w:r>
      <w:r w:rsidRPr="00FE7521">
        <w:rPr>
          <w:rFonts w:ascii="Arial" w:hAnsi="Arial" w:cs="Arial"/>
          <w:b/>
          <w:bCs/>
          <w:i/>
          <w:iCs/>
        </w:rPr>
        <w:t>ARTÍCULO 208.-</w:t>
      </w:r>
      <w:r w:rsidRPr="00FE7521">
        <w:rPr>
          <w:rFonts w:ascii="Arial" w:hAnsi="Arial" w:cs="Arial"/>
          <w:i/>
          <w:iCs/>
        </w:rPr>
        <w:t xml:space="preserve"> Se declarará que un acto administrativo es ilegal si de esa ilegalidad nace su nulidad relativa o absoluta, cuando se demuestre alguna de las siguientes causales: (…) </w:t>
      </w:r>
    </w:p>
    <w:p w14:paraId="6B46AA0F" w14:textId="7AB31D26" w:rsidR="00FE7521" w:rsidRPr="00FE7521" w:rsidRDefault="00FE7521" w:rsidP="00FE7521">
      <w:pPr>
        <w:pStyle w:val="Textonotapie"/>
        <w:jc w:val="both"/>
        <w:rPr>
          <w:rFonts w:ascii="Arial" w:hAnsi="Arial" w:cs="Arial"/>
          <w:i/>
          <w:iCs/>
        </w:rPr>
      </w:pPr>
      <w:r w:rsidRPr="00FE7521">
        <w:rPr>
          <w:rFonts w:ascii="Arial" w:hAnsi="Arial" w:cs="Arial"/>
          <w:i/>
          <w:iCs/>
        </w:rPr>
        <w:t>II. Omisión de los requisitos formales exigidos por las leyes que afecten las defensas del particular y trasciendan al sentido de la resolución impugnada, inclusive la ausencia de fundamento o motivación, en su caso;</w:t>
      </w:r>
      <w:r>
        <w:rPr>
          <w:rFonts w:ascii="Arial" w:hAnsi="Arial" w:cs="Arial"/>
          <w:i/>
          <w:iCs/>
        </w:rPr>
        <w:t xml:space="preserve"> (…)”</w:t>
      </w:r>
    </w:p>
  </w:footnote>
  <w:footnote w:id="8">
    <w:p w14:paraId="13011D56" w14:textId="41DA3EF7" w:rsidR="00FE7521" w:rsidRPr="00FE7521" w:rsidRDefault="00FE7521" w:rsidP="00FE7521">
      <w:pPr>
        <w:pStyle w:val="Textonotapie"/>
        <w:jc w:val="both"/>
        <w:rPr>
          <w:rFonts w:ascii="Arial" w:hAnsi="Arial" w:cs="Arial"/>
          <w:i/>
          <w:iCs/>
        </w:rPr>
      </w:pPr>
      <w:r w:rsidRPr="00FE7521">
        <w:rPr>
          <w:rStyle w:val="Refdenotaalpie"/>
          <w:rFonts w:ascii="Arial" w:hAnsi="Arial" w:cs="Arial"/>
          <w:i/>
          <w:iCs/>
        </w:rPr>
        <w:footnoteRef/>
      </w:r>
      <w:r w:rsidRPr="00FE7521">
        <w:rPr>
          <w:rFonts w:ascii="Arial" w:hAnsi="Arial" w:cs="Arial"/>
          <w:i/>
          <w:iCs/>
        </w:rPr>
        <w:t xml:space="preserve"> </w:t>
      </w:r>
      <w:r w:rsidRPr="00FE7521">
        <w:rPr>
          <w:rFonts w:ascii="Arial" w:hAnsi="Arial" w:cs="Arial"/>
          <w:b/>
          <w:bCs/>
          <w:i/>
          <w:iCs/>
        </w:rPr>
        <w:t>“ARTÍCULO 209.-</w:t>
      </w:r>
      <w:r w:rsidRPr="00FE7521">
        <w:rPr>
          <w:rFonts w:ascii="Arial" w:hAnsi="Arial" w:cs="Arial"/>
          <w:i/>
          <w:iCs/>
        </w:rPr>
        <w:t xml:space="preserve">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r>
        <w:rPr>
          <w:rFonts w:ascii="Arial" w:hAnsi="Arial" w:cs="Arial"/>
          <w:i/>
          <w:iCs/>
        </w:rPr>
        <w:t>”</w:t>
      </w:r>
    </w:p>
  </w:footnote>
  <w:footnote w:id="9">
    <w:p w14:paraId="09E726B6" w14:textId="77777777" w:rsidR="004B6121" w:rsidRPr="00FE7521" w:rsidRDefault="004B6121" w:rsidP="004B6121">
      <w:pPr>
        <w:pStyle w:val="Textonotapie"/>
        <w:rPr>
          <w:rFonts w:ascii="Arial" w:hAnsi="Arial" w:cs="Arial"/>
        </w:rPr>
      </w:pPr>
      <w:r w:rsidRPr="00FE7521">
        <w:rPr>
          <w:rStyle w:val="Refdenotaalpie"/>
          <w:rFonts w:ascii="Arial" w:hAnsi="Arial" w:cs="Arial"/>
        </w:rPr>
        <w:footnoteRef/>
      </w:r>
      <w:r w:rsidRPr="00FE7521">
        <w:rPr>
          <w:rFonts w:ascii="Arial" w:hAnsi="Arial" w:cs="Arial"/>
        </w:rPr>
        <w:t xml:space="preserve"> https://sjf2.scjn.gob.mx/detalle/tesis/187531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AD78F6F" w:rsidR="000F5C41" w:rsidRDefault="0005361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053613">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D74FFFF" w:rsidR="000F5C41" w:rsidRDefault="0005361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053613">
          <w:rPr>
            <w:noProof/>
            <w:lang w:val="es-ES"/>
          </w:rPr>
          <w:t>13</w:t>
        </w:r>
        <w:r w:rsidR="000F5C41">
          <w:fldChar w:fldCharType="end"/>
        </w:r>
      </w:sdtContent>
    </w:sdt>
  </w:p>
  <w:p w14:paraId="51E22156" w14:textId="7681C089" w:rsidR="00655BA3" w:rsidRDefault="0005361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DE2B31F" wp14:editId="01FA32F6">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CFE8474" w14:textId="77777777" w:rsidR="00053613" w:rsidRDefault="00053613" w:rsidP="0005361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E2B31F"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3CFE8474" w14:textId="77777777" w:rsidR="00053613" w:rsidRDefault="00053613" w:rsidP="0005361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05361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7E570E6"/>
    <w:multiLevelType w:val="hybridMultilevel"/>
    <w:tmpl w:val="34808B50"/>
    <w:lvl w:ilvl="0" w:tplc="1908B71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D850F89"/>
    <w:multiLevelType w:val="hybridMultilevel"/>
    <w:tmpl w:val="F9BAF8B6"/>
    <w:lvl w:ilvl="0" w:tplc="7CD8EAF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10"/>
  </w:num>
  <w:num w:numId="5">
    <w:abstractNumId w:val="12"/>
  </w:num>
  <w:num w:numId="6">
    <w:abstractNumId w:val="6"/>
  </w:num>
  <w:num w:numId="7">
    <w:abstractNumId w:val="5"/>
  </w:num>
  <w:num w:numId="8">
    <w:abstractNumId w:val="1"/>
  </w:num>
  <w:num w:numId="9">
    <w:abstractNumId w:val="4"/>
  </w:num>
  <w:num w:numId="10">
    <w:abstractNumId w:val="9"/>
  </w:num>
  <w:num w:numId="11">
    <w:abstractNumId w:val="11"/>
  </w:num>
  <w:num w:numId="12">
    <w:abstractNumId w:val="8"/>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2531"/>
    <w:rsid w:val="00043077"/>
    <w:rsid w:val="000441B5"/>
    <w:rsid w:val="00044C5F"/>
    <w:rsid w:val="000450F5"/>
    <w:rsid w:val="00045390"/>
    <w:rsid w:val="000456C6"/>
    <w:rsid w:val="000461CA"/>
    <w:rsid w:val="00046260"/>
    <w:rsid w:val="000466B1"/>
    <w:rsid w:val="000466D5"/>
    <w:rsid w:val="000525F8"/>
    <w:rsid w:val="0005285F"/>
    <w:rsid w:val="00053207"/>
    <w:rsid w:val="00053613"/>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906"/>
    <w:rsid w:val="00064FD9"/>
    <w:rsid w:val="00065914"/>
    <w:rsid w:val="00065E9F"/>
    <w:rsid w:val="00066CC1"/>
    <w:rsid w:val="00067B5A"/>
    <w:rsid w:val="00070777"/>
    <w:rsid w:val="00070AA4"/>
    <w:rsid w:val="00071C6F"/>
    <w:rsid w:val="00071E8C"/>
    <w:rsid w:val="00071F15"/>
    <w:rsid w:val="000728B9"/>
    <w:rsid w:val="00073450"/>
    <w:rsid w:val="000737BF"/>
    <w:rsid w:val="00074A23"/>
    <w:rsid w:val="00074C62"/>
    <w:rsid w:val="000755A5"/>
    <w:rsid w:val="000756DE"/>
    <w:rsid w:val="000765F6"/>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2E17"/>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2D"/>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2B41"/>
    <w:rsid w:val="000C3DC9"/>
    <w:rsid w:val="000C4139"/>
    <w:rsid w:val="000C47B5"/>
    <w:rsid w:val="000C5414"/>
    <w:rsid w:val="000C5BCE"/>
    <w:rsid w:val="000C5DC1"/>
    <w:rsid w:val="000C6547"/>
    <w:rsid w:val="000C6670"/>
    <w:rsid w:val="000D04BF"/>
    <w:rsid w:val="000D153E"/>
    <w:rsid w:val="000D170C"/>
    <w:rsid w:val="000D1CF0"/>
    <w:rsid w:val="000D2A1F"/>
    <w:rsid w:val="000D3E85"/>
    <w:rsid w:val="000D42B5"/>
    <w:rsid w:val="000D49AB"/>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6AA4"/>
    <w:rsid w:val="0010719A"/>
    <w:rsid w:val="001108F3"/>
    <w:rsid w:val="00110B09"/>
    <w:rsid w:val="00110B19"/>
    <w:rsid w:val="00110C32"/>
    <w:rsid w:val="00110E02"/>
    <w:rsid w:val="00111BFC"/>
    <w:rsid w:val="00111CBB"/>
    <w:rsid w:val="0011210D"/>
    <w:rsid w:val="00112765"/>
    <w:rsid w:val="00112BF7"/>
    <w:rsid w:val="00112D43"/>
    <w:rsid w:val="00113361"/>
    <w:rsid w:val="00113A46"/>
    <w:rsid w:val="00114AC5"/>
    <w:rsid w:val="001150EF"/>
    <w:rsid w:val="001162E0"/>
    <w:rsid w:val="00116579"/>
    <w:rsid w:val="00116615"/>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5D08"/>
    <w:rsid w:val="00136897"/>
    <w:rsid w:val="0013695E"/>
    <w:rsid w:val="00136FB8"/>
    <w:rsid w:val="00137C86"/>
    <w:rsid w:val="0014043C"/>
    <w:rsid w:val="00140952"/>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05C"/>
    <w:rsid w:val="00156250"/>
    <w:rsid w:val="001569A9"/>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1C2C"/>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6F8"/>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1E13"/>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B"/>
    <w:rsid w:val="0022341D"/>
    <w:rsid w:val="0022360E"/>
    <w:rsid w:val="00223F75"/>
    <w:rsid w:val="00224412"/>
    <w:rsid w:val="002246DF"/>
    <w:rsid w:val="002248E9"/>
    <w:rsid w:val="00225069"/>
    <w:rsid w:val="00225A79"/>
    <w:rsid w:val="00227445"/>
    <w:rsid w:val="00227471"/>
    <w:rsid w:val="0022788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0EF"/>
    <w:rsid w:val="00256B3C"/>
    <w:rsid w:val="00256E7D"/>
    <w:rsid w:val="00256F27"/>
    <w:rsid w:val="00257816"/>
    <w:rsid w:val="00257C5E"/>
    <w:rsid w:val="00260433"/>
    <w:rsid w:val="0026116F"/>
    <w:rsid w:val="002614F4"/>
    <w:rsid w:val="002617F9"/>
    <w:rsid w:val="00262666"/>
    <w:rsid w:val="00262D7C"/>
    <w:rsid w:val="002636FA"/>
    <w:rsid w:val="00263720"/>
    <w:rsid w:val="00265161"/>
    <w:rsid w:val="00265F1B"/>
    <w:rsid w:val="00266455"/>
    <w:rsid w:val="002665A2"/>
    <w:rsid w:val="00267012"/>
    <w:rsid w:val="00267221"/>
    <w:rsid w:val="00270087"/>
    <w:rsid w:val="002704D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C2E"/>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1570"/>
    <w:rsid w:val="002C1B14"/>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D90"/>
    <w:rsid w:val="002E5EAB"/>
    <w:rsid w:val="002E6032"/>
    <w:rsid w:val="002E60D4"/>
    <w:rsid w:val="002E7076"/>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A2C"/>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0AB5"/>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1081"/>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D6B"/>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DD3"/>
    <w:rsid w:val="0037725F"/>
    <w:rsid w:val="00377563"/>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4516"/>
    <w:rsid w:val="003961E1"/>
    <w:rsid w:val="003974F9"/>
    <w:rsid w:val="003A0AA1"/>
    <w:rsid w:val="003A0FE5"/>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3CF4"/>
    <w:rsid w:val="003D4395"/>
    <w:rsid w:val="003D474C"/>
    <w:rsid w:val="003D5398"/>
    <w:rsid w:val="003D5BAD"/>
    <w:rsid w:val="003D5F20"/>
    <w:rsid w:val="003D69F8"/>
    <w:rsid w:val="003D6E19"/>
    <w:rsid w:val="003D737D"/>
    <w:rsid w:val="003D7E33"/>
    <w:rsid w:val="003E0C30"/>
    <w:rsid w:val="003E0F2A"/>
    <w:rsid w:val="003E1CD9"/>
    <w:rsid w:val="003E2854"/>
    <w:rsid w:val="003E2CF8"/>
    <w:rsid w:val="003E3169"/>
    <w:rsid w:val="003E35FB"/>
    <w:rsid w:val="003E3999"/>
    <w:rsid w:val="003E43BE"/>
    <w:rsid w:val="003E4A4E"/>
    <w:rsid w:val="003E504F"/>
    <w:rsid w:val="003E5231"/>
    <w:rsid w:val="003E5B98"/>
    <w:rsid w:val="003E605E"/>
    <w:rsid w:val="003E62FB"/>
    <w:rsid w:val="003E6831"/>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15"/>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49AB"/>
    <w:rsid w:val="00436B6F"/>
    <w:rsid w:val="00437D5A"/>
    <w:rsid w:val="0044044F"/>
    <w:rsid w:val="00441DE8"/>
    <w:rsid w:val="0044255A"/>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B2B"/>
    <w:rsid w:val="00477E07"/>
    <w:rsid w:val="00480A69"/>
    <w:rsid w:val="004813E0"/>
    <w:rsid w:val="004826CB"/>
    <w:rsid w:val="00483B0E"/>
    <w:rsid w:val="00484AE9"/>
    <w:rsid w:val="00485508"/>
    <w:rsid w:val="0048659E"/>
    <w:rsid w:val="00486775"/>
    <w:rsid w:val="004874A4"/>
    <w:rsid w:val="004878EC"/>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121"/>
    <w:rsid w:val="004B6800"/>
    <w:rsid w:val="004B69CB"/>
    <w:rsid w:val="004B6B98"/>
    <w:rsid w:val="004B748E"/>
    <w:rsid w:val="004B7A77"/>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430"/>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24BF"/>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4F743F"/>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E0D"/>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4637"/>
    <w:rsid w:val="00577656"/>
    <w:rsid w:val="0057772B"/>
    <w:rsid w:val="00580176"/>
    <w:rsid w:val="005802AF"/>
    <w:rsid w:val="00581327"/>
    <w:rsid w:val="005817AB"/>
    <w:rsid w:val="00582557"/>
    <w:rsid w:val="00582C57"/>
    <w:rsid w:val="005839F9"/>
    <w:rsid w:val="00584BAB"/>
    <w:rsid w:val="00584EFB"/>
    <w:rsid w:val="0058621D"/>
    <w:rsid w:val="00586D72"/>
    <w:rsid w:val="00586E4F"/>
    <w:rsid w:val="00587330"/>
    <w:rsid w:val="00587984"/>
    <w:rsid w:val="00587A84"/>
    <w:rsid w:val="00590AF7"/>
    <w:rsid w:val="00592360"/>
    <w:rsid w:val="0059268A"/>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A792F"/>
    <w:rsid w:val="005B1E67"/>
    <w:rsid w:val="005B2365"/>
    <w:rsid w:val="005B296A"/>
    <w:rsid w:val="005B3184"/>
    <w:rsid w:val="005B36F5"/>
    <w:rsid w:val="005B3BB9"/>
    <w:rsid w:val="005B3F3B"/>
    <w:rsid w:val="005B5890"/>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395"/>
    <w:rsid w:val="005C795A"/>
    <w:rsid w:val="005D0E8F"/>
    <w:rsid w:val="005D2CDE"/>
    <w:rsid w:val="005D2DDC"/>
    <w:rsid w:val="005D341C"/>
    <w:rsid w:val="005D3A26"/>
    <w:rsid w:val="005D3C96"/>
    <w:rsid w:val="005D4EDA"/>
    <w:rsid w:val="005D506F"/>
    <w:rsid w:val="005D559E"/>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6CB"/>
    <w:rsid w:val="00616F1D"/>
    <w:rsid w:val="00616FA1"/>
    <w:rsid w:val="00617C77"/>
    <w:rsid w:val="00617E6C"/>
    <w:rsid w:val="0062006E"/>
    <w:rsid w:val="00620357"/>
    <w:rsid w:val="00620FB8"/>
    <w:rsid w:val="006214D7"/>
    <w:rsid w:val="00621B71"/>
    <w:rsid w:val="00622BEF"/>
    <w:rsid w:val="0062386E"/>
    <w:rsid w:val="00624802"/>
    <w:rsid w:val="00624F20"/>
    <w:rsid w:val="00625B55"/>
    <w:rsid w:val="00625F4E"/>
    <w:rsid w:val="006279BE"/>
    <w:rsid w:val="006304BB"/>
    <w:rsid w:val="0063071F"/>
    <w:rsid w:val="00630C62"/>
    <w:rsid w:val="00631207"/>
    <w:rsid w:val="006321E7"/>
    <w:rsid w:val="0063273E"/>
    <w:rsid w:val="00633242"/>
    <w:rsid w:val="00633FA0"/>
    <w:rsid w:val="00634534"/>
    <w:rsid w:val="00634EF5"/>
    <w:rsid w:val="00636401"/>
    <w:rsid w:val="00636905"/>
    <w:rsid w:val="00636A93"/>
    <w:rsid w:val="00636F8C"/>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5F7D"/>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6F27"/>
    <w:rsid w:val="006775C4"/>
    <w:rsid w:val="0068056E"/>
    <w:rsid w:val="00681AC1"/>
    <w:rsid w:val="00681EE7"/>
    <w:rsid w:val="00682165"/>
    <w:rsid w:val="00682BF6"/>
    <w:rsid w:val="00683178"/>
    <w:rsid w:val="0068325D"/>
    <w:rsid w:val="00684F50"/>
    <w:rsid w:val="00685785"/>
    <w:rsid w:val="00686F6A"/>
    <w:rsid w:val="00687828"/>
    <w:rsid w:val="00687BEB"/>
    <w:rsid w:val="00691515"/>
    <w:rsid w:val="00691C57"/>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27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6A8B"/>
    <w:rsid w:val="006B6B64"/>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774"/>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12EB"/>
    <w:rsid w:val="006F2412"/>
    <w:rsid w:val="006F3230"/>
    <w:rsid w:val="006F3FE0"/>
    <w:rsid w:val="006F462B"/>
    <w:rsid w:val="006F6131"/>
    <w:rsid w:val="006F650D"/>
    <w:rsid w:val="006F68C0"/>
    <w:rsid w:val="006F68E5"/>
    <w:rsid w:val="006F7407"/>
    <w:rsid w:val="006F7DE8"/>
    <w:rsid w:val="00700013"/>
    <w:rsid w:val="007001CE"/>
    <w:rsid w:val="007007A1"/>
    <w:rsid w:val="007007EB"/>
    <w:rsid w:val="00701329"/>
    <w:rsid w:val="007017F0"/>
    <w:rsid w:val="00702862"/>
    <w:rsid w:val="007037DD"/>
    <w:rsid w:val="00703AE1"/>
    <w:rsid w:val="00703B2F"/>
    <w:rsid w:val="0070428E"/>
    <w:rsid w:val="007042B5"/>
    <w:rsid w:val="00704634"/>
    <w:rsid w:val="0070486C"/>
    <w:rsid w:val="00705D6A"/>
    <w:rsid w:val="00705E84"/>
    <w:rsid w:val="00706144"/>
    <w:rsid w:val="007061EE"/>
    <w:rsid w:val="007063E6"/>
    <w:rsid w:val="00706D31"/>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AEA"/>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5850"/>
    <w:rsid w:val="00766126"/>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44F"/>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7EC"/>
    <w:rsid w:val="00792E46"/>
    <w:rsid w:val="00792E5F"/>
    <w:rsid w:val="00793C07"/>
    <w:rsid w:val="00795A12"/>
    <w:rsid w:val="00796183"/>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6C4A"/>
    <w:rsid w:val="007A719C"/>
    <w:rsid w:val="007A726F"/>
    <w:rsid w:val="007A756F"/>
    <w:rsid w:val="007A757A"/>
    <w:rsid w:val="007B08F4"/>
    <w:rsid w:val="007B0A40"/>
    <w:rsid w:val="007B0E0E"/>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3F3"/>
    <w:rsid w:val="007D45CB"/>
    <w:rsid w:val="007D4645"/>
    <w:rsid w:val="007D5692"/>
    <w:rsid w:val="007D6461"/>
    <w:rsid w:val="007D7816"/>
    <w:rsid w:val="007E2481"/>
    <w:rsid w:val="007E3210"/>
    <w:rsid w:val="007E32FC"/>
    <w:rsid w:val="007E4266"/>
    <w:rsid w:val="007E48A8"/>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51A"/>
    <w:rsid w:val="00805B95"/>
    <w:rsid w:val="008061D6"/>
    <w:rsid w:val="008068C9"/>
    <w:rsid w:val="00806D14"/>
    <w:rsid w:val="0080728A"/>
    <w:rsid w:val="00807D76"/>
    <w:rsid w:val="00811182"/>
    <w:rsid w:val="00811407"/>
    <w:rsid w:val="00811B44"/>
    <w:rsid w:val="008122E4"/>
    <w:rsid w:val="008123FD"/>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4C75"/>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2E20"/>
    <w:rsid w:val="00873D60"/>
    <w:rsid w:val="008740F9"/>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917"/>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32AD"/>
    <w:rsid w:val="008D3620"/>
    <w:rsid w:val="008D458F"/>
    <w:rsid w:val="008D52D9"/>
    <w:rsid w:val="008D6772"/>
    <w:rsid w:val="008D7AC6"/>
    <w:rsid w:val="008D7AD1"/>
    <w:rsid w:val="008E02E6"/>
    <w:rsid w:val="008E08A8"/>
    <w:rsid w:val="008E08D2"/>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B61"/>
    <w:rsid w:val="009730F2"/>
    <w:rsid w:val="00974250"/>
    <w:rsid w:val="00974F50"/>
    <w:rsid w:val="009756EC"/>
    <w:rsid w:val="009757EE"/>
    <w:rsid w:val="0097584C"/>
    <w:rsid w:val="00976FCC"/>
    <w:rsid w:val="0097768E"/>
    <w:rsid w:val="00980C65"/>
    <w:rsid w:val="009818A2"/>
    <w:rsid w:val="009828F5"/>
    <w:rsid w:val="009829E2"/>
    <w:rsid w:val="00983525"/>
    <w:rsid w:val="0098385F"/>
    <w:rsid w:val="009844CE"/>
    <w:rsid w:val="00984590"/>
    <w:rsid w:val="00984F92"/>
    <w:rsid w:val="00984FB7"/>
    <w:rsid w:val="009855CB"/>
    <w:rsid w:val="00985932"/>
    <w:rsid w:val="009868FC"/>
    <w:rsid w:val="00986C11"/>
    <w:rsid w:val="00986D6A"/>
    <w:rsid w:val="00990013"/>
    <w:rsid w:val="00990D44"/>
    <w:rsid w:val="00991E94"/>
    <w:rsid w:val="00992712"/>
    <w:rsid w:val="00993E7E"/>
    <w:rsid w:val="0099690A"/>
    <w:rsid w:val="00997136"/>
    <w:rsid w:val="009971A7"/>
    <w:rsid w:val="009A081C"/>
    <w:rsid w:val="009A33BE"/>
    <w:rsid w:val="009A3F67"/>
    <w:rsid w:val="009A5534"/>
    <w:rsid w:val="009A5BAC"/>
    <w:rsid w:val="009A7016"/>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9F7753"/>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6B5"/>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342"/>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40"/>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880"/>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379"/>
    <w:rsid w:val="00AB3569"/>
    <w:rsid w:val="00AB45BF"/>
    <w:rsid w:val="00AB511E"/>
    <w:rsid w:val="00AB5C16"/>
    <w:rsid w:val="00AB5C8E"/>
    <w:rsid w:val="00AB628D"/>
    <w:rsid w:val="00AB6EE7"/>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069B"/>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A93"/>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22B"/>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7A1"/>
    <w:rsid w:val="00B95FE2"/>
    <w:rsid w:val="00B962EE"/>
    <w:rsid w:val="00B9648E"/>
    <w:rsid w:val="00B97246"/>
    <w:rsid w:val="00B9725F"/>
    <w:rsid w:val="00B972B2"/>
    <w:rsid w:val="00B97390"/>
    <w:rsid w:val="00B9753A"/>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2AA"/>
    <w:rsid w:val="00BE6369"/>
    <w:rsid w:val="00BE6785"/>
    <w:rsid w:val="00BE7C10"/>
    <w:rsid w:val="00BF01B9"/>
    <w:rsid w:val="00BF0D7C"/>
    <w:rsid w:val="00BF1235"/>
    <w:rsid w:val="00BF1F39"/>
    <w:rsid w:val="00BF2AD9"/>
    <w:rsid w:val="00BF2FDA"/>
    <w:rsid w:val="00BF41A1"/>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3F82"/>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A5A"/>
    <w:rsid w:val="00C27D1A"/>
    <w:rsid w:val="00C30CA1"/>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B21"/>
    <w:rsid w:val="00C53E87"/>
    <w:rsid w:val="00C54F88"/>
    <w:rsid w:val="00C55CDE"/>
    <w:rsid w:val="00C56885"/>
    <w:rsid w:val="00C56AE3"/>
    <w:rsid w:val="00C56D20"/>
    <w:rsid w:val="00C57069"/>
    <w:rsid w:val="00C57680"/>
    <w:rsid w:val="00C57997"/>
    <w:rsid w:val="00C6124E"/>
    <w:rsid w:val="00C613CF"/>
    <w:rsid w:val="00C6230B"/>
    <w:rsid w:val="00C6257D"/>
    <w:rsid w:val="00C62962"/>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CF4"/>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A73A6"/>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4A3"/>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65"/>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2D"/>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13FF"/>
    <w:rsid w:val="00D718E2"/>
    <w:rsid w:val="00D719E5"/>
    <w:rsid w:val="00D72097"/>
    <w:rsid w:val="00D7237A"/>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1E8"/>
    <w:rsid w:val="00D93271"/>
    <w:rsid w:val="00D93F15"/>
    <w:rsid w:val="00D9475D"/>
    <w:rsid w:val="00D96319"/>
    <w:rsid w:val="00D9777F"/>
    <w:rsid w:val="00DA020A"/>
    <w:rsid w:val="00DA07B6"/>
    <w:rsid w:val="00DA0CA2"/>
    <w:rsid w:val="00DA158D"/>
    <w:rsid w:val="00DA1D14"/>
    <w:rsid w:val="00DA2851"/>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685"/>
    <w:rsid w:val="00DC1C5C"/>
    <w:rsid w:val="00DC2465"/>
    <w:rsid w:val="00DC252B"/>
    <w:rsid w:val="00DC2811"/>
    <w:rsid w:val="00DC4222"/>
    <w:rsid w:val="00DC458D"/>
    <w:rsid w:val="00DC4BE1"/>
    <w:rsid w:val="00DC5054"/>
    <w:rsid w:val="00DC596B"/>
    <w:rsid w:val="00DC634E"/>
    <w:rsid w:val="00DC78C5"/>
    <w:rsid w:val="00DC78FE"/>
    <w:rsid w:val="00DC7910"/>
    <w:rsid w:val="00DC7CCB"/>
    <w:rsid w:val="00DD016C"/>
    <w:rsid w:val="00DD054C"/>
    <w:rsid w:val="00DD0B1B"/>
    <w:rsid w:val="00DD1413"/>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75A"/>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56"/>
    <w:rsid w:val="00E13E2F"/>
    <w:rsid w:val="00E1433E"/>
    <w:rsid w:val="00E14C82"/>
    <w:rsid w:val="00E15278"/>
    <w:rsid w:val="00E156FD"/>
    <w:rsid w:val="00E1582A"/>
    <w:rsid w:val="00E158E9"/>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102A"/>
    <w:rsid w:val="00E529E4"/>
    <w:rsid w:val="00E540CA"/>
    <w:rsid w:val="00E54462"/>
    <w:rsid w:val="00E54583"/>
    <w:rsid w:val="00E55F46"/>
    <w:rsid w:val="00E56196"/>
    <w:rsid w:val="00E5633C"/>
    <w:rsid w:val="00E56E97"/>
    <w:rsid w:val="00E56EE4"/>
    <w:rsid w:val="00E60A17"/>
    <w:rsid w:val="00E612D5"/>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2F7"/>
    <w:rsid w:val="00E97839"/>
    <w:rsid w:val="00E97BE5"/>
    <w:rsid w:val="00EA2148"/>
    <w:rsid w:val="00EA2C19"/>
    <w:rsid w:val="00EA3031"/>
    <w:rsid w:val="00EA3072"/>
    <w:rsid w:val="00EA3B39"/>
    <w:rsid w:val="00EA3BBF"/>
    <w:rsid w:val="00EA3EA7"/>
    <w:rsid w:val="00EA4F63"/>
    <w:rsid w:val="00EA5DE5"/>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617"/>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0DCB"/>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34D7"/>
    <w:rsid w:val="00EF4A0A"/>
    <w:rsid w:val="00EF58F2"/>
    <w:rsid w:val="00EF60C8"/>
    <w:rsid w:val="00EF6733"/>
    <w:rsid w:val="00EF6AD7"/>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7B"/>
    <w:rsid w:val="00F310A3"/>
    <w:rsid w:val="00F31B8A"/>
    <w:rsid w:val="00F31FDD"/>
    <w:rsid w:val="00F323A8"/>
    <w:rsid w:val="00F334EB"/>
    <w:rsid w:val="00F33C9E"/>
    <w:rsid w:val="00F33C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1EF9"/>
    <w:rsid w:val="00F52AF5"/>
    <w:rsid w:val="00F53204"/>
    <w:rsid w:val="00F53860"/>
    <w:rsid w:val="00F54021"/>
    <w:rsid w:val="00F542AA"/>
    <w:rsid w:val="00F543D3"/>
    <w:rsid w:val="00F551B0"/>
    <w:rsid w:val="00F55452"/>
    <w:rsid w:val="00F55CC1"/>
    <w:rsid w:val="00F56A49"/>
    <w:rsid w:val="00F60D33"/>
    <w:rsid w:val="00F61136"/>
    <w:rsid w:val="00F61279"/>
    <w:rsid w:val="00F6166A"/>
    <w:rsid w:val="00F624A5"/>
    <w:rsid w:val="00F627EB"/>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78"/>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5AAC"/>
    <w:rsid w:val="00FA746C"/>
    <w:rsid w:val="00FA7B8D"/>
    <w:rsid w:val="00FA7DEB"/>
    <w:rsid w:val="00FB0C83"/>
    <w:rsid w:val="00FB1043"/>
    <w:rsid w:val="00FB19ED"/>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E7521"/>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D00FE-1B29-4C4D-8EB7-43F3CD610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14</Pages>
  <Words>5224</Words>
  <Characters>28733</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2022-10-14T17:22:00Z</cp:lastPrinted>
  <dcterms:created xsi:type="dcterms:W3CDTF">2022-09-09T18:32:00Z</dcterms:created>
  <dcterms:modified xsi:type="dcterms:W3CDTF">2023-02-24T16:17:00Z</dcterms:modified>
</cp:coreProperties>
</file>