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21600D" w14:textId="77777777" w:rsidR="00261966" w:rsidRDefault="00261966" w:rsidP="006944CB">
      <w:pPr>
        <w:spacing w:line="276" w:lineRule="auto"/>
        <w:ind w:left="2694" w:right="49"/>
        <w:jc w:val="both"/>
        <w:rPr>
          <w:rFonts w:ascii="Arial" w:hAnsi="Arial" w:cs="Arial"/>
          <w:b/>
          <w:sz w:val="26"/>
          <w:szCs w:val="26"/>
        </w:rPr>
      </w:pPr>
      <w:r>
        <w:rPr>
          <w:rFonts w:ascii="Arial" w:hAnsi="Arial" w:cs="Arial"/>
          <w:b/>
          <w:sz w:val="26"/>
          <w:szCs w:val="26"/>
        </w:rPr>
        <w:t>SALA SU</w:t>
      </w:r>
      <w:bookmarkStart w:id="0" w:name="_GoBack"/>
      <w:bookmarkEnd w:id="0"/>
      <w:r>
        <w:rPr>
          <w:rFonts w:ascii="Arial" w:hAnsi="Arial" w:cs="Arial"/>
          <w:b/>
          <w:sz w:val="26"/>
          <w:szCs w:val="26"/>
        </w:rPr>
        <w:t>PERIOR DEL TRIBUNAL DE JUSTICIA ADMINISTRATIVA DEL ESTADO DE OAXACA</w:t>
      </w:r>
    </w:p>
    <w:p w14:paraId="4E6EAC7C" w14:textId="5A30CBF0" w:rsidR="00261966" w:rsidRDefault="0006100C" w:rsidP="006944CB">
      <w:pPr>
        <w:spacing w:line="276" w:lineRule="auto"/>
        <w:ind w:left="2694" w:right="49"/>
        <w:jc w:val="both"/>
        <w:rPr>
          <w:rFonts w:ascii="Arial" w:hAnsi="Arial" w:cs="Arial"/>
          <w:b/>
          <w:sz w:val="26"/>
          <w:szCs w:val="26"/>
        </w:rPr>
      </w:pPr>
      <w:r>
        <w:rPr>
          <w:rFonts w:ascii="Arial" w:hAnsi="Arial" w:cs="Arial"/>
          <w:b/>
          <w:sz w:val="26"/>
          <w:szCs w:val="26"/>
        </w:rPr>
        <w:t>RECURSO DE REVISIÓN: 0386</w:t>
      </w:r>
      <w:r w:rsidR="00261966">
        <w:rPr>
          <w:rFonts w:ascii="Arial" w:hAnsi="Arial" w:cs="Arial"/>
          <w:b/>
          <w:sz w:val="26"/>
          <w:szCs w:val="26"/>
        </w:rPr>
        <w:t>/2021</w:t>
      </w:r>
    </w:p>
    <w:p w14:paraId="06DC021E" w14:textId="380CCFA7" w:rsidR="00261966" w:rsidRDefault="00261966" w:rsidP="006944CB">
      <w:pPr>
        <w:spacing w:line="276" w:lineRule="auto"/>
        <w:ind w:left="2694" w:right="49"/>
        <w:jc w:val="both"/>
        <w:rPr>
          <w:rFonts w:ascii="Arial" w:hAnsi="Arial" w:cs="Arial"/>
          <w:b/>
          <w:sz w:val="26"/>
          <w:szCs w:val="26"/>
        </w:rPr>
      </w:pPr>
      <w:r>
        <w:rPr>
          <w:rFonts w:ascii="Arial" w:hAnsi="Arial" w:cs="Arial"/>
          <w:b/>
          <w:sz w:val="26"/>
          <w:szCs w:val="26"/>
        </w:rPr>
        <w:t>EXPEDIENTE: 007</w:t>
      </w:r>
      <w:r w:rsidR="0006100C">
        <w:rPr>
          <w:rFonts w:ascii="Arial" w:hAnsi="Arial" w:cs="Arial"/>
          <w:b/>
          <w:sz w:val="26"/>
          <w:szCs w:val="26"/>
        </w:rPr>
        <w:t>5</w:t>
      </w:r>
      <w:r>
        <w:rPr>
          <w:rFonts w:ascii="Arial" w:hAnsi="Arial" w:cs="Arial"/>
          <w:b/>
          <w:sz w:val="26"/>
          <w:szCs w:val="26"/>
        </w:rPr>
        <w:t>/201</w:t>
      </w:r>
      <w:r w:rsidR="0006100C">
        <w:rPr>
          <w:rFonts w:ascii="Arial" w:hAnsi="Arial" w:cs="Arial"/>
          <w:b/>
          <w:sz w:val="26"/>
          <w:szCs w:val="26"/>
        </w:rPr>
        <w:t>7</w:t>
      </w:r>
      <w:r>
        <w:rPr>
          <w:rFonts w:ascii="Arial" w:hAnsi="Arial" w:cs="Arial"/>
          <w:b/>
          <w:sz w:val="26"/>
          <w:szCs w:val="26"/>
        </w:rPr>
        <w:t xml:space="preserve"> DE LA </w:t>
      </w:r>
      <w:r w:rsidR="0006100C">
        <w:rPr>
          <w:rFonts w:ascii="Arial" w:hAnsi="Arial" w:cs="Arial"/>
          <w:b/>
          <w:sz w:val="26"/>
          <w:szCs w:val="26"/>
        </w:rPr>
        <w:t xml:space="preserve">CUARTA </w:t>
      </w:r>
      <w:r>
        <w:rPr>
          <w:rFonts w:ascii="Arial" w:hAnsi="Arial" w:cs="Arial"/>
          <w:b/>
          <w:sz w:val="26"/>
          <w:szCs w:val="26"/>
        </w:rPr>
        <w:t>SALA UNITARIA DE PRIMERA INSTANCIA</w:t>
      </w:r>
    </w:p>
    <w:p w14:paraId="4149F00C" w14:textId="77777777" w:rsidR="00261966" w:rsidRDefault="00261966" w:rsidP="006944CB">
      <w:pPr>
        <w:spacing w:line="276" w:lineRule="auto"/>
        <w:ind w:left="2694" w:right="49"/>
        <w:jc w:val="both"/>
        <w:rPr>
          <w:rFonts w:ascii="Arial" w:hAnsi="Arial" w:cs="Arial"/>
          <w:b/>
          <w:sz w:val="26"/>
          <w:szCs w:val="26"/>
        </w:rPr>
      </w:pPr>
      <w:r>
        <w:rPr>
          <w:rFonts w:ascii="Arial" w:hAnsi="Arial" w:cs="Arial"/>
          <w:b/>
          <w:sz w:val="26"/>
          <w:szCs w:val="26"/>
        </w:rPr>
        <w:t>PONENTE: MAGISTRADO ELÍAS CORTÉS LÓPEZ.</w:t>
      </w:r>
    </w:p>
    <w:p w14:paraId="4C8ACA36" w14:textId="77777777" w:rsidR="00261966" w:rsidRDefault="00261966" w:rsidP="001A07D0">
      <w:pPr>
        <w:spacing w:line="240" w:lineRule="auto"/>
        <w:ind w:left="2124" w:right="49"/>
        <w:jc w:val="both"/>
        <w:rPr>
          <w:rFonts w:ascii="Arial" w:hAnsi="Arial" w:cs="Arial"/>
          <w:b/>
          <w:sz w:val="26"/>
          <w:szCs w:val="26"/>
        </w:rPr>
      </w:pPr>
    </w:p>
    <w:p w14:paraId="037C48E5" w14:textId="42D6C480" w:rsidR="00261966" w:rsidRDefault="00261966" w:rsidP="001A07D0">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01100A">
        <w:rPr>
          <w:rFonts w:ascii="Arial" w:hAnsi="Arial" w:cs="Arial"/>
          <w:b/>
          <w:sz w:val="26"/>
          <w:szCs w:val="26"/>
        </w:rPr>
        <w:t xml:space="preserve">7 </w:t>
      </w:r>
      <w:r w:rsidR="00BE117F">
        <w:rPr>
          <w:rFonts w:ascii="Arial" w:hAnsi="Arial" w:cs="Arial"/>
          <w:b/>
          <w:sz w:val="26"/>
          <w:szCs w:val="26"/>
        </w:rPr>
        <w:t xml:space="preserve">SIETE </w:t>
      </w:r>
      <w:r>
        <w:rPr>
          <w:rFonts w:ascii="Arial" w:hAnsi="Arial" w:cs="Arial"/>
          <w:b/>
          <w:sz w:val="26"/>
          <w:szCs w:val="26"/>
        </w:rPr>
        <w:t>DE JU</w:t>
      </w:r>
      <w:r w:rsidR="0006100C">
        <w:rPr>
          <w:rFonts w:ascii="Arial" w:hAnsi="Arial" w:cs="Arial"/>
          <w:b/>
          <w:sz w:val="26"/>
          <w:szCs w:val="26"/>
        </w:rPr>
        <w:t>L</w:t>
      </w:r>
      <w:r>
        <w:rPr>
          <w:rFonts w:ascii="Arial" w:hAnsi="Arial" w:cs="Arial"/>
          <w:b/>
          <w:sz w:val="26"/>
          <w:szCs w:val="26"/>
        </w:rPr>
        <w:t>IO DE</w:t>
      </w:r>
      <w:r w:rsidR="0006100C">
        <w:rPr>
          <w:rFonts w:ascii="Arial" w:hAnsi="Arial" w:cs="Arial"/>
          <w:b/>
          <w:sz w:val="26"/>
          <w:szCs w:val="26"/>
        </w:rPr>
        <w:t xml:space="preserve"> </w:t>
      </w:r>
      <w:r w:rsidR="0001100A">
        <w:rPr>
          <w:rFonts w:ascii="Arial" w:hAnsi="Arial" w:cs="Arial"/>
          <w:b/>
          <w:sz w:val="26"/>
          <w:szCs w:val="26"/>
        </w:rPr>
        <w:t xml:space="preserve">2022 </w:t>
      </w:r>
      <w:r>
        <w:rPr>
          <w:rFonts w:ascii="Arial" w:hAnsi="Arial" w:cs="Arial"/>
          <w:b/>
          <w:sz w:val="26"/>
          <w:szCs w:val="26"/>
        </w:rPr>
        <w:t xml:space="preserve">DOS MIL </w:t>
      </w:r>
      <w:r w:rsidR="00BE3554">
        <w:rPr>
          <w:rFonts w:ascii="Arial" w:hAnsi="Arial" w:cs="Arial"/>
          <w:b/>
          <w:sz w:val="26"/>
          <w:szCs w:val="26"/>
        </w:rPr>
        <w:t>VEINTIDÓS. -</w:t>
      </w:r>
      <w:r>
        <w:rPr>
          <w:rFonts w:ascii="Arial" w:hAnsi="Arial" w:cs="Arial"/>
          <w:b/>
          <w:sz w:val="26"/>
          <w:szCs w:val="26"/>
        </w:rPr>
        <w:t xml:space="preserve"> - - - - - - - - - - - - - - - - - - - - - - - - - -</w:t>
      </w:r>
      <w:r w:rsidR="00BE117F">
        <w:rPr>
          <w:rFonts w:ascii="Arial" w:hAnsi="Arial" w:cs="Arial"/>
          <w:b/>
          <w:sz w:val="26"/>
          <w:szCs w:val="26"/>
        </w:rPr>
        <w:t xml:space="preserve"> - - - - - - - - - - - - </w:t>
      </w:r>
    </w:p>
    <w:p w14:paraId="2D6CFFB7" w14:textId="6765BC9B" w:rsidR="00604391" w:rsidRDefault="00261966" w:rsidP="001A07D0">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sidR="0006100C">
        <w:rPr>
          <w:rFonts w:ascii="Arial" w:hAnsi="Arial" w:cs="Arial"/>
          <w:b/>
          <w:sz w:val="26"/>
          <w:szCs w:val="26"/>
        </w:rPr>
        <w:t>386</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el </w:t>
      </w:r>
      <w:r w:rsidR="00055F6C">
        <w:rPr>
          <w:rFonts w:ascii="Arial" w:hAnsi="Arial" w:cs="Arial"/>
          <w:b/>
          <w:sz w:val="26"/>
          <w:szCs w:val="26"/>
        </w:rPr>
        <w:t>DIRECTOR DE ASUNTOS JURÍDICOS DE LA FISCALÍA GENERAL DEL ESTADO DE OAXACA</w:t>
      </w:r>
      <w:r w:rsidRPr="009C41BB">
        <w:rPr>
          <w:rFonts w:ascii="Arial" w:hAnsi="Arial" w:cs="Arial"/>
          <w:bCs/>
          <w:sz w:val="26"/>
          <w:szCs w:val="26"/>
        </w:rPr>
        <w:t>,</w:t>
      </w:r>
      <w:r>
        <w:rPr>
          <w:rFonts w:ascii="Arial" w:hAnsi="Arial" w:cs="Arial"/>
          <w:sz w:val="26"/>
          <w:szCs w:val="26"/>
        </w:rPr>
        <w:t xml:space="preserve"> en contra de la </w:t>
      </w:r>
      <w:r w:rsidR="0006100C">
        <w:rPr>
          <w:rFonts w:ascii="Arial" w:hAnsi="Arial" w:cs="Arial"/>
          <w:sz w:val="26"/>
          <w:szCs w:val="26"/>
        </w:rPr>
        <w:t xml:space="preserve">resolución </w:t>
      </w:r>
      <w:r>
        <w:rPr>
          <w:rFonts w:ascii="Arial" w:hAnsi="Arial" w:cs="Arial"/>
          <w:sz w:val="26"/>
          <w:szCs w:val="26"/>
        </w:rPr>
        <w:t xml:space="preserve">de </w:t>
      </w:r>
      <w:r w:rsidR="0006100C">
        <w:rPr>
          <w:rFonts w:ascii="Arial" w:hAnsi="Arial" w:cs="Arial"/>
          <w:sz w:val="26"/>
          <w:szCs w:val="26"/>
        </w:rPr>
        <w:t xml:space="preserve">30 treinta de septiembre </w:t>
      </w:r>
      <w:r>
        <w:rPr>
          <w:rFonts w:ascii="Arial" w:hAnsi="Arial" w:cs="Arial"/>
          <w:sz w:val="26"/>
          <w:szCs w:val="26"/>
        </w:rPr>
        <w:t xml:space="preserve">de </w:t>
      </w:r>
      <w:r w:rsidR="0006100C">
        <w:rPr>
          <w:rFonts w:ascii="Arial" w:hAnsi="Arial" w:cs="Arial"/>
          <w:sz w:val="26"/>
          <w:szCs w:val="26"/>
        </w:rPr>
        <w:t xml:space="preserve">2021 </w:t>
      </w:r>
      <w:r>
        <w:rPr>
          <w:rFonts w:ascii="Arial" w:hAnsi="Arial" w:cs="Arial"/>
          <w:sz w:val="26"/>
          <w:szCs w:val="26"/>
        </w:rPr>
        <w:t>dos mil veintiuno</w:t>
      </w:r>
      <w:r w:rsidR="00185621">
        <w:rPr>
          <w:rFonts w:ascii="Arial" w:hAnsi="Arial" w:cs="Arial"/>
          <w:sz w:val="26"/>
          <w:szCs w:val="26"/>
        </w:rPr>
        <w:t>,</w:t>
      </w:r>
      <w:r>
        <w:rPr>
          <w:rFonts w:ascii="Arial" w:hAnsi="Arial" w:cs="Arial"/>
          <w:sz w:val="26"/>
          <w:szCs w:val="26"/>
        </w:rPr>
        <w:t xml:space="preserve"> dictada en el expediente </w:t>
      </w:r>
      <w:r w:rsidR="0006100C">
        <w:rPr>
          <w:rFonts w:ascii="Arial" w:hAnsi="Arial" w:cs="Arial"/>
          <w:b/>
          <w:sz w:val="26"/>
          <w:szCs w:val="26"/>
        </w:rPr>
        <w:t>0075</w:t>
      </w:r>
      <w:r>
        <w:rPr>
          <w:rFonts w:ascii="Arial" w:hAnsi="Arial" w:cs="Arial"/>
          <w:b/>
          <w:sz w:val="26"/>
          <w:szCs w:val="26"/>
        </w:rPr>
        <w:t>/201</w:t>
      </w:r>
      <w:r w:rsidR="0006100C">
        <w:rPr>
          <w:rFonts w:ascii="Arial" w:hAnsi="Arial" w:cs="Arial"/>
          <w:b/>
          <w:sz w:val="26"/>
          <w:szCs w:val="26"/>
        </w:rPr>
        <w:t>7</w:t>
      </w:r>
      <w:r>
        <w:rPr>
          <w:rFonts w:ascii="Arial" w:hAnsi="Arial" w:cs="Arial"/>
          <w:sz w:val="26"/>
          <w:szCs w:val="26"/>
        </w:rPr>
        <w:t xml:space="preserve"> de la </w:t>
      </w:r>
      <w:r w:rsidR="0006100C">
        <w:rPr>
          <w:rFonts w:ascii="Arial" w:hAnsi="Arial" w:cs="Arial"/>
          <w:sz w:val="26"/>
          <w:szCs w:val="26"/>
        </w:rPr>
        <w:t xml:space="preserve">Cuarta </w:t>
      </w:r>
      <w:r>
        <w:rPr>
          <w:rFonts w:ascii="Arial" w:hAnsi="Arial" w:cs="Arial"/>
          <w:sz w:val="26"/>
          <w:szCs w:val="26"/>
        </w:rPr>
        <w:t xml:space="preserve">Sala Unitaria de Primera Instancia, relativo al juicio de nulidad promovido por </w:t>
      </w:r>
      <w:r w:rsidR="00810E39">
        <w:rPr>
          <w:rFonts w:ascii="Arial" w:hAnsi="Arial" w:cs="Arial"/>
          <w:b/>
          <w:sz w:val="26"/>
          <w:szCs w:val="26"/>
        </w:rPr>
        <w:t>*******</w:t>
      </w:r>
      <w:r w:rsidR="00ED09C7" w:rsidRPr="00BF01D1">
        <w:rPr>
          <w:rFonts w:ascii="Arial" w:hAnsi="Arial" w:cs="Arial"/>
          <w:sz w:val="26"/>
          <w:szCs w:val="26"/>
        </w:rPr>
        <w:t xml:space="preserve">, </w:t>
      </w:r>
      <w:r w:rsidR="00BF01D1" w:rsidRPr="00BF01D1">
        <w:rPr>
          <w:rFonts w:ascii="Arial" w:hAnsi="Arial" w:cs="Arial"/>
          <w:sz w:val="26"/>
          <w:szCs w:val="26"/>
        </w:rPr>
        <w:t>en contra del</w:t>
      </w:r>
      <w:r w:rsidR="00BF01D1">
        <w:rPr>
          <w:rFonts w:ascii="Arial" w:hAnsi="Arial" w:cs="Arial"/>
          <w:b/>
          <w:sz w:val="26"/>
          <w:szCs w:val="26"/>
        </w:rPr>
        <w:t xml:space="preserve"> </w:t>
      </w:r>
      <w:r w:rsidR="00ED09C7">
        <w:rPr>
          <w:rFonts w:ascii="Arial" w:hAnsi="Arial" w:cs="Arial"/>
          <w:b/>
          <w:sz w:val="26"/>
          <w:szCs w:val="26"/>
        </w:rPr>
        <w:t>FISCAL GENERAL DEL ESTADO DE OAXACA</w:t>
      </w:r>
      <w:r w:rsidR="00ED09C7" w:rsidRPr="006E69F7">
        <w:rPr>
          <w:rFonts w:ascii="Arial" w:hAnsi="Arial" w:cs="Arial"/>
          <w:sz w:val="26"/>
          <w:szCs w:val="26"/>
        </w:rPr>
        <w:t>;</w:t>
      </w:r>
      <w:r w:rsidR="00ED09C7">
        <w:rPr>
          <w:rFonts w:ascii="Arial" w:hAnsi="Arial" w:cs="Arial"/>
          <w:b/>
          <w:sz w:val="26"/>
          <w:szCs w:val="26"/>
        </w:rPr>
        <w:t xml:space="preserve"> </w:t>
      </w:r>
      <w:r w:rsidR="004E5889">
        <w:rPr>
          <w:rFonts w:ascii="Arial" w:hAnsi="Arial" w:cs="Arial"/>
          <w:sz w:val="26"/>
          <w:szCs w:val="26"/>
        </w:rPr>
        <w:t>por lo que con fundamento en los artículos 2</w:t>
      </w:r>
      <w:r w:rsidR="0006100C">
        <w:rPr>
          <w:rFonts w:ascii="Arial" w:hAnsi="Arial" w:cs="Arial"/>
          <w:sz w:val="26"/>
          <w:szCs w:val="26"/>
        </w:rPr>
        <w:t>0</w:t>
      </w:r>
      <w:r w:rsidR="004E5889">
        <w:rPr>
          <w:rFonts w:ascii="Arial" w:hAnsi="Arial" w:cs="Arial"/>
          <w:sz w:val="26"/>
          <w:szCs w:val="26"/>
        </w:rPr>
        <w:t>6 y 2</w:t>
      </w:r>
      <w:r w:rsidR="0006100C">
        <w:rPr>
          <w:rFonts w:ascii="Arial" w:hAnsi="Arial" w:cs="Arial"/>
          <w:sz w:val="26"/>
          <w:szCs w:val="26"/>
        </w:rPr>
        <w:t>08</w:t>
      </w:r>
      <w:r w:rsidR="004E5889">
        <w:rPr>
          <w:rFonts w:ascii="Arial" w:hAnsi="Arial" w:cs="Arial"/>
          <w:sz w:val="26"/>
          <w:szCs w:val="26"/>
        </w:rPr>
        <w:t xml:space="preserve"> de la Ley de Justicia Administrativa para el Estado de Oaxaca,</w:t>
      </w:r>
      <w:r w:rsidR="0006100C">
        <w:rPr>
          <w:rFonts w:ascii="Arial" w:hAnsi="Arial" w:cs="Arial"/>
          <w:sz w:val="26"/>
          <w:szCs w:val="26"/>
        </w:rPr>
        <w:t xml:space="preserve"> aplicable por ser la vigente al inicio del juicio natural,</w:t>
      </w:r>
      <w:r w:rsidR="004E5889">
        <w:rPr>
          <w:rFonts w:ascii="Arial" w:hAnsi="Arial" w:cs="Arial"/>
          <w:sz w:val="26"/>
          <w:szCs w:val="26"/>
        </w:rPr>
        <w:t xml:space="preserve"> </w:t>
      </w:r>
      <w:r w:rsidR="002A606E">
        <w:rPr>
          <w:rFonts w:ascii="Arial" w:hAnsi="Arial" w:cs="Arial"/>
          <w:sz w:val="26"/>
          <w:szCs w:val="26"/>
        </w:rPr>
        <w:t>así como el diverso artículo 24, fracciones I y III de la Ley Orgánica del Tribunal de Justicia Administrativa para el Estado de Oaxaca, se procede a resolver en los siguientes términos</w:t>
      </w:r>
      <w:r w:rsidR="00604391">
        <w:rPr>
          <w:rFonts w:ascii="Arial" w:hAnsi="Arial" w:cs="Arial"/>
          <w:sz w:val="26"/>
          <w:szCs w:val="26"/>
        </w:rPr>
        <w:t xml:space="preserve">:- - - - - - - </w:t>
      </w:r>
      <w:r w:rsidR="00BF01D1">
        <w:rPr>
          <w:rFonts w:ascii="Arial" w:hAnsi="Arial" w:cs="Arial"/>
          <w:sz w:val="26"/>
          <w:szCs w:val="26"/>
        </w:rPr>
        <w:t xml:space="preserve">- </w:t>
      </w:r>
    </w:p>
    <w:p w14:paraId="5395CF35" w14:textId="0EC818D3" w:rsidR="004E5889" w:rsidRDefault="004E5889" w:rsidP="001A07D0">
      <w:pPr>
        <w:spacing w:line="360" w:lineRule="auto"/>
        <w:ind w:right="49"/>
        <w:jc w:val="center"/>
        <w:rPr>
          <w:rFonts w:ascii="Arial" w:hAnsi="Arial" w:cs="Arial"/>
          <w:b/>
          <w:bCs/>
          <w:sz w:val="26"/>
          <w:szCs w:val="26"/>
        </w:rPr>
      </w:pPr>
      <w:r>
        <w:rPr>
          <w:rFonts w:ascii="Arial" w:hAnsi="Arial" w:cs="Arial"/>
          <w:b/>
          <w:bCs/>
          <w:sz w:val="26"/>
          <w:szCs w:val="26"/>
        </w:rPr>
        <w:t>R E S U L T A N D O</w:t>
      </w:r>
    </w:p>
    <w:p w14:paraId="62196687" w14:textId="0B4A1DD6" w:rsidR="00261966" w:rsidRDefault="00261966" w:rsidP="001A07D0">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la</w:t>
      </w:r>
      <w:r w:rsidR="0006100C">
        <w:rPr>
          <w:rFonts w:ascii="Arial" w:hAnsi="Arial" w:cs="Arial"/>
          <w:sz w:val="26"/>
          <w:szCs w:val="26"/>
        </w:rPr>
        <w:t xml:space="preserve"> resolución de 30 treinta de septiembre de 2021 </w:t>
      </w:r>
      <w:r>
        <w:rPr>
          <w:rFonts w:ascii="Arial" w:hAnsi="Arial" w:cs="Arial"/>
          <w:sz w:val="26"/>
          <w:szCs w:val="26"/>
        </w:rPr>
        <w:t>dos mil veintiuno</w:t>
      </w:r>
      <w:r w:rsidR="00DA5098">
        <w:rPr>
          <w:rFonts w:ascii="Arial" w:hAnsi="Arial" w:cs="Arial"/>
          <w:sz w:val="26"/>
          <w:szCs w:val="26"/>
        </w:rPr>
        <w:t xml:space="preserve">, </w:t>
      </w:r>
      <w:r>
        <w:rPr>
          <w:rFonts w:ascii="Arial" w:hAnsi="Arial" w:cs="Arial"/>
          <w:sz w:val="26"/>
          <w:szCs w:val="26"/>
        </w:rPr>
        <w:t xml:space="preserve">dictada por la </w:t>
      </w:r>
      <w:r w:rsidR="0006100C">
        <w:rPr>
          <w:rFonts w:ascii="Arial" w:hAnsi="Arial" w:cs="Arial"/>
          <w:sz w:val="26"/>
          <w:szCs w:val="26"/>
        </w:rPr>
        <w:t xml:space="preserve">Cuarta </w:t>
      </w:r>
      <w:r>
        <w:rPr>
          <w:rFonts w:ascii="Arial" w:hAnsi="Arial" w:cs="Arial"/>
          <w:sz w:val="26"/>
          <w:szCs w:val="26"/>
        </w:rPr>
        <w:t xml:space="preserve">Sala Unitaria de Primera Instancia, </w:t>
      </w:r>
      <w:r w:rsidR="0006100C">
        <w:rPr>
          <w:rFonts w:ascii="Arial" w:hAnsi="Arial" w:cs="Arial"/>
          <w:sz w:val="26"/>
          <w:szCs w:val="26"/>
        </w:rPr>
        <w:t xml:space="preserve">el </w:t>
      </w:r>
      <w:r w:rsidR="00985D36">
        <w:rPr>
          <w:rFonts w:ascii="Arial" w:hAnsi="Arial" w:cs="Arial"/>
          <w:b/>
          <w:sz w:val="26"/>
          <w:szCs w:val="26"/>
        </w:rPr>
        <w:t>DIRECTOR DE ASUNTOS JURÍDICOS DE LA FISCALÍA GENERAL DEL ESTADO DE OAXACA</w:t>
      </w:r>
      <w:r w:rsidRPr="0006100C">
        <w:rPr>
          <w:rFonts w:ascii="Arial" w:hAnsi="Arial" w:cs="Arial"/>
          <w:sz w:val="26"/>
          <w:szCs w:val="26"/>
        </w:rPr>
        <w:t>,</w:t>
      </w:r>
      <w:r>
        <w:rPr>
          <w:rFonts w:ascii="Arial" w:hAnsi="Arial" w:cs="Arial"/>
          <w:sz w:val="26"/>
          <w:szCs w:val="26"/>
        </w:rPr>
        <w:t xml:space="preserve"> interpuso en su contra recurso de </w:t>
      </w:r>
      <w:r w:rsidR="00985D36">
        <w:rPr>
          <w:rFonts w:ascii="Arial" w:hAnsi="Arial" w:cs="Arial"/>
          <w:sz w:val="26"/>
          <w:szCs w:val="26"/>
        </w:rPr>
        <w:t>revisión. -</w:t>
      </w:r>
      <w:r>
        <w:rPr>
          <w:rFonts w:ascii="Arial" w:hAnsi="Arial" w:cs="Arial"/>
          <w:sz w:val="26"/>
          <w:szCs w:val="26"/>
        </w:rPr>
        <w:t xml:space="preserve"> - - -  - - - - - - - - - - - - - - - - </w:t>
      </w:r>
    </w:p>
    <w:p w14:paraId="037F2309" w14:textId="38B3A900" w:rsidR="00261966" w:rsidRDefault="00261966" w:rsidP="001A07D0">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1" w:name="_Hlk99357326"/>
      <w:r>
        <w:rPr>
          <w:rFonts w:ascii="Arial" w:hAnsi="Arial" w:cs="Arial"/>
          <w:bCs/>
          <w:sz w:val="26"/>
          <w:szCs w:val="26"/>
        </w:rPr>
        <w:t xml:space="preserve">Los puntos resolutivos de la </w:t>
      </w:r>
      <w:r w:rsidR="0006100C">
        <w:rPr>
          <w:rFonts w:ascii="Arial" w:hAnsi="Arial" w:cs="Arial"/>
          <w:bCs/>
          <w:sz w:val="26"/>
          <w:szCs w:val="26"/>
        </w:rPr>
        <w:t xml:space="preserve">resolución </w:t>
      </w:r>
      <w:r>
        <w:rPr>
          <w:rFonts w:ascii="Arial" w:hAnsi="Arial" w:cs="Arial"/>
          <w:bCs/>
          <w:sz w:val="26"/>
          <w:szCs w:val="26"/>
        </w:rPr>
        <w:t xml:space="preserve">recurrida son los </w:t>
      </w:r>
      <w:bookmarkEnd w:id="1"/>
      <w:r w:rsidR="00114F52">
        <w:rPr>
          <w:rFonts w:ascii="Arial" w:hAnsi="Arial" w:cs="Arial"/>
          <w:bCs/>
          <w:sz w:val="26"/>
          <w:szCs w:val="26"/>
        </w:rPr>
        <w:t>siguientes: -</w:t>
      </w:r>
      <w:r>
        <w:rPr>
          <w:rFonts w:ascii="Arial" w:hAnsi="Arial" w:cs="Arial"/>
          <w:bCs/>
          <w:sz w:val="26"/>
          <w:szCs w:val="26"/>
        </w:rPr>
        <w:t xml:space="preserve"> - - - - - - - - - - - - - - - - - - - - - - - - - - - - - - - - - - - - - - - - </w:t>
      </w:r>
    </w:p>
    <w:p w14:paraId="3F6FC984" w14:textId="0CA87E35" w:rsidR="00261966" w:rsidRPr="006626E2" w:rsidRDefault="00261966" w:rsidP="00317AD3">
      <w:pPr>
        <w:spacing w:line="360" w:lineRule="auto"/>
        <w:ind w:left="1134" w:right="474" w:firstLine="282"/>
        <w:jc w:val="both"/>
        <w:rPr>
          <w:rFonts w:ascii="Arial" w:hAnsi="Arial" w:cs="Arial"/>
          <w:i/>
          <w:iCs/>
          <w:sz w:val="24"/>
          <w:szCs w:val="24"/>
        </w:rPr>
      </w:pPr>
      <w:r w:rsidRPr="006626E2">
        <w:rPr>
          <w:rFonts w:ascii="Arial" w:hAnsi="Arial" w:cs="Arial"/>
          <w:i/>
          <w:iCs/>
          <w:sz w:val="24"/>
          <w:szCs w:val="24"/>
        </w:rPr>
        <w:t>“</w:t>
      </w:r>
      <w:r w:rsidRPr="006626E2">
        <w:rPr>
          <w:rFonts w:ascii="Arial" w:hAnsi="Arial" w:cs="Arial"/>
          <w:b/>
          <w:i/>
          <w:iCs/>
          <w:sz w:val="24"/>
          <w:szCs w:val="24"/>
        </w:rPr>
        <w:t>PRIMERO</w:t>
      </w:r>
      <w:r w:rsidRPr="006626E2">
        <w:rPr>
          <w:rFonts w:ascii="Arial" w:hAnsi="Arial" w:cs="Arial"/>
          <w:i/>
          <w:iCs/>
          <w:sz w:val="24"/>
          <w:szCs w:val="24"/>
        </w:rPr>
        <w:t xml:space="preserve">. Esta </w:t>
      </w:r>
      <w:r w:rsidR="0006100C" w:rsidRPr="006626E2">
        <w:rPr>
          <w:rFonts w:ascii="Arial" w:hAnsi="Arial" w:cs="Arial"/>
          <w:i/>
          <w:iCs/>
          <w:sz w:val="24"/>
          <w:szCs w:val="24"/>
        </w:rPr>
        <w:t>Cuarta</w:t>
      </w:r>
      <w:r w:rsidRPr="006626E2">
        <w:rPr>
          <w:rFonts w:ascii="Arial" w:hAnsi="Arial" w:cs="Arial"/>
          <w:i/>
          <w:iCs/>
          <w:sz w:val="24"/>
          <w:szCs w:val="24"/>
        </w:rPr>
        <w:t xml:space="preserve"> Sala Unitaria</w:t>
      </w:r>
      <w:r w:rsidR="0006100C" w:rsidRPr="006626E2">
        <w:rPr>
          <w:rFonts w:ascii="Arial" w:hAnsi="Arial" w:cs="Arial"/>
          <w:i/>
          <w:iCs/>
          <w:sz w:val="24"/>
          <w:szCs w:val="24"/>
        </w:rPr>
        <w:t xml:space="preserve"> fue</w:t>
      </w:r>
      <w:r w:rsidRPr="006626E2">
        <w:rPr>
          <w:rFonts w:ascii="Arial" w:hAnsi="Arial" w:cs="Arial"/>
          <w:i/>
          <w:iCs/>
          <w:sz w:val="24"/>
          <w:szCs w:val="24"/>
        </w:rPr>
        <w:t xml:space="preserve"> competente</w:t>
      </w:r>
      <w:r w:rsidRPr="006626E2">
        <w:rPr>
          <w:rFonts w:ascii="Arial" w:hAnsi="Arial" w:cs="Arial"/>
          <w:b/>
          <w:i/>
          <w:iCs/>
          <w:sz w:val="24"/>
          <w:szCs w:val="24"/>
        </w:rPr>
        <w:t xml:space="preserve"> </w:t>
      </w:r>
      <w:r w:rsidRPr="006626E2">
        <w:rPr>
          <w:rFonts w:ascii="Arial" w:hAnsi="Arial" w:cs="Arial"/>
          <w:i/>
          <w:iCs/>
          <w:sz w:val="24"/>
          <w:szCs w:val="24"/>
        </w:rPr>
        <w:t xml:space="preserve">para conocer y resolver el </w:t>
      </w:r>
      <w:r w:rsidR="0006100C" w:rsidRPr="006626E2">
        <w:rPr>
          <w:rFonts w:ascii="Arial" w:hAnsi="Arial" w:cs="Arial"/>
          <w:i/>
          <w:iCs/>
          <w:sz w:val="24"/>
          <w:szCs w:val="24"/>
        </w:rPr>
        <w:t>incidente de liquidación</w:t>
      </w:r>
      <w:r w:rsidRPr="006626E2">
        <w:rPr>
          <w:rFonts w:ascii="Arial" w:hAnsi="Arial" w:cs="Arial"/>
          <w:i/>
          <w:iCs/>
          <w:sz w:val="24"/>
          <w:szCs w:val="24"/>
        </w:rPr>
        <w:t>.</w:t>
      </w:r>
      <w:r w:rsidR="0006100C" w:rsidRPr="006626E2">
        <w:rPr>
          <w:rFonts w:ascii="Arial" w:hAnsi="Arial" w:cs="Arial"/>
          <w:i/>
          <w:iCs/>
          <w:sz w:val="24"/>
          <w:szCs w:val="24"/>
        </w:rPr>
        <w:t xml:space="preserve">- - - - - - - - - - - - - </w:t>
      </w:r>
    </w:p>
    <w:p w14:paraId="5E733902" w14:textId="45016A56" w:rsidR="0006100C" w:rsidRPr="006626E2" w:rsidRDefault="00261966" w:rsidP="00317AD3">
      <w:pPr>
        <w:spacing w:line="360" w:lineRule="auto"/>
        <w:ind w:left="1134" w:right="474" w:firstLine="282"/>
        <w:jc w:val="both"/>
        <w:rPr>
          <w:rFonts w:ascii="Arial" w:hAnsi="Arial" w:cs="Arial"/>
          <w:i/>
          <w:iCs/>
          <w:sz w:val="24"/>
          <w:szCs w:val="24"/>
        </w:rPr>
      </w:pPr>
      <w:r w:rsidRPr="006626E2">
        <w:rPr>
          <w:rFonts w:ascii="Arial" w:hAnsi="Arial" w:cs="Arial"/>
          <w:b/>
          <w:i/>
          <w:iCs/>
          <w:sz w:val="24"/>
          <w:szCs w:val="24"/>
        </w:rPr>
        <w:t>SEGUNDO</w:t>
      </w:r>
      <w:r w:rsidR="0006100C" w:rsidRPr="006626E2">
        <w:rPr>
          <w:rFonts w:ascii="Arial" w:hAnsi="Arial" w:cs="Arial"/>
          <w:b/>
          <w:i/>
          <w:iCs/>
          <w:sz w:val="24"/>
          <w:szCs w:val="24"/>
        </w:rPr>
        <w:t>. SE DECLARA PROCEDENTE EL INCIDENTE DE LIQUIDACIÓN DE SENTENCIA</w:t>
      </w:r>
      <w:r w:rsidR="0006100C" w:rsidRPr="006626E2">
        <w:rPr>
          <w:rFonts w:ascii="Arial" w:hAnsi="Arial" w:cs="Arial"/>
          <w:i/>
          <w:iCs/>
          <w:sz w:val="24"/>
          <w:szCs w:val="24"/>
        </w:rPr>
        <w:t xml:space="preserve">, solicitado por el actor </w:t>
      </w:r>
      <w:r w:rsidR="00810E39">
        <w:rPr>
          <w:rFonts w:ascii="Arial" w:hAnsi="Arial" w:cs="Arial"/>
          <w:b/>
          <w:i/>
          <w:iCs/>
          <w:sz w:val="24"/>
          <w:szCs w:val="24"/>
        </w:rPr>
        <w:lastRenderedPageBreak/>
        <w:t>*******</w:t>
      </w:r>
      <w:r w:rsidR="0006100C" w:rsidRPr="006626E2">
        <w:rPr>
          <w:rFonts w:ascii="Arial" w:hAnsi="Arial" w:cs="Arial"/>
          <w:i/>
          <w:iCs/>
          <w:sz w:val="24"/>
          <w:szCs w:val="24"/>
        </w:rPr>
        <w:t xml:space="preserve">, como quedo precisado en los considerandos segundo y tercero de esta resolución.- - - - - - - </w:t>
      </w:r>
      <w:r w:rsidR="00810E39">
        <w:rPr>
          <w:rFonts w:ascii="Arial" w:hAnsi="Arial" w:cs="Arial"/>
          <w:i/>
          <w:iCs/>
          <w:sz w:val="24"/>
          <w:szCs w:val="24"/>
        </w:rPr>
        <w:t>- - - - - - - - - - - - - - - - - - -</w:t>
      </w:r>
    </w:p>
    <w:p w14:paraId="15BA304E" w14:textId="2B2F071C" w:rsidR="00261966" w:rsidRPr="006626E2" w:rsidRDefault="00261966" w:rsidP="00317AD3">
      <w:pPr>
        <w:spacing w:line="360" w:lineRule="auto"/>
        <w:ind w:left="1134" w:right="474" w:firstLine="282"/>
        <w:jc w:val="both"/>
        <w:rPr>
          <w:rFonts w:ascii="Arial" w:eastAsia="Calibri" w:hAnsi="Arial" w:cs="Arial"/>
          <w:bCs/>
          <w:i/>
          <w:iCs/>
          <w:sz w:val="24"/>
          <w:szCs w:val="24"/>
        </w:rPr>
      </w:pPr>
      <w:r w:rsidRPr="006626E2">
        <w:rPr>
          <w:rFonts w:ascii="Arial" w:hAnsi="Arial" w:cs="Arial"/>
          <w:b/>
          <w:i/>
          <w:iCs/>
          <w:sz w:val="24"/>
          <w:szCs w:val="24"/>
        </w:rPr>
        <w:t>TERCERO</w:t>
      </w:r>
      <w:r w:rsidR="0006100C" w:rsidRPr="006626E2">
        <w:rPr>
          <w:rFonts w:ascii="Arial" w:hAnsi="Arial" w:cs="Arial"/>
          <w:b/>
          <w:i/>
          <w:iCs/>
          <w:sz w:val="24"/>
          <w:szCs w:val="24"/>
        </w:rPr>
        <w:t xml:space="preserve">. NOTIFÍQUESE personalmente a la parte actora, y mediante oficio a la autoridad demandada; </w:t>
      </w:r>
      <w:r w:rsidR="0006100C" w:rsidRPr="006626E2">
        <w:rPr>
          <w:rFonts w:ascii="Arial" w:hAnsi="Arial" w:cs="Arial"/>
          <w:i/>
          <w:iCs/>
          <w:sz w:val="24"/>
          <w:szCs w:val="24"/>
        </w:rPr>
        <w:t>en términos de los artículos 142 fracción I, y 143 fracciones I y II, de la Ley de Justicia Administrativa para el Estado de Oaxaca, anterior a la vigente.- - - -</w:t>
      </w:r>
      <w:r w:rsidR="006626E2">
        <w:rPr>
          <w:rFonts w:ascii="Arial" w:hAnsi="Arial" w:cs="Arial"/>
          <w:i/>
          <w:iCs/>
          <w:sz w:val="24"/>
          <w:szCs w:val="24"/>
        </w:rPr>
        <w:t xml:space="preserve"> - - - - - - - - - - - - - - - - - - - - - - - - - - </w:t>
      </w:r>
      <w:r w:rsidRPr="006626E2">
        <w:rPr>
          <w:rFonts w:ascii="Arial" w:eastAsia="Calibri" w:hAnsi="Arial" w:cs="Arial"/>
          <w:bCs/>
          <w:i/>
          <w:iCs/>
          <w:sz w:val="24"/>
          <w:szCs w:val="24"/>
        </w:rPr>
        <w:t>”</w:t>
      </w:r>
    </w:p>
    <w:p w14:paraId="22DBE5B9" w14:textId="77777777" w:rsidR="00261966" w:rsidRDefault="00261966" w:rsidP="001A07D0">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6908A553" w14:textId="018F4AB9" w:rsidR="00261966" w:rsidRDefault="00261966" w:rsidP="001A07D0">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2A606E">
        <w:rPr>
          <w:rFonts w:ascii="Arial" w:hAnsi="Arial" w:cs="Arial"/>
          <w:bCs/>
          <w:iCs/>
          <w:sz w:val="26"/>
          <w:szCs w:val="26"/>
        </w:rPr>
        <w:t>ones</w:t>
      </w:r>
      <w:r>
        <w:rPr>
          <w:rFonts w:ascii="Arial" w:hAnsi="Arial" w:cs="Arial"/>
          <w:bCs/>
          <w:iCs/>
          <w:sz w:val="26"/>
          <w:szCs w:val="26"/>
        </w:rPr>
        <w:t xml:space="preserve"> I</w:t>
      </w:r>
      <w:r w:rsidR="002A606E">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w:t>
      </w:r>
      <w:r w:rsidR="005F7250">
        <w:rPr>
          <w:rFonts w:ascii="Arial" w:hAnsi="Arial" w:cs="Arial"/>
          <w:bCs/>
          <w:iCs/>
          <w:sz w:val="26"/>
          <w:szCs w:val="26"/>
        </w:rPr>
        <w:t>tiva del Estado de Oaxaca</w:t>
      </w:r>
      <w:r>
        <w:rPr>
          <w:rFonts w:ascii="Arial" w:hAnsi="Arial" w:cs="Arial"/>
          <w:bCs/>
          <w:iCs/>
          <w:sz w:val="26"/>
          <w:szCs w:val="26"/>
        </w:rPr>
        <w:t xml:space="preserve">; </w:t>
      </w:r>
      <w:r w:rsidR="00920E0D">
        <w:rPr>
          <w:rFonts w:ascii="Arial" w:hAnsi="Arial" w:cs="Arial"/>
          <w:bCs/>
          <w:iCs/>
          <w:color w:val="000000" w:themeColor="text1"/>
          <w:sz w:val="26"/>
          <w:szCs w:val="26"/>
        </w:rPr>
        <w:t xml:space="preserve">así como los diversos artículos 86, 88, 92, 93, fracción I; 94, 201, 206 y 208 de la Ley de Justicia Administrativa para el Estado de Oaxaca </w:t>
      </w:r>
      <w:r w:rsidR="00A3118B">
        <w:rPr>
          <w:rFonts w:ascii="Arial" w:hAnsi="Arial" w:cs="Arial"/>
          <w:sz w:val="26"/>
          <w:szCs w:val="26"/>
        </w:rPr>
        <w:t>aplicable por ser la vigente al inicio del juicio natural</w:t>
      </w:r>
      <w:r w:rsidR="00A3118B">
        <w:rPr>
          <w:rFonts w:ascii="Arial" w:hAnsi="Arial" w:cs="Arial"/>
          <w:bCs/>
          <w:iCs/>
          <w:color w:val="000000" w:themeColor="text1"/>
          <w:sz w:val="26"/>
          <w:szCs w:val="26"/>
        </w:rPr>
        <w:t xml:space="preserve"> al </w:t>
      </w:r>
      <w:r w:rsidR="00920E0D">
        <w:rPr>
          <w:rFonts w:ascii="Arial" w:hAnsi="Arial" w:cs="Arial"/>
          <w:bCs/>
          <w:iCs/>
          <w:color w:val="000000" w:themeColor="text1"/>
          <w:sz w:val="26"/>
          <w:szCs w:val="26"/>
        </w:rPr>
        <w:t xml:space="preserve">tratarse de un recurso de revisión </w:t>
      </w:r>
      <w:r>
        <w:rPr>
          <w:rFonts w:ascii="Arial" w:hAnsi="Arial" w:cs="Arial"/>
          <w:bCs/>
          <w:iCs/>
          <w:sz w:val="26"/>
          <w:szCs w:val="26"/>
        </w:rPr>
        <w:t xml:space="preserve"> interpuesto en contra de la </w:t>
      </w:r>
      <w:r w:rsidR="0006100C">
        <w:rPr>
          <w:rFonts w:ascii="Arial" w:hAnsi="Arial" w:cs="Arial"/>
          <w:bCs/>
          <w:iCs/>
          <w:sz w:val="26"/>
          <w:szCs w:val="26"/>
        </w:rPr>
        <w:t xml:space="preserve">resolución </w:t>
      </w:r>
      <w:r>
        <w:rPr>
          <w:rFonts w:ascii="Arial" w:hAnsi="Arial" w:cs="Arial"/>
          <w:bCs/>
          <w:iCs/>
          <w:sz w:val="26"/>
          <w:szCs w:val="26"/>
        </w:rPr>
        <w:t xml:space="preserve">de </w:t>
      </w:r>
      <w:r w:rsidR="0006100C">
        <w:rPr>
          <w:rFonts w:ascii="Arial" w:hAnsi="Arial" w:cs="Arial"/>
          <w:bCs/>
          <w:iCs/>
          <w:sz w:val="26"/>
          <w:szCs w:val="26"/>
        </w:rPr>
        <w:t xml:space="preserve">30 treinta de septiembre </w:t>
      </w:r>
      <w:r>
        <w:rPr>
          <w:rFonts w:ascii="Arial" w:hAnsi="Arial" w:cs="Arial"/>
          <w:bCs/>
          <w:iCs/>
          <w:sz w:val="26"/>
          <w:szCs w:val="26"/>
        </w:rPr>
        <w:t xml:space="preserve">de </w:t>
      </w:r>
      <w:r w:rsidR="0006100C">
        <w:rPr>
          <w:rFonts w:ascii="Arial" w:hAnsi="Arial" w:cs="Arial"/>
          <w:bCs/>
          <w:iCs/>
          <w:sz w:val="26"/>
          <w:szCs w:val="26"/>
        </w:rPr>
        <w:t xml:space="preserve">2021 </w:t>
      </w:r>
      <w:r>
        <w:rPr>
          <w:rFonts w:ascii="Arial" w:hAnsi="Arial" w:cs="Arial"/>
          <w:bCs/>
          <w:iCs/>
          <w:sz w:val="26"/>
          <w:szCs w:val="26"/>
        </w:rPr>
        <w:t>dos mil veintiuno</w:t>
      </w:r>
      <w:r w:rsidR="00A3118B">
        <w:rPr>
          <w:rFonts w:ascii="Arial" w:hAnsi="Arial" w:cs="Arial"/>
          <w:bCs/>
          <w:iCs/>
          <w:sz w:val="26"/>
          <w:szCs w:val="26"/>
        </w:rPr>
        <w:t>,</w:t>
      </w:r>
      <w:r>
        <w:rPr>
          <w:rFonts w:ascii="Arial" w:hAnsi="Arial" w:cs="Arial"/>
          <w:bCs/>
          <w:iCs/>
          <w:sz w:val="26"/>
          <w:szCs w:val="26"/>
        </w:rPr>
        <w:t xml:space="preserve"> dictada por la </w:t>
      </w:r>
      <w:r w:rsidR="0006100C">
        <w:rPr>
          <w:rFonts w:ascii="Arial" w:hAnsi="Arial" w:cs="Arial"/>
          <w:bCs/>
          <w:iCs/>
          <w:sz w:val="26"/>
          <w:szCs w:val="26"/>
        </w:rPr>
        <w:t xml:space="preserve">Cuarta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06100C">
        <w:rPr>
          <w:rFonts w:ascii="Arial" w:hAnsi="Arial" w:cs="Arial"/>
          <w:b/>
          <w:bCs/>
          <w:iCs/>
          <w:sz w:val="26"/>
          <w:szCs w:val="26"/>
        </w:rPr>
        <w:t>075</w:t>
      </w:r>
      <w:r>
        <w:rPr>
          <w:rFonts w:ascii="Arial" w:hAnsi="Arial" w:cs="Arial"/>
          <w:b/>
          <w:bCs/>
          <w:iCs/>
          <w:sz w:val="26"/>
          <w:szCs w:val="26"/>
        </w:rPr>
        <w:t>/201</w:t>
      </w:r>
      <w:r w:rsidR="0006100C">
        <w:rPr>
          <w:rFonts w:ascii="Arial" w:hAnsi="Arial" w:cs="Arial"/>
          <w:b/>
          <w:bCs/>
          <w:iCs/>
          <w:sz w:val="26"/>
          <w:szCs w:val="26"/>
        </w:rPr>
        <w:t>7</w:t>
      </w:r>
      <w:r>
        <w:rPr>
          <w:rFonts w:ascii="Arial" w:hAnsi="Arial" w:cs="Arial"/>
          <w:sz w:val="26"/>
          <w:szCs w:val="26"/>
        </w:rPr>
        <w:t xml:space="preserve">.- - - </w:t>
      </w:r>
      <w:r w:rsidR="005F7250">
        <w:rPr>
          <w:rFonts w:ascii="Arial" w:hAnsi="Arial" w:cs="Arial"/>
          <w:sz w:val="26"/>
          <w:szCs w:val="26"/>
        </w:rPr>
        <w:t xml:space="preserve">- - - - - - - - - - - - - - - - - - </w:t>
      </w:r>
      <w:r w:rsidR="00A3118B">
        <w:rPr>
          <w:rFonts w:ascii="Arial" w:hAnsi="Arial" w:cs="Arial"/>
          <w:sz w:val="26"/>
          <w:szCs w:val="26"/>
        </w:rPr>
        <w:t>- - - - - - - - - - - - - - - - - - - - - - -</w:t>
      </w:r>
    </w:p>
    <w:p w14:paraId="3EB19C03" w14:textId="33EAEC44" w:rsidR="00D74B0F" w:rsidRDefault="008E51C0" w:rsidP="001A07D0">
      <w:pPr>
        <w:spacing w:before="240" w:after="0" w:line="360" w:lineRule="auto"/>
        <w:ind w:right="49" w:firstLine="709"/>
        <w:jc w:val="both"/>
        <w:rPr>
          <w:rFonts w:ascii="Arial" w:hAnsi="Arial" w:cs="Arial"/>
          <w:bCs/>
          <w:sz w:val="26"/>
          <w:szCs w:val="26"/>
        </w:rPr>
      </w:pPr>
      <w:r>
        <w:rPr>
          <w:rFonts w:ascii="Arial" w:hAnsi="Arial" w:cs="Arial"/>
          <w:b/>
          <w:sz w:val="26"/>
          <w:szCs w:val="26"/>
        </w:rPr>
        <w:t>SEGUNDO</w:t>
      </w:r>
      <w:r>
        <w:rPr>
          <w:rFonts w:ascii="Arial" w:hAnsi="Arial" w:cs="Arial"/>
          <w:sz w:val="26"/>
          <w:szCs w:val="26"/>
        </w:rPr>
        <w:t xml:space="preserve">. </w:t>
      </w:r>
      <w:r w:rsidR="00D74B0F">
        <w:rPr>
          <w:rFonts w:ascii="Arial" w:hAnsi="Arial" w:cs="Arial"/>
          <w:bCs/>
          <w:sz w:val="26"/>
          <w:szCs w:val="26"/>
        </w:rPr>
        <w:t xml:space="preserve">El presente </w:t>
      </w:r>
      <w:r w:rsidR="00D74B0F">
        <w:rPr>
          <w:rFonts w:ascii="Arial" w:hAnsi="Arial" w:cs="Arial"/>
          <w:color w:val="000000"/>
          <w:sz w:val="26"/>
          <w:szCs w:val="26"/>
        </w:rPr>
        <w:t xml:space="preserve">recurso de revisión se interpuso en contra de la resolución de 30 treinta de septiembre de 2021 dos mil veintiuno en la que se resolvió incidente de liquidación de sentencia; al respecto debe señalarse que dicho incidente </w:t>
      </w:r>
      <w:r w:rsidR="00920E0D">
        <w:rPr>
          <w:rFonts w:ascii="Arial" w:hAnsi="Arial" w:cs="Arial"/>
          <w:color w:val="000000"/>
          <w:sz w:val="26"/>
          <w:szCs w:val="26"/>
        </w:rPr>
        <w:t xml:space="preserve">no se encuentra previsto en la </w:t>
      </w:r>
      <w:r w:rsidR="00920E0D">
        <w:rPr>
          <w:rFonts w:ascii="Arial" w:hAnsi="Arial" w:cs="Arial"/>
          <w:sz w:val="26"/>
          <w:szCs w:val="26"/>
        </w:rPr>
        <w:t>Ley de Justicia Administrativa para el Estado de Oaxaca</w:t>
      </w:r>
      <w:r w:rsidR="00920E0D" w:rsidRPr="00920E0D">
        <w:rPr>
          <w:rFonts w:ascii="Arial" w:hAnsi="Arial" w:cs="Arial"/>
          <w:sz w:val="26"/>
          <w:szCs w:val="26"/>
        </w:rPr>
        <w:t xml:space="preserve"> </w:t>
      </w:r>
      <w:r w:rsidR="00920E0D">
        <w:rPr>
          <w:rFonts w:ascii="Arial" w:hAnsi="Arial" w:cs="Arial"/>
          <w:sz w:val="26"/>
          <w:szCs w:val="26"/>
        </w:rPr>
        <w:t xml:space="preserve">aplicable al caso, pues </w:t>
      </w:r>
      <w:r w:rsidR="00D74B0F">
        <w:rPr>
          <w:rFonts w:ascii="Arial" w:hAnsi="Arial" w:cs="Arial"/>
          <w:sz w:val="26"/>
          <w:szCs w:val="26"/>
        </w:rPr>
        <w:t>el artículo 194</w:t>
      </w:r>
      <w:r w:rsidR="00D74B0F">
        <w:rPr>
          <w:rStyle w:val="Refdenotaalpie"/>
          <w:rFonts w:ascii="Arial" w:hAnsi="Arial" w:cs="Arial"/>
          <w:sz w:val="26"/>
          <w:szCs w:val="26"/>
        </w:rPr>
        <w:footnoteReference w:id="1"/>
      </w:r>
      <w:r w:rsidR="00D74B0F" w:rsidRPr="00F87483">
        <w:rPr>
          <w:rFonts w:ascii="Arial" w:hAnsi="Arial" w:cs="Arial"/>
          <w:sz w:val="26"/>
          <w:szCs w:val="26"/>
        </w:rPr>
        <w:t xml:space="preserve"> </w:t>
      </w:r>
      <w:r w:rsidR="00D74B0F" w:rsidRPr="00F87483">
        <w:rPr>
          <w:rFonts w:ascii="Arial" w:hAnsi="Arial" w:cs="Arial"/>
          <w:bCs/>
          <w:sz w:val="26"/>
          <w:szCs w:val="26"/>
        </w:rPr>
        <w:t xml:space="preserve">es claro en puntualizar que </w:t>
      </w:r>
      <w:r w:rsidR="00920E0D">
        <w:rPr>
          <w:rFonts w:ascii="Arial" w:hAnsi="Arial" w:cs="Arial"/>
          <w:bCs/>
          <w:sz w:val="26"/>
          <w:szCs w:val="26"/>
        </w:rPr>
        <w:t xml:space="preserve">en el procedimiento contencioso administrativo </w:t>
      </w:r>
      <w:r w:rsidR="00D74B0F" w:rsidRPr="00F87483">
        <w:rPr>
          <w:rFonts w:ascii="Arial" w:hAnsi="Arial" w:cs="Arial"/>
          <w:bCs/>
          <w:sz w:val="26"/>
          <w:szCs w:val="26"/>
        </w:rPr>
        <w:t xml:space="preserve">no habrá más incidentes que los establecidos en la Ley, precisando cuales son los procedentes, </w:t>
      </w:r>
      <w:r w:rsidR="00920E0D">
        <w:rPr>
          <w:rFonts w:ascii="Arial" w:hAnsi="Arial" w:cs="Arial"/>
          <w:bCs/>
          <w:sz w:val="26"/>
          <w:szCs w:val="26"/>
        </w:rPr>
        <w:t xml:space="preserve">sin que prevea </w:t>
      </w:r>
      <w:r w:rsidR="00D74B0F" w:rsidRPr="00F87483">
        <w:rPr>
          <w:rFonts w:ascii="Arial" w:hAnsi="Arial" w:cs="Arial"/>
          <w:bCs/>
          <w:sz w:val="26"/>
          <w:szCs w:val="26"/>
        </w:rPr>
        <w:t>el de liquidación de sentencia</w:t>
      </w:r>
      <w:r w:rsidR="00D74B0F">
        <w:rPr>
          <w:rFonts w:ascii="Arial" w:hAnsi="Arial" w:cs="Arial"/>
          <w:bCs/>
          <w:sz w:val="26"/>
          <w:szCs w:val="26"/>
        </w:rPr>
        <w:t xml:space="preserve">.- - - - - - - - - - - - - - - - - - - - - </w:t>
      </w:r>
    </w:p>
    <w:p w14:paraId="390D4529" w14:textId="3EDB7D6F" w:rsidR="006609E5" w:rsidRDefault="00920E0D" w:rsidP="001A07D0">
      <w:pPr>
        <w:spacing w:before="240" w:after="240" w:line="360" w:lineRule="auto"/>
        <w:ind w:right="49" w:firstLine="708"/>
        <w:jc w:val="both"/>
        <w:rPr>
          <w:rFonts w:ascii="Arial" w:hAnsi="Arial" w:cs="Arial"/>
          <w:sz w:val="26"/>
          <w:szCs w:val="26"/>
        </w:rPr>
      </w:pPr>
      <w:r>
        <w:rPr>
          <w:rFonts w:ascii="Arial" w:hAnsi="Arial" w:cs="Arial"/>
          <w:sz w:val="26"/>
          <w:szCs w:val="26"/>
        </w:rPr>
        <w:t>Derivado de lo anterior</w:t>
      </w:r>
      <w:r w:rsidR="00D74B0F">
        <w:rPr>
          <w:rFonts w:ascii="Arial" w:hAnsi="Arial" w:cs="Arial"/>
          <w:sz w:val="26"/>
          <w:szCs w:val="26"/>
        </w:rPr>
        <w:t>, p</w:t>
      </w:r>
      <w:r w:rsidR="0006100C">
        <w:rPr>
          <w:rFonts w:ascii="Arial" w:hAnsi="Arial" w:cs="Arial"/>
          <w:color w:val="000000"/>
          <w:sz w:val="26"/>
          <w:szCs w:val="26"/>
        </w:rPr>
        <w:t>revio al estudio de los agravios planteados</w:t>
      </w:r>
      <w:r w:rsidR="00D74B0F">
        <w:rPr>
          <w:rFonts w:ascii="Arial" w:hAnsi="Arial" w:cs="Arial"/>
          <w:color w:val="000000"/>
          <w:sz w:val="26"/>
          <w:szCs w:val="26"/>
        </w:rPr>
        <w:t xml:space="preserve"> resulta importante puntualizar, </w:t>
      </w:r>
      <w:r w:rsidR="006609E5">
        <w:rPr>
          <w:rFonts w:ascii="Arial" w:hAnsi="Arial" w:cs="Arial"/>
          <w:color w:val="000000"/>
          <w:sz w:val="26"/>
          <w:szCs w:val="26"/>
        </w:rPr>
        <w:t xml:space="preserve">que </w:t>
      </w:r>
      <w:r w:rsidR="006609E5">
        <w:rPr>
          <w:rFonts w:ascii="Arial" w:hAnsi="Arial" w:cs="Arial"/>
          <w:sz w:val="26"/>
          <w:szCs w:val="26"/>
        </w:rPr>
        <w:t xml:space="preserve">del análisis a las </w:t>
      </w:r>
      <w:r w:rsidR="006609E5">
        <w:rPr>
          <w:rFonts w:ascii="Arial" w:hAnsi="Arial" w:cs="Arial"/>
          <w:sz w:val="26"/>
          <w:szCs w:val="26"/>
        </w:rPr>
        <w:lastRenderedPageBreak/>
        <w:t>constancias que integran el expediente original de Primera Instancia, con valor probatorio pleno conforme a lo dispuesto por el artículo 173, fracción I de la Ley de Justicia Administrativa para el Estado de Oaxaca</w:t>
      </w:r>
      <w:r w:rsidR="006609E5">
        <w:rPr>
          <w:rStyle w:val="Refdenotaalpie"/>
          <w:rFonts w:ascii="Arial" w:hAnsi="Arial" w:cs="Arial"/>
          <w:color w:val="000000"/>
          <w:sz w:val="26"/>
          <w:szCs w:val="26"/>
        </w:rPr>
        <w:footnoteReference w:id="2"/>
      </w:r>
      <w:r w:rsidR="006609E5">
        <w:rPr>
          <w:rFonts w:ascii="Arial" w:hAnsi="Arial" w:cs="Arial"/>
          <w:sz w:val="26"/>
          <w:szCs w:val="26"/>
        </w:rPr>
        <w:t xml:space="preserve">, se destaca:- - - - - - - </w:t>
      </w:r>
      <w:r w:rsidR="00D7387C">
        <w:rPr>
          <w:rFonts w:ascii="Arial" w:hAnsi="Arial" w:cs="Arial"/>
          <w:sz w:val="26"/>
          <w:szCs w:val="26"/>
        </w:rPr>
        <w:t>- - - - - - - - - - - - - - - - - - - - - - - - - - - - - - - - - - - - -</w:t>
      </w:r>
    </w:p>
    <w:p w14:paraId="0F59DE1F" w14:textId="0A2E67EC" w:rsidR="006609E5" w:rsidRDefault="006609E5" w:rsidP="001A07D0">
      <w:pPr>
        <w:pStyle w:val="Prrafodelista"/>
        <w:spacing w:before="240" w:after="200" w:line="360" w:lineRule="auto"/>
        <w:ind w:left="0" w:right="49" w:firstLine="708"/>
        <w:jc w:val="both"/>
        <w:rPr>
          <w:rFonts w:ascii="Arial" w:hAnsi="Arial" w:cs="Arial"/>
          <w:sz w:val="26"/>
          <w:szCs w:val="26"/>
        </w:rPr>
      </w:pPr>
      <w:r>
        <w:rPr>
          <w:rFonts w:ascii="Arial" w:hAnsi="Arial" w:cs="Arial"/>
          <w:b/>
          <w:sz w:val="26"/>
          <w:szCs w:val="26"/>
        </w:rPr>
        <w:t xml:space="preserve">1. </w:t>
      </w:r>
      <w:r w:rsidR="0006100C" w:rsidRPr="00290AB1">
        <w:rPr>
          <w:rFonts w:ascii="Arial" w:hAnsi="Arial" w:cs="Arial"/>
          <w:sz w:val="26"/>
          <w:szCs w:val="26"/>
        </w:rPr>
        <w:t xml:space="preserve">Sentencia </w:t>
      </w:r>
      <w:r>
        <w:rPr>
          <w:rFonts w:ascii="Arial" w:hAnsi="Arial" w:cs="Arial"/>
          <w:sz w:val="26"/>
          <w:szCs w:val="26"/>
        </w:rPr>
        <w:t>de 18 dieciocho de octubre de 2017 dos mil diecisiete</w:t>
      </w:r>
      <w:r w:rsidR="00D74B0F">
        <w:rPr>
          <w:rStyle w:val="Refdenotaalpie"/>
          <w:rFonts w:ascii="Arial" w:hAnsi="Arial" w:cs="Arial"/>
          <w:sz w:val="26"/>
          <w:szCs w:val="26"/>
        </w:rPr>
        <w:footnoteReference w:id="3"/>
      </w:r>
      <w:r>
        <w:rPr>
          <w:rFonts w:ascii="Arial" w:hAnsi="Arial" w:cs="Arial"/>
          <w:sz w:val="26"/>
          <w:szCs w:val="26"/>
        </w:rPr>
        <w:t xml:space="preserve"> en la que la Primera Instancia </w:t>
      </w:r>
      <w:r w:rsidR="0006100C" w:rsidRPr="00290AB1">
        <w:rPr>
          <w:rFonts w:ascii="Arial" w:hAnsi="Arial" w:cs="Arial"/>
          <w:sz w:val="26"/>
          <w:szCs w:val="26"/>
        </w:rPr>
        <w:t xml:space="preserve">declaró la nulidad lisa y llana de la resolución </w:t>
      </w:r>
      <w:r>
        <w:rPr>
          <w:rFonts w:ascii="Arial" w:hAnsi="Arial" w:cs="Arial"/>
          <w:sz w:val="26"/>
          <w:szCs w:val="26"/>
        </w:rPr>
        <w:t>de 22 veintidós de mayo de 2017, dictada por el Fiscal General del Estado de Oaxaca, en el expediente administrativo de investigación 201(</w:t>
      </w:r>
      <w:proofErr w:type="spellStart"/>
      <w:r>
        <w:rPr>
          <w:rFonts w:ascii="Arial" w:hAnsi="Arial" w:cs="Arial"/>
          <w:sz w:val="26"/>
          <w:szCs w:val="26"/>
        </w:rPr>
        <w:t>VISITADURIA</w:t>
      </w:r>
      <w:proofErr w:type="spellEnd"/>
      <w:r>
        <w:rPr>
          <w:rFonts w:ascii="Arial" w:hAnsi="Arial" w:cs="Arial"/>
          <w:sz w:val="26"/>
          <w:szCs w:val="26"/>
        </w:rPr>
        <w:t xml:space="preserve">)2015 iniciado en contra de </w:t>
      </w:r>
      <w:r w:rsidR="00810E39">
        <w:rPr>
          <w:rFonts w:ascii="Arial" w:hAnsi="Arial" w:cs="Arial"/>
          <w:sz w:val="26"/>
          <w:szCs w:val="26"/>
        </w:rPr>
        <w:t>*******</w:t>
      </w:r>
      <w:r>
        <w:rPr>
          <w:rFonts w:ascii="Arial" w:hAnsi="Arial" w:cs="Arial"/>
          <w:sz w:val="26"/>
          <w:szCs w:val="26"/>
        </w:rPr>
        <w:t xml:space="preserve"> y ante la existencia de restricción a reinstalarlo se condenó al pago de la in</w:t>
      </w:r>
      <w:r w:rsidR="00D7387C">
        <w:rPr>
          <w:rFonts w:ascii="Arial" w:hAnsi="Arial" w:cs="Arial"/>
          <w:sz w:val="26"/>
          <w:szCs w:val="26"/>
        </w:rPr>
        <w:t>d</w:t>
      </w:r>
      <w:r>
        <w:rPr>
          <w:rFonts w:ascii="Arial" w:hAnsi="Arial" w:cs="Arial"/>
          <w:sz w:val="26"/>
          <w:szCs w:val="26"/>
        </w:rPr>
        <w:t>emn</w:t>
      </w:r>
      <w:r w:rsidR="00D7387C">
        <w:rPr>
          <w:rFonts w:ascii="Arial" w:hAnsi="Arial" w:cs="Arial"/>
          <w:sz w:val="26"/>
          <w:szCs w:val="26"/>
        </w:rPr>
        <w:t>iz</w:t>
      </w:r>
      <w:r>
        <w:rPr>
          <w:rFonts w:ascii="Arial" w:hAnsi="Arial" w:cs="Arial"/>
          <w:sz w:val="26"/>
          <w:szCs w:val="26"/>
        </w:rPr>
        <w:t>ación constitucional, así como al pago de 20 veinte días de salario por cada año de servicio, vacacione</w:t>
      </w:r>
      <w:r w:rsidR="00810E39">
        <w:rPr>
          <w:rFonts w:ascii="Arial" w:hAnsi="Arial" w:cs="Arial"/>
          <w:sz w:val="26"/>
          <w:szCs w:val="26"/>
        </w:rPr>
        <w:t xml:space="preserve">s y prima vacacional.- - - - - </w:t>
      </w:r>
      <w:r>
        <w:rPr>
          <w:rFonts w:ascii="Arial" w:hAnsi="Arial" w:cs="Arial"/>
          <w:sz w:val="26"/>
          <w:szCs w:val="26"/>
        </w:rPr>
        <w:t xml:space="preserve"> </w:t>
      </w:r>
    </w:p>
    <w:p w14:paraId="495472AB" w14:textId="77777777" w:rsidR="006609E5" w:rsidRPr="006609E5" w:rsidRDefault="006609E5" w:rsidP="001A07D0">
      <w:pPr>
        <w:pStyle w:val="Prrafodelista"/>
        <w:spacing w:before="240" w:after="200" w:line="360" w:lineRule="auto"/>
        <w:ind w:left="0" w:right="49" w:firstLine="708"/>
        <w:jc w:val="both"/>
        <w:rPr>
          <w:rFonts w:ascii="Arial" w:hAnsi="Arial" w:cs="Arial"/>
          <w:b/>
          <w:sz w:val="10"/>
          <w:szCs w:val="10"/>
        </w:rPr>
      </w:pPr>
    </w:p>
    <w:p w14:paraId="59FA1C95" w14:textId="4A63BDDC" w:rsidR="006609E5" w:rsidRDefault="006609E5" w:rsidP="001A07D0">
      <w:pPr>
        <w:pStyle w:val="Prrafodelista"/>
        <w:spacing w:before="240" w:after="200" w:line="360" w:lineRule="auto"/>
        <w:ind w:left="0" w:right="49" w:firstLine="708"/>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Resolución de 4 cuatro de julio de 2019 dos mil d</w:t>
      </w:r>
      <w:r w:rsidR="002C6B0A">
        <w:rPr>
          <w:rFonts w:ascii="Arial" w:hAnsi="Arial" w:cs="Arial"/>
          <w:sz w:val="26"/>
          <w:szCs w:val="26"/>
        </w:rPr>
        <w:t>iecinueve</w:t>
      </w:r>
      <w:r w:rsidR="0041178A">
        <w:rPr>
          <w:rStyle w:val="Refdenotaalpie"/>
          <w:rFonts w:ascii="Arial" w:hAnsi="Arial" w:cs="Arial"/>
          <w:sz w:val="26"/>
          <w:szCs w:val="26"/>
        </w:rPr>
        <w:footnoteReference w:id="4"/>
      </w:r>
      <w:r w:rsidR="002C6B0A">
        <w:rPr>
          <w:rFonts w:ascii="Arial" w:hAnsi="Arial" w:cs="Arial"/>
          <w:sz w:val="26"/>
          <w:szCs w:val="26"/>
        </w:rPr>
        <w:t xml:space="preserve">, </w:t>
      </w:r>
      <w:r w:rsidR="00D7387C">
        <w:rPr>
          <w:rFonts w:ascii="Arial" w:hAnsi="Arial" w:cs="Arial"/>
          <w:sz w:val="26"/>
          <w:szCs w:val="26"/>
        </w:rPr>
        <w:t xml:space="preserve">en la que </w:t>
      </w:r>
      <w:r w:rsidR="002C6B0A">
        <w:rPr>
          <w:rFonts w:ascii="Arial" w:hAnsi="Arial" w:cs="Arial"/>
          <w:sz w:val="26"/>
          <w:szCs w:val="26"/>
        </w:rPr>
        <w:t>la Sala Superior de este Tribunal modificó la sentencia dictada en el juicio, condena</w:t>
      </w:r>
      <w:r w:rsidR="00D7387C">
        <w:rPr>
          <w:rFonts w:ascii="Arial" w:hAnsi="Arial" w:cs="Arial"/>
          <w:sz w:val="26"/>
          <w:szCs w:val="26"/>
        </w:rPr>
        <w:t>n</w:t>
      </w:r>
      <w:r w:rsidR="002C6B0A">
        <w:rPr>
          <w:rFonts w:ascii="Arial" w:hAnsi="Arial" w:cs="Arial"/>
          <w:sz w:val="26"/>
          <w:szCs w:val="26"/>
        </w:rPr>
        <w:t xml:space="preserve">do al pago de: </w:t>
      </w:r>
      <w:r w:rsidR="002C6B0A" w:rsidRPr="002C6B0A">
        <w:rPr>
          <w:rFonts w:ascii="Arial" w:hAnsi="Arial" w:cs="Arial"/>
          <w:b/>
          <w:sz w:val="26"/>
          <w:szCs w:val="26"/>
        </w:rPr>
        <w:t>a)</w:t>
      </w:r>
      <w:r w:rsidR="002C6B0A">
        <w:rPr>
          <w:rFonts w:ascii="Arial" w:hAnsi="Arial" w:cs="Arial"/>
          <w:sz w:val="26"/>
          <w:szCs w:val="26"/>
        </w:rPr>
        <w:t xml:space="preserve"> 20 veinte días por cada año de servicio prestado, contabilizado a partir del 1 uno de abril de 1999 mil novecientos noventa y nueve, </w:t>
      </w:r>
      <w:r w:rsidR="002C6B0A">
        <w:rPr>
          <w:rFonts w:ascii="Arial" w:hAnsi="Arial" w:cs="Arial"/>
          <w:b/>
          <w:sz w:val="26"/>
          <w:szCs w:val="26"/>
        </w:rPr>
        <w:t xml:space="preserve">b) </w:t>
      </w:r>
      <w:r w:rsidR="002C6B0A">
        <w:rPr>
          <w:rFonts w:ascii="Arial" w:hAnsi="Arial" w:cs="Arial"/>
          <w:sz w:val="26"/>
          <w:szCs w:val="26"/>
        </w:rPr>
        <w:t xml:space="preserve">aguinaldo correspondiente al año 2017 dos mil diecisiete, </w:t>
      </w:r>
      <w:r w:rsidR="002C6B0A">
        <w:rPr>
          <w:rFonts w:ascii="Arial" w:hAnsi="Arial" w:cs="Arial"/>
          <w:b/>
          <w:sz w:val="26"/>
          <w:szCs w:val="26"/>
        </w:rPr>
        <w:t xml:space="preserve">c) </w:t>
      </w:r>
      <w:r w:rsidR="002C6B0A">
        <w:rPr>
          <w:rFonts w:ascii="Arial" w:hAnsi="Arial" w:cs="Arial"/>
          <w:sz w:val="26"/>
          <w:szCs w:val="26"/>
        </w:rPr>
        <w:t xml:space="preserve">salarios ordinarios diarios dejados de percibir desde el 1 uno de julio de 2017 dos mil diecisiete, </w:t>
      </w:r>
      <w:r w:rsidR="002C6B0A">
        <w:rPr>
          <w:rFonts w:ascii="Arial" w:hAnsi="Arial" w:cs="Arial"/>
          <w:b/>
          <w:sz w:val="26"/>
          <w:szCs w:val="26"/>
        </w:rPr>
        <w:t xml:space="preserve">d) </w:t>
      </w:r>
      <w:r w:rsidR="002C6B0A">
        <w:rPr>
          <w:rFonts w:ascii="Arial" w:hAnsi="Arial" w:cs="Arial"/>
          <w:sz w:val="26"/>
          <w:szCs w:val="26"/>
        </w:rPr>
        <w:t>prima de antigüedad, consistente en 12 doce días de s</w:t>
      </w:r>
      <w:r w:rsidR="00D7387C">
        <w:rPr>
          <w:rFonts w:ascii="Arial" w:hAnsi="Arial" w:cs="Arial"/>
          <w:sz w:val="26"/>
          <w:szCs w:val="26"/>
        </w:rPr>
        <w:t>alario por cada año de servicio</w:t>
      </w:r>
      <w:r w:rsidR="002C6B0A">
        <w:rPr>
          <w:rFonts w:ascii="Arial" w:hAnsi="Arial" w:cs="Arial"/>
          <w:sz w:val="26"/>
          <w:szCs w:val="26"/>
        </w:rPr>
        <w:t xml:space="preserve">, del 1 uno de julio de 2017 dos mil diecisiete, </w:t>
      </w:r>
      <w:r w:rsidR="002C6B0A">
        <w:rPr>
          <w:rFonts w:ascii="Arial" w:hAnsi="Arial" w:cs="Arial"/>
          <w:b/>
          <w:sz w:val="26"/>
          <w:szCs w:val="26"/>
        </w:rPr>
        <w:t xml:space="preserve">e) </w:t>
      </w:r>
      <w:r w:rsidR="002C6B0A">
        <w:rPr>
          <w:rFonts w:ascii="Arial" w:hAnsi="Arial" w:cs="Arial"/>
          <w:sz w:val="26"/>
          <w:szCs w:val="26"/>
        </w:rPr>
        <w:t xml:space="preserve">vacaciones y prima vacacional desde la fecha de separación, todas hasta la fecha en que se cumpla la sentencia.- - - - - </w:t>
      </w:r>
      <w:r w:rsidR="00D7387C">
        <w:rPr>
          <w:rFonts w:ascii="Arial" w:hAnsi="Arial" w:cs="Arial"/>
          <w:sz w:val="26"/>
          <w:szCs w:val="26"/>
        </w:rPr>
        <w:t xml:space="preserve">- - - - - - - - - - - - - - - - - - - - - - - - - - - </w:t>
      </w:r>
    </w:p>
    <w:p w14:paraId="4688F2AC" w14:textId="77777777" w:rsidR="002C6B0A" w:rsidRPr="002C6B0A" w:rsidRDefault="002C6B0A" w:rsidP="001A07D0">
      <w:pPr>
        <w:pStyle w:val="Prrafodelista"/>
        <w:spacing w:before="240" w:after="200" w:line="360" w:lineRule="auto"/>
        <w:ind w:left="0" w:right="49" w:firstLine="708"/>
        <w:jc w:val="both"/>
        <w:rPr>
          <w:rFonts w:ascii="Arial" w:hAnsi="Arial" w:cs="Arial"/>
          <w:sz w:val="10"/>
          <w:szCs w:val="10"/>
        </w:rPr>
      </w:pPr>
    </w:p>
    <w:p w14:paraId="0C9B43ED" w14:textId="2536726A" w:rsidR="0006100C" w:rsidRDefault="002C6B0A" w:rsidP="001A07D0">
      <w:pPr>
        <w:pStyle w:val="Prrafodelista"/>
        <w:spacing w:before="240" w:after="200" w:line="360" w:lineRule="auto"/>
        <w:ind w:left="0" w:right="49" w:firstLine="708"/>
        <w:jc w:val="both"/>
        <w:rPr>
          <w:rFonts w:ascii="Arial" w:hAnsi="Arial" w:cs="Arial"/>
          <w:sz w:val="26"/>
          <w:szCs w:val="26"/>
        </w:rPr>
      </w:pPr>
      <w:r>
        <w:rPr>
          <w:rFonts w:ascii="Arial" w:hAnsi="Arial" w:cs="Arial"/>
          <w:b/>
          <w:sz w:val="26"/>
          <w:szCs w:val="26"/>
        </w:rPr>
        <w:t xml:space="preserve">3. </w:t>
      </w:r>
      <w:r w:rsidR="00D74B0F">
        <w:rPr>
          <w:rFonts w:ascii="Arial" w:hAnsi="Arial" w:cs="Arial"/>
          <w:sz w:val="26"/>
          <w:szCs w:val="26"/>
        </w:rPr>
        <w:t>Auto de 15 quince de febrero de 2021 dos mil veintiuno</w:t>
      </w:r>
      <w:r w:rsidR="0041178A">
        <w:rPr>
          <w:rStyle w:val="Refdenotaalpie"/>
          <w:rFonts w:ascii="Arial" w:hAnsi="Arial" w:cs="Arial"/>
          <w:sz w:val="26"/>
          <w:szCs w:val="26"/>
        </w:rPr>
        <w:footnoteReference w:id="5"/>
      </w:r>
      <w:r w:rsidR="0006100C" w:rsidRPr="00290AB1">
        <w:rPr>
          <w:rFonts w:ascii="Arial" w:hAnsi="Arial" w:cs="Arial"/>
          <w:sz w:val="26"/>
          <w:szCs w:val="26"/>
        </w:rPr>
        <w:t xml:space="preserve">, mediante el cual </w:t>
      </w:r>
      <w:r w:rsidR="00D74B0F">
        <w:rPr>
          <w:rFonts w:ascii="Arial" w:hAnsi="Arial" w:cs="Arial"/>
          <w:sz w:val="26"/>
          <w:szCs w:val="26"/>
        </w:rPr>
        <w:t xml:space="preserve">la Primera Instancia </w:t>
      </w:r>
      <w:r w:rsidR="0041178A">
        <w:rPr>
          <w:rFonts w:ascii="Arial" w:hAnsi="Arial" w:cs="Arial"/>
          <w:sz w:val="26"/>
          <w:szCs w:val="26"/>
        </w:rPr>
        <w:t>con fundamento en lo dispuesto por los artículos 404 y 501 del Código de Procedimientos Civiles para el Estado de Oaxaca</w:t>
      </w:r>
      <w:r w:rsidR="0041178A">
        <w:rPr>
          <w:rStyle w:val="Refdenotaalpie"/>
          <w:rFonts w:ascii="Arial" w:hAnsi="Arial" w:cs="Arial"/>
          <w:sz w:val="26"/>
          <w:szCs w:val="26"/>
        </w:rPr>
        <w:footnoteReference w:id="6"/>
      </w:r>
      <w:r w:rsidR="0041178A">
        <w:rPr>
          <w:rFonts w:ascii="Arial" w:hAnsi="Arial" w:cs="Arial"/>
          <w:sz w:val="26"/>
          <w:szCs w:val="26"/>
        </w:rPr>
        <w:t xml:space="preserve">, </w:t>
      </w:r>
      <w:r w:rsidR="00D74B0F">
        <w:rPr>
          <w:rFonts w:ascii="Arial" w:hAnsi="Arial" w:cs="Arial"/>
          <w:sz w:val="26"/>
          <w:szCs w:val="26"/>
        </w:rPr>
        <w:t xml:space="preserve">requirió al actor para </w:t>
      </w:r>
      <w:r w:rsidR="00B07034">
        <w:rPr>
          <w:rFonts w:ascii="Arial" w:hAnsi="Arial" w:cs="Arial"/>
          <w:sz w:val="26"/>
          <w:szCs w:val="26"/>
        </w:rPr>
        <w:t xml:space="preserve">que </w:t>
      </w:r>
      <w:r w:rsidR="00D74B0F">
        <w:rPr>
          <w:rFonts w:ascii="Arial" w:hAnsi="Arial" w:cs="Arial"/>
          <w:sz w:val="26"/>
          <w:szCs w:val="26"/>
        </w:rPr>
        <w:t>presentar</w:t>
      </w:r>
      <w:r w:rsidR="00B07034">
        <w:rPr>
          <w:rFonts w:ascii="Arial" w:hAnsi="Arial" w:cs="Arial"/>
          <w:sz w:val="26"/>
          <w:szCs w:val="26"/>
        </w:rPr>
        <w:t>a</w:t>
      </w:r>
      <w:r w:rsidR="00D74B0F">
        <w:rPr>
          <w:rFonts w:ascii="Arial" w:hAnsi="Arial" w:cs="Arial"/>
          <w:sz w:val="26"/>
          <w:szCs w:val="26"/>
        </w:rPr>
        <w:t xml:space="preserve"> incidente de liquidación de sentencia.- - - - - - - - - - - - - - - - - - - - - - - - -</w:t>
      </w:r>
      <w:r w:rsidR="00933EC3">
        <w:rPr>
          <w:rFonts w:ascii="Arial" w:hAnsi="Arial" w:cs="Arial"/>
          <w:sz w:val="26"/>
          <w:szCs w:val="26"/>
        </w:rPr>
        <w:t xml:space="preserve"> - - - - - - - -  -</w:t>
      </w:r>
    </w:p>
    <w:p w14:paraId="3B89A20E" w14:textId="77777777" w:rsidR="0006100C" w:rsidRPr="00290AB1" w:rsidRDefault="0006100C" w:rsidP="001A07D0">
      <w:pPr>
        <w:pStyle w:val="Prrafodelista"/>
        <w:ind w:right="49"/>
        <w:rPr>
          <w:rFonts w:ascii="Arial" w:hAnsi="Arial" w:cs="Arial"/>
          <w:sz w:val="16"/>
          <w:szCs w:val="16"/>
        </w:rPr>
      </w:pPr>
    </w:p>
    <w:p w14:paraId="2A1ACD73" w14:textId="2B31F047" w:rsidR="0006100C" w:rsidRDefault="0041178A" w:rsidP="001A07D0">
      <w:pPr>
        <w:pStyle w:val="Prrafodelista"/>
        <w:spacing w:before="240" w:after="200" w:line="360" w:lineRule="auto"/>
        <w:ind w:left="0" w:right="49" w:firstLine="708"/>
        <w:jc w:val="both"/>
        <w:rPr>
          <w:rFonts w:ascii="Arial" w:hAnsi="Arial" w:cs="Arial"/>
          <w:sz w:val="26"/>
          <w:szCs w:val="26"/>
        </w:rPr>
      </w:pPr>
      <w:r>
        <w:rPr>
          <w:rFonts w:ascii="Arial" w:hAnsi="Arial" w:cs="Arial"/>
          <w:b/>
          <w:sz w:val="26"/>
          <w:szCs w:val="26"/>
        </w:rPr>
        <w:t xml:space="preserve">4. </w:t>
      </w:r>
      <w:r>
        <w:rPr>
          <w:rFonts w:ascii="Arial" w:hAnsi="Arial" w:cs="Arial"/>
          <w:sz w:val="26"/>
          <w:szCs w:val="26"/>
        </w:rPr>
        <w:t>Escrito de 22 veintidós de abril de 2021 dos mil veintiuno</w:t>
      </w:r>
      <w:r>
        <w:rPr>
          <w:rStyle w:val="Refdenotaalpie"/>
          <w:rFonts w:ascii="Arial" w:hAnsi="Arial" w:cs="Arial"/>
          <w:sz w:val="26"/>
          <w:szCs w:val="26"/>
        </w:rPr>
        <w:footnoteReference w:id="7"/>
      </w:r>
      <w:r>
        <w:rPr>
          <w:rFonts w:ascii="Arial" w:hAnsi="Arial" w:cs="Arial"/>
          <w:sz w:val="26"/>
          <w:szCs w:val="26"/>
        </w:rPr>
        <w:t xml:space="preserve"> mediante el cual el actor en cumplimiento al requerimiento efectuado por auto anteriormente indicado, promovió incidente de liquidación de sentencia</w:t>
      </w:r>
      <w:r w:rsidR="0006100C" w:rsidRPr="00290AB1">
        <w:rPr>
          <w:rFonts w:ascii="Arial" w:hAnsi="Arial" w:cs="Arial"/>
          <w:sz w:val="26"/>
          <w:szCs w:val="26"/>
        </w:rPr>
        <w:t>.</w:t>
      </w:r>
      <w:r>
        <w:rPr>
          <w:rFonts w:ascii="Arial" w:hAnsi="Arial" w:cs="Arial"/>
          <w:sz w:val="26"/>
          <w:szCs w:val="26"/>
        </w:rPr>
        <w:t xml:space="preserve">- - - - - - - - - - - - - - - - - - - - - - - - - - - - - - - - - - - - - - - - - - - - </w:t>
      </w:r>
    </w:p>
    <w:p w14:paraId="614890DD" w14:textId="77777777" w:rsidR="0006100C" w:rsidRPr="00290AB1" w:rsidRDefault="0006100C" w:rsidP="001A07D0">
      <w:pPr>
        <w:pStyle w:val="Prrafodelista"/>
        <w:ind w:right="49"/>
        <w:rPr>
          <w:rFonts w:ascii="Arial" w:hAnsi="Arial" w:cs="Arial"/>
          <w:sz w:val="16"/>
          <w:szCs w:val="16"/>
        </w:rPr>
      </w:pPr>
    </w:p>
    <w:p w14:paraId="2A390D95" w14:textId="456C45A2" w:rsidR="0041178A" w:rsidRDefault="0041178A" w:rsidP="001A07D0">
      <w:pPr>
        <w:pStyle w:val="Prrafodelista"/>
        <w:spacing w:before="240" w:after="200" w:line="360" w:lineRule="auto"/>
        <w:ind w:left="0" w:right="49" w:firstLine="708"/>
        <w:jc w:val="both"/>
        <w:rPr>
          <w:rFonts w:ascii="Arial" w:hAnsi="Arial" w:cs="Arial"/>
          <w:sz w:val="26"/>
          <w:szCs w:val="26"/>
        </w:rPr>
      </w:pPr>
      <w:r>
        <w:rPr>
          <w:rFonts w:ascii="Arial" w:hAnsi="Arial" w:cs="Arial"/>
          <w:b/>
          <w:sz w:val="26"/>
          <w:szCs w:val="26"/>
        </w:rPr>
        <w:t xml:space="preserve">5. </w:t>
      </w:r>
      <w:r w:rsidR="0006100C" w:rsidRPr="00290AB1">
        <w:rPr>
          <w:rFonts w:ascii="Arial" w:hAnsi="Arial" w:cs="Arial"/>
          <w:sz w:val="26"/>
          <w:szCs w:val="26"/>
        </w:rPr>
        <w:t>Resolución de 3</w:t>
      </w:r>
      <w:r>
        <w:rPr>
          <w:rFonts w:ascii="Arial" w:hAnsi="Arial" w:cs="Arial"/>
          <w:sz w:val="26"/>
          <w:szCs w:val="26"/>
        </w:rPr>
        <w:t xml:space="preserve">0 treinta de septiembre </w:t>
      </w:r>
      <w:r w:rsidR="0006100C" w:rsidRPr="00290AB1">
        <w:rPr>
          <w:rFonts w:ascii="Arial" w:hAnsi="Arial" w:cs="Arial"/>
          <w:sz w:val="26"/>
          <w:szCs w:val="26"/>
        </w:rPr>
        <w:t xml:space="preserve">de </w:t>
      </w:r>
      <w:r>
        <w:rPr>
          <w:rFonts w:ascii="Arial" w:hAnsi="Arial" w:cs="Arial"/>
          <w:sz w:val="26"/>
          <w:szCs w:val="26"/>
        </w:rPr>
        <w:t xml:space="preserve">2021 </w:t>
      </w:r>
      <w:r w:rsidR="0006100C" w:rsidRPr="00290AB1">
        <w:rPr>
          <w:rFonts w:ascii="Arial" w:hAnsi="Arial" w:cs="Arial"/>
          <w:sz w:val="26"/>
          <w:szCs w:val="26"/>
        </w:rPr>
        <w:t xml:space="preserve">dos mil </w:t>
      </w:r>
      <w:r>
        <w:rPr>
          <w:rFonts w:ascii="Arial" w:hAnsi="Arial" w:cs="Arial"/>
          <w:sz w:val="26"/>
          <w:szCs w:val="26"/>
        </w:rPr>
        <w:t>veintiuno</w:t>
      </w:r>
      <w:r>
        <w:rPr>
          <w:rStyle w:val="Refdenotaalpie"/>
          <w:rFonts w:ascii="Arial" w:hAnsi="Arial" w:cs="Arial"/>
          <w:sz w:val="26"/>
          <w:szCs w:val="26"/>
        </w:rPr>
        <w:footnoteReference w:id="8"/>
      </w:r>
      <w:r w:rsidR="0006100C" w:rsidRPr="00290AB1">
        <w:rPr>
          <w:rFonts w:ascii="Arial" w:hAnsi="Arial" w:cs="Arial"/>
          <w:sz w:val="26"/>
          <w:szCs w:val="26"/>
        </w:rPr>
        <w:t>, que resolvió incidente de liquidación de sentencia.</w:t>
      </w:r>
      <w:r>
        <w:rPr>
          <w:rFonts w:ascii="Arial" w:hAnsi="Arial" w:cs="Arial"/>
          <w:sz w:val="26"/>
          <w:szCs w:val="26"/>
        </w:rPr>
        <w:t xml:space="preserve">- - - - - - - - </w:t>
      </w:r>
    </w:p>
    <w:p w14:paraId="599B7608" w14:textId="1E93DD55" w:rsidR="00D74B0F" w:rsidRPr="00F87483" w:rsidRDefault="00D74B0F" w:rsidP="001A07D0">
      <w:pPr>
        <w:spacing w:before="240" w:line="360" w:lineRule="auto"/>
        <w:ind w:right="49" w:firstLine="708"/>
        <w:jc w:val="both"/>
        <w:rPr>
          <w:rFonts w:ascii="Arial" w:hAnsi="Arial" w:cs="Arial"/>
          <w:bCs/>
          <w:sz w:val="26"/>
          <w:szCs w:val="26"/>
        </w:rPr>
      </w:pPr>
      <w:r>
        <w:rPr>
          <w:rFonts w:ascii="Arial" w:hAnsi="Arial" w:cs="Arial"/>
          <w:sz w:val="26"/>
          <w:szCs w:val="26"/>
        </w:rPr>
        <w:t>De lo puntualizado</w:t>
      </w:r>
      <w:r w:rsidR="0041178A">
        <w:rPr>
          <w:rFonts w:ascii="Arial" w:hAnsi="Arial" w:cs="Arial"/>
          <w:sz w:val="26"/>
          <w:szCs w:val="26"/>
        </w:rPr>
        <w:t xml:space="preserve"> se colige</w:t>
      </w:r>
      <w:r w:rsidR="009D497E">
        <w:rPr>
          <w:rFonts w:ascii="Arial" w:hAnsi="Arial" w:cs="Arial"/>
          <w:sz w:val="26"/>
          <w:szCs w:val="26"/>
        </w:rPr>
        <w:t xml:space="preserve">, </w:t>
      </w:r>
      <w:r>
        <w:rPr>
          <w:rFonts w:ascii="Arial" w:hAnsi="Arial" w:cs="Arial"/>
          <w:sz w:val="26"/>
          <w:szCs w:val="26"/>
        </w:rPr>
        <w:t xml:space="preserve">que la </w:t>
      </w:r>
      <w:r w:rsidR="0041178A">
        <w:rPr>
          <w:rFonts w:ascii="Arial" w:hAnsi="Arial" w:cs="Arial"/>
          <w:sz w:val="26"/>
          <w:szCs w:val="26"/>
        </w:rPr>
        <w:t>Primera Instancia</w:t>
      </w:r>
      <w:r>
        <w:rPr>
          <w:rFonts w:ascii="Arial" w:hAnsi="Arial" w:cs="Arial"/>
          <w:sz w:val="26"/>
          <w:szCs w:val="26"/>
        </w:rPr>
        <w:t xml:space="preserve"> </w:t>
      </w:r>
      <w:r w:rsidR="0041178A">
        <w:rPr>
          <w:rFonts w:ascii="Arial" w:hAnsi="Arial" w:cs="Arial"/>
          <w:sz w:val="26"/>
          <w:szCs w:val="26"/>
        </w:rPr>
        <w:t>bajo el argumento de no dejar en estado de indefensión a las partes</w:t>
      </w:r>
      <w:r>
        <w:rPr>
          <w:rFonts w:ascii="Arial" w:hAnsi="Arial" w:cs="Arial"/>
          <w:sz w:val="26"/>
          <w:szCs w:val="26"/>
        </w:rPr>
        <w:t xml:space="preserve">, determinó la promoción, desahogo y resolución de un incidente </w:t>
      </w:r>
      <w:r w:rsidR="00D7387C">
        <w:rPr>
          <w:rFonts w:ascii="Arial" w:hAnsi="Arial" w:cs="Arial"/>
          <w:sz w:val="26"/>
          <w:szCs w:val="26"/>
        </w:rPr>
        <w:t xml:space="preserve">no previsto </w:t>
      </w:r>
      <w:r>
        <w:rPr>
          <w:rFonts w:ascii="Arial" w:hAnsi="Arial" w:cs="Arial"/>
          <w:sz w:val="26"/>
          <w:szCs w:val="26"/>
        </w:rPr>
        <w:t>en la Ley de Justicia Administrativa para el Estado de Oaxaca</w:t>
      </w:r>
      <w:r w:rsidR="0041178A">
        <w:rPr>
          <w:rFonts w:ascii="Arial" w:hAnsi="Arial" w:cs="Arial"/>
          <w:sz w:val="26"/>
          <w:szCs w:val="26"/>
        </w:rPr>
        <w:t xml:space="preserve">; </w:t>
      </w:r>
      <w:r w:rsidR="00933EC3">
        <w:rPr>
          <w:rFonts w:ascii="Arial" w:hAnsi="Arial" w:cs="Arial"/>
          <w:sz w:val="26"/>
          <w:szCs w:val="26"/>
        </w:rPr>
        <w:t>po</w:t>
      </w:r>
      <w:r w:rsidR="009D497E">
        <w:rPr>
          <w:rFonts w:ascii="Arial" w:hAnsi="Arial" w:cs="Arial"/>
          <w:sz w:val="26"/>
          <w:szCs w:val="26"/>
        </w:rPr>
        <w:t xml:space="preserve">r lo que, </w:t>
      </w:r>
      <w:r w:rsidR="00D7387C">
        <w:rPr>
          <w:rFonts w:ascii="Arial" w:hAnsi="Arial" w:cs="Arial"/>
          <w:sz w:val="26"/>
          <w:szCs w:val="26"/>
        </w:rPr>
        <w:t xml:space="preserve">ante tal determinación, </w:t>
      </w:r>
      <w:r w:rsidR="00933EC3">
        <w:rPr>
          <w:rFonts w:ascii="Arial" w:hAnsi="Arial" w:cs="Arial"/>
          <w:sz w:val="26"/>
          <w:szCs w:val="26"/>
        </w:rPr>
        <w:t xml:space="preserve">el actor en acatamiento promovió el incidente de liquidación y la Cuarta Sala Unitaria de Primera Instancia, le dio trámite y resolvió; </w:t>
      </w:r>
      <w:r w:rsidR="009D497E">
        <w:rPr>
          <w:rFonts w:ascii="Arial" w:hAnsi="Arial" w:cs="Arial"/>
          <w:sz w:val="26"/>
          <w:szCs w:val="26"/>
        </w:rPr>
        <w:t xml:space="preserve">en consecuencia </w:t>
      </w:r>
      <w:r w:rsidR="00D7387C">
        <w:rPr>
          <w:rFonts w:ascii="Arial" w:hAnsi="Arial" w:cs="Arial"/>
          <w:sz w:val="26"/>
          <w:szCs w:val="26"/>
        </w:rPr>
        <w:t>y aun cuando el artículo 194</w:t>
      </w:r>
      <w:r w:rsidRPr="00F87483">
        <w:rPr>
          <w:rFonts w:ascii="Arial" w:hAnsi="Arial" w:cs="Arial"/>
          <w:sz w:val="26"/>
          <w:szCs w:val="26"/>
        </w:rPr>
        <w:t xml:space="preserve"> de la Ley de Justicia Administrativa para el Estado de Oaxaca, </w:t>
      </w:r>
      <w:r w:rsidRPr="00F87483">
        <w:rPr>
          <w:rFonts w:ascii="Arial" w:hAnsi="Arial" w:cs="Arial"/>
          <w:bCs/>
          <w:sz w:val="26"/>
          <w:szCs w:val="26"/>
        </w:rPr>
        <w:t>no contempla el</w:t>
      </w:r>
      <w:r w:rsidR="0041178A">
        <w:rPr>
          <w:rFonts w:ascii="Arial" w:hAnsi="Arial" w:cs="Arial"/>
          <w:bCs/>
          <w:sz w:val="26"/>
          <w:szCs w:val="26"/>
        </w:rPr>
        <w:t xml:space="preserve"> incidente </w:t>
      </w:r>
      <w:r w:rsidRPr="00F87483">
        <w:rPr>
          <w:rFonts w:ascii="Arial" w:hAnsi="Arial" w:cs="Arial"/>
          <w:bCs/>
          <w:sz w:val="26"/>
          <w:szCs w:val="26"/>
        </w:rPr>
        <w:t>de liquidación de sentencia; de conformidad con lo estatuido por el diverso artículo 206, fracción V</w:t>
      </w:r>
      <w:r w:rsidR="0041178A" w:rsidRPr="0041178A">
        <w:rPr>
          <w:rFonts w:ascii="Arial" w:hAnsi="Arial" w:cs="Arial"/>
          <w:bCs/>
          <w:sz w:val="26"/>
          <w:szCs w:val="26"/>
        </w:rPr>
        <w:t xml:space="preserve"> </w:t>
      </w:r>
      <w:r w:rsidR="0041178A">
        <w:rPr>
          <w:rFonts w:ascii="Arial" w:hAnsi="Arial" w:cs="Arial"/>
          <w:bCs/>
          <w:sz w:val="26"/>
          <w:szCs w:val="26"/>
        </w:rPr>
        <w:t>de la Ley en comento</w:t>
      </w:r>
      <w:r w:rsidR="0041178A">
        <w:rPr>
          <w:rStyle w:val="Refdenotaalpie"/>
          <w:rFonts w:ascii="Arial" w:hAnsi="Arial" w:cs="Arial"/>
          <w:bCs/>
          <w:sz w:val="26"/>
          <w:szCs w:val="26"/>
        </w:rPr>
        <w:t xml:space="preserve"> </w:t>
      </w:r>
      <w:r>
        <w:rPr>
          <w:rStyle w:val="Refdenotaalpie"/>
          <w:rFonts w:ascii="Arial" w:hAnsi="Arial" w:cs="Arial"/>
          <w:bCs/>
          <w:sz w:val="26"/>
          <w:szCs w:val="26"/>
        </w:rPr>
        <w:footnoteReference w:id="9"/>
      </w:r>
      <w:r w:rsidRPr="00F87483">
        <w:rPr>
          <w:rFonts w:ascii="Arial" w:hAnsi="Arial" w:cs="Arial"/>
          <w:bCs/>
          <w:sz w:val="26"/>
          <w:szCs w:val="26"/>
        </w:rPr>
        <w:t>, en el que se indica que podrán ser impugnadas las resol</w:t>
      </w:r>
      <w:r w:rsidR="00D7387C">
        <w:rPr>
          <w:rFonts w:ascii="Arial" w:hAnsi="Arial" w:cs="Arial"/>
          <w:bCs/>
          <w:sz w:val="26"/>
          <w:szCs w:val="26"/>
        </w:rPr>
        <w:t xml:space="preserve">uciones que decidan incidentes </w:t>
      </w:r>
      <w:r w:rsidRPr="00F87483">
        <w:rPr>
          <w:rFonts w:ascii="Arial" w:hAnsi="Arial" w:cs="Arial"/>
          <w:bCs/>
          <w:sz w:val="26"/>
          <w:szCs w:val="26"/>
        </w:rPr>
        <w:t>y ante la determinación de</w:t>
      </w:r>
      <w:r>
        <w:rPr>
          <w:rFonts w:ascii="Arial" w:hAnsi="Arial" w:cs="Arial"/>
          <w:bCs/>
          <w:sz w:val="26"/>
          <w:szCs w:val="26"/>
        </w:rPr>
        <w:t xml:space="preserve"> </w:t>
      </w:r>
      <w:r w:rsidRPr="00F87483">
        <w:rPr>
          <w:rFonts w:ascii="Arial" w:hAnsi="Arial" w:cs="Arial"/>
          <w:bCs/>
          <w:sz w:val="26"/>
          <w:szCs w:val="26"/>
        </w:rPr>
        <w:t>l</w:t>
      </w:r>
      <w:r>
        <w:rPr>
          <w:rFonts w:ascii="Arial" w:hAnsi="Arial" w:cs="Arial"/>
          <w:bCs/>
          <w:sz w:val="26"/>
          <w:szCs w:val="26"/>
        </w:rPr>
        <w:t>a</w:t>
      </w:r>
      <w:r w:rsidRPr="00F87483">
        <w:rPr>
          <w:rFonts w:ascii="Arial" w:hAnsi="Arial" w:cs="Arial"/>
          <w:bCs/>
          <w:sz w:val="26"/>
          <w:szCs w:val="26"/>
        </w:rPr>
        <w:t xml:space="preserve"> </w:t>
      </w:r>
      <w:r>
        <w:rPr>
          <w:rFonts w:ascii="Arial" w:hAnsi="Arial" w:cs="Arial"/>
          <w:sz w:val="26"/>
          <w:szCs w:val="26"/>
        </w:rPr>
        <w:t xml:space="preserve">Primera </w:t>
      </w:r>
      <w:r w:rsidRPr="00F87483">
        <w:rPr>
          <w:rFonts w:ascii="Arial" w:hAnsi="Arial" w:cs="Arial"/>
          <w:sz w:val="26"/>
          <w:szCs w:val="26"/>
        </w:rPr>
        <w:t xml:space="preserve">Instancia, en la que abrió la puerta para el conocimiento del incidente de liquidación de sentencia no previsto en la Ley de la materia, </w:t>
      </w:r>
      <w:r>
        <w:rPr>
          <w:rFonts w:ascii="Arial" w:hAnsi="Arial" w:cs="Arial"/>
          <w:sz w:val="26"/>
          <w:szCs w:val="26"/>
        </w:rPr>
        <w:t xml:space="preserve">es que se analizan </w:t>
      </w:r>
      <w:r w:rsidRPr="00F87483">
        <w:rPr>
          <w:rFonts w:ascii="Arial" w:hAnsi="Arial" w:cs="Arial"/>
          <w:bCs/>
          <w:sz w:val="26"/>
          <w:szCs w:val="26"/>
        </w:rPr>
        <w:t>los agravios planteados.</w:t>
      </w:r>
      <w:r w:rsidR="0041178A">
        <w:rPr>
          <w:rFonts w:ascii="Arial" w:hAnsi="Arial" w:cs="Arial"/>
          <w:bCs/>
          <w:sz w:val="26"/>
          <w:szCs w:val="26"/>
        </w:rPr>
        <w:t xml:space="preserve">- - - </w:t>
      </w:r>
      <w:r w:rsidR="009D497E">
        <w:rPr>
          <w:rFonts w:ascii="Arial" w:hAnsi="Arial" w:cs="Arial"/>
          <w:bCs/>
          <w:sz w:val="26"/>
          <w:szCs w:val="26"/>
        </w:rPr>
        <w:t>- - - - - - - - - - - - - - - - - - - - - - - - - - - - - - - - - -</w:t>
      </w:r>
    </w:p>
    <w:p w14:paraId="699EB044" w14:textId="77777777" w:rsidR="00933EC3" w:rsidRDefault="00933EC3" w:rsidP="001A07D0">
      <w:pPr>
        <w:spacing w:before="240" w:after="0" w:line="360" w:lineRule="auto"/>
        <w:ind w:right="49" w:firstLine="709"/>
        <w:jc w:val="both"/>
        <w:rPr>
          <w:rFonts w:ascii="Arial" w:hAnsi="Arial" w:cs="Arial"/>
          <w:sz w:val="26"/>
          <w:szCs w:val="26"/>
        </w:rPr>
      </w:pPr>
      <w:r>
        <w:rPr>
          <w:rFonts w:ascii="Arial" w:hAnsi="Arial" w:cs="Arial"/>
          <w:b/>
          <w:bCs/>
          <w:sz w:val="26"/>
          <w:szCs w:val="26"/>
        </w:rPr>
        <w:t xml:space="preserve">TERCERO. </w:t>
      </w:r>
      <w:r>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07DD0A95" w14:textId="77777777" w:rsidR="00933EC3" w:rsidRPr="00642352" w:rsidRDefault="00933EC3" w:rsidP="00DB25D8">
      <w:pPr>
        <w:spacing w:before="240" w:line="360" w:lineRule="auto"/>
        <w:ind w:left="1134" w:right="474"/>
        <w:jc w:val="both"/>
        <w:rPr>
          <w:rFonts w:ascii="Arial" w:hAnsi="Arial" w:cs="Arial"/>
          <w:i/>
          <w:iCs/>
          <w:sz w:val="26"/>
          <w:szCs w:val="26"/>
        </w:rPr>
      </w:pPr>
      <w:r w:rsidRPr="00642352">
        <w:rPr>
          <w:rFonts w:ascii="Arial" w:eastAsia="Calibri" w:hAnsi="Arial" w:cs="Arial"/>
          <w:bCs/>
          <w:i/>
          <w:iCs/>
          <w:color w:val="000000" w:themeColor="text1"/>
          <w:sz w:val="26"/>
          <w:szCs w:val="26"/>
        </w:rPr>
        <w:lastRenderedPageBreak/>
        <w:t>“</w:t>
      </w:r>
      <w:r w:rsidRPr="00642352">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642352">
        <w:rPr>
          <w:rFonts w:ascii="Arial" w:eastAsia="Calibri" w:hAnsi="Arial" w:cs="Arial"/>
          <w:b/>
          <w:bCs/>
          <w:i/>
          <w:iCs/>
          <w:color w:val="000000" w:themeColor="text1"/>
        </w:rPr>
        <w:t xml:space="preserve">. </w:t>
      </w:r>
      <w:r w:rsidRPr="00642352">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42352">
        <w:rPr>
          <w:rStyle w:val="Refdenotaalpie"/>
          <w:rFonts w:ascii="Arial" w:hAnsi="Arial" w:cs="Arial"/>
          <w:i/>
          <w:iCs/>
          <w:sz w:val="26"/>
          <w:szCs w:val="26"/>
        </w:rPr>
        <w:footnoteReference w:id="10"/>
      </w:r>
      <w:r w:rsidRPr="00642352">
        <w:rPr>
          <w:rFonts w:ascii="Arial" w:hAnsi="Arial" w:cs="Arial"/>
          <w:i/>
          <w:iCs/>
          <w:sz w:val="26"/>
          <w:szCs w:val="26"/>
        </w:rPr>
        <w:t>.</w:t>
      </w:r>
    </w:p>
    <w:p w14:paraId="7A9FB764" w14:textId="367FC932" w:rsidR="00933EC3" w:rsidRDefault="00933EC3" w:rsidP="001A07D0">
      <w:pPr>
        <w:spacing w:line="360" w:lineRule="auto"/>
        <w:ind w:right="49" w:firstLine="708"/>
        <w:jc w:val="both"/>
        <w:rPr>
          <w:rFonts w:ascii="Arial" w:hAnsi="Arial" w:cs="Arial"/>
          <w:bCs/>
          <w:sz w:val="26"/>
          <w:szCs w:val="26"/>
        </w:rPr>
      </w:pPr>
      <w:r>
        <w:rPr>
          <w:rFonts w:ascii="Arial" w:hAnsi="Arial" w:cs="Arial"/>
          <w:b/>
          <w:bCs/>
          <w:sz w:val="26"/>
          <w:szCs w:val="26"/>
        </w:rPr>
        <w:t>CUARTO</w:t>
      </w:r>
      <w:r w:rsidR="0006100C">
        <w:rPr>
          <w:rFonts w:ascii="Arial" w:hAnsi="Arial" w:cs="Arial"/>
          <w:b/>
          <w:bCs/>
          <w:sz w:val="26"/>
          <w:szCs w:val="26"/>
        </w:rPr>
        <w:t>.</w:t>
      </w:r>
      <w:r w:rsidR="0006100C">
        <w:rPr>
          <w:rFonts w:ascii="Arial" w:hAnsi="Arial" w:cs="Arial"/>
          <w:bCs/>
          <w:sz w:val="26"/>
          <w:szCs w:val="26"/>
        </w:rPr>
        <w:t xml:space="preserve"> </w:t>
      </w:r>
      <w:r>
        <w:rPr>
          <w:rFonts w:ascii="Arial" w:hAnsi="Arial" w:cs="Arial"/>
          <w:bCs/>
          <w:sz w:val="26"/>
          <w:szCs w:val="26"/>
        </w:rPr>
        <w:t xml:space="preserve">Inicia sus alegaciones el </w:t>
      </w:r>
      <w:r w:rsidR="00D7387C">
        <w:rPr>
          <w:rFonts w:ascii="Arial" w:hAnsi="Arial" w:cs="Arial"/>
          <w:bCs/>
          <w:sz w:val="26"/>
          <w:szCs w:val="26"/>
        </w:rPr>
        <w:t xml:space="preserve">inconforme </w:t>
      </w:r>
      <w:r w:rsidR="00DB25D8">
        <w:rPr>
          <w:rFonts w:ascii="Arial" w:hAnsi="Arial" w:cs="Arial"/>
          <w:bCs/>
          <w:sz w:val="26"/>
          <w:szCs w:val="26"/>
        </w:rPr>
        <w:t xml:space="preserve">refiriendo, </w:t>
      </w:r>
      <w:r>
        <w:rPr>
          <w:rFonts w:ascii="Arial" w:hAnsi="Arial" w:cs="Arial"/>
          <w:bCs/>
          <w:sz w:val="26"/>
          <w:szCs w:val="26"/>
        </w:rPr>
        <w:t xml:space="preserve">que le causa agravio la resolución de 30 treinta de septiembre de 2021 dos mil veintiuno, porque la Primera Instancia hace efectiva la liquidación del pago de vacaciones, prima vacacional y prima de antigüedad, sin que estas hubiesen sido materia de la condena.- - - - - - - - - - - - - - - - - - - - </w:t>
      </w:r>
    </w:p>
    <w:p w14:paraId="70FA9DB3" w14:textId="2CFD6711" w:rsidR="00C04B8B" w:rsidRDefault="00933EC3" w:rsidP="001A07D0">
      <w:pPr>
        <w:spacing w:line="360" w:lineRule="auto"/>
        <w:ind w:right="49" w:firstLine="708"/>
        <w:jc w:val="both"/>
        <w:rPr>
          <w:rFonts w:ascii="Arial" w:hAnsi="Arial" w:cs="Arial"/>
          <w:sz w:val="26"/>
          <w:szCs w:val="26"/>
        </w:rPr>
      </w:pPr>
      <w:r>
        <w:rPr>
          <w:rFonts w:ascii="Arial" w:hAnsi="Arial" w:cs="Arial"/>
          <w:bCs/>
          <w:sz w:val="26"/>
          <w:szCs w:val="26"/>
        </w:rPr>
        <w:t xml:space="preserve">Esta primera parte de sus agravios son </w:t>
      </w:r>
      <w:r w:rsidRPr="00933EC3">
        <w:rPr>
          <w:rFonts w:ascii="Arial" w:hAnsi="Arial" w:cs="Arial"/>
          <w:b/>
          <w:bCs/>
          <w:sz w:val="26"/>
          <w:szCs w:val="26"/>
        </w:rPr>
        <w:t>infundadas</w:t>
      </w:r>
      <w:r>
        <w:rPr>
          <w:rFonts w:ascii="Arial" w:hAnsi="Arial" w:cs="Arial"/>
          <w:bCs/>
          <w:sz w:val="26"/>
          <w:szCs w:val="26"/>
        </w:rPr>
        <w:t xml:space="preserve"> porque contrario a su aseveración las prestaciones anteriormente indicadas sí fueron materia de la condena emitida </w:t>
      </w:r>
      <w:r w:rsidR="00D7387C">
        <w:rPr>
          <w:rFonts w:ascii="Arial" w:hAnsi="Arial" w:cs="Arial"/>
          <w:bCs/>
          <w:sz w:val="26"/>
          <w:szCs w:val="26"/>
        </w:rPr>
        <w:t xml:space="preserve">tanto en la sentencia de 18 dieciocho de octubre de 2017 dos mil diecisiete, como </w:t>
      </w:r>
      <w:r>
        <w:rPr>
          <w:rFonts w:ascii="Arial" w:hAnsi="Arial" w:cs="Arial"/>
          <w:bCs/>
          <w:sz w:val="26"/>
          <w:szCs w:val="26"/>
        </w:rPr>
        <w:t xml:space="preserve">en la resolución </w:t>
      </w:r>
      <w:r w:rsidR="00C04B8B">
        <w:rPr>
          <w:rFonts w:ascii="Arial" w:hAnsi="Arial" w:cs="Arial"/>
          <w:bCs/>
          <w:sz w:val="26"/>
          <w:szCs w:val="26"/>
        </w:rPr>
        <w:t>de</w:t>
      </w:r>
      <w:r w:rsidR="00C04B8B">
        <w:rPr>
          <w:rFonts w:ascii="Arial" w:hAnsi="Arial" w:cs="Arial"/>
          <w:sz w:val="26"/>
          <w:szCs w:val="26"/>
        </w:rPr>
        <w:t xml:space="preserve"> 4 cuatro de julio de 2019 dos mil diecinueve, emitida por la Sala Superior de este Tribunal, cuando </w:t>
      </w:r>
      <w:r w:rsidR="006363D1">
        <w:rPr>
          <w:rFonts w:ascii="Arial" w:hAnsi="Arial" w:cs="Arial"/>
          <w:sz w:val="26"/>
          <w:szCs w:val="26"/>
        </w:rPr>
        <w:t xml:space="preserve">se </w:t>
      </w:r>
      <w:r w:rsidR="00C04B8B">
        <w:rPr>
          <w:rFonts w:ascii="Arial" w:hAnsi="Arial" w:cs="Arial"/>
          <w:sz w:val="26"/>
          <w:szCs w:val="26"/>
        </w:rPr>
        <w:t>estableció:</w:t>
      </w:r>
      <w:r w:rsidR="006363D1">
        <w:rPr>
          <w:rFonts w:ascii="Arial" w:hAnsi="Arial" w:cs="Arial"/>
          <w:sz w:val="26"/>
          <w:szCs w:val="26"/>
        </w:rPr>
        <w:t xml:space="preserve">- - - - - - - - - - - - - - - - - </w:t>
      </w:r>
    </w:p>
    <w:p w14:paraId="270A7C5E" w14:textId="4EB1A264" w:rsidR="006B7C6B" w:rsidRDefault="006B7C6B" w:rsidP="001A07D0">
      <w:pPr>
        <w:spacing w:line="360" w:lineRule="auto"/>
        <w:ind w:right="49" w:firstLine="708"/>
        <w:jc w:val="both"/>
        <w:rPr>
          <w:rFonts w:ascii="Arial" w:hAnsi="Arial" w:cs="Arial"/>
          <w:sz w:val="26"/>
          <w:szCs w:val="26"/>
        </w:rPr>
      </w:pPr>
      <w:r>
        <w:rPr>
          <w:rFonts w:ascii="Arial" w:hAnsi="Arial" w:cs="Arial"/>
          <w:sz w:val="26"/>
          <w:szCs w:val="26"/>
        </w:rPr>
        <w:t xml:space="preserve">Sentencia </w:t>
      </w:r>
      <w:r>
        <w:rPr>
          <w:rFonts w:ascii="Arial" w:hAnsi="Arial" w:cs="Arial"/>
          <w:bCs/>
          <w:sz w:val="26"/>
          <w:szCs w:val="26"/>
        </w:rPr>
        <w:t>18 dieciocho de octubre de 2017 dos mil diecisiete:- - -</w:t>
      </w:r>
    </w:p>
    <w:p w14:paraId="72BF639E" w14:textId="5ECF6AE4" w:rsidR="00D7387C" w:rsidRPr="001D32FB" w:rsidRDefault="00D7387C" w:rsidP="00DB25D8">
      <w:pPr>
        <w:spacing w:line="360" w:lineRule="auto"/>
        <w:ind w:left="1134" w:right="474" w:firstLine="282"/>
        <w:jc w:val="both"/>
        <w:rPr>
          <w:rFonts w:ascii="Arial" w:hAnsi="Arial" w:cs="Arial"/>
          <w:i/>
          <w:iCs/>
        </w:rPr>
      </w:pPr>
      <w:r w:rsidRPr="001D32FB">
        <w:rPr>
          <w:rFonts w:ascii="Arial" w:hAnsi="Arial" w:cs="Arial"/>
          <w:i/>
          <w:iCs/>
          <w:sz w:val="26"/>
          <w:szCs w:val="26"/>
        </w:rPr>
        <w:t>“</w:t>
      </w:r>
      <w:r w:rsidRPr="001D32FB">
        <w:rPr>
          <w:rFonts w:ascii="Arial" w:hAnsi="Arial" w:cs="Arial"/>
          <w:b/>
          <w:i/>
          <w:iCs/>
          <w:sz w:val="20"/>
          <w:szCs w:val="20"/>
        </w:rPr>
        <w:t>VACACIONES</w:t>
      </w:r>
      <w:r w:rsidRPr="001D32FB">
        <w:rPr>
          <w:rFonts w:ascii="Arial" w:hAnsi="Arial" w:cs="Arial"/>
          <w:b/>
          <w:i/>
          <w:iCs/>
        </w:rPr>
        <w:t xml:space="preserve">. </w:t>
      </w:r>
      <w:r w:rsidRPr="001D32FB">
        <w:rPr>
          <w:rFonts w:ascii="Arial" w:hAnsi="Arial" w:cs="Arial"/>
          <w:i/>
          <w:iCs/>
        </w:rPr>
        <w:t xml:space="preserve">Tomando en consideración que el actor inicio la prestación al servicio el 1 uno de octubre de dos mil catorce, y el artículo 118 </w:t>
      </w:r>
      <w:r w:rsidR="006B7C6B" w:rsidRPr="001D32FB">
        <w:rPr>
          <w:rFonts w:ascii="Arial" w:hAnsi="Arial" w:cs="Arial"/>
          <w:i/>
          <w:iCs/>
        </w:rPr>
        <w:t>fracció</w:t>
      </w:r>
      <w:r w:rsidRPr="001D32FB">
        <w:rPr>
          <w:rFonts w:ascii="Arial" w:hAnsi="Arial" w:cs="Arial"/>
          <w:i/>
          <w:iCs/>
        </w:rPr>
        <w:t xml:space="preserve">n XXIII, de la Ley del Sistema Estatal de Seguridad Pública establece que los derechos de los integrantes de las instituciones policiales </w:t>
      </w:r>
      <w:r w:rsidR="006B7C6B" w:rsidRPr="001D32FB">
        <w:rPr>
          <w:rFonts w:ascii="Arial" w:hAnsi="Arial" w:cs="Arial"/>
          <w:i/>
          <w:iCs/>
        </w:rPr>
        <w:t xml:space="preserve">la de tener dos periodos de vacaciones de diez días hábiles cada uno, por lo que, se tomará en cuenta el último </w:t>
      </w:r>
      <w:r w:rsidR="006B7C6B" w:rsidRPr="001D32FB">
        <w:rPr>
          <w:rFonts w:ascii="Arial" w:hAnsi="Arial" w:cs="Arial"/>
          <w:i/>
          <w:iCs/>
        </w:rPr>
        <w:lastRenderedPageBreak/>
        <w:t xml:space="preserve">año de servicio, esto fue, del 1 uno de octubre de 2016 dos mil dieciséis al 4 cuatro de julio de 2017 dos mil diecisiete; lo que arroja la cantidad de </w:t>
      </w:r>
      <w:r w:rsidR="006B7C6B" w:rsidRPr="001D32FB">
        <w:rPr>
          <w:rFonts w:ascii="Arial" w:hAnsi="Arial" w:cs="Arial"/>
          <w:b/>
          <w:i/>
          <w:iCs/>
        </w:rPr>
        <w:t>$</w:t>
      </w:r>
      <w:r w:rsidR="00810E39">
        <w:rPr>
          <w:rFonts w:ascii="Arial" w:hAnsi="Arial" w:cs="Arial"/>
          <w:b/>
          <w:i/>
          <w:iCs/>
        </w:rPr>
        <w:t>*******</w:t>
      </w:r>
      <w:r w:rsidR="006B7C6B" w:rsidRPr="001D32FB">
        <w:rPr>
          <w:rFonts w:ascii="Arial" w:hAnsi="Arial" w:cs="Arial"/>
          <w:b/>
          <w:i/>
          <w:iCs/>
        </w:rPr>
        <w:t>)</w:t>
      </w:r>
      <w:r w:rsidR="006B7C6B" w:rsidRPr="001D32FB">
        <w:rPr>
          <w:rFonts w:ascii="Arial" w:hAnsi="Arial" w:cs="Arial"/>
          <w:i/>
          <w:iCs/>
        </w:rPr>
        <w:t>, por concepto de vacaciones, esto al multiplicarse 9 meses y 3 días por su percepción diaria.</w:t>
      </w:r>
    </w:p>
    <w:p w14:paraId="3C283497" w14:textId="1E3C29FC" w:rsidR="006B7C6B" w:rsidRPr="001D32FB" w:rsidRDefault="006B7C6B" w:rsidP="00DB25D8">
      <w:pPr>
        <w:spacing w:line="360" w:lineRule="auto"/>
        <w:ind w:left="1134" w:right="474" w:firstLine="282"/>
        <w:jc w:val="both"/>
        <w:rPr>
          <w:rFonts w:ascii="Arial" w:hAnsi="Arial" w:cs="Arial"/>
          <w:i/>
          <w:iCs/>
        </w:rPr>
      </w:pPr>
      <w:r w:rsidRPr="001D32FB">
        <w:rPr>
          <w:rFonts w:ascii="Arial" w:hAnsi="Arial" w:cs="Arial"/>
          <w:i/>
          <w:iCs/>
        </w:rPr>
        <w:t>…</w:t>
      </w:r>
    </w:p>
    <w:p w14:paraId="54A70AC8" w14:textId="22F1261E" w:rsidR="00D7387C" w:rsidRPr="001D32FB" w:rsidRDefault="006B7C6B" w:rsidP="00DB25D8">
      <w:pPr>
        <w:spacing w:line="360" w:lineRule="auto"/>
        <w:ind w:left="1134" w:right="474" w:firstLine="282"/>
        <w:jc w:val="both"/>
        <w:rPr>
          <w:rFonts w:ascii="Arial" w:hAnsi="Arial" w:cs="Arial"/>
          <w:i/>
          <w:iCs/>
          <w:sz w:val="26"/>
          <w:szCs w:val="26"/>
        </w:rPr>
      </w:pPr>
      <w:r w:rsidRPr="001D32FB">
        <w:rPr>
          <w:rFonts w:ascii="Arial" w:hAnsi="Arial" w:cs="Arial"/>
          <w:b/>
          <w:i/>
          <w:iCs/>
          <w:sz w:val="20"/>
          <w:szCs w:val="20"/>
        </w:rPr>
        <w:t>PRIMA VACACIONAL:</w:t>
      </w:r>
      <w:r w:rsidRPr="001D32FB">
        <w:rPr>
          <w:rFonts w:ascii="Arial" w:hAnsi="Arial" w:cs="Arial"/>
          <w:b/>
          <w:i/>
          <w:iCs/>
        </w:rPr>
        <w:t xml:space="preserve"> </w:t>
      </w:r>
      <w:r w:rsidRPr="001D32FB">
        <w:rPr>
          <w:rFonts w:ascii="Arial" w:hAnsi="Arial" w:cs="Arial"/>
          <w:i/>
          <w:iCs/>
        </w:rPr>
        <w:t xml:space="preserve">Por este concepto, la demandada deberá pagar a la actora, el 25% sobre el monto anterior, cantidad que se determina multiplicando la cantidad resultante de vacaciones por el veinticinco por ciento, lo que da un total de </w:t>
      </w:r>
      <w:r w:rsidRPr="001D32FB">
        <w:rPr>
          <w:rFonts w:ascii="Arial" w:hAnsi="Arial" w:cs="Arial"/>
          <w:b/>
          <w:i/>
          <w:iCs/>
        </w:rPr>
        <w:t>$</w:t>
      </w:r>
      <w:r w:rsidR="00810E39">
        <w:rPr>
          <w:rFonts w:ascii="Arial" w:hAnsi="Arial" w:cs="Arial"/>
          <w:b/>
          <w:i/>
          <w:iCs/>
        </w:rPr>
        <w:t>*******</w:t>
      </w:r>
      <w:r w:rsidRPr="001D32FB">
        <w:rPr>
          <w:rFonts w:ascii="Arial" w:hAnsi="Arial" w:cs="Arial"/>
          <w:b/>
          <w:i/>
          <w:iCs/>
        </w:rPr>
        <w:t>)</w:t>
      </w:r>
      <w:r w:rsidRPr="001D32FB">
        <w:rPr>
          <w:rFonts w:ascii="Arial" w:hAnsi="Arial" w:cs="Arial"/>
          <w:i/>
          <w:iCs/>
        </w:rPr>
        <w:t>, la cual resulta aplicable al caso ante el vacío legislativo de la Ley del Sistema Estatal de Seguridad Pública de Oaxaca.</w:t>
      </w:r>
      <w:r w:rsidR="00D7387C" w:rsidRPr="001D32FB">
        <w:rPr>
          <w:rFonts w:ascii="Arial" w:hAnsi="Arial" w:cs="Arial"/>
          <w:i/>
          <w:iCs/>
          <w:sz w:val="26"/>
          <w:szCs w:val="26"/>
        </w:rPr>
        <w:t>”</w:t>
      </w:r>
      <w:r w:rsidR="00DB25D8" w:rsidRPr="001D32FB">
        <w:rPr>
          <w:rStyle w:val="Refdenotaalpie"/>
          <w:rFonts w:ascii="Arial" w:hAnsi="Arial" w:cs="Arial"/>
          <w:i/>
          <w:iCs/>
          <w:sz w:val="26"/>
          <w:szCs w:val="26"/>
        </w:rPr>
        <w:footnoteReference w:id="11"/>
      </w:r>
    </w:p>
    <w:p w14:paraId="152CC45D" w14:textId="25987A9A" w:rsidR="00D7387C" w:rsidRDefault="006B7C6B" w:rsidP="00DB25D8">
      <w:pPr>
        <w:spacing w:line="360" w:lineRule="auto"/>
        <w:ind w:right="474" w:firstLine="708"/>
        <w:jc w:val="both"/>
        <w:rPr>
          <w:rFonts w:ascii="Arial" w:hAnsi="Arial" w:cs="Arial"/>
          <w:sz w:val="26"/>
          <w:szCs w:val="26"/>
        </w:rPr>
      </w:pPr>
      <w:r>
        <w:rPr>
          <w:rFonts w:ascii="Arial" w:hAnsi="Arial" w:cs="Arial"/>
          <w:bCs/>
          <w:sz w:val="26"/>
          <w:szCs w:val="26"/>
        </w:rPr>
        <w:t>Resolución de</w:t>
      </w:r>
      <w:r>
        <w:rPr>
          <w:rFonts w:ascii="Arial" w:hAnsi="Arial" w:cs="Arial"/>
          <w:sz w:val="26"/>
          <w:szCs w:val="26"/>
        </w:rPr>
        <w:t xml:space="preserve"> 4 cuatro de julio de 2019 dos mil diecinueve</w:t>
      </w:r>
      <w:r w:rsidR="00D676E1">
        <w:rPr>
          <w:rFonts w:ascii="Arial" w:hAnsi="Arial" w:cs="Arial"/>
          <w:sz w:val="26"/>
          <w:szCs w:val="26"/>
        </w:rPr>
        <w:t>:</w:t>
      </w:r>
      <w:r>
        <w:rPr>
          <w:rFonts w:ascii="Arial" w:hAnsi="Arial" w:cs="Arial"/>
          <w:sz w:val="26"/>
          <w:szCs w:val="26"/>
        </w:rPr>
        <w:t xml:space="preserve">- - </w:t>
      </w:r>
    </w:p>
    <w:p w14:paraId="1BB8BE78" w14:textId="77777777" w:rsidR="00C04B8B" w:rsidRPr="001D32FB" w:rsidRDefault="00C04B8B" w:rsidP="00DB25D8">
      <w:pPr>
        <w:spacing w:line="360" w:lineRule="auto"/>
        <w:ind w:left="1134" w:right="474" w:firstLine="282"/>
        <w:jc w:val="both"/>
        <w:rPr>
          <w:rFonts w:ascii="Arial" w:hAnsi="Arial" w:cs="Arial"/>
          <w:i/>
          <w:iCs/>
        </w:rPr>
      </w:pPr>
      <w:r w:rsidRPr="001D32FB">
        <w:rPr>
          <w:rFonts w:ascii="Arial" w:hAnsi="Arial" w:cs="Arial"/>
          <w:i/>
          <w:iCs/>
          <w:sz w:val="26"/>
          <w:szCs w:val="26"/>
        </w:rPr>
        <w:t>“</w:t>
      </w:r>
      <w:r w:rsidRPr="001D32FB">
        <w:rPr>
          <w:rFonts w:ascii="Arial" w:hAnsi="Arial" w:cs="Arial"/>
          <w:i/>
          <w:iCs/>
        </w:rPr>
        <w:t>Respecto de la prima de antigüedad, la misma es procedente y por tanto, deberá cubrirse dicha prestación que se encuentra establecida en el artículo 162 de la Ley Federal del Trabajo, tomando en consideración que esta norma legal es la que establece la base de cálculo para tal prestación, en la inteligencia que es en base al principio jurídico que donde hay la misma razón legal debe existir igual disposición de derecho, misma que consistirá en el importe de 12 doce días de salario por cada año de servicios, por lo que el cálculo se efectuará  desde el 1 uno de abril de 1999 mil novecientos noventa y nueve y hasta que se dé cumplimiento a la presente resolución.</w:t>
      </w:r>
    </w:p>
    <w:p w14:paraId="25710734" w14:textId="3F1890E3" w:rsidR="00C04B8B" w:rsidRPr="001D32FB" w:rsidRDefault="00C04B8B" w:rsidP="00DB25D8">
      <w:pPr>
        <w:spacing w:line="360" w:lineRule="auto"/>
        <w:ind w:left="1134" w:right="474" w:firstLine="282"/>
        <w:jc w:val="both"/>
        <w:rPr>
          <w:rFonts w:ascii="Arial" w:hAnsi="Arial" w:cs="Arial"/>
          <w:i/>
          <w:iCs/>
          <w:sz w:val="26"/>
          <w:szCs w:val="26"/>
        </w:rPr>
      </w:pPr>
      <w:r w:rsidRPr="001D32FB">
        <w:rPr>
          <w:rFonts w:ascii="Arial" w:hAnsi="Arial" w:cs="Arial"/>
          <w:i/>
          <w:iCs/>
        </w:rPr>
        <w:t>Por otra parte, dado que el Magistrado de Primera Instancia determinó en la Sentencia r</w:t>
      </w:r>
      <w:r w:rsidR="006B7C6B" w:rsidRPr="001D32FB">
        <w:rPr>
          <w:rFonts w:ascii="Arial" w:hAnsi="Arial" w:cs="Arial"/>
          <w:i/>
          <w:iCs/>
        </w:rPr>
        <w:t xml:space="preserve">ecurrida el pago de vacaciones y </w:t>
      </w:r>
      <w:r w:rsidRPr="001D32FB">
        <w:rPr>
          <w:rFonts w:ascii="Arial" w:hAnsi="Arial" w:cs="Arial"/>
          <w:i/>
          <w:iCs/>
        </w:rPr>
        <w:t>prima vacacional tomando en consideración desde la fecha de despido  hasta el dictado de la sentencia, lo que resulta incorrecto; por lo que para la determinación del pago correspondiente, es necesario tomar en consideración, que el mismo se computará desde la fecha de separación y</w:t>
      </w:r>
      <w:r w:rsidR="006363D1" w:rsidRPr="001D32FB">
        <w:rPr>
          <w:rFonts w:ascii="Arial" w:hAnsi="Arial" w:cs="Arial"/>
          <w:i/>
          <w:iCs/>
        </w:rPr>
        <w:t xml:space="preserve"> hasta el cumplimiento de la presente determinación</w:t>
      </w:r>
      <w:r w:rsidR="006363D1" w:rsidRPr="001D32FB">
        <w:rPr>
          <w:rFonts w:ascii="Arial" w:hAnsi="Arial" w:cs="Arial"/>
          <w:i/>
          <w:iCs/>
          <w:sz w:val="26"/>
          <w:szCs w:val="26"/>
        </w:rPr>
        <w:t>”</w:t>
      </w:r>
      <w:r w:rsidRPr="001D32FB">
        <w:rPr>
          <w:rFonts w:ascii="Arial" w:hAnsi="Arial" w:cs="Arial"/>
          <w:i/>
          <w:iCs/>
          <w:sz w:val="26"/>
          <w:szCs w:val="26"/>
        </w:rPr>
        <w:t>.</w:t>
      </w:r>
      <w:r w:rsidR="00DB25D8" w:rsidRPr="001D32FB">
        <w:rPr>
          <w:rStyle w:val="Refdenotaalpie"/>
          <w:rFonts w:ascii="Arial" w:hAnsi="Arial" w:cs="Arial"/>
          <w:i/>
          <w:iCs/>
          <w:sz w:val="26"/>
          <w:szCs w:val="26"/>
        </w:rPr>
        <w:footnoteReference w:id="12"/>
      </w:r>
    </w:p>
    <w:p w14:paraId="157429C2" w14:textId="261B01E3" w:rsidR="006363D1" w:rsidRDefault="006B7C6B" w:rsidP="001A07D0">
      <w:pPr>
        <w:spacing w:line="360" w:lineRule="auto"/>
        <w:ind w:right="49" w:firstLine="708"/>
        <w:jc w:val="both"/>
        <w:rPr>
          <w:rFonts w:ascii="Arial" w:hAnsi="Arial" w:cs="Arial"/>
          <w:bCs/>
          <w:sz w:val="26"/>
          <w:szCs w:val="26"/>
        </w:rPr>
      </w:pPr>
      <w:r w:rsidRPr="00DB25D8">
        <w:rPr>
          <w:rFonts w:ascii="Arial" w:hAnsi="Arial" w:cs="Arial"/>
          <w:b/>
          <w:bCs/>
          <w:sz w:val="26"/>
          <w:szCs w:val="26"/>
        </w:rPr>
        <w:t>Continúa sus alegaciones</w:t>
      </w:r>
      <w:r>
        <w:rPr>
          <w:rFonts w:ascii="Arial" w:hAnsi="Arial" w:cs="Arial"/>
          <w:bCs/>
          <w:sz w:val="26"/>
          <w:szCs w:val="26"/>
        </w:rPr>
        <w:t xml:space="preserve"> refiriendo </w:t>
      </w:r>
      <w:r w:rsidR="006363D1">
        <w:rPr>
          <w:rFonts w:ascii="Arial" w:hAnsi="Arial" w:cs="Arial"/>
          <w:bCs/>
          <w:sz w:val="26"/>
          <w:szCs w:val="26"/>
        </w:rPr>
        <w:t xml:space="preserve">que el concepto de prima de antigüedad se encuentra inmersa en el derecho del trabajo y su aplicación no rige para los Agentes Estatales de Investigación, por lo que pretender </w:t>
      </w:r>
      <w:r w:rsidR="00FE5864">
        <w:rPr>
          <w:rFonts w:ascii="Arial" w:hAnsi="Arial" w:cs="Arial"/>
          <w:bCs/>
          <w:sz w:val="26"/>
          <w:szCs w:val="26"/>
        </w:rPr>
        <w:t xml:space="preserve">que se otorgue </w:t>
      </w:r>
      <w:r w:rsidR="006363D1">
        <w:rPr>
          <w:rFonts w:ascii="Arial" w:hAnsi="Arial" w:cs="Arial"/>
          <w:bCs/>
          <w:sz w:val="26"/>
          <w:szCs w:val="26"/>
        </w:rPr>
        <w:t>12 doce días por cada año de servicio, equivale a un pago doble, por</w:t>
      </w:r>
      <w:r w:rsidR="00FE5864">
        <w:rPr>
          <w:rFonts w:ascii="Arial" w:hAnsi="Arial" w:cs="Arial"/>
          <w:bCs/>
          <w:sz w:val="26"/>
          <w:szCs w:val="26"/>
        </w:rPr>
        <w:t>que</w:t>
      </w:r>
      <w:r w:rsidR="006363D1">
        <w:rPr>
          <w:rFonts w:ascii="Arial" w:hAnsi="Arial" w:cs="Arial"/>
          <w:bCs/>
          <w:sz w:val="26"/>
          <w:szCs w:val="26"/>
        </w:rPr>
        <w:t xml:space="preserve"> a los miembros de las Instituciones Policiales les es aplicable </w:t>
      </w:r>
      <w:r w:rsidR="00FE5864">
        <w:rPr>
          <w:rFonts w:ascii="Arial" w:hAnsi="Arial" w:cs="Arial"/>
          <w:bCs/>
          <w:sz w:val="26"/>
          <w:szCs w:val="26"/>
        </w:rPr>
        <w:t xml:space="preserve">lo dispuesto por </w:t>
      </w:r>
      <w:r w:rsidR="006363D1">
        <w:rPr>
          <w:rFonts w:ascii="Arial" w:hAnsi="Arial" w:cs="Arial"/>
          <w:bCs/>
          <w:sz w:val="26"/>
          <w:szCs w:val="26"/>
        </w:rPr>
        <w:t xml:space="preserve">el artículo 118, fracción X de la Ley del Sistema Estatal de Seguridad Pública del </w:t>
      </w:r>
      <w:r w:rsidR="00DB25D8">
        <w:rPr>
          <w:rFonts w:ascii="Arial" w:hAnsi="Arial" w:cs="Arial"/>
          <w:bCs/>
          <w:sz w:val="26"/>
          <w:szCs w:val="26"/>
        </w:rPr>
        <w:t>E</w:t>
      </w:r>
      <w:r w:rsidR="006363D1">
        <w:rPr>
          <w:rFonts w:ascii="Arial" w:hAnsi="Arial" w:cs="Arial"/>
          <w:bCs/>
          <w:sz w:val="26"/>
          <w:szCs w:val="26"/>
        </w:rPr>
        <w:t xml:space="preserve">stado de Oaxaca, </w:t>
      </w:r>
      <w:r w:rsidR="006363D1">
        <w:rPr>
          <w:rFonts w:ascii="Arial" w:hAnsi="Arial" w:cs="Arial"/>
          <w:bCs/>
          <w:sz w:val="26"/>
          <w:szCs w:val="26"/>
        </w:rPr>
        <w:lastRenderedPageBreak/>
        <w:t>en relación con la fracción I, del artículo 191 del Reglamento del Servicio Civil de Carrera de la Fiscalía General del Estado de Oaxaca</w:t>
      </w:r>
      <w:r w:rsidR="00FE5864">
        <w:rPr>
          <w:rFonts w:ascii="Arial" w:hAnsi="Arial" w:cs="Arial"/>
          <w:bCs/>
          <w:sz w:val="26"/>
          <w:szCs w:val="26"/>
        </w:rPr>
        <w:t>,</w:t>
      </w:r>
      <w:r w:rsidR="006363D1">
        <w:rPr>
          <w:rFonts w:ascii="Arial" w:hAnsi="Arial" w:cs="Arial"/>
          <w:bCs/>
          <w:sz w:val="26"/>
          <w:szCs w:val="26"/>
        </w:rPr>
        <w:t xml:space="preserve"> además por esta prestación se trata de un concepto jurídico exclusivo del derecho laboral; cita como apoyo el criterio de rubro y texto: “</w:t>
      </w:r>
      <w:r w:rsidR="006363D1" w:rsidRPr="006363D1">
        <w:rPr>
          <w:rFonts w:ascii="Arial" w:hAnsi="Arial" w:cs="Arial"/>
          <w:bCs/>
          <w:sz w:val="20"/>
          <w:szCs w:val="20"/>
        </w:rPr>
        <w:t>SEGURIDAD PÚBLICA. LA INDEMNIZACIÓN PREVISTA EN EL ARTÍCULO 123, APARTADO B, FRACCIÓN XIII, SEGUNDO PÁRRAFO, DE LA CONSTITUCIÓN POLÍTICA DE LOS ESTADOS UNIDOS MEXICANOS, VIGENTE A PARTIR DE LA REFORMA PUBLICADA EN EL DIARIO OFICIAL DE LA FEDERACIÓN EL 18 DE JUNIO DE 2008, NO COMPRENDE EL CONCEPTO DE 12 DÍAS POR AÑO</w:t>
      </w:r>
      <w:r w:rsidR="006363D1">
        <w:rPr>
          <w:rFonts w:ascii="Arial" w:hAnsi="Arial" w:cs="Arial"/>
          <w:bCs/>
          <w:sz w:val="26"/>
          <w:szCs w:val="26"/>
        </w:rPr>
        <w:t>.”</w:t>
      </w:r>
      <w:r w:rsidR="00BC7A8C">
        <w:rPr>
          <w:rFonts w:ascii="Arial" w:hAnsi="Arial" w:cs="Arial"/>
          <w:bCs/>
          <w:sz w:val="26"/>
          <w:szCs w:val="26"/>
        </w:rPr>
        <w:t xml:space="preserve">.- - - - - - - - - - - - - - - - - - - - - - - - - - - - - </w:t>
      </w:r>
    </w:p>
    <w:p w14:paraId="5F4670B5" w14:textId="0909DC43" w:rsidR="00FE5864" w:rsidRDefault="00BC7A8C" w:rsidP="001A07D0">
      <w:pPr>
        <w:spacing w:line="360" w:lineRule="auto"/>
        <w:ind w:right="49" w:firstLine="708"/>
        <w:jc w:val="both"/>
        <w:rPr>
          <w:rFonts w:ascii="Arial" w:hAnsi="Arial" w:cs="Arial"/>
          <w:bCs/>
          <w:sz w:val="26"/>
          <w:szCs w:val="26"/>
        </w:rPr>
      </w:pPr>
      <w:r w:rsidRPr="00DB25D8">
        <w:rPr>
          <w:rFonts w:ascii="Arial" w:hAnsi="Arial" w:cs="Arial"/>
          <w:b/>
          <w:bCs/>
          <w:sz w:val="26"/>
          <w:szCs w:val="26"/>
        </w:rPr>
        <w:t xml:space="preserve">También </w:t>
      </w:r>
      <w:r w:rsidR="00D676E1" w:rsidRPr="00DB25D8">
        <w:rPr>
          <w:rFonts w:ascii="Arial" w:hAnsi="Arial" w:cs="Arial"/>
          <w:b/>
          <w:bCs/>
          <w:sz w:val="26"/>
          <w:szCs w:val="26"/>
        </w:rPr>
        <w:t>arguye</w:t>
      </w:r>
      <w:r w:rsidR="00DB25D8">
        <w:rPr>
          <w:rFonts w:ascii="Arial" w:hAnsi="Arial" w:cs="Arial"/>
          <w:bCs/>
          <w:sz w:val="26"/>
          <w:szCs w:val="26"/>
        </w:rPr>
        <w:t>,</w:t>
      </w:r>
      <w:r>
        <w:rPr>
          <w:rFonts w:ascii="Arial" w:hAnsi="Arial" w:cs="Arial"/>
          <w:bCs/>
          <w:sz w:val="26"/>
          <w:szCs w:val="26"/>
        </w:rPr>
        <w:t xml:space="preserve"> que </w:t>
      </w:r>
      <w:r w:rsidR="00FE5864">
        <w:rPr>
          <w:rFonts w:ascii="Arial" w:hAnsi="Arial" w:cs="Arial"/>
          <w:bCs/>
          <w:sz w:val="26"/>
          <w:szCs w:val="26"/>
        </w:rPr>
        <w:t xml:space="preserve">es ilegal </w:t>
      </w:r>
      <w:r>
        <w:rPr>
          <w:rFonts w:ascii="Arial" w:hAnsi="Arial" w:cs="Arial"/>
          <w:bCs/>
          <w:sz w:val="26"/>
          <w:szCs w:val="26"/>
        </w:rPr>
        <w:t xml:space="preserve">al pago de vacaciones y prima vacacional porque dichos conceptos se encuentran inmersos en </w:t>
      </w:r>
      <w:r w:rsidR="00FE5864">
        <w:rPr>
          <w:rFonts w:ascii="Arial" w:hAnsi="Arial" w:cs="Arial"/>
          <w:bCs/>
          <w:sz w:val="26"/>
          <w:szCs w:val="26"/>
        </w:rPr>
        <w:t xml:space="preserve">la </w:t>
      </w:r>
      <w:r>
        <w:rPr>
          <w:rFonts w:ascii="Arial" w:hAnsi="Arial" w:cs="Arial"/>
          <w:bCs/>
          <w:sz w:val="26"/>
          <w:szCs w:val="26"/>
        </w:rPr>
        <w:t>remuneración ordinaria diaria y pronunciarse sobre éstas lleva a cubrir un doble pago</w:t>
      </w:r>
      <w:r w:rsidR="00FE5864">
        <w:rPr>
          <w:rFonts w:ascii="Arial" w:hAnsi="Arial" w:cs="Arial"/>
          <w:bCs/>
          <w:sz w:val="26"/>
          <w:szCs w:val="26"/>
        </w:rPr>
        <w:t xml:space="preserve">.- - - - - - - - - - - - - - - - - - - - - - - - - - - - - - - - - - - - - - - - - </w:t>
      </w:r>
    </w:p>
    <w:p w14:paraId="255A9FA9" w14:textId="36A5BCCB" w:rsidR="008B1B7E" w:rsidRDefault="00D676E1" w:rsidP="001A07D0">
      <w:pPr>
        <w:pStyle w:val="Sinespaciado"/>
        <w:spacing w:before="240" w:after="240" w:line="360" w:lineRule="auto"/>
        <w:ind w:right="49" w:firstLine="708"/>
        <w:jc w:val="both"/>
        <w:rPr>
          <w:rFonts w:ascii="Arial" w:hAnsi="Arial" w:cs="Arial"/>
          <w:sz w:val="26"/>
          <w:szCs w:val="26"/>
          <w:lang w:val="es-MX"/>
        </w:rPr>
      </w:pPr>
      <w:r>
        <w:rPr>
          <w:rFonts w:ascii="Arial" w:hAnsi="Arial" w:cs="Arial"/>
          <w:sz w:val="26"/>
          <w:szCs w:val="26"/>
        </w:rPr>
        <w:t xml:space="preserve">Las anteriores </w:t>
      </w:r>
      <w:r w:rsidR="00FE5864">
        <w:rPr>
          <w:rFonts w:ascii="Arial" w:hAnsi="Arial" w:cs="Arial"/>
          <w:sz w:val="26"/>
          <w:szCs w:val="26"/>
        </w:rPr>
        <w:t xml:space="preserve">alegaciones </w:t>
      </w:r>
      <w:r w:rsidR="009748E1">
        <w:rPr>
          <w:rFonts w:ascii="Arial" w:hAnsi="Arial" w:cs="Arial"/>
          <w:sz w:val="26"/>
          <w:szCs w:val="26"/>
        </w:rPr>
        <w:t xml:space="preserve">son </w:t>
      </w:r>
      <w:r w:rsidR="009748E1" w:rsidRPr="005A582A">
        <w:rPr>
          <w:rFonts w:ascii="Arial" w:hAnsi="Arial" w:cs="Arial"/>
          <w:b/>
          <w:sz w:val="26"/>
          <w:szCs w:val="26"/>
        </w:rPr>
        <w:t>in</w:t>
      </w:r>
      <w:r w:rsidR="009748E1">
        <w:rPr>
          <w:rFonts w:ascii="Arial" w:hAnsi="Arial" w:cs="Arial"/>
          <w:b/>
          <w:sz w:val="26"/>
          <w:szCs w:val="26"/>
        </w:rPr>
        <w:t>operantes</w:t>
      </w:r>
      <w:r w:rsidR="009748E1">
        <w:rPr>
          <w:rFonts w:ascii="Arial" w:hAnsi="Arial" w:cs="Arial"/>
          <w:sz w:val="26"/>
          <w:szCs w:val="26"/>
        </w:rPr>
        <w:t xml:space="preserve">, </w:t>
      </w:r>
      <w:r w:rsidR="009748E1">
        <w:rPr>
          <w:rFonts w:ascii="Arial" w:eastAsia="Calibri" w:hAnsi="Arial" w:cs="Arial"/>
          <w:bCs/>
          <w:sz w:val="26"/>
          <w:szCs w:val="26"/>
        </w:rPr>
        <w:t xml:space="preserve">porque </w:t>
      </w:r>
      <w:r w:rsidR="009748E1">
        <w:rPr>
          <w:rFonts w:ascii="Arial" w:hAnsi="Arial" w:cs="Arial"/>
          <w:sz w:val="26"/>
          <w:szCs w:val="26"/>
        </w:rPr>
        <w:t xml:space="preserve">con sus expresiones controvierte cuestiones que ya han quedado firmes y que no impugnó en el momento procesal oportuno; pues lo que pretende es que </w:t>
      </w:r>
      <w:r w:rsidR="00FE5864">
        <w:rPr>
          <w:rFonts w:ascii="Arial" w:hAnsi="Arial" w:cs="Arial"/>
          <w:sz w:val="26"/>
          <w:szCs w:val="26"/>
        </w:rPr>
        <w:t xml:space="preserve">se </w:t>
      </w:r>
      <w:r w:rsidR="009748E1">
        <w:rPr>
          <w:rFonts w:ascii="Arial" w:hAnsi="Arial" w:cs="Arial"/>
          <w:sz w:val="26"/>
          <w:szCs w:val="26"/>
        </w:rPr>
        <w:t xml:space="preserve">varíe el sentido de la sentencia </w:t>
      </w:r>
      <w:r w:rsidR="008B1B7E">
        <w:rPr>
          <w:rFonts w:ascii="Arial" w:hAnsi="Arial" w:cs="Arial"/>
          <w:sz w:val="26"/>
          <w:szCs w:val="26"/>
        </w:rPr>
        <w:t xml:space="preserve">y resolución </w:t>
      </w:r>
      <w:r w:rsidR="009748E1">
        <w:rPr>
          <w:rFonts w:ascii="Arial" w:hAnsi="Arial" w:cs="Arial"/>
          <w:sz w:val="26"/>
          <w:szCs w:val="26"/>
        </w:rPr>
        <w:t>a cumplimentarse, arguyendo fundamentalmente que</w:t>
      </w:r>
      <w:r w:rsidR="00791C4F">
        <w:rPr>
          <w:rFonts w:ascii="Arial" w:hAnsi="Arial" w:cs="Arial"/>
          <w:sz w:val="26"/>
          <w:szCs w:val="26"/>
        </w:rPr>
        <w:t xml:space="preserve"> el pago de</w:t>
      </w:r>
      <w:r w:rsidR="009748E1">
        <w:rPr>
          <w:rFonts w:ascii="Arial" w:hAnsi="Arial" w:cs="Arial"/>
          <w:sz w:val="26"/>
          <w:szCs w:val="26"/>
        </w:rPr>
        <w:t xml:space="preserve"> </w:t>
      </w:r>
      <w:r w:rsidR="00791C4F">
        <w:rPr>
          <w:rFonts w:ascii="Arial" w:hAnsi="Arial" w:cs="Arial"/>
          <w:sz w:val="26"/>
          <w:szCs w:val="26"/>
        </w:rPr>
        <w:t xml:space="preserve">las prestaciones de </w:t>
      </w:r>
      <w:r w:rsidR="00791C4F">
        <w:rPr>
          <w:rFonts w:ascii="Arial" w:hAnsi="Arial" w:cs="Arial"/>
          <w:bCs/>
          <w:sz w:val="26"/>
          <w:szCs w:val="26"/>
        </w:rPr>
        <w:t>prima de antigüedad, vacaciones y prima vacacional, no son procedentes</w:t>
      </w:r>
      <w:r w:rsidR="009748E1">
        <w:rPr>
          <w:rFonts w:ascii="Arial" w:hAnsi="Arial" w:cs="Arial"/>
          <w:sz w:val="26"/>
          <w:szCs w:val="26"/>
        </w:rPr>
        <w:t xml:space="preserve">; lo que </w:t>
      </w:r>
      <w:r w:rsidR="009748E1" w:rsidRPr="00E93F07">
        <w:rPr>
          <w:rFonts w:ascii="Arial" w:hAnsi="Arial" w:cs="Arial"/>
          <w:b/>
          <w:sz w:val="26"/>
          <w:szCs w:val="26"/>
        </w:rPr>
        <w:t>no es admisible</w:t>
      </w:r>
      <w:r w:rsidR="009748E1">
        <w:rPr>
          <w:rFonts w:ascii="Arial" w:hAnsi="Arial" w:cs="Arial"/>
          <w:sz w:val="26"/>
          <w:szCs w:val="26"/>
        </w:rPr>
        <w:t xml:space="preserve">, porque como se refirió anteriormente al no haberse interpuesto medio de impugnación alguno en contra de la resolución de </w:t>
      </w:r>
      <w:r w:rsidR="00791C4F">
        <w:rPr>
          <w:rFonts w:ascii="Arial" w:hAnsi="Arial" w:cs="Arial"/>
          <w:sz w:val="26"/>
          <w:szCs w:val="26"/>
        </w:rPr>
        <w:t>4 cuatro de julio de 2019 dos mil diecinueve</w:t>
      </w:r>
      <w:r w:rsidR="009748E1">
        <w:rPr>
          <w:rFonts w:ascii="Arial" w:hAnsi="Arial" w:cs="Arial"/>
          <w:sz w:val="26"/>
          <w:szCs w:val="26"/>
        </w:rPr>
        <w:t xml:space="preserve">, </w:t>
      </w:r>
      <w:r w:rsidR="00791C4F">
        <w:rPr>
          <w:rFonts w:ascii="Arial" w:hAnsi="Arial" w:cs="Arial"/>
          <w:sz w:val="26"/>
          <w:szCs w:val="26"/>
        </w:rPr>
        <w:t xml:space="preserve">en la </w:t>
      </w:r>
      <w:r w:rsidR="009748E1">
        <w:rPr>
          <w:rFonts w:ascii="Arial" w:hAnsi="Arial" w:cs="Arial"/>
          <w:sz w:val="26"/>
          <w:szCs w:val="26"/>
        </w:rPr>
        <w:t xml:space="preserve">que esta Sala Superior </w:t>
      </w:r>
      <w:r w:rsidR="00791C4F">
        <w:rPr>
          <w:rFonts w:ascii="Arial" w:hAnsi="Arial" w:cs="Arial"/>
          <w:sz w:val="26"/>
          <w:szCs w:val="26"/>
        </w:rPr>
        <w:t xml:space="preserve">modificó </w:t>
      </w:r>
      <w:r w:rsidR="009748E1">
        <w:rPr>
          <w:rFonts w:ascii="Arial" w:hAnsi="Arial" w:cs="Arial"/>
          <w:sz w:val="26"/>
          <w:szCs w:val="26"/>
        </w:rPr>
        <w:t xml:space="preserve">la sentencia de </w:t>
      </w:r>
      <w:r w:rsidR="00791C4F">
        <w:rPr>
          <w:rFonts w:ascii="Arial" w:hAnsi="Arial" w:cs="Arial"/>
          <w:sz w:val="26"/>
          <w:szCs w:val="26"/>
        </w:rPr>
        <w:t>18 dieciocho de octubre de 2017 dos ml diecisiete y condenó a la demandada al pago de las prestaciones ya referidas</w:t>
      </w:r>
      <w:r w:rsidR="009748E1">
        <w:rPr>
          <w:rFonts w:ascii="Arial" w:hAnsi="Arial" w:cs="Arial"/>
          <w:sz w:val="26"/>
          <w:szCs w:val="26"/>
        </w:rPr>
        <w:t xml:space="preserve">, </w:t>
      </w:r>
      <w:r w:rsidR="009748E1" w:rsidRPr="00BE6111">
        <w:rPr>
          <w:rFonts w:ascii="Arial" w:hAnsi="Arial" w:cs="Arial"/>
          <w:b/>
          <w:sz w:val="26"/>
          <w:szCs w:val="26"/>
        </w:rPr>
        <w:t>esta causó ejecutoria</w:t>
      </w:r>
      <w:r w:rsidR="009748E1">
        <w:rPr>
          <w:rFonts w:ascii="Arial" w:hAnsi="Arial" w:cs="Arial"/>
          <w:sz w:val="26"/>
          <w:szCs w:val="26"/>
        </w:rPr>
        <w:t xml:space="preserve">, como así fue declarado por la </w:t>
      </w:r>
      <w:r w:rsidR="00791C4F">
        <w:rPr>
          <w:rFonts w:ascii="Arial" w:hAnsi="Arial" w:cs="Arial"/>
          <w:sz w:val="26"/>
          <w:szCs w:val="26"/>
        </w:rPr>
        <w:t>Primera Instancia mediante proveído de 15 quince de octubre de 2019 dos mil diecinueve</w:t>
      </w:r>
      <w:r w:rsidR="00791C4F">
        <w:rPr>
          <w:rStyle w:val="Refdenotaalpie"/>
          <w:rFonts w:ascii="Arial" w:hAnsi="Arial" w:cs="Arial"/>
          <w:sz w:val="26"/>
          <w:szCs w:val="26"/>
        </w:rPr>
        <w:footnoteReference w:id="13"/>
      </w:r>
      <w:r w:rsidR="008B1B7E">
        <w:rPr>
          <w:rFonts w:ascii="Arial" w:hAnsi="Arial" w:cs="Arial"/>
          <w:sz w:val="26"/>
          <w:szCs w:val="26"/>
        </w:rPr>
        <w:t xml:space="preserve"> </w:t>
      </w:r>
      <w:r w:rsidR="008B1B7E">
        <w:rPr>
          <w:rFonts w:ascii="Arial" w:hAnsi="Arial" w:cs="Arial"/>
          <w:sz w:val="26"/>
          <w:szCs w:val="26"/>
          <w:lang w:val="es-MX"/>
        </w:rPr>
        <w:t>derivado de la falta de impugnación en contra de la resolución emitida por la Sala Superior</w:t>
      </w:r>
      <w:r w:rsidR="008B1B7E">
        <w:rPr>
          <w:rFonts w:ascii="Arial" w:hAnsi="Arial" w:cs="Arial"/>
          <w:sz w:val="26"/>
          <w:szCs w:val="26"/>
        </w:rPr>
        <w:t xml:space="preserve">, </w:t>
      </w:r>
      <w:r w:rsidR="008B1B7E">
        <w:rPr>
          <w:rFonts w:ascii="Arial" w:hAnsi="Arial" w:cs="Arial"/>
          <w:sz w:val="26"/>
          <w:szCs w:val="26"/>
          <w:lang w:val="es-MX"/>
        </w:rPr>
        <w:t>causando con ello, la aceptación tácita del aquí recurrente de lo ahí resuelto en relación a su alegación</w:t>
      </w:r>
      <w:r w:rsidR="008B1B7E" w:rsidRPr="001919A6">
        <w:rPr>
          <w:rFonts w:ascii="Arial" w:hAnsi="Arial" w:cs="Arial"/>
          <w:sz w:val="26"/>
          <w:szCs w:val="26"/>
        </w:rPr>
        <w:t xml:space="preserve"> </w:t>
      </w:r>
      <w:r w:rsidR="008B1B7E">
        <w:rPr>
          <w:rFonts w:ascii="Arial" w:hAnsi="Arial" w:cs="Arial"/>
          <w:sz w:val="26"/>
          <w:szCs w:val="26"/>
        </w:rPr>
        <w:t>de la n</w:t>
      </w:r>
      <w:r w:rsidR="00217102">
        <w:rPr>
          <w:rFonts w:ascii="Arial" w:hAnsi="Arial" w:cs="Arial"/>
          <w:sz w:val="26"/>
          <w:szCs w:val="26"/>
        </w:rPr>
        <w:t>o</w:t>
      </w:r>
      <w:r w:rsidR="008B1B7E">
        <w:rPr>
          <w:rFonts w:ascii="Arial" w:hAnsi="Arial" w:cs="Arial"/>
          <w:sz w:val="26"/>
          <w:szCs w:val="26"/>
        </w:rPr>
        <w:t xml:space="preserve"> procedencia del pago de las prestaciones de </w:t>
      </w:r>
      <w:r w:rsidR="008B1B7E">
        <w:rPr>
          <w:rFonts w:ascii="Arial" w:hAnsi="Arial" w:cs="Arial"/>
          <w:bCs/>
          <w:sz w:val="26"/>
          <w:szCs w:val="26"/>
        </w:rPr>
        <w:t xml:space="preserve">prima de antigüedad, vacaciones y prima vacacional, </w:t>
      </w:r>
      <w:r w:rsidR="008B1B7E">
        <w:rPr>
          <w:rFonts w:ascii="Arial" w:hAnsi="Arial" w:cs="Arial"/>
          <w:sz w:val="26"/>
          <w:szCs w:val="26"/>
        </w:rPr>
        <w:t>lo anterior de acuerdo con lo previsto por el artículo 182 de la Ley de Justicia Administrativa para el Estado de Oaxaca</w:t>
      </w:r>
      <w:r w:rsidR="008B1B7E">
        <w:rPr>
          <w:rStyle w:val="Refdenotaalpie"/>
          <w:rFonts w:ascii="Arial" w:hAnsi="Arial" w:cs="Arial"/>
          <w:sz w:val="26"/>
          <w:szCs w:val="26"/>
        </w:rPr>
        <w:footnoteReference w:id="14"/>
      </w:r>
      <w:r w:rsidR="008B1B7E">
        <w:rPr>
          <w:rFonts w:ascii="Arial" w:hAnsi="Arial" w:cs="Arial"/>
          <w:sz w:val="26"/>
          <w:szCs w:val="26"/>
        </w:rPr>
        <w:t xml:space="preserve"> aplicable al caso</w:t>
      </w:r>
      <w:r w:rsidR="008B1B7E">
        <w:rPr>
          <w:rFonts w:ascii="Arial" w:hAnsi="Arial" w:cs="Arial"/>
          <w:sz w:val="26"/>
          <w:szCs w:val="26"/>
          <w:lang w:val="es-MX"/>
        </w:rPr>
        <w:t xml:space="preserve">.- - </w:t>
      </w:r>
    </w:p>
    <w:p w14:paraId="4850F712" w14:textId="13934A32" w:rsidR="009748E1" w:rsidRDefault="009748E1" w:rsidP="001A07D0">
      <w:pPr>
        <w:pStyle w:val="Sinespaciado"/>
        <w:spacing w:before="240" w:after="240" w:line="360" w:lineRule="auto"/>
        <w:ind w:right="49" w:firstLine="708"/>
        <w:jc w:val="both"/>
        <w:rPr>
          <w:rFonts w:ascii="Arial" w:hAnsi="Arial" w:cs="Arial"/>
          <w:color w:val="000000"/>
          <w:sz w:val="26"/>
          <w:szCs w:val="26"/>
          <w:shd w:val="clear" w:color="auto" w:fill="FFFFFF"/>
        </w:rPr>
      </w:pPr>
      <w:r>
        <w:rPr>
          <w:rFonts w:ascii="Arial" w:hAnsi="Arial" w:cs="Arial"/>
          <w:sz w:val="26"/>
          <w:szCs w:val="26"/>
          <w:lang w:val="es-MX"/>
        </w:rPr>
        <w:lastRenderedPageBreak/>
        <w:t xml:space="preserve">Situación que deja claro la configuración de la institución procesal de la </w:t>
      </w:r>
      <w:r w:rsidRPr="00BE6111">
        <w:rPr>
          <w:rFonts w:ascii="Arial" w:hAnsi="Arial" w:cs="Arial"/>
          <w:b/>
          <w:sz w:val="26"/>
          <w:szCs w:val="26"/>
          <w:lang w:val="es-MX"/>
        </w:rPr>
        <w:t>cosa juzgada</w:t>
      </w:r>
      <w:r>
        <w:rPr>
          <w:rFonts w:ascii="Arial" w:hAnsi="Arial" w:cs="Arial"/>
          <w:sz w:val="26"/>
          <w:szCs w:val="26"/>
          <w:lang w:val="es-MX"/>
        </w:rPr>
        <w:t xml:space="preserve">, la cual se define </w:t>
      </w:r>
      <w:r w:rsidRPr="00E93F07">
        <w:rPr>
          <w:rFonts w:ascii="Arial" w:hAnsi="Arial" w:cs="Arial"/>
          <w:color w:val="000000"/>
          <w:sz w:val="26"/>
          <w:szCs w:val="26"/>
          <w:shd w:val="clear" w:color="auto" w:fill="FFFFFF"/>
        </w:rPr>
        <w:t>como la conservación de lo resuelto en una sentencia firme, sin que pueda admitirse su modificación por circunstancias posteriores</w:t>
      </w:r>
      <w:r>
        <w:rPr>
          <w:rFonts w:ascii="Arial" w:hAnsi="Arial" w:cs="Arial"/>
          <w:color w:val="000000"/>
          <w:sz w:val="26"/>
          <w:szCs w:val="26"/>
          <w:shd w:val="clear" w:color="auto" w:fill="FFFFFF"/>
        </w:rPr>
        <w:t>; en el caso, lo pr</w:t>
      </w:r>
      <w:r w:rsidR="00791C4F">
        <w:rPr>
          <w:rFonts w:ascii="Arial" w:hAnsi="Arial" w:cs="Arial"/>
          <w:color w:val="000000"/>
          <w:sz w:val="26"/>
          <w:szCs w:val="26"/>
          <w:shd w:val="clear" w:color="auto" w:fill="FFFFFF"/>
        </w:rPr>
        <w:t>etendido por el aquí recurrente.</w:t>
      </w:r>
      <w:r>
        <w:rPr>
          <w:rFonts w:ascii="Arial" w:hAnsi="Arial" w:cs="Arial"/>
          <w:color w:val="000000"/>
          <w:sz w:val="26"/>
          <w:szCs w:val="26"/>
          <w:shd w:val="clear" w:color="auto" w:fill="FFFFFF"/>
        </w:rPr>
        <w:t xml:space="preserve">- - - - - - - - - - - - - </w:t>
      </w:r>
      <w:r w:rsidR="00791C4F">
        <w:rPr>
          <w:rFonts w:ascii="Arial" w:hAnsi="Arial" w:cs="Arial"/>
          <w:color w:val="000000"/>
          <w:sz w:val="26"/>
          <w:szCs w:val="26"/>
          <w:shd w:val="clear" w:color="auto" w:fill="FFFFFF"/>
        </w:rPr>
        <w:t xml:space="preserve">- - - - - - - - - - - - - - - - - - - - - - - - - - - - - - - </w:t>
      </w:r>
    </w:p>
    <w:p w14:paraId="16B5378F" w14:textId="22E4E08E" w:rsidR="009748E1" w:rsidRDefault="009748E1" w:rsidP="001A07D0">
      <w:pPr>
        <w:pStyle w:val="Sinespaciado"/>
        <w:spacing w:before="240" w:after="240" w:line="360" w:lineRule="auto"/>
        <w:ind w:right="49" w:firstLine="708"/>
        <w:jc w:val="both"/>
        <w:rPr>
          <w:rFonts w:ascii="Arial" w:hAnsi="Arial" w:cs="Arial"/>
          <w:color w:val="000000"/>
          <w:sz w:val="26"/>
          <w:szCs w:val="26"/>
          <w:shd w:val="clear" w:color="auto" w:fill="FFFFFF"/>
        </w:rPr>
      </w:pPr>
      <w:r>
        <w:rPr>
          <w:rFonts w:ascii="Arial" w:hAnsi="Arial" w:cs="Arial"/>
          <w:sz w:val="26"/>
          <w:szCs w:val="26"/>
          <w:lang w:val="es-MX"/>
        </w:rPr>
        <w:t>E</w:t>
      </w:r>
      <w:r>
        <w:rPr>
          <w:rFonts w:ascii="Arial" w:hAnsi="Arial" w:cs="Arial"/>
          <w:color w:val="000000"/>
          <w:sz w:val="26"/>
          <w:szCs w:val="26"/>
          <w:shd w:val="clear" w:color="auto" w:fill="FFFFFF"/>
        </w:rPr>
        <w:t xml:space="preserve">n el caso, como se dijo anteriormente el aquí recurrente pretende se modifiquen los lineamientos esgrimidos en la </w:t>
      </w:r>
      <w:r w:rsidR="008B1B7E">
        <w:rPr>
          <w:rFonts w:ascii="Arial" w:hAnsi="Arial" w:cs="Arial"/>
          <w:color w:val="000000"/>
          <w:sz w:val="26"/>
          <w:szCs w:val="26"/>
          <w:shd w:val="clear" w:color="auto" w:fill="FFFFFF"/>
        </w:rPr>
        <w:t xml:space="preserve">resolución </w:t>
      </w:r>
      <w:r w:rsidR="008B1B7E">
        <w:rPr>
          <w:rFonts w:ascii="Arial" w:hAnsi="Arial" w:cs="Arial"/>
          <w:sz w:val="26"/>
          <w:szCs w:val="26"/>
        </w:rPr>
        <w:t>4 cuatro de julio de 2019 dos mil diecinueve</w:t>
      </w:r>
      <w:r>
        <w:rPr>
          <w:rFonts w:ascii="Arial" w:hAnsi="Arial" w:cs="Arial"/>
          <w:color w:val="000000"/>
          <w:sz w:val="26"/>
          <w:szCs w:val="26"/>
          <w:shd w:val="clear" w:color="auto" w:fill="FFFFFF"/>
        </w:rPr>
        <w:t>, lo cual no es posible derivado de la firmeza que adquirió al haberse declarado que causó ejecutoría; conformándose con ello la cosa juzgada; por lo que, su consecuencia deriva en la inalterabilidad de la sentencia, puesto que afectar el sentido de la misma, cuando ya quedo firme (causó ejecutoría) transgrediría</w:t>
      </w:r>
      <w:r w:rsidRPr="00E93F07">
        <w:rPr>
          <w:rFonts w:ascii="Arial" w:hAnsi="Arial" w:cs="Arial"/>
          <w:color w:val="000000"/>
          <w:sz w:val="26"/>
          <w:szCs w:val="26"/>
          <w:shd w:val="clear" w:color="auto" w:fill="FFFFFF"/>
        </w:rPr>
        <w:t xml:space="preserve"> los principios de certeza, seguridad jurídica y acceso a la justicia reconocidos en los artículos 14, segundo párrafo</w:t>
      </w:r>
      <w:r>
        <w:rPr>
          <w:rStyle w:val="Refdenotaalpie"/>
          <w:rFonts w:ascii="Arial" w:hAnsi="Arial" w:cs="Arial"/>
          <w:color w:val="000000"/>
          <w:sz w:val="26"/>
          <w:szCs w:val="26"/>
          <w:shd w:val="clear" w:color="auto" w:fill="FFFFFF"/>
        </w:rPr>
        <w:footnoteReference w:id="15"/>
      </w:r>
      <w:r w:rsidRPr="00E93F07">
        <w:rPr>
          <w:rFonts w:ascii="Arial" w:hAnsi="Arial" w:cs="Arial"/>
          <w:color w:val="000000"/>
          <w:sz w:val="26"/>
          <w:szCs w:val="26"/>
          <w:shd w:val="clear" w:color="auto" w:fill="FFFFFF"/>
        </w:rPr>
        <w:t xml:space="preserve"> y 17, tercer párrafo</w:t>
      </w:r>
      <w:r>
        <w:rPr>
          <w:rStyle w:val="Refdenotaalpie"/>
          <w:rFonts w:ascii="Arial" w:hAnsi="Arial" w:cs="Arial"/>
          <w:color w:val="000000"/>
          <w:sz w:val="26"/>
          <w:szCs w:val="26"/>
          <w:shd w:val="clear" w:color="auto" w:fill="FFFFFF"/>
        </w:rPr>
        <w:footnoteReference w:id="16"/>
      </w:r>
      <w:r w:rsidRPr="00E93F07">
        <w:rPr>
          <w:rFonts w:ascii="Arial" w:hAnsi="Arial" w:cs="Arial"/>
          <w:color w:val="000000"/>
          <w:sz w:val="26"/>
          <w:szCs w:val="26"/>
          <w:shd w:val="clear" w:color="auto" w:fill="FFFFFF"/>
        </w:rPr>
        <w:t>, de la Constitución Política de los Estados Unidos Mexicanos</w:t>
      </w:r>
      <w:r>
        <w:rPr>
          <w:rFonts w:ascii="Arial" w:hAnsi="Arial" w:cs="Arial"/>
          <w:color w:val="000000"/>
          <w:sz w:val="26"/>
          <w:szCs w:val="26"/>
          <w:shd w:val="clear" w:color="auto" w:fill="FFFFFF"/>
        </w:rPr>
        <w:t>; porque l</w:t>
      </w:r>
      <w:r w:rsidRPr="00E93F07">
        <w:rPr>
          <w:rFonts w:ascii="Arial" w:hAnsi="Arial" w:cs="Arial"/>
          <w:color w:val="000000"/>
          <w:sz w:val="26"/>
          <w:szCs w:val="26"/>
          <w:shd w:val="clear" w:color="auto" w:fill="FFFFFF"/>
        </w:rPr>
        <w:t>a</w:t>
      </w:r>
      <w:r>
        <w:rPr>
          <w:rFonts w:ascii="Arial" w:hAnsi="Arial" w:cs="Arial"/>
          <w:color w:val="000000"/>
          <w:sz w:val="26"/>
          <w:szCs w:val="26"/>
          <w:shd w:val="clear" w:color="auto" w:fill="FFFFFF"/>
        </w:rPr>
        <w:t xml:space="preserve"> institución de la cosa juzgada, </w:t>
      </w:r>
      <w:r w:rsidRPr="00E93F07">
        <w:rPr>
          <w:rFonts w:ascii="Arial" w:hAnsi="Arial" w:cs="Arial"/>
          <w:color w:val="000000"/>
          <w:sz w:val="26"/>
          <w:szCs w:val="26"/>
          <w:shd w:val="clear" w:color="auto" w:fill="FFFFFF"/>
        </w:rPr>
        <w:t>se ubica en la resolución derivada de un legítimo proceso judicial, entendido éste como el resultado de un juicio regular que ha concluido en todas sus instancias y ha llegado al punto en que lo decidido ya no sea susceptible de discutirse para dar certeza jurídica a las partes</w:t>
      </w:r>
      <w:r>
        <w:rPr>
          <w:rFonts w:ascii="Arial" w:hAnsi="Arial" w:cs="Arial"/>
          <w:color w:val="000000"/>
          <w:sz w:val="26"/>
          <w:szCs w:val="26"/>
          <w:shd w:val="clear" w:color="auto" w:fill="FFFFFF"/>
        </w:rPr>
        <w:t xml:space="preserve">; siendo así, que al encontrar fundamento esta institución </w:t>
      </w:r>
      <w:r w:rsidRPr="00E93F07">
        <w:rPr>
          <w:rFonts w:ascii="Arial" w:hAnsi="Arial" w:cs="Arial"/>
          <w:color w:val="000000"/>
          <w:sz w:val="26"/>
          <w:szCs w:val="26"/>
          <w:shd w:val="clear" w:color="auto" w:fill="FFFFFF"/>
        </w:rPr>
        <w:t>en los derechos fundam</w:t>
      </w:r>
      <w:r>
        <w:rPr>
          <w:rFonts w:ascii="Arial" w:hAnsi="Arial" w:cs="Arial"/>
          <w:color w:val="000000"/>
          <w:sz w:val="26"/>
          <w:szCs w:val="26"/>
          <w:shd w:val="clear" w:color="auto" w:fill="FFFFFF"/>
        </w:rPr>
        <w:t xml:space="preserve">entales a la seguridad jurídica, </w:t>
      </w:r>
      <w:r w:rsidRPr="00E93F07">
        <w:rPr>
          <w:rFonts w:ascii="Arial" w:hAnsi="Arial" w:cs="Arial"/>
          <w:color w:val="000000"/>
          <w:sz w:val="26"/>
          <w:szCs w:val="26"/>
          <w:shd w:val="clear" w:color="auto" w:fill="FFFFFF"/>
        </w:rPr>
        <w:t xml:space="preserve">es que </w:t>
      </w:r>
      <w:r>
        <w:rPr>
          <w:rFonts w:ascii="Arial" w:hAnsi="Arial" w:cs="Arial"/>
          <w:color w:val="000000"/>
          <w:sz w:val="26"/>
          <w:szCs w:val="26"/>
          <w:shd w:val="clear" w:color="auto" w:fill="FFFFFF"/>
        </w:rPr>
        <w:t xml:space="preserve">debe considerarse </w:t>
      </w:r>
      <w:r w:rsidRPr="00E93F07">
        <w:rPr>
          <w:rFonts w:ascii="Arial" w:hAnsi="Arial" w:cs="Arial"/>
          <w:color w:val="000000"/>
          <w:sz w:val="26"/>
          <w:szCs w:val="26"/>
          <w:shd w:val="clear" w:color="auto" w:fill="FFFFFF"/>
        </w:rPr>
        <w:t>la inmutabilidad d</w:t>
      </w:r>
      <w:r>
        <w:rPr>
          <w:rFonts w:ascii="Arial" w:hAnsi="Arial" w:cs="Arial"/>
          <w:color w:val="000000"/>
          <w:sz w:val="26"/>
          <w:szCs w:val="26"/>
          <w:shd w:val="clear" w:color="auto" w:fill="FFFFFF"/>
        </w:rPr>
        <w:t xml:space="preserve">e la cosa juzgada como absoluta. Sirve de referencia a todo lo anteriormente precisado, el criterio de rubro y texto siguientes:- - - - - - </w:t>
      </w:r>
      <w:r w:rsidR="008B1B7E">
        <w:rPr>
          <w:rFonts w:ascii="Arial" w:hAnsi="Arial" w:cs="Arial"/>
          <w:color w:val="000000"/>
          <w:sz w:val="26"/>
          <w:szCs w:val="26"/>
          <w:shd w:val="clear" w:color="auto" w:fill="FFFFFF"/>
        </w:rPr>
        <w:t xml:space="preserve">- - - - - - - - - - - - - - - - - - - - - - - - - - - - - - - - - </w:t>
      </w:r>
    </w:p>
    <w:p w14:paraId="41211EE6" w14:textId="77777777" w:rsidR="009748E1" w:rsidRPr="00251EC8" w:rsidRDefault="009748E1" w:rsidP="00217102">
      <w:pPr>
        <w:pStyle w:val="Sinespaciado"/>
        <w:spacing w:before="240" w:after="240" w:line="360" w:lineRule="auto"/>
        <w:ind w:left="1134" w:right="474"/>
        <w:jc w:val="both"/>
        <w:rPr>
          <w:rFonts w:ascii="Arial" w:hAnsi="Arial" w:cs="Arial"/>
          <w:i/>
          <w:iCs/>
          <w:sz w:val="26"/>
          <w:szCs w:val="26"/>
        </w:rPr>
      </w:pPr>
      <w:r w:rsidRPr="00251EC8">
        <w:rPr>
          <w:rFonts w:ascii="Arial" w:hAnsi="Arial" w:cs="Arial"/>
          <w:i/>
          <w:iCs/>
          <w:color w:val="000000"/>
          <w:sz w:val="26"/>
          <w:szCs w:val="26"/>
          <w:shd w:val="clear" w:color="auto" w:fill="FFFFFF"/>
        </w:rPr>
        <w:t>“</w:t>
      </w:r>
      <w:r w:rsidRPr="00251EC8">
        <w:rPr>
          <w:rFonts w:ascii="Arial" w:hAnsi="Arial" w:cs="Arial"/>
          <w:b/>
          <w:i/>
          <w:iCs/>
          <w:color w:val="000000"/>
          <w:sz w:val="20"/>
          <w:szCs w:val="20"/>
          <w:shd w:val="clear" w:color="auto" w:fill="FFFFFF"/>
        </w:rPr>
        <w:t>COSA JUZGADA. SE ACTUALIZA EN UN JUICIO EN RAZÓN DE LA SENTENCIA FIRME EMITIDA EN OTRO, CON INDEPENDENCIA DE LAS FECHAS DE SU INICIO</w:t>
      </w:r>
      <w:r w:rsidRPr="00251EC8">
        <w:rPr>
          <w:rFonts w:ascii="Arial" w:hAnsi="Arial" w:cs="Arial"/>
          <w:b/>
          <w:i/>
          <w:iCs/>
          <w:color w:val="000000"/>
          <w:shd w:val="clear" w:color="auto" w:fill="FFFFFF"/>
        </w:rPr>
        <w:t xml:space="preserve">. </w:t>
      </w:r>
      <w:r w:rsidRPr="00251EC8">
        <w:rPr>
          <w:rFonts w:ascii="Arial" w:hAnsi="Arial" w:cs="Arial"/>
          <w:i/>
          <w:iCs/>
          <w:color w:val="000000"/>
          <w:shd w:val="clear" w:color="auto" w:fill="FFFFFF"/>
        </w:rPr>
        <w:t xml:space="preserve">El Pleno de la Suprema Corte de Justicia de la Nación ha señalado en jurisprudencia, que la ejecución íntegra de una sentencia sólo se alcanza en la medida en que la cosa juzgada se instituye en el ordenamiento jurídico como resultado de un juicio regular que ha concluido en todas sus instancias, llegando al punto </w:t>
      </w:r>
      <w:r w:rsidRPr="00251EC8">
        <w:rPr>
          <w:rFonts w:ascii="Arial" w:hAnsi="Arial" w:cs="Arial"/>
          <w:i/>
          <w:iCs/>
          <w:color w:val="000000"/>
          <w:shd w:val="clear" w:color="auto" w:fill="FFFFFF"/>
        </w:rPr>
        <w:lastRenderedPageBreak/>
        <w:t>en que lo decidido ya no es susceptible de discutirse. En ese contexto, lo determinante para la actualización de la cosa juzgada –directa o refleja– es lo sentenciado con anterioridad en un juicio, por lo que carece de importancia cuál procedimiento inició antes, pues lo que debe ser primero en tiempo es la sentencia firme, ya que tal firmeza origina la imposibilidad de resolver sobre lo pedido en el juicio que aún no ha sido resuelto, con independencia de que éste se haya instado antes que aquél, y que por el trámite procesal seguido por uno y otro, haya sido el segundo el que alcanzó antes la sentencia ejecutoria</w:t>
      </w:r>
      <w:r w:rsidRPr="00251EC8">
        <w:rPr>
          <w:rFonts w:ascii="Arial" w:eastAsia="Calibri" w:hAnsi="Arial" w:cs="Arial"/>
          <w:bCs/>
          <w:i/>
          <w:iCs/>
          <w:color w:val="000000" w:themeColor="text1"/>
        </w:rPr>
        <w:t>.”</w:t>
      </w:r>
      <w:r w:rsidRPr="00251EC8">
        <w:rPr>
          <w:rStyle w:val="Refdenotaalpie"/>
          <w:rFonts w:ascii="Arial" w:hAnsi="Arial" w:cs="Arial"/>
          <w:i/>
          <w:iCs/>
          <w:sz w:val="26"/>
          <w:szCs w:val="26"/>
        </w:rPr>
        <w:footnoteReference w:id="17"/>
      </w:r>
      <w:r w:rsidRPr="00251EC8">
        <w:rPr>
          <w:rFonts w:ascii="Arial" w:hAnsi="Arial" w:cs="Arial"/>
          <w:i/>
          <w:iCs/>
          <w:sz w:val="26"/>
          <w:szCs w:val="26"/>
        </w:rPr>
        <w:t>.</w:t>
      </w:r>
    </w:p>
    <w:p w14:paraId="42F03F3B" w14:textId="3029EE83" w:rsidR="008C242B" w:rsidRPr="001476B9" w:rsidRDefault="00217102" w:rsidP="001A07D0">
      <w:pPr>
        <w:widowControl w:val="0"/>
        <w:spacing w:before="240" w:line="360" w:lineRule="auto"/>
        <w:ind w:right="49" w:firstLine="709"/>
        <w:jc w:val="both"/>
        <w:rPr>
          <w:rFonts w:ascii="Arial" w:hAnsi="Arial" w:cs="Arial"/>
          <w:sz w:val="26"/>
          <w:szCs w:val="26"/>
        </w:rPr>
      </w:pPr>
      <w:r>
        <w:rPr>
          <w:rFonts w:ascii="Arial" w:hAnsi="Arial" w:cs="Arial"/>
          <w:sz w:val="26"/>
          <w:szCs w:val="26"/>
        </w:rPr>
        <w:t xml:space="preserve">En consecuencia y ante lo </w:t>
      </w:r>
      <w:r w:rsidRPr="00C87A21">
        <w:rPr>
          <w:rFonts w:ascii="Arial" w:hAnsi="Arial" w:cs="Arial"/>
          <w:b/>
          <w:sz w:val="26"/>
          <w:szCs w:val="26"/>
        </w:rPr>
        <w:t>infundado e inoperante</w:t>
      </w:r>
      <w:r>
        <w:rPr>
          <w:rFonts w:ascii="Arial" w:hAnsi="Arial" w:cs="Arial"/>
          <w:sz w:val="26"/>
          <w:szCs w:val="26"/>
        </w:rPr>
        <w:t xml:space="preserve"> de los agravios planteados, lo procedente es </w:t>
      </w:r>
      <w:r w:rsidRPr="00217102">
        <w:rPr>
          <w:rFonts w:ascii="Arial" w:hAnsi="Arial" w:cs="Arial"/>
          <w:b/>
          <w:sz w:val="26"/>
          <w:szCs w:val="26"/>
        </w:rPr>
        <w:t>confirmar</w:t>
      </w:r>
      <w:r>
        <w:rPr>
          <w:rFonts w:ascii="Arial" w:hAnsi="Arial" w:cs="Arial"/>
          <w:sz w:val="26"/>
          <w:szCs w:val="26"/>
        </w:rPr>
        <w:t xml:space="preserve"> la resolución recurrida y </w:t>
      </w:r>
      <w:r w:rsidR="008C242B">
        <w:rPr>
          <w:rFonts w:ascii="Arial" w:hAnsi="Arial" w:cs="Arial"/>
          <w:sz w:val="26"/>
          <w:szCs w:val="26"/>
        </w:rPr>
        <w:t>con fundamento en los artículos 20</w:t>
      </w:r>
      <w:r>
        <w:rPr>
          <w:rFonts w:ascii="Arial" w:hAnsi="Arial" w:cs="Arial"/>
          <w:sz w:val="26"/>
          <w:szCs w:val="26"/>
        </w:rPr>
        <w:t>6</w:t>
      </w:r>
      <w:r w:rsidR="008C242B">
        <w:rPr>
          <w:rFonts w:ascii="Arial" w:hAnsi="Arial" w:cs="Arial"/>
          <w:sz w:val="26"/>
          <w:szCs w:val="26"/>
        </w:rPr>
        <w:t xml:space="preserve"> y 208 de la Ley de Justicia Administrativa para el Estado, </w:t>
      </w:r>
      <w:r w:rsidR="00281299">
        <w:rPr>
          <w:rFonts w:ascii="Arial" w:hAnsi="Arial" w:cs="Arial"/>
          <w:sz w:val="26"/>
          <w:szCs w:val="26"/>
        </w:rPr>
        <w:t>aplicable por ser la vigente al inicio del juicio natural</w:t>
      </w:r>
      <w:r w:rsidR="008C242B">
        <w:rPr>
          <w:rFonts w:ascii="Arial" w:hAnsi="Arial" w:cs="Arial"/>
          <w:sz w:val="26"/>
          <w:szCs w:val="26"/>
        </w:rPr>
        <w:t>, se:</w:t>
      </w:r>
      <w:r w:rsidR="00CB5B38">
        <w:rPr>
          <w:rFonts w:ascii="Arial" w:hAnsi="Arial" w:cs="Arial"/>
          <w:sz w:val="26"/>
          <w:szCs w:val="26"/>
        </w:rPr>
        <w:t xml:space="preserve">- - - - - - - - - - - - - - - </w:t>
      </w:r>
      <w:r w:rsidR="00281299">
        <w:rPr>
          <w:rFonts w:ascii="Arial" w:hAnsi="Arial" w:cs="Arial"/>
          <w:sz w:val="26"/>
          <w:szCs w:val="26"/>
        </w:rPr>
        <w:t>- - - - - - - - - - - - - - - - - - - - - - - - -</w:t>
      </w:r>
    </w:p>
    <w:p w14:paraId="7974C1A2" w14:textId="5C3E7E6A" w:rsidR="00CB5B38" w:rsidRDefault="008B1B7E" w:rsidP="001A07D0">
      <w:pPr>
        <w:pStyle w:val="Sinespaciado"/>
        <w:tabs>
          <w:tab w:val="left" w:pos="1560"/>
        </w:tabs>
        <w:spacing w:before="240" w:line="360" w:lineRule="auto"/>
        <w:ind w:right="49" w:firstLine="708"/>
        <w:jc w:val="center"/>
        <w:rPr>
          <w:rFonts w:ascii="Arial" w:hAnsi="Arial" w:cs="Arial"/>
          <w:b/>
          <w:color w:val="000000"/>
          <w:sz w:val="26"/>
          <w:szCs w:val="26"/>
        </w:rPr>
      </w:pPr>
      <w:r>
        <w:rPr>
          <w:rFonts w:ascii="Arial" w:hAnsi="Arial" w:cs="Arial"/>
          <w:b/>
          <w:color w:val="000000"/>
          <w:sz w:val="26"/>
          <w:szCs w:val="26"/>
        </w:rPr>
        <w:t>R E S U E L V E</w:t>
      </w:r>
    </w:p>
    <w:p w14:paraId="0F35609C" w14:textId="104CE59D" w:rsidR="00CB5B38" w:rsidRDefault="00CB5B38" w:rsidP="001A07D0">
      <w:pPr>
        <w:pStyle w:val="Textoindependiente21"/>
        <w:tabs>
          <w:tab w:val="left" w:pos="-1985"/>
          <w:tab w:val="left" w:pos="4962"/>
        </w:tabs>
        <w:spacing w:before="240" w:line="360" w:lineRule="auto"/>
        <w:ind w:right="49"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00A9359F">
        <w:rPr>
          <w:rFonts w:ascii="Arial" w:hAnsi="Arial" w:cs="Arial"/>
          <w:b/>
          <w:color w:val="000000"/>
          <w:sz w:val="26"/>
          <w:szCs w:val="26"/>
        </w:rPr>
        <w:t>CONFIRMA</w:t>
      </w:r>
      <w:r w:rsidR="00933EC3">
        <w:rPr>
          <w:rFonts w:ascii="Arial" w:hAnsi="Arial" w:cs="Arial"/>
          <w:b/>
          <w:color w:val="000000"/>
          <w:sz w:val="26"/>
          <w:szCs w:val="26"/>
        </w:rPr>
        <w:t xml:space="preserve"> </w:t>
      </w:r>
      <w:r>
        <w:rPr>
          <w:rFonts w:ascii="Arial" w:hAnsi="Arial" w:cs="Arial"/>
          <w:color w:val="000000"/>
          <w:sz w:val="26"/>
          <w:szCs w:val="26"/>
        </w:rPr>
        <w:t xml:space="preserve">la </w:t>
      </w:r>
      <w:r w:rsidR="00933EC3">
        <w:rPr>
          <w:rFonts w:ascii="Arial" w:hAnsi="Arial" w:cs="Arial"/>
          <w:color w:val="000000"/>
          <w:sz w:val="26"/>
          <w:szCs w:val="26"/>
        </w:rPr>
        <w:t xml:space="preserve">resolución </w:t>
      </w:r>
      <w:r>
        <w:rPr>
          <w:rFonts w:ascii="Arial" w:hAnsi="Arial" w:cs="Arial"/>
          <w:color w:val="000000"/>
          <w:sz w:val="26"/>
          <w:szCs w:val="26"/>
        </w:rPr>
        <w:t xml:space="preserve">de </w:t>
      </w:r>
      <w:r w:rsidR="00933EC3">
        <w:rPr>
          <w:rFonts w:ascii="Arial" w:hAnsi="Arial" w:cs="Arial"/>
          <w:color w:val="000000"/>
          <w:sz w:val="26"/>
          <w:szCs w:val="26"/>
        </w:rPr>
        <w:t xml:space="preserve">30 treinta de septiembre </w:t>
      </w:r>
      <w:r>
        <w:rPr>
          <w:rFonts w:ascii="Arial" w:hAnsi="Arial" w:cs="Arial"/>
          <w:color w:val="000000"/>
          <w:sz w:val="26"/>
          <w:szCs w:val="26"/>
        </w:rPr>
        <w:t xml:space="preserve">de 2021 dos mil veintiuno, por las razones expuestas en el considerando que </w:t>
      </w:r>
      <w:r w:rsidR="001100FF">
        <w:rPr>
          <w:rFonts w:ascii="Arial" w:hAnsi="Arial" w:cs="Arial"/>
          <w:color w:val="000000"/>
          <w:sz w:val="26"/>
          <w:szCs w:val="26"/>
        </w:rPr>
        <w:t>antecede. -</w:t>
      </w:r>
      <w:r>
        <w:rPr>
          <w:rFonts w:ascii="Arial" w:hAnsi="Arial" w:cs="Arial"/>
          <w:color w:val="000000"/>
          <w:sz w:val="26"/>
          <w:szCs w:val="26"/>
        </w:rPr>
        <w:t xml:space="preserve"> - - - - - - - - - - - - - - - - - - - - - - - - - - - - - - </w:t>
      </w:r>
    </w:p>
    <w:p w14:paraId="4D6C4AC4" w14:textId="52D8F30D" w:rsidR="00CB5B38" w:rsidRDefault="008B1B7E" w:rsidP="001A07D0">
      <w:pPr>
        <w:spacing w:before="240" w:line="360" w:lineRule="auto"/>
        <w:ind w:right="49" w:firstLine="708"/>
        <w:jc w:val="both"/>
        <w:rPr>
          <w:rFonts w:ascii="Arial" w:hAnsi="Arial" w:cs="Arial"/>
          <w:sz w:val="26"/>
          <w:szCs w:val="26"/>
        </w:rPr>
      </w:pPr>
      <w:r>
        <w:rPr>
          <w:rFonts w:ascii="Arial" w:hAnsi="Arial" w:cs="Arial"/>
          <w:b/>
          <w:sz w:val="26"/>
          <w:szCs w:val="26"/>
        </w:rPr>
        <w:t xml:space="preserve">SEGUNDO. </w:t>
      </w:r>
      <w:r w:rsidR="001100FF">
        <w:rPr>
          <w:rFonts w:ascii="Arial" w:hAnsi="Arial" w:cs="Arial"/>
          <w:b/>
          <w:sz w:val="26"/>
          <w:szCs w:val="26"/>
        </w:rPr>
        <w:t>NOTIFÍQUESE Y CÚMPLASE</w:t>
      </w:r>
      <w:r w:rsidR="001100FF">
        <w:rPr>
          <w:rFonts w:ascii="Arial" w:hAnsi="Arial" w:cs="Arial"/>
          <w:sz w:val="26"/>
          <w:szCs w:val="26"/>
        </w:rPr>
        <w:t xml:space="preserve">, </w:t>
      </w:r>
      <w:r w:rsidR="00CB5B38">
        <w:rPr>
          <w:rFonts w:ascii="Arial" w:hAnsi="Arial" w:cs="Arial"/>
          <w:sz w:val="26"/>
          <w:szCs w:val="26"/>
        </w:rPr>
        <w:t xml:space="preserve">remítase copia certificada de la presente resolución a la </w:t>
      </w:r>
      <w:r w:rsidR="00933EC3">
        <w:rPr>
          <w:rFonts w:ascii="Arial" w:hAnsi="Arial" w:cs="Arial"/>
          <w:sz w:val="26"/>
          <w:szCs w:val="26"/>
        </w:rPr>
        <w:t xml:space="preserve">Cuarta </w:t>
      </w:r>
      <w:r w:rsidR="00CB5B38">
        <w:rPr>
          <w:rFonts w:ascii="Arial" w:hAnsi="Arial" w:cs="Arial"/>
          <w:sz w:val="26"/>
          <w:szCs w:val="26"/>
        </w:rPr>
        <w:t xml:space="preserve">Sala Unitaria de Primera Instancia de este Tribunal y en su oportunidad archívese el cuaderno de revisión como asunto </w:t>
      </w:r>
      <w:r w:rsidR="001100FF">
        <w:rPr>
          <w:rFonts w:ascii="Arial" w:hAnsi="Arial" w:cs="Arial"/>
          <w:sz w:val="26"/>
          <w:szCs w:val="26"/>
        </w:rPr>
        <w:t>concluido. -</w:t>
      </w:r>
      <w:r w:rsidR="00CB5B38">
        <w:rPr>
          <w:rFonts w:ascii="Arial" w:hAnsi="Arial" w:cs="Arial"/>
          <w:sz w:val="26"/>
          <w:szCs w:val="26"/>
        </w:rPr>
        <w:t xml:space="preserve"> - - - - - - - - - - - - - - - - - - </w:t>
      </w:r>
      <w:r>
        <w:rPr>
          <w:rFonts w:ascii="Arial" w:hAnsi="Arial" w:cs="Arial"/>
          <w:sz w:val="26"/>
          <w:szCs w:val="26"/>
        </w:rPr>
        <w:t xml:space="preserve">- - - - - - - - - </w:t>
      </w:r>
    </w:p>
    <w:p w14:paraId="3F9A9F8C" w14:textId="77777777" w:rsidR="00A70491" w:rsidRDefault="00A70491" w:rsidP="00A70491">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29E783D8" w14:textId="413C1057" w:rsidR="00A70491" w:rsidRDefault="00A70491" w:rsidP="00A70491">
      <w:pPr>
        <w:spacing w:line="360" w:lineRule="auto"/>
        <w:jc w:val="center"/>
        <w:rPr>
          <w:rFonts w:ascii="Arial" w:hAnsi="Arial" w:cs="Arial"/>
          <w:sz w:val="26"/>
          <w:szCs w:val="26"/>
        </w:rPr>
      </w:pPr>
    </w:p>
    <w:p w14:paraId="384BBACA" w14:textId="4C49A169" w:rsidR="00FD5440" w:rsidRDefault="00FD5440" w:rsidP="00A70491">
      <w:pPr>
        <w:spacing w:line="360" w:lineRule="auto"/>
        <w:jc w:val="center"/>
        <w:rPr>
          <w:rFonts w:ascii="Arial" w:hAnsi="Arial" w:cs="Arial"/>
          <w:sz w:val="26"/>
          <w:szCs w:val="26"/>
        </w:rPr>
      </w:pPr>
    </w:p>
    <w:p w14:paraId="3FC224AB" w14:textId="160580B3" w:rsidR="00FD5440" w:rsidRDefault="00FD5440" w:rsidP="00A70491">
      <w:pPr>
        <w:spacing w:line="360" w:lineRule="auto"/>
        <w:jc w:val="center"/>
        <w:rPr>
          <w:rFonts w:ascii="Arial" w:hAnsi="Arial" w:cs="Arial"/>
          <w:sz w:val="26"/>
          <w:szCs w:val="26"/>
        </w:rPr>
      </w:pPr>
    </w:p>
    <w:p w14:paraId="6C271EED" w14:textId="33DA6A60" w:rsidR="00FD5440" w:rsidRDefault="00FD5440" w:rsidP="00A70491">
      <w:pPr>
        <w:spacing w:line="360" w:lineRule="auto"/>
        <w:jc w:val="center"/>
        <w:rPr>
          <w:rFonts w:ascii="Arial" w:hAnsi="Arial" w:cs="Arial"/>
          <w:sz w:val="26"/>
          <w:szCs w:val="26"/>
        </w:rPr>
      </w:pPr>
    </w:p>
    <w:p w14:paraId="5D2FBD84" w14:textId="77777777" w:rsidR="00FD5440" w:rsidRDefault="00FD5440" w:rsidP="00A70491">
      <w:pPr>
        <w:spacing w:line="360" w:lineRule="auto"/>
        <w:jc w:val="center"/>
        <w:rPr>
          <w:rFonts w:ascii="Arial" w:hAnsi="Arial" w:cs="Arial"/>
          <w:sz w:val="26"/>
          <w:szCs w:val="26"/>
        </w:rPr>
      </w:pPr>
    </w:p>
    <w:p w14:paraId="58F99783" w14:textId="77777777" w:rsidR="00A70491" w:rsidRDefault="00A70491" w:rsidP="00FD40A1">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A365FCB" w14:textId="77777777" w:rsidR="00A70491" w:rsidRDefault="00A70491" w:rsidP="00FD40A1">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1305DB78" w14:textId="77777777" w:rsidR="00A70491" w:rsidRDefault="00A70491" w:rsidP="00A70491">
      <w:pPr>
        <w:tabs>
          <w:tab w:val="center" w:pos="4135"/>
          <w:tab w:val="left" w:pos="7515"/>
        </w:tabs>
        <w:spacing w:after="0" w:line="240" w:lineRule="auto"/>
        <w:jc w:val="center"/>
        <w:rPr>
          <w:rFonts w:ascii="Arial" w:eastAsia="Times New Roman" w:hAnsi="Arial" w:cs="Arial"/>
          <w:sz w:val="26"/>
          <w:szCs w:val="26"/>
        </w:rPr>
      </w:pPr>
    </w:p>
    <w:p w14:paraId="62C153A6" w14:textId="77777777" w:rsidR="00A70491" w:rsidRDefault="00A70491" w:rsidP="00A70491">
      <w:pPr>
        <w:tabs>
          <w:tab w:val="center" w:pos="4135"/>
          <w:tab w:val="left" w:pos="7515"/>
        </w:tabs>
        <w:spacing w:after="0" w:line="240" w:lineRule="auto"/>
        <w:jc w:val="center"/>
        <w:rPr>
          <w:rFonts w:ascii="Arial" w:eastAsia="Times New Roman" w:hAnsi="Arial" w:cs="Arial"/>
          <w:sz w:val="26"/>
          <w:szCs w:val="26"/>
        </w:rPr>
      </w:pPr>
    </w:p>
    <w:p w14:paraId="2DB2E4F7" w14:textId="77777777" w:rsidR="00A70491" w:rsidRDefault="00A70491" w:rsidP="00A70491">
      <w:pPr>
        <w:tabs>
          <w:tab w:val="center" w:pos="4135"/>
          <w:tab w:val="left" w:pos="7515"/>
        </w:tabs>
        <w:spacing w:after="0" w:line="240" w:lineRule="auto"/>
        <w:jc w:val="center"/>
        <w:rPr>
          <w:rFonts w:ascii="Arial" w:eastAsia="Times New Roman" w:hAnsi="Arial" w:cs="Arial"/>
          <w:sz w:val="26"/>
          <w:szCs w:val="26"/>
        </w:rPr>
      </w:pPr>
    </w:p>
    <w:p w14:paraId="4306B385" w14:textId="77777777" w:rsidR="00A70491" w:rsidRDefault="00A70491" w:rsidP="00A70491">
      <w:pPr>
        <w:tabs>
          <w:tab w:val="center" w:pos="4135"/>
          <w:tab w:val="left" w:pos="7515"/>
        </w:tabs>
        <w:spacing w:after="0" w:line="240" w:lineRule="auto"/>
        <w:jc w:val="center"/>
        <w:rPr>
          <w:rFonts w:ascii="Arial" w:eastAsia="Times New Roman" w:hAnsi="Arial" w:cs="Arial"/>
          <w:sz w:val="26"/>
          <w:szCs w:val="26"/>
        </w:rPr>
      </w:pPr>
    </w:p>
    <w:p w14:paraId="7321BC58" w14:textId="77777777" w:rsidR="00A70491" w:rsidRDefault="00A70491" w:rsidP="00A70491">
      <w:pPr>
        <w:tabs>
          <w:tab w:val="center" w:pos="4135"/>
          <w:tab w:val="left" w:pos="7515"/>
        </w:tabs>
        <w:spacing w:after="0" w:line="240" w:lineRule="auto"/>
        <w:jc w:val="center"/>
        <w:rPr>
          <w:rFonts w:ascii="Arial" w:eastAsia="Times New Roman" w:hAnsi="Arial" w:cs="Arial"/>
          <w:sz w:val="26"/>
          <w:szCs w:val="26"/>
        </w:rPr>
      </w:pPr>
    </w:p>
    <w:p w14:paraId="704383A9" w14:textId="77777777" w:rsidR="00A70491" w:rsidRDefault="00A70491" w:rsidP="00A70491">
      <w:pPr>
        <w:tabs>
          <w:tab w:val="center" w:pos="4135"/>
          <w:tab w:val="left" w:pos="7515"/>
        </w:tabs>
        <w:spacing w:after="0" w:line="240" w:lineRule="auto"/>
        <w:jc w:val="center"/>
        <w:rPr>
          <w:rFonts w:ascii="Arial" w:eastAsia="Times New Roman" w:hAnsi="Arial" w:cs="Arial"/>
          <w:sz w:val="26"/>
          <w:szCs w:val="26"/>
        </w:rPr>
      </w:pPr>
    </w:p>
    <w:p w14:paraId="691EE8CC" w14:textId="77777777" w:rsidR="00A70491" w:rsidRDefault="00A70491" w:rsidP="00A70491">
      <w:pPr>
        <w:tabs>
          <w:tab w:val="center" w:pos="4135"/>
          <w:tab w:val="left" w:pos="7515"/>
        </w:tabs>
        <w:spacing w:after="0" w:line="240" w:lineRule="auto"/>
        <w:jc w:val="center"/>
        <w:rPr>
          <w:rFonts w:ascii="Arial" w:eastAsia="Times New Roman" w:hAnsi="Arial" w:cs="Arial"/>
          <w:sz w:val="26"/>
          <w:szCs w:val="26"/>
        </w:rPr>
      </w:pPr>
    </w:p>
    <w:p w14:paraId="60DDA67F" w14:textId="0B86463A" w:rsidR="00A70491" w:rsidRDefault="00A70491" w:rsidP="00A70491">
      <w:pPr>
        <w:tabs>
          <w:tab w:val="center" w:pos="4135"/>
          <w:tab w:val="left" w:pos="7515"/>
        </w:tabs>
        <w:spacing w:line="360" w:lineRule="auto"/>
        <w:rPr>
          <w:rFonts w:ascii="Arial" w:eastAsia="Times New Roman" w:hAnsi="Arial" w:cs="Arial"/>
          <w:sz w:val="26"/>
          <w:szCs w:val="26"/>
        </w:rPr>
      </w:pPr>
    </w:p>
    <w:p w14:paraId="3940C74F" w14:textId="77777777" w:rsidR="00FD5440" w:rsidRDefault="00FD5440" w:rsidP="00A70491">
      <w:pPr>
        <w:tabs>
          <w:tab w:val="center" w:pos="4135"/>
          <w:tab w:val="left" w:pos="7515"/>
        </w:tabs>
        <w:spacing w:line="360" w:lineRule="auto"/>
        <w:rPr>
          <w:rFonts w:ascii="Arial" w:eastAsia="Times New Roman" w:hAnsi="Arial" w:cs="Arial"/>
          <w:sz w:val="26"/>
          <w:szCs w:val="26"/>
        </w:rPr>
      </w:pPr>
    </w:p>
    <w:p w14:paraId="32493D9D" w14:textId="77777777" w:rsidR="00A70491" w:rsidRDefault="00A70491" w:rsidP="00A70491">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3ECD83F5" w14:textId="77777777" w:rsidR="00A70491" w:rsidRDefault="00A70491" w:rsidP="00A70491">
      <w:pPr>
        <w:tabs>
          <w:tab w:val="center" w:pos="4135"/>
          <w:tab w:val="left" w:pos="7515"/>
        </w:tabs>
        <w:spacing w:line="360" w:lineRule="auto"/>
        <w:jc w:val="center"/>
        <w:rPr>
          <w:rFonts w:ascii="Arial" w:eastAsia="Times New Roman" w:hAnsi="Arial" w:cs="Arial"/>
          <w:sz w:val="26"/>
          <w:szCs w:val="26"/>
        </w:rPr>
      </w:pPr>
    </w:p>
    <w:p w14:paraId="1A658064" w14:textId="77777777" w:rsidR="00A70491" w:rsidRDefault="00A70491" w:rsidP="00FD40A1">
      <w:pPr>
        <w:tabs>
          <w:tab w:val="center" w:pos="4135"/>
          <w:tab w:val="left" w:pos="7515"/>
        </w:tabs>
        <w:spacing w:line="360" w:lineRule="auto"/>
        <w:rPr>
          <w:rFonts w:ascii="Arial" w:eastAsia="Times New Roman" w:hAnsi="Arial" w:cs="Arial"/>
          <w:sz w:val="26"/>
          <w:szCs w:val="26"/>
        </w:rPr>
      </w:pPr>
    </w:p>
    <w:p w14:paraId="38FE482A" w14:textId="052AE9EF" w:rsidR="00A70491" w:rsidRDefault="00A70491" w:rsidP="00A70491">
      <w:pPr>
        <w:tabs>
          <w:tab w:val="center" w:pos="4135"/>
          <w:tab w:val="left" w:pos="7515"/>
        </w:tabs>
        <w:spacing w:line="360" w:lineRule="auto"/>
        <w:rPr>
          <w:rFonts w:ascii="Arial" w:eastAsia="Times New Roman" w:hAnsi="Arial" w:cs="Arial"/>
          <w:sz w:val="26"/>
          <w:szCs w:val="26"/>
        </w:rPr>
      </w:pPr>
    </w:p>
    <w:p w14:paraId="5A5D2D32" w14:textId="77777777" w:rsidR="00FD5440" w:rsidRDefault="00FD5440" w:rsidP="00A70491">
      <w:pPr>
        <w:tabs>
          <w:tab w:val="center" w:pos="4135"/>
          <w:tab w:val="left" w:pos="7515"/>
        </w:tabs>
        <w:spacing w:line="360" w:lineRule="auto"/>
        <w:rPr>
          <w:rFonts w:ascii="Arial" w:eastAsia="Times New Roman" w:hAnsi="Arial" w:cs="Arial"/>
          <w:sz w:val="26"/>
          <w:szCs w:val="26"/>
        </w:rPr>
      </w:pPr>
    </w:p>
    <w:p w14:paraId="74A51628" w14:textId="77777777" w:rsidR="00A70491" w:rsidRDefault="00A70491" w:rsidP="00A70491">
      <w:pPr>
        <w:tabs>
          <w:tab w:val="center" w:pos="4135"/>
          <w:tab w:val="left" w:pos="7515"/>
        </w:tabs>
        <w:spacing w:line="360" w:lineRule="auto"/>
        <w:jc w:val="center"/>
        <w:rPr>
          <w:rFonts w:ascii="Arial" w:eastAsia="Times New Roman" w:hAnsi="Arial" w:cs="Arial"/>
          <w:sz w:val="26"/>
          <w:szCs w:val="26"/>
        </w:rPr>
      </w:pPr>
    </w:p>
    <w:p w14:paraId="7C4FEDAB" w14:textId="77777777" w:rsidR="00A70491" w:rsidRDefault="00A70491" w:rsidP="00A70491">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215DC41E" w14:textId="77777777" w:rsidR="00A70491" w:rsidRDefault="00A70491" w:rsidP="00A70491">
      <w:pPr>
        <w:tabs>
          <w:tab w:val="center" w:pos="4135"/>
          <w:tab w:val="left" w:pos="7515"/>
        </w:tabs>
        <w:spacing w:after="0" w:line="240" w:lineRule="auto"/>
        <w:jc w:val="center"/>
        <w:rPr>
          <w:rFonts w:ascii="Arial" w:eastAsia="Times New Roman" w:hAnsi="Arial" w:cs="Arial"/>
          <w:sz w:val="26"/>
          <w:szCs w:val="26"/>
        </w:rPr>
      </w:pPr>
    </w:p>
    <w:p w14:paraId="25396447" w14:textId="77777777" w:rsidR="00A70491" w:rsidRDefault="00A70491" w:rsidP="00A70491">
      <w:pPr>
        <w:tabs>
          <w:tab w:val="center" w:pos="4135"/>
          <w:tab w:val="left" w:pos="7515"/>
        </w:tabs>
        <w:spacing w:after="0" w:line="240" w:lineRule="auto"/>
        <w:jc w:val="center"/>
        <w:rPr>
          <w:rFonts w:ascii="Arial" w:eastAsia="Times New Roman" w:hAnsi="Arial" w:cs="Arial"/>
          <w:sz w:val="26"/>
          <w:szCs w:val="26"/>
        </w:rPr>
      </w:pPr>
    </w:p>
    <w:p w14:paraId="25C8C62B" w14:textId="77777777" w:rsidR="00A70491" w:rsidRDefault="00A70491" w:rsidP="00A70491">
      <w:pPr>
        <w:tabs>
          <w:tab w:val="center" w:pos="4135"/>
          <w:tab w:val="left" w:pos="7515"/>
        </w:tabs>
        <w:spacing w:after="0" w:line="240" w:lineRule="auto"/>
        <w:jc w:val="center"/>
        <w:rPr>
          <w:rFonts w:ascii="Arial" w:eastAsia="Times New Roman" w:hAnsi="Arial" w:cs="Arial"/>
          <w:sz w:val="26"/>
          <w:szCs w:val="26"/>
        </w:rPr>
      </w:pPr>
    </w:p>
    <w:p w14:paraId="22673950" w14:textId="439BB9EB" w:rsidR="00A70491" w:rsidRDefault="00A70491" w:rsidP="00A70491">
      <w:pPr>
        <w:tabs>
          <w:tab w:val="center" w:pos="4135"/>
          <w:tab w:val="left" w:pos="7515"/>
        </w:tabs>
        <w:spacing w:line="360" w:lineRule="auto"/>
        <w:jc w:val="both"/>
        <w:rPr>
          <w:rFonts w:ascii="Arial" w:eastAsia="Times New Roman" w:hAnsi="Arial" w:cs="Arial"/>
          <w:b/>
          <w:bCs/>
          <w:sz w:val="16"/>
          <w:szCs w:val="16"/>
        </w:rPr>
      </w:pPr>
    </w:p>
    <w:p w14:paraId="483855A5" w14:textId="343A7CA6" w:rsidR="00FD5440" w:rsidRDefault="00FD5440" w:rsidP="00A70491">
      <w:pPr>
        <w:tabs>
          <w:tab w:val="center" w:pos="4135"/>
          <w:tab w:val="left" w:pos="7515"/>
        </w:tabs>
        <w:spacing w:line="360" w:lineRule="auto"/>
        <w:jc w:val="both"/>
        <w:rPr>
          <w:rFonts w:ascii="Arial" w:eastAsia="Times New Roman" w:hAnsi="Arial" w:cs="Arial"/>
          <w:b/>
          <w:bCs/>
          <w:sz w:val="16"/>
          <w:szCs w:val="16"/>
        </w:rPr>
      </w:pPr>
    </w:p>
    <w:p w14:paraId="42CCC0C0" w14:textId="77777777" w:rsidR="00FD5440" w:rsidRDefault="00FD5440" w:rsidP="00A70491">
      <w:pPr>
        <w:tabs>
          <w:tab w:val="center" w:pos="4135"/>
          <w:tab w:val="left" w:pos="7515"/>
        </w:tabs>
        <w:spacing w:line="360" w:lineRule="auto"/>
        <w:jc w:val="both"/>
        <w:rPr>
          <w:rFonts w:ascii="Arial" w:eastAsia="Times New Roman" w:hAnsi="Arial" w:cs="Arial"/>
          <w:b/>
          <w:bCs/>
          <w:sz w:val="16"/>
          <w:szCs w:val="16"/>
        </w:rPr>
      </w:pPr>
    </w:p>
    <w:p w14:paraId="5EC9F4BD" w14:textId="77777777" w:rsidR="00A70491" w:rsidRDefault="00A70491" w:rsidP="00A70491">
      <w:pPr>
        <w:tabs>
          <w:tab w:val="center" w:pos="4135"/>
          <w:tab w:val="left" w:pos="7515"/>
        </w:tabs>
        <w:spacing w:line="360" w:lineRule="auto"/>
        <w:jc w:val="center"/>
        <w:rPr>
          <w:rFonts w:ascii="Arial" w:eastAsia="Times New Roman" w:hAnsi="Arial" w:cs="Arial"/>
          <w:sz w:val="26"/>
          <w:szCs w:val="26"/>
        </w:rPr>
      </w:pPr>
    </w:p>
    <w:p w14:paraId="04BEEA94" w14:textId="77777777" w:rsidR="00A70491" w:rsidRDefault="00A70491" w:rsidP="00A70491">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66CCB353" w14:textId="77777777" w:rsidR="00A70491" w:rsidRDefault="00A70491" w:rsidP="00A70491">
      <w:pPr>
        <w:tabs>
          <w:tab w:val="center" w:pos="4135"/>
          <w:tab w:val="left" w:pos="7515"/>
        </w:tabs>
        <w:spacing w:line="360" w:lineRule="auto"/>
        <w:jc w:val="center"/>
        <w:rPr>
          <w:rFonts w:ascii="Arial" w:eastAsia="Times New Roman" w:hAnsi="Arial" w:cs="Arial"/>
          <w:sz w:val="26"/>
          <w:szCs w:val="26"/>
        </w:rPr>
      </w:pPr>
    </w:p>
    <w:p w14:paraId="560854A9" w14:textId="77777777" w:rsidR="00A70491" w:rsidRDefault="00A70491" w:rsidP="00A70491">
      <w:pPr>
        <w:tabs>
          <w:tab w:val="center" w:pos="4135"/>
          <w:tab w:val="left" w:pos="7515"/>
        </w:tabs>
        <w:spacing w:line="360" w:lineRule="auto"/>
        <w:rPr>
          <w:rFonts w:ascii="Arial" w:eastAsia="Times New Roman" w:hAnsi="Arial" w:cs="Arial"/>
          <w:sz w:val="26"/>
          <w:szCs w:val="26"/>
        </w:rPr>
      </w:pPr>
    </w:p>
    <w:p w14:paraId="6DB1229F" w14:textId="77777777" w:rsidR="00FD5440" w:rsidRDefault="00FD5440" w:rsidP="00A70491">
      <w:pPr>
        <w:tabs>
          <w:tab w:val="center" w:pos="4135"/>
          <w:tab w:val="left" w:pos="7515"/>
        </w:tabs>
        <w:spacing w:line="360" w:lineRule="auto"/>
        <w:rPr>
          <w:rFonts w:ascii="Arial" w:eastAsia="Times New Roman" w:hAnsi="Arial" w:cs="Arial"/>
          <w:b/>
          <w:bCs/>
          <w:sz w:val="16"/>
          <w:szCs w:val="16"/>
        </w:rPr>
      </w:pPr>
    </w:p>
    <w:p w14:paraId="18A4CB9C" w14:textId="1398F30E" w:rsidR="00A70491" w:rsidRPr="00FD5440" w:rsidRDefault="00FD5440" w:rsidP="00A70491">
      <w:pPr>
        <w:tabs>
          <w:tab w:val="center" w:pos="4135"/>
          <w:tab w:val="left" w:pos="7515"/>
        </w:tabs>
        <w:spacing w:line="360" w:lineRule="auto"/>
        <w:rPr>
          <w:rFonts w:ascii="Arial" w:eastAsia="Times New Roman" w:hAnsi="Arial" w:cs="Arial"/>
          <w:b/>
          <w:bCs/>
          <w:sz w:val="16"/>
          <w:szCs w:val="16"/>
        </w:rPr>
      </w:pPr>
      <w:r w:rsidRPr="00FD5440">
        <w:rPr>
          <w:rFonts w:ascii="Arial" w:eastAsia="Times New Roman" w:hAnsi="Arial" w:cs="Arial"/>
          <w:b/>
          <w:bCs/>
          <w:sz w:val="16"/>
          <w:szCs w:val="16"/>
        </w:rPr>
        <w:t>LAS PRESENTES FIRMAS CORRESPONDEN A LA RESOLUCIÓN DEL RECURSO DE REVISIÓN 0386/2021.</w:t>
      </w:r>
    </w:p>
    <w:p w14:paraId="0523EEF3" w14:textId="440B546D" w:rsidR="00A70491" w:rsidRDefault="00A70491" w:rsidP="00A70491">
      <w:pPr>
        <w:tabs>
          <w:tab w:val="center" w:pos="4135"/>
          <w:tab w:val="left" w:pos="7515"/>
        </w:tabs>
        <w:spacing w:line="360" w:lineRule="auto"/>
        <w:jc w:val="center"/>
        <w:rPr>
          <w:rFonts w:ascii="Arial" w:eastAsia="Times New Roman" w:hAnsi="Arial" w:cs="Arial"/>
          <w:sz w:val="26"/>
          <w:szCs w:val="26"/>
        </w:rPr>
      </w:pPr>
    </w:p>
    <w:p w14:paraId="01B2A8CD" w14:textId="3F8A12FD" w:rsidR="00FD5440" w:rsidRDefault="00FD5440" w:rsidP="00A70491">
      <w:pPr>
        <w:tabs>
          <w:tab w:val="center" w:pos="4135"/>
          <w:tab w:val="left" w:pos="7515"/>
        </w:tabs>
        <w:spacing w:line="360" w:lineRule="auto"/>
        <w:jc w:val="center"/>
        <w:rPr>
          <w:rFonts w:ascii="Arial" w:eastAsia="Times New Roman" w:hAnsi="Arial" w:cs="Arial"/>
          <w:sz w:val="26"/>
          <w:szCs w:val="26"/>
        </w:rPr>
      </w:pPr>
    </w:p>
    <w:p w14:paraId="2F075D09" w14:textId="2C1FA9B7" w:rsidR="00FD5440" w:rsidRDefault="00FD5440" w:rsidP="00A70491">
      <w:pPr>
        <w:tabs>
          <w:tab w:val="center" w:pos="4135"/>
          <w:tab w:val="left" w:pos="7515"/>
        </w:tabs>
        <w:spacing w:line="360" w:lineRule="auto"/>
        <w:jc w:val="center"/>
        <w:rPr>
          <w:rFonts w:ascii="Arial" w:eastAsia="Times New Roman" w:hAnsi="Arial" w:cs="Arial"/>
          <w:sz w:val="26"/>
          <w:szCs w:val="26"/>
        </w:rPr>
      </w:pPr>
    </w:p>
    <w:p w14:paraId="55BEA7B9" w14:textId="77777777" w:rsidR="00FD5440" w:rsidRDefault="00FD5440" w:rsidP="00A70491">
      <w:pPr>
        <w:tabs>
          <w:tab w:val="center" w:pos="4135"/>
          <w:tab w:val="left" w:pos="7515"/>
        </w:tabs>
        <w:spacing w:line="360" w:lineRule="auto"/>
        <w:jc w:val="center"/>
        <w:rPr>
          <w:rFonts w:ascii="Arial" w:eastAsia="Times New Roman" w:hAnsi="Arial" w:cs="Arial"/>
          <w:sz w:val="26"/>
          <w:szCs w:val="26"/>
        </w:rPr>
      </w:pPr>
    </w:p>
    <w:p w14:paraId="7F1E6356" w14:textId="77777777" w:rsidR="00FD5440" w:rsidRDefault="00FD5440" w:rsidP="00A70491">
      <w:pPr>
        <w:tabs>
          <w:tab w:val="center" w:pos="4135"/>
          <w:tab w:val="left" w:pos="7515"/>
        </w:tabs>
        <w:spacing w:line="360" w:lineRule="auto"/>
        <w:jc w:val="center"/>
        <w:rPr>
          <w:rFonts w:ascii="Arial" w:eastAsia="Times New Roman" w:hAnsi="Arial" w:cs="Arial"/>
          <w:sz w:val="26"/>
          <w:szCs w:val="26"/>
        </w:rPr>
      </w:pPr>
    </w:p>
    <w:p w14:paraId="4E929A7F" w14:textId="77777777" w:rsidR="00A70491" w:rsidRDefault="00A70491" w:rsidP="00A70491">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lastRenderedPageBreak/>
        <w:t>MAGISTRADO ELÍAS CORTÉS LÓPEZ</w:t>
      </w:r>
    </w:p>
    <w:p w14:paraId="693DD925" w14:textId="4888F60A" w:rsidR="00A70491" w:rsidRDefault="00A70491" w:rsidP="00A70491">
      <w:pPr>
        <w:spacing w:after="0" w:line="240" w:lineRule="auto"/>
        <w:jc w:val="center"/>
        <w:rPr>
          <w:rFonts w:ascii="Arial" w:eastAsia="Times New Roman" w:hAnsi="Arial" w:cs="Arial"/>
          <w:sz w:val="26"/>
          <w:szCs w:val="26"/>
        </w:rPr>
      </w:pPr>
    </w:p>
    <w:p w14:paraId="4953BA52" w14:textId="77777777" w:rsidR="00FD5440" w:rsidRDefault="00FD5440" w:rsidP="00A70491">
      <w:pPr>
        <w:spacing w:after="0" w:line="240" w:lineRule="auto"/>
        <w:jc w:val="center"/>
        <w:rPr>
          <w:rFonts w:ascii="Arial" w:eastAsia="Times New Roman" w:hAnsi="Arial" w:cs="Arial"/>
          <w:sz w:val="26"/>
          <w:szCs w:val="26"/>
        </w:rPr>
      </w:pPr>
    </w:p>
    <w:p w14:paraId="04C04693" w14:textId="77777777" w:rsidR="00A70491" w:rsidRDefault="00A70491" w:rsidP="00A70491">
      <w:pPr>
        <w:spacing w:after="0" w:line="240" w:lineRule="auto"/>
        <w:jc w:val="center"/>
        <w:rPr>
          <w:rFonts w:ascii="Arial" w:eastAsia="Times New Roman" w:hAnsi="Arial" w:cs="Arial"/>
          <w:sz w:val="26"/>
          <w:szCs w:val="26"/>
        </w:rPr>
      </w:pPr>
    </w:p>
    <w:p w14:paraId="5F60189E" w14:textId="77777777" w:rsidR="00A70491" w:rsidRDefault="00A70491" w:rsidP="00A70491">
      <w:pPr>
        <w:spacing w:after="0" w:line="240" w:lineRule="auto"/>
        <w:jc w:val="center"/>
        <w:rPr>
          <w:rFonts w:ascii="Arial" w:eastAsia="Times New Roman" w:hAnsi="Arial" w:cs="Arial"/>
          <w:sz w:val="26"/>
          <w:szCs w:val="26"/>
        </w:rPr>
      </w:pPr>
    </w:p>
    <w:p w14:paraId="049D4D7A" w14:textId="77777777" w:rsidR="00A70491" w:rsidRDefault="00A70491" w:rsidP="00A70491">
      <w:pPr>
        <w:spacing w:after="0" w:line="240" w:lineRule="auto"/>
        <w:jc w:val="center"/>
        <w:rPr>
          <w:rFonts w:ascii="Arial" w:eastAsia="Times New Roman" w:hAnsi="Arial" w:cs="Arial"/>
          <w:sz w:val="26"/>
          <w:szCs w:val="26"/>
        </w:rPr>
      </w:pPr>
    </w:p>
    <w:p w14:paraId="21B20043" w14:textId="77777777" w:rsidR="00A70491" w:rsidRDefault="00A70491" w:rsidP="00A70491">
      <w:pPr>
        <w:spacing w:after="0" w:line="240" w:lineRule="auto"/>
        <w:jc w:val="center"/>
        <w:rPr>
          <w:rFonts w:ascii="Arial" w:eastAsia="Times New Roman" w:hAnsi="Arial" w:cs="Arial"/>
          <w:sz w:val="26"/>
          <w:szCs w:val="26"/>
        </w:rPr>
      </w:pPr>
    </w:p>
    <w:p w14:paraId="44C0D3FF" w14:textId="77777777" w:rsidR="00A70491" w:rsidRDefault="00A70491" w:rsidP="00A70491">
      <w:pPr>
        <w:spacing w:after="0" w:line="240" w:lineRule="auto"/>
        <w:jc w:val="center"/>
        <w:rPr>
          <w:rFonts w:ascii="Arial" w:eastAsia="Times New Roman" w:hAnsi="Arial" w:cs="Arial"/>
          <w:sz w:val="26"/>
          <w:szCs w:val="26"/>
        </w:rPr>
      </w:pPr>
    </w:p>
    <w:p w14:paraId="3491A651" w14:textId="77777777" w:rsidR="00A70491" w:rsidRDefault="00A70491" w:rsidP="00A70491">
      <w:pPr>
        <w:spacing w:after="0" w:line="240" w:lineRule="auto"/>
        <w:jc w:val="center"/>
        <w:rPr>
          <w:rFonts w:ascii="Arial" w:eastAsia="Times New Roman" w:hAnsi="Arial" w:cs="Arial"/>
          <w:sz w:val="26"/>
          <w:szCs w:val="26"/>
        </w:rPr>
      </w:pPr>
    </w:p>
    <w:p w14:paraId="52A6529B" w14:textId="77777777" w:rsidR="00A70491" w:rsidRDefault="00A70491" w:rsidP="00A70491">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51BBF4B3" w14:textId="77777777" w:rsidR="00A70491" w:rsidRDefault="00A70491" w:rsidP="00A70491">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32A7628D" w14:textId="77777777" w:rsidR="00A70491" w:rsidRDefault="00A70491" w:rsidP="00A70491">
      <w:pPr>
        <w:rPr>
          <w:lang w:val="es-ES"/>
        </w:rPr>
      </w:pPr>
      <w:r>
        <w:tab/>
        <w:t xml:space="preserve">  </w:t>
      </w:r>
    </w:p>
    <w:p w14:paraId="29B5FBF4" w14:textId="64E1A598" w:rsidR="00CB5B38" w:rsidRDefault="00CB5B38" w:rsidP="00A70491">
      <w:pPr>
        <w:spacing w:line="360" w:lineRule="auto"/>
        <w:ind w:right="49" w:firstLine="708"/>
        <w:jc w:val="both"/>
        <w:rPr>
          <w:sz w:val="26"/>
          <w:szCs w:val="26"/>
        </w:rPr>
      </w:pPr>
    </w:p>
    <w:sectPr w:rsidR="00CB5B38" w:rsidSect="001A07D0">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B0918C" w14:textId="77777777" w:rsidR="002513EF" w:rsidRDefault="002513EF" w:rsidP="004E5889">
      <w:pPr>
        <w:spacing w:after="0" w:line="240" w:lineRule="auto"/>
      </w:pPr>
      <w:r>
        <w:separator/>
      </w:r>
    </w:p>
  </w:endnote>
  <w:endnote w:type="continuationSeparator" w:id="0">
    <w:p w14:paraId="09629233" w14:textId="77777777" w:rsidR="002513EF" w:rsidRDefault="002513EF"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C33D06" w:rsidRDefault="00C33D06">
    <w:pPr>
      <w:pStyle w:val="Piedepgina"/>
      <w:jc w:val="center"/>
    </w:pPr>
  </w:p>
  <w:p w14:paraId="31AAD077" w14:textId="77777777" w:rsidR="00C33D06" w:rsidRDefault="00C33D0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A65789" w14:textId="77777777" w:rsidR="002513EF" w:rsidRDefault="002513EF" w:rsidP="004E5889">
      <w:pPr>
        <w:spacing w:after="0" w:line="240" w:lineRule="auto"/>
      </w:pPr>
      <w:r>
        <w:separator/>
      </w:r>
    </w:p>
  </w:footnote>
  <w:footnote w:type="continuationSeparator" w:id="0">
    <w:p w14:paraId="3B3733B0" w14:textId="77777777" w:rsidR="002513EF" w:rsidRDefault="002513EF" w:rsidP="004E5889">
      <w:pPr>
        <w:spacing w:after="0" w:line="240" w:lineRule="auto"/>
      </w:pPr>
      <w:r>
        <w:continuationSeparator/>
      </w:r>
    </w:p>
  </w:footnote>
  <w:footnote w:id="1">
    <w:p w14:paraId="3EBAEEE4" w14:textId="77777777" w:rsidR="00D74B0F" w:rsidRDefault="00D74B0F" w:rsidP="00D74B0F">
      <w:pPr>
        <w:pStyle w:val="Textonotapie"/>
        <w:ind w:right="-425"/>
        <w:jc w:val="both"/>
      </w:pPr>
      <w:r>
        <w:rPr>
          <w:rStyle w:val="Refdenotaalpie"/>
        </w:rPr>
        <w:footnoteRef/>
      </w:r>
      <w:r>
        <w:t xml:space="preserve"> “</w:t>
      </w:r>
      <w:r>
        <w:rPr>
          <w:b/>
        </w:rPr>
        <w:t xml:space="preserve">ARTÍCULO 194.- </w:t>
      </w:r>
      <w:r>
        <w:t>En el procedimiento contencioso administrativo, no habrá más incidentes que los establecidos en la presente Ley. Se tramitarán como de previo y especial pronunciamiento, con suspensión de la tramitación del juicio en lo principal. Procederán los siguientes:</w:t>
      </w:r>
    </w:p>
    <w:p w14:paraId="246B6577" w14:textId="77777777" w:rsidR="00D74B0F" w:rsidRDefault="00D74B0F" w:rsidP="00D74B0F">
      <w:pPr>
        <w:pStyle w:val="Textonotapie"/>
        <w:jc w:val="both"/>
      </w:pPr>
      <w:r>
        <w:t xml:space="preserve">   I. El de acumulación de autos;</w:t>
      </w:r>
    </w:p>
    <w:p w14:paraId="47204864" w14:textId="77777777" w:rsidR="00D74B0F" w:rsidRDefault="00D74B0F" w:rsidP="00D74B0F">
      <w:pPr>
        <w:pStyle w:val="Textonotapie"/>
        <w:jc w:val="both"/>
      </w:pPr>
      <w:r>
        <w:t xml:space="preserve">   II. El de nulidad de notificaciones, y</w:t>
      </w:r>
    </w:p>
    <w:p w14:paraId="3C860D14" w14:textId="77777777" w:rsidR="00D74B0F" w:rsidRPr="0023397B" w:rsidRDefault="00D74B0F" w:rsidP="00D74B0F">
      <w:pPr>
        <w:pStyle w:val="Textonotapie"/>
        <w:ind w:right="-425"/>
        <w:jc w:val="both"/>
      </w:pPr>
      <w:r>
        <w:t xml:space="preserve">   III. El de interrupción del procedimiento por causa de muerte, incapacidad, declaración de ausencia, quiebra, disolución de la persona moral o desaparición del órgano de la administración pública.”</w:t>
      </w:r>
    </w:p>
  </w:footnote>
  <w:footnote w:id="2">
    <w:p w14:paraId="4D22F522" w14:textId="0FAF850B" w:rsidR="006609E5" w:rsidRDefault="006609E5" w:rsidP="006609E5">
      <w:pPr>
        <w:pStyle w:val="Textonotapie"/>
        <w:ind w:right="-425"/>
        <w:jc w:val="both"/>
      </w:pPr>
      <w:r>
        <w:rPr>
          <w:rStyle w:val="Refdenotaalpie"/>
        </w:rPr>
        <w:footnoteRef/>
      </w:r>
      <w:r>
        <w:t xml:space="preserve"> “</w:t>
      </w:r>
      <w:r>
        <w:rPr>
          <w:b/>
        </w:rPr>
        <w:t xml:space="preserve">ARTÍCULO 173.- </w:t>
      </w:r>
      <w:r>
        <w:t>La valoración de las pruebas se hará de acuerdo con las siguientes reglas:</w:t>
      </w:r>
    </w:p>
    <w:p w14:paraId="5122FEE1" w14:textId="77777777" w:rsidR="006609E5" w:rsidRDefault="006609E5" w:rsidP="006609E5">
      <w:pPr>
        <w:pStyle w:val="Textonotapie"/>
        <w:ind w:right="-425"/>
        <w:jc w:val="both"/>
      </w:pPr>
      <w:r>
        <w:t xml:space="preserve">   I. Harán prueba plena la confesión expresa de las partes y los actos contenidos en documentos públicos, si en éstos últimos se contienen declaraciones de verdad o manifestaciones de hechos de particulares; y</w:t>
      </w:r>
    </w:p>
    <w:p w14:paraId="4698DC4C" w14:textId="77777777" w:rsidR="006609E5" w:rsidRDefault="006609E5" w:rsidP="006609E5">
      <w:pPr>
        <w:pStyle w:val="Textonotapie"/>
        <w:jc w:val="both"/>
      </w:pPr>
      <w:r>
        <w:t xml:space="preserve">   …”</w:t>
      </w:r>
    </w:p>
  </w:footnote>
  <w:footnote w:id="3">
    <w:p w14:paraId="6D287CEE" w14:textId="3D16A328" w:rsidR="00D74B0F" w:rsidRDefault="00D74B0F" w:rsidP="00D74B0F">
      <w:pPr>
        <w:pStyle w:val="Textonotapie"/>
        <w:ind w:right="-425"/>
        <w:jc w:val="both"/>
      </w:pPr>
      <w:r>
        <w:rPr>
          <w:rStyle w:val="Refdenotaalpie"/>
        </w:rPr>
        <w:footnoteRef/>
      </w:r>
      <w:r>
        <w:t xml:space="preserve"> Fojas de la 49 a la 55 del expediente 0075/2017 de la Cuarta Sala Unitaria de Primera Instancia del Tribunal de Justicia Administrativa del Estado de Oaxaca</w:t>
      </w:r>
      <w:r w:rsidR="0041178A">
        <w:t>.</w:t>
      </w:r>
    </w:p>
  </w:footnote>
  <w:footnote w:id="4">
    <w:p w14:paraId="795C447D" w14:textId="58890ACB" w:rsidR="0041178A" w:rsidRDefault="0041178A">
      <w:pPr>
        <w:pStyle w:val="Textonotapie"/>
      </w:pPr>
      <w:r>
        <w:rPr>
          <w:rStyle w:val="Refdenotaalpie"/>
        </w:rPr>
        <w:footnoteRef/>
      </w:r>
      <w:r>
        <w:t xml:space="preserve"> Fojas de la 80 a la 88 del expediente 0075/2017 de la Cuarta Sala Unitaria de Primera Instancia del Tribunal de Justicia Administrativa del Estado de Oaxaca.</w:t>
      </w:r>
    </w:p>
  </w:footnote>
  <w:footnote w:id="5">
    <w:p w14:paraId="5D4711B4" w14:textId="34145100" w:rsidR="0041178A" w:rsidRDefault="0041178A" w:rsidP="0041178A">
      <w:pPr>
        <w:pStyle w:val="Textonotapie"/>
        <w:jc w:val="both"/>
      </w:pPr>
      <w:r>
        <w:rPr>
          <w:rStyle w:val="Refdenotaalpie"/>
        </w:rPr>
        <w:footnoteRef/>
      </w:r>
      <w:r>
        <w:t xml:space="preserve"> Fojas  127 vuelta y 128 del expediente 0075/2017 de la Cuarta Sala Unitaria de Primera Instancia del Tribunal de Justicia Administrativa del Estado de Oaxaca.</w:t>
      </w:r>
    </w:p>
  </w:footnote>
  <w:footnote w:id="6">
    <w:p w14:paraId="6A63A296" w14:textId="77777777" w:rsidR="0041178A" w:rsidRDefault="0041178A" w:rsidP="0041178A">
      <w:pPr>
        <w:pStyle w:val="Textonotapie"/>
        <w:jc w:val="both"/>
      </w:pPr>
      <w:r>
        <w:rPr>
          <w:rStyle w:val="Refdenotaalpie"/>
        </w:rPr>
        <w:footnoteRef/>
      </w:r>
      <w:r>
        <w:t xml:space="preserve"> “</w:t>
      </w:r>
      <w:r>
        <w:rPr>
          <w:b/>
        </w:rPr>
        <w:t xml:space="preserve">Artículo 404.- </w:t>
      </w:r>
      <w:r>
        <w:t>Los incidentes que surjan en los juicios, con excepción de los de acumulación y de conexidad, cualquiera que sea su naturaleza, se substanciarán con un escrito de cada parte. Si se promueve prueba deberá ofrecerse en los escritos respectivos con todos los elementos necesarios para su desahogo, fijándose los puntos sobre que deba versar; el plazo probatorio no excederá de cinco días y concluido se citará para la audiencia de alegatos, con efectos de citación para sentencia. Dicha audiencia se verificará a más tardar dentro de los tres días siguientes y en ella se dictará la resolución que corresponda.”</w:t>
      </w:r>
    </w:p>
    <w:p w14:paraId="0B613EAB" w14:textId="77777777" w:rsidR="0041178A" w:rsidRPr="0043522D" w:rsidRDefault="0041178A" w:rsidP="0041178A">
      <w:pPr>
        <w:pStyle w:val="Textonotapie"/>
        <w:jc w:val="both"/>
      </w:pPr>
      <w:r>
        <w:t xml:space="preserve">   “</w:t>
      </w:r>
      <w:r>
        <w:rPr>
          <w:b/>
        </w:rPr>
        <w:t xml:space="preserve">Artículo 501.- </w:t>
      </w:r>
      <w:r>
        <w:t>Si la sentencia no contiene cantidad líquida, la parte a cuyo favor se pronunció, al promover la ejecución presentará su liquidación, se tramitará en forma de incidente en los términos del artículo 404 de éste Código. La resolución que se dicté en estos incidentes no admitirá recurso alguno…“</w:t>
      </w:r>
    </w:p>
  </w:footnote>
  <w:footnote w:id="7">
    <w:p w14:paraId="34786CE8" w14:textId="0AAA11CD" w:rsidR="0041178A" w:rsidRDefault="0041178A" w:rsidP="00791C4F">
      <w:pPr>
        <w:pStyle w:val="Textonotapie"/>
        <w:ind w:right="-425"/>
        <w:jc w:val="both"/>
      </w:pPr>
      <w:r>
        <w:rPr>
          <w:rStyle w:val="Refdenotaalpie"/>
        </w:rPr>
        <w:footnoteRef/>
      </w:r>
      <w:r>
        <w:t xml:space="preserve"> Fojas de la 136 a la 139 del expediente 0075/2017 de la Cuarta Sala Unitaria de Primera Instancia del Tribunal de Justicia Administrativa del Estado de Oaxaca.</w:t>
      </w:r>
    </w:p>
  </w:footnote>
  <w:footnote w:id="8">
    <w:p w14:paraId="65B82B8B" w14:textId="1124087D" w:rsidR="0041178A" w:rsidRDefault="0041178A" w:rsidP="00791C4F">
      <w:pPr>
        <w:pStyle w:val="Textonotapie"/>
        <w:ind w:right="-425"/>
        <w:jc w:val="both"/>
      </w:pPr>
      <w:r>
        <w:rPr>
          <w:rStyle w:val="Refdenotaalpie"/>
        </w:rPr>
        <w:footnoteRef/>
      </w:r>
      <w:r>
        <w:t xml:space="preserve"> Fojas de la 157 a la 160 del expediente 0075/2017 de la Cuarta Sala Unitaria de Primera Instancia del Tribunal de Justicia Administrativa del Estado de Oaxaca.</w:t>
      </w:r>
    </w:p>
  </w:footnote>
  <w:footnote w:id="9">
    <w:p w14:paraId="58CB4038" w14:textId="77777777" w:rsidR="00D74B0F" w:rsidRDefault="00D74B0F" w:rsidP="00791C4F">
      <w:pPr>
        <w:pStyle w:val="Textonotapie"/>
        <w:ind w:right="-425"/>
        <w:jc w:val="both"/>
      </w:pPr>
      <w:r>
        <w:rPr>
          <w:rStyle w:val="Refdenotaalpie"/>
        </w:rPr>
        <w:footnoteRef/>
      </w:r>
      <w:r>
        <w:t xml:space="preserve"> “</w:t>
      </w:r>
      <w:r>
        <w:rPr>
          <w:b/>
        </w:rPr>
        <w:t xml:space="preserve">ARTÍCULO 206.- </w:t>
      </w:r>
      <w:r>
        <w:t>Contra los acuerdos y resoluciones dictados por las salas unitarias de primera instancia, procede el recurso de revisión, cuyo conocimiento y resolución corresponde a la Sala Superior.</w:t>
      </w:r>
    </w:p>
    <w:p w14:paraId="086B878D" w14:textId="77777777" w:rsidR="00D74B0F" w:rsidRDefault="00D74B0F" w:rsidP="00D74B0F">
      <w:pPr>
        <w:pStyle w:val="Textonotapie"/>
        <w:jc w:val="both"/>
      </w:pPr>
      <w:r>
        <w:t xml:space="preserve">   Podrán ser impugnadas por las partes, mediante recurso de revisión:</w:t>
      </w:r>
    </w:p>
    <w:p w14:paraId="203BF295" w14:textId="77777777" w:rsidR="00D74B0F" w:rsidRDefault="00D74B0F" w:rsidP="00D74B0F">
      <w:pPr>
        <w:pStyle w:val="Textonotapie"/>
        <w:jc w:val="both"/>
      </w:pPr>
      <w:r>
        <w:t xml:space="preserve">   …</w:t>
      </w:r>
    </w:p>
    <w:p w14:paraId="36D6071C" w14:textId="77777777" w:rsidR="00D74B0F" w:rsidRDefault="00D74B0F" w:rsidP="00D74B0F">
      <w:pPr>
        <w:pStyle w:val="Textonotapie"/>
        <w:jc w:val="both"/>
      </w:pPr>
      <w:r>
        <w:t xml:space="preserve">   V. Las resoluciones que decidan incidentes;</w:t>
      </w:r>
    </w:p>
    <w:p w14:paraId="4BDB93DD" w14:textId="77777777" w:rsidR="00D74B0F" w:rsidRPr="004E65C1" w:rsidRDefault="00D74B0F" w:rsidP="00D74B0F">
      <w:pPr>
        <w:pStyle w:val="Textonotapie"/>
        <w:jc w:val="both"/>
      </w:pPr>
      <w:r>
        <w:t xml:space="preserve">   …”</w:t>
      </w:r>
    </w:p>
  </w:footnote>
  <w:footnote w:id="10">
    <w:p w14:paraId="45EB9C7E" w14:textId="77777777" w:rsidR="00933EC3" w:rsidRDefault="00933EC3" w:rsidP="00933EC3">
      <w:pPr>
        <w:pStyle w:val="Textonotapie"/>
        <w:ind w:right="-425"/>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11">
    <w:p w14:paraId="68583D64" w14:textId="7597281E" w:rsidR="00DB25D8" w:rsidRDefault="00DB25D8" w:rsidP="00DB25D8">
      <w:pPr>
        <w:pStyle w:val="Textonotapie"/>
        <w:jc w:val="both"/>
      </w:pPr>
      <w:r>
        <w:rPr>
          <w:rStyle w:val="Refdenotaalpie"/>
        </w:rPr>
        <w:footnoteRef/>
      </w:r>
      <w:r>
        <w:t xml:space="preserve"> Fojas de la 49 a la 55 del expediente 0075/2017 de la Cuarta Sala Unitaria de Primera Instancia del Tribunal de Justicia Administrativa para el Estado de Oaxaca.</w:t>
      </w:r>
    </w:p>
  </w:footnote>
  <w:footnote w:id="12">
    <w:p w14:paraId="2C7B3A72" w14:textId="16EBA5D4" w:rsidR="00DB25D8" w:rsidRDefault="00DB25D8">
      <w:pPr>
        <w:pStyle w:val="Textonotapie"/>
      </w:pPr>
      <w:r>
        <w:rPr>
          <w:rStyle w:val="Refdenotaalpie"/>
        </w:rPr>
        <w:footnoteRef/>
      </w:r>
      <w:r>
        <w:t xml:space="preserve"> Fojas de la 80 a la 88 del expediente 0075/2017 de la Cuarta Sala Unitaria de Primera Instancia del Tribunal de Justicia Administrativa para el Estado de Oaxaca.</w:t>
      </w:r>
    </w:p>
  </w:footnote>
  <w:footnote w:id="13">
    <w:p w14:paraId="08FB71C1" w14:textId="533A73C0" w:rsidR="00791C4F" w:rsidRDefault="00791C4F" w:rsidP="00791C4F">
      <w:pPr>
        <w:pStyle w:val="Textonotapie"/>
        <w:ind w:right="-425"/>
        <w:jc w:val="both"/>
      </w:pPr>
      <w:r>
        <w:rPr>
          <w:rStyle w:val="Refdenotaalpie"/>
        </w:rPr>
        <w:footnoteRef/>
      </w:r>
      <w:r>
        <w:t xml:space="preserve"> Foja 90 del expediente 0075/2017 de la Cuarta Sala Unitaria de Primera Instancia del Tribunal de Justicia Administrativa del Estado de Oaxaca.</w:t>
      </w:r>
    </w:p>
  </w:footnote>
  <w:footnote w:id="14">
    <w:p w14:paraId="20ABCAC6" w14:textId="27B78276" w:rsidR="008B1B7E" w:rsidRDefault="008B1B7E" w:rsidP="008B1B7E">
      <w:pPr>
        <w:pStyle w:val="Textonotapie"/>
        <w:ind w:right="-567"/>
      </w:pPr>
      <w:r>
        <w:rPr>
          <w:rStyle w:val="Refdenotaalpie"/>
        </w:rPr>
        <w:footnoteRef/>
      </w:r>
      <w:r>
        <w:t xml:space="preserve"> “</w:t>
      </w:r>
      <w:r>
        <w:rPr>
          <w:b/>
        </w:rPr>
        <w:t xml:space="preserve">ARTÍCULO 182.- </w:t>
      </w:r>
      <w:r>
        <w:t>Las sentencias respecto de las cuales, no se pida aclaración o solicitada esta haya sido resuelta causa ejecutoria de oficio.</w:t>
      </w:r>
    </w:p>
    <w:p w14:paraId="798EC021" w14:textId="77777777" w:rsidR="008B1B7E" w:rsidRPr="00DE6234" w:rsidRDefault="008B1B7E" w:rsidP="008B1B7E">
      <w:pPr>
        <w:pStyle w:val="Textonotapie"/>
        <w:ind w:right="-425"/>
        <w:jc w:val="both"/>
      </w:pPr>
      <w:r>
        <w:t xml:space="preserve">   Cuando haya causado ejecutoria una sentencia favorable al actor se comunicará por medio de oficio y sin demora alguna a las autoridades y organismos demandados para su cumplimiento, y se les prevendrá para que informe sobre el mismo, dentro de los tres días siguientes al en que se reciba el oficio de notificación.”</w:t>
      </w:r>
    </w:p>
  </w:footnote>
  <w:footnote w:id="15">
    <w:p w14:paraId="70B5486B" w14:textId="77777777" w:rsidR="009748E1" w:rsidRDefault="009748E1" w:rsidP="009748E1">
      <w:pPr>
        <w:pStyle w:val="Textonotapie"/>
        <w:jc w:val="both"/>
        <w:rPr>
          <w:b/>
        </w:rPr>
      </w:pPr>
      <w:r>
        <w:rPr>
          <w:rStyle w:val="Refdenotaalpie"/>
        </w:rPr>
        <w:footnoteRef/>
      </w:r>
      <w:r w:rsidRPr="00D04E75">
        <w:t>“…</w:t>
      </w:r>
    </w:p>
    <w:p w14:paraId="75A821EF" w14:textId="77777777" w:rsidR="009748E1" w:rsidRDefault="009748E1" w:rsidP="008B1B7E">
      <w:pPr>
        <w:pStyle w:val="Textonotapie"/>
        <w:ind w:right="-425"/>
        <w:jc w:val="both"/>
      </w:pPr>
      <w:r>
        <w:rPr>
          <w:b/>
        </w:rPr>
        <w:t xml:space="preserve">   </w:t>
      </w:r>
      <w:r w:rsidRPr="00D04E75">
        <w:rPr>
          <w:b/>
        </w:rPr>
        <w:t>Artículo 14</w:t>
      </w:r>
      <w:r>
        <w:rPr>
          <w:b/>
        </w:rPr>
        <w:t xml:space="preserve">.- </w:t>
      </w:r>
      <w:r>
        <w:t>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14:paraId="4E2AD1C6" w14:textId="77777777" w:rsidR="009748E1" w:rsidRPr="00D04E75" w:rsidRDefault="009748E1" w:rsidP="009748E1">
      <w:pPr>
        <w:pStyle w:val="Textonotapie"/>
        <w:jc w:val="both"/>
      </w:pPr>
      <w:r>
        <w:t>…”</w:t>
      </w:r>
    </w:p>
  </w:footnote>
  <w:footnote w:id="16">
    <w:p w14:paraId="5BBE6DD2" w14:textId="77777777" w:rsidR="009748E1" w:rsidRDefault="009748E1" w:rsidP="009748E1">
      <w:pPr>
        <w:pStyle w:val="Textonotapie"/>
      </w:pPr>
      <w:r>
        <w:rPr>
          <w:rStyle w:val="Refdenotaalpie"/>
        </w:rPr>
        <w:footnoteRef/>
      </w:r>
      <w:r>
        <w:t xml:space="preserve"> “…</w:t>
      </w:r>
    </w:p>
    <w:p w14:paraId="338809C6" w14:textId="77777777" w:rsidR="009748E1" w:rsidRDefault="009748E1" w:rsidP="009748E1">
      <w:pPr>
        <w:pStyle w:val="Textonotapie"/>
      </w:pPr>
      <w:r>
        <w:t xml:space="preserve">   </w:t>
      </w:r>
      <w:r>
        <w:rPr>
          <w:b/>
        </w:rPr>
        <w:t xml:space="preserve">Artículo 17.- </w:t>
      </w:r>
      <w:r>
        <w:t>…</w:t>
      </w:r>
    </w:p>
    <w:p w14:paraId="04EBCDC5" w14:textId="77777777" w:rsidR="009748E1" w:rsidRDefault="009748E1" w:rsidP="009748E1">
      <w:pPr>
        <w:pStyle w:val="Textonotapie"/>
      </w:pPr>
      <w:r>
        <w:t xml:space="preserve">   …</w:t>
      </w:r>
    </w:p>
    <w:p w14:paraId="6541B410" w14:textId="77777777" w:rsidR="009748E1" w:rsidRPr="00D04E75" w:rsidRDefault="009748E1" w:rsidP="008B1B7E">
      <w:pPr>
        <w:pStyle w:val="Textonotapie"/>
        <w:ind w:right="-425"/>
        <w:jc w:val="both"/>
      </w:pPr>
      <w:r>
        <w:t xml:space="preserve">   Siempre que no se afecte la igualdad entre las partes, el debido proceso y otros derechos en los juicios o procedimientos seguidos en forma de juicio, las autoridades deberán privilegiar la solución del conflicto sobre los formalismos procedimentales.</w:t>
      </w:r>
    </w:p>
  </w:footnote>
  <w:footnote w:id="17">
    <w:p w14:paraId="24A5BE2E" w14:textId="77777777" w:rsidR="009748E1" w:rsidRDefault="009748E1" w:rsidP="008B1B7E">
      <w:pPr>
        <w:pStyle w:val="Textonotapie"/>
        <w:ind w:right="-425"/>
        <w:jc w:val="both"/>
      </w:pPr>
      <w:r>
        <w:rPr>
          <w:rStyle w:val="Refdenotaalpie"/>
        </w:rPr>
        <w:footnoteRef/>
      </w:r>
      <w:r>
        <w:t xml:space="preserve"> Primer Tribunal Colegiado en materia Civil del Décimo Primer Circuito, Semanario Judicial de la Federación y su Gaceta, tesis: XI. 1o.C.3 K (10a) décima época, l. 0, noviembre de 2020, t. III, p. 1960, registro digital 2022435.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C33D06" w:rsidRDefault="00A42327">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C33D06">
          <w:fldChar w:fldCharType="begin"/>
        </w:r>
        <w:r w:rsidR="00C33D06">
          <w:instrText>PAGE   \* MERGEFORMAT</w:instrText>
        </w:r>
        <w:r w:rsidR="00C33D06">
          <w:fldChar w:fldCharType="separate"/>
        </w:r>
        <w:r w:rsidRPr="00A42327">
          <w:rPr>
            <w:noProof/>
            <w:lang w:val="es-ES"/>
          </w:rPr>
          <w:t>4</w:t>
        </w:r>
        <w:r w:rsidR="00C33D06">
          <w:rPr>
            <w:noProof/>
            <w:lang w:val="es-ES"/>
          </w:rPr>
          <w:fldChar w:fldCharType="end"/>
        </w:r>
      </w:p>
    </w:sdtContent>
  </w:sdt>
  <w:p w14:paraId="3ED3AC01" w14:textId="77777777" w:rsidR="00C33D06" w:rsidRDefault="00C33D0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77777777" w:rsidR="00C33D06" w:rsidRDefault="00A42327">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33D06">
          <w:fldChar w:fldCharType="begin"/>
        </w:r>
        <w:r w:rsidR="00C33D06">
          <w:instrText>PAGE   \* MERGEFORMAT</w:instrText>
        </w:r>
        <w:r w:rsidR="00C33D06">
          <w:fldChar w:fldCharType="separate"/>
        </w:r>
        <w:r w:rsidRPr="00A42327">
          <w:rPr>
            <w:noProof/>
            <w:lang w:val="es-ES"/>
          </w:rPr>
          <w:t>5</w:t>
        </w:r>
        <w:r w:rsidR="00C33D06">
          <w:rPr>
            <w:noProof/>
            <w:lang w:val="es-ES"/>
          </w:rPr>
          <w:fldChar w:fldCharType="end"/>
        </w:r>
      </w:sdtContent>
    </w:sdt>
  </w:p>
  <w:p w14:paraId="6B2DADA0" w14:textId="37A41CCA" w:rsidR="00C33D06" w:rsidRDefault="00810E39" w:rsidP="000D7607">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755777EF" wp14:editId="28C0CF5F">
              <wp:simplePos x="0" y="0"/>
              <wp:positionH relativeFrom="column">
                <wp:posOffset>-1545915</wp:posOffset>
              </wp:positionH>
              <wp:positionV relativeFrom="paragraph">
                <wp:posOffset>4997819</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094944A" w14:textId="77777777" w:rsidR="00810E39" w:rsidRDefault="00810E39" w:rsidP="00810E3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777EF" id="_x0000_t202" coordsize="21600,21600" o:spt="202" path="m,l,21600r21600,l21600,xe">
              <v:stroke joinstyle="miter"/>
              <v:path gradientshapeok="t" o:connecttype="rect"/>
            </v:shapetype>
            <v:shape id="Cuadro de texto 2" o:spid="_x0000_s1026" type="#_x0000_t202" style="position:absolute;left:0;text-align:left;margin-left:-121.75pt;margin-top:393.55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" fillcolor="window" strokeweight=".5pt">
              <v:textbox>
                <w:txbxContent>
                  <w:p w14:paraId="6094944A" w14:textId="77777777" w:rsidR="00810E39" w:rsidRDefault="00810E39" w:rsidP="00810E3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C33D06" w:rsidRDefault="00A42327">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B91583"/>
    <w:multiLevelType w:val="hybridMultilevel"/>
    <w:tmpl w:val="F01014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1100A"/>
    <w:rsid w:val="00012B35"/>
    <w:rsid w:val="00024548"/>
    <w:rsid w:val="00030328"/>
    <w:rsid w:val="00035357"/>
    <w:rsid w:val="00040A7C"/>
    <w:rsid w:val="00052531"/>
    <w:rsid w:val="00055F6C"/>
    <w:rsid w:val="00060AE5"/>
    <w:rsid w:val="0006100C"/>
    <w:rsid w:val="00061317"/>
    <w:rsid w:val="000814CC"/>
    <w:rsid w:val="000D7607"/>
    <w:rsid w:val="000E5FE4"/>
    <w:rsid w:val="001100FF"/>
    <w:rsid w:val="00114F52"/>
    <w:rsid w:val="00135DBA"/>
    <w:rsid w:val="00143120"/>
    <w:rsid w:val="00145997"/>
    <w:rsid w:val="00150907"/>
    <w:rsid w:val="00160C89"/>
    <w:rsid w:val="0016225F"/>
    <w:rsid w:val="00185621"/>
    <w:rsid w:val="001A07D0"/>
    <w:rsid w:val="001B2298"/>
    <w:rsid w:val="001C4CEF"/>
    <w:rsid w:val="001C7A0D"/>
    <w:rsid w:val="001D2F38"/>
    <w:rsid w:val="001D32FB"/>
    <w:rsid w:val="001E4962"/>
    <w:rsid w:val="00217102"/>
    <w:rsid w:val="00226B77"/>
    <w:rsid w:val="002513EF"/>
    <w:rsid w:val="00251EC8"/>
    <w:rsid w:val="00261966"/>
    <w:rsid w:val="00281299"/>
    <w:rsid w:val="00297040"/>
    <w:rsid w:val="002A606E"/>
    <w:rsid w:val="002B48AE"/>
    <w:rsid w:val="002C4F08"/>
    <w:rsid w:val="002C6B0A"/>
    <w:rsid w:val="002D1143"/>
    <w:rsid w:val="002D60F9"/>
    <w:rsid w:val="00317AD3"/>
    <w:rsid w:val="003234D4"/>
    <w:rsid w:val="0038281D"/>
    <w:rsid w:val="00385FF4"/>
    <w:rsid w:val="003908C3"/>
    <w:rsid w:val="003925BE"/>
    <w:rsid w:val="003A7120"/>
    <w:rsid w:val="003B2D92"/>
    <w:rsid w:val="003D7C8F"/>
    <w:rsid w:val="003E0817"/>
    <w:rsid w:val="00410AE0"/>
    <w:rsid w:val="0041178A"/>
    <w:rsid w:val="00446AE9"/>
    <w:rsid w:val="004522FE"/>
    <w:rsid w:val="004535FA"/>
    <w:rsid w:val="0045797A"/>
    <w:rsid w:val="00463749"/>
    <w:rsid w:val="004B210A"/>
    <w:rsid w:val="004C7D8F"/>
    <w:rsid w:val="004E2491"/>
    <w:rsid w:val="004E5889"/>
    <w:rsid w:val="004F0400"/>
    <w:rsid w:val="004F46AC"/>
    <w:rsid w:val="00541AF8"/>
    <w:rsid w:val="0055205F"/>
    <w:rsid w:val="005706D7"/>
    <w:rsid w:val="005839FA"/>
    <w:rsid w:val="0058450E"/>
    <w:rsid w:val="0059000B"/>
    <w:rsid w:val="005A2623"/>
    <w:rsid w:val="005A7AC6"/>
    <w:rsid w:val="005F7250"/>
    <w:rsid w:val="00604391"/>
    <w:rsid w:val="006052C9"/>
    <w:rsid w:val="00615F1F"/>
    <w:rsid w:val="00621A8C"/>
    <w:rsid w:val="00630A10"/>
    <w:rsid w:val="00634B02"/>
    <w:rsid w:val="006363D1"/>
    <w:rsid w:val="00636917"/>
    <w:rsid w:val="00642352"/>
    <w:rsid w:val="00646100"/>
    <w:rsid w:val="006500E0"/>
    <w:rsid w:val="0065590B"/>
    <w:rsid w:val="006609E5"/>
    <w:rsid w:val="006626E2"/>
    <w:rsid w:val="006944CB"/>
    <w:rsid w:val="006B729A"/>
    <w:rsid w:val="006B7C6B"/>
    <w:rsid w:val="006C5C7C"/>
    <w:rsid w:val="006E5CD1"/>
    <w:rsid w:val="007139AF"/>
    <w:rsid w:val="00767114"/>
    <w:rsid w:val="00791C4F"/>
    <w:rsid w:val="0079341C"/>
    <w:rsid w:val="007A4545"/>
    <w:rsid w:val="007B1FDD"/>
    <w:rsid w:val="007D02E9"/>
    <w:rsid w:val="007D58E9"/>
    <w:rsid w:val="007F355E"/>
    <w:rsid w:val="00810E39"/>
    <w:rsid w:val="00823CBC"/>
    <w:rsid w:val="00830B18"/>
    <w:rsid w:val="00884BF5"/>
    <w:rsid w:val="00890AE2"/>
    <w:rsid w:val="00897670"/>
    <w:rsid w:val="008A3027"/>
    <w:rsid w:val="008B042E"/>
    <w:rsid w:val="008B1B7E"/>
    <w:rsid w:val="008B4410"/>
    <w:rsid w:val="008C242B"/>
    <w:rsid w:val="008D2B81"/>
    <w:rsid w:val="008D4B07"/>
    <w:rsid w:val="008E51C0"/>
    <w:rsid w:val="009014D2"/>
    <w:rsid w:val="00906C39"/>
    <w:rsid w:val="00920E0D"/>
    <w:rsid w:val="00933EC3"/>
    <w:rsid w:val="00937F34"/>
    <w:rsid w:val="00944E14"/>
    <w:rsid w:val="00953984"/>
    <w:rsid w:val="009736F4"/>
    <w:rsid w:val="009748E1"/>
    <w:rsid w:val="00985D36"/>
    <w:rsid w:val="0099180C"/>
    <w:rsid w:val="009B539D"/>
    <w:rsid w:val="009D497E"/>
    <w:rsid w:val="00A24E00"/>
    <w:rsid w:val="00A259B7"/>
    <w:rsid w:val="00A27A97"/>
    <w:rsid w:val="00A3118B"/>
    <w:rsid w:val="00A42327"/>
    <w:rsid w:val="00A456EC"/>
    <w:rsid w:val="00A63F8F"/>
    <w:rsid w:val="00A655FE"/>
    <w:rsid w:val="00A70491"/>
    <w:rsid w:val="00A82622"/>
    <w:rsid w:val="00A9359F"/>
    <w:rsid w:val="00AC5CBF"/>
    <w:rsid w:val="00AE4881"/>
    <w:rsid w:val="00AE693C"/>
    <w:rsid w:val="00B06234"/>
    <w:rsid w:val="00B07034"/>
    <w:rsid w:val="00B14E84"/>
    <w:rsid w:val="00B366AE"/>
    <w:rsid w:val="00B57B3C"/>
    <w:rsid w:val="00B80F6C"/>
    <w:rsid w:val="00B80FD4"/>
    <w:rsid w:val="00B92F67"/>
    <w:rsid w:val="00B95FA7"/>
    <w:rsid w:val="00BA30BA"/>
    <w:rsid w:val="00BB510F"/>
    <w:rsid w:val="00BB56DA"/>
    <w:rsid w:val="00BB7DEF"/>
    <w:rsid w:val="00BC0073"/>
    <w:rsid w:val="00BC7A8C"/>
    <w:rsid w:val="00BD15DD"/>
    <w:rsid w:val="00BE117F"/>
    <w:rsid w:val="00BE3554"/>
    <w:rsid w:val="00BF01D1"/>
    <w:rsid w:val="00C0445D"/>
    <w:rsid w:val="00C04B8B"/>
    <w:rsid w:val="00C10805"/>
    <w:rsid w:val="00C20261"/>
    <w:rsid w:val="00C26EED"/>
    <w:rsid w:val="00C272D7"/>
    <w:rsid w:val="00C33D06"/>
    <w:rsid w:val="00C413C6"/>
    <w:rsid w:val="00C52018"/>
    <w:rsid w:val="00C86287"/>
    <w:rsid w:val="00C87A21"/>
    <w:rsid w:val="00C9535A"/>
    <w:rsid w:val="00CB5B38"/>
    <w:rsid w:val="00D211AE"/>
    <w:rsid w:val="00D34D8D"/>
    <w:rsid w:val="00D471A2"/>
    <w:rsid w:val="00D53C70"/>
    <w:rsid w:val="00D53F6A"/>
    <w:rsid w:val="00D676E1"/>
    <w:rsid w:val="00D7212B"/>
    <w:rsid w:val="00D72BAE"/>
    <w:rsid w:val="00D7387C"/>
    <w:rsid w:val="00D74B0F"/>
    <w:rsid w:val="00D77852"/>
    <w:rsid w:val="00D90475"/>
    <w:rsid w:val="00D9680E"/>
    <w:rsid w:val="00DA5098"/>
    <w:rsid w:val="00DB25D8"/>
    <w:rsid w:val="00E11DC4"/>
    <w:rsid w:val="00E16793"/>
    <w:rsid w:val="00E306C3"/>
    <w:rsid w:val="00E34C93"/>
    <w:rsid w:val="00E75DF9"/>
    <w:rsid w:val="00E773CC"/>
    <w:rsid w:val="00E83AC1"/>
    <w:rsid w:val="00E90997"/>
    <w:rsid w:val="00EB4A0F"/>
    <w:rsid w:val="00ED09C7"/>
    <w:rsid w:val="00ED0F13"/>
    <w:rsid w:val="00EE4436"/>
    <w:rsid w:val="00EE7825"/>
    <w:rsid w:val="00F07712"/>
    <w:rsid w:val="00F127CB"/>
    <w:rsid w:val="00F2297E"/>
    <w:rsid w:val="00F60692"/>
    <w:rsid w:val="00F65EED"/>
    <w:rsid w:val="00FA0490"/>
    <w:rsid w:val="00FA5062"/>
    <w:rsid w:val="00FB25AC"/>
    <w:rsid w:val="00FC05D3"/>
    <w:rsid w:val="00FD40A1"/>
    <w:rsid w:val="00FD5440"/>
    <w:rsid w:val="00FE031C"/>
    <w:rsid w:val="00FE5864"/>
    <w:rsid w:val="00FF25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Prrafodelista">
    <w:name w:val="List Paragraph"/>
    <w:basedOn w:val="Normal"/>
    <w:uiPriority w:val="34"/>
    <w:qFormat/>
    <w:rsid w:val="00AC5CBF"/>
    <w:pPr>
      <w:ind w:left="720"/>
      <w:contextualSpacing/>
    </w:pPr>
  </w:style>
  <w:style w:type="character" w:styleId="Refdecomentario">
    <w:name w:val="annotation reference"/>
    <w:basedOn w:val="Fuentedeprrafopredeter"/>
    <w:uiPriority w:val="99"/>
    <w:semiHidden/>
    <w:unhideWhenUsed/>
    <w:rsid w:val="00AE4881"/>
    <w:rPr>
      <w:sz w:val="16"/>
      <w:szCs w:val="16"/>
    </w:rPr>
  </w:style>
  <w:style w:type="paragraph" w:styleId="Textocomentario">
    <w:name w:val="annotation text"/>
    <w:basedOn w:val="Normal"/>
    <w:link w:val="TextocomentarioCar"/>
    <w:uiPriority w:val="99"/>
    <w:semiHidden/>
    <w:unhideWhenUsed/>
    <w:rsid w:val="00AE488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E4881"/>
    <w:rPr>
      <w:sz w:val="20"/>
      <w:szCs w:val="20"/>
    </w:rPr>
  </w:style>
  <w:style w:type="paragraph" w:styleId="Asuntodelcomentario">
    <w:name w:val="annotation subject"/>
    <w:basedOn w:val="Textocomentario"/>
    <w:next w:val="Textocomentario"/>
    <w:link w:val="AsuntodelcomentarioCar"/>
    <w:uiPriority w:val="99"/>
    <w:semiHidden/>
    <w:unhideWhenUsed/>
    <w:rsid w:val="00AE4881"/>
    <w:rPr>
      <w:b/>
      <w:bCs/>
    </w:rPr>
  </w:style>
  <w:style w:type="character" w:customStyle="1" w:styleId="AsuntodelcomentarioCar">
    <w:name w:val="Asunto del comentario Car"/>
    <w:basedOn w:val="TextocomentarioCar"/>
    <w:link w:val="Asuntodelcomentario"/>
    <w:uiPriority w:val="99"/>
    <w:semiHidden/>
    <w:rsid w:val="00AE4881"/>
    <w:rPr>
      <w:b/>
      <w:bCs/>
      <w:sz w:val="20"/>
      <w:szCs w:val="20"/>
    </w:rPr>
  </w:style>
  <w:style w:type="paragraph" w:styleId="Textodeglobo">
    <w:name w:val="Balloon Text"/>
    <w:basedOn w:val="Normal"/>
    <w:link w:val="TextodegloboCar"/>
    <w:uiPriority w:val="99"/>
    <w:semiHidden/>
    <w:unhideWhenUsed/>
    <w:rsid w:val="00AE488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4881"/>
    <w:rPr>
      <w:rFonts w:ascii="Segoe UI" w:hAnsi="Segoe UI" w:cs="Segoe UI"/>
      <w:sz w:val="18"/>
      <w:szCs w:val="18"/>
    </w:rPr>
  </w:style>
  <w:style w:type="paragraph" w:customStyle="1" w:styleId="Pa1">
    <w:name w:val="Pa1"/>
    <w:basedOn w:val="Normal"/>
    <w:next w:val="Normal"/>
    <w:uiPriority w:val="99"/>
    <w:rsid w:val="008C242B"/>
    <w:pPr>
      <w:autoSpaceDE w:val="0"/>
      <w:autoSpaceDN w:val="0"/>
      <w:adjustRightInd w:val="0"/>
      <w:spacing w:after="0" w:line="241" w:lineRule="atLeast"/>
    </w:pPr>
    <w:rPr>
      <w:rFonts w:ascii="Times New Roman" w:eastAsia="Calibri" w:hAnsi="Times New Roman" w:cs="Times New Roman"/>
      <w:sz w:val="24"/>
      <w:szCs w:val="24"/>
      <w:lang w:eastAsia="es-MX"/>
    </w:rPr>
  </w:style>
  <w:style w:type="character" w:customStyle="1" w:styleId="A1">
    <w:name w:val="A1"/>
    <w:uiPriority w:val="99"/>
    <w:rsid w:val="008C242B"/>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09018">
      <w:bodyDiv w:val="1"/>
      <w:marLeft w:val="0"/>
      <w:marRight w:val="0"/>
      <w:marTop w:val="0"/>
      <w:marBottom w:val="0"/>
      <w:divBdr>
        <w:top w:val="none" w:sz="0" w:space="0" w:color="auto"/>
        <w:left w:val="none" w:sz="0" w:space="0" w:color="auto"/>
        <w:bottom w:val="none" w:sz="0" w:space="0" w:color="auto"/>
        <w:right w:val="none" w:sz="0" w:space="0" w:color="auto"/>
      </w:divBdr>
    </w:div>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61D80-19E7-421E-A2D4-FD6FA6619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3030</Words>
  <Characters>16671</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43</cp:revision>
  <cp:lastPrinted>2022-07-12T19:33:00Z</cp:lastPrinted>
  <dcterms:created xsi:type="dcterms:W3CDTF">2022-07-08T16:25:00Z</dcterms:created>
  <dcterms:modified xsi:type="dcterms:W3CDTF">2023-02-09T16:38:00Z</dcterms:modified>
</cp:coreProperties>
</file>