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FB39B1">
      <w:pPr>
        <w:spacing w:line="240" w:lineRule="auto"/>
        <w:ind w:left="2410"/>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DE41C4E" w:rsidR="003B6CF0" w:rsidRPr="00CB6405" w:rsidRDefault="003B6CF0" w:rsidP="00FB39B1">
      <w:pPr>
        <w:spacing w:line="240" w:lineRule="auto"/>
        <w:ind w:left="2410"/>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E1CF7">
        <w:rPr>
          <w:rFonts w:ascii="Arial" w:hAnsi="Arial" w:cs="Arial"/>
          <w:b/>
          <w:sz w:val="26"/>
          <w:szCs w:val="26"/>
        </w:rPr>
        <w:t>399</w:t>
      </w:r>
      <w:r>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b/>
          <w:sz w:val="26"/>
          <w:szCs w:val="26"/>
        </w:rPr>
        <w:t>.</w:t>
      </w:r>
    </w:p>
    <w:p w14:paraId="4DFA70CD" w14:textId="6DC25108" w:rsidR="003B6CF0" w:rsidRDefault="003B6CF0" w:rsidP="00FB39B1">
      <w:pPr>
        <w:spacing w:line="240" w:lineRule="auto"/>
        <w:ind w:left="2410"/>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5C6806">
        <w:rPr>
          <w:rFonts w:ascii="Arial" w:hAnsi="Arial" w:cs="Arial"/>
          <w:b/>
          <w:sz w:val="26"/>
          <w:szCs w:val="26"/>
        </w:rPr>
        <w:t>075</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Pr="00CB6405">
        <w:rPr>
          <w:rFonts w:ascii="Arial" w:hAnsi="Arial" w:cs="Arial"/>
          <w:b/>
          <w:sz w:val="26"/>
          <w:szCs w:val="26"/>
        </w:rPr>
        <w:t xml:space="preserve">1 </w:t>
      </w:r>
      <w:r w:rsidR="00D32C8F">
        <w:rPr>
          <w:rFonts w:ascii="Arial" w:hAnsi="Arial" w:cs="Arial"/>
          <w:b/>
          <w:sz w:val="26"/>
          <w:szCs w:val="26"/>
        </w:rPr>
        <w:t xml:space="preserve">DE LA </w:t>
      </w:r>
      <w:r w:rsidR="006E1CF7">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FB39B1">
      <w:pPr>
        <w:spacing w:line="240" w:lineRule="auto"/>
        <w:ind w:left="2410"/>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5E51D822"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B39B1">
        <w:rPr>
          <w:rFonts w:ascii="Arial" w:hAnsi="Arial" w:cs="Arial"/>
          <w:b/>
          <w:sz w:val="26"/>
          <w:szCs w:val="26"/>
        </w:rPr>
        <w:t>UNO</w:t>
      </w:r>
      <w:r w:rsidR="00D32C8F">
        <w:rPr>
          <w:rFonts w:ascii="Arial" w:hAnsi="Arial" w:cs="Arial"/>
          <w:b/>
          <w:sz w:val="26"/>
          <w:szCs w:val="26"/>
        </w:rPr>
        <w:t xml:space="preserve"> DE </w:t>
      </w:r>
      <w:r w:rsidR="00FB39B1">
        <w:rPr>
          <w:rFonts w:ascii="Arial" w:hAnsi="Arial" w:cs="Arial"/>
          <w:b/>
          <w:sz w:val="26"/>
          <w:szCs w:val="26"/>
        </w:rPr>
        <w:t>SEPTIEMBRE</w:t>
      </w:r>
      <w:r w:rsidR="00D32C8F">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117BA6EA" w14:textId="7D2A3C11" w:rsidR="00FB39B1" w:rsidRDefault="003B6CF0" w:rsidP="00FB39B1">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6E1CF7">
        <w:rPr>
          <w:rFonts w:ascii="Arial" w:hAnsi="Arial" w:cs="Arial"/>
          <w:b/>
          <w:sz w:val="26"/>
          <w:szCs w:val="26"/>
        </w:rPr>
        <w:t>399</w:t>
      </w:r>
      <w:r w:rsidRPr="00CB6405">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EE3E94">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D32C8F">
        <w:rPr>
          <w:rFonts w:ascii="Arial" w:hAnsi="Arial" w:cs="Arial"/>
          <w:sz w:val="26"/>
          <w:szCs w:val="26"/>
        </w:rPr>
        <w:t>tre</w:t>
      </w:r>
      <w:r w:rsidR="005C6806">
        <w:rPr>
          <w:rFonts w:ascii="Arial" w:hAnsi="Arial" w:cs="Arial"/>
          <w:sz w:val="26"/>
          <w:szCs w:val="26"/>
        </w:rPr>
        <w:t>ce</w:t>
      </w:r>
      <w:r>
        <w:rPr>
          <w:rFonts w:ascii="Arial" w:hAnsi="Arial" w:cs="Arial"/>
          <w:sz w:val="26"/>
          <w:szCs w:val="26"/>
        </w:rPr>
        <w:t xml:space="preserve"> de </w:t>
      </w:r>
      <w:r w:rsidR="005C6806">
        <w:rPr>
          <w:rFonts w:ascii="Arial" w:hAnsi="Arial" w:cs="Arial"/>
          <w:sz w:val="26"/>
          <w:szCs w:val="26"/>
        </w:rPr>
        <w:t xml:space="preserve">octubre </w:t>
      </w:r>
      <w:r>
        <w:rPr>
          <w:rFonts w:ascii="Arial" w:hAnsi="Arial" w:cs="Arial"/>
          <w:sz w:val="26"/>
          <w:szCs w:val="26"/>
        </w:rPr>
        <w:t xml:space="preserve">de dos mil </w:t>
      </w:r>
      <w:r w:rsidR="00D32C8F">
        <w:rPr>
          <w:rFonts w:ascii="Arial" w:hAnsi="Arial" w:cs="Arial"/>
          <w:sz w:val="26"/>
          <w:szCs w:val="26"/>
        </w:rPr>
        <w:t>veintiuno</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5C6806">
        <w:rPr>
          <w:rFonts w:ascii="Arial" w:hAnsi="Arial" w:cs="Arial"/>
          <w:b/>
          <w:sz w:val="26"/>
          <w:szCs w:val="26"/>
        </w:rPr>
        <w:t>075</w:t>
      </w:r>
      <w:r w:rsidR="007007A1">
        <w:rPr>
          <w:rFonts w:ascii="Arial" w:hAnsi="Arial" w:cs="Arial"/>
          <w:b/>
          <w:sz w:val="26"/>
          <w:szCs w:val="26"/>
        </w:rPr>
        <w:t>/20</w:t>
      </w:r>
      <w:r w:rsidR="005C6806">
        <w:rPr>
          <w:rFonts w:ascii="Arial" w:hAnsi="Arial" w:cs="Arial"/>
          <w:b/>
          <w:sz w:val="26"/>
          <w:szCs w:val="26"/>
        </w:rPr>
        <w:t>2</w:t>
      </w:r>
      <w:r w:rsidR="007007A1">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6E1CF7">
        <w:rPr>
          <w:rFonts w:ascii="Arial" w:hAnsi="Arial" w:cs="Arial"/>
          <w:sz w:val="26"/>
          <w:szCs w:val="26"/>
        </w:rPr>
        <w:t>Quin</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EE3E94">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D4315A">
        <w:rPr>
          <w:rFonts w:ascii="Arial" w:hAnsi="Arial" w:cs="Arial"/>
          <w:sz w:val="26"/>
          <w:szCs w:val="26"/>
        </w:rPr>
        <w:t xml:space="preserve">l </w:t>
      </w:r>
      <w:r w:rsidR="00D4315A">
        <w:rPr>
          <w:rFonts w:ascii="Arial" w:hAnsi="Arial" w:cs="Arial"/>
          <w:b/>
          <w:sz w:val="26"/>
          <w:szCs w:val="26"/>
        </w:rPr>
        <w:t>TITULAR DE LA UNIDAD DE ASUNTOS JURÍDICOS DEL ÓRGANO SUPERIOR DE FISCALIZACIÓN DEL ESTADO DE OAXACA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FB39B1">
        <w:rPr>
          <w:rFonts w:ascii="Arial" w:eastAsiaTheme="minorHAnsi" w:hAnsi="Arial" w:cs="Arial"/>
          <w:sz w:val="26"/>
          <w:szCs w:val="26"/>
          <w:lang w:eastAsia="en-US"/>
        </w:rPr>
        <w:t xml:space="preserve">24 fracción I y III de la </w:t>
      </w:r>
      <w:r w:rsidR="00FB39B1" w:rsidRPr="00EB490F">
        <w:rPr>
          <w:rFonts w:ascii="Arial" w:eastAsiaTheme="minorHAnsi" w:hAnsi="Arial" w:cs="Arial"/>
          <w:sz w:val="26"/>
          <w:szCs w:val="26"/>
          <w:lang w:eastAsia="en-US"/>
        </w:rPr>
        <w:t>Ley Orgánica del Tribunal de Justicia Administrativa del Estado de Oaxaca</w:t>
      </w:r>
      <w:r w:rsidR="00FB39B1" w:rsidRPr="00263566">
        <w:rPr>
          <w:rFonts w:ascii="Arial" w:eastAsiaTheme="minorHAnsi" w:hAnsi="Arial" w:cs="Arial"/>
          <w:sz w:val="26"/>
          <w:szCs w:val="26"/>
          <w:lang w:eastAsia="en-US"/>
        </w:rPr>
        <w:t xml:space="preserve">, </w:t>
      </w:r>
      <w:r w:rsidR="00FB39B1">
        <w:rPr>
          <w:rFonts w:ascii="Arial" w:eastAsiaTheme="minorHAnsi" w:hAnsi="Arial" w:cs="Arial"/>
          <w:sz w:val="26"/>
          <w:szCs w:val="26"/>
          <w:lang w:eastAsia="en-US"/>
        </w:rPr>
        <w:t xml:space="preserve">se da tramite. Por consiguiente se procede a dictar </w:t>
      </w:r>
      <w:r w:rsidR="00FB39B1" w:rsidRPr="00263566">
        <w:rPr>
          <w:rFonts w:ascii="Arial" w:eastAsiaTheme="minorHAnsi" w:hAnsi="Arial" w:cs="Arial"/>
          <w:sz w:val="26"/>
          <w:szCs w:val="26"/>
          <w:lang w:eastAsia="en-US"/>
        </w:rPr>
        <w:t xml:space="preserve">resolución en los siguientes términos:- - </w:t>
      </w:r>
      <w:r w:rsidR="00FB39B1">
        <w:rPr>
          <w:rFonts w:ascii="Arial" w:eastAsiaTheme="minorHAnsi" w:hAnsi="Arial" w:cs="Arial"/>
          <w:sz w:val="26"/>
          <w:szCs w:val="26"/>
          <w:lang w:eastAsia="en-US"/>
        </w:rPr>
        <w:t xml:space="preserve">- - - - - - - - - - - </w:t>
      </w:r>
      <w:r w:rsidR="00EE3E94">
        <w:rPr>
          <w:rFonts w:ascii="Arial" w:eastAsiaTheme="minorHAnsi" w:hAnsi="Arial" w:cs="Arial"/>
          <w:sz w:val="26"/>
          <w:szCs w:val="26"/>
          <w:lang w:eastAsia="en-US"/>
        </w:rPr>
        <w:t xml:space="preserve">- - - - - - - - - - - - - - - - - - - - </w:t>
      </w:r>
    </w:p>
    <w:p w14:paraId="42D76FAD" w14:textId="0D5F0626" w:rsidR="003B6CF0" w:rsidRPr="00CB6405" w:rsidRDefault="003B6CF0" w:rsidP="00FB39B1">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704EF48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5C6806">
        <w:rPr>
          <w:rFonts w:ascii="Arial" w:hAnsi="Arial" w:cs="Arial"/>
          <w:sz w:val="26"/>
          <w:szCs w:val="26"/>
        </w:rPr>
        <w:t>trece</w:t>
      </w:r>
      <w:r w:rsidR="00B736E2">
        <w:rPr>
          <w:rFonts w:ascii="Arial" w:hAnsi="Arial" w:cs="Arial"/>
          <w:sz w:val="26"/>
          <w:szCs w:val="26"/>
        </w:rPr>
        <w:t xml:space="preserve"> </w:t>
      </w:r>
      <w:r w:rsidR="00D3539A">
        <w:rPr>
          <w:rFonts w:ascii="Arial" w:hAnsi="Arial" w:cs="Arial"/>
          <w:sz w:val="26"/>
          <w:szCs w:val="26"/>
        </w:rPr>
        <w:t xml:space="preserve">de </w:t>
      </w:r>
      <w:r w:rsidR="005C6806">
        <w:rPr>
          <w:rFonts w:ascii="Arial" w:hAnsi="Arial" w:cs="Arial"/>
          <w:sz w:val="26"/>
          <w:szCs w:val="26"/>
        </w:rPr>
        <w:t>octubre</w:t>
      </w:r>
      <w:r w:rsidR="00D3539A">
        <w:rPr>
          <w:rFonts w:ascii="Arial" w:hAnsi="Arial" w:cs="Arial"/>
          <w:sz w:val="26"/>
          <w:szCs w:val="26"/>
        </w:rPr>
        <w:t xml:space="preserve"> de dos mil </w:t>
      </w:r>
      <w:r w:rsidR="005C6806">
        <w:rPr>
          <w:rFonts w:ascii="Arial" w:hAnsi="Arial" w:cs="Arial"/>
          <w:sz w:val="26"/>
          <w:szCs w:val="26"/>
        </w:rPr>
        <w:t>v</w:t>
      </w:r>
      <w:r w:rsidR="00D32C8F">
        <w:rPr>
          <w:rFonts w:ascii="Arial" w:hAnsi="Arial" w:cs="Arial"/>
          <w:sz w:val="26"/>
          <w:szCs w:val="26"/>
        </w:rPr>
        <w:t>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4315A">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84264">
        <w:rPr>
          <w:rFonts w:ascii="Arial" w:hAnsi="Arial" w:cs="Arial"/>
          <w:sz w:val="26"/>
          <w:szCs w:val="26"/>
        </w:rPr>
        <w:t>el</w:t>
      </w:r>
      <w:r w:rsidR="004C1769">
        <w:rPr>
          <w:rFonts w:ascii="Arial" w:hAnsi="Arial" w:cs="Arial"/>
          <w:b/>
          <w:sz w:val="26"/>
          <w:szCs w:val="26"/>
        </w:rPr>
        <w:t xml:space="preserve"> </w:t>
      </w:r>
      <w:r w:rsidR="00EE3E94">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002DF9C7" w14:textId="77777777" w:rsidR="008234FD" w:rsidRDefault="003B6CF0" w:rsidP="00FB39B1">
      <w:pPr>
        <w:spacing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p>
    <w:p w14:paraId="31407C94" w14:textId="5C9DCC83" w:rsidR="008234FD" w:rsidRDefault="008234FD" w:rsidP="005A510F">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Pr>
          <w:rFonts w:ascii="Arial" w:eastAsia="Times New Roman" w:hAnsi="Arial" w:cs="Arial"/>
          <w:b/>
          <w:bCs/>
          <w:i/>
          <w:iCs/>
          <w:lang w:eastAsia="es-ES"/>
        </w:rPr>
        <w:t xml:space="preserve">OAXACA DE JUÁREZ, OAXACA A TRECE </w:t>
      </w:r>
      <w:r w:rsidR="001A38BD">
        <w:rPr>
          <w:rFonts w:ascii="Arial" w:eastAsia="Times New Roman" w:hAnsi="Arial" w:cs="Arial"/>
          <w:b/>
          <w:bCs/>
          <w:i/>
          <w:iCs/>
          <w:lang w:eastAsia="es-ES"/>
        </w:rPr>
        <w:t>DE OCTUBRE DE DOS MIL VEINTIUNO (13/10/2021).</w:t>
      </w:r>
    </w:p>
    <w:p w14:paraId="3AA328D8" w14:textId="006A329C" w:rsidR="001A38BD" w:rsidRDefault="001A38BD" w:rsidP="005A510F">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Por recibido en Oficialía de Partes Común de este Tribunal y turnado a esta Sala el once del presente mes y año, escrito por </w:t>
      </w:r>
      <w:r w:rsidR="00EE3E94">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quien por su propio derecho promueve </w:t>
      </w:r>
      <w:r>
        <w:rPr>
          <w:rFonts w:ascii="Arial" w:eastAsia="Times New Roman" w:hAnsi="Arial" w:cs="Arial"/>
          <w:b/>
          <w:bCs/>
          <w:i/>
          <w:iCs/>
          <w:lang w:eastAsia="es-ES"/>
        </w:rPr>
        <w:t xml:space="preserve">Juicio de Nulidad </w:t>
      </w:r>
      <w:r>
        <w:rPr>
          <w:rFonts w:ascii="Arial" w:eastAsia="Times New Roman" w:hAnsi="Arial" w:cs="Arial"/>
          <w:bCs/>
          <w:i/>
          <w:iCs/>
          <w:lang w:eastAsia="es-ES"/>
        </w:rPr>
        <w:t xml:space="preserve">en contra de la resolución contenida en el oficio </w:t>
      </w:r>
      <w:r w:rsidR="00EE3E94">
        <w:rPr>
          <w:rFonts w:ascii="Arial" w:eastAsia="Times New Roman" w:hAnsi="Arial" w:cs="Arial"/>
          <w:bCs/>
          <w:i/>
          <w:iCs/>
          <w:lang w:eastAsia="es-ES"/>
        </w:rPr>
        <w:t>*******</w:t>
      </w:r>
      <w:r>
        <w:rPr>
          <w:rFonts w:ascii="Arial" w:eastAsia="Times New Roman" w:hAnsi="Arial" w:cs="Arial"/>
          <w:bCs/>
          <w:i/>
          <w:iCs/>
          <w:lang w:eastAsia="es-ES"/>
        </w:rPr>
        <w:t xml:space="preserve"> de tres de agosto de dos mil veintiuno, signado por el </w:t>
      </w:r>
      <w:r>
        <w:rPr>
          <w:rFonts w:ascii="Arial" w:eastAsia="Times New Roman" w:hAnsi="Arial" w:cs="Arial"/>
          <w:b/>
          <w:bCs/>
          <w:i/>
          <w:iCs/>
          <w:lang w:eastAsia="es-ES"/>
        </w:rPr>
        <w:t xml:space="preserve">TITULAR DE LA UNIDAD DE ASUNTOS JURÍDICOS DEL ÓRGANO SUPERIOR DE FISCALIZACIÓN DEL ESTADO DE OAXACA; </w:t>
      </w:r>
      <w:r>
        <w:rPr>
          <w:rFonts w:ascii="Arial" w:eastAsia="Times New Roman" w:hAnsi="Arial" w:cs="Arial"/>
          <w:bCs/>
          <w:i/>
          <w:iCs/>
          <w:lang w:eastAsia="es-ES"/>
        </w:rPr>
        <w:t xml:space="preserve">en consecuencia, fórmese expediente y regístrese en el libro que para tal efecto se lleva en esta Quinta Sala Unitaria de Primera Instancia.  </w:t>
      </w:r>
    </w:p>
    <w:p w14:paraId="2F8878C0" w14:textId="7412BBBA" w:rsidR="001A38BD" w:rsidRDefault="001A38BD"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Con fundamento en el artículo 158, 161 fracción X y 182 fracción I de la Ley de Procedimiento y Justicia Administrativa para el Estado de Oaxaca se </w:t>
      </w:r>
      <w:r>
        <w:rPr>
          <w:rFonts w:ascii="Arial" w:eastAsia="Times New Roman" w:hAnsi="Arial" w:cs="Arial"/>
          <w:b/>
          <w:bCs/>
          <w:i/>
          <w:iCs/>
          <w:lang w:eastAsia="es-ES"/>
        </w:rPr>
        <w:t xml:space="preserve">desecha </w:t>
      </w:r>
      <w:r>
        <w:rPr>
          <w:rFonts w:ascii="Arial" w:eastAsia="Times New Roman" w:hAnsi="Arial" w:cs="Arial"/>
          <w:bCs/>
          <w:i/>
          <w:iCs/>
          <w:lang w:eastAsia="es-ES"/>
        </w:rPr>
        <w:t xml:space="preserve">la presente demanda por notoriamente improcedente, en virtud de que de las documentales que aporta el actor, así como de las manifestaciones que realiza, el acto que pretende no es impugnable ante esta instancia. </w:t>
      </w:r>
    </w:p>
    <w:p w14:paraId="7A175A3E" w14:textId="6BD1C922" w:rsidR="00F01FDC" w:rsidRDefault="001A38BD"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Se dice lo anterior en razón que el artículo 1 de la Ley de Procedimiento y Justicia Administrativa para el Estado de Oaxaca establece. </w:t>
      </w:r>
      <w:r>
        <w:rPr>
          <w:rFonts w:ascii="Arial" w:eastAsia="Times New Roman" w:hAnsi="Arial" w:cs="Arial"/>
          <w:b/>
          <w:bCs/>
          <w:i/>
          <w:iCs/>
          <w:lang w:eastAsia="es-ES"/>
        </w:rPr>
        <w:t xml:space="preserve">“Artículo 1.- </w:t>
      </w:r>
      <w:r>
        <w:rPr>
          <w:rFonts w:ascii="Arial" w:eastAsia="Times New Roman" w:hAnsi="Arial" w:cs="Arial"/>
          <w:bCs/>
          <w:i/>
          <w:iCs/>
          <w:u w:val="single"/>
          <w:lang w:eastAsia="es-ES"/>
        </w:rPr>
        <w:t>La presente Ley</w:t>
      </w:r>
      <w:r>
        <w:rPr>
          <w:rFonts w:ascii="Arial" w:eastAsia="Times New Roman" w:hAnsi="Arial" w:cs="Arial"/>
          <w:bCs/>
          <w:i/>
          <w:iCs/>
          <w:lang w:eastAsia="es-ES"/>
        </w:rPr>
        <w:t xml:space="preserve"> es de orden público y de interés social, </w:t>
      </w:r>
      <w:r w:rsidRPr="00F01FDC">
        <w:rPr>
          <w:rFonts w:ascii="Arial" w:eastAsia="Times New Roman" w:hAnsi="Arial" w:cs="Arial"/>
          <w:bCs/>
          <w:i/>
          <w:iCs/>
          <w:u w:val="single"/>
          <w:lang w:eastAsia="es-ES"/>
        </w:rPr>
        <w:t>se aplicará</w:t>
      </w:r>
      <w:r>
        <w:rPr>
          <w:rFonts w:ascii="Arial" w:eastAsia="Times New Roman" w:hAnsi="Arial" w:cs="Arial"/>
          <w:bCs/>
          <w:i/>
          <w:iCs/>
          <w:lang w:eastAsia="es-ES"/>
        </w:rPr>
        <w:t xml:space="preserve"> en todo el Estado de Oaxaca, </w:t>
      </w:r>
      <w:r w:rsidRPr="00F01FDC">
        <w:rPr>
          <w:rFonts w:ascii="Arial" w:eastAsia="Times New Roman" w:hAnsi="Arial" w:cs="Arial"/>
          <w:bCs/>
          <w:i/>
          <w:iCs/>
          <w:u w:val="single"/>
          <w:lang w:eastAsia="es-ES"/>
        </w:rPr>
        <w:t>en los actos administrativos</w:t>
      </w:r>
      <w:r>
        <w:rPr>
          <w:rFonts w:ascii="Arial" w:eastAsia="Times New Roman" w:hAnsi="Arial" w:cs="Arial"/>
          <w:bCs/>
          <w:i/>
          <w:iCs/>
          <w:lang w:eastAsia="es-ES"/>
        </w:rPr>
        <w:t xml:space="preserve"> y los procedimientos </w:t>
      </w:r>
      <w:r w:rsidRPr="00F01FDC">
        <w:rPr>
          <w:rFonts w:ascii="Arial" w:eastAsia="Times New Roman" w:hAnsi="Arial" w:cs="Arial"/>
          <w:bCs/>
          <w:i/>
          <w:iCs/>
          <w:u w:val="single"/>
          <w:lang w:eastAsia="es-ES"/>
        </w:rPr>
        <w:t xml:space="preserve">que desarrollen las Dependencias del Poder Ejecutivo del Gobierno del Estado, </w:t>
      </w:r>
      <w:r w:rsidR="00F01FDC" w:rsidRPr="00F01FDC">
        <w:rPr>
          <w:rFonts w:ascii="Arial" w:eastAsia="Times New Roman" w:hAnsi="Arial" w:cs="Arial"/>
          <w:bCs/>
          <w:i/>
          <w:iCs/>
          <w:u w:val="single"/>
          <w:lang w:eastAsia="es-ES"/>
        </w:rPr>
        <w:t>Entidades Paraestatales y Órganos Desconcentrados de la Administración Pública Estatal</w:t>
      </w:r>
      <w:r w:rsidR="00F01FDC">
        <w:rPr>
          <w:rFonts w:ascii="Arial" w:eastAsia="Times New Roman" w:hAnsi="Arial" w:cs="Arial"/>
          <w:bCs/>
          <w:i/>
          <w:iCs/>
          <w:lang w:eastAsia="es-ES"/>
        </w:rPr>
        <w:t>, cuando éstas emitan una resolución administrativa de cualquier naturaleza…”. - -</w:t>
      </w:r>
    </w:p>
    <w:p w14:paraId="6A1E0161" w14:textId="4786EFC6" w:rsidR="00F01FDC" w:rsidRDefault="00F01FDC"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El artículo 75 de la Ley de Fiscalización Superior y Rendición de Cuentas del Estado de Oaxaca, en la parte conducente prescribe: </w:t>
      </w:r>
      <w:r>
        <w:rPr>
          <w:rFonts w:ascii="Arial" w:eastAsia="Times New Roman" w:hAnsi="Arial" w:cs="Arial"/>
          <w:b/>
          <w:bCs/>
          <w:i/>
          <w:iCs/>
          <w:lang w:eastAsia="es-ES"/>
        </w:rPr>
        <w:t xml:space="preserve">“Artículo 75.- </w:t>
      </w:r>
      <w:r>
        <w:rPr>
          <w:rFonts w:ascii="Arial" w:eastAsia="Times New Roman" w:hAnsi="Arial" w:cs="Arial"/>
          <w:bCs/>
          <w:i/>
          <w:iCs/>
          <w:lang w:eastAsia="es-ES"/>
        </w:rPr>
        <w:t xml:space="preserve">El órgano Superior </w:t>
      </w:r>
      <w:r w:rsidR="000C169D">
        <w:rPr>
          <w:rFonts w:ascii="Arial" w:eastAsia="Times New Roman" w:hAnsi="Arial" w:cs="Arial"/>
          <w:bCs/>
          <w:i/>
          <w:iCs/>
          <w:lang w:eastAsia="es-ES"/>
        </w:rPr>
        <w:t>y Rendición de Cuentas del Estado de Oaxaca, es la instancia técnica del Congreso…”, disposiciones de las que se advierte que el juicio su nulidad, mismo que se encuentra contemplado en la Ley de Procedimiento y Justicia Administrativa para el Estado de Oaxaca, procede respecto de actos administrativos que desarrollen dependencias del Poder Ejecutivo del Gobierno del Estado de Oaxaca, Entidades Paraestatales y órganos desconcentrados de la administración Pública Estatal, mismas que se encuentran contempladas en el artículo 3 de la Ley Orgánica del Poder Ejecutivo del Estado de Oaxaca, y de entre las cuales no se encuentra el Órgano Superior de Fiscalización del Estado de Oaxaca, pues como ya se apuntó con antelaci</w:t>
      </w:r>
      <w:r w:rsidR="001D6BC3">
        <w:rPr>
          <w:rFonts w:ascii="Arial" w:eastAsia="Times New Roman" w:hAnsi="Arial" w:cs="Arial"/>
          <w:bCs/>
          <w:i/>
          <w:iCs/>
          <w:lang w:eastAsia="es-ES"/>
        </w:rPr>
        <w:t xml:space="preserve">ón, éste es una instancia técnica del Congreso, esto es, del Poder Legislativo.- - - - - - - - </w:t>
      </w:r>
    </w:p>
    <w:p w14:paraId="1EA95181" w14:textId="25513B0A" w:rsidR="001D6BC3" w:rsidRDefault="00FC6D4D"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 su vez el artículo 131 de la Ley de Procedimiento y Justicia Administrativa para el Estado de Oaxaca prescribe las atribuciones de las salas unitarias de primera instancia de este órgano jurisdiccional, de entre las cuales no se encuentra la de conocer de las resoluciones que emita el órgano Superior de Fiscalización del Estado de Oaxaca, antes Auditoría Superior de Fiscalización del Estado de Oaxaca, como acontece en el presente caso, siendo competencia exclusiva de la Sala Superior de este Tribunal, de conformidad con lo establecido en el artículo 130, fracción VI de la Ley en cita, a través del Juicio de Inconformidad. –</w:t>
      </w:r>
    </w:p>
    <w:p w14:paraId="4290D035" w14:textId="0C1722EC" w:rsidR="00FC6D4D" w:rsidRDefault="00FC6D4D" w:rsidP="005A510F">
      <w:pPr>
        <w:spacing w:after="0"/>
        <w:ind w:left="567" w:right="616" w:firstLine="567"/>
        <w:jc w:val="both"/>
        <w:rPr>
          <w:rFonts w:ascii="Arial" w:eastAsia="Times New Roman" w:hAnsi="Arial" w:cs="Arial"/>
          <w:bCs/>
          <w:i/>
          <w:iCs/>
          <w:lang w:eastAsia="es-ES"/>
        </w:rPr>
      </w:pPr>
      <w:r w:rsidRPr="00377F67">
        <w:rPr>
          <w:rFonts w:ascii="Arial" w:eastAsia="Times New Roman" w:hAnsi="Arial" w:cs="Arial"/>
          <w:bCs/>
          <w:i/>
          <w:iCs/>
          <w:lang w:eastAsia="es-ES"/>
        </w:rPr>
        <w:t xml:space="preserve">En esas consideraciones, y para evitar mayores dilaciones, que trasgredan los derechos del administrado, esta Quinta Sala Unitaria, se declara incompetente para conocer de las resoluciones contenida en el oficio número </w:t>
      </w:r>
      <w:r w:rsidR="00EE3E94">
        <w:rPr>
          <w:rFonts w:ascii="Arial" w:eastAsia="Times New Roman" w:hAnsi="Arial" w:cs="Arial"/>
          <w:bCs/>
          <w:i/>
          <w:iCs/>
          <w:lang w:eastAsia="es-ES"/>
        </w:rPr>
        <w:t>*******</w:t>
      </w:r>
      <w:r w:rsidRPr="00377F67">
        <w:rPr>
          <w:rFonts w:ascii="Arial" w:eastAsia="Times New Roman" w:hAnsi="Arial" w:cs="Arial"/>
          <w:bCs/>
          <w:i/>
          <w:iCs/>
          <w:lang w:eastAsia="es-ES"/>
        </w:rPr>
        <w:t xml:space="preserve"> de tres de agosto de agosto de dos mil veintiuno, dictada por el Titular de la Unidad de Asuntos Jurídicos del </w:t>
      </w:r>
      <w:r w:rsidR="001D43BF" w:rsidRPr="00377F67">
        <w:rPr>
          <w:rFonts w:ascii="Arial" w:eastAsia="Times New Roman" w:hAnsi="Arial" w:cs="Arial"/>
          <w:bCs/>
          <w:i/>
          <w:iCs/>
          <w:lang w:eastAsia="es-ES"/>
        </w:rPr>
        <w:t>Ó</w:t>
      </w:r>
      <w:r w:rsidRPr="00377F67">
        <w:rPr>
          <w:rFonts w:ascii="Arial" w:eastAsia="Times New Roman" w:hAnsi="Arial" w:cs="Arial"/>
          <w:bCs/>
          <w:i/>
          <w:iCs/>
          <w:lang w:eastAsia="es-ES"/>
        </w:rPr>
        <w:t xml:space="preserve">rgano Superior de Fiscalización del Estado de Oaxaca, ya que, al hacerlo, invadiría la esfera de competencia de la Sala </w:t>
      </w:r>
      <w:r w:rsidR="009C6103" w:rsidRPr="00377F67">
        <w:rPr>
          <w:rFonts w:ascii="Arial" w:eastAsia="Times New Roman" w:hAnsi="Arial" w:cs="Arial"/>
          <w:bCs/>
          <w:i/>
          <w:iCs/>
          <w:lang w:eastAsia="es-ES"/>
        </w:rPr>
        <w:t>Superior de este Tribunal, violentando el Principio de Legalidad previsto en el artículo 119 de la Ley de Procedimiento y Justicia Administrativa para el Estado de Oaxaca; así como el Principio de Seguridad Jurídica, contenido en el artículo 16 de la Constitución Política de los Estados Unidos Mexicanos, en cuanto a que las autoridades solo pueden hacer lo que la ley les permite.</w:t>
      </w:r>
      <w:r w:rsidR="009C6103">
        <w:rPr>
          <w:rFonts w:ascii="Arial" w:eastAsia="Times New Roman" w:hAnsi="Arial" w:cs="Arial"/>
          <w:bCs/>
          <w:i/>
          <w:iCs/>
          <w:lang w:eastAsia="es-ES"/>
        </w:rPr>
        <w:t xml:space="preserve"> </w:t>
      </w:r>
    </w:p>
    <w:p w14:paraId="6BD32F0B" w14:textId="7BB68B73" w:rsidR="009C6103" w:rsidRDefault="009C6103"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En razón de lo antes vertido, al considerarse actualizada la causal de improcedencia prevista en la fracción X, del artículo 161 de la Ley de Procedimiento (sic) Justicia Administrativa para el Estado de Oaxaca, respecto del acto impugnado, se </w:t>
      </w:r>
      <w:r>
        <w:rPr>
          <w:rFonts w:ascii="Arial" w:eastAsia="Times New Roman" w:hAnsi="Arial" w:cs="Arial"/>
          <w:b/>
          <w:bCs/>
          <w:i/>
          <w:iCs/>
          <w:lang w:eastAsia="es-ES"/>
        </w:rPr>
        <w:t xml:space="preserve">DESECHA </w:t>
      </w:r>
      <w:r>
        <w:rPr>
          <w:rFonts w:ascii="Arial" w:eastAsia="Times New Roman" w:hAnsi="Arial" w:cs="Arial"/>
          <w:bCs/>
          <w:i/>
          <w:iCs/>
          <w:lang w:eastAsia="es-ES"/>
        </w:rPr>
        <w:t xml:space="preserve">la presente demanda por notoriamente </w:t>
      </w:r>
      <w:r>
        <w:rPr>
          <w:rFonts w:ascii="Arial" w:eastAsia="Times New Roman" w:hAnsi="Arial" w:cs="Arial"/>
          <w:b/>
          <w:bCs/>
          <w:i/>
          <w:iCs/>
          <w:lang w:eastAsia="es-ES"/>
        </w:rPr>
        <w:t xml:space="preserve">IMPROCEDENTE, </w:t>
      </w:r>
      <w:r>
        <w:rPr>
          <w:rFonts w:ascii="Arial" w:eastAsia="Times New Roman" w:hAnsi="Arial" w:cs="Arial"/>
          <w:bCs/>
          <w:i/>
          <w:iCs/>
          <w:lang w:eastAsia="es-ES"/>
        </w:rPr>
        <w:t xml:space="preserve">de conformidad con lo establecido en la fracción I del artículo 182 de la ley antes invocada ordenándose dejar copia certificada de la demanda original y remitir ésta, así como copia certificada del presente proveído, a la Sala Superior de este Tribunal para que determine lo conducente.  - - - - - - - - - - - - - - - - - - - - - - - - - - - - - - - </w:t>
      </w:r>
    </w:p>
    <w:p w14:paraId="2510B0F1" w14:textId="753BE46C" w:rsidR="009C6103" w:rsidRDefault="009C6103" w:rsidP="005A510F">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lastRenderedPageBreak/>
        <w:t xml:space="preserve">Notifíquese </w:t>
      </w:r>
      <w:r>
        <w:rPr>
          <w:rFonts w:ascii="Arial" w:eastAsia="Times New Roman" w:hAnsi="Arial" w:cs="Arial"/>
          <w:bCs/>
          <w:i/>
          <w:iCs/>
          <w:lang w:eastAsia="es-ES"/>
        </w:rPr>
        <w:t xml:space="preserve">personalmente al actor en el domicilio que señala en su escrito de demanda, y a través de las personas que autoriza, tal y como lo disponen los </w:t>
      </w:r>
      <w:r w:rsidR="00252AF0">
        <w:rPr>
          <w:rFonts w:ascii="Arial" w:eastAsia="Times New Roman" w:hAnsi="Arial" w:cs="Arial"/>
          <w:bCs/>
          <w:i/>
          <w:iCs/>
          <w:lang w:eastAsia="es-ES"/>
        </w:rPr>
        <w:t xml:space="preserve">artículos 172 y 173 de la Ley de Procedimiento y Justicia Administrativa para el Estado de Oaxaca. </w:t>
      </w:r>
      <w:r w:rsidR="00252AF0">
        <w:rPr>
          <w:rFonts w:ascii="Arial" w:eastAsia="Times New Roman" w:hAnsi="Arial" w:cs="Arial"/>
          <w:b/>
          <w:bCs/>
          <w:i/>
          <w:iCs/>
          <w:lang w:eastAsia="es-ES"/>
        </w:rPr>
        <w:t>Cúmplase.</w:t>
      </w:r>
    </w:p>
    <w:p w14:paraId="7EC3B663" w14:textId="68453598" w:rsidR="00997198" w:rsidRPr="00895E36" w:rsidRDefault="00252AF0" w:rsidP="005A510F">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acordó y firma la Magistrada Virginia Hernández </w:t>
      </w:r>
      <w:proofErr w:type="spellStart"/>
      <w:r>
        <w:rPr>
          <w:rFonts w:ascii="Arial" w:eastAsia="Times New Roman" w:hAnsi="Arial" w:cs="Arial"/>
          <w:bCs/>
          <w:i/>
          <w:iCs/>
          <w:lang w:eastAsia="es-ES"/>
        </w:rPr>
        <w:t>Hernández</w:t>
      </w:r>
      <w:proofErr w:type="spellEnd"/>
      <w:r>
        <w:rPr>
          <w:rFonts w:ascii="Arial" w:eastAsia="Times New Roman" w:hAnsi="Arial" w:cs="Arial"/>
          <w:bCs/>
          <w:i/>
          <w:iCs/>
          <w:lang w:eastAsia="es-ES"/>
        </w:rPr>
        <w:t>, Titular de la Quinta Sala Unitaria de Primera Instancia del Tribunal de Justicia Administrativa del Estado de Oaxaca, quien actúa legalmente con la Licenciada Marissa Ignacio Valencia, que auto</w:t>
      </w:r>
      <w:r w:rsidR="00895E36">
        <w:rPr>
          <w:rFonts w:ascii="Arial" w:eastAsia="Times New Roman" w:hAnsi="Arial" w:cs="Arial"/>
          <w:bCs/>
          <w:i/>
          <w:iCs/>
          <w:lang w:eastAsia="es-ES"/>
        </w:rPr>
        <w:t>riza y da fe.”</w:t>
      </w:r>
      <w:r w:rsidR="00E84264">
        <w:rPr>
          <w:rFonts w:ascii="Arial" w:hAnsi="Arial" w:cs="Arial"/>
          <w:i/>
        </w:rPr>
        <w:t>.</w:t>
      </w:r>
      <w:r w:rsidR="003B6CF0" w:rsidRPr="00001C39">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B17E41D"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w:t>
      </w:r>
      <w:r w:rsidR="00377F67">
        <w:rPr>
          <w:rFonts w:ascii="Arial" w:hAnsi="Arial" w:cs="Arial"/>
          <w:bCs/>
          <w:iCs/>
          <w:sz w:val="26"/>
          <w:szCs w:val="26"/>
        </w:rPr>
        <w:t>24 fracciones</w:t>
      </w:r>
      <w:r>
        <w:rPr>
          <w:rFonts w:ascii="Arial" w:hAnsi="Arial" w:cs="Arial"/>
          <w:bCs/>
          <w:iCs/>
          <w:sz w:val="26"/>
          <w:szCs w:val="26"/>
        </w:rPr>
        <w:t xml:space="preserve"> I</w:t>
      </w:r>
      <w:r w:rsidR="00377F67">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D35524">
        <w:rPr>
          <w:rFonts w:ascii="Arial" w:hAnsi="Arial" w:cs="Arial"/>
          <w:sz w:val="26"/>
          <w:szCs w:val="26"/>
        </w:rPr>
        <w:t xml:space="preserve"> tre</w:t>
      </w:r>
      <w:r w:rsidR="00314087">
        <w:rPr>
          <w:rFonts w:ascii="Arial" w:hAnsi="Arial" w:cs="Arial"/>
          <w:sz w:val="26"/>
          <w:szCs w:val="26"/>
        </w:rPr>
        <w:t>ce</w:t>
      </w:r>
      <w:r w:rsidR="00D35524">
        <w:rPr>
          <w:rFonts w:ascii="Arial" w:hAnsi="Arial" w:cs="Arial"/>
          <w:sz w:val="26"/>
          <w:szCs w:val="26"/>
        </w:rPr>
        <w:t xml:space="preserve"> </w:t>
      </w:r>
      <w:r w:rsidR="006F7407">
        <w:rPr>
          <w:rFonts w:ascii="Arial" w:hAnsi="Arial" w:cs="Arial"/>
          <w:sz w:val="26"/>
          <w:szCs w:val="26"/>
        </w:rPr>
        <w:t xml:space="preserve">de </w:t>
      </w:r>
      <w:r w:rsidR="00314087">
        <w:rPr>
          <w:rFonts w:ascii="Arial" w:hAnsi="Arial" w:cs="Arial"/>
          <w:sz w:val="26"/>
          <w:szCs w:val="26"/>
        </w:rPr>
        <w:t>octubre</w:t>
      </w:r>
      <w:r w:rsidR="006F7407">
        <w:rPr>
          <w:rFonts w:ascii="Arial" w:hAnsi="Arial" w:cs="Arial"/>
          <w:sz w:val="26"/>
          <w:szCs w:val="26"/>
        </w:rPr>
        <w:t xml:space="preserve"> de dos mil </w:t>
      </w:r>
      <w:r w:rsidR="00D35524">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895E36">
        <w:rPr>
          <w:rFonts w:ascii="Arial" w:hAnsi="Arial" w:cs="Arial"/>
          <w:bCs/>
          <w:iCs/>
          <w:sz w:val="26"/>
          <w:szCs w:val="26"/>
        </w:rPr>
        <w:t>Quin</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14087">
        <w:rPr>
          <w:rFonts w:ascii="Arial" w:hAnsi="Arial" w:cs="Arial"/>
          <w:b/>
          <w:bCs/>
          <w:iCs/>
          <w:sz w:val="26"/>
          <w:szCs w:val="26"/>
        </w:rPr>
        <w:t>075</w:t>
      </w:r>
      <w:r w:rsidRPr="00AE78C3">
        <w:rPr>
          <w:rFonts w:ascii="Arial" w:hAnsi="Arial" w:cs="Arial"/>
          <w:b/>
          <w:bCs/>
          <w:iCs/>
          <w:sz w:val="26"/>
          <w:szCs w:val="26"/>
        </w:rPr>
        <w:t>/20</w:t>
      </w:r>
      <w:r w:rsidR="00314087">
        <w:rPr>
          <w:rFonts w:ascii="Arial" w:hAnsi="Arial" w:cs="Arial"/>
          <w:b/>
          <w:bCs/>
          <w:iCs/>
          <w:sz w:val="26"/>
          <w:szCs w:val="26"/>
        </w:rPr>
        <w:t>2</w:t>
      </w:r>
      <w:r w:rsidRPr="00AE78C3">
        <w:rPr>
          <w:rFonts w:ascii="Arial" w:hAnsi="Arial" w:cs="Arial"/>
          <w:b/>
          <w:bCs/>
          <w:iCs/>
          <w:sz w:val="26"/>
          <w:szCs w:val="26"/>
        </w:rPr>
        <w:t>1</w:t>
      </w:r>
      <w:r w:rsidRPr="005A510F">
        <w:rPr>
          <w:rFonts w:ascii="Arial" w:hAnsi="Arial" w:cs="Arial"/>
          <w:iCs/>
          <w:sz w:val="26"/>
          <w:szCs w:val="26"/>
        </w:rPr>
        <w:t>.</w:t>
      </w:r>
      <w:r w:rsidR="005A510F" w:rsidRPr="005A510F">
        <w:rPr>
          <w:rFonts w:ascii="Arial" w:hAnsi="Arial" w:cs="Arial"/>
          <w:iCs/>
          <w:sz w:val="26"/>
          <w:szCs w:val="26"/>
        </w:rPr>
        <w:t>- - - - - - - - - - - - - - - - - -</w:t>
      </w:r>
      <w:r w:rsidR="005A510F">
        <w:rPr>
          <w:rFonts w:ascii="Arial" w:hAnsi="Arial" w:cs="Arial"/>
          <w:b/>
          <w:bCs/>
          <w:iCs/>
          <w:sz w:val="26"/>
          <w:szCs w:val="26"/>
        </w:rPr>
        <w:t xml:space="preserve">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5A510F">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w:t>
      </w:r>
      <w:r w:rsidRPr="00011CEC">
        <w:rPr>
          <w:rFonts w:ascii="Arial" w:eastAsia="Times New Roman" w:hAnsi="Arial" w:cs="Arial"/>
          <w:i/>
          <w:iCs/>
        </w:rPr>
        <w:lastRenderedPageBreak/>
        <w:t>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C8C93DB" w14:textId="7C63C919" w:rsidR="004462B7" w:rsidRDefault="006640AE" w:rsidP="00674EE6">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C80018">
        <w:rPr>
          <w:rFonts w:ascii="Arial" w:hAnsi="Arial" w:cs="Arial"/>
          <w:sz w:val="26"/>
          <w:szCs w:val="26"/>
        </w:rPr>
        <w:t xml:space="preserve">Señala el recurrente le causa agravio </w:t>
      </w:r>
      <w:r w:rsidR="004462B7">
        <w:rPr>
          <w:rFonts w:ascii="Arial" w:hAnsi="Arial" w:cs="Arial"/>
          <w:sz w:val="26"/>
          <w:szCs w:val="26"/>
        </w:rPr>
        <w:t>el acuerdo de trece de octubre de dos mil veintiuno, en el que la Primera Instancia desechó por notoriamente improcedente la demanda interpuesta, no obstante</w:t>
      </w:r>
      <w:r w:rsidR="00B913AF">
        <w:rPr>
          <w:rFonts w:ascii="Arial" w:hAnsi="Arial" w:cs="Arial"/>
          <w:sz w:val="26"/>
          <w:szCs w:val="26"/>
        </w:rPr>
        <w:t xml:space="preserve"> se </w:t>
      </w:r>
      <w:r w:rsidR="004462B7">
        <w:rPr>
          <w:rFonts w:ascii="Arial" w:hAnsi="Arial" w:cs="Arial"/>
          <w:sz w:val="26"/>
          <w:szCs w:val="26"/>
        </w:rPr>
        <w:t xml:space="preserve">declaró incompetente para conocer de la misma, en principio debe tomarse en consideración que conforme al artículo 1 de la Constitución Política de los Estados Unidos Mexicanos, la autoridad jurisdiccional en el ámbito de su competencia se encuentra obligada a promover, respetar, proteger y garantizar los derechos humanos reconocidos en la Constitución y en los tratados internacionales, y por ende, es preciso hacer efectivas las garantías correspondientes establecidas para la real eficacia de cualquier derecho humano que resulte lesionado por el acto de autoridad. Por su parte el artículo 17 constitucional reconoce el derecho </w:t>
      </w:r>
      <w:r w:rsidR="00674EE6">
        <w:rPr>
          <w:rFonts w:ascii="Arial" w:hAnsi="Arial" w:cs="Arial"/>
          <w:sz w:val="26"/>
          <w:szCs w:val="26"/>
        </w:rPr>
        <w:t>humano de acceso a la justicia y a su vez, la vía es un presupuesto procesal que se vuelve un formalismo rigorista si es que no se reencausa oficiosamente por el Juez, que es quien reconoce el derecho y, por ende, la v</w:t>
      </w:r>
      <w:r w:rsidR="00DD0CB8">
        <w:rPr>
          <w:rFonts w:ascii="Arial" w:hAnsi="Arial" w:cs="Arial"/>
          <w:sz w:val="26"/>
          <w:szCs w:val="26"/>
        </w:rPr>
        <w:t>ía correcta; la vía es un presupuesto procesal, subsanables, inclusive por el propio juzgador, porque la opinión contraria transforma a la vía en una formalidad que atenta contra la tutela judicial efectiva que consagra el artículo Constitucional.</w:t>
      </w:r>
      <w:r w:rsidR="005A510F">
        <w:rPr>
          <w:rFonts w:ascii="Arial" w:hAnsi="Arial" w:cs="Arial"/>
          <w:sz w:val="26"/>
          <w:szCs w:val="26"/>
        </w:rPr>
        <w:t xml:space="preserve"> - - - - - - - - - - - - - - - - - - - - - - - - - - - - - - - - - - - - - - - - - </w:t>
      </w:r>
    </w:p>
    <w:p w14:paraId="63D44C33" w14:textId="62A5BE84" w:rsidR="00DD0CB8" w:rsidRDefault="00DD0CB8" w:rsidP="00674EE6">
      <w:pPr>
        <w:spacing w:before="240" w:line="360" w:lineRule="auto"/>
        <w:ind w:firstLine="708"/>
        <w:jc w:val="both"/>
        <w:rPr>
          <w:rFonts w:ascii="Arial" w:hAnsi="Arial" w:cs="Arial"/>
          <w:sz w:val="26"/>
          <w:szCs w:val="26"/>
        </w:rPr>
      </w:pPr>
      <w:r>
        <w:rPr>
          <w:rFonts w:ascii="Arial" w:hAnsi="Arial" w:cs="Arial"/>
          <w:sz w:val="26"/>
          <w:szCs w:val="26"/>
        </w:rPr>
        <w:t xml:space="preserve">Refiere que la Primera Instancia debió realizar la interpretación más eficaz, a fin de garantizar una tutela judicial efectiva, esto es, resolver los conflictos de manera ilegal y completa, sin obstáculos o dilaciones necesarias, formalismos o interpretaciones que impidan o dificultan el enjuiciamiento de fondo. </w:t>
      </w:r>
      <w:r w:rsidR="005A510F">
        <w:rPr>
          <w:rFonts w:ascii="Arial" w:hAnsi="Arial" w:cs="Arial"/>
          <w:sz w:val="26"/>
          <w:szCs w:val="26"/>
        </w:rPr>
        <w:t xml:space="preserve">- - - - - - - - - - - - - - - - - - - - - - - - - </w:t>
      </w:r>
    </w:p>
    <w:p w14:paraId="3E237212" w14:textId="75DED9DC" w:rsidR="006A345E" w:rsidRDefault="006A345E" w:rsidP="00B913AF">
      <w:pPr>
        <w:spacing w:before="240" w:line="360" w:lineRule="auto"/>
        <w:ind w:firstLine="708"/>
        <w:jc w:val="both"/>
        <w:rPr>
          <w:rFonts w:ascii="Arial" w:hAnsi="Arial" w:cs="Arial"/>
          <w:sz w:val="26"/>
          <w:szCs w:val="26"/>
        </w:rPr>
      </w:pPr>
      <w:r>
        <w:rPr>
          <w:rFonts w:ascii="Arial" w:hAnsi="Arial" w:cs="Arial"/>
          <w:sz w:val="26"/>
          <w:szCs w:val="26"/>
        </w:rPr>
        <w:t>Alega que el acuerdo es ilegal, ya que se advierte que por una parte estima que es incompetente para conocer de la demanda interpuesta, y a pesar de dicha incompetencia, desecha por notoriamente improcedente la demanda.</w:t>
      </w:r>
      <w:r w:rsidR="00B913AF">
        <w:rPr>
          <w:rFonts w:ascii="Arial" w:hAnsi="Arial" w:cs="Arial"/>
          <w:sz w:val="26"/>
          <w:szCs w:val="26"/>
        </w:rPr>
        <w:t xml:space="preserve"> </w:t>
      </w:r>
      <w:r>
        <w:rPr>
          <w:rFonts w:ascii="Arial" w:hAnsi="Arial" w:cs="Arial"/>
          <w:sz w:val="26"/>
          <w:szCs w:val="26"/>
        </w:rPr>
        <w:t xml:space="preserve">Expresa </w:t>
      </w:r>
      <w:r w:rsidR="004E2762">
        <w:rPr>
          <w:rFonts w:ascii="Arial" w:hAnsi="Arial" w:cs="Arial"/>
          <w:sz w:val="26"/>
          <w:szCs w:val="26"/>
        </w:rPr>
        <w:t>que</w:t>
      </w:r>
      <w:r>
        <w:rPr>
          <w:rFonts w:ascii="Arial" w:hAnsi="Arial" w:cs="Arial"/>
          <w:sz w:val="26"/>
          <w:szCs w:val="26"/>
        </w:rPr>
        <w:t xml:space="preserve"> de ahí por razón de orden, </w:t>
      </w:r>
      <w:r w:rsidR="004E2762">
        <w:rPr>
          <w:rFonts w:ascii="Arial" w:hAnsi="Arial" w:cs="Arial"/>
          <w:sz w:val="26"/>
          <w:szCs w:val="26"/>
        </w:rPr>
        <w:t>aun</w:t>
      </w:r>
      <w:r>
        <w:rPr>
          <w:rFonts w:ascii="Arial" w:hAnsi="Arial" w:cs="Arial"/>
          <w:sz w:val="26"/>
          <w:szCs w:val="26"/>
        </w:rPr>
        <w:t xml:space="preserve"> cuando la vía y la competencia </w:t>
      </w:r>
      <w:r w:rsidR="004E2762">
        <w:rPr>
          <w:rFonts w:ascii="Arial" w:hAnsi="Arial" w:cs="Arial"/>
          <w:sz w:val="26"/>
          <w:szCs w:val="26"/>
        </w:rPr>
        <w:t xml:space="preserve">son presupuestos </w:t>
      </w:r>
      <w:r w:rsidR="004E2762">
        <w:rPr>
          <w:rFonts w:ascii="Arial" w:hAnsi="Arial" w:cs="Arial"/>
          <w:sz w:val="26"/>
          <w:szCs w:val="26"/>
        </w:rPr>
        <w:lastRenderedPageBreak/>
        <w:t xml:space="preserve">procesales esta última debe analizarse antes de hacer algún pronunciamiento específico sobre los demás presupuestos procesales sujetos a estudio, toda vez que la competencia tiene implícita la facultad otorgada, luego entonces manifiesta que la Sala Unitaria determinó que carece de competencia para conocer del medio de impugnación, y estimó que era competente esta Sala Superior, debió de abstenerse de desechar la demanda por notoriamente improcedente, limitándose a remitirla a Sala Superior y en su caso fuera esta la que determine lo conducente acerca de la tramitación y substanciación del juicio de inconformidad. </w:t>
      </w:r>
      <w:r w:rsidR="005A510F">
        <w:rPr>
          <w:rFonts w:ascii="Arial" w:hAnsi="Arial" w:cs="Arial"/>
          <w:sz w:val="26"/>
          <w:szCs w:val="26"/>
        </w:rPr>
        <w:t>- - - - - - - - - - - - - - - - - - - - - - - - - - - - - - - - - - - - - - - - -</w:t>
      </w:r>
    </w:p>
    <w:p w14:paraId="6CAE7D22" w14:textId="4058A01A" w:rsidR="001628D3" w:rsidRPr="00C91F07" w:rsidRDefault="001628D3" w:rsidP="001628D3">
      <w:pPr>
        <w:spacing w:line="360" w:lineRule="auto"/>
        <w:ind w:firstLine="708"/>
        <w:jc w:val="both"/>
        <w:rPr>
          <w:rFonts w:ascii="Arial" w:eastAsia="Calibri" w:hAnsi="Arial" w:cs="Arial"/>
          <w:sz w:val="26"/>
          <w:szCs w:val="26"/>
          <w:lang w:eastAsia="es-ES"/>
        </w:rPr>
      </w:pPr>
      <w:r w:rsidRPr="00C91F07">
        <w:rPr>
          <w:rFonts w:ascii="Arial" w:eastAsia="Calibri" w:hAnsi="Arial" w:cs="Arial"/>
          <w:sz w:val="26"/>
          <w:szCs w:val="26"/>
          <w:lang w:eastAsia="es-ES"/>
        </w:rPr>
        <w:t xml:space="preserve">Esta Sala Superior estima que </w:t>
      </w:r>
      <w:r w:rsidR="00377F67">
        <w:rPr>
          <w:rFonts w:ascii="Arial" w:eastAsia="Calibri" w:hAnsi="Arial" w:cs="Arial"/>
          <w:sz w:val="26"/>
          <w:szCs w:val="26"/>
          <w:lang w:eastAsia="es-ES"/>
        </w:rPr>
        <w:t>es</w:t>
      </w:r>
      <w:r w:rsidRPr="00C91F07">
        <w:rPr>
          <w:rFonts w:ascii="Arial" w:eastAsia="Calibri" w:hAnsi="Arial" w:cs="Arial"/>
          <w:sz w:val="26"/>
          <w:szCs w:val="26"/>
          <w:lang w:eastAsia="es-ES"/>
        </w:rPr>
        <w:t xml:space="preserve"> </w:t>
      </w:r>
      <w:r w:rsidR="0041723A">
        <w:rPr>
          <w:rFonts w:ascii="Arial" w:eastAsia="Calibri" w:hAnsi="Arial" w:cs="Arial"/>
          <w:sz w:val="26"/>
          <w:szCs w:val="26"/>
          <w:lang w:eastAsia="es-ES"/>
        </w:rPr>
        <w:t xml:space="preserve">sustancialmente </w:t>
      </w:r>
      <w:r w:rsidR="00377F67">
        <w:rPr>
          <w:rFonts w:ascii="Arial" w:eastAsia="Calibri" w:hAnsi="Arial" w:cs="Arial"/>
          <w:b/>
          <w:sz w:val="26"/>
          <w:szCs w:val="26"/>
          <w:lang w:eastAsia="es-ES"/>
        </w:rPr>
        <w:t>fundado</w:t>
      </w:r>
      <w:r w:rsidRPr="00C91F07">
        <w:rPr>
          <w:rFonts w:ascii="Arial" w:eastAsia="Calibri" w:hAnsi="Arial" w:cs="Arial"/>
          <w:sz w:val="26"/>
          <w:szCs w:val="26"/>
          <w:lang w:eastAsia="es-ES"/>
        </w:rPr>
        <w:t xml:space="preserve"> </w:t>
      </w:r>
      <w:r w:rsidR="00377F67">
        <w:rPr>
          <w:rFonts w:ascii="Arial" w:eastAsia="Calibri" w:hAnsi="Arial" w:cs="Arial"/>
          <w:sz w:val="26"/>
          <w:szCs w:val="26"/>
          <w:lang w:eastAsia="es-ES"/>
        </w:rPr>
        <w:t>el agravio</w:t>
      </w:r>
      <w:r w:rsidRPr="00C91F07">
        <w:rPr>
          <w:rFonts w:ascii="Arial" w:eastAsia="Calibri" w:hAnsi="Arial" w:cs="Arial"/>
          <w:sz w:val="26"/>
          <w:szCs w:val="26"/>
          <w:lang w:eastAsia="es-ES"/>
        </w:rPr>
        <w:t xml:space="preserve"> del recurrente.</w:t>
      </w:r>
      <w:r w:rsidR="005A510F">
        <w:rPr>
          <w:rFonts w:ascii="Arial" w:eastAsia="Calibri" w:hAnsi="Arial" w:cs="Arial"/>
          <w:sz w:val="26"/>
          <w:szCs w:val="26"/>
          <w:lang w:eastAsia="es-ES"/>
        </w:rPr>
        <w:t xml:space="preserve"> - - - - - - - - - - - - - - - - - - - - - - - - - - - - - - - - - - -</w:t>
      </w:r>
    </w:p>
    <w:p w14:paraId="40DE01AD" w14:textId="73AB31CA" w:rsidR="00885C87" w:rsidRDefault="001628D3" w:rsidP="00885C87">
      <w:pPr>
        <w:spacing w:line="360" w:lineRule="auto"/>
        <w:ind w:firstLine="708"/>
        <w:jc w:val="both"/>
        <w:rPr>
          <w:rFonts w:ascii="Arial" w:eastAsia="Calibri" w:hAnsi="Arial" w:cs="Arial"/>
          <w:bCs/>
          <w:sz w:val="26"/>
          <w:szCs w:val="26"/>
          <w:lang w:eastAsia="es-ES"/>
        </w:rPr>
      </w:pPr>
      <w:r w:rsidRPr="00C91F07">
        <w:rPr>
          <w:rFonts w:ascii="Arial" w:eastAsia="Calibri" w:hAnsi="Arial" w:cs="Arial"/>
          <w:bCs/>
          <w:sz w:val="26"/>
          <w:szCs w:val="26"/>
          <w:lang w:eastAsia="es-ES"/>
        </w:rPr>
        <w:t>En principio es necesario indicar, que de las constancias procesales que integran el expediente de primera instancia, las que tienen pleno valor probatorio por tratarse de actuaciones judiciales, conforme a lo dispuesto por el artículo 203 fracción I</w:t>
      </w:r>
      <w:r w:rsidRPr="00C91F07">
        <w:rPr>
          <w:rFonts w:ascii="Arial" w:eastAsia="Calibri" w:hAnsi="Arial" w:cs="Arial"/>
          <w:bCs/>
          <w:sz w:val="26"/>
          <w:szCs w:val="26"/>
          <w:vertAlign w:val="superscript"/>
          <w:lang w:eastAsia="es-ES"/>
        </w:rPr>
        <w:footnoteReference w:id="1"/>
      </w:r>
      <w:r w:rsidRPr="00C91F07">
        <w:rPr>
          <w:rFonts w:ascii="Arial" w:eastAsia="Calibri" w:hAnsi="Arial" w:cs="Arial"/>
          <w:bCs/>
          <w:sz w:val="26"/>
          <w:szCs w:val="26"/>
          <w:lang w:eastAsia="es-ES"/>
        </w:rPr>
        <w:t xml:space="preserve"> de la Ley de Procedimiento y Justicia Administrativa para el Estado de Oaxaca, se advierte que el demandante</w:t>
      </w:r>
      <w:r w:rsidR="00B913AF">
        <w:rPr>
          <w:rFonts w:ascii="Arial" w:eastAsia="Calibri" w:hAnsi="Arial" w:cs="Arial"/>
          <w:bCs/>
          <w:sz w:val="26"/>
          <w:szCs w:val="26"/>
          <w:lang w:eastAsia="es-ES"/>
        </w:rPr>
        <w:t xml:space="preserve"> promovió el juicio de nulidad en contra de </w:t>
      </w:r>
      <w:bookmarkStart w:id="0" w:name="_Hlk109417307"/>
      <w:r w:rsidR="00885C87">
        <w:rPr>
          <w:rFonts w:ascii="Arial" w:eastAsia="Calibri" w:hAnsi="Arial" w:cs="Arial"/>
          <w:bCs/>
          <w:sz w:val="26"/>
          <w:szCs w:val="26"/>
          <w:lang w:eastAsia="es-ES"/>
        </w:rPr>
        <w:t xml:space="preserve">la resolución contenida en el oficio número </w:t>
      </w:r>
      <w:r w:rsidR="00EE3E94">
        <w:rPr>
          <w:rFonts w:ascii="Arial" w:eastAsia="Calibri" w:hAnsi="Arial" w:cs="Arial"/>
          <w:b/>
          <w:sz w:val="26"/>
          <w:szCs w:val="26"/>
          <w:lang w:eastAsia="es-ES"/>
        </w:rPr>
        <w:t>*******</w:t>
      </w:r>
      <w:r w:rsidR="00885C87">
        <w:rPr>
          <w:rStyle w:val="Refdenotaalpie"/>
          <w:rFonts w:ascii="Arial" w:eastAsia="Calibri" w:hAnsi="Arial" w:cs="Arial"/>
          <w:bCs/>
          <w:sz w:val="26"/>
          <w:szCs w:val="26"/>
          <w:lang w:eastAsia="es-ES"/>
        </w:rPr>
        <w:footnoteReference w:id="2"/>
      </w:r>
      <w:r w:rsidR="00885C87">
        <w:rPr>
          <w:rFonts w:ascii="Arial" w:eastAsia="Calibri" w:hAnsi="Arial" w:cs="Arial"/>
          <w:bCs/>
          <w:sz w:val="26"/>
          <w:szCs w:val="26"/>
          <w:lang w:eastAsia="es-ES"/>
        </w:rPr>
        <w:t xml:space="preserve"> de tres de agosto de dos mil veintiuno, emitido en el expediente </w:t>
      </w:r>
      <w:r w:rsidR="00EE3E94">
        <w:rPr>
          <w:rFonts w:ascii="Arial" w:eastAsia="Calibri" w:hAnsi="Arial" w:cs="Arial"/>
          <w:b/>
          <w:sz w:val="26"/>
          <w:szCs w:val="26"/>
          <w:lang w:eastAsia="es-ES"/>
        </w:rPr>
        <w:t>*******</w:t>
      </w:r>
      <w:r w:rsidR="00885C87">
        <w:rPr>
          <w:rFonts w:ascii="Arial" w:eastAsia="Calibri" w:hAnsi="Arial" w:cs="Arial"/>
          <w:bCs/>
          <w:sz w:val="26"/>
          <w:szCs w:val="26"/>
          <w:lang w:eastAsia="es-ES"/>
        </w:rPr>
        <w:t xml:space="preserve"> del índice del Órgano </w:t>
      </w:r>
      <w:r w:rsidR="00885C87" w:rsidRPr="00C91F07">
        <w:rPr>
          <w:rFonts w:ascii="Arial" w:eastAsia="Calibri" w:hAnsi="Arial" w:cs="Arial"/>
          <w:bCs/>
          <w:sz w:val="26"/>
          <w:szCs w:val="26"/>
          <w:lang w:eastAsia="es-ES"/>
        </w:rPr>
        <w:t xml:space="preserve">Superior </w:t>
      </w:r>
      <w:r w:rsidR="00885C87">
        <w:rPr>
          <w:rFonts w:ascii="Arial" w:eastAsia="Calibri" w:hAnsi="Arial" w:cs="Arial"/>
          <w:bCs/>
          <w:sz w:val="26"/>
          <w:szCs w:val="26"/>
          <w:lang w:eastAsia="es-ES"/>
        </w:rPr>
        <w:t xml:space="preserve">de Fiscalización </w:t>
      </w:r>
      <w:r w:rsidR="00885C87" w:rsidRPr="00C91F07">
        <w:rPr>
          <w:rFonts w:ascii="Arial" w:eastAsia="Calibri" w:hAnsi="Arial" w:cs="Arial"/>
          <w:bCs/>
          <w:sz w:val="26"/>
          <w:szCs w:val="26"/>
          <w:lang w:eastAsia="es-ES"/>
        </w:rPr>
        <w:t xml:space="preserve">de Estado </w:t>
      </w:r>
      <w:r w:rsidR="00885C87">
        <w:rPr>
          <w:rFonts w:ascii="Arial" w:eastAsia="Calibri" w:hAnsi="Arial" w:cs="Arial"/>
          <w:bCs/>
          <w:sz w:val="26"/>
          <w:szCs w:val="26"/>
          <w:lang w:eastAsia="es-ES"/>
        </w:rPr>
        <w:t>de Oaxaca</w:t>
      </w:r>
      <w:r w:rsidR="00EE7AE0">
        <w:rPr>
          <w:rFonts w:ascii="Arial" w:eastAsia="Calibri" w:hAnsi="Arial" w:cs="Arial"/>
          <w:bCs/>
          <w:sz w:val="26"/>
          <w:szCs w:val="26"/>
          <w:lang w:eastAsia="es-ES"/>
        </w:rPr>
        <w:t xml:space="preserve">, </w:t>
      </w:r>
      <w:bookmarkEnd w:id="0"/>
      <w:r w:rsidR="00EE7AE0">
        <w:rPr>
          <w:rFonts w:ascii="Arial" w:eastAsia="Calibri" w:hAnsi="Arial" w:cs="Arial"/>
          <w:bCs/>
          <w:sz w:val="26"/>
          <w:szCs w:val="26"/>
          <w:lang w:eastAsia="es-ES"/>
        </w:rPr>
        <w:t>en la que la Titular de la Unidad de Asuntos Jurídicos de este Órgano, determinó que no ha lugar a acordar de manera favorable la admisión del recurso de revisión promovido en contra de la resolución de veintinueve de octubre de dos mil diecinueve, por la cual se fincó responsabilidad resarcitoria al actor.</w:t>
      </w:r>
      <w:r w:rsidR="00EE3E94">
        <w:rPr>
          <w:rFonts w:ascii="Arial" w:eastAsia="Calibri" w:hAnsi="Arial" w:cs="Arial"/>
          <w:bCs/>
          <w:sz w:val="26"/>
          <w:szCs w:val="26"/>
          <w:lang w:eastAsia="es-ES"/>
        </w:rPr>
        <w:t>-</w:t>
      </w:r>
    </w:p>
    <w:p w14:paraId="789D4339" w14:textId="6CBE2310" w:rsidR="001628D3" w:rsidRDefault="00EE7AE0" w:rsidP="00E5533A">
      <w:pPr>
        <w:spacing w:line="360" w:lineRule="auto"/>
        <w:ind w:firstLine="708"/>
        <w:jc w:val="both"/>
        <w:rPr>
          <w:rFonts w:ascii="Arial" w:eastAsia="Calibri" w:hAnsi="Arial" w:cs="Arial"/>
          <w:bCs/>
          <w:sz w:val="26"/>
          <w:szCs w:val="26"/>
          <w:lang w:eastAsia="es-ES"/>
        </w:rPr>
      </w:pPr>
      <w:r>
        <w:rPr>
          <w:rFonts w:ascii="Arial" w:eastAsia="Calibri" w:hAnsi="Arial" w:cs="Arial"/>
          <w:bCs/>
          <w:sz w:val="26"/>
          <w:szCs w:val="26"/>
          <w:lang w:eastAsia="es-ES"/>
        </w:rPr>
        <w:t>Atendiendo al contenido del acto impugnado</w:t>
      </w:r>
      <w:r w:rsidR="001628D3" w:rsidRPr="00C91F07">
        <w:rPr>
          <w:rFonts w:ascii="Arial" w:eastAsia="Calibri" w:hAnsi="Arial" w:cs="Arial"/>
          <w:bCs/>
          <w:sz w:val="26"/>
          <w:szCs w:val="26"/>
          <w:lang w:eastAsia="es-ES"/>
        </w:rPr>
        <w:t xml:space="preserve">, en el acuerdo de </w:t>
      </w:r>
      <w:r>
        <w:rPr>
          <w:rFonts w:ascii="Arial" w:eastAsia="Calibri" w:hAnsi="Arial" w:cs="Arial"/>
          <w:bCs/>
          <w:sz w:val="26"/>
          <w:szCs w:val="26"/>
          <w:lang w:eastAsia="es-ES"/>
        </w:rPr>
        <w:t xml:space="preserve">trece de octubre </w:t>
      </w:r>
      <w:r w:rsidR="001628D3" w:rsidRPr="00C91F07">
        <w:rPr>
          <w:rFonts w:ascii="Arial" w:eastAsia="Calibri" w:hAnsi="Arial" w:cs="Arial"/>
          <w:bCs/>
          <w:sz w:val="26"/>
          <w:szCs w:val="26"/>
          <w:lang w:eastAsia="es-ES"/>
        </w:rPr>
        <w:t>de dos mil veint</w:t>
      </w:r>
      <w:r w:rsidR="001628D3">
        <w:rPr>
          <w:rFonts w:ascii="Arial" w:eastAsia="Calibri" w:hAnsi="Arial" w:cs="Arial"/>
          <w:bCs/>
          <w:sz w:val="26"/>
          <w:szCs w:val="26"/>
          <w:lang w:eastAsia="es-ES"/>
        </w:rPr>
        <w:t>i</w:t>
      </w:r>
      <w:r>
        <w:rPr>
          <w:rFonts w:ascii="Arial" w:eastAsia="Calibri" w:hAnsi="Arial" w:cs="Arial"/>
          <w:bCs/>
          <w:sz w:val="26"/>
          <w:szCs w:val="26"/>
          <w:lang w:eastAsia="es-ES"/>
        </w:rPr>
        <w:t>uno</w:t>
      </w:r>
      <w:r w:rsidR="001628D3" w:rsidRPr="00C91F07">
        <w:rPr>
          <w:rFonts w:ascii="Arial" w:eastAsia="Calibri" w:hAnsi="Arial" w:cs="Arial"/>
          <w:bCs/>
          <w:sz w:val="26"/>
          <w:szCs w:val="26"/>
          <w:lang w:eastAsia="es-ES"/>
        </w:rPr>
        <w:t>, la Quinta Sala Unitaria de Primera Instancia, determinó desechar por improcedente la demanda promovida en contra</w:t>
      </w:r>
      <w:r w:rsidR="00E5533A">
        <w:rPr>
          <w:rFonts w:ascii="Arial" w:eastAsia="Calibri" w:hAnsi="Arial" w:cs="Arial"/>
          <w:bCs/>
          <w:sz w:val="26"/>
          <w:szCs w:val="26"/>
          <w:lang w:eastAsia="es-ES"/>
        </w:rPr>
        <w:t xml:space="preserve"> del oficio número </w:t>
      </w:r>
      <w:r w:rsidR="00EE3E94">
        <w:rPr>
          <w:rFonts w:ascii="Arial" w:eastAsia="Calibri" w:hAnsi="Arial" w:cs="Arial"/>
          <w:bCs/>
          <w:sz w:val="26"/>
          <w:szCs w:val="26"/>
          <w:lang w:eastAsia="es-ES"/>
        </w:rPr>
        <w:t>*******</w:t>
      </w:r>
      <w:r w:rsidR="00E5533A">
        <w:rPr>
          <w:rFonts w:ascii="Arial" w:eastAsia="Calibri" w:hAnsi="Arial" w:cs="Arial"/>
          <w:bCs/>
          <w:sz w:val="26"/>
          <w:szCs w:val="26"/>
          <w:lang w:eastAsia="es-ES"/>
        </w:rPr>
        <w:t xml:space="preserve"> de tres de agosto de dos mil veintiuno, emitido por la Titular de la Unidad de Asuntos Jurídicos de este Órgano, </w:t>
      </w:r>
      <w:r w:rsidR="001628D3">
        <w:rPr>
          <w:rFonts w:ascii="Arial" w:eastAsia="Calibri" w:hAnsi="Arial" w:cs="Arial"/>
          <w:bCs/>
          <w:sz w:val="26"/>
          <w:szCs w:val="26"/>
          <w:lang w:eastAsia="es-ES"/>
        </w:rPr>
        <w:t>con fundamento en los artículos</w:t>
      </w:r>
      <w:r w:rsidR="00E5533A">
        <w:rPr>
          <w:rFonts w:ascii="Arial" w:eastAsia="Calibri" w:hAnsi="Arial" w:cs="Arial"/>
          <w:bCs/>
          <w:sz w:val="26"/>
          <w:szCs w:val="26"/>
          <w:lang w:eastAsia="es-ES"/>
        </w:rPr>
        <w:t xml:space="preserve"> 158,</w:t>
      </w:r>
      <w:r w:rsidR="001628D3">
        <w:rPr>
          <w:rFonts w:ascii="Arial" w:eastAsia="Calibri" w:hAnsi="Arial" w:cs="Arial"/>
          <w:bCs/>
          <w:sz w:val="26"/>
          <w:szCs w:val="26"/>
          <w:lang w:eastAsia="es-ES"/>
        </w:rPr>
        <w:t xml:space="preserve"> 161 fracción X y 182 fracción I de la Ley de </w:t>
      </w:r>
      <w:r w:rsidR="001628D3" w:rsidRPr="00C91F07">
        <w:rPr>
          <w:rFonts w:ascii="Arial" w:eastAsia="Calibri" w:hAnsi="Arial" w:cs="Arial"/>
          <w:bCs/>
          <w:sz w:val="26"/>
          <w:szCs w:val="26"/>
          <w:lang w:eastAsia="es-ES"/>
        </w:rPr>
        <w:t xml:space="preserve">Procedimiento y Justicia Administrativa para el Estado de </w:t>
      </w:r>
      <w:r w:rsidR="001628D3" w:rsidRPr="00C91F07">
        <w:rPr>
          <w:rFonts w:ascii="Arial" w:eastAsia="Calibri" w:hAnsi="Arial" w:cs="Arial"/>
          <w:bCs/>
          <w:sz w:val="26"/>
          <w:szCs w:val="26"/>
          <w:lang w:eastAsia="es-ES"/>
        </w:rPr>
        <w:lastRenderedPageBreak/>
        <w:t>Oaxaca</w:t>
      </w:r>
      <w:r w:rsidR="001628D3">
        <w:rPr>
          <w:rFonts w:ascii="Arial" w:eastAsia="Calibri" w:hAnsi="Arial" w:cs="Arial"/>
          <w:bCs/>
          <w:sz w:val="26"/>
          <w:szCs w:val="26"/>
          <w:lang w:eastAsia="es-ES"/>
        </w:rPr>
        <w:t xml:space="preserve">, porque se declaró incompetente para conocer actos referentes a la rendición de cuentas, siendo esto último acertado, </w:t>
      </w:r>
      <w:r w:rsidR="00E5533A">
        <w:rPr>
          <w:rFonts w:ascii="Arial" w:eastAsia="Calibri" w:hAnsi="Arial" w:cs="Arial"/>
          <w:bCs/>
          <w:sz w:val="26"/>
          <w:szCs w:val="26"/>
          <w:lang w:eastAsia="es-ES"/>
        </w:rPr>
        <w:t xml:space="preserve">porque </w:t>
      </w:r>
      <w:r w:rsidR="001628D3">
        <w:rPr>
          <w:rFonts w:ascii="Arial" w:eastAsia="Calibri" w:hAnsi="Arial" w:cs="Arial"/>
          <w:bCs/>
          <w:sz w:val="26"/>
          <w:szCs w:val="26"/>
          <w:lang w:eastAsia="es-ES"/>
        </w:rPr>
        <w:t xml:space="preserve">conforme a lo dispuesto por los </w:t>
      </w:r>
      <w:bookmarkStart w:id="1" w:name="_Hlk109391577"/>
      <w:r w:rsidR="001628D3">
        <w:rPr>
          <w:rFonts w:ascii="Arial" w:eastAsia="Calibri" w:hAnsi="Arial" w:cs="Arial"/>
          <w:bCs/>
          <w:sz w:val="26"/>
          <w:szCs w:val="26"/>
          <w:lang w:eastAsia="es-ES"/>
        </w:rPr>
        <w:t>artículos 130 fracción VI</w:t>
      </w:r>
      <w:r w:rsidR="001628D3">
        <w:rPr>
          <w:rStyle w:val="Refdenotaalpie"/>
          <w:rFonts w:ascii="Arial" w:eastAsia="Calibri" w:hAnsi="Arial" w:cs="Arial"/>
          <w:bCs/>
          <w:sz w:val="26"/>
          <w:szCs w:val="26"/>
          <w:lang w:eastAsia="es-ES"/>
        </w:rPr>
        <w:footnoteReference w:id="3"/>
      </w:r>
      <w:r w:rsidR="001628D3">
        <w:rPr>
          <w:rFonts w:ascii="Arial" w:eastAsia="Calibri" w:hAnsi="Arial" w:cs="Arial"/>
          <w:bCs/>
          <w:sz w:val="26"/>
          <w:szCs w:val="26"/>
          <w:lang w:eastAsia="es-ES"/>
        </w:rPr>
        <w:t xml:space="preserve"> de la Ley de </w:t>
      </w:r>
      <w:r w:rsidR="001628D3" w:rsidRPr="00C91F07">
        <w:rPr>
          <w:rFonts w:ascii="Arial" w:eastAsia="Calibri" w:hAnsi="Arial" w:cs="Arial"/>
          <w:bCs/>
          <w:sz w:val="26"/>
          <w:szCs w:val="26"/>
          <w:lang w:eastAsia="es-ES"/>
        </w:rPr>
        <w:t>Procedimiento y Justicia Administrativa para el Estado de Oaxaca</w:t>
      </w:r>
      <w:r w:rsidR="001628D3">
        <w:rPr>
          <w:rFonts w:ascii="Arial" w:eastAsia="Calibri" w:hAnsi="Arial" w:cs="Arial"/>
          <w:bCs/>
          <w:sz w:val="26"/>
          <w:szCs w:val="26"/>
          <w:lang w:eastAsia="es-ES"/>
        </w:rPr>
        <w:t xml:space="preserve"> y 24 fracción I</w:t>
      </w:r>
      <w:r w:rsidR="001628D3">
        <w:rPr>
          <w:rStyle w:val="Refdenotaalpie"/>
          <w:rFonts w:ascii="Arial" w:eastAsia="Calibri" w:hAnsi="Arial" w:cs="Arial"/>
          <w:bCs/>
          <w:sz w:val="26"/>
          <w:szCs w:val="26"/>
          <w:lang w:eastAsia="es-ES"/>
        </w:rPr>
        <w:footnoteReference w:id="4"/>
      </w:r>
      <w:r w:rsidR="001628D3">
        <w:rPr>
          <w:rFonts w:ascii="Arial" w:eastAsia="Calibri" w:hAnsi="Arial" w:cs="Arial"/>
          <w:bCs/>
          <w:sz w:val="26"/>
          <w:szCs w:val="26"/>
          <w:lang w:eastAsia="es-ES"/>
        </w:rPr>
        <w:t xml:space="preserve"> de la Ley Orgánica del Tribunal de Justicia Administrativa del Estado de Oaxaca</w:t>
      </w:r>
      <w:bookmarkEnd w:id="1"/>
      <w:r w:rsidR="00E5533A">
        <w:rPr>
          <w:rFonts w:ascii="Arial" w:eastAsia="Calibri" w:hAnsi="Arial" w:cs="Arial"/>
          <w:bCs/>
          <w:sz w:val="26"/>
          <w:szCs w:val="26"/>
          <w:lang w:eastAsia="es-ES"/>
        </w:rPr>
        <w:t>, ese asunto es competencia de la Sala Superior de este Tribunal.</w:t>
      </w:r>
      <w:r w:rsidR="00CE4CAC">
        <w:rPr>
          <w:rFonts w:ascii="Arial" w:eastAsia="Calibri" w:hAnsi="Arial" w:cs="Arial"/>
          <w:bCs/>
          <w:sz w:val="26"/>
          <w:szCs w:val="26"/>
          <w:lang w:eastAsia="es-ES"/>
        </w:rPr>
        <w:t xml:space="preserve"> - - - - - - - - - - - - - - - - - - - - - - - - - - - - - - - - - - - - - - - - - - </w:t>
      </w:r>
    </w:p>
    <w:p w14:paraId="4428DEB0" w14:textId="539C24BD" w:rsidR="001628D3" w:rsidRPr="00C91F07" w:rsidRDefault="001628D3" w:rsidP="001628D3">
      <w:pPr>
        <w:spacing w:after="120" w:line="360" w:lineRule="auto"/>
        <w:ind w:right="49" w:firstLine="567"/>
        <w:jc w:val="both"/>
        <w:rPr>
          <w:rFonts w:ascii="Arial" w:eastAsia="Calibri" w:hAnsi="Arial" w:cs="Arial"/>
          <w:bCs/>
          <w:sz w:val="26"/>
          <w:szCs w:val="26"/>
          <w:lang w:eastAsia="es-ES"/>
        </w:rPr>
      </w:pPr>
      <w:r>
        <w:rPr>
          <w:rFonts w:ascii="Arial" w:eastAsia="Calibri" w:hAnsi="Arial" w:cs="Arial"/>
          <w:bCs/>
          <w:sz w:val="26"/>
          <w:szCs w:val="26"/>
          <w:lang w:eastAsia="es-ES"/>
        </w:rPr>
        <w:t xml:space="preserve">Además, </w:t>
      </w:r>
      <w:r w:rsidR="00526123">
        <w:rPr>
          <w:rFonts w:ascii="Arial" w:eastAsia="Calibri" w:hAnsi="Arial" w:cs="Arial"/>
          <w:bCs/>
          <w:sz w:val="26"/>
          <w:szCs w:val="26"/>
          <w:lang w:eastAsia="es-ES"/>
        </w:rPr>
        <w:t>es pertinente tener</w:t>
      </w:r>
      <w:r w:rsidRPr="00C91F07">
        <w:rPr>
          <w:rFonts w:ascii="Arial" w:eastAsia="Calibri" w:hAnsi="Arial" w:cs="Arial"/>
          <w:bCs/>
          <w:sz w:val="26"/>
          <w:szCs w:val="26"/>
          <w:lang w:eastAsia="es-ES"/>
        </w:rPr>
        <w:t xml:space="preserve"> en cuenta que </w:t>
      </w:r>
      <w:bookmarkStart w:id="2" w:name="_Hlk109391957"/>
      <w:r w:rsidRPr="00C91F07">
        <w:rPr>
          <w:rFonts w:ascii="Arial" w:eastAsia="Calibri" w:hAnsi="Arial" w:cs="Arial"/>
          <w:bCs/>
          <w:sz w:val="26"/>
          <w:szCs w:val="26"/>
          <w:lang w:eastAsia="es-ES"/>
        </w:rPr>
        <w:t>el artículo 1 de la Ley de Justicia de Fiscalización y Rendición de Cuentas para el Estado de Oaxaca establece que a través del juicio de inconformidad debe garantizarse que los actos y resoluciones de la Auditoría Superior del Estado, ahora Órgano Superior de Fiscalización del Estado de Oaxaca, se sujeten a los principios de legalidad, definitividad y demás principios constitucionales</w:t>
      </w:r>
      <w:bookmarkEnd w:id="2"/>
      <w:r w:rsidRPr="00C91F07">
        <w:rPr>
          <w:rFonts w:ascii="Arial" w:eastAsia="Calibri" w:hAnsi="Arial" w:cs="Arial"/>
          <w:bCs/>
          <w:sz w:val="26"/>
          <w:szCs w:val="26"/>
          <w:lang w:eastAsia="es-ES"/>
        </w:rPr>
        <w:t>.</w:t>
      </w:r>
      <w:r w:rsidR="00CE4CAC">
        <w:rPr>
          <w:rFonts w:ascii="Arial" w:eastAsia="Calibri" w:hAnsi="Arial" w:cs="Arial"/>
          <w:bCs/>
          <w:sz w:val="26"/>
          <w:szCs w:val="26"/>
          <w:lang w:eastAsia="es-ES"/>
        </w:rPr>
        <w:t xml:space="preserve"> - - - - - - - - - - - - - - - - - - - - - - - - - - - - - - - - - - - - - - - -</w:t>
      </w:r>
    </w:p>
    <w:p w14:paraId="6E8DB066" w14:textId="09A1FC7C" w:rsidR="001628D3" w:rsidRPr="00C91F07" w:rsidRDefault="001628D3" w:rsidP="005146B2">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Bajo esa consideración, se tiene que la vía adecuada para impugnar</w:t>
      </w:r>
      <w:r w:rsidR="00526123">
        <w:rPr>
          <w:rFonts w:ascii="Arial" w:eastAsia="Calibri" w:hAnsi="Arial" w:cs="Arial"/>
          <w:bCs/>
          <w:sz w:val="26"/>
          <w:szCs w:val="26"/>
          <w:lang w:eastAsia="es-ES"/>
        </w:rPr>
        <w:t xml:space="preserve"> </w:t>
      </w:r>
      <w:r w:rsidR="00526123" w:rsidRPr="00526123">
        <w:rPr>
          <w:rFonts w:ascii="Arial" w:eastAsia="Calibri" w:hAnsi="Arial" w:cs="Arial"/>
          <w:bCs/>
          <w:sz w:val="26"/>
          <w:szCs w:val="26"/>
          <w:lang w:eastAsia="es-ES"/>
        </w:rPr>
        <w:t xml:space="preserve">la resolución contenida en </w:t>
      </w:r>
      <w:bookmarkStart w:id="3" w:name="_Hlk109418139"/>
      <w:r w:rsidR="00526123" w:rsidRPr="00526123">
        <w:rPr>
          <w:rFonts w:ascii="Arial" w:eastAsia="Calibri" w:hAnsi="Arial" w:cs="Arial"/>
          <w:bCs/>
          <w:sz w:val="26"/>
          <w:szCs w:val="26"/>
          <w:lang w:eastAsia="es-ES"/>
        </w:rPr>
        <w:t xml:space="preserve">el oficio número </w:t>
      </w:r>
      <w:r w:rsidR="00EE3E94">
        <w:rPr>
          <w:rFonts w:ascii="Arial" w:eastAsia="Calibri" w:hAnsi="Arial" w:cs="Arial"/>
          <w:b/>
          <w:sz w:val="26"/>
          <w:szCs w:val="26"/>
          <w:lang w:eastAsia="es-ES"/>
        </w:rPr>
        <w:t>*******</w:t>
      </w:r>
      <w:r w:rsidR="00526123" w:rsidRPr="00526123">
        <w:rPr>
          <w:rFonts w:ascii="Arial" w:eastAsia="Calibri" w:hAnsi="Arial" w:cs="Arial"/>
          <w:bCs/>
          <w:sz w:val="26"/>
          <w:szCs w:val="26"/>
          <w:vertAlign w:val="superscript"/>
          <w:lang w:eastAsia="es-ES"/>
        </w:rPr>
        <w:footnoteReference w:id="5"/>
      </w:r>
      <w:r w:rsidR="00526123" w:rsidRPr="00526123">
        <w:rPr>
          <w:rFonts w:ascii="Arial" w:eastAsia="Calibri" w:hAnsi="Arial" w:cs="Arial"/>
          <w:bCs/>
          <w:sz w:val="26"/>
          <w:szCs w:val="26"/>
          <w:lang w:eastAsia="es-ES"/>
        </w:rPr>
        <w:t xml:space="preserve"> de tres de agosto de dos mil veintiuno, emitido en el expediente </w:t>
      </w:r>
      <w:r w:rsidR="00EE3E94">
        <w:rPr>
          <w:rFonts w:ascii="Arial" w:eastAsia="Calibri" w:hAnsi="Arial" w:cs="Arial"/>
          <w:b/>
          <w:sz w:val="26"/>
          <w:szCs w:val="26"/>
          <w:lang w:eastAsia="es-ES"/>
        </w:rPr>
        <w:t>*******</w:t>
      </w:r>
      <w:r w:rsidR="00526123" w:rsidRPr="00526123">
        <w:rPr>
          <w:rFonts w:ascii="Arial" w:eastAsia="Calibri" w:hAnsi="Arial" w:cs="Arial"/>
          <w:bCs/>
          <w:sz w:val="26"/>
          <w:szCs w:val="26"/>
          <w:lang w:eastAsia="es-ES"/>
        </w:rPr>
        <w:t xml:space="preserve"> del índice del Órgano Superior de Fiscalización de Estado de Oaxaca,</w:t>
      </w:r>
      <w:r w:rsidR="005C5A6F">
        <w:rPr>
          <w:rFonts w:ascii="Arial" w:eastAsia="Calibri" w:hAnsi="Arial" w:cs="Arial"/>
          <w:bCs/>
          <w:sz w:val="26"/>
          <w:szCs w:val="26"/>
          <w:lang w:eastAsia="es-ES"/>
        </w:rPr>
        <w:t xml:space="preserve"> </w:t>
      </w:r>
      <w:bookmarkEnd w:id="3"/>
      <w:r w:rsidR="005146B2">
        <w:rPr>
          <w:rFonts w:ascii="Arial" w:eastAsia="Calibri" w:hAnsi="Arial" w:cs="Arial"/>
          <w:bCs/>
          <w:sz w:val="26"/>
          <w:szCs w:val="26"/>
          <w:lang w:eastAsia="es-ES"/>
        </w:rPr>
        <w:t xml:space="preserve">es </w:t>
      </w:r>
      <w:r w:rsidRPr="00C91F07">
        <w:rPr>
          <w:rFonts w:ascii="Arial" w:eastAsia="Calibri" w:hAnsi="Arial" w:cs="Arial"/>
          <w:bCs/>
          <w:sz w:val="26"/>
          <w:szCs w:val="26"/>
          <w:lang w:eastAsia="es-ES"/>
        </w:rPr>
        <w:t xml:space="preserve">el </w:t>
      </w:r>
      <w:r w:rsidRPr="00C91F07">
        <w:rPr>
          <w:rFonts w:ascii="Arial" w:eastAsia="Calibri" w:hAnsi="Arial" w:cs="Arial"/>
          <w:b/>
          <w:bCs/>
          <w:sz w:val="26"/>
          <w:szCs w:val="26"/>
          <w:lang w:eastAsia="es-ES"/>
        </w:rPr>
        <w:t xml:space="preserve">juicio de inconformidad, </w:t>
      </w:r>
      <w:r w:rsidR="005146B2">
        <w:rPr>
          <w:rFonts w:ascii="Arial" w:eastAsia="Calibri" w:hAnsi="Arial" w:cs="Arial"/>
          <w:bCs/>
          <w:sz w:val="26"/>
          <w:szCs w:val="26"/>
          <w:lang w:eastAsia="es-ES"/>
        </w:rPr>
        <w:t xml:space="preserve">como </w:t>
      </w:r>
      <w:r w:rsidRPr="00C91F07">
        <w:rPr>
          <w:rFonts w:ascii="Arial" w:eastAsia="Calibri" w:hAnsi="Arial" w:cs="Arial"/>
          <w:bCs/>
          <w:sz w:val="26"/>
          <w:szCs w:val="26"/>
          <w:lang w:eastAsia="es-ES"/>
        </w:rPr>
        <w:t>medio para garantizar al recurrente el derecho al debido proceso y el acceso a la tutela judicial efectiva previstos respectivamente, en los artículos 14 y 17 de la Constitución Política de los Estados Unidos Mexicanos, por lo tanto, la Quinta Sala Unitaria, en vez de desechar por improcedente la demanda en el acuerdo recurrido</w:t>
      </w:r>
      <w:r>
        <w:rPr>
          <w:rFonts w:ascii="Arial" w:eastAsia="Calibri" w:hAnsi="Arial" w:cs="Arial"/>
          <w:bCs/>
          <w:sz w:val="26"/>
          <w:szCs w:val="26"/>
          <w:lang w:eastAsia="es-ES"/>
        </w:rPr>
        <w:t xml:space="preserve"> al haberse declarado incompetente</w:t>
      </w:r>
      <w:r w:rsidRPr="00C91F07">
        <w:rPr>
          <w:rFonts w:ascii="Arial" w:eastAsia="Calibri" w:hAnsi="Arial" w:cs="Arial"/>
          <w:bCs/>
          <w:sz w:val="26"/>
          <w:szCs w:val="26"/>
          <w:lang w:eastAsia="es-ES"/>
        </w:rPr>
        <w:t>, debió declinar su competencia a favor de la Sala Superior de este Tribunal, que es la instancia competente para resolver el juicio de inconformidad, en términos de</w:t>
      </w:r>
      <w:r>
        <w:rPr>
          <w:rFonts w:ascii="Arial" w:eastAsia="Calibri" w:hAnsi="Arial" w:cs="Arial"/>
          <w:bCs/>
          <w:sz w:val="26"/>
          <w:szCs w:val="26"/>
          <w:lang w:eastAsia="es-ES"/>
        </w:rPr>
        <w:t xml:space="preserve"> los numerales 130 fracción VI de la Ley de </w:t>
      </w:r>
      <w:r w:rsidRPr="00C91F07">
        <w:rPr>
          <w:rFonts w:ascii="Arial" w:eastAsia="Calibri" w:hAnsi="Arial" w:cs="Arial"/>
          <w:bCs/>
          <w:sz w:val="26"/>
          <w:szCs w:val="26"/>
          <w:lang w:eastAsia="es-ES"/>
        </w:rPr>
        <w:t>Procedimiento y Justicia Administrativa para el Estado de Oaxaca</w:t>
      </w:r>
      <w:r>
        <w:rPr>
          <w:rFonts w:ascii="Arial" w:eastAsia="Calibri" w:hAnsi="Arial" w:cs="Arial"/>
          <w:bCs/>
          <w:sz w:val="26"/>
          <w:szCs w:val="26"/>
          <w:lang w:eastAsia="es-ES"/>
        </w:rPr>
        <w:t xml:space="preserve"> y 24 fracción I de la Ley Orgánica del Tribunal de Justicia Administrativa del Estado de Oaxaca, previamente señalados, </w:t>
      </w:r>
      <w:r w:rsidRPr="00C91F07">
        <w:rPr>
          <w:rFonts w:ascii="Arial" w:eastAsia="Calibri" w:hAnsi="Arial" w:cs="Arial"/>
          <w:bCs/>
          <w:sz w:val="26"/>
          <w:szCs w:val="26"/>
          <w:lang w:eastAsia="es-ES"/>
        </w:rPr>
        <w:t xml:space="preserve">para salvaguardar el derecho de acceso a la </w:t>
      </w:r>
      <w:r w:rsidRPr="00C91F07">
        <w:rPr>
          <w:rFonts w:ascii="Arial" w:eastAsia="Calibri" w:hAnsi="Arial" w:cs="Arial"/>
          <w:bCs/>
          <w:sz w:val="26"/>
          <w:szCs w:val="26"/>
          <w:lang w:eastAsia="es-ES"/>
        </w:rPr>
        <w:lastRenderedPageBreak/>
        <w:t>justicia del demandante. De ahí lo</w:t>
      </w:r>
      <w:r w:rsidRPr="00C91F07">
        <w:rPr>
          <w:rFonts w:ascii="Arial" w:eastAsia="Calibri" w:hAnsi="Arial" w:cs="Arial"/>
          <w:b/>
          <w:bCs/>
          <w:sz w:val="26"/>
          <w:szCs w:val="26"/>
          <w:lang w:eastAsia="es-ES"/>
        </w:rPr>
        <w:t xml:space="preserve"> </w:t>
      </w:r>
      <w:r w:rsidR="00B77992">
        <w:rPr>
          <w:rFonts w:ascii="Arial" w:eastAsia="Calibri" w:hAnsi="Arial" w:cs="Arial"/>
          <w:b/>
          <w:bCs/>
          <w:sz w:val="26"/>
          <w:szCs w:val="26"/>
          <w:lang w:eastAsia="es-ES"/>
        </w:rPr>
        <w:t xml:space="preserve">sustancialmente </w:t>
      </w:r>
      <w:r w:rsidRPr="00C91F07">
        <w:rPr>
          <w:rFonts w:ascii="Arial" w:eastAsia="Calibri" w:hAnsi="Arial" w:cs="Arial"/>
          <w:b/>
          <w:bCs/>
          <w:sz w:val="26"/>
          <w:szCs w:val="26"/>
          <w:lang w:eastAsia="es-ES"/>
        </w:rPr>
        <w:t>fundado</w:t>
      </w:r>
      <w:r w:rsidRPr="00C91F07">
        <w:rPr>
          <w:rFonts w:ascii="Arial" w:eastAsia="Calibri" w:hAnsi="Arial" w:cs="Arial"/>
          <w:bCs/>
          <w:sz w:val="26"/>
          <w:szCs w:val="26"/>
          <w:lang w:eastAsia="es-ES"/>
        </w:rPr>
        <w:t xml:space="preserve"> del agravio. </w:t>
      </w:r>
      <w:r w:rsidR="00CE4CAC">
        <w:rPr>
          <w:rFonts w:ascii="Arial" w:eastAsia="Calibri" w:hAnsi="Arial" w:cs="Arial"/>
          <w:bCs/>
          <w:sz w:val="26"/>
          <w:szCs w:val="26"/>
          <w:lang w:eastAsia="es-ES"/>
        </w:rPr>
        <w:t xml:space="preserve">- - - - - - - - - - - - - - - - - - - - - </w:t>
      </w:r>
      <w:r w:rsidR="00EE3E94">
        <w:rPr>
          <w:rFonts w:ascii="Arial" w:eastAsia="Calibri" w:hAnsi="Arial" w:cs="Arial"/>
          <w:bCs/>
          <w:sz w:val="26"/>
          <w:szCs w:val="26"/>
          <w:lang w:eastAsia="es-ES"/>
        </w:rPr>
        <w:t>- - - - - - - - - - - - - - - - - - - - - - - - -</w:t>
      </w:r>
    </w:p>
    <w:p w14:paraId="59D75370" w14:textId="778E607E" w:rsidR="001628D3" w:rsidRPr="00C91F07" w:rsidRDefault="001628D3" w:rsidP="00CE4CAC">
      <w:pPr>
        <w:widowControl w:val="0"/>
        <w:tabs>
          <w:tab w:val="left" w:pos="0"/>
        </w:tabs>
        <w:spacing w:before="240" w:line="360" w:lineRule="auto"/>
        <w:ind w:right="18"/>
        <w:jc w:val="both"/>
        <w:rPr>
          <w:rFonts w:ascii="Arial" w:eastAsia="Times New Roman" w:hAnsi="Arial" w:cs="Arial"/>
          <w:bCs/>
          <w:color w:val="000000"/>
          <w:sz w:val="26"/>
          <w:szCs w:val="26"/>
        </w:rPr>
      </w:pPr>
      <w:r w:rsidRPr="00C91F07">
        <w:rPr>
          <w:rFonts w:ascii="Arial" w:hAnsi="Arial" w:cs="Arial"/>
          <w:sz w:val="26"/>
          <w:szCs w:val="26"/>
        </w:rPr>
        <w:tab/>
      </w:r>
      <w:r w:rsidRPr="00C91F07">
        <w:rPr>
          <w:rFonts w:ascii="Arial" w:eastAsia="Times New Roman" w:hAnsi="Arial" w:cs="Arial"/>
          <w:iCs/>
          <w:sz w:val="26"/>
          <w:szCs w:val="26"/>
        </w:rPr>
        <w:t xml:space="preserve">Ahora, </w:t>
      </w:r>
      <w:r>
        <w:rPr>
          <w:rFonts w:ascii="Arial" w:eastAsia="Times New Roman" w:hAnsi="Arial" w:cs="Arial"/>
          <w:iCs/>
          <w:sz w:val="26"/>
          <w:szCs w:val="26"/>
        </w:rPr>
        <w:t>a fin de reparar el agravio ocasionado por</w:t>
      </w:r>
      <w:r w:rsidRPr="00C91F07">
        <w:rPr>
          <w:rFonts w:ascii="Arial" w:eastAsia="Times New Roman" w:hAnsi="Arial" w:cs="Arial"/>
          <w:iCs/>
          <w:sz w:val="26"/>
          <w:szCs w:val="26"/>
        </w:rPr>
        <w:t xml:space="preserve"> la Quinta Sala Unitaria de Primera Instancia</w:t>
      </w:r>
      <w:r>
        <w:rPr>
          <w:rFonts w:ascii="Arial" w:eastAsia="Times New Roman" w:hAnsi="Arial" w:cs="Arial"/>
          <w:iCs/>
          <w:sz w:val="26"/>
          <w:szCs w:val="26"/>
        </w:rPr>
        <w:t xml:space="preserve"> al recurrente</w:t>
      </w:r>
      <w:r w:rsidRPr="00C91F07">
        <w:rPr>
          <w:rFonts w:ascii="Arial" w:eastAsia="Times New Roman" w:hAnsi="Arial" w:cs="Arial"/>
          <w:sz w:val="26"/>
          <w:szCs w:val="26"/>
        </w:rPr>
        <w:t xml:space="preserve">, a fin de repararlos, es procedente </w:t>
      </w:r>
      <w:bookmarkStart w:id="4" w:name="_Hlk109392282"/>
      <w:r>
        <w:rPr>
          <w:rFonts w:ascii="Arial" w:eastAsia="Times New Roman" w:hAnsi="Arial" w:cs="Arial"/>
          <w:b/>
          <w:sz w:val="26"/>
          <w:szCs w:val="26"/>
        </w:rPr>
        <w:t xml:space="preserve">MODIFICAR </w:t>
      </w:r>
      <w:r w:rsidRPr="00C91F07">
        <w:rPr>
          <w:rFonts w:ascii="Arial" w:eastAsia="Times New Roman" w:hAnsi="Arial" w:cs="Arial"/>
          <w:sz w:val="26"/>
          <w:szCs w:val="26"/>
        </w:rPr>
        <w:t>el</w:t>
      </w:r>
      <w:r>
        <w:rPr>
          <w:rFonts w:ascii="Arial" w:eastAsia="Times New Roman" w:hAnsi="Arial" w:cs="Arial"/>
          <w:sz w:val="26"/>
          <w:szCs w:val="26"/>
        </w:rPr>
        <w:t xml:space="preserve"> acuerdo de </w:t>
      </w:r>
      <w:r w:rsidR="00A857E7">
        <w:rPr>
          <w:rFonts w:ascii="Arial" w:eastAsia="Times New Roman" w:hAnsi="Arial" w:cs="Arial"/>
          <w:sz w:val="26"/>
          <w:szCs w:val="26"/>
        </w:rPr>
        <w:t xml:space="preserve">trece de octubre </w:t>
      </w:r>
      <w:r>
        <w:rPr>
          <w:rFonts w:ascii="Arial" w:eastAsia="Times New Roman" w:hAnsi="Arial" w:cs="Arial"/>
          <w:sz w:val="26"/>
          <w:szCs w:val="26"/>
        </w:rPr>
        <w:t xml:space="preserve">de dos mil </w:t>
      </w:r>
      <w:r w:rsidRPr="009469C2">
        <w:rPr>
          <w:rFonts w:ascii="Arial" w:eastAsia="Times New Roman" w:hAnsi="Arial" w:cs="Arial"/>
          <w:sz w:val="26"/>
          <w:szCs w:val="26"/>
        </w:rPr>
        <w:t>veinti</w:t>
      </w:r>
      <w:bookmarkEnd w:id="4"/>
      <w:r w:rsidR="00A857E7">
        <w:rPr>
          <w:rFonts w:ascii="Arial" w:eastAsia="Times New Roman" w:hAnsi="Arial" w:cs="Arial"/>
          <w:sz w:val="26"/>
          <w:szCs w:val="26"/>
        </w:rPr>
        <w:t>uno</w:t>
      </w:r>
      <w:r w:rsidRPr="00C91F07">
        <w:rPr>
          <w:rFonts w:ascii="Arial" w:eastAsia="Times New Roman" w:hAnsi="Arial" w:cs="Arial"/>
          <w:sz w:val="26"/>
          <w:szCs w:val="26"/>
        </w:rPr>
        <w:t xml:space="preserve">, </w:t>
      </w:r>
      <w:r w:rsidRPr="00C91F07">
        <w:rPr>
          <w:rFonts w:ascii="Arial" w:eastAsia="Calibri" w:hAnsi="Arial" w:cs="Arial"/>
          <w:bCs/>
          <w:sz w:val="26"/>
          <w:szCs w:val="26"/>
        </w:rPr>
        <w:t xml:space="preserve">en los siguientes términos: </w:t>
      </w:r>
      <w:r w:rsidR="00CE4CAC">
        <w:rPr>
          <w:rFonts w:ascii="Arial" w:eastAsia="Calibri" w:hAnsi="Arial" w:cs="Arial"/>
          <w:bCs/>
          <w:sz w:val="26"/>
          <w:szCs w:val="26"/>
        </w:rPr>
        <w:t xml:space="preserve">- - - - - - - - - - - - - - - - - - - - - - - - - </w:t>
      </w:r>
    </w:p>
    <w:p w14:paraId="34A8C52F" w14:textId="0A44EA9D" w:rsidR="001628D3" w:rsidRPr="003109FC" w:rsidRDefault="001628D3" w:rsidP="00CE4CAC">
      <w:pPr>
        <w:spacing w:after="0"/>
        <w:ind w:left="567" w:right="616"/>
        <w:jc w:val="both"/>
        <w:rPr>
          <w:rFonts w:ascii="Arial" w:hAnsi="Arial" w:cs="Arial"/>
          <w:i/>
          <w:iCs/>
        </w:rPr>
      </w:pPr>
      <w:r>
        <w:rPr>
          <w:rFonts w:ascii="Arial" w:eastAsia="Times New Roman" w:hAnsi="Arial" w:cs="Arial"/>
          <w:bCs/>
          <w:i/>
          <w:iCs/>
          <w:lang w:eastAsia="es-ES"/>
        </w:rPr>
        <w:t xml:space="preserve">“En razón de lo antes vertido, y toda vez que </w:t>
      </w:r>
      <w:r w:rsidRPr="009469C2">
        <w:rPr>
          <w:rFonts w:ascii="Arial" w:eastAsia="Times New Roman" w:hAnsi="Arial" w:cs="Arial"/>
          <w:bCs/>
          <w:i/>
          <w:iCs/>
          <w:lang w:eastAsia="es-ES"/>
        </w:rPr>
        <w:t>el artículo 1 de la Ley de Justicia de Fiscalización y Rendición de Cuentas para el Estado de Oaxaca establece que a través del juicio de inconformidad debe garantizarse que los actos y resoluciones de la Auditoría Superior del Estado, ahora Órgano Superior de Fiscalización del Estado de Oaxaca, se sujeten a los principios de legalidad, definitividad y demás principios constitucionales</w:t>
      </w:r>
      <w:r>
        <w:rPr>
          <w:rFonts w:ascii="Arial" w:eastAsia="Times New Roman" w:hAnsi="Arial" w:cs="Arial"/>
          <w:bCs/>
          <w:i/>
          <w:iCs/>
          <w:lang w:eastAsia="es-ES"/>
        </w:rPr>
        <w:t xml:space="preserve">, con fundamento en los </w:t>
      </w:r>
      <w:r w:rsidRPr="00C91F07">
        <w:rPr>
          <w:rFonts w:ascii="Arial" w:hAnsi="Arial" w:cs="Arial"/>
          <w:i/>
          <w:iCs/>
        </w:rPr>
        <w:t xml:space="preserve">artículos 114 QUÁTER de la Constitución Política del Estado Libre y Soberano de Oaxaca, así como los artículos 1, 2, 5 y 28, de la Ley de Justicia de Fiscalización y Rendición de Cuentas para el Estado de Oaxaca; en relación con los artículos 1, 3, 118, </w:t>
      </w:r>
      <w:r>
        <w:rPr>
          <w:rFonts w:ascii="Arial" w:hAnsi="Arial" w:cs="Arial"/>
          <w:i/>
          <w:iCs/>
        </w:rPr>
        <w:t>13</w:t>
      </w:r>
      <w:r w:rsidRPr="00C91F07">
        <w:rPr>
          <w:rFonts w:ascii="Arial" w:hAnsi="Arial" w:cs="Arial"/>
          <w:i/>
          <w:iCs/>
        </w:rPr>
        <w:t xml:space="preserve">0, fracción VI, de la Ley de Procedimiento y Justicia Administrativa para el Estado de Oaxaca; 4, fracción II y 24 fracción I de la Ley Orgánica del Tribunal de Justicia Administrativa del Estado de Oaxaca y 3, fracción XLII, del Reglamento Interno del Tribunal de Justicia Administrativa del Estado de Oaxaca, y con la finalidad de garantizar los derechos de seguridad jurídica, tutela judicial efectiva y debido proceso del promovente, </w:t>
      </w:r>
      <w:r>
        <w:rPr>
          <w:rFonts w:ascii="Arial" w:hAnsi="Arial" w:cs="Arial"/>
          <w:i/>
          <w:iCs/>
        </w:rPr>
        <w:t xml:space="preserve">contenidos en los artículos 14, 16 y 17 de la Constitución Federal, </w:t>
      </w:r>
      <w:r w:rsidRPr="00C91F07">
        <w:rPr>
          <w:rFonts w:ascii="Arial" w:hAnsi="Arial" w:cs="Arial"/>
          <w:i/>
          <w:iCs/>
        </w:rPr>
        <w:t>esta Quinta Sala Unitaria de Primera Instancia</w:t>
      </w:r>
      <w:r>
        <w:rPr>
          <w:rFonts w:ascii="Arial" w:hAnsi="Arial" w:cs="Arial"/>
          <w:i/>
          <w:iCs/>
        </w:rPr>
        <w:t xml:space="preserve"> reitera que </w:t>
      </w:r>
      <w:r w:rsidRPr="00C91F07">
        <w:rPr>
          <w:rFonts w:ascii="Arial" w:hAnsi="Arial" w:cs="Arial"/>
          <w:b/>
          <w:i/>
          <w:iCs/>
        </w:rPr>
        <w:t>SE DECLARA INCOMPETENTE</w:t>
      </w:r>
      <w:r w:rsidRPr="00C91F07">
        <w:rPr>
          <w:rFonts w:ascii="Arial" w:hAnsi="Arial" w:cs="Arial"/>
          <w:i/>
          <w:iCs/>
        </w:rPr>
        <w:t xml:space="preserve"> para tramitar la demanda </w:t>
      </w:r>
      <w:r w:rsidR="00FD67D8">
        <w:rPr>
          <w:rFonts w:ascii="Arial" w:hAnsi="Arial" w:cs="Arial"/>
          <w:i/>
          <w:iCs/>
        </w:rPr>
        <w:t>de</w:t>
      </w:r>
      <w:r w:rsidRPr="00C91F07">
        <w:rPr>
          <w:rFonts w:ascii="Arial" w:hAnsi="Arial" w:cs="Arial"/>
          <w:i/>
          <w:iCs/>
        </w:rPr>
        <w:t xml:space="preserve"> </w:t>
      </w:r>
      <w:r w:rsidR="00EE3E94">
        <w:rPr>
          <w:rFonts w:ascii="Arial" w:hAnsi="Arial" w:cs="Arial"/>
          <w:b/>
          <w:bCs/>
          <w:i/>
          <w:iCs/>
        </w:rPr>
        <w:t>*******</w:t>
      </w:r>
      <w:r w:rsidR="00FD67D8">
        <w:rPr>
          <w:rFonts w:ascii="Arial" w:hAnsi="Arial" w:cs="Arial"/>
          <w:b/>
          <w:bCs/>
          <w:i/>
          <w:iCs/>
        </w:rPr>
        <w:t xml:space="preserve">, </w:t>
      </w:r>
      <w:r w:rsidR="003109FC" w:rsidRPr="003109FC">
        <w:rPr>
          <w:rFonts w:ascii="Arial" w:hAnsi="Arial" w:cs="Arial"/>
          <w:i/>
          <w:iCs/>
        </w:rPr>
        <w:t>para pretender la nulidad</w:t>
      </w:r>
      <w:r w:rsidR="003109FC">
        <w:rPr>
          <w:rFonts w:ascii="Arial" w:hAnsi="Arial" w:cs="Arial"/>
          <w:b/>
          <w:bCs/>
          <w:i/>
          <w:iCs/>
        </w:rPr>
        <w:t xml:space="preserve"> </w:t>
      </w:r>
      <w:r w:rsidR="00FD67D8" w:rsidRPr="00FD67D8">
        <w:rPr>
          <w:rFonts w:ascii="Arial" w:hAnsi="Arial" w:cs="Arial"/>
          <w:i/>
          <w:iCs/>
        </w:rPr>
        <w:t xml:space="preserve">del oficio número </w:t>
      </w:r>
      <w:r w:rsidR="00EE3E94">
        <w:rPr>
          <w:rFonts w:ascii="Arial" w:hAnsi="Arial" w:cs="Arial"/>
          <w:i/>
          <w:iCs/>
        </w:rPr>
        <w:t>*******</w:t>
      </w:r>
      <w:r w:rsidR="00FD67D8" w:rsidRPr="00FD67D8">
        <w:rPr>
          <w:rFonts w:ascii="Arial" w:hAnsi="Arial" w:cs="Arial"/>
          <w:i/>
          <w:iCs/>
        </w:rPr>
        <w:t xml:space="preserve">  de tres de agosto de dos mil veintiuno, emitido en el expediente </w:t>
      </w:r>
      <w:r w:rsidR="00EE3E94">
        <w:rPr>
          <w:rFonts w:ascii="Arial" w:hAnsi="Arial" w:cs="Arial"/>
          <w:i/>
          <w:iCs/>
        </w:rPr>
        <w:t>*******</w:t>
      </w:r>
      <w:r w:rsidR="00FD67D8" w:rsidRPr="00FD67D8">
        <w:rPr>
          <w:rFonts w:ascii="Arial" w:hAnsi="Arial" w:cs="Arial"/>
          <w:i/>
          <w:iCs/>
        </w:rPr>
        <w:t xml:space="preserve"> del índice del Órgano Superior de Fiscalización de Estado de Oaxaca,</w:t>
      </w:r>
      <w:r w:rsidR="00927180">
        <w:rPr>
          <w:rFonts w:ascii="Arial" w:hAnsi="Arial" w:cs="Arial"/>
          <w:i/>
          <w:iCs/>
        </w:rPr>
        <w:t xml:space="preserve"> </w:t>
      </w:r>
      <w:r w:rsidRPr="00C91F07">
        <w:rPr>
          <w:rFonts w:ascii="Arial" w:hAnsi="Arial" w:cs="Arial"/>
          <w:bCs/>
          <w:i/>
          <w:iCs/>
        </w:rPr>
        <w:t xml:space="preserve">y se ordena remitir a la Secretaría General de Acuerdos de este Tribunal los autos del presente expediente, </w:t>
      </w:r>
      <w:r w:rsidRPr="00C91F07">
        <w:rPr>
          <w:rFonts w:ascii="Arial" w:hAnsi="Arial" w:cs="Arial"/>
          <w:i/>
          <w:iCs/>
        </w:rPr>
        <w:t>para que desahogue el trámite del juicio de inconformidad ante la Sala Superior, que es la instancia competente para sustanciar y dirimir los asuntos planteados contra la autoridad en materia de fiscalización y rendición de cuentas.</w:t>
      </w:r>
      <w:r>
        <w:rPr>
          <w:rFonts w:ascii="Arial" w:eastAsia="Times New Roman" w:hAnsi="Arial" w:cs="Arial"/>
          <w:b/>
          <w:bCs/>
          <w:i/>
          <w:iCs/>
          <w:lang w:eastAsia="es-ES"/>
        </w:rPr>
        <w:t xml:space="preserve"> (…)</w:t>
      </w:r>
      <w:r w:rsidRPr="00C91F07">
        <w:rPr>
          <w:rFonts w:ascii="Arial" w:hAnsi="Arial" w:cs="Arial"/>
          <w:i/>
        </w:rPr>
        <w:t>”</w:t>
      </w:r>
      <w:r w:rsidRPr="00C91F07">
        <w:rPr>
          <w:rFonts w:ascii="Arial" w:eastAsia="Times New Roman" w:hAnsi="Arial" w:cs="Arial"/>
          <w:b/>
          <w:bCs/>
          <w:i/>
          <w:iCs/>
          <w:lang w:eastAsia="es-ES"/>
        </w:rPr>
        <w:t xml:space="preserve"> </w:t>
      </w:r>
    </w:p>
    <w:p w14:paraId="49A15937" w14:textId="77777777" w:rsidR="001628D3" w:rsidRPr="00C91F07" w:rsidRDefault="001628D3" w:rsidP="001628D3"/>
    <w:p w14:paraId="4DE87536" w14:textId="76500DE0" w:rsidR="001628D3" w:rsidRPr="00C91F07" w:rsidRDefault="001628D3" w:rsidP="001628D3">
      <w:pPr>
        <w:spacing w:line="360" w:lineRule="auto"/>
        <w:ind w:firstLine="708"/>
        <w:jc w:val="both"/>
        <w:rPr>
          <w:rFonts w:ascii="Arial" w:eastAsia="Times New Roman" w:hAnsi="Arial" w:cs="Arial"/>
          <w:sz w:val="26"/>
          <w:szCs w:val="26"/>
          <w:lang w:eastAsia="es-ES"/>
        </w:rPr>
      </w:pPr>
      <w:r w:rsidRPr="00C91F07">
        <w:rPr>
          <w:rFonts w:ascii="Arial" w:eastAsia="Times New Roman" w:hAnsi="Arial" w:cs="Arial"/>
          <w:sz w:val="26"/>
          <w:szCs w:val="26"/>
          <w:lang w:eastAsia="es-ES"/>
        </w:rPr>
        <w:t>En mérito de lo anterior, con fundamento en los artículos 23</w:t>
      </w:r>
      <w:r>
        <w:rPr>
          <w:rFonts w:ascii="Arial" w:eastAsia="Times New Roman" w:hAnsi="Arial" w:cs="Arial"/>
          <w:sz w:val="26"/>
          <w:szCs w:val="26"/>
          <w:lang w:eastAsia="es-ES"/>
        </w:rPr>
        <w:t>6</w:t>
      </w:r>
      <w:r w:rsidRPr="00C91F07">
        <w:rPr>
          <w:rFonts w:ascii="Arial" w:eastAsia="Times New Roman" w:hAnsi="Arial" w:cs="Arial"/>
          <w:sz w:val="26"/>
          <w:szCs w:val="26"/>
          <w:lang w:eastAsia="es-ES"/>
        </w:rPr>
        <w:t xml:space="preserve"> y 238 de la Ley de Procedimiento y Justicia Administrativa para el Estado de Oaxaca, se:</w:t>
      </w:r>
      <w:r w:rsidR="00CE4CAC">
        <w:rPr>
          <w:rFonts w:ascii="Arial" w:eastAsia="Times New Roman" w:hAnsi="Arial" w:cs="Arial"/>
          <w:sz w:val="26"/>
          <w:szCs w:val="26"/>
          <w:lang w:eastAsia="es-ES"/>
        </w:rPr>
        <w:t xml:space="preserve"> - - - - - - - - - - - - - - - - - - - - - - - - - - - - - - - - - - - - - - - - - </w:t>
      </w:r>
    </w:p>
    <w:p w14:paraId="69E57779" w14:textId="77777777" w:rsidR="001628D3" w:rsidRPr="00CE4CAC" w:rsidRDefault="001628D3" w:rsidP="001628D3">
      <w:pPr>
        <w:spacing w:before="240" w:after="0" w:line="360" w:lineRule="auto"/>
        <w:jc w:val="center"/>
        <w:rPr>
          <w:rFonts w:ascii="Arial" w:hAnsi="Arial" w:cs="Arial"/>
          <w:b/>
          <w:sz w:val="26"/>
          <w:szCs w:val="26"/>
          <w:lang w:val="es-ES"/>
        </w:rPr>
      </w:pPr>
      <w:r w:rsidRPr="00CE4CAC">
        <w:rPr>
          <w:rFonts w:ascii="Arial" w:hAnsi="Arial" w:cs="Arial"/>
          <w:b/>
          <w:sz w:val="26"/>
          <w:szCs w:val="26"/>
          <w:lang w:val="es-ES"/>
        </w:rPr>
        <w:t>R E S U E L V E</w:t>
      </w:r>
    </w:p>
    <w:p w14:paraId="23255B83" w14:textId="47920651" w:rsidR="001628D3" w:rsidRPr="00C91F07" w:rsidRDefault="001628D3" w:rsidP="001628D3">
      <w:pPr>
        <w:spacing w:before="240" w:after="0" w:line="360" w:lineRule="auto"/>
        <w:ind w:firstLine="708"/>
        <w:jc w:val="both"/>
        <w:rPr>
          <w:rFonts w:ascii="Arial" w:hAnsi="Arial" w:cs="Arial"/>
          <w:color w:val="000000"/>
          <w:sz w:val="26"/>
          <w:szCs w:val="26"/>
        </w:rPr>
      </w:pPr>
      <w:r w:rsidRPr="00C91F07">
        <w:rPr>
          <w:rFonts w:ascii="Arial" w:hAnsi="Arial" w:cs="Arial"/>
          <w:b/>
          <w:color w:val="000000"/>
          <w:sz w:val="26"/>
          <w:szCs w:val="26"/>
          <w:lang w:val="es-ES"/>
        </w:rPr>
        <w:t>PRIMERO</w:t>
      </w:r>
      <w:r w:rsidRPr="00C91F07">
        <w:rPr>
          <w:rFonts w:ascii="Arial" w:hAnsi="Arial" w:cs="Arial"/>
          <w:color w:val="000000"/>
          <w:sz w:val="26"/>
          <w:szCs w:val="26"/>
          <w:lang w:val="es-ES"/>
        </w:rPr>
        <w:t xml:space="preserve">. </w:t>
      </w:r>
      <w:r w:rsidRPr="00C91F07">
        <w:rPr>
          <w:rFonts w:ascii="Arial" w:hAnsi="Arial" w:cs="Arial"/>
          <w:color w:val="000000"/>
          <w:sz w:val="26"/>
          <w:szCs w:val="26"/>
        </w:rPr>
        <w:t>Se</w:t>
      </w:r>
      <w:r w:rsidRPr="00C91F07">
        <w:rPr>
          <w:rFonts w:ascii="Arial" w:hAnsi="Arial" w:cs="Arial"/>
          <w:b/>
          <w:color w:val="000000"/>
          <w:sz w:val="26"/>
          <w:szCs w:val="26"/>
        </w:rPr>
        <w:t xml:space="preserve"> </w:t>
      </w:r>
      <w:r>
        <w:rPr>
          <w:rFonts w:ascii="Arial" w:hAnsi="Arial" w:cs="Arial"/>
          <w:b/>
          <w:color w:val="000000"/>
          <w:sz w:val="26"/>
          <w:szCs w:val="26"/>
        </w:rPr>
        <w:t xml:space="preserve">MODIFICA </w:t>
      </w:r>
      <w:r w:rsidRPr="00F20E59">
        <w:rPr>
          <w:rFonts w:ascii="Arial" w:hAnsi="Arial" w:cs="Arial"/>
          <w:bCs/>
          <w:color w:val="000000"/>
          <w:sz w:val="26"/>
          <w:szCs w:val="26"/>
        </w:rPr>
        <w:t xml:space="preserve">el acuerdo de </w:t>
      </w:r>
      <w:r w:rsidR="003109FC">
        <w:rPr>
          <w:rFonts w:ascii="Arial" w:hAnsi="Arial" w:cs="Arial"/>
          <w:bCs/>
          <w:color w:val="000000"/>
          <w:sz w:val="26"/>
          <w:szCs w:val="26"/>
        </w:rPr>
        <w:t>trece de octubre</w:t>
      </w:r>
      <w:r w:rsidRPr="00F20E59">
        <w:rPr>
          <w:rFonts w:ascii="Arial" w:hAnsi="Arial" w:cs="Arial"/>
          <w:bCs/>
          <w:color w:val="000000"/>
          <w:sz w:val="26"/>
          <w:szCs w:val="26"/>
        </w:rPr>
        <w:t xml:space="preserve"> de dos mil veinti</w:t>
      </w:r>
      <w:r w:rsidR="003109FC">
        <w:rPr>
          <w:rFonts w:ascii="Arial" w:hAnsi="Arial" w:cs="Arial"/>
          <w:bCs/>
          <w:color w:val="000000"/>
          <w:sz w:val="26"/>
          <w:szCs w:val="26"/>
        </w:rPr>
        <w:t>uno</w:t>
      </w:r>
      <w:r>
        <w:rPr>
          <w:rFonts w:ascii="Arial" w:hAnsi="Arial" w:cs="Arial"/>
          <w:bCs/>
          <w:color w:val="000000"/>
          <w:sz w:val="26"/>
          <w:szCs w:val="26"/>
        </w:rPr>
        <w:t xml:space="preserve">, </w:t>
      </w:r>
      <w:r w:rsidRPr="00C91F07">
        <w:rPr>
          <w:rFonts w:ascii="Arial" w:hAnsi="Arial" w:cs="Arial"/>
          <w:color w:val="000000"/>
          <w:sz w:val="26"/>
          <w:szCs w:val="26"/>
        </w:rPr>
        <w:t xml:space="preserve">por las razones expuestas por esta Sala Superior en el considerando que antecede. </w:t>
      </w:r>
      <w:r w:rsidR="00CE4CAC">
        <w:rPr>
          <w:rFonts w:ascii="Arial" w:hAnsi="Arial" w:cs="Arial"/>
          <w:color w:val="000000"/>
          <w:sz w:val="26"/>
          <w:szCs w:val="26"/>
        </w:rPr>
        <w:t xml:space="preserve">- - - - - - - - - - - - - - - - - - - - - - - - - - - - - - - </w:t>
      </w:r>
    </w:p>
    <w:p w14:paraId="6B348269" w14:textId="3895F359" w:rsidR="001628D3" w:rsidRPr="00C91F07" w:rsidRDefault="001628D3" w:rsidP="001628D3">
      <w:pPr>
        <w:widowControl w:val="0"/>
        <w:tabs>
          <w:tab w:val="left" w:pos="0"/>
        </w:tabs>
        <w:spacing w:before="240" w:line="360" w:lineRule="auto"/>
        <w:ind w:right="18"/>
        <w:jc w:val="both"/>
        <w:rPr>
          <w:rFonts w:ascii="Arial" w:hAnsi="Arial" w:cs="Arial"/>
          <w:sz w:val="26"/>
          <w:szCs w:val="26"/>
        </w:rPr>
      </w:pPr>
      <w:r w:rsidRPr="00C91F07">
        <w:rPr>
          <w:rFonts w:ascii="Arial" w:hAnsi="Arial" w:cs="Arial"/>
          <w:b/>
          <w:sz w:val="26"/>
          <w:szCs w:val="26"/>
        </w:rPr>
        <w:tab/>
        <w:t xml:space="preserve">SEGUNDO. </w:t>
      </w:r>
      <w:r w:rsidRPr="00C91F07">
        <w:rPr>
          <w:rFonts w:ascii="Arial" w:hAnsi="Arial" w:cs="Arial"/>
          <w:sz w:val="26"/>
          <w:szCs w:val="26"/>
        </w:rPr>
        <w:t xml:space="preserve">En cumplimiento a la presente resolución, se ordena a la Quinta Sala Unitaria de Primera Instancia, que remita a la Secretaría General de Acuerdos de este Tribunal, las constancias del expediente </w:t>
      </w:r>
      <w:r w:rsidRPr="00C91F07">
        <w:rPr>
          <w:rFonts w:ascii="Arial" w:hAnsi="Arial" w:cs="Arial"/>
          <w:b/>
          <w:sz w:val="26"/>
          <w:szCs w:val="26"/>
        </w:rPr>
        <w:lastRenderedPageBreak/>
        <w:t>0</w:t>
      </w:r>
      <w:r>
        <w:rPr>
          <w:rFonts w:ascii="Arial" w:hAnsi="Arial" w:cs="Arial"/>
          <w:b/>
          <w:sz w:val="26"/>
          <w:szCs w:val="26"/>
        </w:rPr>
        <w:t>0</w:t>
      </w:r>
      <w:r w:rsidR="003109FC">
        <w:rPr>
          <w:rFonts w:ascii="Arial" w:hAnsi="Arial" w:cs="Arial"/>
          <w:b/>
          <w:sz w:val="26"/>
          <w:szCs w:val="26"/>
        </w:rPr>
        <w:t>75</w:t>
      </w:r>
      <w:r>
        <w:rPr>
          <w:rFonts w:ascii="Arial" w:hAnsi="Arial" w:cs="Arial"/>
          <w:b/>
          <w:sz w:val="26"/>
          <w:szCs w:val="26"/>
        </w:rPr>
        <w:t>/</w:t>
      </w:r>
      <w:r w:rsidRPr="00C91F07">
        <w:rPr>
          <w:rFonts w:ascii="Arial" w:hAnsi="Arial" w:cs="Arial"/>
          <w:b/>
          <w:sz w:val="26"/>
          <w:szCs w:val="26"/>
        </w:rPr>
        <w:t>202</w:t>
      </w:r>
      <w:r w:rsidR="003109FC">
        <w:rPr>
          <w:rFonts w:ascii="Arial" w:hAnsi="Arial" w:cs="Arial"/>
          <w:b/>
          <w:sz w:val="26"/>
          <w:szCs w:val="26"/>
        </w:rPr>
        <w:t>1</w:t>
      </w:r>
      <w:r w:rsidRPr="00C91F07">
        <w:rPr>
          <w:rFonts w:ascii="Arial" w:hAnsi="Arial" w:cs="Arial"/>
          <w:sz w:val="26"/>
          <w:szCs w:val="26"/>
        </w:rPr>
        <w:t xml:space="preserve"> de su índice, para la tramitación del juicio de inconformidad correspondiente. </w:t>
      </w:r>
      <w:r w:rsidR="00542966">
        <w:rPr>
          <w:rFonts w:ascii="Arial" w:hAnsi="Arial" w:cs="Arial"/>
          <w:sz w:val="26"/>
          <w:szCs w:val="26"/>
        </w:rPr>
        <w:t xml:space="preserve">- - - - - - - - - - - - - - - - - - - - - - - - - - - - - - - - - - - - - - - - </w:t>
      </w:r>
    </w:p>
    <w:p w14:paraId="587BDD78" w14:textId="549F53CA" w:rsidR="001628D3" w:rsidRPr="00C91F07" w:rsidRDefault="001628D3" w:rsidP="001628D3">
      <w:pPr>
        <w:widowControl w:val="0"/>
        <w:tabs>
          <w:tab w:val="left" w:pos="0"/>
        </w:tabs>
        <w:spacing w:before="240" w:line="360" w:lineRule="auto"/>
        <w:ind w:right="18"/>
        <w:jc w:val="both"/>
        <w:rPr>
          <w:rFonts w:ascii="Arial" w:hAnsi="Arial" w:cs="Arial"/>
          <w:sz w:val="26"/>
          <w:szCs w:val="26"/>
        </w:rPr>
      </w:pPr>
      <w:r w:rsidRPr="00C91F07">
        <w:rPr>
          <w:rFonts w:ascii="Arial" w:hAnsi="Arial" w:cs="Arial"/>
          <w:b/>
          <w:sz w:val="26"/>
          <w:szCs w:val="26"/>
        </w:rPr>
        <w:tab/>
        <w:t>TERCERO. NOTIFÍQUESE Y CÚMPLASE,</w:t>
      </w:r>
      <w:r w:rsidRPr="00C91F07">
        <w:rPr>
          <w:rFonts w:ascii="Arial" w:hAnsi="Arial" w:cs="Arial"/>
          <w:sz w:val="26"/>
          <w:szCs w:val="26"/>
        </w:rPr>
        <w:t xml:space="preserve"> remítase copia certificada de la presente resolución a la Quinta Sala Unitaria de Primera Instancia de este Tribunal y en su oportunidad archívese el presente cuaderno de revisión como asunto concluido.</w:t>
      </w:r>
      <w:r w:rsidR="00542966">
        <w:rPr>
          <w:rFonts w:ascii="Arial" w:hAnsi="Arial" w:cs="Arial"/>
          <w:sz w:val="26"/>
          <w:szCs w:val="26"/>
        </w:rPr>
        <w:t xml:space="preserve"> - - - - - - - - - - - - - - - - - - - </w:t>
      </w:r>
    </w:p>
    <w:p w14:paraId="59200666" w14:textId="265FDC51" w:rsidR="00542966" w:rsidRDefault="001628D3" w:rsidP="00EE3E94">
      <w:pPr>
        <w:tabs>
          <w:tab w:val="left" w:pos="1680"/>
          <w:tab w:val="center" w:pos="4277"/>
        </w:tabs>
        <w:spacing w:line="360" w:lineRule="auto"/>
        <w:jc w:val="both"/>
        <w:rPr>
          <w:rFonts w:ascii="Arial" w:hAnsi="Arial" w:cs="Arial"/>
          <w:sz w:val="26"/>
          <w:szCs w:val="26"/>
        </w:rPr>
      </w:pPr>
      <w:r w:rsidRPr="00C91F07">
        <w:t xml:space="preserve"> </w:t>
      </w:r>
      <w:r w:rsidRPr="00C91F07">
        <w:rPr>
          <w:rFonts w:ascii="Arial" w:hAnsi="Arial" w:cs="Arial"/>
          <w:sz w:val="26"/>
          <w:szCs w:val="26"/>
        </w:rPr>
        <w:t xml:space="preserve">       Por unanimidad de votos, lo resolvieron y firmaron los magistrados integrantes de la Sala Superior, Manuel Velasco Alcántara, Raúl Palomares Palomino </w:t>
      </w:r>
      <w:r w:rsidRPr="00C91F07">
        <w:rPr>
          <w:rFonts w:ascii="Arial" w:hAnsi="Arial" w:cs="Arial"/>
          <w:b/>
          <w:bCs/>
          <w:sz w:val="26"/>
          <w:szCs w:val="26"/>
        </w:rPr>
        <w:t>(ponente)</w:t>
      </w:r>
      <w:r w:rsidRPr="00C91F07">
        <w:rPr>
          <w:rFonts w:ascii="Arial" w:hAnsi="Arial" w:cs="Arial"/>
          <w:sz w:val="26"/>
          <w:szCs w:val="26"/>
        </w:rPr>
        <w:t>, Gloria del Carmen Camacho Meza, Paulo José Luis Tapia Palacios, Elías Cortés López, quienes actúan con el Licenciado Juan Edy García Coronado, secretario General de Acuerdos de este Tribunal, que autoriza y da fe.</w:t>
      </w:r>
      <w:r w:rsidR="00542966">
        <w:rPr>
          <w:rFonts w:ascii="Arial" w:hAnsi="Arial" w:cs="Arial"/>
          <w:sz w:val="26"/>
          <w:szCs w:val="26"/>
        </w:rPr>
        <w:t xml:space="preserve"> - - - - - - - - - - - - - - - - - </w:t>
      </w:r>
    </w:p>
    <w:p w14:paraId="3B5F2358" w14:textId="4BDBC48E" w:rsidR="00542966" w:rsidRDefault="00542966" w:rsidP="001628D3">
      <w:pPr>
        <w:tabs>
          <w:tab w:val="left" w:pos="1680"/>
          <w:tab w:val="center" w:pos="4277"/>
        </w:tabs>
        <w:jc w:val="center"/>
        <w:rPr>
          <w:rFonts w:ascii="Arial" w:hAnsi="Arial" w:cs="Arial"/>
          <w:sz w:val="26"/>
          <w:szCs w:val="26"/>
        </w:rPr>
      </w:pPr>
    </w:p>
    <w:p w14:paraId="49105068" w14:textId="11E970F0" w:rsidR="00542966" w:rsidRDefault="00542966" w:rsidP="001628D3">
      <w:pPr>
        <w:tabs>
          <w:tab w:val="left" w:pos="1680"/>
          <w:tab w:val="center" w:pos="4277"/>
        </w:tabs>
        <w:jc w:val="center"/>
        <w:rPr>
          <w:rFonts w:ascii="Arial" w:hAnsi="Arial" w:cs="Arial"/>
          <w:sz w:val="26"/>
          <w:szCs w:val="26"/>
        </w:rPr>
      </w:pPr>
    </w:p>
    <w:p w14:paraId="3EA5BB8C" w14:textId="77777777" w:rsidR="00EE3E94" w:rsidRDefault="00EE3E94" w:rsidP="001628D3">
      <w:pPr>
        <w:tabs>
          <w:tab w:val="left" w:pos="1680"/>
          <w:tab w:val="center" w:pos="4277"/>
        </w:tabs>
        <w:jc w:val="center"/>
        <w:rPr>
          <w:rFonts w:ascii="Arial" w:hAnsi="Arial" w:cs="Arial"/>
          <w:sz w:val="26"/>
          <w:szCs w:val="26"/>
        </w:rPr>
      </w:pPr>
    </w:p>
    <w:p w14:paraId="439E61C8" w14:textId="77777777" w:rsidR="00542966" w:rsidRPr="00C91F07" w:rsidRDefault="00542966" w:rsidP="001628D3">
      <w:pPr>
        <w:tabs>
          <w:tab w:val="left" w:pos="1680"/>
          <w:tab w:val="center" w:pos="4277"/>
        </w:tabs>
        <w:jc w:val="center"/>
        <w:rPr>
          <w:rFonts w:ascii="Arial" w:hAnsi="Arial" w:cs="Arial"/>
          <w:sz w:val="26"/>
          <w:szCs w:val="26"/>
        </w:rPr>
      </w:pPr>
    </w:p>
    <w:p w14:paraId="54533756" w14:textId="77777777" w:rsidR="00542966" w:rsidRDefault="00542966" w:rsidP="00542966">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77EBAC8" w14:textId="77777777" w:rsidR="00542966" w:rsidRDefault="00542966" w:rsidP="0054296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3D04AA4" w14:textId="77777777" w:rsidR="00542966" w:rsidRDefault="00542966" w:rsidP="00542966">
      <w:pPr>
        <w:spacing w:after="0" w:line="240" w:lineRule="auto"/>
        <w:ind w:firstLine="567"/>
        <w:jc w:val="center"/>
        <w:rPr>
          <w:rFonts w:ascii="Arial" w:eastAsiaTheme="minorHAnsi" w:hAnsi="Arial" w:cs="Arial"/>
          <w:sz w:val="26"/>
          <w:szCs w:val="26"/>
          <w:lang w:eastAsia="en-US"/>
        </w:rPr>
      </w:pPr>
    </w:p>
    <w:p w14:paraId="3CC99EF8" w14:textId="318E5CB7" w:rsidR="00542966" w:rsidRPr="00EE3E94" w:rsidRDefault="00542966" w:rsidP="00EE3E94">
      <w:pPr>
        <w:tabs>
          <w:tab w:val="left" w:pos="1680"/>
          <w:tab w:val="center" w:pos="4277"/>
        </w:tabs>
        <w:spacing w:after="120" w:line="360" w:lineRule="auto"/>
        <w:rPr>
          <w:rFonts w:ascii="Arial" w:eastAsiaTheme="minorHAnsi" w:hAnsi="Arial" w:cs="Arial"/>
          <w:b/>
          <w:sz w:val="16"/>
          <w:szCs w:val="16"/>
          <w:lang w:eastAsia="en-US"/>
        </w:rPr>
      </w:pPr>
    </w:p>
    <w:p w14:paraId="1DE46810" w14:textId="77777777" w:rsidR="00542966" w:rsidRDefault="00542966" w:rsidP="00542966">
      <w:pPr>
        <w:spacing w:after="0" w:line="240" w:lineRule="auto"/>
        <w:ind w:firstLine="567"/>
        <w:jc w:val="center"/>
        <w:rPr>
          <w:rFonts w:ascii="Arial" w:eastAsiaTheme="minorHAnsi" w:hAnsi="Arial" w:cs="Arial"/>
          <w:sz w:val="26"/>
          <w:szCs w:val="26"/>
          <w:lang w:eastAsia="en-US"/>
        </w:rPr>
      </w:pPr>
    </w:p>
    <w:p w14:paraId="7718D095" w14:textId="77777777" w:rsidR="00EE3E94" w:rsidRDefault="00EE3E94" w:rsidP="00542966">
      <w:pPr>
        <w:spacing w:after="0" w:line="240" w:lineRule="auto"/>
        <w:ind w:firstLine="567"/>
        <w:jc w:val="center"/>
        <w:rPr>
          <w:rFonts w:ascii="Arial" w:eastAsiaTheme="minorHAnsi" w:hAnsi="Arial" w:cs="Arial"/>
          <w:sz w:val="26"/>
          <w:szCs w:val="26"/>
          <w:lang w:eastAsia="en-US"/>
        </w:rPr>
      </w:pPr>
    </w:p>
    <w:p w14:paraId="5E78EABA" w14:textId="77777777" w:rsidR="00542966" w:rsidRDefault="00542966" w:rsidP="00542966">
      <w:pPr>
        <w:spacing w:after="0" w:line="240" w:lineRule="auto"/>
        <w:ind w:firstLine="567"/>
        <w:jc w:val="center"/>
        <w:rPr>
          <w:rFonts w:ascii="Arial" w:eastAsiaTheme="minorHAnsi" w:hAnsi="Arial" w:cs="Arial"/>
          <w:sz w:val="26"/>
          <w:szCs w:val="26"/>
          <w:lang w:eastAsia="en-US"/>
        </w:rPr>
      </w:pPr>
    </w:p>
    <w:p w14:paraId="5FD1D542" w14:textId="77777777" w:rsidR="00542966" w:rsidRDefault="00542966" w:rsidP="00542966">
      <w:pPr>
        <w:spacing w:after="0" w:line="240" w:lineRule="auto"/>
        <w:ind w:firstLine="567"/>
        <w:jc w:val="center"/>
        <w:rPr>
          <w:rFonts w:ascii="Arial" w:eastAsiaTheme="minorHAnsi" w:hAnsi="Arial" w:cs="Arial"/>
          <w:sz w:val="26"/>
          <w:szCs w:val="26"/>
          <w:lang w:eastAsia="en-US"/>
        </w:rPr>
      </w:pPr>
    </w:p>
    <w:p w14:paraId="0FEF3034" w14:textId="77777777" w:rsidR="00542966" w:rsidRDefault="00542966" w:rsidP="00542966">
      <w:pPr>
        <w:spacing w:after="0" w:line="240" w:lineRule="auto"/>
        <w:ind w:firstLine="567"/>
        <w:jc w:val="center"/>
        <w:rPr>
          <w:rFonts w:ascii="Arial" w:eastAsiaTheme="minorHAnsi" w:hAnsi="Arial" w:cs="Arial"/>
          <w:sz w:val="26"/>
          <w:szCs w:val="26"/>
          <w:lang w:eastAsia="en-US"/>
        </w:rPr>
      </w:pPr>
    </w:p>
    <w:p w14:paraId="6618EB98" w14:textId="77777777" w:rsidR="00542966" w:rsidRDefault="00542966" w:rsidP="00542966">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513029A" w14:textId="77777777" w:rsidR="00542966" w:rsidRDefault="00542966" w:rsidP="00542966">
      <w:pPr>
        <w:spacing w:after="120"/>
        <w:jc w:val="center"/>
        <w:rPr>
          <w:rFonts w:ascii="Arial" w:eastAsiaTheme="minorHAnsi" w:hAnsi="Arial" w:cs="Arial"/>
          <w:sz w:val="26"/>
          <w:szCs w:val="26"/>
          <w:lang w:eastAsia="en-US"/>
        </w:rPr>
      </w:pPr>
    </w:p>
    <w:p w14:paraId="2557CCBA" w14:textId="77777777" w:rsidR="00542966" w:rsidRDefault="00542966" w:rsidP="00542966">
      <w:pPr>
        <w:spacing w:after="120"/>
        <w:jc w:val="center"/>
        <w:rPr>
          <w:rFonts w:ascii="Arial" w:eastAsiaTheme="minorHAnsi" w:hAnsi="Arial" w:cs="Arial"/>
          <w:sz w:val="26"/>
          <w:szCs w:val="26"/>
          <w:lang w:eastAsia="en-US"/>
        </w:rPr>
      </w:pPr>
    </w:p>
    <w:p w14:paraId="0E06E575" w14:textId="77777777" w:rsidR="00EE3E94" w:rsidRDefault="00EE3E94" w:rsidP="00542966">
      <w:pPr>
        <w:spacing w:after="120"/>
        <w:jc w:val="center"/>
        <w:rPr>
          <w:rFonts w:ascii="Arial" w:eastAsiaTheme="minorHAnsi" w:hAnsi="Arial" w:cs="Arial"/>
          <w:sz w:val="26"/>
          <w:szCs w:val="26"/>
          <w:lang w:eastAsia="en-US"/>
        </w:rPr>
      </w:pPr>
    </w:p>
    <w:p w14:paraId="5AC4E9B6" w14:textId="77777777" w:rsidR="00542966" w:rsidRDefault="00542966" w:rsidP="00EE3E94">
      <w:pPr>
        <w:spacing w:after="120"/>
        <w:rPr>
          <w:rFonts w:ascii="Arial" w:eastAsiaTheme="minorHAnsi" w:hAnsi="Arial" w:cs="Arial"/>
          <w:sz w:val="26"/>
          <w:szCs w:val="26"/>
          <w:lang w:eastAsia="en-US"/>
        </w:rPr>
      </w:pPr>
    </w:p>
    <w:p w14:paraId="4F46BEF6" w14:textId="77777777" w:rsidR="00542966" w:rsidRDefault="00542966" w:rsidP="00542966">
      <w:pPr>
        <w:spacing w:after="120"/>
        <w:jc w:val="center"/>
        <w:rPr>
          <w:rFonts w:ascii="Arial" w:eastAsiaTheme="minorHAnsi" w:hAnsi="Arial" w:cs="Arial"/>
          <w:sz w:val="26"/>
          <w:szCs w:val="26"/>
          <w:lang w:eastAsia="en-US"/>
        </w:rPr>
      </w:pPr>
    </w:p>
    <w:p w14:paraId="6818C705" w14:textId="77777777" w:rsidR="00542966" w:rsidRDefault="00542966" w:rsidP="0054296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6C54B55"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49C03667"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2E154F62" w14:textId="77777777" w:rsidR="00542966" w:rsidRDefault="00542966" w:rsidP="00EE3E94">
      <w:pPr>
        <w:tabs>
          <w:tab w:val="left" w:pos="1680"/>
          <w:tab w:val="center" w:pos="4277"/>
        </w:tabs>
        <w:spacing w:after="120" w:line="360" w:lineRule="auto"/>
        <w:rPr>
          <w:rFonts w:ascii="Arial" w:eastAsiaTheme="minorHAnsi" w:hAnsi="Arial" w:cs="Arial"/>
          <w:sz w:val="26"/>
          <w:szCs w:val="26"/>
          <w:lang w:eastAsia="en-US"/>
        </w:rPr>
      </w:pPr>
    </w:p>
    <w:p w14:paraId="399D80C3"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75D600A4" w14:textId="79E7B964" w:rsidR="00542966" w:rsidRDefault="00542966" w:rsidP="00EE3E9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DA67D0C" w14:textId="77777777" w:rsidR="00542966" w:rsidRDefault="00542966" w:rsidP="00EE3E94">
      <w:pPr>
        <w:tabs>
          <w:tab w:val="left" w:pos="1680"/>
          <w:tab w:val="center" w:pos="4277"/>
        </w:tabs>
        <w:spacing w:after="120" w:line="360" w:lineRule="auto"/>
        <w:rPr>
          <w:rFonts w:ascii="Arial" w:eastAsiaTheme="minorHAnsi" w:hAnsi="Arial" w:cs="Arial"/>
          <w:sz w:val="26"/>
          <w:szCs w:val="26"/>
          <w:lang w:eastAsia="en-US"/>
        </w:rPr>
      </w:pPr>
      <w:bookmarkStart w:id="5" w:name="_GoBack"/>
      <w:bookmarkEnd w:id="5"/>
    </w:p>
    <w:p w14:paraId="6A6188B6" w14:textId="77777777" w:rsidR="00EE3E94" w:rsidRDefault="00EE3E94" w:rsidP="00EE3E94">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0399/2021</w:t>
      </w:r>
    </w:p>
    <w:p w14:paraId="6DF3D7AB"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70F82A08"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7B715E07" w14:textId="77777777" w:rsidR="00EE3E94" w:rsidRDefault="00EE3E94" w:rsidP="00EE3E94">
      <w:pPr>
        <w:tabs>
          <w:tab w:val="left" w:pos="1680"/>
          <w:tab w:val="center" w:pos="4277"/>
        </w:tabs>
        <w:spacing w:after="120" w:line="360" w:lineRule="auto"/>
        <w:rPr>
          <w:rFonts w:ascii="Arial" w:eastAsiaTheme="minorHAnsi" w:hAnsi="Arial" w:cs="Arial"/>
          <w:sz w:val="26"/>
          <w:szCs w:val="26"/>
          <w:lang w:eastAsia="en-US"/>
        </w:rPr>
      </w:pPr>
    </w:p>
    <w:p w14:paraId="4717E29E" w14:textId="77777777" w:rsidR="00542966" w:rsidRDefault="00542966" w:rsidP="00542966">
      <w:pPr>
        <w:tabs>
          <w:tab w:val="left" w:pos="1680"/>
          <w:tab w:val="center" w:pos="4277"/>
        </w:tabs>
        <w:spacing w:after="120" w:line="360" w:lineRule="auto"/>
        <w:jc w:val="center"/>
        <w:rPr>
          <w:rFonts w:ascii="Arial" w:eastAsiaTheme="minorHAnsi" w:hAnsi="Arial" w:cs="Arial"/>
          <w:sz w:val="26"/>
          <w:szCs w:val="26"/>
          <w:lang w:eastAsia="en-US"/>
        </w:rPr>
      </w:pPr>
    </w:p>
    <w:p w14:paraId="7A5D9625" w14:textId="77777777" w:rsidR="00542966" w:rsidRDefault="00542966" w:rsidP="0054296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35605F8" w14:textId="77777777" w:rsidR="00542966" w:rsidRDefault="00542966" w:rsidP="00542966">
      <w:pPr>
        <w:tabs>
          <w:tab w:val="left" w:pos="1680"/>
          <w:tab w:val="center" w:pos="4277"/>
        </w:tabs>
        <w:spacing w:after="120" w:line="360" w:lineRule="auto"/>
        <w:jc w:val="center"/>
        <w:rPr>
          <w:rFonts w:ascii="Arial" w:eastAsiaTheme="minorHAnsi" w:hAnsi="Arial" w:cs="Arial"/>
          <w:sz w:val="26"/>
          <w:szCs w:val="26"/>
          <w:lang w:eastAsia="en-US"/>
        </w:rPr>
      </w:pPr>
    </w:p>
    <w:p w14:paraId="60A12270" w14:textId="77777777" w:rsidR="00542966" w:rsidRDefault="00542966" w:rsidP="00542966">
      <w:pPr>
        <w:tabs>
          <w:tab w:val="left" w:pos="1680"/>
          <w:tab w:val="center" w:pos="4277"/>
        </w:tabs>
        <w:spacing w:after="120" w:line="360" w:lineRule="auto"/>
        <w:rPr>
          <w:rFonts w:ascii="Arial" w:eastAsiaTheme="minorHAnsi" w:hAnsi="Arial" w:cs="Arial"/>
          <w:sz w:val="26"/>
          <w:szCs w:val="26"/>
          <w:lang w:eastAsia="en-US"/>
        </w:rPr>
      </w:pPr>
    </w:p>
    <w:p w14:paraId="3AC6A015" w14:textId="77777777" w:rsidR="00EE3E94" w:rsidRDefault="00EE3E94" w:rsidP="00542966">
      <w:pPr>
        <w:tabs>
          <w:tab w:val="left" w:pos="1680"/>
          <w:tab w:val="center" w:pos="4277"/>
        </w:tabs>
        <w:spacing w:after="120" w:line="360" w:lineRule="auto"/>
        <w:rPr>
          <w:rFonts w:ascii="Arial" w:eastAsiaTheme="minorHAnsi" w:hAnsi="Arial" w:cs="Arial"/>
          <w:sz w:val="26"/>
          <w:szCs w:val="26"/>
          <w:lang w:eastAsia="en-US"/>
        </w:rPr>
      </w:pPr>
    </w:p>
    <w:p w14:paraId="16A962A0" w14:textId="77777777" w:rsidR="00542966" w:rsidRDefault="00542966" w:rsidP="00542966">
      <w:pPr>
        <w:tabs>
          <w:tab w:val="left" w:pos="1680"/>
          <w:tab w:val="center" w:pos="4277"/>
        </w:tabs>
        <w:spacing w:after="120" w:line="360" w:lineRule="auto"/>
        <w:jc w:val="center"/>
        <w:rPr>
          <w:rFonts w:ascii="Arial" w:eastAsiaTheme="minorHAnsi" w:hAnsi="Arial" w:cs="Arial"/>
          <w:sz w:val="26"/>
          <w:szCs w:val="26"/>
          <w:lang w:eastAsia="en-US"/>
        </w:rPr>
      </w:pPr>
    </w:p>
    <w:p w14:paraId="7B393F48" w14:textId="77777777" w:rsidR="00542966" w:rsidRDefault="00542966" w:rsidP="00542966">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E3D9EF9" w14:textId="77777777" w:rsidR="00542966" w:rsidRDefault="00542966" w:rsidP="00542966">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D088CFF" w14:textId="77777777" w:rsidR="00542966" w:rsidRDefault="00542966" w:rsidP="00542966">
      <w:pPr>
        <w:spacing w:before="240" w:line="360" w:lineRule="auto"/>
        <w:ind w:firstLine="708"/>
        <w:jc w:val="both"/>
        <w:rPr>
          <w:rFonts w:ascii="Arial" w:hAnsi="Arial" w:cs="Arial"/>
          <w:sz w:val="26"/>
          <w:szCs w:val="26"/>
        </w:rPr>
      </w:pPr>
    </w:p>
    <w:p w14:paraId="4C160AF9" w14:textId="77777777" w:rsidR="00542966" w:rsidRDefault="00542966" w:rsidP="00542966">
      <w:pPr>
        <w:widowControl w:val="0"/>
        <w:tabs>
          <w:tab w:val="left" w:pos="0"/>
        </w:tabs>
        <w:spacing w:before="240" w:after="0" w:line="360" w:lineRule="auto"/>
        <w:ind w:right="18"/>
        <w:jc w:val="both"/>
        <w:rPr>
          <w:rFonts w:ascii="Arial" w:eastAsia="Calibri" w:hAnsi="Arial" w:cs="Arial"/>
          <w:bCs/>
          <w:sz w:val="26"/>
          <w:szCs w:val="26"/>
        </w:rPr>
      </w:pPr>
    </w:p>
    <w:p w14:paraId="60994AF1" w14:textId="536E94E7" w:rsidR="001628D3" w:rsidRPr="00C91F07" w:rsidRDefault="001628D3" w:rsidP="00542966">
      <w:pPr>
        <w:tabs>
          <w:tab w:val="left" w:pos="1680"/>
          <w:tab w:val="center" w:pos="4277"/>
        </w:tabs>
        <w:spacing w:after="0" w:line="240" w:lineRule="auto"/>
        <w:jc w:val="center"/>
        <w:rPr>
          <w:sz w:val="26"/>
          <w:szCs w:val="26"/>
        </w:rPr>
      </w:pPr>
    </w:p>
    <w:sectPr w:rsidR="001628D3" w:rsidRPr="00C91F0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3554B1" w14:textId="77777777" w:rsidR="00816B1F" w:rsidRDefault="00816B1F">
      <w:pPr>
        <w:spacing w:after="0" w:line="240" w:lineRule="auto"/>
      </w:pPr>
      <w:r>
        <w:separator/>
      </w:r>
    </w:p>
  </w:endnote>
  <w:endnote w:type="continuationSeparator" w:id="0">
    <w:p w14:paraId="44623BAD" w14:textId="77777777" w:rsidR="00816B1F" w:rsidRDefault="00816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52D80" w14:textId="77777777" w:rsidR="00816B1F" w:rsidRDefault="00816B1F">
      <w:pPr>
        <w:spacing w:after="0" w:line="240" w:lineRule="auto"/>
      </w:pPr>
      <w:r>
        <w:separator/>
      </w:r>
    </w:p>
  </w:footnote>
  <w:footnote w:type="continuationSeparator" w:id="0">
    <w:p w14:paraId="4C71F308" w14:textId="77777777" w:rsidR="00816B1F" w:rsidRDefault="00816B1F">
      <w:pPr>
        <w:spacing w:after="0" w:line="240" w:lineRule="auto"/>
      </w:pPr>
      <w:r>
        <w:continuationSeparator/>
      </w:r>
    </w:p>
  </w:footnote>
  <w:footnote w:id="1">
    <w:p w14:paraId="4B7022EA" w14:textId="77777777" w:rsidR="001628D3" w:rsidRPr="00FE676C" w:rsidRDefault="001628D3" w:rsidP="001628D3">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27F85A0E" w14:textId="77777777" w:rsidR="001628D3" w:rsidRPr="00FE676C" w:rsidRDefault="001628D3" w:rsidP="001628D3">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0B86C153" w14:textId="0E5A43E2" w:rsidR="00885C87" w:rsidRPr="00377E2C" w:rsidRDefault="00885C87" w:rsidP="00377E2C">
      <w:pPr>
        <w:pStyle w:val="Textonotapie"/>
        <w:jc w:val="both"/>
        <w:rPr>
          <w:rFonts w:ascii="Arial" w:hAnsi="Arial" w:cs="Arial"/>
        </w:rPr>
      </w:pPr>
      <w:r w:rsidRPr="00377E2C">
        <w:rPr>
          <w:rStyle w:val="Refdenotaalpie"/>
          <w:rFonts w:ascii="Arial" w:hAnsi="Arial" w:cs="Arial"/>
        </w:rPr>
        <w:footnoteRef/>
      </w:r>
      <w:r w:rsidRPr="00377E2C">
        <w:rPr>
          <w:rFonts w:ascii="Arial" w:hAnsi="Arial" w:cs="Arial"/>
        </w:rPr>
        <w:t xml:space="preserve"> Consultable de la foja 17 (diecisiete) a la </w:t>
      </w:r>
      <w:r w:rsidR="00377E2C" w:rsidRPr="00377E2C">
        <w:rPr>
          <w:rFonts w:ascii="Arial" w:hAnsi="Arial" w:cs="Arial"/>
        </w:rPr>
        <w:t xml:space="preserve">18 (dieciocho) del cuaderno de copias certificadas del expediente </w:t>
      </w:r>
      <w:r w:rsidR="00377E2C" w:rsidRPr="00377E2C">
        <w:rPr>
          <w:rFonts w:ascii="Arial" w:hAnsi="Arial" w:cs="Arial"/>
          <w:b/>
          <w:bCs/>
        </w:rPr>
        <w:t>0075/2021</w:t>
      </w:r>
      <w:r w:rsidR="00377E2C" w:rsidRPr="00377E2C">
        <w:rPr>
          <w:rFonts w:ascii="Arial" w:hAnsi="Arial" w:cs="Arial"/>
        </w:rPr>
        <w:t xml:space="preserve"> del índice de la Quinta Sala Unitaria de Primera Instancia.</w:t>
      </w:r>
    </w:p>
  </w:footnote>
  <w:footnote w:id="3">
    <w:p w14:paraId="5925E848" w14:textId="77777777" w:rsidR="001628D3" w:rsidRPr="00281756" w:rsidRDefault="001628D3" w:rsidP="001628D3">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1E4D046D" w14:textId="77777777" w:rsidR="001628D3" w:rsidRPr="00281756" w:rsidRDefault="001628D3" w:rsidP="001628D3">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4">
    <w:p w14:paraId="0BAF7D27" w14:textId="77777777" w:rsidR="001628D3" w:rsidRPr="00281756" w:rsidRDefault="001628D3" w:rsidP="001628D3">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6660F371" w14:textId="77777777" w:rsidR="001628D3" w:rsidRPr="00281756" w:rsidRDefault="001628D3" w:rsidP="001628D3">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 w:id="5">
    <w:p w14:paraId="031A672A" w14:textId="77777777" w:rsidR="00526123" w:rsidRPr="00377E2C" w:rsidRDefault="00526123" w:rsidP="00526123">
      <w:pPr>
        <w:pStyle w:val="Textonotapie"/>
        <w:jc w:val="both"/>
        <w:rPr>
          <w:rFonts w:ascii="Arial" w:hAnsi="Arial" w:cs="Arial"/>
        </w:rPr>
      </w:pPr>
      <w:r w:rsidRPr="00377E2C">
        <w:rPr>
          <w:rStyle w:val="Refdenotaalpie"/>
          <w:rFonts w:ascii="Arial" w:hAnsi="Arial" w:cs="Arial"/>
        </w:rPr>
        <w:footnoteRef/>
      </w:r>
      <w:r w:rsidRPr="00377E2C">
        <w:rPr>
          <w:rFonts w:ascii="Arial" w:hAnsi="Arial" w:cs="Arial"/>
        </w:rPr>
        <w:t xml:space="preserve"> Consultable de la foja 17 (diecisiete) a la 18 (dieciocho) del cuaderno de copias certificadas del expediente </w:t>
      </w:r>
      <w:r w:rsidRPr="00377E2C">
        <w:rPr>
          <w:rFonts w:ascii="Arial" w:hAnsi="Arial" w:cs="Arial"/>
          <w:b/>
          <w:bCs/>
        </w:rPr>
        <w:t>0075/2021</w:t>
      </w:r>
      <w:r w:rsidRPr="00377E2C">
        <w:rPr>
          <w:rFonts w:ascii="Arial" w:hAnsi="Arial" w:cs="Arial"/>
        </w:rPr>
        <w:t xml:space="preserve"> del índice de la Quinta Sala Unitaria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A86CAF" w:rsidR="000F5C41" w:rsidRDefault="00EE3E9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E3E94">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4F4224C" w:rsidR="000F5C41" w:rsidRDefault="00EE3E9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E3E94">
          <w:rPr>
            <w:noProof/>
            <w:lang w:val="es-ES"/>
          </w:rPr>
          <w:t>9</w:t>
        </w:r>
        <w:r w:rsidR="000F5C41">
          <w:fldChar w:fldCharType="end"/>
        </w:r>
      </w:sdtContent>
    </w:sdt>
  </w:p>
  <w:p w14:paraId="51E22156" w14:textId="7A2B6206" w:rsidR="00655BA3" w:rsidRDefault="0077191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85FCA2E" wp14:editId="28F5D64F">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DDC2041" w14:textId="77777777" w:rsidR="0077191A" w:rsidRDefault="0077191A" w:rsidP="0077191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FCA2E"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DDC2041" w14:textId="77777777" w:rsidR="0077191A" w:rsidRDefault="0077191A" w:rsidP="0077191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E3E9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47EF"/>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28D3"/>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3BF"/>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09FC"/>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77E2C"/>
    <w:rsid w:val="00377F67"/>
    <w:rsid w:val="003804A7"/>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23A"/>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46B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123"/>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96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10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A6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1BE"/>
    <w:rsid w:val="006D428F"/>
    <w:rsid w:val="006D54E1"/>
    <w:rsid w:val="006D5A11"/>
    <w:rsid w:val="006D668F"/>
    <w:rsid w:val="006E0406"/>
    <w:rsid w:val="006E09D6"/>
    <w:rsid w:val="006E1695"/>
    <w:rsid w:val="006E197B"/>
    <w:rsid w:val="006E1AC8"/>
    <w:rsid w:val="006E1CF7"/>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91A"/>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876"/>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42C"/>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C87"/>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180"/>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103"/>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7E7"/>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992"/>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3AF"/>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4CAC"/>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35C"/>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33A"/>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3E94"/>
    <w:rsid w:val="00EE41A1"/>
    <w:rsid w:val="00EE50C5"/>
    <w:rsid w:val="00EE536C"/>
    <w:rsid w:val="00EE53E7"/>
    <w:rsid w:val="00EE71BF"/>
    <w:rsid w:val="00EE73E5"/>
    <w:rsid w:val="00EE7AE0"/>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39B1"/>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7D8"/>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542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8DFC7-AF22-406D-AB6D-876CE90AF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3115</Words>
  <Characters>17133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22</cp:revision>
  <cp:lastPrinted>2022-09-07T16:58:00Z</cp:lastPrinted>
  <dcterms:created xsi:type="dcterms:W3CDTF">2022-07-22T01:45:00Z</dcterms:created>
  <dcterms:modified xsi:type="dcterms:W3CDTF">2023-02-20T19:46:00Z</dcterms:modified>
</cp:coreProperties>
</file>