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74A70" w:rsidRPr="001F0AA4" w:rsidRDefault="00EA63B8" w:rsidP="00E74A70">
      <w:pPr>
        <w:pStyle w:val="Encabezado"/>
        <w:spacing w:line="360" w:lineRule="auto"/>
        <w:ind w:left="4248"/>
        <w:jc w:val="both"/>
        <w:rPr>
          <w:rFonts w:ascii="Arial" w:hAnsi="Arial" w:cs="Arial"/>
          <w:b/>
        </w:rPr>
      </w:pPr>
      <w:r>
        <w:rPr>
          <w:noProof/>
          <w:lang w:eastAsia="es-MX"/>
        </w:rPr>
        <mc:AlternateContent>
          <mc:Choice Requires="wps">
            <w:drawing>
              <wp:anchor distT="45720" distB="45720" distL="114300" distR="114300" simplePos="0" relativeHeight="251579904" behindDoc="0" locked="0" layoutInCell="1" allowOverlap="1" wp14:anchorId="1969F4D9" wp14:editId="10E2EF6B">
                <wp:simplePos x="0" y="0"/>
                <wp:positionH relativeFrom="column">
                  <wp:posOffset>-919480</wp:posOffset>
                </wp:positionH>
                <wp:positionV relativeFrom="paragraph">
                  <wp:posOffset>102235</wp:posOffset>
                </wp:positionV>
                <wp:extent cx="1743075" cy="9144000"/>
                <wp:effectExtent l="0" t="0" r="9525" b="0"/>
                <wp:wrapSquare wrapText="bothSides"/>
                <wp:docPr id="21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43075" cy="9144000"/>
                        </a:xfrm>
                        <a:prstGeom prst="rect">
                          <a:avLst/>
                        </a:prstGeom>
                        <a:solidFill>
                          <a:srgbClr val="FFFFFF"/>
                        </a:solidFill>
                        <a:ln w="9525">
                          <a:noFill/>
                          <a:miter lim="800000"/>
                          <a:headEnd/>
                          <a:tailEnd/>
                        </a:ln>
                      </wps:spPr>
                      <wps:txbx>
                        <w:txbxContent>
                          <w:p w:rsidR="00EA63B8" w:rsidRDefault="00EA63B8" w:rsidP="00EA63B8">
                            <w:pPr>
                              <w:rPr>
                                <w:rFonts w:ascii="Arial" w:hAnsi="Arial" w:cs="Arial"/>
                                <w:color w:val="9CC2E5" w:themeColor="accent1" w:themeTint="99"/>
                                <w:sz w:val="36"/>
                              </w:rPr>
                            </w:pPr>
                          </w:p>
                          <w:p w:rsidR="00EA63B8" w:rsidRDefault="00EA63B8" w:rsidP="00EA63B8">
                            <w:pPr>
                              <w:rPr>
                                <w:rFonts w:ascii="Arial" w:hAnsi="Arial" w:cs="Arial"/>
                                <w:color w:val="9CC2E5" w:themeColor="accent1" w:themeTint="99"/>
                                <w:sz w:val="36"/>
                              </w:rPr>
                            </w:pPr>
                          </w:p>
                          <w:p w:rsidR="00EA63B8" w:rsidRDefault="00EA63B8" w:rsidP="00EA63B8">
                            <w:pPr>
                              <w:rPr>
                                <w:rFonts w:ascii="Arial" w:hAnsi="Arial" w:cs="Arial"/>
                                <w:color w:val="9CC2E5" w:themeColor="accent1" w:themeTint="99"/>
                                <w:sz w:val="36"/>
                              </w:rPr>
                            </w:pPr>
                          </w:p>
                          <w:p w:rsidR="00EA63B8" w:rsidRDefault="00EA63B8" w:rsidP="00EA63B8">
                            <w:pPr>
                              <w:rPr>
                                <w:rFonts w:ascii="Arial" w:hAnsi="Arial" w:cs="Arial"/>
                                <w:color w:val="9CC2E5" w:themeColor="accent1" w:themeTint="99"/>
                                <w:sz w:val="36"/>
                              </w:rPr>
                            </w:pPr>
                          </w:p>
                          <w:p w:rsidR="00EA63B8" w:rsidRDefault="00EA63B8" w:rsidP="00EA63B8">
                            <w:pPr>
                              <w:rPr>
                                <w:rFonts w:ascii="Arial" w:hAnsi="Arial" w:cs="Arial"/>
                                <w:color w:val="9CC2E5" w:themeColor="accent1" w:themeTint="99"/>
                                <w:sz w:val="36"/>
                              </w:rPr>
                            </w:pPr>
                          </w:p>
                          <w:p w:rsidR="00EA63B8" w:rsidRDefault="00EA63B8" w:rsidP="00EA63B8">
                            <w:pPr>
                              <w:rPr>
                                <w:rFonts w:ascii="Arial" w:hAnsi="Arial" w:cs="Arial"/>
                                <w:color w:val="9CC2E5" w:themeColor="accent1" w:themeTint="99"/>
                                <w:sz w:val="36"/>
                              </w:rPr>
                            </w:pPr>
                          </w:p>
                          <w:p w:rsidR="00EA63B8" w:rsidRDefault="00EA63B8" w:rsidP="00EA63B8">
                            <w:pPr>
                              <w:rPr>
                                <w:rFonts w:ascii="Arial" w:hAnsi="Arial" w:cs="Arial"/>
                                <w:color w:val="9CC2E5" w:themeColor="accent1" w:themeTint="99"/>
                                <w:sz w:val="36"/>
                              </w:rPr>
                            </w:pPr>
                          </w:p>
                          <w:p w:rsidR="00EA63B8" w:rsidRDefault="00EA63B8" w:rsidP="00EA63B8">
                            <w:pPr>
                              <w:rPr>
                                <w:rFonts w:ascii="Arial" w:hAnsi="Arial" w:cs="Arial"/>
                                <w:color w:val="9CC2E5" w:themeColor="accent1" w:themeTint="99"/>
                                <w:sz w:val="36"/>
                              </w:rPr>
                            </w:pPr>
                          </w:p>
                          <w:p w:rsidR="00EA63B8" w:rsidRPr="00C87479" w:rsidRDefault="00EA63B8" w:rsidP="00EA63B8">
                            <w:pPr>
                              <w:rPr>
                                <w:rFonts w:ascii="Arial" w:hAnsi="Arial" w:cs="Arial"/>
                                <w:color w:val="9CC2E5" w:themeColor="accent1" w:themeTint="99"/>
                                <w:sz w:val="32"/>
                              </w:rPr>
                            </w:pPr>
                            <w:r w:rsidRPr="00C87479">
                              <w:rPr>
                                <w:rFonts w:ascii="Arial" w:hAnsi="Arial" w:cs="Arial"/>
                                <w:color w:val="9CC2E5" w:themeColor="accent1" w:themeTint="99"/>
                                <w:sz w:val="32"/>
                              </w:rPr>
                              <w:t xml:space="preserve">DATOS PÉRSONALES PROTEGIDOS POR EL ARTÍCULO 116 DE LA LGTAIP Y ARTÍCULO 56 DE LA LTAIPEO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969F4D9" id="_x0000_t202" coordsize="21600,21600" o:spt="202" path="m,l,21600r21600,l21600,xe">
                <v:stroke joinstyle="miter"/>
                <v:path gradientshapeok="t" o:connecttype="rect"/>
              </v:shapetype>
              <v:shape id="Cuadro de texto 2" o:spid="_x0000_s1026" type="#_x0000_t202" style="position:absolute;left:0;text-align:left;margin-left:-72.4pt;margin-top:8.05pt;width:137.25pt;height:10in;z-index:25157990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" stroked="f">
                <v:textbox>
                  <w:txbxContent>
                    <w:p w:rsidR="00EA63B8" w:rsidRDefault="00EA63B8" w:rsidP="00EA63B8">
                      <w:pPr>
                        <w:rPr>
                          <w:rFonts w:ascii="Arial" w:hAnsi="Arial" w:cs="Arial"/>
                          <w:color w:val="9CC2E5" w:themeColor="accent1" w:themeTint="99"/>
                          <w:sz w:val="36"/>
                        </w:rPr>
                      </w:pPr>
                    </w:p>
                    <w:p w:rsidR="00EA63B8" w:rsidRDefault="00EA63B8" w:rsidP="00EA63B8">
                      <w:pPr>
                        <w:rPr>
                          <w:rFonts w:ascii="Arial" w:hAnsi="Arial" w:cs="Arial"/>
                          <w:color w:val="9CC2E5" w:themeColor="accent1" w:themeTint="99"/>
                          <w:sz w:val="36"/>
                        </w:rPr>
                      </w:pPr>
                    </w:p>
                    <w:p w:rsidR="00EA63B8" w:rsidRDefault="00EA63B8" w:rsidP="00EA63B8">
                      <w:pPr>
                        <w:rPr>
                          <w:rFonts w:ascii="Arial" w:hAnsi="Arial" w:cs="Arial"/>
                          <w:color w:val="9CC2E5" w:themeColor="accent1" w:themeTint="99"/>
                          <w:sz w:val="36"/>
                        </w:rPr>
                      </w:pPr>
                    </w:p>
                    <w:p w:rsidR="00EA63B8" w:rsidRDefault="00EA63B8" w:rsidP="00EA63B8">
                      <w:pPr>
                        <w:rPr>
                          <w:rFonts w:ascii="Arial" w:hAnsi="Arial" w:cs="Arial"/>
                          <w:color w:val="9CC2E5" w:themeColor="accent1" w:themeTint="99"/>
                          <w:sz w:val="36"/>
                        </w:rPr>
                      </w:pPr>
                    </w:p>
                    <w:p w:rsidR="00EA63B8" w:rsidRDefault="00EA63B8" w:rsidP="00EA63B8">
                      <w:pPr>
                        <w:rPr>
                          <w:rFonts w:ascii="Arial" w:hAnsi="Arial" w:cs="Arial"/>
                          <w:color w:val="9CC2E5" w:themeColor="accent1" w:themeTint="99"/>
                          <w:sz w:val="36"/>
                        </w:rPr>
                      </w:pPr>
                    </w:p>
                    <w:p w:rsidR="00EA63B8" w:rsidRDefault="00EA63B8" w:rsidP="00EA63B8">
                      <w:pPr>
                        <w:rPr>
                          <w:rFonts w:ascii="Arial" w:hAnsi="Arial" w:cs="Arial"/>
                          <w:color w:val="9CC2E5" w:themeColor="accent1" w:themeTint="99"/>
                          <w:sz w:val="36"/>
                        </w:rPr>
                      </w:pPr>
                    </w:p>
                    <w:p w:rsidR="00EA63B8" w:rsidRDefault="00EA63B8" w:rsidP="00EA63B8">
                      <w:pPr>
                        <w:rPr>
                          <w:rFonts w:ascii="Arial" w:hAnsi="Arial" w:cs="Arial"/>
                          <w:color w:val="9CC2E5" w:themeColor="accent1" w:themeTint="99"/>
                          <w:sz w:val="36"/>
                        </w:rPr>
                      </w:pPr>
                    </w:p>
                    <w:p w:rsidR="00EA63B8" w:rsidRDefault="00EA63B8" w:rsidP="00EA63B8">
                      <w:pPr>
                        <w:rPr>
                          <w:rFonts w:ascii="Arial" w:hAnsi="Arial" w:cs="Arial"/>
                          <w:color w:val="9CC2E5" w:themeColor="accent1" w:themeTint="99"/>
                          <w:sz w:val="36"/>
                        </w:rPr>
                      </w:pPr>
                    </w:p>
                    <w:p w:rsidR="00EA63B8" w:rsidRPr="00C87479" w:rsidRDefault="00EA63B8" w:rsidP="00EA63B8">
                      <w:pPr>
                        <w:rPr>
                          <w:rFonts w:ascii="Arial" w:hAnsi="Arial" w:cs="Arial"/>
                          <w:color w:val="9CC2E5" w:themeColor="accent1" w:themeTint="99"/>
                          <w:sz w:val="32"/>
                        </w:rPr>
                      </w:pPr>
                      <w:r w:rsidRPr="00C87479">
                        <w:rPr>
                          <w:rFonts w:ascii="Arial" w:hAnsi="Arial" w:cs="Arial"/>
                          <w:color w:val="9CC2E5" w:themeColor="accent1" w:themeTint="99"/>
                          <w:sz w:val="32"/>
                        </w:rPr>
                        <w:t xml:space="preserve">DATOS PÉRSONALES PROTEGIDOS POR EL ARTÍCULO 116 DE LA LGTAIP Y ARTÍCULO 56 DE LA LTAIPEO </w:t>
                      </w:r>
                    </w:p>
                  </w:txbxContent>
                </v:textbox>
                <w10:wrap type="square"/>
              </v:shape>
            </w:pict>
          </mc:Fallback>
        </mc:AlternateContent>
      </w:r>
      <w:r w:rsidR="00E74A70">
        <w:rPr>
          <w:rFonts w:ascii="Arial" w:hAnsi="Arial" w:cs="Arial"/>
          <w:b/>
        </w:rPr>
        <w:t>SEXTA</w:t>
      </w:r>
      <w:r w:rsidR="00E74A70" w:rsidRPr="001F0AA4">
        <w:rPr>
          <w:rFonts w:ascii="Arial" w:hAnsi="Arial" w:cs="Arial"/>
          <w:b/>
        </w:rPr>
        <w:t xml:space="preserve"> SALA UNITARIA DE PRIMERA INSTANCIA DEL TRIBUNAL </w:t>
      </w:r>
      <w:r w:rsidR="00E74A70">
        <w:rPr>
          <w:rFonts w:ascii="Arial" w:hAnsi="Arial" w:cs="Arial"/>
          <w:b/>
        </w:rPr>
        <w:t>DE JUSTICIA ADMINISTRATIVA</w:t>
      </w:r>
      <w:r w:rsidR="00DA23EE">
        <w:rPr>
          <w:rFonts w:ascii="Arial" w:hAnsi="Arial" w:cs="Arial"/>
          <w:b/>
        </w:rPr>
        <w:t xml:space="preserve"> DEL ESTADO </w:t>
      </w:r>
      <w:r w:rsidR="00E74A70" w:rsidRPr="001F0AA4">
        <w:rPr>
          <w:rFonts w:ascii="Arial" w:hAnsi="Arial" w:cs="Arial"/>
          <w:b/>
        </w:rPr>
        <w:t>DE OAXACA.</w:t>
      </w:r>
    </w:p>
    <w:p w:rsidR="00E74A70" w:rsidRPr="001F0AA4" w:rsidRDefault="00E74A70" w:rsidP="00E74A70">
      <w:pPr>
        <w:pStyle w:val="Encabezado"/>
        <w:spacing w:line="360" w:lineRule="auto"/>
        <w:ind w:left="4248"/>
        <w:jc w:val="both"/>
        <w:rPr>
          <w:rFonts w:ascii="Arial" w:hAnsi="Arial" w:cs="Arial"/>
          <w:b/>
        </w:rPr>
      </w:pPr>
    </w:p>
    <w:p w:rsidR="00E74A70" w:rsidRPr="001F0AA4" w:rsidRDefault="00E74A70" w:rsidP="00E74A70">
      <w:pPr>
        <w:pStyle w:val="Encabezado"/>
        <w:spacing w:line="360" w:lineRule="auto"/>
        <w:ind w:left="4248"/>
        <w:jc w:val="both"/>
        <w:rPr>
          <w:rFonts w:ascii="Arial" w:hAnsi="Arial" w:cs="Arial"/>
          <w:b/>
        </w:rPr>
      </w:pPr>
      <w:r>
        <w:rPr>
          <w:rFonts w:ascii="Arial" w:hAnsi="Arial" w:cs="Arial"/>
          <w:b/>
        </w:rPr>
        <w:t xml:space="preserve">EXPEDIENTE: </w:t>
      </w:r>
      <w:r w:rsidR="00CA06BB">
        <w:rPr>
          <w:rFonts w:ascii="Arial" w:hAnsi="Arial" w:cs="Arial"/>
          <w:b/>
        </w:rPr>
        <w:t>004/2018</w:t>
      </w:r>
    </w:p>
    <w:p w:rsidR="00E74A70" w:rsidRPr="001F0AA4" w:rsidRDefault="00E74A70" w:rsidP="00E74A70">
      <w:pPr>
        <w:pStyle w:val="Encabezado"/>
        <w:tabs>
          <w:tab w:val="clear" w:pos="4419"/>
          <w:tab w:val="center" w:pos="8931"/>
        </w:tabs>
        <w:spacing w:line="360" w:lineRule="auto"/>
        <w:jc w:val="both"/>
        <w:rPr>
          <w:rFonts w:ascii="Arial" w:hAnsi="Arial" w:cs="Arial"/>
          <w:b/>
        </w:rPr>
      </w:pPr>
    </w:p>
    <w:p w:rsidR="00E74A70" w:rsidRPr="001F0AA4" w:rsidRDefault="00E74A70" w:rsidP="00907C67">
      <w:pPr>
        <w:pStyle w:val="Encabezado"/>
        <w:spacing w:line="360" w:lineRule="auto"/>
        <w:ind w:left="4248"/>
        <w:rPr>
          <w:rFonts w:ascii="Arial" w:hAnsi="Arial" w:cs="Arial"/>
          <w:b/>
        </w:rPr>
      </w:pPr>
      <w:r w:rsidRPr="001F0AA4">
        <w:rPr>
          <w:rFonts w:ascii="Arial" w:hAnsi="Arial" w:cs="Arial"/>
          <w:b/>
        </w:rPr>
        <w:t xml:space="preserve">ACTOR: </w:t>
      </w:r>
      <w:r w:rsidR="00907C67">
        <w:rPr>
          <w:rFonts w:ascii="Arial" w:hAnsi="Arial" w:cs="Arial"/>
          <w:b/>
        </w:rPr>
        <w:t>***** ***** ***** *****</w:t>
      </w:r>
    </w:p>
    <w:p w:rsidR="00E74A70" w:rsidRPr="001F0AA4" w:rsidRDefault="00E74A70" w:rsidP="00E74A70">
      <w:pPr>
        <w:pStyle w:val="Encabezado"/>
        <w:spacing w:line="360" w:lineRule="auto"/>
        <w:ind w:left="4248"/>
        <w:jc w:val="both"/>
        <w:rPr>
          <w:rFonts w:ascii="Arial" w:hAnsi="Arial" w:cs="Arial"/>
          <w:b/>
        </w:rPr>
      </w:pPr>
    </w:p>
    <w:p w:rsidR="00E74A70" w:rsidRPr="001F0AA4" w:rsidRDefault="00E74A70" w:rsidP="00E74A70">
      <w:pPr>
        <w:pStyle w:val="Encabezado"/>
        <w:spacing w:line="360" w:lineRule="auto"/>
        <w:ind w:left="4248"/>
        <w:jc w:val="both"/>
        <w:rPr>
          <w:rFonts w:ascii="Arial" w:hAnsi="Arial" w:cs="Arial"/>
          <w:b/>
        </w:rPr>
      </w:pPr>
      <w:r>
        <w:rPr>
          <w:rFonts w:ascii="Arial" w:hAnsi="Arial" w:cs="Arial"/>
          <w:b/>
        </w:rPr>
        <w:t>DEMANDADO</w:t>
      </w:r>
      <w:r w:rsidRPr="001F0AA4">
        <w:rPr>
          <w:rFonts w:ascii="Arial" w:hAnsi="Arial" w:cs="Arial"/>
          <w:b/>
        </w:rPr>
        <w:t xml:space="preserve">: </w:t>
      </w:r>
      <w:r>
        <w:rPr>
          <w:rFonts w:ascii="Arial" w:hAnsi="Arial" w:cs="Arial"/>
          <w:b/>
        </w:rPr>
        <w:t>DIRECTORA DE INGRESOS Y RECAUDACIÓN DEPENDIENTE DE LA SUBSECRETARÍA DE INGRESOS DE LA SECRETARÍA DE FINANZAS</w:t>
      </w:r>
      <w:r w:rsidR="001A0C51">
        <w:rPr>
          <w:rFonts w:ascii="Arial" w:hAnsi="Arial" w:cs="Arial"/>
          <w:b/>
        </w:rPr>
        <w:t xml:space="preserve"> DEL ESTADO DE OAXACA</w:t>
      </w:r>
      <w:r>
        <w:rPr>
          <w:rFonts w:ascii="Arial" w:hAnsi="Arial" w:cs="Arial"/>
          <w:b/>
        </w:rPr>
        <w:t>.</w:t>
      </w:r>
    </w:p>
    <w:p w:rsidR="00E74A70" w:rsidRPr="001F0AA4" w:rsidRDefault="00E74A70" w:rsidP="00E74A70">
      <w:pPr>
        <w:pStyle w:val="Encabezado"/>
        <w:spacing w:line="360" w:lineRule="auto"/>
        <w:ind w:left="4248"/>
        <w:jc w:val="both"/>
        <w:rPr>
          <w:rFonts w:ascii="Arial" w:hAnsi="Arial" w:cs="Arial"/>
          <w:b/>
        </w:rPr>
      </w:pPr>
    </w:p>
    <w:p w:rsidR="00E74A70" w:rsidRPr="001F0AA4" w:rsidRDefault="00E74A70" w:rsidP="00E74A70">
      <w:pPr>
        <w:spacing w:after="0" w:line="360" w:lineRule="auto"/>
        <w:jc w:val="both"/>
        <w:rPr>
          <w:rFonts w:ascii="Arial" w:hAnsi="Arial" w:cs="Arial"/>
          <w:b/>
        </w:rPr>
      </w:pPr>
      <w:r>
        <w:rPr>
          <w:rFonts w:ascii="Arial" w:hAnsi="Arial" w:cs="Arial"/>
          <w:b/>
        </w:rPr>
        <w:t xml:space="preserve">OAXACA DE JUÁREZ, OAXACA A </w:t>
      </w:r>
      <w:r w:rsidR="00CA06BB">
        <w:rPr>
          <w:rFonts w:ascii="Arial" w:hAnsi="Arial" w:cs="Arial"/>
          <w:b/>
        </w:rPr>
        <w:t xml:space="preserve">TRECE DE NOVIEMBRE </w:t>
      </w:r>
      <w:r>
        <w:rPr>
          <w:rFonts w:ascii="Arial" w:hAnsi="Arial" w:cs="Arial"/>
          <w:b/>
        </w:rPr>
        <w:t xml:space="preserve">DE </w:t>
      </w:r>
      <w:r w:rsidRPr="001F0AA4">
        <w:rPr>
          <w:rFonts w:ascii="Arial" w:hAnsi="Arial" w:cs="Arial"/>
          <w:b/>
        </w:rPr>
        <w:t xml:space="preserve">DOS MIL </w:t>
      </w:r>
      <w:r>
        <w:rPr>
          <w:rFonts w:ascii="Arial" w:hAnsi="Arial" w:cs="Arial"/>
          <w:b/>
        </w:rPr>
        <w:t xml:space="preserve">DIECIOCHO. </w:t>
      </w:r>
    </w:p>
    <w:p w:rsidR="00E74A70" w:rsidRPr="001F0AA4" w:rsidRDefault="00E74A70" w:rsidP="00E74A70">
      <w:pPr>
        <w:spacing w:after="0" w:line="360" w:lineRule="auto"/>
        <w:jc w:val="both"/>
        <w:rPr>
          <w:rFonts w:ascii="Arial" w:hAnsi="Arial" w:cs="Arial"/>
          <w:b/>
        </w:rPr>
      </w:pPr>
    </w:p>
    <w:p w:rsidR="00907C67" w:rsidRDefault="00E74A70" w:rsidP="00907C67">
      <w:pPr>
        <w:pStyle w:val="Encabezado"/>
        <w:spacing w:line="360" w:lineRule="auto"/>
        <w:rPr>
          <w:rFonts w:ascii="Arial" w:hAnsi="Arial" w:cs="Arial"/>
        </w:rPr>
      </w:pPr>
      <w:r w:rsidRPr="001F0AA4">
        <w:rPr>
          <w:rFonts w:ascii="Arial" w:hAnsi="Arial" w:cs="Arial"/>
          <w:b/>
        </w:rPr>
        <w:t xml:space="preserve">VISTOS, </w:t>
      </w:r>
      <w:r w:rsidRPr="001F0AA4">
        <w:rPr>
          <w:rFonts w:ascii="Arial" w:hAnsi="Arial" w:cs="Arial"/>
        </w:rPr>
        <w:t xml:space="preserve">para resolver los autos del juicio de nulidad de número </w:t>
      </w:r>
      <w:r w:rsidR="00CA06BB">
        <w:rPr>
          <w:rFonts w:ascii="Arial" w:hAnsi="Arial" w:cs="Arial"/>
        </w:rPr>
        <w:t>004/2018</w:t>
      </w:r>
      <w:r w:rsidR="00907C67">
        <w:rPr>
          <w:rFonts w:ascii="Arial" w:hAnsi="Arial" w:cs="Arial"/>
        </w:rPr>
        <w:t xml:space="preserve">, promovido  </w:t>
      </w:r>
    </w:p>
    <w:p w:rsidR="00E74A70" w:rsidRPr="001F0AA4" w:rsidRDefault="00907C67" w:rsidP="00907C67">
      <w:pPr>
        <w:pStyle w:val="Encabezado"/>
        <w:spacing w:line="360" w:lineRule="auto"/>
        <w:rPr>
          <w:rFonts w:ascii="Arial" w:hAnsi="Arial" w:cs="Arial"/>
          <w:b/>
        </w:rPr>
      </w:pPr>
      <w:r>
        <w:rPr>
          <w:rFonts w:ascii="Arial" w:hAnsi="Arial" w:cs="Arial"/>
        </w:rPr>
        <w:t xml:space="preserve">por </w:t>
      </w:r>
      <w:r>
        <w:rPr>
          <w:rFonts w:ascii="Arial" w:hAnsi="Arial" w:cs="Arial"/>
          <w:b/>
        </w:rPr>
        <w:t>***** ***** ***** *****</w:t>
      </w:r>
      <w:r w:rsidR="00E74A70" w:rsidRPr="001F0AA4">
        <w:rPr>
          <w:rFonts w:ascii="Arial" w:hAnsi="Arial" w:cs="Arial"/>
        </w:rPr>
        <w:t>en contra de</w:t>
      </w:r>
      <w:r w:rsidR="00E74A70">
        <w:rPr>
          <w:rFonts w:ascii="Arial" w:hAnsi="Arial" w:cs="Arial"/>
        </w:rPr>
        <w:t xml:space="preserve"> la</w:t>
      </w:r>
      <w:r w:rsidR="00E74A70" w:rsidRPr="0034492B">
        <w:rPr>
          <w:rFonts w:ascii="Arial" w:hAnsi="Arial" w:cs="Arial"/>
          <w:b/>
        </w:rPr>
        <w:t xml:space="preserve"> </w:t>
      </w:r>
      <w:r w:rsidR="00E74A70">
        <w:rPr>
          <w:rFonts w:ascii="Arial" w:hAnsi="Arial" w:cs="Arial"/>
          <w:b/>
        </w:rPr>
        <w:t>DIRECTORA DE INGRESOS Y RECAUDACIÓN DEPENDIENTE DE LA SUBSECRETARÍA DE INGRESOS DE LA SECRETARÍA DE FINANZAS</w:t>
      </w:r>
      <w:r w:rsidR="001A0C51">
        <w:rPr>
          <w:rFonts w:ascii="Arial" w:hAnsi="Arial" w:cs="Arial"/>
          <w:b/>
        </w:rPr>
        <w:t xml:space="preserve"> DEL ESTADO DE OAXACA</w:t>
      </w:r>
      <w:r w:rsidR="00E74A70">
        <w:rPr>
          <w:rFonts w:ascii="Arial" w:hAnsi="Arial" w:cs="Arial"/>
          <w:b/>
        </w:rPr>
        <w:t>.</w:t>
      </w:r>
      <w:r w:rsidR="00E74A70" w:rsidRPr="001F0AA4">
        <w:rPr>
          <w:rFonts w:ascii="Arial" w:hAnsi="Arial" w:cs="Arial"/>
          <w:b/>
        </w:rPr>
        <w:t xml:space="preserve"> </w:t>
      </w:r>
      <w:r w:rsidR="00E74A70">
        <w:rPr>
          <w:rFonts w:ascii="Arial" w:hAnsi="Arial" w:cs="Arial"/>
          <w:b/>
        </w:rPr>
        <w:t xml:space="preserve">- - - - - - - </w:t>
      </w:r>
    </w:p>
    <w:p w:rsidR="00E74A70" w:rsidRPr="001F0AA4" w:rsidRDefault="00E74A70" w:rsidP="00E74A70">
      <w:pPr>
        <w:spacing w:after="0" w:line="360" w:lineRule="auto"/>
        <w:jc w:val="center"/>
        <w:rPr>
          <w:rFonts w:ascii="Arial" w:hAnsi="Arial" w:cs="Arial"/>
          <w:b/>
        </w:rPr>
      </w:pPr>
    </w:p>
    <w:p w:rsidR="00E74A70" w:rsidRPr="001F0AA4" w:rsidRDefault="00E74A70" w:rsidP="004B3A6F">
      <w:pPr>
        <w:spacing w:after="0" w:line="360" w:lineRule="auto"/>
        <w:jc w:val="center"/>
        <w:rPr>
          <w:rFonts w:ascii="Arial" w:hAnsi="Arial" w:cs="Arial"/>
          <w:b/>
        </w:rPr>
      </w:pPr>
      <w:r w:rsidRPr="001F0AA4">
        <w:rPr>
          <w:rFonts w:ascii="Arial" w:hAnsi="Arial" w:cs="Arial"/>
          <w:b/>
        </w:rPr>
        <w:t>R E S U L T A N D O:</w:t>
      </w:r>
    </w:p>
    <w:p w:rsidR="00D57C4B" w:rsidRPr="00907C67" w:rsidRDefault="00E74A70" w:rsidP="00907C67">
      <w:pPr>
        <w:pStyle w:val="Encabezado"/>
        <w:spacing w:line="360" w:lineRule="auto"/>
        <w:rPr>
          <w:rFonts w:ascii="Arial" w:hAnsi="Arial" w:cs="Arial"/>
          <w:b/>
        </w:rPr>
      </w:pPr>
      <w:r>
        <w:rPr>
          <w:rFonts w:ascii="Arial" w:hAnsi="Arial" w:cs="Arial"/>
          <w:b/>
        </w:rPr>
        <w:t>1°.</w:t>
      </w:r>
      <w:r w:rsidRPr="001F0AA4">
        <w:rPr>
          <w:rFonts w:ascii="Arial" w:hAnsi="Arial" w:cs="Arial"/>
          <w:b/>
        </w:rPr>
        <w:t xml:space="preserve"> </w:t>
      </w:r>
      <w:r w:rsidRPr="001F0AA4">
        <w:rPr>
          <w:rFonts w:ascii="Arial" w:hAnsi="Arial" w:cs="Arial"/>
        </w:rPr>
        <w:t>Por escrito recibido el</w:t>
      </w:r>
      <w:r>
        <w:rPr>
          <w:rFonts w:ascii="Arial" w:hAnsi="Arial" w:cs="Arial"/>
        </w:rPr>
        <w:t xml:space="preserve"> </w:t>
      </w:r>
      <w:r w:rsidR="00CA06BB">
        <w:rPr>
          <w:rFonts w:ascii="Arial" w:hAnsi="Arial" w:cs="Arial"/>
        </w:rPr>
        <w:t>ocho</w:t>
      </w:r>
      <w:r>
        <w:rPr>
          <w:rFonts w:ascii="Arial" w:hAnsi="Arial" w:cs="Arial"/>
        </w:rPr>
        <w:t xml:space="preserve"> de </w:t>
      </w:r>
      <w:r w:rsidR="00CA06BB">
        <w:rPr>
          <w:rFonts w:ascii="Arial" w:hAnsi="Arial" w:cs="Arial"/>
        </w:rPr>
        <w:t>enero</w:t>
      </w:r>
      <w:r>
        <w:rPr>
          <w:rFonts w:ascii="Arial" w:hAnsi="Arial" w:cs="Arial"/>
        </w:rPr>
        <w:t xml:space="preserve"> del dos mil dieciocho, en Oficialía de Partes Común del</w:t>
      </w:r>
      <w:r w:rsidR="00225887">
        <w:rPr>
          <w:rFonts w:ascii="Arial" w:hAnsi="Arial" w:cs="Arial"/>
        </w:rPr>
        <w:t xml:space="preserve"> otrora Tribunal de lo Contencioso Administrativo y de Cuentas del Poder Judicial del Estado de Oaxaca actualmente</w:t>
      </w:r>
      <w:r>
        <w:rPr>
          <w:rFonts w:ascii="Arial" w:hAnsi="Arial" w:cs="Arial"/>
        </w:rPr>
        <w:t xml:space="preserve"> Tribunal de Justicia Administrativa del Estado de Oaxaca, </w:t>
      </w:r>
      <w:r w:rsidR="00907C67">
        <w:rPr>
          <w:rFonts w:ascii="Arial" w:hAnsi="Arial" w:cs="Arial"/>
          <w:b/>
        </w:rPr>
        <w:t>***** ***** ***** *****</w:t>
      </w:r>
      <w:r w:rsidR="00D57C4B">
        <w:rPr>
          <w:rFonts w:ascii="Arial" w:hAnsi="Arial" w:cs="Arial"/>
        </w:rPr>
        <w:t xml:space="preserve">, </w:t>
      </w:r>
      <w:r>
        <w:rPr>
          <w:rFonts w:ascii="Arial" w:hAnsi="Arial" w:cs="Arial"/>
        </w:rPr>
        <w:t xml:space="preserve">demandó la nulidad lisa y llana del oficio con número de control </w:t>
      </w:r>
      <w:r w:rsidR="00EA63B8">
        <w:rPr>
          <w:rFonts w:ascii="Arial" w:hAnsi="Arial" w:cs="Arial"/>
        </w:rPr>
        <w:t>**********</w:t>
      </w:r>
      <w:r>
        <w:rPr>
          <w:rFonts w:ascii="Arial" w:hAnsi="Arial" w:cs="Arial"/>
        </w:rPr>
        <w:t xml:space="preserve"> de fecha ocho de agosto del dos mil diecisiete, emitido por la Directora de Ingresos y Recaudación dependiente de la Subsecretaría de Ingresos de la Secretaría de Finanzas del Poder Ejecutivo del Estado de Oaxaca, donde se le impone una multa en cantidad de $3,775.00 (tres mil setecientos setenta y cinco pesos 00/100 m.n.) por haber infringido lo establecido en el artí</w:t>
      </w:r>
      <w:r w:rsidR="00225887">
        <w:rPr>
          <w:rFonts w:ascii="Arial" w:hAnsi="Arial" w:cs="Arial"/>
        </w:rPr>
        <w:t>culo 2</w:t>
      </w:r>
      <w:r w:rsidR="00152660">
        <w:rPr>
          <w:rFonts w:ascii="Arial" w:hAnsi="Arial" w:cs="Arial"/>
        </w:rPr>
        <w:t>68</w:t>
      </w:r>
      <w:r w:rsidR="00225887">
        <w:rPr>
          <w:rFonts w:ascii="Arial" w:hAnsi="Arial" w:cs="Arial"/>
        </w:rPr>
        <w:t xml:space="preserve"> fracción I del Código F</w:t>
      </w:r>
      <w:r>
        <w:rPr>
          <w:rFonts w:ascii="Arial" w:hAnsi="Arial" w:cs="Arial"/>
        </w:rPr>
        <w:t xml:space="preserve">iscal para el Estado de Oaxaca. </w:t>
      </w:r>
      <w:r>
        <w:rPr>
          <w:rFonts w:ascii="Arial" w:hAnsi="Arial" w:cs="Arial"/>
          <w:b/>
        </w:rPr>
        <w:t xml:space="preserve">Por acuerdo de </w:t>
      </w:r>
      <w:r w:rsidR="00152660">
        <w:rPr>
          <w:rFonts w:ascii="Arial" w:hAnsi="Arial" w:cs="Arial"/>
          <w:b/>
        </w:rPr>
        <w:t>treinta</w:t>
      </w:r>
      <w:r>
        <w:rPr>
          <w:rFonts w:ascii="Arial" w:hAnsi="Arial" w:cs="Arial"/>
          <w:b/>
        </w:rPr>
        <w:t xml:space="preserve"> de </w:t>
      </w:r>
      <w:r w:rsidR="00152660">
        <w:rPr>
          <w:rFonts w:ascii="Arial" w:hAnsi="Arial" w:cs="Arial"/>
          <w:b/>
        </w:rPr>
        <w:t>enero</w:t>
      </w:r>
      <w:r>
        <w:rPr>
          <w:rFonts w:ascii="Arial" w:hAnsi="Arial" w:cs="Arial"/>
          <w:b/>
        </w:rPr>
        <w:t xml:space="preserve"> del año dos mil </w:t>
      </w:r>
      <w:r w:rsidR="00152660">
        <w:rPr>
          <w:rFonts w:ascii="Arial" w:hAnsi="Arial" w:cs="Arial"/>
          <w:b/>
        </w:rPr>
        <w:t>dieciocho</w:t>
      </w:r>
      <w:r>
        <w:rPr>
          <w:rFonts w:ascii="Arial" w:hAnsi="Arial" w:cs="Arial"/>
          <w:b/>
        </w:rPr>
        <w:t>, se admitió a trámite la demanda</w:t>
      </w:r>
      <w:r>
        <w:rPr>
          <w:rFonts w:ascii="Arial" w:hAnsi="Arial" w:cs="Arial"/>
        </w:rPr>
        <w:t xml:space="preserve"> en contra de la Directora de Ingresos y Recaudación de la Subsecretaría de Ingresos de la Secretaría de Finanzas del Gobierno del Estado de Oaxaca </w:t>
      </w:r>
      <w:r w:rsidRPr="001F0AA4">
        <w:rPr>
          <w:rFonts w:ascii="Arial" w:hAnsi="Arial" w:cs="Arial"/>
        </w:rPr>
        <w:t>a quien se</w:t>
      </w:r>
      <w:r>
        <w:rPr>
          <w:rFonts w:ascii="Arial" w:hAnsi="Arial" w:cs="Arial"/>
        </w:rPr>
        <w:t xml:space="preserve"> le</w:t>
      </w:r>
      <w:r w:rsidRPr="001F0AA4">
        <w:rPr>
          <w:rFonts w:ascii="Arial" w:hAnsi="Arial" w:cs="Arial"/>
        </w:rPr>
        <w:t xml:space="preserve"> concedió</w:t>
      </w:r>
      <w:r>
        <w:rPr>
          <w:rFonts w:ascii="Arial" w:hAnsi="Arial" w:cs="Arial"/>
        </w:rPr>
        <w:t xml:space="preserve"> un</w:t>
      </w:r>
      <w:r w:rsidRPr="001F0AA4">
        <w:rPr>
          <w:rFonts w:ascii="Arial" w:hAnsi="Arial" w:cs="Arial"/>
        </w:rPr>
        <w:t xml:space="preserve"> plazo de nueve </w:t>
      </w:r>
      <w:r>
        <w:rPr>
          <w:rFonts w:ascii="Arial" w:hAnsi="Arial" w:cs="Arial"/>
        </w:rPr>
        <w:t>días hábiles para que produjera</w:t>
      </w:r>
      <w:r w:rsidRPr="001F0AA4">
        <w:rPr>
          <w:rFonts w:ascii="Arial" w:hAnsi="Arial" w:cs="Arial"/>
        </w:rPr>
        <w:t xml:space="preserve"> su contestación</w:t>
      </w:r>
      <w:r w:rsidR="003B4EAA">
        <w:rPr>
          <w:rFonts w:ascii="Arial" w:hAnsi="Arial" w:cs="Arial"/>
        </w:rPr>
        <w:t xml:space="preserve"> exhibiendo copias para el traslado a su contraparte</w:t>
      </w:r>
      <w:r w:rsidRPr="001F0AA4">
        <w:rPr>
          <w:rFonts w:ascii="Arial" w:hAnsi="Arial" w:cs="Arial"/>
        </w:rPr>
        <w:t>, haciéndole saber que de no contestar los hechos planteados en la demanda, afirmándolos, negándolos o expresando que los ignorara</w:t>
      </w:r>
      <w:r>
        <w:rPr>
          <w:rFonts w:ascii="Arial" w:hAnsi="Arial" w:cs="Arial"/>
        </w:rPr>
        <w:t>n</w:t>
      </w:r>
      <w:r w:rsidRPr="001F0AA4">
        <w:rPr>
          <w:rFonts w:ascii="Arial" w:hAnsi="Arial" w:cs="Arial"/>
        </w:rPr>
        <w:t xml:space="preserve"> por no ser propios o exponiendo como ocurrieron, se considerarían presuntamente ciertos bajo apercibimiento que para el caso </w:t>
      </w:r>
      <w:r w:rsidRPr="001F0AA4">
        <w:rPr>
          <w:rFonts w:ascii="Arial" w:hAnsi="Arial" w:cs="Arial"/>
        </w:rPr>
        <w:lastRenderedPageBreak/>
        <w:t xml:space="preserve">de no hacerlo, se declararía precluído su derecho y se le </w:t>
      </w:r>
      <w:r w:rsidR="00EA63B8">
        <w:rPr>
          <w:noProof/>
          <w:lang w:eastAsia="es-MX"/>
        </w:rPr>
        <mc:AlternateContent>
          <mc:Choice Requires="wps">
            <w:drawing>
              <wp:anchor distT="45720" distB="45720" distL="114300" distR="114300" simplePos="0" relativeHeight="251590144" behindDoc="0" locked="0" layoutInCell="1" allowOverlap="1" wp14:anchorId="28850C3C" wp14:editId="13332D0C">
                <wp:simplePos x="0" y="0"/>
                <wp:positionH relativeFrom="column">
                  <wp:posOffset>-962660</wp:posOffset>
                </wp:positionH>
                <wp:positionV relativeFrom="paragraph">
                  <wp:posOffset>177165</wp:posOffset>
                </wp:positionV>
                <wp:extent cx="1743075" cy="8907780"/>
                <wp:effectExtent l="0" t="0" r="28575" b="26670"/>
                <wp:wrapSquare wrapText="bothSides"/>
                <wp:docPr id="1"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43075" cy="8907780"/>
                        </a:xfrm>
                        <a:prstGeom prst="rect">
                          <a:avLst/>
                        </a:prstGeom>
                        <a:solidFill>
                          <a:srgbClr val="FFFFFF"/>
                        </a:solidFill>
                        <a:ln w="9525">
                          <a:solidFill>
                            <a:schemeClr val="bg1"/>
                          </a:solidFill>
                          <a:miter lim="800000"/>
                          <a:headEnd/>
                          <a:tailEnd/>
                        </a:ln>
                      </wps:spPr>
                      <wps:txbx>
                        <w:txbxContent>
                          <w:p w:rsidR="00EA63B8" w:rsidRDefault="00EA63B8" w:rsidP="00EA63B8">
                            <w:pPr>
                              <w:rPr>
                                <w:rFonts w:ascii="Arial" w:hAnsi="Arial" w:cs="Arial"/>
                                <w:color w:val="9CC2E5" w:themeColor="accent1" w:themeTint="99"/>
                                <w:sz w:val="36"/>
                              </w:rPr>
                            </w:pPr>
                          </w:p>
                          <w:p w:rsidR="00EA63B8" w:rsidRDefault="00EA63B8" w:rsidP="00EA63B8">
                            <w:pPr>
                              <w:rPr>
                                <w:rFonts w:ascii="Arial" w:hAnsi="Arial" w:cs="Arial"/>
                                <w:color w:val="9CC2E5" w:themeColor="accent1" w:themeTint="99"/>
                                <w:sz w:val="36"/>
                              </w:rPr>
                            </w:pPr>
                          </w:p>
                          <w:p w:rsidR="00EA63B8" w:rsidRDefault="00EA63B8" w:rsidP="00EA63B8">
                            <w:pPr>
                              <w:rPr>
                                <w:rFonts w:ascii="Arial" w:hAnsi="Arial" w:cs="Arial"/>
                                <w:color w:val="9CC2E5" w:themeColor="accent1" w:themeTint="99"/>
                                <w:sz w:val="36"/>
                              </w:rPr>
                            </w:pPr>
                          </w:p>
                          <w:p w:rsidR="00EA63B8" w:rsidRDefault="00EA63B8" w:rsidP="00EA63B8">
                            <w:pPr>
                              <w:rPr>
                                <w:rFonts w:ascii="Arial" w:hAnsi="Arial" w:cs="Arial"/>
                                <w:color w:val="9CC2E5" w:themeColor="accent1" w:themeTint="99"/>
                                <w:sz w:val="36"/>
                              </w:rPr>
                            </w:pPr>
                          </w:p>
                          <w:p w:rsidR="00EA63B8" w:rsidRDefault="00EA63B8" w:rsidP="00EA63B8">
                            <w:pPr>
                              <w:rPr>
                                <w:rFonts w:ascii="Arial" w:hAnsi="Arial" w:cs="Arial"/>
                                <w:color w:val="9CC2E5" w:themeColor="accent1" w:themeTint="99"/>
                                <w:sz w:val="36"/>
                              </w:rPr>
                            </w:pPr>
                          </w:p>
                          <w:p w:rsidR="00EA63B8" w:rsidRDefault="00EA63B8" w:rsidP="00EA63B8">
                            <w:pPr>
                              <w:rPr>
                                <w:rFonts w:ascii="Arial" w:hAnsi="Arial" w:cs="Arial"/>
                                <w:color w:val="9CC2E5" w:themeColor="accent1" w:themeTint="99"/>
                                <w:sz w:val="36"/>
                              </w:rPr>
                            </w:pPr>
                          </w:p>
                          <w:p w:rsidR="00EA63B8" w:rsidRDefault="00EA63B8" w:rsidP="00EA63B8">
                            <w:pPr>
                              <w:rPr>
                                <w:rFonts w:ascii="Arial" w:hAnsi="Arial" w:cs="Arial"/>
                                <w:color w:val="9CC2E5" w:themeColor="accent1" w:themeTint="99"/>
                                <w:sz w:val="36"/>
                              </w:rPr>
                            </w:pPr>
                          </w:p>
                          <w:p w:rsidR="00EA63B8" w:rsidRDefault="00EA63B8" w:rsidP="00EA63B8">
                            <w:pPr>
                              <w:rPr>
                                <w:rFonts w:ascii="Arial" w:hAnsi="Arial" w:cs="Arial"/>
                                <w:color w:val="9CC2E5" w:themeColor="accent1" w:themeTint="99"/>
                                <w:sz w:val="36"/>
                              </w:rPr>
                            </w:pPr>
                          </w:p>
                          <w:p w:rsidR="00EA63B8" w:rsidRPr="00C87479" w:rsidRDefault="00EA63B8" w:rsidP="00EA63B8">
                            <w:pPr>
                              <w:rPr>
                                <w:rFonts w:ascii="Arial" w:hAnsi="Arial" w:cs="Arial"/>
                                <w:color w:val="9CC2E5" w:themeColor="accent1" w:themeTint="99"/>
                                <w:sz w:val="32"/>
                              </w:rPr>
                            </w:pPr>
                            <w:r w:rsidRPr="00C87479">
                              <w:rPr>
                                <w:rFonts w:ascii="Arial" w:hAnsi="Arial" w:cs="Arial"/>
                                <w:color w:val="9CC2E5" w:themeColor="accent1" w:themeTint="99"/>
                                <w:sz w:val="32"/>
                              </w:rPr>
                              <w:t xml:space="preserve">DATOS PÉRSONALES PROTEGIDOS POR EL ARTÍCULO 116 DE LA LGTAIP Y ARTÍCULO 56 DE LA LTAIPEO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8850C3C" id="_x0000_s1027" type="#_x0000_t202" style="position:absolute;margin-left:-75.8pt;margin-top:13.95pt;width:137.25pt;height:701.4pt;z-index:25159014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" strokecolor="white [3212]">
                <v:textbox>
                  <w:txbxContent>
                    <w:p w:rsidR="00EA63B8" w:rsidRDefault="00EA63B8" w:rsidP="00EA63B8">
                      <w:pPr>
                        <w:rPr>
                          <w:rFonts w:ascii="Arial" w:hAnsi="Arial" w:cs="Arial"/>
                          <w:color w:val="9CC2E5" w:themeColor="accent1" w:themeTint="99"/>
                          <w:sz w:val="36"/>
                        </w:rPr>
                      </w:pPr>
                    </w:p>
                    <w:p w:rsidR="00EA63B8" w:rsidRDefault="00EA63B8" w:rsidP="00EA63B8">
                      <w:pPr>
                        <w:rPr>
                          <w:rFonts w:ascii="Arial" w:hAnsi="Arial" w:cs="Arial"/>
                          <w:color w:val="9CC2E5" w:themeColor="accent1" w:themeTint="99"/>
                          <w:sz w:val="36"/>
                        </w:rPr>
                      </w:pPr>
                    </w:p>
                    <w:p w:rsidR="00EA63B8" w:rsidRDefault="00EA63B8" w:rsidP="00EA63B8">
                      <w:pPr>
                        <w:rPr>
                          <w:rFonts w:ascii="Arial" w:hAnsi="Arial" w:cs="Arial"/>
                          <w:color w:val="9CC2E5" w:themeColor="accent1" w:themeTint="99"/>
                          <w:sz w:val="36"/>
                        </w:rPr>
                      </w:pPr>
                    </w:p>
                    <w:p w:rsidR="00EA63B8" w:rsidRDefault="00EA63B8" w:rsidP="00EA63B8">
                      <w:pPr>
                        <w:rPr>
                          <w:rFonts w:ascii="Arial" w:hAnsi="Arial" w:cs="Arial"/>
                          <w:color w:val="9CC2E5" w:themeColor="accent1" w:themeTint="99"/>
                          <w:sz w:val="36"/>
                        </w:rPr>
                      </w:pPr>
                    </w:p>
                    <w:p w:rsidR="00EA63B8" w:rsidRDefault="00EA63B8" w:rsidP="00EA63B8">
                      <w:pPr>
                        <w:rPr>
                          <w:rFonts w:ascii="Arial" w:hAnsi="Arial" w:cs="Arial"/>
                          <w:color w:val="9CC2E5" w:themeColor="accent1" w:themeTint="99"/>
                          <w:sz w:val="36"/>
                        </w:rPr>
                      </w:pPr>
                    </w:p>
                    <w:p w:rsidR="00EA63B8" w:rsidRDefault="00EA63B8" w:rsidP="00EA63B8">
                      <w:pPr>
                        <w:rPr>
                          <w:rFonts w:ascii="Arial" w:hAnsi="Arial" w:cs="Arial"/>
                          <w:color w:val="9CC2E5" w:themeColor="accent1" w:themeTint="99"/>
                          <w:sz w:val="36"/>
                        </w:rPr>
                      </w:pPr>
                    </w:p>
                    <w:p w:rsidR="00EA63B8" w:rsidRDefault="00EA63B8" w:rsidP="00EA63B8">
                      <w:pPr>
                        <w:rPr>
                          <w:rFonts w:ascii="Arial" w:hAnsi="Arial" w:cs="Arial"/>
                          <w:color w:val="9CC2E5" w:themeColor="accent1" w:themeTint="99"/>
                          <w:sz w:val="36"/>
                        </w:rPr>
                      </w:pPr>
                    </w:p>
                    <w:p w:rsidR="00EA63B8" w:rsidRDefault="00EA63B8" w:rsidP="00EA63B8">
                      <w:pPr>
                        <w:rPr>
                          <w:rFonts w:ascii="Arial" w:hAnsi="Arial" w:cs="Arial"/>
                          <w:color w:val="9CC2E5" w:themeColor="accent1" w:themeTint="99"/>
                          <w:sz w:val="36"/>
                        </w:rPr>
                      </w:pPr>
                    </w:p>
                    <w:p w:rsidR="00EA63B8" w:rsidRPr="00C87479" w:rsidRDefault="00EA63B8" w:rsidP="00EA63B8">
                      <w:pPr>
                        <w:rPr>
                          <w:rFonts w:ascii="Arial" w:hAnsi="Arial" w:cs="Arial"/>
                          <w:color w:val="9CC2E5" w:themeColor="accent1" w:themeTint="99"/>
                          <w:sz w:val="32"/>
                        </w:rPr>
                      </w:pPr>
                      <w:r w:rsidRPr="00C87479">
                        <w:rPr>
                          <w:rFonts w:ascii="Arial" w:hAnsi="Arial" w:cs="Arial"/>
                          <w:color w:val="9CC2E5" w:themeColor="accent1" w:themeTint="99"/>
                          <w:sz w:val="32"/>
                        </w:rPr>
                        <w:t xml:space="preserve">DATOS PÉRSONALES PROTEGIDOS POR EL ARTÍCULO 116 DE LA LGTAIP Y ARTÍCULO 56 DE LA LTAIPEO </w:t>
                      </w:r>
                    </w:p>
                  </w:txbxContent>
                </v:textbox>
                <w10:wrap type="square"/>
              </v:shape>
            </w:pict>
          </mc:Fallback>
        </mc:AlternateContent>
      </w:r>
      <w:r w:rsidRPr="001F0AA4">
        <w:rPr>
          <w:rFonts w:ascii="Arial" w:hAnsi="Arial" w:cs="Arial"/>
        </w:rPr>
        <w:t>tendría por contestada la demanda en sentido afirmativo, salvo prueba en contrario</w:t>
      </w:r>
      <w:r>
        <w:rPr>
          <w:rFonts w:ascii="Arial" w:hAnsi="Arial" w:cs="Arial"/>
        </w:rPr>
        <w:t>.</w:t>
      </w:r>
      <w:r w:rsidR="003B4EAA">
        <w:rPr>
          <w:rFonts w:ascii="Arial" w:hAnsi="Arial" w:cs="Arial"/>
        </w:rPr>
        <w:t xml:space="preserve"> Se admitieron al actor</w:t>
      </w:r>
      <w:r w:rsidRPr="001F0AA4">
        <w:rPr>
          <w:rFonts w:ascii="Arial" w:hAnsi="Arial" w:cs="Arial"/>
        </w:rPr>
        <w:t xml:space="preserve"> las pruebas ofrecidas que consisten en: </w:t>
      </w:r>
      <w:r w:rsidRPr="00B85A41">
        <w:rPr>
          <w:rFonts w:ascii="Arial" w:hAnsi="Arial" w:cs="Arial"/>
          <w:b/>
        </w:rPr>
        <w:t>1.-</w:t>
      </w:r>
      <w:r>
        <w:rPr>
          <w:rFonts w:ascii="Arial" w:hAnsi="Arial" w:cs="Arial"/>
        </w:rPr>
        <w:t xml:space="preserve"> </w:t>
      </w:r>
      <w:r w:rsidR="003B4EAA">
        <w:rPr>
          <w:rFonts w:ascii="Arial" w:hAnsi="Arial" w:cs="Arial"/>
        </w:rPr>
        <w:t xml:space="preserve">Copia de la resolución contenida en el oficio con número de control </w:t>
      </w:r>
      <w:r w:rsidR="00907C67">
        <w:rPr>
          <w:rFonts w:ascii="Arial" w:hAnsi="Arial" w:cs="Arial"/>
        </w:rPr>
        <w:t>**********</w:t>
      </w:r>
      <w:r w:rsidR="003B4EAA">
        <w:rPr>
          <w:rFonts w:ascii="Arial" w:hAnsi="Arial" w:cs="Arial"/>
        </w:rPr>
        <w:t xml:space="preserve"> de ocho de agosto del dos mil diecisiete, emitido por la Directora de Ingresos y Recaudación de la Secretaría de Finanzas del Poder Ejecutivo del Estado de Oaxaca</w:t>
      </w:r>
      <w:r w:rsidR="00D57C4B">
        <w:rPr>
          <w:rFonts w:ascii="Arial" w:hAnsi="Arial" w:cs="Arial"/>
        </w:rPr>
        <w:t xml:space="preserve">; </w:t>
      </w:r>
      <w:r w:rsidR="00D57C4B" w:rsidRPr="00F73EDD">
        <w:rPr>
          <w:rFonts w:ascii="Arial" w:hAnsi="Arial" w:cs="Arial"/>
          <w:b/>
        </w:rPr>
        <w:t>2.-</w:t>
      </w:r>
      <w:r w:rsidR="003B4EAA">
        <w:rPr>
          <w:rFonts w:ascii="Arial" w:hAnsi="Arial" w:cs="Arial"/>
        </w:rPr>
        <w:t xml:space="preserve"> Formato de inscripción en el Registro Estatal de Contribuyentes a nombre del actor</w:t>
      </w:r>
      <w:r w:rsidR="00F73EDD">
        <w:rPr>
          <w:rFonts w:ascii="Arial" w:hAnsi="Arial" w:cs="Arial"/>
        </w:rPr>
        <w:t xml:space="preserve">; y </w:t>
      </w:r>
      <w:r w:rsidR="003B4EAA">
        <w:rPr>
          <w:rFonts w:ascii="Arial" w:hAnsi="Arial" w:cs="Arial"/>
          <w:b/>
        </w:rPr>
        <w:t>3</w:t>
      </w:r>
      <w:r w:rsidR="00F73EDD" w:rsidRPr="00F73EDD">
        <w:rPr>
          <w:rFonts w:ascii="Arial" w:hAnsi="Arial" w:cs="Arial"/>
          <w:b/>
        </w:rPr>
        <w:t>.-</w:t>
      </w:r>
      <w:r w:rsidR="00F73EDD">
        <w:rPr>
          <w:rFonts w:ascii="Arial" w:hAnsi="Arial" w:cs="Arial"/>
        </w:rPr>
        <w:t xml:space="preserve"> La presuncional legal y humana</w:t>
      </w:r>
      <w:r w:rsidR="003B4EAA">
        <w:rPr>
          <w:rFonts w:ascii="Arial" w:hAnsi="Arial" w:cs="Arial"/>
        </w:rPr>
        <w:t>;</w:t>
      </w:r>
      <w:r w:rsidR="003B4EAA" w:rsidRPr="003B4EAA">
        <w:rPr>
          <w:rFonts w:ascii="Arial" w:hAnsi="Arial" w:cs="Arial"/>
          <w:b/>
        </w:rPr>
        <w:t xml:space="preserve"> </w:t>
      </w:r>
      <w:r w:rsidR="003B4EAA">
        <w:rPr>
          <w:rFonts w:ascii="Arial" w:hAnsi="Arial" w:cs="Arial"/>
          <w:b/>
        </w:rPr>
        <w:t>4</w:t>
      </w:r>
      <w:r w:rsidR="003B4EAA" w:rsidRPr="00F73EDD">
        <w:rPr>
          <w:rFonts w:ascii="Arial" w:hAnsi="Arial" w:cs="Arial"/>
          <w:b/>
        </w:rPr>
        <w:t>.-</w:t>
      </w:r>
      <w:r w:rsidR="003B4EAA">
        <w:rPr>
          <w:rFonts w:ascii="Arial" w:hAnsi="Arial" w:cs="Arial"/>
        </w:rPr>
        <w:t xml:space="preserve"> La instrumental de actuaciones</w:t>
      </w:r>
      <w:r w:rsidR="00F73EDD">
        <w:rPr>
          <w:rFonts w:ascii="Arial" w:hAnsi="Arial" w:cs="Arial"/>
        </w:rPr>
        <w:t>. - - - - - - -</w:t>
      </w:r>
      <w:r w:rsidR="0024047F">
        <w:rPr>
          <w:rFonts w:ascii="Arial" w:hAnsi="Arial" w:cs="Arial"/>
        </w:rPr>
        <w:t xml:space="preserve"> - - - - - - - - - - - - - - - - - - - - - - - - - - - - - - - - - - -</w:t>
      </w:r>
      <w:r w:rsidR="003B4EAA">
        <w:rPr>
          <w:rFonts w:ascii="Arial" w:hAnsi="Arial" w:cs="Arial"/>
        </w:rPr>
        <w:t xml:space="preserve"> - - - - - - - - - - - - - - </w:t>
      </w:r>
      <w:r w:rsidR="0024047F">
        <w:rPr>
          <w:rFonts w:ascii="Arial" w:hAnsi="Arial" w:cs="Arial"/>
        </w:rPr>
        <w:t xml:space="preserve"> </w:t>
      </w:r>
      <w:r w:rsidR="00F73EDD">
        <w:rPr>
          <w:rFonts w:ascii="Arial" w:hAnsi="Arial" w:cs="Arial"/>
        </w:rPr>
        <w:t xml:space="preserve"> </w:t>
      </w:r>
    </w:p>
    <w:p w:rsidR="00E74A70" w:rsidRDefault="00E74A70" w:rsidP="00E74A70">
      <w:pPr>
        <w:spacing w:after="0" w:line="360" w:lineRule="auto"/>
        <w:jc w:val="both"/>
        <w:rPr>
          <w:rFonts w:ascii="Arial" w:hAnsi="Arial" w:cs="Arial"/>
        </w:rPr>
      </w:pPr>
    </w:p>
    <w:p w:rsidR="0024047F" w:rsidRDefault="00E74A70" w:rsidP="00247868">
      <w:pPr>
        <w:spacing w:after="0" w:line="360" w:lineRule="auto"/>
        <w:ind w:firstLine="567"/>
        <w:jc w:val="both"/>
        <w:rPr>
          <w:rFonts w:ascii="Arial" w:hAnsi="Arial" w:cs="Arial"/>
        </w:rPr>
      </w:pPr>
      <w:r>
        <w:rPr>
          <w:rFonts w:ascii="Arial" w:hAnsi="Arial" w:cs="Arial"/>
          <w:b/>
        </w:rPr>
        <w:t>2°.</w:t>
      </w:r>
      <w:r w:rsidRPr="001F0AA4">
        <w:rPr>
          <w:rFonts w:ascii="Arial" w:hAnsi="Arial" w:cs="Arial"/>
          <w:b/>
        </w:rPr>
        <w:t xml:space="preserve"> </w:t>
      </w:r>
      <w:r w:rsidR="00247868" w:rsidRPr="00C95C96">
        <w:rPr>
          <w:rFonts w:ascii="Arial" w:hAnsi="Arial" w:cs="Arial"/>
        </w:rPr>
        <w:t xml:space="preserve">Mediante acuerdo de </w:t>
      </w:r>
      <w:r w:rsidR="00247868">
        <w:rPr>
          <w:rFonts w:ascii="Arial" w:hAnsi="Arial" w:cs="Arial"/>
        </w:rPr>
        <w:t>trece</w:t>
      </w:r>
      <w:r w:rsidR="00247868" w:rsidRPr="00C95C96">
        <w:rPr>
          <w:rFonts w:ascii="Arial" w:hAnsi="Arial" w:cs="Arial"/>
        </w:rPr>
        <w:t xml:space="preserve"> de </w:t>
      </w:r>
      <w:r w:rsidR="00247868">
        <w:rPr>
          <w:rFonts w:ascii="Arial" w:hAnsi="Arial" w:cs="Arial"/>
        </w:rPr>
        <w:t>julio</w:t>
      </w:r>
      <w:r w:rsidR="00247868" w:rsidRPr="00C95C96">
        <w:rPr>
          <w:rFonts w:ascii="Arial" w:hAnsi="Arial" w:cs="Arial"/>
        </w:rPr>
        <w:t xml:space="preserve"> del dos mil dieciocho, se hizo de conocimiento a las partes en el presente juicio, que mediante Decreto 786, de la LXIII Legislatura Constitucional del Estado Libre y Soberano de Oaxaca, públicado en el Extra del Periódico Oficial del Gobierno del Estado el dieciséis de enero de dos mil dieciocho, se reformaron, adicionaron y derogaron disposiciones de la Constitución Estatal, adicionandose un capítulo referente a los Órganos Autónomos, por lo que la Sala Superior del entonces Tribunal de lo Contencioso Administrativo y de Cuentas del Poder Judicial del Estado dictó acuerdo 02/2018 de treinta de enero del presente año, en el que se declaró el cierre de actividades, determinando la suspensión de plazos y términos que se encontraran corriendo, Así mediante Acuerdo General AG/TJAO/01/2018 de fecha veintiocho de febrero del dos mil dieciocho dictado por el Pleno de la Sala Superior declarando formal y materialmente instalado el Tribunal de Justicia Administrativa para el Estado de Oaxaca; declarandose el inicio de actividades a partir del uno de marzo del</w:t>
      </w:r>
      <w:r w:rsidR="00247868">
        <w:rPr>
          <w:rFonts w:ascii="Arial" w:hAnsi="Arial" w:cs="Arial"/>
        </w:rPr>
        <w:t xml:space="preserve"> año en curso; Por otra parte</w:t>
      </w:r>
      <w:r w:rsidR="00F73EDD">
        <w:rPr>
          <w:rFonts w:ascii="Arial" w:hAnsi="Arial" w:cs="Arial"/>
        </w:rPr>
        <w:t xml:space="preserve">, se tuvo por recibido el oficio </w:t>
      </w:r>
      <w:r w:rsidR="00907C67">
        <w:rPr>
          <w:rFonts w:ascii="Arial" w:hAnsi="Arial" w:cs="Arial"/>
        </w:rPr>
        <w:t>**********</w:t>
      </w:r>
      <w:r>
        <w:rPr>
          <w:rFonts w:ascii="Arial" w:hAnsi="Arial" w:cs="Arial"/>
        </w:rPr>
        <w:t xml:space="preserve">signado por la Directora de lo Contencioso de la Secretaría de Finanzas del Poder Ejecutivo del Estado, en representación jurídica de la defensa legal de dicha Secretaría, donde contesta la demanda de nulidad promovida por la parte actora; hizo valer sus excepciones y defensas y se le admitieron las pruebas marcadas con los numerales: </w:t>
      </w:r>
      <w:r w:rsidRPr="00B85A41">
        <w:rPr>
          <w:rFonts w:ascii="Arial" w:hAnsi="Arial" w:cs="Arial"/>
          <w:b/>
        </w:rPr>
        <w:t>1.-</w:t>
      </w:r>
      <w:r>
        <w:rPr>
          <w:rFonts w:ascii="Arial" w:hAnsi="Arial" w:cs="Arial"/>
        </w:rPr>
        <w:t xml:space="preserve"> </w:t>
      </w:r>
      <w:r w:rsidR="00247868">
        <w:rPr>
          <w:rFonts w:ascii="Arial" w:hAnsi="Arial" w:cs="Arial"/>
        </w:rPr>
        <w:t xml:space="preserve">Multa por infracción establecida en el Código Fiscal para el Estado de Oaxaca, con número de control </w:t>
      </w:r>
      <w:r w:rsidR="00907C67">
        <w:rPr>
          <w:rFonts w:ascii="Arial" w:hAnsi="Arial" w:cs="Arial"/>
        </w:rPr>
        <w:t>**********</w:t>
      </w:r>
      <w:r w:rsidR="00247868">
        <w:rPr>
          <w:rFonts w:ascii="Arial" w:hAnsi="Arial" w:cs="Arial"/>
        </w:rPr>
        <w:t xml:space="preserve"> de ocho de agosto del dos mil diecisiete, la cual fue exhibida por la parte actora y que la hizo suya</w:t>
      </w:r>
      <w:r w:rsidR="00F73EDD">
        <w:rPr>
          <w:rFonts w:ascii="Arial" w:hAnsi="Arial" w:cs="Arial"/>
        </w:rPr>
        <w:t xml:space="preserve">; </w:t>
      </w:r>
      <w:r w:rsidR="00F73EDD" w:rsidRPr="00F73EDD">
        <w:rPr>
          <w:rFonts w:ascii="Arial" w:hAnsi="Arial" w:cs="Arial"/>
          <w:b/>
        </w:rPr>
        <w:t>2.-</w:t>
      </w:r>
      <w:r w:rsidR="00F73EDD">
        <w:rPr>
          <w:rFonts w:ascii="Arial" w:hAnsi="Arial" w:cs="Arial"/>
        </w:rPr>
        <w:t xml:space="preserve"> La presuncional legal y humana; y </w:t>
      </w:r>
      <w:r w:rsidR="00F73EDD" w:rsidRPr="00F73EDD">
        <w:rPr>
          <w:rFonts w:ascii="Arial" w:hAnsi="Arial" w:cs="Arial"/>
          <w:b/>
        </w:rPr>
        <w:t>3.-</w:t>
      </w:r>
      <w:r w:rsidR="00F73EDD">
        <w:rPr>
          <w:rFonts w:ascii="Arial" w:hAnsi="Arial" w:cs="Arial"/>
        </w:rPr>
        <w:t xml:space="preserve"> La instrumental de actuaciones.</w:t>
      </w:r>
      <w:r w:rsidR="00247868">
        <w:rPr>
          <w:rFonts w:ascii="Arial" w:hAnsi="Arial" w:cs="Arial"/>
        </w:rPr>
        <w:t xml:space="preserve"> - - - - - - - - - - - - - - - - - - - - - - - - - - - - - - - - - - - - - - - - - - </w:t>
      </w:r>
    </w:p>
    <w:p w:rsidR="00E74A70" w:rsidRDefault="00172D7D" w:rsidP="00247868">
      <w:pPr>
        <w:spacing w:after="0" w:line="360" w:lineRule="auto"/>
        <w:ind w:firstLine="567"/>
        <w:jc w:val="both"/>
        <w:rPr>
          <w:rFonts w:ascii="Arial" w:hAnsi="Arial" w:cs="Arial"/>
        </w:rPr>
      </w:pPr>
      <w:r>
        <w:rPr>
          <w:rFonts w:ascii="Arial" w:hAnsi="Arial" w:cs="Arial"/>
        </w:rPr>
        <w:t xml:space="preserve"> </w:t>
      </w:r>
    </w:p>
    <w:p w:rsidR="00E74A70" w:rsidRDefault="00247868" w:rsidP="00E74A70">
      <w:pPr>
        <w:spacing w:after="0" w:line="360" w:lineRule="auto"/>
        <w:ind w:firstLine="567"/>
        <w:jc w:val="both"/>
        <w:rPr>
          <w:rFonts w:ascii="Arial" w:hAnsi="Arial" w:cs="Arial"/>
        </w:rPr>
      </w:pPr>
      <w:r>
        <w:rPr>
          <w:rFonts w:ascii="Arial" w:hAnsi="Arial" w:cs="Arial"/>
          <w:b/>
        </w:rPr>
        <w:t>3</w:t>
      </w:r>
      <w:r w:rsidR="00E74A70">
        <w:rPr>
          <w:rFonts w:ascii="Arial" w:hAnsi="Arial" w:cs="Arial"/>
          <w:b/>
        </w:rPr>
        <w:t>°.</w:t>
      </w:r>
      <w:r w:rsidR="00E74A70" w:rsidRPr="001F0AA4">
        <w:rPr>
          <w:rFonts w:ascii="Arial" w:hAnsi="Arial" w:cs="Arial"/>
        </w:rPr>
        <w:t xml:space="preserve"> </w:t>
      </w:r>
      <w:r w:rsidR="00DF3165">
        <w:rPr>
          <w:rFonts w:ascii="Arial" w:hAnsi="Arial" w:cs="Arial"/>
        </w:rPr>
        <w:t>Por auto de trece de septiembre del dos mil dieciocho, s</w:t>
      </w:r>
      <w:r w:rsidR="00E74A70">
        <w:rPr>
          <w:rFonts w:ascii="Arial" w:hAnsi="Arial" w:cs="Arial"/>
        </w:rPr>
        <w:t xml:space="preserve">e </w:t>
      </w:r>
      <w:r w:rsidR="00172D7D">
        <w:rPr>
          <w:rFonts w:ascii="Arial" w:hAnsi="Arial" w:cs="Arial"/>
        </w:rPr>
        <w:t xml:space="preserve">fijaron las </w:t>
      </w:r>
      <w:r w:rsidR="00DF3165">
        <w:rPr>
          <w:rFonts w:ascii="Arial" w:hAnsi="Arial" w:cs="Arial"/>
        </w:rPr>
        <w:t>once</w:t>
      </w:r>
      <w:r w:rsidR="00172D7D">
        <w:rPr>
          <w:rFonts w:ascii="Arial" w:hAnsi="Arial" w:cs="Arial"/>
        </w:rPr>
        <w:t xml:space="preserve"> horas del día </w:t>
      </w:r>
      <w:r w:rsidR="00DF3165">
        <w:rPr>
          <w:rFonts w:ascii="Arial" w:hAnsi="Arial" w:cs="Arial"/>
        </w:rPr>
        <w:t>trece</w:t>
      </w:r>
      <w:r w:rsidR="00172D7D">
        <w:rPr>
          <w:rFonts w:ascii="Arial" w:hAnsi="Arial" w:cs="Arial"/>
        </w:rPr>
        <w:t xml:space="preserve"> de </w:t>
      </w:r>
      <w:r w:rsidR="00DF3165">
        <w:rPr>
          <w:rFonts w:ascii="Arial" w:hAnsi="Arial" w:cs="Arial"/>
        </w:rPr>
        <w:t>septiembre</w:t>
      </w:r>
      <w:r w:rsidR="00172D7D">
        <w:rPr>
          <w:rFonts w:ascii="Arial" w:hAnsi="Arial" w:cs="Arial"/>
        </w:rPr>
        <w:t xml:space="preserve"> del dos mil dieciocho, para que se celebrara la Audiencia Final</w:t>
      </w:r>
      <w:r w:rsidR="00E74A70">
        <w:rPr>
          <w:rFonts w:ascii="Arial" w:hAnsi="Arial" w:cs="Arial"/>
        </w:rPr>
        <w:t>, misma que se celebró sin comparecencia de las partes ni de persona alguna que legalmente las representara</w:t>
      </w:r>
      <w:r w:rsidR="00E74A70" w:rsidRPr="001F0AA4">
        <w:rPr>
          <w:rFonts w:ascii="Arial" w:hAnsi="Arial" w:cs="Arial"/>
        </w:rPr>
        <w:t xml:space="preserve">; se abrió el periodo de desahogo de pruebas donde el </w:t>
      </w:r>
      <w:r w:rsidR="0024047F">
        <w:rPr>
          <w:rFonts w:ascii="Arial" w:hAnsi="Arial" w:cs="Arial"/>
        </w:rPr>
        <w:t>Secretario de Acuerdos</w:t>
      </w:r>
      <w:r w:rsidR="00E74A70" w:rsidRPr="001F0AA4">
        <w:rPr>
          <w:rFonts w:ascii="Arial" w:hAnsi="Arial" w:cs="Arial"/>
        </w:rPr>
        <w:t xml:space="preserve"> de esta </w:t>
      </w:r>
      <w:r w:rsidR="00E74A70">
        <w:rPr>
          <w:rFonts w:ascii="Arial" w:hAnsi="Arial" w:cs="Arial"/>
        </w:rPr>
        <w:t>Se</w:t>
      </w:r>
      <w:r w:rsidR="0024047F">
        <w:rPr>
          <w:rFonts w:ascii="Arial" w:hAnsi="Arial" w:cs="Arial"/>
        </w:rPr>
        <w:t>xta</w:t>
      </w:r>
      <w:r w:rsidR="00E74A70" w:rsidRPr="001F0AA4">
        <w:rPr>
          <w:rFonts w:ascii="Arial" w:hAnsi="Arial" w:cs="Arial"/>
        </w:rPr>
        <w:t xml:space="preserve"> Sala </w:t>
      </w:r>
      <w:r w:rsidR="00E74A70">
        <w:rPr>
          <w:rFonts w:ascii="Arial" w:hAnsi="Arial" w:cs="Arial"/>
        </w:rPr>
        <w:t>U</w:t>
      </w:r>
      <w:r w:rsidR="00E74A70" w:rsidRPr="001F0AA4">
        <w:rPr>
          <w:rFonts w:ascii="Arial" w:hAnsi="Arial" w:cs="Arial"/>
        </w:rPr>
        <w:t>nit</w:t>
      </w:r>
      <w:r w:rsidR="00E74A70">
        <w:rPr>
          <w:rFonts w:ascii="Arial" w:hAnsi="Arial" w:cs="Arial"/>
        </w:rPr>
        <w:t>aria de Primera Instancia, del T</w:t>
      </w:r>
      <w:r w:rsidR="00E74A70" w:rsidRPr="001F0AA4">
        <w:rPr>
          <w:rFonts w:ascii="Arial" w:hAnsi="Arial" w:cs="Arial"/>
        </w:rPr>
        <w:t xml:space="preserve">ribunal de </w:t>
      </w:r>
      <w:r w:rsidR="00E74A70">
        <w:rPr>
          <w:rFonts w:ascii="Arial" w:hAnsi="Arial" w:cs="Arial"/>
        </w:rPr>
        <w:t>Justicia Administrativa del Estado de Oaxaca</w:t>
      </w:r>
      <w:r w:rsidR="00E74A70" w:rsidRPr="001F0AA4">
        <w:rPr>
          <w:rFonts w:ascii="Arial" w:hAnsi="Arial" w:cs="Arial"/>
        </w:rPr>
        <w:t xml:space="preserve"> las declaró desahogadas por su propia </w:t>
      </w:r>
      <w:r w:rsidR="00E74A70" w:rsidRPr="001F0AA4">
        <w:rPr>
          <w:rFonts w:ascii="Arial" w:hAnsi="Arial" w:cs="Arial"/>
        </w:rPr>
        <w:lastRenderedPageBreak/>
        <w:t xml:space="preserve">naturaleza; en el periodo de alegatos se dio </w:t>
      </w:r>
      <w:r w:rsidR="00E74A70">
        <w:rPr>
          <w:rFonts w:ascii="Arial" w:hAnsi="Arial" w:cs="Arial"/>
        </w:rPr>
        <w:t xml:space="preserve">cuenta con que las partes no </w:t>
      </w:r>
      <w:r w:rsidR="00EA63B8">
        <w:rPr>
          <w:noProof/>
          <w:lang w:eastAsia="es-MX"/>
        </w:rPr>
        <mc:AlternateContent>
          <mc:Choice Requires="wps">
            <w:drawing>
              <wp:anchor distT="45720" distB="45720" distL="114300" distR="114300" simplePos="0" relativeHeight="251620864" behindDoc="0" locked="0" layoutInCell="1" allowOverlap="1" wp14:anchorId="78E0DCBC" wp14:editId="6581138D">
                <wp:simplePos x="0" y="0"/>
                <wp:positionH relativeFrom="column">
                  <wp:posOffset>-962660</wp:posOffset>
                </wp:positionH>
                <wp:positionV relativeFrom="paragraph">
                  <wp:posOffset>269240</wp:posOffset>
                </wp:positionV>
                <wp:extent cx="1743075" cy="8907780"/>
                <wp:effectExtent l="0" t="0" r="9525" b="7620"/>
                <wp:wrapSquare wrapText="bothSides"/>
                <wp:docPr id="4"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43075" cy="8907780"/>
                        </a:xfrm>
                        <a:prstGeom prst="rect">
                          <a:avLst/>
                        </a:prstGeom>
                        <a:solidFill>
                          <a:srgbClr val="FFFFFF"/>
                        </a:solidFill>
                        <a:ln w="9525">
                          <a:noFill/>
                          <a:miter lim="800000"/>
                          <a:headEnd/>
                          <a:tailEnd/>
                        </a:ln>
                      </wps:spPr>
                      <wps:txbx>
                        <w:txbxContent>
                          <w:p w:rsidR="00EA63B8" w:rsidRDefault="00EA63B8" w:rsidP="00EA63B8">
                            <w:pPr>
                              <w:rPr>
                                <w:rFonts w:ascii="Arial" w:hAnsi="Arial" w:cs="Arial"/>
                                <w:color w:val="9CC2E5" w:themeColor="accent1" w:themeTint="99"/>
                                <w:sz w:val="36"/>
                              </w:rPr>
                            </w:pPr>
                          </w:p>
                          <w:p w:rsidR="00EA63B8" w:rsidRDefault="00EA63B8" w:rsidP="00EA63B8">
                            <w:pPr>
                              <w:rPr>
                                <w:rFonts w:ascii="Arial" w:hAnsi="Arial" w:cs="Arial"/>
                                <w:color w:val="9CC2E5" w:themeColor="accent1" w:themeTint="99"/>
                                <w:sz w:val="36"/>
                              </w:rPr>
                            </w:pPr>
                          </w:p>
                          <w:p w:rsidR="00EA63B8" w:rsidRDefault="00EA63B8" w:rsidP="00EA63B8">
                            <w:pPr>
                              <w:rPr>
                                <w:rFonts w:ascii="Arial" w:hAnsi="Arial" w:cs="Arial"/>
                                <w:color w:val="9CC2E5" w:themeColor="accent1" w:themeTint="99"/>
                                <w:sz w:val="36"/>
                              </w:rPr>
                            </w:pPr>
                          </w:p>
                          <w:p w:rsidR="00EA63B8" w:rsidRDefault="00EA63B8" w:rsidP="00EA63B8">
                            <w:pPr>
                              <w:rPr>
                                <w:rFonts w:ascii="Arial" w:hAnsi="Arial" w:cs="Arial"/>
                                <w:color w:val="9CC2E5" w:themeColor="accent1" w:themeTint="99"/>
                                <w:sz w:val="36"/>
                              </w:rPr>
                            </w:pPr>
                          </w:p>
                          <w:p w:rsidR="00EA63B8" w:rsidRDefault="00EA63B8" w:rsidP="00EA63B8">
                            <w:pPr>
                              <w:rPr>
                                <w:rFonts w:ascii="Arial" w:hAnsi="Arial" w:cs="Arial"/>
                                <w:color w:val="9CC2E5" w:themeColor="accent1" w:themeTint="99"/>
                                <w:sz w:val="36"/>
                              </w:rPr>
                            </w:pPr>
                          </w:p>
                          <w:p w:rsidR="00EA63B8" w:rsidRDefault="00EA63B8" w:rsidP="00EA63B8">
                            <w:pPr>
                              <w:rPr>
                                <w:rFonts w:ascii="Arial" w:hAnsi="Arial" w:cs="Arial"/>
                                <w:color w:val="9CC2E5" w:themeColor="accent1" w:themeTint="99"/>
                                <w:sz w:val="36"/>
                              </w:rPr>
                            </w:pPr>
                          </w:p>
                          <w:p w:rsidR="00EA63B8" w:rsidRDefault="00EA63B8" w:rsidP="00EA63B8">
                            <w:pPr>
                              <w:rPr>
                                <w:rFonts w:ascii="Arial" w:hAnsi="Arial" w:cs="Arial"/>
                                <w:color w:val="9CC2E5" w:themeColor="accent1" w:themeTint="99"/>
                                <w:sz w:val="36"/>
                              </w:rPr>
                            </w:pPr>
                          </w:p>
                          <w:p w:rsidR="00EA63B8" w:rsidRDefault="00EA63B8" w:rsidP="00EA63B8">
                            <w:pPr>
                              <w:rPr>
                                <w:rFonts w:ascii="Arial" w:hAnsi="Arial" w:cs="Arial"/>
                                <w:color w:val="9CC2E5" w:themeColor="accent1" w:themeTint="99"/>
                                <w:sz w:val="36"/>
                              </w:rPr>
                            </w:pPr>
                          </w:p>
                          <w:p w:rsidR="00EA63B8" w:rsidRPr="00C87479" w:rsidRDefault="00EA63B8" w:rsidP="00EA63B8">
                            <w:pPr>
                              <w:rPr>
                                <w:rFonts w:ascii="Arial" w:hAnsi="Arial" w:cs="Arial"/>
                                <w:color w:val="9CC2E5" w:themeColor="accent1" w:themeTint="99"/>
                                <w:sz w:val="32"/>
                              </w:rPr>
                            </w:pPr>
                            <w:r w:rsidRPr="00C87479">
                              <w:rPr>
                                <w:rFonts w:ascii="Arial" w:hAnsi="Arial" w:cs="Arial"/>
                                <w:color w:val="9CC2E5" w:themeColor="accent1" w:themeTint="99"/>
                                <w:sz w:val="32"/>
                              </w:rPr>
                              <w:t xml:space="preserve">DATOS PÉRSONALES PROTEGIDOS POR EL ARTÍCULO 116 DE LA LGTAIP Y ARTÍCULO 56 DE LA LTAIPEO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8E0DCBC" id="_x0000_s1028" type="#_x0000_t202" style="position:absolute;left:0;text-align:left;margin-left:-75.8pt;margin-top:21.2pt;width:137.25pt;height:701.4pt;z-index:2516208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" stroked="f">
                <v:textbox>
                  <w:txbxContent>
                    <w:p w:rsidR="00EA63B8" w:rsidRDefault="00EA63B8" w:rsidP="00EA63B8">
                      <w:pPr>
                        <w:rPr>
                          <w:rFonts w:ascii="Arial" w:hAnsi="Arial" w:cs="Arial"/>
                          <w:color w:val="9CC2E5" w:themeColor="accent1" w:themeTint="99"/>
                          <w:sz w:val="36"/>
                        </w:rPr>
                      </w:pPr>
                    </w:p>
                    <w:p w:rsidR="00EA63B8" w:rsidRDefault="00EA63B8" w:rsidP="00EA63B8">
                      <w:pPr>
                        <w:rPr>
                          <w:rFonts w:ascii="Arial" w:hAnsi="Arial" w:cs="Arial"/>
                          <w:color w:val="9CC2E5" w:themeColor="accent1" w:themeTint="99"/>
                          <w:sz w:val="36"/>
                        </w:rPr>
                      </w:pPr>
                    </w:p>
                    <w:p w:rsidR="00EA63B8" w:rsidRDefault="00EA63B8" w:rsidP="00EA63B8">
                      <w:pPr>
                        <w:rPr>
                          <w:rFonts w:ascii="Arial" w:hAnsi="Arial" w:cs="Arial"/>
                          <w:color w:val="9CC2E5" w:themeColor="accent1" w:themeTint="99"/>
                          <w:sz w:val="36"/>
                        </w:rPr>
                      </w:pPr>
                    </w:p>
                    <w:p w:rsidR="00EA63B8" w:rsidRDefault="00EA63B8" w:rsidP="00EA63B8">
                      <w:pPr>
                        <w:rPr>
                          <w:rFonts w:ascii="Arial" w:hAnsi="Arial" w:cs="Arial"/>
                          <w:color w:val="9CC2E5" w:themeColor="accent1" w:themeTint="99"/>
                          <w:sz w:val="36"/>
                        </w:rPr>
                      </w:pPr>
                    </w:p>
                    <w:p w:rsidR="00EA63B8" w:rsidRDefault="00EA63B8" w:rsidP="00EA63B8">
                      <w:pPr>
                        <w:rPr>
                          <w:rFonts w:ascii="Arial" w:hAnsi="Arial" w:cs="Arial"/>
                          <w:color w:val="9CC2E5" w:themeColor="accent1" w:themeTint="99"/>
                          <w:sz w:val="36"/>
                        </w:rPr>
                      </w:pPr>
                    </w:p>
                    <w:p w:rsidR="00EA63B8" w:rsidRDefault="00EA63B8" w:rsidP="00EA63B8">
                      <w:pPr>
                        <w:rPr>
                          <w:rFonts w:ascii="Arial" w:hAnsi="Arial" w:cs="Arial"/>
                          <w:color w:val="9CC2E5" w:themeColor="accent1" w:themeTint="99"/>
                          <w:sz w:val="36"/>
                        </w:rPr>
                      </w:pPr>
                    </w:p>
                    <w:p w:rsidR="00EA63B8" w:rsidRDefault="00EA63B8" w:rsidP="00EA63B8">
                      <w:pPr>
                        <w:rPr>
                          <w:rFonts w:ascii="Arial" w:hAnsi="Arial" w:cs="Arial"/>
                          <w:color w:val="9CC2E5" w:themeColor="accent1" w:themeTint="99"/>
                          <w:sz w:val="36"/>
                        </w:rPr>
                      </w:pPr>
                    </w:p>
                    <w:p w:rsidR="00EA63B8" w:rsidRDefault="00EA63B8" w:rsidP="00EA63B8">
                      <w:pPr>
                        <w:rPr>
                          <w:rFonts w:ascii="Arial" w:hAnsi="Arial" w:cs="Arial"/>
                          <w:color w:val="9CC2E5" w:themeColor="accent1" w:themeTint="99"/>
                          <w:sz w:val="36"/>
                        </w:rPr>
                      </w:pPr>
                    </w:p>
                    <w:p w:rsidR="00EA63B8" w:rsidRPr="00C87479" w:rsidRDefault="00EA63B8" w:rsidP="00EA63B8">
                      <w:pPr>
                        <w:rPr>
                          <w:rFonts w:ascii="Arial" w:hAnsi="Arial" w:cs="Arial"/>
                          <w:color w:val="9CC2E5" w:themeColor="accent1" w:themeTint="99"/>
                          <w:sz w:val="32"/>
                        </w:rPr>
                      </w:pPr>
                      <w:r w:rsidRPr="00C87479">
                        <w:rPr>
                          <w:rFonts w:ascii="Arial" w:hAnsi="Arial" w:cs="Arial"/>
                          <w:color w:val="9CC2E5" w:themeColor="accent1" w:themeTint="99"/>
                          <w:sz w:val="32"/>
                        </w:rPr>
                        <w:t xml:space="preserve">DATOS PÉRSONALES PROTEGIDOS POR EL ARTÍCULO 116 DE LA LGTAIP Y ARTÍCULO 56 DE LA LTAIPEO </w:t>
                      </w:r>
                    </w:p>
                  </w:txbxContent>
                </v:textbox>
                <w10:wrap type="square"/>
              </v:shape>
            </w:pict>
          </mc:Fallback>
        </mc:AlternateContent>
      </w:r>
      <w:r w:rsidR="00E74A70">
        <w:rPr>
          <w:rFonts w:ascii="Arial" w:hAnsi="Arial" w:cs="Arial"/>
        </w:rPr>
        <w:t>presentaron documento alguno formulando alegatos por lo que se declaró precluído su derecho. Finalmente se citó a las partes para oír sentenci</w:t>
      </w:r>
      <w:r w:rsidR="0024047F">
        <w:rPr>
          <w:rFonts w:ascii="Arial" w:hAnsi="Arial" w:cs="Arial"/>
        </w:rPr>
        <w:t xml:space="preserve">a, misma que ahora se pronuncia. - - - - - - </w:t>
      </w:r>
    </w:p>
    <w:p w:rsidR="00E74A70" w:rsidRPr="001F0AA4" w:rsidRDefault="00E74A70" w:rsidP="0024047F">
      <w:pPr>
        <w:spacing w:after="0" w:line="360" w:lineRule="auto"/>
        <w:jc w:val="both"/>
        <w:rPr>
          <w:rFonts w:ascii="Arial" w:hAnsi="Arial" w:cs="Arial"/>
        </w:rPr>
      </w:pPr>
    </w:p>
    <w:p w:rsidR="00E74A70" w:rsidRPr="001F0AA4" w:rsidRDefault="00E74A70" w:rsidP="00E74A70">
      <w:pPr>
        <w:spacing w:after="0" w:line="360" w:lineRule="auto"/>
        <w:jc w:val="center"/>
        <w:rPr>
          <w:rFonts w:ascii="Arial" w:hAnsi="Arial" w:cs="Arial"/>
          <w:b/>
        </w:rPr>
      </w:pPr>
      <w:r w:rsidRPr="001F0AA4">
        <w:rPr>
          <w:rFonts w:ascii="Arial" w:hAnsi="Arial" w:cs="Arial"/>
          <w:b/>
        </w:rPr>
        <w:t>C O N S I D E R A N D O:</w:t>
      </w:r>
    </w:p>
    <w:p w:rsidR="00E74A70" w:rsidRPr="001F0AA4" w:rsidRDefault="00E74A70" w:rsidP="00E74A70">
      <w:pPr>
        <w:spacing w:after="0" w:line="360" w:lineRule="auto"/>
        <w:rPr>
          <w:rFonts w:ascii="Arial" w:hAnsi="Arial" w:cs="Arial"/>
          <w:b/>
        </w:rPr>
      </w:pPr>
    </w:p>
    <w:p w:rsidR="00E74A70" w:rsidRPr="001F0AA4" w:rsidRDefault="00E74A70" w:rsidP="0024047F">
      <w:pPr>
        <w:spacing w:after="0" w:line="360" w:lineRule="auto"/>
        <w:ind w:right="-93" w:firstLine="567"/>
        <w:jc w:val="both"/>
        <w:rPr>
          <w:rFonts w:ascii="Arial" w:hAnsi="Arial" w:cs="Arial"/>
        </w:rPr>
      </w:pPr>
      <w:r w:rsidRPr="001F0AA4">
        <w:rPr>
          <w:rFonts w:ascii="Arial" w:hAnsi="Arial" w:cs="Arial"/>
          <w:b/>
        </w:rPr>
        <w:t>PRIMERO.- Competencia.</w:t>
      </w:r>
      <w:r>
        <w:rPr>
          <w:rFonts w:ascii="Arial" w:hAnsi="Arial" w:cs="Arial"/>
          <w:b/>
        </w:rPr>
        <w:t>-</w:t>
      </w:r>
      <w:r w:rsidRPr="001F0AA4">
        <w:rPr>
          <w:rFonts w:ascii="Arial" w:hAnsi="Arial" w:cs="Arial"/>
        </w:rPr>
        <w:t xml:space="preserve"> </w:t>
      </w:r>
      <w:r w:rsidRPr="001857E5">
        <w:rPr>
          <w:rFonts w:ascii="Arial" w:hAnsi="Arial" w:cs="Arial"/>
        </w:rPr>
        <w:t xml:space="preserve">Esta </w:t>
      </w:r>
      <w:r>
        <w:rPr>
          <w:rFonts w:ascii="Arial" w:hAnsi="Arial" w:cs="Arial"/>
        </w:rPr>
        <w:t>Se</w:t>
      </w:r>
      <w:r w:rsidR="0024047F">
        <w:rPr>
          <w:rFonts w:ascii="Arial" w:hAnsi="Arial" w:cs="Arial"/>
        </w:rPr>
        <w:t>xta</w:t>
      </w:r>
      <w:r w:rsidRPr="001857E5">
        <w:rPr>
          <w:rFonts w:ascii="Arial" w:hAnsi="Arial" w:cs="Arial"/>
        </w:rPr>
        <w:t xml:space="preserve"> Sala Unitaria  del Tribunal de Justicia Administrativa del Estado de Oaxaca es competente para conocer del presente asunto en términos del Decreto Núm. 786, de la LXIII Legislatura Constitucional del Estado Libre y Soberano de Oaxaca, mediante el cual se Reforman, Adicionan y Derogan diversas disposiciones de la Constitución Estatal; entre ellas la adición de un capítulo al Título Sexto, relativo a los Órganos autónomos, denominado “ Del Tribunal de Justicia Administrativa del Estado de Oaxaca”. A</w:t>
      </w:r>
      <w:r>
        <w:rPr>
          <w:rFonts w:ascii="Arial" w:hAnsi="Arial" w:cs="Arial"/>
        </w:rPr>
        <w:t>rtículos 114 QUÁTER fracción VI</w:t>
      </w:r>
      <w:r w:rsidRPr="001857E5">
        <w:rPr>
          <w:rFonts w:ascii="Arial" w:hAnsi="Arial" w:cs="Arial"/>
        </w:rPr>
        <w:t xml:space="preserve">, de la Constitución Política del Estado Libre y Soberano del Estado de Oaxaca; que establece las atribuciones de este tribunal 118, 119 ,120 fracción I a la IV y 121 de la Ley de Procedimiento y Justicia Administrativa para el Estado de Oaxaca, por tratarse de un juicio de nulidad promovido en contra de una autoridad administrativa de carácter </w:t>
      </w:r>
      <w:r>
        <w:rPr>
          <w:rFonts w:ascii="Arial" w:hAnsi="Arial" w:cs="Arial"/>
        </w:rPr>
        <w:t>estatal.</w:t>
      </w:r>
      <w:r w:rsidR="0024047F">
        <w:rPr>
          <w:rFonts w:ascii="Arial" w:hAnsi="Arial" w:cs="Arial"/>
        </w:rPr>
        <w:t xml:space="preserve"> - - - - - </w:t>
      </w:r>
      <w:r>
        <w:rPr>
          <w:rFonts w:ascii="Arial" w:hAnsi="Arial" w:cs="Arial"/>
        </w:rPr>
        <w:t xml:space="preserve"> </w:t>
      </w:r>
    </w:p>
    <w:p w:rsidR="00E74A70" w:rsidRDefault="00E74A70" w:rsidP="0024047F">
      <w:pPr>
        <w:tabs>
          <w:tab w:val="left" w:pos="6946"/>
        </w:tabs>
        <w:spacing w:after="0" w:line="360" w:lineRule="auto"/>
        <w:ind w:right="-93"/>
        <w:jc w:val="both"/>
        <w:rPr>
          <w:rFonts w:ascii="Arial" w:hAnsi="Arial" w:cs="Arial"/>
          <w:b/>
        </w:rPr>
      </w:pPr>
    </w:p>
    <w:p w:rsidR="00E74A70" w:rsidRDefault="00E74A70" w:rsidP="0024047F">
      <w:pPr>
        <w:tabs>
          <w:tab w:val="left" w:pos="6946"/>
        </w:tabs>
        <w:spacing w:after="0" w:line="360" w:lineRule="auto"/>
        <w:ind w:right="-93" w:firstLine="567"/>
        <w:jc w:val="both"/>
        <w:rPr>
          <w:rFonts w:ascii="Arial" w:hAnsi="Arial" w:cs="Arial"/>
        </w:rPr>
      </w:pPr>
      <w:r w:rsidRPr="001F0AA4">
        <w:rPr>
          <w:rFonts w:ascii="Arial" w:hAnsi="Arial" w:cs="Arial"/>
          <w:b/>
        </w:rPr>
        <w:t>SEGUNDO.- P</w:t>
      </w:r>
      <w:r>
        <w:rPr>
          <w:rFonts w:ascii="Arial" w:hAnsi="Arial" w:cs="Arial"/>
          <w:b/>
        </w:rPr>
        <w:t>ersonalidad y Personería</w:t>
      </w:r>
      <w:r w:rsidRPr="001F0AA4">
        <w:rPr>
          <w:rFonts w:ascii="Arial" w:hAnsi="Arial" w:cs="Arial"/>
          <w:b/>
        </w:rPr>
        <w:t>.</w:t>
      </w:r>
      <w:r>
        <w:rPr>
          <w:rFonts w:ascii="Arial" w:hAnsi="Arial" w:cs="Arial"/>
          <w:b/>
        </w:rPr>
        <w:t>-</w:t>
      </w:r>
      <w:r w:rsidRPr="001F0AA4">
        <w:rPr>
          <w:rFonts w:ascii="Arial" w:hAnsi="Arial" w:cs="Arial"/>
        </w:rPr>
        <w:t xml:space="preserve"> Quedó acreditada</w:t>
      </w:r>
      <w:r>
        <w:rPr>
          <w:rFonts w:ascii="Arial" w:hAnsi="Arial" w:cs="Arial"/>
        </w:rPr>
        <w:t xml:space="preserve"> de conformidad con el artículo 148 de la Ley de Procedimiento y Justicia Administrativa para el Estado de Oaxaca, toda vez que la parte actora promueve por propio derecho y la autoridad demandada mediante nombramiento debidamente certificado.</w:t>
      </w:r>
      <w:r w:rsidR="0024047F">
        <w:rPr>
          <w:rFonts w:ascii="Arial" w:hAnsi="Arial" w:cs="Arial"/>
        </w:rPr>
        <w:t xml:space="preserve"> - - - - - - - - - - - - - - - - - - - - -</w:t>
      </w:r>
      <w:r>
        <w:rPr>
          <w:rFonts w:ascii="Arial" w:hAnsi="Arial" w:cs="Arial"/>
        </w:rPr>
        <w:t xml:space="preserve"> </w:t>
      </w:r>
    </w:p>
    <w:p w:rsidR="00E74A70" w:rsidRDefault="00E74A70" w:rsidP="00E74A70">
      <w:pPr>
        <w:tabs>
          <w:tab w:val="left" w:pos="6946"/>
        </w:tabs>
        <w:spacing w:after="0" w:line="360" w:lineRule="auto"/>
        <w:ind w:right="-93" w:firstLine="567"/>
        <w:jc w:val="both"/>
        <w:rPr>
          <w:rFonts w:ascii="Arial" w:hAnsi="Arial" w:cs="Arial"/>
          <w:b/>
        </w:rPr>
      </w:pPr>
    </w:p>
    <w:p w:rsidR="00E74A70" w:rsidRDefault="00E74A70" w:rsidP="00E74A70">
      <w:pPr>
        <w:spacing w:after="0" w:line="360" w:lineRule="auto"/>
        <w:jc w:val="both"/>
        <w:rPr>
          <w:rFonts w:ascii="Arial" w:hAnsi="Arial" w:cs="Arial"/>
        </w:rPr>
      </w:pPr>
      <w:r w:rsidRPr="001F0AA4">
        <w:rPr>
          <w:rFonts w:ascii="Arial" w:hAnsi="Arial" w:cs="Arial"/>
          <w:b/>
        </w:rPr>
        <w:t xml:space="preserve">          TERCERO.-</w:t>
      </w:r>
      <w:r w:rsidRPr="001F0AA4">
        <w:rPr>
          <w:rFonts w:ascii="Arial" w:hAnsi="Arial" w:cs="Arial"/>
        </w:rPr>
        <w:t xml:space="preserve"> </w:t>
      </w:r>
      <w:r>
        <w:rPr>
          <w:rFonts w:ascii="Arial" w:hAnsi="Arial" w:cs="Arial"/>
          <w:b/>
        </w:rPr>
        <w:t>Fijación de la L</w:t>
      </w:r>
      <w:r w:rsidRPr="001F0AA4">
        <w:rPr>
          <w:rFonts w:ascii="Arial" w:hAnsi="Arial" w:cs="Arial"/>
          <w:b/>
        </w:rPr>
        <w:t>itis</w:t>
      </w:r>
      <w:r w:rsidRPr="001F0AA4">
        <w:rPr>
          <w:rFonts w:ascii="Arial" w:hAnsi="Arial" w:cs="Arial"/>
        </w:rPr>
        <w:t>.</w:t>
      </w:r>
      <w:r>
        <w:rPr>
          <w:rFonts w:ascii="Arial" w:hAnsi="Arial" w:cs="Arial"/>
        </w:rPr>
        <w:t>-</w:t>
      </w:r>
      <w:r w:rsidRPr="001F0AA4">
        <w:rPr>
          <w:rFonts w:ascii="Arial" w:hAnsi="Arial" w:cs="Arial"/>
        </w:rPr>
        <w:t xml:space="preserve"> </w:t>
      </w:r>
      <w:r>
        <w:rPr>
          <w:rFonts w:ascii="Arial" w:hAnsi="Arial" w:cs="Arial"/>
        </w:rPr>
        <w:t xml:space="preserve">Surge de la ilegalidad planteada por la parte actora respecto al oficio con número de control </w:t>
      </w:r>
      <w:r w:rsidR="00907C67">
        <w:rPr>
          <w:rFonts w:ascii="Arial" w:hAnsi="Arial" w:cs="Arial"/>
        </w:rPr>
        <w:t>**********</w:t>
      </w:r>
      <w:r w:rsidR="00477B82">
        <w:rPr>
          <w:rFonts w:ascii="Arial" w:hAnsi="Arial" w:cs="Arial"/>
        </w:rPr>
        <w:t xml:space="preserve"> </w:t>
      </w:r>
      <w:r>
        <w:rPr>
          <w:rFonts w:ascii="Arial" w:hAnsi="Arial" w:cs="Arial"/>
        </w:rPr>
        <w:t xml:space="preserve">de fecha ocho de agosto del dos mil diecisiete. Aduce que el oficio de referencia es violatorio del artículo 122 fracción </w:t>
      </w:r>
      <w:r w:rsidR="000734CC">
        <w:rPr>
          <w:rFonts w:ascii="Arial" w:hAnsi="Arial" w:cs="Arial"/>
        </w:rPr>
        <w:t>IV</w:t>
      </w:r>
      <w:r>
        <w:rPr>
          <w:rFonts w:ascii="Arial" w:hAnsi="Arial" w:cs="Arial"/>
        </w:rPr>
        <w:t xml:space="preserve"> del Código Fiscal del Estado de Oaxaca, en relación con </w:t>
      </w:r>
      <w:r w:rsidR="000734CC">
        <w:rPr>
          <w:rFonts w:ascii="Arial" w:hAnsi="Arial" w:cs="Arial"/>
        </w:rPr>
        <w:t xml:space="preserve">los </w:t>
      </w:r>
      <w:r>
        <w:rPr>
          <w:rFonts w:ascii="Arial" w:hAnsi="Arial" w:cs="Arial"/>
        </w:rPr>
        <w:t>artículo</w:t>
      </w:r>
      <w:r w:rsidR="000734CC">
        <w:rPr>
          <w:rFonts w:ascii="Arial" w:hAnsi="Arial" w:cs="Arial"/>
        </w:rPr>
        <w:t xml:space="preserve">s 14 y </w:t>
      </w:r>
      <w:r>
        <w:rPr>
          <w:rFonts w:ascii="Arial" w:hAnsi="Arial" w:cs="Arial"/>
        </w:rPr>
        <w:t xml:space="preserve"> 16 de la Constitución Política de los Estados Unidos Mexicanos toda vez que el mismo no </w:t>
      </w:r>
      <w:r w:rsidR="000734CC">
        <w:rPr>
          <w:rFonts w:ascii="Arial" w:hAnsi="Arial" w:cs="Arial"/>
        </w:rPr>
        <w:t>le ha sido</w:t>
      </w:r>
      <w:r>
        <w:rPr>
          <w:rFonts w:ascii="Arial" w:hAnsi="Arial" w:cs="Arial"/>
        </w:rPr>
        <w:t xml:space="preserve"> notificado conforme a las d</w:t>
      </w:r>
      <w:r w:rsidR="000734CC">
        <w:rPr>
          <w:rFonts w:ascii="Arial" w:hAnsi="Arial" w:cs="Arial"/>
        </w:rPr>
        <w:t>isposiciones legales aplicables</w:t>
      </w:r>
      <w:r>
        <w:rPr>
          <w:rFonts w:ascii="Arial" w:hAnsi="Arial" w:cs="Arial"/>
        </w:rPr>
        <w:t>. También arguye que el acto impugnado resulta violator</w:t>
      </w:r>
      <w:r w:rsidR="00477B82">
        <w:rPr>
          <w:rFonts w:ascii="Arial" w:hAnsi="Arial" w:cs="Arial"/>
        </w:rPr>
        <w:t>io del artículo 122 fracción VI</w:t>
      </w:r>
      <w:r>
        <w:rPr>
          <w:rFonts w:ascii="Arial" w:hAnsi="Arial" w:cs="Arial"/>
        </w:rPr>
        <w:t xml:space="preserve">I del Código Fiscal para el Estado, en virtud de que omite plasmar la firma autógrafa de la autoridad que lo emite, por lo que dicho acto carece de validez, aunado al hecho de que no fundamenta debidamente su competencia. Así mismo, señala que el oficio de referencia, adolece de una debida fundamentación y motivación, toda vez que no establece las causas particulares por las cuales la autoridad demandada, estimó que el aquí actor se encontraba obligado a inscribirse al Registro Estatal de Contribuyentes, por lo que resulta procedente declarar su nulidad lisa y llana, así como la nulidad de la multa impuesta en cantidad líquida por $3,775.00 (tres mil setecientos setenta y cinco pesos 00/100), puesto que la Dirección de Ingresos en ningún momento </w:t>
      </w:r>
      <w:r>
        <w:rPr>
          <w:rFonts w:ascii="Arial" w:hAnsi="Arial" w:cs="Arial"/>
        </w:rPr>
        <w:lastRenderedPageBreak/>
        <w:t xml:space="preserve">corrió traslado al hoy actor con la información obtenida de </w:t>
      </w:r>
      <w:r w:rsidR="00EA63B8">
        <w:rPr>
          <w:noProof/>
          <w:lang w:eastAsia="es-MX"/>
        </w:rPr>
        <mc:AlternateContent>
          <mc:Choice Requires="wps">
            <w:drawing>
              <wp:anchor distT="45720" distB="45720" distL="114300" distR="114300" simplePos="0" relativeHeight="251637248" behindDoc="0" locked="0" layoutInCell="1" allowOverlap="1" wp14:anchorId="388A9F0E" wp14:editId="3904B94C">
                <wp:simplePos x="0" y="0"/>
                <wp:positionH relativeFrom="column">
                  <wp:posOffset>-1005840</wp:posOffset>
                </wp:positionH>
                <wp:positionV relativeFrom="paragraph">
                  <wp:posOffset>269240</wp:posOffset>
                </wp:positionV>
                <wp:extent cx="1743075" cy="8907780"/>
                <wp:effectExtent l="0" t="0" r="28575" b="26670"/>
                <wp:wrapSquare wrapText="bothSides"/>
                <wp:docPr id="5"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43075" cy="8907780"/>
                        </a:xfrm>
                        <a:prstGeom prst="rect">
                          <a:avLst/>
                        </a:prstGeom>
                        <a:solidFill>
                          <a:srgbClr val="FFFFFF"/>
                        </a:solidFill>
                        <a:ln w="9525">
                          <a:solidFill>
                            <a:schemeClr val="bg1"/>
                          </a:solidFill>
                          <a:miter lim="800000"/>
                          <a:headEnd/>
                          <a:tailEnd/>
                        </a:ln>
                      </wps:spPr>
                      <wps:txbx>
                        <w:txbxContent>
                          <w:p w:rsidR="00EA63B8" w:rsidRDefault="00EA63B8" w:rsidP="00EA63B8">
                            <w:pPr>
                              <w:rPr>
                                <w:rFonts w:ascii="Arial" w:hAnsi="Arial" w:cs="Arial"/>
                                <w:color w:val="9CC2E5" w:themeColor="accent1" w:themeTint="99"/>
                                <w:sz w:val="36"/>
                              </w:rPr>
                            </w:pPr>
                          </w:p>
                          <w:p w:rsidR="00EA63B8" w:rsidRDefault="00EA63B8" w:rsidP="00EA63B8">
                            <w:pPr>
                              <w:rPr>
                                <w:rFonts w:ascii="Arial" w:hAnsi="Arial" w:cs="Arial"/>
                                <w:color w:val="9CC2E5" w:themeColor="accent1" w:themeTint="99"/>
                                <w:sz w:val="36"/>
                              </w:rPr>
                            </w:pPr>
                          </w:p>
                          <w:p w:rsidR="00EA63B8" w:rsidRDefault="00EA63B8" w:rsidP="00EA63B8">
                            <w:pPr>
                              <w:rPr>
                                <w:rFonts w:ascii="Arial" w:hAnsi="Arial" w:cs="Arial"/>
                                <w:color w:val="9CC2E5" w:themeColor="accent1" w:themeTint="99"/>
                                <w:sz w:val="36"/>
                              </w:rPr>
                            </w:pPr>
                          </w:p>
                          <w:p w:rsidR="00EA63B8" w:rsidRDefault="00EA63B8" w:rsidP="00EA63B8">
                            <w:pPr>
                              <w:rPr>
                                <w:rFonts w:ascii="Arial" w:hAnsi="Arial" w:cs="Arial"/>
                                <w:color w:val="9CC2E5" w:themeColor="accent1" w:themeTint="99"/>
                                <w:sz w:val="36"/>
                              </w:rPr>
                            </w:pPr>
                          </w:p>
                          <w:p w:rsidR="00EA63B8" w:rsidRDefault="00EA63B8" w:rsidP="00EA63B8">
                            <w:pPr>
                              <w:rPr>
                                <w:rFonts w:ascii="Arial" w:hAnsi="Arial" w:cs="Arial"/>
                                <w:color w:val="9CC2E5" w:themeColor="accent1" w:themeTint="99"/>
                                <w:sz w:val="36"/>
                              </w:rPr>
                            </w:pPr>
                          </w:p>
                          <w:p w:rsidR="00EA63B8" w:rsidRDefault="00EA63B8" w:rsidP="00EA63B8">
                            <w:pPr>
                              <w:rPr>
                                <w:rFonts w:ascii="Arial" w:hAnsi="Arial" w:cs="Arial"/>
                                <w:color w:val="9CC2E5" w:themeColor="accent1" w:themeTint="99"/>
                                <w:sz w:val="36"/>
                              </w:rPr>
                            </w:pPr>
                          </w:p>
                          <w:p w:rsidR="00EA63B8" w:rsidRDefault="00EA63B8" w:rsidP="00EA63B8">
                            <w:pPr>
                              <w:rPr>
                                <w:rFonts w:ascii="Arial" w:hAnsi="Arial" w:cs="Arial"/>
                                <w:color w:val="9CC2E5" w:themeColor="accent1" w:themeTint="99"/>
                                <w:sz w:val="36"/>
                              </w:rPr>
                            </w:pPr>
                          </w:p>
                          <w:p w:rsidR="00EA63B8" w:rsidRDefault="00EA63B8" w:rsidP="00EA63B8">
                            <w:pPr>
                              <w:rPr>
                                <w:rFonts w:ascii="Arial" w:hAnsi="Arial" w:cs="Arial"/>
                                <w:color w:val="9CC2E5" w:themeColor="accent1" w:themeTint="99"/>
                                <w:sz w:val="36"/>
                              </w:rPr>
                            </w:pPr>
                          </w:p>
                          <w:p w:rsidR="00EA63B8" w:rsidRPr="00D61135" w:rsidRDefault="00EA63B8" w:rsidP="00EA63B8">
                            <w:pPr>
                              <w:rPr>
                                <w:rFonts w:ascii="Arial" w:hAnsi="Arial" w:cs="Arial"/>
                                <w:color w:val="9CC2E5" w:themeColor="accent1" w:themeTint="99"/>
                                <w:sz w:val="36"/>
                              </w:rPr>
                            </w:pPr>
                            <w:r w:rsidRPr="00C87479">
                              <w:rPr>
                                <w:rFonts w:ascii="Arial" w:hAnsi="Arial" w:cs="Arial"/>
                                <w:color w:val="9CC2E5" w:themeColor="accent1" w:themeTint="99"/>
                                <w:sz w:val="32"/>
                              </w:rPr>
                              <w:t xml:space="preserve">DATOS PÉRSONALES PROTEGIDOS POR EL ARTÍCULO 116 DE LA LGTAIP Y ARTÍCULO 56 DE LA LTAIPEO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88A9F0E" id="_x0000_s1029" type="#_x0000_t202" style="position:absolute;left:0;text-align:left;margin-left:-79.2pt;margin-top:21.2pt;width:137.25pt;height:701.4pt;z-index:25163724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" strokecolor="white [3212]">
                <v:textbox>
                  <w:txbxContent>
                    <w:p w:rsidR="00EA63B8" w:rsidRDefault="00EA63B8" w:rsidP="00EA63B8">
                      <w:pPr>
                        <w:rPr>
                          <w:rFonts w:ascii="Arial" w:hAnsi="Arial" w:cs="Arial"/>
                          <w:color w:val="9CC2E5" w:themeColor="accent1" w:themeTint="99"/>
                          <w:sz w:val="36"/>
                        </w:rPr>
                      </w:pPr>
                    </w:p>
                    <w:p w:rsidR="00EA63B8" w:rsidRDefault="00EA63B8" w:rsidP="00EA63B8">
                      <w:pPr>
                        <w:rPr>
                          <w:rFonts w:ascii="Arial" w:hAnsi="Arial" w:cs="Arial"/>
                          <w:color w:val="9CC2E5" w:themeColor="accent1" w:themeTint="99"/>
                          <w:sz w:val="36"/>
                        </w:rPr>
                      </w:pPr>
                    </w:p>
                    <w:p w:rsidR="00EA63B8" w:rsidRDefault="00EA63B8" w:rsidP="00EA63B8">
                      <w:pPr>
                        <w:rPr>
                          <w:rFonts w:ascii="Arial" w:hAnsi="Arial" w:cs="Arial"/>
                          <w:color w:val="9CC2E5" w:themeColor="accent1" w:themeTint="99"/>
                          <w:sz w:val="36"/>
                        </w:rPr>
                      </w:pPr>
                    </w:p>
                    <w:p w:rsidR="00EA63B8" w:rsidRDefault="00EA63B8" w:rsidP="00EA63B8">
                      <w:pPr>
                        <w:rPr>
                          <w:rFonts w:ascii="Arial" w:hAnsi="Arial" w:cs="Arial"/>
                          <w:color w:val="9CC2E5" w:themeColor="accent1" w:themeTint="99"/>
                          <w:sz w:val="36"/>
                        </w:rPr>
                      </w:pPr>
                    </w:p>
                    <w:p w:rsidR="00EA63B8" w:rsidRDefault="00EA63B8" w:rsidP="00EA63B8">
                      <w:pPr>
                        <w:rPr>
                          <w:rFonts w:ascii="Arial" w:hAnsi="Arial" w:cs="Arial"/>
                          <w:color w:val="9CC2E5" w:themeColor="accent1" w:themeTint="99"/>
                          <w:sz w:val="36"/>
                        </w:rPr>
                      </w:pPr>
                    </w:p>
                    <w:p w:rsidR="00EA63B8" w:rsidRDefault="00EA63B8" w:rsidP="00EA63B8">
                      <w:pPr>
                        <w:rPr>
                          <w:rFonts w:ascii="Arial" w:hAnsi="Arial" w:cs="Arial"/>
                          <w:color w:val="9CC2E5" w:themeColor="accent1" w:themeTint="99"/>
                          <w:sz w:val="36"/>
                        </w:rPr>
                      </w:pPr>
                    </w:p>
                    <w:p w:rsidR="00EA63B8" w:rsidRDefault="00EA63B8" w:rsidP="00EA63B8">
                      <w:pPr>
                        <w:rPr>
                          <w:rFonts w:ascii="Arial" w:hAnsi="Arial" w:cs="Arial"/>
                          <w:color w:val="9CC2E5" w:themeColor="accent1" w:themeTint="99"/>
                          <w:sz w:val="36"/>
                        </w:rPr>
                      </w:pPr>
                    </w:p>
                    <w:p w:rsidR="00EA63B8" w:rsidRDefault="00EA63B8" w:rsidP="00EA63B8">
                      <w:pPr>
                        <w:rPr>
                          <w:rFonts w:ascii="Arial" w:hAnsi="Arial" w:cs="Arial"/>
                          <w:color w:val="9CC2E5" w:themeColor="accent1" w:themeTint="99"/>
                          <w:sz w:val="36"/>
                        </w:rPr>
                      </w:pPr>
                    </w:p>
                    <w:p w:rsidR="00EA63B8" w:rsidRPr="00D61135" w:rsidRDefault="00EA63B8" w:rsidP="00EA63B8">
                      <w:pPr>
                        <w:rPr>
                          <w:rFonts w:ascii="Arial" w:hAnsi="Arial" w:cs="Arial"/>
                          <w:color w:val="9CC2E5" w:themeColor="accent1" w:themeTint="99"/>
                          <w:sz w:val="36"/>
                        </w:rPr>
                      </w:pPr>
                      <w:r w:rsidRPr="00C87479">
                        <w:rPr>
                          <w:rFonts w:ascii="Arial" w:hAnsi="Arial" w:cs="Arial"/>
                          <w:color w:val="9CC2E5" w:themeColor="accent1" w:themeTint="99"/>
                          <w:sz w:val="32"/>
                        </w:rPr>
                        <w:t xml:space="preserve">DATOS PÉRSONALES PROTEGIDOS POR EL ARTÍCULO 116 DE LA LGTAIP Y ARTÍCULO 56 DE LA LTAIPEO </w:t>
                      </w:r>
                    </w:p>
                  </w:txbxContent>
                </v:textbox>
                <w10:wrap type="square"/>
              </v:shape>
            </w:pict>
          </mc:Fallback>
        </mc:AlternateContent>
      </w:r>
      <w:r>
        <w:rPr>
          <w:rFonts w:ascii="Arial" w:hAnsi="Arial" w:cs="Arial"/>
        </w:rPr>
        <w:t>otras autoridades, que empleó para motivar el oficio con número de control</w:t>
      </w:r>
      <w:r w:rsidR="00907C67">
        <w:rPr>
          <w:rFonts w:ascii="Arial" w:hAnsi="Arial" w:cs="Arial"/>
        </w:rPr>
        <w:t>**********</w:t>
      </w:r>
      <w:r>
        <w:rPr>
          <w:rFonts w:ascii="Arial" w:hAnsi="Arial" w:cs="Arial"/>
        </w:rPr>
        <w:t>, contrario a lo que ordena el artículo 97 del Código Fiscal para el Estado. Finalmente, argumenta que el oficio impugnado transgrede en su perjuicio el principio de tipicidad aplicable al derecho administrativo sancionador.</w:t>
      </w:r>
      <w:r w:rsidR="0024047F">
        <w:rPr>
          <w:rFonts w:ascii="Arial" w:hAnsi="Arial" w:cs="Arial"/>
        </w:rPr>
        <w:t xml:space="preserve"> - -</w:t>
      </w:r>
      <w:r w:rsidR="00B36EB4">
        <w:rPr>
          <w:rFonts w:ascii="Arial" w:hAnsi="Arial" w:cs="Arial"/>
        </w:rPr>
        <w:t xml:space="preserve"> - - - - - - - - - - - - - </w:t>
      </w:r>
      <w:r w:rsidR="0024047F">
        <w:rPr>
          <w:rFonts w:ascii="Arial" w:hAnsi="Arial" w:cs="Arial"/>
        </w:rPr>
        <w:t xml:space="preserve"> </w:t>
      </w:r>
    </w:p>
    <w:p w:rsidR="00E74A70" w:rsidRDefault="00E74A70" w:rsidP="00E74A70">
      <w:pPr>
        <w:spacing w:after="0" w:line="360" w:lineRule="auto"/>
        <w:jc w:val="both"/>
        <w:rPr>
          <w:rFonts w:ascii="Arial" w:hAnsi="Arial" w:cs="Arial"/>
        </w:rPr>
      </w:pPr>
    </w:p>
    <w:p w:rsidR="00E74A70" w:rsidRDefault="00E74A70" w:rsidP="0024047F">
      <w:pPr>
        <w:spacing w:after="0" w:line="360" w:lineRule="auto"/>
        <w:ind w:firstLine="567"/>
        <w:jc w:val="both"/>
        <w:rPr>
          <w:rFonts w:ascii="Arial" w:hAnsi="Arial" w:cs="Arial"/>
        </w:rPr>
      </w:pPr>
      <w:r>
        <w:rPr>
          <w:rFonts w:ascii="Arial" w:hAnsi="Arial" w:cs="Arial"/>
        </w:rPr>
        <w:t xml:space="preserve">Por su parte, la autoridad demandada argumenta que los conceptos de impugnación esgrimidos por la parte actora, resultan infundados; en un primer término, refiere que el oficio </w:t>
      </w:r>
      <w:r w:rsidR="00907C67">
        <w:rPr>
          <w:rFonts w:ascii="Arial" w:hAnsi="Arial" w:cs="Arial"/>
        </w:rPr>
        <w:t>**********</w:t>
      </w:r>
      <w:r w:rsidR="000D0F86">
        <w:rPr>
          <w:rFonts w:ascii="Arial" w:hAnsi="Arial" w:cs="Arial"/>
        </w:rPr>
        <w:t xml:space="preserve"> </w:t>
      </w:r>
      <w:r>
        <w:rPr>
          <w:rFonts w:ascii="Arial" w:hAnsi="Arial" w:cs="Arial"/>
        </w:rPr>
        <w:t xml:space="preserve">fue notificado conforme a las disposiciones legales aplicables, toda vez que el artículo 132 del Código Fiscal para el Estado, señala que las notificaciones por mensajería, correo certificado o correo electrónico, se consideran de carácter personal, consecuentemente, la notificación del oficio </w:t>
      </w:r>
      <w:r w:rsidR="00907C67">
        <w:rPr>
          <w:rFonts w:ascii="Arial" w:hAnsi="Arial" w:cs="Arial"/>
        </w:rPr>
        <w:t>**********</w:t>
      </w:r>
      <w:r w:rsidR="000D0F86">
        <w:rPr>
          <w:rFonts w:ascii="Arial" w:hAnsi="Arial" w:cs="Arial"/>
        </w:rPr>
        <w:t xml:space="preserve"> </w:t>
      </w:r>
      <w:r>
        <w:rPr>
          <w:rFonts w:ascii="Arial" w:hAnsi="Arial" w:cs="Arial"/>
        </w:rPr>
        <w:t xml:space="preserve">realizada por correo certificado cumple con los principios de legalidad y certeza jurídica. En segundo término, señala que en el acto aquí impugnado obra la firma autógrafa de la autoridad que lo emite. De ahí, aduce que todos los argumentos esgrimidos por la parte actora tendientes a desvirtuar la fundamentación y motivación del acto impugnado, son infundados ya que la competencia de la autoridad emisora se encuentra debidamente fundada; por otro lado, refiere que la Dirección de Recaudación identificó a </w:t>
      </w:r>
      <w:r w:rsidR="00F92906">
        <w:rPr>
          <w:rFonts w:ascii="Arial" w:hAnsi="Arial" w:cs="Arial"/>
        </w:rPr>
        <w:t>Jesús Humberto Pérez Barroso</w:t>
      </w:r>
      <w:r>
        <w:rPr>
          <w:rFonts w:ascii="Arial" w:hAnsi="Arial" w:cs="Arial"/>
        </w:rPr>
        <w:t xml:space="preserve"> como sujeto obligado al pago del Impuesto Sobre Erogaciones por Remuneraciones al Trabajo Personal, ello derivado de la información recabada de distintas dependencias y organismos públicos de carácter Federal, por lo tanto el accionante se hizo acreedor a la multa prevista en el artículo </w:t>
      </w:r>
      <w:r w:rsidR="000D0F86">
        <w:rPr>
          <w:rFonts w:ascii="Arial" w:hAnsi="Arial" w:cs="Arial"/>
        </w:rPr>
        <w:t>2</w:t>
      </w:r>
      <w:r w:rsidR="00F92906">
        <w:rPr>
          <w:rFonts w:ascii="Arial" w:hAnsi="Arial" w:cs="Arial"/>
        </w:rPr>
        <w:t>68</w:t>
      </w:r>
      <w:r>
        <w:rPr>
          <w:rFonts w:ascii="Arial" w:hAnsi="Arial" w:cs="Arial"/>
        </w:rPr>
        <w:t xml:space="preserve"> fracción I del Código Fiscal para el Estado de Oaxaca.</w:t>
      </w:r>
      <w:r w:rsidR="0024047F">
        <w:rPr>
          <w:rFonts w:ascii="Arial" w:hAnsi="Arial" w:cs="Arial"/>
        </w:rPr>
        <w:t xml:space="preserve"> - - - - - - - - - - - - - - - - - - - - - - - - - - - - - - - - - - - - - - - - - </w:t>
      </w:r>
      <w:r>
        <w:rPr>
          <w:rFonts w:ascii="Arial" w:hAnsi="Arial" w:cs="Arial"/>
        </w:rPr>
        <w:t xml:space="preserve"> </w:t>
      </w:r>
    </w:p>
    <w:p w:rsidR="00E74A70" w:rsidRDefault="00E74A70" w:rsidP="00E74A70">
      <w:pPr>
        <w:spacing w:after="0" w:line="360" w:lineRule="auto"/>
        <w:ind w:firstLine="567"/>
        <w:jc w:val="both"/>
        <w:rPr>
          <w:rFonts w:ascii="Arial" w:hAnsi="Arial" w:cs="Arial"/>
          <w:b/>
        </w:rPr>
      </w:pPr>
    </w:p>
    <w:p w:rsidR="00E74A70" w:rsidRDefault="00E74A70" w:rsidP="00E74A70">
      <w:pPr>
        <w:spacing w:after="0" w:line="360" w:lineRule="auto"/>
        <w:ind w:firstLine="567"/>
        <w:jc w:val="both"/>
        <w:rPr>
          <w:rFonts w:ascii="Arial" w:hAnsi="Arial" w:cs="Arial"/>
        </w:rPr>
      </w:pPr>
      <w:r>
        <w:rPr>
          <w:rFonts w:ascii="Arial" w:hAnsi="Arial" w:cs="Arial"/>
          <w:b/>
        </w:rPr>
        <w:t>CUARTO</w:t>
      </w:r>
      <w:r w:rsidRPr="001F0AA4">
        <w:rPr>
          <w:rFonts w:ascii="Arial" w:hAnsi="Arial" w:cs="Arial"/>
          <w:b/>
        </w:rPr>
        <w:t>.- A</w:t>
      </w:r>
      <w:r>
        <w:rPr>
          <w:rFonts w:ascii="Arial" w:hAnsi="Arial" w:cs="Arial"/>
          <w:b/>
        </w:rPr>
        <w:t>creditació</w:t>
      </w:r>
      <w:r w:rsidRPr="001F0AA4">
        <w:rPr>
          <w:rFonts w:ascii="Arial" w:hAnsi="Arial" w:cs="Arial"/>
          <w:b/>
        </w:rPr>
        <w:t xml:space="preserve">n del </w:t>
      </w:r>
      <w:r>
        <w:rPr>
          <w:rFonts w:ascii="Arial" w:hAnsi="Arial" w:cs="Arial"/>
          <w:b/>
        </w:rPr>
        <w:t>Acto I</w:t>
      </w:r>
      <w:r w:rsidRPr="001F0AA4">
        <w:rPr>
          <w:rFonts w:ascii="Arial" w:hAnsi="Arial" w:cs="Arial"/>
          <w:b/>
        </w:rPr>
        <w:t xml:space="preserve">mpugnado.- </w:t>
      </w:r>
      <w:r w:rsidRPr="001F0AA4">
        <w:rPr>
          <w:rFonts w:ascii="Arial" w:hAnsi="Arial" w:cs="Arial"/>
          <w:b/>
        </w:rPr>
        <w:tab/>
      </w:r>
      <w:r w:rsidRPr="001F0AA4">
        <w:rPr>
          <w:rFonts w:ascii="Arial" w:hAnsi="Arial" w:cs="Arial"/>
        </w:rPr>
        <w:t xml:space="preserve">El acto impugnado, lo es </w:t>
      </w:r>
      <w:r>
        <w:rPr>
          <w:rFonts w:ascii="Arial" w:hAnsi="Arial" w:cs="Arial"/>
        </w:rPr>
        <w:t xml:space="preserve">el oficio con número de control </w:t>
      </w:r>
      <w:r w:rsidR="00907C67">
        <w:rPr>
          <w:rFonts w:ascii="Arial" w:hAnsi="Arial" w:cs="Arial"/>
        </w:rPr>
        <w:t>**********</w:t>
      </w:r>
      <w:r w:rsidR="000D0F86">
        <w:rPr>
          <w:rFonts w:ascii="Arial" w:hAnsi="Arial" w:cs="Arial"/>
        </w:rPr>
        <w:t xml:space="preserve"> </w:t>
      </w:r>
      <w:r>
        <w:rPr>
          <w:rFonts w:ascii="Arial" w:hAnsi="Arial" w:cs="Arial"/>
        </w:rPr>
        <w:t xml:space="preserve">de fecha ocho de agosto del dos mil diecisiete, emitido por la Directora de Ingresos y Recaudación dependiente de la Subsecretaría de Ingresos de la Secretaría de Finanzas del Poder Ejecutivo del Estado de Oaxaca que obra en </w:t>
      </w:r>
      <w:r w:rsidR="00F92906">
        <w:rPr>
          <w:rFonts w:ascii="Arial" w:hAnsi="Arial" w:cs="Arial"/>
        </w:rPr>
        <w:t>copia simple</w:t>
      </w:r>
      <w:r>
        <w:rPr>
          <w:rFonts w:ascii="Arial" w:hAnsi="Arial" w:cs="Arial"/>
        </w:rPr>
        <w:t xml:space="preserve"> a foja </w:t>
      </w:r>
      <w:r w:rsidR="00F92906">
        <w:rPr>
          <w:rFonts w:ascii="Arial" w:hAnsi="Arial" w:cs="Arial"/>
        </w:rPr>
        <w:t>11</w:t>
      </w:r>
      <w:r w:rsidR="008856F5">
        <w:rPr>
          <w:rFonts w:ascii="Arial" w:hAnsi="Arial" w:cs="Arial"/>
        </w:rPr>
        <w:t xml:space="preserve"> </w:t>
      </w:r>
      <w:r>
        <w:rPr>
          <w:rFonts w:ascii="Arial" w:hAnsi="Arial" w:cs="Arial"/>
        </w:rPr>
        <w:t>del expediente, al que se le confiere pleno valor probatorio en términos del artículo 203 fracción I de la Ley de Procedimiento y Justicia Administrativa para el Estado de Oaxaca, máxime que la misma autoridad reconoció su emisión al contestar la demanda, por lo que es con tales medios de convicción que esta Sala tiene por acreditado el acto impugnado.</w:t>
      </w:r>
      <w:r w:rsidR="008856F5">
        <w:rPr>
          <w:rFonts w:ascii="Arial" w:hAnsi="Arial" w:cs="Arial"/>
        </w:rPr>
        <w:t xml:space="preserve"> - - - - - - - - - - - - - - - - - - </w:t>
      </w:r>
    </w:p>
    <w:p w:rsidR="00E74A70" w:rsidRDefault="00E74A70" w:rsidP="00E74A70">
      <w:pPr>
        <w:spacing w:after="0" w:line="360" w:lineRule="auto"/>
        <w:ind w:firstLine="567"/>
        <w:jc w:val="both"/>
        <w:rPr>
          <w:rFonts w:ascii="Arial" w:hAnsi="Arial" w:cs="Arial"/>
          <w:b/>
        </w:rPr>
      </w:pPr>
    </w:p>
    <w:p w:rsidR="00E74A70" w:rsidRDefault="00E74A70" w:rsidP="00E74A70">
      <w:pPr>
        <w:spacing w:after="0" w:line="360" w:lineRule="auto"/>
        <w:ind w:firstLine="567"/>
        <w:jc w:val="both"/>
        <w:rPr>
          <w:rFonts w:ascii="Arial" w:hAnsi="Arial" w:cs="Arial"/>
        </w:rPr>
      </w:pPr>
      <w:r>
        <w:rPr>
          <w:rFonts w:ascii="Arial" w:hAnsi="Arial" w:cs="Arial"/>
          <w:b/>
        </w:rPr>
        <w:t>QUINTO</w:t>
      </w:r>
      <w:r w:rsidRPr="001F0AA4">
        <w:rPr>
          <w:rFonts w:ascii="Arial" w:hAnsi="Arial" w:cs="Arial"/>
        </w:rPr>
        <w:t xml:space="preserve">.- </w:t>
      </w:r>
      <w:r>
        <w:rPr>
          <w:rFonts w:ascii="Arial" w:hAnsi="Arial" w:cs="Arial"/>
          <w:b/>
        </w:rPr>
        <w:t>Causales de Improcedencia y S</w:t>
      </w:r>
      <w:r w:rsidRPr="001F0AA4">
        <w:rPr>
          <w:rFonts w:ascii="Arial" w:hAnsi="Arial" w:cs="Arial"/>
          <w:b/>
        </w:rPr>
        <w:t>obreseimiento</w:t>
      </w:r>
      <w:r w:rsidRPr="001F0AA4">
        <w:rPr>
          <w:rFonts w:ascii="Arial" w:hAnsi="Arial" w:cs="Arial"/>
        </w:rPr>
        <w:t xml:space="preserve">. Considerando que son de orden público y de estudio preferente a cualquier otra cuestión </w:t>
      </w:r>
      <w:r>
        <w:rPr>
          <w:rFonts w:ascii="Arial" w:hAnsi="Arial" w:cs="Arial"/>
        </w:rPr>
        <w:t xml:space="preserve">y derivado del imperioso estudio oficioso que especifica el artículo 161 in fine de la Ley de la Materia; respecto a dichas causales, esta Sala advierte que en el presente caso concreto no se actualiza causal de improcedencia ni sobreseimiento, </w:t>
      </w:r>
      <w:r w:rsidRPr="001F0AA4">
        <w:rPr>
          <w:rFonts w:ascii="Arial" w:hAnsi="Arial" w:cs="Arial"/>
        </w:rPr>
        <w:t>consecuentemente, no se sobresee el juicio.</w:t>
      </w:r>
      <w:r w:rsidR="008856F5">
        <w:rPr>
          <w:rFonts w:ascii="Arial" w:hAnsi="Arial" w:cs="Arial"/>
        </w:rPr>
        <w:t xml:space="preserve"> - - - - - - - - - - - - - - - - - - - - - - - - - - - - - - - - - - - - - - - - - - - - - - - - - - - - - - - - - - - </w:t>
      </w:r>
      <w:r w:rsidRPr="001F0AA4">
        <w:rPr>
          <w:rFonts w:ascii="Arial" w:hAnsi="Arial" w:cs="Arial"/>
        </w:rPr>
        <w:t xml:space="preserve"> </w:t>
      </w:r>
    </w:p>
    <w:p w:rsidR="00E74A70" w:rsidRDefault="00E74A70" w:rsidP="00E74A70">
      <w:pPr>
        <w:spacing w:after="0" w:line="360" w:lineRule="auto"/>
        <w:ind w:firstLine="567"/>
        <w:jc w:val="both"/>
        <w:rPr>
          <w:rFonts w:ascii="Arial" w:hAnsi="Arial" w:cs="Arial"/>
        </w:rPr>
      </w:pPr>
    </w:p>
    <w:p w:rsidR="00E74A70" w:rsidRDefault="00EA63B8" w:rsidP="00E74A70">
      <w:pPr>
        <w:spacing w:after="0" w:line="360" w:lineRule="auto"/>
        <w:ind w:firstLine="567"/>
        <w:jc w:val="both"/>
        <w:rPr>
          <w:rFonts w:ascii="Arial" w:hAnsi="Arial" w:cs="Arial"/>
        </w:rPr>
      </w:pPr>
      <w:r>
        <w:rPr>
          <w:noProof/>
          <w:lang w:eastAsia="es-MX"/>
        </w:rPr>
        <mc:AlternateContent>
          <mc:Choice Requires="wps">
            <w:drawing>
              <wp:anchor distT="45720" distB="45720" distL="114300" distR="114300" simplePos="0" relativeHeight="251705856" behindDoc="0" locked="0" layoutInCell="1" allowOverlap="1" wp14:anchorId="393BC882" wp14:editId="45880455">
                <wp:simplePos x="0" y="0"/>
                <wp:positionH relativeFrom="column">
                  <wp:posOffset>-851535</wp:posOffset>
                </wp:positionH>
                <wp:positionV relativeFrom="paragraph">
                  <wp:posOffset>186690</wp:posOffset>
                </wp:positionV>
                <wp:extent cx="1743075" cy="8907780"/>
                <wp:effectExtent l="0" t="0" r="9525" b="7620"/>
                <wp:wrapSquare wrapText="bothSides"/>
                <wp:docPr id="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43075" cy="8907780"/>
                        </a:xfrm>
                        <a:prstGeom prst="rect">
                          <a:avLst/>
                        </a:prstGeom>
                        <a:solidFill>
                          <a:srgbClr val="FFFFFF"/>
                        </a:solidFill>
                        <a:ln w="9525">
                          <a:noFill/>
                          <a:miter lim="800000"/>
                          <a:headEnd/>
                          <a:tailEnd/>
                        </a:ln>
                      </wps:spPr>
                      <wps:txbx>
                        <w:txbxContent>
                          <w:p w:rsidR="00EA63B8" w:rsidRDefault="00EA63B8" w:rsidP="00EA63B8">
                            <w:pPr>
                              <w:rPr>
                                <w:rFonts w:ascii="Arial" w:hAnsi="Arial" w:cs="Arial"/>
                                <w:color w:val="9CC2E5" w:themeColor="accent1" w:themeTint="99"/>
                                <w:sz w:val="36"/>
                              </w:rPr>
                            </w:pPr>
                          </w:p>
                          <w:p w:rsidR="00EA63B8" w:rsidRDefault="00EA63B8" w:rsidP="00EA63B8">
                            <w:pPr>
                              <w:rPr>
                                <w:rFonts w:ascii="Arial" w:hAnsi="Arial" w:cs="Arial"/>
                                <w:color w:val="9CC2E5" w:themeColor="accent1" w:themeTint="99"/>
                                <w:sz w:val="36"/>
                              </w:rPr>
                            </w:pPr>
                          </w:p>
                          <w:p w:rsidR="00EA63B8" w:rsidRDefault="00EA63B8" w:rsidP="00EA63B8">
                            <w:pPr>
                              <w:rPr>
                                <w:rFonts w:ascii="Arial" w:hAnsi="Arial" w:cs="Arial"/>
                                <w:color w:val="9CC2E5" w:themeColor="accent1" w:themeTint="99"/>
                                <w:sz w:val="36"/>
                              </w:rPr>
                            </w:pPr>
                          </w:p>
                          <w:p w:rsidR="00EA63B8" w:rsidRDefault="00EA63B8" w:rsidP="00EA63B8">
                            <w:pPr>
                              <w:rPr>
                                <w:rFonts w:ascii="Arial" w:hAnsi="Arial" w:cs="Arial"/>
                                <w:color w:val="9CC2E5" w:themeColor="accent1" w:themeTint="99"/>
                                <w:sz w:val="36"/>
                              </w:rPr>
                            </w:pPr>
                          </w:p>
                          <w:p w:rsidR="00EA63B8" w:rsidRDefault="00EA63B8" w:rsidP="00EA63B8">
                            <w:pPr>
                              <w:rPr>
                                <w:rFonts w:ascii="Arial" w:hAnsi="Arial" w:cs="Arial"/>
                                <w:color w:val="9CC2E5" w:themeColor="accent1" w:themeTint="99"/>
                                <w:sz w:val="36"/>
                              </w:rPr>
                            </w:pPr>
                          </w:p>
                          <w:p w:rsidR="00EA63B8" w:rsidRDefault="00EA63B8" w:rsidP="00EA63B8">
                            <w:pPr>
                              <w:rPr>
                                <w:rFonts w:ascii="Arial" w:hAnsi="Arial" w:cs="Arial"/>
                                <w:color w:val="9CC2E5" w:themeColor="accent1" w:themeTint="99"/>
                                <w:sz w:val="36"/>
                              </w:rPr>
                            </w:pPr>
                          </w:p>
                          <w:p w:rsidR="00EA63B8" w:rsidRDefault="00EA63B8" w:rsidP="00EA63B8">
                            <w:pPr>
                              <w:rPr>
                                <w:rFonts w:ascii="Arial" w:hAnsi="Arial" w:cs="Arial"/>
                                <w:color w:val="9CC2E5" w:themeColor="accent1" w:themeTint="99"/>
                                <w:sz w:val="36"/>
                              </w:rPr>
                            </w:pPr>
                          </w:p>
                          <w:p w:rsidR="00EA63B8" w:rsidRDefault="00EA63B8" w:rsidP="00EA63B8">
                            <w:pPr>
                              <w:rPr>
                                <w:rFonts w:ascii="Arial" w:hAnsi="Arial" w:cs="Arial"/>
                                <w:color w:val="9CC2E5" w:themeColor="accent1" w:themeTint="99"/>
                                <w:sz w:val="36"/>
                              </w:rPr>
                            </w:pPr>
                          </w:p>
                          <w:p w:rsidR="00EA63B8" w:rsidRPr="00C87479" w:rsidRDefault="00EA63B8" w:rsidP="00EA63B8">
                            <w:pPr>
                              <w:rPr>
                                <w:rFonts w:ascii="Arial" w:hAnsi="Arial" w:cs="Arial"/>
                                <w:color w:val="9CC2E5" w:themeColor="accent1" w:themeTint="99"/>
                                <w:sz w:val="32"/>
                              </w:rPr>
                            </w:pPr>
                            <w:r w:rsidRPr="00C87479">
                              <w:rPr>
                                <w:rFonts w:ascii="Arial" w:hAnsi="Arial" w:cs="Arial"/>
                                <w:color w:val="9CC2E5" w:themeColor="accent1" w:themeTint="99"/>
                                <w:sz w:val="32"/>
                              </w:rPr>
                              <w:t xml:space="preserve">DATOS PÉRSONALES PROTEGIDOS POR EL ARTÍCULO 116 DE LA LGTAIP Y ARTÍCULO 56 DE LA LTAIPEO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93BC882" id="_x0000_s1030" type="#_x0000_t202" style="position:absolute;left:0;text-align:left;margin-left:-67.05pt;margin-top:14.7pt;width:137.25pt;height:701.4pt;z-index:25170585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" stroked="f">
                <v:textbox>
                  <w:txbxContent>
                    <w:p w:rsidR="00EA63B8" w:rsidRDefault="00EA63B8" w:rsidP="00EA63B8">
                      <w:pPr>
                        <w:rPr>
                          <w:rFonts w:ascii="Arial" w:hAnsi="Arial" w:cs="Arial"/>
                          <w:color w:val="9CC2E5" w:themeColor="accent1" w:themeTint="99"/>
                          <w:sz w:val="36"/>
                        </w:rPr>
                      </w:pPr>
                    </w:p>
                    <w:p w:rsidR="00EA63B8" w:rsidRDefault="00EA63B8" w:rsidP="00EA63B8">
                      <w:pPr>
                        <w:rPr>
                          <w:rFonts w:ascii="Arial" w:hAnsi="Arial" w:cs="Arial"/>
                          <w:color w:val="9CC2E5" w:themeColor="accent1" w:themeTint="99"/>
                          <w:sz w:val="36"/>
                        </w:rPr>
                      </w:pPr>
                    </w:p>
                    <w:p w:rsidR="00EA63B8" w:rsidRDefault="00EA63B8" w:rsidP="00EA63B8">
                      <w:pPr>
                        <w:rPr>
                          <w:rFonts w:ascii="Arial" w:hAnsi="Arial" w:cs="Arial"/>
                          <w:color w:val="9CC2E5" w:themeColor="accent1" w:themeTint="99"/>
                          <w:sz w:val="36"/>
                        </w:rPr>
                      </w:pPr>
                    </w:p>
                    <w:p w:rsidR="00EA63B8" w:rsidRDefault="00EA63B8" w:rsidP="00EA63B8">
                      <w:pPr>
                        <w:rPr>
                          <w:rFonts w:ascii="Arial" w:hAnsi="Arial" w:cs="Arial"/>
                          <w:color w:val="9CC2E5" w:themeColor="accent1" w:themeTint="99"/>
                          <w:sz w:val="36"/>
                        </w:rPr>
                      </w:pPr>
                    </w:p>
                    <w:p w:rsidR="00EA63B8" w:rsidRDefault="00EA63B8" w:rsidP="00EA63B8">
                      <w:pPr>
                        <w:rPr>
                          <w:rFonts w:ascii="Arial" w:hAnsi="Arial" w:cs="Arial"/>
                          <w:color w:val="9CC2E5" w:themeColor="accent1" w:themeTint="99"/>
                          <w:sz w:val="36"/>
                        </w:rPr>
                      </w:pPr>
                    </w:p>
                    <w:p w:rsidR="00EA63B8" w:rsidRDefault="00EA63B8" w:rsidP="00EA63B8">
                      <w:pPr>
                        <w:rPr>
                          <w:rFonts w:ascii="Arial" w:hAnsi="Arial" w:cs="Arial"/>
                          <w:color w:val="9CC2E5" w:themeColor="accent1" w:themeTint="99"/>
                          <w:sz w:val="36"/>
                        </w:rPr>
                      </w:pPr>
                    </w:p>
                    <w:p w:rsidR="00EA63B8" w:rsidRDefault="00EA63B8" w:rsidP="00EA63B8">
                      <w:pPr>
                        <w:rPr>
                          <w:rFonts w:ascii="Arial" w:hAnsi="Arial" w:cs="Arial"/>
                          <w:color w:val="9CC2E5" w:themeColor="accent1" w:themeTint="99"/>
                          <w:sz w:val="36"/>
                        </w:rPr>
                      </w:pPr>
                    </w:p>
                    <w:p w:rsidR="00EA63B8" w:rsidRDefault="00EA63B8" w:rsidP="00EA63B8">
                      <w:pPr>
                        <w:rPr>
                          <w:rFonts w:ascii="Arial" w:hAnsi="Arial" w:cs="Arial"/>
                          <w:color w:val="9CC2E5" w:themeColor="accent1" w:themeTint="99"/>
                          <w:sz w:val="36"/>
                        </w:rPr>
                      </w:pPr>
                    </w:p>
                    <w:p w:rsidR="00EA63B8" w:rsidRPr="00C87479" w:rsidRDefault="00EA63B8" w:rsidP="00EA63B8">
                      <w:pPr>
                        <w:rPr>
                          <w:rFonts w:ascii="Arial" w:hAnsi="Arial" w:cs="Arial"/>
                          <w:color w:val="9CC2E5" w:themeColor="accent1" w:themeTint="99"/>
                          <w:sz w:val="32"/>
                        </w:rPr>
                      </w:pPr>
                      <w:r w:rsidRPr="00C87479">
                        <w:rPr>
                          <w:rFonts w:ascii="Arial" w:hAnsi="Arial" w:cs="Arial"/>
                          <w:color w:val="9CC2E5" w:themeColor="accent1" w:themeTint="99"/>
                          <w:sz w:val="32"/>
                        </w:rPr>
                        <w:t xml:space="preserve">DATOS PÉRSONALES PROTEGIDOS POR EL ARTÍCULO 116 DE LA LGTAIP Y ARTÍCULO 56 DE LA LTAIPEO </w:t>
                      </w:r>
                    </w:p>
                  </w:txbxContent>
                </v:textbox>
                <w10:wrap type="square"/>
              </v:shape>
            </w:pict>
          </mc:Fallback>
        </mc:AlternateContent>
      </w:r>
      <w:r w:rsidR="00E74A70" w:rsidRPr="001F0AA4">
        <w:rPr>
          <w:rFonts w:ascii="Arial" w:hAnsi="Arial" w:cs="Arial"/>
          <w:b/>
        </w:rPr>
        <w:t>SEXTO</w:t>
      </w:r>
      <w:r w:rsidR="00E74A70" w:rsidRPr="001F0AA4">
        <w:rPr>
          <w:rFonts w:ascii="Arial" w:hAnsi="Arial" w:cs="Arial"/>
        </w:rPr>
        <w:t xml:space="preserve">.- </w:t>
      </w:r>
      <w:r w:rsidR="00E74A70" w:rsidRPr="001F0AA4">
        <w:rPr>
          <w:rFonts w:ascii="Arial" w:hAnsi="Arial" w:cs="Arial"/>
          <w:b/>
        </w:rPr>
        <w:t>Estudio de Fondo.-</w:t>
      </w:r>
      <w:r w:rsidR="00E74A70">
        <w:rPr>
          <w:rFonts w:ascii="Arial" w:hAnsi="Arial" w:cs="Arial"/>
          <w:b/>
        </w:rPr>
        <w:t xml:space="preserve"> </w:t>
      </w:r>
      <w:r w:rsidR="00E74A70">
        <w:rPr>
          <w:rFonts w:ascii="Arial" w:hAnsi="Arial" w:cs="Arial"/>
        </w:rPr>
        <w:t xml:space="preserve">Son esencialmente </w:t>
      </w:r>
      <w:r w:rsidR="00E74A70" w:rsidRPr="00473E5C">
        <w:rPr>
          <w:rFonts w:ascii="Arial" w:hAnsi="Arial" w:cs="Arial"/>
          <w:b/>
        </w:rPr>
        <w:t>fundados</w:t>
      </w:r>
      <w:r w:rsidR="00E74A70">
        <w:rPr>
          <w:rFonts w:ascii="Arial" w:hAnsi="Arial" w:cs="Arial"/>
        </w:rPr>
        <w:t xml:space="preserve"> los conceptos de impugnación hechos valer por l</w:t>
      </w:r>
      <w:r w:rsidR="008856F5">
        <w:rPr>
          <w:rFonts w:ascii="Arial" w:hAnsi="Arial" w:cs="Arial"/>
        </w:rPr>
        <w:t>a</w:t>
      </w:r>
      <w:r w:rsidR="00E74A70">
        <w:rPr>
          <w:rFonts w:ascii="Arial" w:hAnsi="Arial" w:cs="Arial"/>
        </w:rPr>
        <w:t xml:space="preserve"> accionante para pretender la nulidad lisa y llana del oficio con número de control </w:t>
      </w:r>
      <w:r w:rsidR="00907C67">
        <w:rPr>
          <w:rFonts w:ascii="Arial" w:hAnsi="Arial" w:cs="Arial"/>
        </w:rPr>
        <w:t>**********</w:t>
      </w:r>
      <w:r w:rsidR="000D0F86">
        <w:rPr>
          <w:rFonts w:ascii="Arial" w:hAnsi="Arial" w:cs="Arial"/>
        </w:rPr>
        <w:t xml:space="preserve"> </w:t>
      </w:r>
      <w:r w:rsidR="00E74A70">
        <w:rPr>
          <w:rFonts w:ascii="Arial" w:hAnsi="Arial" w:cs="Arial"/>
        </w:rPr>
        <w:t>de fecha ocho de agosto del dos mil diecisiete, emitido por la Directora de Ingresos y Recaudación dependiente de la Subsecretaría de Ingresos de la Secretaría de Finanzas del Poder Ejecutivo del Estado de Oaxaca, al tenor de las siguientes consideraciones de mérito.</w:t>
      </w:r>
      <w:r w:rsidR="008856F5">
        <w:rPr>
          <w:rFonts w:ascii="Arial" w:hAnsi="Arial" w:cs="Arial"/>
        </w:rPr>
        <w:t xml:space="preserve"> - - - - - - - - - - - - - - - - - - - - - - - - - - - - - - - - - </w:t>
      </w:r>
      <w:r w:rsidR="00E74A70">
        <w:rPr>
          <w:rFonts w:ascii="Arial" w:hAnsi="Arial" w:cs="Arial"/>
        </w:rPr>
        <w:t xml:space="preserve"> </w:t>
      </w:r>
    </w:p>
    <w:p w:rsidR="00E74A70" w:rsidRDefault="00E74A70" w:rsidP="00E74A70">
      <w:pPr>
        <w:spacing w:after="0" w:line="360" w:lineRule="auto"/>
        <w:ind w:firstLine="567"/>
        <w:jc w:val="both"/>
        <w:rPr>
          <w:rFonts w:ascii="Arial" w:hAnsi="Arial" w:cs="Arial"/>
        </w:rPr>
      </w:pPr>
    </w:p>
    <w:p w:rsidR="00E74A70" w:rsidRPr="00907C67" w:rsidRDefault="00E74A70" w:rsidP="00907C67">
      <w:pPr>
        <w:pStyle w:val="Encabezado"/>
        <w:spacing w:line="360" w:lineRule="auto"/>
        <w:rPr>
          <w:rFonts w:ascii="Arial" w:hAnsi="Arial" w:cs="Arial"/>
          <w:b/>
        </w:rPr>
      </w:pPr>
      <w:r>
        <w:rPr>
          <w:rFonts w:ascii="Arial" w:hAnsi="Arial" w:cs="Arial"/>
        </w:rPr>
        <w:t xml:space="preserve">Por </w:t>
      </w:r>
      <w:r w:rsidR="000D0F86">
        <w:rPr>
          <w:rFonts w:ascii="Arial" w:hAnsi="Arial" w:cs="Arial"/>
        </w:rPr>
        <w:t xml:space="preserve">cuestión de método, se analiza </w:t>
      </w:r>
      <w:r>
        <w:rPr>
          <w:rFonts w:ascii="Arial" w:hAnsi="Arial" w:cs="Arial"/>
        </w:rPr>
        <w:t xml:space="preserve">el argumento enunciado en el punto </w:t>
      </w:r>
      <w:r w:rsidR="009D59DA">
        <w:rPr>
          <w:rFonts w:ascii="Arial" w:hAnsi="Arial" w:cs="Arial"/>
        </w:rPr>
        <w:t>PRIMERO</w:t>
      </w:r>
      <w:r>
        <w:rPr>
          <w:rFonts w:ascii="Arial" w:hAnsi="Arial" w:cs="Arial"/>
        </w:rPr>
        <w:t xml:space="preserve">, del capítulo de conceptos de impugnación de la demanda, en donde la parte actora manifiesta que el oficio </w:t>
      </w:r>
      <w:r w:rsidR="00907C67">
        <w:rPr>
          <w:rFonts w:ascii="Arial" w:hAnsi="Arial" w:cs="Arial"/>
        </w:rPr>
        <w:t>**********</w:t>
      </w:r>
      <w:r w:rsidR="000D0F86">
        <w:rPr>
          <w:rFonts w:ascii="Arial" w:hAnsi="Arial" w:cs="Arial"/>
        </w:rPr>
        <w:t xml:space="preserve"> </w:t>
      </w:r>
      <w:r>
        <w:rPr>
          <w:rFonts w:ascii="Arial" w:hAnsi="Arial" w:cs="Arial"/>
        </w:rPr>
        <w:t>es violatorio de los principios de seguridad jurídica en virtud de que la Dirección de Ingresos y Recaudación, no funda y motiva debidamente los hechos conocidos derivado del ejercicio de sus facultades de comprobación. Se dice lo anterior, toda vez que la autoridad demandada, omitió correr traslado a</w:t>
      </w:r>
      <w:r w:rsidR="00907C67">
        <w:rPr>
          <w:rFonts w:ascii="Arial" w:hAnsi="Arial" w:cs="Arial"/>
        </w:rPr>
        <w:t xml:space="preserve"> </w:t>
      </w:r>
      <w:r w:rsidR="00907C67">
        <w:rPr>
          <w:rFonts w:ascii="Arial" w:hAnsi="Arial" w:cs="Arial"/>
          <w:b/>
        </w:rPr>
        <w:t>***** ***** ***** *****</w:t>
      </w:r>
      <w:r w:rsidR="000D0F86">
        <w:rPr>
          <w:rFonts w:ascii="Arial" w:hAnsi="Arial" w:cs="Arial"/>
        </w:rPr>
        <w:t>,</w:t>
      </w:r>
      <w:r>
        <w:rPr>
          <w:rFonts w:ascii="Arial" w:hAnsi="Arial" w:cs="Arial"/>
        </w:rPr>
        <w:t xml:space="preserve"> con los expedientes o documentos proporcionados por las autoridades distintas a la fiscalizadora, y que sirvieron de motivo para determinar la obligación del actor de inscribirse en el Registro Estatal de Contribuyentes, puesto que como estipula el artículo 97 párrafo segundo del Código Fiscal para el Estado, cuando los afectados por las resoluciones emitidas por la autoridad fiscalizadora, no tengan conocimiento de los expedientes o documentos que aquella utilice para motivar sus determinaciones, ésta deberá correr traslado al afectado y concederle un plazo de quince días para desvirtuar los hechos informados por las autoridades distintas</w:t>
      </w:r>
      <w:r>
        <w:rPr>
          <w:rStyle w:val="Refdenotaalpie"/>
          <w:rFonts w:ascii="Arial" w:hAnsi="Arial" w:cs="Arial"/>
        </w:rPr>
        <w:footnoteReference w:id="1"/>
      </w:r>
      <w:r>
        <w:rPr>
          <w:rFonts w:ascii="Arial" w:hAnsi="Arial" w:cs="Arial"/>
        </w:rPr>
        <w:t>.</w:t>
      </w:r>
      <w:r w:rsidR="008856F5">
        <w:rPr>
          <w:rFonts w:ascii="Arial" w:hAnsi="Arial" w:cs="Arial"/>
        </w:rPr>
        <w:t xml:space="preserve"> - - - - - - - - - - - -</w:t>
      </w:r>
      <w:r w:rsidR="009D59DA">
        <w:rPr>
          <w:rFonts w:ascii="Arial" w:hAnsi="Arial" w:cs="Arial"/>
        </w:rPr>
        <w:t xml:space="preserve"> - - - - - - - - - - - - - - - - - - - - - - - - - - - - - - - - - - - - - </w:t>
      </w:r>
      <w:r w:rsidR="008856F5">
        <w:rPr>
          <w:rFonts w:ascii="Arial" w:hAnsi="Arial" w:cs="Arial"/>
        </w:rPr>
        <w:t xml:space="preserve"> </w:t>
      </w:r>
      <w:r>
        <w:rPr>
          <w:rFonts w:ascii="Arial" w:hAnsi="Arial" w:cs="Arial"/>
        </w:rPr>
        <w:t xml:space="preserve"> </w:t>
      </w:r>
    </w:p>
    <w:p w:rsidR="000D0F86" w:rsidRDefault="000D0F86" w:rsidP="00E74A70">
      <w:pPr>
        <w:spacing w:after="0" w:line="360" w:lineRule="auto"/>
        <w:ind w:firstLine="567"/>
        <w:jc w:val="both"/>
        <w:rPr>
          <w:rFonts w:ascii="Arial" w:hAnsi="Arial" w:cs="Arial"/>
        </w:rPr>
      </w:pPr>
    </w:p>
    <w:p w:rsidR="00E74A70" w:rsidRDefault="00E74A70" w:rsidP="00E74A70">
      <w:pPr>
        <w:spacing w:after="0" w:line="360" w:lineRule="auto"/>
        <w:ind w:firstLine="567"/>
        <w:jc w:val="both"/>
        <w:rPr>
          <w:rFonts w:ascii="Arial" w:hAnsi="Arial" w:cs="Arial"/>
        </w:rPr>
      </w:pPr>
      <w:r>
        <w:rPr>
          <w:rFonts w:ascii="Arial" w:hAnsi="Arial" w:cs="Arial"/>
        </w:rPr>
        <w:t xml:space="preserve">Ahora bien, dicho argumento resulta </w:t>
      </w:r>
      <w:r w:rsidRPr="008B7AA6">
        <w:rPr>
          <w:rFonts w:ascii="Arial" w:hAnsi="Arial" w:cs="Arial"/>
          <w:b/>
        </w:rPr>
        <w:t>fundado</w:t>
      </w:r>
      <w:r>
        <w:rPr>
          <w:rFonts w:ascii="Arial" w:hAnsi="Arial" w:cs="Arial"/>
        </w:rPr>
        <w:t xml:space="preserve">, puesto que de una lectura del oficio número </w:t>
      </w:r>
      <w:r w:rsidR="00907C67">
        <w:rPr>
          <w:rFonts w:ascii="Arial" w:hAnsi="Arial" w:cs="Arial"/>
        </w:rPr>
        <w:t xml:space="preserve">********** </w:t>
      </w:r>
      <w:r>
        <w:rPr>
          <w:rFonts w:ascii="Arial" w:hAnsi="Arial" w:cs="Arial"/>
        </w:rPr>
        <w:t>que consti</w:t>
      </w:r>
      <w:r w:rsidR="008856F5">
        <w:rPr>
          <w:rFonts w:ascii="Arial" w:hAnsi="Arial" w:cs="Arial"/>
        </w:rPr>
        <w:t>tuye la contestación de demanda, a la que se le da valor probatorio pleno de conformidad con el artículo 203 fracción I</w:t>
      </w:r>
      <w:r w:rsidR="008856F5">
        <w:rPr>
          <w:rStyle w:val="Refdenotaalpie"/>
          <w:rFonts w:ascii="Arial" w:hAnsi="Arial" w:cs="Arial"/>
        </w:rPr>
        <w:footnoteReference w:id="2"/>
      </w:r>
      <w:r w:rsidR="008856F5">
        <w:rPr>
          <w:rFonts w:ascii="Arial" w:hAnsi="Arial" w:cs="Arial"/>
        </w:rPr>
        <w:t xml:space="preserve"> de la ley de la Materia,</w:t>
      </w:r>
      <w:r>
        <w:rPr>
          <w:rFonts w:ascii="Arial" w:hAnsi="Arial" w:cs="Arial"/>
        </w:rPr>
        <w:t xml:space="preserve"> se advierte que la autoridad aquí demandada, manifiesta respecto a lo anterior vertido lo siguiente: </w:t>
      </w:r>
    </w:p>
    <w:p w:rsidR="00E74A70" w:rsidRDefault="00E74A70" w:rsidP="00E74A70">
      <w:pPr>
        <w:spacing w:after="0" w:line="360" w:lineRule="auto"/>
        <w:ind w:firstLine="567"/>
        <w:jc w:val="both"/>
        <w:rPr>
          <w:rFonts w:ascii="Arial" w:hAnsi="Arial" w:cs="Arial"/>
        </w:rPr>
      </w:pPr>
    </w:p>
    <w:p w:rsidR="00E74A70" w:rsidRPr="006B1BA8" w:rsidRDefault="00E74A70" w:rsidP="0079375D">
      <w:pPr>
        <w:spacing w:after="0" w:line="276" w:lineRule="auto"/>
        <w:ind w:left="567" w:right="616"/>
        <w:jc w:val="both"/>
        <w:rPr>
          <w:rFonts w:ascii="Arial" w:hAnsi="Arial" w:cs="Arial"/>
          <w:sz w:val="20"/>
        </w:rPr>
      </w:pPr>
      <w:r w:rsidRPr="006B1BA8">
        <w:rPr>
          <w:rFonts w:ascii="Arial" w:hAnsi="Arial" w:cs="Arial"/>
          <w:i/>
          <w:sz w:val="20"/>
        </w:rPr>
        <w:t xml:space="preserve">“Asimismo, la autoridad demandada identificó al accionante, como sujeto obligado a inscribirse en el Registro Estatal de Contribuyentes del Estado de Oaxaca, por realizar actividades vinculadas al Impuesto Sobre Erogaciones por Remuneraciones al Trabajo Personal, lo anterior como resultado de información que realiza la Dirección de Ingresos y </w:t>
      </w:r>
      <w:r w:rsidRPr="006B1BA8">
        <w:rPr>
          <w:rFonts w:ascii="Arial" w:hAnsi="Arial" w:cs="Arial"/>
          <w:i/>
          <w:sz w:val="20"/>
        </w:rPr>
        <w:lastRenderedPageBreak/>
        <w:t xml:space="preserve">Recaudación con Dependencias y </w:t>
      </w:r>
      <w:r w:rsidR="00EA63B8">
        <w:rPr>
          <w:noProof/>
          <w:lang w:eastAsia="es-MX"/>
        </w:rPr>
        <mc:AlternateContent>
          <mc:Choice Requires="wps">
            <w:drawing>
              <wp:anchor distT="45720" distB="45720" distL="114300" distR="114300" simplePos="0" relativeHeight="251610624" behindDoc="0" locked="0" layoutInCell="1" allowOverlap="1" wp14:anchorId="59D47440" wp14:editId="467CAE6A">
                <wp:simplePos x="0" y="0"/>
                <wp:positionH relativeFrom="column">
                  <wp:posOffset>-988695</wp:posOffset>
                </wp:positionH>
                <wp:positionV relativeFrom="paragraph">
                  <wp:posOffset>395605</wp:posOffset>
                </wp:positionV>
                <wp:extent cx="1743075" cy="8907780"/>
                <wp:effectExtent l="0" t="0" r="9525" b="7620"/>
                <wp:wrapSquare wrapText="bothSides"/>
                <wp:docPr id="3"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43075" cy="8907780"/>
                        </a:xfrm>
                        <a:prstGeom prst="rect">
                          <a:avLst/>
                        </a:prstGeom>
                        <a:solidFill>
                          <a:srgbClr val="FFFFFF"/>
                        </a:solidFill>
                        <a:ln w="9525">
                          <a:noFill/>
                          <a:miter lim="800000"/>
                          <a:headEnd/>
                          <a:tailEnd/>
                        </a:ln>
                      </wps:spPr>
                      <wps:txbx>
                        <w:txbxContent>
                          <w:p w:rsidR="00EA63B8" w:rsidRDefault="00EA63B8" w:rsidP="00EA63B8">
                            <w:pPr>
                              <w:rPr>
                                <w:rFonts w:ascii="Arial" w:hAnsi="Arial" w:cs="Arial"/>
                                <w:color w:val="9CC2E5" w:themeColor="accent1" w:themeTint="99"/>
                                <w:sz w:val="36"/>
                              </w:rPr>
                            </w:pPr>
                          </w:p>
                          <w:p w:rsidR="00EA63B8" w:rsidRDefault="00EA63B8" w:rsidP="00EA63B8">
                            <w:pPr>
                              <w:rPr>
                                <w:rFonts w:ascii="Arial" w:hAnsi="Arial" w:cs="Arial"/>
                                <w:color w:val="9CC2E5" w:themeColor="accent1" w:themeTint="99"/>
                                <w:sz w:val="36"/>
                              </w:rPr>
                            </w:pPr>
                          </w:p>
                          <w:p w:rsidR="00EA63B8" w:rsidRDefault="00EA63B8" w:rsidP="00EA63B8">
                            <w:pPr>
                              <w:rPr>
                                <w:rFonts w:ascii="Arial" w:hAnsi="Arial" w:cs="Arial"/>
                                <w:color w:val="9CC2E5" w:themeColor="accent1" w:themeTint="99"/>
                                <w:sz w:val="36"/>
                              </w:rPr>
                            </w:pPr>
                          </w:p>
                          <w:p w:rsidR="00EA63B8" w:rsidRDefault="00EA63B8" w:rsidP="00EA63B8">
                            <w:pPr>
                              <w:rPr>
                                <w:rFonts w:ascii="Arial" w:hAnsi="Arial" w:cs="Arial"/>
                                <w:color w:val="9CC2E5" w:themeColor="accent1" w:themeTint="99"/>
                                <w:sz w:val="36"/>
                              </w:rPr>
                            </w:pPr>
                          </w:p>
                          <w:p w:rsidR="00EA63B8" w:rsidRDefault="00EA63B8" w:rsidP="00EA63B8">
                            <w:pPr>
                              <w:rPr>
                                <w:rFonts w:ascii="Arial" w:hAnsi="Arial" w:cs="Arial"/>
                                <w:color w:val="9CC2E5" w:themeColor="accent1" w:themeTint="99"/>
                                <w:sz w:val="36"/>
                              </w:rPr>
                            </w:pPr>
                          </w:p>
                          <w:p w:rsidR="00EA63B8" w:rsidRDefault="00EA63B8" w:rsidP="00EA63B8">
                            <w:pPr>
                              <w:rPr>
                                <w:rFonts w:ascii="Arial" w:hAnsi="Arial" w:cs="Arial"/>
                                <w:color w:val="9CC2E5" w:themeColor="accent1" w:themeTint="99"/>
                                <w:sz w:val="36"/>
                              </w:rPr>
                            </w:pPr>
                          </w:p>
                          <w:p w:rsidR="00EA63B8" w:rsidRDefault="00EA63B8" w:rsidP="00EA63B8">
                            <w:pPr>
                              <w:rPr>
                                <w:rFonts w:ascii="Arial" w:hAnsi="Arial" w:cs="Arial"/>
                                <w:color w:val="9CC2E5" w:themeColor="accent1" w:themeTint="99"/>
                                <w:sz w:val="36"/>
                              </w:rPr>
                            </w:pPr>
                          </w:p>
                          <w:p w:rsidR="00EA63B8" w:rsidRDefault="00EA63B8" w:rsidP="00EA63B8">
                            <w:pPr>
                              <w:rPr>
                                <w:rFonts w:ascii="Arial" w:hAnsi="Arial" w:cs="Arial"/>
                                <w:color w:val="9CC2E5" w:themeColor="accent1" w:themeTint="99"/>
                                <w:sz w:val="36"/>
                              </w:rPr>
                            </w:pPr>
                          </w:p>
                          <w:p w:rsidR="00EA63B8" w:rsidRPr="00C87479" w:rsidRDefault="00EA63B8" w:rsidP="00EA63B8">
                            <w:pPr>
                              <w:rPr>
                                <w:rFonts w:ascii="Arial" w:hAnsi="Arial" w:cs="Arial"/>
                                <w:color w:val="9CC2E5" w:themeColor="accent1" w:themeTint="99"/>
                                <w:sz w:val="32"/>
                              </w:rPr>
                            </w:pPr>
                            <w:r w:rsidRPr="00C87479">
                              <w:rPr>
                                <w:rFonts w:ascii="Arial" w:hAnsi="Arial" w:cs="Arial"/>
                                <w:color w:val="9CC2E5" w:themeColor="accent1" w:themeTint="99"/>
                                <w:sz w:val="32"/>
                              </w:rPr>
                              <w:t xml:space="preserve">DATOS PÉRSONALES PROTEGIDOS POR EL ARTÍCULO 116 DE LA LGTAIP Y ARTÍCULO 56 DE LA LTAIPEO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9D47440" id="_x0000_s1031" type="#_x0000_t202" style="position:absolute;left:0;text-align:left;margin-left:-77.85pt;margin-top:31.15pt;width:137.25pt;height:701.4pt;z-index:25161062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" stroked="f">
                <v:textbox>
                  <w:txbxContent>
                    <w:p w:rsidR="00EA63B8" w:rsidRDefault="00EA63B8" w:rsidP="00EA63B8">
                      <w:pPr>
                        <w:rPr>
                          <w:rFonts w:ascii="Arial" w:hAnsi="Arial" w:cs="Arial"/>
                          <w:color w:val="9CC2E5" w:themeColor="accent1" w:themeTint="99"/>
                          <w:sz w:val="36"/>
                        </w:rPr>
                      </w:pPr>
                    </w:p>
                    <w:p w:rsidR="00EA63B8" w:rsidRDefault="00EA63B8" w:rsidP="00EA63B8">
                      <w:pPr>
                        <w:rPr>
                          <w:rFonts w:ascii="Arial" w:hAnsi="Arial" w:cs="Arial"/>
                          <w:color w:val="9CC2E5" w:themeColor="accent1" w:themeTint="99"/>
                          <w:sz w:val="36"/>
                        </w:rPr>
                      </w:pPr>
                    </w:p>
                    <w:p w:rsidR="00EA63B8" w:rsidRDefault="00EA63B8" w:rsidP="00EA63B8">
                      <w:pPr>
                        <w:rPr>
                          <w:rFonts w:ascii="Arial" w:hAnsi="Arial" w:cs="Arial"/>
                          <w:color w:val="9CC2E5" w:themeColor="accent1" w:themeTint="99"/>
                          <w:sz w:val="36"/>
                        </w:rPr>
                      </w:pPr>
                    </w:p>
                    <w:p w:rsidR="00EA63B8" w:rsidRDefault="00EA63B8" w:rsidP="00EA63B8">
                      <w:pPr>
                        <w:rPr>
                          <w:rFonts w:ascii="Arial" w:hAnsi="Arial" w:cs="Arial"/>
                          <w:color w:val="9CC2E5" w:themeColor="accent1" w:themeTint="99"/>
                          <w:sz w:val="36"/>
                        </w:rPr>
                      </w:pPr>
                    </w:p>
                    <w:p w:rsidR="00EA63B8" w:rsidRDefault="00EA63B8" w:rsidP="00EA63B8">
                      <w:pPr>
                        <w:rPr>
                          <w:rFonts w:ascii="Arial" w:hAnsi="Arial" w:cs="Arial"/>
                          <w:color w:val="9CC2E5" w:themeColor="accent1" w:themeTint="99"/>
                          <w:sz w:val="36"/>
                        </w:rPr>
                      </w:pPr>
                    </w:p>
                    <w:p w:rsidR="00EA63B8" w:rsidRDefault="00EA63B8" w:rsidP="00EA63B8">
                      <w:pPr>
                        <w:rPr>
                          <w:rFonts w:ascii="Arial" w:hAnsi="Arial" w:cs="Arial"/>
                          <w:color w:val="9CC2E5" w:themeColor="accent1" w:themeTint="99"/>
                          <w:sz w:val="36"/>
                        </w:rPr>
                      </w:pPr>
                    </w:p>
                    <w:p w:rsidR="00EA63B8" w:rsidRDefault="00EA63B8" w:rsidP="00EA63B8">
                      <w:pPr>
                        <w:rPr>
                          <w:rFonts w:ascii="Arial" w:hAnsi="Arial" w:cs="Arial"/>
                          <w:color w:val="9CC2E5" w:themeColor="accent1" w:themeTint="99"/>
                          <w:sz w:val="36"/>
                        </w:rPr>
                      </w:pPr>
                    </w:p>
                    <w:p w:rsidR="00EA63B8" w:rsidRDefault="00EA63B8" w:rsidP="00EA63B8">
                      <w:pPr>
                        <w:rPr>
                          <w:rFonts w:ascii="Arial" w:hAnsi="Arial" w:cs="Arial"/>
                          <w:color w:val="9CC2E5" w:themeColor="accent1" w:themeTint="99"/>
                          <w:sz w:val="36"/>
                        </w:rPr>
                      </w:pPr>
                    </w:p>
                    <w:p w:rsidR="00EA63B8" w:rsidRPr="00C87479" w:rsidRDefault="00EA63B8" w:rsidP="00EA63B8">
                      <w:pPr>
                        <w:rPr>
                          <w:rFonts w:ascii="Arial" w:hAnsi="Arial" w:cs="Arial"/>
                          <w:color w:val="9CC2E5" w:themeColor="accent1" w:themeTint="99"/>
                          <w:sz w:val="32"/>
                        </w:rPr>
                      </w:pPr>
                      <w:r w:rsidRPr="00C87479">
                        <w:rPr>
                          <w:rFonts w:ascii="Arial" w:hAnsi="Arial" w:cs="Arial"/>
                          <w:color w:val="9CC2E5" w:themeColor="accent1" w:themeTint="99"/>
                          <w:sz w:val="32"/>
                        </w:rPr>
                        <w:t xml:space="preserve">DATOS PÉRSONALES PROTEGIDOS POR EL ARTÍCULO 116 DE LA LGTAIP Y ARTÍCULO 56 DE LA LTAIPEO </w:t>
                      </w:r>
                    </w:p>
                  </w:txbxContent>
                </v:textbox>
                <w10:wrap type="square"/>
              </v:shape>
            </w:pict>
          </mc:Fallback>
        </mc:AlternateContent>
      </w:r>
      <w:r w:rsidRPr="006B1BA8">
        <w:rPr>
          <w:rFonts w:ascii="Arial" w:hAnsi="Arial" w:cs="Arial"/>
          <w:i/>
          <w:sz w:val="20"/>
        </w:rPr>
        <w:t>Organismos Públicos en el ámbito Federal, con fundamento en los artículos 96, 97 primer párrafo y 98 del Código Fiscal del Estado de Oaxaca”.</w:t>
      </w:r>
      <w:r w:rsidR="009D59DA">
        <w:rPr>
          <w:rStyle w:val="Refdenotaalpie"/>
          <w:rFonts w:ascii="Arial" w:hAnsi="Arial" w:cs="Arial"/>
          <w:i/>
          <w:sz w:val="20"/>
        </w:rPr>
        <w:footnoteReference w:id="3"/>
      </w:r>
      <w:r w:rsidRPr="006B1BA8">
        <w:rPr>
          <w:rFonts w:ascii="Arial" w:hAnsi="Arial" w:cs="Arial"/>
          <w:sz w:val="20"/>
        </w:rPr>
        <w:t xml:space="preserve"> </w:t>
      </w:r>
    </w:p>
    <w:p w:rsidR="00E74A70" w:rsidRDefault="00E74A70" w:rsidP="00E74A70">
      <w:pPr>
        <w:ind w:firstLine="567"/>
      </w:pPr>
    </w:p>
    <w:p w:rsidR="00E74A70" w:rsidRPr="006B1BA8" w:rsidRDefault="00E74A70" w:rsidP="00E74A70">
      <w:pPr>
        <w:spacing w:line="360" w:lineRule="auto"/>
        <w:ind w:firstLine="567"/>
        <w:jc w:val="both"/>
        <w:rPr>
          <w:rFonts w:ascii="Arial" w:hAnsi="Arial" w:cs="Arial"/>
        </w:rPr>
      </w:pPr>
      <w:r w:rsidRPr="006B1BA8">
        <w:rPr>
          <w:rFonts w:ascii="Arial" w:hAnsi="Arial" w:cs="Arial"/>
        </w:rPr>
        <w:t xml:space="preserve">De lo </w:t>
      </w:r>
      <w:r>
        <w:rPr>
          <w:rFonts w:ascii="Arial" w:hAnsi="Arial" w:cs="Arial"/>
        </w:rPr>
        <w:t>aquí</w:t>
      </w:r>
      <w:r w:rsidRPr="006B1BA8">
        <w:rPr>
          <w:rFonts w:ascii="Arial" w:hAnsi="Arial" w:cs="Arial"/>
        </w:rPr>
        <w:t xml:space="preserve"> transcrit</w:t>
      </w:r>
      <w:r>
        <w:rPr>
          <w:rFonts w:ascii="Arial" w:hAnsi="Arial" w:cs="Arial"/>
        </w:rPr>
        <w:t xml:space="preserve">o, se aprecia que la autoridad demandada omite dar contestación a lo manifestado por la parte actora, respecto a que no le corrió </w:t>
      </w:r>
      <w:bookmarkStart w:id="0" w:name="_GoBack"/>
      <w:bookmarkEnd w:id="0"/>
      <w:r>
        <w:rPr>
          <w:rFonts w:ascii="Arial" w:hAnsi="Arial" w:cs="Arial"/>
        </w:rPr>
        <w:t xml:space="preserve">traslado con los documentos obtenidos derivados de la información que la Dirección de Ingresos obtuvo de diversas Dependencias y Organismos Públicos del ámbito Federal, por lo que de conformidad con el artículo 186 de la Ley de Procedimiento y Justicia Administrativa para el Estado de Oaxaca, se hace efectivo el apercibimiento decretado en el acuerdo de fecha </w:t>
      </w:r>
      <w:r w:rsidR="00E7798B">
        <w:rPr>
          <w:rFonts w:ascii="Arial" w:hAnsi="Arial" w:cs="Arial"/>
        </w:rPr>
        <w:t>treinta</w:t>
      </w:r>
      <w:r w:rsidR="000D0F86">
        <w:rPr>
          <w:rFonts w:ascii="Arial" w:hAnsi="Arial" w:cs="Arial"/>
        </w:rPr>
        <w:t xml:space="preserve"> de enero</w:t>
      </w:r>
      <w:r>
        <w:rPr>
          <w:rFonts w:ascii="Arial" w:hAnsi="Arial" w:cs="Arial"/>
        </w:rPr>
        <w:t xml:space="preserve"> del año </w:t>
      </w:r>
      <w:r w:rsidR="000D0F86">
        <w:rPr>
          <w:rFonts w:ascii="Arial" w:hAnsi="Arial" w:cs="Arial"/>
        </w:rPr>
        <w:t>en curos</w:t>
      </w:r>
      <w:r>
        <w:rPr>
          <w:rFonts w:ascii="Arial" w:hAnsi="Arial" w:cs="Arial"/>
        </w:rPr>
        <w:t xml:space="preserve">, y se le tiene por confesa de los hechos que se le atribuyen en el punto </w:t>
      </w:r>
      <w:r w:rsidR="00E7798B">
        <w:rPr>
          <w:rFonts w:ascii="Arial" w:hAnsi="Arial" w:cs="Arial"/>
        </w:rPr>
        <w:t>PRIMERO</w:t>
      </w:r>
      <w:r>
        <w:rPr>
          <w:rFonts w:ascii="Arial" w:hAnsi="Arial" w:cs="Arial"/>
        </w:rPr>
        <w:t xml:space="preserve"> del capítulo de conceptos de impugnación visible a fojas </w:t>
      </w:r>
      <w:r w:rsidR="00E7798B">
        <w:rPr>
          <w:rFonts w:ascii="Arial" w:hAnsi="Arial" w:cs="Arial"/>
        </w:rPr>
        <w:t>2</w:t>
      </w:r>
      <w:r w:rsidR="000D0F86">
        <w:rPr>
          <w:rFonts w:ascii="Arial" w:hAnsi="Arial" w:cs="Arial"/>
        </w:rPr>
        <w:t xml:space="preserve"> y </w:t>
      </w:r>
      <w:r w:rsidR="00E7798B">
        <w:rPr>
          <w:rFonts w:ascii="Arial" w:hAnsi="Arial" w:cs="Arial"/>
        </w:rPr>
        <w:t>4</w:t>
      </w:r>
      <w:r>
        <w:rPr>
          <w:rFonts w:ascii="Arial" w:hAnsi="Arial" w:cs="Arial"/>
        </w:rPr>
        <w:t xml:space="preserve"> del expediente, y que consisten en que la autoridad demandada, fue omisa en: a) correr traslado a la parte actora, con los documentos que le sirvieron para determinar a </w:t>
      </w:r>
      <w:r w:rsidR="00907C67">
        <w:rPr>
          <w:rFonts w:ascii="Arial" w:hAnsi="Arial" w:cs="Arial"/>
        </w:rPr>
        <w:t>***** ***** ***** *****</w:t>
      </w:r>
      <w:r>
        <w:rPr>
          <w:rFonts w:ascii="Arial" w:hAnsi="Arial" w:cs="Arial"/>
        </w:rPr>
        <w:t xml:space="preserve"> como sujeto obligado a inscribirse en el Registro Estatal de Contribuyentes, y en b) otorgarle un plazo de quince días para que pudiera desvirtuar los hechos conocidos por la autoridad fiscalizadora con motivo de sus facultades de comprobación.</w:t>
      </w:r>
      <w:r w:rsidR="008856F5">
        <w:rPr>
          <w:rFonts w:ascii="Arial" w:hAnsi="Arial" w:cs="Arial"/>
        </w:rPr>
        <w:t xml:space="preserve"> - - - - - - - - - - - - - - - - - - - - - - - - - - - - - - - - - - - - - - - - - -  - - - - - - - - - - - - </w:t>
      </w:r>
      <w:r>
        <w:rPr>
          <w:rFonts w:ascii="Arial" w:hAnsi="Arial" w:cs="Arial"/>
        </w:rPr>
        <w:t xml:space="preserve"> </w:t>
      </w:r>
    </w:p>
    <w:p w:rsidR="0079375D" w:rsidRDefault="00E74A70" w:rsidP="008856F5">
      <w:pPr>
        <w:spacing w:line="360" w:lineRule="auto"/>
        <w:ind w:firstLine="567"/>
        <w:jc w:val="both"/>
        <w:rPr>
          <w:rFonts w:ascii="Arial" w:hAnsi="Arial" w:cs="Arial"/>
        </w:rPr>
      </w:pPr>
      <w:r>
        <w:rPr>
          <w:rFonts w:ascii="Arial" w:hAnsi="Arial" w:cs="Arial"/>
        </w:rPr>
        <w:t xml:space="preserve">De esa guisa, se tiene que la Dirección de Ingresos, transgredió en perjuicio de </w:t>
      </w:r>
      <w:r w:rsidR="00907C67">
        <w:rPr>
          <w:rFonts w:ascii="Arial" w:hAnsi="Arial" w:cs="Arial"/>
        </w:rPr>
        <w:t>***** ***** ***** *****</w:t>
      </w:r>
      <w:r w:rsidR="000D0F86">
        <w:rPr>
          <w:rFonts w:ascii="Arial" w:hAnsi="Arial" w:cs="Arial"/>
        </w:rPr>
        <w:t>,</w:t>
      </w:r>
      <w:r>
        <w:rPr>
          <w:rFonts w:ascii="Arial" w:hAnsi="Arial" w:cs="Arial"/>
        </w:rPr>
        <w:t xml:space="preserve"> el derecho al debido proceso, puesto que no le</w:t>
      </w:r>
      <w:r w:rsidR="0052781A">
        <w:rPr>
          <w:rFonts w:ascii="Arial" w:hAnsi="Arial" w:cs="Arial"/>
        </w:rPr>
        <w:t xml:space="preserve"> corrió traslado </w:t>
      </w:r>
      <w:r>
        <w:rPr>
          <w:rFonts w:ascii="Arial" w:hAnsi="Arial" w:cs="Arial"/>
        </w:rPr>
        <w:t xml:space="preserve">con los documentos obtenidos del </w:t>
      </w:r>
      <w:r w:rsidR="0052781A">
        <w:rPr>
          <w:rFonts w:ascii="Arial" w:hAnsi="Arial" w:cs="Arial"/>
        </w:rPr>
        <w:t xml:space="preserve">intercambio de información con </w:t>
      </w:r>
      <w:r>
        <w:rPr>
          <w:rFonts w:ascii="Arial" w:hAnsi="Arial" w:cs="Arial"/>
        </w:rPr>
        <w:t>Dependencias y Organismos Públicos del ámbito Federal, como lo establece el artículo 97 del Código Fiscal para el Estado de Oaxaca</w:t>
      </w:r>
      <w:r w:rsidR="0052781A">
        <w:rPr>
          <w:rFonts w:ascii="Arial" w:hAnsi="Arial" w:cs="Arial"/>
        </w:rPr>
        <w:t>; de ahí deviene la ilegalidad del acto impugnado y en consecuencia la nulidad del oficio</w:t>
      </w:r>
      <w:r w:rsidR="00907C67">
        <w:rPr>
          <w:rFonts w:ascii="Arial" w:hAnsi="Arial" w:cs="Arial"/>
        </w:rPr>
        <w:t>**********</w:t>
      </w:r>
      <w:r w:rsidR="0052781A">
        <w:rPr>
          <w:rFonts w:ascii="Arial" w:hAnsi="Arial" w:cs="Arial"/>
        </w:rPr>
        <w:t>, puesto que el requisito de notificación de los documentos obtenidos del intercambio de información por parte de la autoridad fiscalizadora, no fue satisfecho en términos de las leyes fiscales aplicables, ya que según la técnica jurídica, las facultades de comprobación de la autoridad fiscalizadora, inician válidamente cuando se notifica al contribuyente con el oficio respectivo. Para ejemplificar lo anterior, se cita</w:t>
      </w:r>
      <w:r>
        <w:rPr>
          <w:rFonts w:ascii="Arial" w:hAnsi="Arial" w:cs="Arial"/>
        </w:rPr>
        <w:t xml:space="preserve"> la Jurisprudencia </w:t>
      </w:r>
      <w:r w:rsidRPr="008016C4">
        <w:rPr>
          <w:rFonts w:ascii="Arial" w:hAnsi="Arial" w:cs="Arial"/>
        </w:rPr>
        <w:t>VI.3o.A. J/11</w:t>
      </w:r>
      <w:r>
        <w:rPr>
          <w:rFonts w:ascii="Arial" w:hAnsi="Arial" w:cs="Arial"/>
        </w:rPr>
        <w:t xml:space="preserve">, publicada en el Semanario Judicial de la Federación, </w:t>
      </w:r>
      <w:r w:rsidRPr="008016C4">
        <w:rPr>
          <w:rFonts w:ascii="Arial" w:hAnsi="Arial" w:cs="Arial"/>
        </w:rPr>
        <w:tab/>
        <w:t>Tomo XV, Marzo de 2002</w:t>
      </w:r>
      <w:r>
        <w:rPr>
          <w:rFonts w:ascii="Arial" w:hAnsi="Arial" w:cs="Arial"/>
        </w:rPr>
        <w:t xml:space="preserve">, página 1248, Novena Época, de rubro y texto siguientes: </w:t>
      </w:r>
    </w:p>
    <w:p w:rsidR="00E74A70" w:rsidRPr="008856F5" w:rsidRDefault="008856F5" w:rsidP="00E74A70">
      <w:pPr>
        <w:spacing w:line="276" w:lineRule="auto"/>
        <w:ind w:left="567" w:right="616"/>
        <w:jc w:val="both"/>
        <w:rPr>
          <w:rFonts w:ascii="Arial" w:hAnsi="Arial" w:cs="Arial"/>
          <w:b/>
          <w:i/>
          <w:sz w:val="20"/>
        </w:rPr>
      </w:pPr>
      <w:r w:rsidRPr="008856F5">
        <w:rPr>
          <w:rFonts w:ascii="Arial" w:hAnsi="Arial" w:cs="Arial"/>
          <w:b/>
          <w:i/>
          <w:sz w:val="20"/>
        </w:rPr>
        <w:t>“</w:t>
      </w:r>
      <w:r w:rsidR="00E74A70" w:rsidRPr="008856F5">
        <w:rPr>
          <w:rFonts w:ascii="Arial" w:hAnsi="Arial" w:cs="Arial"/>
          <w:b/>
          <w:i/>
          <w:sz w:val="20"/>
        </w:rPr>
        <w:t>NULIDAD QUE DECLARA LA SENTENCIA FISCAL DEBIDO A LA NOTIFICACIÓN ILEGAL DEL INICIO DEL PROCEDIMIENTO PARA VERIFICAR EL CUMPLIMIENTO DE OBLIGACIONES FISCALES. DEBE SER LA EXCEPCIONAL CON FUNDAMENTO EN LA PARTE FINAL DE LA FRACCIÓN III DEL ARTÍCULO 239 DEL CÓDIGO FISCAL DE LA FEDERACIÓN.</w:t>
      </w:r>
    </w:p>
    <w:p w:rsidR="00E74A70" w:rsidRPr="008856F5" w:rsidRDefault="00EA63B8" w:rsidP="00E74A70">
      <w:pPr>
        <w:spacing w:line="276" w:lineRule="auto"/>
        <w:ind w:left="567" w:right="616"/>
        <w:jc w:val="both"/>
        <w:rPr>
          <w:rFonts w:ascii="Arial" w:hAnsi="Arial" w:cs="Arial"/>
          <w:i/>
          <w:sz w:val="20"/>
        </w:rPr>
      </w:pPr>
      <w:r>
        <w:rPr>
          <w:noProof/>
          <w:lang w:eastAsia="es-MX"/>
        </w:rPr>
        <w:lastRenderedPageBreak/>
        <mc:AlternateContent>
          <mc:Choice Requires="wps">
            <w:drawing>
              <wp:anchor distT="45720" distB="45720" distL="114300" distR="114300" simplePos="0" relativeHeight="251706880" behindDoc="0" locked="0" layoutInCell="1" allowOverlap="1" wp14:anchorId="39A936FB" wp14:editId="2BAF0584">
                <wp:simplePos x="0" y="0"/>
                <wp:positionH relativeFrom="column">
                  <wp:posOffset>-987083</wp:posOffset>
                </wp:positionH>
                <wp:positionV relativeFrom="paragraph">
                  <wp:posOffset>489585</wp:posOffset>
                </wp:positionV>
                <wp:extent cx="1743075" cy="8907780"/>
                <wp:effectExtent l="0" t="0" r="28575" b="26670"/>
                <wp:wrapSquare wrapText="bothSides"/>
                <wp:docPr id="8"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43075" cy="8907780"/>
                        </a:xfrm>
                        <a:prstGeom prst="rect">
                          <a:avLst/>
                        </a:prstGeom>
                        <a:solidFill>
                          <a:srgbClr val="FFFFFF"/>
                        </a:solidFill>
                        <a:ln w="9525">
                          <a:solidFill>
                            <a:schemeClr val="bg1"/>
                          </a:solidFill>
                          <a:miter lim="800000"/>
                          <a:headEnd/>
                          <a:tailEnd/>
                        </a:ln>
                      </wps:spPr>
                      <wps:txbx>
                        <w:txbxContent>
                          <w:p w:rsidR="00EA63B8" w:rsidRDefault="00EA63B8" w:rsidP="00EA63B8">
                            <w:pPr>
                              <w:rPr>
                                <w:rFonts w:ascii="Arial" w:hAnsi="Arial" w:cs="Arial"/>
                                <w:color w:val="9CC2E5" w:themeColor="accent1" w:themeTint="99"/>
                                <w:sz w:val="36"/>
                              </w:rPr>
                            </w:pPr>
                          </w:p>
                          <w:p w:rsidR="00EA63B8" w:rsidRDefault="00EA63B8" w:rsidP="00EA63B8">
                            <w:pPr>
                              <w:rPr>
                                <w:rFonts w:ascii="Arial" w:hAnsi="Arial" w:cs="Arial"/>
                                <w:color w:val="9CC2E5" w:themeColor="accent1" w:themeTint="99"/>
                                <w:sz w:val="36"/>
                              </w:rPr>
                            </w:pPr>
                          </w:p>
                          <w:p w:rsidR="00EA63B8" w:rsidRDefault="00EA63B8" w:rsidP="00EA63B8">
                            <w:pPr>
                              <w:rPr>
                                <w:rFonts w:ascii="Arial" w:hAnsi="Arial" w:cs="Arial"/>
                                <w:color w:val="9CC2E5" w:themeColor="accent1" w:themeTint="99"/>
                                <w:sz w:val="36"/>
                              </w:rPr>
                            </w:pPr>
                          </w:p>
                          <w:p w:rsidR="00EA63B8" w:rsidRDefault="00EA63B8" w:rsidP="00EA63B8">
                            <w:pPr>
                              <w:rPr>
                                <w:rFonts w:ascii="Arial" w:hAnsi="Arial" w:cs="Arial"/>
                                <w:color w:val="9CC2E5" w:themeColor="accent1" w:themeTint="99"/>
                                <w:sz w:val="36"/>
                              </w:rPr>
                            </w:pPr>
                          </w:p>
                          <w:p w:rsidR="00EA63B8" w:rsidRDefault="00EA63B8" w:rsidP="00EA63B8">
                            <w:pPr>
                              <w:rPr>
                                <w:rFonts w:ascii="Arial" w:hAnsi="Arial" w:cs="Arial"/>
                                <w:color w:val="9CC2E5" w:themeColor="accent1" w:themeTint="99"/>
                                <w:sz w:val="36"/>
                              </w:rPr>
                            </w:pPr>
                          </w:p>
                          <w:p w:rsidR="00EA63B8" w:rsidRDefault="00EA63B8" w:rsidP="00EA63B8">
                            <w:pPr>
                              <w:rPr>
                                <w:rFonts w:ascii="Arial" w:hAnsi="Arial" w:cs="Arial"/>
                                <w:color w:val="9CC2E5" w:themeColor="accent1" w:themeTint="99"/>
                                <w:sz w:val="36"/>
                              </w:rPr>
                            </w:pPr>
                          </w:p>
                          <w:p w:rsidR="00EA63B8" w:rsidRDefault="00EA63B8" w:rsidP="00EA63B8">
                            <w:pPr>
                              <w:rPr>
                                <w:rFonts w:ascii="Arial" w:hAnsi="Arial" w:cs="Arial"/>
                                <w:color w:val="9CC2E5" w:themeColor="accent1" w:themeTint="99"/>
                                <w:sz w:val="36"/>
                              </w:rPr>
                            </w:pPr>
                          </w:p>
                          <w:p w:rsidR="00EA63B8" w:rsidRDefault="00EA63B8" w:rsidP="00EA63B8">
                            <w:pPr>
                              <w:rPr>
                                <w:rFonts w:ascii="Arial" w:hAnsi="Arial" w:cs="Arial"/>
                                <w:color w:val="9CC2E5" w:themeColor="accent1" w:themeTint="99"/>
                                <w:sz w:val="36"/>
                              </w:rPr>
                            </w:pPr>
                          </w:p>
                          <w:p w:rsidR="00EA63B8" w:rsidRPr="00C87479" w:rsidRDefault="00EA63B8" w:rsidP="00EA63B8">
                            <w:pPr>
                              <w:rPr>
                                <w:rFonts w:ascii="Arial" w:hAnsi="Arial" w:cs="Arial"/>
                                <w:color w:val="9CC2E5" w:themeColor="accent1" w:themeTint="99"/>
                                <w:sz w:val="32"/>
                              </w:rPr>
                            </w:pPr>
                            <w:r w:rsidRPr="00C87479">
                              <w:rPr>
                                <w:rFonts w:ascii="Arial" w:hAnsi="Arial" w:cs="Arial"/>
                                <w:color w:val="9CC2E5" w:themeColor="accent1" w:themeTint="99"/>
                                <w:sz w:val="32"/>
                              </w:rPr>
                              <w:t xml:space="preserve">DATOS PÉRSONALES PROTEGIDOS POR EL ARTÍCULO 116 DE LA LGTAIP Y ARTÍCULO 56 DE LA LTAIPEO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9A936FB" id="_x0000_s1032" type="#_x0000_t202" style="position:absolute;left:0;text-align:left;margin-left:-77.7pt;margin-top:38.55pt;width:137.25pt;height:701.4pt;z-index:25170688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" strokecolor="white [3212]">
                <v:textbox>
                  <w:txbxContent>
                    <w:p w:rsidR="00EA63B8" w:rsidRDefault="00EA63B8" w:rsidP="00EA63B8">
                      <w:pPr>
                        <w:rPr>
                          <w:rFonts w:ascii="Arial" w:hAnsi="Arial" w:cs="Arial"/>
                          <w:color w:val="9CC2E5" w:themeColor="accent1" w:themeTint="99"/>
                          <w:sz w:val="36"/>
                        </w:rPr>
                      </w:pPr>
                    </w:p>
                    <w:p w:rsidR="00EA63B8" w:rsidRDefault="00EA63B8" w:rsidP="00EA63B8">
                      <w:pPr>
                        <w:rPr>
                          <w:rFonts w:ascii="Arial" w:hAnsi="Arial" w:cs="Arial"/>
                          <w:color w:val="9CC2E5" w:themeColor="accent1" w:themeTint="99"/>
                          <w:sz w:val="36"/>
                        </w:rPr>
                      </w:pPr>
                    </w:p>
                    <w:p w:rsidR="00EA63B8" w:rsidRDefault="00EA63B8" w:rsidP="00EA63B8">
                      <w:pPr>
                        <w:rPr>
                          <w:rFonts w:ascii="Arial" w:hAnsi="Arial" w:cs="Arial"/>
                          <w:color w:val="9CC2E5" w:themeColor="accent1" w:themeTint="99"/>
                          <w:sz w:val="36"/>
                        </w:rPr>
                      </w:pPr>
                    </w:p>
                    <w:p w:rsidR="00EA63B8" w:rsidRDefault="00EA63B8" w:rsidP="00EA63B8">
                      <w:pPr>
                        <w:rPr>
                          <w:rFonts w:ascii="Arial" w:hAnsi="Arial" w:cs="Arial"/>
                          <w:color w:val="9CC2E5" w:themeColor="accent1" w:themeTint="99"/>
                          <w:sz w:val="36"/>
                        </w:rPr>
                      </w:pPr>
                    </w:p>
                    <w:p w:rsidR="00EA63B8" w:rsidRDefault="00EA63B8" w:rsidP="00EA63B8">
                      <w:pPr>
                        <w:rPr>
                          <w:rFonts w:ascii="Arial" w:hAnsi="Arial" w:cs="Arial"/>
                          <w:color w:val="9CC2E5" w:themeColor="accent1" w:themeTint="99"/>
                          <w:sz w:val="36"/>
                        </w:rPr>
                      </w:pPr>
                    </w:p>
                    <w:p w:rsidR="00EA63B8" w:rsidRDefault="00EA63B8" w:rsidP="00EA63B8">
                      <w:pPr>
                        <w:rPr>
                          <w:rFonts w:ascii="Arial" w:hAnsi="Arial" w:cs="Arial"/>
                          <w:color w:val="9CC2E5" w:themeColor="accent1" w:themeTint="99"/>
                          <w:sz w:val="36"/>
                        </w:rPr>
                      </w:pPr>
                    </w:p>
                    <w:p w:rsidR="00EA63B8" w:rsidRDefault="00EA63B8" w:rsidP="00EA63B8">
                      <w:pPr>
                        <w:rPr>
                          <w:rFonts w:ascii="Arial" w:hAnsi="Arial" w:cs="Arial"/>
                          <w:color w:val="9CC2E5" w:themeColor="accent1" w:themeTint="99"/>
                          <w:sz w:val="36"/>
                        </w:rPr>
                      </w:pPr>
                    </w:p>
                    <w:p w:rsidR="00EA63B8" w:rsidRDefault="00EA63B8" w:rsidP="00EA63B8">
                      <w:pPr>
                        <w:rPr>
                          <w:rFonts w:ascii="Arial" w:hAnsi="Arial" w:cs="Arial"/>
                          <w:color w:val="9CC2E5" w:themeColor="accent1" w:themeTint="99"/>
                          <w:sz w:val="36"/>
                        </w:rPr>
                      </w:pPr>
                    </w:p>
                    <w:p w:rsidR="00EA63B8" w:rsidRPr="00C87479" w:rsidRDefault="00EA63B8" w:rsidP="00EA63B8">
                      <w:pPr>
                        <w:rPr>
                          <w:rFonts w:ascii="Arial" w:hAnsi="Arial" w:cs="Arial"/>
                          <w:color w:val="9CC2E5" w:themeColor="accent1" w:themeTint="99"/>
                          <w:sz w:val="32"/>
                        </w:rPr>
                      </w:pPr>
                      <w:r w:rsidRPr="00C87479">
                        <w:rPr>
                          <w:rFonts w:ascii="Arial" w:hAnsi="Arial" w:cs="Arial"/>
                          <w:color w:val="9CC2E5" w:themeColor="accent1" w:themeTint="99"/>
                          <w:sz w:val="32"/>
                        </w:rPr>
                        <w:t xml:space="preserve">DATOS PÉRSONALES PROTEGIDOS POR EL ARTÍCULO 116 DE LA LGTAIP Y ARTÍCULO 56 DE LA LTAIPEO </w:t>
                      </w:r>
                    </w:p>
                  </w:txbxContent>
                </v:textbox>
                <w10:wrap type="square"/>
              </v:shape>
            </w:pict>
          </mc:Fallback>
        </mc:AlternateContent>
      </w:r>
      <w:r w:rsidR="00E74A70" w:rsidRPr="008856F5">
        <w:rPr>
          <w:rFonts w:ascii="Arial" w:hAnsi="Arial" w:cs="Arial"/>
          <w:i/>
          <w:sz w:val="20"/>
        </w:rPr>
        <w:t>Este tribunal sostiene la tesis consultable en la página mil ciento ochenta y cinco del Tomo XIII, mayo de dos mil uno, de la Novena Época del Semanario Judicial de la Federación y su Gaceta, de rubro: "NULIDAD QUE DECLARA LA SENTENCIA FISCAL DEBIDO A LA NOTIFICACIÓN ILEGAL DEL INICIO DEL PROCEDIMIENTO PARA VERIFICAR EL CUMPLIMIENTO DE OBLIGACIONES FISCALES. DEBE SER LISA Y LLANA Y NO PARA EFECTOS."; sin embargo, si bien el contenido de esta tesis pudiera aparentar un contrasentido, en realidad no se trata sino, en todo caso, de impropiedad en el manejo técnico del lenguaje, que conviene depurar, pues tal como se dijo en dicha tesis, cuando están de por medio las facultades discrecionales de las autoridades exactoras, como en las de comprobación, la nulidad de sus actos no impide que vuelva a realizarlos, si aún puede hacerlo, aunque tampoco la conmina a ello; pero, en esa tesitura, el calificativo del tipo de nulidad no es de lisa y llana, sino excepcional, en términos del artículo 239, fracción III, último párrafo, del Código Fiscal de la Federación, razón por la cual, para efectos de propiedad técnica, el texto de la tesis, con el rubro ya indicado al inicio de ésta, debe quedar así: La notificación es el acto jurídico que constituye el presupuesto necesario para el inicio del procedimiento de comprobación, ya que del análisis del artículo 44, fracciones II y III, del código tributario federal, se desprende que el procedimiento se inicia precisamente con la entrega al contribuyente o a su representante, en vía de notificación, del oficio respectivo, de suerte que es en el momento mismo de la notificación practicada de manera legal cuando se inicia válidamente el procedimiento para el ejercicio de las facultades de comprobación. De ahí que si la notificación del documento que implica el inicio de dichas facultades se realizó en forma contraria a la establecida por la ley, cabe concluir que no iniciaron debidamente el ejercicio de tales facultades, actualizándose, entonces, la nulidad prevista por la última parte de la fracción III del artículo 239 del aludido código, es decir, la excepcional, sin perjuicio, desde luego, de que si la autoridad fiscal se encuentra aún en tiempo, y está en posibilidad de hacerlo, inicie de nueva cuenta y en debida forma el procedimiento de que se trata</w:t>
      </w:r>
      <w:r w:rsidR="008856F5" w:rsidRPr="008856F5">
        <w:rPr>
          <w:rFonts w:ascii="Arial" w:hAnsi="Arial" w:cs="Arial"/>
          <w:i/>
          <w:sz w:val="20"/>
        </w:rPr>
        <w:t>”</w:t>
      </w:r>
      <w:r w:rsidR="00E74A70" w:rsidRPr="008856F5">
        <w:rPr>
          <w:rFonts w:ascii="Arial" w:hAnsi="Arial" w:cs="Arial"/>
          <w:i/>
          <w:sz w:val="20"/>
        </w:rPr>
        <w:t>.</w:t>
      </w:r>
    </w:p>
    <w:p w:rsidR="00E74A70" w:rsidRDefault="00E74A70" w:rsidP="00E74A70">
      <w:pPr>
        <w:spacing w:line="360" w:lineRule="auto"/>
        <w:ind w:firstLine="567"/>
        <w:jc w:val="both"/>
        <w:rPr>
          <w:rFonts w:ascii="Arial" w:hAnsi="Arial" w:cs="Arial"/>
        </w:rPr>
      </w:pPr>
    </w:p>
    <w:p w:rsidR="009E30AA" w:rsidRPr="008856F5" w:rsidRDefault="009E30AA" w:rsidP="008856F5">
      <w:pPr>
        <w:tabs>
          <w:tab w:val="left" w:pos="3969"/>
        </w:tabs>
        <w:spacing w:line="360" w:lineRule="auto"/>
        <w:ind w:firstLine="567"/>
        <w:jc w:val="both"/>
        <w:rPr>
          <w:rFonts w:ascii="Arial" w:hAnsi="Arial" w:cs="Arial"/>
        </w:rPr>
      </w:pPr>
      <w:r>
        <w:rPr>
          <w:rFonts w:ascii="Arial" w:hAnsi="Arial" w:cs="Arial"/>
        </w:rPr>
        <w:t>También, resulta oportuno citar por identidad jurídica, el criterio que</w:t>
      </w:r>
      <w:r w:rsidR="0052781A">
        <w:rPr>
          <w:rFonts w:ascii="Arial" w:hAnsi="Arial" w:cs="Arial"/>
        </w:rPr>
        <w:t xml:space="preserve"> </w:t>
      </w:r>
      <w:r w:rsidR="00E74A70">
        <w:rPr>
          <w:rFonts w:ascii="Arial" w:hAnsi="Arial" w:cs="Arial"/>
        </w:rPr>
        <w:t xml:space="preserve">adopta el Primer Tribunal Colegiado en Materia Administrativa del Sexto Circuito </w:t>
      </w:r>
      <w:r>
        <w:rPr>
          <w:rFonts w:ascii="Arial" w:hAnsi="Arial" w:cs="Arial"/>
        </w:rPr>
        <w:t>y que</w:t>
      </w:r>
      <w:r w:rsidR="00E74A70">
        <w:rPr>
          <w:rFonts w:ascii="Arial" w:hAnsi="Arial" w:cs="Arial"/>
        </w:rPr>
        <w:t xml:space="preserve"> se aprecia en la Jurisprudencia 823 visible en el Apéndice 2011, </w:t>
      </w:r>
      <w:r w:rsidR="00E74A70" w:rsidRPr="00755E0C">
        <w:rPr>
          <w:rFonts w:ascii="Arial" w:hAnsi="Arial" w:cs="Arial"/>
        </w:rPr>
        <w:t xml:space="preserve">Tomo IV. Administrativa Segunda Parte - TCC Primera Sección </w:t>
      </w:r>
      <w:r w:rsidR="00E74A70">
        <w:rPr>
          <w:rFonts w:ascii="Arial" w:hAnsi="Arial" w:cs="Arial"/>
        </w:rPr>
        <w:t>–</w:t>
      </w:r>
      <w:r w:rsidR="00E74A70" w:rsidRPr="00755E0C">
        <w:rPr>
          <w:rFonts w:ascii="Arial" w:hAnsi="Arial" w:cs="Arial"/>
        </w:rPr>
        <w:t xml:space="preserve"> Administrativa</w:t>
      </w:r>
      <w:r w:rsidR="00E74A70">
        <w:rPr>
          <w:rFonts w:ascii="Arial" w:hAnsi="Arial" w:cs="Arial"/>
        </w:rPr>
        <w:t xml:space="preserve">, a página 975, Novena Época, el cual se transcribe a manera de orientación: </w:t>
      </w:r>
    </w:p>
    <w:p w:rsidR="00E74A70" w:rsidRPr="008856F5" w:rsidRDefault="008856F5" w:rsidP="00E74A70">
      <w:pPr>
        <w:tabs>
          <w:tab w:val="left" w:pos="3969"/>
        </w:tabs>
        <w:spacing w:line="276" w:lineRule="auto"/>
        <w:ind w:left="709" w:right="709" w:hanging="1"/>
        <w:jc w:val="both"/>
        <w:rPr>
          <w:rFonts w:ascii="Arial" w:hAnsi="Arial" w:cs="Arial"/>
          <w:b/>
          <w:i/>
          <w:sz w:val="20"/>
        </w:rPr>
      </w:pPr>
      <w:r w:rsidRPr="008856F5">
        <w:rPr>
          <w:rFonts w:ascii="Arial" w:hAnsi="Arial" w:cs="Arial"/>
          <w:b/>
          <w:i/>
          <w:sz w:val="20"/>
        </w:rPr>
        <w:t>“</w:t>
      </w:r>
      <w:r w:rsidR="00E74A70" w:rsidRPr="008856F5">
        <w:rPr>
          <w:rFonts w:ascii="Arial" w:hAnsi="Arial" w:cs="Arial"/>
          <w:b/>
          <w:i/>
          <w:sz w:val="20"/>
        </w:rPr>
        <w:t>NULIDAD LISA Y LLANA POR VICIOS DE FORMA DECLARADA CONFORME A LOS ARTÍCULOS 51, FRACCIÓN III, Y 52, FRACCIÓN II, DE LA LEY FEDERAL DE PROCEDIMIENTO CONTENCIOSO ADMINISTRATIVO. SE ACTUALIZA ANTE LA ILEGAL NOTIFICACIÓN DEL INICIO DE LAS FACULTADES DE COMPROBACIÓN, Y SUS ALCANCES SON LOS DEL TIPO DE NULIDAD EXCEPCIONAL QUE SE PREVEÍA EN EL ARTÍCULO 239, FRACCIÓN III, Y ÚLTIMO PÁRRAFO, DEL CÓDIGO FISCAL DE LA FEDERACIÓN VIGENTE HASTA EL 31 DE DICIEMBRE DE 2005.</w:t>
      </w:r>
    </w:p>
    <w:p w:rsidR="008856F5" w:rsidRPr="00013A4D" w:rsidRDefault="00E74A70" w:rsidP="00013A4D">
      <w:pPr>
        <w:tabs>
          <w:tab w:val="left" w:pos="3969"/>
        </w:tabs>
        <w:spacing w:line="276" w:lineRule="auto"/>
        <w:ind w:left="709" w:right="709" w:hanging="1"/>
        <w:jc w:val="both"/>
        <w:rPr>
          <w:rFonts w:ascii="Arial" w:hAnsi="Arial" w:cs="Arial"/>
          <w:i/>
          <w:sz w:val="20"/>
        </w:rPr>
      </w:pPr>
      <w:r w:rsidRPr="008856F5">
        <w:rPr>
          <w:rFonts w:ascii="Arial" w:hAnsi="Arial" w:cs="Arial"/>
          <w:i/>
          <w:sz w:val="20"/>
        </w:rPr>
        <w:t xml:space="preserve">De la ejecutoria emitida por el Pleno del Más Alto Tribunal del País al resolver la contradicción de tesis 15/2006-PL, y del criterio que derivó de aquélla de número P. XXXIV/2007, cuyo rubro se lee: "NULIDAD ABSOLUTA Y NULIDAD PARA EFECTOS EN EL JUICIO CONTENCIOSO ADMINISTRATIVO. SU ALCANCE DEPENDE DE LA NATURALEZA DE LA RESOLUCIÓN ANULADA Y DE LOS VICIOS QUE ORIGINARON LA ANULACIÓN.", se constata que los actuales tipos de nulidad previstos en el artículo 52 de la Ley Federal de Procedimiento Contencioso Administrativo, son únicamente los distinguidos como "nulidad lisa y llana o absoluta" y "nulidad para efectos o relativa", siendo que la declaratoria de nulidad lisa y llana puede generarse por vicios de forma, de procedimiento o inclusive de falta de competencia, así como por vicios de fondo y que ante los primeros, la autoridad puede emitir un nuevo acto </w:t>
      </w:r>
      <w:r w:rsidRPr="008856F5">
        <w:rPr>
          <w:rFonts w:ascii="Arial" w:hAnsi="Arial" w:cs="Arial"/>
          <w:i/>
          <w:sz w:val="20"/>
        </w:rPr>
        <w:lastRenderedPageBreak/>
        <w:t xml:space="preserve">subsanando el vicio detectado, conteniéndose por lo </w:t>
      </w:r>
      <w:r w:rsidR="008A6F98">
        <w:rPr>
          <w:noProof/>
          <w:lang w:eastAsia="es-MX"/>
        </w:rPr>
        <mc:AlternateContent>
          <mc:Choice Requires="wps">
            <w:drawing>
              <wp:anchor distT="45720" distB="45720" distL="114300" distR="114300" simplePos="0" relativeHeight="251746816" behindDoc="0" locked="0" layoutInCell="1" allowOverlap="1" wp14:anchorId="01307E58" wp14:editId="3C6B9FC7">
                <wp:simplePos x="0" y="0"/>
                <wp:positionH relativeFrom="column">
                  <wp:posOffset>-987425</wp:posOffset>
                </wp:positionH>
                <wp:positionV relativeFrom="paragraph">
                  <wp:posOffset>481330</wp:posOffset>
                </wp:positionV>
                <wp:extent cx="1743075" cy="8907780"/>
                <wp:effectExtent l="0" t="0" r="28575" b="26670"/>
                <wp:wrapSquare wrapText="bothSides"/>
                <wp:docPr id="10"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43075" cy="8907780"/>
                        </a:xfrm>
                        <a:prstGeom prst="rect">
                          <a:avLst/>
                        </a:prstGeom>
                        <a:solidFill>
                          <a:srgbClr val="FFFFFF"/>
                        </a:solidFill>
                        <a:ln w="9525">
                          <a:solidFill>
                            <a:schemeClr val="bg1"/>
                          </a:solidFill>
                          <a:miter lim="800000"/>
                          <a:headEnd/>
                          <a:tailEnd/>
                        </a:ln>
                      </wps:spPr>
                      <wps:txbx>
                        <w:txbxContent>
                          <w:p w:rsidR="008A6F98" w:rsidRDefault="008A6F98" w:rsidP="008A6F98">
                            <w:pPr>
                              <w:rPr>
                                <w:rFonts w:ascii="Arial" w:hAnsi="Arial" w:cs="Arial"/>
                                <w:color w:val="9CC2E5" w:themeColor="accent1" w:themeTint="99"/>
                                <w:sz w:val="36"/>
                              </w:rPr>
                            </w:pPr>
                          </w:p>
                          <w:p w:rsidR="008A6F98" w:rsidRDefault="008A6F98" w:rsidP="008A6F98">
                            <w:pPr>
                              <w:rPr>
                                <w:rFonts w:ascii="Arial" w:hAnsi="Arial" w:cs="Arial"/>
                                <w:color w:val="9CC2E5" w:themeColor="accent1" w:themeTint="99"/>
                                <w:sz w:val="36"/>
                              </w:rPr>
                            </w:pPr>
                          </w:p>
                          <w:p w:rsidR="008A6F98" w:rsidRDefault="008A6F98" w:rsidP="008A6F98">
                            <w:pPr>
                              <w:rPr>
                                <w:rFonts w:ascii="Arial" w:hAnsi="Arial" w:cs="Arial"/>
                                <w:color w:val="9CC2E5" w:themeColor="accent1" w:themeTint="99"/>
                                <w:sz w:val="36"/>
                              </w:rPr>
                            </w:pPr>
                          </w:p>
                          <w:p w:rsidR="008A6F98" w:rsidRDefault="008A6F98" w:rsidP="008A6F98">
                            <w:pPr>
                              <w:rPr>
                                <w:rFonts w:ascii="Arial" w:hAnsi="Arial" w:cs="Arial"/>
                                <w:color w:val="9CC2E5" w:themeColor="accent1" w:themeTint="99"/>
                                <w:sz w:val="36"/>
                              </w:rPr>
                            </w:pPr>
                          </w:p>
                          <w:p w:rsidR="008A6F98" w:rsidRDefault="008A6F98" w:rsidP="008A6F98">
                            <w:pPr>
                              <w:rPr>
                                <w:rFonts w:ascii="Arial" w:hAnsi="Arial" w:cs="Arial"/>
                                <w:color w:val="9CC2E5" w:themeColor="accent1" w:themeTint="99"/>
                                <w:sz w:val="36"/>
                              </w:rPr>
                            </w:pPr>
                          </w:p>
                          <w:p w:rsidR="008A6F98" w:rsidRDefault="008A6F98" w:rsidP="008A6F98">
                            <w:pPr>
                              <w:rPr>
                                <w:rFonts w:ascii="Arial" w:hAnsi="Arial" w:cs="Arial"/>
                                <w:color w:val="9CC2E5" w:themeColor="accent1" w:themeTint="99"/>
                                <w:sz w:val="36"/>
                              </w:rPr>
                            </w:pPr>
                          </w:p>
                          <w:p w:rsidR="008A6F98" w:rsidRDefault="008A6F98" w:rsidP="008A6F98">
                            <w:pPr>
                              <w:rPr>
                                <w:rFonts w:ascii="Arial" w:hAnsi="Arial" w:cs="Arial"/>
                                <w:color w:val="9CC2E5" w:themeColor="accent1" w:themeTint="99"/>
                                <w:sz w:val="36"/>
                              </w:rPr>
                            </w:pPr>
                          </w:p>
                          <w:p w:rsidR="008A6F98" w:rsidRDefault="008A6F98" w:rsidP="008A6F98">
                            <w:pPr>
                              <w:rPr>
                                <w:rFonts w:ascii="Arial" w:hAnsi="Arial" w:cs="Arial"/>
                                <w:color w:val="9CC2E5" w:themeColor="accent1" w:themeTint="99"/>
                                <w:sz w:val="36"/>
                              </w:rPr>
                            </w:pPr>
                          </w:p>
                          <w:p w:rsidR="008A6F98" w:rsidRPr="00C87479" w:rsidRDefault="008A6F98" w:rsidP="008A6F98">
                            <w:pPr>
                              <w:rPr>
                                <w:rFonts w:ascii="Arial" w:hAnsi="Arial" w:cs="Arial"/>
                                <w:color w:val="9CC2E5" w:themeColor="accent1" w:themeTint="99"/>
                                <w:sz w:val="32"/>
                              </w:rPr>
                            </w:pPr>
                            <w:r w:rsidRPr="00C87479">
                              <w:rPr>
                                <w:rFonts w:ascii="Arial" w:hAnsi="Arial" w:cs="Arial"/>
                                <w:color w:val="9CC2E5" w:themeColor="accent1" w:themeTint="99"/>
                                <w:sz w:val="32"/>
                              </w:rPr>
                              <w:t xml:space="preserve">DATOS PÉRSONALES PROTEGIDOS POR EL ARTÍCULO 116 DE LA LGTAIP Y ARTÍCULO 56 DE LA LTAIPEO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1307E58" id="_x0000_s1033" type="#_x0000_t202" style="position:absolute;left:0;text-align:left;margin-left:-77.75pt;margin-top:37.9pt;width:137.25pt;height:701.4pt;z-index:25174681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" strokecolor="white [3212]">
                <v:textbox>
                  <w:txbxContent>
                    <w:p w:rsidR="008A6F98" w:rsidRDefault="008A6F98" w:rsidP="008A6F98">
                      <w:pPr>
                        <w:rPr>
                          <w:rFonts w:ascii="Arial" w:hAnsi="Arial" w:cs="Arial"/>
                          <w:color w:val="9CC2E5" w:themeColor="accent1" w:themeTint="99"/>
                          <w:sz w:val="36"/>
                        </w:rPr>
                      </w:pPr>
                    </w:p>
                    <w:p w:rsidR="008A6F98" w:rsidRDefault="008A6F98" w:rsidP="008A6F98">
                      <w:pPr>
                        <w:rPr>
                          <w:rFonts w:ascii="Arial" w:hAnsi="Arial" w:cs="Arial"/>
                          <w:color w:val="9CC2E5" w:themeColor="accent1" w:themeTint="99"/>
                          <w:sz w:val="36"/>
                        </w:rPr>
                      </w:pPr>
                    </w:p>
                    <w:p w:rsidR="008A6F98" w:rsidRDefault="008A6F98" w:rsidP="008A6F98">
                      <w:pPr>
                        <w:rPr>
                          <w:rFonts w:ascii="Arial" w:hAnsi="Arial" w:cs="Arial"/>
                          <w:color w:val="9CC2E5" w:themeColor="accent1" w:themeTint="99"/>
                          <w:sz w:val="36"/>
                        </w:rPr>
                      </w:pPr>
                    </w:p>
                    <w:p w:rsidR="008A6F98" w:rsidRDefault="008A6F98" w:rsidP="008A6F98">
                      <w:pPr>
                        <w:rPr>
                          <w:rFonts w:ascii="Arial" w:hAnsi="Arial" w:cs="Arial"/>
                          <w:color w:val="9CC2E5" w:themeColor="accent1" w:themeTint="99"/>
                          <w:sz w:val="36"/>
                        </w:rPr>
                      </w:pPr>
                    </w:p>
                    <w:p w:rsidR="008A6F98" w:rsidRDefault="008A6F98" w:rsidP="008A6F98">
                      <w:pPr>
                        <w:rPr>
                          <w:rFonts w:ascii="Arial" w:hAnsi="Arial" w:cs="Arial"/>
                          <w:color w:val="9CC2E5" w:themeColor="accent1" w:themeTint="99"/>
                          <w:sz w:val="36"/>
                        </w:rPr>
                      </w:pPr>
                    </w:p>
                    <w:p w:rsidR="008A6F98" w:rsidRDefault="008A6F98" w:rsidP="008A6F98">
                      <w:pPr>
                        <w:rPr>
                          <w:rFonts w:ascii="Arial" w:hAnsi="Arial" w:cs="Arial"/>
                          <w:color w:val="9CC2E5" w:themeColor="accent1" w:themeTint="99"/>
                          <w:sz w:val="36"/>
                        </w:rPr>
                      </w:pPr>
                    </w:p>
                    <w:p w:rsidR="008A6F98" w:rsidRDefault="008A6F98" w:rsidP="008A6F98">
                      <w:pPr>
                        <w:rPr>
                          <w:rFonts w:ascii="Arial" w:hAnsi="Arial" w:cs="Arial"/>
                          <w:color w:val="9CC2E5" w:themeColor="accent1" w:themeTint="99"/>
                          <w:sz w:val="36"/>
                        </w:rPr>
                      </w:pPr>
                    </w:p>
                    <w:p w:rsidR="008A6F98" w:rsidRDefault="008A6F98" w:rsidP="008A6F98">
                      <w:pPr>
                        <w:rPr>
                          <w:rFonts w:ascii="Arial" w:hAnsi="Arial" w:cs="Arial"/>
                          <w:color w:val="9CC2E5" w:themeColor="accent1" w:themeTint="99"/>
                          <w:sz w:val="36"/>
                        </w:rPr>
                      </w:pPr>
                    </w:p>
                    <w:p w:rsidR="008A6F98" w:rsidRPr="00C87479" w:rsidRDefault="008A6F98" w:rsidP="008A6F98">
                      <w:pPr>
                        <w:rPr>
                          <w:rFonts w:ascii="Arial" w:hAnsi="Arial" w:cs="Arial"/>
                          <w:color w:val="9CC2E5" w:themeColor="accent1" w:themeTint="99"/>
                          <w:sz w:val="32"/>
                        </w:rPr>
                      </w:pPr>
                      <w:r w:rsidRPr="00C87479">
                        <w:rPr>
                          <w:rFonts w:ascii="Arial" w:hAnsi="Arial" w:cs="Arial"/>
                          <w:color w:val="9CC2E5" w:themeColor="accent1" w:themeTint="99"/>
                          <w:sz w:val="32"/>
                        </w:rPr>
                        <w:t xml:space="preserve">DATOS PÉRSONALES PROTEGIDOS POR EL ARTÍCULO 116 DE LA LGTAIP Y ARTÍCULO 56 DE LA LTAIPEO </w:t>
                      </w:r>
                    </w:p>
                  </w:txbxContent>
                </v:textbox>
                <w10:wrap type="square"/>
              </v:shape>
            </w:pict>
          </mc:Fallback>
        </mc:AlternateContent>
      </w:r>
      <w:r w:rsidR="008A6F98">
        <w:rPr>
          <w:noProof/>
          <w:lang w:eastAsia="es-MX"/>
        </w:rPr>
        <mc:AlternateContent>
          <mc:Choice Requires="wps">
            <w:drawing>
              <wp:anchor distT="45720" distB="45720" distL="114300" distR="114300" simplePos="0" relativeHeight="251723264" behindDoc="0" locked="0" layoutInCell="1" allowOverlap="1" wp14:anchorId="5E06CDD5" wp14:editId="46134171">
                <wp:simplePos x="0" y="0"/>
                <wp:positionH relativeFrom="column">
                  <wp:posOffset>-984885</wp:posOffset>
                </wp:positionH>
                <wp:positionV relativeFrom="paragraph">
                  <wp:posOffset>611017</wp:posOffset>
                </wp:positionV>
                <wp:extent cx="1743075" cy="8907780"/>
                <wp:effectExtent l="0" t="0" r="28575" b="26670"/>
                <wp:wrapSquare wrapText="bothSides"/>
                <wp:docPr id="9"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43075" cy="8907780"/>
                        </a:xfrm>
                        <a:prstGeom prst="rect">
                          <a:avLst/>
                        </a:prstGeom>
                        <a:solidFill>
                          <a:srgbClr val="FFFFFF"/>
                        </a:solidFill>
                        <a:ln w="9525">
                          <a:solidFill>
                            <a:schemeClr val="bg1"/>
                          </a:solidFill>
                          <a:miter lim="800000"/>
                          <a:headEnd/>
                          <a:tailEnd/>
                        </a:ln>
                      </wps:spPr>
                      <wps:txbx>
                        <w:txbxContent>
                          <w:p w:rsidR="00EA63B8" w:rsidRDefault="00EA63B8" w:rsidP="00EA63B8">
                            <w:pPr>
                              <w:rPr>
                                <w:rFonts w:ascii="Arial" w:hAnsi="Arial" w:cs="Arial"/>
                                <w:color w:val="9CC2E5" w:themeColor="accent1" w:themeTint="99"/>
                                <w:sz w:val="36"/>
                              </w:rPr>
                            </w:pPr>
                          </w:p>
                          <w:p w:rsidR="00EA63B8" w:rsidRDefault="00EA63B8" w:rsidP="00EA63B8">
                            <w:pPr>
                              <w:rPr>
                                <w:rFonts w:ascii="Arial" w:hAnsi="Arial" w:cs="Arial"/>
                                <w:color w:val="9CC2E5" w:themeColor="accent1" w:themeTint="99"/>
                                <w:sz w:val="36"/>
                              </w:rPr>
                            </w:pPr>
                          </w:p>
                          <w:p w:rsidR="00EA63B8" w:rsidRDefault="00EA63B8" w:rsidP="00EA63B8">
                            <w:pPr>
                              <w:rPr>
                                <w:rFonts w:ascii="Arial" w:hAnsi="Arial" w:cs="Arial"/>
                                <w:color w:val="9CC2E5" w:themeColor="accent1" w:themeTint="99"/>
                                <w:sz w:val="36"/>
                              </w:rPr>
                            </w:pPr>
                          </w:p>
                          <w:p w:rsidR="00EA63B8" w:rsidRDefault="00EA63B8" w:rsidP="00EA63B8">
                            <w:pPr>
                              <w:rPr>
                                <w:rFonts w:ascii="Arial" w:hAnsi="Arial" w:cs="Arial"/>
                                <w:color w:val="9CC2E5" w:themeColor="accent1" w:themeTint="99"/>
                                <w:sz w:val="36"/>
                              </w:rPr>
                            </w:pPr>
                          </w:p>
                          <w:p w:rsidR="00EA63B8" w:rsidRDefault="00EA63B8" w:rsidP="00EA63B8">
                            <w:pPr>
                              <w:rPr>
                                <w:rFonts w:ascii="Arial" w:hAnsi="Arial" w:cs="Arial"/>
                                <w:color w:val="9CC2E5" w:themeColor="accent1" w:themeTint="99"/>
                                <w:sz w:val="36"/>
                              </w:rPr>
                            </w:pPr>
                          </w:p>
                          <w:p w:rsidR="00EA63B8" w:rsidRDefault="00EA63B8" w:rsidP="00EA63B8">
                            <w:pPr>
                              <w:rPr>
                                <w:rFonts w:ascii="Arial" w:hAnsi="Arial" w:cs="Arial"/>
                                <w:color w:val="9CC2E5" w:themeColor="accent1" w:themeTint="99"/>
                                <w:sz w:val="36"/>
                              </w:rPr>
                            </w:pPr>
                          </w:p>
                          <w:p w:rsidR="00EA63B8" w:rsidRDefault="00EA63B8" w:rsidP="00EA63B8">
                            <w:pPr>
                              <w:rPr>
                                <w:rFonts w:ascii="Arial" w:hAnsi="Arial" w:cs="Arial"/>
                                <w:color w:val="9CC2E5" w:themeColor="accent1" w:themeTint="99"/>
                                <w:sz w:val="36"/>
                              </w:rPr>
                            </w:pPr>
                          </w:p>
                          <w:p w:rsidR="00EA63B8" w:rsidRDefault="00EA63B8" w:rsidP="00EA63B8">
                            <w:pPr>
                              <w:rPr>
                                <w:rFonts w:ascii="Arial" w:hAnsi="Arial" w:cs="Arial"/>
                                <w:color w:val="9CC2E5" w:themeColor="accent1" w:themeTint="99"/>
                                <w:sz w:val="36"/>
                              </w:rPr>
                            </w:pPr>
                          </w:p>
                          <w:p w:rsidR="00EA63B8" w:rsidRPr="00D61135" w:rsidRDefault="00EA63B8" w:rsidP="00EA63B8">
                            <w:pPr>
                              <w:rPr>
                                <w:rFonts w:ascii="Arial" w:hAnsi="Arial" w:cs="Arial"/>
                                <w:color w:val="9CC2E5" w:themeColor="accent1" w:themeTint="99"/>
                                <w:sz w:val="36"/>
                              </w:rPr>
                            </w:pPr>
                            <w:r w:rsidRPr="00D61135">
                              <w:rPr>
                                <w:rFonts w:ascii="Arial" w:hAnsi="Arial" w:cs="Arial"/>
                                <w:color w:val="9CC2E5" w:themeColor="accent1" w:themeTint="99"/>
                                <w:sz w:val="36"/>
                              </w:rPr>
                              <w:t xml:space="preserve">DATOS PÉRSONALES PROTEGIDOS POR EL ARTÍCULO 116 DE LA LGTAIP Y ARTÍCULO 56 DE LA LTAIPEO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E06CDD5" id="_x0000_s1034" type="#_x0000_t202" style="position:absolute;left:0;text-align:left;margin-left:-77.55pt;margin-top:48.1pt;width:137.25pt;height:701.4pt;z-index:251723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" strokecolor="white [3212]">
                <v:textbox>
                  <w:txbxContent>
                    <w:p w:rsidR="00EA63B8" w:rsidRDefault="00EA63B8" w:rsidP="00EA63B8">
                      <w:pPr>
                        <w:rPr>
                          <w:rFonts w:ascii="Arial" w:hAnsi="Arial" w:cs="Arial"/>
                          <w:color w:val="9CC2E5" w:themeColor="accent1" w:themeTint="99"/>
                          <w:sz w:val="36"/>
                        </w:rPr>
                      </w:pPr>
                    </w:p>
                    <w:p w:rsidR="00EA63B8" w:rsidRDefault="00EA63B8" w:rsidP="00EA63B8">
                      <w:pPr>
                        <w:rPr>
                          <w:rFonts w:ascii="Arial" w:hAnsi="Arial" w:cs="Arial"/>
                          <w:color w:val="9CC2E5" w:themeColor="accent1" w:themeTint="99"/>
                          <w:sz w:val="36"/>
                        </w:rPr>
                      </w:pPr>
                    </w:p>
                    <w:p w:rsidR="00EA63B8" w:rsidRDefault="00EA63B8" w:rsidP="00EA63B8">
                      <w:pPr>
                        <w:rPr>
                          <w:rFonts w:ascii="Arial" w:hAnsi="Arial" w:cs="Arial"/>
                          <w:color w:val="9CC2E5" w:themeColor="accent1" w:themeTint="99"/>
                          <w:sz w:val="36"/>
                        </w:rPr>
                      </w:pPr>
                    </w:p>
                    <w:p w:rsidR="00EA63B8" w:rsidRDefault="00EA63B8" w:rsidP="00EA63B8">
                      <w:pPr>
                        <w:rPr>
                          <w:rFonts w:ascii="Arial" w:hAnsi="Arial" w:cs="Arial"/>
                          <w:color w:val="9CC2E5" w:themeColor="accent1" w:themeTint="99"/>
                          <w:sz w:val="36"/>
                        </w:rPr>
                      </w:pPr>
                    </w:p>
                    <w:p w:rsidR="00EA63B8" w:rsidRDefault="00EA63B8" w:rsidP="00EA63B8">
                      <w:pPr>
                        <w:rPr>
                          <w:rFonts w:ascii="Arial" w:hAnsi="Arial" w:cs="Arial"/>
                          <w:color w:val="9CC2E5" w:themeColor="accent1" w:themeTint="99"/>
                          <w:sz w:val="36"/>
                        </w:rPr>
                      </w:pPr>
                    </w:p>
                    <w:p w:rsidR="00EA63B8" w:rsidRDefault="00EA63B8" w:rsidP="00EA63B8">
                      <w:pPr>
                        <w:rPr>
                          <w:rFonts w:ascii="Arial" w:hAnsi="Arial" w:cs="Arial"/>
                          <w:color w:val="9CC2E5" w:themeColor="accent1" w:themeTint="99"/>
                          <w:sz w:val="36"/>
                        </w:rPr>
                      </w:pPr>
                    </w:p>
                    <w:p w:rsidR="00EA63B8" w:rsidRDefault="00EA63B8" w:rsidP="00EA63B8">
                      <w:pPr>
                        <w:rPr>
                          <w:rFonts w:ascii="Arial" w:hAnsi="Arial" w:cs="Arial"/>
                          <w:color w:val="9CC2E5" w:themeColor="accent1" w:themeTint="99"/>
                          <w:sz w:val="36"/>
                        </w:rPr>
                      </w:pPr>
                    </w:p>
                    <w:p w:rsidR="00EA63B8" w:rsidRDefault="00EA63B8" w:rsidP="00EA63B8">
                      <w:pPr>
                        <w:rPr>
                          <w:rFonts w:ascii="Arial" w:hAnsi="Arial" w:cs="Arial"/>
                          <w:color w:val="9CC2E5" w:themeColor="accent1" w:themeTint="99"/>
                          <w:sz w:val="36"/>
                        </w:rPr>
                      </w:pPr>
                    </w:p>
                    <w:p w:rsidR="00EA63B8" w:rsidRPr="00D61135" w:rsidRDefault="00EA63B8" w:rsidP="00EA63B8">
                      <w:pPr>
                        <w:rPr>
                          <w:rFonts w:ascii="Arial" w:hAnsi="Arial" w:cs="Arial"/>
                          <w:color w:val="9CC2E5" w:themeColor="accent1" w:themeTint="99"/>
                          <w:sz w:val="36"/>
                        </w:rPr>
                      </w:pPr>
                      <w:r w:rsidRPr="00D61135">
                        <w:rPr>
                          <w:rFonts w:ascii="Arial" w:hAnsi="Arial" w:cs="Arial"/>
                          <w:color w:val="9CC2E5" w:themeColor="accent1" w:themeTint="99"/>
                          <w:sz w:val="36"/>
                        </w:rPr>
                        <w:t xml:space="preserve">DATOS PÉRSONALES PROTEGIDOS POR EL ARTÍCULO 116 DE LA LGTAIP Y ARTÍCULO 56 DE LA LTAIPEO </w:t>
                      </w:r>
                    </w:p>
                  </w:txbxContent>
                </v:textbox>
                <w10:wrap type="square"/>
              </v:shape>
            </w:pict>
          </mc:Fallback>
        </mc:AlternateContent>
      </w:r>
      <w:r w:rsidRPr="008856F5">
        <w:rPr>
          <w:rFonts w:ascii="Arial" w:hAnsi="Arial" w:cs="Arial"/>
          <w:i/>
          <w:sz w:val="20"/>
        </w:rPr>
        <w:t>tanto en estos casos, la nulidad del tipo excepcional que se preveía en el artículo 239, fracción III, y último párrafo del Código Fiscal de la Federación en su redacción vigente hasta el treinta y uno de diciembre de dos mil cinco, pues en estos supuestos no se puede obligar a la autoridad a actuar pero tampoco se le puede impedir que lo haga, por derivarse de vicios formales. En consecuencia, en los supuestos en que se notifica ilegalmente el inicio de las facultades de comprobación de las autoridades fiscales, esa actuación constituye un vicio de forma que se ubica en la fracción III del artículo 51 de la Ley Federal de Procedimiento Contencioso Administrativo, en cuanto se refiere a los vicios del procedimiento que afecten las defensas del particular y trasciendan al resultado del fallo, y si bien en los términos del artículo 52, fracción II, del mismo ordenamiento legal, esa violación conlleva a una declaratoria de nulidad lisa y llana, por acontecer desde el origen del ejercicio de una facultad discrecional, ese tipo de nulidad no encuentra sustento en cuestiones de fondo sino de forma, y por tanto, la nulidad en dichos supuestos no puede ser para el efecto de que se obligue a la autoridad tributaria a que ejerza una facultad que en los términos legales resulta de naturaleza discrecional, pero tampoco puede impedirse a las autoridades que actúen en el sentido que legalmente les competa, con la sola limitante de que las facultades de comprobación se ejerzan conforme al plazo de la caducidad que para aquéllas se prevé en el artículo 67 del Código Fiscal de la Federación</w:t>
      </w:r>
      <w:r w:rsidR="008856F5" w:rsidRPr="008856F5">
        <w:rPr>
          <w:rFonts w:ascii="Arial" w:hAnsi="Arial" w:cs="Arial"/>
          <w:i/>
          <w:sz w:val="20"/>
        </w:rPr>
        <w:t>”</w:t>
      </w:r>
      <w:r w:rsidRPr="008856F5">
        <w:rPr>
          <w:rFonts w:ascii="Arial" w:hAnsi="Arial" w:cs="Arial"/>
          <w:i/>
          <w:sz w:val="20"/>
        </w:rPr>
        <w:t>.</w:t>
      </w:r>
    </w:p>
    <w:p w:rsidR="0079375D" w:rsidRPr="00907C67" w:rsidRDefault="009E30AA" w:rsidP="00907C67">
      <w:pPr>
        <w:pStyle w:val="Encabezado"/>
        <w:spacing w:line="360" w:lineRule="auto"/>
        <w:rPr>
          <w:rFonts w:ascii="Arial" w:hAnsi="Arial" w:cs="Arial"/>
          <w:b/>
        </w:rPr>
      </w:pPr>
      <w:r>
        <w:rPr>
          <w:rFonts w:ascii="Arial" w:hAnsi="Arial" w:cs="Arial"/>
        </w:rPr>
        <w:t xml:space="preserve">Consecuentemente, se declara la Nulidad Lisa y Llana del oficio con número de control </w:t>
      </w:r>
      <w:r w:rsidR="00907C67">
        <w:rPr>
          <w:rFonts w:ascii="Arial" w:hAnsi="Arial" w:cs="Arial"/>
        </w:rPr>
        <w:t>**********</w:t>
      </w:r>
      <w:r>
        <w:rPr>
          <w:rFonts w:ascii="Arial" w:hAnsi="Arial" w:cs="Arial"/>
        </w:rPr>
        <w:t xml:space="preserve"> de fecha ocho de agosto del dos mil diecisiete, emitido por la Directora de Ingresos y Recaudación dependiente de la Subsecretaría de Ingresos de la Secretaría de Finanzas del Poder Ejecutivo del Estado de Oaxaca, donde se impone</w:t>
      </w:r>
      <w:r w:rsidR="00907C67">
        <w:rPr>
          <w:rFonts w:ascii="Arial" w:hAnsi="Arial" w:cs="Arial"/>
        </w:rPr>
        <w:t xml:space="preserve"> </w:t>
      </w:r>
      <w:r>
        <w:rPr>
          <w:rFonts w:ascii="Arial" w:hAnsi="Arial" w:cs="Arial"/>
        </w:rPr>
        <w:t xml:space="preserve">a </w:t>
      </w:r>
      <w:r w:rsidR="00907C67">
        <w:rPr>
          <w:rFonts w:ascii="Arial" w:hAnsi="Arial" w:cs="Arial"/>
        </w:rPr>
        <w:t xml:space="preserve"> </w:t>
      </w:r>
      <w:r w:rsidR="00907C67">
        <w:rPr>
          <w:rFonts w:ascii="Arial" w:hAnsi="Arial" w:cs="Arial"/>
          <w:b/>
        </w:rPr>
        <w:t>***** ***** ***** *****</w:t>
      </w:r>
      <w:r>
        <w:rPr>
          <w:rFonts w:ascii="Arial" w:hAnsi="Arial" w:cs="Arial"/>
        </w:rPr>
        <w:t>, una multa en cantidad de $3,775.00 (tres mil setecientos setenta y cinco pesos 00/100 m.n.) por haber infringido lo establecido en el artículo 2</w:t>
      </w:r>
      <w:r w:rsidR="00E7798B">
        <w:rPr>
          <w:rFonts w:ascii="Arial" w:hAnsi="Arial" w:cs="Arial"/>
        </w:rPr>
        <w:t>68</w:t>
      </w:r>
      <w:r>
        <w:rPr>
          <w:rFonts w:ascii="Arial" w:hAnsi="Arial" w:cs="Arial"/>
        </w:rPr>
        <w:t>fracción I del Código fiscal para el Estado de Oaxaca; ello de conformidad con los artículos 20</w:t>
      </w:r>
      <w:r w:rsidRPr="001F0AA4">
        <w:rPr>
          <w:rFonts w:ascii="Arial" w:hAnsi="Arial" w:cs="Arial"/>
        </w:rPr>
        <w:t xml:space="preserve">8 </w:t>
      </w:r>
      <w:r>
        <w:rPr>
          <w:rFonts w:ascii="Arial" w:hAnsi="Arial" w:cs="Arial"/>
        </w:rPr>
        <w:t>fracciones II y III, y 20</w:t>
      </w:r>
      <w:r w:rsidRPr="001F0AA4">
        <w:rPr>
          <w:rFonts w:ascii="Arial" w:hAnsi="Arial" w:cs="Arial"/>
        </w:rPr>
        <w:t xml:space="preserve">9 de Ley de </w:t>
      </w:r>
      <w:r>
        <w:rPr>
          <w:rFonts w:ascii="Arial" w:hAnsi="Arial" w:cs="Arial"/>
        </w:rPr>
        <w:t xml:space="preserve">Procedimiento y </w:t>
      </w:r>
      <w:r w:rsidRPr="001F0AA4">
        <w:rPr>
          <w:rFonts w:ascii="Arial" w:hAnsi="Arial" w:cs="Arial"/>
        </w:rPr>
        <w:t>Justicia Administrativa para el Estado de Oaxaca</w:t>
      </w:r>
      <w:r>
        <w:rPr>
          <w:rFonts w:ascii="Arial" w:hAnsi="Arial" w:cs="Arial"/>
        </w:rPr>
        <w:t>.</w:t>
      </w:r>
      <w:r w:rsidR="008856F5">
        <w:rPr>
          <w:rFonts w:ascii="Arial" w:hAnsi="Arial" w:cs="Arial"/>
        </w:rPr>
        <w:t xml:space="preserve"> - - - - - - - - - - - - - - - - - - - - - - - - - - - - - - - - - - - - - - - - - - - - - - </w:t>
      </w:r>
    </w:p>
    <w:p w:rsidR="0079375D" w:rsidRPr="008856F5" w:rsidRDefault="00E74A70" w:rsidP="008856F5">
      <w:pPr>
        <w:spacing w:line="360" w:lineRule="auto"/>
        <w:ind w:firstLine="567"/>
        <w:jc w:val="both"/>
        <w:rPr>
          <w:rFonts w:ascii="Arial" w:hAnsi="Arial" w:cs="Arial"/>
        </w:rPr>
      </w:pPr>
      <w:r>
        <w:rPr>
          <w:rFonts w:ascii="Arial" w:hAnsi="Arial" w:cs="Arial"/>
        </w:rPr>
        <w:t xml:space="preserve">En otro orden de ideas, con base en el principio jurídico de mayor beneficio, resulta ocioso el estudio del resto de los conceptos de impugnación esgrimidos por la parte actora, máxime que al determinarse la procedencia de uno de naturaleza procedimental, </w:t>
      </w:r>
      <w:r w:rsidR="000D0F86">
        <w:rPr>
          <w:rFonts w:ascii="Arial" w:hAnsi="Arial" w:cs="Arial"/>
        </w:rPr>
        <w:t>es innecesario</w:t>
      </w:r>
      <w:r>
        <w:rPr>
          <w:rFonts w:ascii="Arial" w:hAnsi="Arial" w:cs="Arial"/>
        </w:rPr>
        <w:t xml:space="preserve"> el estudio de las subsecuentes actuaciones; ello de conformidad con la técnica jurídica dimanada del Segundo Tribunal Colegiado en Materia Administrativa del Sexto Circuito, mediante Jurisprudencia </w:t>
      </w:r>
      <w:r w:rsidRPr="00F50BB4">
        <w:rPr>
          <w:rFonts w:ascii="Arial" w:hAnsi="Arial" w:cs="Arial"/>
        </w:rPr>
        <w:t>VI.2o.A. J/2</w:t>
      </w:r>
      <w:r>
        <w:rPr>
          <w:rFonts w:ascii="Arial" w:hAnsi="Arial" w:cs="Arial"/>
        </w:rPr>
        <w:t xml:space="preserve">, publicada en el Semanario Judicial de la Federación, </w:t>
      </w:r>
      <w:r w:rsidRPr="00F50BB4">
        <w:rPr>
          <w:rFonts w:ascii="Arial" w:hAnsi="Arial" w:cs="Arial"/>
        </w:rPr>
        <w:t>Tomo XV, Mayo de 2002</w:t>
      </w:r>
      <w:r>
        <w:rPr>
          <w:rFonts w:ascii="Arial" w:hAnsi="Arial" w:cs="Arial"/>
        </w:rPr>
        <w:t xml:space="preserve">, visible a página 928, Novena Época, de rubro y texto siguientes: </w:t>
      </w:r>
    </w:p>
    <w:p w:rsidR="00E74A70" w:rsidRPr="008856F5" w:rsidRDefault="008856F5" w:rsidP="00E74A70">
      <w:pPr>
        <w:spacing w:line="276" w:lineRule="auto"/>
        <w:ind w:left="567" w:right="616"/>
        <w:jc w:val="both"/>
        <w:rPr>
          <w:rFonts w:ascii="Arial" w:hAnsi="Arial" w:cs="Arial"/>
          <w:b/>
          <w:i/>
          <w:sz w:val="20"/>
        </w:rPr>
      </w:pPr>
      <w:r w:rsidRPr="008856F5">
        <w:rPr>
          <w:rFonts w:ascii="Arial" w:hAnsi="Arial" w:cs="Arial"/>
          <w:b/>
          <w:i/>
          <w:sz w:val="20"/>
        </w:rPr>
        <w:t>“</w:t>
      </w:r>
      <w:r w:rsidR="00E74A70" w:rsidRPr="008856F5">
        <w:rPr>
          <w:rFonts w:ascii="Arial" w:hAnsi="Arial" w:cs="Arial"/>
          <w:b/>
          <w:i/>
          <w:sz w:val="20"/>
        </w:rPr>
        <w:t>CONCEPTOS DE IMPUGNACIÓN. CUANDO RESULTA FUNDADO ALGUNO DE NATURALEZA PROCEDIMENTAL, ES INNECESARIO EL ESTUDIO DE LOS RESTANTES.</w:t>
      </w:r>
    </w:p>
    <w:p w:rsidR="00E74A70" w:rsidRDefault="00E74A70" w:rsidP="008856F5">
      <w:pPr>
        <w:spacing w:line="276" w:lineRule="auto"/>
        <w:ind w:left="567" w:right="616"/>
        <w:jc w:val="both"/>
        <w:rPr>
          <w:rFonts w:ascii="Arial" w:hAnsi="Arial" w:cs="Arial"/>
          <w:i/>
          <w:sz w:val="20"/>
        </w:rPr>
      </w:pPr>
      <w:r w:rsidRPr="008856F5">
        <w:rPr>
          <w:rFonts w:ascii="Arial" w:hAnsi="Arial" w:cs="Arial"/>
          <w:i/>
          <w:sz w:val="20"/>
        </w:rPr>
        <w:t xml:space="preserve">El artículo 237 del Código Fiscal de la Federación establece la obligación por parte de las Salas del Tribunal Federal de Justicia Fiscal y Administrativa, de estudiar en primer término aquellas causales de ilegalidad que den lugar a declarar la nulidad lisa y llana del acto impugnado, y en caso de que ninguna produzca ese resultado, proceder al análisis de aquellos conceptos de nulidad relacionados con la omisión de requisitos formales exigidos por las leyes, y de los vicios del procedimiento que afecten las defensas del promovente. No obstante lo anterior, el examen de todos los puntos controvertidos no debe entenderse en el sentido de que aun cuando resulte fundado </w:t>
      </w:r>
      <w:r w:rsidR="00C87479">
        <w:rPr>
          <w:noProof/>
          <w:lang w:eastAsia="es-MX"/>
        </w:rPr>
        <w:lastRenderedPageBreak/>
        <mc:AlternateContent>
          <mc:Choice Requires="wps">
            <w:drawing>
              <wp:anchor distT="45720" distB="45720" distL="114300" distR="114300" simplePos="0" relativeHeight="251749888" behindDoc="0" locked="0" layoutInCell="1" allowOverlap="1" wp14:anchorId="3039299A" wp14:editId="1BFDBC9C">
                <wp:simplePos x="0" y="0"/>
                <wp:positionH relativeFrom="column">
                  <wp:posOffset>-912184</wp:posOffset>
                </wp:positionH>
                <wp:positionV relativeFrom="paragraph">
                  <wp:posOffset>231387</wp:posOffset>
                </wp:positionV>
                <wp:extent cx="1743075" cy="8907780"/>
                <wp:effectExtent l="0" t="0" r="28575" b="26670"/>
                <wp:wrapSquare wrapText="bothSides"/>
                <wp:docPr id="11"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43075" cy="8907780"/>
                        </a:xfrm>
                        <a:prstGeom prst="rect">
                          <a:avLst/>
                        </a:prstGeom>
                        <a:solidFill>
                          <a:srgbClr val="FFFFFF"/>
                        </a:solidFill>
                        <a:ln w="9525">
                          <a:solidFill>
                            <a:schemeClr val="bg1"/>
                          </a:solidFill>
                          <a:miter lim="800000"/>
                          <a:headEnd/>
                          <a:tailEnd/>
                        </a:ln>
                      </wps:spPr>
                      <wps:txbx>
                        <w:txbxContent>
                          <w:p w:rsidR="008A6F98" w:rsidRDefault="008A6F98" w:rsidP="008A6F98">
                            <w:pPr>
                              <w:rPr>
                                <w:rFonts w:ascii="Arial" w:hAnsi="Arial" w:cs="Arial"/>
                                <w:color w:val="9CC2E5" w:themeColor="accent1" w:themeTint="99"/>
                                <w:sz w:val="36"/>
                              </w:rPr>
                            </w:pPr>
                          </w:p>
                          <w:p w:rsidR="008A6F98" w:rsidRDefault="008A6F98" w:rsidP="008A6F98">
                            <w:pPr>
                              <w:rPr>
                                <w:rFonts w:ascii="Arial" w:hAnsi="Arial" w:cs="Arial"/>
                                <w:color w:val="9CC2E5" w:themeColor="accent1" w:themeTint="99"/>
                                <w:sz w:val="36"/>
                              </w:rPr>
                            </w:pPr>
                          </w:p>
                          <w:p w:rsidR="008A6F98" w:rsidRDefault="008A6F98" w:rsidP="008A6F98">
                            <w:pPr>
                              <w:rPr>
                                <w:rFonts w:ascii="Arial" w:hAnsi="Arial" w:cs="Arial"/>
                                <w:color w:val="9CC2E5" w:themeColor="accent1" w:themeTint="99"/>
                                <w:sz w:val="36"/>
                              </w:rPr>
                            </w:pPr>
                          </w:p>
                          <w:p w:rsidR="008A6F98" w:rsidRDefault="008A6F98" w:rsidP="008A6F98">
                            <w:pPr>
                              <w:rPr>
                                <w:rFonts w:ascii="Arial" w:hAnsi="Arial" w:cs="Arial"/>
                                <w:color w:val="9CC2E5" w:themeColor="accent1" w:themeTint="99"/>
                                <w:sz w:val="36"/>
                              </w:rPr>
                            </w:pPr>
                          </w:p>
                          <w:p w:rsidR="008A6F98" w:rsidRDefault="008A6F98" w:rsidP="008A6F98">
                            <w:pPr>
                              <w:rPr>
                                <w:rFonts w:ascii="Arial" w:hAnsi="Arial" w:cs="Arial"/>
                                <w:color w:val="9CC2E5" w:themeColor="accent1" w:themeTint="99"/>
                                <w:sz w:val="36"/>
                              </w:rPr>
                            </w:pPr>
                          </w:p>
                          <w:p w:rsidR="008A6F98" w:rsidRDefault="008A6F98" w:rsidP="008A6F98">
                            <w:pPr>
                              <w:rPr>
                                <w:rFonts w:ascii="Arial" w:hAnsi="Arial" w:cs="Arial"/>
                                <w:color w:val="9CC2E5" w:themeColor="accent1" w:themeTint="99"/>
                                <w:sz w:val="36"/>
                              </w:rPr>
                            </w:pPr>
                          </w:p>
                          <w:p w:rsidR="008A6F98" w:rsidRDefault="008A6F98" w:rsidP="008A6F98">
                            <w:pPr>
                              <w:rPr>
                                <w:rFonts w:ascii="Arial" w:hAnsi="Arial" w:cs="Arial"/>
                                <w:color w:val="9CC2E5" w:themeColor="accent1" w:themeTint="99"/>
                                <w:sz w:val="36"/>
                              </w:rPr>
                            </w:pPr>
                          </w:p>
                          <w:p w:rsidR="008A6F98" w:rsidRDefault="008A6F98" w:rsidP="008A6F98">
                            <w:pPr>
                              <w:rPr>
                                <w:rFonts w:ascii="Arial" w:hAnsi="Arial" w:cs="Arial"/>
                                <w:color w:val="9CC2E5" w:themeColor="accent1" w:themeTint="99"/>
                                <w:sz w:val="36"/>
                              </w:rPr>
                            </w:pPr>
                          </w:p>
                          <w:p w:rsidR="008A6F98" w:rsidRPr="00C87479" w:rsidRDefault="008A6F98" w:rsidP="008A6F98">
                            <w:pPr>
                              <w:rPr>
                                <w:rFonts w:ascii="Arial" w:hAnsi="Arial" w:cs="Arial"/>
                                <w:color w:val="9CC2E5" w:themeColor="accent1" w:themeTint="99"/>
                                <w:sz w:val="32"/>
                              </w:rPr>
                            </w:pPr>
                            <w:r w:rsidRPr="00C87479">
                              <w:rPr>
                                <w:rFonts w:ascii="Arial" w:hAnsi="Arial" w:cs="Arial"/>
                                <w:color w:val="9CC2E5" w:themeColor="accent1" w:themeTint="99"/>
                                <w:sz w:val="32"/>
                              </w:rPr>
                              <w:t xml:space="preserve">DATOS PÉRSONALES PROTEGIDOS POR EL ARTÍCULO 116 DE LA LGTAIP Y ARTÍCULO 56 DE LA LTAIPEO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039299A" id="_x0000_s1035" type="#_x0000_t202" style="position:absolute;left:0;text-align:left;margin-left:-71.85pt;margin-top:18.2pt;width:137.25pt;height:701.4pt;z-index:25174988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" strokecolor="white [3212]">
                <v:textbox>
                  <w:txbxContent>
                    <w:p w:rsidR="008A6F98" w:rsidRDefault="008A6F98" w:rsidP="008A6F98">
                      <w:pPr>
                        <w:rPr>
                          <w:rFonts w:ascii="Arial" w:hAnsi="Arial" w:cs="Arial"/>
                          <w:color w:val="9CC2E5" w:themeColor="accent1" w:themeTint="99"/>
                          <w:sz w:val="36"/>
                        </w:rPr>
                      </w:pPr>
                    </w:p>
                    <w:p w:rsidR="008A6F98" w:rsidRDefault="008A6F98" w:rsidP="008A6F98">
                      <w:pPr>
                        <w:rPr>
                          <w:rFonts w:ascii="Arial" w:hAnsi="Arial" w:cs="Arial"/>
                          <w:color w:val="9CC2E5" w:themeColor="accent1" w:themeTint="99"/>
                          <w:sz w:val="36"/>
                        </w:rPr>
                      </w:pPr>
                    </w:p>
                    <w:p w:rsidR="008A6F98" w:rsidRDefault="008A6F98" w:rsidP="008A6F98">
                      <w:pPr>
                        <w:rPr>
                          <w:rFonts w:ascii="Arial" w:hAnsi="Arial" w:cs="Arial"/>
                          <w:color w:val="9CC2E5" w:themeColor="accent1" w:themeTint="99"/>
                          <w:sz w:val="36"/>
                        </w:rPr>
                      </w:pPr>
                    </w:p>
                    <w:p w:rsidR="008A6F98" w:rsidRDefault="008A6F98" w:rsidP="008A6F98">
                      <w:pPr>
                        <w:rPr>
                          <w:rFonts w:ascii="Arial" w:hAnsi="Arial" w:cs="Arial"/>
                          <w:color w:val="9CC2E5" w:themeColor="accent1" w:themeTint="99"/>
                          <w:sz w:val="36"/>
                        </w:rPr>
                      </w:pPr>
                    </w:p>
                    <w:p w:rsidR="008A6F98" w:rsidRDefault="008A6F98" w:rsidP="008A6F98">
                      <w:pPr>
                        <w:rPr>
                          <w:rFonts w:ascii="Arial" w:hAnsi="Arial" w:cs="Arial"/>
                          <w:color w:val="9CC2E5" w:themeColor="accent1" w:themeTint="99"/>
                          <w:sz w:val="36"/>
                        </w:rPr>
                      </w:pPr>
                    </w:p>
                    <w:p w:rsidR="008A6F98" w:rsidRDefault="008A6F98" w:rsidP="008A6F98">
                      <w:pPr>
                        <w:rPr>
                          <w:rFonts w:ascii="Arial" w:hAnsi="Arial" w:cs="Arial"/>
                          <w:color w:val="9CC2E5" w:themeColor="accent1" w:themeTint="99"/>
                          <w:sz w:val="36"/>
                        </w:rPr>
                      </w:pPr>
                    </w:p>
                    <w:p w:rsidR="008A6F98" w:rsidRDefault="008A6F98" w:rsidP="008A6F98">
                      <w:pPr>
                        <w:rPr>
                          <w:rFonts w:ascii="Arial" w:hAnsi="Arial" w:cs="Arial"/>
                          <w:color w:val="9CC2E5" w:themeColor="accent1" w:themeTint="99"/>
                          <w:sz w:val="36"/>
                        </w:rPr>
                      </w:pPr>
                    </w:p>
                    <w:p w:rsidR="008A6F98" w:rsidRDefault="008A6F98" w:rsidP="008A6F98">
                      <w:pPr>
                        <w:rPr>
                          <w:rFonts w:ascii="Arial" w:hAnsi="Arial" w:cs="Arial"/>
                          <w:color w:val="9CC2E5" w:themeColor="accent1" w:themeTint="99"/>
                          <w:sz w:val="36"/>
                        </w:rPr>
                      </w:pPr>
                    </w:p>
                    <w:p w:rsidR="008A6F98" w:rsidRPr="00C87479" w:rsidRDefault="008A6F98" w:rsidP="008A6F98">
                      <w:pPr>
                        <w:rPr>
                          <w:rFonts w:ascii="Arial" w:hAnsi="Arial" w:cs="Arial"/>
                          <w:color w:val="9CC2E5" w:themeColor="accent1" w:themeTint="99"/>
                          <w:sz w:val="32"/>
                        </w:rPr>
                      </w:pPr>
                      <w:r w:rsidRPr="00C87479">
                        <w:rPr>
                          <w:rFonts w:ascii="Arial" w:hAnsi="Arial" w:cs="Arial"/>
                          <w:color w:val="9CC2E5" w:themeColor="accent1" w:themeTint="99"/>
                          <w:sz w:val="32"/>
                        </w:rPr>
                        <w:t xml:space="preserve">DATOS PÉRSONALES PROTEGIDOS POR EL ARTÍCULO 116 DE LA LGTAIP Y ARTÍCULO 56 DE LA LTAIPEO </w:t>
                      </w:r>
                    </w:p>
                  </w:txbxContent>
                </v:textbox>
                <w10:wrap type="square"/>
              </v:shape>
            </w:pict>
          </mc:Fallback>
        </mc:AlternateContent>
      </w:r>
      <w:r w:rsidRPr="008856F5">
        <w:rPr>
          <w:rFonts w:ascii="Arial" w:hAnsi="Arial" w:cs="Arial"/>
          <w:i/>
          <w:sz w:val="20"/>
        </w:rPr>
        <w:t>un motivo de anulación de naturaleza procedimental, dichos órganos deban pronunciarse respecto de los restantes argumentos, puesto que ello resultaría innecesario si atañen a los actos realizados posteriormente a esa violación, ya que, en todo caso, al subsanarse tales irregularidades por la autoridad, es posible que ésta cambie el sentido de su determinación</w:t>
      </w:r>
      <w:r w:rsidR="008856F5" w:rsidRPr="008856F5">
        <w:rPr>
          <w:rFonts w:ascii="Arial" w:hAnsi="Arial" w:cs="Arial"/>
          <w:i/>
          <w:sz w:val="20"/>
        </w:rPr>
        <w:t>”</w:t>
      </w:r>
      <w:r w:rsidRPr="008856F5">
        <w:rPr>
          <w:rFonts w:ascii="Arial" w:hAnsi="Arial" w:cs="Arial"/>
          <w:i/>
          <w:sz w:val="20"/>
        </w:rPr>
        <w:t>.</w:t>
      </w:r>
    </w:p>
    <w:p w:rsidR="008856F5" w:rsidRPr="008856F5" w:rsidRDefault="008856F5" w:rsidP="008856F5">
      <w:pPr>
        <w:spacing w:line="276" w:lineRule="auto"/>
        <w:ind w:left="567" w:right="616"/>
        <w:jc w:val="both"/>
        <w:rPr>
          <w:rFonts w:ascii="Arial" w:hAnsi="Arial" w:cs="Arial"/>
          <w:i/>
          <w:sz w:val="20"/>
        </w:rPr>
      </w:pPr>
    </w:p>
    <w:p w:rsidR="00E74A70" w:rsidRPr="001F0AA4" w:rsidRDefault="00E74A70" w:rsidP="008856F5">
      <w:pPr>
        <w:spacing w:after="0" w:line="360" w:lineRule="auto"/>
        <w:ind w:right="49" w:firstLine="567"/>
        <w:jc w:val="both"/>
        <w:rPr>
          <w:rFonts w:ascii="Arial" w:hAnsi="Arial" w:cs="Arial"/>
        </w:rPr>
      </w:pPr>
      <w:r w:rsidRPr="001F0AA4">
        <w:rPr>
          <w:rFonts w:ascii="Arial" w:hAnsi="Arial" w:cs="Arial"/>
        </w:rPr>
        <w:t>Por lo expuesto y co</w:t>
      </w:r>
      <w:r>
        <w:rPr>
          <w:rFonts w:ascii="Arial" w:hAnsi="Arial" w:cs="Arial"/>
        </w:rPr>
        <w:t>n fundamento en los artículos 207, 20</w:t>
      </w:r>
      <w:r w:rsidRPr="001F0AA4">
        <w:rPr>
          <w:rFonts w:ascii="Arial" w:hAnsi="Arial" w:cs="Arial"/>
        </w:rPr>
        <w:t xml:space="preserve">8 </w:t>
      </w:r>
      <w:r>
        <w:rPr>
          <w:rFonts w:ascii="Arial" w:hAnsi="Arial" w:cs="Arial"/>
        </w:rPr>
        <w:t>fracciones II y III, y 20</w:t>
      </w:r>
      <w:r w:rsidRPr="001F0AA4">
        <w:rPr>
          <w:rFonts w:ascii="Arial" w:hAnsi="Arial" w:cs="Arial"/>
        </w:rPr>
        <w:t xml:space="preserve">9 de Ley de </w:t>
      </w:r>
      <w:r>
        <w:rPr>
          <w:rFonts w:ascii="Arial" w:hAnsi="Arial" w:cs="Arial"/>
        </w:rPr>
        <w:t xml:space="preserve">Procedimiento y </w:t>
      </w:r>
      <w:r w:rsidRPr="001F0AA4">
        <w:rPr>
          <w:rFonts w:ascii="Arial" w:hAnsi="Arial" w:cs="Arial"/>
        </w:rPr>
        <w:t>Justicia Administrativa para el Estado de Oaxaca, se;</w:t>
      </w:r>
      <w:r w:rsidR="002C0807">
        <w:rPr>
          <w:rFonts w:ascii="Arial" w:hAnsi="Arial" w:cs="Arial"/>
        </w:rPr>
        <w:t xml:space="preserve"> - - - - - - </w:t>
      </w:r>
      <w:r w:rsidRPr="001F0AA4">
        <w:rPr>
          <w:rFonts w:ascii="Arial" w:hAnsi="Arial" w:cs="Arial"/>
        </w:rPr>
        <w:t xml:space="preserve"> </w:t>
      </w:r>
    </w:p>
    <w:p w:rsidR="00E74A70" w:rsidRPr="001F0AA4" w:rsidRDefault="00E74A70" w:rsidP="00E74A70">
      <w:pPr>
        <w:spacing w:after="0" w:line="360" w:lineRule="auto"/>
        <w:ind w:right="49"/>
        <w:rPr>
          <w:rFonts w:ascii="Arial" w:hAnsi="Arial" w:cs="Arial"/>
          <w:b/>
        </w:rPr>
      </w:pPr>
    </w:p>
    <w:p w:rsidR="00E74A70" w:rsidRPr="001F0AA4" w:rsidRDefault="00E74A70" w:rsidP="00E74A70">
      <w:pPr>
        <w:spacing w:after="0" w:line="360" w:lineRule="auto"/>
        <w:ind w:right="49" w:firstLine="708"/>
        <w:jc w:val="center"/>
        <w:rPr>
          <w:rFonts w:ascii="Arial" w:hAnsi="Arial" w:cs="Arial"/>
          <w:b/>
        </w:rPr>
      </w:pPr>
      <w:r w:rsidRPr="001F0AA4">
        <w:rPr>
          <w:rFonts w:ascii="Arial" w:hAnsi="Arial" w:cs="Arial"/>
          <w:b/>
        </w:rPr>
        <w:t>R E S U E L V E:</w:t>
      </w:r>
    </w:p>
    <w:p w:rsidR="00E74A70" w:rsidRPr="001F0AA4" w:rsidRDefault="00E74A70" w:rsidP="00E74A70">
      <w:pPr>
        <w:spacing w:after="0" w:line="360" w:lineRule="auto"/>
        <w:ind w:right="49" w:firstLine="708"/>
        <w:rPr>
          <w:rFonts w:ascii="Arial" w:hAnsi="Arial" w:cs="Arial"/>
          <w:b/>
        </w:rPr>
      </w:pPr>
    </w:p>
    <w:p w:rsidR="00E74A70" w:rsidRPr="001F0AA4" w:rsidRDefault="00E74A70" w:rsidP="002C0807">
      <w:pPr>
        <w:spacing w:after="0" w:line="360" w:lineRule="auto"/>
        <w:ind w:right="49" w:firstLine="567"/>
        <w:jc w:val="both"/>
        <w:rPr>
          <w:rFonts w:ascii="Arial" w:hAnsi="Arial" w:cs="Arial"/>
        </w:rPr>
      </w:pPr>
      <w:r w:rsidRPr="001F0AA4">
        <w:rPr>
          <w:rFonts w:ascii="Arial" w:hAnsi="Arial" w:cs="Arial"/>
          <w:b/>
        </w:rPr>
        <w:t>PRIMERO.</w:t>
      </w:r>
      <w:r>
        <w:rPr>
          <w:rFonts w:ascii="Arial" w:hAnsi="Arial" w:cs="Arial"/>
          <w:b/>
        </w:rPr>
        <w:t>-</w:t>
      </w:r>
      <w:r w:rsidRPr="001F0AA4">
        <w:rPr>
          <w:rFonts w:ascii="Arial" w:hAnsi="Arial" w:cs="Arial"/>
        </w:rPr>
        <w:t xml:space="preserve"> Esta </w:t>
      </w:r>
      <w:r w:rsidR="000D0F86">
        <w:rPr>
          <w:rFonts w:ascii="Arial" w:hAnsi="Arial" w:cs="Arial"/>
        </w:rPr>
        <w:t>Sexta</w:t>
      </w:r>
      <w:r w:rsidRPr="001F0AA4">
        <w:rPr>
          <w:rFonts w:ascii="Arial" w:hAnsi="Arial" w:cs="Arial"/>
        </w:rPr>
        <w:t xml:space="preserve"> Sala Unitaria fue competente para conocer y resolver del presente asunto. </w:t>
      </w:r>
      <w:r w:rsidR="008B10B7">
        <w:rPr>
          <w:rFonts w:ascii="Arial" w:hAnsi="Arial" w:cs="Arial"/>
        </w:rPr>
        <w:t xml:space="preserve">- - - - - - - - - - - - - - - - - - - - - - - - - - - - - - - - - - - - - - - - - - - - - - - - - - - - - </w:t>
      </w:r>
    </w:p>
    <w:p w:rsidR="00E74A70" w:rsidRPr="001F0AA4" w:rsidRDefault="00E74A70" w:rsidP="00E74A70">
      <w:pPr>
        <w:spacing w:after="0" w:line="360" w:lineRule="auto"/>
        <w:ind w:right="49"/>
        <w:jc w:val="both"/>
        <w:rPr>
          <w:rFonts w:ascii="Arial" w:hAnsi="Arial" w:cs="Arial"/>
        </w:rPr>
      </w:pPr>
    </w:p>
    <w:p w:rsidR="00E74A70" w:rsidRDefault="00E74A70" w:rsidP="002C0807">
      <w:pPr>
        <w:spacing w:after="0" w:line="360" w:lineRule="auto"/>
        <w:ind w:right="49" w:firstLine="567"/>
        <w:jc w:val="both"/>
        <w:rPr>
          <w:rFonts w:ascii="Arial" w:hAnsi="Arial" w:cs="Arial"/>
        </w:rPr>
      </w:pPr>
      <w:r w:rsidRPr="001F0AA4">
        <w:rPr>
          <w:rFonts w:ascii="Arial" w:hAnsi="Arial" w:cs="Arial"/>
          <w:b/>
        </w:rPr>
        <w:t>SEGUNDO.</w:t>
      </w:r>
      <w:r>
        <w:rPr>
          <w:rFonts w:ascii="Arial" w:hAnsi="Arial" w:cs="Arial"/>
          <w:b/>
        </w:rPr>
        <w:t>-</w:t>
      </w:r>
      <w:r w:rsidRPr="001F0AA4">
        <w:rPr>
          <w:rFonts w:ascii="Arial" w:hAnsi="Arial" w:cs="Arial"/>
        </w:rPr>
        <w:t xml:space="preserve"> La personalidad </w:t>
      </w:r>
      <w:r>
        <w:rPr>
          <w:rFonts w:ascii="Arial" w:hAnsi="Arial" w:cs="Arial"/>
        </w:rPr>
        <w:t xml:space="preserve">y personería </w:t>
      </w:r>
      <w:r w:rsidRPr="001F0AA4">
        <w:rPr>
          <w:rFonts w:ascii="Arial" w:hAnsi="Arial" w:cs="Arial"/>
        </w:rPr>
        <w:t>de las partes quedó acreditada en autos</w:t>
      </w:r>
      <w:r>
        <w:rPr>
          <w:rFonts w:ascii="Arial" w:hAnsi="Arial" w:cs="Arial"/>
        </w:rPr>
        <w:t>.</w:t>
      </w:r>
      <w:r w:rsidR="008B10B7">
        <w:rPr>
          <w:rFonts w:ascii="Arial" w:hAnsi="Arial" w:cs="Arial"/>
        </w:rPr>
        <w:t xml:space="preserve"> </w:t>
      </w:r>
    </w:p>
    <w:p w:rsidR="00E74A70" w:rsidRDefault="00E74A70" w:rsidP="00E74A70">
      <w:pPr>
        <w:spacing w:after="0" w:line="360" w:lineRule="auto"/>
        <w:ind w:right="49" w:firstLine="708"/>
        <w:jc w:val="both"/>
        <w:rPr>
          <w:rFonts w:ascii="Arial" w:hAnsi="Arial" w:cs="Arial"/>
          <w:b/>
        </w:rPr>
      </w:pPr>
    </w:p>
    <w:p w:rsidR="00E74A70" w:rsidRPr="001F0AA4" w:rsidRDefault="00E74A70" w:rsidP="002C0807">
      <w:pPr>
        <w:spacing w:after="0" w:line="360" w:lineRule="auto"/>
        <w:ind w:right="49" w:firstLine="567"/>
        <w:jc w:val="both"/>
        <w:rPr>
          <w:rFonts w:ascii="Arial" w:hAnsi="Arial" w:cs="Arial"/>
        </w:rPr>
      </w:pPr>
      <w:r w:rsidRPr="002D1A73">
        <w:rPr>
          <w:rFonts w:ascii="Arial" w:hAnsi="Arial" w:cs="Arial"/>
          <w:b/>
        </w:rPr>
        <w:t>TERCERO.-</w:t>
      </w:r>
      <w:r>
        <w:rPr>
          <w:rFonts w:ascii="Arial" w:hAnsi="Arial" w:cs="Arial"/>
        </w:rPr>
        <w:t xml:space="preserve"> </w:t>
      </w:r>
      <w:r w:rsidRPr="001F0AA4">
        <w:rPr>
          <w:rFonts w:ascii="Arial" w:hAnsi="Arial" w:cs="Arial"/>
        </w:rPr>
        <w:t xml:space="preserve">No se actualizaron causales de improcedencia y sobreseimiento hechas valer por la autoridad demandada. </w:t>
      </w:r>
      <w:r w:rsidR="008B10B7">
        <w:rPr>
          <w:rFonts w:ascii="Arial" w:hAnsi="Arial" w:cs="Arial"/>
        </w:rPr>
        <w:t xml:space="preserve">- - - - - - - - - - - - - - - - - - - - - - - - - - - - - - - - - - </w:t>
      </w:r>
    </w:p>
    <w:p w:rsidR="00E74A70" w:rsidRPr="001F0AA4" w:rsidRDefault="00E74A70" w:rsidP="00E74A70">
      <w:pPr>
        <w:spacing w:after="0" w:line="360" w:lineRule="auto"/>
        <w:ind w:right="49" w:firstLine="708"/>
        <w:jc w:val="both"/>
        <w:rPr>
          <w:rFonts w:ascii="Arial" w:hAnsi="Arial" w:cs="Arial"/>
        </w:rPr>
      </w:pPr>
    </w:p>
    <w:p w:rsidR="00E74A70" w:rsidRDefault="00E74A70" w:rsidP="002C0807">
      <w:pPr>
        <w:spacing w:after="0" w:line="360" w:lineRule="auto"/>
        <w:ind w:right="49" w:firstLine="567"/>
        <w:jc w:val="both"/>
        <w:rPr>
          <w:rFonts w:ascii="Arial" w:hAnsi="Arial" w:cs="Arial"/>
        </w:rPr>
      </w:pPr>
      <w:r w:rsidRPr="001F0AA4">
        <w:rPr>
          <w:rFonts w:ascii="Arial" w:hAnsi="Arial" w:cs="Arial"/>
          <w:b/>
        </w:rPr>
        <w:t>CUARTO.</w:t>
      </w:r>
      <w:r>
        <w:rPr>
          <w:rFonts w:ascii="Arial" w:hAnsi="Arial" w:cs="Arial"/>
          <w:b/>
        </w:rPr>
        <w:t>-</w:t>
      </w:r>
      <w:r w:rsidRPr="001F0AA4">
        <w:rPr>
          <w:rFonts w:ascii="Arial" w:hAnsi="Arial" w:cs="Arial"/>
          <w:b/>
        </w:rPr>
        <w:t xml:space="preserve"> </w:t>
      </w:r>
      <w:r w:rsidRPr="001F0AA4">
        <w:rPr>
          <w:rFonts w:ascii="Arial" w:hAnsi="Arial" w:cs="Arial"/>
        </w:rPr>
        <w:t>Se declara</w:t>
      </w:r>
      <w:r w:rsidR="000D0F86">
        <w:rPr>
          <w:rFonts w:ascii="Arial" w:hAnsi="Arial" w:cs="Arial"/>
        </w:rPr>
        <w:t xml:space="preserve"> </w:t>
      </w:r>
      <w:r w:rsidRPr="001F0AA4">
        <w:rPr>
          <w:rFonts w:ascii="Arial" w:hAnsi="Arial" w:cs="Arial"/>
        </w:rPr>
        <w:t xml:space="preserve">la </w:t>
      </w:r>
      <w:r w:rsidRPr="001F0AA4">
        <w:rPr>
          <w:rFonts w:ascii="Arial" w:hAnsi="Arial" w:cs="Arial"/>
          <w:b/>
        </w:rPr>
        <w:t>NULIDAD</w:t>
      </w:r>
      <w:r w:rsidR="000D0F86">
        <w:rPr>
          <w:rFonts w:ascii="Arial" w:hAnsi="Arial" w:cs="Arial"/>
          <w:b/>
        </w:rPr>
        <w:t xml:space="preserve"> LISA Y LLANA</w:t>
      </w:r>
      <w:r w:rsidRPr="001F0AA4">
        <w:rPr>
          <w:rFonts w:ascii="Arial" w:hAnsi="Arial" w:cs="Arial"/>
        </w:rPr>
        <w:t xml:space="preserve"> </w:t>
      </w:r>
      <w:r>
        <w:rPr>
          <w:rFonts w:ascii="Arial" w:hAnsi="Arial" w:cs="Arial"/>
        </w:rPr>
        <w:t xml:space="preserve">del oficio con número de control </w:t>
      </w:r>
      <w:r w:rsidR="00907C67">
        <w:rPr>
          <w:rFonts w:ascii="Arial" w:hAnsi="Arial" w:cs="Arial"/>
        </w:rPr>
        <w:t>**********</w:t>
      </w:r>
      <w:r w:rsidR="00013A4D">
        <w:rPr>
          <w:rFonts w:ascii="Arial" w:hAnsi="Arial" w:cs="Arial"/>
        </w:rPr>
        <w:t xml:space="preserve"> </w:t>
      </w:r>
      <w:r>
        <w:rPr>
          <w:rFonts w:ascii="Arial" w:hAnsi="Arial" w:cs="Arial"/>
        </w:rPr>
        <w:t>de fecha ocho de agosto del dos mil diecisiete, emitido por la Directora de Ingresos y Recaudación dependiente de la Subsecretaría de Ingresos de la Secretaría de Finanzas del Poder Ejecutivo del Estado de Oaxaca</w:t>
      </w:r>
      <w:r w:rsidR="000D0F86">
        <w:rPr>
          <w:rFonts w:ascii="Arial" w:hAnsi="Arial" w:cs="Arial"/>
        </w:rPr>
        <w:t>.</w:t>
      </w:r>
      <w:r>
        <w:rPr>
          <w:rFonts w:ascii="Arial" w:hAnsi="Arial" w:cs="Arial"/>
        </w:rPr>
        <w:t xml:space="preserve"> </w:t>
      </w:r>
      <w:r w:rsidR="008B10B7">
        <w:rPr>
          <w:rFonts w:ascii="Arial" w:hAnsi="Arial" w:cs="Arial"/>
        </w:rPr>
        <w:t xml:space="preserve">- - - - - - - - - - - - - - - - </w:t>
      </w:r>
    </w:p>
    <w:p w:rsidR="00E74A70" w:rsidRPr="001F0AA4" w:rsidRDefault="00E74A70" w:rsidP="00E74A70">
      <w:pPr>
        <w:spacing w:after="0" w:line="360" w:lineRule="auto"/>
        <w:ind w:right="49" w:firstLine="708"/>
        <w:jc w:val="both"/>
        <w:rPr>
          <w:rFonts w:ascii="Arial" w:hAnsi="Arial" w:cs="Arial"/>
        </w:rPr>
      </w:pPr>
    </w:p>
    <w:p w:rsidR="00E74A70" w:rsidRDefault="00E74A70" w:rsidP="00013A4D">
      <w:pPr>
        <w:spacing w:after="0" w:line="360" w:lineRule="auto"/>
        <w:ind w:right="49" w:firstLine="567"/>
        <w:jc w:val="both"/>
        <w:rPr>
          <w:rFonts w:ascii="Arial" w:hAnsi="Arial" w:cs="Arial"/>
        </w:rPr>
      </w:pPr>
      <w:r w:rsidRPr="001F0AA4">
        <w:rPr>
          <w:rFonts w:ascii="Arial" w:hAnsi="Arial" w:cs="Arial"/>
          <w:b/>
        </w:rPr>
        <w:t>QUINTO.</w:t>
      </w:r>
      <w:r>
        <w:rPr>
          <w:rFonts w:ascii="Arial" w:hAnsi="Arial" w:cs="Arial"/>
          <w:b/>
        </w:rPr>
        <w:t>-</w:t>
      </w:r>
      <w:r w:rsidRPr="001F0AA4">
        <w:rPr>
          <w:rFonts w:ascii="Arial" w:hAnsi="Arial" w:cs="Arial"/>
          <w:b/>
        </w:rPr>
        <w:t xml:space="preserve"> NOTIFÍQUESE PERSONALMENTE AL ACTOR Y POR OFICIO A LA AUTORIDAD DEMANDADA</w:t>
      </w:r>
      <w:r>
        <w:rPr>
          <w:rFonts w:ascii="Arial" w:hAnsi="Arial" w:cs="Arial"/>
          <w:b/>
        </w:rPr>
        <w:t xml:space="preserve"> Y A LA SECRETARÍA DE FINANZAS DEL ESTADO DE OAXACA</w:t>
      </w:r>
      <w:r w:rsidRPr="001F0AA4">
        <w:rPr>
          <w:rFonts w:ascii="Arial" w:hAnsi="Arial" w:cs="Arial"/>
        </w:rPr>
        <w:t>, co</w:t>
      </w:r>
      <w:r>
        <w:rPr>
          <w:rFonts w:ascii="Arial" w:hAnsi="Arial" w:cs="Arial"/>
        </w:rPr>
        <w:t>n fundamento en los artículos 172 fracción I y 17</w:t>
      </w:r>
      <w:r w:rsidRPr="001F0AA4">
        <w:rPr>
          <w:rFonts w:ascii="Arial" w:hAnsi="Arial" w:cs="Arial"/>
        </w:rPr>
        <w:t xml:space="preserve">3 fracciones I y II, de la Ley de Justicia </w:t>
      </w:r>
      <w:r>
        <w:rPr>
          <w:rFonts w:ascii="Arial" w:hAnsi="Arial" w:cs="Arial"/>
        </w:rPr>
        <w:t xml:space="preserve">Procedimiento y Justicia </w:t>
      </w:r>
      <w:r w:rsidRPr="001F0AA4">
        <w:rPr>
          <w:rFonts w:ascii="Arial" w:hAnsi="Arial" w:cs="Arial"/>
        </w:rPr>
        <w:t xml:space="preserve">Administrativa </w:t>
      </w:r>
      <w:r>
        <w:rPr>
          <w:rFonts w:ascii="Arial" w:hAnsi="Arial" w:cs="Arial"/>
        </w:rPr>
        <w:t>para el Estado de Oaxaca.</w:t>
      </w:r>
      <w:r w:rsidRPr="001F0AA4">
        <w:rPr>
          <w:rFonts w:ascii="Arial" w:hAnsi="Arial" w:cs="Arial"/>
          <w:b/>
          <w:iCs/>
        </w:rPr>
        <w:t>- CÚMPLASE</w:t>
      </w:r>
      <w:r>
        <w:rPr>
          <w:rFonts w:ascii="Arial" w:hAnsi="Arial" w:cs="Arial"/>
        </w:rPr>
        <w:t xml:space="preserve">. </w:t>
      </w:r>
      <w:r w:rsidR="000D0F86">
        <w:rPr>
          <w:rFonts w:ascii="Arial" w:hAnsi="Arial" w:cs="Arial"/>
        </w:rPr>
        <w:t xml:space="preserve">- - - - - - - - - - - - - - - - - - - - - - - - - - - - - - - - - - - - - - - - - - - - - - - - - - - - - - - </w:t>
      </w:r>
    </w:p>
    <w:p w:rsidR="00013A4D" w:rsidRDefault="00013A4D" w:rsidP="00013A4D">
      <w:pPr>
        <w:spacing w:after="0" w:line="360" w:lineRule="auto"/>
        <w:ind w:right="49"/>
        <w:jc w:val="both"/>
        <w:rPr>
          <w:rFonts w:ascii="Arial" w:hAnsi="Arial" w:cs="Arial"/>
        </w:rPr>
      </w:pPr>
    </w:p>
    <w:p w:rsidR="000D0F86" w:rsidRPr="001F0AA4" w:rsidRDefault="000D0F86" w:rsidP="00013A4D">
      <w:pPr>
        <w:spacing w:after="0" w:line="360" w:lineRule="auto"/>
        <w:ind w:right="49" w:firstLine="567"/>
        <w:jc w:val="both"/>
        <w:rPr>
          <w:rFonts w:ascii="Arial" w:hAnsi="Arial" w:cs="Arial"/>
        </w:rPr>
      </w:pPr>
      <w:r w:rsidRPr="001F0AA4">
        <w:rPr>
          <w:rFonts w:ascii="Arial" w:hAnsi="Arial" w:cs="Arial"/>
        </w:rPr>
        <w:t xml:space="preserve">Así lo resolvió y firmó el Titular de la Sexta Sala Unitaria de Primera Instancia  del Tribunal de </w:t>
      </w:r>
      <w:r w:rsidR="00013A4D">
        <w:rPr>
          <w:rFonts w:ascii="Arial" w:hAnsi="Arial" w:cs="Arial"/>
        </w:rPr>
        <w:t>Justicia Administrativa</w:t>
      </w:r>
      <w:r w:rsidRPr="001F0AA4">
        <w:rPr>
          <w:rFonts w:ascii="Arial" w:hAnsi="Arial" w:cs="Arial"/>
        </w:rPr>
        <w:t xml:space="preserve"> del Estado de Oaxaca, Magistrado Abraham Santiago Soriano, quien actúa ante el Licenciado Christian Mauricio Morales Morales, Secretario de Acuerdos, que autoriza y da fe.- - - - -</w:t>
      </w:r>
      <w:r>
        <w:rPr>
          <w:rFonts w:ascii="Arial" w:hAnsi="Arial" w:cs="Arial"/>
        </w:rPr>
        <w:t xml:space="preserve"> </w:t>
      </w:r>
      <w:r w:rsidRPr="001F0AA4">
        <w:rPr>
          <w:rFonts w:ascii="Arial" w:hAnsi="Arial" w:cs="Arial"/>
        </w:rPr>
        <w:t>- - - - - - - -</w:t>
      </w:r>
      <w:r w:rsidR="00013A4D">
        <w:rPr>
          <w:rFonts w:ascii="Arial" w:hAnsi="Arial" w:cs="Arial"/>
        </w:rPr>
        <w:t xml:space="preserve"> - - - - - - - - - - - - - - - - - - - - - - - - - - - </w:t>
      </w:r>
      <w:r w:rsidRPr="001F0AA4">
        <w:rPr>
          <w:rFonts w:ascii="Arial" w:hAnsi="Arial" w:cs="Arial"/>
        </w:rPr>
        <w:t xml:space="preserve"> </w:t>
      </w:r>
    </w:p>
    <w:p w:rsidR="000D0F86" w:rsidRPr="001F0AA4" w:rsidRDefault="000D0F86" w:rsidP="000D0F86">
      <w:pPr>
        <w:spacing w:after="0" w:line="360" w:lineRule="auto"/>
        <w:ind w:right="49" w:firstLine="708"/>
        <w:jc w:val="both"/>
        <w:rPr>
          <w:rFonts w:ascii="Arial" w:hAnsi="Arial" w:cs="Arial"/>
        </w:rPr>
      </w:pPr>
    </w:p>
    <w:p w:rsidR="000D0F86" w:rsidRPr="001F0AA4" w:rsidRDefault="000D0F86" w:rsidP="00E74A70">
      <w:pPr>
        <w:spacing w:after="0" w:line="360" w:lineRule="auto"/>
        <w:ind w:right="49" w:firstLine="708"/>
        <w:jc w:val="both"/>
        <w:rPr>
          <w:rFonts w:ascii="Arial" w:hAnsi="Arial" w:cs="Arial"/>
        </w:rPr>
      </w:pPr>
    </w:p>
    <w:sectPr w:rsidR="000D0F86" w:rsidRPr="001F0AA4" w:rsidSect="00E53FDA">
      <w:headerReference w:type="default" r:id="rId7"/>
      <w:pgSz w:w="12240" w:h="20160" w:code="5"/>
      <w:pgMar w:top="1418" w:right="1701" w:bottom="1418"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33F0F" w:rsidRDefault="00633F0F" w:rsidP="003A0F04">
      <w:pPr>
        <w:spacing w:after="0" w:line="240" w:lineRule="auto"/>
      </w:pPr>
      <w:r>
        <w:separator/>
      </w:r>
    </w:p>
  </w:endnote>
  <w:endnote w:type="continuationSeparator" w:id="0">
    <w:p w:rsidR="00633F0F" w:rsidRDefault="00633F0F" w:rsidP="003A0F0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33F0F" w:rsidRDefault="00633F0F" w:rsidP="003A0F04">
      <w:pPr>
        <w:spacing w:after="0" w:line="240" w:lineRule="auto"/>
      </w:pPr>
      <w:r>
        <w:separator/>
      </w:r>
    </w:p>
  </w:footnote>
  <w:footnote w:type="continuationSeparator" w:id="0">
    <w:p w:rsidR="00633F0F" w:rsidRDefault="00633F0F" w:rsidP="003A0F04">
      <w:pPr>
        <w:spacing w:after="0" w:line="240" w:lineRule="auto"/>
      </w:pPr>
      <w:r>
        <w:continuationSeparator/>
      </w:r>
    </w:p>
  </w:footnote>
  <w:footnote w:id="1">
    <w:p w:rsidR="00E74A70" w:rsidRPr="008856F5" w:rsidRDefault="00E74A70" w:rsidP="00E74A70">
      <w:pPr>
        <w:pStyle w:val="Textonotapie"/>
        <w:jc w:val="both"/>
        <w:rPr>
          <w:rFonts w:ascii="Arial" w:hAnsi="Arial" w:cs="Arial"/>
          <w:sz w:val="16"/>
          <w:szCs w:val="16"/>
        </w:rPr>
      </w:pPr>
      <w:r w:rsidRPr="008856F5">
        <w:rPr>
          <w:rStyle w:val="Refdenotaalpie"/>
          <w:rFonts w:ascii="Arial" w:hAnsi="Arial" w:cs="Arial"/>
          <w:sz w:val="16"/>
          <w:szCs w:val="16"/>
        </w:rPr>
        <w:footnoteRef/>
      </w:r>
      <w:r w:rsidRPr="008856F5">
        <w:rPr>
          <w:rFonts w:ascii="Arial" w:hAnsi="Arial" w:cs="Arial"/>
          <w:sz w:val="16"/>
          <w:szCs w:val="16"/>
        </w:rPr>
        <w:t xml:space="preserve"> ARTÍCULO 97. Los hechos que las autoridades fiscales conozcan con motivo del ejercicio de sus facultades de comprobación, o bien que consten en los expedientes, documentos o bases de datos que tengan en su poder o a las que tengan acceso, así como los proporcionados por otras autoridades, podrán utilizarse como sustento de la motivación de las resoluciones que emitan.   </w:t>
      </w:r>
    </w:p>
    <w:p w:rsidR="00E74A70" w:rsidRPr="008856F5" w:rsidRDefault="00E74A70" w:rsidP="00E74A70">
      <w:pPr>
        <w:pStyle w:val="Textonotapie"/>
        <w:jc w:val="both"/>
        <w:rPr>
          <w:rFonts w:ascii="Arial" w:hAnsi="Arial" w:cs="Arial"/>
          <w:sz w:val="16"/>
          <w:szCs w:val="16"/>
        </w:rPr>
      </w:pPr>
    </w:p>
    <w:p w:rsidR="00E74A70" w:rsidRPr="008856F5" w:rsidRDefault="00E74A70" w:rsidP="00E74A70">
      <w:pPr>
        <w:pStyle w:val="Textonotapie"/>
        <w:jc w:val="both"/>
        <w:rPr>
          <w:rFonts w:ascii="Arial" w:hAnsi="Arial" w:cs="Arial"/>
          <w:sz w:val="16"/>
          <w:szCs w:val="16"/>
        </w:rPr>
      </w:pPr>
      <w:r w:rsidRPr="008856F5">
        <w:rPr>
          <w:rFonts w:ascii="Arial" w:hAnsi="Arial" w:cs="Arial"/>
          <w:sz w:val="16"/>
          <w:szCs w:val="16"/>
        </w:rPr>
        <w:t>Cuando el afectado no tenga conocimiento de los expedientes o documentos que hubieren sido proporcionados por otras autoridades y éstos vayan a utilizarse para motivar las resoluciones de la autoridad fiscal, dichas autoridades deberán correr traslado al afectado, concediéndole un plazo de quince días para que manifieste lo que a su derecho convenga, y en su caso presente los documentos que desvirtúen los hechos que hubieren informados por las referidas autoridades.</w:t>
      </w:r>
    </w:p>
    <w:p w:rsidR="00E74A70" w:rsidRPr="008856F5" w:rsidRDefault="00E74A70" w:rsidP="00E74A70">
      <w:pPr>
        <w:pStyle w:val="Textonotapie"/>
        <w:jc w:val="both"/>
        <w:rPr>
          <w:rFonts w:ascii="Arial" w:hAnsi="Arial" w:cs="Arial"/>
          <w:sz w:val="16"/>
          <w:szCs w:val="16"/>
          <w:lang w:val="es-ES"/>
        </w:rPr>
      </w:pPr>
    </w:p>
  </w:footnote>
  <w:footnote w:id="2">
    <w:p w:rsidR="008856F5" w:rsidRPr="008856F5" w:rsidRDefault="008856F5" w:rsidP="008856F5">
      <w:pPr>
        <w:pStyle w:val="Textonotapie"/>
        <w:jc w:val="both"/>
        <w:rPr>
          <w:rFonts w:ascii="Arial" w:hAnsi="Arial" w:cs="Arial"/>
          <w:sz w:val="16"/>
          <w:szCs w:val="16"/>
        </w:rPr>
      </w:pPr>
      <w:r w:rsidRPr="008856F5">
        <w:rPr>
          <w:rStyle w:val="Refdenotaalpie"/>
          <w:rFonts w:ascii="Arial" w:hAnsi="Arial" w:cs="Arial"/>
          <w:sz w:val="16"/>
          <w:szCs w:val="16"/>
        </w:rPr>
        <w:footnoteRef/>
      </w:r>
      <w:r w:rsidRPr="008856F5">
        <w:rPr>
          <w:rFonts w:ascii="Arial" w:hAnsi="Arial" w:cs="Arial"/>
          <w:sz w:val="16"/>
          <w:szCs w:val="16"/>
        </w:rPr>
        <w:t xml:space="preserve"> ARTICULO 203.- La valoración de las pruebas se hará  de acuerdo con las siguientes reglas:</w:t>
      </w:r>
    </w:p>
    <w:p w:rsidR="008856F5" w:rsidRPr="008856F5" w:rsidRDefault="008856F5" w:rsidP="008856F5">
      <w:pPr>
        <w:pStyle w:val="Textonotapie"/>
        <w:jc w:val="both"/>
        <w:rPr>
          <w:rFonts w:ascii="Arial" w:hAnsi="Arial" w:cs="Arial"/>
          <w:sz w:val="16"/>
          <w:szCs w:val="16"/>
        </w:rPr>
      </w:pPr>
      <w:r w:rsidRPr="008856F5">
        <w:rPr>
          <w:rFonts w:ascii="Arial" w:hAnsi="Arial" w:cs="Arial"/>
          <w:sz w:val="16"/>
          <w:szCs w:val="16"/>
        </w:rPr>
        <w:t>I. Harán prueba plena la confesión expresa de las partes y los actos contenidos endocumentos públicos, si en éstos últimos se contienen declaraciones de verdad o manifestaciones de hechos de particulares, y</w:t>
      </w:r>
    </w:p>
  </w:footnote>
  <w:footnote w:id="3">
    <w:p w:rsidR="009D59DA" w:rsidRDefault="009D59DA">
      <w:pPr>
        <w:pStyle w:val="Textonotapie"/>
      </w:pPr>
      <w:r>
        <w:rPr>
          <w:rStyle w:val="Refdenotaalpie"/>
        </w:rPr>
        <w:footnoteRef/>
      </w:r>
      <w:r>
        <w:t xml:space="preserve"> Folio veintinueve reverso del expediente.</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047717708"/>
      <w:docPartObj>
        <w:docPartGallery w:val="Page Numbers (Top of Page)"/>
        <w:docPartUnique/>
      </w:docPartObj>
    </w:sdtPr>
    <w:sdtEndPr/>
    <w:sdtContent>
      <w:p w:rsidR="00B36C36" w:rsidRDefault="00B36C36">
        <w:pPr>
          <w:pStyle w:val="Encabezado"/>
          <w:jc w:val="center"/>
        </w:pPr>
        <w:r>
          <w:fldChar w:fldCharType="begin"/>
        </w:r>
        <w:r>
          <w:instrText>PAGE   \* MERGEFORMAT</w:instrText>
        </w:r>
        <w:r>
          <w:fldChar w:fldCharType="separate"/>
        </w:r>
        <w:r w:rsidR="00C87479" w:rsidRPr="00C87479">
          <w:rPr>
            <w:noProof/>
            <w:lang w:val="es-ES"/>
          </w:rPr>
          <w:t>8</w:t>
        </w:r>
        <w: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51"/>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A0F04"/>
    <w:rsid w:val="00001724"/>
    <w:rsid w:val="000026E8"/>
    <w:rsid w:val="00004CDD"/>
    <w:rsid w:val="00005CE2"/>
    <w:rsid w:val="00006B82"/>
    <w:rsid w:val="00007DD5"/>
    <w:rsid w:val="00011125"/>
    <w:rsid w:val="00013A4D"/>
    <w:rsid w:val="00015045"/>
    <w:rsid w:val="00015063"/>
    <w:rsid w:val="000262FA"/>
    <w:rsid w:val="000266AC"/>
    <w:rsid w:val="00026984"/>
    <w:rsid w:val="00030698"/>
    <w:rsid w:val="000339B0"/>
    <w:rsid w:val="000359CD"/>
    <w:rsid w:val="00044972"/>
    <w:rsid w:val="00052683"/>
    <w:rsid w:val="00052DBE"/>
    <w:rsid w:val="0005750A"/>
    <w:rsid w:val="00061C4E"/>
    <w:rsid w:val="00061DAD"/>
    <w:rsid w:val="00062984"/>
    <w:rsid w:val="00062F0B"/>
    <w:rsid w:val="00063092"/>
    <w:rsid w:val="00064AF0"/>
    <w:rsid w:val="00064B5D"/>
    <w:rsid w:val="000734CC"/>
    <w:rsid w:val="00086E81"/>
    <w:rsid w:val="00087676"/>
    <w:rsid w:val="00092C4F"/>
    <w:rsid w:val="000A1CE7"/>
    <w:rsid w:val="000B4BE2"/>
    <w:rsid w:val="000B682A"/>
    <w:rsid w:val="000C46FE"/>
    <w:rsid w:val="000D0F86"/>
    <w:rsid w:val="000D3559"/>
    <w:rsid w:val="000D5F62"/>
    <w:rsid w:val="000D6059"/>
    <w:rsid w:val="000D7D92"/>
    <w:rsid w:val="000E2640"/>
    <w:rsid w:val="000E35F6"/>
    <w:rsid w:val="000E494B"/>
    <w:rsid w:val="000E66B5"/>
    <w:rsid w:val="000E6E54"/>
    <w:rsid w:val="000F39AB"/>
    <w:rsid w:val="00103B4B"/>
    <w:rsid w:val="00107D46"/>
    <w:rsid w:val="00110EA2"/>
    <w:rsid w:val="001117DE"/>
    <w:rsid w:val="00111C19"/>
    <w:rsid w:val="00114142"/>
    <w:rsid w:val="00115055"/>
    <w:rsid w:val="001150D6"/>
    <w:rsid w:val="00122987"/>
    <w:rsid w:val="00124387"/>
    <w:rsid w:val="00126983"/>
    <w:rsid w:val="001343EF"/>
    <w:rsid w:val="00134422"/>
    <w:rsid w:val="001377BF"/>
    <w:rsid w:val="001428C4"/>
    <w:rsid w:val="00143BCC"/>
    <w:rsid w:val="00143CFF"/>
    <w:rsid w:val="00144516"/>
    <w:rsid w:val="00147B61"/>
    <w:rsid w:val="00151521"/>
    <w:rsid w:val="00152660"/>
    <w:rsid w:val="0015733A"/>
    <w:rsid w:val="001578E7"/>
    <w:rsid w:val="0016164C"/>
    <w:rsid w:val="00161DE7"/>
    <w:rsid w:val="00164A5A"/>
    <w:rsid w:val="00166349"/>
    <w:rsid w:val="001707DA"/>
    <w:rsid w:val="00171E57"/>
    <w:rsid w:val="00172D7D"/>
    <w:rsid w:val="00181169"/>
    <w:rsid w:val="001823EE"/>
    <w:rsid w:val="001857E5"/>
    <w:rsid w:val="00185C40"/>
    <w:rsid w:val="00187176"/>
    <w:rsid w:val="00191BAF"/>
    <w:rsid w:val="00191BEA"/>
    <w:rsid w:val="00192ABE"/>
    <w:rsid w:val="00193417"/>
    <w:rsid w:val="00195021"/>
    <w:rsid w:val="001A0C51"/>
    <w:rsid w:val="001A1354"/>
    <w:rsid w:val="001A1A96"/>
    <w:rsid w:val="001A3799"/>
    <w:rsid w:val="001A4B85"/>
    <w:rsid w:val="001A5EB1"/>
    <w:rsid w:val="001B3D76"/>
    <w:rsid w:val="001B4354"/>
    <w:rsid w:val="001B45AD"/>
    <w:rsid w:val="001C3149"/>
    <w:rsid w:val="001C40C5"/>
    <w:rsid w:val="001C6E2B"/>
    <w:rsid w:val="001D4A09"/>
    <w:rsid w:val="001D4AF2"/>
    <w:rsid w:val="001D5737"/>
    <w:rsid w:val="001D5E82"/>
    <w:rsid w:val="001D607A"/>
    <w:rsid w:val="001E074A"/>
    <w:rsid w:val="001E227F"/>
    <w:rsid w:val="001E2FDD"/>
    <w:rsid w:val="001F0243"/>
    <w:rsid w:val="001F1AA5"/>
    <w:rsid w:val="001F2549"/>
    <w:rsid w:val="001F280E"/>
    <w:rsid w:val="001F3732"/>
    <w:rsid w:val="001F38FF"/>
    <w:rsid w:val="001F5456"/>
    <w:rsid w:val="00204D7B"/>
    <w:rsid w:val="00210EDA"/>
    <w:rsid w:val="00212E2A"/>
    <w:rsid w:val="00224D11"/>
    <w:rsid w:val="00225887"/>
    <w:rsid w:val="002354D4"/>
    <w:rsid w:val="0024047F"/>
    <w:rsid w:val="00240BD9"/>
    <w:rsid w:val="00244526"/>
    <w:rsid w:val="0024685B"/>
    <w:rsid w:val="00247868"/>
    <w:rsid w:val="00247880"/>
    <w:rsid w:val="00252CFC"/>
    <w:rsid w:val="00254213"/>
    <w:rsid w:val="002631E2"/>
    <w:rsid w:val="0026429E"/>
    <w:rsid w:val="0026513F"/>
    <w:rsid w:val="00265CF4"/>
    <w:rsid w:val="00271368"/>
    <w:rsid w:val="002758B3"/>
    <w:rsid w:val="002807A7"/>
    <w:rsid w:val="00282869"/>
    <w:rsid w:val="00284930"/>
    <w:rsid w:val="00287B46"/>
    <w:rsid w:val="0029107A"/>
    <w:rsid w:val="00293967"/>
    <w:rsid w:val="002946A3"/>
    <w:rsid w:val="002947FA"/>
    <w:rsid w:val="0029745F"/>
    <w:rsid w:val="00297BC2"/>
    <w:rsid w:val="002A0621"/>
    <w:rsid w:val="002A1FB2"/>
    <w:rsid w:val="002A2081"/>
    <w:rsid w:val="002B1642"/>
    <w:rsid w:val="002B207B"/>
    <w:rsid w:val="002B23E9"/>
    <w:rsid w:val="002B346B"/>
    <w:rsid w:val="002C0807"/>
    <w:rsid w:val="002C0D72"/>
    <w:rsid w:val="002D114E"/>
    <w:rsid w:val="002D6EEC"/>
    <w:rsid w:val="002D7E3C"/>
    <w:rsid w:val="003001A8"/>
    <w:rsid w:val="003007D2"/>
    <w:rsid w:val="003027B0"/>
    <w:rsid w:val="00305A9F"/>
    <w:rsid w:val="0031158C"/>
    <w:rsid w:val="00314955"/>
    <w:rsid w:val="00317364"/>
    <w:rsid w:val="00317744"/>
    <w:rsid w:val="003213C7"/>
    <w:rsid w:val="0032743F"/>
    <w:rsid w:val="00335672"/>
    <w:rsid w:val="00337AEA"/>
    <w:rsid w:val="00344954"/>
    <w:rsid w:val="0034528F"/>
    <w:rsid w:val="00346BA2"/>
    <w:rsid w:val="003522AA"/>
    <w:rsid w:val="003523D3"/>
    <w:rsid w:val="003534BB"/>
    <w:rsid w:val="00353F9D"/>
    <w:rsid w:val="00356FC0"/>
    <w:rsid w:val="00362F0A"/>
    <w:rsid w:val="00367A2E"/>
    <w:rsid w:val="0037373C"/>
    <w:rsid w:val="00376D36"/>
    <w:rsid w:val="00376E81"/>
    <w:rsid w:val="00380DC8"/>
    <w:rsid w:val="00385487"/>
    <w:rsid w:val="00393598"/>
    <w:rsid w:val="003939A5"/>
    <w:rsid w:val="003A0F04"/>
    <w:rsid w:val="003A1F9A"/>
    <w:rsid w:val="003A44B8"/>
    <w:rsid w:val="003A768F"/>
    <w:rsid w:val="003B09EF"/>
    <w:rsid w:val="003B28E8"/>
    <w:rsid w:val="003B3FE0"/>
    <w:rsid w:val="003B4A17"/>
    <w:rsid w:val="003B4EAA"/>
    <w:rsid w:val="003B4FFC"/>
    <w:rsid w:val="003C2AB3"/>
    <w:rsid w:val="003C2C0D"/>
    <w:rsid w:val="003C57A6"/>
    <w:rsid w:val="003C7E7F"/>
    <w:rsid w:val="003D29B1"/>
    <w:rsid w:val="003D2C7D"/>
    <w:rsid w:val="003E2295"/>
    <w:rsid w:val="003E2E5A"/>
    <w:rsid w:val="003E4B04"/>
    <w:rsid w:val="003E5091"/>
    <w:rsid w:val="003E5D05"/>
    <w:rsid w:val="003E6718"/>
    <w:rsid w:val="003E73DD"/>
    <w:rsid w:val="003F21E5"/>
    <w:rsid w:val="003F2CC0"/>
    <w:rsid w:val="003F7986"/>
    <w:rsid w:val="0040525B"/>
    <w:rsid w:val="0041156A"/>
    <w:rsid w:val="00411994"/>
    <w:rsid w:val="00417099"/>
    <w:rsid w:val="00417216"/>
    <w:rsid w:val="004225BA"/>
    <w:rsid w:val="00427B3D"/>
    <w:rsid w:val="00433109"/>
    <w:rsid w:val="00433E39"/>
    <w:rsid w:val="00436355"/>
    <w:rsid w:val="0044384A"/>
    <w:rsid w:val="004535DC"/>
    <w:rsid w:val="004540FE"/>
    <w:rsid w:val="00455757"/>
    <w:rsid w:val="0046071F"/>
    <w:rsid w:val="004626BD"/>
    <w:rsid w:val="00476ACE"/>
    <w:rsid w:val="004779E3"/>
    <w:rsid w:val="00477B82"/>
    <w:rsid w:val="00487CE3"/>
    <w:rsid w:val="00490C78"/>
    <w:rsid w:val="004912AC"/>
    <w:rsid w:val="004920E0"/>
    <w:rsid w:val="00496546"/>
    <w:rsid w:val="00496E67"/>
    <w:rsid w:val="004A12B0"/>
    <w:rsid w:val="004A4CCD"/>
    <w:rsid w:val="004B0691"/>
    <w:rsid w:val="004B3A6F"/>
    <w:rsid w:val="004B5033"/>
    <w:rsid w:val="004C0CAD"/>
    <w:rsid w:val="004C27F3"/>
    <w:rsid w:val="004C300D"/>
    <w:rsid w:val="004C32FE"/>
    <w:rsid w:val="004C3810"/>
    <w:rsid w:val="004C41FD"/>
    <w:rsid w:val="004D0C04"/>
    <w:rsid w:val="004D0C69"/>
    <w:rsid w:val="004D6E77"/>
    <w:rsid w:val="004E0C4F"/>
    <w:rsid w:val="004E20A9"/>
    <w:rsid w:val="004E22FD"/>
    <w:rsid w:val="004E6525"/>
    <w:rsid w:val="004F2B25"/>
    <w:rsid w:val="004F407E"/>
    <w:rsid w:val="004F40EA"/>
    <w:rsid w:val="004F4309"/>
    <w:rsid w:val="004F7A70"/>
    <w:rsid w:val="005042C6"/>
    <w:rsid w:val="005044D6"/>
    <w:rsid w:val="0051485D"/>
    <w:rsid w:val="005157C0"/>
    <w:rsid w:val="005239A6"/>
    <w:rsid w:val="0052781A"/>
    <w:rsid w:val="00530A0F"/>
    <w:rsid w:val="00532F43"/>
    <w:rsid w:val="0053396D"/>
    <w:rsid w:val="00534B32"/>
    <w:rsid w:val="00540A24"/>
    <w:rsid w:val="00541364"/>
    <w:rsid w:val="005436F1"/>
    <w:rsid w:val="0056580A"/>
    <w:rsid w:val="00566B86"/>
    <w:rsid w:val="005706F7"/>
    <w:rsid w:val="00570B41"/>
    <w:rsid w:val="00575196"/>
    <w:rsid w:val="00576FFB"/>
    <w:rsid w:val="0057705B"/>
    <w:rsid w:val="00580E82"/>
    <w:rsid w:val="005820CB"/>
    <w:rsid w:val="005878A9"/>
    <w:rsid w:val="00590B79"/>
    <w:rsid w:val="00592A8F"/>
    <w:rsid w:val="005934FC"/>
    <w:rsid w:val="00595F2A"/>
    <w:rsid w:val="0059609A"/>
    <w:rsid w:val="005968A6"/>
    <w:rsid w:val="005A0F96"/>
    <w:rsid w:val="005A2A03"/>
    <w:rsid w:val="005A3FEF"/>
    <w:rsid w:val="005A5A93"/>
    <w:rsid w:val="005B451D"/>
    <w:rsid w:val="005B59E4"/>
    <w:rsid w:val="005B66C9"/>
    <w:rsid w:val="005B6CD0"/>
    <w:rsid w:val="005C6567"/>
    <w:rsid w:val="005D092A"/>
    <w:rsid w:val="005D0CAA"/>
    <w:rsid w:val="005D1F28"/>
    <w:rsid w:val="005E0F5A"/>
    <w:rsid w:val="005E1ABF"/>
    <w:rsid w:val="005E39E6"/>
    <w:rsid w:val="005F1B07"/>
    <w:rsid w:val="005F2D23"/>
    <w:rsid w:val="005F35EB"/>
    <w:rsid w:val="005F3A71"/>
    <w:rsid w:val="005F44D5"/>
    <w:rsid w:val="005F58E9"/>
    <w:rsid w:val="006008FC"/>
    <w:rsid w:val="00602051"/>
    <w:rsid w:val="00605B14"/>
    <w:rsid w:val="0060756A"/>
    <w:rsid w:val="00612567"/>
    <w:rsid w:val="0061447A"/>
    <w:rsid w:val="00615DC1"/>
    <w:rsid w:val="0062480F"/>
    <w:rsid w:val="006262EF"/>
    <w:rsid w:val="0062715D"/>
    <w:rsid w:val="00633F0F"/>
    <w:rsid w:val="00635189"/>
    <w:rsid w:val="00636D2D"/>
    <w:rsid w:val="00637921"/>
    <w:rsid w:val="006404BE"/>
    <w:rsid w:val="0064359D"/>
    <w:rsid w:val="00643BD5"/>
    <w:rsid w:val="0064671D"/>
    <w:rsid w:val="00646C6B"/>
    <w:rsid w:val="00650482"/>
    <w:rsid w:val="00655CAA"/>
    <w:rsid w:val="00660CC9"/>
    <w:rsid w:val="006621FC"/>
    <w:rsid w:val="006628C5"/>
    <w:rsid w:val="00663E37"/>
    <w:rsid w:val="00667376"/>
    <w:rsid w:val="00672869"/>
    <w:rsid w:val="00672B1D"/>
    <w:rsid w:val="006732DE"/>
    <w:rsid w:val="00674F2F"/>
    <w:rsid w:val="00675487"/>
    <w:rsid w:val="006765C5"/>
    <w:rsid w:val="006769AE"/>
    <w:rsid w:val="00677921"/>
    <w:rsid w:val="0068180A"/>
    <w:rsid w:val="0068680B"/>
    <w:rsid w:val="00693BDD"/>
    <w:rsid w:val="0069472A"/>
    <w:rsid w:val="00695D58"/>
    <w:rsid w:val="006974BE"/>
    <w:rsid w:val="006A2AAA"/>
    <w:rsid w:val="006A6A13"/>
    <w:rsid w:val="006B0D84"/>
    <w:rsid w:val="006B1623"/>
    <w:rsid w:val="006B19FE"/>
    <w:rsid w:val="006B27A5"/>
    <w:rsid w:val="006B3920"/>
    <w:rsid w:val="006B3DFD"/>
    <w:rsid w:val="006B3F7F"/>
    <w:rsid w:val="006B49FD"/>
    <w:rsid w:val="006C2C0A"/>
    <w:rsid w:val="006C5A90"/>
    <w:rsid w:val="006C61A5"/>
    <w:rsid w:val="006C7083"/>
    <w:rsid w:val="006C7A08"/>
    <w:rsid w:val="006D0CA1"/>
    <w:rsid w:val="006D1822"/>
    <w:rsid w:val="006D3EA0"/>
    <w:rsid w:val="006D4BDA"/>
    <w:rsid w:val="006D6579"/>
    <w:rsid w:val="006E48A7"/>
    <w:rsid w:val="006E614A"/>
    <w:rsid w:val="006F0E22"/>
    <w:rsid w:val="006F0F28"/>
    <w:rsid w:val="006F0F74"/>
    <w:rsid w:val="006F3B56"/>
    <w:rsid w:val="006F6728"/>
    <w:rsid w:val="00711B20"/>
    <w:rsid w:val="00712856"/>
    <w:rsid w:val="00712A5E"/>
    <w:rsid w:val="007150B9"/>
    <w:rsid w:val="00721510"/>
    <w:rsid w:val="007226EC"/>
    <w:rsid w:val="00723FD1"/>
    <w:rsid w:val="007314F8"/>
    <w:rsid w:val="00733282"/>
    <w:rsid w:val="0073353C"/>
    <w:rsid w:val="0073522C"/>
    <w:rsid w:val="007357E0"/>
    <w:rsid w:val="00740E8F"/>
    <w:rsid w:val="00744320"/>
    <w:rsid w:val="007456A2"/>
    <w:rsid w:val="007465A6"/>
    <w:rsid w:val="00747B22"/>
    <w:rsid w:val="007526E9"/>
    <w:rsid w:val="00752CB1"/>
    <w:rsid w:val="007568C3"/>
    <w:rsid w:val="00756F2C"/>
    <w:rsid w:val="007574B4"/>
    <w:rsid w:val="007626BF"/>
    <w:rsid w:val="007640D3"/>
    <w:rsid w:val="00770AEC"/>
    <w:rsid w:val="00770D21"/>
    <w:rsid w:val="00771917"/>
    <w:rsid w:val="00771BBC"/>
    <w:rsid w:val="00781184"/>
    <w:rsid w:val="00792C2D"/>
    <w:rsid w:val="00793696"/>
    <w:rsid w:val="0079375D"/>
    <w:rsid w:val="00794644"/>
    <w:rsid w:val="00795E64"/>
    <w:rsid w:val="007977D6"/>
    <w:rsid w:val="007A662C"/>
    <w:rsid w:val="007A7C28"/>
    <w:rsid w:val="007B0584"/>
    <w:rsid w:val="007B1499"/>
    <w:rsid w:val="007B6A86"/>
    <w:rsid w:val="007B6EF3"/>
    <w:rsid w:val="007C15BC"/>
    <w:rsid w:val="007E2149"/>
    <w:rsid w:val="007E259A"/>
    <w:rsid w:val="007E60C0"/>
    <w:rsid w:val="007E634C"/>
    <w:rsid w:val="007F60D9"/>
    <w:rsid w:val="007F6A13"/>
    <w:rsid w:val="00800B8B"/>
    <w:rsid w:val="00806BF3"/>
    <w:rsid w:val="0080789C"/>
    <w:rsid w:val="0081340C"/>
    <w:rsid w:val="0081528D"/>
    <w:rsid w:val="00815FF8"/>
    <w:rsid w:val="00820EF9"/>
    <w:rsid w:val="00822DBE"/>
    <w:rsid w:val="0082681E"/>
    <w:rsid w:val="00830AAE"/>
    <w:rsid w:val="00833674"/>
    <w:rsid w:val="00834028"/>
    <w:rsid w:val="008351AC"/>
    <w:rsid w:val="008405CB"/>
    <w:rsid w:val="008427E6"/>
    <w:rsid w:val="0084484B"/>
    <w:rsid w:val="00846528"/>
    <w:rsid w:val="00846DA7"/>
    <w:rsid w:val="00846FDB"/>
    <w:rsid w:val="00854BAC"/>
    <w:rsid w:val="0085575D"/>
    <w:rsid w:val="00856C95"/>
    <w:rsid w:val="0086130C"/>
    <w:rsid w:val="0086352E"/>
    <w:rsid w:val="008644E4"/>
    <w:rsid w:val="008714C8"/>
    <w:rsid w:val="00872F72"/>
    <w:rsid w:val="00874EAF"/>
    <w:rsid w:val="00875055"/>
    <w:rsid w:val="00875C53"/>
    <w:rsid w:val="008816D5"/>
    <w:rsid w:val="00884DD2"/>
    <w:rsid w:val="008856F5"/>
    <w:rsid w:val="00890143"/>
    <w:rsid w:val="00891B0B"/>
    <w:rsid w:val="00892B5E"/>
    <w:rsid w:val="0089454E"/>
    <w:rsid w:val="008947E1"/>
    <w:rsid w:val="00895648"/>
    <w:rsid w:val="00895C9B"/>
    <w:rsid w:val="008A2F53"/>
    <w:rsid w:val="008A6F98"/>
    <w:rsid w:val="008B10B7"/>
    <w:rsid w:val="008B599A"/>
    <w:rsid w:val="008C10B3"/>
    <w:rsid w:val="008D06A5"/>
    <w:rsid w:val="008D3609"/>
    <w:rsid w:val="008E2050"/>
    <w:rsid w:val="008E5651"/>
    <w:rsid w:val="008E7A5A"/>
    <w:rsid w:val="008F2B9D"/>
    <w:rsid w:val="008F7E03"/>
    <w:rsid w:val="009056A5"/>
    <w:rsid w:val="00907C67"/>
    <w:rsid w:val="009101AC"/>
    <w:rsid w:val="00910CEF"/>
    <w:rsid w:val="00911768"/>
    <w:rsid w:val="00916123"/>
    <w:rsid w:val="00921A40"/>
    <w:rsid w:val="00923B42"/>
    <w:rsid w:val="009271E6"/>
    <w:rsid w:val="00930456"/>
    <w:rsid w:val="009311A6"/>
    <w:rsid w:val="009322B6"/>
    <w:rsid w:val="00932418"/>
    <w:rsid w:val="00933733"/>
    <w:rsid w:val="00934BA2"/>
    <w:rsid w:val="0093690E"/>
    <w:rsid w:val="00936FC6"/>
    <w:rsid w:val="0093719C"/>
    <w:rsid w:val="0094243C"/>
    <w:rsid w:val="00945D5D"/>
    <w:rsid w:val="00947CB1"/>
    <w:rsid w:val="00951B16"/>
    <w:rsid w:val="00952C5B"/>
    <w:rsid w:val="00954DAB"/>
    <w:rsid w:val="0095526D"/>
    <w:rsid w:val="00961951"/>
    <w:rsid w:val="00961B3F"/>
    <w:rsid w:val="00962106"/>
    <w:rsid w:val="00966FEA"/>
    <w:rsid w:val="00967326"/>
    <w:rsid w:val="00970991"/>
    <w:rsid w:val="00974D4A"/>
    <w:rsid w:val="0097502D"/>
    <w:rsid w:val="00980F82"/>
    <w:rsid w:val="00982B4A"/>
    <w:rsid w:val="0098537E"/>
    <w:rsid w:val="00987D17"/>
    <w:rsid w:val="00990146"/>
    <w:rsid w:val="00990A5D"/>
    <w:rsid w:val="009943F3"/>
    <w:rsid w:val="009953D1"/>
    <w:rsid w:val="00995FB3"/>
    <w:rsid w:val="00996613"/>
    <w:rsid w:val="009A0DFA"/>
    <w:rsid w:val="009A2C91"/>
    <w:rsid w:val="009A5C49"/>
    <w:rsid w:val="009A7FB7"/>
    <w:rsid w:val="009B0D0C"/>
    <w:rsid w:val="009B1B08"/>
    <w:rsid w:val="009B3E8D"/>
    <w:rsid w:val="009B540A"/>
    <w:rsid w:val="009C64F5"/>
    <w:rsid w:val="009C7245"/>
    <w:rsid w:val="009D2CE6"/>
    <w:rsid w:val="009D59DA"/>
    <w:rsid w:val="009D5FB1"/>
    <w:rsid w:val="009D6A8E"/>
    <w:rsid w:val="009E08AC"/>
    <w:rsid w:val="009E0B3A"/>
    <w:rsid w:val="009E15C0"/>
    <w:rsid w:val="009E1C88"/>
    <w:rsid w:val="009E2A26"/>
    <w:rsid w:val="009E30AA"/>
    <w:rsid w:val="009E4AD9"/>
    <w:rsid w:val="009E5D95"/>
    <w:rsid w:val="009E6194"/>
    <w:rsid w:val="009E7028"/>
    <w:rsid w:val="009E7721"/>
    <w:rsid w:val="009F610C"/>
    <w:rsid w:val="00A04626"/>
    <w:rsid w:val="00A04759"/>
    <w:rsid w:val="00A05015"/>
    <w:rsid w:val="00A05185"/>
    <w:rsid w:val="00A0606C"/>
    <w:rsid w:val="00A2158E"/>
    <w:rsid w:val="00A2173D"/>
    <w:rsid w:val="00A2237A"/>
    <w:rsid w:val="00A3000F"/>
    <w:rsid w:val="00A35144"/>
    <w:rsid w:val="00A4002A"/>
    <w:rsid w:val="00A41E5D"/>
    <w:rsid w:val="00A51154"/>
    <w:rsid w:val="00A53F92"/>
    <w:rsid w:val="00A54D55"/>
    <w:rsid w:val="00A5543A"/>
    <w:rsid w:val="00A570FD"/>
    <w:rsid w:val="00A65272"/>
    <w:rsid w:val="00A66CC2"/>
    <w:rsid w:val="00A67029"/>
    <w:rsid w:val="00A70C1D"/>
    <w:rsid w:val="00A7328B"/>
    <w:rsid w:val="00A736BF"/>
    <w:rsid w:val="00A74746"/>
    <w:rsid w:val="00A75234"/>
    <w:rsid w:val="00A8608C"/>
    <w:rsid w:val="00A86578"/>
    <w:rsid w:val="00A877C0"/>
    <w:rsid w:val="00A918A6"/>
    <w:rsid w:val="00A95477"/>
    <w:rsid w:val="00A96688"/>
    <w:rsid w:val="00A97314"/>
    <w:rsid w:val="00AB0ECD"/>
    <w:rsid w:val="00AB35AD"/>
    <w:rsid w:val="00AB6DC5"/>
    <w:rsid w:val="00AB7AC6"/>
    <w:rsid w:val="00AC4A1B"/>
    <w:rsid w:val="00AD239A"/>
    <w:rsid w:val="00AD5BA2"/>
    <w:rsid w:val="00AE1385"/>
    <w:rsid w:val="00AE3427"/>
    <w:rsid w:val="00AE728B"/>
    <w:rsid w:val="00AE7CD3"/>
    <w:rsid w:val="00AF1B4A"/>
    <w:rsid w:val="00AF1EBA"/>
    <w:rsid w:val="00AF353F"/>
    <w:rsid w:val="00AF52D7"/>
    <w:rsid w:val="00AF667F"/>
    <w:rsid w:val="00B00B84"/>
    <w:rsid w:val="00B013FE"/>
    <w:rsid w:val="00B03260"/>
    <w:rsid w:val="00B052B3"/>
    <w:rsid w:val="00B0642B"/>
    <w:rsid w:val="00B0768C"/>
    <w:rsid w:val="00B22430"/>
    <w:rsid w:val="00B2610B"/>
    <w:rsid w:val="00B3002D"/>
    <w:rsid w:val="00B33223"/>
    <w:rsid w:val="00B36C36"/>
    <w:rsid w:val="00B36EB4"/>
    <w:rsid w:val="00B37E81"/>
    <w:rsid w:val="00B4205B"/>
    <w:rsid w:val="00B464F4"/>
    <w:rsid w:val="00B52E13"/>
    <w:rsid w:val="00B531C1"/>
    <w:rsid w:val="00B53609"/>
    <w:rsid w:val="00B54594"/>
    <w:rsid w:val="00B6257F"/>
    <w:rsid w:val="00B65770"/>
    <w:rsid w:val="00B7469B"/>
    <w:rsid w:val="00B758C6"/>
    <w:rsid w:val="00B76B25"/>
    <w:rsid w:val="00B76E73"/>
    <w:rsid w:val="00B802AB"/>
    <w:rsid w:val="00B85CD6"/>
    <w:rsid w:val="00B86D8F"/>
    <w:rsid w:val="00B8705D"/>
    <w:rsid w:val="00B87DA9"/>
    <w:rsid w:val="00B90021"/>
    <w:rsid w:val="00B91928"/>
    <w:rsid w:val="00B928C5"/>
    <w:rsid w:val="00B97883"/>
    <w:rsid w:val="00BA2437"/>
    <w:rsid w:val="00BB0B4E"/>
    <w:rsid w:val="00BB2FDD"/>
    <w:rsid w:val="00BB3002"/>
    <w:rsid w:val="00BB4B62"/>
    <w:rsid w:val="00BC2FAE"/>
    <w:rsid w:val="00BC4636"/>
    <w:rsid w:val="00BC56A4"/>
    <w:rsid w:val="00BC7A92"/>
    <w:rsid w:val="00BD38D0"/>
    <w:rsid w:val="00BE1365"/>
    <w:rsid w:val="00BE2AAB"/>
    <w:rsid w:val="00BE4944"/>
    <w:rsid w:val="00BF0C31"/>
    <w:rsid w:val="00BF13DB"/>
    <w:rsid w:val="00BF19A6"/>
    <w:rsid w:val="00BF33BB"/>
    <w:rsid w:val="00BF4578"/>
    <w:rsid w:val="00BF49A4"/>
    <w:rsid w:val="00BF6570"/>
    <w:rsid w:val="00BF7787"/>
    <w:rsid w:val="00C00F14"/>
    <w:rsid w:val="00C02BE4"/>
    <w:rsid w:val="00C05CC0"/>
    <w:rsid w:val="00C10CAB"/>
    <w:rsid w:val="00C11049"/>
    <w:rsid w:val="00C13591"/>
    <w:rsid w:val="00C21723"/>
    <w:rsid w:val="00C23771"/>
    <w:rsid w:val="00C31F56"/>
    <w:rsid w:val="00C367F8"/>
    <w:rsid w:val="00C4251F"/>
    <w:rsid w:val="00C45CFE"/>
    <w:rsid w:val="00C47980"/>
    <w:rsid w:val="00C519C2"/>
    <w:rsid w:val="00C51C5F"/>
    <w:rsid w:val="00C61217"/>
    <w:rsid w:val="00C621C5"/>
    <w:rsid w:val="00C717DD"/>
    <w:rsid w:val="00C73E2A"/>
    <w:rsid w:val="00C7686D"/>
    <w:rsid w:val="00C849D9"/>
    <w:rsid w:val="00C87479"/>
    <w:rsid w:val="00C87DD7"/>
    <w:rsid w:val="00C90148"/>
    <w:rsid w:val="00C9046E"/>
    <w:rsid w:val="00C94361"/>
    <w:rsid w:val="00C96291"/>
    <w:rsid w:val="00CA06BB"/>
    <w:rsid w:val="00CA30E0"/>
    <w:rsid w:val="00CA57AC"/>
    <w:rsid w:val="00CA6A9F"/>
    <w:rsid w:val="00CB0343"/>
    <w:rsid w:val="00CB3BEC"/>
    <w:rsid w:val="00CB74AF"/>
    <w:rsid w:val="00CC3E12"/>
    <w:rsid w:val="00CC5CE1"/>
    <w:rsid w:val="00CD0522"/>
    <w:rsid w:val="00CD3488"/>
    <w:rsid w:val="00CD7C7B"/>
    <w:rsid w:val="00CE7229"/>
    <w:rsid w:val="00CF0815"/>
    <w:rsid w:val="00CF2088"/>
    <w:rsid w:val="00CF3BD3"/>
    <w:rsid w:val="00CF4E62"/>
    <w:rsid w:val="00CF6653"/>
    <w:rsid w:val="00D04D0E"/>
    <w:rsid w:val="00D07735"/>
    <w:rsid w:val="00D14398"/>
    <w:rsid w:val="00D15AF8"/>
    <w:rsid w:val="00D15CC4"/>
    <w:rsid w:val="00D1757F"/>
    <w:rsid w:val="00D22754"/>
    <w:rsid w:val="00D26138"/>
    <w:rsid w:val="00D2662A"/>
    <w:rsid w:val="00D41FED"/>
    <w:rsid w:val="00D5201E"/>
    <w:rsid w:val="00D54E99"/>
    <w:rsid w:val="00D55D2F"/>
    <w:rsid w:val="00D57A1E"/>
    <w:rsid w:val="00D57C4B"/>
    <w:rsid w:val="00D62E4D"/>
    <w:rsid w:val="00D64447"/>
    <w:rsid w:val="00D70B29"/>
    <w:rsid w:val="00D739E6"/>
    <w:rsid w:val="00D80C2D"/>
    <w:rsid w:val="00D81FFC"/>
    <w:rsid w:val="00D8324C"/>
    <w:rsid w:val="00D91005"/>
    <w:rsid w:val="00D9723A"/>
    <w:rsid w:val="00D97847"/>
    <w:rsid w:val="00DA23EE"/>
    <w:rsid w:val="00DA5353"/>
    <w:rsid w:val="00DA65E1"/>
    <w:rsid w:val="00DA7169"/>
    <w:rsid w:val="00DB12F9"/>
    <w:rsid w:val="00DB39F6"/>
    <w:rsid w:val="00DC0F16"/>
    <w:rsid w:val="00DC4842"/>
    <w:rsid w:val="00DC6895"/>
    <w:rsid w:val="00DC6BC3"/>
    <w:rsid w:val="00DD3A1E"/>
    <w:rsid w:val="00DE1BFB"/>
    <w:rsid w:val="00DE3369"/>
    <w:rsid w:val="00DE455E"/>
    <w:rsid w:val="00DE70D5"/>
    <w:rsid w:val="00DE7E9E"/>
    <w:rsid w:val="00DF3165"/>
    <w:rsid w:val="00DF4741"/>
    <w:rsid w:val="00DF5ED4"/>
    <w:rsid w:val="00E002A4"/>
    <w:rsid w:val="00E020EA"/>
    <w:rsid w:val="00E029C3"/>
    <w:rsid w:val="00E03293"/>
    <w:rsid w:val="00E07662"/>
    <w:rsid w:val="00E07ADE"/>
    <w:rsid w:val="00E14232"/>
    <w:rsid w:val="00E169C4"/>
    <w:rsid w:val="00E261B9"/>
    <w:rsid w:val="00E2784A"/>
    <w:rsid w:val="00E32451"/>
    <w:rsid w:val="00E334AA"/>
    <w:rsid w:val="00E36078"/>
    <w:rsid w:val="00E459A5"/>
    <w:rsid w:val="00E473F2"/>
    <w:rsid w:val="00E50CBC"/>
    <w:rsid w:val="00E527EA"/>
    <w:rsid w:val="00E53FDA"/>
    <w:rsid w:val="00E61AD6"/>
    <w:rsid w:val="00E64155"/>
    <w:rsid w:val="00E67416"/>
    <w:rsid w:val="00E7079F"/>
    <w:rsid w:val="00E709B8"/>
    <w:rsid w:val="00E74A70"/>
    <w:rsid w:val="00E7798B"/>
    <w:rsid w:val="00E81F98"/>
    <w:rsid w:val="00E83904"/>
    <w:rsid w:val="00E83FA1"/>
    <w:rsid w:val="00E85602"/>
    <w:rsid w:val="00E9087A"/>
    <w:rsid w:val="00E91562"/>
    <w:rsid w:val="00E958C5"/>
    <w:rsid w:val="00E975A6"/>
    <w:rsid w:val="00EA2282"/>
    <w:rsid w:val="00EA2395"/>
    <w:rsid w:val="00EA2E26"/>
    <w:rsid w:val="00EA4C16"/>
    <w:rsid w:val="00EA5A83"/>
    <w:rsid w:val="00EA63B8"/>
    <w:rsid w:val="00EB1C81"/>
    <w:rsid w:val="00EB4030"/>
    <w:rsid w:val="00EB5015"/>
    <w:rsid w:val="00EB5B94"/>
    <w:rsid w:val="00EB6534"/>
    <w:rsid w:val="00EB6E86"/>
    <w:rsid w:val="00EC0F3B"/>
    <w:rsid w:val="00EC67CE"/>
    <w:rsid w:val="00EC6A19"/>
    <w:rsid w:val="00ED6293"/>
    <w:rsid w:val="00EE2BC4"/>
    <w:rsid w:val="00EE4AFD"/>
    <w:rsid w:val="00EE762F"/>
    <w:rsid w:val="00EE770F"/>
    <w:rsid w:val="00EF3EA4"/>
    <w:rsid w:val="00EF4906"/>
    <w:rsid w:val="00EF7B77"/>
    <w:rsid w:val="00F05546"/>
    <w:rsid w:val="00F10ECC"/>
    <w:rsid w:val="00F11C2F"/>
    <w:rsid w:val="00F1301F"/>
    <w:rsid w:val="00F14DF9"/>
    <w:rsid w:val="00F1697C"/>
    <w:rsid w:val="00F20D00"/>
    <w:rsid w:val="00F21135"/>
    <w:rsid w:val="00F34125"/>
    <w:rsid w:val="00F40EBC"/>
    <w:rsid w:val="00F42C86"/>
    <w:rsid w:val="00F61FD5"/>
    <w:rsid w:val="00F62296"/>
    <w:rsid w:val="00F63CC4"/>
    <w:rsid w:val="00F71163"/>
    <w:rsid w:val="00F73C4D"/>
    <w:rsid w:val="00F73EDD"/>
    <w:rsid w:val="00F8155C"/>
    <w:rsid w:val="00F8274D"/>
    <w:rsid w:val="00F84766"/>
    <w:rsid w:val="00F84CCD"/>
    <w:rsid w:val="00F879AE"/>
    <w:rsid w:val="00F905E8"/>
    <w:rsid w:val="00F92906"/>
    <w:rsid w:val="00F95524"/>
    <w:rsid w:val="00FA0693"/>
    <w:rsid w:val="00FA41FA"/>
    <w:rsid w:val="00FA482F"/>
    <w:rsid w:val="00FA61CB"/>
    <w:rsid w:val="00FA6AEE"/>
    <w:rsid w:val="00FA7286"/>
    <w:rsid w:val="00FA7B1C"/>
    <w:rsid w:val="00FB0310"/>
    <w:rsid w:val="00FB19C5"/>
    <w:rsid w:val="00FB47EE"/>
    <w:rsid w:val="00FC25D0"/>
    <w:rsid w:val="00FC5D8B"/>
    <w:rsid w:val="00FC6D06"/>
    <w:rsid w:val="00FD294A"/>
    <w:rsid w:val="00FD2BCC"/>
    <w:rsid w:val="00FD2CC9"/>
    <w:rsid w:val="00FD4087"/>
    <w:rsid w:val="00FD73F7"/>
    <w:rsid w:val="00FE065D"/>
    <w:rsid w:val="00FE0F22"/>
    <w:rsid w:val="00FE2557"/>
    <w:rsid w:val="00FE551C"/>
    <w:rsid w:val="00FE7C89"/>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5228BEE3-65B6-44FF-B5FF-89732CEA27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74A70"/>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3A0F04"/>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3A0F04"/>
  </w:style>
  <w:style w:type="paragraph" w:styleId="Textonotapie">
    <w:name w:val="footnote text"/>
    <w:basedOn w:val="Normal"/>
    <w:link w:val="TextonotapieCar"/>
    <w:uiPriority w:val="99"/>
    <w:unhideWhenUsed/>
    <w:rsid w:val="003A0F04"/>
    <w:pPr>
      <w:spacing w:after="0" w:line="240" w:lineRule="auto"/>
    </w:pPr>
    <w:rPr>
      <w:sz w:val="20"/>
      <w:szCs w:val="20"/>
    </w:rPr>
  </w:style>
  <w:style w:type="character" w:customStyle="1" w:styleId="TextonotapieCar">
    <w:name w:val="Texto nota pie Car"/>
    <w:basedOn w:val="Fuentedeprrafopredeter"/>
    <w:link w:val="Textonotapie"/>
    <w:uiPriority w:val="99"/>
    <w:rsid w:val="003A0F04"/>
    <w:rPr>
      <w:sz w:val="20"/>
      <w:szCs w:val="20"/>
    </w:rPr>
  </w:style>
  <w:style w:type="character" w:styleId="Refdenotaalpie">
    <w:name w:val="footnote reference"/>
    <w:basedOn w:val="Fuentedeprrafopredeter"/>
    <w:uiPriority w:val="99"/>
    <w:semiHidden/>
    <w:unhideWhenUsed/>
    <w:rsid w:val="003A0F04"/>
    <w:rPr>
      <w:vertAlign w:val="superscript"/>
    </w:rPr>
  </w:style>
  <w:style w:type="paragraph" w:styleId="Textodeglobo">
    <w:name w:val="Balloon Text"/>
    <w:basedOn w:val="Normal"/>
    <w:link w:val="TextodegloboCar"/>
    <w:uiPriority w:val="99"/>
    <w:semiHidden/>
    <w:unhideWhenUsed/>
    <w:rsid w:val="00BB3002"/>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BB3002"/>
    <w:rPr>
      <w:rFonts w:ascii="Segoe UI" w:hAnsi="Segoe UI" w:cs="Segoe UI"/>
      <w:sz w:val="18"/>
      <w:szCs w:val="18"/>
    </w:rPr>
  </w:style>
  <w:style w:type="paragraph" w:styleId="Prrafodelista">
    <w:name w:val="List Paragraph"/>
    <w:basedOn w:val="Normal"/>
    <w:uiPriority w:val="34"/>
    <w:qFormat/>
    <w:rsid w:val="00F21135"/>
    <w:pPr>
      <w:ind w:left="720"/>
      <w:contextualSpacing/>
    </w:pPr>
  </w:style>
  <w:style w:type="character" w:styleId="Hipervnculo">
    <w:name w:val="Hyperlink"/>
    <w:basedOn w:val="Fuentedeprrafopredeter"/>
    <w:uiPriority w:val="99"/>
    <w:semiHidden/>
    <w:unhideWhenUsed/>
    <w:rsid w:val="00195021"/>
    <w:rPr>
      <w:color w:val="0000FF"/>
      <w:u w:val="single"/>
    </w:rPr>
  </w:style>
  <w:style w:type="paragraph" w:styleId="Piedepgina">
    <w:name w:val="footer"/>
    <w:basedOn w:val="Normal"/>
    <w:link w:val="PiedepginaCar"/>
    <w:uiPriority w:val="99"/>
    <w:unhideWhenUsed/>
    <w:rsid w:val="001C6E2B"/>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1C6E2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9695772">
      <w:bodyDiv w:val="1"/>
      <w:marLeft w:val="0"/>
      <w:marRight w:val="0"/>
      <w:marTop w:val="0"/>
      <w:marBottom w:val="0"/>
      <w:divBdr>
        <w:top w:val="none" w:sz="0" w:space="0" w:color="auto"/>
        <w:left w:val="none" w:sz="0" w:space="0" w:color="auto"/>
        <w:bottom w:val="none" w:sz="0" w:space="0" w:color="auto"/>
        <w:right w:val="none" w:sz="0" w:space="0" w:color="auto"/>
      </w:divBdr>
    </w:div>
    <w:div w:id="133715633">
      <w:bodyDiv w:val="1"/>
      <w:marLeft w:val="0"/>
      <w:marRight w:val="0"/>
      <w:marTop w:val="0"/>
      <w:marBottom w:val="0"/>
      <w:divBdr>
        <w:top w:val="none" w:sz="0" w:space="0" w:color="auto"/>
        <w:left w:val="none" w:sz="0" w:space="0" w:color="auto"/>
        <w:bottom w:val="none" w:sz="0" w:space="0" w:color="auto"/>
        <w:right w:val="none" w:sz="0" w:space="0" w:color="auto"/>
      </w:divBdr>
      <w:divsChild>
        <w:div w:id="1084104406">
          <w:marLeft w:val="0"/>
          <w:marRight w:val="0"/>
          <w:marTop w:val="0"/>
          <w:marBottom w:val="0"/>
          <w:divBdr>
            <w:top w:val="none" w:sz="0" w:space="0" w:color="auto"/>
            <w:left w:val="none" w:sz="0" w:space="0" w:color="auto"/>
            <w:bottom w:val="none" w:sz="0" w:space="0" w:color="auto"/>
            <w:right w:val="none" w:sz="0" w:space="0" w:color="auto"/>
          </w:divBdr>
        </w:div>
      </w:divsChild>
    </w:div>
    <w:div w:id="179469393">
      <w:bodyDiv w:val="1"/>
      <w:marLeft w:val="0"/>
      <w:marRight w:val="0"/>
      <w:marTop w:val="0"/>
      <w:marBottom w:val="0"/>
      <w:divBdr>
        <w:top w:val="none" w:sz="0" w:space="0" w:color="auto"/>
        <w:left w:val="none" w:sz="0" w:space="0" w:color="auto"/>
        <w:bottom w:val="none" w:sz="0" w:space="0" w:color="auto"/>
        <w:right w:val="none" w:sz="0" w:space="0" w:color="auto"/>
      </w:divBdr>
      <w:divsChild>
        <w:div w:id="914167486">
          <w:marLeft w:val="0"/>
          <w:marRight w:val="0"/>
          <w:marTop w:val="0"/>
          <w:marBottom w:val="0"/>
          <w:divBdr>
            <w:top w:val="none" w:sz="0" w:space="0" w:color="auto"/>
            <w:left w:val="none" w:sz="0" w:space="0" w:color="auto"/>
            <w:bottom w:val="none" w:sz="0" w:space="0" w:color="auto"/>
            <w:right w:val="none" w:sz="0" w:space="0" w:color="auto"/>
          </w:divBdr>
        </w:div>
      </w:divsChild>
    </w:div>
    <w:div w:id="376902122">
      <w:bodyDiv w:val="1"/>
      <w:marLeft w:val="0"/>
      <w:marRight w:val="0"/>
      <w:marTop w:val="0"/>
      <w:marBottom w:val="0"/>
      <w:divBdr>
        <w:top w:val="none" w:sz="0" w:space="0" w:color="auto"/>
        <w:left w:val="none" w:sz="0" w:space="0" w:color="auto"/>
        <w:bottom w:val="none" w:sz="0" w:space="0" w:color="auto"/>
        <w:right w:val="none" w:sz="0" w:space="0" w:color="auto"/>
      </w:divBdr>
      <w:divsChild>
        <w:div w:id="2041739420">
          <w:marLeft w:val="0"/>
          <w:marRight w:val="0"/>
          <w:marTop w:val="0"/>
          <w:marBottom w:val="0"/>
          <w:divBdr>
            <w:top w:val="none" w:sz="0" w:space="0" w:color="auto"/>
            <w:left w:val="none" w:sz="0" w:space="0" w:color="auto"/>
            <w:bottom w:val="none" w:sz="0" w:space="0" w:color="auto"/>
            <w:right w:val="none" w:sz="0" w:space="0" w:color="auto"/>
          </w:divBdr>
        </w:div>
      </w:divsChild>
    </w:div>
    <w:div w:id="516621607">
      <w:bodyDiv w:val="1"/>
      <w:marLeft w:val="0"/>
      <w:marRight w:val="0"/>
      <w:marTop w:val="0"/>
      <w:marBottom w:val="0"/>
      <w:divBdr>
        <w:top w:val="none" w:sz="0" w:space="0" w:color="auto"/>
        <w:left w:val="none" w:sz="0" w:space="0" w:color="auto"/>
        <w:bottom w:val="none" w:sz="0" w:space="0" w:color="auto"/>
        <w:right w:val="none" w:sz="0" w:space="0" w:color="auto"/>
      </w:divBdr>
      <w:divsChild>
        <w:div w:id="1132596362">
          <w:marLeft w:val="0"/>
          <w:marRight w:val="0"/>
          <w:marTop w:val="0"/>
          <w:marBottom w:val="0"/>
          <w:divBdr>
            <w:top w:val="none" w:sz="0" w:space="0" w:color="auto"/>
            <w:left w:val="none" w:sz="0" w:space="0" w:color="auto"/>
            <w:bottom w:val="none" w:sz="0" w:space="0" w:color="auto"/>
            <w:right w:val="none" w:sz="0" w:space="0" w:color="auto"/>
          </w:divBdr>
        </w:div>
      </w:divsChild>
    </w:div>
    <w:div w:id="575088472">
      <w:bodyDiv w:val="1"/>
      <w:marLeft w:val="0"/>
      <w:marRight w:val="0"/>
      <w:marTop w:val="0"/>
      <w:marBottom w:val="0"/>
      <w:divBdr>
        <w:top w:val="none" w:sz="0" w:space="0" w:color="auto"/>
        <w:left w:val="none" w:sz="0" w:space="0" w:color="auto"/>
        <w:bottom w:val="none" w:sz="0" w:space="0" w:color="auto"/>
        <w:right w:val="none" w:sz="0" w:space="0" w:color="auto"/>
      </w:divBdr>
      <w:divsChild>
        <w:div w:id="672807634">
          <w:marLeft w:val="0"/>
          <w:marRight w:val="0"/>
          <w:marTop w:val="0"/>
          <w:marBottom w:val="0"/>
          <w:divBdr>
            <w:top w:val="none" w:sz="0" w:space="0" w:color="auto"/>
            <w:left w:val="none" w:sz="0" w:space="0" w:color="auto"/>
            <w:bottom w:val="none" w:sz="0" w:space="0" w:color="auto"/>
            <w:right w:val="none" w:sz="0" w:space="0" w:color="auto"/>
          </w:divBdr>
        </w:div>
      </w:divsChild>
    </w:div>
    <w:div w:id="575824278">
      <w:bodyDiv w:val="1"/>
      <w:marLeft w:val="0"/>
      <w:marRight w:val="0"/>
      <w:marTop w:val="0"/>
      <w:marBottom w:val="0"/>
      <w:divBdr>
        <w:top w:val="none" w:sz="0" w:space="0" w:color="auto"/>
        <w:left w:val="none" w:sz="0" w:space="0" w:color="auto"/>
        <w:bottom w:val="none" w:sz="0" w:space="0" w:color="auto"/>
        <w:right w:val="none" w:sz="0" w:space="0" w:color="auto"/>
      </w:divBdr>
      <w:divsChild>
        <w:div w:id="269435826">
          <w:marLeft w:val="0"/>
          <w:marRight w:val="0"/>
          <w:marTop w:val="0"/>
          <w:marBottom w:val="0"/>
          <w:divBdr>
            <w:top w:val="none" w:sz="0" w:space="0" w:color="auto"/>
            <w:left w:val="none" w:sz="0" w:space="0" w:color="auto"/>
            <w:bottom w:val="none" w:sz="0" w:space="0" w:color="auto"/>
            <w:right w:val="none" w:sz="0" w:space="0" w:color="auto"/>
          </w:divBdr>
        </w:div>
      </w:divsChild>
    </w:div>
    <w:div w:id="692263892">
      <w:bodyDiv w:val="1"/>
      <w:marLeft w:val="0"/>
      <w:marRight w:val="0"/>
      <w:marTop w:val="0"/>
      <w:marBottom w:val="0"/>
      <w:divBdr>
        <w:top w:val="none" w:sz="0" w:space="0" w:color="auto"/>
        <w:left w:val="none" w:sz="0" w:space="0" w:color="auto"/>
        <w:bottom w:val="none" w:sz="0" w:space="0" w:color="auto"/>
        <w:right w:val="none" w:sz="0" w:space="0" w:color="auto"/>
      </w:divBdr>
      <w:divsChild>
        <w:div w:id="674529230">
          <w:marLeft w:val="0"/>
          <w:marRight w:val="0"/>
          <w:marTop w:val="0"/>
          <w:marBottom w:val="0"/>
          <w:divBdr>
            <w:top w:val="none" w:sz="0" w:space="0" w:color="auto"/>
            <w:left w:val="none" w:sz="0" w:space="0" w:color="auto"/>
            <w:bottom w:val="none" w:sz="0" w:space="0" w:color="auto"/>
            <w:right w:val="none" w:sz="0" w:space="0" w:color="auto"/>
          </w:divBdr>
        </w:div>
      </w:divsChild>
    </w:div>
    <w:div w:id="711810274">
      <w:bodyDiv w:val="1"/>
      <w:marLeft w:val="0"/>
      <w:marRight w:val="0"/>
      <w:marTop w:val="0"/>
      <w:marBottom w:val="0"/>
      <w:divBdr>
        <w:top w:val="none" w:sz="0" w:space="0" w:color="auto"/>
        <w:left w:val="none" w:sz="0" w:space="0" w:color="auto"/>
        <w:bottom w:val="none" w:sz="0" w:space="0" w:color="auto"/>
        <w:right w:val="none" w:sz="0" w:space="0" w:color="auto"/>
      </w:divBdr>
    </w:div>
    <w:div w:id="715130326">
      <w:bodyDiv w:val="1"/>
      <w:marLeft w:val="0"/>
      <w:marRight w:val="0"/>
      <w:marTop w:val="0"/>
      <w:marBottom w:val="0"/>
      <w:divBdr>
        <w:top w:val="none" w:sz="0" w:space="0" w:color="auto"/>
        <w:left w:val="none" w:sz="0" w:space="0" w:color="auto"/>
        <w:bottom w:val="none" w:sz="0" w:space="0" w:color="auto"/>
        <w:right w:val="none" w:sz="0" w:space="0" w:color="auto"/>
      </w:divBdr>
    </w:div>
    <w:div w:id="827750761">
      <w:bodyDiv w:val="1"/>
      <w:marLeft w:val="0"/>
      <w:marRight w:val="0"/>
      <w:marTop w:val="0"/>
      <w:marBottom w:val="0"/>
      <w:divBdr>
        <w:top w:val="none" w:sz="0" w:space="0" w:color="auto"/>
        <w:left w:val="none" w:sz="0" w:space="0" w:color="auto"/>
        <w:bottom w:val="none" w:sz="0" w:space="0" w:color="auto"/>
        <w:right w:val="none" w:sz="0" w:space="0" w:color="auto"/>
      </w:divBdr>
      <w:divsChild>
        <w:div w:id="1886408921">
          <w:marLeft w:val="0"/>
          <w:marRight w:val="0"/>
          <w:marTop w:val="0"/>
          <w:marBottom w:val="0"/>
          <w:divBdr>
            <w:top w:val="none" w:sz="0" w:space="0" w:color="auto"/>
            <w:left w:val="none" w:sz="0" w:space="0" w:color="auto"/>
            <w:bottom w:val="none" w:sz="0" w:space="0" w:color="auto"/>
            <w:right w:val="none" w:sz="0" w:space="0" w:color="auto"/>
          </w:divBdr>
        </w:div>
      </w:divsChild>
    </w:div>
    <w:div w:id="884173846">
      <w:bodyDiv w:val="1"/>
      <w:marLeft w:val="0"/>
      <w:marRight w:val="0"/>
      <w:marTop w:val="0"/>
      <w:marBottom w:val="0"/>
      <w:divBdr>
        <w:top w:val="none" w:sz="0" w:space="0" w:color="auto"/>
        <w:left w:val="none" w:sz="0" w:space="0" w:color="auto"/>
        <w:bottom w:val="none" w:sz="0" w:space="0" w:color="auto"/>
        <w:right w:val="none" w:sz="0" w:space="0" w:color="auto"/>
      </w:divBdr>
      <w:divsChild>
        <w:div w:id="560217911">
          <w:marLeft w:val="0"/>
          <w:marRight w:val="0"/>
          <w:marTop w:val="0"/>
          <w:marBottom w:val="0"/>
          <w:divBdr>
            <w:top w:val="none" w:sz="0" w:space="0" w:color="auto"/>
            <w:left w:val="none" w:sz="0" w:space="0" w:color="auto"/>
            <w:bottom w:val="none" w:sz="0" w:space="0" w:color="auto"/>
            <w:right w:val="none" w:sz="0" w:space="0" w:color="auto"/>
          </w:divBdr>
        </w:div>
      </w:divsChild>
    </w:div>
    <w:div w:id="884292262">
      <w:bodyDiv w:val="1"/>
      <w:marLeft w:val="0"/>
      <w:marRight w:val="0"/>
      <w:marTop w:val="0"/>
      <w:marBottom w:val="0"/>
      <w:divBdr>
        <w:top w:val="none" w:sz="0" w:space="0" w:color="auto"/>
        <w:left w:val="none" w:sz="0" w:space="0" w:color="auto"/>
        <w:bottom w:val="none" w:sz="0" w:space="0" w:color="auto"/>
        <w:right w:val="none" w:sz="0" w:space="0" w:color="auto"/>
      </w:divBdr>
      <w:divsChild>
        <w:div w:id="1290357510">
          <w:marLeft w:val="0"/>
          <w:marRight w:val="0"/>
          <w:marTop w:val="0"/>
          <w:marBottom w:val="0"/>
          <w:divBdr>
            <w:top w:val="none" w:sz="0" w:space="0" w:color="auto"/>
            <w:left w:val="none" w:sz="0" w:space="0" w:color="auto"/>
            <w:bottom w:val="none" w:sz="0" w:space="0" w:color="auto"/>
            <w:right w:val="none" w:sz="0" w:space="0" w:color="auto"/>
          </w:divBdr>
        </w:div>
      </w:divsChild>
    </w:div>
    <w:div w:id="914163796">
      <w:bodyDiv w:val="1"/>
      <w:marLeft w:val="0"/>
      <w:marRight w:val="0"/>
      <w:marTop w:val="0"/>
      <w:marBottom w:val="0"/>
      <w:divBdr>
        <w:top w:val="none" w:sz="0" w:space="0" w:color="auto"/>
        <w:left w:val="none" w:sz="0" w:space="0" w:color="auto"/>
        <w:bottom w:val="none" w:sz="0" w:space="0" w:color="auto"/>
        <w:right w:val="none" w:sz="0" w:space="0" w:color="auto"/>
      </w:divBdr>
      <w:divsChild>
        <w:div w:id="1860662722">
          <w:marLeft w:val="0"/>
          <w:marRight w:val="0"/>
          <w:marTop w:val="0"/>
          <w:marBottom w:val="0"/>
          <w:divBdr>
            <w:top w:val="none" w:sz="0" w:space="0" w:color="auto"/>
            <w:left w:val="none" w:sz="0" w:space="0" w:color="auto"/>
            <w:bottom w:val="none" w:sz="0" w:space="0" w:color="auto"/>
            <w:right w:val="none" w:sz="0" w:space="0" w:color="auto"/>
          </w:divBdr>
        </w:div>
      </w:divsChild>
    </w:div>
    <w:div w:id="943654110">
      <w:bodyDiv w:val="1"/>
      <w:marLeft w:val="0"/>
      <w:marRight w:val="0"/>
      <w:marTop w:val="0"/>
      <w:marBottom w:val="0"/>
      <w:divBdr>
        <w:top w:val="none" w:sz="0" w:space="0" w:color="auto"/>
        <w:left w:val="none" w:sz="0" w:space="0" w:color="auto"/>
        <w:bottom w:val="none" w:sz="0" w:space="0" w:color="auto"/>
        <w:right w:val="none" w:sz="0" w:space="0" w:color="auto"/>
      </w:divBdr>
      <w:divsChild>
        <w:div w:id="856430795">
          <w:marLeft w:val="0"/>
          <w:marRight w:val="0"/>
          <w:marTop w:val="0"/>
          <w:marBottom w:val="0"/>
          <w:divBdr>
            <w:top w:val="none" w:sz="0" w:space="0" w:color="auto"/>
            <w:left w:val="none" w:sz="0" w:space="0" w:color="auto"/>
            <w:bottom w:val="none" w:sz="0" w:space="0" w:color="auto"/>
            <w:right w:val="none" w:sz="0" w:space="0" w:color="auto"/>
          </w:divBdr>
        </w:div>
      </w:divsChild>
    </w:div>
    <w:div w:id="1015379693">
      <w:bodyDiv w:val="1"/>
      <w:marLeft w:val="0"/>
      <w:marRight w:val="0"/>
      <w:marTop w:val="0"/>
      <w:marBottom w:val="0"/>
      <w:divBdr>
        <w:top w:val="none" w:sz="0" w:space="0" w:color="auto"/>
        <w:left w:val="none" w:sz="0" w:space="0" w:color="auto"/>
        <w:bottom w:val="none" w:sz="0" w:space="0" w:color="auto"/>
        <w:right w:val="none" w:sz="0" w:space="0" w:color="auto"/>
      </w:divBdr>
      <w:divsChild>
        <w:div w:id="1599175410">
          <w:marLeft w:val="0"/>
          <w:marRight w:val="0"/>
          <w:marTop w:val="0"/>
          <w:marBottom w:val="0"/>
          <w:divBdr>
            <w:top w:val="none" w:sz="0" w:space="0" w:color="auto"/>
            <w:left w:val="none" w:sz="0" w:space="0" w:color="auto"/>
            <w:bottom w:val="none" w:sz="0" w:space="0" w:color="auto"/>
            <w:right w:val="none" w:sz="0" w:space="0" w:color="auto"/>
          </w:divBdr>
        </w:div>
      </w:divsChild>
    </w:div>
    <w:div w:id="1215198483">
      <w:bodyDiv w:val="1"/>
      <w:marLeft w:val="0"/>
      <w:marRight w:val="0"/>
      <w:marTop w:val="0"/>
      <w:marBottom w:val="0"/>
      <w:divBdr>
        <w:top w:val="none" w:sz="0" w:space="0" w:color="auto"/>
        <w:left w:val="none" w:sz="0" w:space="0" w:color="auto"/>
        <w:bottom w:val="none" w:sz="0" w:space="0" w:color="auto"/>
        <w:right w:val="none" w:sz="0" w:space="0" w:color="auto"/>
      </w:divBdr>
      <w:divsChild>
        <w:div w:id="483396487">
          <w:marLeft w:val="0"/>
          <w:marRight w:val="0"/>
          <w:marTop w:val="0"/>
          <w:marBottom w:val="0"/>
          <w:divBdr>
            <w:top w:val="none" w:sz="0" w:space="0" w:color="auto"/>
            <w:left w:val="none" w:sz="0" w:space="0" w:color="auto"/>
            <w:bottom w:val="none" w:sz="0" w:space="0" w:color="auto"/>
            <w:right w:val="none" w:sz="0" w:space="0" w:color="auto"/>
          </w:divBdr>
        </w:div>
      </w:divsChild>
    </w:div>
    <w:div w:id="1220937152">
      <w:bodyDiv w:val="1"/>
      <w:marLeft w:val="0"/>
      <w:marRight w:val="0"/>
      <w:marTop w:val="0"/>
      <w:marBottom w:val="0"/>
      <w:divBdr>
        <w:top w:val="none" w:sz="0" w:space="0" w:color="auto"/>
        <w:left w:val="none" w:sz="0" w:space="0" w:color="auto"/>
        <w:bottom w:val="none" w:sz="0" w:space="0" w:color="auto"/>
        <w:right w:val="none" w:sz="0" w:space="0" w:color="auto"/>
      </w:divBdr>
      <w:divsChild>
        <w:div w:id="853611627">
          <w:marLeft w:val="0"/>
          <w:marRight w:val="0"/>
          <w:marTop w:val="0"/>
          <w:marBottom w:val="0"/>
          <w:divBdr>
            <w:top w:val="none" w:sz="0" w:space="0" w:color="auto"/>
            <w:left w:val="none" w:sz="0" w:space="0" w:color="auto"/>
            <w:bottom w:val="none" w:sz="0" w:space="0" w:color="auto"/>
            <w:right w:val="none" w:sz="0" w:space="0" w:color="auto"/>
          </w:divBdr>
        </w:div>
      </w:divsChild>
    </w:div>
    <w:div w:id="1244804000">
      <w:bodyDiv w:val="1"/>
      <w:marLeft w:val="0"/>
      <w:marRight w:val="0"/>
      <w:marTop w:val="0"/>
      <w:marBottom w:val="0"/>
      <w:divBdr>
        <w:top w:val="none" w:sz="0" w:space="0" w:color="auto"/>
        <w:left w:val="none" w:sz="0" w:space="0" w:color="auto"/>
        <w:bottom w:val="none" w:sz="0" w:space="0" w:color="auto"/>
        <w:right w:val="none" w:sz="0" w:space="0" w:color="auto"/>
      </w:divBdr>
    </w:div>
    <w:div w:id="1284191303">
      <w:bodyDiv w:val="1"/>
      <w:marLeft w:val="0"/>
      <w:marRight w:val="0"/>
      <w:marTop w:val="0"/>
      <w:marBottom w:val="0"/>
      <w:divBdr>
        <w:top w:val="none" w:sz="0" w:space="0" w:color="auto"/>
        <w:left w:val="none" w:sz="0" w:space="0" w:color="auto"/>
        <w:bottom w:val="none" w:sz="0" w:space="0" w:color="auto"/>
        <w:right w:val="none" w:sz="0" w:space="0" w:color="auto"/>
      </w:divBdr>
      <w:divsChild>
        <w:div w:id="1477334054">
          <w:marLeft w:val="0"/>
          <w:marRight w:val="0"/>
          <w:marTop w:val="0"/>
          <w:marBottom w:val="0"/>
          <w:divBdr>
            <w:top w:val="none" w:sz="0" w:space="0" w:color="auto"/>
            <w:left w:val="none" w:sz="0" w:space="0" w:color="auto"/>
            <w:bottom w:val="none" w:sz="0" w:space="0" w:color="auto"/>
            <w:right w:val="none" w:sz="0" w:space="0" w:color="auto"/>
          </w:divBdr>
        </w:div>
      </w:divsChild>
    </w:div>
    <w:div w:id="1403257289">
      <w:bodyDiv w:val="1"/>
      <w:marLeft w:val="0"/>
      <w:marRight w:val="0"/>
      <w:marTop w:val="0"/>
      <w:marBottom w:val="0"/>
      <w:divBdr>
        <w:top w:val="none" w:sz="0" w:space="0" w:color="auto"/>
        <w:left w:val="none" w:sz="0" w:space="0" w:color="auto"/>
        <w:bottom w:val="none" w:sz="0" w:space="0" w:color="auto"/>
        <w:right w:val="none" w:sz="0" w:space="0" w:color="auto"/>
      </w:divBdr>
      <w:divsChild>
        <w:div w:id="304966362">
          <w:marLeft w:val="0"/>
          <w:marRight w:val="0"/>
          <w:marTop w:val="0"/>
          <w:marBottom w:val="0"/>
          <w:divBdr>
            <w:top w:val="none" w:sz="0" w:space="0" w:color="auto"/>
            <w:left w:val="none" w:sz="0" w:space="0" w:color="auto"/>
            <w:bottom w:val="none" w:sz="0" w:space="0" w:color="auto"/>
            <w:right w:val="none" w:sz="0" w:space="0" w:color="auto"/>
          </w:divBdr>
        </w:div>
      </w:divsChild>
    </w:div>
    <w:div w:id="1753508086">
      <w:bodyDiv w:val="1"/>
      <w:marLeft w:val="0"/>
      <w:marRight w:val="0"/>
      <w:marTop w:val="0"/>
      <w:marBottom w:val="0"/>
      <w:divBdr>
        <w:top w:val="none" w:sz="0" w:space="0" w:color="auto"/>
        <w:left w:val="none" w:sz="0" w:space="0" w:color="auto"/>
        <w:bottom w:val="none" w:sz="0" w:space="0" w:color="auto"/>
        <w:right w:val="none" w:sz="0" w:space="0" w:color="auto"/>
      </w:divBdr>
      <w:divsChild>
        <w:div w:id="207839702">
          <w:marLeft w:val="0"/>
          <w:marRight w:val="0"/>
          <w:marTop w:val="0"/>
          <w:marBottom w:val="0"/>
          <w:divBdr>
            <w:top w:val="none" w:sz="0" w:space="0" w:color="auto"/>
            <w:left w:val="none" w:sz="0" w:space="0" w:color="auto"/>
            <w:bottom w:val="none" w:sz="0" w:space="0" w:color="auto"/>
            <w:right w:val="none" w:sz="0" w:space="0" w:color="auto"/>
          </w:divBdr>
        </w:div>
      </w:divsChild>
    </w:div>
    <w:div w:id="1789398914">
      <w:bodyDiv w:val="1"/>
      <w:marLeft w:val="0"/>
      <w:marRight w:val="0"/>
      <w:marTop w:val="0"/>
      <w:marBottom w:val="0"/>
      <w:divBdr>
        <w:top w:val="none" w:sz="0" w:space="0" w:color="auto"/>
        <w:left w:val="none" w:sz="0" w:space="0" w:color="auto"/>
        <w:bottom w:val="none" w:sz="0" w:space="0" w:color="auto"/>
        <w:right w:val="none" w:sz="0" w:space="0" w:color="auto"/>
      </w:divBdr>
      <w:divsChild>
        <w:div w:id="639650227">
          <w:marLeft w:val="0"/>
          <w:marRight w:val="0"/>
          <w:marTop w:val="0"/>
          <w:marBottom w:val="0"/>
          <w:divBdr>
            <w:top w:val="none" w:sz="0" w:space="0" w:color="auto"/>
            <w:left w:val="none" w:sz="0" w:space="0" w:color="auto"/>
            <w:bottom w:val="none" w:sz="0" w:space="0" w:color="auto"/>
            <w:right w:val="none" w:sz="0" w:space="0" w:color="auto"/>
          </w:divBdr>
        </w:div>
      </w:divsChild>
    </w:div>
    <w:div w:id="1795057745">
      <w:bodyDiv w:val="1"/>
      <w:marLeft w:val="0"/>
      <w:marRight w:val="0"/>
      <w:marTop w:val="0"/>
      <w:marBottom w:val="0"/>
      <w:divBdr>
        <w:top w:val="none" w:sz="0" w:space="0" w:color="auto"/>
        <w:left w:val="none" w:sz="0" w:space="0" w:color="auto"/>
        <w:bottom w:val="none" w:sz="0" w:space="0" w:color="auto"/>
        <w:right w:val="none" w:sz="0" w:space="0" w:color="auto"/>
      </w:divBdr>
      <w:divsChild>
        <w:div w:id="1877810988">
          <w:marLeft w:val="0"/>
          <w:marRight w:val="0"/>
          <w:marTop w:val="0"/>
          <w:marBottom w:val="0"/>
          <w:divBdr>
            <w:top w:val="none" w:sz="0" w:space="0" w:color="auto"/>
            <w:left w:val="none" w:sz="0" w:space="0" w:color="auto"/>
            <w:bottom w:val="none" w:sz="0" w:space="0" w:color="auto"/>
            <w:right w:val="none" w:sz="0" w:space="0" w:color="auto"/>
          </w:divBdr>
        </w:div>
      </w:divsChild>
    </w:div>
    <w:div w:id="1899901145">
      <w:bodyDiv w:val="1"/>
      <w:marLeft w:val="0"/>
      <w:marRight w:val="0"/>
      <w:marTop w:val="0"/>
      <w:marBottom w:val="0"/>
      <w:divBdr>
        <w:top w:val="none" w:sz="0" w:space="0" w:color="auto"/>
        <w:left w:val="none" w:sz="0" w:space="0" w:color="auto"/>
        <w:bottom w:val="none" w:sz="0" w:space="0" w:color="auto"/>
        <w:right w:val="none" w:sz="0" w:space="0" w:color="auto"/>
      </w:divBdr>
      <w:divsChild>
        <w:div w:id="417361504">
          <w:marLeft w:val="0"/>
          <w:marRight w:val="0"/>
          <w:marTop w:val="0"/>
          <w:marBottom w:val="0"/>
          <w:divBdr>
            <w:top w:val="none" w:sz="0" w:space="0" w:color="auto"/>
            <w:left w:val="none" w:sz="0" w:space="0" w:color="auto"/>
            <w:bottom w:val="none" w:sz="0" w:space="0" w:color="auto"/>
            <w:right w:val="none" w:sz="0" w:space="0" w:color="auto"/>
          </w:divBdr>
        </w:div>
      </w:divsChild>
    </w:div>
    <w:div w:id="1942564719">
      <w:bodyDiv w:val="1"/>
      <w:marLeft w:val="0"/>
      <w:marRight w:val="0"/>
      <w:marTop w:val="0"/>
      <w:marBottom w:val="0"/>
      <w:divBdr>
        <w:top w:val="none" w:sz="0" w:space="0" w:color="auto"/>
        <w:left w:val="none" w:sz="0" w:space="0" w:color="auto"/>
        <w:bottom w:val="none" w:sz="0" w:space="0" w:color="auto"/>
        <w:right w:val="none" w:sz="0" w:space="0" w:color="auto"/>
      </w:divBdr>
      <w:divsChild>
        <w:div w:id="1457411511">
          <w:marLeft w:val="0"/>
          <w:marRight w:val="0"/>
          <w:marTop w:val="0"/>
          <w:marBottom w:val="0"/>
          <w:divBdr>
            <w:top w:val="none" w:sz="0" w:space="0" w:color="auto"/>
            <w:left w:val="none" w:sz="0" w:space="0" w:color="auto"/>
            <w:bottom w:val="none" w:sz="0" w:space="0" w:color="auto"/>
            <w:right w:val="none" w:sz="0" w:space="0" w:color="auto"/>
          </w:divBdr>
        </w:div>
      </w:divsChild>
    </w:div>
    <w:div w:id="1989312287">
      <w:bodyDiv w:val="1"/>
      <w:marLeft w:val="0"/>
      <w:marRight w:val="0"/>
      <w:marTop w:val="0"/>
      <w:marBottom w:val="0"/>
      <w:divBdr>
        <w:top w:val="none" w:sz="0" w:space="0" w:color="auto"/>
        <w:left w:val="none" w:sz="0" w:space="0" w:color="auto"/>
        <w:bottom w:val="none" w:sz="0" w:space="0" w:color="auto"/>
        <w:right w:val="none" w:sz="0" w:space="0" w:color="auto"/>
      </w:divBdr>
    </w:div>
    <w:div w:id="1998151135">
      <w:bodyDiv w:val="1"/>
      <w:marLeft w:val="0"/>
      <w:marRight w:val="0"/>
      <w:marTop w:val="0"/>
      <w:marBottom w:val="0"/>
      <w:divBdr>
        <w:top w:val="none" w:sz="0" w:space="0" w:color="auto"/>
        <w:left w:val="none" w:sz="0" w:space="0" w:color="auto"/>
        <w:bottom w:val="none" w:sz="0" w:space="0" w:color="auto"/>
        <w:right w:val="none" w:sz="0" w:space="0" w:color="auto"/>
      </w:divBdr>
    </w:div>
    <w:div w:id="1999185861">
      <w:bodyDiv w:val="1"/>
      <w:marLeft w:val="0"/>
      <w:marRight w:val="0"/>
      <w:marTop w:val="0"/>
      <w:marBottom w:val="0"/>
      <w:divBdr>
        <w:top w:val="none" w:sz="0" w:space="0" w:color="auto"/>
        <w:left w:val="none" w:sz="0" w:space="0" w:color="auto"/>
        <w:bottom w:val="none" w:sz="0" w:space="0" w:color="auto"/>
        <w:right w:val="none" w:sz="0" w:space="0" w:color="auto"/>
      </w:divBdr>
      <w:divsChild>
        <w:div w:id="414547266">
          <w:marLeft w:val="0"/>
          <w:marRight w:val="0"/>
          <w:marTop w:val="0"/>
          <w:marBottom w:val="0"/>
          <w:divBdr>
            <w:top w:val="none" w:sz="0" w:space="0" w:color="auto"/>
            <w:left w:val="none" w:sz="0" w:space="0" w:color="auto"/>
            <w:bottom w:val="none" w:sz="0" w:space="0" w:color="auto"/>
            <w:right w:val="none" w:sz="0" w:space="0" w:color="auto"/>
          </w:divBdr>
        </w:div>
      </w:divsChild>
    </w:div>
    <w:div w:id="21035992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B0C761A-D0AA-464C-9232-88ED22A0AE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4107</Words>
  <Characters>22590</Characters>
  <Application>Microsoft Office Word</Application>
  <DocSecurity>0</DocSecurity>
  <Lines>188</Lines>
  <Paragraphs>53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26644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TCAC</dc:creator>
  <cp:keywords/>
  <dc:description/>
  <cp:lastModifiedBy>UNICO</cp:lastModifiedBy>
  <cp:revision>2</cp:revision>
  <cp:lastPrinted>2018-12-02T18:21:00Z</cp:lastPrinted>
  <dcterms:created xsi:type="dcterms:W3CDTF">2019-04-10T21:33:00Z</dcterms:created>
  <dcterms:modified xsi:type="dcterms:W3CDTF">2019-04-10T21:33:00Z</dcterms:modified>
</cp:coreProperties>
</file>