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D17C84">
      <w:pPr>
        <w:spacing w:line="240" w:lineRule="auto"/>
        <w:ind w:left="269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6FAF1BD1" w:rsidR="003B6CF0" w:rsidRPr="00CB6405" w:rsidRDefault="003B6CF0" w:rsidP="00D17C84">
      <w:pPr>
        <w:spacing w:line="240" w:lineRule="auto"/>
        <w:ind w:left="269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5C6806">
        <w:rPr>
          <w:rFonts w:ascii="Arial" w:hAnsi="Arial" w:cs="Arial"/>
          <w:b/>
          <w:sz w:val="26"/>
          <w:szCs w:val="26"/>
        </w:rPr>
        <w:t>422</w:t>
      </w:r>
      <w:r>
        <w:rPr>
          <w:rFonts w:ascii="Arial" w:hAnsi="Arial" w:cs="Arial"/>
          <w:b/>
          <w:sz w:val="26"/>
          <w:szCs w:val="26"/>
        </w:rPr>
        <w:t>/20</w:t>
      </w:r>
      <w:r w:rsidR="00D32C8F">
        <w:rPr>
          <w:rFonts w:ascii="Arial" w:hAnsi="Arial" w:cs="Arial"/>
          <w:b/>
          <w:sz w:val="26"/>
          <w:szCs w:val="26"/>
        </w:rPr>
        <w:t>2</w:t>
      </w:r>
      <w:r w:rsidR="00A61C6D">
        <w:rPr>
          <w:rFonts w:ascii="Arial" w:hAnsi="Arial" w:cs="Arial"/>
          <w:b/>
          <w:sz w:val="26"/>
          <w:szCs w:val="26"/>
        </w:rPr>
        <w:t>1</w:t>
      </w:r>
      <w:r>
        <w:rPr>
          <w:rFonts w:ascii="Arial" w:hAnsi="Arial" w:cs="Arial"/>
          <w:b/>
          <w:sz w:val="26"/>
          <w:szCs w:val="26"/>
        </w:rPr>
        <w:t>.</w:t>
      </w:r>
    </w:p>
    <w:p w14:paraId="4DFA70CD" w14:textId="338931C0" w:rsidR="003B6CF0" w:rsidRDefault="003B6CF0" w:rsidP="00D17C84">
      <w:pPr>
        <w:spacing w:line="240" w:lineRule="auto"/>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61C6D">
        <w:rPr>
          <w:rFonts w:ascii="Arial" w:hAnsi="Arial" w:cs="Arial"/>
          <w:b/>
          <w:sz w:val="26"/>
          <w:szCs w:val="26"/>
        </w:rPr>
        <w:t>0</w:t>
      </w:r>
      <w:r w:rsidR="005C6806">
        <w:rPr>
          <w:rFonts w:ascii="Arial" w:hAnsi="Arial" w:cs="Arial"/>
          <w:b/>
          <w:sz w:val="26"/>
          <w:szCs w:val="26"/>
        </w:rPr>
        <w:t>075</w:t>
      </w:r>
      <w:r>
        <w:rPr>
          <w:rFonts w:ascii="Arial" w:hAnsi="Arial" w:cs="Arial"/>
          <w:b/>
          <w:sz w:val="26"/>
          <w:szCs w:val="26"/>
        </w:rPr>
        <w:t>/</w:t>
      </w:r>
      <w:r w:rsidRPr="00CB6405">
        <w:rPr>
          <w:rFonts w:ascii="Arial" w:hAnsi="Arial" w:cs="Arial"/>
          <w:b/>
          <w:sz w:val="26"/>
          <w:szCs w:val="26"/>
        </w:rPr>
        <w:t>20</w:t>
      </w:r>
      <w:r w:rsidR="005C6806">
        <w:rPr>
          <w:rFonts w:ascii="Arial" w:hAnsi="Arial" w:cs="Arial"/>
          <w:b/>
          <w:sz w:val="26"/>
          <w:szCs w:val="26"/>
        </w:rPr>
        <w:t>2</w:t>
      </w:r>
      <w:r w:rsidRPr="00CB6405">
        <w:rPr>
          <w:rFonts w:ascii="Arial" w:hAnsi="Arial" w:cs="Arial"/>
          <w:b/>
          <w:sz w:val="26"/>
          <w:szCs w:val="26"/>
        </w:rPr>
        <w:t xml:space="preserve">1 </w:t>
      </w:r>
      <w:r w:rsidR="00D32C8F">
        <w:rPr>
          <w:rFonts w:ascii="Arial" w:hAnsi="Arial" w:cs="Arial"/>
          <w:b/>
          <w:sz w:val="26"/>
          <w:szCs w:val="26"/>
        </w:rPr>
        <w:t xml:space="preserve">DE LA </w:t>
      </w:r>
      <w:r w:rsidR="00D733BC">
        <w:rPr>
          <w:rFonts w:ascii="Arial" w:hAnsi="Arial" w:cs="Arial"/>
          <w:b/>
          <w:sz w:val="26"/>
          <w:szCs w:val="26"/>
        </w:rPr>
        <w:t>CUART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D17C84">
      <w:pPr>
        <w:spacing w:line="240" w:lineRule="auto"/>
        <w:ind w:left="269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4A715615" w:rsidR="003B6CF0" w:rsidRDefault="00D6373A" w:rsidP="003B6CF0">
      <w:pPr>
        <w:spacing w:before="240" w:line="360" w:lineRule="auto"/>
        <w:jc w:val="both"/>
        <w:rPr>
          <w:rFonts w:ascii="Arial" w:hAnsi="Arial" w:cs="Arial"/>
          <w:b/>
          <w:sz w:val="26"/>
          <w:szCs w:val="26"/>
        </w:rPr>
      </w:pPr>
      <w:r>
        <w:rPr>
          <w:rFonts w:ascii="Arial" w:hAnsi="Arial" w:cs="Arial"/>
          <w:b/>
          <w:sz w:val="26"/>
          <w:szCs w:val="26"/>
        </w:rPr>
        <w:t xml:space="preserve"> </w:t>
      </w:r>
    </w:p>
    <w:p w14:paraId="3DE7165A" w14:textId="1970BD63"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D17C84">
        <w:rPr>
          <w:rFonts w:ascii="Arial" w:hAnsi="Arial" w:cs="Arial"/>
          <w:b/>
          <w:sz w:val="26"/>
          <w:szCs w:val="26"/>
        </w:rPr>
        <w:t>UNO</w:t>
      </w:r>
      <w:r w:rsidR="00D32C8F">
        <w:rPr>
          <w:rFonts w:ascii="Arial" w:hAnsi="Arial" w:cs="Arial"/>
          <w:b/>
          <w:sz w:val="26"/>
          <w:szCs w:val="26"/>
        </w:rPr>
        <w:t xml:space="preserve"> DE </w:t>
      </w:r>
      <w:r w:rsidR="00D17C84">
        <w:rPr>
          <w:rFonts w:ascii="Arial" w:hAnsi="Arial" w:cs="Arial"/>
          <w:b/>
          <w:sz w:val="26"/>
          <w:szCs w:val="26"/>
        </w:rPr>
        <w:t>SEPTIEMBRE</w:t>
      </w:r>
      <w:r w:rsidR="00D32C8F">
        <w:rPr>
          <w:rFonts w:ascii="Arial" w:hAnsi="Arial" w:cs="Arial"/>
          <w:b/>
          <w:sz w:val="26"/>
          <w:szCs w:val="26"/>
        </w:rPr>
        <w:t xml:space="preserve"> DE DOS MIL VEINTIDÓS</w:t>
      </w:r>
      <w:r>
        <w:rPr>
          <w:rFonts w:ascii="Arial" w:hAnsi="Arial" w:cs="Arial"/>
          <w:b/>
          <w:sz w:val="26"/>
          <w:szCs w:val="26"/>
        </w:rPr>
        <w:t xml:space="preserve">. - - - - - - - - - - - - - - - - - - - - - - - - - - - - - - - - - - - - - - - </w:t>
      </w:r>
    </w:p>
    <w:p w14:paraId="11DD62E0" w14:textId="7A641664" w:rsidR="00D17C84" w:rsidRDefault="003B6CF0" w:rsidP="00D17C84">
      <w:pPr>
        <w:spacing w:line="360" w:lineRule="auto"/>
        <w:ind w:firstLine="708"/>
        <w:jc w:val="both"/>
        <w:rPr>
          <w:rFonts w:ascii="Arial" w:eastAsiaTheme="minorHAnsi" w:hAnsi="Arial" w:cs="Arial"/>
          <w:sz w:val="26"/>
          <w:szCs w:val="26"/>
          <w:lang w:eastAsia="en-US"/>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D32C8F">
        <w:rPr>
          <w:rFonts w:ascii="Arial" w:hAnsi="Arial" w:cs="Arial"/>
          <w:b/>
          <w:sz w:val="26"/>
          <w:szCs w:val="26"/>
        </w:rPr>
        <w:t>4</w:t>
      </w:r>
      <w:r w:rsidR="005C6806">
        <w:rPr>
          <w:rFonts w:ascii="Arial" w:hAnsi="Arial" w:cs="Arial"/>
          <w:b/>
          <w:sz w:val="26"/>
          <w:szCs w:val="26"/>
        </w:rPr>
        <w:t>22</w:t>
      </w:r>
      <w:r w:rsidRPr="00CB6405">
        <w:rPr>
          <w:rFonts w:ascii="Arial" w:hAnsi="Arial" w:cs="Arial"/>
          <w:b/>
          <w:sz w:val="26"/>
          <w:szCs w:val="26"/>
        </w:rPr>
        <w:t>/20</w:t>
      </w:r>
      <w:r w:rsidR="00D32C8F">
        <w:rPr>
          <w:rFonts w:ascii="Arial" w:hAnsi="Arial" w:cs="Arial"/>
          <w:b/>
          <w:sz w:val="26"/>
          <w:szCs w:val="26"/>
        </w:rPr>
        <w:t>2</w:t>
      </w:r>
      <w:r w:rsidR="00A61C6D">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012E2B">
        <w:rPr>
          <w:rFonts w:ascii="Arial" w:hAnsi="Arial" w:cs="Arial"/>
          <w:b/>
          <w:sz w:val="26"/>
          <w:szCs w:val="26"/>
        </w:rPr>
        <w:t xml:space="preserve"> </w:t>
      </w:r>
      <w:r w:rsidR="00D32C8F">
        <w:rPr>
          <w:rFonts w:ascii="Arial" w:hAnsi="Arial" w:cs="Arial"/>
          <w:b/>
          <w:sz w:val="26"/>
          <w:szCs w:val="26"/>
        </w:rPr>
        <w:t xml:space="preserve"> </w:t>
      </w:r>
      <w:r w:rsidR="00BA0262">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w:t>
      </w:r>
      <w:r w:rsidR="005C6806">
        <w:rPr>
          <w:rFonts w:ascii="Arial" w:hAnsi="Arial" w:cs="Arial"/>
          <w:sz w:val="26"/>
          <w:szCs w:val="26"/>
        </w:rPr>
        <w:t>del acuerdo</w:t>
      </w:r>
      <w:r w:rsidR="00AC648A">
        <w:rPr>
          <w:rFonts w:ascii="Arial" w:hAnsi="Arial" w:cs="Arial"/>
          <w:sz w:val="26"/>
          <w:szCs w:val="26"/>
        </w:rPr>
        <w:t xml:space="preserve"> de </w:t>
      </w:r>
      <w:r w:rsidR="00D32C8F">
        <w:rPr>
          <w:rFonts w:ascii="Arial" w:hAnsi="Arial" w:cs="Arial"/>
          <w:sz w:val="26"/>
          <w:szCs w:val="26"/>
        </w:rPr>
        <w:t>tre</w:t>
      </w:r>
      <w:r w:rsidR="005C6806">
        <w:rPr>
          <w:rFonts w:ascii="Arial" w:hAnsi="Arial" w:cs="Arial"/>
          <w:sz w:val="26"/>
          <w:szCs w:val="26"/>
        </w:rPr>
        <w:t>ce</w:t>
      </w:r>
      <w:r>
        <w:rPr>
          <w:rFonts w:ascii="Arial" w:hAnsi="Arial" w:cs="Arial"/>
          <w:sz w:val="26"/>
          <w:szCs w:val="26"/>
        </w:rPr>
        <w:t xml:space="preserve"> de </w:t>
      </w:r>
      <w:r w:rsidR="005C6806">
        <w:rPr>
          <w:rFonts w:ascii="Arial" w:hAnsi="Arial" w:cs="Arial"/>
          <w:sz w:val="26"/>
          <w:szCs w:val="26"/>
        </w:rPr>
        <w:t xml:space="preserve">octubre </w:t>
      </w:r>
      <w:r>
        <w:rPr>
          <w:rFonts w:ascii="Arial" w:hAnsi="Arial" w:cs="Arial"/>
          <w:sz w:val="26"/>
          <w:szCs w:val="26"/>
        </w:rPr>
        <w:t xml:space="preserve">de dos mil </w:t>
      </w:r>
      <w:r w:rsidR="00D32C8F">
        <w:rPr>
          <w:rFonts w:ascii="Arial" w:hAnsi="Arial" w:cs="Arial"/>
          <w:sz w:val="26"/>
          <w:szCs w:val="26"/>
        </w:rPr>
        <w:t>veintiuno</w:t>
      </w:r>
      <w:r>
        <w:rPr>
          <w:rFonts w:ascii="Arial" w:hAnsi="Arial" w:cs="Arial"/>
          <w:sz w:val="26"/>
          <w:szCs w:val="26"/>
        </w:rPr>
        <w:t>, dictad</w:t>
      </w:r>
      <w:r w:rsidR="008234FD">
        <w:rPr>
          <w:rFonts w:ascii="Arial" w:hAnsi="Arial" w:cs="Arial"/>
          <w:sz w:val="26"/>
          <w:szCs w:val="26"/>
        </w:rPr>
        <w:t>o</w:t>
      </w:r>
      <w:r>
        <w:rPr>
          <w:rFonts w:ascii="Arial" w:hAnsi="Arial" w:cs="Arial"/>
          <w:sz w:val="26"/>
          <w:szCs w:val="26"/>
        </w:rPr>
        <w:t xml:space="preserve"> en el expediente </w:t>
      </w:r>
      <w:r w:rsidR="00D3539A">
        <w:rPr>
          <w:rFonts w:ascii="Arial" w:hAnsi="Arial" w:cs="Arial"/>
          <w:b/>
          <w:sz w:val="26"/>
          <w:szCs w:val="26"/>
        </w:rPr>
        <w:t>0</w:t>
      </w:r>
      <w:r w:rsidR="005C6806">
        <w:rPr>
          <w:rFonts w:ascii="Arial" w:hAnsi="Arial" w:cs="Arial"/>
          <w:b/>
          <w:sz w:val="26"/>
          <w:szCs w:val="26"/>
        </w:rPr>
        <w:t>075</w:t>
      </w:r>
      <w:r w:rsidR="007007A1">
        <w:rPr>
          <w:rFonts w:ascii="Arial" w:hAnsi="Arial" w:cs="Arial"/>
          <w:b/>
          <w:sz w:val="26"/>
          <w:szCs w:val="26"/>
        </w:rPr>
        <w:t>/20</w:t>
      </w:r>
      <w:r w:rsidR="005C6806">
        <w:rPr>
          <w:rFonts w:ascii="Arial" w:hAnsi="Arial" w:cs="Arial"/>
          <w:b/>
          <w:sz w:val="26"/>
          <w:szCs w:val="26"/>
        </w:rPr>
        <w:t>2</w:t>
      </w:r>
      <w:r w:rsidR="007007A1">
        <w:rPr>
          <w:rFonts w:ascii="Arial" w:hAnsi="Arial" w:cs="Arial"/>
          <w:b/>
          <w:sz w:val="26"/>
          <w:szCs w:val="26"/>
        </w:rPr>
        <w:t>1</w:t>
      </w:r>
      <w:r>
        <w:rPr>
          <w:rFonts w:ascii="Arial" w:hAnsi="Arial" w:cs="Arial"/>
          <w:b/>
          <w:sz w:val="26"/>
          <w:szCs w:val="26"/>
        </w:rPr>
        <w:t xml:space="preserve"> </w:t>
      </w:r>
      <w:r w:rsidR="007007A1">
        <w:rPr>
          <w:rFonts w:ascii="Arial" w:hAnsi="Arial" w:cs="Arial"/>
          <w:sz w:val="26"/>
          <w:szCs w:val="26"/>
        </w:rPr>
        <w:t xml:space="preserve">del índice de la </w:t>
      </w:r>
      <w:r w:rsidR="00AC648A">
        <w:rPr>
          <w:rFonts w:ascii="Arial" w:hAnsi="Arial" w:cs="Arial"/>
          <w:sz w:val="26"/>
          <w:szCs w:val="26"/>
        </w:rPr>
        <w:t>Cuar</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D32C8F">
        <w:rPr>
          <w:rFonts w:ascii="Arial" w:hAnsi="Arial" w:cs="Arial"/>
          <w:b/>
          <w:sz w:val="26"/>
          <w:szCs w:val="26"/>
        </w:rPr>
        <w:t xml:space="preserve"> </w:t>
      </w:r>
      <w:r w:rsidR="00BA0262">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5C6806">
        <w:rPr>
          <w:rFonts w:ascii="Arial" w:hAnsi="Arial" w:cs="Arial"/>
          <w:sz w:val="26"/>
          <w:szCs w:val="26"/>
        </w:rPr>
        <w:t xml:space="preserve"> la</w:t>
      </w:r>
      <w:r w:rsidR="00A61C6D">
        <w:rPr>
          <w:rFonts w:ascii="Arial" w:hAnsi="Arial" w:cs="Arial"/>
          <w:sz w:val="26"/>
          <w:szCs w:val="26"/>
        </w:rPr>
        <w:t xml:space="preserve"> </w:t>
      </w:r>
      <w:r w:rsidR="00D32C8F">
        <w:rPr>
          <w:rFonts w:ascii="Arial" w:hAnsi="Arial" w:cs="Arial"/>
          <w:b/>
          <w:sz w:val="26"/>
          <w:szCs w:val="26"/>
        </w:rPr>
        <w:t xml:space="preserve"> </w:t>
      </w:r>
      <w:r w:rsidR="005C6806">
        <w:rPr>
          <w:rFonts w:ascii="Arial" w:hAnsi="Arial" w:cs="Arial"/>
          <w:b/>
          <w:sz w:val="26"/>
          <w:szCs w:val="26"/>
        </w:rPr>
        <w:t>COORDINADORA DE COBRO COACTIVO DEPENDIENTE DE LA DIRECCIÓN DE INGRESOS Y RECAUDACIÓN Y NOTIFICADOR</w:t>
      </w:r>
      <w:r w:rsidR="00D17C84">
        <w:rPr>
          <w:rFonts w:ascii="Arial" w:hAnsi="Arial" w:cs="Arial"/>
          <w:b/>
          <w:sz w:val="26"/>
          <w:szCs w:val="26"/>
        </w:rPr>
        <w:t>-</w:t>
      </w:r>
      <w:r w:rsidR="005C6806">
        <w:rPr>
          <w:rFonts w:ascii="Arial" w:hAnsi="Arial" w:cs="Arial"/>
          <w:b/>
          <w:sz w:val="26"/>
          <w:szCs w:val="26"/>
        </w:rPr>
        <w:t>EJECUTOR DEPENDIENTE DE LA DELEGACIÓN FISCAL 8 HUAJUAPAN DE LEÓN, AUTORIDADES DE LA SECRETARÍA DE FINANZAS DEL GOBIERNO DEL ESTADO</w:t>
      </w:r>
      <w:r w:rsidR="00B736E2">
        <w:rPr>
          <w:rFonts w:ascii="Arial" w:hAnsi="Arial" w:cs="Arial"/>
          <w:b/>
          <w:sz w:val="26"/>
          <w:szCs w:val="26"/>
        </w:rPr>
        <w:t>;</w:t>
      </w:r>
      <w:r>
        <w:rPr>
          <w:rFonts w:ascii="Arial" w:hAnsi="Arial" w:cs="Arial"/>
          <w:sz w:val="26"/>
          <w:szCs w:val="26"/>
        </w:rPr>
        <w:t xml:space="preserve"> por lo que, con </w:t>
      </w:r>
      <w:r w:rsidR="00D32C8F" w:rsidRPr="000C4EA3">
        <w:rPr>
          <w:rFonts w:ascii="Arial" w:hAnsi="Arial" w:cs="Arial"/>
          <w:sz w:val="26"/>
          <w:szCs w:val="26"/>
        </w:rPr>
        <w:t xml:space="preserve">fundamento en los artículos </w:t>
      </w:r>
      <w:r w:rsidR="00D32C8F">
        <w:rPr>
          <w:rFonts w:ascii="Arial" w:hAnsi="Arial" w:cs="Arial"/>
          <w:sz w:val="26"/>
          <w:szCs w:val="26"/>
        </w:rPr>
        <w:t>236 y 23</w:t>
      </w:r>
      <w:r w:rsidR="00D32C8F" w:rsidRPr="00671697">
        <w:rPr>
          <w:rFonts w:ascii="Arial" w:hAnsi="Arial" w:cs="Arial"/>
          <w:sz w:val="26"/>
          <w:szCs w:val="26"/>
        </w:rPr>
        <w:t>8</w:t>
      </w:r>
      <w:r w:rsidR="00D32C8F">
        <w:rPr>
          <w:rFonts w:ascii="Arial" w:hAnsi="Arial" w:cs="Arial"/>
          <w:sz w:val="26"/>
          <w:szCs w:val="26"/>
        </w:rPr>
        <w:t xml:space="preserve"> de la Ley de Procedimiento y Justicia Administrativa para el Estado de Oaxaca, y </w:t>
      </w:r>
      <w:r w:rsidR="00D17C84">
        <w:rPr>
          <w:rFonts w:ascii="Arial" w:eastAsiaTheme="minorHAnsi" w:hAnsi="Arial" w:cs="Arial"/>
          <w:sz w:val="26"/>
          <w:szCs w:val="26"/>
          <w:lang w:eastAsia="en-US"/>
        </w:rPr>
        <w:t xml:space="preserve">24 fracción I y III de la </w:t>
      </w:r>
      <w:r w:rsidR="00D17C84" w:rsidRPr="00EB490F">
        <w:rPr>
          <w:rFonts w:ascii="Arial" w:eastAsiaTheme="minorHAnsi" w:hAnsi="Arial" w:cs="Arial"/>
          <w:sz w:val="26"/>
          <w:szCs w:val="26"/>
          <w:lang w:eastAsia="en-US"/>
        </w:rPr>
        <w:t>Ley Orgánica del Tribunal de Justicia Administrativa del Estado de Oaxaca</w:t>
      </w:r>
      <w:r w:rsidR="00D17C84" w:rsidRPr="00263566">
        <w:rPr>
          <w:rFonts w:ascii="Arial" w:eastAsiaTheme="minorHAnsi" w:hAnsi="Arial" w:cs="Arial"/>
          <w:sz w:val="26"/>
          <w:szCs w:val="26"/>
          <w:lang w:eastAsia="en-US"/>
        </w:rPr>
        <w:t xml:space="preserve">, </w:t>
      </w:r>
      <w:r w:rsidR="00D17C84">
        <w:rPr>
          <w:rFonts w:ascii="Arial" w:eastAsiaTheme="minorHAnsi" w:hAnsi="Arial" w:cs="Arial"/>
          <w:sz w:val="26"/>
          <w:szCs w:val="26"/>
          <w:lang w:eastAsia="en-US"/>
        </w:rPr>
        <w:t xml:space="preserve">se da tramite. Por consiguiente se procede a dictar </w:t>
      </w:r>
      <w:r w:rsidR="00D17C84" w:rsidRPr="00263566">
        <w:rPr>
          <w:rFonts w:ascii="Arial" w:eastAsiaTheme="minorHAnsi" w:hAnsi="Arial" w:cs="Arial"/>
          <w:sz w:val="26"/>
          <w:szCs w:val="26"/>
          <w:lang w:eastAsia="en-US"/>
        </w:rPr>
        <w:t xml:space="preserve">resolución en los siguientes términos:- - </w:t>
      </w:r>
      <w:r w:rsidR="00D17C84">
        <w:rPr>
          <w:rFonts w:ascii="Arial" w:eastAsiaTheme="minorHAnsi" w:hAnsi="Arial" w:cs="Arial"/>
          <w:sz w:val="26"/>
          <w:szCs w:val="26"/>
          <w:lang w:eastAsia="en-US"/>
        </w:rPr>
        <w:t xml:space="preserve">- - - - - - - - - - - - - - - - - - - </w:t>
      </w:r>
      <w:r w:rsidR="00BA0262">
        <w:rPr>
          <w:rFonts w:ascii="Arial" w:eastAsiaTheme="minorHAnsi" w:hAnsi="Arial" w:cs="Arial"/>
          <w:sz w:val="26"/>
          <w:szCs w:val="26"/>
          <w:lang w:eastAsia="en-US"/>
        </w:rPr>
        <w:t>- - - - - - - - - - - -</w:t>
      </w:r>
    </w:p>
    <w:p w14:paraId="42D76FAD" w14:textId="2FD4CD86" w:rsidR="003B6CF0" w:rsidRPr="00CB6405" w:rsidRDefault="003B6CF0" w:rsidP="00D17C84">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5DE428AC" w14:textId="6CBBEE51"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5C6806">
        <w:rPr>
          <w:rFonts w:ascii="Arial" w:hAnsi="Arial" w:cs="Arial"/>
          <w:sz w:val="26"/>
          <w:szCs w:val="26"/>
        </w:rPr>
        <w:t>e</w:t>
      </w:r>
      <w:r w:rsidR="00D32C8F">
        <w:rPr>
          <w:rFonts w:ascii="Arial" w:hAnsi="Arial" w:cs="Arial"/>
          <w:sz w:val="26"/>
          <w:szCs w:val="26"/>
        </w:rPr>
        <w:t>l</w:t>
      </w:r>
      <w:r w:rsidR="005C6806">
        <w:rPr>
          <w:rFonts w:ascii="Arial" w:hAnsi="Arial" w:cs="Arial"/>
          <w:sz w:val="26"/>
          <w:szCs w:val="26"/>
        </w:rPr>
        <w:t xml:space="preserve"> </w:t>
      </w:r>
      <w:r w:rsidR="00D32C8F">
        <w:rPr>
          <w:rFonts w:ascii="Arial" w:hAnsi="Arial" w:cs="Arial"/>
          <w:sz w:val="26"/>
          <w:szCs w:val="26"/>
        </w:rPr>
        <w:t>a</w:t>
      </w:r>
      <w:r w:rsidR="005C6806">
        <w:rPr>
          <w:rFonts w:ascii="Arial" w:hAnsi="Arial" w:cs="Arial"/>
          <w:sz w:val="26"/>
          <w:szCs w:val="26"/>
        </w:rPr>
        <w:t xml:space="preserve">cuerdo </w:t>
      </w:r>
      <w:r>
        <w:rPr>
          <w:rFonts w:ascii="Arial" w:hAnsi="Arial" w:cs="Arial"/>
          <w:sz w:val="26"/>
          <w:szCs w:val="26"/>
        </w:rPr>
        <w:t xml:space="preserve">de </w:t>
      </w:r>
      <w:r w:rsidR="005C6806">
        <w:rPr>
          <w:rFonts w:ascii="Arial" w:hAnsi="Arial" w:cs="Arial"/>
          <w:sz w:val="26"/>
          <w:szCs w:val="26"/>
        </w:rPr>
        <w:t>trece</w:t>
      </w:r>
      <w:r w:rsidR="00B736E2">
        <w:rPr>
          <w:rFonts w:ascii="Arial" w:hAnsi="Arial" w:cs="Arial"/>
          <w:sz w:val="26"/>
          <w:szCs w:val="26"/>
        </w:rPr>
        <w:t xml:space="preserve"> </w:t>
      </w:r>
      <w:r w:rsidR="00D3539A">
        <w:rPr>
          <w:rFonts w:ascii="Arial" w:hAnsi="Arial" w:cs="Arial"/>
          <w:sz w:val="26"/>
          <w:szCs w:val="26"/>
        </w:rPr>
        <w:t xml:space="preserve">de </w:t>
      </w:r>
      <w:r w:rsidR="005C6806">
        <w:rPr>
          <w:rFonts w:ascii="Arial" w:hAnsi="Arial" w:cs="Arial"/>
          <w:sz w:val="26"/>
          <w:szCs w:val="26"/>
        </w:rPr>
        <w:t>octubre</w:t>
      </w:r>
      <w:r w:rsidR="00D3539A">
        <w:rPr>
          <w:rFonts w:ascii="Arial" w:hAnsi="Arial" w:cs="Arial"/>
          <w:sz w:val="26"/>
          <w:szCs w:val="26"/>
        </w:rPr>
        <w:t xml:space="preserve"> de dos mil </w:t>
      </w:r>
      <w:r w:rsidR="005C6806">
        <w:rPr>
          <w:rFonts w:ascii="Arial" w:hAnsi="Arial" w:cs="Arial"/>
          <w:sz w:val="26"/>
          <w:szCs w:val="26"/>
        </w:rPr>
        <w:t>v</w:t>
      </w:r>
      <w:r w:rsidR="00D32C8F">
        <w:rPr>
          <w:rFonts w:ascii="Arial" w:hAnsi="Arial" w:cs="Arial"/>
          <w:sz w:val="26"/>
          <w:szCs w:val="26"/>
        </w:rPr>
        <w:t>eintiuno</w:t>
      </w:r>
      <w:r>
        <w:rPr>
          <w:rFonts w:ascii="Arial" w:hAnsi="Arial" w:cs="Arial"/>
          <w:sz w:val="26"/>
          <w:szCs w:val="26"/>
        </w:rPr>
        <w:t xml:space="preserve">, </w:t>
      </w:r>
      <w:r w:rsidRPr="00CB6405">
        <w:rPr>
          <w:rFonts w:ascii="Arial" w:hAnsi="Arial" w:cs="Arial"/>
          <w:sz w:val="26"/>
          <w:szCs w:val="26"/>
        </w:rPr>
        <w:t>dictad</w:t>
      </w:r>
      <w:r w:rsidR="008234FD">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A02F13">
        <w:rPr>
          <w:rFonts w:ascii="Arial" w:hAnsi="Arial" w:cs="Arial"/>
          <w:sz w:val="26"/>
          <w:szCs w:val="26"/>
        </w:rPr>
        <w:t>Cuar</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E84264">
        <w:rPr>
          <w:rFonts w:ascii="Arial" w:hAnsi="Arial" w:cs="Arial"/>
          <w:sz w:val="26"/>
          <w:szCs w:val="26"/>
        </w:rPr>
        <w:t>el</w:t>
      </w:r>
      <w:r w:rsidR="004C1769">
        <w:rPr>
          <w:rFonts w:ascii="Arial" w:hAnsi="Arial" w:cs="Arial"/>
          <w:b/>
          <w:sz w:val="26"/>
          <w:szCs w:val="26"/>
        </w:rPr>
        <w:t xml:space="preserve"> </w:t>
      </w:r>
      <w:r w:rsidR="00BA0262">
        <w:rPr>
          <w:rFonts w:ascii="Arial" w:hAnsi="Arial" w:cs="Arial"/>
          <w:b/>
          <w:sz w:val="26"/>
          <w:szCs w:val="26"/>
        </w:rPr>
        <w:t>*******</w:t>
      </w:r>
      <w:r w:rsidR="00E84264">
        <w:rPr>
          <w:rFonts w:ascii="Arial" w:hAnsi="Arial" w:cs="Arial"/>
          <w:b/>
          <w:sz w:val="26"/>
          <w:szCs w:val="26"/>
        </w:rPr>
        <w:t>,</w:t>
      </w:r>
      <w:r w:rsidR="004C1769" w:rsidRPr="00CB6405">
        <w:rPr>
          <w:rFonts w:ascii="Arial" w:hAnsi="Arial" w:cs="Arial"/>
          <w:sz w:val="26"/>
          <w:szCs w:val="26"/>
        </w:rPr>
        <w:t xml:space="preserve"> </w:t>
      </w:r>
      <w:proofErr w:type="gramStart"/>
      <w:r w:rsidRPr="00CB6405">
        <w:rPr>
          <w:rFonts w:ascii="Arial" w:hAnsi="Arial" w:cs="Arial"/>
          <w:sz w:val="26"/>
          <w:szCs w:val="26"/>
        </w:rPr>
        <w:t>interpuso</w:t>
      </w:r>
      <w:proofErr w:type="gramEnd"/>
      <w:r w:rsidRPr="00CB6405">
        <w:rPr>
          <w:rFonts w:ascii="Arial" w:hAnsi="Arial" w:cs="Arial"/>
          <w:sz w:val="26"/>
          <w:szCs w:val="26"/>
        </w:rPr>
        <w:t xml:space="preserve"> en su contra recurso de revisión.</w:t>
      </w:r>
      <w:r w:rsidR="00D17C84">
        <w:rPr>
          <w:rFonts w:ascii="Arial" w:hAnsi="Arial" w:cs="Arial"/>
          <w:sz w:val="26"/>
          <w:szCs w:val="26"/>
        </w:rPr>
        <w:t xml:space="preserve"> - - - - - - - - - - - - - - - - </w:t>
      </w:r>
    </w:p>
    <w:p w14:paraId="002DF9C7" w14:textId="5185B7EA" w:rsidR="008234FD" w:rsidRDefault="003B6CF0" w:rsidP="00D17C84">
      <w:pPr>
        <w:spacing w:after="0"/>
        <w:ind w:firstLine="567"/>
        <w:jc w:val="both"/>
        <w:rPr>
          <w:rFonts w:ascii="Arial" w:hAnsi="Arial" w:cs="Arial"/>
          <w:bCs/>
          <w:iCs/>
          <w:sz w:val="26"/>
          <w:szCs w:val="26"/>
        </w:rPr>
      </w:pPr>
      <w:r w:rsidRPr="00D17C84">
        <w:rPr>
          <w:rFonts w:ascii="Arial" w:hAnsi="Arial" w:cs="Arial"/>
          <w:b/>
          <w:bCs/>
          <w:iCs/>
          <w:sz w:val="26"/>
          <w:szCs w:val="26"/>
        </w:rPr>
        <w:t xml:space="preserve">SEGUNDO. </w:t>
      </w:r>
      <w:r w:rsidR="008234FD" w:rsidRPr="00D17C84">
        <w:rPr>
          <w:rFonts w:ascii="Arial" w:hAnsi="Arial" w:cs="Arial"/>
          <w:bCs/>
          <w:iCs/>
          <w:sz w:val="26"/>
          <w:szCs w:val="26"/>
        </w:rPr>
        <w:t>El texto del acuerdo recurrido es el siguiente:</w:t>
      </w:r>
    </w:p>
    <w:p w14:paraId="11ED64A7" w14:textId="77777777" w:rsidR="00D17C84" w:rsidRPr="00D17C84" w:rsidRDefault="00D17C84" w:rsidP="00D17C84">
      <w:pPr>
        <w:spacing w:after="0"/>
        <w:ind w:firstLine="567"/>
        <w:jc w:val="both"/>
        <w:rPr>
          <w:rFonts w:ascii="Arial" w:hAnsi="Arial" w:cs="Arial"/>
          <w:bCs/>
          <w:iCs/>
          <w:sz w:val="26"/>
          <w:szCs w:val="26"/>
        </w:rPr>
      </w:pPr>
    </w:p>
    <w:p w14:paraId="31407C94" w14:textId="4713F99D" w:rsidR="008234FD" w:rsidRPr="00D17C84" w:rsidRDefault="008234FD" w:rsidP="00D17C84">
      <w:pPr>
        <w:spacing w:after="0"/>
        <w:ind w:left="567" w:right="616"/>
        <w:jc w:val="both"/>
        <w:rPr>
          <w:rFonts w:ascii="Arial" w:eastAsia="Times New Roman" w:hAnsi="Arial" w:cs="Arial"/>
          <w:b/>
          <w:bCs/>
          <w:i/>
          <w:iCs/>
          <w:lang w:eastAsia="es-ES"/>
        </w:rPr>
      </w:pPr>
      <w:r w:rsidRPr="00D17C84">
        <w:rPr>
          <w:rFonts w:ascii="Arial" w:eastAsia="Times New Roman" w:hAnsi="Arial" w:cs="Arial"/>
          <w:b/>
          <w:bCs/>
          <w:i/>
          <w:iCs/>
          <w:lang w:eastAsia="es-ES"/>
        </w:rPr>
        <w:t xml:space="preserve"> </w:t>
      </w:r>
      <w:r w:rsidR="003B6CF0" w:rsidRPr="00D17C84">
        <w:rPr>
          <w:rFonts w:ascii="Arial" w:eastAsia="Times New Roman" w:hAnsi="Arial" w:cs="Arial"/>
          <w:b/>
          <w:bCs/>
          <w:i/>
          <w:iCs/>
          <w:lang w:eastAsia="es-ES"/>
        </w:rPr>
        <w:t>“</w:t>
      </w:r>
      <w:r w:rsidRPr="00D17C84">
        <w:rPr>
          <w:rFonts w:ascii="Arial" w:eastAsia="Times New Roman" w:hAnsi="Arial" w:cs="Arial"/>
          <w:b/>
          <w:bCs/>
          <w:i/>
          <w:iCs/>
          <w:lang w:eastAsia="es-ES"/>
        </w:rPr>
        <w:t>OAXACA DE JUÁREZ, OAXACA A TRECE DE OCTUBRE DE DOS MIL VEINTIUNO.</w:t>
      </w:r>
    </w:p>
    <w:p w14:paraId="645BC936" w14:textId="2D575D4E" w:rsidR="008234FD" w:rsidRPr="00D17C84" w:rsidRDefault="008234FD" w:rsidP="00D17C84">
      <w:pPr>
        <w:spacing w:after="0"/>
        <w:ind w:left="567" w:right="616"/>
        <w:jc w:val="both"/>
        <w:rPr>
          <w:rFonts w:ascii="Arial" w:eastAsia="Times New Roman" w:hAnsi="Arial" w:cs="Arial"/>
          <w:bCs/>
          <w:i/>
          <w:iCs/>
          <w:lang w:eastAsia="es-ES"/>
        </w:rPr>
      </w:pPr>
      <w:r w:rsidRPr="00D17C84">
        <w:rPr>
          <w:rFonts w:ascii="Arial" w:eastAsia="Times New Roman" w:hAnsi="Arial" w:cs="Arial"/>
          <w:bCs/>
          <w:i/>
          <w:iCs/>
          <w:lang w:eastAsia="es-ES"/>
        </w:rPr>
        <w:t xml:space="preserve">Se da cuenta con el escrito de </w:t>
      </w:r>
      <w:r w:rsidR="00BA0262">
        <w:rPr>
          <w:rFonts w:ascii="Arial" w:eastAsia="Times New Roman" w:hAnsi="Arial" w:cs="Arial"/>
          <w:b/>
          <w:bCs/>
          <w:i/>
          <w:iCs/>
          <w:lang w:eastAsia="es-ES"/>
        </w:rPr>
        <w:t>*******</w:t>
      </w:r>
      <w:r w:rsidRPr="00D17C84">
        <w:rPr>
          <w:rFonts w:ascii="Arial" w:eastAsia="Times New Roman" w:hAnsi="Arial" w:cs="Arial"/>
          <w:b/>
          <w:bCs/>
          <w:i/>
          <w:iCs/>
          <w:lang w:eastAsia="es-ES"/>
        </w:rPr>
        <w:t xml:space="preserve">, </w:t>
      </w:r>
      <w:r w:rsidRPr="00D17C84">
        <w:rPr>
          <w:rFonts w:ascii="Arial" w:eastAsia="Times New Roman" w:hAnsi="Arial" w:cs="Arial"/>
          <w:bCs/>
          <w:i/>
          <w:iCs/>
          <w:lang w:eastAsia="es-ES"/>
        </w:rPr>
        <w:t xml:space="preserve">recibido en la Oficialía de Partes de Términos de Primera y Segunda Instancia de este Tribunal, el día once de octubre del año en curso, el cual se provee hasta el día de hoy, toda </w:t>
      </w:r>
      <w:r w:rsidRPr="00D17C84">
        <w:rPr>
          <w:rFonts w:ascii="Arial" w:eastAsia="Times New Roman" w:hAnsi="Arial" w:cs="Arial"/>
          <w:bCs/>
          <w:i/>
          <w:iCs/>
          <w:lang w:eastAsia="es-ES"/>
        </w:rPr>
        <w:lastRenderedPageBreak/>
        <w:t xml:space="preserve">vez que fue declaro (sic) inhábil el día doce de octubre del presente año, con motivo del “Día de la Nación Pluricultural”, conforme a lo establecido por el Acuerdo General </w:t>
      </w:r>
      <w:r w:rsidR="00BA0262">
        <w:rPr>
          <w:rFonts w:ascii="Arial" w:eastAsia="Times New Roman" w:hAnsi="Arial" w:cs="Arial"/>
          <w:b/>
          <w:bCs/>
          <w:i/>
          <w:iCs/>
          <w:lang w:eastAsia="es-ES"/>
        </w:rPr>
        <w:t>*******</w:t>
      </w:r>
      <w:r w:rsidRPr="00D17C84">
        <w:rPr>
          <w:rFonts w:ascii="Arial" w:eastAsia="Times New Roman" w:hAnsi="Arial" w:cs="Arial"/>
          <w:b/>
          <w:bCs/>
          <w:i/>
          <w:iCs/>
          <w:lang w:eastAsia="es-ES"/>
        </w:rPr>
        <w:t xml:space="preserve">, </w:t>
      </w:r>
      <w:r w:rsidRPr="00D17C84">
        <w:rPr>
          <w:rFonts w:ascii="Arial" w:eastAsia="Times New Roman" w:hAnsi="Arial" w:cs="Arial"/>
          <w:bCs/>
          <w:i/>
          <w:iCs/>
          <w:lang w:eastAsia="es-ES"/>
        </w:rPr>
        <w:t>de la Sala Superior de este Tribunal; por lo tanto, se tiene al promovente por su propio derecho demandando la nulidad de:</w:t>
      </w:r>
      <w:r w:rsidR="00DF18FE" w:rsidRPr="00D17C84">
        <w:rPr>
          <w:rFonts w:ascii="Arial" w:eastAsia="Times New Roman" w:hAnsi="Arial" w:cs="Arial"/>
          <w:bCs/>
          <w:i/>
          <w:iCs/>
          <w:lang w:eastAsia="es-ES"/>
        </w:rPr>
        <w:t xml:space="preserve"> </w:t>
      </w:r>
      <w:r w:rsidR="00DF18FE" w:rsidRPr="00D17C84">
        <w:rPr>
          <w:rFonts w:ascii="Arial" w:eastAsia="Times New Roman" w:hAnsi="Arial" w:cs="Arial"/>
          <w:b/>
          <w:bCs/>
          <w:i/>
          <w:iCs/>
          <w:lang w:eastAsia="es-ES"/>
        </w:rPr>
        <w:t xml:space="preserve">a) </w:t>
      </w:r>
      <w:r w:rsidR="00DF18FE" w:rsidRPr="00D17C84">
        <w:rPr>
          <w:rFonts w:ascii="Arial" w:eastAsia="Times New Roman" w:hAnsi="Arial" w:cs="Arial"/>
          <w:bCs/>
          <w:i/>
          <w:iCs/>
          <w:lang w:eastAsia="es-ES"/>
        </w:rPr>
        <w:t xml:space="preserve">el mandamiento de ejecución número </w:t>
      </w:r>
      <w:r w:rsidR="00BA0262">
        <w:rPr>
          <w:rFonts w:ascii="Arial" w:eastAsia="Times New Roman" w:hAnsi="Arial" w:cs="Arial"/>
          <w:b/>
          <w:bCs/>
          <w:i/>
          <w:iCs/>
          <w:lang w:eastAsia="es-ES"/>
        </w:rPr>
        <w:t>*******</w:t>
      </w:r>
      <w:r w:rsidR="00DF18FE" w:rsidRPr="00D17C84">
        <w:rPr>
          <w:rFonts w:ascii="Arial" w:eastAsia="Times New Roman" w:hAnsi="Arial" w:cs="Arial"/>
          <w:b/>
          <w:bCs/>
          <w:i/>
          <w:iCs/>
          <w:lang w:eastAsia="es-ES"/>
        </w:rPr>
        <w:t xml:space="preserve">, </w:t>
      </w:r>
      <w:r w:rsidR="00DF18FE" w:rsidRPr="00D17C84">
        <w:rPr>
          <w:rFonts w:ascii="Arial" w:eastAsia="Times New Roman" w:hAnsi="Arial" w:cs="Arial"/>
          <w:bCs/>
          <w:i/>
          <w:iCs/>
          <w:lang w:eastAsia="es-ES"/>
        </w:rPr>
        <w:t xml:space="preserve">de veinticuatro de junio de la anualidad que transcurre, que contiene el crédito fiscal </w:t>
      </w:r>
      <w:r w:rsidR="00BA0262">
        <w:rPr>
          <w:rFonts w:ascii="Arial" w:eastAsia="Times New Roman" w:hAnsi="Arial" w:cs="Arial"/>
          <w:b/>
          <w:bCs/>
          <w:i/>
          <w:iCs/>
          <w:lang w:eastAsia="es-ES"/>
        </w:rPr>
        <w:t>*******</w:t>
      </w:r>
      <w:r w:rsidR="00DF18FE" w:rsidRPr="00D17C84">
        <w:rPr>
          <w:rFonts w:ascii="Arial" w:eastAsia="Times New Roman" w:hAnsi="Arial" w:cs="Arial"/>
          <w:b/>
          <w:bCs/>
          <w:i/>
          <w:iCs/>
          <w:lang w:eastAsia="es-ES"/>
        </w:rPr>
        <w:t xml:space="preserve">, </w:t>
      </w:r>
      <w:r w:rsidR="00DF18FE" w:rsidRPr="00D17C84">
        <w:rPr>
          <w:rFonts w:ascii="Arial" w:eastAsia="Times New Roman" w:hAnsi="Arial" w:cs="Arial"/>
          <w:bCs/>
          <w:i/>
          <w:iCs/>
          <w:lang w:eastAsia="es-ES"/>
        </w:rPr>
        <w:t xml:space="preserve">derivado de la resolución determinante de dos de octubre de dos mil diecinueve, en el procedimiento número </w:t>
      </w:r>
      <w:r w:rsidR="00BA0262">
        <w:rPr>
          <w:rFonts w:ascii="Arial" w:eastAsia="Times New Roman" w:hAnsi="Arial" w:cs="Arial"/>
          <w:b/>
          <w:bCs/>
          <w:i/>
          <w:iCs/>
          <w:lang w:eastAsia="es-ES"/>
        </w:rPr>
        <w:t>*******</w:t>
      </w:r>
      <w:r w:rsidR="00DF18FE" w:rsidRPr="00D17C84">
        <w:rPr>
          <w:rFonts w:ascii="Arial" w:eastAsia="Times New Roman" w:hAnsi="Arial" w:cs="Arial"/>
          <w:b/>
          <w:bCs/>
          <w:i/>
          <w:iCs/>
          <w:lang w:eastAsia="es-ES"/>
        </w:rPr>
        <w:t xml:space="preserve">, </w:t>
      </w:r>
      <w:r w:rsidR="00DF18FE" w:rsidRPr="00D17C84">
        <w:rPr>
          <w:rFonts w:ascii="Arial" w:eastAsia="Times New Roman" w:hAnsi="Arial" w:cs="Arial"/>
          <w:bCs/>
          <w:i/>
          <w:iCs/>
          <w:lang w:eastAsia="es-ES"/>
        </w:rPr>
        <w:t xml:space="preserve">por el que le requieren el pago </w:t>
      </w:r>
      <w:r w:rsidR="00D751EB" w:rsidRPr="00D17C84">
        <w:rPr>
          <w:rFonts w:ascii="Arial" w:eastAsia="Times New Roman" w:hAnsi="Arial" w:cs="Arial"/>
          <w:bCs/>
          <w:i/>
          <w:iCs/>
          <w:lang w:eastAsia="es-ES"/>
        </w:rPr>
        <w:t>de $</w:t>
      </w:r>
      <w:r w:rsidR="00BA0262">
        <w:rPr>
          <w:rFonts w:ascii="Arial" w:eastAsia="Times New Roman" w:hAnsi="Arial" w:cs="Arial"/>
          <w:bCs/>
          <w:i/>
          <w:iCs/>
          <w:lang w:eastAsia="es-ES"/>
        </w:rPr>
        <w:t>*******</w:t>
      </w:r>
      <w:r w:rsidR="00D751EB" w:rsidRPr="00D17C84">
        <w:rPr>
          <w:rFonts w:ascii="Arial" w:eastAsia="Times New Roman" w:hAnsi="Arial" w:cs="Arial"/>
          <w:bCs/>
          <w:i/>
          <w:iCs/>
          <w:lang w:eastAsia="es-ES"/>
        </w:rPr>
        <w:t xml:space="preserve">); </w:t>
      </w:r>
      <w:r w:rsidR="00D751EB" w:rsidRPr="00D17C84">
        <w:rPr>
          <w:rFonts w:ascii="Arial" w:eastAsia="Times New Roman" w:hAnsi="Arial" w:cs="Arial"/>
          <w:b/>
          <w:bCs/>
          <w:i/>
          <w:iCs/>
          <w:lang w:eastAsia="es-ES"/>
        </w:rPr>
        <w:t xml:space="preserve">b) </w:t>
      </w:r>
      <w:r w:rsidR="00D751EB" w:rsidRPr="00D17C84">
        <w:rPr>
          <w:rFonts w:ascii="Arial" w:eastAsia="Times New Roman" w:hAnsi="Arial" w:cs="Arial"/>
          <w:bCs/>
          <w:i/>
          <w:iCs/>
          <w:lang w:eastAsia="es-ES"/>
        </w:rPr>
        <w:t xml:space="preserve">la falta de convenio celebrado entre la Secretaría de Finanzas y el Órgano Superior de Fiscalización para el cobro de las multas y sanciones derivadas de procedimientos resarcitorios derivados de la Ley de Fiscalización Superior para el Estado; </w:t>
      </w:r>
      <w:r w:rsidR="00D751EB" w:rsidRPr="00D17C84">
        <w:rPr>
          <w:rFonts w:ascii="Arial" w:eastAsia="Times New Roman" w:hAnsi="Arial" w:cs="Arial"/>
          <w:b/>
          <w:bCs/>
          <w:i/>
          <w:iCs/>
          <w:lang w:eastAsia="es-ES"/>
        </w:rPr>
        <w:t xml:space="preserve">c) </w:t>
      </w:r>
      <w:r w:rsidR="00D751EB" w:rsidRPr="00D17C84">
        <w:rPr>
          <w:rFonts w:ascii="Arial" w:eastAsia="Times New Roman" w:hAnsi="Arial" w:cs="Arial"/>
          <w:bCs/>
          <w:i/>
          <w:iCs/>
          <w:lang w:eastAsia="es-ES"/>
        </w:rPr>
        <w:t xml:space="preserve">la indebida fundamentación y motivación del mandamiento de ejecución número </w:t>
      </w:r>
      <w:r w:rsidR="00BA0262">
        <w:rPr>
          <w:rFonts w:ascii="Arial" w:eastAsia="Times New Roman" w:hAnsi="Arial" w:cs="Arial"/>
          <w:b/>
          <w:bCs/>
          <w:i/>
          <w:iCs/>
          <w:lang w:eastAsia="es-ES"/>
        </w:rPr>
        <w:t>*******</w:t>
      </w:r>
      <w:r w:rsidR="0095353F" w:rsidRPr="00D17C84">
        <w:rPr>
          <w:rFonts w:ascii="Arial" w:eastAsia="Times New Roman" w:hAnsi="Arial" w:cs="Arial"/>
          <w:b/>
          <w:bCs/>
          <w:i/>
          <w:iCs/>
          <w:lang w:eastAsia="es-ES"/>
        </w:rPr>
        <w:t xml:space="preserve">, </w:t>
      </w:r>
      <w:r w:rsidR="0095353F" w:rsidRPr="00D17C84">
        <w:rPr>
          <w:rFonts w:ascii="Arial" w:eastAsia="Times New Roman" w:hAnsi="Arial" w:cs="Arial"/>
          <w:bCs/>
          <w:i/>
          <w:iCs/>
          <w:lang w:eastAsia="es-ES"/>
        </w:rPr>
        <w:t xml:space="preserve">de veinticuatro de junio de la anualidad que transcurre, que contiene el crédito fiscal </w:t>
      </w:r>
      <w:r w:rsidR="00BA0262">
        <w:rPr>
          <w:rFonts w:ascii="Arial" w:eastAsia="Times New Roman" w:hAnsi="Arial" w:cs="Arial"/>
          <w:b/>
          <w:bCs/>
          <w:i/>
          <w:iCs/>
          <w:lang w:eastAsia="es-ES"/>
        </w:rPr>
        <w:t>*******</w:t>
      </w:r>
      <w:r w:rsidR="0095353F" w:rsidRPr="00D17C84">
        <w:rPr>
          <w:rFonts w:ascii="Arial" w:eastAsia="Times New Roman" w:hAnsi="Arial" w:cs="Arial"/>
          <w:b/>
          <w:bCs/>
          <w:i/>
          <w:iCs/>
          <w:lang w:eastAsia="es-ES"/>
        </w:rPr>
        <w:t xml:space="preserve">, </w:t>
      </w:r>
      <w:r w:rsidR="0095353F" w:rsidRPr="00D17C84">
        <w:rPr>
          <w:rFonts w:ascii="Arial" w:eastAsia="Times New Roman" w:hAnsi="Arial" w:cs="Arial"/>
          <w:bCs/>
          <w:i/>
          <w:iCs/>
          <w:lang w:eastAsia="es-ES"/>
        </w:rPr>
        <w:t xml:space="preserve">derivado de la resolución determinante de dos de octubre de dos mil diecinueve, en el procedimiento número </w:t>
      </w:r>
      <w:r w:rsidR="00BA0262">
        <w:rPr>
          <w:rFonts w:ascii="Arial" w:eastAsia="Times New Roman" w:hAnsi="Arial" w:cs="Arial"/>
          <w:b/>
          <w:bCs/>
          <w:i/>
          <w:iCs/>
          <w:lang w:eastAsia="es-ES"/>
        </w:rPr>
        <w:t>*******</w:t>
      </w:r>
      <w:r w:rsidR="0095353F" w:rsidRPr="00D17C84">
        <w:rPr>
          <w:rFonts w:ascii="Arial" w:eastAsia="Times New Roman" w:hAnsi="Arial" w:cs="Arial"/>
          <w:bCs/>
          <w:i/>
          <w:iCs/>
          <w:lang w:eastAsia="es-ES"/>
        </w:rPr>
        <w:t xml:space="preserve">; </w:t>
      </w:r>
      <w:r w:rsidR="0095353F" w:rsidRPr="00D17C84">
        <w:rPr>
          <w:rFonts w:ascii="Arial" w:eastAsia="Times New Roman" w:hAnsi="Arial" w:cs="Arial"/>
          <w:b/>
          <w:bCs/>
          <w:i/>
          <w:iCs/>
          <w:lang w:eastAsia="es-ES"/>
        </w:rPr>
        <w:t xml:space="preserve">d) </w:t>
      </w:r>
      <w:r w:rsidR="0095353F" w:rsidRPr="00D17C84">
        <w:rPr>
          <w:rFonts w:ascii="Arial" w:eastAsia="Times New Roman" w:hAnsi="Arial" w:cs="Arial"/>
          <w:bCs/>
          <w:i/>
          <w:iCs/>
          <w:lang w:eastAsia="es-ES"/>
        </w:rPr>
        <w:t xml:space="preserve">la diligencia de notificación y requerimiento de pago realizada el día uno de septiembre de la anualidad que transcurre, en cumplimiento al mandato de ejecución número </w:t>
      </w:r>
      <w:r w:rsidR="00BA0262">
        <w:rPr>
          <w:rFonts w:ascii="Arial" w:eastAsia="Times New Roman" w:hAnsi="Arial" w:cs="Arial"/>
          <w:b/>
          <w:bCs/>
          <w:i/>
          <w:iCs/>
          <w:lang w:eastAsia="es-ES"/>
        </w:rPr>
        <w:t>*******</w:t>
      </w:r>
      <w:r w:rsidR="0095353F" w:rsidRPr="00D17C84">
        <w:rPr>
          <w:rFonts w:ascii="Arial" w:eastAsia="Times New Roman" w:hAnsi="Arial" w:cs="Arial"/>
          <w:b/>
          <w:bCs/>
          <w:i/>
          <w:iCs/>
          <w:lang w:eastAsia="es-ES"/>
        </w:rPr>
        <w:t xml:space="preserve">, </w:t>
      </w:r>
      <w:r w:rsidR="0095353F" w:rsidRPr="00D17C84">
        <w:rPr>
          <w:rFonts w:ascii="Arial" w:eastAsia="Times New Roman" w:hAnsi="Arial" w:cs="Arial"/>
          <w:bCs/>
          <w:i/>
          <w:iCs/>
          <w:lang w:eastAsia="es-ES"/>
        </w:rPr>
        <w:t xml:space="preserve">de veinticuatro de junio de la anualidad que transcurre, derivado de la resolución determinante de dos de octubre de dos mil diecinueve, en el procedimiento número </w:t>
      </w:r>
      <w:r w:rsidR="00BA0262">
        <w:rPr>
          <w:rFonts w:ascii="Arial" w:eastAsia="Times New Roman" w:hAnsi="Arial" w:cs="Arial"/>
          <w:b/>
          <w:bCs/>
          <w:i/>
          <w:iCs/>
          <w:lang w:eastAsia="es-ES"/>
        </w:rPr>
        <w:t>*******</w:t>
      </w:r>
      <w:r w:rsidR="007872AD" w:rsidRPr="00D17C84">
        <w:rPr>
          <w:rFonts w:ascii="Arial" w:eastAsia="Times New Roman" w:hAnsi="Arial" w:cs="Arial"/>
          <w:b/>
          <w:bCs/>
          <w:i/>
          <w:iCs/>
          <w:lang w:eastAsia="es-ES"/>
        </w:rPr>
        <w:t xml:space="preserve">, </w:t>
      </w:r>
      <w:r w:rsidR="007872AD" w:rsidRPr="00D17C84">
        <w:rPr>
          <w:rFonts w:ascii="Arial" w:eastAsia="Times New Roman" w:hAnsi="Arial" w:cs="Arial"/>
          <w:bCs/>
          <w:i/>
          <w:iCs/>
          <w:lang w:eastAsia="es-ES"/>
        </w:rPr>
        <w:t>mediante el cual le requiere el pago de $</w:t>
      </w:r>
      <w:r w:rsidR="00BA0262">
        <w:rPr>
          <w:rFonts w:ascii="Arial" w:eastAsia="Times New Roman" w:hAnsi="Arial" w:cs="Arial"/>
          <w:bCs/>
          <w:i/>
          <w:iCs/>
          <w:lang w:eastAsia="es-ES"/>
        </w:rPr>
        <w:t>*******</w:t>
      </w:r>
      <w:r w:rsidR="007872AD" w:rsidRPr="00D17C84">
        <w:rPr>
          <w:rFonts w:ascii="Arial" w:eastAsia="Times New Roman" w:hAnsi="Arial" w:cs="Arial"/>
          <w:bCs/>
          <w:i/>
          <w:iCs/>
          <w:lang w:eastAsia="es-ES"/>
        </w:rPr>
        <w:t>); quien manifiesta que tuvo conocimiento del acto impugnado el día uno de septiembre de dos mil veintiuno</w:t>
      </w:r>
      <w:r w:rsidR="0002642B" w:rsidRPr="00D17C84">
        <w:rPr>
          <w:rFonts w:ascii="Arial" w:eastAsia="Times New Roman" w:hAnsi="Arial" w:cs="Arial"/>
          <w:bCs/>
          <w:i/>
          <w:iCs/>
          <w:lang w:eastAsia="es-ES"/>
        </w:rPr>
        <w:t>.</w:t>
      </w:r>
    </w:p>
    <w:p w14:paraId="5435C2A1" w14:textId="7CEDB3BC" w:rsidR="007872AD" w:rsidRPr="00D17C84" w:rsidRDefault="007872AD" w:rsidP="00D17C84">
      <w:pPr>
        <w:spacing w:after="0"/>
        <w:ind w:left="567" w:right="616"/>
        <w:jc w:val="both"/>
        <w:rPr>
          <w:rFonts w:ascii="Arial" w:eastAsia="Times New Roman" w:hAnsi="Arial" w:cs="Arial"/>
          <w:bCs/>
          <w:i/>
          <w:iCs/>
          <w:lang w:eastAsia="es-ES"/>
        </w:rPr>
      </w:pPr>
      <w:r w:rsidRPr="00D17C84">
        <w:rPr>
          <w:rFonts w:ascii="Arial" w:eastAsia="Times New Roman" w:hAnsi="Arial" w:cs="Arial"/>
          <w:bCs/>
          <w:i/>
          <w:iCs/>
          <w:lang w:eastAsia="es-ES"/>
        </w:rPr>
        <w:t xml:space="preserve">Del escrito de demanda y anexos, esta Sal Unitaria advierte que no consta que la autoridad demandada </w:t>
      </w:r>
      <w:r w:rsidRPr="00D17C84">
        <w:rPr>
          <w:rFonts w:ascii="Arial" w:eastAsia="Times New Roman" w:hAnsi="Arial" w:cs="Arial"/>
          <w:b/>
          <w:bCs/>
          <w:i/>
          <w:iCs/>
          <w:lang w:eastAsia="es-ES"/>
        </w:rPr>
        <w:t xml:space="preserve">hubiese embargado bienes propiedad </w:t>
      </w:r>
      <w:r w:rsidRPr="00D17C84">
        <w:rPr>
          <w:rFonts w:ascii="Arial" w:eastAsia="Times New Roman" w:hAnsi="Arial" w:cs="Arial"/>
          <w:bCs/>
          <w:i/>
          <w:iCs/>
          <w:lang w:eastAsia="es-ES"/>
        </w:rPr>
        <w:t xml:space="preserve">del promovente, para garantizar el crédito fiscal que se reclama y menos consta la resolución que apruebe el remate, para promover el juicio ante este Tribunal, como lo establece el artículo 133 fracción VIII inciso d), de la Ley de Procedimiento y Justicia Administrativa para el Estado, que para su mejor comprensión se transcribe: </w:t>
      </w:r>
      <w:r w:rsidR="0002642B" w:rsidRPr="00D17C84">
        <w:rPr>
          <w:rFonts w:ascii="Arial" w:eastAsia="Times New Roman" w:hAnsi="Arial" w:cs="Arial"/>
          <w:bCs/>
          <w:i/>
          <w:iCs/>
          <w:lang w:eastAsia="es-ES"/>
        </w:rPr>
        <w:t>(…)</w:t>
      </w:r>
    </w:p>
    <w:p w14:paraId="715517AF" w14:textId="46152DF4" w:rsidR="007872AD" w:rsidRPr="00D17C84" w:rsidRDefault="007872AD" w:rsidP="00D17C84">
      <w:pPr>
        <w:spacing w:after="0"/>
        <w:ind w:left="567" w:right="616"/>
        <w:jc w:val="both"/>
        <w:rPr>
          <w:rFonts w:ascii="Arial" w:eastAsia="Times New Roman" w:hAnsi="Arial" w:cs="Arial"/>
          <w:bCs/>
          <w:i/>
          <w:iCs/>
          <w:lang w:eastAsia="es-ES"/>
        </w:rPr>
      </w:pPr>
      <w:r w:rsidRPr="00D17C84">
        <w:rPr>
          <w:rFonts w:ascii="Arial" w:eastAsia="Times New Roman" w:hAnsi="Arial" w:cs="Arial"/>
          <w:bCs/>
          <w:i/>
          <w:iCs/>
          <w:lang w:eastAsia="es-ES"/>
        </w:rPr>
        <w:t xml:space="preserve">Luego, para que el actor tenga derecho a impugnar el procedimiento coactivo del crédito fiscal debe hacerlo en contra la resolución que aprueba el remate y de las constancias que se acompañan no se justicia ello. </w:t>
      </w:r>
    </w:p>
    <w:p w14:paraId="259D423F" w14:textId="37256752" w:rsidR="007872AD" w:rsidRPr="00D17C84" w:rsidRDefault="007872AD" w:rsidP="00D17C84">
      <w:pPr>
        <w:spacing w:after="0"/>
        <w:ind w:left="567" w:right="616"/>
        <w:jc w:val="both"/>
        <w:rPr>
          <w:rFonts w:ascii="Arial" w:eastAsia="Times New Roman" w:hAnsi="Arial" w:cs="Arial"/>
          <w:bCs/>
          <w:i/>
          <w:iCs/>
          <w:lang w:eastAsia="es-ES"/>
        </w:rPr>
      </w:pPr>
      <w:r w:rsidRPr="00D17C84">
        <w:rPr>
          <w:rFonts w:ascii="Arial" w:eastAsia="Times New Roman" w:hAnsi="Arial" w:cs="Arial"/>
          <w:bCs/>
          <w:i/>
          <w:iCs/>
          <w:lang w:eastAsia="es-ES"/>
        </w:rPr>
        <w:t xml:space="preserve">Por lo anteriormente señalado, </w:t>
      </w:r>
      <w:r w:rsidRPr="00D17C84">
        <w:rPr>
          <w:rFonts w:ascii="Arial" w:eastAsia="Times New Roman" w:hAnsi="Arial" w:cs="Arial"/>
          <w:b/>
          <w:bCs/>
          <w:i/>
          <w:iCs/>
          <w:lang w:eastAsia="es-ES"/>
        </w:rPr>
        <w:t xml:space="preserve">SE DESECHA LA DEMANDA DE NULIDAD </w:t>
      </w:r>
      <w:r w:rsidRPr="00D17C84">
        <w:rPr>
          <w:rFonts w:ascii="Arial" w:eastAsia="Times New Roman" w:hAnsi="Arial" w:cs="Arial"/>
          <w:bCs/>
          <w:i/>
          <w:iCs/>
          <w:lang w:eastAsia="es-ES"/>
        </w:rPr>
        <w:t xml:space="preserve">interpuesta por </w:t>
      </w:r>
      <w:r w:rsidR="00BA0262">
        <w:rPr>
          <w:rFonts w:ascii="Arial" w:eastAsia="Times New Roman" w:hAnsi="Arial" w:cs="Arial"/>
          <w:b/>
          <w:bCs/>
          <w:i/>
          <w:iCs/>
          <w:lang w:eastAsia="es-ES"/>
        </w:rPr>
        <w:t>*******</w:t>
      </w:r>
      <w:r w:rsidRPr="00D17C84">
        <w:rPr>
          <w:rFonts w:ascii="Arial" w:eastAsia="Times New Roman" w:hAnsi="Arial" w:cs="Arial"/>
          <w:b/>
          <w:bCs/>
          <w:i/>
          <w:iCs/>
          <w:lang w:eastAsia="es-ES"/>
        </w:rPr>
        <w:t xml:space="preserve">, </w:t>
      </w:r>
      <w:r w:rsidRPr="00D17C84">
        <w:rPr>
          <w:rFonts w:ascii="Arial" w:eastAsia="Times New Roman" w:hAnsi="Arial" w:cs="Arial"/>
          <w:bCs/>
          <w:i/>
          <w:iCs/>
          <w:lang w:eastAsia="es-ES"/>
        </w:rPr>
        <w:t xml:space="preserve">respecto del mandamiento de ejecución con número de control </w:t>
      </w:r>
      <w:r w:rsidR="00BA0262">
        <w:rPr>
          <w:rFonts w:ascii="Arial" w:eastAsia="Times New Roman" w:hAnsi="Arial" w:cs="Arial"/>
          <w:b/>
          <w:bCs/>
          <w:i/>
          <w:iCs/>
          <w:lang w:eastAsia="es-ES"/>
        </w:rPr>
        <w:t>*******</w:t>
      </w:r>
      <w:r w:rsidRPr="00D17C84">
        <w:rPr>
          <w:rFonts w:ascii="Arial" w:eastAsia="Times New Roman" w:hAnsi="Arial" w:cs="Arial"/>
          <w:b/>
          <w:bCs/>
          <w:i/>
          <w:iCs/>
          <w:lang w:eastAsia="es-ES"/>
        </w:rPr>
        <w:t xml:space="preserve">, </w:t>
      </w:r>
      <w:r w:rsidRPr="00D17C84">
        <w:rPr>
          <w:rFonts w:ascii="Arial" w:eastAsia="Times New Roman" w:hAnsi="Arial" w:cs="Arial"/>
          <w:bCs/>
          <w:i/>
          <w:iCs/>
          <w:lang w:eastAsia="es-ES"/>
        </w:rPr>
        <w:t xml:space="preserve">de veinticuatro de junio de dos mil veintiuno, por </w:t>
      </w:r>
      <w:r w:rsidRPr="00D17C84">
        <w:rPr>
          <w:rFonts w:ascii="Arial" w:eastAsia="Times New Roman" w:hAnsi="Arial" w:cs="Arial"/>
          <w:b/>
          <w:bCs/>
          <w:i/>
          <w:iCs/>
          <w:lang w:eastAsia="es-ES"/>
        </w:rPr>
        <w:t xml:space="preserve">NOTORIAMENTE IMPROCEDENTE, </w:t>
      </w:r>
      <w:r w:rsidRPr="00D17C84">
        <w:rPr>
          <w:rFonts w:ascii="Arial" w:eastAsia="Times New Roman" w:hAnsi="Arial" w:cs="Arial"/>
          <w:bCs/>
          <w:i/>
          <w:iCs/>
          <w:lang w:eastAsia="es-ES"/>
        </w:rPr>
        <w:t xml:space="preserve">por encontrase motivo manifiesto e indudable de improcedencia, conforme a lo establecido por los artículos 161 fracciones IX y X, 162 fracciones VI, y 182 fracciones I, de la Ley de Procedimiento y Justicia Administrativa para el Estado de Oaxaca. </w:t>
      </w:r>
    </w:p>
    <w:p w14:paraId="2DF429DD" w14:textId="0BC569EE" w:rsidR="007872AD" w:rsidRPr="00D17C84" w:rsidRDefault="007872AD" w:rsidP="00D17C84">
      <w:pPr>
        <w:spacing w:after="0"/>
        <w:ind w:left="567" w:right="616"/>
        <w:jc w:val="both"/>
        <w:rPr>
          <w:rFonts w:ascii="Arial" w:eastAsia="Times New Roman" w:hAnsi="Arial" w:cs="Arial"/>
          <w:bCs/>
          <w:i/>
          <w:iCs/>
          <w:lang w:eastAsia="es-ES"/>
        </w:rPr>
      </w:pPr>
      <w:r w:rsidRPr="00D17C84">
        <w:rPr>
          <w:rFonts w:ascii="Arial" w:eastAsia="Times New Roman" w:hAnsi="Arial" w:cs="Arial"/>
          <w:bCs/>
          <w:i/>
          <w:iCs/>
          <w:lang w:eastAsia="es-ES"/>
        </w:rPr>
        <w:t>Ahora bien, por otra parte, de la integridad de la demanda de nulidad, esta Cuarta Sala Unitaria, advierte lo siguiente:</w:t>
      </w:r>
    </w:p>
    <w:p w14:paraId="3783A2FF" w14:textId="498B12DF" w:rsidR="00B6575A" w:rsidRPr="00D17C84" w:rsidRDefault="008106B7" w:rsidP="00D17C84">
      <w:pPr>
        <w:spacing w:after="0"/>
        <w:ind w:left="567" w:right="616"/>
        <w:jc w:val="both"/>
        <w:rPr>
          <w:rFonts w:ascii="Arial" w:eastAsia="Times New Roman" w:hAnsi="Arial" w:cs="Arial"/>
          <w:bCs/>
          <w:i/>
          <w:iCs/>
          <w:lang w:eastAsia="es-ES"/>
        </w:rPr>
      </w:pPr>
      <w:r w:rsidRPr="00D17C84">
        <w:rPr>
          <w:rFonts w:ascii="Arial" w:eastAsia="Times New Roman" w:hAnsi="Arial" w:cs="Arial"/>
          <w:bCs/>
          <w:i/>
          <w:iCs/>
          <w:lang w:eastAsia="es-ES"/>
        </w:rPr>
        <w:t xml:space="preserve">“…La autoridad demandada la Coordinadora de Cobro Coactivo, indebidamente fundó y motivó el mandamiento de ejecución número </w:t>
      </w:r>
      <w:r w:rsidR="00BA0262">
        <w:rPr>
          <w:rFonts w:ascii="Arial" w:eastAsia="Times New Roman" w:hAnsi="Arial" w:cs="Arial"/>
          <w:bCs/>
          <w:i/>
          <w:iCs/>
          <w:lang w:eastAsia="es-ES"/>
        </w:rPr>
        <w:t>*******</w:t>
      </w:r>
      <w:r w:rsidRPr="00D17C84">
        <w:rPr>
          <w:rFonts w:ascii="Arial" w:eastAsia="Times New Roman" w:hAnsi="Arial" w:cs="Arial"/>
          <w:bCs/>
          <w:i/>
          <w:iCs/>
          <w:lang w:eastAsia="es-ES"/>
        </w:rPr>
        <w:t xml:space="preserve">, fechado el 24 de junio de 2021, que contiene el crédito fiscal </w:t>
      </w:r>
      <w:r w:rsidR="00BA0262">
        <w:rPr>
          <w:rFonts w:ascii="Arial" w:eastAsia="Times New Roman" w:hAnsi="Arial" w:cs="Arial"/>
          <w:bCs/>
          <w:i/>
          <w:iCs/>
          <w:lang w:eastAsia="es-ES"/>
        </w:rPr>
        <w:t>*******</w:t>
      </w:r>
      <w:r w:rsidRPr="00D17C84">
        <w:rPr>
          <w:rFonts w:ascii="Arial" w:eastAsia="Times New Roman" w:hAnsi="Arial" w:cs="Arial"/>
          <w:bCs/>
          <w:i/>
          <w:iCs/>
          <w:lang w:eastAsia="es-ES"/>
        </w:rPr>
        <w:t>, derivado de la resolución determinante de 02 de octubre de 2019, porque la sanción económica no fue impuesta por una autoridad fiscal, sino por una autoridad administrativa el órgano Superior de Fiscalización del Estado de Oaxaca</w:t>
      </w:r>
      <w:r w:rsidR="00270750" w:rsidRPr="00D17C84">
        <w:rPr>
          <w:rFonts w:ascii="Arial" w:eastAsia="Times New Roman" w:hAnsi="Arial" w:cs="Arial"/>
          <w:bCs/>
          <w:i/>
          <w:iCs/>
          <w:lang w:eastAsia="es-ES"/>
        </w:rPr>
        <w:t xml:space="preserve">, como autoridad sustituta de la Auditoria Superior del Estado, la cual es un órgano técnico del Congreso del Estado de Oaxaca, creado mediante decreto 695, que reforma el artículo 65 BIS, de la Constitución Política del Estado Libre y Soberano de Oaxaca, y por decreto número 699, que contiene la Ley de Fiscalización Superior y Rendición de Cuentas para el Estado de Oaxaca, aprobado el 30 de agosto de 2017, y publicado en el Periódico Oficial Extra de 21 de </w:t>
      </w:r>
      <w:r w:rsidR="00270750" w:rsidRPr="00D17C84">
        <w:rPr>
          <w:rFonts w:ascii="Arial" w:eastAsia="Times New Roman" w:hAnsi="Arial" w:cs="Arial"/>
          <w:bCs/>
          <w:i/>
          <w:iCs/>
          <w:lang w:eastAsia="es-ES"/>
        </w:rPr>
        <w:lastRenderedPageBreak/>
        <w:t xml:space="preserve">septiembre de 2017, con ellos se extinguió  la existencia de la </w:t>
      </w:r>
      <w:r w:rsidR="00B6575A" w:rsidRPr="00D17C84">
        <w:rPr>
          <w:rFonts w:ascii="Arial" w:eastAsia="Times New Roman" w:hAnsi="Arial" w:cs="Arial"/>
          <w:bCs/>
          <w:i/>
          <w:iCs/>
          <w:lang w:eastAsia="es-ES"/>
        </w:rPr>
        <w:t xml:space="preserve">Auditoria Superior del Estado, que fue el Órgano que inicio el procedimiento administrativo número </w:t>
      </w:r>
      <w:r w:rsidR="00BA0262">
        <w:rPr>
          <w:rFonts w:ascii="Arial" w:eastAsia="Times New Roman" w:hAnsi="Arial" w:cs="Arial"/>
          <w:b/>
          <w:i/>
          <w:iCs/>
          <w:lang w:eastAsia="es-ES"/>
        </w:rPr>
        <w:t>*******</w:t>
      </w:r>
      <w:r w:rsidR="00B6575A" w:rsidRPr="00D17C84">
        <w:rPr>
          <w:rFonts w:ascii="Arial" w:eastAsia="Times New Roman" w:hAnsi="Arial" w:cs="Arial"/>
          <w:bCs/>
          <w:i/>
          <w:iCs/>
          <w:lang w:eastAsia="es-ES"/>
        </w:rPr>
        <w:t>…</w:t>
      </w:r>
      <w:r w:rsidR="00296ADF" w:rsidRPr="00D17C84">
        <w:rPr>
          <w:rFonts w:ascii="Arial" w:eastAsia="Times New Roman" w:hAnsi="Arial" w:cs="Arial"/>
          <w:bCs/>
          <w:i/>
          <w:iCs/>
          <w:lang w:eastAsia="es-ES"/>
        </w:rPr>
        <w:t xml:space="preserve"> M</w:t>
      </w:r>
      <w:r w:rsidR="00B6575A" w:rsidRPr="00D17C84">
        <w:rPr>
          <w:rFonts w:ascii="Arial" w:eastAsia="Times New Roman" w:hAnsi="Arial" w:cs="Arial"/>
          <w:bCs/>
          <w:i/>
          <w:iCs/>
          <w:lang w:eastAsia="es-ES"/>
        </w:rPr>
        <w:t xml:space="preserve">e causa agravios el mandamiento de ejecución </w:t>
      </w:r>
      <w:r w:rsidR="00BA0262">
        <w:rPr>
          <w:rFonts w:ascii="Arial" w:eastAsia="Times New Roman" w:hAnsi="Arial" w:cs="Arial"/>
          <w:bCs/>
          <w:i/>
          <w:iCs/>
          <w:lang w:eastAsia="es-ES"/>
        </w:rPr>
        <w:t>*******</w:t>
      </w:r>
      <w:r w:rsidR="00B6575A" w:rsidRPr="00D17C84">
        <w:rPr>
          <w:rFonts w:ascii="Arial" w:eastAsia="Times New Roman" w:hAnsi="Arial" w:cs="Arial"/>
          <w:bCs/>
          <w:i/>
          <w:iCs/>
          <w:lang w:eastAsia="es-ES"/>
        </w:rPr>
        <w:t xml:space="preserve">, </w:t>
      </w:r>
      <w:r w:rsidR="00D671A0" w:rsidRPr="00D17C84">
        <w:rPr>
          <w:rFonts w:ascii="Arial" w:eastAsia="Times New Roman" w:hAnsi="Arial" w:cs="Arial"/>
          <w:bCs/>
          <w:i/>
          <w:iCs/>
          <w:lang w:eastAsia="es-ES"/>
        </w:rPr>
        <w:t xml:space="preserve">fechado el 24 de junio de 2021, que contienen el crédito fiscal </w:t>
      </w:r>
      <w:r w:rsidR="00BA0262">
        <w:rPr>
          <w:rFonts w:ascii="Arial" w:eastAsia="Times New Roman" w:hAnsi="Arial" w:cs="Arial"/>
          <w:bCs/>
          <w:i/>
          <w:iCs/>
          <w:lang w:eastAsia="es-ES"/>
        </w:rPr>
        <w:t>*******</w:t>
      </w:r>
      <w:r w:rsidR="00D671A0" w:rsidRPr="00D17C84">
        <w:rPr>
          <w:rFonts w:ascii="Arial" w:eastAsia="Times New Roman" w:hAnsi="Arial" w:cs="Arial"/>
          <w:bCs/>
          <w:i/>
          <w:iCs/>
          <w:lang w:eastAsia="es-ES"/>
        </w:rPr>
        <w:t xml:space="preserve">, derivado de la resolución determinante de 02 de octubre de 2019, en el procedimiento tramitado bajo el número </w:t>
      </w:r>
      <w:r w:rsidR="00BA0262">
        <w:rPr>
          <w:rFonts w:ascii="Arial" w:eastAsia="Times New Roman" w:hAnsi="Arial" w:cs="Arial"/>
          <w:b/>
          <w:bCs/>
          <w:i/>
          <w:iCs/>
          <w:lang w:eastAsia="es-ES"/>
        </w:rPr>
        <w:t>*******</w:t>
      </w:r>
      <w:r w:rsidR="00D671A0" w:rsidRPr="00D17C84">
        <w:rPr>
          <w:rFonts w:ascii="Arial" w:eastAsia="Times New Roman" w:hAnsi="Arial" w:cs="Arial"/>
          <w:b/>
          <w:bCs/>
          <w:i/>
          <w:iCs/>
          <w:lang w:eastAsia="es-ES"/>
        </w:rPr>
        <w:t xml:space="preserve">, </w:t>
      </w:r>
      <w:r w:rsidR="00D671A0" w:rsidRPr="00D17C84">
        <w:rPr>
          <w:rFonts w:ascii="Arial" w:eastAsia="Times New Roman" w:hAnsi="Arial" w:cs="Arial"/>
          <w:bCs/>
          <w:i/>
          <w:iCs/>
          <w:lang w:eastAsia="es-ES"/>
        </w:rPr>
        <w:t xml:space="preserve">y su ejecución, porque la Secretaría de Finanzas de la cual dependen las autoridades demandada (sic), </w:t>
      </w:r>
      <w:r w:rsidR="00B7350C" w:rsidRPr="00D17C84">
        <w:rPr>
          <w:rFonts w:ascii="Arial" w:eastAsia="Times New Roman" w:hAnsi="Arial" w:cs="Arial"/>
          <w:bCs/>
          <w:i/>
          <w:iCs/>
          <w:lang w:eastAsia="es-ES"/>
        </w:rPr>
        <w:t>n</w:t>
      </w:r>
      <w:r w:rsidR="00D671A0" w:rsidRPr="00D17C84">
        <w:rPr>
          <w:rFonts w:ascii="Arial" w:eastAsia="Times New Roman" w:hAnsi="Arial" w:cs="Arial"/>
          <w:bCs/>
          <w:i/>
          <w:iCs/>
          <w:lang w:eastAsia="es-ES"/>
        </w:rPr>
        <w:t>o tiene celebrado un convenio con el Titular del órgano Superior de Fiscalización del Estado de Oaxaca, para el cobro de créditos fiscales…”.</w:t>
      </w:r>
    </w:p>
    <w:p w14:paraId="45763591" w14:textId="11384FB8" w:rsidR="00D671A0" w:rsidRPr="00D17C84" w:rsidRDefault="00D671A0" w:rsidP="00D17C84">
      <w:pPr>
        <w:spacing w:after="0"/>
        <w:ind w:left="567" w:right="616"/>
        <w:jc w:val="both"/>
        <w:rPr>
          <w:rFonts w:ascii="Arial" w:eastAsia="Times New Roman" w:hAnsi="Arial" w:cs="Arial"/>
          <w:bCs/>
          <w:i/>
          <w:iCs/>
          <w:lang w:eastAsia="es-ES"/>
        </w:rPr>
      </w:pPr>
      <w:r w:rsidRPr="00D17C84">
        <w:rPr>
          <w:rFonts w:ascii="Arial" w:eastAsia="Times New Roman" w:hAnsi="Arial" w:cs="Arial"/>
          <w:bCs/>
          <w:i/>
          <w:iCs/>
          <w:lang w:eastAsia="es-ES"/>
        </w:rPr>
        <w:t xml:space="preserve">De lo transcrito se advierte que el promovente demanda como acto primigenio la orden determinada por la Auditoría Superior del Estado ahora órgano Superior de Fiscalización del Estado, de ahí esta Sala Unitaria advierte que el acto impugnado por el </w:t>
      </w:r>
      <w:r w:rsidRPr="00D17C84">
        <w:rPr>
          <w:rFonts w:ascii="Arial" w:eastAsia="Times New Roman" w:hAnsi="Arial" w:cs="Arial"/>
          <w:b/>
          <w:bCs/>
          <w:i/>
          <w:iCs/>
          <w:lang w:eastAsia="es-ES"/>
        </w:rPr>
        <w:t xml:space="preserve">promovente </w:t>
      </w:r>
      <w:r w:rsidRPr="00D17C84">
        <w:rPr>
          <w:rFonts w:ascii="Arial" w:eastAsia="Times New Roman" w:hAnsi="Arial" w:cs="Arial"/>
          <w:bCs/>
          <w:i/>
          <w:iCs/>
          <w:lang w:eastAsia="es-ES"/>
        </w:rPr>
        <w:t xml:space="preserve">configura la existencia del juicio de inconformidad previsto por los artículos 1, 5 y 28, de la Ley de Justicia de Fiscalización y Rendición de Cuentas para el Estado de Oaxaca anterior a la vigente, </w:t>
      </w:r>
      <w:r w:rsidR="00B0340C" w:rsidRPr="00D17C84">
        <w:rPr>
          <w:rFonts w:ascii="Arial" w:eastAsia="Times New Roman" w:hAnsi="Arial" w:cs="Arial"/>
          <w:bCs/>
          <w:i/>
          <w:iCs/>
          <w:lang w:eastAsia="es-ES"/>
        </w:rPr>
        <w:t>publicado el 31 treinta y uno de diciembre de dos mil quince (ahora artículo 69, de la Ley de Fiscalización S</w:t>
      </w:r>
      <w:r w:rsidR="00DC5CB1" w:rsidRPr="00D17C84">
        <w:rPr>
          <w:rFonts w:ascii="Arial" w:eastAsia="Times New Roman" w:hAnsi="Arial" w:cs="Arial"/>
          <w:bCs/>
          <w:i/>
          <w:iCs/>
          <w:lang w:eastAsia="es-ES"/>
        </w:rPr>
        <w:t xml:space="preserve">uperior y Rendición de Cuentas para el Estado de Oaxaca), lo anterior, es así, toda vez que el acto administrativo impugnado deviene de la resolución determinante </w:t>
      </w:r>
      <w:r w:rsidR="00BA0262">
        <w:rPr>
          <w:rFonts w:ascii="Arial" w:eastAsia="Times New Roman" w:hAnsi="Arial" w:cs="Arial"/>
          <w:b/>
          <w:bCs/>
          <w:i/>
          <w:iCs/>
          <w:lang w:eastAsia="es-ES"/>
        </w:rPr>
        <w:t>*******</w:t>
      </w:r>
      <w:r w:rsidR="00DC5CB1" w:rsidRPr="00D17C84">
        <w:rPr>
          <w:rFonts w:ascii="Arial" w:eastAsia="Times New Roman" w:hAnsi="Arial" w:cs="Arial"/>
          <w:b/>
          <w:bCs/>
          <w:i/>
          <w:iCs/>
          <w:lang w:eastAsia="es-ES"/>
        </w:rPr>
        <w:t xml:space="preserve">, </w:t>
      </w:r>
      <w:r w:rsidR="00DC5CB1" w:rsidRPr="00D17C84">
        <w:rPr>
          <w:rFonts w:ascii="Arial" w:eastAsia="Times New Roman" w:hAnsi="Arial" w:cs="Arial"/>
          <w:bCs/>
          <w:i/>
          <w:iCs/>
          <w:lang w:eastAsia="es-ES"/>
        </w:rPr>
        <w:t xml:space="preserve">dictada por el órgano Superior de Fiscalización del Estado. </w:t>
      </w:r>
    </w:p>
    <w:p w14:paraId="4F4B3624" w14:textId="194FC1B5" w:rsidR="00DC5CB1" w:rsidRPr="00D17C84" w:rsidRDefault="00DC5CB1" w:rsidP="00D17C84">
      <w:pPr>
        <w:spacing w:after="0"/>
        <w:ind w:left="567" w:right="616"/>
        <w:jc w:val="both"/>
        <w:rPr>
          <w:rFonts w:ascii="Arial" w:eastAsia="Times New Roman" w:hAnsi="Arial" w:cs="Arial"/>
          <w:bCs/>
          <w:i/>
          <w:iCs/>
          <w:lang w:eastAsia="es-ES"/>
        </w:rPr>
      </w:pPr>
      <w:r w:rsidRPr="00D17C84">
        <w:rPr>
          <w:rFonts w:ascii="Arial" w:eastAsia="Times New Roman" w:hAnsi="Arial" w:cs="Arial"/>
          <w:bCs/>
          <w:i/>
          <w:iCs/>
          <w:lang w:eastAsia="es-ES"/>
        </w:rPr>
        <w:t xml:space="preserve">Los artículos 1,5 y 28 de la Ley de Justicia de Fiscalización y Rendición de Cuentas para el Estado de Oaxaca anterior a la vigente, establecen: (…). </w:t>
      </w:r>
    </w:p>
    <w:p w14:paraId="79C2B669" w14:textId="7C0C2BEE" w:rsidR="00DC5CB1" w:rsidRPr="00D17C84" w:rsidRDefault="00DC5CB1" w:rsidP="00D17C84">
      <w:pPr>
        <w:spacing w:after="0"/>
        <w:ind w:left="567" w:right="616"/>
        <w:jc w:val="both"/>
        <w:rPr>
          <w:rFonts w:ascii="Arial" w:eastAsia="Times New Roman" w:hAnsi="Arial" w:cs="Arial"/>
          <w:bCs/>
          <w:i/>
          <w:iCs/>
          <w:lang w:eastAsia="es-ES"/>
        </w:rPr>
      </w:pPr>
      <w:r w:rsidRPr="00D17C84">
        <w:rPr>
          <w:rFonts w:ascii="Arial" w:eastAsia="Times New Roman" w:hAnsi="Arial" w:cs="Arial"/>
          <w:bCs/>
          <w:i/>
          <w:iCs/>
          <w:lang w:eastAsia="es-ES"/>
        </w:rPr>
        <w:t xml:space="preserve">Por lo tanto, al derivar el crédito que impugna el promovente de la resolución determinante número </w:t>
      </w:r>
      <w:r w:rsidR="00BA0262">
        <w:rPr>
          <w:rFonts w:ascii="Arial" w:eastAsia="Times New Roman" w:hAnsi="Arial" w:cs="Arial"/>
          <w:b/>
          <w:bCs/>
          <w:i/>
          <w:iCs/>
          <w:lang w:eastAsia="es-ES"/>
        </w:rPr>
        <w:t>*******</w:t>
      </w:r>
      <w:r w:rsidRPr="00D17C84">
        <w:rPr>
          <w:rFonts w:ascii="Arial" w:eastAsia="Times New Roman" w:hAnsi="Arial" w:cs="Arial"/>
          <w:b/>
          <w:bCs/>
          <w:i/>
          <w:iCs/>
          <w:lang w:eastAsia="es-ES"/>
        </w:rPr>
        <w:t xml:space="preserve">, </w:t>
      </w:r>
      <w:r w:rsidRPr="00D17C84">
        <w:rPr>
          <w:rFonts w:ascii="Arial" w:eastAsia="Times New Roman" w:hAnsi="Arial" w:cs="Arial"/>
          <w:bCs/>
          <w:i/>
          <w:iCs/>
          <w:lang w:eastAsia="es-ES"/>
        </w:rPr>
        <w:t xml:space="preserve">dictada por el Órgano Superior de Fiscalización del Estado de Oaxaca, se configura la figura del </w:t>
      </w:r>
      <w:r w:rsidRPr="00D17C84">
        <w:rPr>
          <w:rFonts w:ascii="Arial" w:eastAsia="Times New Roman" w:hAnsi="Arial" w:cs="Arial"/>
          <w:b/>
          <w:bCs/>
          <w:i/>
          <w:iCs/>
          <w:lang w:eastAsia="es-ES"/>
        </w:rPr>
        <w:t xml:space="preserve">juicio de inconformidad </w:t>
      </w:r>
      <w:r w:rsidRPr="00D17C84">
        <w:rPr>
          <w:rFonts w:ascii="Arial" w:eastAsia="Times New Roman" w:hAnsi="Arial" w:cs="Arial"/>
          <w:bCs/>
          <w:i/>
          <w:iCs/>
          <w:lang w:eastAsia="es-ES"/>
        </w:rPr>
        <w:t xml:space="preserve">que debe de conocer la </w:t>
      </w:r>
      <w:r w:rsidRPr="00D17C84">
        <w:rPr>
          <w:rFonts w:ascii="Arial" w:eastAsia="Times New Roman" w:hAnsi="Arial" w:cs="Arial"/>
          <w:b/>
          <w:bCs/>
          <w:i/>
          <w:iCs/>
          <w:lang w:eastAsia="es-ES"/>
        </w:rPr>
        <w:t xml:space="preserve">Sala Superior de este Tribunal, </w:t>
      </w:r>
      <w:r w:rsidRPr="00D17C84">
        <w:rPr>
          <w:rFonts w:ascii="Arial" w:eastAsia="Times New Roman" w:hAnsi="Arial" w:cs="Arial"/>
          <w:bCs/>
          <w:i/>
          <w:iCs/>
          <w:lang w:eastAsia="es-ES"/>
        </w:rPr>
        <w:t xml:space="preserve">con fundamento </w:t>
      </w:r>
      <w:r w:rsidR="00351FF7" w:rsidRPr="00D17C84">
        <w:rPr>
          <w:rFonts w:ascii="Arial" w:eastAsia="Times New Roman" w:hAnsi="Arial" w:cs="Arial"/>
          <w:bCs/>
          <w:i/>
          <w:iCs/>
          <w:lang w:eastAsia="es-ES"/>
        </w:rPr>
        <w:t xml:space="preserve">en el artículo 17 de la Constitución Política de los Estados Unidos Mexicanos, en relación con el diverso 130, fracciones V, VI, y X, de la Ley de Procedimiento y Justicia Administrativa para el Estado de Oaxaca, y conforme a lo establecido por el artículo 69, de la Ley de Fiscalización Superior y Rendición de Cuentas para el Estado de Oaxaca. </w:t>
      </w:r>
    </w:p>
    <w:p w14:paraId="6B45350E" w14:textId="02C8F730" w:rsidR="00314087" w:rsidRPr="00D17C84" w:rsidRDefault="00351FF7" w:rsidP="00D17C84">
      <w:pPr>
        <w:spacing w:after="0"/>
        <w:ind w:left="567" w:right="616"/>
        <w:jc w:val="both"/>
        <w:rPr>
          <w:rFonts w:ascii="Arial" w:eastAsia="Times New Roman" w:hAnsi="Arial" w:cs="Arial"/>
          <w:bCs/>
          <w:i/>
          <w:iCs/>
          <w:lang w:eastAsia="es-ES"/>
        </w:rPr>
      </w:pPr>
      <w:r w:rsidRPr="00D17C84">
        <w:rPr>
          <w:rFonts w:ascii="Arial" w:eastAsia="Times New Roman" w:hAnsi="Arial" w:cs="Arial"/>
          <w:bCs/>
          <w:i/>
          <w:iCs/>
          <w:lang w:eastAsia="es-ES"/>
        </w:rPr>
        <w:t xml:space="preserve">En esas consideraciones, y para evitar dilaciones procesales que transgredan los derechos del administrado, </w:t>
      </w:r>
      <w:r w:rsidRPr="00D17C84">
        <w:rPr>
          <w:rFonts w:ascii="Arial" w:eastAsia="Times New Roman" w:hAnsi="Arial" w:cs="Arial"/>
          <w:b/>
          <w:bCs/>
          <w:i/>
          <w:iCs/>
          <w:lang w:eastAsia="es-ES"/>
        </w:rPr>
        <w:t xml:space="preserve">esta Cuarta Sala Unitaria de Primera Instancia, se declara incompetente, </w:t>
      </w:r>
      <w:r w:rsidRPr="00D17C84">
        <w:rPr>
          <w:rFonts w:ascii="Arial" w:eastAsia="Times New Roman" w:hAnsi="Arial" w:cs="Arial"/>
          <w:bCs/>
          <w:i/>
          <w:iCs/>
          <w:lang w:eastAsia="es-ES"/>
        </w:rPr>
        <w:t xml:space="preserve">para conocer de actos referentes a la rendición de cuentes (sic), </w:t>
      </w:r>
      <w:proofErr w:type="spellStart"/>
      <w:r w:rsidRPr="00D17C84">
        <w:rPr>
          <w:rFonts w:ascii="Arial" w:eastAsia="Times New Roman" w:hAnsi="Arial" w:cs="Arial"/>
          <w:bCs/>
          <w:i/>
          <w:iCs/>
          <w:lang w:eastAsia="es-ES"/>
        </w:rPr>
        <w:t>por que</w:t>
      </w:r>
      <w:proofErr w:type="spellEnd"/>
      <w:r w:rsidRPr="00D17C84">
        <w:rPr>
          <w:rFonts w:ascii="Arial" w:eastAsia="Times New Roman" w:hAnsi="Arial" w:cs="Arial"/>
          <w:bCs/>
          <w:i/>
          <w:iCs/>
          <w:lang w:eastAsia="es-ES"/>
        </w:rPr>
        <w:t xml:space="preserve"> (sic) de hacerlo, invadiría la esfera de incompetencia de la Sala Superior de este Tribunal, violentando el principio de legalidad previsto en el artículo 2, tercer párrafo, de la Ley Orgánica </w:t>
      </w:r>
      <w:r w:rsidR="00314087" w:rsidRPr="00D17C84">
        <w:rPr>
          <w:rFonts w:ascii="Arial" w:eastAsia="Times New Roman" w:hAnsi="Arial" w:cs="Arial"/>
          <w:bCs/>
          <w:i/>
          <w:iCs/>
          <w:lang w:eastAsia="es-ES"/>
        </w:rPr>
        <w:t xml:space="preserve">del Tribunal de Justicia Administrativa del Estado de Oaxaca; y el principio de seguridad jurídica contenido en el artículo 16 de la Constitución Política de los Estados Unidos Mexicanos, relativo a que la (sic) autoridades solo pueden hacer lo que la ley les permite.  </w:t>
      </w:r>
    </w:p>
    <w:p w14:paraId="7EC3B663" w14:textId="204BDC51" w:rsidR="00997198" w:rsidRPr="00D17C84" w:rsidRDefault="00314087" w:rsidP="00D17C84">
      <w:pPr>
        <w:spacing w:after="0"/>
        <w:ind w:left="567" w:right="616"/>
        <w:jc w:val="both"/>
        <w:rPr>
          <w:rFonts w:ascii="Arial" w:eastAsia="Times New Roman" w:hAnsi="Arial" w:cs="Arial"/>
          <w:bCs/>
          <w:i/>
          <w:iCs/>
          <w:lang w:eastAsia="es-ES"/>
        </w:rPr>
      </w:pPr>
      <w:r w:rsidRPr="00D17C84">
        <w:rPr>
          <w:rFonts w:ascii="Arial" w:eastAsia="Times New Roman" w:hAnsi="Arial" w:cs="Arial"/>
          <w:bCs/>
          <w:i/>
          <w:iCs/>
          <w:lang w:eastAsia="es-ES"/>
        </w:rPr>
        <w:t xml:space="preserve">En consecuencia, y una vez que cause estado el presente auto, y privilegiando el acceso efectivo a la justicia que tiene todo administrado, </w:t>
      </w:r>
      <w:r w:rsidRPr="00D17C84">
        <w:rPr>
          <w:rFonts w:ascii="Arial" w:eastAsia="Times New Roman" w:hAnsi="Arial" w:cs="Arial"/>
          <w:b/>
          <w:bCs/>
          <w:i/>
          <w:iCs/>
          <w:lang w:eastAsia="es-ES"/>
        </w:rPr>
        <w:t xml:space="preserve">se ordena remitir mediante oficio </w:t>
      </w:r>
      <w:r w:rsidRPr="00D17C84">
        <w:rPr>
          <w:rFonts w:ascii="Arial" w:eastAsia="Times New Roman" w:hAnsi="Arial" w:cs="Arial"/>
          <w:bCs/>
          <w:i/>
          <w:iCs/>
          <w:lang w:eastAsia="es-ES"/>
        </w:rPr>
        <w:t xml:space="preserve">a la Sala Superior de este Tribunal, el presente juicio de nulidad </w:t>
      </w:r>
      <w:r w:rsidRPr="00D17C84">
        <w:rPr>
          <w:rFonts w:ascii="Arial" w:eastAsia="Times New Roman" w:hAnsi="Arial" w:cs="Arial"/>
          <w:b/>
          <w:bCs/>
          <w:i/>
          <w:iCs/>
          <w:lang w:eastAsia="es-ES"/>
        </w:rPr>
        <w:t xml:space="preserve">0075/2021, </w:t>
      </w:r>
      <w:r w:rsidRPr="00D17C84">
        <w:rPr>
          <w:rFonts w:ascii="Arial" w:eastAsia="Times New Roman" w:hAnsi="Arial" w:cs="Arial"/>
          <w:bCs/>
          <w:i/>
          <w:iCs/>
          <w:lang w:eastAsia="es-ES"/>
        </w:rPr>
        <w:t xml:space="preserve">para la </w:t>
      </w:r>
      <w:r w:rsidRPr="00D17C84">
        <w:rPr>
          <w:rFonts w:ascii="Arial" w:eastAsia="Times New Roman" w:hAnsi="Arial" w:cs="Arial"/>
          <w:bCs/>
          <w:i/>
          <w:iCs/>
          <w:u w:val="single"/>
          <w:lang w:eastAsia="es-ES"/>
        </w:rPr>
        <w:t>tramitación y substanciación</w:t>
      </w:r>
      <w:r w:rsidRPr="00D17C84">
        <w:rPr>
          <w:rFonts w:ascii="Arial" w:eastAsia="Times New Roman" w:hAnsi="Arial" w:cs="Arial"/>
          <w:bCs/>
          <w:i/>
          <w:iCs/>
          <w:lang w:eastAsia="es-ES"/>
        </w:rPr>
        <w:t xml:space="preserve"> del </w:t>
      </w:r>
      <w:r w:rsidRPr="00D17C84">
        <w:rPr>
          <w:rFonts w:ascii="Arial" w:eastAsia="Times New Roman" w:hAnsi="Arial" w:cs="Arial"/>
          <w:b/>
          <w:bCs/>
          <w:i/>
          <w:iCs/>
          <w:lang w:eastAsia="es-ES"/>
        </w:rPr>
        <w:t>juicio de inconformidad.</w:t>
      </w:r>
      <w:r w:rsidR="003B6CF0" w:rsidRPr="00D17C84">
        <w:rPr>
          <w:rFonts w:ascii="Arial" w:hAnsi="Arial" w:cs="Arial"/>
          <w:i/>
        </w:rPr>
        <w:t>”</w:t>
      </w:r>
      <w:r w:rsidR="00E84264" w:rsidRPr="00D17C84">
        <w:rPr>
          <w:rFonts w:ascii="Arial" w:hAnsi="Arial" w:cs="Arial"/>
          <w:i/>
        </w:rPr>
        <w:t>.</w:t>
      </w:r>
      <w:r w:rsidR="003B6CF0" w:rsidRPr="00D17C84">
        <w:rPr>
          <w:rFonts w:ascii="Arial" w:eastAsia="Times New Roman" w:hAnsi="Arial" w:cs="Arial"/>
          <w:b/>
          <w:bCs/>
          <w:i/>
          <w:iCs/>
          <w:lang w:eastAsia="es-ES"/>
        </w:rPr>
        <w:t xml:space="preserve"> </w:t>
      </w:r>
    </w:p>
    <w:p w14:paraId="36EF0AC2" w14:textId="66BC5331"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6AF46557"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w:t>
      </w:r>
      <w:r w:rsidRPr="00403CFB">
        <w:rPr>
          <w:rFonts w:ascii="Arial" w:hAnsi="Arial" w:cs="Arial"/>
          <w:bCs/>
          <w:iCs/>
          <w:sz w:val="26"/>
          <w:szCs w:val="26"/>
        </w:rPr>
        <w:lastRenderedPageBreak/>
        <w:t>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B7350C">
        <w:rPr>
          <w:rFonts w:ascii="Arial" w:hAnsi="Arial" w:cs="Arial"/>
          <w:bCs/>
          <w:iCs/>
          <w:sz w:val="26"/>
          <w:szCs w:val="26"/>
        </w:rPr>
        <w:t>ones</w:t>
      </w:r>
      <w:r>
        <w:rPr>
          <w:rFonts w:ascii="Arial" w:hAnsi="Arial" w:cs="Arial"/>
          <w:bCs/>
          <w:iCs/>
          <w:sz w:val="26"/>
          <w:szCs w:val="26"/>
        </w:rPr>
        <w:t xml:space="preserve"> I</w:t>
      </w:r>
      <w:r w:rsidR="00B7350C">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314087">
        <w:rPr>
          <w:rFonts w:ascii="Arial" w:hAnsi="Arial" w:cs="Arial"/>
          <w:bCs/>
          <w:iCs/>
          <w:sz w:val="26"/>
          <w:szCs w:val="26"/>
        </w:rPr>
        <w:t>l acuerdo</w:t>
      </w:r>
      <w:r>
        <w:rPr>
          <w:rFonts w:ascii="Arial" w:hAnsi="Arial" w:cs="Arial"/>
          <w:sz w:val="26"/>
          <w:szCs w:val="26"/>
        </w:rPr>
        <w:t xml:space="preserve"> de</w:t>
      </w:r>
      <w:r w:rsidR="00D35524">
        <w:rPr>
          <w:rFonts w:ascii="Arial" w:hAnsi="Arial" w:cs="Arial"/>
          <w:sz w:val="26"/>
          <w:szCs w:val="26"/>
        </w:rPr>
        <w:t xml:space="preserve"> tre</w:t>
      </w:r>
      <w:r w:rsidR="00314087">
        <w:rPr>
          <w:rFonts w:ascii="Arial" w:hAnsi="Arial" w:cs="Arial"/>
          <w:sz w:val="26"/>
          <w:szCs w:val="26"/>
        </w:rPr>
        <w:t>ce</w:t>
      </w:r>
      <w:r w:rsidR="00D35524">
        <w:rPr>
          <w:rFonts w:ascii="Arial" w:hAnsi="Arial" w:cs="Arial"/>
          <w:sz w:val="26"/>
          <w:szCs w:val="26"/>
        </w:rPr>
        <w:t xml:space="preserve"> </w:t>
      </w:r>
      <w:r w:rsidR="006F7407">
        <w:rPr>
          <w:rFonts w:ascii="Arial" w:hAnsi="Arial" w:cs="Arial"/>
          <w:sz w:val="26"/>
          <w:szCs w:val="26"/>
        </w:rPr>
        <w:t xml:space="preserve">de </w:t>
      </w:r>
      <w:r w:rsidR="00314087">
        <w:rPr>
          <w:rFonts w:ascii="Arial" w:hAnsi="Arial" w:cs="Arial"/>
          <w:sz w:val="26"/>
          <w:szCs w:val="26"/>
        </w:rPr>
        <w:t>octubre</w:t>
      </w:r>
      <w:r w:rsidR="006F7407">
        <w:rPr>
          <w:rFonts w:ascii="Arial" w:hAnsi="Arial" w:cs="Arial"/>
          <w:sz w:val="26"/>
          <w:szCs w:val="26"/>
        </w:rPr>
        <w:t xml:space="preserve"> de dos mil </w:t>
      </w:r>
      <w:r w:rsidR="00D35524">
        <w:rPr>
          <w:rFonts w:ascii="Arial" w:hAnsi="Arial" w:cs="Arial"/>
          <w:sz w:val="26"/>
          <w:szCs w:val="26"/>
        </w:rPr>
        <w:t>veintiuno</w:t>
      </w:r>
      <w:r w:rsidRPr="008E3662">
        <w:rPr>
          <w:rFonts w:ascii="Arial" w:hAnsi="Arial" w:cs="Arial"/>
          <w:bCs/>
          <w:iCs/>
          <w:sz w:val="26"/>
          <w:szCs w:val="26"/>
        </w:rPr>
        <w:t>, dictad</w:t>
      </w:r>
      <w:r w:rsidR="00314087">
        <w:rPr>
          <w:rFonts w:ascii="Arial" w:hAnsi="Arial" w:cs="Arial"/>
          <w:bCs/>
          <w:iCs/>
          <w:sz w:val="26"/>
          <w:szCs w:val="26"/>
        </w:rPr>
        <w:t>o</w:t>
      </w:r>
      <w:r w:rsidRPr="008E3662">
        <w:rPr>
          <w:rFonts w:ascii="Arial" w:hAnsi="Arial" w:cs="Arial"/>
          <w:bCs/>
          <w:iCs/>
          <w:sz w:val="26"/>
          <w:szCs w:val="26"/>
        </w:rPr>
        <w:t xml:space="preserve"> por la </w:t>
      </w:r>
      <w:r w:rsidR="002614F4">
        <w:rPr>
          <w:rFonts w:ascii="Arial" w:hAnsi="Arial" w:cs="Arial"/>
          <w:bCs/>
          <w:iCs/>
          <w:sz w:val="26"/>
          <w:szCs w:val="26"/>
        </w:rPr>
        <w:t>Cuar</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314087">
        <w:rPr>
          <w:rFonts w:ascii="Arial" w:hAnsi="Arial" w:cs="Arial"/>
          <w:b/>
          <w:bCs/>
          <w:iCs/>
          <w:sz w:val="26"/>
          <w:szCs w:val="26"/>
        </w:rPr>
        <w:t>075</w:t>
      </w:r>
      <w:r w:rsidRPr="00AE78C3">
        <w:rPr>
          <w:rFonts w:ascii="Arial" w:hAnsi="Arial" w:cs="Arial"/>
          <w:b/>
          <w:bCs/>
          <w:iCs/>
          <w:sz w:val="26"/>
          <w:szCs w:val="26"/>
        </w:rPr>
        <w:t>/20</w:t>
      </w:r>
      <w:r w:rsidR="00314087">
        <w:rPr>
          <w:rFonts w:ascii="Arial" w:hAnsi="Arial" w:cs="Arial"/>
          <w:b/>
          <w:bCs/>
          <w:iCs/>
          <w:sz w:val="26"/>
          <w:szCs w:val="26"/>
        </w:rPr>
        <w:t>2</w:t>
      </w:r>
      <w:r w:rsidRPr="00AE78C3">
        <w:rPr>
          <w:rFonts w:ascii="Arial" w:hAnsi="Arial" w:cs="Arial"/>
          <w:b/>
          <w:bCs/>
          <w:iCs/>
          <w:sz w:val="26"/>
          <w:szCs w:val="26"/>
        </w:rPr>
        <w:t>1</w:t>
      </w:r>
      <w:r w:rsidRPr="00E43349">
        <w:rPr>
          <w:rFonts w:ascii="Arial" w:hAnsi="Arial" w:cs="Arial"/>
          <w:iCs/>
          <w:sz w:val="26"/>
          <w:szCs w:val="26"/>
        </w:rPr>
        <w:t>.</w:t>
      </w:r>
      <w:r w:rsidR="00E43349" w:rsidRPr="00E43349">
        <w:rPr>
          <w:rFonts w:ascii="Arial" w:hAnsi="Arial" w:cs="Arial"/>
          <w:iCs/>
          <w:sz w:val="26"/>
          <w:szCs w:val="26"/>
        </w:rPr>
        <w:t>- - - - - - - -</w:t>
      </w:r>
      <w:r w:rsidR="00E43349">
        <w:rPr>
          <w:rFonts w:ascii="Arial" w:hAnsi="Arial" w:cs="Arial"/>
          <w:b/>
          <w:bCs/>
          <w:iCs/>
          <w:sz w:val="26"/>
          <w:szCs w:val="26"/>
        </w:rPr>
        <w:t xml:space="preserve"> </w:t>
      </w:r>
    </w:p>
    <w:p w14:paraId="45F854D1" w14:textId="41F4E727" w:rsidR="00D35524" w:rsidRPr="00011CEC" w:rsidRDefault="00D35524" w:rsidP="00D35524">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62DAB3CF" w14:textId="77777777" w:rsidR="00D35524" w:rsidRPr="00011CEC" w:rsidRDefault="00D35524" w:rsidP="00E43349">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2659D38" w14:textId="3C8A6279" w:rsidR="00276E57" w:rsidRDefault="006640AE" w:rsidP="000263F9">
      <w:pPr>
        <w:spacing w:before="240" w:line="360" w:lineRule="auto"/>
        <w:ind w:firstLine="708"/>
        <w:jc w:val="both"/>
        <w:rPr>
          <w:rFonts w:ascii="Arial" w:hAnsi="Arial" w:cs="Arial"/>
          <w:sz w:val="26"/>
          <w:szCs w:val="26"/>
        </w:rPr>
      </w:pPr>
      <w:r w:rsidRPr="00626352">
        <w:rPr>
          <w:rFonts w:ascii="Arial" w:hAnsi="Arial" w:cs="Arial"/>
          <w:b/>
          <w:sz w:val="26"/>
          <w:szCs w:val="26"/>
        </w:rPr>
        <w:t>TERCERO.</w:t>
      </w:r>
      <w:r w:rsidR="00012E2B">
        <w:rPr>
          <w:rFonts w:ascii="Arial" w:hAnsi="Arial" w:cs="Arial"/>
          <w:b/>
          <w:sz w:val="26"/>
          <w:szCs w:val="26"/>
        </w:rPr>
        <w:t xml:space="preserve"> </w:t>
      </w:r>
      <w:r w:rsidR="00626352" w:rsidRPr="00626352">
        <w:rPr>
          <w:rFonts w:ascii="Arial" w:hAnsi="Arial" w:cs="Arial"/>
          <w:b/>
          <w:sz w:val="26"/>
          <w:szCs w:val="26"/>
        </w:rPr>
        <w:t xml:space="preserve"> </w:t>
      </w:r>
      <w:r w:rsidR="000263F9">
        <w:rPr>
          <w:rFonts w:ascii="Arial" w:hAnsi="Arial" w:cs="Arial"/>
          <w:sz w:val="26"/>
          <w:szCs w:val="26"/>
        </w:rPr>
        <w:t xml:space="preserve">Señala el recurrente le causa agravios el acuerdo de trece de octubre de dos mil veintiuno, que recayó a su demanda de nulidad presentada el once de octubre del mismo año, ante la oficialía de partes de este Tribunal, en virtud de que se le vio afectado su derecho humano de acceso a la justicia o de tutela judicial efectiva y en un plazo </w:t>
      </w:r>
      <w:r w:rsidR="000263F9">
        <w:rPr>
          <w:rFonts w:ascii="Arial" w:hAnsi="Arial" w:cs="Arial"/>
          <w:sz w:val="26"/>
          <w:szCs w:val="26"/>
        </w:rPr>
        <w:lastRenderedPageBreak/>
        <w:t>razonable, que establecen los artículos 8 y 25, de la Convención Americana sobre Derechos Humanos y 17, de la Constitución Política de los Estados Unidos Mexicanos, pues en lugar de maximizarse conforme al artículos 1° de la Constitución Federal, se</w:t>
      </w:r>
      <w:r w:rsidR="009F5DDF">
        <w:rPr>
          <w:rFonts w:ascii="Arial" w:hAnsi="Arial" w:cs="Arial"/>
          <w:sz w:val="26"/>
          <w:szCs w:val="26"/>
        </w:rPr>
        <w:t xml:space="preserve"> le imposibilitó a reclamar sus derechos mediante el debido proceso, a través de un tribunal mediante un juicio seguido con las formalidades esenciales del procedimiento, en consecuencia, lo deja en estado de indefensión porque el acto administrativo que se pretende impugnar aun cuando goza de presunción de validez eso no significa que sea justo, legal y no sea arbitrario. Toda vez que toda persona tiene derechos que le son inseparables, los cuales no pueden ser violentados por autoridad alguna sin una razón que tenga una base legal fundada y motivada conforme a Derecho. </w:t>
      </w:r>
      <w:r w:rsidR="00E43349">
        <w:rPr>
          <w:rFonts w:ascii="Arial" w:hAnsi="Arial" w:cs="Arial"/>
          <w:sz w:val="26"/>
          <w:szCs w:val="26"/>
        </w:rPr>
        <w:t xml:space="preserve">- - - - - - - - - - - - - - - - - - - - - - - - - - - - - - - - - - - - - - - - - - - - - </w:t>
      </w:r>
    </w:p>
    <w:p w14:paraId="2F5142FA" w14:textId="00BC7BFE" w:rsidR="00627D62" w:rsidRDefault="009F5DDF" w:rsidP="00627D62">
      <w:pPr>
        <w:spacing w:before="240" w:line="360" w:lineRule="auto"/>
        <w:ind w:firstLine="708"/>
        <w:jc w:val="both"/>
        <w:rPr>
          <w:rFonts w:ascii="Arial" w:hAnsi="Arial" w:cs="Arial"/>
          <w:sz w:val="26"/>
          <w:szCs w:val="26"/>
        </w:rPr>
      </w:pPr>
      <w:r>
        <w:rPr>
          <w:rFonts w:ascii="Arial" w:hAnsi="Arial" w:cs="Arial"/>
          <w:sz w:val="26"/>
          <w:szCs w:val="26"/>
        </w:rPr>
        <w:t xml:space="preserve">Hace referencia de la Convención Americana sobre Derechos Humanos, resultando convencional </w:t>
      </w:r>
      <w:r w:rsidR="002D608A">
        <w:rPr>
          <w:rFonts w:ascii="Arial" w:hAnsi="Arial" w:cs="Arial"/>
          <w:sz w:val="26"/>
          <w:szCs w:val="26"/>
        </w:rPr>
        <w:t>el artículo</w:t>
      </w:r>
      <w:r>
        <w:rPr>
          <w:rFonts w:ascii="Arial" w:hAnsi="Arial" w:cs="Arial"/>
          <w:sz w:val="26"/>
          <w:szCs w:val="26"/>
        </w:rPr>
        <w:t xml:space="preserve"> 133, fracción VIII, inciso d</w:t>
      </w:r>
      <w:r w:rsidR="002D608A">
        <w:rPr>
          <w:rFonts w:ascii="Arial" w:hAnsi="Arial" w:cs="Arial"/>
          <w:sz w:val="26"/>
          <w:szCs w:val="26"/>
        </w:rPr>
        <w:t>);</w:t>
      </w:r>
      <w:r>
        <w:rPr>
          <w:rFonts w:ascii="Arial" w:hAnsi="Arial" w:cs="Arial"/>
          <w:sz w:val="26"/>
          <w:szCs w:val="26"/>
        </w:rPr>
        <w:t xml:space="preserve"> de la Ley de Procedimiento y Justicia Administrativa para el Estado de Oaxaca, invocado por el acuerdo que se recurre, </w:t>
      </w:r>
      <w:r w:rsidR="002D608A">
        <w:rPr>
          <w:rFonts w:ascii="Arial" w:hAnsi="Arial" w:cs="Arial"/>
          <w:sz w:val="26"/>
          <w:szCs w:val="26"/>
        </w:rPr>
        <w:t>porque</w:t>
      </w:r>
      <w:r>
        <w:rPr>
          <w:rFonts w:ascii="Arial" w:hAnsi="Arial" w:cs="Arial"/>
          <w:sz w:val="26"/>
          <w:szCs w:val="26"/>
        </w:rPr>
        <w:t xml:space="preserve"> de una interpretación a contrario sensu a dicha porción normativa, la Primera Instancia </w:t>
      </w:r>
      <w:r w:rsidR="002D608A">
        <w:rPr>
          <w:rFonts w:ascii="Arial" w:hAnsi="Arial" w:cs="Arial"/>
          <w:sz w:val="26"/>
          <w:szCs w:val="26"/>
        </w:rPr>
        <w:t xml:space="preserve">exigió como presupuesto para que sea competente de conocer y resolver del juicio promovido, que en el procedimiento de ejecución se haya interpuesto el recurso ordinario ante la autoridad competente y cuando afirme que </w:t>
      </w:r>
      <w:r w:rsidR="00E9559A">
        <w:rPr>
          <w:rFonts w:ascii="Arial" w:hAnsi="Arial" w:cs="Arial"/>
          <w:sz w:val="26"/>
          <w:szCs w:val="26"/>
        </w:rPr>
        <w:t xml:space="preserve">el procedimiento coactivo no se ajuste a la ley, ahora bien, sino se hubiese interpuesto dicho recurso ordinario, entonces no es competente la Primera Instancia </w:t>
      </w:r>
      <w:r w:rsidR="00627D62">
        <w:rPr>
          <w:rFonts w:ascii="Arial" w:hAnsi="Arial" w:cs="Arial"/>
          <w:sz w:val="26"/>
          <w:szCs w:val="26"/>
        </w:rPr>
        <w:t xml:space="preserve">de conocer del juicio planteado, lo anterior es violatorio en su perjuicio de los derechos humanos de protección judicial establecidos en los artículos 8.1 y 25.1 </w:t>
      </w:r>
      <w:r w:rsidR="00BB23E9">
        <w:rPr>
          <w:rFonts w:ascii="Arial" w:hAnsi="Arial" w:cs="Arial"/>
          <w:sz w:val="26"/>
          <w:szCs w:val="26"/>
        </w:rPr>
        <w:t xml:space="preserve">(los transcribe) </w:t>
      </w:r>
      <w:r w:rsidR="00627D62">
        <w:rPr>
          <w:rFonts w:ascii="Arial" w:hAnsi="Arial" w:cs="Arial"/>
          <w:sz w:val="26"/>
          <w:szCs w:val="26"/>
        </w:rPr>
        <w:t>de la Convención Americana sobre Derechos Humanos (Pacto de San José)</w:t>
      </w:r>
      <w:r w:rsidR="00BB23E9">
        <w:rPr>
          <w:rFonts w:ascii="Arial" w:hAnsi="Arial" w:cs="Arial"/>
          <w:sz w:val="26"/>
          <w:szCs w:val="26"/>
        </w:rPr>
        <w:t xml:space="preserve">. - - - - - - - - - - - - - - - - - - - - - - - - - - - - - - - - - - - - - - - - - - - - - - - </w:t>
      </w:r>
    </w:p>
    <w:p w14:paraId="4782DDAA" w14:textId="7F2FAF49" w:rsidR="00627D62" w:rsidRDefault="00627D62" w:rsidP="00627D62">
      <w:pPr>
        <w:spacing w:before="240" w:line="360" w:lineRule="auto"/>
        <w:ind w:firstLine="708"/>
        <w:jc w:val="both"/>
        <w:rPr>
          <w:rFonts w:ascii="Arial" w:hAnsi="Arial" w:cs="Arial"/>
          <w:sz w:val="26"/>
          <w:szCs w:val="26"/>
        </w:rPr>
      </w:pPr>
      <w:r>
        <w:rPr>
          <w:rFonts w:ascii="Arial" w:hAnsi="Arial" w:cs="Arial"/>
          <w:sz w:val="26"/>
          <w:szCs w:val="26"/>
        </w:rPr>
        <w:t>En su segundo agravio el inconforme expresa que la Primera Instancia</w:t>
      </w:r>
      <w:r w:rsidR="00D05261">
        <w:rPr>
          <w:rFonts w:ascii="Arial" w:hAnsi="Arial" w:cs="Arial"/>
          <w:sz w:val="26"/>
          <w:szCs w:val="26"/>
        </w:rPr>
        <w:t xml:space="preserve">, hizo nugatorio el acceso a la justicia o tutela judicial efectiva, porque señala que el mandamiento de ejecución y la notificación y su requerimiento de pago y embargo, no son impugnables en el juicio contencioso administrativo, porque el artículo 133, fracción VIII, inciso d), de la Ley de Procedimiento y Justicia Administrativa para el Estado, exige que en caso de que se impugne el procedimiento administrativo de ejecución por no ajustarse a lo dispuesto por la ley, sea necesaria la </w:t>
      </w:r>
      <w:r w:rsidR="00D05261">
        <w:rPr>
          <w:rFonts w:ascii="Arial" w:hAnsi="Arial" w:cs="Arial"/>
          <w:sz w:val="26"/>
          <w:szCs w:val="26"/>
        </w:rPr>
        <w:lastRenderedPageBreak/>
        <w:t xml:space="preserve">aprobación del remate de los bienes embargados, pues éste constituye el último acto dentro del procedimiento de ejecución y es hasta entonces cuando le cause una afectación real y de imposible reparación en su esfera jurídica, pues si bien es cierto, el embargo constituye un acto de molestia en el patrimonio del promovente, </w:t>
      </w:r>
      <w:r w:rsidR="001F012E">
        <w:rPr>
          <w:rFonts w:ascii="Arial" w:hAnsi="Arial" w:cs="Arial"/>
          <w:sz w:val="26"/>
          <w:szCs w:val="26"/>
        </w:rPr>
        <w:t xml:space="preserve">como también es verdad que no es un acto definitivo para efectos del juicio de nulidad. </w:t>
      </w:r>
      <w:r w:rsidR="00BB23E9">
        <w:rPr>
          <w:rFonts w:ascii="Arial" w:hAnsi="Arial" w:cs="Arial"/>
          <w:sz w:val="26"/>
          <w:szCs w:val="26"/>
        </w:rPr>
        <w:t xml:space="preserve">- - - - - - - - - - </w:t>
      </w:r>
    </w:p>
    <w:p w14:paraId="2A925588" w14:textId="71E1A904" w:rsidR="00C47216" w:rsidRDefault="00E20CD0" w:rsidP="00627D62">
      <w:pPr>
        <w:spacing w:before="240" w:line="360" w:lineRule="auto"/>
        <w:ind w:firstLine="708"/>
        <w:jc w:val="both"/>
        <w:rPr>
          <w:rFonts w:ascii="Arial" w:hAnsi="Arial" w:cs="Arial"/>
          <w:sz w:val="26"/>
          <w:szCs w:val="26"/>
        </w:rPr>
      </w:pPr>
      <w:r>
        <w:rPr>
          <w:rFonts w:ascii="Arial" w:hAnsi="Arial" w:cs="Arial"/>
          <w:sz w:val="26"/>
          <w:szCs w:val="26"/>
        </w:rPr>
        <w:t>Sostiene</w:t>
      </w:r>
      <w:r w:rsidR="009842AF">
        <w:rPr>
          <w:rFonts w:ascii="Arial" w:hAnsi="Arial" w:cs="Arial"/>
          <w:sz w:val="26"/>
          <w:szCs w:val="26"/>
        </w:rPr>
        <w:t xml:space="preserve"> que </w:t>
      </w:r>
      <w:r>
        <w:rPr>
          <w:rFonts w:ascii="Arial" w:hAnsi="Arial" w:cs="Arial"/>
          <w:sz w:val="26"/>
          <w:szCs w:val="26"/>
        </w:rPr>
        <w:t>uno de los requisitos del acto administrativ</w:t>
      </w:r>
      <w:r w:rsidR="00B17C50">
        <w:rPr>
          <w:rFonts w:ascii="Arial" w:hAnsi="Arial" w:cs="Arial"/>
          <w:sz w:val="26"/>
          <w:szCs w:val="26"/>
        </w:rPr>
        <w:t>o a que refiere el artículo 17 f</w:t>
      </w:r>
      <w:r>
        <w:rPr>
          <w:rFonts w:ascii="Arial" w:hAnsi="Arial" w:cs="Arial"/>
          <w:sz w:val="26"/>
          <w:szCs w:val="26"/>
        </w:rPr>
        <w:t xml:space="preserve">racción VIII, de la Ley de Procedimiento y Justicia Administrativa para el Estado de Oaxaca (lo transcribe), los recursos que proceden en contra del mandamiento de ejecución emitido. </w:t>
      </w:r>
      <w:r w:rsidR="00BB23E9">
        <w:rPr>
          <w:rFonts w:ascii="Arial" w:hAnsi="Arial" w:cs="Arial"/>
          <w:sz w:val="26"/>
          <w:szCs w:val="26"/>
        </w:rPr>
        <w:t xml:space="preserve">- - - - - - - - - </w:t>
      </w:r>
    </w:p>
    <w:p w14:paraId="355575B0" w14:textId="2A4C98DE" w:rsidR="00E20CD0" w:rsidRDefault="00E20CD0" w:rsidP="00627D62">
      <w:pPr>
        <w:spacing w:before="240" w:line="360" w:lineRule="auto"/>
        <w:ind w:firstLine="708"/>
        <w:jc w:val="both"/>
        <w:rPr>
          <w:rFonts w:ascii="Arial" w:hAnsi="Arial" w:cs="Arial"/>
          <w:sz w:val="26"/>
          <w:szCs w:val="26"/>
        </w:rPr>
      </w:pPr>
      <w:r>
        <w:rPr>
          <w:rFonts w:ascii="Arial" w:hAnsi="Arial" w:cs="Arial"/>
          <w:sz w:val="26"/>
          <w:szCs w:val="26"/>
        </w:rPr>
        <w:t xml:space="preserve">Alega que del acuerdo de trece de octubre de dos mil veintiuno, se vulnera el derecho a una tutela jurisdiccional efectiva, exige que quienes tengan necesidad de que se les administre justicia, la reciban por órganos jurisdiccionales permanentes, creados con antelación al conflicto, sin más condición que las formalidades necesarias, razonables y proporcionales al caso para lograr su trámite y resolución, lo que constriñe a los órganos legislativos a no obstaculizar ese derecho, pero igualmente les faculta para establecer requisitos y formalidades esenciales para el desarrollo de todo proceso, los cuales deberán ser interpretados de la manera más favorable a los justiciables, atendiendo a su teleología, y aplicando, ante la duda, el principio pro </w:t>
      </w:r>
      <w:proofErr w:type="spellStart"/>
      <w:r>
        <w:rPr>
          <w:rFonts w:ascii="Arial" w:hAnsi="Arial" w:cs="Arial"/>
          <w:sz w:val="26"/>
          <w:szCs w:val="26"/>
        </w:rPr>
        <w:t>actione</w:t>
      </w:r>
      <w:proofErr w:type="spellEnd"/>
      <w:r>
        <w:rPr>
          <w:rFonts w:ascii="Arial" w:hAnsi="Arial" w:cs="Arial"/>
          <w:sz w:val="26"/>
          <w:szCs w:val="26"/>
        </w:rPr>
        <w:t xml:space="preserve"> que da preferencia al estudio de fondo de una acción, lo que en esencia </w:t>
      </w:r>
      <w:r w:rsidR="001F1C43">
        <w:rPr>
          <w:rFonts w:ascii="Arial" w:hAnsi="Arial" w:cs="Arial"/>
          <w:sz w:val="26"/>
          <w:szCs w:val="26"/>
        </w:rPr>
        <w:t>no ocurrió, pues señala que la Cuarta Sala Unitaria al desechar la demanda, el auto recurrido convalida el mandamiento de ejecución impugnado, de manera que causara perjuicios de imposible reparación al pretender embargar bienes, la no disposición de los mismos, gastos para su recuperación y desde luego ocasionara afectaciones a su salud por el estrés y preocupación, afectando su tranquilidad, por lo que, es dable sea combatido a través del juicio, si la misma norma lo permite esto es cuando se haya interpuesto el recurso ordinario y como ya se vio dichos recursos son optativos conforme al artículo 98, de la Ley de Procedimiento y Justicia Administrativa para el Estado de Oaxaca, es por ello expresa que resulta restrictiva la interpretación realizada por la Cuarta Sala, que se traduce en una justicia incompleta al omitir dicho acuerdo pasando por alto los principios de buena fe e informalidad.</w:t>
      </w:r>
      <w:r w:rsidR="00C604EB">
        <w:rPr>
          <w:rFonts w:ascii="Arial" w:hAnsi="Arial" w:cs="Arial"/>
          <w:sz w:val="26"/>
          <w:szCs w:val="26"/>
        </w:rPr>
        <w:t xml:space="preserve"> - - - </w:t>
      </w:r>
    </w:p>
    <w:p w14:paraId="400C5EEC" w14:textId="4EC74FF2" w:rsidR="001F012E" w:rsidRDefault="00390552" w:rsidP="00627D62">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Esta Sala Superior advierte que devienen </w:t>
      </w:r>
      <w:r w:rsidRPr="00390552">
        <w:rPr>
          <w:rFonts w:ascii="Arial" w:hAnsi="Arial" w:cs="Arial"/>
          <w:b/>
          <w:bCs/>
          <w:sz w:val="26"/>
          <w:szCs w:val="26"/>
        </w:rPr>
        <w:t>infundados</w:t>
      </w:r>
      <w:r>
        <w:rPr>
          <w:rFonts w:ascii="Arial" w:hAnsi="Arial" w:cs="Arial"/>
          <w:sz w:val="26"/>
          <w:szCs w:val="26"/>
        </w:rPr>
        <w:t xml:space="preserve"> los agravios del recurrente. </w:t>
      </w:r>
      <w:r w:rsidR="00C604EB">
        <w:rPr>
          <w:rFonts w:ascii="Arial" w:hAnsi="Arial" w:cs="Arial"/>
          <w:sz w:val="26"/>
          <w:szCs w:val="26"/>
        </w:rPr>
        <w:t>- - - - - - - - - - - - - - - - - - - - - - - - - - - - - - - - - - -</w:t>
      </w:r>
    </w:p>
    <w:p w14:paraId="6407F148" w14:textId="29A45B2F" w:rsidR="004D5715" w:rsidRPr="004D5715" w:rsidRDefault="006F7BCC" w:rsidP="004D5715">
      <w:pPr>
        <w:pStyle w:val="Textoindependiente"/>
        <w:spacing w:after="200" w:line="360" w:lineRule="auto"/>
        <w:ind w:firstLine="708"/>
        <w:jc w:val="both"/>
        <w:rPr>
          <w:rFonts w:ascii="Arial" w:eastAsia="Calibri" w:hAnsi="Arial" w:cs="Arial"/>
          <w:b/>
          <w:sz w:val="26"/>
          <w:szCs w:val="26"/>
        </w:rPr>
      </w:pPr>
      <w:r w:rsidRPr="005859BB">
        <w:rPr>
          <w:rFonts w:ascii="Arial" w:eastAsia="Calibri" w:hAnsi="Arial" w:cs="Arial"/>
          <w:bCs/>
          <w:sz w:val="26"/>
          <w:szCs w:val="26"/>
        </w:rPr>
        <w:t>En principio es necesario indicar, que de las constancias procesales que integran el expediente de primera instancia, las que tienen pleno valor probatorio por tratarse de actuaciones judiciales, conforme a lo dispuesto por el artículo 203 fracción I</w:t>
      </w:r>
      <w:r w:rsidRPr="005859BB">
        <w:rPr>
          <w:rFonts w:ascii="Arial" w:eastAsia="Calibri" w:hAnsi="Arial" w:cs="Arial"/>
          <w:bCs/>
          <w:sz w:val="26"/>
          <w:szCs w:val="26"/>
          <w:vertAlign w:val="superscript"/>
        </w:rPr>
        <w:footnoteReference w:id="1"/>
      </w:r>
      <w:r w:rsidRPr="005859BB">
        <w:rPr>
          <w:rFonts w:ascii="Arial" w:eastAsia="Calibri" w:hAnsi="Arial" w:cs="Arial"/>
          <w:bCs/>
          <w:sz w:val="26"/>
          <w:szCs w:val="26"/>
        </w:rPr>
        <w:t xml:space="preserve"> de la Ley de Procedimiento y Justicia Administrativa para el Estado de Oaxaca, se observa que el demandante impugnó los actos consistentes</w:t>
      </w:r>
      <w:r>
        <w:rPr>
          <w:rFonts w:ascii="Arial" w:eastAsia="Calibri" w:hAnsi="Arial" w:cs="Arial"/>
          <w:bCs/>
          <w:sz w:val="26"/>
          <w:szCs w:val="26"/>
        </w:rPr>
        <w:t xml:space="preserve"> </w:t>
      </w:r>
      <w:r w:rsidR="004D5715">
        <w:rPr>
          <w:rFonts w:ascii="Arial" w:eastAsia="Calibri" w:hAnsi="Arial" w:cs="Arial"/>
          <w:bCs/>
          <w:sz w:val="26"/>
          <w:szCs w:val="26"/>
        </w:rPr>
        <w:t xml:space="preserve">en el mandamiento de ejecución </w:t>
      </w:r>
      <w:r w:rsidR="004D5715" w:rsidRPr="00B60C24">
        <w:rPr>
          <w:rFonts w:ascii="Arial" w:eastAsia="Calibri" w:hAnsi="Arial" w:cs="Arial"/>
          <w:bCs/>
          <w:sz w:val="26"/>
          <w:szCs w:val="26"/>
        </w:rPr>
        <w:t>número</w:t>
      </w:r>
      <w:r w:rsidR="004D5715">
        <w:rPr>
          <w:rFonts w:ascii="Arial" w:eastAsia="Calibri" w:hAnsi="Arial" w:cs="Arial"/>
          <w:bCs/>
          <w:sz w:val="26"/>
          <w:szCs w:val="26"/>
        </w:rPr>
        <w:t xml:space="preserve"> </w:t>
      </w:r>
      <w:bookmarkStart w:id="0" w:name="_Hlk109422150"/>
      <w:r w:rsidR="00BA0262">
        <w:rPr>
          <w:rFonts w:ascii="Arial" w:eastAsia="Calibri" w:hAnsi="Arial" w:cs="Arial"/>
          <w:b/>
          <w:sz w:val="26"/>
          <w:szCs w:val="26"/>
        </w:rPr>
        <w:t>*******</w:t>
      </w:r>
      <w:r w:rsidR="005332ED">
        <w:rPr>
          <w:rStyle w:val="Refdenotaalpie"/>
          <w:rFonts w:ascii="Arial" w:eastAsia="Calibri" w:hAnsi="Arial" w:cs="Arial"/>
          <w:b/>
          <w:sz w:val="26"/>
          <w:szCs w:val="26"/>
        </w:rPr>
        <w:footnoteReference w:id="2"/>
      </w:r>
      <w:r w:rsidR="004D5715">
        <w:rPr>
          <w:rFonts w:ascii="Arial" w:eastAsia="Calibri" w:hAnsi="Arial" w:cs="Arial"/>
          <w:bCs/>
          <w:sz w:val="26"/>
          <w:szCs w:val="26"/>
        </w:rPr>
        <w:t xml:space="preserve"> de veinticuatro de junio de dos mil veintiuno</w:t>
      </w:r>
      <w:bookmarkEnd w:id="0"/>
      <w:r w:rsidR="004D5715">
        <w:rPr>
          <w:rFonts w:ascii="Arial" w:eastAsia="Calibri" w:hAnsi="Arial" w:cs="Arial"/>
          <w:bCs/>
          <w:sz w:val="26"/>
          <w:szCs w:val="26"/>
        </w:rPr>
        <w:t xml:space="preserve">, que contiene el crédito </w:t>
      </w:r>
      <w:r w:rsidR="004D5715" w:rsidRPr="00B60C24">
        <w:rPr>
          <w:rFonts w:ascii="Arial" w:eastAsia="Calibri" w:hAnsi="Arial" w:cs="Arial"/>
          <w:bCs/>
          <w:sz w:val="26"/>
          <w:szCs w:val="26"/>
        </w:rPr>
        <w:t xml:space="preserve">número </w:t>
      </w:r>
      <w:r w:rsidR="00BA0262">
        <w:rPr>
          <w:rFonts w:ascii="Arial" w:eastAsia="Calibri" w:hAnsi="Arial" w:cs="Arial"/>
          <w:b/>
          <w:sz w:val="26"/>
          <w:szCs w:val="26"/>
        </w:rPr>
        <w:t>*******</w:t>
      </w:r>
      <w:r w:rsidR="004D5715" w:rsidRPr="00E0776D">
        <w:rPr>
          <w:rFonts w:ascii="Arial" w:eastAsia="Calibri" w:hAnsi="Arial" w:cs="Arial"/>
          <w:b/>
          <w:sz w:val="26"/>
          <w:szCs w:val="26"/>
        </w:rPr>
        <w:t>,</w:t>
      </w:r>
      <w:r w:rsidR="004D5715">
        <w:rPr>
          <w:rFonts w:ascii="Arial" w:eastAsia="Calibri" w:hAnsi="Arial" w:cs="Arial"/>
          <w:bCs/>
          <w:sz w:val="26"/>
          <w:szCs w:val="26"/>
        </w:rPr>
        <w:t xml:space="preserve"> derivado de la resolución determinante </w:t>
      </w:r>
      <w:r w:rsidR="00BA0262">
        <w:rPr>
          <w:rFonts w:ascii="Arial" w:eastAsia="Calibri" w:hAnsi="Arial" w:cs="Arial"/>
          <w:b/>
          <w:sz w:val="26"/>
          <w:szCs w:val="26"/>
        </w:rPr>
        <w:t>*******</w:t>
      </w:r>
      <w:r w:rsidR="004D5715" w:rsidRPr="003E515C">
        <w:rPr>
          <w:rFonts w:ascii="Arial" w:eastAsia="Calibri" w:hAnsi="Arial" w:cs="Arial"/>
          <w:b/>
          <w:sz w:val="26"/>
          <w:szCs w:val="26"/>
        </w:rPr>
        <w:t>,</w:t>
      </w:r>
      <w:r w:rsidR="004D5715">
        <w:rPr>
          <w:rFonts w:ascii="Arial" w:eastAsia="Calibri" w:hAnsi="Arial" w:cs="Arial"/>
          <w:bCs/>
          <w:sz w:val="26"/>
          <w:szCs w:val="26"/>
        </w:rPr>
        <w:t xml:space="preserve"> de dos de</w:t>
      </w:r>
      <w:r w:rsidR="00BA0262">
        <w:rPr>
          <w:rFonts w:ascii="Arial" w:eastAsia="Calibri" w:hAnsi="Arial" w:cs="Arial"/>
          <w:bCs/>
          <w:sz w:val="26"/>
          <w:szCs w:val="26"/>
        </w:rPr>
        <w:t xml:space="preserve"> octubre de dos mil diecinueve.- - - - - - - - - - - - - - - - - - - - - - - - - - - - - - - - - - - - - - - - - - - -</w:t>
      </w:r>
    </w:p>
    <w:p w14:paraId="363AF8A2" w14:textId="4092B823" w:rsidR="005332ED" w:rsidRPr="005332ED" w:rsidRDefault="005332ED" w:rsidP="005332ED">
      <w:pPr>
        <w:spacing w:line="360" w:lineRule="auto"/>
        <w:ind w:firstLine="708"/>
        <w:jc w:val="both"/>
        <w:rPr>
          <w:rFonts w:ascii="Arial" w:eastAsia="Calibri" w:hAnsi="Arial" w:cs="Arial"/>
          <w:bCs/>
          <w:sz w:val="26"/>
          <w:szCs w:val="26"/>
          <w:lang w:eastAsia="es-ES"/>
        </w:rPr>
      </w:pPr>
      <w:r w:rsidRPr="005332ED">
        <w:rPr>
          <w:rFonts w:ascii="Arial" w:eastAsia="Calibri" w:hAnsi="Arial" w:cs="Arial"/>
          <w:bCs/>
          <w:sz w:val="26"/>
          <w:szCs w:val="26"/>
          <w:lang w:eastAsia="es-ES"/>
        </w:rPr>
        <w:t xml:space="preserve">En ese orden de ideas, del análisis efectuado a las constancias del mandamiento de ejecución </w:t>
      </w:r>
      <w:r w:rsidR="00BA0262">
        <w:rPr>
          <w:rFonts w:ascii="Arial" w:eastAsia="Calibri" w:hAnsi="Arial" w:cs="Arial"/>
          <w:b/>
          <w:sz w:val="26"/>
          <w:szCs w:val="26"/>
        </w:rPr>
        <w:t>*******</w:t>
      </w:r>
      <w:r w:rsidR="00E0776D">
        <w:rPr>
          <w:rFonts w:ascii="Arial" w:eastAsia="Calibri" w:hAnsi="Arial" w:cs="Arial"/>
          <w:b/>
          <w:sz w:val="26"/>
          <w:szCs w:val="26"/>
        </w:rPr>
        <w:t xml:space="preserve">, </w:t>
      </w:r>
      <w:r w:rsidRPr="005332ED">
        <w:rPr>
          <w:rFonts w:ascii="Arial" w:eastAsia="Calibri" w:hAnsi="Arial" w:cs="Arial"/>
          <w:bCs/>
          <w:sz w:val="26"/>
          <w:szCs w:val="26"/>
          <w:lang w:eastAsia="es-ES"/>
        </w:rPr>
        <w:t>se observa lo siguiente:</w:t>
      </w:r>
    </w:p>
    <w:p w14:paraId="5A22C16B" w14:textId="1F54BC33" w:rsidR="00E0776D" w:rsidRPr="004D5715" w:rsidRDefault="005332ED" w:rsidP="00E0776D">
      <w:pPr>
        <w:pStyle w:val="Textoindependiente"/>
        <w:numPr>
          <w:ilvl w:val="0"/>
          <w:numId w:val="13"/>
        </w:numPr>
        <w:spacing w:after="200" w:line="360" w:lineRule="auto"/>
        <w:jc w:val="both"/>
        <w:rPr>
          <w:rFonts w:ascii="Arial" w:eastAsia="Calibri" w:hAnsi="Arial" w:cs="Arial"/>
          <w:b/>
          <w:sz w:val="26"/>
          <w:szCs w:val="26"/>
        </w:rPr>
      </w:pPr>
      <w:r w:rsidRPr="005332ED">
        <w:rPr>
          <w:rFonts w:ascii="Arial" w:eastAsia="Calibri" w:hAnsi="Arial" w:cs="Arial"/>
          <w:bCs/>
          <w:sz w:val="26"/>
          <w:szCs w:val="26"/>
        </w:rPr>
        <w:t xml:space="preserve">Que la resolución determinante del crédito número </w:t>
      </w:r>
      <w:r w:rsidR="00BA0262">
        <w:rPr>
          <w:rFonts w:ascii="Arial" w:eastAsia="Calibri" w:hAnsi="Arial" w:cs="Arial"/>
          <w:b/>
          <w:sz w:val="26"/>
          <w:szCs w:val="26"/>
        </w:rPr>
        <w:t>*******</w:t>
      </w:r>
      <w:r w:rsidRPr="005332ED">
        <w:rPr>
          <w:rFonts w:ascii="Arial" w:eastAsia="Calibri" w:hAnsi="Arial" w:cs="Arial"/>
          <w:bCs/>
          <w:sz w:val="26"/>
          <w:szCs w:val="26"/>
        </w:rPr>
        <w:t xml:space="preserve"> fue la identificada con el número</w:t>
      </w:r>
      <w:r w:rsidR="00E0776D">
        <w:rPr>
          <w:rFonts w:ascii="Arial" w:eastAsia="Calibri" w:hAnsi="Arial" w:cs="Arial"/>
          <w:b/>
          <w:sz w:val="26"/>
          <w:szCs w:val="26"/>
        </w:rPr>
        <w:t xml:space="preserve"> </w:t>
      </w:r>
      <w:r w:rsidR="00BA0262">
        <w:rPr>
          <w:rFonts w:ascii="Arial" w:eastAsia="Calibri" w:hAnsi="Arial" w:cs="Arial"/>
          <w:b/>
          <w:sz w:val="26"/>
          <w:szCs w:val="26"/>
        </w:rPr>
        <w:t>*******</w:t>
      </w:r>
      <w:r w:rsidRPr="005332ED">
        <w:rPr>
          <w:rFonts w:ascii="Arial" w:eastAsia="Calibri" w:hAnsi="Arial" w:cs="Arial"/>
          <w:b/>
          <w:sz w:val="26"/>
          <w:szCs w:val="26"/>
        </w:rPr>
        <w:t>,</w:t>
      </w:r>
      <w:r w:rsidRPr="005332ED">
        <w:rPr>
          <w:rFonts w:ascii="Arial" w:eastAsia="Calibri" w:hAnsi="Arial" w:cs="Arial"/>
          <w:bCs/>
          <w:sz w:val="26"/>
          <w:szCs w:val="26"/>
        </w:rPr>
        <w:t xml:space="preserve"> </w:t>
      </w:r>
      <w:r w:rsidR="00E0776D">
        <w:rPr>
          <w:rFonts w:ascii="Arial" w:eastAsia="Calibri" w:hAnsi="Arial" w:cs="Arial"/>
          <w:bCs/>
          <w:sz w:val="26"/>
          <w:szCs w:val="26"/>
        </w:rPr>
        <w:t xml:space="preserve">de dos de octubre de dos mil diecinueve. </w:t>
      </w:r>
    </w:p>
    <w:p w14:paraId="211620F9" w14:textId="207F7598" w:rsidR="005332ED" w:rsidRPr="005332ED" w:rsidRDefault="005332ED" w:rsidP="005332ED">
      <w:pPr>
        <w:numPr>
          <w:ilvl w:val="0"/>
          <w:numId w:val="13"/>
        </w:numPr>
        <w:spacing w:line="360" w:lineRule="auto"/>
        <w:jc w:val="both"/>
        <w:rPr>
          <w:rFonts w:ascii="Arial" w:eastAsia="Calibri" w:hAnsi="Arial" w:cs="Arial"/>
          <w:bCs/>
          <w:sz w:val="26"/>
          <w:szCs w:val="26"/>
          <w:lang w:eastAsia="es-ES"/>
        </w:rPr>
      </w:pPr>
      <w:r w:rsidRPr="005332ED">
        <w:rPr>
          <w:rFonts w:ascii="Arial" w:eastAsia="Calibri" w:hAnsi="Arial" w:cs="Arial"/>
          <w:bCs/>
          <w:sz w:val="26"/>
          <w:szCs w:val="26"/>
          <w:lang w:eastAsia="es-ES"/>
        </w:rPr>
        <w:t xml:space="preserve">Que el concepto de pago requerido, es </w:t>
      </w:r>
      <w:bookmarkStart w:id="1" w:name="_Hlk109422400"/>
      <w:r w:rsidRPr="005332ED">
        <w:rPr>
          <w:rFonts w:ascii="Arial" w:eastAsia="Calibri" w:hAnsi="Arial" w:cs="Arial"/>
          <w:bCs/>
          <w:sz w:val="26"/>
          <w:szCs w:val="26"/>
          <w:lang w:eastAsia="es-ES"/>
        </w:rPr>
        <w:t>“el resarcimiento de daños causados a la hacienda pública municipal de</w:t>
      </w:r>
      <w:r w:rsidR="0095071A">
        <w:rPr>
          <w:rFonts w:ascii="Arial" w:eastAsia="Calibri" w:hAnsi="Arial" w:cs="Arial"/>
          <w:bCs/>
          <w:sz w:val="26"/>
          <w:szCs w:val="26"/>
          <w:lang w:eastAsia="es-ES"/>
        </w:rPr>
        <w:t xml:space="preserve"> </w:t>
      </w:r>
      <w:r w:rsidR="00BA0262">
        <w:rPr>
          <w:rFonts w:ascii="Arial" w:eastAsia="Calibri" w:hAnsi="Arial" w:cs="Arial"/>
          <w:bCs/>
          <w:sz w:val="26"/>
          <w:szCs w:val="26"/>
          <w:lang w:eastAsia="es-ES"/>
        </w:rPr>
        <w:t>*******</w:t>
      </w:r>
      <w:r w:rsidRPr="005332ED">
        <w:rPr>
          <w:rFonts w:ascii="Arial" w:eastAsia="Calibri" w:hAnsi="Arial" w:cs="Arial"/>
          <w:bCs/>
          <w:sz w:val="26"/>
          <w:szCs w:val="26"/>
          <w:lang w:eastAsia="es-ES"/>
        </w:rPr>
        <w:t>, durante el ejercicio fiscal 201</w:t>
      </w:r>
      <w:r w:rsidR="0095071A">
        <w:rPr>
          <w:rFonts w:ascii="Arial" w:eastAsia="Calibri" w:hAnsi="Arial" w:cs="Arial"/>
          <w:bCs/>
          <w:sz w:val="26"/>
          <w:szCs w:val="26"/>
          <w:lang w:eastAsia="es-ES"/>
        </w:rPr>
        <w:t>3</w:t>
      </w:r>
      <w:r w:rsidRPr="005332ED">
        <w:rPr>
          <w:rFonts w:ascii="Arial" w:eastAsia="Calibri" w:hAnsi="Arial" w:cs="Arial"/>
          <w:bCs/>
          <w:sz w:val="26"/>
          <w:szCs w:val="26"/>
          <w:lang w:eastAsia="es-ES"/>
        </w:rPr>
        <w:t xml:space="preserve">”, cuando </w:t>
      </w:r>
      <w:r w:rsidR="00BA0262">
        <w:rPr>
          <w:rFonts w:ascii="Arial" w:eastAsia="Calibri" w:hAnsi="Arial" w:cs="Arial"/>
          <w:bCs/>
          <w:sz w:val="26"/>
          <w:szCs w:val="26"/>
          <w:lang w:eastAsia="es-ES"/>
        </w:rPr>
        <w:t>*******</w:t>
      </w:r>
      <w:r w:rsidR="0095071A">
        <w:rPr>
          <w:rFonts w:ascii="Arial" w:eastAsia="Calibri" w:hAnsi="Arial" w:cs="Arial"/>
          <w:bCs/>
          <w:sz w:val="26"/>
          <w:szCs w:val="26"/>
          <w:lang w:eastAsia="es-ES"/>
        </w:rPr>
        <w:t xml:space="preserve"> </w:t>
      </w:r>
      <w:r w:rsidRPr="005332ED">
        <w:rPr>
          <w:rFonts w:ascii="Arial" w:eastAsia="Calibri" w:hAnsi="Arial" w:cs="Arial"/>
          <w:bCs/>
          <w:sz w:val="26"/>
          <w:szCs w:val="26"/>
          <w:lang w:eastAsia="es-ES"/>
        </w:rPr>
        <w:t xml:space="preserve">fungió como </w:t>
      </w:r>
      <w:r w:rsidR="0095071A">
        <w:rPr>
          <w:rFonts w:ascii="Arial" w:eastAsia="Calibri" w:hAnsi="Arial" w:cs="Arial"/>
          <w:bCs/>
          <w:sz w:val="26"/>
          <w:szCs w:val="26"/>
          <w:lang w:eastAsia="es-ES"/>
        </w:rPr>
        <w:t xml:space="preserve">Tesorero </w:t>
      </w:r>
      <w:r w:rsidRPr="005332ED">
        <w:rPr>
          <w:rFonts w:ascii="Arial" w:eastAsia="Calibri" w:hAnsi="Arial" w:cs="Arial"/>
          <w:bCs/>
          <w:sz w:val="26"/>
          <w:szCs w:val="26"/>
          <w:lang w:eastAsia="es-ES"/>
        </w:rPr>
        <w:t xml:space="preserve">de ese municipio. </w:t>
      </w:r>
    </w:p>
    <w:bookmarkEnd w:id="1"/>
    <w:p w14:paraId="68FBB829" w14:textId="20252C72" w:rsidR="005332ED" w:rsidRPr="005332ED" w:rsidRDefault="005332ED" w:rsidP="005332ED">
      <w:pPr>
        <w:numPr>
          <w:ilvl w:val="0"/>
          <w:numId w:val="13"/>
        </w:numPr>
        <w:spacing w:line="360" w:lineRule="auto"/>
        <w:jc w:val="both"/>
        <w:rPr>
          <w:rFonts w:ascii="Arial" w:eastAsia="Calibri" w:hAnsi="Arial" w:cs="Arial"/>
          <w:b/>
          <w:sz w:val="26"/>
          <w:szCs w:val="26"/>
          <w:lang w:eastAsia="es-ES"/>
        </w:rPr>
      </w:pPr>
      <w:r w:rsidRPr="005332ED">
        <w:rPr>
          <w:rFonts w:ascii="Arial" w:eastAsia="Calibri" w:hAnsi="Arial" w:cs="Arial"/>
          <w:bCs/>
          <w:sz w:val="26"/>
          <w:szCs w:val="26"/>
          <w:lang w:eastAsia="es-ES"/>
        </w:rPr>
        <w:t xml:space="preserve">Que se trata de un requerimiento de pago derivado de un procedimiento de responsabilidad resarcitoria, que no tiene carácter fiscal, por un importe determinado en cantidad de </w:t>
      </w:r>
      <w:bookmarkStart w:id="2" w:name="_Hlk109421515"/>
      <w:r w:rsidRPr="005332ED">
        <w:rPr>
          <w:rFonts w:ascii="Arial" w:eastAsia="Calibri" w:hAnsi="Arial" w:cs="Arial"/>
          <w:b/>
          <w:sz w:val="26"/>
          <w:szCs w:val="26"/>
          <w:lang w:eastAsia="es-ES"/>
        </w:rPr>
        <w:t>$</w:t>
      </w:r>
      <w:r w:rsidR="00BA0262">
        <w:rPr>
          <w:rFonts w:ascii="Arial" w:eastAsia="Calibri" w:hAnsi="Arial" w:cs="Arial"/>
          <w:b/>
          <w:sz w:val="26"/>
          <w:szCs w:val="26"/>
          <w:lang w:eastAsia="es-ES"/>
        </w:rPr>
        <w:t>*******</w:t>
      </w:r>
      <w:r w:rsidRPr="005332ED">
        <w:rPr>
          <w:rFonts w:ascii="Arial" w:eastAsia="Calibri" w:hAnsi="Arial" w:cs="Arial"/>
          <w:b/>
          <w:sz w:val="26"/>
          <w:szCs w:val="26"/>
          <w:lang w:eastAsia="es-ES"/>
        </w:rPr>
        <w:t>).</w:t>
      </w:r>
    </w:p>
    <w:bookmarkEnd w:id="2"/>
    <w:p w14:paraId="1BD4F695" w14:textId="4A8992DA" w:rsidR="005332ED" w:rsidRDefault="005332ED" w:rsidP="00EA0E35">
      <w:pPr>
        <w:spacing w:line="360" w:lineRule="auto"/>
        <w:ind w:firstLine="567"/>
        <w:jc w:val="both"/>
        <w:rPr>
          <w:rFonts w:ascii="Arial" w:eastAsia="Calibri" w:hAnsi="Arial" w:cs="Arial"/>
          <w:bCs/>
          <w:sz w:val="26"/>
          <w:szCs w:val="26"/>
          <w:lang w:eastAsia="es-ES"/>
        </w:rPr>
      </w:pPr>
      <w:r w:rsidRPr="005332ED">
        <w:rPr>
          <w:rFonts w:ascii="Arial" w:eastAsia="Calibri" w:hAnsi="Arial" w:cs="Arial"/>
          <w:bCs/>
          <w:sz w:val="26"/>
          <w:szCs w:val="26"/>
          <w:lang w:eastAsia="es-ES"/>
        </w:rPr>
        <w:t xml:space="preserve">Como se ve, el mandamiento de ejecución impugnado se deriva de una multa que no es de naturaleza tributaria, si no que proviene de un procedimiento de fiscalización instaurado en contra del ahora recurrente por la Auditoría Superior del Estado en aquél tiempo, ahora Órgano Superior de Fiscalización del Estado, aunque dicho acto haya sido emitido por la Coordinadora de Cobro Coactivo de la Secretaría de </w:t>
      </w:r>
      <w:r w:rsidRPr="005332ED">
        <w:rPr>
          <w:rFonts w:ascii="Arial" w:eastAsia="Calibri" w:hAnsi="Arial" w:cs="Arial"/>
          <w:bCs/>
          <w:sz w:val="26"/>
          <w:szCs w:val="26"/>
          <w:lang w:eastAsia="es-ES"/>
        </w:rPr>
        <w:lastRenderedPageBreak/>
        <w:t>Finanzas del Estado de Oaxaca y se haya diligenciado conforme al procedimiento administrativo de ejecución establecido en el Código Fiscal para el Estado de Oaxaca vigente.</w:t>
      </w:r>
      <w:r w:rsidR="00C604EB">
        <w:rPr>
          <w:rFonts w:ascii="Arial" w:eastAsia="Calibri" w:hAnsi="Arial" w:cs="Arial"/>
          <w:bCs/>
          <w:sz w:val="26"/>
          <w:szCs w:val="26"/>
          <w:lang w:eastAsia="es-ES"/>
        </w:rPr>
        <w:t xml:space="preserve"> - - - - - - - - - - - - - - - - - - - - - - </w:t>
      </w:r>
    </w:p>
    <w:p w14:paraId="61F3A052" w14:textId="7A593A38" w:rsidR="000043AD" w:rsidRDefault="00AD1D85" w:rsidP="000043AD">
      <w:pPr>
        <w:spacing w:line="360" w:lineRule="auto"/>
        <w:ind w:firstLine="567"/>
        <w:jc w:val="both"/>
        <w:rPr>
          <w:rFonts w:ascii="Arial" w:eastAsia="Calibri" w:hAnsi="Arial" w:cs="Arial"/>
          <w:bCs/>
          <w:sz w:val="26"/>
          <w:szCs w:val="26"/>
          <w:lang w:eastAsia="es-ES"/>
        </w:rPr>
      </w:pPr>
      <w:r>
        <w:rPr>
          <w:rFonts w:ascii="Arial" w:eastAsia="Calibri" w:hAnsi="Arial" w:cs="Arial"/>
          <w:bCs/>
          <w:sz w:val="26"/>
          <w:szCs w:val="26"/>
          <w:lang w:eastAsia="es-ES"/>
        </w:rPr>
        <w:t xml:space="preserve">Atendiendo a lo anterior, se advierte que fue acertado </w:t>
      </w:r>
      <w:r w:rsidR="007C4159">
        <w:rPr>
          <w:rFonts w:ascii="Arial" w:eastAsia="Calibri" w:hAnsi="Arial" w:cs="Arial"/>
          <w:bCs/>
          <w:sz w:val="26"/>
          <w:szCs w:val="26"/>
          <w:lang w:eastAsia="es-ES"/>
        </w:rPr>
        <w:t>el criterio que tomó</w:t>
      </w:r>
      <w:r>
        <w:rPr>
          <w:rFonts w:ascii="Arial" w:eastAsia="Calibri" w:hAnsi="Arial" w:cs="Arial"/>
          <w:bCs/>
          <w:sz w:val="26"/>
          <w:szCs w:val="26"/>
          <w:lang w:eastAsia="es-ES"/>
        </w:rPr>
        <w:t xml:space="preserve"> la Cuarta Sala Unitaria de Primera Instancia </w:t>
      </w:r>
      <w:r w:rsidR="007C4159">
        <w:rPr>
          <w:rFonts w:ascii="Arial" w:eastAsia="Calibri" w:hAnsi="Arial" w:cs="Arial"/>
          <w:bCs/>
          <w:sz w:val="26"/>
          <w:szCs w:val="26"/>
          <w:lang w:eastAsia="es-ES"/>
        </w:rPr>
        <w:t xml:space="preserve">al dictar el acuerdo de trece de octubre de dos mil veintiuno, ya que por una parte determinó que en el presente caso es improcedente el juicio de nulidad para combatir un mandamiento de ejecución que no es un acto definitivo, tal y como se establece en el artículo 133 fracción VIII incisos a), b) y c), </w:t>
      </w:r>
      <w:r w:rsidR="004D6E5E">
        <w:rPr>
          <w:rFonts w:ascii="Arial" w:eastAsia="Calibri" w:hAnsi="Arial" w:cs="Arial"/>
          <w:bCs/>
          <w:sz w:val="26"/>
          <w:szCs w:val="26"/>
          <w:lang w:eastAsia="es-ES"/>
        </w:rPr>
        <w:t xml:space="preserve">y por otra parte, analizó el contenido integral de los actos impugnados, de lo cual notó que el mandamiento de ejecución </w:t>
      </w:r>
      <w:r w:rsidR="00BA0262">
        <w:rPr>
          <w:rFonts w:ascii="Arial" w:eastAsia="Calibri" w:hAnsi="Arial" w:cs="Arial"/>
          <w:b/>
          <w:sz w:val="26"/>
          <w:szCs w:val="26"/>
        </w:rPr>
        <w:t>*******</w:t>
      </w:r>
      <w:r w:rsidR="004D6E5E">
        <w:rPr>
          <w:rFonts w:ascii="Arial" w:eastAsia="Calibri" w:hAnsi="Arial" w:cs="Arial"/>
          <w:b/>
          <w:sz w:val="26"/>
          <w:szCs w:val="26"/>
        </w:rPr>
        <w:t xml:space="preserve"> </w:t>
      </w:r>
      <w:r w:rsidR="004D6E5E" w:rsidRPr="004D6E5E">
        <w:rPr>
          <w:rFonts w:ascii="Arial" w:eastAsia="Calibri" w:hAnsi="Arial" w:cs="Arial"/>
          <w:bCs/>
          <w:sz w:val="26"/>
          <w:szCs w:val="26"/>
        </w:rPr>
        <w:t>tiene su origen en la resolución determinante</w:t>
      </w:r>
      <w:r w:rsidR="004D6E5E">
        <w:rPr>
          <w:rFonts w:ascii="Arial" w:eastAsia="Calibri" w:hAnsi="Arial" w:cs="Arial"/>
          <w:bCs/>
          <w:sz w:val="26"/>
          <w:szCs w:val="26"/>
        </w:rPr>
        <w:t xml:space="preserve"> </w:t>
      </w:r>
      <w:r w:rsidR="004D6E5E" w:rsidRPr="005332ED">
        <w:rPr>
          <w:rFonts w:ascii="Arial" w:eastAsia="Calibri" w:hAnsi="Arial" w:cs="Arial"/>
          <w:bCs/>
          <w:sz w:val="26"/>
          <w:szCs w:val="26"/>
          <w:lang w:eastAsia="es-ES"/>
        </w:rPr>
        <w:t>número</w:t>
      </w:r>
      <w:r w:rsidR="004D6E5E">
        <w:rPr>
          <w:rFonts w:ascii="Arial" w:eastAsia="Calibri" w:hAnsi="Arial" w:cs="Arial"/>
          <w:b/>
          <w:sz w:val="26"/>
          <w:szCs w:val="26"/>
          <w:lang w:eastAsia="es-ES"/>
        </w:rPr>
        <w:t xml:space="preserve"> </w:t>
      </w:r>
      <w:r w:rsidR="00BA0262">
        <w:rPr>
          <w:rFonts w:ascii="Arial" w:eastAsia="Calibri" w:hAnsi="Arial" w:cs="Arial"/>
          <w:b/>
          <w:sz w:val="26"/>
          <w:szCs w:val="26"/>
        </w:rPr>
        <w:t>*******</w:t>
      </w:r>
      <w:r w:rsidR="004D6E5E" w:rsidRPr="005332ED">
        <w:rPr>
          <w:rFonts w:ascii="Arial" w:eastAsia="Calibri" w:hAnsi="Arial" w:cs="Arial"/>
          <w:b/>
          <w:sz w:val="26"/>
          <w:szCs w:val="26"/>
          <w:lang w:eastAsia="es-ES"/>
        </w:rPr>
        <w:t>,</w:t>
      </w:r>
      <w:r w:rsidR="004D6E5E" w:rsidRPr="005332ED">
        <w:rPr>
          <w:rFonts w:ascii="Arial" w:eastAsia="Calibri" w:hAnsi="Arial" w:cs="Arial"/>
          <w:bCs/>
          <w:sz w:val="26"/>
          <w:szCs w:val="26"/>
          <w:lang w:eastAsia="es-ES"/>
        </w:rPr>
        <w:t xml:space="preserve"> </w:t>
      </w:r>
      <w:r w:rsidR="004D6E5E">
        <w:rPr>
          <w:rFonts w:ascii="Arial" w:eastAsia="Calibri" w:hAnsi="Arial" w:cs="Arial"/>
          <w:bCs/>
          <w:sz w:val="26"/>
          <w:szCs w:val="26"/>
        </w:rPr>
        <w:t xml:space="preserve">de dos de octubre de dos mil diecinueve, emitida por el </w:t>
      </w:r>
      <w:r w:rsidR="004D6E5E" w:rsidRPr="005332ED">
        <w:rPr>
          <w:rFonts w:ascii="Arial" w:eastAsia="Calibri" w:hAnsi="Arial" w:cs="Arial"/>
          <w:bCs/>
          <w:sz w:val="26"/>
          <w:szCs w:val="26"/>
          <w:lang w:eastAsia="es-ES"/>
        </w:rPr>
        <w:t>Órgano Superior de Fiscalización del Estado</w:t>
      </w:r>
      <w:r w:rsidR="000043AD">
        <w:rPr>
          <w:rFonts w:ascii="Arial" w:eastAsia="Calibri" w:hAnsi="Arial" w:cs="Arial"/>
          <w:bCs/>
          <w:sz w:val="26"/>
          <w:szCs w:val="26"/>
          <w:lang w:eastAsia="es-ES"/>
        </w:rPr>
        <w:t>, y que bajo esa consideración “se configura la figura del juicio de inconformidad que debe conocer la Sala Superior de este Tribunal”, de acuerdo a lo establecido en el numeral 130 fracción VI</w:t>
      </w:r>
      <w:r w:rsidR="000043AD">
        <w:rPr>
          <w:rStyle w:val="Refdenotaalpie"/>
          <w:rFonts w:ascii="Arial" w:eastAsia="Calibri" w:hAnsi="Arial" w:cs="Arial"/>
          <w:bCs/>
          <w:sz w:val="26"/>
          <w:szCs w:val="26"/>
          <w:lang w:eastAsia="es-ES"/>
        </w:rPr>
        <w:footnoteReference w:id="3"/>
      </w:r>
      <w:r w:rsidR="000043AD">
        <w:rPr>
          <w:rFonts w:ascii="Arial" w:eastAsia="Calibri" w:hAnsi="Arial" w:cs="Arial"/>
          <w:bCs/>
          <w:sz w:val="26"/>
          <w:szCs w:val="26"/>
          <w:lang w:eastAsia="es-ES"/>
        </w:rPr>
        <w:t xml:space="preserve"> de la Ley de </w:t>
      </w:r>
      <w:r w:rsidR="000043AD" w:rsidRPr="00C91F07">
        <w:rPr>
          <w:rFonts w:ascii="Arial" w:eastAsia="Calibri" w:hAnsi="Arial" w:cs="Arial"/>
          <w:bCs/>
          <w:sz w:val="26"/>
          <w:szCs w:val="26"/>
          <w:lang w:eastAsia="es-ES"/>
        </w:rPr>
        <w:t>Procedimiento y Justicia Administrativa para el Estado de Oaxaca</w:t>
      </w:r>
      <w:r w:rsidR="00F30736">
        <w:rPr>
          <w:rFonts w:ascii="Arial" w:eastAsia="Calibri" w:hAnsi="Arial" w:cs="Arial"/>
          <w:bCs/>
          <w:sz w:val="26"/>
          <w:szCs w:val="26"/>
          <w:lang w:eastAsia="es-ES"/>
        </w:rPr>
        <w:t>. Por ese motivo, la Cuarta Sala Unitaria se declaró incompetente para conocer de acto</w:t>
      </w:r>
      <w:r w:rsidR="00821681">
        <w:rPr>
          <w:rFonts w:ascii="Arial" w:eastAsia="Calibri" w:hAnsi="Arial" w:cs="Arial"/>
          <w:bCs/>
          <w:sz w:val="26"/>
          <w:szCs w:val="26"/>
          <w:lang w:eastAsia="es-ES"/>
        </w:rPr>
        <w:t>s</w:t>
      </w:r>
      <w:r w:rsidR="00F30736">
        <w:rPr>
          <w:rFonts w:ascii="Arial" w:eastAsia="Calibri" w:hAnsi="Arial" w:cs="Arial"/>
          <w:bCs/>
          <w:sz w:val="26"/>
          <w:szCs w:val="26"/>
          <w:lang w:eastAsia="es-ES"/>
        </w:rPr>
        <w:t xml:space="preserve"> relativos a la rendición de cuentas, y ordenó remitir mediante oficio a la Sala Superior de este Tribunal, </w:t>
      </w:r>
      <w:r w:rsidR="00821681">
        <w:rPr>
          <w:rFonts w:ascii="Arial" w:eastAsia="Calibri" w:hAnsi="Arial" w:cs="Arial"/>
          <w:bCs/>
          <w:sz w:val="26"/>
          <w:szCs w:val="26"/>
          <w:lang w:eastAsia="es-ES"/>
        </w:rPr>
        <w:t>las constancias del expediente 0075/2021, para la tramitación del juicio de inconformidad, para que esta Instancia conozca del asunto mencionado</w:t>
      </w:r>
      <w:r w:rsidR="00671C25">
        <w:rPr>
          <w:rFonts w:ascii="Arial" w:eastAsia="Calibri" w:hAnsi="Arial" w:cs="Arial"/>
          <w:bCs/>
          <w:sz w:val="26"/>
          <w:szCs w:val="26"/>
          <w:lang w:eastAsia="es-ES"/>
        </w:rPr>
        <w:t xml:space="preserve">. </w:t>
      </w:r>
      <w:r w:rsidR="00C604EB">
        <w:rPr>
          <w:rFonts w:ascii="Arial" w:eastAsia="Calibri" w:hAnsi="Arial" w:cs="Arial"/>
          <w:bCs/>
          <w:sz w:val="26"/>
          <w:szCs w:val="26"/>
          <w:lang w:eastAsia="es-ES"/>
        </w:rPr>
        <w:t xml:space="preserve">- - - - - - - - - - - </w:t>
      </w:r>
    </w:p>
    <w:p w14:paraId="7B5968A0" w14:textId="7448B98D" w:rsidR="00671C25" w:rsidRDefault="00AC621E" w:rsidP="00671C25">
      <w:pPr>
        <w:spacing w:line="360" w:lineRule="auto"/>
        <w:ind w:firstLine="567"/>
        <w:jc w:val="both"/>
        <w:rPr>
          <w:rFonts w:ascii="Arial" w:eastAsia="Calibri" w:hAnsi="Arial" w:cs="Arial"/>
          <w:bCs/>
          <w:sz w:val="26"/>
          <w:szCs w:val="26"/>
          <w:lang w:eastAsia="es-ES"/>
        </w:rPr>
      </w:pPr>
      <w:r>
        <w:rPr>
          <w:rFonts w:ascii="Arial" w:eastAsia="Calibri" w:hAnsi="Arial" w:cs="Arial"/>
          <w:bCs/>
          <w:sz w:val="26"/>
          <w:szCs w:val="26"/>
          <w:lang w:eastAsia="es-ES"/>
        </w:rPr>
        <w:t xml:space="preserve">Con su proceder, la Cuarta Sala Unitaria </w:t>
      </w:r>
      <w:r w:rsidRPr="00C91F07">
        <w:rPr>
          <w:rFonts w:ascii="Arial" w:eastAsia="Calibri" w:hAnsi="Arial" w:cs="Arial"/>
          <w:bCs/>
          <w:sz w:val="26"/>
          <w:szCs w:val="26"/>
          <w:lang w:eastAsia="es-ES"/>
        </w:rPr>
        <w:t>garantiza al recurrente el derecho al debido proceso y el acceso a la tutela judicial efectiva previstos respectivamente, en los artículos 14 y 17 de la Constitución Política de los Estados Unidos Mexicanos,</w:t>
      </w:r>
      <w:r>
        <w:rPr>
          <w:rFonts w:ascii="Arial" w:eastAsia="Calibri" w:hAnsi="Arial" w:cs="Arial"/>
          <w:bCs/>
          <w:sz w:val="26"/>
          <w:szCs w:val="26"/>
          <w:lang w:eastAsia="es-ES"/>
        </w:rPr>
        <w:t xml:space="preserve"> </w:t>
      </w:r>
      <w:r w:rsidR="00671C25">
        <w:rPr>
          <w:rFonts w:ascii="Arial" w:eastAsia="Calibri" w:hAnsi="Arial" w:cs="Arial"/>
          <w:bCs/>
          <w:sz w:val="26"/>
          <w:szCs w:val="26"/>
          <w:lang w:eastAsia="es-ES"/>
        </w:rPr>
        <w:t>al haber</w:t>
      </w:r>
      <w:r>
        <w:rPr>
          <w:rFonts w:ascii="Arial" w:eastAsia="Calibri" w:hAnsi="Arial" w:cs="Arial"/>
          <w:bCs/>
          <w:sz w:val="26"/>
          <w:szCs w:val="26"/>
          <w:lang w:eastAsia="es-ES"/>
        </w:rPr>
        <w:t xml:space="preserve"> reencauzado la demanda sometida a su consideración a la instancia correcta que es el juicio de inconformidad</w:t>
      </w:r>
      <w:r w:rsidR="00671C25">
        <w:rPr>
          <w:rFonts w:ascii="Arial" w:eastAsia="Calibri" w:hAnsi="Arial" w:cs="Arial"/>
          <w:bCs/>
          <w:sz w:val="26"/>
          <w:szCs w:val="26"/>
          <w:lang w:eastAsia="es-ES"/>
        </w:rPr>
        <w:t>, en términos de lo señalado por los numerales 130 fracción VI de la Ley de Procedimiento invocada y 24 fracción I</w:t>
      </w:r>
      <w:r w:rsidR="00671C25">
        <w:rPr>
          <w:rStyle w:val="Refdenotaalpie"/>
          <w:rFonts w:ascii="Arial" w:eastAsia="Calibri" w:hAnsi="Arial" w:cs="Arial"/>
          <w:bCs/>
          <w:sz w:val="26"/>
          <w:szCs w:val="26"/>
          <w:lang w:eastAsia="es-ES"/>
        </w:rPr>
        <w:footnoteReference w:id="4"/>
      </w:r>
      <w:r w:rsidR="00671C25">
        <w:rPr>
          <w:rFonts w:ascii="Arial" w:eastAsia="Calibri" w:hAnsi="Arial" w:cs="Arial"/>
          <w:bCs/>
          <w:sz w:val="26"/>
          <w:szCs w:val="26"/>
          <w:lang w:eastAsia="es-ES"/>
        </w:rPr>
        <w:t xml:space="preserve"> de la Ley Orgánica del Tribunal de Justicia Administrativa del Estado de Oaxaca. </w:t>
      </w:r>
      <w:r w:rsidR="00C604EB">
        <w:rPr>
          <w:rFonts w:ascii="Arial" w:eastAsia="Calibri" w:hAnsi="Arial" w:cs="Arial"/>
          <w:bCs/>
          <w:sz w:val="26"/>
          <w:szCs w:val="26"/>
          <w:lang w:eastAsia="es-ES"/>
        </w:rPr>
        <w:t>- - - - - - - - - - - - - - - - - - - - - - - - - - - - - - - - - - - - - - - - - - - - - -</w:t>
      </w:r>
    </w:p>
    <w:p w14:paraId="5A16C64D" w14:textId="191B876C" w:rsidR="00671C25" w:rsidRPr="00C91F07" w:rsidRDefault="00671C25" w:rsidP="00671C25">
      <w:pPr>
        <w:widowControl w:val="0"/>
        <w:tabs>
          <w:tab w:val="left" w:pos="0"/>
        </w:tabs>
        <w:spacing w:before="240" w:after="0" w:line="360" w:lineRule="auto"/>
        <w:ind w:right="18"/>
        <w:jc w:val="both"/>
        <w:rPr>
          <w:rFonts w:ascii="Calibri" w:hAnsi="Calibri" w:cs="Calibri"/>
          <w:color w:val="212529"/>
          <w:sz w:val="26"/>
          <w:szCs w:val="26"/>
        </w:rPr>
      </w:pPr>
      <w:r>
        <w:rPr>
          <w:rFonts w:ascii="Arial" w:hAnsi="Arial" w:cs="Arial"/>
          <w:sz w:val="26"/>
          <w:szCs w:val="26"/>
        </w:rPr>
        <w:tab/>
      </w:r>
      <w:r w:rsidRPr="00C91F07">
        <w:rPr>
          <w:rFonts w:ascii="Arial" w:hAnsi="Arial" w:cs="Arial"/>
          <w:sz w:val="26"/>
          <w:szCs w:val="26"/>
        </w:rPr>
        <w:t xml:space="preserve">Es aplicable al caso la jurisprudencia de la Décima Época, número </w:t>
      </w:r>
      <w:r w:rsidRPr="00C91F07">
        <w:rPr>
          <w:rFonts w:ascii="Arial" w:hAnsi="Arial" w:cs="Arial"/>
          <w:sz w:val="26"/>
          <w:szCs w:val="26"/>
        </w:rPr>
        <w:lastRenderedPageBreak/>
        <w:t>I. 14o.T.J./3 (10a.), con número de r</w:t>
      </w:r>
      <w:bookmarkStart w:id="3" w:name="_GoBack"/>
      <w:bookmarkEnd w:id="3"/>
      <w:r w:rsidRPr="00C91F07">
        <w:rPr>
          <w:rFonts w:ascii="Arial" w:hAnsi="Arial" w:cs="Arial"/>
          <w:sz w:val="26"/>
          <w:szCs w:val="26"/>
        </w:rPr>
        <w:t xml:space="preserve">egistro digital 2019394, emitida por los Tribunales Colegiados de Circuito, publicado en la Gaceta del Semanario Judicial de la Federación, Libro 63, febrero de 2019, Tomo II, visible a página 2478, cuyo rubro y texto mencionan: </w:t>
      </w:r>
    </w:p>
    <w:p w14:paraId="36C25B41" w14:textId="77777777" w:rsidR="00671C25" w:rsidRPr="004D4C17" w:rsidRDefault="00671C25" w:rsidP="004D4C17">
      <w:pPr>
        <w:shd w:val="clear" w:color="auto" w:fill="FFFFFF"/>
        <w:spacing w:before="100" w:beforeAutospacing="1" w:after="100" w:afterAutospacing="1"/>
        <w:ind w:left="567" w:right="616"/>
        <w:jc w:val="both"/>
        <w:rPr>
          <w:rFonts w:ascii="Arial" w:eastAsia="Times New Roman" w:hAnsi="Arial" w:cs="Arial"/>
          <w:i/>
        </w:rPr>
      </w:pPr>
      <w:r w:rsidRPr="004D4C17">
        <w:rPr>
          <w:rFonts w:ascii="Arial" w:eastAsia="Times New Roman" w:hAnsi="Arial" w:cs="Arial"/>
          <w:b/>
          <w:bCs/>
          <w:i/>
        </w:rPr>
        <w:t>“TUTELA JUDICIAL EFECTIVA. SU RELACIÓN CON LOS FORMALISMOS PROCESALES</w:t>
      </w:r>
      <w:r w:rsidRPr="004D4C17">
        <w:rPr>
          <w:rFonts w:ascii="Arial" w:eastAsia="Times New Roman" w:hAnsi="Arial" w:cs="Arial"/>
          <w:bCs/>
          <w:i/>
        </w:rPr>
        <w:t xml:space="preserve">. </w:t>
      </w:r>
      <w:r w:rsidRPr="004D4C17">
        <w:rPr>
          <w:rFonts w:ascii="Arial" w:eastAsia="Times New Roman" w:hAnsi="Arial" w:cs="Arial"/>
          <w:i/>
        </w:rPr>
        <w:t>El artículo </w:t>
      </w:r>
      <w:hyperlink r:id="rId8" w:history="1">
        <w:r w:rsidRPr="004D4C17">
          <w:rPr>
            <w:rFonts w:ascii="Arial" w:eastAsiaTheme="majorEastAsia" w:hAnsi="Arial" w:cs="Arial"/>
            <w:i/>
            <w:color w:val="0000FF"/>
            <w:u w:val="single"/>
          </w:rPr>
          <w:t>17, párrafo tercero, de la Constitución Política de los Estados Unidos Mexicanos</w:t>
        </w:r>
      </w:hyperlink>
      <w:r w:rsidRPr="004D4C17">
        <w:rPr>
          <w:rFonts w:ascii="Arial" w:eastAsia="Times New Roman" w:hAnsi="Arial" w:cs="Arial"/>
          <w:i/>
        </w:rPr>
        <w:t> establece para los órganos jurisdiccionales la obligación de "privilegiar la solución del conflicto" por sobre los "formalismos procesales", con miras a lograr la tutela judicial efectiva. Este deber impuesto a los tribunales tiene como límite los derechos de las partes durante el proceso. El primero de ellos es el de igualdad procesal; esto es, las mismas oportunidades para exponer sus pretensiones y excepciones, para probar los hechos en que las fundamenten y para expresar sus alegatos. El segundo, es el de debido proceso; es decir, el respeto a las "formalidades esenciales del procedimiento" (que consisten en la notificación del inicio del procedimiento y de sus consecuencias; la oportunidad de ofrecer y desahogar pruebas; la posibilidad de formular alegatos, y la certeza de que el litigio será decidido con una resolución que dirima las cuestiones debatidas), así como otros derechos procesales que derivan de principios aceptados constitucionalmente, como los de presunción de inocencia, non bis in ídem, contradicción, de preclusión, de eventualidad, de inmediación, de concentración, de publicidad, etcétera. Atento a lo anterior, debe considerarse que los formalismos tienen como razón de ser garantizar tres cosas: 1) la buena fe de las partes durante el proceso; 2) la no arbitrariedad de los Jueces; y, 3) la seguridad jurídica (en el sentido de predictibilidad). En este sentido, no se trata de obviar indiscriminada o irreflexivamente las formas que 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r w:rsidRPr="004D4C17">
        <w:rPr>
          <w:rFonts w:ascii="Arial" w:eastAsia="Times New Roman" w:hAnsi="Arial" w:cs="Arial"/>
          <w:b/>
          <w:i/>
        </w:rPr>
        <w:t>”</w:t>
      </w:r>
    </w:p>
    <w:p w14:paraId="0BB5DBB0" w14:textId="5C6DE113" w:rsidR="007A2758" w:rsidRPr="00C91F07" w:rsidRDefault="007A2758" w:rsidP="007A2758">
      <w:pPr>
        <w:spacing w:line="360" w:lineRule="auto"/>
        <w:ind w:firstLine="708"/>
        <w:jc w:val="both"/>
        <w:rPr>
          <w:rFonts w:ascii="Arial" w:eastAsia="Times New Roman" w:hAnsi="Arial" w:cs="Arial"/>
          <w:sz w:val="26"/>
          <w:szCs w:val="26"/>
          <w:lang w:eastAsia="es-ES"/>
        </w:rPr>
      </w:pPr>
      <w:r w:rsidRPr="00C91F07">
        <w:rPr>
          <w:rFonts w:ascii="Arial" w:eastAsia="Times New Roman" w:hAnsi="Arial" w:cs="Arial"/>
          <w:sz w:val="26"/>
          <w:szCs w:val="26"/>
          <w:lang w:eastAsia="es-ES"/>
        </w:rPr>
        <w:t>En mérito de lo anterior, con fundamento en los artículos 23</w:t>
      </w:r>
      <w:r>
        <w:rPr>
          <w:rFonts w:ascii="Arial" w:eastAsia="Times New Roman" w:hAnsi="Arial" w:cs="Arial"/>
          <w:sz w:val="26"/>
          <w:szCs w:val="26"/>
          <w:lang w:eastAsia="es-ES"/>
        </w:rPr>
        <w:t>6</w:t>
      </w:r>
      <w:r w:rsidRPr="00C91F07">
        <w:rPr>
          <w:rFonts w:ascii="Arial" w:eastAsia="Times New Roman" w:hAnsi="Arial" w:cs="Arial"/>
          <w:sz w:val="26"/>
          <w:szCs w:val="26"/>
          <w:lang w:eastAsia="es-ES"/>
        </w:rPr>
        <w:t xml:space="preserve"> y 238 de la Ley de Procedimiento y Justicia Administrativa para el Estado de Oaxaca, se:</w:t>
      </w:r>
      <w:r w:rsidR="004D4C17">
        <w:rPr>
          <w:rFonts w:ascii="Arial" w:eastAsia="Times New Roman" w:hAnsi="Arial" w:cs="Arial"/>
          <w:sz w:val="26"/>
          <w:szCs w:val="26"/>
          <w:lang w:eastAsia="es-ES"/>
        </w:rPr>
        <w:t xml:space="preserve"> - - - - - - - - - - - - - - - - - - - - - - - - - - - - - - - - - - - - - - - - - </w:t>
      </w:r>
    </w:p>
    <w:p w14:paraId="5AB9A8DB" w14:textId="77777777" w:rsidR="007A2758" w:rsidRPr="004D4C17" w:rsidRDefault="007A2758" w:rsidP="007A2758">
      <w:pPr>
        <w:spacing w:before="240" w:after="0" w:line="360" w:lineRule="auto"/>
        <w:jc w:val="center"/>
        <w:rPr>
          <w:rFonts w:ascii="Arial" w:hAnsi="Arial" w:cs="Arial"/>
          <w:b/>
          <w:sz w:val="26"/>
          <w:szCs w:val="26"/>
          <w:lang w:val="es-ES"/>
        </w:rPr>
      </w:pPr>
      <w:r w:rsidRPr="004D4C17">
        <w:rPr>
          <w:rFonts w:ascii="Arial" w:hAnsi="Arial" w:cs="Arial"/>
          <w:b/>
          <w:sz w:val="26"/>
          <w:szCs w:val="26"/>
          <w:lang w:val="es-ES"/>
        </w:rPr>
        <w:t>R E S U E L V E</w:t>
      </w:r>
    </w:p>
    <w:p w14:paraId="1F8FC30F" w14:textId="610A8F77" w:rsidR="007A2758" w:rsidRPr="00C91F07" w:rsidRDefault="007A2758" w:rsidP="007A2758">
      <w:pPr>
        <w:spacing w:before="240" w:after="0" w:line="360" w:lineRule="auto"/>
        <w:ind w:firstLine="708"/>
        <w:jc w:val="both"/>
        <w:rPr>
          <w:rFonts w:ascii="Arial" w:hAnsi="Arial" w:cs="Arial"/>
          <w:color w:val="000000"/>
          <w:sz w:val="26"/>
          <w:szCs w:val="26"/>
        </w:rPr>
      </w:pPr>
      <w:r w:rsidRPr="00C91F07">
        <w:rPr>
          <w:rFonts w:ascii="Arial" w:hAnsi="Arial" w:cs="Arial"/>
          <w:b/>
          <w:color w:val="000000"/>
          <w:sz w:val="26"/>
          <w:szCs w:val="26"/>
          <w:lang w:val="es-ES"/>
        </w:rPr>
        <w:t>PRIMERO</w:t>
      </w:r>
      <w:r w:rsidRPr="00C91F07">
        <w:rPr>
          <w:rFonts w:ascii="Arial" w:hAnsi="Arial" w:cs="Arial"/>
          <w:color w:val="000000"/>
          <w:sz w:val="26"/>
          <w:szCs w:val="26"/>
          <w:lang w:val="es-ES"/>
        </w:rPr>
        <w:t xml:space="preserve">. </w:t>
      </w:r>
      <w:r w:rsidRPr="00C91F07">
        <w:rPr>
          <w:rFonts w:ascii="Arial" w:hAnsi="Arial" w:cs="Arial"/>
          <w:color w:val="000000"/>
          <w:sz w:val="26"/>
          <w:szCs w:val="26"/>
        </w:rPr>
        <w:t>Se</w:t>
      </w:r>
      <w:r w:rsidRPr="00C91F07">
        <w:rPr>
          <w:rFonts w:ascii="Arial" w:hAnsi="Arial" w:cs="Arial"/>
          <w:b/>
          <w:color w:val="000000"/>
          <w:sz w:val="26"/>
          <w:szCs w:val="26"/>
        </w:rPr>
        <w:t xml:space="preserve"> </w:t>
      </w:r>
      <w:r>
        <w:rPr>
          <w:rFonts w:ascii="Arial" w:hAnsi="Arial" w:cs="Arial"/>
          <w:b/>
          <w:color w:val="000000"/>
          <w:sz w:val="26"/>
          <w:szCs w:val="26"/>
        </w:rPr>
        <w:t xml:space="preserve">CONFIRMA </w:t>
      </w:r>
      <w:r w:rsidRPr="00F20E59">
        <w:rPr>
          <w:rFonts w:ascii="Arial" w:hAnsi="Arial" w:cs="Arial"/>
          <w:bCs/>
          <w:color w:val="000000"/>
          <w:sz w:val="26"/>
          <w:szCs w:val="26"/>
        </w:rPr>
        <w:t xml:space="preserve">el acuerdo de </w:t>
      </w:r>
      <w:r>
        <w:rPr>
          <w:rFonts w:ascii="Arial" w:hAnsi="Arial" w:cs="Arial"/>
          <w:bCs/>
          <w:color w:val="000000"/>
          <w:sz w:val="26"/>
          <w:szCs w:val="26"/>
        </w:rPr>
        <w:t>trece de octubre</w:t>
      </w:r>
      <w:r w:rsidRPr="00F20E59">
        <w:rPr>
          <w:rFonts w:ascii="Arial" w:hAnsi="Arial" w:cs="Arial"/>
          <w:bCs/>
          <w:color w:val="000000"/>
          <w:sz w:val="26"/>
          <w:szCs w:val="26"/>
        </w:rPr>
        <w:t xml:space="preserve"> de dos mil veinti</w:t>
      </w:r>
      <w:r>
        <w:rPr>
          <w:rFonts w:ascii="Arial" w:hAnsi="Arial" w:cs="Arial"/>
          <w:bCs/>
          <w:color w:val="000000"/>
          <w:sz w:val="26"/>
          <w:szCs w:val="26"/>
        </w:rPr>
        <w:t xml:space="preserve">uno, </w:t>
      </w:r>
      <w:r w:rsidRPr="00C91F07">
        <w:rPr>
          <w:rFonts w:ascii="Arial" w:hAnsi="Arial" w:cs="Arial"/>
          <w:color w:val="000000"/>
          <w:sz w:val="26"/>
          <w:szCs w:val="26"/>
        </w:rPr>
        <w:t xml:space="preserve">por las razones expuestas por esta Sala Superior en el considerando que antecede. </w:t>
      </w:r>
      <w:r w:rsidR="004D4C17">
        <w:rPr>
          <w:rFonts w:ascii="Arial" w:hAnsi="Arial" w:cs="Arial"/>
          <w:color w:val="000000"/>
          <w:sz w:val="26"/>
          <w:szCs w:val="26"/>
        </w:rPr>
        <w:t xml:space="preserve">- - - - - - - - - - - - - - - - - - - - - - - - - - - - - - - </w:t>
      </w:r>
    </w:p>
    <w:p w14:paraId="13B1291D" w14:textId="1D88B90A" w:rsidR="007A2758" w:rsidRPr="00C91F07" w:rsidRDefault="007A2758" w:rsidP="007A2758">
      <w:pPr>
        <w:widowControl w:val="0"/>
        <w:tabs>
          <w:tab w:val="left" w:pos="0"/>
        </w:tabs>
        <w:spacing w:before="240" w:line="360" w:lineRule="auto"/>
        <w:ind w:right="18"/>
        <w:jc w:val="both"/>
        <w:rPr>
          <w:rFonts w:ascii="Arial" w:hAnsi="Arial" w:cs="Arial"/>
          <w:sz w:val="26"/>
          <w:szCs w:val="26"/>
        </w:rPr>
      </w:pPr>
      <w:r w:rsidRPr="00C91F07">
        <w:rPr>
          <w:rFonts w:ascii="Arial" w:hAnsi="Arial" w:cs="Arial"/>
          <w:b/>
          <w:sz w:val="26"/>
          <w:szCs w:val="26"/>
        </w:rPr>
        <w:tab/>
        <w:t>SEGUNDO. NOTIFÍQUESE Y CÚMPLASE,</w:t>
      </w:r>
      <w:r w:rsidRPr="00C91F07">
        <w:rPr>
          <w:rFonts w:ascii="Arial" w:hAnsi="Arial" w:cs="Arial"/>
          <w:sz w:val="26"/>
          <w:szCs w:val="26"/>
        </w:rPr>
        <w:t xml:space="preserve"> remítase copia certificada de la presente resolución a la </w:t>
      </w:r>
      <w:r>
        <w:rPr>
          <w:rFonts w:ascii="Arial" w:hAnsi="Arial" w:cs="Arial"/>
          <w:sz w:val="26"/>
          <w:szCs w:val="26"/>
        </w:rPr>
        <w:t>Segunda</w:t>
      </w:r>
      <w:r w:rsidRPr="00C91F07">
        <w:rPr>
          <w:rFonts w:ascii="Arial" w:hAnsi="Arial" w:cs="Arial"/>
          <w:sz w:val="26"/>
          <w:szCs w:val="26"/>
        </w:rPr>
        <w:t xml:space="preserve"> Sala Unitaria de Primera Instancia de este Tribunal y en su oportunidad archívese el presente cuaderno de revisión como asunto concluido.</w:t>
      </w:r>
      <w:r w:rsidR="004D4C17">
        <w:rPr>
          <w:rFonts w:ascii="Arial" w:hAnsi="Arial" w:cs="Arial"/>
          <w:sz w:val="26"/>
          <w:szCs w:val="26"/>
        </w:rPr>
        <w:t xml:space="preserve"> - - - - - - - - - - - - </w:t>
      </w:r>
    </w:p>
    <w:p w14:paraId="0E82E6F9" w14:textId="61EF24AF" w:rsidR="007A2758" w:rsidRPr="00C91F07" w:rsidRDefault="007A2758" w:rsidP="007A2758">
      <w:pPr>
        <w:tabs>
          <w:tab w:val="left" w:pos="1680"/>
          <w:tab w:val="center" w:pos="4277"/>
        </w:tabs>
        <w:spacing w:line="360" w:lineRule="auto"/>
        <w:jc w:val="both"/>
        <w:rPr>
          <w:rFonts w:ascii="Arial" w:hAnsi="Arial" w:cs="Arial"/>
          <w:sz w:val="26"/>
          <w:szCs w:val="26"/>
        </w:rPr>
      </w:pPr>
      <w:r w:rsidRPr="00C91F07">
        <w:lastRenderedPageBreak/>
        <w:t xml:space="preserve"> </w:t>
      </w:r>
      <w:r w:rsidRPr="00C91F07">
        <w:rPr>
          <w:rFonts w:ascii="Arial" w:hAnsi="Arial" w:cs="Arial"/>
          <w:sz w:val="26"/>
          <w:szCs w:val="26"/>
        </w:rPr>
        <w:t xml:space="preserve">       Por unanimidad de votos, lo resolvieron y firmaron los magistrados integrantes de la Sala Superior, Manuel Velasco Alcántara, Raúl Palomares Palomino </w:t>
      </w:r>
      <w:r w:rsidRPr="00C91F07">
        <w:rPr>
          <w:rFonts w:ascii="Arial" w:hAnsi="Arial" w:cs="Arial"/>
          <w:b/>
          <w:bCs/>
          <w:sz w:val="26"/>
          <w:szCs w:val="26"/>
        </w:rPr>
        <w:t>(ponente)</w:t>
      </w:r>
      <w:r w:rsidRPr="00C91F07">
        <w:rPr>
          <w:rFonts w:ascii="Arial" w:hAnsi="Arial" w:cs="Arial"/>
          <w:sz w:val="26"/>
          <w:szCs w:val="26"/>
        </w:rPr>
        <w:t>, Gloria del Carmen Camacho Meza, Paulo José Luis Tapia Palacios, Elías Cortés López, quienes actúan con el Licenciado Juan Edy García Coronado, secretario General de Acuerdos de este Tribunal, que autoriza y da fe.</w:t>
      </w:r>
      <w:r w:rsidR="004D4C17">
        <w:rPr>
          <w:rFonts w:ascii="Arial" w:hAnsi="Arial" w:cs="Arial"/>
          <w:sz w:val="26"/>
          <w:szCs w:val="26"/>
        </w:rPr>
        <w:t xml:space="preserve"> - - - - - - - - - - - - - - - - -</w:t>
      </w:r>
    </w:p>
    <w:p w14:paraId="4EE3A317" w14:textId="2C3C5209" w:rsidR="007A2758" w:rsidRDefault="007A2758" w:rsidP="007A2758">
      <w:pPr>
        <w:tabs>
          <w:tab w:val="left" w:pos="1680"/>
          <w:tab w:val="center" w:pos="4277"/>
        </w:tabs>
        <w:jc w:val="center"/>
        <w:rPr>
          <w:rFonts w:ascii="Arial" w:hAnsi="Arial" w:cs="Arial"/>
          <w:sz w:val="26"/>
          <w:szCs w:val="26"/>
        </w:rPr>
      </w:pPr>
    </w:p>
    <w:p w14:paraId="2123F9E4" w14:textId="7C365267" w:rsidR="00F7148A" w:rsidRDefault="00F7148A" w:rsidP="007A2758">
      <w:pPr>
        <w:tabs>
          <w:tab w:val="left" w:pos="1680"/>
          <w:tab w:val="center" w:pos="4277"/>
        </w:tabs>
        <w:jc w:val="center"/>
        <w:rPr>
          <w:rFonts w:ascii="Arial" w:hAnsi="Arial" w:cs="Arial"/>
          <w:sz w:val="26"/>
          <w:szCs w:val="26"/>
        </w:rPr>
      </w:pPr>
    </w:p>
    <w:p w14:paraId="05C31FF3" w14:textId="77777777" w:rsidR="00F7148A" w:rsidRPr="00C91F07" w:rsidRDefault="00F7148A" w:rsidP="00477565">
      <w:pPr>
        <w:tabs>
          <w:tab w:val="left" w:pos="1680"/>
          <w:tab w:val="center" w:pos="4277"/>
        </w:tabs>
        <w:rPr>
          <w:rFonts w:ascii="Arial" w:hAnsi="Arial" w:cs="Arial"/>
          <w:sz w:val="26"/>
          <w:szCs w:val="26"/>
        </w:rPr>
      </w:pPr>
    </w:p>
    <w:p w14:paraId="1176B2AA" w14:textId="77777777" w:rsidR="00F7148A" w:rsidRDefault="00F7148A" w:rsidP="00F7148A">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1B0CD59" w14:textId="77777777" w:rsidR="00F7148A" w:rsidRDefault="00F7148A" w:rsidP="00F7148A">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46C27B8A" w14:textId="77777777" w:rsidR="00F7148A" w:rsidRDefault="00F7148A" w:rsidP="00F7148A">
      <w:pPr>
        <w:spacing w:after="0" w:line="240" w:lineRule="auto"/>
        <w:ind w:firstLine="567"/>
        <w:jc w:val="center"/>
        <w:rPr>
          <w:rFonts w:ascii="Arial" w:eastAsiaTheme="minorHAnsi" w:hAnsi="Arial" w:cs="Arial"/>
          <w:sz w:val="26"/>
          <w:szCs w:val="26"/>
          <w:lang w:eastAsia="en-US"/>
        </w:rPr>
      </w:pPr>
    </w:p>
    <w:p w14:paraId="2E0A3D6B" w14:textId="77777777" w:rsidR="00F7148A" w:rsidRDefault="00F7148A" w:rsidP="00F7148A">
      <w:pPr>
        <w:spacing w:after="0" w:line="240" w:lineRule="auto"/>
        <w:ind w:firstLine="567"/>
        <w:jc w:val="center"/>
        <w:rPr>
          <w:rFonts w:ascii="Arial" w:eastAsiaTheme="minorHAnsi" w:hAnsi="Arial" w:cs="Arial"/>
          <w:sz w:val="26"/>
          <w:szCs w:val="26"/>
          <w:lang w:eastAsia="en-US"/>
        </w:rPr>
      </w:pPr>
    </w:p>
    <w:p w14:paraId="59E2F501" w14:textId="77777777" w:rsidR="00F7148A" w:rsidRDefault="00F7148A" w:rsidP="00F7148A">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w:t>
      </w:r>
    </w:p>
    <w:p w14:paraId="72DE1DF9" w14:textId="77777777" w:rsidR="00F7148A" w:rsidRDefault="00F7148A" w:rsidP="00F7148A">
      <w:pPr>
        <w:spacing w:after="0" w:line="240" w:lineRule="auto"/>
        <w:ind w:firstLine="567"/>
        <w:jc w:val="center"/>
        <w:rPr>
          <w:rFonts w:ascii="Arial" w:eastAsiaTheme="minorHAnsi" w:hAnsi="Arial" w:cs="Arial"/>
          <w:sz w:val="26"/>
          <w:szCs w:val="26"/>
          <w:lang w:eastAsia="en-US"/>
        </w:rPr>
      </w:pPr>
    </w:p>
    <w:p w14:paraId="285F17A1" w14:textId="77777777" w:rsidR="00F7148A" w:rsidRDefault="00F7148A" w:rsidP="00477565">
      <w:pPr>
        <w:spacing w:after="0" w:line="240" w:lineRule="auto"/>
        <w:rPr>
          <w:rFonts w:ascii="Arial" w:eastAsiaTheme="minorHAnsi" w:hAnsi="Arial" w:cs="Arial"/>
          <w:sz w:val="26"/>
          <w:szCs w:val="26"/>
          <w:lang w:eastAsia="en-US"/>
        </w:rPr>
      </w:pPr>
    </w:p>
    <w:p w14:paraId="631A3E9F" w14:textId="77777777" w:rsidR="00F7148A" w:rsidRDefault="00F7148A" w:rsidP="00F7148A">
      <w:pPr>
        <w:spacing w:after="0" w:line="240" w:lineRule="auto"/>
        <w:ind w:firstLine="567"/>
        <w:jc w:val="center"/>
        <w:rPr>
          <w:rFonts w:ascii="Arial" w:eastAsiaTheme="minorHAnsi" w:hAnsi="Arial" w:cs="Arial"/>
          <w:sz w:val="26"/>
          <w:szCs w:val="26"/>
          <w:lang w:eastAsia="en-US"/>
        </w:rPr>
      </w:pPr>
    </w:p>
    <w:p w14:paraId="6FFA08F7" w14:textId="61905A67" w:rsidR="00F7148A" w:rsidRDefault="00F7148A" w:rsidP="00477565">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79E91F12" w14:textId="77777777" w:rsidR="00477565" w:rsidRDefault="00477565" w:rsidP="00477565">
      <w:pPr>
        <w:spacing w:after="120"/>
        <w:jc w:val="center"/>
        <w:rPr>
          <w:rFonts w:ascii="Arial" w:eastAsiaTheme="minorHAnsi" w:hAnsi="Arial" w:cs="Arial"/>
          <w:sz w:val="26"/>
          <w:szCs w:val="26"/>
          <w:lang w:eastAsia="en-US"/>
        </w:rPr>
      </w:pPr>
    </w:p>
    <w:p w14:paraId="7B939BB6" w14:textId="2D2E8D4D" w:rsidR="00F7148A" w:rsidRDefault="00F7148A" w:rsidP="00F7148A">
      <w:pPr>
        <w:spacing w:after="120"/>
        <w:jc w:val="center"/>
        <w:rPr>
          <w:rFonts w:ascii="Arial" w:eastAsiaTheme="minorHAnsi" w:hAnsi="Arial" w:cs="Arial"/>
          <w:sz w:val="26"/>
          <w:szCs w:val="26"/>
          <w:lang w:eastAsia="en-US"/>
        </w:rPr>
      </w:pPr>
    </w:p>
    <w:p w14:paraId="6DEF9863" w14:textId="1BB610DE" w:rsidR="00F7148A" w:rsidRDefault="00F7148A" w:rsidP="00F7148A">
      <w:pPr>
        <w:spacing w:after="120"/>
        <w:jc w:val="center"/>
        <w:rPr>
          <w:rFonts w:ascii="Arial" w:eastAsiaTheme="minorHAnsi" w:hAnsi="Arial" w:cs="Arial"/>
          <w:sz w:val="26"/>
          <w:szCs w:val="26"/>
          <w:lang w:eastAsia="en-US"/>
        </w:rPr>
      </w:pPr>
    </w:p>
    <w:p w14:paraId="32B1D4B7" w14:textId="6B3A2F91" w:rsidR="00F7148A" w:rsidRDefault="00F7148A" w:rsidP="00F7148A">
      <w:pPr>
        <w:spacing w:after="120"/>
        <w:jc w:val="center"/>
        <w:rPr>
          <w:rFonts w:ascii="Arial" w:eastAsiaTheme="minorHAnsi" w:hAnsi="Arial" w:cs="Arial"/>
          <w:sz w:val="26"/>
          <w:szCs w:val="26"/>
          <w:lang w:eastAsia="en-US"/>
        </w:rPr>
      </w:pPr>
    </w:p>
    <w:p w14:paraId="323FCBA2" w14:textId="77777777" w:rsidR="00F7148A" w:rsidRDefault="00F7148A" w:rsidP="00F7148A">
      <w:pPr>
        <w:spacing w:after="120"/>
        <w:jc w:val="center"/>
        <w:rPr>
          <w:rFonts w:ascii="Arial" w:eastAsiaTheme="minorHAnsi" w:hAnsi="Arial" w:cs="Arial"/>
          <w:sz w:val="26"/>
          <w:szCs w:val="26"/>
          <w:lang w:eastAsia="en-US"/>
        </w:rPr>
      </w:pPr>
    </w:p>
    <w:p w14:paraId="6636D753" w14:textId="77777777" w:rsidR="00F7148A" w:rsidRDefault="00F7148A" w:rsidP="00F7148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60EF850F" w14:textId="77777777" w:rsidR="00F7148A" w:rsidRDefault="00F7148A" w:rsidP="00F7148A">
      <w:pPr>
        <w:tabs>
          <w:tab w:val="left" w:pos="1680"/>
          <w:tab w:val="center" w:pos="4277"/>
        </w:tabs>
        <w:spacing w:after="120" w:line="360" w:lineRule="auto"/>
        <w:jc w:val="center"/>
        <w:rPr>
          <w:rFonts w:ascii="Arial" w:eastAsiaTheme="minorHAnsi" w:hAnsi="Arial" w:cs="Arial"/>
          <w:sz w:val="26"/>
          <w:szCs w:val="26"/>
          <w:lang w:eastAsia="en-US"/>
        </w:rPr>
      </w:pPr>
    </w:p>
    <w:p w14:paraId="2A33FD91" w14:textId="77777777" w:rsidR="00F7148A" w:rsidRDefault="00F7148A" w:rsidP="00F7148A">
      <w:pPr>
        <w:tabs>
          <w:tab w:val="left" w:pos="1680"/>
          <w:tab w:val="center" w:pos="4277"/>
        </w:tabs>
        <w:spacing w:after="120" w:line="360" w:lineRule="auto"/>
        <w:jc w:val="center"/>
        <w:rPr>
          <w:rFonts w:ascii="Arial" w:eastAsiaTheme="minorHAnsi" w:hAnsi="Arial" w:cs="Arial"/>
          <w:sz w:val="26"/>
          <w:szCs w:val="26"/>
          <w:lang w:eastAsia="en-US"/>
        </w:rPr>
      </w:pPr>
    </w:p>
    <w:p w14:paraId="6AB0BB58" w14:textId="77777777" w:rsidR="00F7148A" w:rsidRDefault="00F7148A" w:rsidP="00F7148A">
      <w:pPr>
        <w:tabs>
          <w:tab w:val="left" w:pos="1680"/>
          <w:tab w:val="center" w:pos="4277"/>
        </w:tabs>
        <w:spacing w:after="120" w:line="360" w:lineRule="auto"/>
        <w:jc w:val="center"/>
        <w:rPr>
          <w:rFonts w:ascii="Arial" w:eastAsiaTheme="minorHAnsi" w:hAnsi="Arial" w:cs="Arial"/>
          <w:sz w:val="26"/>
          <w:szCs w:val="26"/>
          <w:lang w:eastAsia="en-US"/>
        </w:rPr>
      </w:pPr>
    </w:p>
    <w:p w14:paraId="550E4BCC" w14:textId="77777777" w:rsidR="00477565" w:rsidRDefault="00477565" w:rsidP="00F7148A">
      <w:pPr>
        <w:tabs>
          <w:tab w:val="left" w:pos="1680"/>
          <w:tab w:val="center" w:pos="4277"/>
        </w:tabs>
        <w:spacing w:after="120" w:line="360" w:lineRule="auto"/>
        <w:jc w:val="center"/>
        <w:rPr>
          <w:rFonts w:ascii="Arial" w:eastAsiaTheme="minorHAnsi" w:hAnsi="Arial" w:cs="Arial"/>
          <w:sz w:val="26"/>
          <w:szCs w:val="26"/>
          <w:lang w:eastAsia="en-US"/>
        </w:rPr>
      </w:pPr>
    </w:p>
    <w:p w14:paraId="191005FF" w14:textId="77777777" w:rsidR="00F7148A" w:rsidRDefault="00F7148A" w:rsidP="00F7148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58F2F354" w14:textId="77777777" w:rsidR="00F7148A" w:rsidRDefault="00F7148A" w:rsidP="00F7148A">
      <w:pPr>
        <w:tabs>
          <w:tab w:val="left" w:pos="1680"/>
          <w:tab w:val="center" w:pos="4277"/>
        </w:tabs>
        <w:spacing w:after="120" w:line="360" w:lineRule="auto"/>
        <w:jc w:val="center"/>
        <w:rPr>
          <w:rFonts w:ascii="Arial" w:eastAsiaTheme="minorHAnsi" w:hAnsi="Arial" w:cs="Arial"/>
          <w:sz w:val="26"/>
          <w:szCs w:val="26"/>
          <w:lang w:eastAsia="en-US"/>
        </w:rPr>
      </w:pPr>
    </w:p>
    <w:p w14:paraId="7B6DC9A2" w14:textId="77777777" w:rsidR="00F7148A" w:rsidRDefault="00F7148A" w:rsidP="00F7148A">
      <w:pPr>
        <w:tabs>
          <w:tab w:val="left" w:pos="1680"/>
          <w:tab w:val="center" w:pos="4277"/>
        </w:tabs>
        <w:spacing w:after="120" w:line="360" w:lineRule="auto"/>
        <w:jc w:val="center"/>
        <w:rPr>
          <w:rFonts w:ascii="Arial" w:eastAsiaTheme="minorHAnsi" w:hAnsi="Arial" w:cs="Arial"/>
          <w:sz w:val="26"/>
          <w:szCs w:val="26"/>
          <w:lang w:eastAsia="en-US"/>
        </w:rPr>
      </w:pPr>
    </w:p>
    <w:p w14:paraId="3DDD502D" w14:textId="77777777" w:rsidR="00F7148A" w:rsidRDefault="00F7148A" w:rsidP="00F7148A">
      <w:pPr>
        <w:tabs>
          <w:tab w:val="left" w:pos="1680"/>
          <w:tab w:val="center" w:pos="4277"/>
        </w:tabs>
        <w:spacing w:after="120" w:line="360" w:lineRule="auto"/>
        <w:jc w:val="center"/>
        <w:rPr>
          <w:rFonts w:ascii="Arial" w:eastAsiaTheme="minorHAnsi" w:hAnsi="Arial" w:cs="Arial"/>
          <w:sz w:val="26"/>
          <w:szCs w:val="26"/>
          <w:lang w:eastAsia="en-US"/>
        </w:rPr>
      </w:pPr>
    </w:p>
    <w:p w14:paraId="6E599FCB" w14:textId="77777777" w:rsidR="00F7148A" w:rsidRDefault="00F7148A" w:rsidP="00F7148A">
      <w:pPr>
        <w:tabs>
          <w:tab w:val="left" w:pos="1680"/>
          <w:tab w:val="center" w:pos="4277"/>
        </w:tabs>
        <w:spacing w:after="120" w:line="360" w:lineRule="auto"/>
        <w:jc w:val="center"/>
        <w:rPr>
          <w:rFonts w:ascii="Arial" w:eastAsiaTheme="minorHAnsi" w:hAnsi="Arial" w:cs="Arial"/>
          <w:sz w:val="26"/>
          <w:szCs w:val="26"/>
          <w:lang w:eastAsia="en-US"/>
        </w:rPr>
      </w:pPr>
    </w:p>
    <w:p w14:paraId="7F541997" w14:textId="77777777" w:rsidR="00F7148A" w:rsidRDefault="00F7148A" w:rsidP="00F7148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5866B6F5" w14:textId="77777777" w:rsidR="00F7148A" w:rsidRDefault="00F7148A" w:rsidP="00F7148A">
      <w:pPr>
        <w:tabs>
          <w:tab w:val="left" w:pos="1680"/>
          <w:tab w:val="center" w:pos="4277"/>
        </w:tabs>
        <w:spacing w:after="120" w:line="360" w:lineRule="auto"/>
        <w:jc w:val="center"/>
        <w:rPr>
          <w:rFonts w:ascii="Arial" w:eastAsiaTheme="minorHAnsi" w:hAnsi="Arial" w:cs="Arial"/>
          <w:sz w:val="26"/>
          <w:szCs w:val="26"/>
          <w:lang w:eastAsia="en-US"/>
        </w:rPr>
      </w:pPr>
    </w:p>
    <w:p w14:paraId="7785ADA4" w14:textId="77777777" w:rsidR="00F7148A" w:rsidRDefault="00F7148A" w:rsidP="00F7148A">
      <w:pPr>
        <w:tabs>
          <w:tab w:val="left" w:pos="1680"/>
          <w:tab w:val="center" w:pos="4277"/>
        </w:tabs>
        <w:spacing w:after="120" w:line="360" w:lineRule="auto"/>
        <w:jc w:val="center"/>
        <w:rPr>
          <w:rFonts w:ascii="Arial" w:eastAsiaTheme="minorHAnsi" w:hAnsi="Arial" w:cs="Arial"/>
          <w:sz w:val="26"/>
          <w:szCs w:val="26"/>
          <w:lang w:eastAsia="en-US"/>
        </w:rPr>
      </w:pPr>
    </w:p>
    <w:p w14:paraId="7E35FFD4" w14:textId="77777777" w:rsidR="00477565" w:rsidRDefault="00477565" w:rsidP="00477565">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t>LAS PRESENTES FIRMAS CORRESPONDEN A LA RESOLUCIÓN DEL RECURSO DE REVISIÓN 0422/2021</w:t>
      </w:r>
    </w:p>
    <w:p w14:paraId="5E636835" w14:textId="77777777" w:rsidR="00F7148A" w:rsidRDefault="00F7148A" w:rsidP="00F7148A">
      <w:pPr>
        <w:tabs>
          <w:tab w:val="left" w:pos="1680"/>
          <w:tab w:val="center" w:pos="4277"/>
        </w:tabs>
        <w:spacing w:after="120" w:line="360" w:lineRule="auto"/>
        <w:rPr>
          <w:rFonts w:ascii="Arial" w:eastAsiaTheme="minorHAnsi" w:hAnsi="Arial" w:cs="Arial"/>
          <w:sz w:val="26"/>
          <w:szCs w:val="26"/>
          <w:lang w:eastAsia="en-US"/>
        </w:rPr>
      </w:pPr>
    </w:p>
    <w:p w14:paraId="78A46046" w14:textId="77777777" w:rsidR="00477565" w:rsidRDefault="00477565" w:rsidP="00F7148A">
      <w:pPr>
        <w:tabs>
          <w:tab w:val="left" w:pos="1680"/>
          <w:tab w:val="center" w:pos="4277"/>
        </w:tabs>
        <w:spacing w:after="120" w:line="360" w:lineRule="auto"/>
        <w:rPr>
          <w:rFonts w:ascii="Arial" w:eastAsiaTheme="minorHAnsi" w:hAnsi="Arial" w:cs="Arial"/>
          <w:sz w:val="26"/>
          <w:szCs w:val="26"/>
          <w:lang w:eastAsia="en-US"/>
        </w:rPr>
      </w:pPr>
    </w:p>
    <w:p w14:paraId="26A1AE5E" w14:textId="77777777" w:rsidR="00F7148A" w:rsidRDefault="00F7148A" w:rsidP="00F7148A">
      <w:pPr>
        <w:tabs>
          <w:tab w:val="left" w:pos="1680"/>
          <w:tab w:val="center" w:pos="4277"/>
        </w:tabs>
        <w:spacing w:after="120" w:line="360" w:lineRule="auto"/>
        <w:rPr>
          <w:rFonts w:ascii="Arial" w:eastAsiaTheme="minorHAnsi" w:hAnsi="Arial" w:cs="Arial"/>
          <w:sz w:val="26"/>
          <w:szCs w:val="26"/>
          <w:lang w:eastAsia="en-US"/>
        </w:rPr>
      </w:pPr>
    </w:p>
    <w:p w14:paraId="23AB2251" w14:textId="77777777" w:rsidR="00F7148A" w:rsidRDefault="00F7148A" w:rsidP="00F7148A">
      <w:pPr>
        <w:tabs>
          <w:tab w:val="left" w:pos="1680"/>
          <w:tab w:val="center" w:pos="4277"/>
        </w:tabs>
        <w:spacing w:after="120" w:line="360" w:lineRule="auto"/>
        <w:jc w:val="center"/>
        <w:rPr>
          <w:rFonts w:ascii="Arial" w:eastAsiaTheme="minorHAnsi" w:hAnsi="Arial" w:cs="Arial"/>
          <w:sz w:val="26"/>
          <w:szCs w:val="26"/>
          <w:lang w:eastAsia="en-US"/>
        </w:rPr>
      </w:pPr>
    </w:p>
    <w:p w14:paraId="775052EA" w14:textId="77777777" w:rsidR="00F7148A" w:rsidRDefault="00F7148A" w:rsidP="00F7148A">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5F89E4E0" w14:textId="77777777" w:rsidR="00F7148A" w:rsidRDefault="00F7148A" w:rsidP="00F7148A">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481E479B" w14:textId="77777777" w:rsidR="00F7148A" w:rsidRDefault="00F7148A" w:rsidP="00F7148A">
      <w:pPr>
        <w:spacing w:before="240" w:line="360" w:lineRule="auto"/>
        <w:ind w:firstLine="708"/>
        <w:jc w:val="both"/>
        <w:rPr>
          <w:rFonts w:ascii="Arial" w:hAnsi="Arial" w:cs="Arial"/>
          <w:sz w:val="26"/>
          <w:szCs w:val="26"/>
        </w:rPr>
      </w:pPr>
    </w:p>
    <w:p w14:paraId="4CADE42B" w14:textId="77777777" w:rsidR="00F7148A" w:rsidRDefault="00F7148A" w:rsidP="00F7148A">
      <w:pPr>
        <w:widowControl w:val="0"/>
        <w:tabs>
          <w:tab w:val="left" w:pos="0"/>
        </w:tabs>
        <w:spacing w:before="240" w:after="0" w:line="360" w:lineRule="auto"/>
        <w:ind w:right="18"/>
        <w:jc w:val="both"/>
        <w:rPr>
          <w:rFonts w:ascii="Arial" w:eastAsia="Calibri" w:hAnsi="Arial" w:cs="Arial"/>
          <w:bCs/>
          <w:sz w:val="26"/>
          <w:szCs w:val="26"/>
        </w:rPr>
      </w:pPr>
    </w:p>
    <w:p w14:paraId="46171DD0" w14:textId="77777777" w:rsidR="00F7148A" w:rsidRPr="003B6CF0" w:rsidRDefault="00F7148A" w:rsidP="00F7148A">
      <w:r w:rsidRPr="003B6CF0">
        <w:t xml:space="preserve"> </w:t>
      </w:r>
    </w:p>
    <w:p w14:paraId="1D6BAA3A" w14:textId="6AF343A3" w:rsidR="007A2758" w:rsidRPr="00C91F07" w:rsidRDefault="007A2758" w:rsidP="00F7148A">
      <w:pPr>
        <w:tabs>
          <w:tab w:val="left" w:pos="1680"/>
          <w:tab w:val="center" w:pos="4277"/>
        </w:tabs>
        <w:spacing w:after="0" w:line="240" w:lineRule="auto"/>
        <w:jc w:val="center"/>
        <w:rPr>
          <w:sz w:val="26"/>
          <w:szCs w:val="26"/>
        </w:rPr>
      </w:pPr>
    </w:p>
    <w:sectPr w:rsidR="007A2758" w:rsidRPr="00C91F07"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3F0251" w14:textId="77777777" w:rsidR="00B01EC0" w:rsidRDefault="00B01EC0">
      <w:pPr>
        <w:spacing w:after="0" w:line="240" w:lineRule="auto"/>
      </w:pPr>
      <w:r>
        <w:separator/>
      </w:r>
    </w:p>
  </w:endnote>
  <w:endnote w:type="continuationSeparator" w:id="0">
    <w:p w14:paraId="2BA92009" w14:textId="77777777" w:rsidR="00B01EC0" w:rsidRDefault="00B01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70D3EB" w14:textId="77777777" w:rsidR="00B01EC0" w:rsidRDefault="00B01EC0">
      <w:pPr>
        <w:spacing w:after="0" w:line="240" w:lineRule="auto"/>
      </w:pPr>
      <w:r>
        <w:separator/>
      </w:r>
    </w:p>
  </w:footnote>
  <w:footnote w:type="continuationSeparator" w:id="0">
    <w:p w14:paraId="4ABAAFC2" w14:textId="77777777" w:rsidR="00B01EC0" w:rsidRDefault="00B01EC0">
      <w:pPr>
        <w:spacing w:after="0" w:line="240" w:lineRule="auto"/>
      </w:pPr>
      <w:r>
        <w:continuationSeparator/>
      </w:r>
    </w:p>
  </w:footnote>
  <w:footnote w:id="1">
    <w:p w14:paraId="16D7F8F5" w14:textId="77777777" w:rsidR="006F7BCC" w:rsidRPr="00FE676C" w:rsidRDefault="006F7BCC" w:rsidP="006F7BCC">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76769762" w14:textId="77777777" w:rsidR="006F7BCC" w:rsidRPr="00AF5119" w:rsidRDefault="006F7BCC" w:rsidP="006F7BCC">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 xml:space="preserve">iones de </w:t>
      </w:r>
      <w:r w:rsidRPr="00AF5119">
        <w:rPr>
          <w:rFonts w:ascii="Arial" w:hAnsi="Arial" w:cs="Arial"/>
          <w:i/>
        </w:rPr>
        <w:t>hechos de particulares;…”</w:t>
      </w:r>
    </w:p>
  </w:footnote>
  <w:footnote w:id="2">
    <w:p w14:paraId="494E7D70" w14:textId="56786F11" w:rsidR="005332ED" w:rsidRPr="005332ED" w:rsidRDefault="005332ED" w:rsidP="005332ED">
      <w:pPr>
        <w:pStyle w:val="Textonotapie"/>
        <w:jc w:val="both"/>
        <w:rPr>
          <w:rFonts w:ascii="Arial" w:hAnsi="Arial" w:cs="Arial"/>
        </w:rPr>
      </w:pPr>
      <w:r>
        <w:rPr>
          <w:rStyle w:val="Refdenotaalpie"/>
        </w:rPr>
        <w:footnoteRef/>
      </w:r>
      <w:r>
        <w:t xml:space="preserve"> </w:t>
      </w:r>
      <w:r w:rsidRPr="005332ED">
        <w:rPr>
          <w:rFonts w:ascii="Arial" w:hAnsi="Arial" w:cs="Arial"/>
        </w:rPr>
        <w:t xml:space="preserve">Visible de la foja 12 (doce) a la 16 (dieciséis) del expediente </w:t>
      </w:r>
      <w:r w:rsidRPr="005332ED">
        <w:rPr>
          <w:rFonts w:ascii="Arial" w:hAnsi="Arial" w:cs="Arial"/>
          <w:b/>
          <w:bCs/>
        </w:rPr>
        <w:t>0075/2021</w:t>
      </w:r>
      <w:r w:rsidRPr="005332ED">
        <w:rPr>
          <w:rFonts w:ascii="Arial" w:hAnsi="Arial" w:cs="Arial"/>
        </w:rPr>
        <w:t xml:space="preserve"> del índice de la Cuarta Sala Unitaria de Primera Instancia.</w:t>
      </w:r>
    </w:p>
  </w:footnote>
  <w:footnote w:id="3">
    <w:p w14:paraId="5A5A4979" w14:textId="77777777" w:rsidR="000043AD" w:rsidRPr="00281756" w:rsidRDefault="000043AD" w:rsidP="000043AD">
      <w:pPr>
        <w:pStyle w:val="Textonotapie"/>
        <w:jc w:val="both"/>
        <w:rPr>
          <w:rFonts w:ascii="Arial" w:hAnsi="Arial" w:cs="Arial"/>
          <w:i/>
          <w:iCs/>
        </w:rPr>
      </w:pPr>
      <w:r w:rsidRPr="00281756">
        <w:rPr>
          <w:rStyle w:val="Refdenotaalpie"/>
          <w:rFonts w:ascii="Arial" w:hAnsi="Arial" w:cs="Arial"/>
          <w:i/>
          <w:iCs/>
        </w:rPr>
        <w:footnoteRef/>
      </w:r>
      <w:r w:rsidRPr="00281756">
        <w:rPr>
          <w:rFonts w:ascii="Arial" w:hAnsi="Arial" w:cs="Arial"/>
          <w:i/>
          <w:iCs/>
        </w:rPr>
        <w:t xml:space="preserve"> </w:t>
      </w:r>
      <w:r w:rsidRPr="00281756">
        <w:rPr>
          <w:rFonts w:ascii="Arial" w:hAnsi="Arial" w:cs="Arial"/>
          <w:b/>
          <w:bCs/>
          <w:i/>
          <w:iCs/>
        </w:rPr>
        <w:t xml:space="preserve">ARTÍCULO 130.- </w:t>
      </w:r>
      <w:r w:rsidRPr="00281756">
        <w:rPr>
          <w:rFonts w:ascii="Arial" w:hAnsi="Arial" w:cs="Arial"/>
          <w:i/>
          <w:iCs/>
        </w:rPr>
        <w:t>La Sala Superior tendrá las siguientes atribuciones:</w:t>
      </w:r>
    </w:p>
    <w:p w14:paraId="54C17F12" w14:textId="77777777" w:rsidR="000043AD" w:rsidRPr="00281756" w:rsidRDefault="000043AD" w:rsidP="000043AD">
      <w:pPr>
        <w:pStyle w:val="Textonotapie"/>
        <w:jc w:val="both"/>
        <w:rPr>
          <w:rFonts w:ascii="Arial" w:hAnsi="Arial" w:cs="Arial"/>
          <w:i/>
          <w:iCs/>
        </w:rPr>
      </w:pPr>
      <w:r w:rsidRPr="00281756">
        <w:rPr>
          <w:rFonts w:ascii="Arial" w:hAnsi="Arial" w:cs="Arial"/>
          <w:i/>
          <w:iCs/>
        </w:rPr>
        <w:t>VI. Conocer, substanciar y resolver mediante juicio las resoluciones en materia de responsabilidad  administrativa que emitan el Órgano Superior de Fiscalización del Estado de Oaxaca, la Secretaría de la Contraloría y Transparencia Gubernamental o los Órganos de Control Interno de la Administración Pública Estatal o Municipal;</w:t>
      </w:r>
    </w:p>
  </w:footnote>
  <w:footnote w:id="4">
    <w:p w14:paraId="64A5249B" w14:textId="77777777" w:rsidR="00671C25" w:rsidRPr="00281756" w:rsidRDefault="00671C25" w:rsidP="00671C25">
      <w:pPr>
        <w:pStyle w:val="Textonotapie"/>
        <w:rPr>
          <w:rFonts w:ascii="Arial" w:hAnsi="Arial" w:cs="Arial"/>
          <w:i/>
          <w:iCs/>
        </w:rPr>
      </w:pPr>
      <w:r w:rsidRPr="00281756">
        <w:rPr>
          <w:rStyle w:val="Refdenotaalpie"/>
          <w:rFonts w:ascii="Arial" w:hAnsi="Arial" w:cs="Arial"/>
          <w:b/>
          <w:bCs/>
          <w:i/>
          <w:iCs/>
        </w:rPr>
        <w:footnoteRef/>
      </w:r>
      <w:r w:rsidRPr="00281756">
        <w:rPr>
          <w:rFonts w:ascii="Arial" w:hAnsi="Arial" w:cs="Arial"/>
          <w:b/>
          <w:bCs/>
          <w:i/>
          <w:iCs/>
        </w:rPr>
        <w:t xml:space="preserve"> ARTÍCULO 24.- </w:t>
      </w:r>
      <w:r w:rsidRPr="00281756">
        <w:rPr>
          <w:rFonts w:ascii="Arial" w:hAnsi="Arial" w:cs="Arial"/>
          <w:i/>
          <w:iCs/>
        </w:rPr>
        <w:t>Son atribuciones de la Sala Superior:</w:t>
      </w:r>
    </w:p>
    <w:p w14:paraId="2E7A478B" w14:textId="77777777" w:rsidR="00671C25" w:rsidRPr="00281756" w:rsidRDefault="00671C25" w:rsidP="00671C25">
      <w:pPr>
        <w:pStyle w:val="Textonotapie"/>
        <w:rPr>
          <w:rFonts w:ascii="Arial" w:hAnsi="Arial" w:cs="Arial"/>
          <w:i/>
          <w:iCs/>
        </w:rPr>
      </w:pPr>
      <w:r w:rsidRPr="00281756">
        <w:rPr>
          <w:rFonts w:ascii="Arial" w:hAnsi="Arial" w:cs="Arial"/>
          <w:i/>
          <w:iCs/>
        </w:rPr>
        <w:t>I. Resolver el recurso de revisión y Juicio de Inconformidad previstos en la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941A0BB" w:rsidR="000F5C41" w:rsidRDefault="0047756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77565">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143C1CB" w:rsidR="000F5C41" w:rsidRDefault="0047756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77565">
          <w:rPr>
            <w:noProof/>
            <w:lang w:val="es-ES"/>
          </w:rPr>
          <w:t>3</w:t>
        </w:r>
        <w:r w:rsidR="000F5C41">
          <w:fldChar w:fldCharType="end"/>
        </w:r>
      </w:sdtContent>
    </w:sdt>
  </w:p>
  <w:p w14:paraId="51E22156" w14:textId="6C9312C5" w:rsidR="00655BA3" w:rsidRDefault="00BA026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40F84F7" wp14:editId="1781E0A0">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26CB864" w14:textId="77777777" w:rsidR="00BA0262" w:rsidRDefault="00BA0262" w:rsidP="00BA026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0F84F7"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626CB864" w14:textId="77777777" w:rsidR="00BA0262" w:rsidRDefault="00BA0262" w:rsidP="00BA026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7756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0D7045B"/>
    <w:multiLevelType w:val="hybridMultilevel"/>
    <w:tmpl w:val="5BD21ECA"/>
    <w:lvl w:ilvl="0" w:tplc="AB34552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3AD"/>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2E2B"/>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3F9"/>
    <w:rsid w:val="0002642B"/>
    <w:rsid w:val="000264DD"/>
    <w:rsid w:val="00026C11"/>
    <w:rsid w:val="0002727A"/>
    <w:rsid w:val="000306D4"/>
    <w:rsid w:val="00030BAF"/>
    <w:rsid w:val="00032045"/>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48AB"/>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EB8"/>
    <w:rsid w:val="000A084D"/>
    <w:rsid w:val="000A0E5E"/>
    <w:rsid w:val="000A12C0"/>
    <w:rsid w:val="000A1491"/>
    <w:rsid w:val="000A15A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7E"/>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55FF"/>
    <w:rsid w:val="00126EEE"/>
    <w:rsid w:val="00126EEF"/>
    <w:rsid w:val="00126F80"/>
    <w:rsid w:val="00127248"/>
    <w:rsid w:val="00127B1F"/>
    <w:rsid w:val="00127C05"/>
    <w:rsid w:val="00130500"/>
    <w:rsid w:val="0013065F"/>
    <w:rsid w:val="001312BC"/>
    <w:rsid w:val="00131911"/>
    <w:rsid w:val="00131CDF"/>
    <w:rsid w:val="00132391"/>
    <w:rsid w:val="001324E8"/>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012E"/>
    <w:rsid w:val="001F1C43"/>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750"/>
    <w:rsid w:val="00270831"/>
    <w:rsid w:val="0027275E"/>
    <w:rsid w:val="00272A7D"/>
    <w:rsid w:val="00273171"/>
    <w:rsid w:val="00273266"/>
    <w:rsid w:val="002748AA"/>
    <w:rsid w:val="00275418"/>
    <w:rsid w:val="00276E57"/>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ADF"/>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769"/>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08A"/>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087"/>
    <w:rsid w:val="003150CD"/>
    <w:rsid w:val="003154AB"/>
    <w:rsid w:val="003155CF"/>
    <w:rsid w:val="00315A9D"/>
    <w:rsid w:val="00315BA3"/>
    <w:rsid w:val="00316707"/>
    <w:rsid w:val="003177AC"/>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9B6"/>
    <w:rsid w:val="00350B13"/>
    <w:rsid w:val="00351FF7"/>
    <w:rsid w:val="00352CC2"/>
    <w:rsid w:val="00352DE7"/>
    <w:rsid w:val="0035300A"/>
    <w:rsid w:val="0035347E"/>
    <w:rsid w:val="003549F9"/>
    <w:rsid w:val="00355E72"/>
    <w:rsid w:val="0035659D"/>
    <w:rsid w:val="0036085B"/>
    <w:rsid w:val="003611E4"/>
    <w:rsid w:val="0036133D"/>
    <w:rsid w:val="003617D9"/>
    <w:rsid w:val="00361938"/>
    <w:rsid w:val="003625FB"/>
    <w:rsid w:val="003633B9"/>
    <w:rsid w:val="003636DE"/>
    <w:rsid w:val="003646B9"/>
    <w:rsid w:val="003646E5"/>
    <w:rsid w:val="003652C6"/>
    <w:rsid w:val="003654A6"/>
    <w:rsid w:val="003660A9"/>
    <w:rsid w:val="00366573"/>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775F7"/>
    <w:rsid w:val="003804A7"/>
    <w:rsid w:val="00381DC3"/>
    <w:rsid w:val="0038228C"/>
    <w:rsid w:val="00382BDE"/>
    <w:rsid w:val="003859C4"/>
    <w:rsid w:val="00385B11"/>
    <w:rsid w:val="00385EA5"/>
    <w:rsid w:val="00386F92"/>
    <w:rsid w:val="003874C3"/>
    <w:rsid w:val="00387725"/>
    <w:rsid w:val="00387C65"/>
    <w:rsid w:val="00390552"/>
    <w:rsid w:val="00390CDE"/>
    <w:rsid w:val="00391311"/>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3C26"/>
    <w:rsid w:val="00423E43"/>
    <w:rsid w:val="00424839"/>
    <w:rsid w:val="00424D35"/>
    <w:rsid w:val="004256FF"/>
    <w:rsid w:val="004258D6"/>
    <w:rsid w:val="00425C7D"/>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565"/>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76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C17"/>
    <w:rsid w:val="004D4E7B"/>
    <w:rsid w:val="004D500B"/>
    <w:rsid w:val="004D5713"/>
    <w:rsid w:val="004D5715"/>
    <w:rsid w:val="004D5934"/>
    <w:rsid w:val="004D5E04"/>
    <w:rsid w:val="004D6148"/>
    <w:rsid w:val="004D66F7"/>
    <w:rsid w:val="004D6E5E"/>
    <w:rsid w:val="004D79AB"/>
    <w:rsid w:val="004E0DB7"/>
    <w:rsid w:val="004E0F78"/>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35C5"/>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1812"/>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2ED"/>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4CE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931"/>
    <w:rsid w:val="0058621D"/>
    <w:rsid w:val="00586D72"/>
    <w:rsid w:val="00586E4F"/>
    <w:rsid w:val="00587330"/>
    <w:rsid w:val="0058783F"/>
    <w:rsid w:val="00587984"/>
    <w:rsid w:val="00587A84"/>
    <w:rsid w:val="00590AF7"/>
    <w:rsid w:val="00592360"/>
    <w:rsid w:val="00593333"/>
    <w:rsid w:val="005960D3"/>
    <w:rsid w:val="005973A7"/>
    <w:rsid w:val="005A0825"/>
    <w:rsid w:val="005A09A3"/>
    <w:rsid w:val="005A1FEE"/>
    <w:rsid w:val="005A273F"/>
    <w:rsid w:val="005A3182"/>
    <w:rsid w:val="005A3583"/>
    <w:rsid w:val="005A4118"/>
    <w:rsid w:val="005A453F"/>
    <w:rsid w:val="005A493F"/>
    <w:rsid w:val="005A69C8"/>
    <w:rsid w:val="005A6A9E"/>
    <w:rsid w:val="005A752F"/>
    <w:rsid w:val="005B1E67"/>
    <w:rsid w:val="005B223E"/>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6806"/>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6352"/>
    <w:rsid w:val="006279BE"/>
    <w:rsid w:val="00627D62"/>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0AE"/>
    <w:rsid w:val="00664AC4"/>
    <w:rsid w:val="00664FB0"/>
    <w:rsid w:val="0066505B"/>
    <w:rsid w:val="00665895"/>
    <w:rsid w:val="00665ACE"/>
    <w:rsid w:val="0066701C"/>
    <w:rsid w:val="006671D4"/>
    <w:rsid w:val="0066750D"/>
    <w:rsid w:val="00667F2F"/>
    <w:rsid w:val="00671338"/>
    <w:rsid w:val="00671C25"/>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6F7BCC"/>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2AD"/>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758"/>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159"/>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6B7"/>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681"/>
    <w:rsid w:val="008234FD"/>
    <w:rsid w:val="00823863"/>
    <w:rsid w:val="008240AB"/>
    <w:rsid w:val="008241FC"/>
    <w:rsid w:val="00824B51"/>
    <w:rsid w:val="00825DF2"/>
    <w:rsid w:val="00825FB7"/>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011"/>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247"/>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19"/>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394"/>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37FF8"/>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071A"/>
    <w:rsid w:val="009513AF"/>
    <w:rsid w:val="009514A7"/>
    <w:rsid w:val="00952111"/>
    <w:rsid w:val="009524CE"/>
    <w:rsid w:val="009525E5"/>
    <w:rsid w:val="00952E94"/>
    <w:rsid w:val="00953386"/>
    <w:rsid w:val="0095353F"/>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601"/>
    <w:rsid w:val="00971321"/>
    <w:rsid w:val="00972B61"/>
    <w:rsid w:val="009730F2"/>
    <w:rsid w:val="00974250"/>
    <w:rsid w:val="00974F50"/>
    <w:rsid w:val="009756EC"/>
    <w:rsid w:val="009757EE"/>
    <w:rsid w:val="0097584C"/>
    <w:rsid w:val="00976FCC"/>
    <w:rsid w:val="0097768E"/>
    <w:rsid w:val="009818A2"/>
    <w:rsid w:val="009829E2"/>
    <w:rsid w:val="00983525"/>
    <w:rsid w:val="009842AF"/>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98"/>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6DB"/>
    <w:rsid w:val="009C3841"/>
    <w:rsid w:val="009C607A"/>
    <w:rsid w:val="009C6929"/>
    <w:rsid w:val="009C6A52"/>
    <w:rsid w:val="009C72C2"/>
    <w:rsid w:val="009D183B"/>
    <w:rsid w:val="009D20C4"/>
    <w:rsid w:val="009D2378"/>
    <w:rsid w:val="009D267D"/>
    <w:rsid w:val="009D2DC9"/>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DDF"/>
    <w:rsid w:val="009F5F75"/>
    <w:rsid w:val="009F6D03"/>
    <w:rsid w:val="009F74A6"/>
    <w:rsid w:val="009F75C0"/>
    <w:rsid w:val="009F7671"/>
    <w:rsid w:val="00A00067"/>
    <w:rsid w:val="00A00501"/>
    <w:rsid w:val="00A01117"/>
    <w:rsid w:val="00A022D9"/>
    <w:rsid w:val="00A023EE"/>
    <w:rsid w:val="00A028E8"/>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21E"/>
    <w:rsid w:val="00AC648A"/>
    <w:rsid w:val="00AD100C"/>
    <w:rsid w:val="00AD1D85"/>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2735"/>
    <w:rsid w:val="00AF3B8C"/>
    <w:rsid w:val="00AF3E80"/>
    <w:rsid w:val="00AF4CB2"/>
    <w:rsid w:val="00AF4E0C"/>
    <w:rsid w:val="00AF4E17"/>
    <w:rsid w:val="00AF5B71"/>
    <w:rsid w:val="00AF5E8F"/>
    <w:rsid w:val="00AF67FD"/>
    <w:rsid w:val="00AF6C6B"/>
    <w:rsid w:val="00AF6E07"/>
    <w:rsid w:val="00AF72B1"/>
    <w:rsid w:val="00B0093A"/>
    <w:rsid w:val="00B00AAC"/>
    <w:rsid w:val="00B01EC0"/>
    <w:rsid w:val="00B02152"/>
    <w:rsid w:val="00B0229E"/>
    <w:rsid w:val="00B02BB1"/>
    <w:rsid w:val="00B02FB6"/>
    <w:rsid w:val="00B0340C"/>
    <w:rsid w:val="00B03ACC"/>
    <w:rsid w:val="00B04123"/>
    <w:rsid w:val="00B049EC"/>
    <w:rsid w:val="00B04B6B"/>
    <w:rsid w:val="00B04DD6"/>
    <w:rsid w:val="00B050D6"/>
    <w:rsid w:val="00B0768C"/>
    <w:rsid w:val="00B10264"/>
    <w:rsid w:val="00B116CF"/>
    <w:rsid w:val="00B1212B"/>
    <w:rsid w:val="00B125A0"/>
    <w:rsid w:val="00B13177"/>
    <w:rsid w:val="00B13E8D"/>
    <w:rsid w:val="00B15219"/>
    <w:rsid w:val="00B15852"/>
    <w:rsid w:val="00B161B4"/>
    <w:rsid w:val="00B16887"/>
    <w:rsid w:val="00B176C8"/>
    <w:rsid w:val="00B17C50"/>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927"/>
    <w:rsid w:val="00B64DB8"/>
    <w:rsid w:val="00B652A9"/>
    <w:rsid w:val="00B6575A"/>
    <w:rsid w:val="00B6596E"/>
    <w:rsid w:val="00B65D72"/>
    <w:rsid w:val="00B661AF"/>
    <w:rsid w:val="00B6786A"/>
    <w:rsid w:val="00B67AA4"/>
    <w:rsid w:val="00B7058E"/>
    <w:rsid w:val="00B70EC1"/>
    <w:rsid w:val="00B70F1D"/>
    <w:rsid w:val="00B7103E"/>
    <w:rsid w:val="00B71FF3"/>
    <w:rsid w:val="00B72097"/>
    <w:rsid w:val="00B72FDD"/>
    <w:rsid w:val="00B7350C"/>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262"/>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2A9"/>
    <w:rsid w:val="00BA79B7"/>
    <w:rsid w:val="00BB0D35"/>
    <w:rsid w:val="00BB13C5"/>
    <w:rsid w:val="00BB1812"/>
    <w:rsid w:val="00BB23CB"/>
    <w:rsid w:val="00BB23E9"/>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BE7"/>
    <w:rsid w:val="00BC4F3D"/>
    <w:rsid w:val="00BC64CE"/>
    <w:rsid w:val="00BC68AD"/>
    <w:rsid w:val="00BC7112"/>
    <w:rsid w:val="00BD0C00"/>
    <w:rsid w:val="00BD0DA0"/>
    <w:rsid w:val="00BD1F9D"/>
    <w:rsid w:val="00BD3693"/>
    <w:rsid w:val="00BD438C"/>
    <w:rsid w:val="00BD492B"/>
    <w:rsid w:val="00BD4F9A"/>
    <w:rsid w:val="00BD545C"/>
    <w:rsid w:val="00BD5E19"/>
    <w:rsid w:val="00BD6D4E"/>
    <w:rsid w:val="00BD71F1"/>
    <w:rsid w:val="00BD74CF"/>
    <w:rsid w:val="00BE1A21"/>
    <w:rsid w:val="00BE1BBE"/>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630"/>
    <w:rsid w:val="00C341CB"/>
    <w:rsid w:val="00C3448A"/>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216"/>
    <w:rsid w:val="00C474EF"/>
    <w:rsid w:val="00C500D2"/>
    <w:rsid w:val="00C50922"/>
    <w:rsid w:val="00C51440"/>
    <w:rsid w:val="00C52089"/>
    <w:rsid w:val="00C53E87"/>
    <w:rsid w:val="00C55CDE"/>
    <w:rsid w:val="00C56885"/>
    <w:rsid w:val="00C56AE3"/>
    <w:rsid w:val="00C56D20"/>
    <w:rsid w:val="00C57069"/>
    <w:rsid w:val="00C57680"/>
    <w:rsid w:val="00C57997"/>
    <w:rsid w:val="00C604EB"/>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D37"/>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739"/>
    <w:rsid w:val="00D05261"/>
    <w:rsid w:val="00D05454"/>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7C84"/>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2C8F"/>
    <w:rsid w:val="00D33362"/>
    <w:rsid w:val="00D33C0D"/>
    <w:rsid w:val="00D34C41"/>
    <w:rsid w:val="00D3539A"/>
    <w:rsid w:val="00D35524"/>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0CD4"/>
    <w:rsid w:val="00D62605"/>
    <w:rsid w:val="00D63073"/>
    <w:rsid w:val="00D6362A"/>
    <w:rsid w:val="00D6373A"/>
    <w:rsid w:val="00D63DA5"/>
    <w:rsid w:val="00D641C8"/>
    <w:rsid w:val="00D64B3A"/>
    <w:rsid w:val="00D64D09"/>
    <w:rsid w:val="00D6587E"/>
    <w:rsid w:val="00D65C48"/>
    <w:rsid w:val="00D671A0"/>
    <w:rsid w:val="00D67C48"/>
    <w:rsid w:val="00D70CA3"/>
    <w:rsid w:val="00D718E2"/>
    <w:rsid w:val="00D719E5"/>
    <w:rsid w:val="00D72097"/>
    <w:rsid w:val="00D73167"/>
    <w:rsid w:val="00D7322F"/>
    <w:rsid w:val="00D733BC"/>
    <w:rsid w:val="00D73481"/>
    <w:rsid w:val="00D73C07"/>
    <w:rsid w:val="00D743AB"/>
    <w:rsid w:val="00D74799"/>
    <w:rsid w:val="00D74FDC"/>
    <w:rsid w:val="00D751EB"/>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63"/>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83"/>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5CB1"/>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FE"/>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0776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CD0"/>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49"/>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1834"/>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6711"/>
    <w:rsid w:val="00E86798"/>
    <w:rsid w:val="00E90CAB"/>
    <w:rsid w:val="00E90E54"/>
    <w:rsid w:val="00E9118C"/>
    <w:rsid w:val="00E914A9"/>
    <w:rsid w:val="00E92595"/>
    <w:rsid w:val="00E92FE6"/>
    <w:rsid w:val="00E93151"/>
    <w:rsid w:val="00E93342"/>
    <w:rsid w:val="00E94929"/>
    <w:rsid w:val="00E9535A"/>
    <w:rsid w:val="00E9559A"/>
    <w:rsid w:val="00E9569C"/>
    <w:rsid w:val="00E968B6"/>
    <w:rsid w:val="00E96D3C"/>
    <w:rsid w:val="00E97839"/>
    <w:rsid w:val="00E97BE5"/>
    <w:rsid w:val="00EA0E3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140"/>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0A0"/>
    <w:rsid w:val="00F243DA"/>
    <w:rsid w:val="00F24944"/>
    <w:rsid w:val="00F24EE4"/>
    <w:rsid w:val="00F2516C"/>
    <w:rsid w:val="00F2560A"/>
    <w:rsid w:val="00F25B7F"/>
    <w:rsid w:val="00F2644C"/>
    <w:rsid w:val="00F26992"/>
    <w:rsid w:val="00F26F0E"/>
    <w:rsid w:val="00F2789C"/>
    <w:rsid w:val="00F30736"/>
    <w:rsid w:val="00F310A3"/>
    <w:rsid w:val="00F31B8A"/>
    <w:rsid w:val="00F31FDD"/>
    <w:rsid w:val="00F323A8"/>
    <w:rsid w:val="00F32E0D"/>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3C85"/>
    <w:rsid w:val="00F64C5A"/>
    <w:rsid w:val="00F66D81"/>
    <w:rsid w:val="00F67C3E"/>
    <w:rsid w:val="00F70281"/>
    <w:rsid w:val="00F707C2"/>
    <w:rsid w:val="00F707EE"/>
    <w:rsid w:val="00F710EA"/>
    <w:rsid w:val="00F7148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33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5DB2"/>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618"/>
    <w:rsid w:val="00FC6C11"/>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gistros-movil-hide">
    <w:name w:val="registros-movil-hide"/>
    <w:basedOn w:val="Fuentedeprrafopredeter"/>
    <w:rsid w:val="00F71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645A9-63E3-4B60-9EEA-9BF74F688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11</Pages>
  <Words>3891</Words>
  <Characters>21406</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29</cp:revision>
  <cp:lastPrinted>2022-09-07T18:30:00Z</cp:lastPrinted>
  <dcterms:created xsi:type="dcterms:W3CDTF">2022-07-22T01:43:00Z</dcterms:created>
  <dcterms:modified xsi:type="dcterms:W3CDTF">2023-02-20T20:25:00Z</dcterms:modified>
</cp:coreProperties>
</file>