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445003">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50AA5A5" w:rsidR="003B6CF0" w:rsidRPr="00CB6405" w:rsidRDefault="003B6CF0" w:rsidP="00445003">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839F9">
        <w:rPr>
          <w:rFonts w:ascii="Arial" w:hAnsi="Arial" w:cs="Arial"/>
          <w:b/>
          <w:sz w:val="26"/>
          <w:szCs w:val="26"/>
        </w:rPr>
        <w:t>439/2021</w:t>
      </w:r>
      <w:r>
        <w:rPr>
          <w:rFonts w:ascii="Arial" w:hAnsi="Arial" w:cs="Arial"/>
          <w:b/>
          <w:sz w:val="26"/>
          <w:szCs w:val="26"/>
        </w:rPr>
        <w:t>.</w:t>
      </w:r>
    </w:p>
    <w:p w14:paraId="4DFA70CD" w14:textId="7B4D27A6" w:rsidR="003B6CF0" w:rsidRDefault="003B6CF0" w:rsidP="00445003">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839F9">
        <w:rPr>
          <w:rFonts w:ascii="Arial" w:hAnsi="Arial" w:cs="Arial"/>
          <w:b/>
          <w:sz w:val="26"/>
          <w:szCs w:val="26"/>
        </w:rPr>
        <w:t>0013</w:t>
      </w:r>
      <w:r>
        <w:rPr>
          <w:rFonts w:ascii="Arial" w:hAnsi="Arial" w:cs="Arial"/>
          <w:b/>
          <w:sz w:val="26"/>
          <w:szCs w:val="26"/>
        </w:rPr>
        <w:t>/</w:t>
      </w:r>
      <w:r w:rsidR="00611EB0">
        <w:rPr>
          <w:rFonts w:ascii="Arial" w:hAnsi="Arial" w:cs="Arial"/>
          <w:b/>
          <w:sz w:val="26"/>
          <w:szCs w:val="26"/>
        </w:rPr>
        <w:t>20</w:t>
      </w:r>
      <w:r w:rsidR="005839F9">
        <w:rPr>
          <w:rFonts w:ascii="Arial" w:hAnsi="Arial" w:cs="Arial"/>
          <w:b/>
          <w:sz w:val="26"/>
          <w:szCs w:val="26"/>
        </w:rPr>
        <w:t>20</w:t>
      </w:r>
      <w:r w:rsidRPr="00CB6405">
        <w:rPr>
          <w:rFonts w:ascii="Arial" w:hAnsi="Arial" w:cs="Arial"/>
          <w:b/>
          <w:sz w:val="26"/>
          <w:szCs w:val="26"/>
        </w:rPr>
        <w:t xml:space="preserve"> </w:t>
      </w:r>
      <w:r w:rsidR="00C17500">
        <w:rPr>
          <w:rFonts w:ascii="Arial" w:hAnsi="Arial" w:cs="Arial"/>
          <w:b/>
          <w:sz w:val="26"/>
          <w:szCs w:val="26"/>
        </w:rPr>
        <w:t xml:space="preserve">DE LA </w:t>
      </w:r>
      <w:r w:rsidR="00DC634E">
        <w:rPr>
          <w:rFonts w:ascii="Arial" w:hAnsi="Arial" w:cs="Arial"/>
          <w:b/>
          <w:sz w:val="26"/>
          <w:szCs w:val="26"/>
        </w:rPr>
        <w:t>SEX</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445003">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4024D711"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445003">
        <w:rPr>
          <w:rFonts w:ascii="Arial" w:hAnsi="Arial" w:cs="Arial"/>
          <w:b/>
          <w:sz w:val="26"/>
          <w:szCs w:val="26"/>
        </w:rPr>
        <w:t>VEINTINUEVE</w:t>
      </w:r>
      <w:r w:rsidR="00B83946">
        <w:rPr>
          <w:rFonts w:ascii="Arial" w:hAnsi="Arial" w:cs="Arial"/>
          <w:b/>
          <w:sz w:val="26"/>
          <w:szCs w:val="26"/>
        </w:rPr>
        <w:t xml:space="preserve"> DE</w:t>
      </w:r>
      <w:r w:rsidR="00445003">
        <w:rPr>
          <w:rFonts w:ascii="Arial" w:hAnsi="Arial" w:cs="Arial"/>
          <w:b/>
          <w:sz w:val="26"/>
          <w:szCs w:val="26"/>
        </w:rPr>
        <w:t xml:space="preserve"> 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CF0F441" w14:textId="55D71C7D" w:rsidR="003B6CF0" w:rsidRPr="00676F27" w:rsidRDefault="003B6CF0" w:rsidP="00445003">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5839F9">
        <w:rPr>
          <w:rFonts w:ascii="Arial" w:hAnsi="Arial" w:cs="Arial"/>
          <w:b/>
          <w:sz w:val="26"/>
          <w:szCs w:val="26"/>
        </w:rPr>
        <w:t>439</w:t>
      </w:r>
      <w:r w:rsidRPr="00CB6405">
        <w:rPr>
          <w:rFonts w:ascii="Arial" w:hAnsi="Arial" w:cs="Arial"/>
          <w:b/>
          <w:sz w:val="26"/>
          <w:szCs w:val="26"/>
        </w:rPr>
        <w:t>/20</w:t>
      </w:r>
      <w:r>
        <w:rPr>
          <w:rFonts w:ascii="Arial" w:hAnsi="Arial" w:cs="Arial"/>
          <w:b/>
          <w:sz w:val="26"/>
          <w:szCs w:val="26"/>
        </w:rPr>
        <w:t>2</w:t>
      </w:r>
      <w:r w:rsidR="005839F9">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5839F9">
        <w:rPr>
          <w:rFonts w:ascii="Arial" w:hAnsi="Arial" w:cs="Arial"/>
          <w:b/>
          <w:sz w:val="26"/>
          <w:szCs w:val="26"/>
        </w:rPr>
        <w:t xml:space="preserve"> </w:t>
      </w:r>
      <w:r w:rsidR="00110A19">
        <w:rPr>
          <w:rFonts w:ascii="Arial" w:hAnsi="Arial" w:cs="Arial"/>
          <w:b/>
          <w:sz w:val="26"/>
          <w:szCs w:val="26"/>
        </w:rPr>
        <w:t>*******</w:t>
      </w:r>
      <w:r w:rsidR="005839F9">
        <w:rPr>
          <w:rFonts w:ascii="Arial" w:hAnsi="Arial" w:cs="Arial"/>
          <w:b/>
          <w:sz w:val="26"/>
          <w:szCs w:val="26"/>
        </w:rPr>
        <w:t xml:space="preserve">, </w:t>
      </w:r>
      <w:r w:rsidR="00CE2320">
        <w:rPr>
          <w:rFonts w:ascii="Arial" w:hAnsi="Arial" w:cs="Arial"/>
          <w:b/>
          <w:sz w:val="26"/>
          <w:szCs w:val="26"/>
        </w:rPr>
        <w:t xml:space="preserve">EN SU CARÁCTER DE </w:t>
      </w:r>
      <w:r w:rsidR="005839F9">
        <w:rPr>
          <w:rFonts w:ascii="Arial" w:hAnsi="Arial" w:cs="Arial"/>
          <w:b/>
          <w:sz w:val="26"/>
          <w:szCs w:val="26"/>
        </w:rPr>
        <w:t xml:space="preserve">APODERADO LEGAL DE </w:t>
      </w:r>
      <w:r w:rsidR="00110A19">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5839F9">
        <w:rPr>
          <w:rFonts w:ascii="Arial" w:hAnsi="Arial" w:cs="Arial"/>
          <w:sz w:val="26"/>
          <w:szCs w:val="26"/>
        </w:rPr>
        <w:t>dieciocho</w:t>
      </w:r>
      <w:r w:rsidR="000E2300">
        <w:rPr>
          <w:rFonts w:ascii="Arial" w:hAnsi="Arial" w:cs="Arial"/>
          <w:sz w:val="26"/>
          <w:szCs w:val="26"/>
        </w:rPr>
        <w:t xml:space="preserve"> de </w:t>
      </w:r>
      <w:r w:rsidR="005839F9">
        <w:rPr>
          <w:rFonts w:ascii="Arial" w:hAnsi="Arial" w:cs="Arial"/>
          <w:sz w:val="26"/>
          <w:szCs w:val="26"/>
        </w:rPr>
        <w:t>octu</w:t>
      </w:r>
      <w:r w:rsidR="00611EB0">
        <w:rPr>
          <w:rFonts w:ascii="Arial" w:hAnsi="Arial" w:cs="Arial"/>
          <w:sz w:val="26"/>
          <w:szCs w:val="26"/>
        </w:rPr>
        <w:t>bre</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2C1B14">
        <w:rPr>
          <w:rFonts w:ascii="Arial" w:hAnsi="Arial" w:cs="Arial"/>
          <w:b/>
          <w:sz w:val="26"/>
          <w:szCs w:val="26"/>
        </w:rPr>
        <w:t>0</w:t>
      </w:r>
      <w:r w:rsidR="005839F9">
        <w:rPr>
          <w:rFonts w:ascii="Arial" w:hAnsi="Arial" w:cs="Arial"/>
          <w:b/>
          <w:sz w:val="26"/>
          <w:szCs w:val="26"/>
        </w:rPr>
        <w:t>13</w:t>
      </w:r>
      <w:r w:rsidR="007007A1">
        <w:rPr>
          <w:rFonts w:ascii="Arial" w:hAnsi="Arial" w:cs="Arial"/>
          <w:b/>
          <w:sz w:val="26"/>
          <w:szCs w:val="26"/>
        </w:rPr>
        <w:t>/20</w:t>
      </w:r>
      <w:r w:rsidR="005839F9">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2C1B14">
        <w:rPr>
          <w:rFonts w:ascii="Arial" w:hAnsi="Arial" w:cs="Arial"/>
          <w:sz w:val="26"/>
          <w:szCs w:val="26"/>
        </w:rPr>
        <w:t>Sex</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110A19">
        <w:rPr>
          <w:rFonts w:ascii="Arial" w:hAnsi="Arial" w:cs="Arial"/>
          <w:b/>
          <w:sz w:val="26"/>
          <w:szCs w:val="26"/>
        </w:rPr>
        <w:t>*******</w:t>
      </w:r>
      <w:r w:rsidR="005839F9">
        <w:rPr>
          <w:rFonts w:ascii="Arial" w:hAnsi="Arial" w:cs="Arial"/>
          <w:b/>
          <w:sz w:val="26"/>
          <w:szCs w:val="26"/>
        </w:rPr>
        <w:t xml:space="preserve">, APODERADO LEGAL DE </w:t>
      </w:r>
      <w:r w:rsidR="00110A19">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86C11">
        <w:rPr>
          <w:rFonts w:ascii="Arial" w:hAnsi="Arial" w:cs="Arial"/>
          <w:sz w:val="26"/>
          <w:szCs w:val="26"/>
        </w:rPr>
        <w:t>l</w:t>
      </w:r>
      <w:r w:rsidR="005839F9">
        <w:rPr>
          <w:rFonts w:ascii="Arial" w:hAnsi="Arial" w:cs="Arial"/>
          <w:b/>
          <w:sz w:val="26"/>
          <w:szCs w:val="26"/>
        </w:rPr>
        <w:t xml:space="preserve"> JEFE DE LA UNIDAD JURÍDICA DEL INSTITUTO CATASTRAL DEL ESTADO DE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w:t>
      </w:r>
      <w:r w:rsidR="00445003">
        <w:rPr>
          <w:rFonts w:ascii="Arial" w:hAnsi="Arial" w:cs="Arial"/>
          <w:bCs/>
          <w:iCs/>
          <w:sz w:val="26"/>
          <w:szCs w:val="26"/>
        </w:rPr>
        <w:t xml:space="preserve"> se da tramite. Por consiguiente,</w:t>
      </w:r>
      <w:r w:rsidR="00676F27">
        <w:rPr>
          <w:rFonts w:ascii="Arial" w:hAnsi="Arial" w:cs="Arial"/>
          <w:bCs/>
          <w:iCs/>
          <w:sz w:val="26"/>
          <w:szCs w:val="26"/>
        </w:rPr>
        <w:t xml:space="preserv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445003">
        <w:rPr>
          <w:rFonts w:ascii="Arial" w:hAnsi="Arial" w:cs="Arial"/>
          <w:sz w:val="26"/>
          <w:szCs w:val="26"/>
        </w:rPr>
        <w:t xml:space="preserve"> - - - - - - - - - - </w:t>
      </w:r>
      <w:r w:rsidR="00110A19">
        <w:rPr>
          <w:rFonts w:ascii="Arial" w:hAnsi="Arial" w:cs="Arial"/>
          <w:sz w:val="26"/>
          <w:szCs w:val="26"/>
        </w:rPr>
        <w:t xml:space="preserve">-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86CD02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986C11">
        <w:rPr>
          <w:rFonts w:ascii="Arial" w:hAnsi="Arial" w:cs="Arial"/>
          <w:sz w:val="26"/>
          <w:szCs w:val="26"/>
        </w:rPr>
        <w:t>dieciocho</w:t>
      </w:r>
      <w:r w:rsidR="00D863E5">
        <w:rPr>
          <w:rFonts w:ascii="Arial" w:hAnsi="Arial" w:cs="Arial"/>
          <w:sz w:val="26"/>
          <w:szCs w:val="26"/>
        </w:rPr>
        <w:t xml:space="preserve"> de </w:t>
      </w:r>
      <w:r w:rsidR="00986C11">
        <w:rPr>
          <w:rFonts w:ascii="Arial" w:hAnsi="Arial" w:cs="Arial"/>
          <w:sz w:val="26"/>
          <w:szCs w:val="26"/>
        </w:rPr>
        <w:t>octu</w:t>
      </w:r>
      <w:r w:rsidR="00611EB0">
        <w:rPr>
          <w:rFonts w:ascii="Arial" w:hAnsi="Arial" w:cs="Arial"/>
          <w:sz w:val="26"/>
          <w:szCs w:val="26"/>
        </w:rPr>
        <w:t>bre</w:t>
      </w:r>
      <w:r w:rsidR="00D863E5">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2C1B14">
        <w:rPr>
          <w:rFonts w:ascii="Arial" w:hAnsi="Arial" w:cs="Arial"/>
          <w:sz w:val="26"/>
          <w:szCs w:val="26"/>
        </w:rPr>
        <w:t>Sex</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986C11">
        <w:rPr>
          <w:rFonts w:ascii="Arial" w:hAnsi="Arial" w:cs="Arial"/>
          <w:sz w:val="26"/>
          <w:szCs w:val="26"/>
        </w:rPr>
        <w:t xml:space="preserve"> </w:t>
      </w:r>
      <w:r w:rsidR="00110A19">
        <w:rPr>
          <w:rFonts w:ascii="Arial" w:hAnsi="Arial" w:cs="Arial"/>
          <w:b/>
          <w:sz w:val="26"/>
          <w:szCs w:val="26"/>
        </w:rPr>
        <w:t>*******</w:t>
      </w:r>
      <w:r w:rsidR="00986C11">
        <w:rPr>
          <w:rFonts w:ascii="Arial" w:hAnsi="Arial" w:cs="Arial"/>
          <w:b/>
          <w:sz w:val="26"/>
          <w:szCs w:val="26"/>
        </w:rPr>
        <w:t xml:space="preserve">, APODERADO LEGAL DE </w:t>
      </w:r>
      <w:r w:rsidR="00110A19">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445003">
        <w:rPr>
          <w:rFonts w:ascii="Arial" w:hAnsi="Arial" w:cs="Arial"/>
          <w:sz w:val="26"/>
          <w:szCs w:val="26"/>
        </w:rPr>
        <w:t xml:space="preserve"> - - - - - - - - - - - - - - - - - - - - -</w:t>
      </w:r>
      <w:r w:rsidR="00110A19">
        <w:rPr>
          <w:rFonts w:ascii="Arial" w:hAnsi="Arial" w:cs="Arial"/>
          <w:sz w:val="26"/>
          <w:szCs w:val="26"/>
        </w:rPr>
        <w:t xml:space="preserve"> - - - - - - - - - - - -</w:t>
      </w:r>
    </w:p>
    <w:p w14:paraId="4231C4CC" w14:textId="3BA8C4F9" w:rsidR="00F0794F" w:rsidRDefault="003B6CF0" w:rsidP="00445003">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1BE220CE" w14:textId="42754101" w:rsidR="009A5534" w:rsidRDefault="00F0794F" w:rsidP="00445003">
      <w:pPr>
        <w:spacing w:after="0"/>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2C1B14">
        <w:rPr>
          <w:rFonts w:ascii="Arial" w:eastAsia="Times New Roman" w:hAnsi="Arial" w:cs="Arial"/>
          <w:bCs/>
          <w:i/>
          <w:iCs/>
          <w:lang w:eastAsia="es-ES"/>
        </w:rPr>
        <w:t>Sex</w:t>
      </w:r>
      <w:r w:rsidR="00611EB0">
        <w:rPr>
          <w:rFonts w:ascii="Arial" w:eastAsia="Times New Roman" w:hAnsi="Arial" w:cs="Arial"/>
          <w:bCs/>
          <w:i/>
          <w:iCs/>
          <w:lang w:eastAsia="es-ES"/>
        </w:rPr>
        <w:t>ta Sala Unitaria</w:t>
      </w:r>
      <w:r w:rsidR="002C1B14">
        <w:rPr>
          <w:rFonts w:ascii="Arial" w:eastAsia="Times New Roman" w:hAnsi="Arial" w:cs="Arial"/>
          <w:bCs/>
          <w:i/>
          <w:iCs/>
          <w:lang w:eastAsia="es-ES"/>
        </w:rPr>
        <w:t xml:space="preserve"> 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 este Tribunal de Justicia Administrativa para el Estado de Oaxaca, fue competente para conocer y resolver del presente asunto</w:t>
      </w:r>
      <w:r w:rsidR="00E670C0">
        <w:rPr>
          <w:rFonts w:ascii="Arial" w:eastAsia="Times New Roman" w:hAnsi="Arial" w:cs="Arial"/>
          <w:bCs/>
          <w:i/>
          <w:iCs/>
          <w:lang w:eastAsia="es-ES"/>
        </w:rPr>
        <w:t xml:space="preserve">. </w:t>
      </w:r>
    </w:p>
    <w:p w14:paraId="1D16604F" w14:textId="65715AA6" w:rsidR="007A2A08" w:rsidRDefault="007A2A08" w:rsidP="00445003">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SEGUNDO. - </w:t>
      </w:r>
      <w:r>
        <w:rPr>
          <w:rFonts w:ascii="Arial" w:eastAsia="Times New Roman" w:hAnsi="Arial" w:cs="Arial"/>
          <w:bCs/>
          <w:i/>
          <w:iCs/>
          <w:lang w:eastAsia="es-ES"/>
        </w:rPr>
        <w:t>La personalidad de las p</w:t>
      </w:r>
      <w:r w:rsidR="00986C11">
        <w:rPr>
          <w:rFonts w:ascii="Arial" w:eastAsia="Times New Roman" w:hAnsi="Arial" w:cs="Arial"/>
          <w:bCs/>
          <w:i/>
          <w:iCs/>
          <w:lang w:eastAsia="es-ES"/>
        </w:rPr>
        <w:t>artes quedó acreditada en autos; no as</w:t>
      </w:r>
      <w:r w:rsidR="00574637">
        <w:rPr>
          <w:rFonts w:ascii="Arial" w:eastAsia="Times New Roman" w:hAnsi="Arial" w:cs="Arial"/>
          <w:bCs/>
          <w:i/>
          <w:iCs/>
          <w:lang w:eastAsia="es-ES"/>
        </w:rPr>
        <w:t>í la de la autoridad demandada, al habérsele tenido contestando la demanda en sentido afirmativo.</w:t>
      </w:r>
    </w:p>
    <w:p w14:paraId="30DCF996" w14:textId="1C027441" w:rsidR="007A2A08" w:rsidRDefault="007A2A08" w:rsidP="00445003">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4D0430">
        <w:rPr>
          <w:rFonts w:ascii="Arial" w:eastAsia="Times New Roman" w:hAnsi="Arial" w:cs="Arial"/>
          <w:bCs/>
          <w:i/>
          <w:iCs/>
          <w:lang w:eastAsia="es-ES"/>
        </w:rPr>
        <w:t xml:space="preserve">No se actualizaron causales de improcedencia y sobreseimiento en el presente asunto, por lo que </w:t>
      </w:r>
      <w:r w:rsidR="004D0430">
        <w:rPr>
          <w:rFonts w:ascii="Arial" w:eastAsia="Times New Roman" w:hAnsi="Arial" w:cs="Arial"/>
          <w:b/>
          <w:bCs/>
          <w:i/>
          <w:iCs/>
          <w:lang w:eastAsia="es-ES"/>
        </w:rPr>
        <w:t xml:space="preserve">no se sobresee </w:t>
      </w:r>
      <w:r w:rsidR="004D0430">
        <w:rPr>
          <w:rFonts w:ascii="Arial" w:eastAsia="Times New Roman" w:hAnsi="Arial" w:cs="Arial"/>
          <w:bCs/>
          <w:i/>
          <w:iCs/>
          <w:lang w:eastAsia="es-ES"/>
        </w:rPr>
        <w:t>el juicio.</w:t>
      </w:r>
      <w:r>
        <w:rPr>
          <w:rFonts w:ascii="Arial" w:eastAsia="Times New Roman" w:hAnsi="Arial" w:cs="Arial"/>
          <w:bCs/>
          <w:i/>
          <w:iCs/>
          <w:lang w:eastAsia="es-ES"/>
        </w:rPr>
        <w:t xml:space="preserve"> - </w:t>
      </w:r>
    </w:p>
    <w:p w14:paraId="4034A77D" w14:textId="61E63E60" w:rsidR="007A2A08" w:rsidRDefault="007A2A08" w:rsidP="00445003">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4D0430">
        <w:rPr>
          <w:rFonts w:ascii="Arial" w:eastAsia="Times New Roman" w:hAnsi="Arial" w:cs="Arial"/>
          <w:bCs/>
          <w:i/>
          <w:iCs/>
          <w:lang w:eastAsia="es-ES"/>
        </w:rPr>
        <w:t>Se declara la</w:t>
      </w:r>
      <w:r w:rsidR="00574637">
        <w:rPr>
          <w:rFonts w:ascii="Arial" w:eastAsia="Times New Roman" w:hAnsi="Arial" w:cs="Arial"/>
          <w:b/>
          <w:bCs/>
          <w:i/>
          <w:iCs/>
          <w:lang w:eastAsia="es-ES"/>
        </w:rPr>
        <w:t xml:space="preserve"> VALIDEZ </w:t>
      </w:r>
      <w:r w:rsidR="00574637">
        <w:rPr>
          <w:rFonts w:ascii="Arial" w:eastAsia="Times New Roman" w:hAnsi="Arial" w:cs="Arial"/>
          <w:bCs/>
          <w:i/>
          <w:iCs/>
          <w:lang w:eastAsia="es-ES"/>
        </w:rPr>
        <w:t xml:space="preserve">de la resolución contenida en el oficio </w:t>
      </w:r>
      <w:r w:rsidR="00110A19">
        <w:rPr>
          <w:rFonts w:ascii="Arial" w:eastAsia="Times New Roman" w:hAnsi="Arial" w:cs="Arial"/>
          <w:bCs/>
          <w:i/>
          <w:iCs/>
          <w:lang w:eastAsia="es-ES"/>
        </w:rPr>
        <w:t>*******</w:t>
      </w:r>
      <w:r w:rsidR="00574637">
        <w:rPr>
          <w:rFonts w:ascii="Arial" w:eastAsia="Times New Roman" w:hAnsi="Arial" w:cs="Arial"/>
          <w:bCs/>
          <w:i/>
          <w:iCs/>
          <w:lang w:eastAsia="es-ES"/>
        </w:rPr>
        <w:t xml:space="preserve"> de quince de mayo de dos mil diecinueve, emitida por el Jefe de la Unidad Jurídica del Instituto Catastral del Estado de Oaxaca, por las razones expuestas en el considerando que antecede</w:t>
      </w:r>
      <w:r w:rsidR="004D0430">
        <w:rPr>
          <w:rFonts w:ascii="Arial" w:eastAsia="Times New Roman" w:hAnsi="Arial" w:cs="Arial"/>
          <w:bCs/>
          <w:i/>
          <w:iCs/>
          <w:lang w:eastAsia="es-ES"/>
        </w:rPr>
        <w:t xml:space="preserve">. </w:t>
      </w:r>
    </w:p>
    <w:p w14:paraId="44BB227C" w14:textId="77C42FBA" w:rsidR="007A2A08" w:rsidRDefault="007A2A08" w:rsidP="00445003">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w:t>
      </w:r>
      <w:r w:rsidR="004D0430">
        <w:rPr>
          <w:rFonts w:ascii="Arial" w:eastAsia="Times New Roman" w:hAnsi="Arial" w:cs="Arial"/>
          <w:bCs/>
          <w:i/>
          <w:iCs/>
          <w:lang w:eastAsia="es-ES"/>
        </w:rPr>
        <w:t xml:space="preserve"> </w:t>
      </w:r>
      <w:r w:rsidR="004D0430">
        <w:rPr>
          <w:rFonts w:ascii="Arial" w:eastAsia="Times New Roman" w:hAnsi="Arial" w:cs="Arial"/>
          <w:b/>
          <w:bCs/>
          <w:i/>
          <w:iCs/>
          <w:lang w:eastAsia="es-ES"/>
        </w:rPr>
        <w:t xml:space="preserve">NOTIFÍQUESE </w:t>
      </w:r>
      <w:r w:rsidR="004D0430">
        <w:rPr>
          <w:rFonts w:ascii="Arial" w:eastAsia="Times New Roman" w:hAnsi="Arial" w:cs="Arial"/>
          <w:bCs/>
          <w:i/>
          <w:iCs/>
          <w:u w:val="single"/>
          <w:lang w:eastAsia="es-ES"/>
        </w:rPr>
        <w:t>personalmente</w:t>
      </w:r>
      <w:r w:rsidR="004D0430">
        <w:rPr>
          <w:rFonts w:ascii="Arial" w:eastAsia="Times New Roman" w:hAnsi="Arial" w:cs="Arial"/>
          <w:bCs/>
          <w:i/>
          <w:iCs/>
          <w:lang w:eastAsia="es-ES"/>
        </w:rPr>
        <w:t xml:space="preserve"> al actor y por </w:t>
      </w:r>
      <w:r w:rsidR="004D0430">
        <w:rPr>
          <w:rFonts w:ascii="Arial" w:eastAsia="Times New Roman" w:hAnsi="Arial" w:cs="Arial"/>
          <w:bCs/>
          <w:i/>
          <w:iCs/>
          <w:u w:val="single"/>
          <w:lang w:eastAsia="es-ES"/>
        </w:rPr>
        <w:t>oficio</w:t>
      </w:r>
      <w:r w:rsidR="004D0430">
        <w:rPr>
          <w:rFonts w:ascii="Arial" w:eastAsia="Times New Roman" w:hAnsi="Arial" w:cs="Arial"/>
          <w:bCs/>
          <w:i/>
          <w:iCs/>
          <w:lang w:eastAsia="es-ES"/>
        </w:rPr>
        <w:t xml:space="preserve"> a la autoridad demandada vía correo certificado, conform</w:t>
      </w:r>
      <w:r w:rsidR="00CD74A3">
        <w:rPr>
          <w:rFonts w:ascii="Arial" w:eastAsia="Times New Roman" w:hAnsi="Arial" w:cs="Arial"/>
          <w:bCs/>
          <w:i/>
          <w:iCs/>
          <w:lang w:eastAsia="es-ES"/>
        </w:rPr>
        <w:t>e lo dispuesto en los artículos 172 fracciones I</w:t>
      </w:r>
      <w:r w:rsidR="004D0430">
        <w:rPr>
          <w:rFonts w:ascii="Arial" w:eastAsia="Times New Roman" w:hAnsi="Arial" w:cs="Arial"/>
          <w:bCs/>
          <w:i/>
          <w:iCs/>
          <w:lang w:eastAsia="es-ES"/>
        </w:rPr>
        <w:t xml:space="preserve"> y 173 fracciones I y II, de la Ley de Procedimiento y Justicia Administrativa para el Estado de Oaxaca. </w:t>
      </w:r>
      <w:r w:rsidR="004D0430">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AF4A22">
        <w:rPr>
          <w:rFonts w:ascii="Arial" w:eastAsia="Times New Roman" w:hAnsi="Arial" w:cs="Arial"/>
          <w:bCs/>
          <w:i/>
          <w:iCs/>
          <w:lang w:eastAsia="es-ES"/>
        </w:rPr>
        <w:t xml:space="preserve">- - - - - - - - - - - - - - - - - - - - - - - - - - - - - - - - - - </w:t>
      </w:r>
    </w:p>
    <w:p w14:paraId="45FE1FD4" w14:textId="4E798DB4" w:rsidR="00676F27" w:rsidRPr="00605A9C" w:rsidRDefault="00676F27" w:rsidP="00445003">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w:t>
      </w:r>
      <w:r>
        <w:rPr>
          <w:rFonts w:ascii="Arial" w:eastAsia="Times New Roman" w:hAnsi="Arial" w:cs="Arial"/>
          <w:b/>
          <w:bCs/>
          <w:i/>
          <w:iCs/>
          <w:lang w:eastAsia="es-ES"/>
        </w:rPr>
        <w:t>Licenciada Adriana Arcega Ordoñez,</w:t>
      </w:r>
      <w:r>
        <w:rPr>
          <w:rFonts w:ascii="Arial" w:eastAsia="Times New Roman" w:hAnsi="Arial" w:cs="Arial"/>
          <w:bCs/>
          <w:i/>
          <w:iCs/>
          <w:lang w:eastAsia="es-ES"/>
        </w:rPr>
        <w:t xml:space="preserve"> Secretaria de Acuerdos de la Sexta Sala Unitaria de Primera Instancia del Tribunal de Justicia Administrativa del Estado de Oaxaca, habilitada como Encargad del Despacho de la Sala de su adscripción y facultada para tramitar 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el siete de noviembre de dos mil diecinueve; quien actúa con la </w:t>
      </w:r>
      <w:r>
        <w:rPr>
          <w:rFonts w:ascii="Arial" w:eastAsia="Times New Roman" w:hAnsi="Arial" w:cs="Arial"/>
          <w:b/>
          <w:bCs/>
          <w:i/>
          <w:iCs/>
          <w:lang w:eastAsia="es-ES"/>
        </w:rPr>
        <w:t xml:space="preserve">Licenciada Dulce Eloísa Huerta Contreras, </w:t>
      </w:r>
      <w:r>
        <w:rPr>
          <w:rFonts w:ascii="Arial" w:eastAsia="Times New Roman" w:hAnsi="Arial" w:cs="Arial"/>
          <w:bCs/>
          <w:i/>
          <w:iCs/>
          <w:lang w:eastAsia="es-ES"/>
        </w:rPr>
        <w:t xml:space="preserve">Actuaria adscrita a esta Sala, habilitada para que actúe conjuntamente con la Secretaria de Acuerdos, en el trámite y desahogo de las diligencias, conforme lo previsto por los artículos 139 fracción IV de la Ley de Procedimiento y Justicia Administrativa y 72 del Reglamento Interno del Tribunal, que autoriza y da fe . - - - - - - - - - - - - - - - - - - - - - - - - - - - - - - - - - - </w:t>
      </w:r>
      <w:r w:rsidR="00445003">
        <w:rPr>
          <w:rFonts w:ascii="Arial" w:eastAsia="Times New Roman" w:hAnsi="Arial" w:cs="Arial"/>
          <w:bCs/>
          <w:i/>
          <w:iCs/>
          <w:lang w:eastAsia="es-ES"/>
        </w:rPr>
        <w:t>- - - - - -</w:t>
      </w:r>
    </w:p>
    <w:p w14:paraId="0F7E4CB7" w14:textId="283E0E7B"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63A8387C"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B14DE2">
        <w:rPr>
          <w:rFonts w:ascii="Arial" w:hAnsi="Arial" w:cs="Arial"/>
          <w:bCs/>
          <w:iCs/>
          <w:sz w:val="26"/>
          <w:szCs w:val="26"/>
        </w:rPr>
        <w:t>3, 24 fracciones</w:t>
      </w:r>
      <w:r>
        <w:rPr>
          <w:rFonts w:ascii="Arial" w:hAnsi="Arial" w:cs="Arial"/>
          <w:bCs/>
          <w:iCs/>
          <w:sz w:val="26"/>
          <w:szCs w:val="26"/>
        </w:rPr>
        <w:t xml:space="preserve"> I</w:t>
      </w:r>
      <w:r w:rsidR="00B14DE2">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CD74A3">
        <w:rPr>
          <w:rFonts w:ascii="Arial" w:hAnsi="Arial" w:cs="Arial"/>
          <w:sz w:val="26"/>
          <w:szCs w:val="26"/>
        </w:rPr>
        <w:t>dieciocho</w:t>
      </w:r>
      <w:r w:rsidR="0006276F">
        <w:rPr>
          <w:rFonts w:ascii="Arial" w:hAnsi="Arial" w:cs="Arial"/>
          <w:sz w:val="26"/>
          <w:szCs w:val="26"/>
        </w:rPr>
        <w:t xml:space="preserve"> de </w:t>
      </w:r>
      <w:r w:rsidR="00CD74A3">
        <w:rPr>
          <w:rFonts w:ascii="Arial" w:hAnsi="Arial" w:cs="Arial"/>
          <w:sz w:val="26"/>
          <w:szCs w:val="26"/>
        </w:rPr>
        <w:t>octu</w:t>
      </w:r>
      <w:r w:rsidR="00A722A3">
        <w:rPr>
          <w:rFonts w:ascii="Arial" w:hAnsi="Arial" w:cs="Arial"/>
          <w:sz w:val="26"/>
          <w:szCs w:val="26"/>
        </w:rPr>
        <w:t>bre</w:t>
      </w:r>
      <w:r w:rsidR="0006276F">
        <w:rPr>
          <w:rFonts w:ascii="Arial" w:hAnsi="Arial" w:cs="Arial"/>
          <w:sz w:val="26"/>
          <w:szCs w:val="26"/>
        </w:rPr>
        <w:t xml:space="preserve">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676F27">
        <w:rPr>
          <w:rFonts w:ascii="Arial" w:hAnsi="Arial" w:cs="Arial"/>
          <w:bCs/>
          <w:iCs/>
          <w:sz w:val="26"/>
          <w:szCs w:val="26"/>
        </w:rPr>
        <w:t>Sext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CD74A3">
        <w:rPr>
          <w:rFonts w:ascii="Arial" w:hAnsi="Arial" w:cs="Arial"/>
          <w:b/>
          <w:bCs/>
          <w:iCs/>
          <w:sz w:val="26"/>
          <w:szCs w:val="26"/>
        </w:rPr>
        <w:t>013</w:t>
      </w:r>
      <w:r w:rsidR="0060416A">
        <w:rPr>
          <w:rFonts w:ascii="Arial" w:hAnsi="Arial" w:cs="Arial"/>
          <w:b/>
          <w:bCs/>
          <w:iCs/>
          <w:sz w:val="26"/>
          <w:szCs w:val="26"/>
        </w:rPr>
        <w:t>/20</w:t>
      </w:r>
      <w:r w:rsidR="00676F27">
        <w:rPr>
          <w:rFonts w:ascii="Arial" w:hAnsi="Arial" w:cs="Arial"/>
          <w:b/>
          <w:bCs/>
          <w:iCs/>
          <w:sz w:val="26"/>
          <w:szCs w:val="26"/>
        </w:rPr>
        <w:t>2</w:t>
      </w:r>
      <w:r w:rsidR="00CD74A3">
        <w:rPr>
          <w:rFonts w:ascii="Arial" w:hAnsi="Arial" w:cs="Arial"/>
          <w:b/>
          <w:bCs/>
          <w:iCs/>
          <w:sz w:val="26"/>
          <w:szCs w:val="26"/>
        </w:rPr>
        <w:t>0</w:t>
      </w:r>
      <w:r w:rsidRPr="00AE78C3">
        <w:rPr>
          <w:rFonts w:ascii="Arial" w:hAnsi="Arial" w:cs="Arial"/>
          <w:b/>
          <w:bCs/>
          <w:iCs/>
          <w:sz w:val="26"/>
          <w:szCs w:val="26"/>
        </w:rPr>
        <w:t>.</w:t>
      </w:r>
      <w:r w:rsidR="00445003">
        <w:rPr>
          <w:rFonts w:ascii="Arial" w:hAnsi="Arial" w:cs="Arial"/>
          <w:b/>
          <w:bCs/>
          <w:iCs/>
          <w:sz w:val="26"/>
          <w:szCs w:val="26"/>
        </w:rPr>
        <w:t xml:space="preserve"> </w:t>
      </w:r>
      <w:r w:rsidR="00445003" w:rsidRPr="00445003">
        <w:rPr>
          <w:rFonts w:ascii="Arial" w:hAnsi="Arial" w:cs="Arial"/>
          <w:iCs/>
          <w:sz w:val="26"/>
          <w:szCs w:val="26"/>
        </w:rPr>
        <w:t>- - - - - - - - - - - - - - - - - - - - -</w:t>
      </w:r>
      <w:r w:rsidR="00445003">
        <w:rPr>
          <w:rFonts w:ascii="Arial" w:hAnsi="Arial" w:cs="Arial"/>
          <w:b/>
          <w:bCs/>
          <w:iCs/>
          <w:sz w:val="26"/>
          <w:szCs w:val="26"/>
        </w:rPr>
        <w:t xml:space="preserve">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w:t>
      </w:r>
      <w:r w:rsidRPr="00011CEC">
        <w:rPr>
          <w:rFonts w:ascii="Arial" w:eastAsia="Times New Roman" w:hAnsi="Arial" w:cs="Arial"/>
          <w:sz w:val="26"/>
          <w:szCs w:val="26"/>
        </w:rPr>
        <w:lastRenderedPageBreak/>
        <w:t xml:space="preserve">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445003">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247DABE" w14:textId="143C2183" w:rsidR="00E670C0" w:rsidRDefault="003B6CF0" w:rsidP="00F627EB">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F627EB">
        <w:rPr>
          <w:rFonts w:ascii="Arial" w:eastAsia="Calibri" w:hAnsi="Arial" w:cs="Arial"/>
          <w:bCs/>
          <w:sz w:val="26"/>
          <w:szCs w:val="26"/>
        </w:rPr>
        <w:t xml:space="preserve">En su </w:t>
      </w:r>
      <w:r w:rsidR="00F627EB" w:rsidRPr="00B54ECF">
        <w:rPr>
          <w:rFonts w:ascii="Arial" w:eastAsia="Calibri" w:hAnsi="Arial" w:cs="Arial"/>
          <w:b/>
          <w:bCs/>
          <w:sz w:val="26"/>
          <w:szCs w:val="26"/>
        </w:rPr>
        <w:t>primer</w:t>
      </w:r>
      <w:r w:rsidR="00F627EB">
        <w:rPr>
          <w:rFonts w:ascii="Arial" w:eastAsia="Calibri" w:hAnsi="Arial" w:cs="Arial"/>
          <w:bCs/>
          <w:sz w:val="26"/>
          <w:szCs w:val="26"/>
        </w:rPr>
        <w:t xml:space="preserve"> agravio señala el recurrente, le causa perjuicio la sentencia combatida en la que la Primera Instancia resolvió las cuestiones planteadas en la demanda, pero lo más grave de todo ese proceder es que no analizaron correctamente los motivos de inconformidad planteados por la parte actora, ni tampoco analizaron adecuadamente el acto combatido, la Sala Unitaria afirmó que el actor hizo valer que el artículo 40 del Reglamento de la Ley de Catastro del Estado de Oaxaca, es aplicable para resolver un trámite de corrección de medidas.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 - - -</w:t>
      </w:r>
    </w:p>
    <w:p w14:paraId="57A0B5BE" w14:textId="3549D9C9" w:rsidR="00D713FF" w:rsidRPr="00445003" w:rsidRDefault="00F627EB" w:rsidP="00D713FF">
      <w:pPr>
        <w:widowControl w:val="0"/>
        <w:spacing w:before="240" w:after="0" w:line="360" w:lineRule="auto"/>
        <w:ind w:left="-142" w:right="18"/>
        <w:jc w:val="both"/>
        <w:rPr>
          <w:rFonts w:ascii="Arial" w:eastAsia="Calibri" w:hAnsi="Arial" w:cs="Arial"/>
          <w:bCs/>
          <w:i/>
          <w:iCs/>
          <w:sz w:val="26"/>
          <w:szCs w:val="26"/>
        </w:rPr>
      </w:pPr>
      <w:r>
        <w:rPr>
          <w:rFonts w:ascii="Arial" w:eastAsia="Calibri" w:hAnsi="Arial" w:cs="Arial"/>
          <w:b/>
          <w:bCs/>
          <w:sz w:val="26"/>
          <w:szCs w:val="26"/>
        </w:rPr>
        <w:tab/>
      </w:r>
      <w:r w:rsidR="008E08D2">
        <w:rPr>
          <w:rFonts w:ascii="Arial" w:eastAsia="Calibri" w:hAnsi="Arial" w:cs="Arial"/>
          <w:bCs/>
          <w:sz w:val="26"/>
          <w:szCs w:val="26"/>
        </w:rPr>
        <w:tab/>
        <w:t xml:space="preserve">En contraposición a dicha pretensión se dijo por la Primera Instancia que en el acto impugnado el referido </w:t>
      </w:r>
      <w:r w:rsidR="008E08D2" w:rsidRPr="00445003">
        <w:rPr>
          <w:rFonts w:ascii="Arial" w:eastAsia="Calibri" w:hAnsi="Arial" w:cs="Arial"/>
          <w:bCs/>
          <w:i/>
          <w:iCs/>
          <w:sz w:val="26"/>
          <w:szCs w:val="26"/>
        </w:rPr>
        <w:t xml:space="preserve">artículo </w:t>
      </w:r>
      <w:r w:rsidR="00D713FF" w:rsidRPr="00445003">
        <w:rPr>
          <w:rFonts w:ascii="Arial" w:eastAsia="Calibri" w:hAnsi="Arial" w:cs="Arial"/>
          <w:bCs/>
          <w:i/>
          <w:iCs/>
          <w:sz w:val="26"/>
          <w:szCs w:val="26"/>
        </w:rPr>
        <w:t>“…</w:t>
      </w:r>
      <w:r w:rsidR="008E08D2" w:rsidRPr="00445003">
        <w:rPr>
          <w:rFonts w:ascii="Arial" w:eastAsia="Calibri" w:hAnsi="Arial" w:cs="Arial"/>
          <w:bCs/>
          <w:i/>
          <w:iCs/>
          <w:sz w:val="26"/>
          <w:szCs w:val="26"/>
        </w:rPr>
        <w:t xml:space="preserve">no fue citado como fundamento para determinar la improcedencia del trámite catastral de corrección de medidas, lo dispuesto por el artículo 40 del Reglamento de la Ley de Catastro del Estado de Oaxaca, por lo que la autoridad demandada señaló esencialmente que del contrato de compraventa y la diligencia de apeo y deslinde se evidenció </w:t>
      </w:r>
      <w:r w:rsidR="00D713FF" w:rsidRPr="00445003">
        <w:rPr>
          <w:rFonts w:ascii="Arial" w:eastAsia="Calibri" w:hAnsi="Arial" w:cs="Arial"/>
          <w:bCs/>
          <w:i/>
          <w:iCs/>
          <w:sz w:val="26"/>
          <w:szCs w:val="26"/>
        </w:rPr>
        <w:t xml:space="preserve">y acrecentamiento (sic) del </w:t>
      </w:r>
      <w:r w:rsidR="00D713FF" w:rsidRPr="00445003">
        <w:rPr>
          <w:rFonts w:ascii="Arial" w:eastAsia="Calibri" w:hAnsi="Arial" w:cs="Arial"/>
          <w:bCs/>
          <w:i/>
          <w:iCs/>
          <w:sz w:val="26"/>
          <w:szCs w:val="26"/>
        </w:rPr>
        <w:lastRenderedPageBreak/>
        <w:t>bien inmueble en cuanto a sus medidas y que de este no acreditó el solicitante su propiedad.”</w:t>
      </w:r>
      <w:r w:rsidR="00445003">
        <w:rPr>
          <w:rFonts w:ascii="Arial" w:eastAsia="Calibri" w:hAnsi="Arial" w:cs="Arial"/>
          <w:bCs/>
          <w:i/>
          <w:i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xml:space="preserve">- - - - - - - - - - - - - - </w:t>
      </w:r>
    </w:p>
    <w:p w14:paraId="16A73DA5" w14:textId="21E39271" w:rsidR="00D713FF" w:rsidRDefault="00D713FF" w:rsidP="00D713FF">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t>Refiere que lo anterior es ilegal por absurda e incongruente,</w:t>
      </w:r>
      <w:r w:rsidR="00B54ECF">
        <w:rPr>
          <w:rFonts w:ascii="Arial" w:eastAsia="Calibri" w:hAnsi="Arial" w:cs="Arial"/>
          <w:bCs/>
          <w:sz w:val="26"/>
          <w:szCs w:val="26"/>
        </w:rPr>
        <w:t xml:space="preserve"> y</w:t>
      </w:r>
      <w:r>
        <w:rPr>
          <w:rFonts w:ascii="Arial" w:eastAsia="Calibri" w:hAnsi="Arial" w:cs="Arial"/>
          <w:bCs/>
          <w:sz w:val="26"/>
          <w:szCs w:val="26"/>
        </w:rPr>
        <w:t xml:space="preserve"> hace una transcripción de la resolución para mayor comprensión. </w:t>
      </w:r>
      <w:r w:rsidR="00445003">
        <w:rPr>
          <w:rFonts w:ascii="Arial" w:eastAsia="Calibri" w:hAnsi="Arial" w:cs="Arial"/>
          <w:bCs/>
          <w:sz w:val="26"/>
          <w:szCs w:val="26"/>
        </w:rPr>
        <w:t xml:space="preserve">- - - - - </w:t>
      </w:r>
    </w:p>
    <w:p w14:paraId="7CE657A1" w14:textId="5D45B57C" w:rsidR="00D713FF" w:rsidRDefault="00D713FF" w:rsidP="00D713FF">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Pr>
          <w:rFonts w:ascii="Arial" w:eastAsia="Calibri" w:hAnsi="Arial" w:cs="Arial"/>
          <w:bCs/>
          <w:sz w:val="26"/>
          <w:szCs w:val="26"/>
        </w:rPr>
        <w:tab/>
        <w:t>Alega que la Sala Unitaria ni siquiera leyó el acto combatido, pues contrario a su apreciación dicho acto si se sustenta medularmente en el artículo 40 del Reglamento de la Ley de Catastro para el Estado de Oaxaca, se fundamenta en tal disposición, se basa en su aplicación y en sus alcances jurídicos, por eso es incongruente la afirmación de la Primera Instancia.</w:t>
      </w:r>
      <w:r w:rsidR="00445003">
        <w:rPr>
          <w:rFonts w:ascii="Arial" w:eastAsia="Calibri" w:hAnsi="Arial" w:cs="Arial"/>
          <w:b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 - - - - - - - - - - - - - - - - -</w:t>
      </w:r>
    </w:p>
    <w:p w14:paraId="3BB84059" w14:textId="309F76A1" w:rsidR="0077744F" w:rsidRDefault="00D713FF" w:rsidP="0077744F">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77744F">
        <w:rPr>
          <w:rFonts w:ascii="Arial" w:eastAsia="Calibri" w:hAnsi="Arial" w:cs="Arial"/>
          <w:bCs/>
          <w:sz w:val="26"/>
          <w:szCs w:val="26"/>
        </w:rPr>
        <w:t xml:space="preserve">En su </w:t>
      </w:r>
      <w:r w:rsidR="0077744F" w:rsidRPr="00B54ECF">
        <w:rPr>
          <w:rFonts w:ascii="Arial" w:eastAsia="Calibri" w:hAnsi="Arial" w:cs="Arial"/>
          <w:b/>
          <w:bCs/>
          <w:sz w:val="26"/>
          <w:szCs w:val="26"/>
        </w:rPr>
        <w:t>segundo</w:t>
      </w:r>
      <w:r w:rsidR="0077744F">
        <w:rPr>
          <w:rFonts w:ascii="Arial" w:eastAsia="Calibri" w:hAnsi="Arial" w:cs="Arial"/>
          <w:bCs/>
          <w:sz w:val="26"/>
          <w:szCs w:val="26"/>
        </w:rPr>
        <w:t xml:space="preserve"> agravio manifiesta que </w:t>
      </w:r>
      <w:r w:rsidR="009B28A8">
        <w:rPr>
          <w:rFonts w:ascii="Arial" w:eastAsia="Calibri" w:hAnsi="Arial" w:cs="Arial"/>
          <w:bCs/>
          <w:sz w:val="26"/>
          <w:szCs w:val="26"/>
        </w:rPr>
        <w:t xml:space="preserve">aunque la </w:t>
      </w:r>
      <w:r w:rsidR="0077744F">
        <w:rPr>
          <w:rFonts w:ascii="Arial" w:eastAsia="Calibri" w:hAnsi="Arial" w:cs="Arial"/>
          <w:bCs/>
          <w:sz w:val="26"/>
          <w:szCs w:val="26"/>
        </w:rPr>
        <w:t>Sala responsable haya aseverado que la demandada no calificó, ni invalidó la diligencia de a</w:t>
      </w:r>
      <w:r w:rsidR="009B28A8">
        <w:rPr>
          <w:rFonts w:ascii="Arial" w:eastAsia="Calibri" w:hAnsi="Arial" w:cs="Arial"/>
          <w:bCs/>
          <w:sz w:val="26"/>
          <w:szCs w:val="26"/>
        </w:rPr>
        <w:t xml:space="preserve">peo y deslinde que se exhibió, </w:t>
      </w:r>
      <w:r w:rsidR="0077744F">
        <w:rPr>
          <w:rFonts w:ascii="Arial" w:eastAsia="Calibri" w:hAnsi="Arial" w:cs="Arial"/>
          <w:bCs/>
          <w:sz w:val="26"/>
          <w:szCs w:val="26"/>
        </w:rPr>
        <w:t>lo cierto es que la demandada al sustentar su fallo en el referido artículo 40 del Reglamento de la Ley de Catastro del Estado de Oaxaca, se pronunció necesariamente sobre la diligencia de apeo y deslinde, al hacerlo y señalar que supuestamente contenía una superficie excedente, con ello, calificó legalmente los alcances jurídicos de esa diligencia tan es así que dijo que esa prueba no era suficiente para reunir uno de los requisitos del trámite de corrección de medidas que se hizo valer, por lo tanto la demandada si estudió, calificó y dijo que el apeo y deslinde no era suficiente para tramitar la corrección de medidas.</w:t>
      </w:r>
      <w:r w:rsidR="00445003">
        <w:rPr>
          <w:rFonts w:ascii="Arial" w:eastAsia="Calibri" w:hAnsi="Arial" w:cs="Arial"/>
          <w:bCs/>
          <w:sz w:val="26"/>
          <w:szCs w:val="26"/>
        </w:rPr>
        <w:t xml:space="preserve"> </w:t>
      </w:r>
      <w:r w:rsidR="00445003" w:rsidRPr="00445003">
        <w:rPr>
          <w:rFonts w:ascii="Arial" w:hAnsi="Arial" w:cs="Arial"/>
          <w:iCs/>
          <w:sz w:val="26"/>
          <w:szCs w:val="26"/>
        </w:rPr>
        <w:t xml:space="preserve">- - - - - - - - - - - - - - - - - </w:t>
      </w:r>
    </w:p>
    <w:p w14:paraId="408CBAF5" w14:textId="08DD65FD" w:rsidR="00D713FF" w:rsidRDefault="0077744F" w:rsidP="0077744F">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t xml:space="preserve">En su </w:t>
      </w:r>
      <w:r w:rsidRPr="009C25EC">
        <w:rPr>
          <w:rFonts w:ascii="Arial" w:eastAsia="Calibri" w:hAnsi="Arial" w:cs="Arial"/>
          <w:b/>
          <w:bCs/>
          <w:sz w:val="26"/>
          <w:szCs w:val="26"/>
        </w:rPr>
        <w:t xml:space="preserve">tercer </w:t>
      </w:r>
      <w:r>
        <w:rPr>
          <w:rFonts w:ascii="Arial" w:eastAsia="Calibri" w:hAnsi="Arial" w:cs="Arial"/>
          <w:bCs/>
          <w:sz w:val="26"/>
          <w:szCs w:val="26"/>
        </w:rPr>
        <w:t xml:space="preserve">agravio refiere que </w:t>
      </w:r>
      <w:r w:rsidR="0022341B">
        <w:rPr>
          <w:rFonts w:ascii="Arial" w:eastAsia="Calibri" w:hAnsi="Arial" w:cs="Arial"/>
          <w:bCs/>
          <w:sz w:val="26"/>
          <w:szCs w:val="26"/>
        </w:rPr>
        <w:t xml:space="preserve">le causa perjuicio que la Primera Instancia afirmó que no fue parte de la resolución combatida, el dilucidar si la autoridad catastral tiene o no facultades para conocer y resolver si una persona es o no propietaria o poseedora de un terreno o de un inmueble cuyo trámite de corrección de medidas se está solicitando, porque supuestamente lo que la demandada estableció fue la improcedencia del trámite catastral derivado del incumplimiento de requisitos previstos en el artículo 49 del Reglamento de la Ley de Catastro.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 - - -</w:t>
      </w:r>
    </w:p>
    <w:p w14:paraId="76568794" w14:textId="08CC1721" w:rsidR="0022341B" w:rsidRDefault="0022341B" w:rsidP="0077744F">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t>Sin embargo, alega que la Sala Unitaria es incongruente en su razonamiento toda vez que solamente es un párrafo anterior de la misma resolución, había sostenido lo siguiente: (lo transcribe) …</w:t>
      </w:r>
      <w:r w:rsidR="00445003">
        <w:rPr>
          <w:rFonts w:ascii="Arial" w:eastAsia="Calibri" w:hAnsi="Arial" w:cs="Arial"/>
          <w:bCs/>
          <w:sz w:val="26"/>
          <w:szCs w:val="26"/>
        </w:rPr>
        <w:t xml:space="preserve"> - - - - - - - - - - - </w:t>
      </w:r>
    </w:p>
    <w:p w14:paraId="38B90489" w14:textId="612896DF" w:rsidR="0022341B" w:rsidRDefault="0022341B" w:rsidP="0077744F">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lastRenderedPageBreak/>
        <w:tab/>
        <w:t xml:space="preserve">De la transcripción señala que la Primera Instancia primero refirió que la demandada había sostenido esencialmente el argumento que el particular no había acreditado su derecho de propiedad sobre la superficie de un terreno y a </w:t>
      </w:r>
      <w:r w:rsidR="00A166B5">
        <w:rPr>
          <w:rFonts w:ascii="Arial" w:eastAsia="Calibri" w:hAnsi="Arial" w:cs="Arial"/>
          <w:bCs/>
          <w:sz w:val="26"/>
          <w:szCs w:val="26"/>
        </w:rPr>
        <w:t xml:space="preserve">reglón seguido, (cuando se cuestionó la competencia de la demandada para adoptar tal decisión), resulta que la Sala Unitaria argumentó que ese tema supuestamente no había sido materia del acto combatido, que la demandada no había resuelto nada al respecto y que el derecho de la propiedad no fue parte de la resolución analizada. </w:t>
      </w:r>
      <w:r w:rsidR="00445003">
        <w:rPr>
          <w:rFonts w:ascii="Arial" w:eastAsia="Calibri" w:hAnsi="Arial" w:cs="Arial"/>
          <w:bCs/>
          <w:sz w:val="26"/>
          <w:szCs w:val="26"/>
        </w:rPr>
        <w:t xml:space="preserve">- - - - </w:t>
      </w:r>
    </w:p>
    <w:p w14:paraId="4E349791" w14:textId="42546763" w:rsidR="00A166B5" w:rsidRDefault="00A166B5" w:rsidP="0077744F">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t xml:space="preserve">En su </w:t>
      </w:r>
      <w:r w:rsidRPr="009C25EC">
        <w:rPr>
          <w:rFonts w:ascii="Arial" w:eastAsia="Calibri" w:hAnsi="Arial" w:cs="Arial"/>
          <w:b/>
          <w:bCs/>
          <w:sz w:val="26"/>
          <w:szCs w:val="26"/>
        </w:rPr>
        <w:t>cuarto agravio</w:t>
      </w:r>
      <w:r>
        <w:rPr>
          <w:rFonts w:ascii="Arial" w:eastAsia="Calibri" w:hAnsi="Arial" w:cs="Arial"/>
          <w:bCs/>
          <w:sz w:val="26"/>
          <w:szCs w:val="26"/>
        </w:rPr>
        <w:t xml:space="preserve"> refiere le causa perjuicio, que la Primera Instancia afirme que el artículo 51 de la Ley de Catastro del Estado de Oaxaca</w:t>
      </w:r>
      <w:r w:rsidR="00625B55">
        <w:rPr>
          <w:rFonts w:ascii="Arial" w:eastAsia="Calibri" w:hAnsi="Arial" w:cs="Arial"/>
          <w:bCs/>
          <w:sz w:val="26"/>
          <w:szCs w:val="26"/>
        </w:rPr>
        <w:t>, no le dé al contribuyente el derecho potestativo a considerarse propietario o poseedor de un inmueble, dicha Ley está dirigida a normar el valor de los bienes inmuebles que existen en el Estado de Oaxaca.</w:t>
      </w:r>
      <w:r w:rsidR="00445003">
        <w:rPr>
          <w:rFonts w:ascii="Arial" w:eastAsia="Calibri" w:hAnsi="Arial" w:cs="Arial"/>
          <w:bCs/>
          <w:sz w:val="26"/>
          <w:szCs w:val="26"/>
        </w:rPr>
        <w:t xml:space="preserve"> - -</w:t>
      </w:r>
    </w:p>
    <w:p w14:paraId="48A1401F" w14:textId="0069DBE0" w:rsidR="00C30CA1" w:rsidRDefault="00625B55" w:rsidP="00625B55">
      <w:pPr>
        <w:widowControl w:val="0"/>
        <w:tabs>
          <w:tab w:val="left" w:pos="708"/>
          <w:tab w:val="left" w:pos="3060"/>
        </w:tabs>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t xml:space="preserve">Argumenta </w:t>
      </w:r>
      <w:r w:rsidR="00C30CA1">
        <w:rPr>
          <w:rFonts w:ascii="Arial" w:eastAsia="Calibri" w:hAnsi="Arial" w:cs="Arial"/>
          <w:bCs/>
          <w:sz w:val="26"/>
          <w:szCs w:val="26"/>
        </w:rPr>
        <w:t>que,</w:t>
      </w:r>
      <w:r>
        <w:rPr>
          <w:rFonts w:ascii="Arial" w:eastAsia="Calibri" w:hAnsi="Arial" w:cs="Arial"/>
          <w:bCs/>
          <w:sz w:val="26"/>
          <w:szCs w:val="26"/>
        </w:rPr>
        <w:t xml:space="preserve"> en el capítulo noveno de la Ley de la materia, se titula DE LOS DERECHOS Y O</w:t>
      </w:r>
      <w:r w:rsidR="00C30CA1">
        <w:rPr>
          <w:rFonts w:ascii="Arial" w:eastAsia="Calibri" w:hAnsi="Arial" w:cs="Arial"/>
          <w:bCs/>
          <w:sz w:val="26"/>
          <w:szCs w:val="26"/>
        </w:rPr>
        <w:t>BLIGACIONES DE LOS PARTICULARES, en el artículo de dicho capítulo es el numeral 51 que establece que: “</w:t>
      </w:r>
      <w:r w:rsidR="00C30CA1" w:rsidRPr="00445003">
        <w:rPr>
          <w:rFonts w:ascii="Arial" w:eastAsia="Calibri" w:hAnsi="Arial" w:cs="Arial"/>
          <w:bCs/>
          <w:i/>
          <w:iCs/>
          <w:sz w:val="26"/>
          <w:szCs w:val="26"/>
        </w:rPr>
        <w:t>todo propietario y poseedor de bienes inmuebles tiene derecho…”</w:t>
      </w:r>
      <w:r w:rsidR="00D1406F">
        <w:rPr>
          <w:rFonts w:ascii="Arial" w:eastAsia="Calibri" w:hAnsi="Arial" w:cs="Arial"/>
          <w:bCs/>
          <w:sz w:val="26"/>
          <w:szCs w:val="26"/>
        </w:rPr>
        <w:t xml:space="preserve">. </w:t>
      </w:r>
      <w:r w:rsidR="00C30CA1">
        <w:rPr>
          <w:rFonts w:ascii="Arial" w:eastAsia="Calibri" w:hAnsi="Arial" w:cs="Arial"/>
          <w:bCs/>
          <w:sz w:val="26"/>
          <w:szCs w:val="26"/>
        </w:rPr>
        <w:t xml:space="preserve">Ahora bien, manifiesta que si el artículo en comento no está dirigido a propietarios y poseedores, entonces su texto no tiene sentido y que la Sala Unitaria diga a quien si está dirigido. </w:t>
      </w:r>
      <w:r w:rsidR="00445003" w:rsidRPr="00445003">
        <w:rPr>
          <w:rFonts w:ascii="Arial" w:hAnsi="Arial" w:cs="Arial"/>
          <w:iCs/>
          <w:sz w:val="26"/>
          <w:szCs w:val="26"/>
        </w:rPr>
        <w:t xml:space="preserve">- - - - - - - - - - - - - - - - - - </w:t>
      </w:r>
    </w:p>
    <w:p w14:paraId="06EE97C3" w14:textId="266F9DB8" w:rsidR="000C4EBE" w:rsidRDefault="000C4EBE" w:rsidP="000C4EBE">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advierte que son </w:t>
      </w:r>
      <w:r w:rsidRPr="000C4EBE">
        <w:rPr>
          <w:rFonts w:ascii="Arial" w:eastAsia="Calibri" w:hAnsi="Arial" w:cs="Arial"/>
          <w:b/>
          <w:bCs/>
          <w:sz w:val="26"/>
          <w:szCs w:val="26"/>
        </w:rPr>
        <w:t xml:space="preserve">sustancialmente </w:t>
      </w:r>
      <w:r w:rsidRPr="00E7429A">
        <w:rPr>
          <w:rFonts w:ascii="Arial" w:eastAsia="Calibri" w:hAnsi="Arial" w:cs="Arial"/>
          <w:b/>
          <w:bCs/>
          <w:sz w:val="26"/>
          <w:szCs w:val="26"/>
        </w:rPr>
        <w:t>fundados</w:t>
      </w:r>
      <w:r>
        <w:rPr>
          <w:rFonts w:ascii="Arial" w:eastAsia="Calibri" w:hAnsi="Arial" w:cs="Arial"/>
          <w:bCs/>
          <w:sz w:val="26"/>
          <w:szCs w:val="26"/>
        </w:rPr>
        <w:t xml:space="preserve"> los agravios de la recurrente.</w:t>
      </w:r>
      <w:r w:rsidR="00445003">
        <w:rPr>
          <w:rFonts w:ascii="Arial" w:eastAsia="Calibri" w:hAnsi="Arial" w:cs="Arial"/>
          <w:b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 - - - - - - - - - </w:t>
      </w:r>
    </w:p>
    <w:p w14:paraId="0DE7FEC7" w14:textId="77777777" w:rsidR="002A27D4" w:rsidRDefault="002A27D4" w:rsidP="002A27D4">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principio, es necesario señalar que los artículos 207, 208 y 209 de la </w:t>
      </w:r>
      <w:r w:rsidRPr="00F062FC">
        <w:rPr>
          <w:rFonts w:ascii="Arial" w:eastAsia="Calibri" w:hAnsi="Arial" w:cs="Arial"/>
          <w:bCs/>
          <w:sz w:val="26"/>
          <w:szCs w:val="26"/>
        </w:rPr>
        <w:t>Ley de Procedimiento y Justicia Administ</w:t>
      </w:r>
      <w:r>
        <w:rPr>
          <w:rFonts w:ascii="Arial" w:eastAsia="Calibri" w:hAnsi="Arial" w:cs="Arial"/>
          <w:bCs/>
          <w:sz w:val="26"/>
          <w:szCs w:val="26"/>
        </w:rPr>
        <w:t>rativa para el Estado de Oaxaca establecen que:</w:t>
      </w:r>
    </w:p>
    <w:p w14:paraId="1825D729" w14:textId="77777777" w:rsidR="002A27D4" w:rsidRPr="002237BD" w:rsidRDefault="002A27D4" w:rsidP="00445003">
      <w:pPr>
        <w:widowControl w:val="0"/>
        <w:spacing w:before="240" w:after="0"/>
        <w:ind w:left="567" w:right="616"/>
        <w:jc w:val="both"/>
        <w:rPr>
          <w:rFonts w:ascii="Arial" w:eastAsia="Calibri" w:hAnsi="Arial" w:cs="Arial"/>
          <w:bCs/>
          <w:i/>
        </w:rPr>
      </w:pPr>
      <w:r w:rsidRPr="00533188">
        <w:rPr>
          <w:rFonts w:ascii="Arial" w:eastAsia="Calibri" w:hAnsi="Arial" w:cs="Arial"/>
          <w:b/>
          <w:bCs/>
          <w:i/>
        </w:rPr>
        <w:t>“</w:t>
      </w:r>
      <w:r w:rsidRPr="002237BD">
        <w:rPr>
          <w:rFonts w:ascii="Arial" w:eastAsia="Calibri" w:hAnsi="Arial" w:cs="Arial"/>
          <w:b/>
          <w:bCs/>
          <w:i/>
        </w:rPr>
        <w:t xml:space="preserve">ARTÍCULO 207.- </w:t>
      </w:r>
      <w:r w:rsidRPr="002237BD">
        <w:rPr>
          <w:rFonts w:ascii="Arial" w:eastAsia="Calibri" w:hAnsi="Arial" w:cs="Arial"/>
          <w:bCs/>
          <w:i/>
        </w:rPr>
        <w:t>Las sentencias que emita el Tribunal, deberán de contener:</w:t>
      </w:r>
    </w:p>
    <w:p w14:paraId="7EBC0294"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Cs/>
          <w:i/>
        </w:rPr>
        <w:t>I. La fijación clara y precisa de los puntos controvertidos, la exposición de las razones por las que, en su caso, se haga uso de la facultad para suplir la deficiencia de la queja, así como el examen y valoración de las pruebas que se hayan rendido;</w:t>
      </w:r>
    </w:p>
    <w:p w14:paraId="0DBBDAEF"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Cs/>
          <w:i/>
        </w:rPr>
        <w:t>II. La exposición debidamente fundada y motivada de las consideraciones en que se basa la resolución; y</w:t>
      </w:r>
    </w:p>
    <w:p w14:paraId="7ACABD57"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Cs/>
          <w:i/>
        </w:rPr>
        <w:t>III. Los puntos resolutivos, los que expresarán los actos o resoluciones cuya validez se reconozca o cuya nulidad se declare.</w:t>
      </w:r>
    </w:p>
    <w:p w14:paraId="4ECEAD7D"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
          <w:bCs/>
          <w:i/>
        </w:rPr>
        <w:t xml:space="preserve">ARTÍCULO 208.- </w:t>
      </w:r>
      <w:r w:rsidRPr="002237BD">
        <w:rPr>
          <w:rFonts w:ascii="Arial" w:eastAsia="Calibri" w:hAnsi="Arial" w:cs="Arial"/>
          <w:bCs/>
          <w:i/>
        </w:rPr>
        <w:t xml:space="preserve">Se declarará que un acto administrativo es ilegal si de esa ilegalidad nace su nulidad relativa o absoluta, cuando se demuestre </w:t>
      </w:r>
      <w:r w:rsidRPr="002237BD">
        <w:rPr>
          <w:rFonts w:ascii="Arial" w:eastAsia="Calibri" w:hAnsi="Arial" w:cs="Arial"/>
          <w:bCs/>
          <w:i/>
        </w:rPr>
        <w:lastRenderedPageBreak/>
        <w:t>alguna de las siguientes causales:</w:t>
      </w:r>
    </w:p>
    <w:p w14:paraId="69E26A0D"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Cs/>
          <w:i/>
        </w:rPr>
        <w:t>I. Incompetencia del funcionario que lo haya ordenado, o tramitado el procedimiento del que deriva la resolución impugnada;</w:t>
      </w:r>
    </w:p>
    <w:p w14:paraId="2E0B662A" w14:textId="77777777" w:rsidR="002A27D4" w:rsidRPr="002237BD" w:rsidRDefault="002A27D4" w:rsidP="00445003">
      <w:pPr>
        <w:widowControl w:val="0"/>
        <w:spacing w:before="240" w:after="0"/>
        <w:ind w:left="567" w:right="616"/>
        <w:jc w:val="both"/>
        <w:rPr>
          <w:rFonts w:ascii="Arial" w:eastAsia="Calibri" w:hAnsi="Arial" w:cs="Arial"/>
          <w:bCs/>
          <w:i/>
        </w:rPr>
      </w:pPr>
      <w:r w:rsidRPr="002237BD">
        <w:rPr>
          <w:rFonts w:ascii="Arial" w:eastAsia="Calibri" w:hAnsi="Arial" w:cs="Arial"/>
          <w:bCs/>
          <w:i/>
        </w:rPr>
        <w:t>II. Omisión de los requisitos formales exigidos por las leyes que afecten las defensas del particular y trasciendan al sentido de la resolución impugnada, inclusive la ausencia de fundamento o motivación, en su caso;</w:t>
      </w:r>
    </w:p>
    <w:p w14:paraId="065B3340" w14:textId="77777777" w:rsidR="002A27D4" w:rsidRPr="00533188" w:rsidRDefault="002A27D4" w:rsidP="00445003">
      <w:pPr>
        <w:widowControl w:val="0"/>
        <w:spacing w:before="240" w:after="0"/>
        <w:ind w:left="567" w:right="616"/>
        <w:jc w:val="both"/>
        <w:rPr>
          <w:rFonts w:ascii="Arial" w:eastAsia="Calibri" w:hAnsi="Arial" w:cs="Arial"/>
          <w:bCs/>
          <w:i/>
        </w:rPr>
      </w:pPr>
      <w:r w:rsidRPr="00533188">
        <w:rPr>
          <w:rFonts w:ascii="Arial" w:eastAsia="Calibri" w:hAnsi="Arial" w:cs="Arial"/>
          <w:b/>
          <w:bCs/>
          <w:i/>
        </w:rPr>
        <w:t>ARTÍCULO 209.-</w:t>
      </w:r>
      <w:r w:rsidRPr="00533188">
        <w:rPr>
          <w:rFonts w:ascii="Arial" w:eastAsia="Calibri" w:hAnsi="Arial" w:cs="Arial"/>
          <w:bCs/>
          <w:i/>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73C9D77E" w14:textId="01786C1F" w:rsidR="002A27D4" w:rsidRDefault="002A27D4" w:rsidP="002A27D4">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Cs/>
          <w:sz w:val="26"/>
          <w:szCs w:val="26"/>
        </w:rPr>
        <w:tab/>
        <w:t xml:space="preserve">De la interpretación armónica de los preceptos invocados, se advierte que, las Salas Unitarias de primera instancia tienen la obligación de cumplir con el </w:t>
      </w:r>
      <w:r>
        <w:rPr>
          <w:rFonts w:ascii="Arial" w:hAnsi="Arial" w:cs="Arial"/>
          <w:bCs/>
          <w:i/>
          <w:iCs/>
          <w:color w:val="000000"/>
          <w:sz w:val="26"/>
          <w:szCs w:val="26"/>
        </w:rPr>
        <w:t xml:space="preserve">principio de exhaustividad </w:t>
      </w:r>
      <w:r>
        <w:rPr>
          <w:rFonts w:ascii="Arial" w:eastAsia="Calibri" w:hAnsi="Arial" w:cs="Arial"/>
          <w:bCs/>
          <w:sz w:val="26"/>
          <w:szCs w:val="26"/>
        </w:rPr>
        <w:t xml:space="preserve">al momento de dictar sentencia, el cual </w:t>
      </w:r>
      <w:r w:rsidRPr="00267C06">
        <w:rPr>
          <w:rFonts w:ascii="Arial" w:hAnsi="Arial" w:cs="Arial"/>
          <w:bCs/>
          <w:sz w:val="26"/>
          <w:szCs w:val="26"/>
        </w:rPr>
        <w:t>consiste en la obligación que tiene el órgano jurisdiccional,</w:t>
      </w:r>
      <w:r w:rsidRPr="00267C06">
        <w:rPr>
          <w:rFonts w:ascii="Arial" w:hAnsi="Arial" w:cs="Arial"/>
          <w:bCs/>
          <w:color w:val="000000"/>
          <w:sz w:val="26"/>
          <w:szCs w:val="26"/>
        </w:rPr>
        <w:t xml:space="preserve"> de examinar completamente, todas las cuestiones</w:t>
      </w:r>
      <w:r w:rsidRPr="00267C06">
        <w:rPr>
          <w:rFonts w:ascii="Arial" w:hAnsi="Arial" w:cs="Arial"/>
          <w:bCs/>
          <w:sz w:val="26"/>
          <w:szCs w:val="26"/>
        </w:rPr>
        <w:t xml:space="preserve"> o puntos litigiosos</w:t>
      </w:r>
      <w:r>
        <w:rPr>
          <w:rFonts w:ascii="Arial" w:hAnsi="Arial" w:cs="Arial"/>
          <w:bCs/>
          <w:sz w:val="26"/>
          <w:szCs w:val="26"/>
        </w:rPr>
        <w:t xml:space="preserve"> </w:t>
      </w:r>
      <w:r w:rsidRPr="00267C06">
        <w:rPr>
          <w:rFonts w:ascii="Arial" w:hAnsi="Arial" w:cs="Arial"/>
          <w:bCs/>
          <w:color w:val="000000"/>
          <w:sz w:val="26"/>
          <w:szCs w:val="26"/>
        </w:rPr>
        <w:t>que fueron sometid</w:t>
      </w:r>
      <w:r>
        <w:rPr>
          <w:rFonts w:ascii="Arial" w:hAnsi="Arial" w:cs="Arial"/>
          <w:bCs/>
          <w:color w:val="000000"/>
          <w:sz w:val="26"/>
          <w:szCs w:val="26"/>
        </w:rPr>
        <w:t>o</w:t>
      </w:r>
      <w:r w:rsidRPr="00267C06">
        <w:rPr>
          <w:rFonts w:ascii="Arial" w:hAnsi="Arial" w:cs="Arial"/>
          <w:bCs/>
          <w:color w:val="000000"/>
          <w:sz w:val="26"/>
          <w:szCs w:val="26"/>
        </w:rPr>
        <w:t>s a su conocimiento</w:t>
      </w:r>
      <w:r w:rsidRPr="00267C06">
        <w:rPr>
          <w:rFonts w:ascii="Arial" w:hAnsi="Arial" w:cs="Arial"/>
          <w:bCs/>
          <w:sz w:val="26"/>
          <w:szCs w:val="26"/>
        </w:rPr>
        <w:t xml:space="preserve">, </w:t>
      </w:r>
      <w:r w:rsidRPr="00267C06">
        <w:rPr>
          <w:rFonts w:ascii="Arial" w:hAnsi="Arial" w:cs="Arial"/>
          <w:bCs/>
          <w:color w:val="000000"/>
          <w:sz w:val="26"/>
          <w:szCs w:val="26"/>
        </w:rPr>
        <w:t>sin dejar nada pendiente</w:t>
      </w:r>
      <w:r>
        <w:rPr>
          <w:rFonts w:ascii="Arial" w:hAnsi="Arial" w:cs="Arial"/>
          <w:bCs/>
          <w:color w:val="000000"/>
          <w:sz w:val="26"/>
          <w:szCs w:val="26"/>
        </w:rPr>
        <w:t>. E</w:t>
      </w:r>
      <w:r w:rsidRPr="00267C06">
        <w:rPr>
          <w:rFonts w:ascii="Arial" w:hAnsi="Arial" w:cs="Arial"/>
          <w:bCs/>
          <w:sz w:val="26"/>
          <w:szCs w:val="26"/>
        </w:rPr>
        <w:t xml:space="preserve">sto implica </w:t>
      </w:r>
      <w:r>
        <w:rPr>
          <w:rFonts w:ascii="Arial" w:hAnsi="Arial" w:cs="Arial"/>
          <w:bCs/>
          <w:sz w:val="26"/>
          <w:szCs w:val="26"/>
        </w:rPr>
        <w:t>que el</w:t>
      </w:r>
      <w:r w:rsidRPr="00C1685C">
        <w:rPr>
          <w:rFonts w:ascii="Arial" w:hAnsi="Arial" w:cs="Arial"/>
          <w:bCs/>
          <w:sz w:val="26"/>
          <w:szCs w:val="26"/>
        </w:rPr>
        <w:t xml:space="preserve"> </w:t>
      </w:r>
      <w:r w:rsidRPr="00267C06">
        <w:rPr>
          <w:rFonts w:ascii="Arial" w:hAnsi="Arial" w:cs="Arial"/>
          <w:bCs/>
          <w:sz w:val="26"/>
          <w:szCs w:val="26"/>
        </w:rPr>
        <w:t>juzgador</w:t>
      </w:r>
      <w:r>
        <w:rPr>
          <w:rFonts w:ascii="Arial" w:hAnsi="Arial" w:cs="Arial"/>
          <w:bCs/>
          <w:sz w:val="26"/>
          <w:szCs w:val="26"/>
        </w:rPr>
        <w:t xml:space="preserve"> tiene </w:t>
      </w:r>
      <w:r w:rsidRPr="00267C06">
        <w:rPr>
          <w:rFonts w:ascii="Arial" w:hAnsi="Arial" w:cs="Arial"/>
          <w:bCs/>
          <w:sz w:val="26"/>
          <w:szCs w:val="26"/>
        </w:rPr>
        <w:t>la obligación de decidir las controversias que le fueron planteadas tomando en cuenta los argumentos aducidos por las partes y demás pretensiones hechas valer oportunamente, así como el acervo probatorio que obre en el expediente.</w:t>
      </w:r>
      <w:r>
        <w:rPr>
          <w:rFonts w:ascii="Arial" w:hAnsi="Arial" w:cs="Arial"/>
          <w:bCs/>
          <w:i/>
          <w:sz w:val="26"/>
          <w:szCs w:val="26"/>
        </w:rPr>
        <w:t xml:space="preserve"> </w:t>
      </w:r>
      <w:r w:rsidRPr="00BE33F4">
        <w:rPr>
          <w:rFonts w:ascii="Arial" w:hAnsi="Arial" w:cs="Arial"/>
          <w:bCs/>
          <w:color w:val="000000"/>
          <w:sz w:val="26"/>
          <w:szCs w:val="26"/>
        </w:rPr>
        <w:t>Este principio es uno de los aspectos que garantizan el derecho a la tutela judicial efectiva</w:t>
      </w:r>
      <w:r>
        <w:rPr>
          <w:rFonts w:ascii="Arial" w:hAnsi="Arial" w:cs="Arial"/>
          <w:bCs/>
          <w:color w:val="000000"/>
          <w:sz w:val="26"/>
          <w:szCs w:val="26"/>
        </w:rPr>
        <w:t xml:space="preserve">, previsto en el </w:t>
      </w:r>
      <w:r w:rsidRPr="004D398B">
        <w:rPr>
          <w:rFonts w:ascii="Arial" w:hAnsi="Arial" w:cs="Arial"/>
          <w:bCs/>
          <w:color w:val="000000"/>
          <w:sz w:val="26"/>
          <w:szCs w:val="26"/>
        </w:rPr>
        <w:t>artículo 17 constitucional</w:t>
      </w:r>
      <w:r>
        <w:rPr>
          <w:rFonts w:ascii="Arial" w:hAnsi="Arial" w:cs="Arial"/>
          <w:bCs/>
          <w:color w:val="000000"/>
          <w:sz w:val="26"/>
          <w:szCs w:val="26"/>
        </w:rPr>
        <w:t>.</w:t>
      </w:r>
      <w:r w:rsidR="00445003">
        <w:rPr>
          <w:rFonts w:ascii="Arial" w:hAnsi="Arial" w:cs="Arial"/>
          <w:bCs/>
          <w:color w:val="000000"/>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xml:space="preserve">- - - - - - - - - - - - - - - - - - - - </w:t>
      </w:r>
    </w:p>
    <w:p w14:paraId="215CF449" w14:textId="212FA6E3" w:rsidR="002A27D4" w:rsidRDefault="002A27D4" w:rsidP="002A27D4">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Ese análisis completo, que debe realizarse al momento de dictar sentencia, tiene que abocarse a la incompetencia de la autoridad demandada para emitir el acto impugnado o para tramitar el procedimiento administrativo en controversia, en la observancia de las formalidades de ese procedimiento que trasciendan a la defensa del particular y en la ausencia de fundamentación y motivación, para determinar la legalidad o ilegalidad del acto combatido. Una vez efectuado este estudio, la Sala </w:t>
      </w:r>
      <w:r w:rsidRPr="00356694">
        <w:rPr>
          <w:rFonts w:ascii="Arial" w:hAnsi="Arial" w:cs="Arial"/>
          <w:bCs/>
          <w:i/>
          <w:color w:val="000000"/>
          <w:sz w:val="26"/>
          <w:szCs w:val="26"/>
        </w:rPr>
        <w:t>A quo</w:t>
      </w:r>
      <w:r>
        <w:rPr>
          <w:rFonts w:ascii="Arial" w:hAnsi="Arial" w:cs="Arial"/>
          <w:bCs/>
          <w:color w:val="000000"/>
          <w:sz w:val="26"/>
          <w:szCs w:val="26"/>
        </w:rPr>
        <w:t xml:space="preserve"> podrá resolver sobre la validez, la nulidad lisa y llana o la nulidad para efectos del acto que fue sometido a su jurisdicción.</w:t>
      </w:r>
      <w:r w:rsidR="00445003">
        <w:rPr>
          <w:rFonts w:ascii="Arial" w:hAnsi="Arial" w:cs="Arial"/>
          <w:bCs/>
          <w:color w:val="000000"/>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xml:space="preserve">- - - - - - - - - - - - - - - - - - - - </w:t>
      </w:r>
    </w:p>
    <w:p w14:paraId="06146393" w14:textId="36AF82FA" w:rsidR="002A27D4" w:rsidRDefault="002A27D4" w:rsidP="00445003">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bCs/>
          <w:color w:val="000000"/>
          <w:sz w:val="26"/>
          <w:szCs w:val="26"/>
        </w:rPr>
        <w:tab/>
        <w:t>Atendiendo a lo anterior y a que el recurre</w:t>
      </w:r>
      <w:r w:rsidR="00B12E6F">
        <w:rPr>
          <w:rFonts w:ascii="Arial" w:hAnsi="Arial" w:cs="Arial"/>
          <w:bCs/>
          <w:color w:val="000000"/>
          <w:sz w:val="26"/>
          <w:szCs w:val="26"/>
        </w:rPr>
        <w:t>nte reclama que la Sexta</w:t>
      </w:r>
      <w:r>
        <w:rPr>
          <w:rFonts w:ascii="Arial" w:hAnsi="Arial" w:cs="Arial"/>
          <w:bCs/>
          <w:color w:val="000000"/>
          <w:sz w:val="26"/>
          <w:szCs w:val="26"/>
        </w:rPr>
        <w:t xml:space="preserve"> </w:t>
      </w:r>
      <w:r>
        <w:rPr>
          <w:rFonts w:ascii="Arial" w:hAnsi="Arial" w:cs="Arial"/>
          <w:bCs/>
          <w:color w:val="000000"/>
          <w:sz w:val="26"/>
          <w:szCs w:val="26"/>
        </w:rPr>
        <w:lastRenderedPageBreak/>
        <w:t xml:space="preserve">Sala Unitaria infringió el artículo 209 de la </w:t>
      </w:r>
      <w:r w:rsidRPr="00F062FC">
        <w:rPr>
          <w:rFonts w:ascii="Arial" w:eastAsia="Calibri" w:hAnsi="Arial" w:cs="Arial"/>
          <w:bCs/>
          <w:sz w:val="26"/>
          <w:szCs w:val="26"/>
        </w:rPr>
        <w:t>Ley de Procedimiento y Justicia Administrativa para el Estado de Oaxaca</w:t>
      </w:r>
      <w:r>
        <w:rPr>
          <w:rFonts w:ascii="Arial" w:hAnsi="Arial" w:cs="Arial"/>
          <w:bCs/>
          <w:color w:val="000000"/>
          <w:sz w:val="26"/>
          <w:szCs w:val="26"/>
        </w:rPr>
        <w:t xml:space="preserve">, al dictar la sentencia de </w:t>
      </w:r>
      <w:r w:rsidR="00B12E6F">
        <w:rPr>
          <w:rFonts w:ascii="Arial" w:hAnsi="Arial" w:cs="Arial"/>
          <w:bCs/>
          <w:color w:val="000000"/>
          <w:sz w:val="26"/>
          <w:szCs w:val="26"/>
        </w:rPr>
        <w:t xml:space="preserve">dieciocho </w:t>
      </w:r>
      <w:r>
        <w:rPr>
          <w:rFonts w:ascii="Arial" w:hAnsi="Arial" w:cs="Arial"/>
          <w:bCs/>
          <w:color w:val="000000"/>
          <w:sz w:val="26"/>
          <w:szCs w:val="26"/>
        </w:rPr>
        <w:t>de</w:t>
      </w:r>
      <w:r w:rsidR="00B12E6F">
        <w:rPr>
          <w:rFonts w:ascii="Arial" w:hAnsi="Arial" w:cs="Arial"/>
          <w:bCs/>
          <w:color w:val="000000"/>
          <w:sz w:val="26"/>
          <w:szCs w:val="26"/>
        </w:rPr>
        <w:t xml:space="preserve"> octubre dos mil veintiuno</w:t>
      </w:r>
      <w:r>
        <w:rPr>
          <w:rFonts w:ascii="Arial" w:hAnsi="Arial" w:cs="Arial"/>
          <w:bCs/>
          <w:color w:val="000000"/>
          <w:sz w:val="26"/>
          <w:szCs w:val="26"/>
        </w:rPr>
        <w:t xml:space="preserve">, esta instancia revisora estima que es necesario analizar si ese fallo cumple con los requisitos exigidos por los numerales </w:t>
      </w:r>
      <w:r>
        <w:rPr>
          <w:rFonts w:ascii="Arial" w:eastAsia="Calibri" w:hAnsi="Arial" w:cs="Arial"/>
          <w:bCs/>
          <w:sz w:val="26"/>
          <w:szCs w:val="26"/>
        </w:rPr>
        <w:t>207, 208 y 209 de la ley en cita.</w:t>
      </w:r>
      <w:r w:rsidR="00445003">
        <w:rPr>
          <w:rFonts w:ascii="Arial" w:eastAsia="Calibri" w:hAnsi="Arial" w:cs="Arial"/>
          <w:bCs/>
          <w:sz w:val="26"/>
          <w:szCs w:val="26"/>
        </w:rPr>
        <w:t xml:space="preserve"> </w:t>
      </w:r>
      <w:r w:rsidR="00445003" w:rsidRPr="00445003">
        <w:rPr>
          <w:rFonts w:ascii="Arial" w:hAnsi="Arial" w:cs="Arial"/>
          <w:iCs/>
          <w:sz w:val="26"/>
          <w:szCs w:val="26"/>
        </w:rPr>
        <w:t xml:space="preserve">- - - - - - - - - - - - - - - </w:t>
      </w:r>
    </w:p>
    <w:p w14:paraId="0CA30E6D" w14:textId="7D238F2A" w:rsidR="00CE2320" w:rsidRDefault="00B12E6F" w:rsidP="00B12E6F">
      <w:pPr>
        <w:spacing w:line="360" w:lineRule="auto"/>
        <w:ind w:right="49" w:firstLine="709"/>
        <w:jc w:val="both"/>
        <w:rPr>
          <w:rFonts w:ascii="Arial" w:hAnsi="Arial" w:cs="Arial"/>
          <w:sz w:val="26"/>
          <w:szCs w:val="26"/>
        </w:rPr>
      </w:pPr>
      <w:r>
        <w:rPr>
          <w:rFonts w:ascii="Arial" w:eastAsia="Calibri" w:hAnsi="Arial" w:cs="Arial"/>
          <w:bCs/>
          <w:sz w:val="26"/>
          <w:szCs w:val="26"/>
        </w:rPr>
        <w:t xml:space="preserve">Bajo esa consideración se tiene </w:t>
      </w:r>
      <w:r w:rsidR="000C4EBE" w:rsidRPr="00E7429A">
        <w:rPr>
          <w:rFonts w:ascii="Arial" w:eastAsia="Calibri" w:hAnsi="Arial" w:cs="Arial"/>
          <w:bCs/>
          <w:sz w:val="26"/>
          <w:szCs w:val="26"/>
        </w:rPr>
        <w:t>que</w:t>
      </w:r>
      <w:r>
        <w:rPr>
          <w:rFonts w:ascii="Arial" w:eastAsia="Calibri" w:hAnsi="Arial" w:cs="Arial"/>
          <w:bCs/>
          <w:sz w:val="26"/>
          <w:szCs w:val="26"/>
        </w:rPr>
        <w:t>,</w:t>
      </w:r>
      <w:r w:rsidR="000C4EBE" w:rsidRPr="00E7429A">
        <w:rPr>
          <w:rFonts w:ascii="Arial" w:eastAsia="Calibri" w:hAnsi="Arial" w:cs="Arial"/>
          <w:bCs/>
          <w:sz w:val="26"/>
          <w:szCs w:val="26"/>
        </w:rPr>
        <w:t xml:space="preserve"> de las constancias procesales que integran el expediente de primera instancia, las que tienen pleno valor probatorio en términos del artículo 203 fracción I</w:t>
      </w:r>
      <w:r w:rsidR="000C4EBE" w:rsidRPr="00E7429A">
        <w:rPr>
          <w:rFonts w:ascii="Arial" w:eastAsia="Calibri" w:hAnsi="Arial" w:cs="Arial"/>
          <w:bCs/>
          <w:sz w:val="26"/>
          <w:szCs w:val="26"/>
          <w:vertAlign w:val="superscript"/>
        </w:rPr>
        <w:footnoteReference w:id="1"/>
      </w:r>
      <w:r w:rsidR="000C4EBE" w:rsidRPr="00E7429A">
        <w:rPr>
          <w:rFonts w:ascii="Arial" w:eastAsia="Calibri" w:hAnsi="Arial" w:cs="Arial"/>
          <w:bCs/>
          <w:sz w:val="26"/>
          <w:szCs w:val="26"/>
        </w:rPr>
        <w:t xml:space="preserve"> de la Ley de Procedimiento y Justicia Administrativa para el Estado de Oaxaca, por tratarse de actuaciones judiciales, se identifica que</w:t>
      </w:r>
      <w:r w:rsidR="00CE2320">
        <w:rPr>
          <w:rFonts w:ascii="Arial" w:eastAsia="Calibri" w:hAnsi="Arial" w:cs="Arial"/>
          <w:bCs/>
          <w:sz w:val="26"/>
          <w:szCs w:val="26"/>
        </w:rPr>
        <w:t xml:space="preserve"> </w:t>
      </w:r>
      <w:r w:rsidR="00110A19">
        <w:rPr>
          <w:rFonts w:ascii="Arial" w:hAnsi="Arial" w:cs="Arial"/>
          <w:b/>
          <w:sz w:val="26"/>
          <w:szCs w:val="26"/>
        </w:rPr>
        <w:t>*******</w:t>
      </w:r>
      <w:r w:rsidR="00CE2320">
        <w:rPr>
          <w:rFonts w:ascii="Arial" w:hAnsi="Arial" w:cs="Arial"/>
          <w:b/>
          <w:sz w:val="26"/>
          <w:szCs w:val="26"/>
        </w:rPr>
        <w:t xml:space="preserve">, EN SU CARÁCTER DE APODERADO LEGAL DE </w:t>
      </w:r>
      <w:r w:rsidR="00110A19">
        <w:rPr>
          <w:rFonts w:ascii="Arial" w:hAnsi="Arial" w:cs="Arial"/>
          <w:b/>
          <w:sz w:val="26"/>
          <w:szCs w:val="26"/>
        </w:rPr>
        <w:t>*******</w:t>
      </w:r>
      <w:r w:rsidR="00CE2320">
        <w:rPr>
          <w:rFonts w:ascii="Arial" w:hAnsi="Arial" w:cs="Arial"/>
          <w:b/>
          <w:sz w:val="26"/>
          <w:szCs w:val="26"/>
        </w:rPr>
        <w:t xml:space="preserve">, </w:t>
      </w:r>
      <w:r w:rsidR="00CE2320" w:rsidRPr="00CE2320">
        <w:rPr>
          <w:rFonts w:ascii="Arial" w:hAnsi="Arial" w:cs="Arial"/>
          <w:sz w:val="26"/>
          <w:szCs w:val="26"/>
        </w:rPr>
        <w:t xml:space="preserve">demandó la nulidad de la resolución contenida en el oficio número </w:t>
      </w:r>
      <w:r w:rsidR="00110A19">
        <w:rPr>
          <w:rFonts w:ascii="Arial" w:hAnsi="Arial" w:cs="Arial"/>
          <w:b/>
          <w:sz w:val="26"/>
          <w:szCs w:val="26"/>
        </w:rPr>
        <w:t>*******</w:t>
      </w:r>
      <w:r w:rsidR="003178DB">
        <w:rPr>
          <w:rStyle w:val="Refdenotaalpie"/>
          <w:rFonts w:ascii="Arial" w:hAnsi="Arial" w:cs="Arial"/>
          <w:b/>
          <w:sz w:val="26"/>
          <w:szCs w:val="26"/>
        </w:rPr>
        <w:footnoteReference w:id="2"/>
      </w:r>
      <w:r w:rsidR="00CE2320" w:rsidRPr="00CE2320">
        <w:rPr>
          <w:rFonts w:ascii="Arial" w:hAnsi="Arial" w:cs="Arial"/>
          <w:sz w:val="26"/>
          <w:szCs w:val="26"/>
        </w:rPr>
        <w:t xml:space="preserve"> de quince de mayo de dos mil diecinueve, emitida por el Jefe de la Unidad Jurídica del Instituto</w:t>
      </w:r>
      <w:r w:rsidR="003178DB">
        <w:rPr>
          <w:rFonts w:ascii="Arial" w:hAnsi="Arial" w:cs="Arial"/>
          <w:sz w:val="26"/>
          <w:szCs w:val="26"/>
        </w:rPr>
        <w:t xml:space="preserve"> Catastral del Estado de Oaxaca, en la que se confirmó la improcedencia del trámite catastral de rectificación de datos, en donde aparece como peticionario </w:t>
      </w:r>
      <w:r w:rsidR="00110A19">
        <w:rPr>
          <w:rFonts w:ascii="Arial" w:hAnsi="Arial" w:cs="Arial"/>
          <w:b/>
          <w:sz w:val="26"/>
          <w:szCs w:val="26"/>
        </w:rPr>
        <w:t>*******</w:t>
      </w:r>
      <w:r w:rsidR="003178DB" w:rsidRPr="000741EC">
        <w:rPr>
          <w:rFonts w:ascii="Arial" w:hAnsi="Arial" w:cs="Arial"/>
          <w:b/>
          <w:sz w:val="26"/>
          <w:szCs w:val="26"/>
        </w:rPr>
        <w:t>,</w:t>
      </w:r>
      <w:r w:rsidR="003178DB">
        <w:rPr>
          <w:rFonts w:ascii="Arial" w:hAnsi="Arial" w:cs="Arial"/>
          <w:sz w:val="26"/>
          <w:szCs w:val="26"/>
        </w:rPr>
        <w:t xml:space="preserve"> </w:t>
      </w:r>
      <w:r w:rsidR="00320085">
        <w:rPr>
          <w:rFonts w:ascii="Arial" w:hAnsi="Arial" w:cs="Arial"/>
          <w:sz w:val="26"/>
          <w:szCs w:val="26"/>
        </w:rPr>
        <w:t xml:space="preserve">trámite que se declinó </w:t>
      </w:r>
      <w:r w:rsidR="003178DB">
        <w:rPr>
          <w:rFonts w:ascii="Arial" w:hAnsi="Arial" w:cs="Arial"/>
          <w:sz w:val="26"/>
          <w:szCs w:val="26"/>
        </w:rPr>
        <w:t xml:space="preserve">en el oficio </w:t>
      </w:r>
      <w:r w:rsidR="00110A19">
        <w:rPr>
          <w:rFonts w:ascii="Arial" w:hAnsi="Arial" w:cs="Arial"/>
          <w:sz w:val="26"/>
          <w:szCs w:val="26"/>
        </w:rPr>
        <w:t>*******</w:t>
      </w:r>
      <w:r w:rsidR="003178DB">
        <w:rPr>
          <w:rFonts w:ascii="Arial" w:hAnsi="Arial" w:cs="Arial"/>
          <w:sz w:val="26"/>
          <w:szCs w:val="26"/>
        </w:rPr>
        <w:t xml:space="preserve"> de veintinueve de septiembre de dos mil diecisiete.</w:t>
      </w:r>
      <w:r w:rsidR="00445003">
        <w:rPr>
          <w:rFonts w:ascii="Arial" w:hAnsi="Arial" w:cs="Arial"/>
          <w:sz w:val="26"/>
          <w:szCs w:val="26"/>
        </w:rPr>
        <w:t xml:space="preserve"> </w:t>
      </w:r>
      <w:r w:rsidR="00445003" w:rsidRPr="00445003">
        <w:rPr>
          <w:rFonts w:ascii="Arial" w:hAnsi="Arial" w:cs="Arial"/>
          <w:iCs/>
          <w:sz w:val="26"/>
          <w:szCs w:val="26"/>
        </w:rPr>
        <w:t xml:space="preserve">- - - - - - - - - - </w:t>
      </w:r>
    </w:p>
    <w:p w14:paraId="4DD21915" w14:textId="5C845441" w:rsidR="000741EC" w:rsidRDefault="000741EC" w:rsidP="00B12E6F">
      <w:pPr>
        <w:spacing w:line="360" w:lineRule="auto"/>
        <w:ind w:right="49" w:firstLine="709"/>
        <w:jc w:val="both"/>
        <w:rPr>
          <w:rFonts w:ascii="Arial" w:hAnsi="Arial" w:cs="Arial"/>
          <w:sz w:val="26"/>
          <w:szCs w:val="26"/>
        </w:rPr>
      </w:pPr>
      <w:r>
        <w:rPr>
          <w:rFonts w:ascii="Arial" w:hAnsi="Arial" w:cs="Arial"/>
          <w:sz w:val="26"/>
          <w:szCs w:val="26"/>
        </w:rPr>
        <w:t>De contenido de la demanda, se identifica que el promovente planteó cuatro diferentes conceptos de impugnación, en los que básicamente expresó:</w:t>
      </w:r>
    </w:p>
    <w:p w14:paraId="11333FA8" w14:textId="2B2D1124" w:rsidR="000741EC" w:rsidRDefault="000741EC" w:rsidP="000741EC">
      <w:pPr>
        <w:pStyle w:val="Prrafodelista"/>
        <w:numPr>
          <w:ilvl w:val="0"/>
          <w:numId w:val="13"/>
        </w:numPr>
        <w:spacing w:line="360" w:lineRule="auto"/>
        <w:ind w:right="49"/>
        <w:jc w:val="both"/>
        <w:rPr>
          <w:rFonts w:ascii="Arial" w:hAnsi="Arial" w:cs="Arial"/>
          <w:sz w:val="26"/>
          <w:szCs w:val="26"/>
        </w:rPr>
      </w:pPr>
      <w:r>
        <w:rPr>
          <w:rFonts w:ascii="Arial" w:hAnsi="Arial" w:cs="Arial"/>
          <w:sz w:val="26"/>
          <w:szCs w:val="26"/>
        </w:rPr>
        <w:t xml:space="preserve">En el primero de ellos, aludió a que el artículo 40 del Reglamento de la Ley de Catastro del Estado de Oaxaca, deviene inaplicable en el trámite de corrección de medidas y que éste se encuentra regulado por el numeral 49 del Reglamento de la Ley de Catastro. </w:t>
      </w:r>
    </w:p>
    <w:p w14:paraId="42CC0362" w14:textId="163DBA6E" w:rsidR="000741EC" w:rsidRDefault="000741EC" w:rsidP="000741EC">
      <w:pPr>
        <w:pStyle w:val="Prrafodelista"/>
        <w:numPr>
          <w:ilvl w:val="0"/>
          <w:numId w:val="13"/>
        </w:numPr>
        <w:spacing w:line="360" w:lineRule="auto"/>
        <w:ind w:right="49"/>
        <w:jc w:val="both"/>
        <w:rPr>
          <w:rFonts w:ascii="Arial" w:hAnsi="Arial" w:cs="Arial"/>
          <w:sz w:val="26"/>
          <w:szCs w:val="26"/>
        </w:rPr>
      </w:pPr>
      <w:r>
        <w:rPr>
          <w:rFonts w:ascii="Arial" w:hAnsi="Arial" w:cs="Arial"/>
          <w:sz w:val="26"/>
          <w:szCs w:val="26"/>
        </w:rPr>
        <w:t xml:space="preserve">En el segundo argumento, </w:t>
      </w:r>
      <w:r w:rsidR="005F1B15">
        <w:rPr>
          <w:rFonts w:ascii="Arial" w:hAnsi="Arial" w:cs="Arial"/>
          <w:sz w:val="26"/>
          <w:szCs w:val="26"/>
        </w:rPr>
        <w:t>sostiene que no es válido ni legal que la autoridad catastral declare improcedente una solicitud de trámite de rectificación de medidas con base en artículo 40 del Reglamento de la Ley de Catastro, porque el terreno del contribuyente presenta una superficie excedente de más de un 20%.</w:t>
      </w:r>
    </w:p>
    <w:p w14:paraId="6FE76F60" w14:textId="4F3A661C" w:rsidR="005F1B15" w:rsidRDefault="005F1B15" w:rsidP="000741EC">
      <w:pPr>
        <w:pStyle w:val="Prrafodelista"/>
        <w:numPr>
          <w:ilvl w:val="0"/>
          <w:numId w:val="13"/>
        </w:numPr>
        <w:spacing w:line="360" w:lineRule="auto"/>
        <w:ind w:right="49"/>
        <w:jc w:val="both"/>
        <w:rPr>
          <w:rFonts w:ascii="Arial" w:hAnsi="Arial" w:cs="Arial"/>
          <w:sz w:val="26"/>
          <w:szCs w:val="26"/>
        </w:rPr>
      </w:pPr>
      <w:r>
        <w:rPr>
          <w:rFonts w:ascii="Arial" w:hAnsi="Arial" w:cs="Arial"/>
          <w:sz w:val="26"/>
          <w:szCs w:val="26"/>
        </w:rPr>
        <w:lastRenderedPageBreak/>
        <w:t>El tercer concepto se refiere a que de acuerdo a los artículos 17 y 23 de la Ley de Catastro del Estado de Oaxaca, le impiden a la autoridad demandada calificar e invalidar una diligencia de deslinde llevada a cabo por un alcalde municipal.</w:t>
      </w:r>
    </w:p>
    <w:p w14:paraId="37C9AE8F" w14:textId="607A0220" w:rsidR="005F1B15" w:rsidRPr="000741EC" w:rsidRDefault="005F1B15" w:rsidP="000741EC">
      <w:pPr>
        <w:pStyle w:val="Prrafodelista"/>
        <w:numPr>
          <w:ilvl w:val="0"/>
          <w:numId w:val="13"/>
        </w:numPr>
        <w:spacing w:line="360" w:lineRule="auto"/>
        <w:ind w:right="49"/>
        <w:jc w:val="both"/>
        <w:rPr>
          <w:rFonts w:ascii="Arial" w:hAnsi="Arial" w:cs="Arial"/>
          <w:sz w:val="26"/>
          <w:szCs w:val="26"/>
        </w:rPr>
      </w:pPr>
      <w:r>
        <w:rPr>
          <w:rFonts w:ascii="Arial" w:hAnsi="Arial" w:cs="Arial"/>
          <w:sz w:val="26"/>
          <w:szCs w:val="26"/>
        </w:rPr>
        <w:t xml:space="preserve">Respecto al cuarto argumento, se refiere a que la autoridad catastral no tiene la facultad legal para conocer y decidir si una persona es propietario o poseedor de un terreno o inmueble, y que con fundamento en el artículo 51 de la Ley de Catastro del Estado, todo propietario o poseedor de un bien inmueble tendrá derecho a que se le reciban solicitudes relativas a trámites catastrales. </w:t>
      </w:r>
    </w:p>
    <w:p w14:paraId="5AA0B372" w14:textId="0CF4EF72" w:rsidR="00214623" w:rsidRDefault="00320085" w:rsidP="002C4BAD">
      <w:pPr>
        <w:spacing w:line="360" w:lineRule="auto"/>
        <w:ind w:right="49"/>
        <w:jc w:val="both"/>
        <w:rPr>
          <w:rFonts w:ascii="Arial" w:eastAsia="Calibri" w:hAnsi="Arial" w:cs="Arial"/>
          <w:bCs/>
          <w:sz w:val="26"/>
          <w:szCs w:val="26"/>
        </w:rPr>
      </w:pPr>
      <w:r>
        <w:rPr>
          <w:rFonts w:ascii="Arial" w:hAnsi="Arial" w:cs="Arial"/>
          <w:sz w:val="26"/>
          <w:szCs w:val="26"/>
        </w:rPr>
        <w:tab/>
      </w:r>
      <w:r w:rsidR="002A75FA">
        <w:rPr>
          <w:rFonts w:ascii="Arial" w:eastAsia="Calibri" w:hAnsi="Arial" w:cs="Arial"/>
          <w:bCs/>
          <w:sz w:val="26"/>
          <w:szCs w:val="26"/>
        </w:rPr>
        <w:t xml:space="preserve">Ahora bien, </w:t>
      </w:r>
      <w:r w:rsidR="002C4BAD">
        <w:rPr>
          <w:rFonts w:ascii="Arial" w:eastAsia="Calibri" w:hAnsi="Arial" w:cs="Arial"/>
          <w:bCs/>
          <w:sz w:val="26"/>
          <w:szCs w:val="26"/>
        </w:rPr>
        <w:t xml:space="preserve">la Sexta Sala Unitaria de Primera Instancia declaró la validez de la resolución contenida en el oficio </w:t>
      </w:r>
      <w:r w:rsidR="00110A19">
        <w:rPr>
          <w:rFonts w:ascii="Arial" w:hAnsi="Arial" w:cs="Arial"/>
          <w:b/>
          <w:sz w:val="26"/>
          <w:szCs w:val="26"/>
        </w:rPr>
        <w:t>*******</w:t>
      </w:r>
      <w:r w:rsidR="002C4BAD">
        <w:rPr>
          <w:rFonts w:ascii="Arial" w:hAnsi="Arial" w:cs="Arial"/>
          <w:b/>
          <w:sz w:val="26"/>
          <w:szCs w:val="26"/>
        </w:rPr>
        <w:t xml:space="preserve"> </w:t>
      </w:r>
      <w:r w:rsidR="002A75FA" w:rsidRPr="00F062FC">
        <w:rPr>
          <w:rFonts w:ascii="Arial" w:eastAsia="Calibri" w:hAnsi="Arial" w:cs="Arial"/>
          <w:bCs/>
          <w:sz w:val="26"/>
          <w:szCs w:val="26"/>
        </w:rPr>
        <w:t>en l</w:t>
      </w:r>
      <w:r w:rsidR="002A75FA">
        <w:rPr>
          <w:rFonts w:ascii="Arial" w:eastAsia="Calibri" w:hAnsi="Arial" w:cs="Arial"/>
          <w:bCs/>
          <w:sz w:val="26"/>
          <w:szCs w:val="26"/>
        </w:rPr>
        <w:t>a sentencia dictada el dieciocho de octubre de dos mil veintiuno</w:t>
      </w:r>
      <w:r w:rsidR="002A75FA">
        <w:rPr>
          <w:rStyle w:val="Refdenotaalpie"/>
          <w:rFonts w:ascii="Arial" w:eastAsia="Calibri" w:hAnsi="Arial" w:cs="Arial"/>
          <w:bCs/>
          <w:sz w:val="26"/>
          <w:szCs w:val="26"/>
        </w:rPr>
        <w:footnoteReference w:id="3"/>
      </w:r>
      <w:r w:rsidR="002A75FA">
        <w:rPr>
          <w:rFonts w:ascii="Arial" w:eastAsia="Calibri" w:hAnsi="Arial" w:cs="Arial"/>
          <w:bCs/>
          <w:sz w:val="26"/>
          <w:szCs w:val="26"/>
        </w:rPr>
        <w:t xml:space="preserve">, </w:t>
      </w:r>
      <w:r w:rsidR="002C4BAD">
        <w:rPr>
          <w:rFonts w:ascii="Arial" w:eastAsia="Calibri" w:hAnsi="Arial" w:cs="Arial"/>
          <w:bCs/>
          <w:sz w:val="26"/>
          <w:szCs w:val="26"/>
        </w:rPr>
        <w:t xml:space="preserve">cuyo considerando quinto se inserta a continuación: </w:t>
      </w:r>
      <w:r w:rsidR="00214623">
        <w:rPr>
          <w:rFonts w:ascii="Arial" w:eastAsia="Calibri" w:hAnsi="Arial" w:cs="Arial"/>
          <w:bCs/>
          <w:sz w:val="26"/>
          <w:szCs w:val="26"/>
        </w:rPr>
        <w:t xml:space="preserve"> </w:t>
      </w:r>
    </w:p>
    <w:p w14:paraId="6F364B5E" w14:textId="7F0B8B77" w:rsidR="00560ED0" w:rsidRDefault="002C4BAD" w:rsidP="00445003">
      <w:pPr>
        <w:ind w:left="567" w:right="616"/>
        <w:jc w:val="both"/>
        <w:rPr>
          <w:rFonts w:ascii="Arial" w:hAnsi="Arial" w:cs="Arial"/>
          <w:i/>
        </w:rPr>
      </w:pPr>
      <w:r>
        <w:rPr>
          <w:rFonts w:ascii="Arial" w:hAnsi="Arial" w:cs="Arial"/>
          <w:b/>
          <w:i/>
        </w:rPr>
        <w:t>“</w:t>
      </w:r>
      <w:r w:rsidR="00560ED0">
        <w:rPr>
          <w:rFonts w:ascii="Arial" w:hAnsi="Arial" w:cs="Arial"/>
          <w:b/>
          <w:i/>
        </w:rPr>
        <w:t xml:space="preserve">QUINTO: Litis del juicio. </w:t>
      </w:r>
      <w:r w:rsidR="00560ED0">
        <w:rPr>
          <w:rFonts w:ascii="Arial" w:hAnsi="Arial" w:cs="Arial"/>
          <w:i/>
        </w:rPr>
        <w:t xml:space="preserve">El actor </w:t>
      </w:r>
      <w:r w:rsidR="00110A19">
        <w:rPr>
          <w:rFonts w:ascii="Arial" w:hAnsi="Arial" w:cs="Arial"/>
          <w:b/>
          <w:i/>
        </w:rPr>
        <w:t>*******</w:t>
      </w:r>
      <w:r w:rsidR="00560ED0">
        <w:rPr>
          <w:rFonts w:ascii="Arial" w:hAnsi="Arial" w:cs="Arial"/>
          <w:b/>
          <w:i/>
        </w:rPr>
        <w:t xml:space="preserve">, a través de su Apoderado Legal </w:t>
      </w:r>
      <w:r w:rsidR="00110A19">
        <w:rPr>
          <w:rFonts w:ascii="Arial" w:hAnsi="Arial" w:cs="Arial"/>
          <w:b/>
          <w:i/>
        </w:rPr>
        <w:t>*******</w:t>
      </w:r>
      <w:r w:rsidR="00560ED0">
        <w:rPr>
          <w:rFonts w:ascii="Arial" w:hAnsi="Arial" w:cs="Arial"/>
          <w:b/>
          <w:i/>
        </w:rPr>
        <w:t xml:space="preserve">, </w:t>
      </w:r>
      <w:r w:rsidR="00560ED0">
        <w:rPr>
          <w:rFonts w:ascii="Arial" w:hAnsi="Arial" w:cs="Arial"/>
          <w:i/>
        </w:rPr>
        <w:t xml:space="preserve">demandó la nulidad de la resolución contenida en el oficio número </w:t>
      </w:r>
      <w:r w:rsidR="00110A19">
        <w:rPr>
          <w:rFonts w:ascii="Arial" w:hAnsi="Arial" w:cs="Arial"/>
          <w:i/>
        </w:rPr>
        <w:t>*******</w:t>
      </w:r>
      <w:r w:rsidR="00560ED0">
        <w:rPr>
          <w:rFonts w:ascii="Arial" w:hAnsi="Arial" w:cs="Arial"/>
          <w:i/>
        </w:rPr>
        <w:t xml:space="preserve"> de quince de mayo de dos mil diecinueve, emitida por el Jefe de la Unidad Jurídica del Instituto Catastral del Estado de Oaxaca.</w:t>
      </w:r>
    </w:p>
    <w:p w14:paraId="10F64D69" w14:textId="1774A932" w:rsidR="00560ED0" w:rsidRDefault="00560ED0" w:rsidP="00445003">
      <w:pPr>
        <w:ind w:left="567" w:right="616"/>
        <w:jc w:val="both"/>
        <w:rPr>
          <w:rFonts w:ascii="Arial" w:hAnsi="Arial" w:cs="Arial"/>
          <w:i/>
        </w:rPr>
      </w:pPr>
      <w:r>
        <w:rPr>
          <w:rFonts w:ascii="Arial" w:hAnsi="Arial" w:cs="Arial"/>
          <w:i/>
        </w:rPr>
        <w:t>El actor en sus conceptos de impugnación expresó que el artículo 40 del Reglamento de la Ley de Catastro del Estado de Oaxaca, aplica a la propiedad, posesión o modificación de dominio de un predio cuando se trate de traslado de dominio, rectificación de valor espont</w:t>
      </w:r>
      <w:r w:rsidR="00BE11B9">
        <w:rPr>
          <w:rFonts w:ascii="Arial" w:hAnsi="Arial" w:cs="Arial"/>
          <w:i/>
        </w:rPr>
        <w:t>á</w:t>
      </w:r>
      <w:r>
        <w:rPr>
          <w:rFonts w:ascii="Arial" w:hAnsi="Arial" w:cs="Arial"/>
          <w:i/>
        </w:rPr>
        <w:t xml:space="preserve">neo, construcciones nuevas y construcción de terrenos ejidales, siendo inaplicable al trámite de corrección de medidas. </w:t>
      </w:r>
    </w:p>
    <w:p w14:paraId="54047D26" w14:textId="77777777" w:rsidR="00560ED0" w:rsidRDefault="00560ED0" w:rsidP="00445003">
      <w:pPr>
        <w:ind w:left="567" w:right="616"/>
        <w:jc w:val="both"/>
        <w:rPr>
          <w:rFonts w:ascii="Arial" w:hAnsi="Arial" w:cs="Arial"/>
          <w:i/>
        </w:rPr>
      </w:pPr>
      <w:r>
        <w:rPr>
          <w:rFonts w:ascii="Arial" w:hAnsi="Arial" w:cs="Arial"/>
          <w:i/>
        </w:rPr>
        <w:t xml:space="preserve">En otra parte indica que la autoridad demandada carece de competencia legal para calificar e invalidad (sic) una diligencia de apeo y deslinde llevada a cabo por un alcalde municipal; ni para asumir la defensa de un particular en perjuicio de otro particular, porque su función es realizar operaciones catastrales, por lo que no puede aseverar que con la diligencia de deslinde se están afectando derechos de terceros; precisa también que es inexacto que con la diligencia de deslinde se tenga que comprobar la posesión y propiedad de la superficie excedente de un trámite de corrección de medidas. </w:t>
      </w:r>
    </w:p>
    <w:p w14:paraId="4B4209FF" w14:textId="77777777" w:rsidR="00560ED0" w:rsidRDefault="00560ED0" w:rsidP="00445003">
      <w:pPr>
        <w:ind w:left="567" w:right="616"/>
        <w:jc w:val="both"/>
        <w:rPr>
          <w:rFonts w:ascii="Arial" w:hAnsi="Arial" w:cs="Arial"/>
          <w:i/>
        </w:rPr>
      </w:pPr>
      <w:r>
        <w:rPr>
          <w:rFonts w:ascii="Arial" w:hAnsi="Arial" w:cs="Arial"/>
          <w:i/>
        </w:rPr>
        <w:t xml:space="preserve">También señala, que la autoridad catastral no tiene facultad legal para conocer y decidir si una persona es propietario o poseedor de un terreno o de un inmueble cuyo trámite de corrección de medidas está solicitando, al ser un derecho de naturaleza civil y es a dichas autoridades a quienes les corresponde decidir mediante un juicio quién es el propietario o poseedor de un terreno. </w:t>
      </w:r>
    </w:p>
    <w:p w14:paraId="3F866AC1" w14:textId="77777777" w:rsidR="00560ED0" w:rsidRDefault="00560ED0" w:rsidP="00445003">
      <w:pPr>
        <w:ind w:left="567" w:right="616"/>
        <w:jc w:val="both"/>
        <w:rPr>
          <w:rFonts w:ascii="Arial" w:hAnsi="Arial" w:cs="Arial"/>
          <w:i/>
        </w:rPr>
      </w:pPr>
      <w:r>
        <w:rPr>
          <w:rFonts w:ascii="Arial" w:hAnsi="Arial" w:cs="Arial"/>
          <w:i/>
        </w:rPr>
        <w:t xml:space="preserve">Finalmente aduce que el artículo 51 de la Ley de Catastro señala que todo propietario o poseedor de un inmueble, tiene derecho a que se le reciban solicitudes relativas a trámites catastrales, por lo que dicho artículo consigan la facultad potestativa del contribuyente de </w:t>
      </w:r>
      <w:r>
        <w:rPr>
          <w:rFonts w:ascii="Arial" w:hAnsi="Arial" w:cs="Arial"/>
          <w:i/>
        </w:rPr>
        <w:lastRenderedPageBreak/>
        <w:t>considerarse propietario o poseedor, pero dicha norma no señala la obligación de comprobar ser propietario o poseedor y mucho menos se establece esa obligación como presupuesto de procedibilidad para admitir a trámite una solicitud catastral.</w:t>
      </w:r>
    </w:p>
    <w:p w14:paraId="22BA5644" w14:textId="1E47ED8E" w:rsidR="00560ED0" w:rsidRDefault="00560ED0" w:rsidP="00445003">
      <w:pPr>
        <w:ind w:left="567" w:right="616"/>
        <w:jc w:val="both"/>
        <w:rPr>
          <w:rFonts w:ascii="Arial" w:hAnsi="Arial" w:cs="Arial"/>
          <w:i/>
        </w:rPr>
      </w:pPr>
      <w:r>
        <w:rPr>
          <w:rFonts w:ascii="Arial" w:hAnsi="Arial" w:cs="Arial"/>
          <w:b/>
          <w:i/>
        </w:rPr>
        <w:t xml:space="preserve">Análisis.- </w:t>
      </w:r>
      <w:r>
        <w:rPr>
          <w:rFonts w:ascii="Arial" w:hAnsi="Arial" w:cs="Arial"/>
          <w:i/>
        </w:rPr>
        <w:t xml:space="preserve">El actor ofreció entre otras pruebas, las documentales públicas consistentes en: la solicitud de trámite catastral de rectificación de medidas, de cinco de septiembre de dos mil diecisiete, la determinación contenida en el oficio </w:t>
      </w:r>
      <w:r w:rsidR="00110A19">
        <w:rPr>
          <w:rFonts w:ascii="Arial" w:hAnsi="Arial" w:cs="Arial"/>
          <w:i/>
        </w:rPr>
        <w:t>*******</w:t>
      </w:r>
      <w:r>
        <w:rPr>
          <w:rFonts w:ascii="Arial" w:hAnsi="Arial" w:cs="Arial"/>
          <w:i/>
        </w:rPr>
        <w:t xml:space="preserve"> de veintinueve de septiembre de dos mil diecisiete, emitido por la Jefa del Departamento de Tramitación de Solicitudes del Instituto Catastral del Estado de Oaxaca, el escrito de interposición de recurso de revisión de veinticinco de octubre de dos mil diecisiete; así como la resolución de quince de mayo de dos mil diecinueve, emitida por el jefe de la Unidad Jurídica del Instituto Catastral para el Estado de Oaxaca; documentales que por su naturaleza adquieren plena eficacia probatoria de acuerdo con lo dispuesto por el artículo 203 fracción I</w:t>
      </w:r>
      <w:r>
        <w:rPr>
          <w:rFonts w:ascii="Arial" w:hAnsi="Arial" w:cs="Arial"/>
          <w:i/>
          <w:vertAlign w:val="superscript"/>
        </w:rPr>
        <w:t>3</w:t>
      </w:r>
      <w:r>
        <w:rPr>
          <w:rFonts w:ascii="Arial" w:hAnsi="Arial" w:cs="Arial"/>
          <w:i/>
        </w:rPr>
        <w:t>de la Ley de Procedimiento y Justicia Administrativa para el Estado de Oaxaca.</w:t>
      </w:r>
    </w:p>
    <w:p w14:paraId="618C349C" w14:textId="0CBC9BF8" w:rsidR="00560ED0" w:rsidRDefault="00560ED0" w:rsidP="00445003">
      <w:pPr>
        <w:ind w:left="567" w:right="616"/>
        <w:jc w:val="both"/>
        <w:rPr>
          <w:rFonts w:ascii="Arial" w:hAnsi="Arial" w:cs="Arial"/>
          <w:i/>
        </w:rPr>
      </w:pPr>
      <w:r>
        <w:rPr>
          <w:rFonts w:ascii="Arial" w:hAnsi="Arial" w:cs="Arial"/>
          <w:i/>
        </w:rPr>
        <w:t>Del examen en su conjunto de dichos documentales se obtiene, que el aquí actor realizó una solicitud de trámite catastral de rectificación de medidas respecto del inmueble ubicado en la Calle</w:t>
      </w:r>
      <w:r w:rsidR="00110A19">
        <w:rPr>
          <w:rFonts w:ascii="Arial" w:hAnsi="Arial" w:cs="Arial"/>
          <w:i/>
        </w:rPr>
        <w:t>*******</w:t>
      </w:r>
      <w:r>
        <w:rPr>
          <w:rFonts w:ascii="Arial" w:hAnsi="Arial" w:cs="Arial"/>
          <w:i/>
        </w:rPr>
        <w:t xml:space="preserve">, ante el Instituto Catastral del Estado de Oaxaca; solicitud a la que recayó respuesta mediante oficio </w:t>
      </w:r>
      <w:r w:rsidR="00110A19">
        <w:rPr>
          <w:rFonts w:ascii="Arial" w:hAnsi="Arial" w:cs="Arial"/>
          <w:i/>
        </w:rPr>
        <w:t>*******</w:t>
      </w:r>
      <w:r>
        <w:rPr>
          <w:rFonts w:ascii="Arial" w:hAnsi="Arial" w:cs="Arial"/>
          <w:i/>
        </w:rPr>
        <w:t xml:space="preserve">, en la que la Jefa del Departamento de Tramitación de Solicitudes del Instituto Catastral del Estado de Oaxaca; solicitud a la que recayó respuesta mediante oficio </w:t>
      </w:r>
      <w:r w:rsidR="00110A19">
        <w:rPr>
          <w:rFonts w:ascii="Arial" w:hAnsi="Arial" w:cs="Arial"/>
          <w:i/>
        </w:rPr>
        <w:t>*******</w:t>
      </w:r>
      <w:r>
        <w:rPr>
          <w:rFonts w:ascii="Arial" w:hAnsi="Arial" w:cs="Arial"/>
          <w:i/>
        </w:rPr>
        <w:t xml:space="preserve">, en la que la Jefa del Departamento de Tramitación de Solicitudes del Instituto Catastral del Estado de Oaxaca, determinó improcedente el trámite de referencia, porque al realizar la ubicación del bien inmueble en la cartografía de ese Instituto, se observó que de las medidas manifestadas en el antecedente y la diligencia de apeo y deslinde anexadas por el solicitante, el predio crece un ciento por ciento; que derivado de ello, el aquí actor interpuso recurso de revisión contra dicha determinación; la cual fue resuelta mediante resolución de quince de mayo de dos mil diecinueve, emitida por el Jefe de la Unidad Jurídica del Instituto Catastral para el Estado de Oaxaca. </w:t>
      </w:r>
    </w:p>
    <w:p w14:paraId="5ACB3091" w14:textId="5041CD81" w:rsidR="00560ED0" w:rsidRDefault="00560ED0" w:rsidP="00445003">
      <w:pPr>
        <w:ind w:left="567" w:right="616"/>
        <w:jc w:val="both"/>
        <w:rPr>
          <w:rFonts w:ascii="Arial" w:hAnsi="Arial" w:cs="Arial"/>
          <w:i/>
        </w:rPr>
      </w:pPr>
      <w:r>
        <w:rPr>
          <w:rFonts w:ascii="Arial" w:hAnsi="Arial" w:cs="Arial"/>
          <w:i/>
        </w:rPr>
        <w:t xml:space="preserve">Ahora del estudio a la resolución de quince de mayo de dos mil diecinueve, se obtiene que su emisor Jefe de la Unidad Jurídica del Instituto Catastral para el Estado de Oaxaca, estableció que el fondo del recurso de revisión es resolver sobre la procedencia o improcedencia del trámite de corrección de medidas iniciado con la solicitud de cinco de septiembre de dos mil diecisiete, y que para ello, debía analizar primeramente si se cumple con los requisitos de procedibilidad exigidos en el artículo 49 del Reglamento de la Ley de Catastro; siendo así que del análisis a tales requisitos finalizó concluyendo en confirmar la improcedencia del trámite catastral de rectificación de datos; al considerar: </w:t>
      </w:r>
      <w:r>
        <w:rPr>
          <w:rFonts w:ascii="Arial" w:hAnsi="Arial" w:cs="Arial"/>
          <w:b/>
          <w:i/>
        </w:rPr>
        <w:t xml:space="preserve">1. </w:t>
      </w:r>
      <w:r>
        <w:rPr>
          <w:rFonts w:ascii="Arial" w:hAnsi="Arial" w:cs="Arial"/>
          <w:i/>
        </w:rPr>
        <w:t>Que la solicitud de trámite catastral de rectificación de medidas, no se encuentra debidamente requisita, porque</w:t>
      </w:r>
      <w:r w:rsidR="00B9330A">
        <w:rPr>
          <w:rFonts w:ascii="Arial" w:hAnsi="Arial" w:cs="Arial"/>
          <w:i/>
        </w:rPr>
        <w:t xml:space="preserve"> en el casillero relacionado a l</w:t>
      </w:r>
      <w:r>
        <w:rPr>
          <w:rFonts w:ascii="Arial" w:hAnsi="Arial" w:cs="Arial"/>
          <w:i/>
        </w:rPr>
        <w:t xml:space="preserve">as medidas, se inserta unas medidas que no acredita con documento idóneo ser propietario; </w:t>
      </w:r>
      <w:r>
        <w:rPr>
          <w:rFonts w:ascii="Arial" w:hAnsi="Arial" w:cs="Arial"/>
          <w:b/>
          <w:i/>
        </w:rPr>
        <w:t xml:space="preserve">2. </w:t>
      </w:r>
      <w:r>
        <w:rPr>
          <w:rFonts w:ascii="Arial" w:hAnsi="Arial" w:cs="Arial"/>
          <w:i/>
        </w:rPr>
        <w:t xml:space="preserve">Que el recurrente presentó contrato de compraventa de diez de septiembre de dos mil novecientos cincuenta y cuatro, especto (sic) del  bien inmueble materia de la solicitud, acreditando con dicha documental los derechos de propiedad y posesión de la superficie del inmueble ahí especificado, pero no del excedente del cien por ciento; </w:t>
      </w:r>
      <w:r>
        <w:rPr>
          <w:rFonts w:ascii="Arial" w:hAnsi="Arial" w:cs="Arial"/>
          <w:b/>
          <w:i/>
        </w:rPr>
        <w:t xml:space="preserve">3. </w:t>
      </w:r>
      <w:r>
        <w:rPr>
          <w:rFonts w:ascii="Arial" w:hAnsi="Arial" w:cs="Arial"/>
          <w:i/>
        </w:rPr>
        <w:t xml:space="preserve">Que de la diligencia de apeo y deslinde celebra el veintidós de agosto de dos mil dieciséis, levantada ante el Alcalde único Constitucional </w:t>
      </w:r>
      <w:proofErr w:type="gramStart"/>
      <w:r>
        <w:rPr>
          <w:rFonts w:ascii="Arial" w:hAnsi="Arial" w:cs="Arial"/>
          <w:i/>
        </w:rPr>
        <w:t xml:space="preserve">de </w:t>
      </w:r>
      <w:r w:rsidR="00110A19">
        <w:rPr>
          <w:rFonts w:ascii="Arial" w:hAnsi="Arial" w:cs="Arial"/>
          <w:i/>
        </w:rPr>
        <w:t xml:space="preserve"> </w:t>
      </w:r>
      <w:r>
        <w:rPr>
          <w:rFonts w:ascii="Arial" w:hAnsi="Arial" w:cs="Arial"/>
          <w:i/>
        </w:rPr>
        <w:t>,</w:t>
      </w:r>
      <w:proofErr w:type="gramEnd"/>
      <w:r>
        <w:rPr>
          <w:rFonts w:ascii="Arial" w:hAnsi="Arial" w:cs="Arial"/>
          <w:i/>
        </w:rPr>
        <w:t xml:space="preserve"> que exhibió, de la operación aritmética realizada a los metros cuadrados de la superficie que consta en la escritura y apeo y </w:t>
      </w:r>
      <w:r>
        <w:rPr>
          <w:rFonts w:ascii="Arial" w:hAnsi="Arial" w:cs="Arial"/>
          <w:i/>
        </w:rPr>
        <w:lastRenderedPageBreak/>
        <w:t xml:space="preserve">deslinde, da como resultado que la superficie del terreno acrecenté más del veinte por ciento; </w:t>
      </w:r>
      <w:r>
        <w:rPr>
          <w:rFonts w:ascii="Arial" w:hAnsi="Arial" w:cs="Arial"/>
          <w:b/>
          <w:i/>
        </w:rPr>
        <w:t xml:space="preserve">4. </w:t>
      </w:r>
      <w:r>
        <w:rPr>
          <w:rFonts w:ascii="Arial" w:hAnsi="Arial" w:cs="Arial"/>
          <w:i/>
        </w:rPr>
        <w:t>Que del análisis al contrato de compraventa y la diligencia de apeo y deslinde, se advierte una discrepancia entre las medidas, al derivarse un excedente de la que no acredita propiedad el solicitante, y que conforme con lo dispuesto por el artículo 51 fracción I de la Ley de Catastro para el Estado de Oaxaca, sólo los propietarios o poseedores tienen derecho a que se les reciba manifestaciones o avisos y que las diligencias de apeo y deslinde no acreditan la propiedad de los inmuebles.</w:t>
      </w:r>
    </w:p>
    <w:p w14:paraId="40131A18" w14:textId="77777777" w:rsidR="00560ED0" w:rsidRDefault="00560ED0" w:rsidP="00445003">
      <w:pPr>
        <w:ind w:left="567" w:right="616"/>
        <w:jc w:val="both"/>
        <w:rPr>
          <w:rFonts w:ascii="Arial" w:hAnsi="Arial" w:cs="Arial"/>
          <w:i/>
        </w:rPr>
      </w:pPr>
      <w:r>
        <w:rPr>
          <w:rFonts w:ascii="Arial" w:hAnsi="Arial" w:cs="Arial"/>
          <w:i/>
        </w:rPr>
        <w:t xml:space="preserve">Lo anterior colige la </w:t>
      </w:r>
      <w:r>
        <w:rPr>
          <w:rFonts w:ascii="Arial" w:hAnsi="Arial" w:cs="Arial"/>
          <w:b/>
          <w:i/>
        </w:rPr>
        <w:t xml:space="preserve">ineficiencia </w:t>
      </w:r>
      <w:r>
        <w:rPr>
          <w:rFonts w:ascii="Arial" w:hAnsi="Arial" w:cs="Arial"/>
          <w:i/>
        </w:rPr>
        <w:t>de los argumentos esgrimidos por el actor en sus conceptos de impugnación, pues contrario a sus alegaciones, no fue citado como fundamento para determinar la improcedencia del trámite catastral de corrección de medidas, lo dispuesto por el artículo 40 del Reglamento de la Ley de Catastro del Estado de Oaxaca; tampoco es verdad, que la demandada haya calificado e invalidado la diligencia de apeo y deslinde; porque lo que la autoridad demandada señaló esencialmente es que del contrato de compraventa y la diligencia de apeo y deslinde, se evidencio y acrecentamiento del bien inmueble en cuanto a sus medidas y que de este no acreditó el solicitante su propiedad; tampoco asumió la defensa de un particular en perjuicio de otro particular, señala el actor, al aseverar que con la diligencia de deslinde se están afectando derechos de terceros; pues esta consideración que refiere el demandante no fue plasmada en la resolución impugnada.</w:t>
      </w:r>
    </w:p>
    <w:p w14:paraId="37DCE861" w14:textId="77777777" w:rsidR="00560ED0" w:rsidRDefault="00560ED0" w:rsidP="00445003">
      <w:pPr>
        <w:ind w:left="567" w:right="616"/>
        <w:jc w:val="both"/>
        <w:rPr>
          <w:rFonts w:ascii="Arial" w:hAnsi="Arial" w:cs="Arial"/>
          <w:i/>
        </w:rPr>
      </w:pPr>
      <w:r>
        <w:rPr>
          <w:rFonts w:ascii="Arial" w:hAnsi="Arial" w:cs="Arial"/>
          <w:i/>
        </w:rPr>
        <w:t xml:space="preserve">En cuanto a que la autoridad catastral no tiene facultad legal para conocer y decidir si una persona es propietario o poseedor de un terreno o de un inmueble cuyo trámite de corrección de medidas está solicitando, dicha situación tampoco fue parte de la resolución en análisis, pues se insiste lo que la demandada estableció fue la improcedencia del trámite catastral derivado del incumplimiento de requisitos previstos en el artículo 49 del Reglamento de la Ley de Catastro. </w:t>
      </w:r>
    </w:p>
    <w:p w14:paraId="30CBAD07" w14:textId="77777777" w:rsidR="00560ED0" w:rsidRDefault="00560ED0" w:rsidP="00445003">
      <w:pPr>
        <w:ind w:left="567" w:right="616"/>
        <w:jc w:val="both"/>
        <w:rPr>
          <w:rFonts w:ascii="Arial" w:hAnsi="Arial" w:cs="Arial"/>
          <w:i/>
        </w:rPr>
      </w:pPr>
      <w:r>
        <w:rPr>
          <w:rFonts w:ascii="Arial" w:hAnsi="Arial" w:cs="Arial"/>
          <w:i/>
        </w:rPr>
        <w:t>Por último, referente a la afirmación de que el artículo 51</w:t>
      </w:r>
      <w:r>
        <w:rPr>
          <w:rFonts w:ascii="Arial" w:hAnsi="Arial" w:cs="Arial"/>
          <w:i/>
          <w:vertAlign w:val="superscript"/>
        </w:rPr>
        <w:t>4</w:t>
      </w:r>
      <w:r>
        <w:rPr>
          <w:rFonts w:ascii="Arial" w:hAnsi="Arial" w:cs="Arial"/>
          <w:i/>
        </w:rPr>
        <w:t xml:space="preserve"> de la Ley de Catastro, consigna la facultad potestativa del contribuyente de considerarse propietario o poseedor, pero dicha norma no señala la obligación de comprobar ser propietario o poseedor y mucho menos se establece esa obligación como presupuesto de procedibilidad para admitir a trámite una solicitud catastral; resulta también </w:t>
      </w:r>
      <w:r>
        <w:rPr>
          <w:rFonts w:ascii="Arial" w:hAnsi="Arial" w:cs="Arial"/>
          <w:b/>
          <w:i/>
        </w:rPr>
        <w:t xml:space="preserve">ineficaz; </w:t>
      </w:r>
      <w:r>
        <w:rPr>
          <w:rFonts w:ascii="Arial" w:hAnsi="Arial" w:cs="Arial"/>
          <w:i/>
        </w:rPr>
        <w:t xml:space="preserve">porque, lo que dicho artículo preceptúa es que los propietarios y poseedores de bienes inmuebles tienen derecho a: que se les reciban las manifestaciones, avisos, solicitudes y escritos relacionados con las funciones y atribuciones propias del Instituto Catastral del Estado de Oaxaca, a obtener un avalúo apegado a la Ley, al instructivo técnico de valuación, a la zonificación catastral y a la tabla de valores unitarios de suelo y construcciones, a solicitar la medición de su propiedad o posesión, así como copias certificadas de los documentos catastrales, a interponer los recursos previstos en la Ley, a conocer los resultados de los avalúos señalados en el artículo 17 de la Ley de Catastro, a enterarse de los requisitos y formatos que para cada tipo de trámite catastral se requieren, así como de los derechos e impuestos que se generen por cada uno de ellos; pero en ninguna parte precisa la facultad potestativa del contribuyente de considerarse propietario o poseedor, como lo afirma el actor. </w:t>
      </w:r>
    </w:p>
    <w:p w14:paraId="10B9AC94" w14:textId="37285BBC" w:rsidR="00560ED0" w:rsidRDefault="00560ED0" w:rsidP="00445003">
      <w:pPr>
        <w:ind w:left="567" w:right="616"/>
        <w:jc w:val="both"/>
        <w:rPr>
          <w:rFonts w:ascii="Arial" w:hAnsi="Arial" w:cs="Arial"/>
          <w:i/>
        </w:rPr>
      </w:pPr>
      <w:r>
        <w:rPr>
          <w:rFonts w:ascii="Arial" w:hAnsi="Arial" w:cs="Arial"/>
          <w:i/>
        </w:rPr>
        <w:t xml:space="preserve">Por todo lo anteriormente expuesto, y ante la </w:t>
      </w:r>
      <w:r>
        <w:rPr>
          <w:rFonts w:ascii="Arial" w:hAnsi="Arial" w:cs="Arial"/>
          <w:b/>
          <w:i/>
        </w:rPr>
        <w:t xml:space="preserve">ineficaz </w:t>
      </w:r>
      <w:r>
        <w:rPr>
          <w:rFonts w:ascii="Arial" w:hAnsi="Arial" w:cs="Arial"/>
          <w:i/>
        </w:rPr>
        <w:t xml:space="preserve">de las alegaciones planteadas por el actor en sus conceptos de impugnación, se acredita la legalidad del acto impugnado; por lo que se declara la </w:t>
      </w:r>
      <w:r>
        <w:rPr>
          <w:rFonts w:ascii="Arial" w:hAnsi="Arial" w:cs="Arial"/>
          <w:b/>
          <w:i/>
        </w:rPr>
        <w:t xml:space="preserve">VALIDEZ </w:t>
      </w:r>
      <w:r>
        <w:rPr>
          <w:rFonts w:ascii="Arial" w:hAnsi="Arial" w:cs="Arial"/>
          <w:i/>
        </w:rPr>
        <w:t xml:space="preserve">de la </w:t>
      </w:r>
      <w:r>
        <w:rPr>
          <w:rFonts w:ascii="Arial" w:hAnsi="Arial" w:cs="Arial"/>
          <w:i/>
        </w:rPr>
        <w:lastRenderedPageBreak/>
        <w:t xml:space="preserve">resolución contenida en el oficio </w:t>
      </w:r>
      <w:r w:rsidR="00110A19">
        <w:rPr>
          <w:rFonts w:ascii="Arial" w:hAnsi="Arial" w:cs="Arial"/>
          <w:i/>
        </w:rPr>
        <w:t>*******</w:t>
      </w:r>
      <w:r>
        <w:rPr>
          <w:rFonts w:ascii="Arial" w:hAnsi="Arial" w:cs="Arial"/>
          <w:i/>
        </w:rPr>
        <w:t xml:space="preserve"> de quince de mayo de dos mil diecinueve, emitida por el Jefe de la Unidad Jurídica del Instituto Catastral del Estado de Oaxaca.</w:t>
      </w:r>
      <w:r w:rsidR="00C211E8">
        <w:rPr>
          <w:rFonts w:ascii="Arial" w:hAnsi="Arial" w:cs="Arial"/>
          <w:i/>
        </w:rPr>
        <w:t>”</w:t>
      </w:r>
    </w:p>
    <w:p w14:paraId="70C402E7" w14:textId="5277DF0C" w:rsidR="00AF4F64" w:rsidRPr="009226EF" w:rsidRDefault="00AF4F64" w:rsidP="00410A80">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Como se ve, </w:t>
      </w:r>
      <w:r w:rsidR="0014456A">
        <w:rPr>
          <w:rFonts w:ascii="Arial" w:hAnsi="Arial" w:cs="Arial"/>
          <w:bCs/>
          <w:color w:val="000000"/>
          <w:sz w:val="26"/>
          <w:szCs w:val="26"/>
          <w:lang w:val="es-MX"/>
        </w:rPr>
        <w:t xml:space="preserve">no obstante que </w:t>
      </w:r>
      <w:r>
        <w:rPr>
          <w:rFonts w:ascii="Arial" w:hAnsi="Arial" w:cs="Arial"/>
          <w:bCs/>
          <w:color w:val="000000"/>
          <w:sz w:val="26"/>
          <w:szCs w:val="26"/>
          <w:lang w:val="es-MX"/>
        </w:rPr>
        <w:t xml:space="preserve">en el fallo impugnado </w:t>
      </w:r>
      <w:r w:rsidR="0014456A">
        <w:rPr>
          <w:rFonts w:ascii="Arial" w:hAnsi="Arial" w:cs="Arial"/>
          <w:bCs/>
          <w:color w:val="000000"/>
          <w:sz w:val="26"/>
          <w:szCs w:val="26"/>
          <w:lang w:val="es-MX"/>
        </w:rPr>
        <w:t xml:space="preserve">la </w:t>
      </w:r>
      <w:r w:rsidRPr="00B10D0A">
        <w:rPr>
          <w:rFonts w:ascii="Arial" w:hAnsi="Arial" w:cs="Arial"/>
          <w:bCs/>
          <w:i/>
          <w:color w:val="000000"/>
          <w:sz w:val="26"/>
          <w:szCs w:val="26"/>
          <w:lang w:val="es-MX"/>
        </w:rPr>
        <w:t>A quo</w:t>
      </w:r>
      <w:r>
        <w:rPr>
          <w:rFonts w:ascii="Arial" w:hAnsi="Arial" w:cs="Arial"/>
          <w:bCs/>
          <w:color w:val="000000"/>
          <w:sz w:val="26"/>
          <w:szCs w:val="26"/>
          <w:lang w:val="es-MX"/>
        </w:rPr>
        <w:t xml:space="preserve"> </w:t>
      </w:r>
      <w:r w:rsidR="0014456A">
        <w:rPr>
          <w:rFonts w:ascii="Arial" w:hAnsi="Arial" w:cs="Arial"/>
          <w:bCs/>
          <w:color w:val="000000"/>
          <w:sz w:val="26"/>
          <w:szCs w:val="26"/>
          <w:lang w:val="es-MX"/>
        </w:rPr>
        <w:t>afirmó que estudió de manera</w:t>
      </w:r>
      <w:r w:rsidR="00F23B60">
        <w:rPr>
          <w:rFonts w:ascii="Arial" w:hAnsi="Arial" w:cs="Arial"/>
          <w:bCs/>
          <w:color w:val="000000"/>
          <w:sz w:val="26"/>
          <w:szCs w:val="26"/>
          <w:lang w:val="es-MX"/>
        </w:rPr>
        <w:t xml:space="preserve"> conjunta</w:t>
      </w:r>
      <w:r w:rsidR="0014456A">
        <w:rPr>
          <w:rFonts w:ascii="Arial" w:hAnsi="Arial" w:cs="Arial"/>
          <w:bCs/>
          <w:color w:val="000000"/>
          <w:sz w:val="26"/>
          <w:szCs w:val="26"/>
          <w:lang w:val="es-MX"/>
        </w:rPr>
        <w:t xml:space="preserve"> los conceptos de impugnación man</w:t>
      </w:r>
      <w:r w:rsidR="00F23B60">
        <w:rPr>
          <w:rFonts w:ascii="Arial" w:hAnsi="Arial" w:cs="Arial"/>
          <w:bCs/>
          <w:color w:val="000000"/>
          <w:sz w:val="26"/>
          <w:szCs w:val="26"/>
          <w:lang w:val="es-MX"/>
        </w:rPr>
        <w:t xml:space="preserve">ifestados por el demandante, se observa que ese análisis </w:t>
      </w:r>
      <w:r w:rsidR="002A620D">
        <w:rPr>
          <w:rFonts w:ascii="Arial" w:hAnsi="Arial" w:cs="Arial"/>
          <w:bCs/>
          <w:color w:val="000000"/>
          <w:sz w:val="26"/>
          <w:szCs w:val="26"/>
          <w:lang w:val="es-MX"/>
        </w:rPr>
        <w:t xml:space="preserve">fue incompleto porque se limitó a calificar los argumentos como ineficaces e ineficientes </w:t>
      </w:r>
      <w:r w:rsidR="00410A80">
        <w:rPr>
          <w:rFonts w:ascii="Arial" w:hAnsi="Arial" w:cs="Arial"/>
          <w:bCs/>
          <w:color w:val="000000"/>
          <w:sz w:val="26"/>
          <w:szCs w:val="26"/>
          <w:lang w:val="es-MX"/>
        </w:rPr>
        <w:t>sin haber estudiado</w:t>
      </w:r>
      <w:r w:rsidR="002A620D">
        <w:rPr>
          <w:rFonts w:ascii="Arial" w:hAnsi="Arial" w:cs="Arial"/>
          <w:bCs/>
          <w:color w:val="000000"/>
          <w:sz w:val="26"/>
          <w:szCs w:val="26"/>
          <w:lang w:val="es-MX"/>
        </w:rPr>
        <w:t xml:space="preserve"> </w:t>
      </w:r>
      <w:r w:rsidR="00410A80">
        <w:rPr>
          <w:rFonts w:ascii="Arial" w:hAnsi="Arial" w:cs="Arial"/>
          <w:bCs/>
          <w:color w:val="000000"/>
          <w:sz w:val="26"/>
          <w:szCs w:val="26"/>
          <w:lang w:val="es-MX"/>
        </w:rPr>
        <w:t>a fondo e</w:t>
      </w:r>
      <w:r w:rsidR="002A620D">
        <w:rPr>
          <w:rFonts w:ascii="Arial" w:hAnsi="Arial" w:cs="Arial"/>
          <w:bCs/>
          <w:color w:val="000000"/>
          <w:sz w:val="26"/>
          <w:szCs w:val="26"/>
          <w:lang w:val="es-MX"/>
        </w:rPr>
        <w:t xml:space="preserve">l contenido del </w:t>
      </w:r>
      <w:r w:rsidR="002A620D" w:rsidRPr="002A620D">
        <w:rPr>
          <w:rFonts w:ascii="Arial" w:hAnsi="Arial" w:cs="Arial"/>
          <w:bCs/>
          <w:color w:val="000000"/>
          <w:sz w:val="26"/>
          <w:szCs w:val="26"/>
          <w:lang w:val="es-MX"/>
        </w:rPr>
        <w:t xml:space="preserve">oficio </w:t>
      </w:r>
      <w:r w:rsidR="00110A19">
        <w:rPr>
          <w:rFonts w:ascii="Arial" w:hAnsi="Arial" w:cs="Arial"/>
          <w:b/>
          <w:bCs/>
          <w:color w:val="000000"/>
          <w:sz w:val="26"/>
          <w:szCs w:val="26"/>
          <w:lang w:val="es-MX"/>
        </w:rPr>
        <w:t>*******</w:t>
      </w:r>
      <w:r w:rsidR="002A620D" w:rsidRPr="002A620D">
        <w:rPr>
          <w:rFonts w:ascii="Arial" w:hAnsi="Arial" w:cs="Arial"/>
          <w:bCs/>
          <w:color w:val="000000"/>
          <w:sz w:val="26"/>
          <w:szCs w:val="26"/>
          <w:lang w:val="es-MX"/>
        </w:rPr>
        <w:t xml:space="preserve"> de quince de mayo de dos mil diecinueve</w:t>
      </w:r>
      <w:r w:rsidR="002A620D">
        <w:rPr>
          <w:rFonts w:ascii="Arial" w:hAnsi="Arial" w:cs="Arial"/>
          <w:bCs/>
          <w:color w:val="000000"/>
          <w:sz w:val="26"/>
          <w:szCs w:val="26"/>
          <w:lang w:val="es-MX"/>
        </w:rPr>
        <w:t xml:space="preserve">, </w:t>
      </w:r>
      <w:r>
        <w:rPr>
          <w:rFonts w:ascii="Arial" w:hAnsi="Arial" w:cs="Arial"/>
          <w:bCs/>
          <w:color w:val="000000"/>
          <w:sz w:val="26"/>
          <w:szCs w:val="26"/>
          <w:lang w:val="es-MX"/>
        </w:rPr>
        <w:t xml:space="preserve">omisión </w:t>
      </w:r>
      <w:r w:rsidR="00410A80">
        <w:rPr>
          <w:rFonts w:ascii="Arial" w:hAnsi="Arial" w:cs="Arial"/>
          <w:bCs/>
          <w:color w:val="000000"/>
          <w:sz w:val="26"/>
          <w:szCs w:val="26"/>
          <w:lang w:val="es-MX"/>
        </w:rPr>
        <w:t xml:space="preserve">que </w:t>
      </w:r>
      <w:r>
        <w:rPr>
          <w:rFonts w:ascii="Arial" w:hAnsi="Arial" w:cs="Arial"/>
          <w:bCs/>
          <w:color w:val="000000"/>
          <w:sz w:val="26"/>
          <w:szCs w:val="26"/>
          <w:lang w:val="es-MX"/>
        </w:rPr>
        <w:t>implica que la primera instancia dejó de atender de forma integral el asunto sometido a su conocimiento,</w:t>
      </w:r>
      <w:r w:rsidRPr="008F3237">
        <w:rPr>
          <w:rFonts w:ascii="Arial" w:hAnsi="Arial" w:cs="Arial"/>
          <w:bCs/>
          <w:color w:val="000000"/>
          <w:sz w:val="26"/>
          <w:szCs w:val="26"/>
          <w:lang w:val="es-MX"/>
        </w:rPr>
        <w:t xml:space="preserve"> </w:t>
      </w:r>
      <w:r>
        <w:rPr>
          <w:rFonts w:ascii="Arial" w:hAnsi="Arial" w:cs="Arial"/>
          <w:bCs/>
          <w:color w:val="000000"/>
          <w:sz w:val="26"/>
          <w:szCs w:val="26"/>
          <w:lang w:val="es-MX"/>
        </w:rPr>
        <w:t xml:space="preserve">contraviniendo así </w:t>
      </w:r>
      <w:r w:rsidRPr="00B36667">
        <w:rPr>
          <w:rFonts w:ascii="Arial" w:hAnsi="Arial" w:cs="Arial"/>
          <w:bCs/>
          <w:i/>
          <w:color w:val="000000"/>
          <w:sz w:val="26"/>
          <w:szCs w:val="26"/>
          <w:lang w:val="es-MX"/>
        </w:rPr>
        <w:t>el principio de exhaustividad</w:t>
      </w:r>
      <w:r>
        <w:rPr>
          <w:rFonts w:ascii="Arial" w:hAnsi="Arial" w:cs="Arial"/>
          <w:bCs/>
          <w:i/>
          <w:color w:val="000000"/>
          <w:sz w:val="26"/>
          <w:szCs w:val="26"/>
          <w:lang w:val="es-MX"/>
        </w:rPr>
        <w:t xml:space="preserve">, y </w:t>
      </w:r>
      <w:r>
        <w:rPr>
          <w:rFonts w:ascii="Arial" w:hAnsi="Arial" w:cs="Arial"/>
          <w:bCs/>
          <w:color w:val="000000"/>
          <w:sz w:val="26"/>
          <w:szCs w:val="26"/>
          <w:lang w:val="es-MX"/>
        </w:rPr>
        <w:t xml:space="preserve">por consiguiente, los artículos 207, 208 y 209 de la </w:t>
      </w:r>
      <w:r w:rsidRPr="00F062FC">
        <w:rPr>
          <w:rFonts w:ascii="Arial" w:eastAsia="Calibri" w:hAnsi="Arial" w:cs="Arial"/>
          <w:bCs/>
          <w:sz w:val="26"/>
          <w:szCs w:val="26"/>
        </w:rPr>
        <w:t>Ley de Procedimiento y Justicia Administrativa para el Estado de Oaxaca</w:t>
      </w:r>
      <w:r>
        <w:rPr>
          <w:rFonts w:ascii="Arial" w:eastAsia="Calibri" w:hAnsi="Arial" w:cs="Arial"/>
          <w:bCs/>
          <w:sz w:val="26"/>
          <w:szCs w:val="26"/>
        </w:rPr>
        <w:t xml:space="preserve">. De ahí lo </w:t>
      </w:r>
      <w:r w:rsidRPr="001E02C5">
        <w:rPr>
          <w:rFonts w:ascii="Arial" w:eastAsia="Calibri" w:hAnsi="Arial" w:cs="Arial"/>
          <w:b/>
          <w:bCs/>
          <w:sz w:val="26"/>
          <w:szCs w:val="26"/>
        </w:rPr>
        <w:t xml:space="preserve">sustancialmente </w:t>
      </w:r>
      <w:r w:rsidRPr="008D1BD6">
        <w:rPr>
          <w:rFonts w:ascii="Arial" w:eastAsia="Calibri" w:hAnsi="Arial" w:cs="Arial"/>
          <w:b/>
          <w:bCs/>
          <w:sz w:val="26"/>
          <w:szCs w:val="26"/>
        </w:rPr>
        <w:t>fundado</w:t>
      </w:r>
      <w:r>
        <w:rPr>
          <w:rFonts w:ascii="Arial" w:eastAsia="Calibri" w:hAnsi="Arial" w:cs="Arial"/>
          <w:b/>
          <w:bCs/>
          <w:sz w:val="26"/>
          <w:szCs w:val="26"/>
        </w:rPr>
        <w:t>s</w:t>
      </w:r>
      <w:r>
        <w:rPr>
          <w:rFonts w:ascii="Arial" w:eastAsia="Calibri" w:hAnsi="Arial" w:cs="Arial"/>
          <w:bCs/>
          <w:sz w:val="26"/>
          <w:szCs w:val="26"/>
        </w:rPr>
        <w:t xml:space="preserve"> de los agravi</w:t>
      </w:r>
      <w:r w:rsidR="00110A19">
        <w:rPr>
          <w:rFonts w:ascii="Arial" w:eastAsia="Calibri" w:hAnsi="Arial" w:cs="Arial"/>
          <w:bCs/>
          <w:sz w:val="26"/>
          <w:szCs w:val="26"/>
        </w:rPr>
        <w:t xml:space="preserve">os expuestos por el recurrente.- - - - - - - - - - - - - - - - - - - - - - - - - - - - - - - - - - - - - - - - - - - - </w:t>
      </w:r>
    </w:p>
    <w:p w14:paraId="2AB041F1" w14:textId="77777777" w:rsidR="00AF4F64" w:rsidRPr="004D398B" w:rsidRDefault="00AF4F64" w:rsidP="00AF4F6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w:t>
      </w:r>
      <w:r>
        <w:rPr>
          <w:rFonts w:ascii="Arial" w:hAnsi="Arial" w:cs="Arial"/>
          <w:bCs/>
          <w:color w:val="000000"/>
          <w:sz w:val="26"/>
          <w:szCs w:val="26"/>
          <w:lang w:val="es-MX"/>
        </w:rPr>
        <w:t>m</w:t>
      </w:r>
      <w:r w:rsidRPr="004D398B">
        <w:rPr>
          <w:rFonts w:ascii="Arial" w:hAnsi="Arial" w:cs="Arial"/>
          <w:bCs/>
          <w:color w:val="000000"/>
          <w:sz w:val="26"/>
          <w:szCs w:val="26"/>
          <w:lang w:val="es-MX"/>
        </w:rPr>
        <w:t>arzo de 2014, Pág. 1772, de rubro y texto siguientes:</w:t>
      </w:r>
    </w:p>
    <w:p w14:paraId="46DE954A" w14:textId="77777777" w:rsidR="00AF4F64" w:rsidRPr="00CF6D3A" w:rsidRDefault="00AF4F64" w:rsidP="00445003">
      <w:pPr>
        <w:pStyle w:val="Sinespaciado"/>
        <w:spacing w:before="240" w:line="276" w:lineRule="auto"/>
        <w:ind w:left="567" w:right="616"/>
        <w:jc w:val="both"/>
        <w:rPr>
          <w:rFonts w:ascii="Arial" w:hAnsi="Arial" w:cs="Arial"/>
          <w:bCs/>
          <w:i/>
          <w:color w:val="000000"/>
          <w:lang w:val="es-MX"/>
        </w:rPr>
      </w:pPr>
      <w:r w:rsidRPr="00CF6D3A">
        <w:rPr>
          <w:rFonts w:ascii="Arial" w:hAnsi="Arial" w:cs="Arial"/>
          <w:b/>
          <w:bCs/>
          <w:i/>
          <w:color w:val="000000"/>
          <w:lang w:val="es-MX"/>
        </w:rPr>
        <w:t>“EXHAUSTIVIDAD. SU EXIGENCIA IMPLICA LA MAYOR CALIDAD POSIBLE DE LAS SENTENCIAS, PARA CUMPLIR CON LA PLENITUD EXIGIDA POR EL ARTÍCULO 17 CONSTITUCIONAL.</w:t>
      </w:r>
      <w:r w:rsidRPr="00CF6D3A">
        <w:rPr>
          <w:rFonts w:ascii="Arial" w:hAnsi="Arial" w:cs="Arial"/>
          <w:bCs/>
          <w:i/>
          <w:color w:val="000000"/>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w:t>
      </w:r>
      <w:r w:rsidRPr="00CF6D3A">
        <w:rPr>
          <w:rFonts w:ascii="Arial" w:hAnsi="Arial" w:cs="Arial"/>
          <w:bCs/>
          <w:i/>
          <w:color w:val="000000"/>
          <w:lang w:val="es-MX"/>
        </w:rPr>
        <w:lastRenderedPageBreak/>
        <w:t xml:space="preserve">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64121072" w14:textId="77777777" w:rsidR="00AF4F64" w:rsidRPr="00CF6D3A" w:rsidRDefault="00AF4F64" w:rsidP="00445003">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 xml:space="preserve">CUARTO TRIBUNAL COLEGIADO EN MATERIA CIVIL DEL PRIMER CIRCUITO. </w:t>
      </w:r>
    </w:p>
    <w:p w14:paraId="240DDA14" w14:textId="77777777" w:rsidR="00AF4F64" w:rsidRPr="00CF6D3A" w:rsidRDefault="00AF4F64" w:rsidP="00445003">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Amparo directo 401/2013. Carlos Sánchez Castillo. 20 de septiembre de 2013. Unanimidad de votos. Ponente: Leonel Castillo González. Secretaria: Norma Leonor Morales González.</w:t>
      </w:r>
    </w:p>
    <w:p w14:paraId="427403FD" w14:textId="77777777" w:rsidR="00AF4F64" w:rsidRPr="00CF6D3A" w:rsidRDefault="00AF4F64" w:rsidP="00445003">
      <w:pPr>
        <w:ind w:right="616" w:firstLine="567"/>
        <w:jc w:val="both"/>
        <w:rPr>
          <w:rFonts w:ascii="Arial" w:hAnsi="Arial" w:cs="Arial"/>
          <w:bCs/>
        </w:rPr>
      </w:pPr>
    </w:p>
    <w:p w14:paraId="77C9C8C3" w14:textId="7D1B362F" w:rsidR="00AF4F64" w:rsidRPr="00F062FC" w:rsidRDefault="00AF4F64" w:rsidP="00AF4F64">
      <w:pPr>
        <w:spacing w:before="100" w:beforeAutospacing="1" w:after="0" w:line="360" w:lineRule="auto"/>
        <w:ind w:firstLine="705"/>
        <w:jc w:val="both"/>
        <w:rPr>
          <w:rFonts w:ascii="Arial" w:eastAsia="Calibri" w:hAnsi="Arial" w:cs="Arial"/>
          <w:bCs/>
          <w:sz w:val="26"/>
          <w:szCs w:val="26"/>
        </w:rPr>
      </w:pPr>
      <w:r w:rsidRPr="00F062FC">
        <w:rPr>
          <w:rFonts w:ascii="Arial" w:eastAsia="Calibri" w:hAnsi="Arial" w:cs="Arial"/>
          <w:sz w:val="26"/>
          <w:szCs w:val="26"/>
        </w:rPr>
        <w:t>En tal virtud,</w:t>
      </w:r>
      <w:r w:rsidRPr="00F062FC">
        <w:rPr>
          <w:rFonts w:ascii="Arial" w:eastAsia="Calibri" w:hAnsi="Arial" w:cs="Arial"/>
          <w:bCs/>
          <w:sz w:val="26"/>
          <w:szCs w:val="26"/>
        </w:rPr>
        <w:t xml:space="preserve"> </w:t>
      </w:r>
      <w:r w:rsidRPr="00F062FC">
        <w:rPr>
          <w:rFonts w:ascii="Arial" w:hAnsi="Arial" w:cs="Arial"/>
          <w:sz w:val="26"/>
          <w:szCs w:val="26"/>
        </w:rPr>
        <w:t xml:space="preserve">toda vez que </w:t>
      </w:r>
      <w:r w:rsidR="00410A80">
        <w:rPr>
          <w:rFonts w:ascii="Arial" w:eastAsia="Calibri" w:hAnsi="Arial" w:cs="Arial"/>
          <w:bCs/>
          <w:sz w:val="26"/>
          <w:szCs w:val="26"/>
        </w:rPr>
        <w:t>la Sexta Sala Unitaria de</w:t>
      </w:r>
      <w:r w:rsidRPr="00F062FC">
        <w:rPr>
          <w:rFonts w:ascii="Arial" w:eastAsia="Calibri" w:hAnsi="Arial" w:cs="Arial"/>
          <w:bCs/>
          <w:sz w:val="26"/>
          <w:szCs w:val="26"/>
        </w:rPr>
        <w:t xml:space="preserve"> Primera Instancia, </w:t>
      </w:r>
      <w:r w:rsidRPr="00F062FC">
        <w:rPr>
          <w:rFonts w:ascii="Arial" w:hAnsi="Arial" w:cs="Arial"/>
          <w:b/>
          <w:bCs/>
          <w:color w:val="000000"/>
          <w:sz w:val="24"/>
          <w:szCs w:val="24"/>
        </w:rPr>
        <w:t xml:space="preserve">no ha emitido </w:t>
      </w:r>
      <w:r>
        <w:rPr>
          <w:rFonts w:ascii="Arial" w:hAnsi="Arial" w:cs="Arial"/>
          <w:b/>
          <w:bCs/>
          <w:color w:val="000000"/>
          <w:sz w:val="24"/>
          <w:szCs w:val="24"/>
        </w:rPr>
        <w:t xml:space="preserve">efectivamente </w:t>
      </w:r>
      <w:r w:rsidRPr="00F062FC">
        <w:rPr>
          <w:rFonts w:ascii="Arial" w:hAnsi="Arial" w:cs="Arial"/>
          <w:b/>
          <w:bCs/>
          <w:color w:val="000000"/>
          <w:sz w:val="24"/>
          <w:szCs w:val="24"/>
        </w:rPr>
        <w:t>un fallo en cuanto al fondo de la cuestión puesta a su conocimiento</w:t>
      </w:r>
      <w:r w:rsidRPr="00F062FC">
        <w:rPr>
          <w:rFonts w:ascii="Arial" w:hAnsi="Arial" w:cs="Arial"/>
          <w:bCs/>
          <w:color w:val="000000"/>
          <w:sz w:val="24"/>
          <w:szCs w:val="24"/>
        </w:rPr>
        <w:t xml:space="preserve">, </w:t>
      </w:r>
      <w:r w:rsidRPr="00F062FC">
        <w:rPr>
          <w:rFonts w:ascii="Arial" w:eastAsia="Calibri" w:hAnsi="Arial" w:cs="Arial"/>
          <w:b/>
          <w:sz w:val="26"/>
          <w:szCs w:val="26"/>
        </w:rPr>
        <w:t xml:space="preserve">lo procedente es REVOCAR </w:t>
      </w:r>
      <w:r w:rsidRPr="00F062FC">
        <w:rPr>
          <w:rFonts w:ascii="Arial" w:eastAsia="Calibri" w:hAnsi="Arial" w:cs="Arial"/>
          <w:bCs/>
          <w:sz w:val="26"/>
          <w:szCs w:val="26"/>
        </w:rPr>
        <w:t xml:space="preserve">la sentencia de </w:t>
      </w:r>
      <w:r w:rsidR="00F6354C">
        <w:rPr>
          <w:rFonts w:ascii="Arial" w:eastAsia="Calibri" w:hAnsi="Arial" w:cs="Arial"/>
          <w:bCs/>
          <w:sz w:val="26"/>
          <w:szCs w:val="26"/>
        </w:rPr>
        <w:t xml:space="preserve">dieciocho de octubre </w:t>
      </w:r>
      <w:r w:rsidRPr="00F062FC">
        <w:rPr>
          <w:rFonts w:ascii="Arial" w:eastAsia="Calibri" w:hAnsi="Arial" w:cs="Arial"/>
          <w:bCs/>
          <w:sz w:val="26"/>
          <w:szCs w:val="26"/>
        </w:rPr>
        <w:t xml:space="preserve">de dos mil </w:t>
      </w:r>
      <w:r w:rsidR="00F6354C">
        <w:rPr>
          <w:rFonts w:ascii="Arial" w:eastAsia="Calibri" w:hAnsi="Arial" w:cs="Arial"/>
          <w:bCs/>
          <w:sz w:val="26"/>
          <w:szCs w:val="26"/>
        </w:rPr>
        <w:t>veintiuno</w:t>
      </w:r>
      <w:r w:rsidRPr="00F062FC">
        <w:rPr>
          <w:rFonts w:ascii="Arial" w:eastAsia="Calibri" w:hAnsi="Arial" w:cs="Arial"/>
          <w:bCs/>
          <w:sz w:val="26"/>
          <w:szCs w:val="26"/>
        </w:rPr>
        <w:t>, y en consecuencia</w:t>
      </w:r>
      <w:r>
        <w:rPr>
          <w:rFonts w:ascii="Arial" w:eastAsia="Calibri" w:hAnsi="Arial" w:cs="Arial"/>
          <w:bCs/>
          <w:sz w:val="26"/>
          <w:szCs w:val="26"/>
        </w:rPr>
        <w:t>,</w:t>
      </w:r>
      <w:r w:rsidRPr="00F062FC">
        <w:rPr>
          <w:rFonts w:ascii="Arial" w:eastAsia="Calibri" w:hAnsi="Arial" w:cs="Arial"/>
          <w:bCs/>
          <w:sz w:val="26"/>
          <w:szCs w:val="26"/>
        </w:rPr>
        <w:t xml:space="preserve"> </w:t>
      </w:r>
      <w:r w:rsidRPr="00F062FC">
        <w:rPr>
          <w:rFonts w:ascii="Arial" w:eastAsia="Times New Roman" w:hAnsi="Arial" w:cs="Arial"/>
          <w:b/>
          <w:sz w:val="26"/>
          <w:szCs w:val="26"/>
          <w:lang w:eastAsia="es-ES"/>
        </w:rPr>
        <w:t>esta Sala Superior</w:t>
      </w:r>
      <w:r w:rsidRPr="00F062FC">
        <w:rPr>
          <w:rFonts w:ascii="Arial" w:eastAsia="Times New Roman" w:hAnsi="Arial" w:cs="Arial"/>
          <w:bCs/>
          <w:sz w:val="26"/>
          <w:szCs w:val="26"/>
          <w:lang w:eastAsia="es-ES"/>
        </w:rPr>
        <w:t xml:space="preserve"> </w:t>
      </w:r>
      <w:r w:rsidRPr="00F062FC">
        <w:rPr>
          <w:rFonts w:ascii="Arial" w:eastAsia="Times New Roman" w:hAnsi="Arial" w:cs="Arial"/>
          <w:b/>
          <w:bCs/>
          <w:sz w:val="26"/>
          <w:szCs w:val="26"/>
          <w:lang w:eastAsia="es-ES"/>
        </w:rPr>
        <w:t>REASUME JURISDICCIÓN</w:t>
      </w:r>
      <w:r w:rsidRPr="00F062FC">
        <w:rPr>
          <w:rFonts w:ascii="Arial" w:eastAsia="Times New Roman" w:hAnsi="Arial" w:cs="Arial"/>
          <w:bCs/>
          <w:sz w:val="26"/>
          <w:szCs w:val="26"/>
          <w:lang w:eastAsia="es-ES"/>
        </w:rPr>
        <w:t xml:space="preserve"> a efecto de que se analice el acto sometido a la consideración de la primera instancia. </w:t>
      </w:r>
      <w:r>
        <w:rPr>
          <w:rFonts w:ascii="Arial" w:eastAsia="Times New Roman" w:hAnsi="Arial" w:cs="Arial"/>
          <w:bCs/>
          <w:sz w:val="26"/>
          <w:szCs w:val="26"/>
          <w:lang w:eastAsia="es-ES"/>
        </w:rPr>
        <w:t>Las consideraciones se</w:t>
      </w:r>
      <w:r w:rsidRPr="00F062FC">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respaldan</w:t>
      </w:r>
      <w:r w:rsidRPr="00F062FC">
        <w:rPr>
          <w:rFonts w:ascii="Arial" w:eastAsia="Times New Roman" w:hAnsi="Arial" w:cs="Arial"/>
          <w:bCs/>
          <w:sz w:val="26"/>
          <w:szCs w:val="26"/>
          <w:lang w:eastAsia="es-ES"/>
        </w:rPr>
        <w:t>, por identidad en el tema, en la jurisprudencia</w:t>
      </w:r>
      <w:r w:rsidRPr="00F062FC">
        <w:rPr>
          <w:rFonts w:ascii="Arial" w:hAnsi="Arial" w:cs="Arial"/>
          <w:sz w:val="26"/>
          <w:szCs w:val="26"/>
        </w:rPr>
        <w:t xml:space="preserve"> XI.2o. J/29 </w:t>
      </w:r>
      <w:r>
        <w:rPr>
          <w:rFonts w:ascii="Arial" w:hAnsi="Arial" w:cs="Arial"/>
          <w:sz w:val="26"/>
          <w:szCs w:val="26"/>
        </w:rPr>
        <w:t xml:space="preserve">emitida </w:t>
      </w:r>
      <w:r w:rsidRPr="00F062FC">
        <w:rPr>
          <w:rFonts w:ascii="Arial" w:hAnsi="Arial" w:cs="Arial"/>
          <w:sz w:val="26"/>
          <w:szCs w:val="26"/>
        </w:rPr>
        <w:t>por el Segundo Tribunal Colegiado del</w:t>
      </w:r>
      <w:r>
        <w:rPr>
          <w:rFonts w:ascii="Arial" w:hAnsi="Arial" w:cs="Arial"/>
          <w:sz w:val="26"/>
          <w:szCs w:val="26"/>
        </w:rPr>
        <w:t xml:space="preserve"> Décimo Primer Circuito, en la Novena É</w:t>
      </w:r>
      <w:r w:rsidRPr="00F062FC">
        <w:rPr>
          <w:rFonts w:ascii="Arial" w:hAnsi="Arial" w:cs="Arial"/>
          <w:sz w:val="26"/>
          <w:szCs w:val="26"/>
        </w:rPr>
        <w:t xml:space="preserve">poca, publicada en el Semanario Judicial de la Federación y su Gaceta, Tomo XXII, de Octubre de 2005, consultable a página 2075, bajo el rubro y texto del tenor literal siguiente: </w:t>
      </w:r>
    </w:p>
    <w:p w14:paraId="1327E877" w14:textId="77777777" w:rsidR="00AF4F64" w:rsidRPr="00F062FC" w:rsidRDefault="00AF4F64" w:rsidP="00445003">
      <w:pPr>
        <w:spacing w:before="100" w:beforeAutospacing="1" w:after="0"/>
        <w:ind w:left="851" w:right="900"/>
        <w:jc w:val="both"/>
        <w:rPr>
          <w:rFonts w:ascii="Arial" w:hAnsi="Arial" w:cs="Arial"/>
          <w:i/>
        </w:rPr>
      </w:pPr>
      <w:r w:rsidRPr="00F062FC">
        <w:rPr>
          <w:rFonts w:ascii="Arial" w:hAnsi="Arial" w:cs="Arial"/>
          <w:b/>
          <w:i/>
        </w:rPr>
        <w:t>“AGRAVIOS EN LA APELACIÓN. AL NO EXISTIR REENVÍO EL AD QUEM DEBE REASUMIR JURISDICCIÓN Y ABORDAR OFICIOSAMENTE SU ANÁLISIS, SIN QUE ELLO IMPLIQUE SUPLENCIA DE AQUÉLLOS.</w:t>
      </w:r>
      <w:r w:rsidRPr="00F062FC">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w:t>
      </w:r>
      <w:r w:rsidRPr="00F062FC">
        <w:rPr>
          <w:rFonts w:ascii="Arial" w:hAnsi="Arial" w:cs="Arial"/>
          <w:i/>
        </w:rPr>
        <w:lastRenderedPageBreak/>
        <w:t xml:space="preserve">quo subsane las omisiones en las que hubiera incurrido, en aras de respetar ese principio de congruencia y no dejar inaudito a ninguno de los contendientes por lo que, a fin de resolver la litis natural en todos sus aspectos, el ad </w:t>
      </w:r>
      <w:proofErr w:type="spellStart"/>
      <w:r w:rsidRPr="00F062FC">
        <w:rPr>
          <w:rFonts w:ascii="Arial" w:hAnsi="Arial" w:cs="Arial"/>
          <w:i/>
        </w:rPr>
        <w:t>quem</w:t>
      </w:r>
      <w:proofErr w:type="spellEnd"/>
      <w:r w:rsidRPr="00F062FC">
        <w:rPr>
          <w:rFonts w:ascii="Arial" w:hAnsi="Arial" w:cs="Arial"/>
          <w:i/>
        </w:rPr>
        <w:t xml:space="preserve"> debe reasumir jurisdicción y abordar oficiosamente el análisis correspondiente, sin que ello implique suplencia de los agravios.” </w:t>
      </w:r>
    </w:p>
    <w:p w14:paraId="4BAF137A" w14:textId="77777777" w:rsidR="001158C3" w:rsidRDefault="001158C3" w:rsidP="00445003">
      <w:pPr>
        <w:ind w:right="49" w:firstLine="567"/>
        <w:jc w:val="both"/>
        <w:rPr>
          <w:rFonts w:ascii="Arial" w:hAnsi="Arial" w:cs="Arial"/>
          <w:bCs/>
          <w:sz w:val="26"/>
          <w:szCs w:val="26"/>
        </w:rPr>
      </w:pPr>
    </w:p>
    <w:p w14:paraId="2995B233" w14:textId="64187662" w:rsidR="00AF4F64" w:rsidRDefault="00AF4F64" w:rsidP="00AF4F64">
      <w:pPr>
        <w:spacing w:line="360" w:lineRule="auto"/>
        <w:ind w:right="49" w:firstLine="567"/>
        <w:jc w:val="both"/>
        <w:rPr>
          <w:rFonts w:ascii="Arial" w:eastAsia="Calibri" w:hAnsi="Arial" w:cs="Arial"/>
          <w:bCs/>
          <w:sz w:val="26"/>
          <w:szCs w:val="26"/>
        </w:rPr>
      </w:pPr>
      <w:r w:rsidRPr="001F08EF">
        <w:rPr>
          <w:rFonts w:ascii="Arial" w:eastAsia="Calibri" w:hAnsi="Arial" w:cs="Arial"/>
          <w:bCs/>
          <w:sz w:val="26"/>
          <w:szCs w:val="26"/>
        </w:rPr>
        <w:t>Enseguida</w:t>
      </w:r>
      <w:r>
        <w:rPr>
          <w:rFonts w:ascii="Arial" w:eastAsia="Calibri" w:hAnsi="Arial" w:cs="Arial"/>
          <w:bCs/>
          <w:sz w:val="26"/>
          <w:szCs w:val="26"/>
        </w:rPr>
        <w:t>,</w:t>
      </w:r>
      <w:r w:rsidRPr="001F08EF">
        <w:rPr>
          <w:rFonts w:ascii="Arial" w:eastAsia="Calibri" w:hAnsi="Arial" w:cs="Arial"/>
          <w:bCs/>
          <w:sz w:val="26"/>
          <w:szCs w:val="26"/>
        </w:rPr>
        <w:t xml:space="preserve"> se p</w:t>
      </w:r>
      <w:r>
        <w:rPr>
          <w:rFonts w:ascii="Arial" w:eastAsia="Calibri" w:hAnsi="Arial" w:cs="Arial"/>
          <w:bCs/>
          <w:sz w:val="26"/>
          <w:szCs w:val="26"/>
        </w:rPr>
        <w:t>rocede al análisis de</w:t>
      </w:r>
      <w:r w:rsidR="009B59DA">
        <w:rPr>
          <w:rFonts w:ascii="Arial" w:eastAsia="Calibri" w:hAnsi="Arial" w:cs="Arial"/>
          <w:bCs/>
          <w:sz w:val="26"/>
          <w:szCs w:val="26"/>
        </w:rPr>
        <w:t xml:space="preserve"> los</w:t>
      </w:r>
      <w:r>
        <w:rPr>
          <w:rFonts w:ascii="Arial" w:eastAsia="Calibri" w:hAnsi="Arial" w:cs="Arial"/>
          <w:bCs/>
          <w:sz w:val="26"/>
          <w:szCs w:val="26"/>
        </w:rPr>
        <w:t xml:space="preserve"> argumentos vertidos por la parte actora en los hechos y en los </w:t>
      </w:r>
      <w:r w:rsidRPr="001F08EF">
        <w:rPr>
          <w:rFonts w:ascii="Arial" w:eastAsia="Calibri" w:hAnsi="Arial" w:cs="Arial"/>
          <w:bCs/>
          <w:sz w:val="26"/>
          <w:szCs w:val="26"/>
        </w:rPr>
        <w:t>concept</w:t>
      </w:r>
      <w:r>
        <w:rPr>
          <w:rFonts w:ascii="Arial" w:eastAsia="Calibri" w:hAnsi="Arial" w:cs="Arial"/>
          <w:bCs/>
          <w:sz w:val="26"/>
          <w:szCs w:val="26"/>
        </w:rPr>
        <w:t>os de impugnación de la</w:t>
      </w:r>
      <w:r w:rsidR="0008591F">
        <w:rPr>
          <w:rFonts w:ascii="Arial" w:eastAsia="Calibri" w:hAnsi="Arial" w:cs="Arial"/>
          <w:bCs/>
          <w:sz w:val="26"/>
          <w:szCs w:val="26"/>
        </w:rPr>
        <w:t xml:space="preserve"> demanda, los cuales se estudiarán en un orden diverso al que fue planteado, sin que ello vulnere el derecho de tutela judicial efectiva del gobernado.</w:t>
      </w:r>
      <w:r w:rsidR="00445003">
        <w:rPr>
          <w:rFonts w:ascii="Arial" w:eastAsia="Calibri" w:hAnsi="Arial" w:cs="Arial"/>
          <w:b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w:t>
      </w:r>
      <w:r w:rsidR="00445003" w:rsidRPr="00445003">
        <w:rPr>
          <w:rFonts w:ascii="Arial" w:hAnsi="Arial" w:cs="Arial"/>
          <w:iCs/>
          <w:sz w:val="26"/>
          <w:szCs w:val="26"/>
        </w:rPr>
        <w:t xml:space="preserve">- </w:t>
      </w:r>
    </w:p>
    <w:p w14:paraId="32223A21" w14:textId="77777777" w:rsidR="00CE530E" w:rsidRPr="00561DBE" w:rsidRDefault="00CE530E" w:rsidP="00CE530E">
      <w:pPr>
        <w:spacing w:line="360" w:lineRule="auto"/>
        <w:ind w:firstLine="567"/>
        <w:jc w:val="both"/>
        <w:rPr>
          <w:rFonts w:ascii="Arial" w:hAnsi="Arial" w:cs="Arial"/>
          <w:sz w:val="26"/>
          <w:szCs w:val="26"/>
        </w:rPr>
      </w:pPr>
      <w:r>
        <w:rPr>
          <w:rFonts w:ascii="Arial" w:eastAsia="Calibri" w:hAnsi="Arial" w:cs="Arial"/>
          <w:bCs/>
          <w:sz w:val="26"/>
          <w:szCs w:val="26"/>
        </w:rPr>
        <w:t xml:space="preserve">Sirve de apoyo a lo anterior, la tesis </w:t>
      </w:r>
      <w:r w:rsidRPr="00561DBE">
        <w:rPr>
          <w:rFonts w:ascii="Arial" w:hAnsi="Arial" w:cs="Arial"/>
          <w:sz w:val="26"/>
          <w:szCs w:val="26"/>
        </w:rPr>
        <w:t>1a. CVIII/2007</w:t>
      </w:r>
      <w:r>
        <w:rPr>
          <w:rFonts w:ascii="Arial" w:hAnsi="Arial" w:cs="Arial"/>
          <w:sz w:val="26"/>
          <w:szCs w:val="26"/>
        </w:rPr>
        <w:t>, con registro digital</w:t>
      </w:r>
      <w:r w:rsidRPr="00561DBE">
        <w:rPr>
          <w:rFonts w:ascii="Arial" w:hAnsi="Arial" w:cs="Arial"/>
          <w:sz w:val="26"/>
          <w:szCs w:val="26"/>
        </w:rPr>
        <w:t xml:space="preserve"> 172517</w:t>
      </w:r>
      <w:r>
        <w:rPr>
          <w:rFonts w:ascii="Arial" w:hAnsi="Arial" w:cs="Arial"/>
          <w:sz w:val="26"/>
          <w:szCs w:val="26"/>
        </w:rPr>
        <w:t xml:space="preserve">, emitida por la </w:t>
      </w:r>
      <w:r w:rsidRPr="00561DBE">
        <w:rPr>
          <w:rFonts w:ascii="Arial" w:hAnsi="Arial" w:cs="Arial"/>
          <w:sz w:val="26"/>
          <w:szCs w:val="26"/>
        </w:rPr>
        <w:t>Primera Sala</w:t>
      </w:r>
      <w:r>
        <w:rPr>
          <w:rFonts w:ascii="Arial" w:hAnsi="Arial" w:cs="Arial"/>
          <w:sz w:val="26"/>
          <w:szCs w:val="26"/>
        </w:rPr>
        <w:t xml:space="preserve"> de la </w:t>
      </w:r>
      <w:r w:rsidRPr="00561DBE">
        <w:rPr>
          <w:rFonts w:ascii="Arial" w:hAnsi="Arial" w:cs="Arial"/>
          <w:sz w:val="26"/>
          <w:szCs w:val="26"/>
        </w:rPr>
        <w:t>Suprema Corte de Justicia de la Nación</w:t>
      </w:r>
      <w:r>
        <w:rPr>
          <w:rFonts w:ascii="Arial" w:hAnsi="Arial" w:cs="Arial"/>
          <w:sz w:val="26"/>
          <w:szCs w:val="26"/>
        </w:rPr>
        <w:t xml:space="preserve">, en la </w:t>
      </w:r>
      <w:r w:rsidRPr="00561DBE">
        <w:rPr>
          <w:rFonts w:ascii="Arial" w:hAnsi="Arial" w:cs="Arial"/>
          <w:sz w:val="26"/>
          <w:szCs w:val="26"/>
        </w:rPr>
        <w:t>Novena Época</w:t>
      </w:r>
      <w:r>
        <w:rPr>
          <w:rFonts w:ascii="Arial" w:hAnsi="Arial" w:cs="Arial"/>
          <w:sz w:val="26"/>
          <w:szCs w:val="26"/>
        </w:rPr>
        <w:t xml:space="preserve">, visible en el </w:t>
      </w:r>
      <w:r w:rsidRPr="00561DBE">
        <w:rPr>
          <w:rFonts w:ascii="Arial" w:hAnsi="Arial" w:cs="Arial"/>
          <w:sz w:val="26"/>
          <w:szCs w:val="26"/>
        </w:rPr>
        <w:t>Semanario Judicial de la Federación y su Gaceta. Tomo XXV, Mayo de 2007, página 793</w:t>
      </w:r>
      <w:r>
        <w:rPr>
          <w:rFonts w:ascii="Arial" w:hAnsi="Arial" w:cs="Arial"/>
          <w:sz w:val="26"/>
          <w:szCs w:val="26"/>
        </w:rPr>
        <w:t xml:space="preserve">, de rubro y texto siguientes: </w:t>
      </w:r>
    </w:p>
    <w:p w14:paraId="661CD236" w14:textId="77777777" w:rsidR="00CE530E" w:rsidRPr="00561DBE" w:rsidRDefault="00CE530E" w:rsidP="00445003">
      <w:pPr>
        <w:ind w:left="567" w:right="616"/>
        <w:jc w:val="both"/>
        <w:rPr>
          <w:rFonts w:ascii="Arial" w:hAnsi="Arial" w:cs="Arial"/>
          <w:b/>
          <w:i/>
        </w:rPr>
      </w:pPr>
      <w:r w:rsidRPr="00561DBE">
        <w:rPr>
          <w:rFonts w:ascii="Arial" w:hAnsi="Arial" w:cs="Arial"/>
          <w:b/>
          <w:i/>
        </w:rPr>
        <w:t>“GARANTÍA A LA IMPARTICIÓN DE JUSTICIA COMPLETA TUTELADA EN EL ARTÍCULO 17 DE LA CONSTITUCIÓN POLÍTICA DE LOS ESTADOS UNIDOS MEXICANOS. SUS ALCANCES.</w:t>
      </w:r>
    </w:p>
    <w:p w14:paraId="7AB953BB" w14:textId="77777777" w:rsidR="00CE530E" w:rsidRPr="00561DBE" w:rsidRDefault="00CE530E" w:rsidP="00445003">
      <w:pPr>
        <w:ind w:left="567" w:right="616"/>
        <w:jc w:val="both"/>
        <w:rPr>
          <w:rFonts w:ascii="Arial" w:hAnsi="Arial" w:cs="Arial"/>
          <w:i/>
        </w:rPr>
      </w:pPr>
      <w:r w:rsidRPr="00561DBE">
        <w:rPr>
          <w:rFonts w:ascii="Arial" w:hAnsi="Arial" w:cs="Arial"/>
          <w:i/>
        </w:rPr>
        <w:t xml:space="preserve">El derecho fundamental contenido en el referido precepto constitucional implica, entre otras cosas, el deber de los tribunales de administrar justicia de manera completa, en atención a los cuestionamientos planteados en los asuntos sometidos a su consideración, analizando y pronunciándose respecto de cada punto litigioso, sin que ello signifique que tengan que seguir el orden expuesto por las partes o que deban contestar argumentos repetitivos, pues los órganos encargados de dirimir las controversias están en aptitud de precisar las cuestiones a resolver, lo que puede o no coincidir con la forma o numeración adoptada en los respectivos planteamientos, y aunque no pueden alterar los hechos ni los puntos debatidos, sí pueden e incluso deben definirlos, como cuando la redacción de los escritos de las partes es oscura, deficiente, equívoca o repetitiva. Esto es, los principios de exhaustividad y congruencia de los fallos judiciales no pueden llegar al extremo de obligar al juzgador a responder todas las proposiciones, una por una, aun cuando fueran repetitivas, ya que ello iría en demérito de otras </w:t>
      </w:r>
      <w:proofErr w:type="spellStart"/>
      <w:r w:rsidRPr="00561DBE">
        <w:rPr>
          <w:rFonts w:ascii="Arial" w:hAnsi="Arial" w:cs="Arial"/>
          <w:i/>
        </w:rPr>
        <w:t>subgarantías</w:t>
      </w:r>
      <w:proofErr w:type="spellEnd"/>
      <w:r w:rsidRPr="00561DBE">
        <w:rPr>
          <w:rFonts w:ascii="Arial" w:hAnsi="Arial" w:cs="Arial"/>
          <w:i/>
        </w:rPr>
        <w:t xml:space="preserve"> tuteladas por el referido precepto constitucional -como las de prontitud y </w:t>
      </w:r>
      <w:proofErr w:type="spellStart"/>
      <w:r w:rsidRPr="00561DBE">
        <w:rPr>
          <w:rFonts w:ascii="Arial" w:hAnsi="Arial" w:cs="Arial"/>
          <w:i/>
        </w:rPr>
        <w:t>expeditez</w:t>
      </w:r>
      <w:proofErr w:type="spellEnd"/>
      <w:r w:rsidRPr="00561DBE">
        <w:rPr>
          <w:rFonts w:ascii="Arial" w:hAnsi="Arial" w:cs="Arial"/>
          <w:i/>
        </w:rPr>
        <w:t>- y del estudio y reflexión de otros asuntos donde los planteamientos exigen la máxima atención y acuciosidad judicial, pues la garantía a la impartición de justicia completa se refiere únicamente a que los aspectos debatidos se resuelvan en su integridad, de manera que sólo deben examinarse y solucionarse las cuestiones controvertidas que sean necesarias para emitir la decisión correspondiente.”</w:t>
      </w:r>
    </w:p>
    <w:p w14:paraId="43C6CCD1" w14:textId="431B6024" w:rsidR="00CE530E" w:rsidRDefault="00CE530E" w:rsidP="00CE530E">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el </w:t>
      </w:r>
      <w:r w:rsidRPr="00F6354C">
        <w:rPr>
          <w:rFonts w:ascii="Arial" w:eastAsia="Calibri" w:hAnsi="Arial" w:cs="Arial"/>
          <w:b/>
          <w:bCs/>
          <w:sz w:val="26"/>
          <w:szCs w:val="26"/>
        </w:rPr>
        <w:t xml:space="preserve">primer </w:t>
      </w:r>
      <w:r>
        <w:rPr>
          <w:rFonts w:ascii="Arial" w:eastAsia="Calibri" w:hAnsi="Arial" w:cs="Arial"/>
          <w:bCs/>
          <w:sz w:val="26"/>
          <w:szCs w:val="26"/>
        </w:rPr>
        <w:t xml:space="preserve">concepto de impugnación afirma que la autoridad demandada asevera que como el terreno del contribuyente presenta una superficie excedente mayor al 20% que fija como límite el artículo </w:t>
      </w:r>
      <w:r>
        <w:rPr>
          <w:rFonts w:ascii="Arial" w:eastAsia="Calibri" w:hAnsi="Arial" w:cs="Arial"/>
          <w:bCs/>
          <w:sz w:val="26"/>
          <w:szCs w:val="26"/>
        </w:rPr>
        <w:lastRenderedPageBreak/>
        <w:t>40 del Reglamento de la Ley de Catastro del Estado de Oaxaca, y que por tal razón, el trámite resulta improcedente.</w:t>
      </w:r>
      <w:r w:rsidR="00445003">
        <w:rPr>
          <w:rFonts w:ascii="Arial" w:eastAsia="Calibri" w:hAnsi="Arial" w:cs="Arial"/>
          <w:bCs/>
          <w:sz w:val="26"/>
          <w:szCs w:val="26"/>
        </w:rPr>
        <w:t xml:space="preserve"> </w:t>
      </w:r>
      <w:r w:rsidR="00445003" w:rsidRPr="00445003">
        <w:rPr>
          <w:rFonts w:ascii="Arial" w:hAnsi="Arial" w:cs="Arial"/>
          <w:iCs/>
          <w:sz w:val="26"/>
          <w:szCs w:val="26"/>
        </w:rPr>
        <w:t>- - - - - - - - - - - - - - - - - - -</w:t>
      </w:r>
    </w:p>
    <w:p w14:paraId="3CAC41C5" w14:textId="0E965A5E" w:rsidR="00CE530E" w:rsidRDefault="00CE530E" w:rsidP="00CE530E">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Alega que el artículo 40 del Reglamento de la Ley de Catastro del Estado de Oaxaca deviene inaplicable en el presente asunto, porque tal precepto solamente impone obligaciones a los propietarios o poseedores de un bien inmueble y a las autoridades que intervengan en la modificación del dominio de un inmueble a utilizar los formatos establecidos por la Secretaría de Finanzas del Estado, esto es el contenido de dicho artículo sólo aplica a la propiedad, posesión o modificación de dominio de un predio cuando se trate de a) traslado de dominio, b) rectificación de valor espontáneo, c) construcciones nuevas y d) construcción de terrenos ejidales, y que por ello no resulta aplicable al trámite de corrección de medidas, trámite que se encuentra regulado en el numeral 49 del reglamento en cita.</w:t>
      </w:r>
      <w:r w:rsidR="00445003">
        <w:rPr>
          <w:rFonts w:ascii="Arial" w:eastAsia="Calibri" w:hAnsi="Arial" w:cs="Arial"/>
          <w:bCs/>
          <w:sz w:val="26"/>
          <w:szCs w:val="26"/>
        </w:rPr>
        <w:t xml:space="preserve"> </w:t>
      </w:r>
      <w:r w:rsidR="00445003" w:rsidRPr="00445003">
        <w:rPr>
          <w:rFonts w:ascii="Arial" w:hAnsi="Arial" w:cs="Arial"/>
          <w:iCs/>
          <w:sz w:val="26"/>
          <w:szCs w:val="26"/>
        </w:rPr>
        <w:t>- - - - - - - - - - - - - - - - - - - - -</w:t>
      </w:r>
      <w:r w:rsidR="00445003">
        <w:rPr>
          <w:rFonts w:ascii="Arial" w:hAnsi="Arial" w:cs="Arial"/>
          <w:iCs/>
          <w:sz w:val="26"/>
          <w:szCs w:val="26"/>
        </w:rPr>
        <w:t xml:space="preserve"> - </w:t>
      </w:r>
    </w:p>
    <w:p w14:paraId="7E7115AD" w14:textId="77777777" w:rsidR="00CE530E" w:rsidRDefault="00CE530E" w:rsidP="00CE530E">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el </w:t>
      </w:r>
      <w:r w:rsidRPr="007713A1">
        <w:rPr>
          <w:rFonts w:ascii="Arial" w:eastAsia="Calibri" w:hAnsi="Arial" w:cs="Arial"/>
          <w:b/>
          <w:bCs/>
          <w:sz w:val="26"/>
          <w:szCs w:val="26"/>
        </w:rPr>
        <w:t>segundo</w:t>
      </w:r>
      <w:r>
        <w:rPr>
          <w:rFonts w:ascii="Arial" w:eastAsia="Calibri" w:hAnsi="Arial" w:cs="Arial"/>
          <w:bCs/>
          <w:sz w:val="26"/>
          <w:szCs w:val="26"/>
        </w:rPr>
        <w:t xml:space="preserve"> concepto de impugnación, refiere que la demandada aduce que el terreno del contribuyente presenta una superficie excedente de más de un 20% que está oculta a la acción fiscal y por lo tanto, sujeta a las anotaciones que establezcan las leyes de la materia, por lo que el límite de un procedimiento de corrección de medidas es la superficie que no rebase el 20% para que resulte procedente.</w:t>
      </w:r>
    </w:p>
    <w:p w14:paraId="535991CC" w14:textId="21B1A00C" w:rsidR="00CE530E" w:rsidRDefault="00CE530E" w:rsidP="00CE530E">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Alega que el argumento de la demandada es infundado porque para establecer la existencia del supuesto excedente mayor al 20% se basa en el artículo 40 del Reglamento de la Ley de Catastro del Estado de Oaxaca, que como se dijo en el primer concepto de impugnación, no tiene aplicación en el procedimiento de corrección de medidas.</w:t>
      </w:r>
      <w:r w:rsidR="00445003">
        <w:rPr>
          <w:rFonts w:ascii="Arial" w:eastAsia="Calibri" w:hAnsi="Arial" w:cs="Arial"/>
          <w:bCs/>
          <w:sz w:val="26"/>
          <w:szCs w:val="26"/>
        </w:rPr>
        <w:t xml:space="preserve">- - - - - - </w:t>
      </w:r>
    </w:p>
    <w:p w14:paraId="2E3B1401" w14:textId="7C5284BD" w:rsidR="00CE530E" w:rsidRDefault="00CE530E" w:rsidP="00CE530E">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Recalca que el artículo en cita sólo dice que se harán las anotaciones que establezca la ley de la materia. Y que hacer una anotación no es declarar improcedente un trámite catastral.</w:t>
      </w:r>
      <w:r w:rsidR="00445003">
        <w:rPr>
          <w:rFonts w:ascii="Arial" w:eastAsia="Calibri" w:hAnsi="Arial" w:cs="Arial"/>
          <w:bCs/>
          <w:sz w:val="26"/>
          <w:szCs w:val="26"/>
        </w:rPr>
        <w:t xml:space="preserve"> </w:t>
      </w:r>
      <w:r w:rsidR="00445003" w:rsidRPr="00445003">
        <w:rPr>
          <w:rFonts w:ascii="Arial" w:hAnsi="Arial" w:cs="Arial"/>
          <w:iCs/>
          <w:sz w:val="26"/>
          <w:szCs w:val="26"/>
        </w:rPr>
        <w:t xml:space="preserve">- - - - - - - - </w:t>
      </w:r>
    </w:p>
    <w:p w14:paraId="1F86EC45" w14:textId="3B3A4A0D" w:rsidR="001001FE" w:rsidRPr="001001FE" w:rsidRDefault="001001FE" w:rsidP="00CE530E">
      <w:pPr>
        <w:spacing w:line="360" w:lineRule="auto"/>
        <w:ind w:right="49" w:firstLine="567"/>
        <w:jc w:val="both"/>
        <w:rPr>
          <w:rFonts w:ascii="Arial" w:eastAsia="Calibri" w:hAnsi="Arial" w:cs="Arial"/>
          <w:b/>
          <w:bCs/>
          <w:sz w:val="26"/>
          <w:szCs w:val="26"/>
        </w:rPr>
      </w:pPr>
      <w:r>
        <w:rPr>
          <w:rFonts w:ascii="Arial" w:eastAsia="Calibri" w:hAnsi="Arial" w:cs="Arial"/>
          <w:bCs/>
          <w:sz w:val="26"/>
          <w:szCs w:val="26"/>
        </w:rPr>
        <w:t>Esta J</w:t>
      </w:r>
      <w:r w:rsidR="00D6645D">
        <w:rPr>
          <w:rFonts w:ascii="Arial" w:eastAsia="Calibri" w:hAnsi="Arial" w:cs="Arial"/>
          <w:bCs/>
          <w:sz w:val="26"/>
          <w:szCs w:val="26"/>
        </w:rPr>
        <w:t xml:space="preserve">uzgadora desestima </w:t>
      </w:r>
      <w:r w:rsidR="00EA7F6E">
        <w:rPr>
          <w:rFonts w:ascii="Arial" w:eastAsia="Calibri" w:hAnsi="Arial" w:cs="Arial"/>
          <w:bCs/>
          <w:sz w:val="26"/>
          <w:szCs w:val="26"/>
        </w:rPr>
        <w:t>l</w:t>
      </w:r>
      <w:r w:rsidR="002A475A">
        <w:rPr>
          <w:rFonts w:ascii="Arial" w:eastAsia="Calibri" w:hAnsi="Arial" w:cs="Arial"/>
          <w:bCs/>
          <w:sz w:val="26"/>
          <w:szCs w:val="26"/>
        </w:rPr>
        <w:t>os concepto</w:t>
      </w:r>
      <w:r w:rsidR="00D6645D">
        <w:rPr>
          <w:rFonts w:ascii="Arial" w:eastAsia="Calibri" w:hAnsi="Arial" w:cs="Arial"/>
          <w:bCs/>
          <w:sz w:val="26"/>
          <w:szCs w:val="26"/>
        </w:rPr>
        <w:t>s</w:t>
      </w:r>
      <w:r w:rsidR="002A475A">
        <w:rPr>
          <w:rFonts w:ascii="Arial" w:eastAsia="Calibri" w:hAnsi="Arial" w:cs="Arial"/>
          <w:bCs/>
          <w:sz w:val="26"/>
          <w:szCs w:val="26"/>
        </w:rPr>
        <w:t xml:space="preserve"> de impugnación</w:t>
      </w:r>
      <w:r w:rsidR="00EA7F6E">
        <w:rPr>
          <w:rFonts w:ascii="Arial" w:eastAsia="Calibri" w:hAnsi="Arial" w:cs="Arial"/>
          <w:bCs/>
          <w:sz w:val="26"/>
          <w:szCs w:val="26"/>
        </w:rPr>
        <w:t xml:space="preserve"> </w:t>
      </w:r>
      <w:r w:rsidRPr="00436768">
        <w:rPr>
          <w:rFonts w:ascii="Arial" w:eastAsia="Calibri" w:hAnsi="Arial" w:cs="Arial"/>
          <w:b/>
          <w:bCs/>
          <w:sz w:val="26"/>
          <w:szCs w:val="26"/>
        </w:rPr>
        <w:t>prime</w:t>
      </w:r>
      <w:r w:rsidR="002A475A">
        <w:rPr>
          <w:rFonts w:ascii="Arial" w:eastAsia="Calibri" w:hAnsi="Arial" w:cs="Arial"/>
          <w:b/>
          <w:bCs/>
          <w:sz w:val="26"/>
          <w:szCs w:val="26"/>
        </w:rPr>
        <w:t xml:space="preserve">ro y </w:t>
      </w:r>
      <w:r w:rsidRPr="00436768">
        <w:rPr>
          <w:rFonts w:ascii="Arial" w:eastAsia="Calibri" w:hAnsi="Arial" w:cs="Arial"/>
          <w:b/>
          <w:bCs/>
          <w:sz w:val="26"/>
          <w:szCs w:val="26"/>
        </w:rPr>
        <w:t>segundo</w:t>
      </w:r>
      <w:r w:rsidR="00D6645D">
        <w:rPr>
          <w:rFonts w:ascii="Arial" w:eastAsia="Calibri" w:hAnsi="Arial" w:cs="Arial"/>
          <w:b/>
          <w:bCs/>
          <w:sz w:val="26"/>
          <w:szCs w:val="26"/>
        </w:rPr>
        <w:t xml:space="preserve"> </w:t>
      </w:r>
      <w:r w:rsidR="00D6645D" w:rsidRPr="00D6645D">
        <w:rPr>
          <w:rFonts w:ascii="Arial" w:eastAsia="Calibri" w:hAnsi="Arial" w:cs="Arial"/>
          <w:bCs/>
          <w:sz w:val="26"/>
          <w:szCs w:val="26"/>
        </w:rPr>
        <w:t>porque</w:t>
      </w:r>
      <w:r w:rsidR="00D6645D">
        <w:rPr>
          <w:rFonts w:ascii="Arial" w:eastAsia="Calibri" w:hAnsi="Arial" w:cs="Arial"/>
          <w:b/>
          <w:bCs/>
          <w:sz w:val="26"/>
          <w:szCs w:val="26"/>
        </w:rPr>
        <w:t xml:space="preserve"> </w:t>
      </w:r>
      <w:r w:rsidR="00D6645D" w:rsidRPr="00D6645D">
        <w:rPr>
          <w:rFonts w:ascii="Arial" w:eastAsia="Calibri" w:hAnsi="Arial" w:cs="Arial"/>
          <w:bCs/>
          <w:sz w:val="26"/>
          <w:szCs w:val="26"/>
        </w:rPr>
        <w:t>son</w:t>
      </w:r>
      <w:r w:rsidR="00D6645D">
        <w:rPr>
          <w:rFonts w:ascii="Arial" w:eastAsia="Calibri" w:hAnsi="Arial" w:cs="Arial"/>
          <w:b/>
          <w:bCs/>
          <w:sz w:val="26"/>
          <w:szCs w:val="26"/>
        </w:rPr>
        <w:t xml:space="preserve"> </w:t>
      </w:r>
      <w:r w:rsidRPr="001001FE">
        <w:rPr>
          <w:rFonts w:ascii="Arial" w:eastAsia="Calibri" w:hAnsi="Arial" w:cs="Arial"/>
          <w:b/>
          <w:bCs/>
          <w:sz w:val="26"/>
          <w:szCs w:val="26"/>
        </w:rPr>
        <w:t xml:space="preserve">infundados. </w:t>
      </w:r>
      <w:r w:rsidR="00445003" w:rsidRPr="00445003">
        <w:rPr>
          <w:rFonts w:ascii="Arial" w:hAnsi="Arial" w:cs="Arial"/>
          <w:iCs/>
          <w:sz w:val="26"/>
          <w:szCs w:val="26"/>
        </w:rPr>
        <w:t>- - - - - - - - - - - - - - - - - - - - -</w:t>
      </w:r>
      <w:r w:rsidR="00445003">
        <w:rPr>
          <w:rFonts w:ascii="Arial" w:hAnsi="Arial" w:cs="Arial"/>
          <w:iCs/>
          <w:sz w:val="26"/>
          <w:szCs w:val="26"/>
        </w:rPr>
        <w:t xml:space="preserve"> - - - - </w:t>
      </w:r>
    </w:p>
    <w:p w14:paraId="44D40897" w14:textId="57098AB7" w:rsidR="00CA27AA" w:rsidRDefault="00436768" w:rsidP="00CA27AA">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En principio, es pertinente señalar</w:t>
      </w:r>
      <w:r w:rsidR="00527CBA">
        <w:rPr>
          <w:rFonts w:ascii="Arial" w:eastAsia="Calibri" w:hAnsi="Arial" w:cs="Arial"/>
          <w:bCs/>
          <w:sz w:val="26"/>
          <w:szCs w:val="26"/>
        </w:rPr>
        <w:t xml:space="preserve"> que</w:t>
      </w:r>
      <w:r>
        <w:rPr>
          <w:rFonts w:ascii="Arial" w:eastAsia="Calibri" w:hAnsi="Arial" w:cs="Arial"/>
          <w:bCs/>
          <w:sz w:val="26"/>
          <w:szCs w:val="26"/>
        </w:rPr>
        <w:t xml:space="preserve"> en</w:t>
      </w:r>
      <w:r w:rsidRPr="00E7429A">
        <w:rPr>
          <w:rFonts w:ascii="Arial" w:eastAsia="Calibri" w:hAnsi="Arial" w:cs="Arial"/>
          <w:bCs/>
          <w:sz w:val="26"/>
          <w:szCs w:val="26"/>
        </w:rPr>
        <w:t xml:space="preserve"> las constancias procesales que integran el expediente de primera instancia, las que </w:t>
      </w:r>
      <w:r w:rsidRPr="00E7429A">
        <w:rPr>
          <w:rFonts w:ascii="Arial" w:eastAsia="Calibri" w:hAnsi="Arial" w:cs="Arial"/>
          <w:bCs/>
          <w:sz w:val="26"/>
          <w:szCs w:val="26"/>
        </w:rPr>
        <w:lastRenderedPageBreak/>
        <w:t>tienen pleno valor probatorio en términos del artículo 203 fracción I</w:t>
      </w:r>
      <w:r w:rsidRPr="00E7429A">
        <w:rPr>
          <w:rFonts w:ascii="Arial" w:eastAsia="Calibri" w:hAnsi="Arial" w:cs="Arial"/>
          <w:bCs/>
          <w:sz w:val="26"/>
          <w:szCs w:val="26"/>
          <w:vertAlign w:val="superscript"/>
        </w:rPr>
        <w:footnoteReference w:id="4"/>
      </w:r>
      <w:r w:rsidRPr="00E7429A">
        <w:rPr>
          <w:rFonts w:ascii="Arial" w:eastAsia="Calibri" w:hAnsi="Arial" w:cs="Arial"/>
          <w:bCs/>
          <w:sz w:val="26"/>
          <w:szCs w:val="26"/>
        </w:rPr>
        <w:t xml:space="preserve"> de la Ley de Procedimiento y Justicia Administrativa para el Estado de Oaxaca, por tratarse de actuaciones judiciales, </w:t>
      </w:r>
      <w:r>
        <w:rPr>
          <w:rFonts w:ascii="Arial" w:eastAsia="Calibri" w:hAnsi="Arial" w:cs="Arial"/>
          <w:bCs/>
          <w:sz w:val="26"/>
          <w:szCs w:val="26"/>
        </w:rPr>
        <w:t>obra agregada la copia certificada del acto impugnado consistente en el</w:t>
      </w:r>
      <w:r w:rsidR="00073337">
        <w:rPr>
          <w:rFonts w:ascii="Arial" w:eastAsia="Calibri" w:hAnsi="Arial" w:cs="Arial"/>
          <w:bCs/>
          <w:sz w:val="26"/>
          <w:szCs w:val="26"/>
        </w:rPr>
        <w:t xml:space="preserve"> oficio</w:t>
      </w:r>
      <w:r>
        <w:rPr>
          <w:rFonts w:ascii="Arial" w:eastAsia="Calibri" w:hAnsi="Arial" w:cs="Arial"/>
          <w:bCs/>
          <w:sz w:val="26"/>
          <w:szCs w:val="26"/>
        </w:rPr>
        <w:t xml:space="preserve"> </w:t>
      </w:r>
      <w:r w:rsidR="00110A19">
        <w:rPr>
          <w:rFonts w:ascii="Arial" w:hAnsi="Arial" w:cs="Arial"/>
          <w:b/>
          <w:bCs/>
          <w:color w:val="000000"/>
          <w:sz w:val="26"/>
          <w:szCs w:val="26"/>
        </w:rPr>
        <w:t>*******</w:t>
      </w:r>
      <w:r w:rsidRPr="002A620D">
        <w:rPr>
          <w:rFonts w:ascii="Arial" w:hAnsi="Arial" w:cs="Arial"/>
          <w:bCs/>
          <w:color w:val="000000"/>
          <w:sz w:val="26"/>
          <w:szCs w:val="26"/>
        </w:rPr>
        <w:t xml:space="preserve"> de quince de mayo de dos mil diecinueve</w:t>
      </w:r>
      <w:r>
        <w:rPr>
          <w:rFonts w:ascii="Arial" w:hAnsi="Arial" w:cs="Arial"/>
          <w:bCs/>
          <w:color w:val="000000"/>
          <w:sz w:val="26"/>
          <w:szCs w:val="26"/>
        </w:rPr>
        <w:t xml:space="preserve">, emitido por el Jefe de la Unidad Jurídica del Instituto Catastral del Estado de Oaxaca, </w:t>
      </w:r>
      <w:r w:rsidR="00CA27AA">
        <w:rPr>
          <w:rFonts w:ascii="Arial" w:hAnsi="Arial" w:cs="Arial"/>
          <w:bCs/>
          <w:color w:val="000000"/>
          <w:sz w:val="26"/>
          <w:szCs w:val="26"/>
        </w:rPr>
        <w:t xml:space="preserve">de la cual se desprende que </w:t>
      </w:r>
      <w:r w:rsidR="00CA27AA">
        <w:rPr>
          <w:rFonts w:ascii="Arial" w:eastAsia="Calibri" w:hAnsi="Arial" w:cs="Arial"/>
          <w:bCs/>
          <w:sz w:val="26"/>
          <w:szCs w:val="26"/>
        </w:rPr>
        <w:t xml:space="preserve">el demandante </w:t>
      </w:r>
      <w:r w:rsidR="00110A19">
        <w:rPr>
          <w:rFonts w:ascii="Arial" w:eastAsia="Calibri" w:hAnsi="Arial" w:cs="Arial"/>
          <w:bCs/>
          <w:sz w:val="26"/>
          <w:szCs w:val="26"/>
        </w:rPr>
        <w:t>*******</w:t>
      </w:r>
      <w:r w:rsidR="00CA27AA">
        <w:rPr>
          <w:rFonts w:ascii="Arial" w:eastAsia="Calibri" w:hAnsi="Arial" w:cs="Arial"/>
          <w:bCs/>
          <w:sz w:val="26"/>
          <w:szCs w:val="26"/>
        </w:rPr>
        <w:t xml:space="preserve"> solicitó al Instituto Catastral del Estado de Oaxaca, el trámite de corrección de medidas respecto del predio amparado en el registro de cuenta catastral </w:t>
      </w:r>
      <w:r w:rsidR="00110A19">
        <w:rPr>
          <w:rFonts w:ascii="Arial" w:eastAsia="Calibri" w:hAnsi="Arial" w:cs="Arial"/>
          <w:bCs/>
          <w:sz w:val="26"/>
          <w:szCs w:val="26"/>
        </w:rPr>
        <w:t>*******</w:t>
      </w:r>
      <w:r w:rsidR="00CA27AA">
        <w:rPr>
          <w:rFonts w:ascii="Arial" w:eastAsia="Calibri" w:hAnsi="Arial" w:cs="Arial"/>
          <w:bCs/>
          <w:sz w:val="26"/>
          <w:szCs w:val="26"/>
        </w:rPr>
        <w:t xml:space="preserve">, </w:t>
      </w:r>
      <w:r w:rsidR="00CA27AA" w:rsidRPr="00E97BB4">
        <w:rPr>
          <w:rFonts w:ascii="Arial" w:eastAsia="Calibri" w:hAnsi="Arial" w:cs="Arial"/>
          <w:bCs/>
          <w:sz w:val="26"/>
          <w:szCs w:val="26"/>
        </w:rPr>
        <w:t xml:space="preserve">que se ubica en el </w:t>
      </w:r>
      <w:r w:rsidR="00110A19">
        <w:rPr>
          <w:rFonts w:ascii="Arial" w:eastAsia="Calibri" w:hAnsi="Arial" w:cs="Arial"/>
          <w:bCs/>
          <w:sz w:val="26"/>
          <w:szCs w:val="26"/>
        </w:rPr>
        <w:t>*******</w:t>
      </w:r>
      <w:r w:rsidR="00CA27AA" w:rsidRPr="00E97BB4">
        <w:rPr>
          <w:rFonts w:ascii="Arial" w:eastAsia="Calibri" w:hAnsi="Arial" w:cs="Arial"/>
          <w:bCs/>
          <w:sz w:val="26"/>
          <w:szCs w:val="26"/>
        </w:rPr>
        <w:t>;</w:t>
      </w:r>
      <w:r w:rsidR="00CA27AA">
        <w:rPr>
          <w:rFonts w:ascii="Arial" w:eastAsia="Calibri" w:hAnsi="Arial" w:cs="Arial"/>
          <w:bCs/>
          <w:sz w:val="26"/>
          <w:szCs w:val="26"/>
        </w:rPr>
        <w:t xml:space="preserve"> pero a través del oficio </w:t>
      </w:r>
      <w:r w:rsidR="00110A19">
        <w:rPr>
          <w:rFonts w:ascii="Arial" w:eastAsia="Calibri" w:hAnsi="Arial" w:cs="Arial"/>
          <w:bCs/>
          <w:sz w:val="26"/>
          <w:szCs w:val="26"/>
        </w:rPr>
        <w:t>*******</w:t>
      </w:r>
      <w:r w:rsidR="00CA27AA">
        <w:rPr>
          <w:rFonts w:ascii="Arial" w:eastAsia="Calibri" w:hAnsi="Arial" w:cs="Arial"/>
          <w:bCs/>
          <w:sz w:val="26"/>
          <w:szCs w:val="26"/>
        </w:rPr>
        <w:t xml:space="preserve"> de veintinueve</w:t>
      </w:r>
      <w:r w:rsidR="00CA27AA" w:rsidRPr="00CA27AA">
        <w:rPr>
          <w:rFonts w:ascii="Arial" w:eastAsia="Calibri" w:hAnsi="Arial" w:cs="Arial"/>
          <w:bCs/>
          <w:sz w:val="26"/>
          <w:szCs w:val="26"/>
        </w:rPr>
        <w:t xml:space="preserve"> de septiembre de </w:t>
      </w:r>
      <w:r w:rsidR="00CA27AA">
        <w:rPr>
          <w:rFonts w:ascii="Arial" w:eastAsia="Calibri" w:hAnsi="Arial" w:cs="Arial"/>
          <w:bCs/>
          <w:sz w:val="26"/>
          <w:szCs w:val="26"/>
        </w:rPr>
        <w:t>dos mil diecisiete</w:t>
      </w:r>
      <w:r w:rsidR="00CA27AA" w:rsidRPr="00CA27AA">
        <w:rPr>
          <w:rFonts w:ascii="Arial" w:eastAsia="Calibri" w:hAnsi="Arial" w:cs="Arial"/>
          <w:bCs/>
          <w:sz w:val="26"/>
          <w:szCs w:val="26"/>
        </w:rPr>
        <w:t>,</w:t>
      </w:r>
      <w:r w:rsidR="00073337">
        <w:rPr>
          <w:rFonts w:ascii="Arial" w:eastAsia="Calibri" w:hAnsi="Arial" w:cs="Arial"/>
          <w:bCs/>
          <w:sz w:val="26"/>
          <w:szCs w:val="26"/>
        </w:rPr>
        <w:t xml:space="preserve"> </w:t>
      </w:r>
      <w:r w:rsidR="00CA27AA">
        <w:rPr>
          <w:rFonts w:ascii="Arial" w:eastAsia="Calibri" w:hAnsi="Arial" w:cs="Arial"/>
          <w:bCs/>
          <w:sz w:val="26"/>
          <w:szCs w:val="26"/>
        </w:rPr>
        <w:t>la autoridad catastral declaró improcedente el trámite porque observó que de las medidas manifestadas en el antecedente y la diligencia de apeo y deslinde, el predio crece en un 100%, y que por lo tanto, no puede inscribirse esa superficie porque excede del 20% establecido en el numeral 40 del Reglamento de la Ley de Catastro del Estado de Oaxaca, aunado a que el peticionario tampoco cumplió con los requisitos establecidos en el numeral 49 fracciones VII y VIII, del mismo reglamento.</w:t>
      </w:r>
      <w:r w:rsidR="009609A6">
        <w:rPr>
          <w:rFonts w:ascii="Arial" w:eastAsia="Calibri" w:hAnsi="Arial" w:cs="Arial"/>
          <w:bCs/>
          <w:sz w:val="26"/>
          <w:szCs w:val="26"/>
        </w:rPr>
        <w:t xml:space="preserve"> - - - - - - - - - - - </w:t>
      </w:r>
      <w:r w:rsidR="00110A19">
        <w:rPr>
          <w:rFonts w:ascii="Arial" w:eastAsia="Calibri" w:hAnsi="Arial" w:cs="Arial"/>
          <w:bCs/>
          <w:sz w:val="26"/>
          <w:szCs w:val="26"/>
        </w:rPr>
        <w:t>- - - - - - - - - - - - - - - - - - - - - - - - - - -</w:t>
      </w:r>
    </w:p>
    <w:p w14:paraId="55A67161" w14:textId="3D6FD14F" w:rsidR="00CA27AA" w:rsidRDefault="00EE3CC4" w:rsidP="00EE3CC4">
      <w:pPr>
        <w:spacing w:line="360" w:lineRule="auto"/>
        <w:ind w:right="49" w:firstLine="567"/>
        <w:jc w:val="both"/>
        <w:rPr>
          <w:rFonts w:ascii="Arial" w:hAnsi="Arial" w:cs="Arial"/>
          <w:bCs/>
          <w:color w:val="000000"/>
          <w:sz w:val="26"/>
          <w:szCs w:val="26"/>
        </w:rPr>
      </w:pPr>
      <w:r>
        <w:rPr>
          <w:rFonts w:ascii="Arial" w:hAnsi="Arial" w:cs="Arial"/>
          <w:bCs/>
          <w:color w:val="000000"/>
          <w:sz w:val="26"/>
          <w:szCs w:val="26"/>
        </w:rPr>
        <w:t xml:space="preserve">Inconforme con el rechazo del trámite, el particular interpuso recurso de revisión en sede administrativa, que fue resuelto </w:t>
      </w:r>
      <w:r w:rsidR="00073337">
        <w:rPr>
          <w:rFonts w:ascii="Arial" w:eastAsia="Calibri" w:hAnsi="Arial" w:cs="Arial"/>
          <w:bCs/>
          <w:sz w:val="26"/>
          <w:szCs w:val="26"/>
        </w:rPr>
        <w:t xml:space="preserve">en el oficio </w:t>
      </w:r>
      <w:r w:rsidR="00110A19">
        <w:rPr>
          <w:rFonts w:ascii="Arial" w:hAnsi="Arial" w:cs="Arial"/>
          <w:b/>
          <w:bCs/>
          <w:color w:val="000000"/>
          <w:sz w:val="26"/>
          <w:szCs w:val="26"/>
        </w:rPr>
        <w:t>*******</w:t>
      </w:r>
      <w:r w:rsidR="00073337" w:rsidRPr="002A620D">
        <w:rPr>
          <w:rFonts w:ascii="Arial" w:hAnsi="Arial" w:cs="Arial"/>
          <w:bCs/>
          <w:color w:val="000000"/>
          <w:sz w:val="26"/>
          <w:szCs w:val="26"/>
        </w:rPr>
        <w:t xml:space="preserve"> de quince de mayo de dos mil diecinueve</w:t>
      </w:r>
      <w:r w:rsidR="00073337">
        <w:rPr>
          <w:rFonts w:ascii="Arial" w:hAnsi="Arial" w:cs="Arial"/>
          <w:bCs/>
          <w:color w:val="000000"/>
          <w:sz w:val="26"/>
          <w:szCs w:val="26"/>
        </w:rPr>
        <w:t>,</w:t>
      </w:r>
      <w:r>
        <w:rPr>
          <w:rFonts w:ascii="Arial" w:hAnsi="Arial" w:cs="Arial"/>
          <w:bCs/>
          <w:color w:val="000000"/>
          <w:sz w:val="26"/>
          <w:szCs w:val="26"/>
        </w:rPr>
        <w:t xml:space="preserve"> ya mencionado, cuando </w:t>
      </w:r>
      <w:r w:rsidR="00073337">
        <w:rPr>
          <w:rFonts w:ascii="Arial" w:hAnsi="Arial" w:cs="Arial"/>
          <w:bCs/>
          <w:color w:val="000000"/>
          <w:sz w:val="26"/>
          <w:szCs w:val="26"/>
        </w:rPr>
        <w:t>el Jefe de la Unidad Jurídica del Instituto Catastral del Estado de Oaxac</w:t>
      </w:r>
      <w:r>
        <w:rPr>
          <w:rFonts w:ascii="Arial" w:hAnsi="Arial" w:cs="Arial"/>
          <w:bCs/>
          <w:color w:val="000000"/>
          <w:sz w:val="26"/>
          <w:szCs w:val="26"/>
        </w:rPr>
        <w:t xml:space="preserve">a, determinó </w:t>
      </w:r>
      <w:r w:rsidR="00CA27AA">
        <w:rPr>
          <w:rFonts w:ascii="Arial" w:hAnsi="Arial" w:cs="Arial"/>
          <w:bCs/>
          <w:color w:val="000000"/>
          <w:sz w:val="26"/>
          <w:szCs w:val="26"/>
        </w:rPr>
        <w:t>lo siguiente:</w:t>
      </w:r>
    </w:p>
    <w:p w14:paraId="17500491" w14:textId="4EBBADDE" w:rsidR="00436768" w:rsidRPr="00CE530E" w:rsidRDefault="00EE3CC4" w:rsidP="00436768">
      <w:pPr>
        <w:spacing w:line="360" w:lineRule="auto"/>
        <w:ind w:left="567" w:right="616"/>
        <w:jc w:val="center"/>
        <w:rPr>
          <w:rFonts w:ascii="Arial" w:eastAsia="Calibri" w:hAnsi="Arial" w:cs="Arial"/>
          <w:b/>
          <w:bCs/>
          <w:i/>
        </w:rPr>
      </w:pPr>
      <w:r>
        <w:rPr>
          <w:rFonts w:ascii="Arial" w:eastAsia="Calibri" w:hAnsi="Arial" w:cs="Arial"/>
          <w:b/>
          <w:bCs/>
          <w:i/>
        </w:rPr>
        <w:t>“</w:t>
      </w:r>
      <w:r w:rsidR="00436768" w:rsidRPr="00CE530E">
        <w:rPr>
          <w:rFonts w:ascii="Arial" w:eastAsia="Calibri" w:hAnsi="Arial" w:cs="Arial"/>
          <w:b/>
          <w:bCs/>
          <w:i/>
        </w:rPr>
        <w:t>CONSIDERANDO</w:t>
      </w:r>
    </w:p>
    <w:p w14:paraId="73CBE31F" w14:textId="77777777" w:rsidR="00436768" w:rsidRPr="00CE530E" w:rsidRDefault="00436768" w:rsidP="009609A6">
      <w:pPr>
        <w:ind w:left="567" w:right="616"/>
        <w:jc w:val="both"/>
        <w:rPr>
          <w:rFonts w:ascii="Arial" w:eastAsia="Calibri" w:hAnsi="Arial" w:cs="Arial"/>
          <w:bCs/>
          <w:i/>
        </w:rPr>
      </w:pPr>
      <w:r w:rsidRPr="00CE530E">
        <w:rPr>
          <w:rFonts w:ascii="Arial" w:eastAsia="Calibri" w:hAnsi="Arial" w:cs="Arial"/>
          <w:bCs/>
          <w:i/>
        </w:rPr>
        <w:t>(…)</w:t>
      </w:r>
    </w:p>
    <w:p w14:paraId="6FD52228" w14:textId="34A91EA6" w:rsidR="00436768" w:rsidRPr="00CE530E" w:rsidRDefault="00436768" w:rsidP="009609A6">
      <w:pPr>
        <w:ind w:left="567" w:right="616" w:firstLine="142"/>
        <w:jc w:val="both"/>
        <w:rPr>
          <w:rFonts w:ascii="Arial" w:eastAsia="Calibri" w:hAnsi="Arial" w:cs="Arial"/>
          <w:bCs/>
          <w:i/>
        </w:rPr>
      </w:pPr>
      <w:r w:rsidRPr="00CE530E">
        <w:rPr>
          <w:rFonts w:ascii="Arial" w:eastAsia="Calibri" w:hAnsi="Arial" w:cs="Arial"/>
          <w:b/>
          <w:bCs/>
          <w:i/>
        </w:rPr>
        <w:t>CUARTO.-</w:t>
      </w:r>
      <w:r w:rsidRPr="00CE530E">
        <w:rPr>
          <w:rFonts w:ascii="Arial" w:eastAsia="Calibri" w:hAnsi="Arial" w:cs="Arial"/>
          <w:bCs/>
          <w:i/>
        </w:rPr>
        <w:t xml:space="preserve"> La resolución dictada en primer orden en sede administrativa por la Jefa del Departamento de Tramitación de Solicitudes contenida en el oficio </w:t>
      </w:r>
      <w:r w:rsidR="00110A19">
        <w:rPr>
          <w:rFonts w:ascii="Arial" w:eastAsia="Calibri" w:hAnsi="Arial" w:cs="Arial"/>
          <w:bCs/>
          <w:i/>
        </w:rPr>
        <w:t>*******</w:t>
      </w:r>
      <w:r w:rsidRPr="00CE530E">
        <w:rPr>
          <w:rFonts w:ascii="Arial" w:eastAsia="Calibri" w:hAnsi="Arial" w:cs="Arial"/>
          <w:bCs/>
          <w:i/>
        </w:rPr>
        <w:t xml:space="preserve"> de fecha 29 de septiembre de 2017, se basa esencialmente de que al realizar la ubicación del bien inmueble de referencia en la Cartografía Digital de este instituto, al (sic) y de acuerdo a la información proporcionada se observó que de las medidas manifestadas en el antecedente y la diligencia de apeo y deslinde el predio crece en un 100% insertando los artículos que consideró necesarios para fundar dicha determinación…</w:t>
      </w:r>
    </w:p>
    <w:p w14:paraId="5E8C4926" w14:textId="498F4E32" w:rsidR="00436768" w:rsidRPr="00CE530E" w:rsidRDefault="00436768" w:rsidP="009609A6">
      <w:pPr>
        <w:ind w:left="567" w:right="616"/>
        <w:jc w:val="both"/>
        <w:rPr>
          <w:rFonts w:ascii="Arial" w:eastAsia="Calibri" w:hAnsi="Arial" w:cs="Arial"/>
          <w:bCs/>
          <w:i/>
        </w:rPr>
      </w:pPr>
      <w:r w:rsidRPr="00CE530E">
        <w:rPr>
          <w:rFonts w:ascii="Arial" w:eastAsia="Calibri" w:hAnsi="Arial" w:cs="Arial"/>
          <w:bCs/>
          <w:i/>
        </w:rPr>
        <w:t xml:space="preserve">… pues del resultado de la substanciación legal del procedimiento administrativo catastral del trámite de corrección de medidas, previsto en el artículo 49 del Reglamento Interno de la Ley de Catastro para el Estado </w:t>
      </w:r>
      <w:r w:rsidRPr="00CE530E">
        <w:rPr>
          <w:rFonts w:ascii="Arial" w:eastAsia="Calibri" w:hAnsi="Arial" w:cs="Arial"/>
          <w:bCs/>
          <w:i/>
        </w:rPr>
        <w:lastRenderedPageBreak/>
        <w:t xml:space="preserve">de Oaxaca, resulta que de las medidas del antecedente de propiedad que generó el registro de cuenta catastral, </w:t>
      </w:r>
      <w:r w:rsidR="00110A19">
        <w:rPr>
          <w:rFonts w:ascii="Arial" w:eastAsia="Calibri" w:hAnsi="Arial" w:cs="Arial"/>
          <w:bCs/>
          <w:i/>
        </w:rPr>
        <w:t>*******</w:t>
      </w:r>
      <w:r w:rsidRPr="00CE530E">
        <w:rPr>
          <w:rFonts w:ascii="Arial" w:eastAsia="Calibri" w:hAnsi="Arial" w:cs="Arial"/>
          <w:bCs/>
          <w:i/>
        </w:rPr>
        <w:t xml:space="preserve"> a nombre del contribuyente </w:t>
      </w:r>
      <w:r w:rsidR="00110A19">
        <w:rPr>
          <w:rFonts w:ascii="Arial" w:eastAsia="Calibri" w:hAnsi="Arial" w:cs="Arial"/>
          <w:bCs/>
          <w:i/>
        </w:rPr>
        <w:t>*******</w:t>
      </w:r>
      <w:r w:rsidRPr="00CE530E">
        <w:rPr>
          <w:rFonts w:ascii="Arial" w:eastAsia="Calibri" w:hAnsi="Arial" w:cs="Arial"/>
          <w:bCs/>
          <w:i/>
        </w:rPr>
        <w:t xml:space="preserve"> y de las medidas de la Diligencia de Apeo y Deslinde, levantada con fecha 22 de agosto de 2016 por el Alcalde Único Constitucional de </w:t>
      </w:r>
      <w:r w:rsidR="00110A19">
        <w:rPr>
          <w:rFonts w:ascii="Arial" w:eastAsia="Calibri" w:hAnsi="Arial" w:cs="Arial"/>
          <w:bCs/>
          <w:i/>
        </w:rPr>
        <w:t>*******</w:t>
      </w:r>
      <w:r w:rsidRPr="00CE530E">
        <w:rPr>
          <w:rFonts w:ascii="Arial" w:eastAsia="Calibri" w:hAnsi="Arial" w:cs="Arial"/>
          <w:bCs/>
          <w:i/>
        </w:rPr>
        <w:t>, Oaxaca; la superficie excedente es de más del 20% que fija como límite el Reglamento de la Ley de Catastro, para que proceda el trámite solicitado, pues así lo dispone el artículo 40 del Reglamento de la Ley de Catastro para el Estado de Oaxaca, en su último párrafo que a la letra dice:</w:t>
      </w:r>
    </w:p>
    <w:p w14:paraId="46DF10F1" w14:textId="77777777" w:rsidR="00436768" w:rsidRPr="00CE530E" w:rsidRDefault="00436768" w:rsidP="009609A6">
      <w:pPr>
        <w:ind w:left="567" w:right="616"/>
        <w:jc w:val="both"/>
        <w:rPr>
          <w:rFonts w:ascii="Arial" w:eastAsia="Calibri" w:hAnsi="Arial" w:cs="Arial"/>
          <w:bCs/>
          <w:i/>
        </w:rPr>
      </w:pPr>
      <w:r w:rsidRPr="00CE530E">
        <w:rPr>
          <w:rFonts w:ascii="Arial" w:eastAsia="Calibri" w:hAnsi="Arial" w:cs="Arial"/>
          <w:bCs/>
          <w:i/>
        </w:rPr>
        <w:t xml:space="preserve">Las que se refieren a rectificaciones de medidas, vendrán acompañadas de datos y planos firmados por el interesado que las aclare y justifique a juicio de la Secretaría de Finanzas del Gobierno del Estado, conteniendo las anotaciones a que se refiere el artículo 17 de este reglamento. </w:t>
      </w:r>
    </w:p>
    <w:p w14:paraId="7699DB18" w14:textId="77777777" w:rsidR="00436768" w:rsidRPr="00CE530E" w:rsidRDefault="00436768" w:rsidP="009609A6">
      <w:pPr>
        <w:ind w:left="567" w:right="616"/>
        <w:jc w:val="both"/>
        <w:rPr>
          <w:rFonts w:ascii="Arial" w:eastAsia="Calibri" w:hAnsi="Arial" w:cs="Arial"/>
          <w:bCs/>
          <w:i/>
        </w:rPr>
      </w:pPr>
      <w:r w:rsidRPr="00CE530E">
        <w:rPr>
          <w:rFonts w:ascii="Arial" w:eastAsia="Calibri" w:hAnsi="Arial" w:cs="Arial"/>
          <w:bCs/>
          <w:i/>
        </w:rPr>
        <w:t xml:space="preserve">Si la rectificación de medidas revela superficie excedente de la inscrita en </w:t>
      </w:r>
      <w:proofErr w:type="gramStart"/>
      <w:r w:rsidRPr="00CE530E">
        <w:rPr>
          <w:rFonts w:ascii="Arial" w:eastAsia="Calibri" w:hAnsi="Arial" w:cs="Arial"/>
          <w:bCs/>
          <w:i/>
        </w:rPr>
        <w:t>los registros catastrales mayor</w:t>
      </w:r>
      <w:proofErr w:type="gramEnd"/>
      <w:r w:rsidRPr="00CE530E">
        <w:rPr>
          <w:rFonts w:ascii="Arial" w:eastAsia="Calibri" w:hAnsi="Arial" w:cs="Arial"/>
          <w:bCs/>
          <w:i/>
        </w:rPr>
        <w:t xml:space="preserve"> a un 20%, este excedente se considerará como superficie oculta a la acción fiscal y por lo tanto, sujeta a las anotaciones que establezcan las leyes en la materia.</w:t>
      </w:r>
    </w:p>
    <w:p w14:paraId="077716FE" w14:textId="360E545F" w:rsidR="00436768" w:rsidRDefault="00436768" w:rsidP="009609A6">
      <w:pPr>
        <w:ind w:left="567" w:right="616"/>
        <w:jc w:val="both"/>
        <w:rPr>
          <w:rFonts w:ascii="Arial" w:eastAsia="Calibri" w:hAnsi="Arial" w:cs="Arial"/>
          <w:bCs/>
          <w:i/>
        </w:rPr>
      </w:pPr>
      <w:r w:rsidRPr="00CE530E">
        <w:rPr>
          <w:rFonts w:ascii="Arial" w:eastAsia="Calibri" w:hAnsi="Arial" w:cs="Arial"/>
          <w:bCs/>
          <w:i/>
        </w:rPr>
        <w:t xml:space="preserve">… Como consecuencia para que proceda el trámite de corrección de medidas, se acotó poniendo como límite que la superficie excedente, no exceda de un 20%, de haber considerado lo contrario, el Reglamento no hubiera establecido un límite sobre la superficie excedente y todos los trámites de rectificación de datos procedieran aunque el excedieran del 20%, como erróneamente lo argumenta el inconforme </w:t>
      </w:r>
      <w:r w:rsidR="00110A19">
        <w:rPr>
          <w:rFonts w:ascii="Arial" w:eastAsia="Calibri" w:hAnsi="Arial" w:cs="Arial"/>
          <w:bCs/>
          <w:i/>
        </w:rPr>
        <w:t>*******</w:t>
      </w:r>
      <w:r w:rsidRPr="00CE530E">
        <w:rPr>
          <w:rFonts w:ascii="Arial" w:eastAsia="Calibri" w:hAnsi="Arial" w:cs="Arial"/>
          <w:bCs/>
          <w:i/>
        </w:rPr>
        <w:t>…</w:t>
      </w:r>
      <w:r w:rsidR="009C5ECB">
        <w:rPr>
          <w:rFonts w:ascii="Arial" w:eastAsia="Calibri" w:hAnsi="Arial" w:cs="Arial"/>
          <w:bCs/>
          <w:i/>
        </w:rPr>
        <w:t>”</w:t>
      </w:r>
    </w:p>
    <w:p w14:paraId="094615B0" w14:textId="7FB0D331" w:rsidR="00D501ED" w:rsidRPr="00D501ED" w:rsidRDefault="00436768" w:rsidP="00D501ED">
      <w:pPr>
        <w:spacing w:line="360" w:lineRule="auto"/>
        <w:ind w:right="49" w:firstLine="567"/>
        <w:jc w:val="both"/>
        <w:rPr>
          <w:rFonts w:ascii="Arial" w:eastAsia="Calibri" w:hAnsi="Arial" w:cs="Arial"/>
          <w:sz w:val="26"/>
          <w:szCs w:val="26"/>
        </w:rPr>
      </w:pPr>
      <w:r>
        <w:rPr>
          <w:rFonts w:ascii="Arial" w:eastAsia="Calibri" w:hAnsi="Arial" w:cs="Arial"/>
          <w:bCs/>
          <w:sz w:val="26"/>
          <w:szCs w:val="26"/>
        </w:rPr>
        <w:t xml:space="preserve">Como se advierte del texto anterior, </w:t>
      </w:r>
      <w:r w:rsidR="0062511B">
        <w:rPr>
          <w:rFonts w:ascii="Arial" w:eastAsia="Calibri" w:hAnsi="Arial" w:cs="Arial"/>
          <w:bCs/>
          <w:sz w:val="26"/>
          <w:szCs w:val="26"/>
        </w:rPr>
        <w:t xml:space="preserve">en la resolución dictada en el recurso en sede administrativa, la autoridad catastral confirmó la declinación del trámite de corrección de medidas promovido por </w:t>
      </w:r>
      <w:r w:rsidR="00110A19">
        <w:rPr>
          <w:rFonts w:ascii="Arial" w:eastAsia="Calibri" w:hAnsi="Arial" w:cs="Arial"/>
          <w:b/>
          <w:bCs/>
          <w:sz w:val="26"/>
          <w:szCs w:val="26"/>
        </w:rPr>
        <w:t>*******</w:t>
      </w:r>
      <w:r w:rsidR="0062511B" w:rsidRPr="00494722">
        <w:rPr>
          <w:rFonts w:ascii="Arial" w:eastAsia="Calibri" w:hAnsi="Arial" w:cs="Arial"/>
          <w:b/>
          <w:bCs/>
          <w:sz w:val="26"/>
          <w:szCs w:val="26"/>
        </w:rPr>
        <w:t>,</w:t>
      </w:r>
      <w:r w:rsidR="0062511B">
        <w:rPr>
          <w:rFonts w:ascii="Arial" w:eastAsia="Calibri" w:hAnsi="Arial" w:cs="Arial"/>
          <w:bCs/>
          <w:sz w:val="26"/>
          <w:szCs w:val="26"/>
        </w:rPr>
        <w:t xml:space="preserve"> </w:t>
      </w:r>
      <w:r w:rsidR="00744DA0">
        <w:rPr>
          <w:rFonts w:ascii="Arial" w:eastAsia="Calibri" w:hAnsi="Arial" w:cs="Arial"/>
          <w:bCs/>
          <w:sz w:val="26"/>
          <w:szCs w:val="26"/>
        </w:rPr>
        <w:t xml:space="preserve">porque </w:t>
      </w:r>
      <w:r w:rsidR="0062511B">
        <w:rPr>
          <w:rFonts w:ascii="Arial" w:eastAsia="Calibri" w:hAnsi="Arial" w:cs="Arial"/>
          <w:bCs/>
          <w:sz w:val="26"/>
          <w:szCs w:val="26"/>
        </w:rPr>
        <w:t xml:space="preserve">la superficie sobre la cual </w:t>
      </w:r>
      <w:r w:rsidR="00E86C82">
        <w:rPr>
          <w:rFonts w:ascii="Arial" w:eastAsia="Calibri" w:hAnsi="Arial" w:cs="Arial"/>
          <w:bCs/>
          <w:sz w:val="26"/>
          <w:szCs w:val="26"/>
        </w:rPr>
        <w:t xml:space="preserve">se </w:t>
      </w:r>
      <w:r w:rsidR="0062511B">
        <w:rPr>
          <w:rFonts w:ascii="Arial" w:eastAsia="Calibri" w:hAnsi="Arial" w:cs="Arial"/>
          <w:bCs/>
          <w:sz w:val="26"/>
          <w:szCs w:val="26"/>
        </w:rPr>
        <w:t xml:space="preserve">solicitó ese trámite, </w:t>
      </w:r>
      <w:r w:rsidR="00AB1FE4">
        <w:rPr>
          <w:rFonts w:ascii="Arial" w:eastAsia="Calibri" w:hAnsi="Arial" w:cs="Arial"/>
          <w:bCs/>
          <w:sz w:val="26"/>
          <w:szCs w:val="26"/>
        </w:rPr>
        <w:t>excede el 20% señalado en los párrafos penúltimo y último artículo 40</w:t>
      </w:r>
      <w:r w:rsidR="00AB1FE4">
        <w:rPr>
          <w:rStyle w:val="Refdenotaalpie"/>
          <w:rFonts w:ascii="Arial" w:eastAsia="Calibri" w:hAnsi="Arial" w:cs="Arial"/>
          <w:bCs/>
          <w:sz w:val="26"/>
          <w:szCs w:val="26"/>
        </w:rPr>
        <w:footnoteReference w:id="5"/>
      </w:r>
      <w:r w:rsidR="00AB1FE4">
        <w:rPr>
          <w:rFonts w:ascii="Arial" w:eastAsia="Calibri" w:hAnsi="Arial" w:cs="Arial"/>
          <w:bCs/>
          <w:sz w:val="26"/>
          <w:szCs w:val="26"/>
        </w:rPr>
        <w:t xml:space="preserve"> </w:t>
      </w:r>
      <w:r w:rsidR="00AB1FE4">
        <w:rPr>
          <w:rFonts w:ascii="Arial" w:eastAsia="Times New Roman" w:hAnsi="Arial" w:cs="Arial"/>
          <w:bCs/>
          <w:iCs/>
          <w:sz w:val="26"/>
          <w:szCs w:val="26"/>
          <w:lang w:eastAsia="es-ES"/>
        </w:rPr>
        <w:t>del</w:t>
      </w:r>
      <w:r w:rsidR="00AB1FE4">
        <w:rPr>
          <w:rFonts w:ascii="Arial" w:eastAsia="Calibri" w:hAnsi="Arial" w:cs="Arial"/>
          <w:sz w:val="26"/>
          <w:szCs w:val="26"/>
        </w:rPr>
        <w:t xml:space="preserve"> </w:t>
      </w:r>
      <w:r w:rsidR="00AB1FE4" w:rsidRPr="0063424A">
        <w:rPr>
          <w:rFonts w:ascii="Arial" w:eastAsia="Times New Roman" w:hAnsi="Arial" w:cs="Arial"/>
          <w:bCs/>
          <w:iCs/>
          <w:sz w:val="26"/>
          <w:szCs w:val="26"/>
          <w:lang w:eastAsia="es-ES"/>
        </w:rPr>
        <w:t>Reglamento de la Ley de Catastro del Estado</w:t>
      </w:r>
      <w:r w:rsidR="00AB1FE4">
        <w:rPr>
          <w:rFonts w:ascii="Arial" w:eastAsia="Times New Roman" w:hAnsi="Arial" w:cs="Arial"/>
          <w:bCs/>
          <w:iCs/>
          <w:sz w:val="26"/>
          <w:szCs w:val="26"/>
          <w:lang w:eastAsia="es-ES"/>
        </w:rPr>
        <w:t xml:space="preserve"> de Oaxaca</w:t>
      </w:r>
      <w:r w:rsidR="00157963">
        <w:rPr>
          <w:rFonts w:ascii="Arial" w:eastAsia="Times New Roman" w:hAnsi="Arial" w:cs="Arial"/>
          <w:bCs/>
          <w:iCs/>
          <w:sz w:val="26"/>
          <w:szCs w:val="26"/>
          <w:lang w:eastAsia="es-ES"/>
        </w:rPr>
        <w:t>.</w:t>
      </w:r>
      <w:r w:rsidR="009609A6">
        <w:rPr>
          <w:rFonts w:ascii="Arial" w:eastAsia="Times New Roman" w:hAnsi="Arial" w:cs="Arial"/>
          <w:bCs/>
          <w:iCs/>
          <w:sz w:val="26"/>
          <w:szCs w:val="26"/>
          <w:lang w:eastAsia="es-ES"/>
        </w:rPr>
        <w:t xml:space="preserve"> </w:t>
      </w:r>
      <w:r w:rsidR="009609A6" w:rsidRPr="00445003">
        <w:rPr>
          <w:rFonts w:ascii="Arial" w:hAnsi="Arial" w:cs="Arial"/>
          <w:iCs/>
          <w:sz w:val="26"/>
          <w:szCs w:val="26"/>
        </w:rPr>
        <w:t xml:space="preserve">- - - - - - - - - - - - - - - - - - - </w:t>
      </w:r>
    </w:p>
    <w:p w14:paraId="5853C3AC" w14:textId="2F951273" w:rsidR="00494722" w:rsidRDefault="00FF3217" w:rsidP="00494722">
      <w:pPr>
        <w:spacing w:before="240" w:line="360" w:lineRule="auto"/>
        <w:ind w:right="49" w:firstLine="567"/>
        <w:jc w:val="both"/>
        <w:rPr>
          <w:rFonts w:ascii="Arial" w:eastAsia="Times New Roman" w:hAnsi="Arial" w:cs="Arial"/>
          <w:bCs/>
          <w:iCs/>
          <w:sz w:val="26"/>
          <w:szCs w:val="26"/>
          <w:lang w:eastAsia="es-ES"/>
        </w:rPr>
      </w:pPr>
      <w:r>
        <w:rPr>
          <w:rFonts w:ascii="Arial" w:eastAsia="Calibri" w:hAnsi="Arial" w:cs="Arial"/>
          <w:bCs/>
          <w:sz w:val="26"/>
          <w:szCs w:val="26"/>
        </w:rPr>
        <w:lastRenderedPageBreak/>
        <w:t>Para empezar</w:t>
      </w:r>
      <w:r w:rsidR="00D501ED">
        <w:rPr>
          <w:rFonts w:ascii="Arial" w:eastAsia="Calibri" w:hAnsi="Arial" w:cs="Arial"/>
          <w:bCs/>
          <w:sz w:val="26"/>
          <w:szCs w:val="26"/>
        </w:rPr>
        <w:t>, contrariamente a lo que menciona el demandante en el primer concepto de impugnación, e</w:t>
      </w:r>
      <w:r w:rsidR="00494722">
        <w:rPr>
          <w:rFonts w:ascii="Arial" w:eastAsia="Calibri" w:hAnsi="Arial" w:cs="Arial"/>
          <w:sz w:val="26"/>
          <w:szCs w:val="26"/>
        </w:rPr>
        <w:t xml:space="preserve">l artículo 40 </w:t>
      </w:r>
      <w:r w:rsidR="009C5ECB">
        <w:rPr>
          <w:rFonts w:ascii="Arial" w:eastAsia="Calibri" w:hAnsi="Arial" w:cs="Arial"/>
          <w:sz w:val="26"/>
          <w:szCs w:val="26"/>
        </w:rPr>
        <w:t xml:space="preserve">del </w:t>
      </w:r>
      <w:r w:rsidR="00494722" w:rsidRPr="0063424A">
        <w:rPr>
          <w:rFonts w:ascii="Arial" w:eastAsia="Times New Roman" w:hAnsi="Arial" w:cs="Arial"/>
          <w:bCs/>
          <w:iCs/>
          <w:sz w:val="26"/>
          <w:szCs w:val="26"/>
          <w:lang w:eastAsia="es-ES"/>
        </w:rPr>
        <w:t>Reglamento de la Ley de Catastro del Estado</w:t>
      </w:r>
      <w:r w:rsidR="00494722">
        <w:rPr>
          <w:rFonts w:ascii="Arial" w:eastAsia="Times New Roman" w:hAnsi="Arial" w:cs="Arial"/>
          <w:bCs/>
          <w:iCs/>
          <w:sz w:val="26"/>
          <w:szCs w:val="26"/>
          <w:lang w:eastAsia="es-ES"/>
        </w:rPr>
        <w:t xml:space="preserve"> de Oaxaca, </w:t>
      </w:r>
      <w:r w:rsidR="00EF5937">
        <w:rPr>
          <w:rFonts w:ascii="Arial" w:eastAsia="Times New Roman" w:hAnsi="Arial" w:cs="Arial"/>
          <w:bCs/>
          <w:iCs/>
          <w:sz w:val="26"/>
          <w:szCs w:val="26"/>
          <w:lang w:eastAsia="es-ES"/>
        </w:rPr>
        <w:t>sí resulta aplicable al trámite de corrección de medidas, porque</w:t>
      </w:r>
      <w:r w:rsidR="00D6726F">
        <w:rPr>
          <w:rFonts w:ascii="Arial" w:eastAsia="Times New Roman" w:hAnsi="Arial" w:cs="Arial"/>
          <w:bCs/>
          <w:iCs/>
          <w:sz w:val="26"/>
          <w:szCs w:val="26"/>
          <w:lang w:eastAsia="es-ES"/>
        </w:rPr>
        <w:t xml:space="preserve"> </w:t>
      </w:r>
      <w:r w:rsidR="00E05EA9">
        <w:rPr>
          <w:rFonts w:ascii="Arial" w:eastAsia="Times New Roman" w:hAnsi="Arial" w:cs="Arial"/>
          <w:bCs/>
          <w:iCs/>
          <w:sz w:val="26"/>
          <w:szCs w:val="26"/>
          <w:lang w:eastAsia="es-ES"/>
        </w:rPr>
        <w:t xml:space="preserve">este precepto </w:t>
      </w:r>
      <w:r w:rsidR="00D6726F">
        <w:rPr>
          <w:rFonts w:ascii="Arial" w:eastAsia="Times New Roman" w:hAnsi="Arial" w:cs="Arial"/>
          <w:bCs/>
          <w:iCs/>
          <w:sz w:val="26"/>
          <w:szCs w:val="26"/>
          <w:lang w:eastAsia="es-ES"/>
        </w:rPr>
        <w:t>enlista el catálogo de trámites que pueden realizarse ante el Instituto Catastral del Estado de Oaxaca</w:t>
      </w:r>
      <w:r>
        <w:rPr>
          <w:rFonts w:ascii="Arial" w:eastAsia="Times New Roman" w:hAnsi="Arial" w:cs="Arial"/>
          <w:bCs/>
          <w:iCs/>
          <w:sz w:val="26"/>
          <w:szCs w:val="26"/>
          <w:lang w:eastAsia="es-ES"/>
        </w:rPr>
        <w:t>,</w:t>
      </w:r>
      <w:r w:rsidR="00D6726F">
        <w:rPr>
          <w:rFonts w:ascii="Arial" w:eastAsia="Times New Roman" w:hAnsi="Arial" w:cs="Arial"/>
          <w:bCs/>
          <w:iCs/>
          <w:sz w:val="26"/>
          <w:szCs w:val="26"/>
          <w:lang w:eastAsia="es-ES"/>
        </w:rPr>
        <w:t xml:space="preserve"> y además impone a los particulares la obligación de utilizar los formatos oficiales para</w:t>
      </w:r>
      <w:r>
        <w:rPr>
          <w:rFonts w:ascii="Arial" w:eastAsia="Times New Roman" w:hAnsi="Arial" w:cs="Arial"/>
          <w:bCs/>
          <w:iCs/>
          <w:sz w:val="26"/>
          <w:szCs w:val="26"/>
          <w:lang w:eastAsia="es-ES"/>
        </w:rPr>
        <w:t xml:space="preserve"> llevar a cabo esos </w:t>
      </w:r>
      <w:r w:rsidR="00D6726F">
        <w:rPr>
          <w:rFonts w:ascii="Arial" w:eastAsia="Times New Roman" w:hAnsi="Arial" w:cs="Arial"/>
          <w:bCs/>
          <w:iCs/>
          <w:sz w:val="26"/>
          <w:szCs w:val="26"/>
          <w:lang w:eastAsia="es-ES"/>
        </w:rPr>
        <w:t>tr</w:t>
      </w:r>
      <w:r>
        <w:rPr>
          <w:rFonts w:ascii="Arial" w:eastAsia="Times New Roman" w:hAnsi="Arial" w:cs="Arial"/>
          <w:bCs/>
          <w:iCs/>
          <w:sz w:val="26"/>
          <w:szCs w:val="26"/>
          <w:lang w:eastAsia="es-ES"/>
        </w:rPr>
        <w:t xml:space="preserve">ámites, entre los que se encuentra previsto el trámite de manifestación de rectificación, en la fracción II del artículo 40 en cita. </w:t>
      </w:r>
      <w:r w:rsidR="00E05EA9">
        <w:rPr>
          <w:rFonts w:ascii="Arial" w:eastAsia="Times New Roman" w:hAnsi="Arial" w:cs="Arial"/>
          <w:bCs/>
          <w:iCs/>
          <w:sz w:val="26"/>
          <w:szCs w:val="26"/>
          <w:lang w:eastAsia="es-ES"/>
        </w:rPr>
        <w:t xml:space="preserve">Y además, </w:t>
      </w:r>
      <w:r w:rsidR="00EF5937">
        <w:rPr>
          <w:rFonts w:ascii="Arial" w:eastAsia="Calibri" w:hAnsi="Arial" w:cs="Arial"/>
          <w:sz w:val="26"/>
          <w:szCs w:val="26"/>
        </w:rPr>
        <w:t>en el penúltimo y último párrafo del mismo</w:t>
      </w:r>
      <w:r w:rsidR="00E05EA9">
        <w:rPr>
          <w:rFonts w:ascii="Arial" w:eastAsia="Calibri" w:hAnsi="Arial" w:cs="Arial"/>
          <w:sz w:val="26"/>
          <w:szCs w:val="26"/>
        </w:rPr>
        <w:t xml:space="preserve"> numeral</w:t>
      </w:r>
      <w:r w:rsidR="009C5ECB">
        <w:rPr>
          <w:rFonts w:ascii="Arial" w:eastAsia="Calibri" w:hAnsi="Arial" w:cs="Arial"/>
          <w:sz w:val="26"/>
          <w:szCs w:val="26"/>
        </w:rPr>
        <w:t xml:space="preserve"> 40</w:t>
      </w:r>
      <w:r w:rsidR="00E05EA9">
        <w:rPr>
          <w:rFonts w:ascii="Arial" w:eastAsia="Calibri" w:hAnsi="Arial" w:cs="Arial"/>
          <w:sz w:val="26"/>
          <w:szCs w:val="26"/>
        </w:rPr>
        <w:t xml:space="preserve">, establece la condición consistente en que </w:t>
      </w:r>
      <w:r w:rsidR="00494722" w:rsidRPr="00E05EA9">
        <w:rPr>
          <w:rFonts w:ascii="Arial" w:eastAsia="Times New Roman" w:hAnsi="Arial" w:cs="Arial"/>
          <w:bCs/>
          <w:i/>
          <w:iCs/>
          <w:sz w:val="26"/>
          <w:szCs w:val="26"/>
          <w:lang w:eastAsia="es-ES"/>
        </w:rPr>
        <w:t xml:space="preserve">“si la rectificación de medidas revela superficie excedente de la inscrita en los registros catastrales mayor a un 20%, este excedente se considerará como superficie oculta a la acción fiscal y por lo tanto, sujeta a las anotaciones que establezcan las leyes en la materia”, </w:t>
      </w:r>
      <w:r w:rsidR="00494722">
        <w:rPr>
          <w:rFonts w:ascii="Arial" w:eastAsia="Times New Roman" w:hAnsi="Arial" w:cs="Arial"/>
          <w:bCs/>
          <w:iCs/>
          <w:sz w:val="26"/>
          <w:szCs w:val="26"/>
          <w:lang w:eastAsia="es-ES"/>
        </w:rPr>
        <w:t>esto es, que no prohíbe expresamente la realización del trámite, pero sí condiciona la procedencia del trámite al cumplimiento de que la superficie que será objeto de la rectificación no exceda del parámetro aritmético del 20% del total.</w:t>
      </w:r>
      <w:r w:rsidR="009609A6">
        <w:rPr>
          <w:rFonts w:ascii="Arial" w:eastAsia="Times New Roman" w:hAnsi="Arial" w:cs="Arial"/>
          <w:bCs/>
          <w:iCs/>
          <w:sz w:val="26"/>
          <w:szCs w:val="26"/>
          <w:lang w:eastAsia="es-ES"/>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 - - - - - </w:t>
      </w:r>
    </w:p>
    <w:p w14:paraId="3A5E1274" w14:textId="3DA30CF1" w:rsidR="009C5ECB" w:rsidRDefault="00E77F6D" w:rsidP="009C5ECB">
      <w:pPr>
        <w:spacing w:before="240" w:line="360" w:lineRule="auto"/>
        <w:ind w:right="49" w:firstLine="567"/>
        <w:jc w:val="both"/>
        <w:rPr>
          <w:rFonts w:ascii="Arial" w:eastAsia="Calibri" w:hAnsi="Arial" w:cs="Arial"/>
          <w:bCs/>
          <w:sz w:val="26"/>
          <w:szCs w:val="26"/>
        </w:rPr>
      </w:pPr>
      <w:r>
        <w:rPr>
          <w:rFonts w:ascii="Arial" w:eastAsia="Times New Roman" w:hAnsi="Arial" w:cs="Arial"/>
          <w:bCs/>
          <w:iCs/>
          <w:sz w:val="26"/>
          <w:szCs w:val="26"/>
          <w:lang w:eastAsia="es-ES"/>
        </w:rPr>
        <w:t xml:space="preserve">Bajo esa consideración, se identifica </w:t>
      </w:r>
      <w:r w:rsidR="00F44BB3">
        <w:rPr>
          <w:rFonts w:ascii="Arial" w:eastAsia="Times New Roman" w:hAnsi="Arial" w:cs="Arial"/>
          <w:bCs/>
          <w:iCs/>
          <w:sz w:val="26"/>
          <w:szCs w:val="26"/>
          <w:lang w:eastAsia="es-ES"/>
        </w:rPr>
        <w:t xml:space="preserve">que en el presente asunto la autoridad catastral observó que la superficie respecto de la cual </w:t>
      </w:r>
      <w:r w:rsidR="00110A19">
        <w:rPr>
          <w:rFonts w:ascii="Arial" w:eastAsia="Times New Roman" w:hAnsi="Arial" w:cs="Arial"/>
          <w:b/>
          <w:bCs/>
          <w:iCs/>
          <w:sz w:val="26"/>
          <w:szCs w:val="26"/>
          <w:lang w:eastAsia="es-ES"/>
        </w:rPr>
        <w:t>*******</w:t>
      </w:r>
      <w:r w:rsidR="00F44BB3">
        <w:rPr>
          <w:rFonts w:ascii="Arial" w:eastAsia="Times New Roman" w:hAnsi="Arial" w:cs="Arial"/>
          <w:bCs/>
          <w:iCs/>
          <w:sz w:val="26"/>
          <w:szCs w:val="26"/>
          <w:lang w:eastAsia="es-ES"/>
        </w:rPr>
        <w:t>, solicitó el trámite catastral de corrección de medidas</w:t>
      </w:r>
      <w:r w:rsidR="009C5ECB">
        <w:rPr>
          <w:rFonts w:ascii="Arial" w:eastAsia="Times New Roman" w:hAnsi="Arial" w:cs="Arial"/>
          <w:bCs/>
          <w:iCs/>
          <w:sz w:val="26"/>
          <w:szCs w:val="26"/>
          <w:lang w:eastAsia="es-ES"/>
        </w:rPr>
        <w:t xml:space="preserve">, excede el límite establecido en el </w:t>
      </w:r>
      <w:r w:rsidR="009C5ECB">
        <w:rPr>
          <w:rFonts w:ascii="Arial" w:eastAsia="Calibri" w:hAnsi="Arial" w:cs="Arial"/>
          <w:sz w:val="26"/>
          <w:szCs w:val="26"/>
        </w:rPr>
        <w:t xml:space="preserve">penúltimo y último párrafo del </w:t>
      </w:r>
      <w:r w:rsidR="009C5ECB">
        <w:rPr>
          <w:rFonts w:ascii="Arial" w:eastAsia="Times New Roman" w:hAnsi="Arial" w:cs="Arial"/>
          <w:bCs/>
          <w:iCs/>
          <w:sz w:val="26"/>
          <w:szCs w:val="26"/>
          <w:lang w:eastAsia="es-ES"/>
        </w:rPr>
        <w:t>numeral 40</w:t>
      </w:r>
      <w:r w:rsidR="00E638BB">
        <w:rPr>
          <w:rStyle w:val="Refdenotaalpie"/>
          <w:rFonts w:ascii="Arial" w:eastAsia="Calibri" w:hAnsi="Arial" w:cs="Arial"/>
          <w:bCs/>
          <w:sz w:val="26"/>
          <w:szCs w:val="26"/>
        </w:rPr>
        <w:footnoteReference w:id="6"/>
      </w:r>
      <w:r w:rsidR="00E638BB">
        <w:rPr>
          <w:rFonts w:ascii="Arial" w:eastAsia="Calibri" w:hAnsi="Arial" w:cs="Arial"/>
          <w:bCs/>
          <w:sz w:val="26"/>
          <w:szCs w:val="26"/>
        </w:rPr>
        <w:t xml:space="preserve"> </w:t>
      </w:r>
      <w:r w:rsidR="009C5ECB">
        <w:rPr>
          <w:rFonts w:ascii="Arial" w:eastAsia="Calibri" w:hAnsi="Arial" w:cs="Arial"/>
          <w:sz w:val="26"/>
          <w:szCs w:val="26"/>
        </w:rPr>
        <w:t xml:space="preserve">del </w:t>
      </w:r>
      <w:r w:rsidR="009C5ECB" w:rsidRPr="0063424A">
        <w:rPr>
          <w:rFonts w:ascii="Arial" w:eastAsia="Times New Roman" w:hAnsi="Arial" w:cs="Arial"/>
          <w:bCs/>
          <w:iCs/>
          <w:sz w:val="26"/>
          <w:szCs w:val="26"/>
          <w:lang w:eastAsia="es-ES"/>
        </w:rPr>
        <w:t>Reglamento de la Ley de Catastro del Estado</w:t>
      </w:r>
      <w:r w:rsidR="009C5ECB">
        <w:rPr>
          <w:rFonts w:ascii="Arial" w:eastAsia="Times New Roman" w:hAnsi="Arial" w:cs="Arial"/>
          <w:bCs/>
          <w:iCs/>
          <w:sz w:val="26"/>
          <w:szCs w:val="26"/>
          <w:lang w:eastAsia="es-ES"/>
        </w:rPr>
        <w:t xml:space="preserve"> de Oaxaca, pues tiene un </w:t>
      </w:r>
      <w:r w:rsidR="009C5ECB">
        <w:rPr>
          <w:rFonts w:ascii="Arial" w:eastAsia="Times New Roman" w:hAnsi="Arial" w:cs="Arial"/>
          <w:bCs/>
          <w:iCs/>
          <w:sz w:val="26"/>
          <w:szCs w:val="26"/>
          <w:lang w:eastAsia="es-ES"/>
        </w:rPr>
        <w:lastRenderedPageBreak/>
        <w:t xml:space="preserve">excedente de 100% respecto a las medidas originales del predio </w:t>
      </w:r>
      <w:r w:rsidR="009C5ECB" w:rsidRPr="00AF0393">
        <w:rPr>
          <w:rFonts w:ascii="Arial" w:eastAsia="Calibri" w:hAnsi="Arial" w:cs="Arial"/>
          <w:bCs/>
          <w:sz w:val="26"/>
          <w:szCs w:val="26"/>
        </w:rPr>
        <w:t>ubica</w:t>
      </w:r>
      <w:r w:rsidR="00AA4CD4">
        <w:rPr>
          <w:rFonts w:ascii="Arial" w:eastAsia="Calibri" w:hAnsi="Arial" w:cs="Arial"/>
          <w:bCs/>
          <w:sz w:val="26"/>
          <w:szCs w:val="26"/>
        </w:rPr>
        <w:t>do</w:t>
      </w:r>
      <w:r w:rsidR="009C5ECB" w:rsidRPr="00AF0393">
        <w:rPr>
          <w:rFonts w:ascii="Arial" w:eastAsia="Calibri" w:hAnsi="Arial" w:cs="Arial"/>
          <w:bCs/>
          <w:sz w:val="26"/>
          <w:szCs w:val="26"/>
        </w:rPr>
        <w:t xml:space="preserve"> en el </w:t>
      </w:r>
      <w:r w:rsidR="00110A19">
        <w:rPr>
          <w:rFonts w:ascii="Arial" w:eastAsia="Calibri" w:hAnsi="Arial" w:cs="Arial"/>
          <w:bCs/>
          <w:sz w:val="26"/>
          <w:szCs w:val="26"/>
        </w:rPr>
        <w:t>*******</w:t>
      </w:r>
      <w:r w:rsidR="00AF0393">
        <w:rPr>
          <w:rFonts w:ascii="Arial" w:eastAsia="Calibri" w:hAnsi="Arial" w:cs="Arial"/>
          <w:bCs/>
          <w:sz w:val="26"/>
          <w:szCs w:val="26"/>
        </w:rPr>
        <w:t>, con lo cual se observa que la autoridad catastral, al declarar improcedente el trámite de corrección de medidas, apegó su actuar a lo dispuesto por las disposiciones legales aplicables a las que se ha hecho alusión, y por tanto, su determinación se encuentra debidamente fundada</w:t>
      </w:r>
      <w:r w:rsidR="00634215">
        <w:rPr>
          <w:rFonts w:ascii="Arial" w:eastAsia="Calibri" w:hAnsi="Arial" w:cs="Arial"/>
          <w:bCs/>
          <w:sz w:val="26"/>
          <w:szCs w:val="26"/>
        </w:rPr>
        <w:t xml:space="preserve"> en la norma aplicable</w:t>
      </w:r>
      <w:r w:rsidR="00AF0393">
        <w:rPr>
          <w:rFonts w:ascii="Arial" w:eastAsia="Calibri" w:hAnsi="Arial" w:cs="Arial"/>
          <w:bCs/>
          <w:sz w:val="26"/>
          <w:szCs w:val="26"/>
        </w:rPr>
        <w:t xml:space="preserve">. De ahí lo </w:t>
      </w:r>
      <w:r w:rsidR="00AF0393" w:rsidRPr="00AF0393">
        <w:rPr>
          <w:rFonts w:ascii="Arial" w:eastAsia="Calibri" w:hAnsi="Arial" w:cs="Arial"/>
          <w:b/>
          <w:bCs/>
          <w:sz w:val="26"/>
          <w:szCs w:val="26"/>
        </w:rPr>
        <w:t>INFUNDADO</w:t>
      </w:r>
      <w:r w:rsidR="00AF0393">
        <w:rPr>
          <w:rFonts w:ascii="Arial" w:eastAsia="Calibri" w:hAnsi="Arial" w:cs="Arial"/>
          <w:bCs/>
          <w:sz w:val="26"/>
          <w:szCs w:val="26"/>
        </w:rPr>
        <w:t xml:space="preserve"> del </w:t>
      </w:r>
      <w:r w:rsidR="00AF0393" w:rsidRPr="00B8561D">
        <w:rPr>
          <w:rFonts w:ascii="Arial" w:eastAsia="Calibri" w:hAnsi="Arial" w:cs="Arial"/>
          <w:b/>
          <w:bCs/>
          <w:sz w:val="26"/>
          <w:szCs w:val="26"/>
        </w:rPr>
        <w:t>primer</w:t>
      </w:r>
      <w:r w:rsidR="00AF0393">
        <w:rPr>
          <w:rFonts w:ascii="Arial" w:eastAsia="Calibri" w:hAnsi="Arial" w:cs="Arial"/>
          <w:bCs/>
          <w:sz w:val="26"/>
          <w:szCs w:val="26"/>
        </w:rPr>
        <w:t xml:space="preserve"> y </w:t>
      </w:r>
      <w:r w:rsidR="00AF0393" w:rsidRPr="00B8561D">
        <w:rPr>
          <w:rFonts w:ascii="Arial" w:eastAsia="Calibri" w:hAnsi="Arial" w:cs="Arial"/>
          <w:b/>
          <w:bCs/>
          <w:sz w:val="26"/>
          <w:szCs w:val="26"/>
        </w:rPr>
        <w:t>segundo</w:t>
      </w:r>
      <w:r w:rsidR="00AF0393">
        <w:rPr>
          <w:rFonts w:ascii="Arial" w:eastAsia="Calibri" w:hAnsi="Arial" w:cs="Arial"/>
          <w:bCs/>
          <w:sz w:val="26"/>
          <w:szCs w:val="26"/>
        </w:rPr>
        <w:t xml:space="preserve"> concepto de impugnación.</w:t>
      </w:r>
      <w:r w:rsidR="009609A6">
        <w:rPr>
          <w:rFonts w:ascii="Arial" w:eastAsia="Calibri" w:hAnsi="Arial" w:cs="Arial"/>
          <w:bCs/>
          <w:sz w:val="26"/>
          <w:szCs w:val="26"/>
        </w:rPr>
        <w:t xml:space="preserve"> </w:t>
      </w:r>
      <w:r w:rsidR="009609A6" w:rsidRPr="00445003">
        <w:rPr>
          <w:rFonts w:ascii="Arial" w:hAnsi="Arial" w:cs="Arial"/>
          <w:iCs/>
          <w:sz w:val="26"/>
          <w:szCs w:val="26"/>
        </w:rPr>
        <w:t xml:space="preserve">- - - - - - - - - - - - - - - - - - </w:t>
      </w:r>
    </w:p>
    <w:p w14:paraId="23C4FF08" w14:textId="33E15C5C" w:rsidR="00B8561D" w:rsidRDefault="00B8561D" w:rsidP="00B8561D">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el </w:t>
      </w:r>
      <w:r w:rsidRPr="0008591F">
        <w:rPr>
          <w:rFonts w:ascii="Arial" w:eastAsia="Calibri" w:hAnsi="Arial" w:cs="Arial"/>
          <w:b/>
          <w:bCs/>
          <w:sz w:val="26"/>
          <w:szCs w:val="26"/>
        </w:rPr>
        <w:t>tercer concepto de impugnación</w:t>
      </w:r>
      <w:r>
        <w:rPr>
          <w:rFonts w:ascii="Arial" w:eastAsia="Calibri" w:hAnsi="Arial" w:cs="Arial"/>
          <w:bCs/>
          <w:sz w:val="26"/>
          <w:szCs w:val="26"/>
        </w:rPr>
        <w:t>,</w:t>
      </w:r>
      <w:r w:rsidR="00157963">
        <w:rPr>
          <w:rFonts w:ascii="Arial" w:eastAsia="Calibri" w:hAnsi="Arial" w:cs="Arial"/>
          <w:bCs/>
          <w:sz w:val="26"/>
          <w:szCs w:val="26"/>
        </w:rPr>
        <w:t xml:space="preserve"> el actor </w:t>
      </w:r>
      <w:r>
        <w:rPr>
          <w:rFonts w:ascii="Arial" w:eastAsia="Calibri" w:hAnsi="Arial" w:cs="Arial"/>
          <w:bCs/>
          <w:sz w:val="26"/>
          <w:szCs w:val="26"/>
        </w:rPr>
        <w:t>expresa que la autoridad demandada asegura que en el trámite de rectificación de registro por corrección de medidas no se cumplió con los requisitos que establecen las fracciones VII y VIII del artículo 49 del Reglamento de la Ley de Catastro del Estado de Oaxaca, consistentes supuestamente en acreditar con la diligencia de apeo y deslinde la posesión y la propiedad de la superficie del terreno, además de que supuestamente el alcalde al realizar el deslinde no cumplió con el procedimiento que regula su actuación en el caso del deslinde afectando derechos de terceros.</w:t>
      </w:r>
      <w:r w:rsidR="009609A6">
        <w:rPr>
          <w:rFonts w:ascii="Arial" w:eastAsia="Calibri" w:hAnsi="Arial" w:cs="Arial"/>
          <w:bCs/>
          <w:sz w:val="26"/>
          <w:szCs w:val="26"/>
        </w:rPr>
        <w:t xml:space="preserve"> - - - </w:t>
      </w:r>
    </w:p>
    <w:p w14:paraId="5778AAF3" w14:textId="1964B844" w:rsidR="00B8561D" w:rsidRDefault="00B8561D" w:rsidP="009609A6">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Señala que es conveniente precisar que en el presente asunto se está debatiendo sobre un trámite catastral, esto es sobre las facultades de la autoridad catastral del Estado de Oaxaca, que están reguladas por los artículos 17 y 23 de la Ley de Catastro del Estado de Oaxaca, y específicamente sobre un procedimiento catastral de rectificación por corrección de medidas, luego entonces, es evidente que la autoridad demandada carece de competencia legal para calificar e invalidar una diligencia de apeo y deslinde llevada a cabo por un alcalde municipal, y que no se puede aseverar que con la diligencia de apeo y deslinde se </w:t>
      </w:r>
      <w:r w:rsidRPr="001E7522">
        <w:rPr>
          <w:rFonts w:ascii="Arial" w:eastAsia="Calibri" w:hAnsi="Arial" w:cs="Arial"/>
          <w:bCs/>
          <w:sz w:val="26"/>
          <w:szCs w:val="26"/>
        </w:rPr>
        <w:t>están afectando derechos de terceros.</w:t>
      </w:r>
      <w:r w:rsidR="009609A6" w:rsidRPr="009609A6">
        <w:rPr>
          <w:rFonts w:ascii="Arial" w:hAnsi="Arial" w:cs="Arial"/>
          <w:iCs/>
          <w:sz w:val="26"/>
          <w:szCs w:val="26"/>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 - -</w:t>
      </w:r>
    </w:p>
    <w:p w14:paraId="4B430C56" w14:textId="35483CE3" w:rsidR="00B8561D" w:rsidRDefault="00B8561D" w:rsidP="00B8561D">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Además alega que es inexacto que con la diligencia de apeo y deslinde se tenga que comprobar la posesión y propiedad de la superficie excedente en un trámite de corrección de medidas y que tales requisitos estén previstos por el artículo 49 fracciones VII y VIII del Reglamento de la Ley de Catastro del Estado de Oaxaca (lo transcribe) y agrega que la autoridad hizo una interpretación indebida de ese numeral.</w:t>
      </w:r>
      <w:r w:rsidR="009609A6">
        <w:rPr>
          <w:rFonts w:ascii="Arial" w:eastAsia="Calibri" w:hAnsi="Arial" w:cs="Arial"/>
          <w:bCs/>
          <w:sz w:val="26"/>
          <w:szCs w:val="26"/>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 - - - - - - - - - - - - - - - - - - - - - - - </w:t>
      </w:r>
    </w:p>
    <w:p w14:paraId="12201DA8" w14:textId="3C3D49D2" w:rsidR="001D632A" w:rsidRDefault="001D632A" w:rsidP="001D632A">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En el </w:t>
      </w:r>
      <w:r w:rsidRPr="00D05157">
        <w:rPr>
          <w:rFonts w:ascii="Arial" w:eastAsia="Calibri" w:hAnsi="Arial" w:cs="Arial"/>
          <w:b/>
          <w:bCs/>
          <w:sz w:val="26"/>
          <w:szCs w:val="26"/>
        </w:rPr>
        <w:t>cuarto concepto de impugnación,</w:t>
      </w:r>
      <w:r>
        <w:rPr>
          <w:rFonts w:ascii="Arial" w:eastAsia="Calibri" w:hAnsi="Arial" w:cs="Arial"/>
          <w:bCs/>
          <w:sz w:val="26"/>
          <w:szCs w:val="26"/>
        </w:rPr>
        <w:t xml:space="preserve"> expresa que la autoridad demandada argumenta que es un presupuesto de procedibilidad para darle seguimiento a un trámite catastral que el peticionario demuestre </w:t>
      </w:r>
      <w:r>
        <w:rPr>
          <w:rFonts w:ascii="Arial" w:eastAsia="Calibri" w:hAnsi="Arial" w:cs="Arial"/>
          <w:bCs/>
          <w:sz w:val="26"/>
          <w:szCs w:val="26"/>
        </w:rPr>
        <w:lastRenderedPageBreak/>
        <w:t>ser propietario o poseedor del bien inmueble sobre el cual quiere realizarse el trámite, pero que de acuerdo con los artículos 17 y 23 de la Ley de Catastro del Estado de Oaxaca, tiene competencia exclusiva para conocer de las operaciones catastrales consistentes en ubicar, medir, identificar y valuar los terrenos, luego entonces, la autoridad catastral no tiene la facultad legal para conocer y decidir si una persona es propietario o poseedor de un terreno o de un inmueble cuyo trámite de corrección de medidas está solicitando ante la autoridad catastral, porque además dicho derecho de posesión o de propiedad es de naturaleza civil y corresponde a los juzgados civiles.</w:t>
      </w:r>
      <w:r w:rsidR="009609A6">
        <w:rPr>
          <w:rFonts w:ascii="Arial" w:eastAsia="Calibri" w:hAnsi="Arial" w:cs="Arial"/>
          <w:bCs/>
          <w:sz w:val="26"/>
          <w:szCs w:val="26"/>
        </w:rPr>
        <w:t xml:space="preserve"> - - - - - - - - - - - - - -</w:t>
      </w:r>
    </w:p>
    <w:p w14:paraId="751E6F46" w14:textId="4BE3BADB" w:rsidR="001D632A" w:rsidRDefault="001D632A" w:rsidP="001D632A">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Alega que el artículo 51 de la Ley de catastro señala que todo propietario o poseedor de un bien inmueble tendrá derecho a que se le reciban solicitudes relativas a trámites catastrales, por lo que dicho artículo consigna la facultad potestativa del contribuyente de considerarse propietario o poseedor, pero de ninguna manera la norma en comento señala la obligación de comprobar ser propietario o poseedor y mucho menos, establece esa obligación como presupuesto de procedibilidad para admitir a trámite una solicitud de trámite catastral, pero que el artículo 59 de la Ley de Catastro del Estado de Oaxaca, no le otorga facultades para exigir que el contribuyente demuestre ser propietario o poseedor de un inmueble, sencillamente porque al final del trámite catastral esa autoridad tiene impedido legalmente hacer un pronunciamiento sobre ese derecho sustantivo del particular que en la especie pretende que se demuestre, y reitera que de acuerdo con el artículo 49 del Reglamento de la Ley de Catastro del Estado de Oaxaca, se exhibió la diligencia de apeo y deslinde para que se corrijan. </w:t>
      </w:r>
      <w:r w:rsidR="009609A6">
        <w:rPr>
          <w:rFonts w:ascii="Arial" w:eastAsia="Calibri" w:hAnsi="Arial" w:cs="Arial"/>
          <w:bCs/>
          <w:sz w:val="26"/>
          <w:szCs w:val="26"/>
        </w:rPr>
        <w:t xml:space="preserve">- - - - - </w:t>
      </w:r>
    </w:p>
    <w:p w14:paraId="737CBB97" w14:textId="72A29272" w:rsidR="00634215" w:rsidRDefault="00634215" w:rsidP="00634215">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De igual manera, </w:t>
      </w:r>
      <w:r w:rsidR="001D632A">
        <w:rPr>
          <w:rFonts w:ascii="Arial" w:eastAsia="Calibri" w:hAnsi="Arial" w:cs="Arial"/>
          <w:bCs/>
          <w:sz w:val="26"/>
          <w:szCs w:val="26"/>
        </w:rPr>
        <w:t xml:space="preserve">los </w:t>
      </w:r>
      <w:r w:rsidRPr="00634215">
        <w:rPr>
          <w:rFonts w:ascii="Arial" w:eastAsia="Calibri" w:hAnsi="Arial" w:cs="Arial"/>
          <w:bCs/>
          <w:sz w:val="26"/>
          <w:szCs w:val="26"/>
        </w:rPr>
        <w:t>concepto</w:t>
      </w:r>
      <w:r w:rsidR="001D632A">
        <w:rPr>
          <w:rFonts w:ascii="Arial" w:eastAsia="Calibri" w:hAnsi="Arial" w:cs="Arial"/>
          <w:bCs/>
          <w:sz w:val="26"/>
          <w:szCs w:val="26"/>
        </w:rPr>
        <w:t>s</w:t>
      </w:r>
      <w:r w:rsidRPr="00634215">
        <w:rPr>
          <w:rFonts w:ascii="Arial" w:eastAsia="Calibri" w:hAnsi="Arial" w:cs="Arial"/>
          <w:bCs/>
          <w:sz w:val="26"/>
          <w:szCs w:val="26"/>
        </w:rPr>
        <w:t xml:space="preserve"> de impugnación</w:t>
      </w:r>
      <w:r>
        <w:rPr>
          <w:rFonts w:ascii="Arial" w:eastAsia="Calibri" w:hAnsi="Arial" w:cs="Arial"/>
          <w:bCs/>
          <w:sz w:val="26"/>
          <w:szCs w:val="26"/>
        </w:rPr>
        <w:t xml:space="preserve"> </w:t>
      </w:r>
      <w:r w:rsidR="001D632A" w:rsidRPr="00634215">
        <w:rPr>
          <w:rFonts w:ascii="Arial" w:eastAsia="Calibri" w:hAnsi="Arial" w:cs="Arial"/>
          <w:b/>
          <w:bCs/>
          <w:sz w:val="26"/>
          <w:szCs w:val="26"/>
        </w:rPr>
        <w:t>tercer</w:t>
      </w:r>
      <w:r w:rsidR="001D632A">
        <w:rPr>
          <w:rFonts w:ascii="Arial" w:eastAsia="Calibri" w:hAnsi="Arial" w:cs="Arial"/>
          <w:b/>
          <w:bCs/>
          <w:sz w:val="26"/>
          <w:szCs w:val="26"/>
        </w:rPr>
        <w:t>o y cuarto</w:t>
      </w:r>
      <w:r w:rsidR="001D632A" w:rsidRPr="00634215">
        <w:rPr>
          <w:rFonts w:ascii="Arial" w:eastAsia="Calibri" w:hAnsi="Arial" w:cs="Arial"/>
          <w:b/>
          <w:bCs/>
          <w:sz w:val="26"/>
          <w:szCs w:val="26"/>
        </w:rPr>
        <w:t xml:space="preserve"> </w:t>
      </w:r>
      <w:r>
        <w:rPr>
          <w:rFonts w:ascii="Arial" w:eastAsia="Calibri" w:hAnsi="Arial" w:cs="Arial"/>
          <w:bCs/>
          <w:sz w:val="26"/>
          <w:szCs w:val="26"/>
        </w:rPr>
        <w:t>deviene</w:t>
      </w:r>
      <w:r w:rsidR="001D632A">
        <w:rPr>
          <w:rFonts w:ascii="Arial" w:eastAsia="Calibri" w:hAnsi="Arial" w:cs="Arial"/>
          <w:bCs/>
          <w:sz w:val="26"/>
          <w:szCs w:val="26"/>
        </w:rPr>
        <w:t>n</w:t>
      </w:r>
      <w:r>
        <w:rPr>
          <w:rFonts w:ascii="Arial" w:eastAsia="Calibri" w:hAnsi="Arial" w:cs="Arial"/>
          <w:bCs/>
          <w:sz w:val="26"/>
          <w:szCs w:val="26"/>
        </w:rPr>
        <w:t xml:space="preserve"> </w:t>
      </w:r>
      <w:r w:rsidRPr="001D632A">
        <w:rPr>
          <w:rFonts w:ascii="Arial" w:eastAsia="Calibri" w:hAnsi="Arial" w:cs="Arial"/>
          <w:b/>
          <w:bCs/>
          <w:sz w:val="26"/>
          <w:szCs w:val="26"/>
        </w:rPr>
        <w:t>infundado</w:t>
      </w:r>
      <w:r w:rsidR="001D632A" w:rsidRPr="001D632A">
        <w:rPr>
          <w:rFonts w:ascii="Arial" w:eastAsia="Calibri" w:hAnsi="Arial" w:cs="Arial"/>
          <w:b/>
          <w:bCs/>
          <w:sz w:val="26"/>
          <w:szCs w:val="26"/>
        </w:rPr>
        <w:t>s</w:t>
      </w:r>
      <w:r w:rsidRPr="001D632A">
        <w:rPr>
          <w:rFonts w:ascii="Arial" w:eastAsia="Calibri" w:hAnsi="Arial" w:cs="Arial"/>
          <w:b/>
          <w:bCs/>
          <w:sz w:val="26"/>
          <w:szCs w:val="26"/>
        </w:rPr>
        <w:t>.</w:t>
      </w:r>
      <w:r>
        <w:rPr>
          <w:rFonts w:ascii="Arial" w:eastAsia="Calibri" w:hAnsi="Arial" w:cs="Arial"/>
          <w:bCs/>
          <w:sz w:val="26"/>
          <w:szCs w:val="26"/>
        </w:rPr>
        <w:t xml:space="preserve"> </w:t>
      </w:r>
      <w:r w:rsidR="009609A6">
        <w:rPr>
          <w:rFonts w:ascii="Arial" w:eastAsia="Calibri" w:hAnsi="Arial" w:cs="Arial"/>
          <w:bCs/>
          <w:sz w:val="26"/>
          <w:szCs w:val="26"/>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 - - - - - - - - - - - - </w:t>
      </w:r>
    </w:p>
    <w:p w14:paraId="58787E22" w14:textId="77777777" w:rsidR="00634215" w:rsidRDefault="00634215" w:rsidP="00634215">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Inicialmente, es menester invocar el contenido del artículo 49 del Reglamento de la Ley de Catastro del Estado de Oaxaca: </w:t>
      </w:r>
    </w:p>
    <w:p w14:paraId="218BBC77"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
          <w:bCs/>
          <w:i/>
        </w:rPr>
        <w:t>“ARTÍCULO 49.-</w:t>
      </w:r>
      <w:r w:rsidRPr="00A929CC">
        <w:rPr>
          <w:rFonts w:ascii="Arial" w:eastAsia="Calibri" w:hAnsi="Arial" w:cs="Arial"/>
          <w:bCs/>
          <w:i/>
        </w:rPr>
        <w:t xml:space="preserve"> Para el trámite de corrección o actualización de datos, medidas, construcción y fraccionamientos deberá presentar lo siguiente:</w:t>
      </w:r>
    </w:p>
    <w:p w14:paraId="08C9DA1B"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I. Solicitud de trámite catastral requisitada a máquina o impresa, firmada por el contribuyente; </w:t>
      </w:r>
    </w:p>
    <w:p w14:paraId="42C0EC1D"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II. Copia del antecedente de propiedad; </w:t>
      </w:r>
    </w:p>
    <w:p w14:paraId="7E2EF81D"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III. Copia y original para cotejo de la boleta predial vigente; </w:t>
      </w:r>
    </w:p>
    <w:p w14:paraId="6AF159BB"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lastRenderedPageBreak/>
        <w:t xml:space="preserve">IV. Croquis de localización; </w:t>
      </w:r>
    </w:p>
    <w:p w14:paraId="480C5C09"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V. Copia de la identificación oficial vigente del titular; </w:t>
      </w:r>
    </w:p>
    <w:p w14:paraId="1D339DEA"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VI. Avalúos catastral e inmobiliario certificados, practicados por perito con registro en el Instituto Catastral del Estado de Oaxaca; </w:t>
      </w:r>
    </w:p>
    <w:p w14:paraId="603DC8E9"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VII. Apeo y deslinde para corregir medidas; </w:t>
      </w:r>
    </w:p>
    <w:p w14:paraId="3D51879C" w14:textId="77777777" w:rsidR="00634215" w:rsidRPr="00A929CC" w:rsidRDefault="00634215" w:rsidP="009609A6">
      <w:pPr>
        <w:ind w:left="567" w:right="616"/>
        <w:jc w:val="both"/>
        <w:rPr>
          <w:rFonts w:ascii="Arial" w:eastAsia="Calibri" w:hAnsi="Arial" w:cs="Arial"/>
          <w:bCs/>
          <w:i/>
        </w:rPr>
      </w:pPr>
      <w:r w:rsidRPr="00A929CC">
        <w:rPr>
          <w:rFonts w:ascii="Arial" w:eastAsia="Calibri" w:hAnsi="Arial" w:cs="Arial"/>
          <w:bCs/>
          <w:i/>
        </w:rPr>
        <w:t xml:space="preserve">VIII. Documentos que acrediten la corrección de los datos; y </w:t>
      </w:r>
    </w:p>
    <w:p w14:paraId="7BCC33E6" w14:textId="77777777" w:rsidR="00634215" w:rsidRDefault="00634215" w:rsidP="009609A6">
      <w:pPr>
        <w:ind w:left="567" w:right="616"/>
        <w:jc w:val="both"/>
        <w:rPr>
          <w:rFonts w:ascii="Arial" w:eastAsia="Calibri" w:hAnsi="Arial" w:cs="Arial"/>
          <w:bCs/>
          <w:i/>
        </w:rPr>
      </w:pPr>
      <w:r w:rsidRPr="00A929CC">
        <w:rPr>
          <w:rFonts w:ascii="Arial" w:eastAsia="Calibri" w:hAnsi="Arial" w:cs="Arial"/>
          <w:bCs/>
          <w:i/>
        </w:rPr>
        <w:t>IX. Los demás documentos que resulten necesarios para la tramitación.</w:t>
      </w:r>
      <w:r>
        <w:rPr>
          <w:rFonts w:ascii="Arial" w:eastAsia="Calibri" w:hAnsi="Arial" w:cs="Arial"/>
          <w:bCs/>
          <w:i/>
        </w:rPr>
        <w:t>”</w:t>
      </w:r>
    </w:p>
    <w:p w14:paraId="63F002A7" w14:textId="4D8098B2" w:rsidR="00634215" w:rsidRDefault="00634215" w:rsidP="00634215">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El </w:t>
      </w:r>
      <w:r w:rsidR="00FB46E3">
        <w:rPr>
          <w:rFonts w:ascii="Arial" w:eastAsia="Calibri" w:hAnsi="Arial" w:cs="Arial"/>
          <w:bCs/>
          <w:sz w:val="26"/>
          <w:szCs w:val="26"/>
        </w:rPr>
        <w:t xml:space="preserve">precepto </w:t>
      </w:r>
      <w:r>
        <w:rPr>
          <w:rFonts w:ascii="Arial" w:eastAsia="Calibri" w:hAnsi="Arial" w:cs="Arial"/>
          <w:bCs/>
          <w:sz w:val="26"/>
          <w:szCs w:val="26"/>
        </w:rPr>
        <w:t>cita</w:t>
      </w:r>
      <w:r w:rsidR="00FB46E3">
        <w:rPr>
          <w:rFonts w:ascii="Arial" w:eastAsia="Calibri" w:hAnsi="Arial" w:cs="Arial"/>
          <w:bCs/>
          <w:sz w:val="26"/>
          <w:szCs w:val="26"/>
        </w:rPr>
        <w:t>do obliga</w:t>
      </w:r>
      <w:r>
        <w:rPr>
          <w:rFonts w:ascii="Arial" w:eastAsia="Calibri" w:hAnsi="Arial" w:cs="Arial"/>
          <w:bCs/>
          <w:sz w:val="26"/>
          <w:szCs w:val="26"/>
        </w:rPr>
        <w:t xml:space="preserve"> a los</w:t>
      </w:r>
      <w:r w:rsidR="008D48DE">
        <w:rPr>
          <w:rFonts w:ascii="Arial" w:eastAsia="Calibri" w:hAnsi="Arial" w:cs="Arial"/>
          <w:bCs/>
          <w:sz w:val="26"/>
          <w:szCs w:val="26"/>
        </w:rPr>
        <w:t xml:space="preserve"> peticionarios que pretendan</w:t>
      </w:r>
      <w:r>
        <w:rPr>
          <w:rFonts w:ascii="Arial" w:eastAsia="Calibri" w:hAnsi="Arial" w:cs="Arial"/>
          <w:bCs/>
          <w:sz w:val="26"/>
          <w:szCs w:val="26"/>
        </w:rPr>
        <w:t xml:space="preserve"> llevar a cabo el trámite </w:t>
      </w:r>
      <w:r w:rsidRPr="00A929CC">
        <w:rPr>
          <w:rFonts w:ascii="Arial" w:eastAsia="Calibri" w:hAnsi="Arial" w:cs="Arial"/>
          <w:bCs/>
          <w:sz w:val="26"/>
          <w:szCs w:val="26"/>
        </w:rPr>
        <w:t>de corrección o actualización</w:t>
      </w:r>
      <w:r>
        <w:rPr>
          <w:rFonts w:ascii="Arial" w:eastAsia="Calibri" w:hAnsi="Arial" w:cs="Arial"/>
          <w:bCs/>
          <w:sz w:val="26"/>
          <w:szCs w:val="26"/>
        </w:rPr>
        <w:t xml:space="preserve"> de datos de la superficie de un </w:t>
      </w:r>
      <w:r w:rsidRPr="00930319">
        <w:rPr>
          <w:rFonts w:ascii="Arial" w:eastAsia="Calibri" w:hAnsi="Arial" w:cs="Arial"/>
          <w:bCs/>
          <w:sz w:val="26"/>
          <w:szCs w:val="26"/>
        </w:rPr>
        <w:t xml:space="preserve">predio, </w:t>
      </w:r>
      <w:r w:rsidR="00185E2B" w:rsidRPr="00930319">
        <w:rPr>
          <w:rFonts w:ascii="Arial" w:eastAsia="Calibri" w:hAnsi="Arial" w:cs="Arial"/>
          <w:bCs/>
          <w:sz w:val="26"/>
          <w:szCs w:val="26"/>
        </w:rPr>
        <w:t>a</w:t>
      </w:r>
      <w:r w:rsidR="00185E2B">
        <w:rPr>
          <w:rFonts w:ascii="Arial" w:eastAsia="Calibri" w:hAnsi="Arial" w:cs="Arial"/>
          <w:bCs/>
          <w:sz w:val="26"/>
          <w:szCs w:val="26"/>
        </w:rPr>
        <w:t xml:space="preserve"> que presenten ante la autoridad catastral </w:t>
      </w:r>
      <w:r w:rsidR="001D632A">
        <w:rPr>
          <w:rFonts w:ascii="Arial" w:eastAsia="Calibri" w:hAnsi="Arial" w:cs="Arial"/>
          <w:bCs/>
          <w:sz w:val="26"/>
          <w:szCs w:val="26"/>
        </w:rPr>
        <w:t>la totalidad de los</w:t>
      </w:r>
      <w:r w:rsidR="00930319">
        <w:rPr>
          <w:rFonts w:ascii="Arial" w:eastAsia="Calibri" w:hAnsi="Arial" w:cs="Arial"/>
          <w:bCs/>
          <w:sz w:val="26"/>
          <w:szCs w:val="26"/>
        </w:rPr>
        <w:t xml:space="preserve"> </w:t>
      </w:r>
      <w:r w:rsidR="00185E2B">
        <w:rPr>
          <w:rFonts w:ascii="Arial" w:eastAsia="Calibri" w:hAnsi="Arial" w:cs="Arial"/>
          <w:bCs/>
          <w:sz w:val="26"/>
          <w:szCs w:val="26"/>
        </w:rPr>
        <w:t xml:space="preserve">documentos </w:t>
      </w:r>
      <w:r w:rsidR="00930319">
        <w:rPr>
          <w:rFonts w:ascii="Arial" w:eastAsia="Calibri" w:hAnsi="Arial" w:cs="Arial"/>
          <w:bCs/>
          <w:sz w:val="26"/>
          <w:szCs w:val="26"/>
        </w:rPr>
        <w:t>específicos para</w:t>
      </w:r>
      <w:r w:rsidR="008D48DE">
        <w:rPr>
          <w:rFonts w:ascii="Arial" w:eastAsia="Calibri" w:hAnsi="Arial" w:cs="Arial"/>
          <w:bCs/>
          <w:sz w:val="26"/>
          <w:szCs w:val="26"/>
        </w:rPr>
        <w:t xml:space="preserve"> la procedencia de esa</w:t>
      </w:r>
      <w:r w:rsidR="00930319">
        <w:rPr>
          <w:rFonts w:ascii="Arial" w:eastAsia="Calibri" w:hAnsi="Arial" w:cs="Arial"/>
          <w:bCs/>
          <w:sz w:val="26"/>
          <w:szCs w:val="26"/>
        </w:rPr>
        <w:t xml:space="preserve"> </w:t>
      </w:r>
      <w:r w:rsidR="008D48DE">
        <w:rPr>
          <w:rFonts w:ascii="Arial" w:eastAsia="Calibri" w:hAnsi="Arial" w:cs="Arial"/>
          <w:bCs/>
          <w:sz w:val="26"/>
          <w:szCs w:val="26"/>
        </w:rPr>
        <w:t>tramitación</w:t>
      </w:r>
      <w:r w:rsidR="001D632A">
        <w:rPr>
          <w:rFonts w:ascii="Arial" w:eastAsia="Calibri" w:hAnsi="Arial" w:cs="Arial"/>
          <w:bCs/>
          <w:sz w:val="26"/>
          <w:szCs w:val="26"/>
        </w:rPr>
        <w:t>.</w:t>
      </w:r>
      <w:r w:rsidR="009609A6">
        <w:rPr>
          <w:rFonts w:ascii="Arial" w:eastAsia="Calibri" w:hAnsi="Arial" w:cs="Arial"/>
          <w:bCs/>
          <w:sz w:val="26"/>
          <w:szCs w:val="26"/>
        </w:rPr>
        <w:t>- - -</w:t>
      </w:r>
    </w:p>
    <w:p w14:paraId="6F53E51F" w14:textId="4C33C0B5" w:rsidR="00CD0679" w:rsidRPr="00313120" w:rsidRDefault="00CD0679" w:rsidP="00CD0679">
      <w:pPr>
        <w:spacing w:line="360" w:lineRule="auto"/>
        <w:ind w:right="49" w:firstLine="567"/>
        <w:jc w:val="both"/>
        <w:rPr>
          <w:rFonts w:ascii="Arial" w:hAnsi="Arial" w:cs="Arial"/>
          <w:bCs/>
          <w:color w:val="000000"/>
          <w:sz w:val="26"/>
          <w:szCs w:val="26"/>
        </w:rPr>
      </w:pPr>
      <w:r>
        <w:rPr>
          <w:rFonts w:ascii="Arial" w:eastAsia="Calibri" w:hAnsi="Arial" w:cs="Arial"/>
          <w:bCs/>
          <w:sz w:val="26"/>
          <w:szCs w:val="26"/>
        </w:rPr>
        <w:t xml:space="preserve">Es pertinente señalar que en el oficio </w:t>
      </w:r>
      <w:r w:rsidR="00110A19">
        <w:rPr>
          <w:rFonts w:ascii="Arial" w:hAnsi="Arial" w:cs="Arial"/>
          <w:b/>
          <w:bCs/>
          <w:color w:val="000000"/>
          <w:sz w:val="26"/>
          <w:szCs w:val="26"/>
        </w:rPr>
        <w:t>*******</w:t>
      </w:r>
      <w:r w:rsidRPr="002A620D">
        <w:rPr>
          <w:rFonts w:ascii="Arial" w:hAnsi="Arial" w:cs="Arial"/>
          <w:bCs/>
          <w:color w:val="000000"/>
          <w:sz w:val="26"/>
          <w:szCs w:val="26"/>
        </w:rPr>
        <w:t xml:space="preserve"> de quince de mayo de dos mil diecinueve</w:t>
      </w:r>
      <w:r>
        <w:rPr>
          <w:rFonts w:ascii="Arial" w:hAnsi="Arial" w:cs="Arial"/>
          <w:bCs/>
          <w:color w:val="000000"/>
          <w:sz w:val="26"/>
          <w:szCs w:val="26"/>
        </w:rPr>
        <w:t xml:space="preserve">, </w:t>
      </w:r>
      <w:r w:rsidR="00B409E2">
        <w:rPr>
          <w:rFonts w:ascii="Arial" w:hAnsi="Arial" w:cs="Arial"/>
          <w:bCs/>
          <w:color w:val="000000"/>
          <w:sz w:val="26"/>
          <w:szCs w:val="26"/>
        </w:rPr>
        <w:t xml:space="preserve">se observa que </w:t>
      </w:r>
      <w:r w:rsidR="00E22917">
        <w:rPr>
          <w:rFonts w:ascii="Arial" w:hAnsi="Arial" w:cs="Arial"/>
          <w:bCs/>
          <w:color w:val="000000"/>
          <w:sz w:val="26"/>
          <w:szCs w:val="26"/>
        </w:rPr>
        <w:t xml:space="preserve">otra de las razones por las cuales </w:t>
      </w:r>
      <w:r>
        <w:rPr>
          <w:rFonts w:ascii="Arial" w:hAnsi="Arial" w:cs="Arial"/>
          <w:bCs/>
          <w:color w:val="000000"/>
          <w:sz w:val="26"/>
          <w:szCs w:val="26"/>
        </w:rPr>
        <w:t xml:space="preserve">el Jefe de la Unidad Jurídica del Instituto Catastral del Estado de Oaxaca </w:t>
      </w:r>
      <w:r w:rsidR="00602268">
        <w:rPr>
          <w:rFonts w:ascii="Arial" w:hAnsi="Arial" w:cs="Arial"/>
          <w:bCs/>
          <w:color w:val="000000"/>
          <w:sz w:val="26"/>
          <w:szCs w:val="26"/>
        </w:rPr>
        <w:t xml:space="preserve">confirmó </w:t>
      </w:r>
      <w:r>
        <w:rPr>
          <w:rFonts w:ascii="Arial" w:hAnsi="Arial" w:cs="Arial"/>
          <w:bCs/>
          <w:color w:val="000000"/>
          <w:sz w:val="26"/>
          <w:szCs w:val="26"/>
        </w:rPr>
        <w:t xml:space="preserve">la improcedencia del trámite intentado por el actor para rectificar las medidas del </w:t>
      </w:r>
      <w:r w:rsidRPr="00AA4CD4">
        <w:rPr>
          <w:rFonts w:ascii="Arial" w:hAnsi="Arial" w:cs="Arial"/>
          <w:bCs/>
          <w:color w:val="000000"/>
          <w:sz w:val="26"/>
          <w:szCs w:val="26"/>
        </w:rPr>
        <w:t>predio</w:t>
      </w:r>
      <w:r>
        <w:rPr>
          <w:rFonts w:ascii="Arial" w:hAnsi="Arial" w:cs="Arial"/>
          <w:bCs/>
          <w:color w:val="000000"/>
          <w:sz w:val="26"/>
          <w:szCs w:val="26"/>
        </w:rPr>
        <w:t xml:space="preserve"> situado </w:t>
      </w:r>
      <w:r w:rsidRPr="00AF0393">
        <w:rPr>
          <w:rFonts w:ascii="Arial" w:eastAsia="Calibri" w:hAnsi="Arial" w:cs="Arial"/>
          <w:bCs/>
          <w:sz w:val="26"/>
          <w:szCs w:val="26"/>
        </w:rPr>
        <w:t xml:space="preserve">en el </w:t>
      </w:r>
      <w:r w:rsidR="00110A19">
        <w:rPr>
          <w:rFonts w:ascii="Arial" w:eastAsia="Calibri" w:hAnsi="Arial" w:cs="Arial"/>
          <w:bCs/>
          <w:sz w:val="26"/>
          <w:szCs w:val="26"/>
        </w:rPr>
        <w:t>*******</w:t>
      </w:r>
      <w:r>
        <w:rPr>
          <w:rFonts w:ascii="Arial" w:eastAsia="Calibri" w:hAnsi="Arial" w:cs="Arial"/>
          <w:bCs/>
          <w:sz w:val="26"/>
          <w:szCs w:val="26"/>
        </w:rPr>
        <w:t xml:space="preserve">, </w:t>
      </w:r>
      <w:r w:rsidR="00E22917">
        <w:rPr>
          <w:rFonts w:ascii="Arial" w:eastAsia="Calibri" w:hAnsi="Arial" w:cs="Arial"/>
          <w:bCs/>
          <w:sz w:val="26"/>
          <w:szCs w:val="26"/>
        </w:rPr>
        <w:t>consiste en que e</w:t>
      </w:r>
      <w:r>
        <w:rPr>
          <w:rFonts w:ascii="Arial" w:eastAsia="Times New Roman" w:hAnsi="Arial" w:cs="Arial"/>
          <w:bCs/>
          <w:iCs/>
          <w:sz w:val="26"/>
          <w:szCs w:val="26"/>
          <w:lang w:eastAsia="es-ES"/>
        </w:rPr>
        <w:t xml:space="preserve">l peticionario no cumplió con los requisitos exigidos por el artículo 49 fracciones </w:t>
      </w:r>
      <w:r>
        <w:rPr>
          <w:rFonts w:ascii="Arial" w:eastAsia="Calibri" w:hAnsi="Arial" w:cs="Arial"/>
          <w:bCs/>
          <w:sz w:val="26"/>
          <w:szCs w:val="26"/>
        </w:rPr>
        <w:t>VII y VIII del mismo reglamento</w:t>
      </w:r>
      <w:r w:rsidR="00E22917">
        <w:rPr>
          <w:rFonts w:ascii="Arial" w:eastAsia="Calibri" w:hAnsi="Arial" w:cs="Arial"/>
          <w:bCs/>
          <w:sz w:val="26"/>
          <w:szCs w:val="26"/>
        </w:rPr>
        <w:t>, consistentes en exhibir el apeo y deslinde y el documento para la corrección de datos, respectivamente</w:t>
      </w:r>
      <w:r>
        <w:rPr>
          <w:rFonts w:ascii="Arial" w:eastAsia="Calibri" w:hAnsi="Arial" w:cs="Arial"/>
          <w:bCs/>
          <w:sz w:val="26"/>
          <w:szCs w:val="26"/>
        </w:rPr>
        <w:t xml:space="preserve">. Así lo </w:t>
      </w:r>
      <w:r w:rsidR="00E22917">
        <w:rPr>
          <w:rFonts w:ascii="Arial" w:eastAsia="Calibri" w:hAnsi="Arial" w:cs="Arial"/>
          <w:bCs/>
          <w:sz w:val="26"/>
          <w:szCs w:val="26"/>
        </w:rPr>
        <w:t xml:space="preserve">señaló </w:t>
      </w:r>
      <w:r>
        <w:rPr>
          <w:rFonts w:ascii="Arial" w:eastAsia="Calibri" w:hAnsi="Arial" w:cs="Arial"/>
          <w:bCs/>
          <w:sz w:val="26"/>
          <w:szCs w:val="26"/>
        </w:rPr>
        <w:t xml:space="preserve">la autoridad catastral en la parte conducente del oficio </w:t>
      </w:r>
      <w:r w:rsidR="00110A19">
        <w:rPr>
          <w:rFonts w:ascii="Arial" w:hAnsi="Arial" w:cs="Arial"/>
          <w:b/>
          <w:bCs/>
          <w:color w:val="000000"/>
          <w:sz w:val="26"/>
          <w:szCs w:val="26"/>
        </w:rPr>
        <w:t>*******</w:t>
      </w:r>
      <w:r>
        <w:rPr>
          <w:rFonts w:ascii="Arial" w:hAnsi="Arial" w:cs="Arial"/>
          <w:b/>
          <w:bCs/>
          <w:color w:val="000000"/>
          <w:sz w:val="26"/>
          <w:szCs w:val="26"/>
        </w:rPr>
        <w:t xml:space="preserve">, </w:t>
      </w:r>
      <w:r w:rsidRPr="00313120">
        <w:rPr>
          <w:rFonts w:ascii="Arial" w:hAnsi="Arial" w:cs="Arial"/>
          <w:bCs/>
          <w:color w:val="000000"/>
          <w:sz w:val="26"/>
          <w:szCs w:val="26"/>
        </w:rPr>
        <w:t xml:space="preserve">que se inserta enseguida: </w:t>
      </w:r>
    </w:p>
    <w:p w14:paraId="0089C59C" w14:textId="77777777" w:rsidR="00CD0679" w:rsidRPr="00CE530E" w:rsidRDefault="00CD0679" w:rsidP="009609A6">
      <w:pPr>
        <w:ind w:left="567" w:right="616"/>
        <w:jc w:val="both"/>
        <w:rPr>
          <w:rFonts w:ascii="Arial" w:eastAsia="Calibri" w:hAnsi="Arial" w:cs="Arial"/>
          <w:bCs/>
          <w:i/>
        </w:rPr>
      </w:pPr>
      <w:r>
        <w:rPr>
          <w:rFonts w:ascii="Arial" w:eastAsia="Calibri" w:hAnsi="Arial" w:cs="Arial"/>
          <w:bCs/>
          <w:i/>
        </w:rPr>
        <w:t>“</w:t>
      </w:r>
      <w:r w:rsidRPr="00CE530E">
        <w:rPr>
          <w:rFonts w:ascii="Arial" w:eastAsia="Calibri" w:hAnsi="Arial" w:cs="Arial"/>
          <w:bCs/>
          <w:i/>
        </w:rPr>
        <w:t>… contrario a lo manifestado por el recurrente el trámite catastral de rectificación de registro no reúne los requisitos que exige el artículo 49 del Reglamento de la Ley de Catastro para el Estado de Oaxaca, específicamente en sus fracciones VII y VIII, que se refiere al apeo y deslinde para corregir medidas; y Documentos que acrediten la corrección de los datos; pues como se señaló anteriormente la diligencia de apeo y deslinde se desprende una diligencia de apeo y deslinde se desprende una superficie excedente al 20% que señala la fracción VIII, Anexa la Diligencia de Apeo y Deslinde, por lo que al efecto se expresa que dicha diligencia es totalmente invalidada en atención a que el Alcalde no observó el procedimiento que regula dicha actuación, y que está regulada por los artículos 923 al 928 del Código de Procedimientos Civiles vigente en el Estado; es importante señalar que la diligencia de apeo y deslinde tiene como finalidad fijar los límites que separan los predios, tal y como lo establece el artículo 923 del Código adjetivo de la materia; Por lo que la diligencia en cuestión no puede otorgar la posesión ni mucho menos la propiedad al promovente más allá de lo que no le pertenece, pues de ser así causaría graves daños a terceros, se reitera que la práctica de esa actuación es únicamente en cuanto delimitar la propiedad que presente el actor. Sirve de apoyo las siguientes tesis: APEO Y DESLINDE, LO DETERMINADO EN ESTAS DILIGENCIAS NO ES TÍTULO DE PROPIEDAD NI DE POSESIÓN.</w:t>
      </w:r>
    </w:p>
    <w:p w14:paraId="406EA227" w14:textId="1A11F3AE" w:rsidR="00CD0679" w:rsidRPr="00CE530E" w:rsidRDefault="00CD0679" w:rsidP="009609A6">
      <w:pPr>
        <w:ind w:left="567" w:right="616"/>
        <w:jc w:val="both"/>
        <w:rPr>
          <w:rFonts w:ascii="Arial" w:eastAsia="Calibri" w:hAnsi="Arial" w:cs="Arial"/>
          <w:bCs/>
          <w:i/>
        </w:rPr>
      </w:pPr>
      <w:r w:rsidRPr="00CE530E">
        <w:rPr>
          <w:rFonts w:ascii="Arial" w:eastAsia="Calibri" w:hAnsi="Arial" w:cs="Arial"/>
          <w:bCs/>
          <w:i/>
        </w:rPr>
        <w:lastRenderedPageBreak/>
        <w:t xml:space="preserve">… esta autoridad catastral no está negando la posibilidad legal de modificar el Registro Catastral de la Cuenta Catastral </w:t>
      </w:r>
      <w:r w:rsidR="00110A19">
        <w:rPr>
          <w:rFonts w:ascii="Arial" w:eastAsia="Calibri" w:hAnsi="Arial" w:cs="Arial"/>
          <w:bCs/>
          <w:i/>
        </w:rPr>
        <w:t>*******</w:t>
      </w:r>
      <w:r w:rsidRPr="00CE530E">
        <w:rPr>
          <w:rFonts w:ascii="Arial" w:eastAsia="Calibri" w:hAnsi="Arial" w:cs="Arial"/>
          <w:bCs/>
          <w:i/>
        </w:rPr>
        <w:t xml:space="preserve"> a nombre del contribuyente </w:t>
      </w:r>
      <w:r w:rsidR="00110A19">
        <w:rPr>
          <w:rFonts w:ascii="Arial" w:eastAsia="Calibri" w:hAnsi="Arial" w:cs="Arial"/>
          <w:bCs/>
          <w:i/>
        </w:rPr>
        <w:t>*******</w:t>
      </w:r>
      <w:r w:rsidRPr="00CE530E">
        <w:rPr>
          <w:rFonts w:ascii="Arial" w:eastAsia="Calibri" w:hAnsi="Arial" w:cs="Arial"/>
          <w:bCs/>
          <w:i/>
        </w:rPr>
        <w:t>, sino que dicha modificación tratándose de medidas debe cumplir con los que señalan los artículos 49 y 40 último párrafo del Reglamento de la Ley de Catastro para el Estado de Oaxaca, y éste último precepto señala que el trámite de rectificación de medidas la superficie excedente no debe exceder del 20%, y en el presente caso concreto sí rebasa ese límite, de ahí la improcedencia de dicho trámite…</w:t>
      </w:r>
    </w:p>
    <w:p w14:paraId="6F4F79A6" w14:textId="77777777" w:rsidR="00CD0679" w:rsidRPr="00CE530E" w:rsidRDefault="00CD0679" w:rsidP="009609A6">
      <w:pPr>
        <w:ind w:left="567" w:right="616"/>
        <w:jc w:val="both"/>
        <w:rPr>
          <w:rFonts w:ascii="Arial" w:eastAsia="Calibri" w:hAnsi="Arial" w:cs="Arial"/>
          <w:bCs/>
          <w:i/>
        </w:rPr>
      </w:pPr>
      <w:r w:rsidRPr="00CE530E">
        <w:rPr>
          <w:rFonts w:ascii="Arial" w:eastAsia="Calibri" w:hAnsi="Arial" w:cs="Arial"/>
          <w:bCs/>
          <w:i/>
        </w:rPr>
        <w:t>… independientemente de que este Instituto Catastral dentro del procedimiento administrativo realiza las operaciones que establece el artículo 23 BIS, de la Ley de Catastro para el Estado de Oaxaca, un presupuesto de procedibilidad para darle seguimiento a un trámite catastral es que el peticionario demuestre ser propietario o poseedor del bien inmueble sobre el cual quiere realizar el trámite, ya que solamente los propietarios o poseedores de bienes inmuebles tiene el derecho a que se le reciban las manifestaciones, avisos, solicitudes y escritos relacionados con las funciones y atribuciones propias de este Instituto Catastral del Estado de Oaxaca. Además de que éste analiza y determina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56FAC58C" w14:textId="786F7657" w:rsidR="00CD0679" w:rsidRPr="00CE530E" w:rsidRDefault="00CD0679" w:rsidP="009609A6">
      <w:pPr>
        <w:ind w:left="567" w:right="616"/>
        <w:jc w:val="both"/>
        <w:rPr>
          <w:rFonts w:ascii="Arial" w:eastAsia="Calibri" w:hAnsi="Arial" w:cs="Arial"/>
          <w:bCs/>
          <w:i/>
        </w:rPr>
      </w:pPr>
      <w:r w:rsidRPr="00CE530E">
        <w:rPr>
          <w:rFonts w:ascii="Arial" w:eastAsia="Calibri" w:hAnsi="Arial" w:cs="Arial"/>
          <w:bCs/>
          <w:i/>
        </w:rPr>
        <w:t xml:space="preserve">… el particular </w:t>
      </w:r>
      <w:r w:rsidR="00110A19">
        <w:rPr>
          <w:rFonts w:ascii="Arial" w:eastAsia="Calibri" w:hAnsi="Arial" w:cs="Arial"/>
          <w:bCs/>
          <w:i/>
        </w:rPr>
        <w:t>*******</w:t>
      </w:r>
      <w:r w:rsidRPr="00CE530E">
        <w:rPr>
          <w:rFonts w:ascii="Arial" w:eastAsia="Calibri" w:hAnsi="Arial" w:cs="Arial"/>
          <w:bCs/>
          <w:i/>
        </w:rPr>
        <w:t xml:space="preserve">, no es poseedor ni mucho menos propietario de la superficie excedente, pues si bien es cierto, el recurrente menciona que realizó una Diligencia de Apeo y Deslinde realizada con fecha 22 de agosto del año 2016, levantada por el Alcalde Único Constitucional de </w:t>
      </w:r>
      <w:r w:rsidR="00110A19">
        <w:rPr>
          <w:rFonts w:ascii="Arial" w:eastAsia="Calibri" w:hAnsi="Arial" w:cs="Arial"/>
          <w:bCs/>
          <w:i/>
        </w:rPr>
        <w:t>*******</w:t>
      </w:r>
      <w:r w:rsidRPr="00CE530E">
        <w:rPr>
          <w:rFonts w:ascii="Arial" w:eastAsia="Calibri" w:hAnsi="Arial" w:cs="Arial"/>
          <w:bCs/>
          <w:i/>
        </w:rPr>
        <w:t xml:space="preserve">, también lo es que en el orden civil, así como con la referida diligencia pueda tener el inconforme derechos adquisitorios, al no constituir un Título de Propiedad sobre dominio del bien inmueble, es claro advertir para esta autoridad catastral resolutora que no demuestra con documento fehaciente que cuente con la propiedad, ni mucho menos el dominio de la superficie excedente, ya que únicamente es propietario de la superficie que respalda el contrato de fecha 10 de septiembre de 1954, que se celebró entre los vendedores </w:t>
      </w:r>
      <w:r w:rsidR="00110A19">
        <w:rPr>
          <w:rFonts w:ascii="Arial" w:eastAsia="Calibri" w:hAnsi="Arial" w:cs="Arial"/>
          <w:bCs/>
          <w:i/>
        </w:rPr>
        <w:t>*******</w:t>
      </w:r>
      <w:r w:rsidRPr="00CE530E">
        <w:rPr>
          <w:rFonts w:ascii="Arial" w:eastAsia="Calibri" w:hAnsi="Arial" w:cs="Arial"/>
          <w:bCs/>
          <w:i/>
        </w:rPr>
        <w:t xml:space="preserve">, y como comprador </w:t>
      </w:r>
      <w:r w:rsidR="00110A19">
        <w:rPr>
          <w:rFonts w:ascii="Arial" w:eastAsia="Calibri" w:hAnsi="Arial" w:cs="Arial"/>
          <w:bCs/>
          <w:i/>
        </w:rPr>
        <w:t>*******</w:t>
      </w:r>
      <w:r w:rsidRPr="00CE530E">
        <w:rPr>
          <w:rFonts w:ascii="Arial" w:eastAsia="Calibri" w:hAnsi="Arial" w:cs="Arial"/>
          <w:bCs/>
          <w:i/>
        </w:rPr>
        <w:t xml:space="preserve">, cuyo objeto del contrato fue el bien inmueble, que se ubica en el </w:t>
      </w:r>
      <w:r w:rsidR="00110A19">
        <w:rPr>
          <w:rFonts w:ascii="Arial" w:eastAsia="Calibri" w:hAnsi="Arial" w:cs="Arial"/>
          <w:bCs/>
          <w:i/>
        </w:rPr>
        <w:t>*******</w:t>
      </w:r>
      <w:r w:rsidRPr="00CE530E">
        <w:rPr>
          <w:rFonts w:ascii="Arial" w:eastAsia="Calibri" w:hAnsi="Arial" w:cs="Arial"/>
          <w:bCs/>
          <w:i/>
        </w:rPr>
        <w:t>; Oaxaca, …</w:t>
      </w:r>
    </w:p>
    <w:p w14:paraId="6D796998" w14:textId="335F00C4" w:rsidR="00CD0679" w:rsidRPr="00CE530E" w:rsidRDefault="00CD0679" w:rsidP="009609A6">
      <w:pPr>
        <w:ind w:left="567" w:right="616"/>
        <w:jc w:val="both"/>
        <w:rPr>
          <w:rFonts w:ascii="Arial" w:eastAsia="Calibri" w:hAnsi="Arial" w:cs="Arial"/>
          <w:bCs/>
          <w:i/>
        </w:rPr>
      </w:pPr>
      <w:r w:rsidRPr="00CE530E">
        <w:rPr>
          <w:rFonts w:ascii="Arial" w:eastAsia="Calibri" w:hAnsi="Arial" w:cs="Arial"/>
          <w:bCs/>
          <w:i/>
        </w:rPr>
        <w:t xml:space="preserve">… no se está transgrediendo, violentando y desconociendo el derecho de propiedad, porque simplemente este derecho de propiedad que dice el recurrente tener, no existe en la vida jurídica, pues no acredita con documento idóneo ser propietario de la superficie excedente, solamente demuestra ser propietario de la superficie que del bien inmueble que respalda el registro de cuenta catastral </w:t>
      </w:r>
      <w:r w:rsidR="00110A19">
        <w:rPr>
          <w:rFonts w:ascii="Arial" w:eastAsia="Calibri" w:hAnsi="Arial" w:cs="Arial"/>
          <w:bCs/>
          <w:i/>
        </w:rPr>
        <w:t>*******</w:t>
      </w:r>
      <w:r w:rsidRPr="00CE530E">
        <w:rPr>
          <w:rFonts w:ascii="Arial" w:eastAsia="Calibri" w:hAnsi="Arial" w:cs="Arial"/>
          <w:bCs/>
          <w:i/>
        </w:rPr>
        <w:t xml:space="preserve"> a nombre del contribuyente </w:t>
      </w:r>
      <w:r w:rsidR="00110A19">
        <w:rPr>
          <w:rFonts w:ascii="Arial" w:eastAsia="Calibri" w:hAnsi="Arial" w:cs="Arial"/>
          <w:bCs/>
          <w:i/>
        </w:rPr>
        <w:t>*******</w:t>
      </w:r>
      <w:r w:rsidRPr="00CE530E">
        <w:rPr>
          <w:rFonts w:ascii="Arial" w:eastAsia="Calibri" w:hAnsi="Arial" w:cs="Arial"/>
          <w:bCs/>
          <w:i/>
        </w:rPr>
        <w:t xml:space="preserve"> (sic), titular de los derechos de propiedad del bien excedente, es evidente de que no tiene derecho a que se le reciba la manifestación del excedente, lo anterior en cumplimiento de lo que establece el artículo 51 fracción I de la Ley de Catastro para el Estado …</w:t>
      </w:r>
    </w:p>
    <w:p w14:paraId="65D4CEF9" w14:textId="12BD9962" w:rsidR="00CD0679" w:rsidRDefault="00CD0679" w:rsidP="009609A6">
      <w:pPr>
        <w:ind w:left="567" w:right="616"/>
        <w:jc w:val="both"/>
        <w:rPr>
          <w:rFonts w:ascii="Arial" w:eastAsia="Calibri" w:hAnsi="Arial" w:cs="Arial"/>
          <w:bCs/>
          <w:i/>
        </w:rPr>
      </w:pPr>
      <w:r w:rsidRPr="00CE530E">
        <w:rPr>
          <w:rFonts w:ascii="Arial" w:eastAsia="Calibri" w:hAnsi="Arial" w:cs="Arial"/>
          <w:bCs/>
          <w:i/>
        </w:rPr>
        <w:t xml:space="preserve">Así entonces, la diligencia de apeo y deslinde, celebrada con fecha 22 de agosto del año 2016, levantada por el Alcalde Único Constitucional de </w:t>
      </w:r>
      <w:r w:rsidR="00110A19">
        <w:rPr>
          <w:rFonts w:ascii="Arial" w:eastAsia="Calibri" w:hAnsi="Arial" w:cs="Arial"/>
          <w:bCs/>
          <w:i/>
        </w:rPr>
        <w:t>*******</w:t>
      </w:r>
      <w:r w:rsidRPr="00CE530E">
        <w:rPr>
          <w:rFonts w:ascii="Arial" w:eastAsia="Calibri" w:hAnsi="Arial" w:cs="Arial"/>
          <w:bCs/>
          <w:i/>
        </w:rPr>
        <w:t xml:space="preserve">, Oaxaca, debió versar únicamente en cuanto a delimitar las medidas del inmueble que ampara la compraventa del contrato de fecha 10 septiembre de 1954, que se celebró entre los vendedores </w:t>
      </w:r>
      <w:r w:rsidR="00110A19">
        <w:rPr>
          <w:rFonts w:ascii="Arial" w:eastAsia="Calibri" w:hAnsi="Arial" w:cs="Arial"/>
          <w:bCs/>
          <w:i/>
        </w:rPr>
        <w:t>*******</w:t>
      </w:r>
      <w:r w:rsidRPr="00CE530E">
        <w:rPr>
          <w:rFonts w:ascii="Arial" w:eastAsia="Calibri" w:hAnsi="Arial" w:cs="Arial"/>
          <w:bCs/>
          <w:i/>
        </w:rPr>
        <w:t xml:space="preserve">, y como comprador </w:t>
      </w:r>
      <w:r w:rsidR="00110A19">
        <w:rPr>
          <w:rFonts w:ascii="Arial" w:eastAsia="Calibri" w:hAnsi="Arial" w:cs="Arial"/>
          <w:bCs/>
          <w:i/>
        </w:rPr>
        <w:t>*******</w:t>
      </w:r>
      <w:r w:rsidRPr="00CE530E">
        <w:rPr>
          <w:rFonts w:ascii="Arial" w:eastAsia="Calibri" w:hAnsi="Arial" w:cs="Arial"/>
          <w:bCs/>
          <w:i/>
        </w:rPr>
        <w:t xml:space="preserve">, cuyo objeto del contrato fue el bien inmueble, que se ubica en el </w:t>
      </w:r>
      <w:r w:rsidR="00110A19">
        <w:rPr>
          <w:rFonts w:ascii="Arial" w:eastAsia="Calibri" w:hAnsi="Arial" w:cs="Arial"/>
          <w:bCs/>
          <w:i/>
        </w:rPr>
        <w:t>*******</w:t>
      </w:r>
      <w:r w:rsidRPr="00CE530E">
        <w:rPr>
          <w:rFonts w:ascii="Arial" w:eastAsia="Calibri" w:hAnsi="Arial" w:cs="Arial"/>
          <w:bCs/>
          <w:i/>
        </w:rPr>
        <w:t xml:space="preserve">; Oaxaca, que generó el Registro de Cuenta Catastral </w:t>
      </w:r>
      <w:r w:rsidR="00BD3B39">
        <w:rPr>
          <w:rFonts w:ascii="Arial" w:eastAsia="Calibri" w:hAnsi="Arial" w:cs="Arial"/>
          <w:bCs/>
          <w:i/>
        </w:rPr>
        <w:t>*******</w:t>
      </w:r>
      <w:r w:rsidRPr="00CE530E">
        <w:rPr>
          <w:rFonts w:ascii="Arial" w:eastAsia="Calibri" w:hAnsi="Arial" w:cs="Arial"/>
          <w:bCs/>
          <w:i/>
        </w:rPr>
        <w:t xml:space="preserve"> a nombre del contribuyente </w:t>
      </w:r>
      <w:r w:rsidR="00110A19">
        <w:rPr>
          <w:rFonts w:ascii="Arial" w:eastAsia="Calibri" w:hAnsi="Arial" w:cs="Arial"/>
          <w:bCs/>
          <w:i/>
        </w:rPr>
        <w:t>*******</w:t>
      </w:r>
      <w:r w:rsidRPr="00CE530E">
        <w:rPr>
          <w:rFonts w:ascii="Arial" w:eastAsia="Calibri" w:hAnsi="Arial" w:cs="Arial"/>
          <w:bCs/>
          <w:i/>
        </w:rPr>
        <w:t xml:space="preserve"> (sic) del Distrito Fiscal </w:t>
      </w:r>
      <w:r w:rsidRPr="00CE530E">
        <w:rPr>
          <w:rFonts w:ascii="Arial" w:eastAsia="Calibri" w:hAnsi="Arial" w:cs="Arial"/>
          <w:bCs/>
          <w:i/>
        </w:rPr>
        <w:lastRenderedPageBreak/>
        <w:t xml:space="preserve">de Zimatlán, pues es la superficie de este inmueble en donde solamente ejerce derechos de propiedad y posesión… </w:t>
      </w:r>
    </w:p>
    <w:p w14:paraId="0480A6F3" w14:textId="77777777" w:rsidR="00244F36" w:rsidRPr="00CE530E" w:rsidRDefault="00244F36" w:rsidP="009609A6">
      <w:pPr>
        <w:ind w:left="567" w:right="616"/>
        <w:jc w:val="both"/>
        <w:rPr>
          <w:rFonts w:ascii="Arial" w:eastAsia="Calibri" w:hAnsi="Arial" w:cs="Arial"/>
          <w:bCs/>
          <w:i/>
        </w:rPr>
      </w:pPr>
      <w:r w:rsidRPr="00CE530E">
        <w:rPr>
          <w:rFonts w:ascii="Arial" w:eastAsia="Calibri" w:hAnsi="Arial" w:cs="Arial"/>
          <w:bCs/>
          <w:i/>
        </w:rPr>
        <w:t>… es una obligación utilizar los formatos establecidos que para el caso ha emitido este Instituto, acompañando los documentos o planos que señala la Ley de Catastro y su Reglamento, tal como lo señala el artículo 6 tercer párrafo de la Ley inmediatamente invocada, además de presentar y cumplir con los requisitos que establecen los artículos 44 y 49 del Reglamento de la Ley de Catastro…</w:t>
      </w:r>
    </w:p>
    <w:p w14:paraId="569167DB" w14:textId="77777777" w:rsidR="00244F36" w:rsidRPr="00CE530E" w:rsidRDefault="00244F36" w:rsidP="009609A6">
      <w:pPr>
        <w:ind w:left="567" w:right="616"/>
        <w:jc w:val="both"/>
        <w:rPr>
          <w:rFonts w:ascii="Arial" w:eastAsia="Calibri" w:hAnsi="Arial" w:cs="Arial"/>
          <w:bCs/>
          <w:i/>
        </w:rPr>
      </w:pPr>
      <w:r w:rsidRPr="00CE530E">
        <w:rPr>
          <w:rFonts w:ascii="Arial" w:eastAsia="Calibri" w:hAnsi="Arial" w:cs="Arial"/>
          <w:bCs/>
          <w:i/>
        </w:rPr>
        <w:t>Asimismo realizar el pago de derechos al Fisco del Estado de Oaxaca, de conformidad con la Ley de Catastro para el Estado de Oaxaca, 35 de la Ley Estatal de Derechos y 58 al 61 de la Ley Estatal de Hacienda.</w:t>
      </w:r>
    </w:p>
    <w:p w14:paraId="234A2383" w14:textId="29F6D101" w:rsidR="00244F36" w:rsidRPr="00CE530E" w:rsidRDefault="00244F36" w:rsidP="009609A6">
      <w:pPr>
        <w:ind w:left="567" w:right="616"/>
        <w:jc w:val="both"/>
        <w:rPr>
          <w:rFonts w:ascii="Arial" w:eastAsia="Calibri" w:hAnsi="Arial" w:cs="Arial"/>
          <w:bCs/>
          <w:i/>
        </w:rPr>
      </w:pPr>
      <w:r w:rsidRPr="00CE530E">
        <w:rPr>
          <w:rFonts w:ascii="Arial" w:eastAsia="Calibri" w:hAnsi="Arial" w:cs="Arial"/>
          <w:bCs/>
          <w:i/>
        </w:rPr>
        <w:t xml:space="preserve">… el recurrente para pretender cumplir con el primer requisito en el presente trámite y toda vez que es una obligación utilizar los formatos establecidos que para el caso aprobó y expide el Instituto Catastral del Estado de Oaxaca, se tiene a la vista una solicitud de trámite catastral de rectificación de medidas, con fecha de captura de 01 de septiembre del 2017, con número de folio </w:t>
      </w:r>
      <w:r w:rsidR="00BD3B39">
        <w:rPr>
          <w:rFonts w:ascii="Arial" w:eastAsia="Calibri" w:hAnsi="Arial" w:cs="Arial"/>
          <w:bCs/>
          <w:i/>
        </w:rPr>
        <w:t>*******</w:t>
      </w:r>
      <w:r w:rsidRPr="00CE530E">
        <w:rPr>
          <w:rFonts w:ascii="Arial" w:eastAsia="Calibri" w:hAnsi="Arial" w:cs="Arial"/>
          <w:bCs/>
          <w:i/>
        </w:rPr>
        <w:t xml:space="preserve">, firmada y sellada por el Licenciado </w:t>
      </w:r>
      <w:r w:rsidR="00BD3B39">
        <w:rPr>
          <w:rFonts w:ascii="Arial" w:eastAsia="Calibri" w:hAnsi="Arial" w:cs="Arial"/>
          <w:bCs/>
          <w:i/>
        </w:rPr>
        <w:t>*******</w:t>
      </w:r>
      <w:r w:rsidRPr="00CE530E">
        <w:rPr>
          <w:rFonts w:ascii="Arial" w:eastAsia="Calibri" w:hAnsi="Arial" w:cs="Arial"/>
          <w:bCs/>
          <w:i/>
        </w:rPr>
        <w:t xml:space="preserve"> Notario Público número </w:t>
      </w:r>
      <w:r w:rsidR="00BD3B39">
        <w:rPr>
          <w:rFonts w:ascii="Arial" w:eastAsia="Calibri" w:hAnsi="Arial" w:cs="Arial"/>
          <w:bCs/>
          <w:i/>
        </w:rPr>
        <w:t>*******</w:t>
      </w:r>
      <w:r w:rsidR="00BD3B39">
        <w:rPr>
          <w:rFonts w:ascii="Arial" w:eastAsia="Calibri" w:hAnsi="Arial" w:cs="Arial"/>
          <w:bCs/>
          <w:i/>
        </w:rPr>
        <w:t xml:space="preserve"> </w:t>
      </w:r>
      <w:r w:rsidRPr="00CE530E">
        <w:rPr>
          <w:rFonts w:ascii="Arial" w:eastAsia="Calibri" w:hAnsi="Arial" w:cs="Arial"/>
          <w:bCs/>
          <w:i/>
        </w:rPr>
        <w:t>en el Estado, misma que no se encuentra debidamente requisitada, en virtud de que el casillero relacionado a las medidas, inserta unas medidas que no acredita con documento idóneo ser propietario, por lo que no se tiene debidamente satisfecho el requisito que exige la fracción I del precepto legal antes citado.</w:t>
      </w:r>
    </w:p>
    <w:p w14:paraId="6E412218" w14:textId="7CBCD6B8" w:rsidR="00244F36" w:rsidRPr="00CE530E" w:rsidRDefault="00244F36" w:rsidP="009609A6">
      <w:pPr>
        <w:ind w:left="567" w:right="616"/>
        <w:jc w:val="both"/>
        <w:rPr>
          <w:rFonts w:ascii="Arial" w:eastAsia="Calibri" w:hAnsi="Arial" w:cs="Arial"/>
          <w:bCs/>
          <w:i/>
        </w:rPr>
      </w:pPr>
      <w:r w:rsidRPr="00CE530E">
        <w:rPr>
          <w:rFonts w:ascii="Arial" w:eastAsia="Calibri" w:hAnsi="Arial" w:cs="Arial"/>
          <w:bCs/>
          <w:i/>
        </w:rPr>
        <w:t xml:space="preserve">Para cumplir con el requisito que exige la fracción II del artículo 49 del Reglamento de la Ley de Catastro para el Estado de Oaxaca, que consiste en la copia del antecedente de propiedad, se tiene que el recurrente presentó el contrato de fecha 10 de septiembre de 1954 que se celebró entre los vendedores </w:t>
      </w:r>
      <w:r w:rsidR="00110A19">
        <w:rPr>
          <w:rFonts w:ascii="Arial" w:eastAsia="Calibri" w:hAnsi="Arial" w:cs="Arial"/>
          <w:bCs/>
          <w:i/>
        </w:rPr>
        <w:t>*******</w:t>
      </w:r>
      <w:r w:rsidRPr="00CE530E">
        <w:rPr>
          <w:rFonts w:ascii="Arial" w:eastAsia="Calibri" w:hAnsi="Arial" w:cs="Arial"/>
          <w:bCs/>
          <w:i/>
        </w:rPr>
        <w:t xml:space="preserve">, y como comprador </w:t>
      </w:r>
      <w:r w:rsidR="00110A19">
        <w:rPr>
          <w:rFonts w:ascii="Arial" w:eastAsia="Calibri" w:hAnsi="Arial" w:cs="Arial"/>
          <w:bCs/>
          <w:i/>
        </w:rPr>
        <w:t>*******</w:t>
      </w:r>
      <w:r w:rsidRPr="00CE530E">
        <w:rPr>
          <w:rFonts w:ascii="Arial" w:eastAsia="Calibri" w:hAnsi="Arial" w:cs="Arial"/>
          <w:bCs/>
          <w:i/>
        </w:rPr>
        <w:t xml:space="preserve">, cuyo objeto del contrato fue el bien inmueble, que se ubica en el </w:t>
      </w:r>
      <w:r w:rsidR="00110A19">
        <w:rPr>
          <w:rFonts w:ascii="Arial" w:eastAsia="Calibri" w:hAnsi="Arial" w:cs="Arial"/>
          <w:bCs/>
          <w:i/>
        </w:rPr>
        <w:t>*******</w:t>
      </w:r>
      <w:r w:rsidRPr="00CE530E">
        <w:rPr>
          <w:rFonts w:ascii="Arial" w:eastAsia="Calibri" w:hAnsi="Arial" w:cs="Arial"/>
          <w:bCs/>
          <w:i/>
        </w:rPr>
        <w:t xml:space="preserve">; Oaxaca, … a nombre del contribuyente </w:t>
      </w:r>
      <w:r w:rsidR="00110A19">
        <w:rPr>
          <w:rFonts w:ascii="Arial" w:eastAsia="Calibri" w:hAnsi="Arial" w:cs="Arial"/>
          <w:bCs/>
          <w:i/>
        </w:rPr>
        <w:t>*******</w:t>
      </w:r>
      <w:r w:rsidRPr="00CE530E">
        <w:rPr>
          <w:rFonts w:ascii="Arial" w:eastAsia="Calibri" w:hAnsi="Arial" w:cs="Arial"/>
          <w:bCs/>
          <w:i/>
        </w:rPr>
        <w:t>, pues este título de propiedad es el que genera los derechos de propiedad y posesión de la superficie del bien inmueble, y el excedente del 100% que refiere tiene ausencia de título generador de los derechos de propiedad y posesión, por lo anterior, en el trámite catastral no se cumple con el requisito que exige la fracción II del artículo 49 fracción II del Reglamento Interno del Instituto Catastral del Estado de Oaxaca.</w:t>
      </w:r>
    </w:p>
    <w:p w14:paraId="53C5D3D3" w14:textId="685A3D76" w:rsidR="00244F36" w:rsidRPr="00CE530E" w:rsidRDefault="00244F36" w:rsidP="009609A6">
      <w:pPr>
        <w:ind w:left="567" w:right="616"/>
        <w:jc w:val="both"/>
        <w:rPr>
          <w:rFonts w:ascii="Arial" w:eastAsia="Calibri" w:hAnsi="Arial" w:cs="Arial"/>
          <w:bCs/>
          <w:i/>
        </w:rPr>
      </w:pPr>
      <w:r w:rsidRPr="00CE530E">
        <w:rPr>
          <w:rFonts w:ascii="Arial" w:eastAsia="Calibri" w:hAnsi="Arial" w:cs="Arial"/>
          <w:bCs/>
          <w:i/>
        </w:rPr>
        <w:t xml:space="preserve">Otro de los requisitos que no se cumple en el presente trámite, es el que exige el artículo 49 fracción III del Reglamento a la Ley de Catastro para el Estado de Oaxaca, que se refiere al “Apeo y deslinde para corregir medidas” toda vez que las diligencias de apeo y deslinde, celebrada con fecha 22 de agosto del año 2016, levantada por el Alcalde Único Constitucional de </w:t>
      </w:r>
      <w:r w:rsidR="00110A19">
        <w:rPr>
          <w:rFonts w:ascii="Arial" w:eastAsia="Calibri" w:hAnsi="Arial" w:cs="Arial"/>
          <w:bCs/>
          <w:i/>
        </w:rPr>
        <w:t>*******</w:t>
      </w:r>
      <w:r w:rsidRPr="00CE530E">
        <w:rPr>
          <w:rFonts w:ascii="Arial" w:eastAsia="Calibri" w:hAnsi="Arial" w:cs="Arial"/>
          <w:bCs/>
          <w:i/>
        </w:rPr>
        <w:t xml:space="preserve">, de la operación aritmética realizada a los metros cuadrados de la superficie que constan en la escritura de apeo y deslinde, da como resultado que la superficie de terreno </w:t>
      </w:r>
      <w:proofErr w:type="spellStart"/>
      <w:r w:rsidRPr="00CE530E">
        <w:rPr>
          <w:rFonts w:ascii="Arial" w:eastAsia="Calibri" w:hAnsi="Arial" w:cs="Arial"/>
          <w:bCs/>
          <w:i/>
        </w:rPr>
        <w:t>acrecente</w:t>
      </w:r>
      <w:proofErr w:type="spellEnd"/>
      <w:r w:rsidRPr="00CE530E">
        <w:rPr>
          <w:rFonts w:ascii="Arial" w:eastAsia="Calibri" w:hAnsi="Arial" w:cs="Arial"/>
          <w:bCs/>
          <w:i/>
        </w:rPr>
        <w:t xml:space="preserve"> más del 20% por consiguiente este Instituto se encuentra imposibilitado legalmente para realizar el trámite de corrección de medidas por la razón que artículo 40 del Reglamento de la Ley de Catastro en su último párrafo establece: </w:t>
      </w:r>
    </w:p>
    <w:p w14:paraId="675C2F13" w14:textId="77777777" w:rsidR="00244F36" w:rsidRPr="00CE530E" w:rsidRDefault="00244F36" w:rsidP="009609A6">
      <w:pPr>
        <w:ind w:left="567" w:right="616"/>
        <w:jc w:val="both"/>
        <w:rPr>
          <w:rFonts w:ascii="Arial" w:hAnsi="Arial" w:cs="Arial"/>
          <w:i/>
        </w:rPr>
      </w:pPr>
      <w:r w:rsidRPr="00CE530E">
        <w:rPr>
          <w:rFonts w:ascii="Arial" w:hAnsi="Arial" w:cs="Arial"/>
          <w:i/>
        </w:rPr>
        <w:t>“Si la rectificación de medidas revela superficie excedente de la inscrita en los registros catastrales mayor a un 20%, este excedente se considerará como superficie oculta a la acción fiscal y por lo tanto, sujeta a las anotaciones que establezcan las leyes en la materia.”</w:t>
      </w:r>
    </w:p>
    <w:p w14:paraId="5686DB8B" w14:textId="77777777" w:rsidR="00244F36" w:rsidRPr="00CE530E" w:rsidRDefault="00244F36" w:rsidP="009609A6">
      <w:pPr>
        <w:ind w:left="567" w:right="616"/>
        <w:jc w:val="both"/>
        <w:rPr>
          <w:rFonts w:ascii="Arial" w:hAnsi="Arial" w:cs="Arial"/>
          <w:i/>
        </w:rPr>
      </w:pPr>
      <w:r w:rsidRPr="00CE530E">
        <w:rPr>
          <w:rFonts w:ascii="Arial" w:hAnsi="Arial" w:cs="Arial"/>
          <w:i/>
        </w:rPr>
        <w:lastRenderedPageBreak/>
        <w:t xml:space="preserve">Por lo anterior también no se tiene por cumplido con el requisito que exige el artículo VII del Reglamento a la Ley de Catastro para el Estado de Oaxaca. </w:t>
      </w:r>
    </w:p>
    <w:p w14:paraId="0EA15611" w14:textId="25AE3748" w:rsidR="00244F36" w:rsidRPr="00CE530E" w:rsidRDefault="00244F36" w:rsidP="009609A6">
      <w:pPr>
        <w:ind w:left="567" w:right="616"/>
        <w:jc w:val="both"/>
        <w:rPr>
          <w:rFonts w:ascii="Arial" w:eastAsia="Calibri" w:hAnsi="Arial" w:cs="Arial"/>
          <w:bCs/>
          <w:i/>
        </w:rPr>
      </w:pPr>
      <w:r w:rsidRPr="00CE530E">
        <w:rPr>
          <w:rFonts w:ascii="Arial" w:hAnsi="Arial" w:cs="Arial"/>
          <w:i/>
        </w:rPr>
        <w:t xml:space="preserve">Así mismo no se tiene por cumplido con el requisito que exige la fracción VIII del artículo antes invocado, que consiste en los “Documentos que acrediten la corrección de datos”, en virtud de que para pretender cumplir con este requisito el recurrente presentó diligencias de apeo y deslinde, celebrada con fecha 22 de agosto del año 2016, levantada por el </w:t>
      </w:r>
      <w:r w:rsidRPr="00CE530E">
        <w:rPr>
          <w:rFonts w:ascii="Arial" w:eastAsia="Calibri" w:hAnsi="Arial" w:cs="Arial"/>
          <w:bCs/>
          <w:i/>
        </w:rPr>
        <w:t xml:space="preserve">Alcalde Único Constitucional de </w:t>
      </w:r>
      <w:r w:rsidR="00110A19">
        <w:rPr>
          <w:rFonts w:ascii="Arial" w:eastAsia="Calibri" w:hAnsi="Arial" w:cs="Arial"/>
          <w:bCs/>
          <w:i/>
        </w:rPr>
        <w:t>*******</w:t>
      </w:r>
      <w:r w:rsidRPr="00CE530E">
        <w:rPr>
          <w:rFonts w:ascii="Arial" w:eastAsia="Calibri" w:hAnsi="Arial" w:cs="Arial"/>
          <w:bCs/>
          <w:i/>
        </w:rPr>
        <w:t xml:space="preserve">, y el contrato de fecha 10 de septiembre de 1954 que se celebró entre los vendedores </w:t>
      </w:r>
      <w:r w:rsidR="00110A19">
        <w:rPr>
          <w:rFonts w:ascii="Arial" w:eastAsia="Calibri" w:hAnsi="Arial" w:cs="Arial"/>
          <w:bCs/>
          <w:i/>
        </w:rPr>
        <w:t>*******</w:t>
      </w:r>
      <w:r w:rsidRPr="00CE530E">
        <w:rPr>
          <w:rFonts w:ascii="Arial" w:eastAsia="Calibri" w:hAnsi="Arial" w:cs="Arial"/>
          <w:bCs/>
          <w:i/>
        </w:rPr>
        <w:t xml:space="preserve">, y como comprador </w:t>
      </w:r>
      <w:r w:rsidR="00110A19">
        <w:rPr>
          <w:rFonts w:ascii="Arial" w:eastAsia="Calibri" w:hAnsi="Arial" w:cs="Arial"/>
          <w:bCs/>
          <w:i/>
        </w:rPr>
        <w:t>*******</w:t>
      </w:r>
      <w:r w:rsidRPr="00CE530E">
        <w:rPr>
          <w:rFonts w:ascii="Arial" w:eastAsia="Calibri" w:hAnsi="Arial" w:cs="Arial"/>
          <w:bCs/>
          <w:i/>
        </w:rPr>
        <w:t xml:space="preserve">, cuyo objeto del contrato fue el bien inmueble, que se ubica en el </w:t>
      </w:r>
      <w:r w:rsidR="00110A19">
        <w:rPr>
          <w:rFonts w:ascii="Arial" w:eastAsia="Calibri" w:hAnsi="Arial" w:cs="Arial"/>
          <w:bCs/>
          <w:i/>
        </w:rPr>
        <w:t>*******</w:t>
      </w:r>
      <w:r w:rsidRPr="00CE530E">
        <w:rPr>
          <w:rFonts w:ascii="Arial" w:eastAsia="Calibri" w:hAnsi="Arial" w:cs="Arial"/>
          <w:bCs/>
          <w:i/>
        </w:rPr>
        <w:t>; Oaxaca, máxime que del análisis del contrato de compraventa y la diligencia de apeo y deslinde se advierte una discrepancia entre las medidas, pues de la superficie en donde ejerce derechos de propiedad el recurrente y la superficie que resulta de la diligencia de apeo y deslinde, resulta una superficie discrepante que excede del 100% éste excedente no demuestra ser propietario el recurrente, lo cual resulta indispensable para la procedencia del trámite de corrección de medidas, en virtud de que solamente los propietarios o poseedores tienen derecho a que se les reciban las manifestaciones o avisos, en términos del artículo 51 fracción I de la Ley de Catastro para el Estado de Oaxaca. Además de que … las diligencias de apeo y deslinde no acreditan la propiedad de los inmuebles.</w:t>
      </w:r>
      <w:r>
        <w:rPr>
          <w:rFonts w:ascii="Arial" w:eastAsia="Calibri" w:hAnsi="Arial" w:cs="Arial"/>
          <w:bCs/>
          <w:i/>
        </w:rPr>
        <w:t>”</w:t>
      </w:r>
    </w:p>
    <w:p w14:paraId="2F2FFB9B" w14:textId="73865C5B" w:rsidR="00764C02" w:rsidRDefault="00E5014D" w:rsidP="009609A6">
      <w:pPr>
        <w:spacing w:after="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Como se ve, </w:t>
      </w:r>
      <w:r w:rsidR="008D15EA">
        <w:rPr>
          <w:rFonts w:ascii="Arial" w:eastAsia="Calibri" w:hAnsi="Arial" w:cs="Arial"/>
          <w:bCs/>
          <w:sz w:val="26"/>
          <w:szCs w:val="26"/>
        </w:rPr>
        <w:t xml:space="preserve">contrariamente a lo que afirma el actor en el </w:t>
      </w:r>
      <w:r w:rsidR="008D15EA" w:rsidRPr="008D15EA">
        <w:rPr>
          <w:rFonts w:ascii="Arial" w:eastAsia="Calibri" w:hAnsi="Arial" w:cs="Arial"/>
          <w:b/>
          <w:bCs/>
          <w:sz w:val="26"/>
          <w:szCs w:val="26"/>
        </w:rPr>
        <w:t>tercer</w:t>
      </w:r>
      <w:r w:rsidR="008D15EA">
        <w:rPr>
          <w:rFonts w:ascii="Arial" w:eastAsia="Calibri" w:hAnsi="Arial" w:cs="Arial"/>
          <w:bCs/>
          <w:sz w:val="26"/>
          <w:szCs w:val="26"/>
        </w:rPr>
        <w:t xml:space="preserve"> y </w:t>
      </w:r>
      <w:r w:rsidR="008D15EA" w:rsidRPr="008D15EA">
        <w:rPr>
          <w:rFonts w:ascii="Arial" w:eastAsia="Calibri" w:hAnsi="Arial" w:cs="Arial"/>
          <w:b/>
          <w:bCs/>
          <w:sz w:val="26"/>
          <w:szCs w:val="26"/>
        </w:rPr>
        <w:t>cuarto</w:t>
      </w:r>
      <w:r w:rsidR="008D15EA">
        <w:rPr>
          <w:rFonts w:ascii="Arial" w:eastAsia="Calibri" w:hAnsi="Arial" w:cs="Arial"/>
          <w:bCs/>
          <w:sz w:val="26"/>
          <w:szCs w:val="26"/>
        </w:rPr>
        <w:t xml:space="preserve"> concepto de impugnación, </w:t>
      </w:r>
      <w:r w:rsidR="002E1143">
        <w:rPr>
          <w:rFonts w:ascii="Arial" w:eastAsia="Calibri" w:hAnsi="Arial" w:cs="Arial"/>
          <w:bCs/>
          <w:sz w:val="26"/>
          <w:szCs w:val="26"/>
        </w:rPr>
        <w:t>la autoridad catastral</w:t>
      </w:r>
      <w:r w:rsidR="008D15EA">
        <w:rPr>
          <w:rFonts w:ascii="Arial" w:eastAsia="Calibri" w:hAnsi="Arial" w:cs="Arial"/>
          <w:bCs/>
          <w:sz w:val="26"/>
          <w:szCs w:val="26"/>
        </w:rPr>
        <w:t xml:space="preserve"> no está decidiendo </w:t>
      </w:r>
      <w:r w:rsidR="0019709C">
        <w:rPr>
          <w:rFonts w:ascii="Arial" w:eastAsia="Calibri" w:hAnsi="Arial" w:cs="Arial"/>
          <w:bCs/>
          <w:sz w:val="26"/>
          <w:szCs w:val="26"/>
        </w:rPr>
        <w:t>si</w:t>
      </w:r>
      <w:r w:rsidR="00610788">
        <w:rPr>
          <w:rFonts w:ascii="Arial" w:eastAsia="Calibri" w:hAnsi="Arial" w:cs="Arial"/>
          <w:bCs/>
          <w:sz w:val="26"/>
          <w:szCs w:val="26"/>
        </w:rPr>
        <w:t xml:space="preserve"> peticionario </w:t>
      </w:r>
      <w:r w:rsidR="00110A19">
        <w:rPr>
          <w:rFonts w:ascii="Arial" w:eastAsia="Calibri" w:hAnsi="Arial" w:cs="Arial"/>
          <w:b/>
          <w:bCs/>
          <w:sz w:val="26"/>
          <w:szCs w:val="26"/>
        </w:rPr>
        <w:t>*******</w:t>
      </w:r>
      <w:r w:rsidR="002A101F">
        <w:rPr>
          <w:rFonts w:ascii="Arial" w:eastAsia="Calibri" w:hAnsi="Arial" w:cs="Arial"/>
          <w:bCs/>
          <w:sz w:val="26"/>
          <w:szCs w:val="26"/>
        </w:rPr>
        <w:t xml:space="preserve"> </w:t>
      </w:r>
      <w:r w:rsidR="0019709C">
        <w:rPr>
          <w:rFonts w:ascii="Arial" w:eastAsia="Calibri" w:hAnsi="Arial" w:cs="Arial"/>
          <w:bCs/>
          <w:sz w:val="26"/>
          <w:szCs w:val="26"/>
        </w:rPr>
        <w:t>es propietario o poseedor del terreno en cuestión, sino que dentro de</w:t>
      </w:r>
      <w:r w:rsidR="00593CF1">
        <w:rPr>
          <w:rFonts w:ascii="Arial" w:eastAsia="Calibri" w:hAnsi="Arial" w:cs="Arial"/>
          <w:bCs/>
          <w:sz w:val="26"/>
          <w:szCs w:val="26"/>
        </w:rPr>
        <w:t>l</w:t>
      </w:r>
      <w:r w:rsidR="0019709C">
        <w:rPr>
          <w:rFonts w:ascii="Arial" w:eastAsia="Calibri" w:hAnsi="Arial" w:cs="Arial"/>
          <w:bCs/>
          <w:sz w:val="26"/>
          <w:szCs w:val="26"/>
        </w:rPr>
        <w:t xml:space="preserve"> desahogo</w:t>
      </w:r>
      <w:r w:rsidR="00593CF1">
        <w:rPr>
          <w:rFonts w:ascii="Arial" w:eastAsia="Calibri" w:hAnsi="Arial" w:cs="Arial"/>
          <w:bCs/>
          <w:sz w:val="26"/>
          <w:szCs w:val="26"/>
        </w:rPr>
        <w:t xml:space="preserve"> de la operación catastral</w:t>
      </w:r>
      <w:r w:rsidR="0019709C">
        <w:rPr>
          <w:rFonts w:ascii="Arial" w:eastAsia="Calibri" w:hAnsi="Arial" w:cs="Arial"/>
          <w:bCs/>
          <w:sz w:val="26"/>
          <w:szCs w:val="26"/>
        </w:rPr>
        <w:t xml:space="preserve"> del trámite de corrección de medidas </w:t>
      </w:r>
      <w:r w:rsidR="00593CF1">
        <w:rPr>
          <w:rFonts w:ascii="Arial" w:eastAsia="Calibri" w:hAnsi="Arial" w:cs="Arial"/>
          <w:bCs/>
          <w:sz w:val="26"/>
          <w:szCs w:val="26"/>
        </w:rPr>
        <w:t>que le corresponde atender al Instituto Catastral del Estado de Oaxaca, conforme a lo establecido en  los numerales 17</w:t>
      </w:r>
      <w:r w:rsidR="00593CF1">
        <w:rPr>
          <w:rStyle w:val="Refdenotaalpie"/>
          <w:rFonts w:ascii="Arial" w:eastAsia="Calibri" w:hAnsi="Arial" w:cs="Arial"/>
          <w:bCs/>
          <w:sz w:val="26"/>
          <w:szCs w:val="26"/>
        </w:rPr>
        <w:footnoteReference w:id="7"/>
      </w:r>
      <w:r w:rsidR="00593CF1">
        <w:rPr>
          <w:rFonts w:ascii="Arial" w:eastAsia="Calibri" w:hAnsi="Arial" w:cs="Arial"/>
          <w:bCs/>
          <w:sz w:val="26"/>
          <w:szCs w:val="26"/>
        </w:rPr>
        <w:t xml:space="preserve"> fracciones X y XI y 23 de la Ley de Catastro del Estado de Oaxaca, </w:t>
      </w:r>
      <w:r w:rsidR="004F7C48">
        <w:rPr>
          <w:rFonts w:ascii="Arial" w:eastAsia="Calibri" w:hAnsi="Arial" w:cs="Arial"/>
          <w:bCs/>
          <w:sz w:val="26"/>
          <w:szCs w:val="26"/>
        </w:rPr>
        <w:t xml:space="preserve">observó que el actor </w:t>
      </w:r>
      <w:r w:rsidR="002E1143">
        <w:rPr>
          <w:rFonts w:ascii="Arial" w:eastAsia="Calibri" w:hAnsi="Arial" w:cs="Arial"/>
          <w:bCs/>
          <w:sz w:val="26"/>
          <w:szCs w:val="26"/>
        </w:rPr>
        <w:t>in</w:t>
      </w:r>
      <w:r w:rsidR="00EB30B9">
        <w:rPr>
          <w:rFonts w:ascii="Arial" w:eastAsia="Calibri" w:hAnsi="Arial" w:cs="Arial"/>
          <w:bCs/>
          <w:sz w:val="26"/>
          <w:szCs w:val="26"/>
        </w:rPr>
        <w:t>cumplió con la presentación de los requisitos previstos en las fracciones</w:t>
      </w:r>
      <w:r w:rsidR="00EB30B9" w:rsidRPr="00EB30B9">
        <w:rPr>
          <w:rFonts w:ascii="Arial" w:eastAsia="Calibri" w:hAnsi="Arial" w:cs="Arial"/>
          <w:bCs/>
          <w:sz w:val="26"/>
          <w:szCs w:val="26"/>
        </w:rPr>
        <w:t xml:space="preserve"> </w:t>
      </w:r>
      <w:r w:rsidR="00EB30B9">
        <w:rPr>
          <w:rFonts w:ascii="Arial" w:eastAsia="Calibri" w:hAnsi="Arial" w:cs="Arial"/>
          <w:bCs/>
          <w:sz w:val="26"/>
          <w:szCs w:val="26"/>
        </w:rPr>
        <w:t xml:space="preserve">VII y VIII del artículo 49 del Reglamento </w:t>
      </w:r>
      <w:r w:rsidR="007C656F">
        <w:rPr>
          <w:rFonts w:ascii="Arial" w:eastAsia="Calibri" w:hAnsi="Arial" w:cs="Arial"/>
          <w:bCs/>
          <w:sz w:val="26"/>
          <w:szCs w:val="26"/>
        </w:rPr>
        <w:t>de la Ley de Catastro, porque</w:t>
      </w:r>
      <w:r w:rsidR="008750C9">
        <w:rPr>
          <w:rFonts w:ascii="Arial" w:eastAsia="Calibri" w:hAnsi="Arial" w:cs="Arial"/>
          <w:bCs/>
          <w:sz w:val="26"/>
          <w:szCs w:val="26"/>
        </w:rPr>
        <w:t xml:space="preserve"> </w:t>
      </w:r>
      <w:r w:rsidR="00AF2E1D">
        <w:rPr>
          <w:rFonts w:ascii="Arial" w:eastAsia="Calibri" w:hAnsi="Arial" w:cs="Arial"/>
          <w:bCs/>
          <w:sz w:val="26"/>
          <w:szCs w:val="26"/>
        </w:rPr>
        <w:t xml:space="preserve">se detecta </w:t>
      </w:r>
      <w:r w:rsidR="0057522D">
        <w:rPr>
          <w:rFonts w:ascii="Arial" w:eastAsia="Calibri" w:hAnsi="Arial" w:cs="Arial"/>
          <w:bCs/>
          <w:sz w:val="26"/>
          <w:szCs w:val="26"/>
        </w:rPr>
        <w:t>que ante la autoridad catastral</w:t>
      </w:r>
      <w:r w:rsidR="00AF2E1D">
        <w:rPr>
          <w:rFonts w:ascii="Arial" w:eastAsia="Calibri" w:hAnsi="Arial" w:cs="Arial"/>
          <w:bCs/>
          <w:sz w:val="26"/>
          <w:szCs w:val="26"/>
        </w:rPr>
        <w:t>,</w:t>
      </w:r>
      <w:r w:rsidR="0057522D">
        <w:rPr>
          <w:rFonts w:ascii="Arial" w:eastAsia="Calibri" w:hAnsi="Arial" w:cs="Arial"/>
          <w:bCs/>
          <w:sz w:val="26"/>
          <w:szCs w:val="26"/>
        </w:rPr>
        <w:t xml:space="preserve"> el </w:t>
      </w:r>
      <w:r w:rsidR="00AF2E1D">
        <w:rPr>
          <w:rFonts w:ascii="Arial" w:eastAsia="Calibri" w:hAnsi="Arial" w:cs="Arial"/>
          <w:bCs/>
          <w:sz w:val="26"/>
          <w:szCs w:val="26"/>
        </w:rPr>
        <w:t>solicitante</w:t>
      </w:r>
      <w:r w:rsidR="0057522D">
        <w:rPr>
          <w:rFonts w:ascii="Arial" w:eastAsia="Calibri" w:hAnsi="Arial" w:cs="Arial"/>
          <w:bCs/>
          <w:sz w:val="26"/>
          <w:szCs w:val="26"/>
        </w:rPr>
        <w:t xml:space="preserve"> se limitó a presentar el antecedente de propiedad relativo a </w:t>
      </w:r>
      <w:r w:rsidR="0057522D" w:rsidRPr="0057522D">
        <w:rPr>
          <w:rFonts w:ascii="Arial" w:eastAsia="Calibri" w:hAnsi="Arial" w:cs="Arial"/>
          <w:bCs/>
          <w:sz w:val="26"/>
          <w:szCs w:val="26"/>
        </w:rPr>
        <w:t>la superfic</w:t>
      </w:r>
      <w:r w:rsidR="0057522D">
        <w:rPr>
          <w:rFonts w:ascii="Arial" w:eastAsia="Calibri" w:hAnsi="Arial" w:cs="Arial"/>
          <w:bCs/>
          <w:sz w:val="26"/>
          <w:szCs w:val="26"/>
        </w:rPr>
        <w:t xml:space="preserve">ie </w:t>
      </w:r>
      <w:r w:rsidR="00D15123">
        <w:rPr>
          <w:rFonts w:ascii="Arial" w:eastAsia="Calibri" w:hAnsi="Arial" w:cs="Arial"/>
          <w:bCs/>
          <w:sz w:val="26"/>
          <w:szCs w:val="26"/>
        </w:rPr>
        <w:t xml:space="preserve">registrada en la cuenta catastral número </w:t>
      </w:r>
      <w:r w:rsidR="00BD3B39">
        <w:rPr>
          <w:rFonts w:ascii="Arial" w:eastAsia="Calibri" w:hAnsi="Arial" w:cs="Arial"/>
          <w:bCs/>
          <w:sz w:val="26"/>
          <w:szCs w:val="26"/>
        </w:rPr>
        <w:t>*******</w:t>
      </w:r>
      <w:r w:rsidR="00D15123" w:rsidRPr="00A4744A">
        <w:rPr>
          <w:rFonts w:ascii="Arial" w:eastAsia="Calibri" w:hAnsi="Arial" w:cs="Arial"/>
          <w:bCs/>
          <w:sz w:val="26"/>
          <w:szCs w:val="26"/>
        </w:rPr>
        <w:t xml:space="preserve"> a nombre del contribuyente </w:t>
      </w:r>
      <w:r w:rsidR="00110A19">
        <w:rPr>
          <w:rFonts w:ascii="Arial" w:eastAsia="Calibri" w:hAnsi="Arial" w:cs="Arial"/>
          <w:b/>
          <w:bCs/>
          <w:sz w:val="26"/>
          <w:szCs w:val="26"/>
        </w:rPr>
        <w:t>*******</w:t>
      </w:r>
      <w:r w:rsidR="00D15123" w:rsidRPr="00A4744A">
        <w:rPr>
          <w:rFonts w:ascii="Arial" w:eastAsia="Calibri" w:hAnsi="Arial" w:cs="Arial"/>
          <w:bCs/>
          <w:sz w:val="26"/>
          <w:szCs w:val="26"/>
        </w:rPr>
        <w:t>,</w:t>
      </w:r>
      <w:r w:rsidR="00D15123">
        <w:rPr>
          <w:rFonts w:ascii="Arial" w:eastAsia="Calibri" w:hAnsi="Arial" w:cs="Arial"/>
          <w:bCs/>
          <w:sz w:val="26"/>
          <w:szCs w:val="26"/>
        </w:rPr>
        <w:t xml:space="preserve"> </w:t>
      </w:r>
      <w:r w:rsidR="0057522D">
        <w:rPr>
          <w:rFonts w:ascii="Arial" w:eastAsia="Calibri" w:hAnsi="Arial" w:cs="Arial"/>
          <w:bCs/>
          <w:sz w:val="26"/>
          <w:szCs w:val="26"/>
        </w:rPr>
        <w:t>que respalda el contrato de diez</w:t>
      </w:r>
      <w:r w:rsidR="0057522D" w:rsidRPr="0057522D">
        <w:rPr>
          <w:rFonts w:ascii="Arial" w:eastAsia="Calibri" w:hAnsi="Arial" w:cs="Arial"/>
          <w:bCs/>
          <w:sz w:val="26"/>
          <w:szCs w:val="26"/>
        </w:rPr>
        <w:t xml:space="preserve"> de septiembre de </w:t>
      </w:r>
      <w:r w:rsidR="0057522D">
        <w:rPr>
          <w:rFonts w:ascii="Arial" w:eastAsia="Calibri" w:hAnsi="Arial" w:cs="Arial"/>
          <w:bCs/>
          <w:sz w:val="26"/>
          <w:szCs w:val="26"/>
        </w:rPr>
        <w:t>mil novecientos cincuenta y cuatro</w:t>
      </w:r>
      <w:r w:rsidR="0057522D" w:rsidRPr="0057522D">
        <w:rPr>
          <w:rFonts w:ascii="Arial" w:eastAsia="Calibri" w:hAnsi="Arial" w:cs="Arial"/>
          <w:bCs/>
          <w:sz w:val="26"/>
          <w:szCs w:val="26"/>
        </w:rPr>
        <w:t xml:space="preserve">, que se celebró entre los vendedores </w:t>
      </w:r>
      <w:r w:rsidR="00110A19">
        <w:rPr>
          <w:rFonts w:ascii="Arial" w:eastAsia="Calibri" w:hAnsi="Arial" w:cs="Arial"/>
          <w:bCs/>
          <w:sz w:val="26"/>
          <w:szCs w:val="26"/>
        </w:rPr>
        <w:t>*******</w:t>
      </w:r>
      <w:r w:rsidR="004F7C48" w:rsidRPr="0057522D">
        <w:rPr>
          <w:rFonts w:ascii="Arial" w:eastAsia="Calibri" w:hAnsi="Arial" w:cs="Arial"/>
          <w:bCs/>
          <w:sz w:val="26"/>
          <w:szCs w:val="26"/>
        </w:rPr>
        <w:t>,</w:t>
      </w:r>
      <w:r w:rsidR="0057522D" w:rsidRPr="0057522D">
        <w:rPr>
          <w:rFonts w:ascii="Arial" w:eastAsia="Calibri" w:hAnsi="Arial" w:cs="Arial"/>
          <w:bCs/>
          <w:sz w:val="26"/>
          <w:szCs w:val="26"/>
        </w:rPr>
        <w:t xml:space="preserve"> y como comprador </w:t>
      </w:r>
      <w:r w:rsidR="00110A19">
        <w:rPr>
          <w:rFonts w:ascii="Arial" w:eastAsia="Calibri" w:hAnsi="Arial" w:cs="Arial"/>
          <w:b/>
          <w:bCs/>
          <w:sz w:val="26"/>
          <w:szCs w:val="26"/>
        </w:rPr>
        <w:t>*******</w:t>
      </w:r>
      <w:r w:rsidR="0057522D" w:rsidRPr="0057522D">
        <w:rPr>
          <w:rFonts w:ascii="Arial" w:eastAsia="Calibri" w:hAnsi="Arial" w:cs="Arial"/>
          <w:bCs/>
          <w:sz w:val="26"/>
          <w:szCs w:val="26"/>
        </w:rPr>
        <w:t>, cuyo objeto de</w:t>
      </w:r>
      <w:r w:rsidR="00D15123">
        <w:rPr>
          <w:rFonts w:ascii="Arial" w:eastAsia="Calibri" w:hAnsi="Arial" w:cs="Arial"/>
          <w:bCs/>
          <w:sz w:val="26"/>
          <w:szCs w:val="26"/>
        </w:rPr>
        <w:t>l contrato fue el bien inmueble</w:t>
      </w:r>
      <w:r w:rsidR="0057522D" w:rsidRPr="0057522D">
        <w:rPr>
          <w:rFonts w:ascii="Arial" w:eastAsia="Calibri" w:hAnsi="Arial" w:cs="Arial"/>
          <w:bCs/>
          <w:sz w:val="26"/>
          <w:szCs w:val="26"/>
        </w:rPr>
        <w:t xml:space="preserve"> que se ubica en el </w:t>
      </w:r>
      <w:r w:rsidR="00110A19">
        <w:rPr>
          <w:rFonts w:ascii="Arial" w:eastAsia="Calibri" w:hAnsi="Arial" w:cs="Arial"/>
          <w:bCs/>
          <w:sz w:val="26"/>
          <w:szCs w:val="26"/>
        </w:rPr>
        <w:t>*******</w:t>
      </w:r>
      <w:r w:rsidR="0057522D">
        <w:rPr>
          <w:rFonts w:ascii="Arial" w:eastAsia="Calibri" w:hAnsi="Arial" w:cs="Arial"/>
          <w:bCs/>
          <w:sz w:val="26"/>
          <w:szCs w:val="26"/>
        </w:rPr>
        <w:t>,</w:t>
      </w:r>
      <w:r w:rsidR="006B3F7E">
        <w:rPr>
          <w:rFonts w:ascii="Arial" w:eastAsia="Calibri" w:hAnsi="Arial" w:cs="Arial"/>
          <w:bCs/>
          <w:sz w:val="26"/>
          <w:szCs w:val="26"/>
        </w:rPr>
        <w:t xml:space="preserve"> y la constancia de la diligencia de apeo y deslinde levantada por el Alcalde único constitucional del municipio de </w:t>
      </w:r>
      <w:r w:rsidR="00110A19">
        <w:rPr>
          <w:rFonts w:ascii="Arial" w:eastAsia="Calibri" w:hAnsi="Arial" w:cs="Arial"/>
          <w:bCs/>
          <w:sz w:val="26"/>
          <w:szCs w:val="26"/>
        </w:rPr>
        <w:t>*******</w:t>
      </w:r>
      <w:r w:rsidR="006B3F7E">
        <w:rPr>
          <w:rFonts w:ascii="Arial" w:eastAsia="Calibri" w:hAnsi="Arial" w:cs="Arial"/>
          <w:bCs/>
          <w:sz w:val="26"/>
          <w:szCs w:val="26"/>
        </w:rPr>
        <w:t xml:space="preserve">, Oaxaca, respecto </w:t>
      </w:r>
      <w:r w:rsidR="006B3F7E">
        <w:rPr>
          <w:rFonts w:ascii="Arial" w:eastAsia="Calibri" w:hAnsi="Arial" w:cs="Arial"/>
          <w:bCs/>
          <w:sz w:val="26"/>
          <w:szCs w:val="26"/>
        </w:rPr>
        <w:lastRenderedPageBreak/>
        <w:t xml:space="preserve">de este predio, </w:t>
      </w:r>
      <w:r w:rsidR="0057522D">
        <w:rPr>
          <w:rFonts w:ascii="Arial" w:eastAsia="Calibri" w:hAnsi="Arial" w:cs="Arial"/>
          <w:bCs/>
          <w:sz w:val="26"/>
          <w:szCs w:val="26"/>
        </w:rPr>
        <w:t xml:space="preserve"> </w:t>
      </w:r>
      <w:r w:rsidR="00D15123">
        <w:rPr>
          <w:rFonts w:ascii="Arial" w:eastAsia="Calibri" w:hAnsi="Arial" w:cs="Arial"/>
          <w:bCs/>
          <w:sz w:val="26"/>
          <w:szCs w:val="26"/>
        </w:rPr>
        <w:t xml:space="preserve">pero también era indispensable </w:t>
      </w:r>
      <w:r w:rsidR="008D15EA">
        <w:rPr>
          <w:rFonts w:ascii="Arial" w:eastAsia="Calibri" w:hAnsi="Arial" w:cs="Arial"/>
          <w:bCs/>
          <w:sz w:val="26"/>
          <w:szCs w:val="26"/>
        </w:rPr>
        <w:t xml:space="preserve">que </w:t>
      </w:r>
      <w:r w:rsidR="00D15123">
        <w:rPr>
          <w:rFonts w:ascii="Arial" w:eastAsia="Calibri" w:hAnsi="Arial" w:cs="Arial"/>
          <w:bCs/>
          <w:sz w:val="26"/>
          <w:szCs w:val="26"/>
        </w:rPr>
        <w:t>para dar seguimiento al tr</w:t>
      </w:r>
      <w:r w:rsidR="008D15EA">
        <w:rPr>
          <w:rFonts w:ascii="Arial" w:eastAsia="Calibri" w:hAnsi="Arial" w:cs="Arial"/>
          <w:bCs/>
          <w:sz w:val="26"/>
          <w:szCs w:val="26"/>
        </w:rPr>
        <w:t>ámite,</w:t>
      </w:r>
      <w:r w:rsidR="00D15123">
        <w:rPr>
          <w:rFonts w:ascii="Arial" w:eastAsia="Calibri" w:hAnsi="Arial" w:cs="Arial"/>
          <w:bCs/>
          <w:sz w:val="26"/>
          <w:szCs w:val="26"/>
        </w:rPr>
        <w:t xml:space="preserve"> </w:t>
      </w:r>
      <w:r w:rsidR="00764C02">
        <w:rPr>
          <w:rFonts w:ascii="Arial" w:eastAsia="Calibri" w:hAnsi="Arial" w:cs="Arial"/>
          <w:bCs/>
          <w:sz w:val="26"/>
          <w:szCs w:val="26"/>
        </w:rPr>
        <w:t>presentar</w:t>
      </w:r>
      <w:r w:rsidR="00D15123">
        <w:rPr>
          <w:rFonts w:ascii="Arial" w:eastAsia="Calibri" w:hAnsi="Arial" w:cs="Arial"/>
          <w:bCs/>
          <w:sz w:val="26"/>
          <w:szCs w:val="26"/>
        </w:rPr>
        <w:t>a</w:t>
      </w:r>
      <w:r w:rsidR="00764C02">
        <w:rPr>
          <w:rFonts w:ascii="Arial" w:eastAsia="Calibri" w:hAnsi="Arial" w:cs="Arial"/>
          <w:bCs/>
          <w:sz w:val="26"/>
          <w:szCs w:val="26"/>
        </w:rPr>
        <w:t xml:space="preserve"> el documen</w:t>
      </w:r>
      <w:r w:rsidR="00D15123">
        <w:rPr>
          <w:rFonts w:ascii="Arial" w:eastAsia="Calibri" w:hAnsi="Arial" w:cs="Arial"/>
          <w:bCs/>
          <w:sz w:val="26"/>
          <w:szCs w:val="26"/>
        </w:rPr>
        <w:t>to que ampare</w:t>
      </w:r>
      <w:r w:rsidR="00A4744A">
        <w:rPr>
          <w:rFonts w:ascii="Arial" w:eastAsia="Calibri" w:hAnsi="Arial" w:cs="Arial"/>
          <w:bCs/>
          <w:sz w:val="26"/>
          <w:szCs w:val="26"/>
        </w:rPr>
        <w:t xml:space="preserve"> la propiedad de</w:t>
      </w:r>
      <w:r w:rsidR="00764C02">
        <w:rPr>
          <w:rFonts w:ascii="Arial" w:eastAsia="Calibri" w:hAnsi="Arial" w:cs="Arial"/>
          <w:bCs/>
          <w:sz w:val="26"/>
          <w:szCs w:val="26"/>
        </w:rPr>
        <w:t xml:space="preserve"> la superficie excedente del 100% al predio </w:t>
      </w:r>
      <w:r w:rsidR="00A4744A">
        <w:rPr>
          <w:rFonts w:ascii="Arial" w:eastAsia="Calibri" w:hAnsi="Arial" w:cs="Arial"/>
          <w:bCs/>
          <w:sz w:val="26"/>
          <w:szCs w:val="26"/>
        </w:rPr>
        <w:t xml:space="preserve">originario registrado en la cuenta catastral número </w:t>
      </w:r>
      <w:r w:rsidR="00BD3B39">
        <w:rPr>
          <w:rFonts w:ascii="Arial" w:eastAsia="Calibri" w:hAnsi="Arial" w:cs="Arial"/>
          <w:bCs/>
          <w:sz w:val="26"/>
          <w:szCs w:val="26"/>
        </w:rPr>
        <w:t>*******</w:t>
      </w:r>
      <w:r w:rsidR="00D15123">
        <w:rPr>
          <w:rFonts w:ascii="Arial" w:eastAsia="Calibri" w:hAnsi="Arial" w:cs="Arial"/>
          <w:bCs/>
          <w:sz w:val="26"/>
          <w:szCs w:val="26"/>
        </w:rPr>
        <w:t xml:space="preserve"> ya referida</w:t>
      </w:r>
      <w:r w:rsidR="00A4744A" w:rsidRPr="00A4744A">
        <w:rPr>
          <w:rFonts w:ascii="Arial" w:eastAsia="Calibri" w:hAnsi="Arial" w:cs="Arial"/>
          <w:bCs/>
          <w:sz w:val="26"/>
          <w:szCs w:val="26"/>
        </w:rPr>
        <w:t>,</w:t>
      </w:r>
      <w:r w:rsidR="0057522D">
        <w:rPr>
          <w:rFonts w:ascii="Arial" w:eastAsia="Calibri" w:hAnsi="Arial" w:cs="Arial"/>
          <w:bCs/>
          <w:sz w:val="26"/>
          <w:szCs w:val="26"/>
        </w:rPr>
        <w:t xml:space="preserve"> así como la constancia de la diligencia de apeo y deslinde respecto de ese predio correspondiente a la superficie sobrante, </w:t>
      </w:r>
      <w:r w:rsidR="006B3F7E">
        <w:rPr>
          <w:rFonts w:ascii="Arial" w:eastAsia="Calibri" w:hAnsi="Arial" w:cs="Arial"/>
          <w:bCs/>
          <w:sz w:val="26"/>
          <w:szCs w:val="26"/>
        </w:rPr>
        <w:t xml:space="preserve">lo cual no hizo, por lo tanto, al no cumplir con la totalidad de los requisitos </w:t>
      </w:r>
      <w:r w:rsidR="002D3323">
        <w:rPr>
          <w:rFonts w:ascii="Arial" w:eastAsia="Calibri" w:hAnsi="Arial" w:cs="Arial"/>
          <w:bCs/>
          <w:sz w:val="26"/>
          <w:szCs w:val="26"/>
        </w:rPr>
        <w:t xml:space="preserve">señalados por el numeral 49 </w:t>
      </w:r>
      <w:r w:rsidR="00244F36">
        <w:rPr>
          <w:rFonts w:ascii="Arial" w:eastAsia="Calibri" w:hAnsi="Arial" w:cs="Arial"/>
          <w:bCs/>
          <w:sz w:val="26"/>
          <w:szCs w:val="26"/>
        </w:rPr>
        <w:t xml:space="preserve">del Reglamento de la Ley de Catastro </w:t>
      </w:r>
      <w:r w:rsidR="002D3323">
        <w:rPr>
          <w:rFonts w:ascii="Arial" w:eastAsia="Calibri" w:hAnsi="Arial" w:cs="Arial"/>
          <w:bCs/>
          <w:sz w:val="26"/>
          <w:szCs w:val="26"/>
        </w:rPr>
        <w:t>fue acertado que declarara improcedente el t</w:t>
      </w:r>
      <w:r w:rsidR="00D6404C">
        <w:rPr>
          <w:rFonts w:ascii="Arial" w:eastAsia="Calibri" w:hAnsi="Arial" w:cs="Arial"/>
          <w:bCs/>
          <w:sz w:val="26"/>
          <w:szCs w:val="26"/>
        </w:rPr>
        <w:t xml:space="preserve">rámite </w:t>
      </w:r>
      <w:r w:rsidR="00244F36">
        <w:rPr>
          <w:rFonts w:ascii="Arial" w:eastAsia="Calibri" w:hAnsi="Arial" w:cs="Arial"/>
          <w:bCs/>
          <w:sz w:val="26"/>
          <w:szCs w:val="26"/>
        </w:rPr>
        <w:t xml:space="preserve">requerido. De ahí lo </w:t>
      </w:r>
      <w:r w:rsidR="00244F36" w:rsidRPr="00244F36">
        <w:rPr>
          <w:rFonts w:ascii="Arial" w:eastAsia="Calibri" w:hAnsi="Arial" w:cs="Arial"/>
          <w:b/>
          <w:bCs/>
          <w:sz w:val="26"/>
          <w:szCs w:val="26"/>
        </w:rPr>
        <w:t>infundado</w:t>
      </w:r>
      <w:r w:rsidR="00244F36">
        <w:rPr>
          <w:rFonts w:ascii="Arial" w:eastAsia="Calibri" w:hAnsi="Arial" w:cs="Arial"/>
          <w:bCs/>
          <w:sz w:val="26"/>
          <w:szCs w:val="26"/>
        </w:rPr>
        <w:t xml:space="preserve"> del </w:t>
      </w:r>
      <w:r w:rsidR="00244F36" w:rsidRPr="00244F36">
        <w:rPr>
          <w:rFonts w:ascii="Arial" w:eastAsia="Calibri" w:hAnsi="Arial" w:cs="Arial"/>
          <w:b/>
          <w:bCs/>
          <w:sz w:val="26"/>
          <w:szCs w:val="26"/>
        </w:rPr>
        <w:t>tercer</w:t>
      </w:r>
      <w:r w:rsidR="00244F36">
        <w:rPr>
          <w:rFonts w:ascii="Arial" w:eastAsia="Calibri" w:hAnsi="Arial" w:cs="Arial"/>
          <w:bCs/>
          <w:sz w:val="26"/>
          <w:szCs w:val="26"/>
        </w:rPr>
        <w:t xml:space="preserve"> y </w:t>
      </w:r>
      <w:r w:rsidR="00244F36" w:rsidRPr="00244F36">
        <w:rPr>
          <w:rFonts w:ascii="Arial" w:eastAsia="Calibri" w:hAnsi="Arial" w:cs="Arial"/>
          <w:b/>
          <w:bCs/>
          <w:sz w:val="26"/>
          <w:szCs w:val="26"/>
        </w:rPr>
        <w:t xml:space="preserve">cuarto </w:t>
      </w:r>
      <w:r w:rsidR="00244F36">
        <w:rPr>
          <w:rFonts w:ascii="Arial" w:eastAsia="Calibri" w:hAnsi="Arial" w:cs="Arial"/>
          <w:bCs/>
          <w:sz w:val="26"/>
          <w:szCs w:val="26"/>
        </w:rPr>
        <w:t>concepto de impugnación.</w:t>
      </w:r>
      <w:r w:rsidR="009609A6">
        <w:rPr>
          <w:rFonts w:ascii="Arial" w:eastAsia="Calibri" w:hAnsi="Arial" w:cs="Arial"/>
          <w:bCs/>
          <w:sz w:val="26"/>
          <w:szCs w:val="26"/>
        </w:rPr>
        <w:t xml:space="preserve"> </w:t>
      </w:r>
      <w:r w:rsidR="009609A6" w:rsidRPr="00445003">
        <w:rPr>
          <w:rFonts w:ascii="Arial" w:hAnsi="Arial" w:cs="Arial"/>
          <w:iCs/>
          <w:sz w:val="26"/>
          <w:szCs w:val="26"/>
        </w:rPr>
        <w:t>- - - - - - - - - - - - - - - - - - - - -</w:t>
      </w:r>
      <w:r w:rsidR="009609A6">
        <w:rPr>
          <w:rFonts w:ascii="Arial" w:hAnsi="Arial" w:cs="Arial"/>
          <w:iCs/>
          <w:sz w:val="26"/>
          <w:szCs w:val="26"/>
        </w:rPr>
        <w:t xml:space="preserve"> - - - - - - </w:t>
      </w:r>
    </w:p>
    <w:p w14:paraId="609AEE98" w14:textId="5A2DED31" w:rsidR="00244F36" w:rsidRDefault="00244F36" w:rsidP="00AA4BCC">
      <w:pPr>
        <w:spacing w:line="360" w:lineRule="auto"/>
        <w:ind w:right="49" w:firstLine="567"/>
        <w:jc w:val="both"/>
        <w:rPr>
          <w:rFonts w:ascii="Arial" w:eastAsia="Calibri" w:hAnsi="Arial" w:cs="Arial"/>
          <w:bCs/>
          <w:sz w:val="26"/>
          <w:szCs w:val="26"/>
        </w:rPr>
      </w:pPr>
      <w:r>
        <w:rPr>
          <w:rFonts w:ascii="Arial" w:eastAsia="Calibri" w:hAnsi="Arial" w:cs="Arial"/>
          <w:bCs/>
          <w:sz w:val="26"/>
          <w:szCs w:val="26"/>
        </w:rPr>
        <w:t>Así también resulta</w:t>
      </w:r>
      <w:r w:rsidRPr="00244F36">
        <w:rPr>
          <w:rFonts w:ascii="Arial" w:eastAsia="Calibri" w:hAnsi="Arial" w:cs="Arial"/>
          <w:b/>
          <w:bCs/>
          <w:sz w:val="26"/>
          <w:szCs w:val="26"/>
        </w:rPr>
        <w:t xml:space="preserve"> infundado </w:t>
      </w:r>
      <w:r>
        <w:rPr>
          <w:rFonts w:ascii="Arial" w:eastAsia="Calibri" w:hAnsi="Arial" w:cs="Arial"/>
          <w:bCs/>
          <w:sz w:val="26"/>
          <w:szCs w:val="26"/>
        </w:rPr>
        <w:t xml:space="preserve">otro argumento que expuso el actor en el </w:t>
      </w:r>
      <w:r w:rsidRPr="008B76F7">
        <w:rPr>
          <w:rFonts w:ascii="Arial" w:eastAsia="Calibri" w:hAnsi="Arial" w:cs="Arial"/>
          <w:b/>
          <w:bCs/>
          <w:sz w:val="26"/>
          <w:szCs w:val="26"/>
        </w:rPr>
        <w:t xml:space="preserve">cuarto </w:t>
      </w:r>
      <w:r>
        <w:rPr>
          <w:rFonts w:ascii="Arial" w:eastAsia="Calibri" w:hAnsi="Arial" w:cs="Arial"/>
          <w:bCs/>
          <w:sz w:val="26"/>
          <w:szCs w:val="26"/>
        </w:rPr>
        <w:t>concepto de impugnación, en el que alega que no debe desatenderse que conforme al artículo 51</w:t>
      </w:r>
      <w:r>
        <w:rPr>
          <w:rStyle w:val="Refdenotaalpie"/>
          <w:rFonts w:ascii="Arial" w:eastAsia="Calibri" w:hAnsi="Arial" w:cs="Arial"/>
          <w:bCs/>
          <w:sz w:val="26"/>
          <w:szCs w:val="26"/>
        </w:rPr>
        <w:footnoteReference w:id="8"/>
      </w:r>
      <w:r>
        <w:rPr>
          <w:rFonts w:ascii="Arial" w:eastAsia="Calibri" w:hAnsi="Arial" w:cs="Arial"/>
          <w:bCs/>
          <w:sz w:val="26"/>
          <w:szCs w:val="26"/>
        </w:rPr>
        <w:t xml:space="preserve"> de la Ley de Catastro, todo propietario o poseedor de un bien inmueble tiene derecho a que se le reciban las solicitudes relativas a trámites catastrales, </w:t>
      </w:r>
      <w:r w:rsidR="008B76F7">
        <w:rPr>
          <w:rFonts w:ascii="Arial" w:eastAsia="Calibri" w:hAnsi="Arial" w:cs="Arial"/>
          <w:bCs/>
          <w:sz w:val="26"/>
          <w:szCs w:val="26"/>
        </w:rPr>
        <w:t>pero como ya se dijo, para esto el peticionario debe cumplir con los requisitos señalados por la Ley de Catastro y su Reglamento, en el caso particular tratándose del trámite de corrección de medidas el actor debió colmar los requisitos establecidos en el numeral 49 del Reglamento de la Ley de Catastro, lo que pasó por alto, tal como se ha explicado en párrafos precedentes, y por tanto, fue apropiado que la autoridad catastral declarara improcedente ese trámite. Por ello, deviene</w:t>
      </w:r>
      <w:r w:rsidR="008B76F7" w:rsidRPr="008B76F7">
        <w:rPr>
          <w:rFonts w:ascii="Arial" w:eastAsia="Calibri" w:hAnsi="Arial" w:cs="Arial"/>
          <w:b/>
          <w:bCs/>
          <w:sz w:val="26"/>
          <w:szCs w:val="26"/>
        </w:rPr>
        <w:t xml:space="preserve"> infundado</w:t>
      </w:r>
      <w:r w:rsidR="008B76F7">
        <w:rPr>
          <w:rFonts w:ascii="Arial" w:eastAsia="Calibri" w:hAnsi="Arial" w:cs="Arial"/>
          <w:bCs/>
          <w:sz w:val="26"/>
          <w:szCs w:val="26"/>
        </w:rPr>
        <w:t xml:space="preserve"> el agravio. </w:t>
      </w:r>
      <w:r w:rsidR="009609A6">
        <w:rPr>
          <w:rFonts w:ascii="Arial" w:eastAsia="Calibri" w:hAnsi="Arial" w:cs="Arial"/>
          <w:bCs/>
          <w:sz w:val="26"/>
          <w:szCs w:val="26"/>
        </w:rPr>
        <w:t>- - - -</w:t>
      </w:r>
    </w:p>
    <w:p w14:paraId="7CCB5216" w14:textId="21EB9BD8" w:rsidR="008B76F7" w:rsidRPr="00CA0630" w:rsidRDefault="008750C9" w:rsidP="008B76F7">
      <w:pPr>
        <w:spacing w:after="0" w:line="360" w:lineRule="auto"/>
        <w:ind w:firstLine="708"/>
        <w:jc w:val="both"/>
        <w:rPr>
          <w:rFonts w:ascii="Arial" w:eastAsia="Calibri" w:hAnsi="Arial" w:cs="Arial"/>
          <w:sz w:val="26"/>
          <w:szCs w:val="26"/>
        </w:rPr>
      </w:pPr>
      <w:r>
        <w:rPr>
          <w:rFonts w:ascii="Arial" w:eastAsia="Calibri" w:hAnsi="Arial" w:cs="Arial"/>
          <w:bCs/>
          <w:sz w:val="26"/>
          <w:szCs w:val="26"/>
        </w:rPr>
        <w:t xml:space="preserve"> </w:t>
      </w:r>
      <w:r w:rsidR="008B76F7">
        <w:rPr>
          <w:rFonts w:ascii="Arial" w:eastAsia="Calibri" w:hAnsi="Arial" w:cs="Arial"/>
          <w:sz w:val="26"/>
          <w:szCs w:val="26"/>
        </w:rPr>
        <w:t>P</w:t>
      </w:r>
      <w:r w:rsidR="008B76F7" w:rsidRPr="00CA0630">
        <w:rPr>
          <w:rFonts w:ascii="Arial" w:eastAsia="Calibri" w:hAnsi="Arial" w:cs="Arial"/>
          <w:sz w:val="26"/>
          <w:szCs w:val="26"/>
        </w:rPr>
        <w:t xml:space="preserve">or las consideraciones antes expuestas, y dado lo </w:t>
      </w:r>
      <w:r w:rsidR="008B76F7" w:rsidRPr="008B76F7">
        <w:rPr>
          <w:rFonts w:ascii="Arial" w:eastAsia="Calibri" w:hAnsi="Arial" w:cs="Arial"/>
          <w:b/>
          <w:sz w:val="26"/>
          <w:szCs w:val="26"/>
        </w:rPr>
        <w:t>infundado</w:t>
      </w:r>
      <w:r w:rsidR="008B76F7" w:rsidRPr="00CA0630">
        <w:rPr>
          <w:rFonts w:ascii="Arial" w:eastAsia="Calibri" w:hAnsi="Arial" w:cs="Arial"/>
          <w:sz w:val="26"/>
          <w:szCs w:val="26"/>
        </w:rPr>
        <w:t xml:space="preserve"> de los agravios formulados por</w:t>
      </w:r>
      <w:r w:rsidR="008B76F7">
        <w:rPr>
          <w:rFonts w:ascii="Arial" w:eastAsia="Calibri" w:hAnsi="Arial" w:cs="Arial"/>
          <w:sz w:val="26"/>
          <w:szCs w:val="26"/>
        </w:rPr>
        <w:t xml:space="preserve"> el actor</w:t>
      </w:r>
      <w:r w:rsidR="008B76F7" w:rsidRPr="00CA0630">
        <w:rPr>
          <w:rFonts w:ascii="Arial" w:eastAsia="Calibri" w:hAnsi="Arial" w:cs="Arial"/>
          <w:sz w:val="26"/>
          <w:szCs w:val="26"/>
        </w:rPr>
        <w:t xml:space="preserve">, procede </w:t>
      </w:r>
      <w:r w:rsidR="008B76F7" w:rsidRPr="00CA0630">
        <w:rPr>
          <w:rFonts w:ascii="Arial" w:eastAsia="Calibri" w:hAnsi="Arial" w:cs="Arial"/>
          <w:b/>
          <w:sz w:val="26"/>
          <w:szCs w:val="26"/>
        </w:rPr>
        <w:t>CONFIRMAR</w:t>
      </w:r>
      <w:r w:rsidR="008B76F7" w:rsidRPr="00CA0630">
        <w:rPr>
          <w:rFonts w:ascii="Arial" w:eastAsia="Calibri" w:hAnsi="Arial" w:cs="Arial"/>
          <w:sz w:val="26"/>
          <w:szCs w:val="26"/>
        </w:rPr>
        <w:t xml:space="preserve"> la sentencia recurrida; y </w:t>
      </w:r>
      <w:r w:rsidR="008B76F7" w:rsidRPr="00CA0630">
        <w:rPr>
          <w:rFonts w:ascii="Arial" w:eastAsia="Calibri" w:hAnsi="Arial" w:cs="Arial"/>
          <w:bCs/>
          <w:sz w:val="26"/>
          <w:szCs w:val="26"/>
        </w:rPr>
        <w:t>c</w:t>
      </w:r>
      <w:r w:rsidR="008B76F7" w:rsidRPr="00CA0630">
        <w:rPr>
          <w:rFonts w:ascii="Arial" w:eastAsia="Calibri" w:hAnsi="Arial" w:cs="Arial"/>
          <w:sz w:val="26"/>
          <w:szCs w:val="26"/>
        </w:rPr>
        <w:t>o</w:t>
      </w:r>
      <w:r w:rsidR="008B76F7">
        <w:rPr>
          <w:rFonts w:ascii="Arial" w:eastAsia="Calibri" w:hAnsi="Arial" w:cs="Arial"/>
          <w:sz w:val="26"/>
          <w:szCs w:val="26"/>
        </w:rPr>
        <w:t>n fundamento en los artículos 236</w:t>
      </w:r>
      <w:r w:rsidR="008B76F7" w:rsidRPr="00CA0630">
        <w:rPr>
          <w:rFonts w:ascii="Arial" w:eastAsia="Calibri" w:hAnsi="Arial" w:cs="Arial"/>
          <w:sz w:val="26"/>
          <w:szCs w:val="26"/>
        </w:rPr>
        <w:t xml:space="preserve"> y 238 de la Ley de Procedimiento y Justicia Administrativa para el Estado de Oaxaca, se:</w:t>
      </w:r>
    </w:p>
    <w:p w14:paraId="699F69A9" w14:textId="662B36EF" w:rsidR="00E670C0" w:rsidRPr="009609A6" w:rsidRDefault="008B76F7" w:rsidP="00E670C0">
      <w:pPr>
        <w:pStyle w:val="Sinespaciado"/>
        <w:spacing w:before="240" w:line="360" w:lineRule="auto"/>
        <w:jc w:val="center"/>
        <w:rPr>
          <w:rFonts w:ascii="Arial" w:hAnsi="Arial" w:cs="Arial"/>
          <w:b/>
          <w:sz w:val="26"/>
          <w:szCs w:val="26"/>
        </w:rPr>
      </w:pPr>
      <w:r w:rsidRPr="009609A6">
        <w:rPr>
          <w:rFonts w:ascii="Arial" w:hAnsi="Arial" w:cs="Arial"/>
          <w:b/>
          <w:sz w:val="26"/>
          <w:szCs w:val="26"/>
        </w:rPr>
        <w:t>R</w:t>
      </w:r>
      <w:r w:rsidR="00E670C0" w:rsidRPr="009609A6">
        <w:rPr>
          <w:rFonts w:ascii="Arial" w:hAnsi="Arial" w:cs="Arial"/>
          <w:b/>
          <w:sz w:val="26"/>
          <w:szCs w:val="26"/>
        </w:rPr>
        <w:t xml:space="preserve"> E S U E L V E</w:t>
      </w:r>
    </w:p>
    <w:p w14:paraId="23A572E8" w14:textId="4D3F2D10" w:rsidR="00E670C0" w:rsidRDefault="009609A6"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sidRPr="009609A6">
        <w:rPr>
          <w:rFonts w:ascii="Arial" w:hAnsi="Arial" w:cs="Arial"/>
          <w:b/>
          <w:bCs/>
          <w:color w:val="000000"/>
          <w:sz w:val="26"/>
          <w:szCs w:val="26"/>
        </w:rPr>
        <w:t>. -</w:t>
      </w:r>
      <w:r>
        <w:rPr>
          <w:rFonts w:ascii="Arial" w:hAnsi="Arial" w:cs="Arial"/>
          <w:color w:val="000000"/>
          <w:sz w:val="26"/>
          <w:szCs w:val="26"/>
        </w:rPr>
        <w:t xml:space="preserve"> </w:t>
      </w:r>
      <w:r w:rsidR="00E670C0">
        <w:rPr>
          <w:rFonts w:ascii="Arial" w:hAnsi="Arial" w:cs="Arial"/>
          <w:color w:val="000000"/>
          <w:sz w:val="26"/>
          <w:szCs w:val="26"/>
          <w:lang w:val="es-MX"/>
        </w:rPr>
        <w:t>Se</w:t>
      </w:r>
      <w:r w:rsidR="00E670C0">
        <w:rPr>
          <w:rFonts w:ascii="Arial" w:hAnsi="Arial" w:cs="Arial"/>
          <w:b/>
          <w:color w:val="000000"/>
          <w:sz w:val="26"/>
          <w:szCs w:val="26"/>
          <w:lang w:val="es-MX"/>
        </w:rPr>
        <w:t xml:space="preserve"> CONFIRMA </w:t>
      </w:r>
      <w:r w:rsidR="00E670C0" w:rsidRPr="00867780">
        <w:rPr>
          <w:rFonts w:ascii="Arial" w:hAnsi="Arial" w:cs="Arial"/>
          <w:bCs/>
          <w:color w:val="000000"/>
          <w:sz w:val="26"/>
          <w:szCs w:val="26"/>
          <w:lang w:val="es-MX"/>
        </w:rPr>
        <w:t>la sentencia</w:t>
      </w:r>
      <w:r w:rsidR="001158C3">
        <w:rPr>
          <w:rFonts w:ascii="Arial" w:hAnsi="Arial" w:cs="Arial"/>
          <w:bCs/>
          <w:color w:val="000000"/>
          <w:sz w:val="26"/>
          <w:szCs w:val="26"/>
          <w:lang w:val="es-MX"/>
        </w:rPr>
        <w:t xml:space="preserve"> de dieciocho de octu</w:t>
      </w:r>
      <w:r w:rsidR="008B76F7">
        <w:rPr>
          <w:rFonts w:ascii="Arial" w:hAnsi="Arial" w:cs="Arial"/>
          <w:bCs/>
          <w:color w:val="000000"/>
          <w:sz w:val="26"/>
          <w:szCs w:val="26"/>
          <w:lang w:val="es-MX"/>
        </w:rPr>
        <w:t>bre de dos mil veintiuno</w:t>
      </w:r>
      <w:r w:rsidR="00E670C0">
        <w:rPr>
          <w:rFonts w:ascii="Arial" w:hAnsi="Arial" w:cs="Arial"/>
          <w:color w:val="000000"/>
          <w:sz w:val="26"/>
          <w:szCs w:val="26"/>
          <w:lang w:val="es-MX"/>
        </w:rPr>
        <w:t>, por las razones expuestas por esta Sala Superior en el considerando que antecede.</w:t>
      </w:r>
      <w:r w:rsidRPr="009609A6">
        <w:rPr>
          <w:rFonts w:ascii="Arial" w:hAnsi="Arial" w:cs="Arial"/>
          <w:iCs/>
          <w:sz w:val="26"/>
          <w:szCs w:val="26"/>
        </w:rPr>
        <w:t xml:space="preserve"> </w:t>
      </w:r>
      <w:r w:rsidRPr="00445003">
        <w:rPr>
          <w:rFonts w:ascii="Arial" w:hAnsi="Arial" w:cs="Arial"/>
          <w:iCs/>
          <w:sz w:val="26"/>
          <w:szCs w:val="26"/>
        </w:rPr>
        <w:t>- - - - - - - - - - - - - - - - - - - - -</w:t>
      </w:r>
      <w:r>
        <w:rPr>
          <w:rFonts w:ascii="Arial" w:hAnsi="Arial" w:cs="Arial"/>
          <w:iCs/>
          <w:sz w:val="26"/>
          <w:szCs w:val="26"/>
        </w:rPr>
        <w:t xml:space="preserve"> </w:t>
      </w:r>
      <w:r w:rsidRPr="00445003">
        <w:rPr>
          <w:rFonts w:ascii="Arial" w:hAnsi="Arial" w:cs="Arial"/>
          <w:iCs/>
          <w:sz w:val="26"/>
          <w:szCs w:val="26"/>
        </w:rPr>
        <w:t xml:space="preserve">- - - - - - </w:t>
      </w:r>
    </w:p>
    <w:p w14:paraId="1D35E116" w14:textId="145F4264"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9609A6">
        <w:rPr>
          <w:rFonts w:ascii="Arial" w:hAnsi="Arial" w:cs="Arial"/>
          <w:b/>
          <w:sz w:val="26"/>
          <w:szCs w:val="26"/>
        </w:rPr>
        <w:t>SEGUNDO. -</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461CA">
        <w:rPr>
          <w:rFonts w:ascii="Arial" w:hAnsi="Arial" w:cs="Arial"/>
          <w:sz w:val="26"/>
          <w:szCs w:val="26"/>
        </w:rPr>
        <w:t>Sex</w:t>
      </w:r>
      <w:r>
        <w:rPr>
          <w:rFonts w:ascii="Arial" w:hAnsi="Arial" w:cs="Arial"/>
          <w:sz w:val="26"/>
          <w:szCs w:val="26"/>
        </w:rPr>
        <w:t>ta Sala Unitaria de Primera Instancia de este Tribunal y en su oportunidad archívese el presente cuaderno de revisión como asunto concluido.</w:t>
      </w:r>
      <w:r w:rsidR="009609A6">
        <w:rPr>
          <w:rFonts w:ascii="Arial" w:hAnsi="Arial" w:cs="Arial"/>
          <w:sz w:val="26"/>
          <w:szCs w:val="26"/>
        </w:rPr>
        <w:t xml:space="preserve"> </w:t>
      </w:r>
      <w:r w:rsidR="009609A6" w:rsidRPr="00445003">
        <w:rPr>
          <w:rFonts w:ascii="Arial" w:hAnsi="Arial" w:cs="Arial"/>
          <w:iCs/>
          <w:sz w:val="26"/>
          <w:szCs w:val="26"/>
        </w:rPr>
        <w:t xml:space="preserve">- - - - - - - - - - - - - - - - - - - </w:t>
      </w:r>
    </w:p>
    <w:p w14:paraId="3708C250" w14:textId="149F26AF" w:rsidR="00E670C0" w:rsidRPr="00B32A93"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w:t>
      </w:r>
      <w:r w:rsidR="009609A6">
        <w:rPr>
          <w:rFonts w:ascii="Arial" w:hAnsi="Arial" w:cs="Arial"/>
          <w:sz w:val="26"/>
          <w:szCs w:val="26"/>
        </w:rPr>
        <w:t xml:space="preserve">integrantes de la Sala Superior </w:t>
      </w:r>
      <w:r w:rsidRPr="00B32A93">
        <w:rPr>
          <w:rFonts w:ascii="Arial" w:hAnsi="Arial" w:cs="Arial"/>
          <w:sz w:val="26"/>
          <w:szCs w:val="26"/>
        </w:rPr>
        <w:t xml:space="preserve">Manuel Velasco Alcántara; Raúl Palomares Palomino </w:t>
      </w:r>
      <w:r w:rsidRPr="009609A6">
        <w:rPr>
          <w:rFonts w:ascii="Arial" w:hAnsi="Arial" w:cs="Arial"/>
          <w:b/>
          <w:sz w:val="26"/>
          <w:szCs w:val="26"/>
        </w:rPr>
        <w:t>(ponente),</w:t>
      </w:r>
      <w:r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9609A6" w:rsidRPr="00445003">
        <w:rPr>
          <w:rFonts w:ascii="Arial" w:hAnsi="Arial" w:cs="Arial"/>
          <w:iCs/>
          <w:sz w:val="26"/>
          <w:szCs w:val="26"/>
        </w:rPr>
        <w:t xml:space="preserve">- - - - - - - - - - - - - - - - - </w:t>
      </w:r>
    </w:p>
    <w:p w14:paraId="7409304A" w14:textId="1F8E727B" w:rsidR="009609A6" w:rsidRDefault="009609A6" w:rsidP="00BD3B39">
      <w:pPr>
        <w:tabs>
          <w:tab w:val="center" w:pos="4135"/>
          <w:tab w:val="left" w:pos="7515"/>
        </w:tabs>
        <w:spacing w:line="360" w:lineRule="auto"/>
        <w:rPr>
          <w:rFonts w:ascii="Arial" w:hAnsi="Arial" w:cs="Arial"/>
          <w:sz w:val="26"/>
          <w:szCs w:val="26"/>
        </w:rPr>
      </w:pPr>
    </w:p>
    <w:p w14:paraId="36CAAC3B" w14:textId="77777777" w:rsidR="009609A6" w:rsidRDefault="009609A6" w:rsidP="009609A6">
      <w:pPr>
        <w:tabs>
          <w:tab w:val="center" w:pos="4135"/>
          <w:tab w:val="left" w:pos="7515"/>
        </w:tabs>
        <w:spacing w:line="360" w:lineRule="auto"/>
        <w:jc w:val="center"/>
        <w:rPr>
          <w:rFonts w:ascii="Arial" w:hAnsi="Arial" w:cs="Arial"/>
          <w:sz w:val="26"/>
          <w:szCs w:val="26"/>
        </w:rPr>
      </w:pPr>
    </w:p>
    <w:p w14:paraId="02BA6F62" w14:textId="77777777" w:rsidR="009609A6" w:rsidRDefault="009609A6" w:rsidP="009609A6">
      <w:pPr>
        <w:tabs>
          <w:tab w:val="center" w:pos="4135"/>
          <w:tab w:val="left" w:pos="7515"/>
        </w:tabs>
        <w:spacing w:line="360" w:lineRule="auto"/>
        <w:jc w:val="center"/>
        <w:rPr>
          <w:rFonts w:ascii="Arial" w:hAnsi="Arial" w:cs="Arial"/>
          <w:sz w:val="26"/>
          <w:szCs w:val="26"/>
        </w:rPr>
      </w:pPr>
    </w:p>
    <w:p w14:paraId="454FC776" w14:textId="77777777" w:rsidR="009609A6" w:rsidRDefault="009609A6" w:rsidP="009609A6">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47935437" w14:textId="77777777" w:rsidR="009609A6" w:rsidRDefault="009609A6" w:rsidP="00BD3B39">
      <w:pPr>
        <w:tabs>
          <w:tab w:val="center" w:pos="4135"/>
          <w:tab w:val="left" w:pos="7515"/>
        </w:tabs>
        <w:spacing w:line="240" w:lineRule="auto"/>
        <w:rPr>
          <w:rFonts w:ascii="Arial" w:hAnsi="Arial" w:cs="Arial"/>
          <w:sz w:val="26"/>
          <w:szCs w:val="26"/>
        </w:rPr>
      </w:pPr>
    </w:p>
    <w:p w14:paraId="7A129154" w14:textId="77777777" w:rsidR="009609A6" w:rsidRDefault="009609A6" w:rsidP="009609A6">
      <w:pPr>
        <w:tabs>
          <w:tab w:val="center" w:pos="4135"/>
          <w:tab w:val="left" w:pos="7515"/>
        </w:tabs>
        <w:spacing w:line="240" w:lineRule="auto"/>
        <w:jc w:val="center"/>
        <w:rPr>
          <w:rFonts w:ascii="Arial" w:hAnsi="Arial" w:cs="Arial"/>
          <w:sz w:val="26"/>
          <w:szCs w:val="26"/>
        </w:rPr>
      </w:pPr>
    </w:p>
    <w:p w14:paraId="355E2B11" w14:textId="77777777" w:rsidR="009609A6" w:rsidRDefault="009609A6" w:rsidP="009609A6">
      <w:pPr>
        <w:tabs>
          <w:tab w:val="center" w:pos="4135"/>
          <w:tab w:val="left" w:pos="7515"/>
        </w:tabs>
        <w:spacing w:line="240" w:lineRule="auto"/>
        <w:jc w:val="center"/>
        <w:rPr>
          <w:rFonts w:ascii="Arial" w:hAnsi="Arial" w:cs="Arial"/>
          <w:sz w:val="26"/>
          <w:szCs w:val="26"/>
        </w:rPr>
      </w:pPr>
    </w:p>
    <w:p w14:paraId="78A70636" w14:textId="77777777" w:rsidR="009609A6" w:rsidRDefault="009609A6" w:rsidP="009609A6">
      <w:pPr>
        <w:tabs>
          <w:tab w:val="center" w:pos="4135"/>
          <w:tab w:val="left" w:pos="7515"/>
        </w:tabs>
        <w:spacing w:line="240" w:lineRule="auto"/>
        <w:jc w:val="center"/>
        <w:rPr>
          <w:rFonts w:ascii="Arial" w:hAnsi="Arial" w:cs="Arial"/>
          <w:sz w:val="26"/>
          <w:szCs w:val="26"/>
        </w:rPr>
      </w:pPr>
    </w:p>
    <w:p w14:paraId="3AA63A0E" w14:textId="77777777" w:rsidR="009609A6" w:rsidRDefault="009609A6" w:rsidP="009609A6">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1CCE4CA7" w14:textId="77777777" w:rsidR="009609A6" w:rsidRDefault="009609A6" w:rsidP="00BD3B39">
      <w:pPr>
        <w:tabs>
          <w:tab w:val="center" w:pos="4135"/>
          <w:tab w:val="left" w:pos="7515"/>
        </w:tabs>
        <w:spacing w:line="360" w:lineRule="auto"/>
        <w:rPr>
          <w:rFonts w:ascii="Arial" w:hAnsi="Arial" w:cs="Arial"/>
          <w:sz w:val="26"/>
          <w:szCs w:val="26"/>
        </w:rPr>
      </w:pPr>
    </w:p>
    <w:p w14:paraId="315F589E" w14:textId="77777777" w:rsidR="009609A6" w:rsidRDefault="009609A6" w:rsidP="009609A6">
      <w:pPr>
        <w:tabs>
          <w:tab w:val="center" w:pos="4135"/>
          <w:tab w:val="left" w:pos="7515"/>
        </w:tabs>
        <w:spacing w:line="360" w:lineRule="auto"/>
        <w:jc w:val="center"/>
        <w:rPr>
          <w:rFonts w:ascii="Arial" w:hAnsi="Arial" w:cs="Arial"/>
          <w:sz w:val="26"/>
          <w:szCs w:val="26"/>
        </w:rPr>
      </w:pPr>
    </w:p>
    <w:p w14:paraId="31D776D9" w14:textId="77777777" w:rsidR="009609A6" w:rsidRDefault="009609A6" w:rsidP="009609A6">
      <w:pPr>
        <w:tabs>
          <w:tab w:val="center" w:pos="4135"/>
          <w:tab w:val="left" w:pos="7515"/>
        </w:tabs>
        <w:spacing w:line="360" w:lineRule="auto"/>
        <w:jc w:val="center"/>
        <w:rPr>
          <w:rFonts w:ascii="Arial" w:hAnsi="Arial" w:cs="Arial"/>
          <w:sz w:val="26"/>
          <w:szCs w:val="26"/>
        </w:rPr>
      </w:pPr>
    </w:p>
    <w:p w14:paraId="31F72751" w14:textId="77777777" w:rsidR="009609A6" w:rsidRDefault="009609A6" w:rsidP="009609A6">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5D36812B" w14:textId="77777777" w:rsidR="009609A6" w:rsidRDefault="009609A6" w:rsidP="00BD3B39">
      <w:pPr>
        <w:tabs>
          <w:tab w:val="left" w:pos="1925"/>
          <w:tab w:val="center" w:pos="4135"/>
        </w:tabs>
        <w:rPr>
          <w:rFonts w:ascii="Arial" w:hAnsi="Arial" w:cs="Arial"/>
          <w:sz w:val="26"/>
          <w:szCs w:val="26"/>
        </w:rPr>
      </w:pPr>
    </w:p>
    <w:p w14:paraId="0F064709" w14:textId="77777777" w:rsidR="009609A6" w:rsidRDefault="009609A6" w:rsidP="009609A6">
      <w:pPr>
        <w:tabs>
          <w:tab w:val="left" w:pos="1925"/>
          <w:tab w:val="center" w:pos="4135"/>
        </w:tabs>
        <w:rPr>
          <w:rFonts w:ascii="Arial" w:hAnsi="Arial" w:cs="Arial"/>
          <w:sz w:val="26"/>
          <w:szCs w:val="26"/>
        </w:rPr>
      </w:pPr>
    </w:p>
    <w:p w14:paraId="7EDFD3C5" w14:textId="77777777" w:rsidR="009609A6" w:rsidRDefault="009609A6" w:rsidP="009609A6">
      <w:pPr>
        <w:tabs>
          <w:tab w:val="left" w:pos="1925"/>
          <w:tab w:val="center" w:pos="4135"/>
        </w:tabs>
        <w:rPr>
          <w:rFonts w:ascii="Arial" w:hAnsi="Arial" w:cs="Arial"/>
          <w:sz w:val="26"/>
          <w:szCs w:val="26"/>
        </w:rPr>
      </w:pPr>
    </w:p>
    <w:p w14:paraId="6BCC32E9" w14:textId="77777777" w:rsidR="009609A6" w:rsidRDefault="009609A6" w:rsidP="009609A6">
      <w:pPr>
        <w:tabs>
          <w:tab w:val="left" w:pos="1925"/>
          <w:tab w:val="center" w:pos="4135"/>
        </w:tabs>
        <w:jc w:val="center"/>
        <w:rPr>
          <w:rFonts w:ascii="Arial" w:hAnsi="Arial" w:cs="Arial"/>
          <w:sz w:val="26"/>
          <w:szCs w:val="26"/>
        </w:rPr>
      </w:pPr>
    </w:p>
    <w:p w14:paraId="13CA08B6" w14:textId="77777777" w:rsidR="009609A6" w:rsidRDefault="009609A6" w:rsidP="009609A6">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4C3FD4E1" w14:textId="77777777" w:rsidR="009609A6" w:rsidRDefault="009609A6" w:rsidP="009609A6">
      <w:pPr>
        <w:tabs>
          <w:tab w:val="left" w:pos="1925"/>
          <w:tab w:val="center" w:pos="4135"/>
        </w:tabs>
        <w:spacing w:after="0" w:line="720" w:lineRule="auto"/>
        <w:rPr>
          <w:rFonts w:ascii="Arial" w:hAnsi="Arial" w:cs="Arial"/>
          <w:sz w:val="26"/>
          <w:szCs w:val="26"/>
        </w:rPr>
      </w:pPr>
      <w:bookmarkStart w:id="0" w:name="_GoBack"/>
      <w:bookmarkEnd w:id="0"/>
    </w:p>
    <w:p w14:paraId="47D6A949" w14:textId="609D4D19" w:rsidR="009609A6" w:rsidRPr="00326DD7" w:rsidRDefault="009609A6" w:rsidP="009609A6">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t>LAS PRESENTES FIRMAS CORRESPONDEN A LA RESOLUCIÓN DEL RECURSO DE REVISIÓN 0</w:t>
      </w:r>
      <w:r>
        <w:rPr>
          <w:rFonts w:ascii="Arial" w:hAnsi="Arial" w:cs="Arial"/>
          <w:b/>
          <w:sz w:val="16"/>
          <w:szCs w:val="16"/>
        </w:rPr>
        <w:t>439</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71810B52" w14:textId="77777777" w:rsidR="009609A6" w:rsidRDefault="009609A6" w:rsidP="00BD3B39">
      <w:pPr>
        <w:tabs>
          <w:tab w:val="left" w:pos="1925"/>
          <w:tab w:val="center" w:pos="4135"/>
        </w:tabs>
        <w:rPr>
          <w:rFonts w:ascii="Arial" w:hAnsi="Arial" w:cs="Arial"/>
          <w:sz w:val="26"/>
          <w:szCs w:val="26"/>
        </w:rPr>
      </w:pPr>
    </w:p>
    <w:p w14:paraId="7E9C2CD1" w14:textId="77777777" w:rsidR="009609A6" w:rsidRDefault="009609A6" w:rsidP="009609A6">
      <w:pPr>
        <w:tabs>
          <w:tab w:val="left" w:pos="1925"/>
          <w:tab w:val="center" w:pos="4135"/>
        </w:tabs>
        <w:jc w:val="center"/>
        <w:rPr>
          <w:rFonts w:ascii="Arial" w:hAnsi="Arial" w:cs="Arial"/>
          <w:sz w:val="26"/>
          <w:szCs w:val="26"/>
        </w:rPr>
      </w:pPr>
    </w:p>
    <w:p w14:paraId="48703AA6" w14:textId="77777777" w:rsidR="009609A6" w:rsidRDefault="009609A6" w:rsidP="009609A6">
      <w:pPr>
        <w:tabs>
          <w:tab w:val="left" w:pos="1925"/>
          <w:tab w:val="center" w:pos="4135"/>
        </w:tabs>
        <w:jc w:val="center"/>
        <w:rPr>
          <w:rFonts w:ascii="Arial" w:hAnsi="Arial" w:cs="Arial"/>
          <w:sz w:val="26"/>
          <w:szCs w:val="26"/>
        </w:rPr>
      </w:pPr>
    </w:p>
    <w:p w14:paraId="1486BB5D" w14:textId="77777777" w:rsidR="009609A6" w:rsidRPr="00366AD3" w:rsidRDefault="009609A6" w:rsidP="009609A6">
      <w:pPr>
        <w:tabs>
          <w:tab w:val="left" w:pos="1925"/>
          <w:tab w:val="center" w:pos="4135"/>
        </w:tabs>
        <w:jc w:val="center"/>
        <w:rPr>
          <w:rFonts w:ascii="Arial" w:hAnsi="Arial" w:cs="Arial"/>
          <w:sz w:val="26"/>
          <w:szCs w:val="26"/>
        </w:rPr>
      </w:pPr>
    </w:p>
    <w:p w14:paraId="03607F6C" w14:textId="049217A8" w:rsidR="009609A6" w:rsidRDefault="009609A6" w:rsidP="00BD3B39">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2804F2E8" w14:textId="77777777" w:rsidR="009609A6" w:rsidRDefault="009609A6" w:rsidP="009609A6">
      <w:pPr>
        <w:tabs>
          <w:tab w:val="center" w:pos="4135"/>
          <w:tab w:val="left" w:pos="7515"/>
        </w:tabs>
        <w:spacing w:line="360" w:lineRule="auto"/>
        <w:jc w:val="center"/>
        <w:rPr>
          <w:rFonts w:ascii="Arial" w:hAnsi="Arial" w:cs="Arial"/>
          <w:sz w:val="26"/>
          <w:szCs w:val="26"/>
        </w:rPr>
      </w:pPr>
    </w:p>
    <w:p w14:paraId="60E76940" w14:textId="77777777" w:rsidR="009609A6" w:rsidRDefault="009609A6" w:rsidP="009609A6">
      <w:pPr>
        <w:tabs>
          <w:tab w:val="center" w:pos="4135"/>
          <w:tab w:val="left" w:pos="7515"/>
        </w:tabs>
        <w:spacing w:line="360" w:lineRule="auto"/>
        <w:jc w:val="center"/>
        <w:rPr>
          <w:rFonts w:ascii="Arial" w:hAnsi="Arial" w:cs="Arial"/>
          <w:sz w:val="26"/>
          <w:szCs w:val="26"/>
        </w:rPr>
      </w:pPr>
    </w:p>
    <w:p w14:paraId="28BD9438" w14:textId="77777777" w:rsidR="009609A6" w:rsidRDefault="009609A6" w:rsidP="009609A6">
      <w:pPr>
        <w:jc w:val="center"/>
        <w:rPr>
          <w:rFonts w:ascii="Arial" w:hAnsi="Arial" w:cs="Arial"/>
          <w:sz w:val="26"/>
          <w:szCs w:val="26"/>
        </w:rPr>
      </w:pPr>
    </w:p>
    <w:p w14:paraId="0BEBE544" w14:textId="77777777" w:rsidR="009609A6" w:rsidRDefault="009609A6" w:rsidP="009609A6">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73C708AA" w14:textId="77777777" w:rsidR="009609A6" w:rsidRPr="00E5261F" w:rsidRDefault="009609A6" w:rsidP="009609A6">
      <w:pPr>
        <w:spacing w:after="0" w:line="240" w:lineRule="auto"/>
        <w:jc w:val="center"/>
        <w:rPr>
          <w:sz w:val="26"/>
          <w:szCs w:val="26"/>
        </w:rPr>
      </w:pPr>
      <w:r w:rsidRPr="00366AD3">
        <w:rPr>
          <w:rFonts w:ascii="Arial" w:hAnsi="Arial" w:cs="Arial"/>
          <w:sz w:val="26"/>
          <w:szCs w:val="26"/>
        </w:rPr>
        <w:t>SECRETARIO GENERAL DE ACUERDOS</w:t>
      </w:r>
    </w:p>
    <w:p w14:paraId="35A44CFB" w14:textId="77777777" w:rsidR="009609A6" w:rsidRPr="00A57E1D" w:rsidRDefault="009609A6" w:rsidP="009609A6">
      <w:pPr>
        <w:tabs>
          <w:tab w:val="center" w:pos="4135"/>
          <w:tab w:val="left" w:pos="7515"/>
        </w:tabs>
        <w:spacing w:after="0" w:line="360" w:lineRule="auto"/>
        <w:jc w:val="center"/>
      </w:pPr>
    </w:p>
    <w:p w14:paraId="50453FE0" w14:textId="6D586561" w:rsidR="00BA258A" w:rsidRPr="003B6CF0" w:rsidRDefault="00BA258A" w:rsidP="009609A6">
      <w:pPr>
        <w:tabs>
          <w:tab w:val="center" w:pos="4135"/>
          <w:tab w:val="left" w:pos="7515"/>
        </w:tabs>
        <w:spacing w:after="0"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3D5D47" w14:textId="77777777" w:rsidR="00BD4A3C" w:rsidRDefault="00BD4A3C">
      <w:pPr>
        <w:spacing w:after="0" w:line="240" w:lineRule="auto"/>
      </w:pPr>
      <w:r>
        <w:separator/>
      </w:r>
    </w:p>
  </w:endnote>
  <w:endnote w:type="continuationSeparator" w:id="0">
    <w:p w14:paraId="596ED967" w14:textId="77777777" w:rsidR="00BD4A3C" w:rsidRDefault="00BD4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51BD5" w:rsidRDefault="00F51BD5">
    <w:pPr>
      <w:pStyle w:val="Piedepgina"/>
      <w:jc w:val="center"/>
    </w:pPr>
  </w:p>
  <w:p w14:paraId="195FF414" w14:textId="77777777" w:rsidR="00F51BD5" w:rsidRDefault="00F51BD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6EF83" w14:textId="77777777" w:rsidR="00BD4A3C" w:rsidRDefault="00BD4A3C">
      <w:pPr>
        <w:spacing w:after="0" w:line="240" w:lineRule="auto"/>
      </w:pPr>
      <w:r>
        <w:separator/>
      </w:r>
    </w:p>
  </w:footnote>
  <w:footnote w:type="continuationSeparator" w:id="0">
    <w:p w14:paraId="32537F41" w14:textId="77777777" w:rsidR="00BD4A3C" w:rsidRDefault="00BD4A3C">
      <w:pPr>
        <w:spacing w:after="0" w:line="240" w:lineRule="auto"/>
      </w:pPr>
      <w:r>
        <w:continuationSeparator/>
      </w:r>
    </w:p>
  </w:footnote>
  <w:footnote w:id="1">
    <w:p w14:paraId="710EACE6" w14:textId="77777777" w:rsidR="00F51BD5" w:rsidRPr="00571437" w:rsidRDefault="00F51BD5" w:rsidP="000C4EBE">
      <w:pPr>
        <w:pStyle w:val="Textonotapie"/>
        <w:jc w:val="both"/>
        <w:rPr>
          <w:rFonts w:ascii="Arial" w:hAnsi="Arial" w:cs="Arial"/>
          <w:i/>
        </w:rPr>
      </w:pPr>
      <w:r>
        <w:rPr>
          <w:rStyle w:val="Refdenotaalpie"/>
        </w:rPr>
        <w:footnoteRef/>
      </w:r>
      <w:r>
        <w:t xml:space="preserve"> </w:t>
      </w:r>
      <w:r w:rsidRPr="00320085">
        <w:rPr>
          <w:rFonts w:ascii="Arial" w:hAnsi="Arial" w:cs="Arial"/>
          <w:b/>
          <w:i/>
        </w:rPr>
        <w:t>“ARTÍCULO 203.-</w:t>
      </w:r>
      <w:r w:rsidRPr="00571437">
        <w:rPr>
          <w:rFonts w:ascii="Arial" w:hAnsi="Arial" w:cs="Arial"/>
          <w:i/>
        </w:rPr>
        <w:t xml:space="preserve"> La valoración de las pruebas se hará de acuerdo con las siguientes reglas:</w:t>
      </w:r>
    </w:p>
    <w:p w14:paraId="5B0BE54B" w14:textId="77777777" w:rsidR="00F51BD5" w:rsidRPr="00571437" w:rsidRDefault="00F51BD5" w:rsidP="000C4EBE">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0DB2EF4F" w14:textId="28E0B8D3" w:rsidR="00F51BD5" w:rsidRPr="003178DB" w:rsidRDefault="00F51BD5" w:rsidP="003178DB">
      <w:pPr>
        <w:pStyle w:val="Textonotapie"/>
        <w:jc w:val="both"/>
        <w:rPr>
          <w:rFonts w:ascii="Arial" w:hAnsi="Arial" w:cs="Arial"/>
          <w:lang w:val="es-ES"/>
        </w:rPr>
      </w:pPr>
      <w:r w:rsidRPr="003178DB">
        <w:rPr>
          <w:rStyle w:val="Refdenotaalpie"/>
          <w:rFonts w:ascii="Arial" w:hAnsi="Arial" w:cs="Arial"/>
        </w:rPr>
        <w:footnoteRef/>
      </w:r>
      <w:r w:rsidRPr="003178DB">
        <w:rPr>
          <w:rFonts w:ascii="Arial" w:hAnsi="Arial" w:cs="Arial"/>
        </w:rPr>
        <w:t xml:space="preserve"> </w:t>
      </w:r>
      <w:r w:rsidRPr="003178DB">
        <w:rPr>
          <w:rFonts w:ascii="Arial" w:hAnsi="Arial" w:cs="Arial"/>
          <w:lang w:val="es-ES"/>
        </w:rPr>
        <w:t xml:space="preserve">Agregada de la foja 10 (diez) a la 16 (dieciséis) del expediente </w:t>
      </w:r>
      <w:r w:rsidRPr="003178DB">
        <w:rPr>
          <w:rFonts w:ascii="Arial" w:hAnsi="Arial" w:cs="Arial"/>
          <w:b/>
          <w:lang w:val="es-ES"/>
        </w:rPr>
        <w:t>0013/2020</w:t>
      </w:r>
      <w:r w:rsidRPr="003178DB">
        <w:rPr>
          <w:rFonts w:ascii="Arial" w:hAnsi="Arial" w:cs="Arial"/>
          <w:lang w:val="es-ES"/>
        </w:rPr>
        <w:t xml:space="preserve"> del índice de la Sexta Sala Unitaria de Primera Instancia.</w:t>
      </w:r>
    </w:p>
  </w:footnote>
  <w:footnote w:id="3">
    <w:p w14:paraId="552E619D" w14:textId="06BCDDE6" w:rsidR="00F51BD5" w:rsidRPr="002A75FA" w:rsidRDefault="00F51BD5">
      <w:pPr>
        <w:pStyle w:val="Textonotapie"/>
        <w:rPr>
          <w:rFonts w:ascii="Arial" w:hAnsi="Arial" w:cs="Arial"/>
          <w:lang w:val="es-ES"/>
        </w:rPr>
      </w:pPr>
      <w:r w:rsidRPr="002A75FA">
        <w:rPr>
          <w:rStyle w:val="Refdenotaalpie"/>
          <w:rFonts w:ascii="Arial" w:hAnsi="Arial" w:cs="Arial"/>
        </w:rPr>
        <w:footnoteRef/>
      </w:r>
      <w:r w:rsidRPr="002A75FA">
        <w:rPr>
          <w:rFonts w:ascii="Arial" w:hAnsi="Arial" w:cs="Arial"/>
        </w:rPr>
        <w:t xml:space="preserve"> </w:t>
      </w:r>
      <w:r w:rsidRPr="002A75FA">
        <w:rPr>
          <w:rFonts w:ascii="Arial" w:hAnsi="Arial" w:cs="Arial"/>
          <w:lang w:val="es-ES"/>
        </w:rPr>
        <w:t xml:space="preserve">Fojas 70 (setenta) a 74, </w:t>
      </w:r>
      <w:r w:rsidRPr="002A75FA">
        <w:rPr>
          <w:rFonts w:ascii="Arial" w:hAnsi="Arial" w:cs="Arial"/>
          <w:i/>
          <w:lang w:val="es-ES"/>
        </w:rPr>
        <w:t>ibídem.</w:t>
      </w:r>
    </w:p>
  </w:footnote>
  <w:footnote w:id="4">
    <w:p w14:paraId="14E752A1" w14:textId="77777777" w:rsidR="00436768" w:rsidRPr="00571437" w:rsidRDefault="00436768" w:rsidP="00436768">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0959A1F0" w14:textId="77777777" w:rsidR="00436768" w:rsidRPr="00571437" w:rsidRDefault="00436768" w:rsidP="00436768">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5">
    <w:p w14:paraId="20B2A0E4" w14:textId="77777777" w:rsidR="00EF5937" w:rsidRDefault="00AB1FE4" w:rsidP="00AB1FE4">
      <w:pPr>
        <w:pStyle w:val="Textonotapie"/>
        <w:jc w:val="both"/>
        <w:rPr>
          <w:rFonts w:ascii="Arial" w:hAnsi="Arial" w:cs="Arial"/>
          <w:i/>
        </w:rPr>
      </w:pPr>
      <w:r w:rsidRPr="00AB1FE4">
        <w:rPr>
          <w:rStyle w:val="Refdenotaalpie"/>
          <w:rFonts w:ascii="Arial" w:hAnsi="Arial" w:cs="Arial"/>
          <w:i/>
        </w:rPr>
        <w:footnoteRef/>
      </w:r>
      <w:r w:rsidRPr="00AB1FE4">
        <w:rPr>
          <w:rFonts w:ascii="Arial" w:hAnsi="Arial" w:cs="Arial"/>
          <w:i/>
        </w:rPr>
        <w:t xml:space="preserve"> </w:t>
      </w:r>
      <w:r w:rsidRPr="00AB1FE4">
        <w:rPr>
          <w:rFonts w:ascii="Arial" w:hAnsi="Arial" w:cs="Arial"/>
          <w:b/>
          <w:i/>
        </w:rPr>
        <w:t xml:space="preserve">“ARTICULO 40.- </w:t>
      </w:r>
      <w:r w:rsidRPr="00AB1FE4">
        <w:rPr>
          <w:rFonts w:ascii="Arial" w:hAnsi="Arial" w:cs="Arial"/>
          <w:i/>
        </w:rPr>
        <w:t xml:space="preserve">Los propietarios o poseedores de bienes inmuebles, así como las autoridades que intervengan en la modificación del dominio de un predio, están obligados a utilizar los formatos establecidos por la Secretaría de Finanzas del Gobierno del Estado, y sus modalidades serán: </w:t>
      </w:r>
    </w:p>
    <w:p w14:paraId="48883981" w14:textId="7FD30173" w:rsidR="00AB1FE4" w:rsidRPr="00AB1FE4" w:rsidRDefault="00AB1FE4" w:rsidP="00AB1FE4">
      <w:pPr>
        <w:pStyle w:val="Textonotapie"/>
        <w:jc w:val="both"/>
        <w:rPr>
          <w:rFonts w:ascii="Arial" w:hAnsi="Arial" w:cs="Arial"/>
          <w:i/>
        </w:rPr>
      </w:pPr>
      <w:r w:rsidRPr="00AB1FE4">
        <w:rPr>
          <w:rFonts w:ascii="Arial" w:hAnsi="Arial" w:cs="Arial"/>
          <w:i/>
        </w:rPr>
        <w:t>I Traslación de dominio: Serán requisitados y presentados por el fedatario correspondiente conteniendo los siguientes datos:</w:t>
      </w:r>
    </w:p>
    <w:p w14:paraId="2D12DB50" w14:textId="77777777" w:rsidR="00AB1FE4" w:rsidRPr="00AB1FE4" w:rsidRDefault="00AB1FE4" w:rsidP="00AB1FE4">
      <w:pPr>
        <w:pStyle w:val="Textonotapie"/>
        <w:jc w:val="both"/>
        <w:rPr>
          <w:rFonts w:ascii="Arial" w:hAnsi="Arial" w:cs="Arial"/>
          <w:i/>
        </w:rPr>
      </w:pPr>
      <w:r w:rsidRPr="00AB1FE4">
        <w:rPr>
          <w:rFonts w:ascii="Arial" w:hAnsi="Arial" w:cs="Arial"/>
          <w:i/>
        </w:rPr>
        <w:t>a) Del enajenante.</w:t>
      </w:r>
    </w:p>
    <w:p w14:paraId="4774508C" w14:textId="77777777" w:rsidR="00AB1FE4" w:rsidRPr="00AB1FE4" w:rsidRDefault="00AB1FE4" w:rsidP="00AB1FE4">
      <w:pPr>
        <w:pStyle w:val="Textonotapie"/>
        <w:jc w:val="both"/>
        <w:rPr>
          <w:rFonts w:ascii="Arial" w:hAnsi="Arial" w:cs="Arial"/>
          <w:i/>
        </w:rPr>
      </w:pPr>
      <w:r w:rsidRPr="00AB1FE4">
        <w:rPr>
          <w:rFonts w:ascii="Arial" w:hAnsi="Arial" w:cs="Arial"/>
          <w:i/>
        </w:rPr>
        <w:t xml:space="preserve">b) Del </w:t>
      </w:r>
      <w:proofErr w:type="gramStart"/>
      <w:r w:rsidRPr="00AB1FE4">
        <w:rPr>
          <w:rFonts w:ascii="Arial" w:hAnsi="Arial" w:cs="Arial"/>
          <w:i/>
        </w:rPr>
        <w:t>adquirente .</w:t>
      </w:r>
      <w:proofErr w:type="gramEnd"/>
    </w:p>
    <w:p w14:paraId="5442E572" w14:textId="77777777" w:rsidR="00AB1FE4" w:rsidRPr="00AB1FE4" w:rsidRDefault="00AB1FE4" w:rsidP="00AB1FE4">
      <w:pPr>
        <w:pStyle w:val="Textonotapie"/>
        <w:jc w:val="both"/>
        <w:rPr>
          <w:rFonts w:ascii="Arial" w:hAnsi="Arial" w:cs="Arial"/>
          <w:i/>
        </w:rPr>
      </w:pPr>
      <w:r w:rsidRPr="00AB1FE4">
        <w:rPr>
          <w:rFonts w:ascii="Arial" w:hAnsi="Arial" w:cs="Arial"/>
          <w:i/>
        </w:rPr>
        <w:t>c) Generales del inmueble.</w:t>
      </w:r>
    </w:p>
    <w:p w14:paraId="25693768" w14:textId="77777777" w:rsidR="00AB1FE4" w:rsidRPr="00AB1FE4" w:rsidRDefault="00AB1FE4" w:rsidP="00AB1FE4">
      <w:pPr>
        <w:pStyle w:val="Textonotapie"/>
        <w:jc w:val="both"/>
        <w:rPr>
          <w:rFonts w:ascii="Arial" w:hAnsi="Arial" w:cs="Arial"/>
          <w:i/>
        </w:rPr>
      </w:pPr>
      <w:r w:rsidRPr="00AB1FE4">
        <w:rPr>
          <w:rFonts w:ascii="Arial" w:hAnsi="Arial" w:cs="Arial"/>
          <w:i/>
        </w:rPr>
        <w:t>d) De la fracción restante en caso de ventas parciales.</w:t>
      </w:r>
    </w:p>
    <w:p w14:paraId="507F6753" w14:textId="77777777" w:rsidR="00AB1FE4" w:rsidRPr="00AB1FE4" w:rsidRDefault="00AB1FE4" w:rsidP="00AB1FE4">
      <w:pPr>
        <w:pStyle w:val="Textonotapie"/>
        <w:jc w:val="both"/>
        <w:rPr>
          <w:rFonts w:ascii="Arial" w:hAnsi="Arial" w:cs="Arial"/>
          <w:i/>
        </w:rPr>
      </w:pPr>
      <w:r w:rsidRPr="00AB1FE4">
        <w:rPr>
          <w:rFonts w:ascii="Arial" w:hAnsi="Arial" w:cs="Arial"/>
          <w:i/>
        </w:rPr>
        <w:t>e) Autorización del fedatario.</w:t>
      </w:r>
    </w:p>
    <w:p w14:paraId="42ABAD20" w14:textId="77777777" w:rsidR="00AB1FE4" w:rsidRPr="00AB1FE4" w:rsidRDefault="00AB1FE4" w:rsidP="00AB1FE4">
      <w:pPr>
        <w:pStyle w:val="Textonotapie"/>
        <w:jc w:val="both"/>
        <w:rPr>
          <w:rFonts w:ascii="Arial" w:hAnsi="Arial" w:cs="Arial"/>
          <w:i/>
        </w:rPr>
      </w:pPr>
      <w:r w:rsidRPr="00AB1FE4">
        <w:rPr>
          <w:rFonts w:ascii="Arial" w:hAnsi="Arial" w:cs="Arial"/>
          <w:i/>
        </w:rPr>
        <w:t>II Manifestación de rectificaciones de valor espontáneo: Serán requisitadas por la Unidad de Catastro y/o Recaudaciones de Rentas de la Secretaría de Finanzas del Gobierno del Estado, las cuales deberán contener los siguientes datos:</w:t>
      </w:r>
    </w:p>
    <w:p w14:paraId="4F1D7386" w14:textId="77777777" w:rsidR="00AB1FE4" w:rsidRPr="00AB1FE4" w:rsidRDefault="00AB1FE4" w:rsidP="00AB1FE4">
      <w:pPr>
        <w:pStyle w:val="Textonotapie"/>
        <w:jc w:val="both"/>
        <w:rPr>
          <w:rFonts w:ascii="Arial" w:hAnsi="Arial" w:cs="Arial"/>
          <w:i/>
        </w:rPr>
      </w:pPr>
      <w:r w:rsidRPr="00AB1FE4">
        <w:rPr>
          <w:rFonts w:ascii="Arial" w:hAnsi="Arial" w:cs="Arial"/>
          <w:i/>
        </w:rPr>
        <w:t>a) Del o los propietarios.</w:t>
      </w:r>
    </w:p>
    <w:p w14:paraId="37E5BFC9" w14:textId="77777777" w:rsidR="00AB1FE4" w:rsidRPr="00AB1FE4" w:rsidRDefault="00AB1FE4" w:rsidP="00AB1FE4">
      <w:pPr>
        <w:pStyle w:val="Textonotapie"/>
        <w:jc w:val="both"/>
        <w:rPr>
          <w:rFonts w:ascii="Arial" w:hAnsi="Arial" w:cs="Arial"/>
          <w:i/>
        </w:rPr>
      </w:pPr>
      <w:r w:rsidRPr="00AB1FE4">
        <w:rPr>
          <w:rFonts w:ascii="Arial" w:hAnsi="Arial" w:cs="Arial"/>
          <w:i/>
        </w:rPr>
        <w:t>b) De localización del inmueble.</w:t>
      </w:r>
    </w:p>
    <w:p w14:paraId="03FB4F46" w14:textId="77777777" w:rsidR="00AB1FE4" w:rsidRPr="00AB1FE4" w:rsidRDefault="00AB1FE4" w:rsidP="00AB1FE4">
      <w:pPr>
        <w:pStyle w:val="Textonotapie"/>
        <w:jc w:val="both"/>
        <w:rPr>
          <w:rFonts w:ascii="Arial" w:hAnsi="Arial" w:cs="Arial"/>
          <w:i/>
        </w:rPr>
      </w:pPr>
      <w:r w:rsidRPr="00AB1FE4">
        <w:rPr>
          <w:rFonts w:ascii="Arial" w:hAnsi="Arial" w:cs="Arial"/>
          <w:i/>
        </w:rPr>
        <w:t>c) Firma del propietario o representante legal.</w:t>
      </w:r>
    </w:p>
    <w:p w14:paraId="4E75118C" w14:textId="5B1CEE52" w:rsidR="00AB1FE4" w:rsidRPr="00AB1FE4" w:rsidRDefault="00AB1FE4" w:rsidP="00AB1FE4">
      <w:pPr>
        <w:pStyle w:val="Textonotapie"/>
        <w:jc w:val="both"/>
        <w:rPr>
          <w:rFonts w:ascii="Arial" w:hAnsi="Arial" w:cs="Arial"/>
          <w:i/>
        </w:rPr>
      </w:pPr>
      <w:r w:rsidRPr="00AB1FE4">
        <w:rPr>
          <w:rFonts w:ascii="Arial" w:hAnsi="Arial" w:cs="Arial"/>
          <w:i/>
        </w:rPr>
        <w:t>d) Croquis de localización del inmueble.</w:t>
      </w:r>
    </w:p>
    <w:p w14:paraId="4C9493E6" w14:textId="77777777" w:rsidR="00AB1FE4" w:rsidRPr="00AB1FE4" w:rsidRDefault="00AB1FE4" w:rsidP="00AB1FE4">
      <w:pPr>
        <w:pStyle w:val="Textonotapie"/>
        <w:jc w:val="both"/>
        <w:rPr>
          <w:rFonts w:ascii="Arial" w:hAnsi="Arial" w:cs="Arial"/>
          <w:i/>
        </w:rPr>
      </w:pPr>
      <w:r w:rsidRPr="00AB1FE4">
        <w:rPr>
          <w:rFonts w:ascii="Arial" w:hAnsi="Arial" w:cs="Arial"/>
          <w:i/>
        </w:rPr>
        <w:t xml:space="preserve">Las que se refieren a rectificaciones de medidas, vendrán acompañadas de datos y planos firmados por el interesado que las aclare y justifique a juicio de la Secretaría de Finanzas del Gobierno del Estado, conteniendo las anotaciones a que se refiere el artículo 17 de este reglamento. </w:t>
      </w:r>
    </w:p>
    <w:p w14:paraId="7FEF9AF9" w14:textId="62B1A687" w:rsidR="00AB1FE4" w:rsidRPr="00AB1FE4" w:rsidRDefault="00AB1FE4" w:rsidP="00AB1FE4">
      <w:pPr>
        <w:pStyle w:val="Textonotapie"/>
        <w:jc w:val="both"/>
        <w:rPr>
          <w:rFonts w:ascii="Arial" w:hAnsi="Arial" w:cs="Arial"/>
          <w:i/>
          <w:lang w:val="es-ES"/>
        </w:rPr>
      </w:pPr>
      <w:r w:rsidRPr="00AB1FE4">
        <w:rPr>
          <w:rFonts w:ascii="Arial" w:hAnsi="Arial" w:cs="Arial"/>
          <w:i/>
        </w:rPr>
        <w:t>Si la rectificación de medidas revela superficie excedente de la inscrita en los registros catastrales mayor a un 20%, este excedente se considerará como superficie oculta a la acción fiscal y por lo tanto, sujeta a las anotaciones que esta</w:t>
      </w:r>
      <w:r>
        <w:rPr>
          <w:rFonts w:ascii="Arial" w:hAnsi="Arial" w:cs="Arial"/>
          <w:i/>
        </w:rPr>
        <w:t>blezcan las leyes en la materia”</w:t>
      </w:r>
    </w:p>
  </w:footnote>
  <w:footnote w:id="6">
    <w:p w14:paraId="05BDA71F" w14:textId="77777777" w:rsidR="00E638BB" w:rsidRDefault="00E638BB" w:rsidP="00E638BB">
      <w:pPr>
        <w:pStyle w:val="Textonotapie"/>
        <w:jc w:val="both"/>
        <w:rPr>
          <w:rFonts w:ascii="Arial" w:hAnsi="Arial" w:cs="Arial"/>
          <w:i/>
        </w:rPr>
      </w:pPr>
      <w:r w:rsidRPr="00AB1FE4">
        <w:rPr>
          <w:rStyle w:val="Refdenotaalpie"/>
          <w:rFonts w:ascii="Arial" w:hAnsi="Arial" w:cs="Arial"/>
          <w:i/>
        </w:rPr>
        <w:footnoteRef/>
      </w:r>
      <w:r w:rsidRPr="00AB1FE4">
        <w:rPr>
          <w:rFonts w:ascii="Arial" w:hAnsi="Arial" w:cs="Arial"/>
          <w:i/>
        </w:rPr>
        <w:t xml:space="preserve"> </w:t>
      </w:r>
      <w:r w:rsidRPr="00AB1FE4">
        <w:rPr>
          <w:rFonts w:ascii="Arial" w:hAnsi="Arial" w:cs="Arial"/>
          <w:b/>
          <w:i/>
        </w:rPr>
        <w:t xml:space="preserve">“ARTICULO 40.- </w:t>
      </w:r>
      <w:r w:rsidRPr="00AB1FE4">
        <w:rPr>
          <w:rFonts w:ascii="Arial" w:hAnsi="Arial" w:cs="Arial"/>
          <w:i/>
        </w:rPr>
        <w:t xml:space="preserve">Los propietarios o poseedores de bienes inmuebles, así como las autoridades que intervengan en la modificación del dominio de un predio, están obligados a utilizar los formatos establecidos por la Secretaría de Finanzas del Gobierno del Estado, y sus modalidades serán: </w:t>
      </w:r>
    </w:p>
    <w:p w14:paraId="57C10469" w14:textId="77777777" w:rsidR="00E638BB" w:rsidRPr="00AB1FE4" w:rsidRDefault="00E638BB" w:rsidP="00E638BB">
      <w:pPr>
        <w:pStyle w:val="Textonotapie"/>
        <w:jc w:val="both"/>
        <w:rPr>
          <w:rFonts w:ascii="Arial" w:hAnsi="Arial" w:cs="Arial"/>
          <w:i/>
        </w:rPr>
      </w:pPr>
      <w:r w:rsidRPr="00AB1FE4">
        <w:rPr>
          <w:rFonts w:ascii="Arial" w:hAnsi="Arial" w:cs="Arial"/>
          <w:i/>
        </w:rPr>
        <w:t>I Traslación de dominio: Serán requisitados y presentados por el fedatario correspondiente conteniendo los siguientes datos:</w:t>
      </w:r>
    </w:p>
    <w:p w14:paraId="22D31A2C" w14:textId="77777777" w:rsidR="00E638BB" w:rsidRPr="00AB1FE4" w:rsidRDefault="00E638BB" w:rsidP="00E638BB">
      <w:pPr>
        <w:pStyle w:val="Textonotapie"/>
        <w:jc w:val="both"/>
        <w:rPr>
          <w:rFonts w:ascii="Arial" w:hAnsi="Arial" w:cs="Arial"/>
          <w:i/>
        </w:rPr>
      </w:pPr>
      <w:r w:rsidRPr="00AB1FE4">
        <w:rPr>
          <w:rFonts w:ascii="Arial" w:hAnsi="Arial" w:cs="Arial"/>
          <w:i/>
        </w:rPr>
        <w:t>a) Del enajenante.</w:t>
      </w:r>
    </w:p>
    <w:p w14:paraId="179FBE4A" w14:textId="77777777" w:rsidR="00E638BB" w:rsidRPr="00AB1FE4" w:rsidRDefault="00E638BB" w:rsidP="00E638BB">
      <w:pPr>
        <w:pStyle w:val="Textonotapie"/>
        <w:jc w:val="both"/>
        <w:rPr>
          <w:rFonts w:ascii="Arial" w:hAnsi="Arial" w:cs="Arial"/>
          <w:i/>
        </w:rPr>
      </w:pPr>
      <w:r w:rsidRPr="00AB1FE4">
        <w:rPr>
          <w:rFonts w:ascii="Arial" w:hAnsi="Arial" w:cs="Arial"/>
          <w:i/>
        </w:rPr>
        <w:t xml:space="preserve">b) Del </w:t>
      </w:r>
      <w:proofErr w:type="gramStart"/>
      <w:r w:rsidRPr="00AB1FE4">
        <w:rPr>
          <w:rFonts w:ascii="Arial" w:hAnsi="Arial" w:cs="Arial"/>
          <w:i/>
        </w:rPr>
        <w:t>adquirente .</w:t>
      </w:r>
      <w:proofErr w:type="gramEnd"/>
    </w:p>
    <w:p w14:paraId="6653C81D" w14:textId="77777777" w:rsidR="00E638BB" w:rsidRPr="00AB1FE4" w:rsidRDefault="00E638BB" w:rsidP="00E638BB">
      <w:pPr>
        <w:pStyle w:val="Textonotapie"/>
        <w:jc w:val="both"/>
        <w:rPr>
          <w:rFonts w:ascii="Arial" w:hAnsi="Arial" w:cs="Arial"/>
          <w:i/>
        </w:rPr>
      </w:pPr>
      <w:r w:rsidRPr="00AB1FE4">
        <w:rPr>
          <w:rFonts w:ascii="Arial" w:hAnsi="Arial" w:cs="Arial"/>
          <w:i/>
        </w:rPr>
        <w:t>c) Generales del inmueble.</w:t>
      </w:r>
    </w:p>
    <w:p w14:paraId="3730F952" w14:textId="77777777" w:rsidR="00E638BB" w:rsidRPr="00AB1FE4" w:rsidRDefault="00E638BB" w:rsidP="00E638BB">
      <w:pPr>
        <w:pStyle w:val="Textonotapie"/>
        <w:jc w:val="both"/>
        <w:rPr>
          <w:rFonts w:ascii="Arial" w:hAnsi="Arial" w:cs="Arial"/>
          <w:i/>
        </w:rPr>
      </w:pPr>
      <w:r w:rsidRPr="00AB1FE4">
        <w:rPr>
          <w:rFonts w:ascii="Arial" w:hAnsi="Arial" w:cs="Arial"/>
          <w:i/>
        </w:rPr>
        <w:t>d) De la fracción restante en caso de ventas parciales.</w:t>
      </w:r>
    </w:p>
    <w:p w14:paraId="6CD99122" w14:textId="77777777" w:rsidR="00E638BB" w:rsidRPr="00AB1FE4" w:rsidRDefault="00E638BB" w:rsidP="00E638BB">
      <w:pPr>
        <w:pStyle w:val="Textonotapie"/>
        <w:jc w:val="both"/>
        <w:rPr>
          <w:rFonts w:ascii="Arial" w:hAnsi="Arial" w:cs="Arial"/>
          <w:i/>
        </w:rPr>
      </w:pPr>
      <w:r w:rsidRPr="00AB1FE4">
        <w:rPr>
          <w:rFonts w:ascii="Arial" w:hAnsi="Arial" w:cs="Arial"/>
          <w:i/>
        </w:rPr>
        <w:t>e) Autorización del fedatario.</w:t>
      </w:r>
    </w:p>
    <w:p w14:paraId="71A1B717" w14:textId="77777777" w:rsidR="00E638BB" w:rsidRPr="00AB1FE4" w:rsidRDefault="00E638BB" w:rsidP="00E638BB">
      <w:pPr>
        <w:pStyle w:val="Textonotapie"/>
        <w:jc w:val="both"/>
        <w:rPr>
          <w:rFonts w:ascii="Arial" w:hAnsi="Arial" w:cs="Arial"/>
          <w:i/>
        </w:rPr>
      </w:pPr>
      <w:r w:rsidRPr="00AB1FE4">
        <w:rPr>
          <w:rFonts w:ascii="Arial" w:hAnsi="Arial" w:cs="Arial"/>
          <w:i/>
        </w:rPr>
        <w:t>II Manifestación de rectificaciones de valor espontáneo: Serán requisitadas por la Unidad de Catastro y/o Recaudaciones de Rentas de la Secretaría de Finanzas del Gobierno del Estado, las cuales deberán contener los siguientes datos:</w:t>
      </w:r>
    </w:p>
    <w:p w14:paraId="63F9E35E" w14:textId="77777777" w:rsidR="00E638BB" w:rsidRPr="00AB1FE4" w:rsidRDefault="00E638BB" w:rsidP="00E638BB">
      <w:pPr>
        <w:pStyle w:val="Textonotapie"/>
        <w:jc w:val="both"/>
        <w:rPr>
          <w:rFonts w:ascii="Arial" w:hAnsi="Arial" w:cs="Arial"/>
          <w:i/>
        </w:rPr>
      </w:pPr>
      <w:r w:rsidRPr="00AB1FE4">
        <w:rPr>
          <w:rFonts w:ascii="Arial" w:hAnsi="Arial" w:cs="Arial"/>
          <w:i/>
        </w:rPr>
        <w:t>a) Del o los propietarios.</w:t>
      </w:r>
    </w:p>
    <w:p w14:paraId="04946A4A" w14:textId="77777777" w:rsidR="00E638BB" w:rsidRPr="00AB1FE4" w:rsidRDefault="00E638BB" w:rsidP="00E638BB">
      <w:pPr>
        <w:pStyle w:val="Textonotapie"/>
        <w:jc w:val="both"/>
        <w:rPr>
          <w:rFonts w:ascii="Arial" w:hAnsi="Arial" w:cs="Arial"/>
          <w:i/>
        </w:rPr>
      </w:pPr>
      <w:r w:rsidRPr="00AB1FE4">
        <w:rPr>
          <w:rFonts w:ascii="Arial" w:hAnsi="Arial" w:cs="Arial"/>
          <w:i/>
        </w:rPr>
        <w:t>b) De localización del inmueble.</w:t>
      </w:r>
    </w:p>
    <w:p w14:paraId="4CBE43E4" w14:textId="77777777" w:rsidR="00E638BB" w:rsidRPr="00AB1FE4" w:rsidRDefault="00E638BB" w:rsidP="00E638BB">
      <w:pPr>
        <w:pStyle w:val="Textonotapie"/>
        <w:jc w:val="both"/>
        <w:rPr>
          <w:rFonts w:ascii="Arial" w:hAnsi="Arial" w:cs="Arial"/>
          <w:i/>
        </w:rPr>
      </w:pPr>
      <w:r w:rsidRPr="00AB1FE4">
        <w:rPr>
          <w:rFonts w:ascii="Arial" w:hAnsi="Arial" w:cs="Arial"/>
          <w:i/>
        </w:rPr>
        <w:t>c) Firma del propietario o representante legal.</w:t>
      </w:r>
    </w:p>
    <w:p w14:paraId="3A3F65B5" w14:textId="77777777" w:rsidR="00E638BB" w:rsidRPr="00AB1FE4" w:rsidRDefault="00E638BB" w:rsidP="00E638BB">
      <w:pPr>
        <w:pStyle w:val="Textonotapie"/>
        <w:jc w:val="both"/>
        <w:rPr>
          <w:rFonts w:ascii="Arial" w:hAnsi="Arial" w:cs="Arial"/>
          <w:i/>
        </w:rPr>
      </w:pPr>
      <w:r w:rsidRPr="00AB1FE4">
        <w:rPr>
          <w:rFonts w:ascii="Arial" w:hAnsi="Arial" w:cs="Arial"/>
          <w:i/>
        </w:rPr>
        <w:t>d) Croquis de localización del inmueble.</w:t>
      </w:r>
    </w:p>
    <w:p w14:paraId="2D2DAF77" w14:textId="77777777" w:rsidR="00E638BB" w:rsidRPr="00AB1FE4" w:rsidRDefault="00E638BB" w:rsidP="00E638BB">
      <w:pPr>
        <w:pStyle w:val="Textonotapie"/>
        <w:jc w:val="both"/>
        <w:rPr>
          <w:rFonts w:ascii="Arial" w:hAnsi="Arial" w:cs="Arial"/>
          <w:i/>
        </w:rPr>
      </w:pPr>
      <w:r w:rsidRPr="00AB1FE4">
        <w:rPr>
          <w:rFonts w:ascii="Arial" w:hAnsi="Arial" w:cs="Arial"/>
          <w:i/>
        </w:rPr>
        <w:t xml:space="preserve">Las que se refieren a rectificaciones de medidas, vendrán acompañadas de datos y planos firmados por el interesado que las aclare y justifique a juicio de la Secretaría de Finanzas del Gobierno del Estado, conteniendo las anotaciones a que se refiere el artículo 17 de este reglamento. </w:t>
      </w:r>
    </w:p>
    <w:p w14:paraId="4CB1327C" w14:textId="77777777" w:rsidR="00E638BB" w:rsidRPr="00AB1FE4" w:rsidRDefault="00E638BB" w:rsidP="00E638BB">
      <w:pPr>
        <w:pStyle w:val="Textonotapie"/>
        <w:jc w:val="both"/>
        <w:rPr>
          <w:rFonts w:ascii="Arial" w:hAnsi="Arial" w:cs="Arial"/>
          <w:i/>
          <w:lang w:val="es-ES"/>
        </w:rPr>
      </w:pPr>
      <w:r w:rsidRPr="00AB1FE4">
        <w:rPr>
          <w:rFonts w:ascii="Arial" w:hAnsi="Arial" w:cs="Arial"/>
          <w:i/>
        </w:rPr>
        <w:t>Si la rectificación de medidas revela superficie excedente de la inscrita en los registros catastrales mayor a un 20%, este excedente se considerará como superficie oculta a la acción fiscal y por lo tanto, sujeta a las anotaciones que esta</w:t>
      </w:r>
      <w:r>
        <w:rPr>
          <w:rFonts w:ascii="Arial" w:hAnsi="Arial" w:cs="Arial"/>
          <w:i/>
        </w:rPr>
        <w:t>blezcan las leyes en la materia”</w:t>
      </w:r>
    </w:p>
  </w:footnote>
  <w:footnote w:id="7">
    <w:p w14:paraId="538C5519" w14:textId="30909C08" w:rsidR="00593CF1" w:rsidRPr="00593CF1" w:rsidRDefault="00593CF1" w:rsidP="00593CF1">
      <w:pPr>
        <w:pStyle w:val="Textonotapie"/>
        <w:jc w:val="both"/>
        <w:rPr>
          <w:rFonts w:ascii="Arial" w:hAnsi="Arial" w:cs="Arial"/>
          <w:i/>
        </w:rPr>
      </w:pPr>
      <w:r w:rsidRPr="00593CF1">
        <w:rPr>
          <w:rStyle w:val="Refdenotaalpie"/>
          <w:rFonts w:ascii="Arial" w:hAnsi="Arial" w:cs="Arial"/>
          <w:i/>
        </w:rPr>
        <w:footnoteRef/>
      </w:r>
      <w:r w:rsidRPr="00593CF1">
        <w:rPr>
          <w:rFonts w:ascii="Arial" w:hAnsi="Arial" w:cs="Arial"/>
          <w:i/>
        </w:rPr>
        <w:t xml:space="preserve"> </w:t>
      </w:r>
      <w:r w:rsidRPr="00593CF1">
        <w:rPr>
          <w:rFonts w:ascii="Arial" w:hAnsi="Arial" w:cs="Arial"/>
          <w:b/>
          <w:bCs/>
          <w:i/>
        </w:rPr>
        <w:t xml:space="preserve">ARTÍCULO 17.- </w:t>
      </w:r>
      <w:r w:rsidRPr="00593CF1">
        <w:rPr>
          <w:rFonts w:ascii="Arial" w:hAnsi="Arial" w:cs="Arial"/>
          <w:i/>
        </w:rPr>
        <w:t>El Instituto Catastral del Estado de Oaxaca tiene las siguientes atribuciones:</w:t>
      </w:r>
    </w:p>
    <w:p w14:paraId="04C5AE15" w14:textId="77777777" w:rsidR="00593CF1" w:rsidRPr="00593CF1" w:rsidRDefault="00593CF1" w:rsidP="00593CF1">
      <w:pPr>
        <w:autoSpaceDE w:val="0"/>
        <w:autoSpaceDN w:val="0"/>
        <w:adjustRightInd w:val="0"/>
        <w:spacing w:after="0" w:line="240" w:lineRule="auto"/>
        <w:jc w:val="both"/>
        <w:rPr>
          <w:rFonts w:ascii="Arial" w:hAnsi="Arial" w:cs="Arial"/>
          <w:i/>
          <w:color w:val="000000"/>
          <w:sz w:val="20"/>
          <w:szCs w:val="20"/>
          <w:lang w:val="es-ES"/>
        </w:rPr>
      </w:pPr>
      <w:r w:rsidRPr="00593CF1">
        <w:rPr>
          <w:rFonts w:ascii="Arial" w:hAnsi="Arial" w:cs="Arial"/>
          <w:i/>
          <w:color w:val="000000"/>
          <w:sz w:val="20"/>
          <w:szCs w:val="20"/>
          <w:lang w:val="es-ES"/>
        </w:rPr>
        <w:t xml:space="preserve">X. Inscribir cuando así proceda los bienes inmuebles en el Padrón Catastral y mantenerlo actualizado, como lo disponen los artículos referentes en esta Ley y su Reglamento. </w:t>
      </w:r>
    </w:p>
    <w:p w14:paraId="36BEAC75" w14:textId="2EB4031E" w:rsidR="00593CF1" w:rsidRPr="00593CF1" w:rsidRDefault="00593CF1" w:rsidP="00593CF1">
      <w:pPr>
        <w:pStyle w:val="Textonotapie"/>
        <w:jc w:val="both"/>
        <w:rPr>
          <w:rFonts w:ascii="Arial" w:hAnsi="Arial" w:cs="Arial"/>
          <w:i/>
        </w:rPr>
      </w:pPr>
      <w:r w:rsidRPr="00593CF1">
        <w:rPr>
          <w:rFonts w:ascii="Arial" w:hAnsi="Arial" w:cs="Arial"/>
          <w:i/>
          <w:color w:val="000000"/>
          <w:lang w:val="es-ES"/>
        </w:rPr>
        <w:t>XI. Registrar oportunamente los cambios que se operen en la propiedad inmueble y que por cualquier concepto alteren los datos contenidos en los registros catastrales.</w:t>
      </w:r>
    </w:p>
  </w:footnote>
  <w:footnote w:id="8">
    <w:p w14:paraId="2CE15559" w14:textId="395DDFF6" w:rsidR="00244F36" w:rsidRPr="00244F36" w:rsidRDefault="00244F36" w:rsidP="00244F36">
      <w:pPr>
        <w:pStyle w:val="Default"/>
        <w:jc w:val="both"/>
        <w:rPr>
          <w:i/>
          <w:sz w:val="20"/>
          <w:szCs w:val="20"/>
          <w:lang w:val="es-ES"/>
        </w:rPr>
      </w:pPr>
      <w:r w:rsidRPr="00244F36">
        <w:rPr>
          <w:rStyle w:val="Refdenotaalpie"/>
          <w:i/>
          <w:sz w:val="20"/>
          <w:szCs w:val="20"/>
        </w:rPr>
        <w:footnoteRef/>
      </w:r>
      <w:r w:rsidRPr="00244F36">
        <w:rPr>
          <w:i/>
          <w:sz w:val="20"/>
          <w:szCs w:val="20"/>
        </w:rPr>
        <w:t xml:space="preserve"> </w:t>
      </w:r>
      <w:r>
        <w:rPr>
          <w:i/>
          <w:sz w:val="20"/>
          <w:szCs w:val="20"/>
        </w:rPr>
        <w:t>“</w:t>
      </w:r>
      <w:r w:rsidRPr="00244F36">
        <w:rPr>
          <w:b/>
          <w:bCs/>
          <w:i/>
          <w:sz w:val="20"/>
          <w:szCs w:val="20"/>
          <w:lang w:val="es-ES"/>
        </w:rPr>
        <w:t xml:space="preserve">ARTÍCULO 51.- </w:t>
      </w:r>
      <w:r w:rsidRPr="00244F36">
        <w:rPr>
          <w:i/>
          <w:sz w:val="20"/>
          <w:szCs w:val="20"/>
          <w:lang w:val="es-ES"/>
        </w:rPr>
        <w:t xml:space="preserve">Los propietarios y poseedores de bienes inmuebles tienen derecho a: </w:t>
      </w:r>
    </w:p>
    <w:p w14:paraId="5B941358"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I. Que se les reciban las manifestaciones, avisos, solicitudes y escritos relacionados con las funciones y atribuciones propias del Instituto Catastral del Estado de Oaxaca y éstas sean atendidas o contestadas en un término no mayor de ocho días hábiles. </w:t>
      </w:r>
    </w:p>
    <w:p w14:paraId="5AB6F2E8"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II. Obtener un avalúo apegado a la presente Ley, al instructivo técnico de valuación, a la zonificación catastral y a la tabla de valores unitarios de suelo y construcciones aprobados por el Congreso del Estado; </w:t>
      </w:r>
    </w:p>
    <w:p w14:paraId="37918340"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III. Solicitar a su costa la medición de su propiedad o posesión. </w:t>
      </w:r>
    </w:p>
    <w:p w14:paraId="64650756"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IV. Solicitar a su costa copias certificadas de los documentos catastrales. </w:t>
      </w:r>
    </w:p>
    <w:p w14:paraId="12D76D53"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V. Interponer los recursos previstos en esta Ley. </w:t>
      </w:r>
    </w:p>
    <w:p w14:paraId="6D89BF06" w14:textId="7777777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VI. Conocer los resultados de los avalúos que señala el artículo 17 de esta Ley; y </w:t>
      </w:r>
    </w:p>
    <w:p w14:paraId="58723A05" w14:textId="63B478F7" w:rsidR="00244F36" w:rsidRPr="00244F36" w:rsidRDefault="00244F36" w:rsidP="00244F36">
      <w:pPr>
        <w:autoSpaceDE w:val="0"/>
        <w:autoSpaceDN w:val="0"/>
        <w:adjustRightInd w:val="0"/>
        <w:spacing w:after="0" w:line="240" w:lineRule="auto"/>
        <w:jc w:val="both"/>
        <w:rPr>
          <w:rFonts w:ascii="Arial" w:hAnsi="Arial" w:cs="Arial"/>
          <w:i/>
          <w:color w:val="000000"/>
          <w:sz w:val="20"/>
          <w:szCs w:val="20"/>
          <w:lang w:val="es-ES"/>
        </w:rPr>
      </w:pPr>
      <w:r w:rsidRPr="00244F36">
        <w:rPr>
          <w:rFonts w:ascii="Arial" w:hAnsi="Arial" w:cs="Arial"/>
          <w:i/>
          <w:color w:val="000000"/>
          <w:sz w:val="20"/>
          <w:szCs w:val="20"/>
          <w:lang w:val="es-ES"/>
        </w:rPr>
        <w:t xml:space="preserve">VII. Enterarse de los requisitos y formatos que para cada tipo de trámite catastral se requieren, así como de los derechos e impuestos que se generen por cada uno de ellos; </w:t>
      </w:r>
    </w:p>
    <w:p w14:paraId="2BF8E491" w14:textId="346AEACD" w:rsidR="00244F36" w:rsidRPr="00244F36" w:rsidRDefault="00244F36" w:rsidP="00244F36">
      <w:pPr>
        <w:pStyle w:val="Textonotapie"/>
        <w:jc w:val="both"/>
        <w:rPr>
          <w:i/>
        </w:rPr>
      </w:pPr>
      <w:r w:rsidRPr="00244F36">
        <w:rPr>
          <w:rFonts w:ascii="Arial" w:hAnsi="Arial" w:cs="Arial"/>
          <w:i/>
          <w:color w:val="000000"/>
          <w:lang w:val="es-ES"/>
        </w:rPr>
        <w:t>VIII. Los demás que establezcan esta Ley y su Reglamento.</w:t>
      </w:r>
      <w:r>
        <w:rPr>
          <w:rFonts w:ascii="Arial" w:hAnsi="Arial" w:cs="Arial"/>
          <w:i/>
          <w:color w:val="000000"/>
          <w:lang w:val="es-E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9662954" w:rsidR="00F51BD5" w:rsidRDefault="00BD3B3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F51BD5">
          <w:fldChar w:fldCharType="begin"/>
        </w:r>
        <w:r w:rsidR="00F51BD5">
          <w:instrText>PAGE   \* MERGEFORMAT</w:instrText>
        </w:r>
        <w:r w:rsidR="00F51BD5">
          <w:fldChar w:fldCharType="separate"/>
        </w:r>
        <w:r w:rsidRPr="00BD3B39">
          <w:rPr>
            <w:noProof/>
            <w:lang w:val="es-ES"/>
          </w:rPr>
          <w:t>26</w:t>
        </w:r>
        <w:r w:rsidR="00F51BD5">
          <w:fldChar w:fldCharType="end"/>
        </w:r>
      </w:p>
    </w:sdtContent>
  </w:sdt>
  <w:p w14:paraId="0E68208C" w14:textId="77777777" w:rsidR="00F51BD5" w:rsidRDefault="00F51B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1252C47" w:rsidR="00F51BD5" w:rsidRDefault="00BD3B3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51BD5">
          <w:fldChar w:fldCharType="begin"/>
        </w:r>
        <w:r w:rsidR="00F51BD5">
          <w:instrText>PAGE   \* MERGEFORMAT</w:instrText>
        </w:r>
        <w:r w:rsidR="00F51BD5">
          <w:fldChar w:fldCharType="separate"/>
        </w:r>
        <w:r w:rsidRPr="00BD3B39">
          <w:rPr>
            <w:noProof/>
            <w:lang w:val="es-ES"/>
          </w:rPr>
          <w:t>25</w:t>
        </w:r>
        <w:r w:rsidR="00F51BD5">
          <w:fldChar w:fldCharType="end"/>
        </w:r>
      </w:sdtContent>
    </w:sdt>
  </w:p>
  <w:p w14:paraId="51E22156" w14:textId="5AD998E7" w:rsidR="00F51BD5" w:rsidRDefault="00110A1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9ADF63A" wp14:editId="73D2036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1CBE65C" w14:textId="77777777" w:rsidR="00110A19" w:rsidRDefault="00110A19" w:rsidP="00110A1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ADF63A"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61CBE65C" w14:textId="77777777" w:rsidR="00110A19" w:rsidRDefault="00110A19" w:rsidP="00110A1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F51BD5"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51BD5" w:rsidRDefault="00BD3B3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932BCE"/>
    <w:multiLevelType w:val="hybridMultilevel"/>
    <w:tmpl w:val="1CA8B338"/>
    <w:lvl w:ilvl="0" w:tplc="1CD4514A">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569"/>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1CA"/>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337"/>
    <w:rsid w:val="00073450"/>
    <w:rsid w:val="000737BF"/>
    <w:rsid w:val="000741EC"/>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91F"/>
    <w:rsid w:val="00085F74"/>
    <w:rsid w:val="00087470"/>
    <w:rsid w:val="000875DB"/>
    <w:rsid w:val="000900BD"/>
    <w:rsid w:val="000904A5"/>
    <w:rsid w:val="0009077C"/>
    <w:rsid w:val="00090D7D"/>
    <w:rsid w:val="00090EB4"/>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EBE"/>
    <w:rsid w:val="000C5414"/>
    <w:rsid w:val="000C5BCE"/>
    <w:rsid w:val="000C5DC1"/>
    <w:rsid w:val="000C6547"/>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B83"/>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1FE"/>
    <w:rsid w:val="001002F5"/>
    <w:rsid w:val="001019F2"/>
    <w:rsid w:val="001025E5"/>
    <w:rsid w:val="00102AFD"/>
    <w:rsid w:val="001041F6"/>
    <w:rsid w:val="0010644A"/>
    <w:rsid w:val="00106584"/>
    <w:rsid w:val="0010719A"/>
    <w:rsid w:val="001108F3"/>
    <w:rsid w:val="00110A19"/>
    <w:rsid w:val="00110B09"/>
    <w:rsid w:val="00110C32"/>
    <w:rsid w:val="00110E02"/>
    <w:rsid w:val="00111BFC"/>
    <w:rsid w:val="00111CBB"/>
    <w:rsid w:val="0011210D"/>
    <w:rsid w:val="00112765"/>
    <w:rsid w:val="00112BF7"/>
    <w:rsid w:val="00112D43"/>
    <w:rsid w:val="00113361"/>
    <w:rsid w:val="00113948"/>
    <w:rsid w:val="00113A46"/>
    <w:rsid w:val="00114AC5"/>
    <w:rsid w:val="001158C3"/>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456A"/>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963"/>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5E2B"/>
    <w:rsid w:val="00186701"/>
    <w:rsid w:val="00186FB3"/>
    <w:rsid w:val="001872FD"/>
    <w:rsid w:val="0018765B"/>
    <w:rsid w:val="0019003B"/>
    <w:rsid w:val="0019076C"/>
    <w:rsid w:val="00192287"/>
    <w:rsid w:val="001923AE"/>
    <w:rsid w:val="001924B2"/>
    <w:rsid w:val="00193379"/>
    <w:rsid w:val="00194B7B"/>
    <w:rsid w:val="001951A3"/>
    <w:rsid w:val="00195583"/>
    <w:rsid w:val="00196FE7"/>
    <w:rsid w:val="0019709C"/>
    <w:rsid w:val="001973A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F5"/>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1918"/>
    <w:rsid w:val="001D31A6"/>
    <w:rsid w:val="001D3B81"/>
    <w:rsid w:val="001D40CC"/>
    <w:rsid w:val="001D4D61"/>
    <w:rsid w:val="001D4D8C"/>
    <w:rsid w:val="001D5282"/>
    <w:rsid w:val="001D529D"/>
    <w:rsid w:val="001D577C"/>
    <w:rsid w:val="001D632A"/>
    <w:rsid w:val="001D694C"/>
    <w:rsid w:val="001D6E22"/>
    <w:rsid w:val="001D754A"/>
    <w:rsid w:val="001E288A"/>
    <w:rsid w:val="001E2A02"/>
    <w:rsid w:val="001E2B84"/>
    <w:rsid w:val="001E338B"/>
    <w:rsid w:val="001E3B11"/>
    <w:rsid w:val="001E4C02"/>
    <w:rsid w:val="001E65E8"/>
    <w:rsid w:val="001E6AE5"/>
    <w:rsid w:val="001E7020"/>
    <w:rsid w:val="001E71FD"/>
    <w:rsid w:val="001E7522"/>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45E"/>
    <w:rsid w:val="0021188E"/>
    <w:rsid w:val="00212E08"/>
    <w:rsid w:val="0021302A"/>
    <w:rsid w:val="0021361A"/>
    <w:rsid w:val="00213783"/>
    <w:rsid w:val="0021462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B"/>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4F36"/>
    <w:rsid w:val="002450A8"/>
    <w:rsid w:val="0024549A"/>
    <w:rsid w:val="00245669"/>
    <w:rsid w:val="002458C0"/>
    <w:rsid w:val="00245F41"/>
    <w:rsid w:val="002460C7"/>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4F7"/>
    <w:rsid w:val="0027275E"/>
    <w:rsid w:val="00272A7D"/>
    <w:rsid w:val="00273171"/>
    <w:rsid w:val="00273266"/>
    <w:rsid w:val="00273CC9"/>
    <w:rsid w:val="002748AA"/>
    <w:rsid w:val="00275418"/>
    <w:rsid w:val="002805AC"/>
    <w:rsid w:val="00280919"/>
    <w:rsid w:val="00281661"/>
    <w:rsid w:val="00282C81"/>
    <w:rsid w:val="00283338"/>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02D"/>
    <w:rsid w:val="0029713B"/>
    <w:rsid w:val="00297C79"/>
    <w:rsid w:val="002A0081"/>
    <w:rsid w:val="002A0713"/>
    <w:rsid w:val="002A101F"/>
    <w:rsid w:val="002A18E6"/>
    <w:rsid w:val="002A1AAC"/>
    <w:rsid w:val="002A27D4"/>
    <w:rsid w:val="002A2985"/>
    <w:rsid w:val="002A4088"/>
    <w:rsid w:val="002A4403"/>
    <w:rsid w:val="002A475A"/>
    <w:rsid w:val="002A4AD1"/>
    <w:rsid w:val="002A4AE9"/>
    <w:rsid w:val="002A4B47"/>
    <w:rsid w:val="002A4DEA"/>
    <w:rsid w:val="002A5591"/>
    <w:rsid w:val="002A5750"/>
    <w:rsid w:val="002A620D"/>
    <w:rsid w:val="002A657D"/>
    <w:rsid w:val="002A6B3D"/>
    <w:rsid w:val="002A6E86"/>
    <w:rsid w:val="002A6EF0"/>
    <w:rsid w:val="002A75FA"/>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B14"/>
    <w:rsid w:val="002C2259"/>
    <w:rsid w:val="002C3470"/>
    <w:rsid w:val="002C348A"/>
    <w:rsid w:val="002C41D3"/>
    <w:rsid w:val="002C4419"/>
    <w:rsid w:val="002C4824"/>
    <w:rsid w:val="002C4BAD"/>
    <w:rsid w:val="002C509D"/>
    <w:rsid w:val="002C5540"/>
    <w:rsid w:val="002C62F6"/>
    <w:rsid w:val="002C6CED"/>
    <w:rsid w:val="002C6F55"/>
    <w:rsid w:val="002D0290"/>
    <w:rsid w:val="002D0C9B"/>
    <w:rsid w:val="002D1979"/>
    <w:rsid w:val="002D268B"/>
    <w:rsid w:val="002D2CEE"/>
    <w:rsid w:val="002D3323"/>
    <w:rsid w:val="002D3701"/>
    <w:rsid w:val="002D3CF1"/>
    <w:rsid w:val="002D3F79"/>
    <w:rsid w:val="002D413F"/>
    <w:rsid w:val="002D4B99"/>
    <w:rsid w:val="002D6E4D"/>
    <w:rsid w:val="002D724E"/>
    <w:rsid w:val="002D7BA0"/>
    <w:rsid w:val="002E1143"/>
    <w:rsid w:val="002E1666"/>
    <w:rsid w:val="002E3358"/>
    <w:rsid w:val="002E3511"/>
    <w:rsid w:val="002E3777"/>
    <w:rsid w:val="002E3B43"/>
    <w:rsid w:val="002E3D1C"/>
    <w:rsid w:val="002E483F"/>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2CDE"/>
    <w:rsid w:val="0030330D"/>
    <w:rsid w:val="00304999"/>
    <w:rsid w:val="00304B56"/>
    <w:rsid w:val="00304F25"/>
    <w:rsid w:val="003056B2"/>
    <w:rsid w:val="00305D48"/>
    <w:rsid w:val="00306940"/>
    <w:rsid w:val="00307353"/>
    <w:rsid w:val="00307E06"/>
    <w:rsid w:val="0031096E"/>
    <w:rsid w:val="00311560"/>
    <w:rsid w:val="00311708"/>
    <w:rsid w:val="00311BB1"/>
    <w:rsid w:val="00312470"/>
    <w:rsid w:val="0031285C"/>
    <w:rsid w:val="00313120"/>
    <w:rsid w:val="00313A44"/>
    <w:rsid w:val="003150CD"/>
    <w:rsid w:val="003154AB"/>
    <w:rsid w:val="003155CF"/>
    <w:rsid w:val="00315BA3"/>
    <w:rsid w:val="00316707"/>
    <w:rsid w:val="003178DB"/>
    <w:rsid w:val="00317B07"/>
    <w:rsid w:val="00317BDE"/>
    <w:rsid w:val="00317DC3"/>
    <w:rsid w:val="00320085"/>
    <w:rsid w:val="0032088F"/>
    <w:rsid w:val="00321643"/>
    <w:rsid w:val="00321A91"/>
    <w:rsid w:val="00322486"/>
    <w:rsid w:val="00323295"/>
    <w:rsid w:val="00323848"/>
    <w:rsid w:val="00323FF5"/>
    <w:rsid w:val="0032464C"/>
    <w:rsid w:val="00324B78"/>
    <w:rsid w:val="003253CA"/>
    <w:rsid w:val="00326D5E"/>
    <w:rsid w:val="00327A8E"/>
    <w:rsid w:val="00327A92"/>
    <w:rsid w:val="00327BDD"/>
    <w:rsid w:val="00330856"/>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9D"/>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77"/>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422E"/>
    <w:rsid w:val="004051E8"/>
    <w:rsid w:val="00405E13"/>
    <w:rsid w:val="00406284"/>
    <w:rsid w:val="00406A7E"/>
    <w:rsid w:val="00406B2A"/>
    <w:rsid w:val="00406B80"/>
    <w:rsid w:val="00406C21"/>
    <w:rsid w:val="00406FC8"/>
    <w:rsid w:val="0040758D"/>
    <w:rsid w:val="00407734"/>
    <w:rsid w:val="00407A5C"/>
    <w:rsid w:val="00410A80"/>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4AE1"/>
    <w:rsid w:val="00436768"/>
    <w:rsid w:val="00436B6F"/>
    <w:rsid w:val="00437D5A"/>
    <w:rsid w:val="0044044F"/>
    <w:rsid w:val="00441DE8"/>
    <w:rsid w:val="00442F67"/>
    <w:rsid w:val="00442FBB"/>
    <w:rsid w:val="00443487"/>
    <w:rsid w:val="0044467E"/>
    <w:rsid w:val="0044496C"/>
    <w:rsid w:val="00444F46"/>
    <w:rsid w:val="00445003"/>
    <w:rsid w:val="0044520F"/>
    <w:rsid w:val="004468EC"/>
    <w:rsid w:val="00446A05"/>
    <w:rsid w:val="00446B69"/>
    <w:rsid w:val="004502C5"/>
    <w:rsid w:val="004509CE"/>
    <w:rsid w:val="004512C4"/>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27A3"/>
    <w:rsid w:val="00483B0E"/>
    <w:rsid w:val="00484AE9"/>
    <w:rsid w:val="00485508"/>
    <w:rsid w:val="0048659E"/>
    <w:rsid w:val="00486775"/>
    <w:rsid w:val="004874A4"/>
    <w:rsid w:val="00491E99"/>
    <w:rsid w:val="004929E7"/>
    <w:rsid w:val="0049318A"/>
    <w:rsid w:val="00493A5B"/>
    <w:rsid w:val="00494722"/>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C48"/>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AF8"/>
    <w:rsid w:val="00526DC4"/>
    <w:rsid w:val="005274E0"/>
    <w:rsid w:val="00527CBA"/>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4DF"/>
    <w:rsid w:val="0054479C"/>
    <w:rsid w:val="00544E43"/>
    <w:rsid w:val="00546E22"/>
    <w:rsid w:val="00547361"/>
    <w:rsid w:val="00547737"/>
    <w:rsid w:val="00547A16"/>
    <w:rsid w:val="0055007B"/>
    <w:rsid w:val="00551154"/>
    <w:rsid w:val="005515FC"/>
    <w:rsid w:val="005522CE"/>
    <w:rsid w:val="00552ACC"/>
    <w:rsid w:val="00553082"/>
    <w:rsid w:val="00553578"/>
    <w:rsid w:val="005536D7"/>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0ED0"/>
    <w:rsid w:val="00561AFE"/>
    <w:rsid w:val="00561B8F"/>
    <w:rsid w:val="0056210B"/>
    <w:rsid w:val="00562D03"/>
    <w:rsid w:val="005632DA"/>
    <w:rsid w:val="00563692"/>
    <w:rsid w:val="00563B9C"/>
    <w:rsid w:val="00564488"/>
    <w:rsid w:val="0056508D"/>
    <w:rsid w:val="00567CCF"/>
    <w:rsid w:val="00570608"/>
    <w:rsid w:val="005706A5"/>
    <w:rsid w:val="005707BD"/>
    <w:rsid w:val="00570A3B"/>
    <w:rsid w:val="0057187A"/>
    <w:rsid w:val="005720EB"/>
    <w:rsid w:val="0057273D"/>
    <w:rsid w:val="005731B2"/>
    <w:rsid w:val="00573350"/>
    <w:rsid w:val="00573D28"/>
    <w:rsid w:val="00573E34"/>
    <w:rsid w:val="005740D5"/>
    <w:rsid w:val="005740DA"/>
    <w:rsid w:val="00574637"/>
    <w:rsid w:val="0057522D"/>
    <w:rsid w:val="00577656"/>
    <w:rsid w:val="0057772B"/>
    <w:rsid w:val="00580176"/>
    <w:rsid w:val="005802AF"/>
    <w:rsid w:val="00581327"/>
    <w:rsid w:val="005817AB"/>
    <w:rsid w:val="00582C57"/>
    <w:rsid w:val="005839F9"/>
    <w:rsid w:val="00584BAB"/>
    <w:rsid w:val="00584EFB"/>
    <w:rsid w:val="0058621D"/>
    <w:rsid w:val="00586D72"/>
    <w:rsid w:val="00586E4F"/>
    <w:rsid w:val="00587330"/>
    <w:rsid w:val="00587984"/>
    <w:rsid w:val="00587A84"/>
    <w:rsid w:val="00590AF7"/>
    <w:rsid w:val="00592360"/>
    <w:rsid w:val="00592B89"/>
    <w:rsid w:val="00593333"/>
    <w:rsid w:val="00593CF1"/>
    <w:rsid w:val="005960D3"/>
    <w:rsid w:val="005973A7"/>
    <w:rsid w:val="005A0825"/>
    <w:rsid w:val="005A09A3"/>
    <w:rsid w:val="005A1FEE"/>
    <w:rsid w:val="005A273F"/>
    <w:rsid w:val="005A3583"/>
    <w:rsid w:val="005A4118"/>
    <w:rsid w:val="005A453F"/>
    <w:rsid w:val="005A493F"/>
    <w:rsid w:val="005A61E7"/>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C7F55"/>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B15"/>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268"/>
    <w:rsid w:val="006027AB"/>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788"/>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0FEA"/>
    <w:rsid w:val="006214D7"/>
    <w:rsid w:val="00621B71"/>
    <w:rsid w:val="00622BEF"/>
    <w:rsid w:val="0062386E"/>
    <w:rsid w:val="00624802"/>
    <w:rsid w:val="00624F20"/>
    <w:rsid w:val="00624F83"/>
    <w:rsid w:val="0062511B"/>
    <w:rsid w:val="00625B55"/>
    <w:rsid w:val="00625F4E"/>
    <w:rsid w:val="006279BE"/>
    <w:rsid w:val="006304BB"/>
    <w:rsid w:val="0063071F"/>
    <w:rsid w:val="00630C62"/>
    <w:rsid w:val="00631207"/>
    <w:rsid w:val="0063273E"/>
    <w:rsid w:val="00633242"/>
    <w:rsid w:val="00633FA0"/>
    <w:rsid w:val="00634215"/>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49"/>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2DB"/>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3F7E"/>
    <w:rsid w:val="006B454E"/>
    <w:rsid w:val="006B462B"/>
    <w:rsid w:val="006B46C9"/>
    <w:rsid w:val="006B4FD6"/>
    <w:rsid w:val="006B511B"/>
    <w:rsid w:val="006B5508"/>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148"/>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486C"/>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B7D"/>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A0"/>
    <w:rsid w:val="00744DC2"/>
    <w:rsid w:val="00744E48"/>
    <w:rsid w:val="00744EED"/>
    <w:rsid w:val="00746015"/>
    <w:rsid w:val="00746730"/>
    <w:rsid w:val="00746B1B"/>
    <w:rsid w:val="00751760"/>
    <w:rsid w:val="00751950"/>
    <w:rsid w:val="00752C85"/>
    <w:rsid w:val="00752CFC"/>
    <w:rsid w:val="007551B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C02"/>
    <w:rsid w:val="007656A2"/>
    <w:rsid w:val="00766389"/>
    <w:rsid w:val="007677CD"/>
    <w:rsid w:val="00767FE0"/>
    <w:rsid w:val="00770340"/>
    <w:rsid w:val="00770536"/>
    <w:rsid w:val="00770AC5"/>
    <w:rsid w:val="007711A1"/>
    <w:rsid w:val="007713A1"/>
    <w:rsid w:val="00771AF2"/>
    <w:rsid w:val="007722CF"/>
    <w:rsid w:val="00772E06"/>
    <w:rsid w:val="00773C44"/>
    <w:rsid w:val="00774396"/>
    <w:rsid w:val="007743DD"/>
    <w:rsid w:val="007758EE"/>
    <w:rsid w:val="00775BD0"/>
    <w:rsid w:val="0077744F"/>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6C8"/>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656F"/>
    <w:rsid w:val="007C79F5"/>
    <w:rsid w:val="007C7A6B"/>
    <w:rsid w:val="007D0A0F"/>
    <w:rsid w:val="007D131D"/>
    <w:rsid w:val="007D1719"/>
    <w:rsid w:val="007D303D"/>
    <w:rsid w:val="007D3939"/>
    <w:rsid w:val="007D3BCC"/>
    <w:rsid w:val="007D3CE0"/>
    <w:rsid w:val="007D404D"/>
    <w:rsid w:val="007D45CB"/>
    <w:rsid w:val="007D4645"/>
    <w:rsid w:val="007D4B28"/>
    <w:rsid w:val="007D5692"/>
    <w:rsid w:val="007D6461"/>
    <w:rsid w:val="007D7816"/>
    <w:rsid w:val="007E1EC7"/>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638"/>
    <w:rsid w:val="00837CEF"/>
    <w:rsid w:val="00840C89"/>
    <w:rsid w:val="0084114B"/>
    <w:rsid w:val="00842756"/>
    <w:rsid w:val="00842BF3"/>
    <w:rsid w:val="008430AD"/>
    <w:rsid w:val="008433AE"/>
    <w:rsid w:val="0084355F"/>
    <w:rsid w:val="00843D17"/>
    <w:rsid w:val="00844FB5"/>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67D"/>
    <w:rsid w:val="00870822"/>
    <w:rsid w:val="0087089C"/>
    <w:rsid w:val="008709B3"/>
    <w:rsid w:val="00870DB7"/>
    <w:rsid w:val="0087135B"/>
    <w:rsid w:val="008716B7"/>
    <w:rsid w:val="00871CF9"/>
    <w:rsid w:val="008721B7"/>
    <w:rsid w:val="008728A9"/>
    <w:rsid w:val="00872D12"/>
    <w:rsid w:val="00873D60"/>
    <w:rsid w:val="008740F9"/>
    <w:rsid w:val="008750C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974F5"/>
    <w:rsid w:val="008A0BA3"/>
    <w:rsid w:val="008A12C7"/>
    <w:rsid w:val="008A23DD"/>
    <w:rsid w:val="008A249E"/>
    <w:rsid w:val="008A4EE6"/>
    <w:rsid w:val="008A6544"/>
    <w:rsid w:val="008A65C4"/>
    <w:rsid w:val="008A7EC3"/>
    <w:rsid w:val="008A7F72"/>
    <w:rsid w:val="008B0083"/>
    <w:rsid w:val="008B0AD8"/>
    <w:rsid w:val="008B0CC7"/>
    <w:rsid w:val="008B1D4F"/>
    <w:rsid w:val="008B299F"/>
    <w:rsid w:val="008B2A33"/>
    <w:rsid w:val="008B3030"/>
    <w:rsid w:val="008B32AC"/>
    <w:rsid w:val="008B33CF"/>
    <w:rsid w:val="008B43C8"/>
    <w:rsid w:val="008B458E"/>
    <w:rsid w:val="008B4EBC"/>
    <w:rsid w:val="008B5073"/>
    <w:rsid w:val="008B5200"/>
    <w:rsid w:val="008B53B4"/>
    <w:rsid w:val="008B5504"/>
    <w:rsid w:val="008B5DFE"/>
    <w:rsid w:val="008B604B"/>
    <w:rsid w:val="008B66A0"/>
    <w:rsid w:val="008B68E8"/>
    <w:rsid w:val="008B76F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56D"/>
    <w:rsid w:val="008D15EA"/>
    <w:rsid w:val="008D1EDE"/>
    <w:rsid w:val="008D32AD"/>
    <w:rsid w:val="008D3620"/>
    <w:rsid w:val="008D458F"/>
    <w:rsid w:val="008D48DE"/>
    <w:rsid w:val="008D52D9"/>
    <w:rsid w:val="008D6772"/>
    <w:rsid w:val="008D7AC6"/>
    <w:rsid w:val="008D7AD1"/>
    <w:rsid w:val="008E02E6"/>
    <w:rsid w:val="008E08A8"/>
    <w:rsid w:val="008E08D2"/>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5F6"/>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6FCE"/>
    <w:rsid w:val="00927607"/>
    <w:rsid w:val="00930319"/>
    <w:rsid w:val="00931D14"/>
    <w:rsid w:val="009322BE"/>
    <w:rsid w:val="00932FC8"/>
    <w:rsid w:val="00933060"/>
    <w:rsid w:val="00933673"/>
    <w:rsid w:val="00934178"/>
    <w:rsid w:val="00934282"/>
    <w:rsid w:val="009343B6"/>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9A6"/>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313"/>
    <w:rsid w:val="009828F5"/>
    <w:rsid w:val="009829E2"/>
    <w:rsid w:val="00983525"/>
    <w:rsid w:val="009844CE"/>
    <w:rsid w:val="00984590"/>
    <w:rsid w:val="00984F92"/>
    <w:rsid w:val="00984FB7"/>
    <w:rsid w:val="009855CB"/>
    <w:rsid w:val="00985932"/>
    <w:rsid w:val="009868FC"/>
    <w:rsid w:val="00986C11"/>
    <w:rsid w:val="00986D6A"/>
    <w:rsid w:val="00990013"/>
    <w:rsid w:val="00990D44"/>
    <w:rsid w:val="00991E94"/>
    <w:rsid w:val="00992712"/>
    <w:rsid w:val="009934A0"/>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8A8"/>
    <w:rsid w:val="009B2AE4"/>
    <w:rsid w:val="009B30D4"/>
    <w:rsid w:val="009B38A3"/>
    <w:rsid w:val="009B38C8"/>
    <w:rsid w:val="009B4E0E"/>
    <w:rsid w:val="009B5202"/>
    <w:rsid w:val="009B537A"/>
    <w:rsid w:val="009B59DA"/>
    <w:rsid w:val="009B6107"/>
    <w:rsid w:val="009B622A"/>
    <w:rsid w:val="009B6D2C"/>
    <w:rsid w:val="009C0461"/>
    <w:rsid w:val="009C16E5"/>
    <w:rsid w:val="009C24D1"/>
    <w:rsid w:val="009C25EC"/>
    <w:rsid w:val="009C3841"/>
    <w:rsid w:val="009C5ECB"/>
    <w:rsid w:val="009C607A"/>
    <w:rsid w:val="009C63B3"/>
    <w:rsid w:val="009C6929"/>
    <w:rsid w:val="009C6A52"/>
    <w:rsid w:val="009C72C2"/>
    <w:rsid w:val="009C7651"/>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7E5"/>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6B5"/>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2BC"/>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4A"/>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3D9B"/>
    <w:rsid w:val="00A8427B"/>
    <w:rsid w:val="00A84B23"/>
    <w:rsid w:val="00A84B4C"/>
    <w:rsid w:val="00A85897"/>
    <w:rsid w:val="00A86E22"/>
    <w:rsid w:val="00A87174"/>
    <w:rsid w:val="00A87279"/>
    <w:rsid w:val="00A87CB5"/>
    <w:rsid w:val="00A87E95"/>
    <w:rsid w:val="00A900FE"/>
    <w:rsid w:val="00A929CC"/>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4BCC"/>
    <w:rsid w:val="00AA4CD4"/>
    <w:rsid w:val="00AA55E0"/>
    <w:rsid w:val="00AA5828"/>
    <w:rsid w:val="00AA5BC8"/>
    <w:rsid w:val="00AA61B7"/>
    <w:rsid w:val="00AA689B"/>
    <w:rsid w:val="00AA7023"/>
    <w:rsid w:val="00AB00F1"/>
    <w:rsid w:val="00AB0CE7"/>
    <w:rsid w:val="00AB11B8"/>
    <w:rsid w:val="00AB1FE4"/>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393"/>
    <w:rsid w:val="00AF05B7"/>
    <w:rsid w:val="00AF0908"/>
    <w:rsid w:val="00AF1629"/>
    <w:rsid w:val="00AF2172"/>
    <w:rsid w:val="00AF262E"/>
    <w:rsid w:val="00AF2E1D"/>
    <w:rsid w:val="00AF3B8C"/>
    <w:rsid w:val="00AF3E80"/>
    <w:rsid w:val="00AF4A22"/>
    <w:rsid w:val="00AF4CB2"/>
    <w:rsid w:val="00AF4E0C"/>
    <w:rsid w:val="00AF4E17"/>
    <w:rsid w:val="00AF4F64"/>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2E6F"/>
    <w:rsid w:val="00B13177"/>
    <w:rsid w:val="00B13E8D"/>
    <w:rsid w:val="00B14DE2"/>
    <w:rsid w:val="00B15852"/>
    <w:rsid w:val="00B161B4"/>
    <w:rsid w:val="00B16887"/>
    <w:rsid w:val="00B176C8"/>
    <w:rsid w:val="00B20379"/>
    <w:rsid w:val="00B2074B"/>
    <w:rsid w:val="00B2104D"/>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B80"/>
    <w:rsid w:val="00B33EBC"/>
    <w:rsid w:val="00B33FC4"/>
    <w:rsid w:val="00B34E8B"/>
    <w:rsid w:val="00B372E3"/>
    <w:rsid w:val="00B37C1A"/>
    <w:rsid w:val="00B37D09"/>
    <w:rsid w:val="00B40212"/>
    <w:rsid w:val="00B409E2"/>
    <w:rsid w:val="00B40B0C"/>
    <w:rsid w:val="00B40B73"/>
    <w:rsid w:val="00B41312"/>
    <w:rsid w:val="00B417BF"/>
    <w:rsid w:val="00B42215"/>
    <w:rsid w:val="00B438BE"/>
    <w:rsid w:val="00B453AD"/>
    <w:rsid w:val="00B45776"/>
    <w:rsid w:val="00B462D1"/>
    <w:rsid w:val="00B46D1D"/>
    <w:rsid w:val="00B46F03"/>
    <w:rsid w:val="00B50446"/>
    <w:rsid w:val="00B51B10"/>
    <w:rsid w:val="00B523E5"/>
    <w:rsid w:val="00B528A3"/>
    <w:rsid w:val="00B52E31"/>
    <w:rsid w:val="00B5349D"/>
    <w:rsid w:val="00B534E9"/>
    <w:rsid w:val="00B54BDD"/>
    <w:rsid w:val="00B54ECF"/>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0C"/>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5C80"/>
    <w:rsid w:val="00B766B9"/>
    <w:rsid w:val="00B76E0C"/>
    <w:rsid w:val="00B7789B"/>
    <w:rsid w:val="00B77DF2"/>
    <w:rsid w:val="00B8020F"/>
    <w:rsid w:val="00B8071F"/>
    <w:rsid w:val="00B814A1"/>
    <w:rsid w:val="00B82205"/>
    <w:rsid w:val="00B8238D"/>
    <w:rsid w:val="00B82642"/>
    <w:rsid w:val="00B832CE"/>
    <w:rsid w:val="00B837F7"/>
    <w:rsid w:val="00B83946"/>
    <w:rsid w:val="00B83A0B"/>
    <w:rsid w:val="00B8477B"/>
    <w:rsid w:val="00B84DE7"/>
    <w:rsid w:val="00B854B7"/>
    <w:rsid w:val="00B8561D"/>
    <w:rsid w:val="00B8650B"/>
    <w:rsid w:val="00B868FA"/>
    <w:rsid w:val="00B86B3C"/>
    <w:rsid w:val="00B876BF"/>
    <w:rsid w:val="00B87BE7"/>
    <w:rsid w:val="00B87E94"/>
    <w:rsid w:val="00B90116"/>
    <w:rsid w:val="00B90ED9"/>
    <w:rsid w:val="00B91714"/>
    <w:rsid w:val="00B923B6"/>
    <w:rsid w:val="00B9293A"/>
    <w:rsid w:val="00B93021"/>
    <w:rsid w:val="00B9330A"/>
    <w:rsid w:val="00B93BE3"/>
    <w:rsid w:val="00B944FC"/>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3B39"/>
    <w:rsid w:val="00BD438C"/>
    <w:rsid w:val="00BD492B"/>
    <w:rsid w:val="00BD4A3C"/>
    <w:rsid w:val="00BD4F9A"/>
    <w:rsid w:val="00BD5E19"/>
    <w:rsid w:val="00BD6D4E"/>
    <w:rsid w:val="00BD71F1"/>
    <w:rsid w:val="00BD74CF"/>
    <w:rsid w:val="00BE11B9"/>
    <w:rsid w:val="00BE1BBE"/>
    <w:rsid w:val="00BE2C9F"/>
    <w:rsid w:val="00BE36D5"/>
    <w:rsid w:val="00BE4FDC"/>
    <w:rsid w:val="00BE6056"/>
    <w:rsid w:val="00BE6217"/>
    <w:rsid w:val="00BE6785"/>
    <w:rsid w:val="00BE6D3C"/>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01E"/>
    <w:rsid w:val="00C16183"/>
    <w:rsid w:val="00C165C5"/>
    <w:rsid w:val="00C16FBB"/>
    <w:rsid w:val="00C17500"/>
    <w:rsid w:val="00C17BA5"/>
    <w:rsid w:val="00C2004B"/>
    <w:rsid w:val="00C20DE5"/>
    <w:rsid w:val="00C211E8"/>
    <w:rsid w:val="00C2196F"/>
    <w:rsid w:val="00C219E2"/>
    <w:rsid w:val="00C22D5B"/>
    <w:rsid w:val="00C22D64"/>
    <w:rsid w:val="00C22F22"/>
    <w:rsid w:val="00C2365F"/>
    <w:rsid w:val="00C23BF3"/>
    <w:rsid w:val="00C23FDB"/>
    <w:rsid w:val="00C24B6B"/>
    <w:rsid w:val="00C25A02"/>
    <w:rsid w:val="00C268F6"/>
    <w:rsid w:val="00C27D1A"/>
    <w:rsid w:val="00C30CA1"/>
    <w:rsid w:val="00C31200"/>
    <w:rsid w:val="00C31A08"/>
    <w:rsid w:val="00C31BE7"/>
    <w:rsid w:val="00C32229"/>
    <w:rsid w:val="00C32DE7"/>
    <w:rsid w:val="00C32F73"/>
    <w:rsid w:val="00C32FD3"/>
    <w:rsid w:val="00C341CB"/>
    <w:rsid w:val="00C3542E"/>
    <w:rsid w:val="00C35B5E"/>
    <w:rsid w:val="00C370A0"/>
    <w:rsid w:val="00C373D7"/>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196"/>
    <w:rsid w:val="00C6124E"/>
    <w:rsid w:val="00C613CF"/>
    <w:rsid w:val="00C6230B"/>
    <w:rsid w:val="00C6257D"/>
    <w:rsid w:val="00C632FA"/>
    <w:rsid w:val="00C635D0"/>
    <w:rsid w:val="00C64273"/>
    <w:rsid w:val="00C654C2"/>
    <w:rsid w:val="00C65B9B"/>
    <w:rsid w:val="00C671C6"/>
    <w:rsid w:val="00C67249"/>
    <w:rsid w:val="00C67698"/>
    <w:rsid w:val="00C70952"/>
    <w:rsid w:val="00C70B81"/>
    <w:rsid w:val="00C724E4"/>
    <w:rsid w:val="00C732D8"/>
    <w:rsid w:val="00C7377B"/>
    <w:rsid w:val="00C737D7"/>
    <w:rsid w:val="00C73886"/>
    <w:rsid w:val="00C73B6D"/>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1ECA"/>
    <w:rsid w:val="00C92681"/>
    <w:rsid w:val="00C94994"/>
    <w:rsid w:val="00C94C04"/>
    <w:rsid w:val="00C951C1"/>
    <w:rsid w:val="00C95FEF"/>
    <w:rsid w:val="00C9600B"/>
    <w:rsid w:val="00C962CF"/>
    <w:rsid w:val="00C96BE2"/>
    <w:rsid w:val="00C96C1A"/>
    <w:rsid w:val="00C96F6C"/>
    <w:rsid w:val="00C97806"/>
    <w:rsid w:val="00C978B4"/>
    <w:rsid w:val="00C9796F"/>
    <w:rsid w:val="00CA069E"/>
    <w:rsid w:val="00CA1A5E"/>
    <w:rsid w:val="00CA1BD1"/>
    <w:rsid w:val="00CA1D49"/>
    <w:rsid w:val="00CA2377"/>
    <w:rsid w:val="00CA265A"/>
    <w:rsid w:val="00CA26C0"/>
    <w:rsid w:val="00CA27AA"/>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B7E09"/>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679"/>
    <w:rsid w:val="00CD0968"/>
    <w:rsid w:val="00CD1491"/>
    <w:rsid w:val="00CD2580"/>
    <w:rsid w:val="00CD3739"/>
    <w:rsid w:val="00CD3AE0"/>
    <w:rsid w:val="00CD3B16"/>
    <w:rsid w:val="00CD4B83"/>
    <w:rsid w:val="00CD5020"/>
    <w:rsid w:val="00CD58BA"/>
    <w:rsid w:val="00CD6145"/>
    <w:rsid w:val="00CD64DE"/>
    <w:rsid w:val="00CD6D50"/>
    <w:rsid w:val="00CD74A3"/>
    <w:rsid w:val="00CD7638"/>
    <w:rsid w:val="00CD7E95"/>
    <w:rsid w:val="00CE049D"/>
    <w:rsid w:val="00CE123E"/>
    <w:rsid w:val="00CE140B"/>
    <w:rsid w:val="00CE2320"/>
    <w:rsid w:val="00CE2476"/>
    <w:rsid w:val="00CE25CA"/>
    <w:rsid w:val="00CE2CBA"/>
    <w:rsid w:val="00CE302C"/>
    <w:rsid w:val="00CE31BD"/>
    <w:rsid w:val="00CE449A"/>
    <w:rsid w:val="00CE4619"/>
    <w:rsid w:val="00CE4BF2"/>
    <w:rsid w:val="00CE530E"/>
    <w:rsid w:val="00CE5E91"/>
    <w:rsid w:val="00CF01EA"/>
    <w:rsid w:val="00CF10EF"/>
    <w:rsid w:val="00CF1F53"/>
    <w:rsid w:val="00CF1FAE"/>
    <w:rsid w:val="00CF3BED"/>
    <w:rsid w:val="00CF4A6D"/>
    <w:rsid w:val="00CF5866"/>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157"/>
    <w:rsid w:val="00D055E6"/>
    <w:rsid w:val="00D05CAF"/>
    <w:rsid w:val="00D05E39"/>
    <w:rsid w:val="00D065AD"/>
    <w:rsid w:val="00D06BB8"/>
    <w:rsid w:val="00D072EF"/>
    <w:rsid w:val="00D07394"/>
    <w:rsid w:val="00D07A9C"/>
    <w:rsid w:val="00D106B0"/>
    <w:rsid w:val="00D10A14"/>
    <w:rsid w:val="00D10F11"/>
    <w:rsid w:val="00D113FF"/>
    <w:rsid w:val="00D11E7B"/>
    <w:rsid w:val="00D12836"/>
    <w:rsid w:val="00D12C52"/>
    <w:rsid w:val="00D12D84"/>
    <w:rsid w:val="00D1406F"/>
    <w:rsid w:val="00D14E13"/>
    <w:rsid w:val="00D15123"/>
    <w:rsid w:val="00D15676"/>
    <w:rsid w:val="00D16547"/>
    <w:rsid w:val="00D20368"/>
    <w:rsid w:val="00D209D8"/>
    <w:rsid w:val="00D20B6C"/>
    <w:rsid w:val="00D20DAB"/>
    <w:rsid w:val="00D2158F"/>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1ED"/>
    <w:rsid w:val="00D507D9"/>
    <w:rsid w:val="00D50BC3"/>
    <w:rsid w:val="00D52E63"/>
    <w:rsid w:val="00D53E86"/>
    <w:rsid w:val="00D545A8"/>
    <w:rsid w:val="00D548A5"/>
    <w:rsid w:val="00D548E5"/>
    <w:rsid w:val="00D5490F"/>
    <w:rsid w:val="00D55BD9"/>
    <w:rsid w:val="00D56163"/>
    <w:rsid w:val="00D566F5"/>
    <w:rsid w:val="00D56BF3"/>
    <w:rsid w:val="00D60503"/>
    <w:rsid w:val="00D62605"/>
    <w:rsid w:val="00D6305E"/>
    <w:rsid w:val="00D63073"/>
    <w:rsid w:val="00D6362A"/>
    <w:rsid w:val="00D63DA5"/>
    <w:rsid w:val="00D6404C"/>
    <w:rsid w:val="00D641C8"/>
    <w:rsid w:val="00D64350"/>
    <w:rsid w:val="00D64B3A"/>
    <w:rsid w:val="00D64D09"/>
    <w:rsid w:val="00D6587E"/>
    <w:rsid w:val="00D65C48"/>
    <w:rsid w:val="00D6645D"/>
    <w:rsid w:val="00D66F30"/>
    <w:rsid w:val="00D6726F"/>
    <w:rsid w:val="00D67C48"/>
    <w:rsid w:val="00D70469"/>
    <w:rsid w:val="00D70CA3"/>
    <w:rsid w:val="00D713FF"/>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76387"/>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44"/>
    <w:rsid w:val="00DB16DB"/>
    <w:rsid w:val="00DB2AE9"/>
    <w:rsid w:val="00DB2C6D"/>
    <w:rsid w:val="00DB3037"/>
    <w:rsid w:val="00DB309D"/>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078"/>
    <w:rsid w:val="00DC596B"/>
    <w:rsid w:val="00DC634E"/>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3DB1"/>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6FCF"/>
    <w:rsid w:val="00DF7AC5"/>
    <w:rsid w:val="00DF7D55"/>
    <w:rsid w:val="00E00E3A"/>
    <w:rsid w:val="00E013E9"/>
    <w:rsid w:val="00E013EF"/>
    <w:rsid w:val="00E017F2"/>
    <w:rsid w:val="00E01B2C"/>
    <w:rsid w:val="00E0267C"/>
    <w:rsid w:val="00E02932"/>
    <w:rsid w:val="00E02CE1"/>
    <w:rsid w:val="00E03B4B"/>
    <w:rsid w:val="00E043FA"/>
    <w:rsid w:val="00E04ACE"/>
    <w:rsid w:val="00E04F0F"/>
    <w:rsid w:val="00E05EA9"/>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2917"/>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0E83"/>
    <w:rsid w:val="00E410B5"/>
    <w:rsid w:val="00E41DFA"/>
    <w:rsid w:val="00E4205C"/>
    <w:rsid w:val="00E42264"/>
    <w:rsid w:val="00E42D1E"/>
    <w:rsid w:val="00E433EA"/>
    <w:rsid w:val="00E43435"/>
    <w:rsid w:val="00E44850"/>
    <w:rsid w:val="00E455A1"/>
    <w:rsid w:val="00E45DF0"/>
    <w:rsid w:val="00E45F05"/>
    <w:rsid w:val="00E47A30"/>
    <w:rsid w:val="00E5014D"/>
    <w:rsid w:val="00E50E09"/>
    <w:rsid w:val="00E540CA"/>
    <w:rsid w:val="00E54462"/>
    <w:rsid w:val="00E54583"/>
    <w:rsid w:val="00E54B19"/>
    <w:rsid w:val="00E55F46"/>
    <w:rsid w:val="00E5633C"/>
    <w:rsid w:val="00E56E97"/>
    <w:rsid w:val="00E56EE4"/>
    <w:rsid w:val="00E60A17"/>
    <w:rsid w:val="00E621FE"/>
    <w:rsid w:val="00E62CBA"/>
    <w:rsid w:val="00E638BB"/>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77F6D"/>
    <w:rsid w:val="00E801F8"/>
    <w:rsid w:val="00E8167D"/>
    <w:rsid w:val="00E81BCF"/>
    <w:rsid w:val="00E8217A"/>
    <w:rsid w:val="00E82708"/>
    <w:rsid w:val="00E8399A"/>
    <w:rsid w:val="00E839A4"/>
    <w:rsid w:val="00E839CE"/>
    <w:rsid w:val="00E83AB6"/>
    <w:rsid w:val="00E86711"/>
    <w:rsid w:val="00E86798"/>
    <w:rsid w:val="00E86C82"/>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B4"/>
    <w:rsid w:val="00E97BE5"/>
    <w:rsid w:val="00EA2148"/>
    <w:rsid w:val="00EA2C19"/>
    <w:rsid w:val="00EA3031"/>
    <w:rsid w:val="00EA3072"/>
    <w:rsid w:val="00EA3B39"/>
    <w:rsid w:val="00EA3BBF"/>
    <w:rsid w:val="00EA3EA7"/>
    <w:rsid w:val="00EA4F63"/>
    <w:rsid w:val="00EA689E"/>
    <w:rsid w:val="00EA7BE2"/>
    <w:rsid w:val="00EA7C5F"/>
    <w:rsid w:val="00EA7F6E"/>
    <w:rsid w:val="00EA7FAC"/>
    <w:rsid w:val="00EB0480"/>
    <w:rsid w:val="00EB0E25"/>
    <w:rsid w:val="00EB1BF9"/>
    <w:rsid w:val="00EB1D2C"/>
    <w:rsid w:val="00EB2497"/>
    <w:rsid w:val="00EB2A4F"/>
    <w:rsid w:val="00EB2ACC"/>
    <w:rsid w:val="00EB2D9B"/>
    <w:rsid w:val="00EB2F4D"/>
    <w:rsid w:val="00EB30B9"/>
    <w:rsid w:val="00EB3C52"/>
    <w:rsid w:val="00EB51C7"/>
    <w:rsid w:val="00EB5858"/>
    <w:rsid w:val="00EB5DEF"/>
    <w:rsid w:val="00EB61E5"/>
    <w:rsid w:val="00EB67AA"/>
    <w:rsid w:val="00EB70B5"/>
    <w:rsid w:val="00EB780C"/>
    <w:rsid w:val="00EC23C4"/>
    <w:rsid w:val="00EC37E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0DCB"/>
    <w:rsid w:val="00EE1134"/>
    <w:rsid w:val="00EE236A"/>
    <w:rsid w:val="00EE2649"/>
    <w:rsid w:val="00EE3015"/>
    <w:rsid w:val="00EE31AF"/>
    <w:rsid w:val="00EE34A1"/>
    <w:rsid w:val="00EE3CC4"/>
    <w:rsid w:val="00EE41A1"/>
    <w:rsid w:val="00EE50C5"/>
    <w:rsid w:val="00EE536C"/>
    <w:rsid w:val="00EE53E7"/>
    <w:rsid w:val="00EE71BF"/>
    <w:rsid w:val="00EE73E5"/>
    <w:rsid w:val="00EE7B44"/>
    <w:rsid w:val="00EE7D04"/>
    <w:rsid w:val="00EE7FB9"/>
    <w:rsid w:val="00EF09AC"/>
    <w:rsid w:val="00EF14D1"/>
    <w:rsid w:val="00EF1DD2"/>
    <w:rsid w:val="00EF58F2"/>
    <w:rsid w:val="00EF5937"/>
    <w:rsid w:val="00EF60C8"/>
    <w:rsid w:val="00EF6733"/>
    <w:rsid w:val="00EF6AD7"/>
    <w:rsid w:val="00F006A9"/>
    <w:rsid w:val="00F009EB"/>
    <w:rsid w:val="00F00EFF"/>
    <w:rsid w:val="00F017FB"/>
    <w:rsid w:val="00F0195F"/>
    <w:rsid w:val="00F01F7A"/>
    <w:rsid w:val="00F02736"/>
    <w:rsid w:val="00F02A35"/>
    <w:rsid w:val="00F02DE0"/>
    <w:rsid w:val="00F030A2"/>
    <w:rsid w:val="00F0344E"/>
    <w:rsid w:val="00F03930"/>
    <w:rsid w:val="00F04DD4"/>
    <w:rsid w:val="00F053FC"/>
    <w:rsid w:val="00F05564"/>
    <w:rsid w:val="00F05735"/>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3B60"/>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4BB3"/>
    <w:rsid w:val="00F45459"/>
    <w:rsid w:val="00F46224"/>
    <w:rsid w:val="00F46D5A"/>
    <w:rsid w:val="00F47305"/>
    <w:rsid w:val="00F5036E"/>
    <w:rsid w:val="00F519A9"/>
    <w:rsid w:val="00F51BD5"/>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7EB"/>
    <w:rsid w:val="00F62D15"/>
    <w:rsid w:val="00F6354C"/>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A8E"/>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981"/>
    <w:rsid w:val="00FB0C83"/>
    <w:rsid w:val="00FB1043"/>
    <w:rsid w:val="00FB20F3"/>
    <w:rsid w:val="00FB43AC"/>
    <w:rsid w:val="00FB46E3"/>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5887"/>
    <w:rsid w:val="00FE65C5"/>
    <w:rsid w:val="00FE6DA0"/>
    <w:rsid w:val="00FF0C49"/>
    <w:rsid w:val="00FF0FDB"/>
    <w:rsid w:val="00FF1282"/>
    <w:rsid w:val="00FF1339"/>
    <w:rsid w:val="00FF1682"/>
    <w:rsid w:val="00FF17C1"/>
    <w:rsid w:val="00FF3217"/>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F1DFE-ACE4-42F6-94D5-D0CAD3C8B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26</Pages>
  <Words>10383</Words>
  <Characters>57107</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158</cp:revision>
  <cp:lastPrinted>2022-10-14T17:09:00Z</cp:lastPrinted>
  <dcterms:created xsi:type="dcterms:W3CDTF">2022-07-28T00:47:00Z</dcterms:created>
  <dcterms:modified xsi:type="dcterms:W3CDTF">2023-02-24T16:52:00Z</dcterms:modified>
</cp:coreProperties>
</file>