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80313" w14:textId="77777777" w:rsidR="003B6CF0" w:rsidRPr="00CB6405" w:rsidRDefault="003B6CF0" w:rsidP="007B5824">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1D7458D" w:rsidR="003B6CF0" w:rsidRPr="00CB6405" w:rsidRDefault="003B6CF0" w:rsidP="007B5824">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F1DCB">
        <w:rPr>
          <w:rFonts w:ascii="Arial" w:hAnsi="Arial" w:cs="Arial"/>
          <w:b/>
          <w:sz w:val="26"/>
          <w:szCs w:val="26"/>
        </w:rPr>
        <w:t>446</w:t>
      </w:r>
      <w:r>
        <w:rPr>
          <w:rFonts w:ascii="Arial" w:hAnsi="Arial" w:cs="Arial"/>
          <w:b/>
          <w:sz w:val="26"/>
          <w:szCs w:val="26"/>
        </w:rPr>
        <w:t>/202</w:t>
      </w:r>
      <w:r w:rsidR="00BF1DCB">
        <w:rPr>
          <w:rFonts w:ascii="Arial" w:hAnsi="Arial" w:cs="Arial"/>
          <w:b/>
          <w:sz w:val="26"/>
          <w:szCs w:val="26"/>
        </w:rPr>
        <w:t>1</w:t>
      </w:r>
      <w:r>
        <w:rPr>
          <w:rFonts w:ascii="Arial" w:hAnsi="Arial" w:cs="Arial"/>
          <w:b/>
          <w:sz w:val="26"/>
          <w:szCs w:val="26"/>
        </w:rPr>
        <w:t>.</w:t>
      </w:r>
    </w:p>
    <w:p w14:paraId="4DFA70CD" w14:textId="2771AE43" w:rsidR="003B6CF0" w:rsidRDefault="003B6CF0" w:rsidP="007B5824">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D358A">
        <w:rPr>
          <w:rFonts w:ascii="Arial" w:hAnsi="Arial" w:cs="Arial"/>
          <w:b/>
          <w:sz w:val="26"/>
          <w:szCs w:val="26"/>
        </w:rPr>
        <w:t>00</w:t>
      </w:r>
      <w:r w:rsidR="00BF1DCB">
        <w:rPr>
          <w:rFonts w:ascii="Arial" w:hAnsi="Arial" w:cs="Arial"/>
          <w:b/>
          <w:sz w:val="26"/>
          <w:szCs w:val="26"/>
        </w:rPr>
        <w:t>89</w:t>
      </w:r>
      <w:r>
        <w:rPr>
          <w:rFonts w:ascii="Arial" w:hAnsi="Arial" w:cs="Arial"/>
          <w:b/>
          <w:sz w:val="26"/>
          <w:szCs w:val="26"/>
        </w:rPr>
        <w:t>/</w:t>
      </w:r>
      <w:r w:rsidRPr="00CB6405">
        <w:rPr>
          <w:rFonts w:ascii="Arial" w:hAnsi="Arial" w:cs="Arial"/>
          <w:b/>
          <w:sz w:val="26"/>
          <w:szCs w:val="26"/>
        </w:rPr>
        <w:t>20</w:t>
      </w:r>
      <w:r w:rsidR="00AD358A">
        <w:rPr>
          <w:rFonts w:ascii="Arial" w:hAnsi="Arial" w:cs="Arial"/>
          <w:b/>
          <w:sz w:val="26"/>
          <w:szCs w:val="26"/>
        </w:rPr>
        <w:t>2</w:t>
      </w:r>
      <w:r w:rsidR="00BF1DCB">
        <w:rPr>
          <w:rFonts w:ascii="Arial" w:hAnsi="Arial" w:cs="Arial"/>
          <w:b/>
          <w:sz w:val="26"/>
          <w:szCs w:val="26"/>
        </w:rPr>
        <w:t>1</w:t>
      </w:r>
      <w:r w:rsidRPr="00CB6405">
        <w:rPr>
          <w:rFonts w:ascii="Arial" w:hAnsi="Arial" w:cs="Arial"/>
          <w:b/>
          <w:sz w:val="26"/>
          <w:szCs w:val="26"/>
        </w:rPr>
        <w:t xml:space="preserve"> </w:t>
      </w:r>
      <w:r w:rsidR="003001CC">
        <w:rPr>
          <w:rFonts w:ascii="Arial" w:hAnsi="Arial" w:cs="Arial"/>
          <w:b/>
          <w:sz w:val="26"/>
          <w:szCs w:val="26"/>
        </w:rPr>
        <w:t xml:space="preserve">DE LA </w:t>
      </w:r>
      <w:r w:rsidR="000E0AAB">
        <w:rPr>
          <w:rFonts w:ascii="Arial" w:hAnsi="Arial" w:cs="Arial"/>
          <w:b/>
          <w:sz w:val="26"/>
          <w:szCs w:val="26"/>
        </w:rPr>
        <w:t>QUIN</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7B5824">
      <w:pPr>
        <w:spacing w:line="240" w:lineRule="auto"/>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6465E31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w:t>
      </w:r>
      <w:r w:rsidR="004F1387">
        <w:rPr>
          <w:rFonts w:ascii="Arial" w:hAnsi="Arial" w:cs="Arial"/>
          <w:b/>
          <w:sz w:val="26"/>
          <w:szCs w:val="26"/>
        </w:rPr>
        <w:t xml:space="preserve">OAXACA A SIETE DE SEPTIEMBRE </w:t>
      </w:r>
      <w:r>
        <w:rPr>
          <w:rFonts w:ascii="Arial" w:hAnsi="Arial" w:cs="Arial"/>
          <w:b/>
          <w:sz w:val="26"/>
          <w:szCs w:val="26"/>
        </w:rPr>
        <w:t>DE DOS MIL VEINTI</w:t>
      </w:r>
      <w:r w:rsidR="003001CC">
        <w:rPr>
          <w:rFonts w:ascii="Arial" w:hAnsi="Arial" w:cs="Arial"/>
          <w:b/>
          <w:sz w:val="26"/>
          <w:szCs w:val="26"/>
        </w:rPr>
        <w:t>DOS</w:t>
      </w:r>
      <w:r>
        <w:rPr>
          <w:rFonts w:ascii="Arial" w:hAnsi="Arial" w:cs="Arial"/>
          <w:b/>
          <w:sz w:val="26"/>
          <w:szCs w:val="26"/>
        </w:rPr>
        <w:t xml:space="preserve">. - - - - - - - - - - - - - - - - - - - - - - - - - - - </w:t>
      </w:r>
      <w:r w:rsidR="00E75F66">
        <w:rPr>
          <w:rFonts w:ascii="Arial" w:hAnsi="Arial" w:cs="Arial"/>
          <w:b/>
          <w:sz w:val="26"/>
          <w:szCs w:val="26"/>
        </w:rPr>
        <w:t xml:space="preserve">- - - - - - - - - - - - </w:t>
      </w:r>
    </w:p>
    <w:p w14:paraId="355D81B1" w14:textId="4DCCF0EA" w:rsidR="00C80911" w:rsidRPr="00D32C8F" w:rsidRDefault="00C80911" w:rsidP="007B5824">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446</w:t>
      </w:r>
      <w:r w:rsidRPr="00CB6405">
        <w:rPr>
          <w:rFonts w:ascii="Arial" w:hAnsi="Arial" w:cs="Arial"/>
          <w:b/>
          <w:sz w:val="26"/>
          <w:szCs w:val="26"/>
        </w:rPr>
        <w:t>/20</w:t>
      </w:r>
      <w:r>
        <w:rPr>
          <w:rFonts w:ascii="Arial" w:hAnsi="Arial" w:cs="Arial"/>
          <w:b/>
          <w:sz w:val="26"/>
          <w:szCs w:val="26"/>
        </w:rPr>
        <w:t>21</w:t>
      </w:r>
      <w:r>
        <w:rPr>
          <w:rFonts w:ascii="Arial" w:hAnsi="Arial" w:cs="Arial"/>
          <w:sz w:val="26"/>
          <w:szCs w:val="26"/>
        </w:rPr>
        <w:t>, turnado por la Secretaría General de Acuerdos, con motivo del recurso de revisión interpuesto por</w:t>
      </w:r>
      <w:r>
        <w:rPr>
          <w:rFonts w:ascii="Arial" w:hAnsi="Arial" w:cs="Arial"/>
          <w:b/>
          <w:sz w:val="26"/>
          <w:szCs w:val="26"/>
        </w:rPr>
        <w:t xml:space="preserve"> </w:t>
      </w:r>
      <w:r w:rsidR="00FB50D5">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del acuerdo de ocho de noviembre de dos mil veintiuno</w:t>
      </w:r>
      <w:r w:rsidR="00761C44">
        <w:rPr>
          <w:rFonts w:ascii="Arial" w:hAnsi="Arial" w:cs="Arial"/>
          <w:sz w:val="26"/>
          <w:szCs w:val="26"/>
        </w:rPr>
        <w:t xml:space="preserve"> </w:t>
      </w:r>
      <w:r>
        <w:rPr>
          <w:rFonts w:ascii="Arial" w:hAnsi="Arial" w:cs="Arial"/>
          <w:sz w:val="26"/>
          <w:szCs w:val="26"/>
        </w:rPr>
        <w:t xml:space="preserve">dictado en el expediente </w:t>
      </w:r>
      <w:r>
        <w:rPr>
          <w:rFonts w:ascii="Arial" w:hAnsi="Arial" w:cs="Arial"/>
          <w:b/>
          <w:sz w:val="26"/>
          <w:szCs w:val="26"/>
        </w:rPr>
        <w:t xml:space="preserve">0089/2021 </w:t>
      </w:r>
      <w:r>
        <w:rPr>
          <w:rFonts w:ascii="Arial" w:hAnsi="Arial" w:cs="Arial"/>
          <w:sz w:val="26"/>
          <w:szCs w:val="26"/>
        </w:rPr>
        <w:t>del índice de la Quinta Sala Unitaria de Primera Instancia, relativo al juicio de nulidad promovido por</w:t>
      </w:r>
      <w:r>
        <w:rPr>
          <w:rFonts w:ascii="Arial" w:hAnsi="Arial" w:cs="Arial"/>
          <w:b/>
          <w:sz w:val="26"/>
          <w:szCs w:val="26"/>
        </w:rPr>
        <w:t xml:space="preserve"> </w:t>
      </w:r>
      <w:r w:rsidR="00FB50D5">
        <w:rPr>
          <w:rFonts w:ascii="Arial" w:hAnsi="Arial" w:cs="Arial"/>
          <w:b/>
          <w:sz w:val="26"/>
          <w:szCs w:val="26"/>
        </w:rPr>
        <w:t>*******</w:t>
      </w:r>
      <w:r>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 la</w:t>
      </w:r>
      <w:r>
        <w:rPr>
          <w:rFonts w:ascii="Arial" w:hAnsi="Arial" w:cs="Arial"/>
          <w:b/>
          <w:sz w:val="26"/>
          <w:szCs w:val="26"/>
        </w:rPr>
        <w:t xml:space="preserve"> COORDINADORA DE COBRO COACTIVO DE </w:t>
      </w:r>
      <w:r w:rsidR="008A2BFB">
        <w:rPr>
          <w:rFonts w:ascii="Arial" w:hAnsi="Arial" w:cs="Arial"/>
          <w:b/>
          <w:sz w:val="26"/>
          <w:szCs w:val="26"/>
        </w:rPr>
        <w:t>L</w:t>
      </w:r>
      <w:r>
        <w:rPr>
          <w:rFonts w:ascii="Arial" w:hAnsi="Arial" w:cs="Arial"/>
          <w:b/>
          <w:sz w:val="26"/>
          <w:szCs w:val="26"/>
        </w:rPr>
        <w:t>A SEC</w:t>
      </w:r>
      <w:r w:rsidR="008A2BFB">
        <w:rPr>
          <w:rFonts w:ascii="Arial" w:hAnsi="Arial" w:cs="Arial"/>
          <w:b/>
          <w:sz w:val="26"/>
          <w:szCs w:val="26"/>
        </w:rPr>
        <w:t>R</w:t>
      </w:r>
      <w:r>
        <w:rPr>
          <w:rFonts w:ascii="Arial" w:hAnsi="Arial" w:cs="Arial"/>
          <w:b/>
          <w:sz w:val="26"/>
          <w:szCs w:val="26"/>
        </w:rPr>
        <w:t>ETARÍA DE FINANZAS DEL GOBIERNO DEL ESTADO;</w:t>
      </w:r>
      <w:r>
        <w:rPr>
          <w:rFonts w:ascii="Arial" w:hAnsi="Arial" w:cs="Arial"/>
          <w:sz w:val="26"/>
          <w:szCs w:val="26"/>
        </w:rPr>
        <w:t xml:space="preserve"> por lo que, con </w:t>
      </w:r>
      <w:r w:rsidRPr="000C4EA3">
        <w:rPr>
          <w:rFonts w:ascii="Arial" w:hAnsi="Arial" w:cs="Arial"/>
          <w:sz w:val="26"/>
          <w:szCs w:val="26"/>
        </w:rPr>
        <w:t xml:space="preserve">fundamento en los artículos </w:t>
      </w:r>
      <w:r>
        <w:rPr>
          <w:rFonts w:ascii="Arial" w:hAnsi="Arial" w:cs="Arial"/>
          <w:sz w:val="26"/>
          <w:szCs w:val="26"/>
        </w:rPr>
        <w:t>236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y </w:t>
      </w:r>
      <w:r>
        <w:rPr>
          <w:rFonts w:ascii="Arial" w:hAnsi="Arial" w:cs="Arial"/>
          <w:bCs/>
          <w:iCs/>
          <w:sz w:val="26"/>
          <w:szCs w:val="26"/>
        </w:rPr>
        <w:t xml:space="preserve">24 fracciones I y III </w:t>
      </w:r>
      <w:r w:rsidRPr="00455424">
        <w:rPr>
          <w:rFonts w:ascii="Arial" w:hAnsi="Arial" w:cs="Arial"/>
          <w:bCs/>
          <w:iCs/>
          <w:sz w:val="26"/>
          <w:szCs w:val="26"/>
        </w:rPr>
        <w:t>de la Ley Orgánica del Tribunal de Justicia Administrativa del Estado de Oaxaca</w:t>
      </w:r>
      <w:r>
        <w:rPr>
          <w:rFonts w:ascii="Arial" w:hAnsi="Arial" w:cs="Arial"/>
          <w:bCs/>
          <w:iCs/>
          <w:sz w:val="26"/>
          <w:szCs w:val="26"/>
        </w:rPr>
        <w:t>,</w:t>
      </w:r>
      <w:r w:rsidR="007B5824">
        <w:rPr>
          <w:rFonts w:ascii="Arial" w:hAnsi="Arial" w:cs="Arial"/>
          <w:bCs/>
          <w:iCs/>
          <w:sz w:val="26"/>
          <w:szCs w:val="26"/>
        </w:rPr>
        <w:t xml:space="preserve"> se da tramite. Por consiguiente</w:t>
      </w:r>
      <w:r>
        <w:rPr>
          <w:rFonts w:ascii="Arial" w:hAnsi="Arial" w:cs="Arial"/>
          <w:bCs/>
          <w:iCs/>
          <w:sz w:val="26"/>
          <w:szCs w:val="26"/>
        </w:rPr>
        <w:t xml:space="preserve"> </w:t>
      </w:r>
      <w:r>
        <w:rPr>
          <w:rFonts w:ascii="Arial" w:hAnsi="Arial" w:cs="Arial"/>
          <w:sz w:val="26"/>
          <w:szCs w:val="26"/>
        </w:rPr>
        <w:t>se procede a dictar resolución en los siguientes términos</w:t>
      </w:r>
      <w:r w:rsidRPr="003509B6">
        <w:rPr>
          <w:rFonts w:ascii="Arial" w:hAnsi="Arial" w:cs="Arial"/>
          <w:sz w:val="26"/>
          <w:szCs w:val="26"/>
        </w:rPr>
        <w:t>:</w:t>
      </w:r>
      <w:r w:rsidR="007B5824">
        <w:rPr>
          <w:rFonts w:ascii="Arial" w:hAnsi="Arial" w:cs="Arial"/>
          <w:sz w:val="26"/>
          <w:szCs w:val="26"/>
        </w:rPr>
        <w:t xml:space="preserve"> - - - - - - - - - - - - - - - - - - - - - - - - - - - - - - - - -</w:t>
      </w:r>
    </w:p>
    <w:p w14:paraId="5F45356C" w14:textId="77777777" w:rsidR="00C80911" w:rsidRPr="00CB6405" w:rsidRDefault="00C80911" w:rsidP="00C8091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D1F4D11" w14:textId="16199E6C" w:rsidR="00C80911" w:rsidRPr="00CB6405" w:rsidRDefault="00C80911" w:rsidP="007B582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el acuerdo de ocho de noviembre de dos mil veintiuno,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Sala</w:t>
      </w:r>
      <w:r>
        <w:rPr>
          <w:rFonts w:ascii="Arial" w:hAnsi="Arial" w:cs="Arial"/>
          <w:sz w:val="26"/>
          <w:szCs w:val="26"/>
        </w:rPr>
        <w:t xml:space="preserve"> Unitaria de Primera Instancia, </w:t>
      </w:r>
      <w:r w:rsidR="00FB50D5">
        <w:rPr>
          <w:rFonts w:ascii="Arial" w:hAnsi="Arial" w:cs="Arial"/>
          <w:b/>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r w:rsidR="007B5824">
        <w:rPr>
          <w:rFonts w:ascii="Arial" w:hAnsi="Arial" w:cs="Arial"/>
          <w:sz w:val="26"/>
          <w:szCs w:val="26"/>
        </w:rPr>
        <w:t xml:space="preserve"> - - - - - - - - </w:t>
      </w:r>
    </w:p>
    <w:p w14:paraId="34DC8767" w14:textId="3714ACCC" w:rsidR="00C80911" w:rsidRDefault="00C80911" w:rsidP="00C80911">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Pr>
          <w:rFonts w:ascii="Arial" w:hAnsi="Arial" w:cs="Arial"/>
          <w:bCs/>
          <w:iCs/>
          <w:sz w:val="26"/>
          <w:szCs w:val="26"/>
        </w:rPr>
        <w:t>El texto del acuerdo recurrido es el siguiente</w:t>
      </w:r>
      <w:r w:rsidRPr="003B084B">
        <w:rPr>
          <w:rFonts w:ascii="Arial" w:hAnsi="Arial" w:cs="Arial"/>
          <w:bCs/>
          <w:iCs/>
          <w:sz w:val="26"/>
          <w:szCs w:val="26"/>
        </w:rPr>
        <w:t>:</w:t>
      </w:r>
      <w:r w:rsidR="007B5824">
        <w:rPr>
          <w:rFonts w:ascii="Arial" w:hAnsi="Arial" w:cs="Arial"/>
          <w:bCs/>
          <w:iCs/>
          <w:sz w:val="26"/>
          <w:szCs w:val="26"/>
        </w:rPr>
        <w:t xml:space="preserve"> </w:t>
      </w:r>
    </w:p>
    <w:p w14:paraId="0B434892" w14:textId="7FCE68FD" w:rsidR="00C80911" w:rsidRDefault="00C80911" w:rsidP="007B5824">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Pr>
          <w:rFonts w:ascii="Arial" w:eastAsia="Times New Roman" w:hAnsi="Arial" w:cs="Arial"/>
          <w:b/>
          <w:bCs/>
          <w:i/>
          <w:iCs/>
          <w:lang w:eastAsia="es-ES"/>
        </w:rPr>
        <w:t>OAXACA DE JUÁREZ, OAXACA, DISTRITO CENTRO, A OCHO DE NOVIEMBRE DEL AÑO DOS MIL VEINTIUNO. (08/11/20218).</w:t>
      </w:r>
    </w:p>
    <w:p w14:paraId="2F43CDD3" w14:textId="2F10218A" w:rsidR="00C80911" w:rsidRDefault="00C80911" w:rsidP="007B582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recibido en Oficialía de Partes Común de este Tribunal el cuatro del presente mes y año, turnado a esta Sala en la misma data, escrito signado por </w:t>
      </w:r>
      <w:r w:rsidR="00FB50D5">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quien por su propio derecho promueve </w:t>
      </w:r>
      <w:r>
        <w:rPr>
          <w:rFonts w:ascii="Arial" w:eastAsia="Times New Roman" w:hAnsi="Arial" w:cs="Arial"/>
          <w:b/>
          <w:bCs/>
          <w:i/>
          <w:iCs/>
          <w:lang w:eastAsia="es-ES"/>
        </w:rPr>
        <w:t xml:space="preserve">Juicio de Nulidad </w:t>
      </w:r>
      <w:r>
        <w:rPr>
          <w:rFonts w:ascii="Arial" w:eastAsia="Times New Roman" w:hAnsi="Arial" w:cs="Arial"/>
          <w:bCs/>
          <w:i/>
          <w:iCs/>
          <w:lang w:eastAsia="es-ES"/>
        </w:rPr>
        <w:t xml:space="preserve">en contra del Mandamiento de Ejecución número </w:t>
      </w:r>
      <w:r w:rsidR="00FB50D5">
        <w:rPr>
          <w:rFonts w:ascii="Arial" w:eastAsia="Times New Roman" w:hAnsi="Arial" w:cs="Arial"/>
          <w:bCs/>
          <w:i/>
          <w:iCs/>
          <w:lang w:eastAsia="es-ES"/>
        </w:rPr>
        <w:t>*******</w:t>
      </w:r>
      <w:r>
        <w:rPr>
          <w:rFonts w:ascii="Arial" w:eastAsia="Times New Roman" w:hAnsi="Arial" w:cs="Arial"/>
          <w:bCs/>
          <w:i/>
          <w:iCs/>
          <w:lang w:eastAsia="es-ES"/>
        </w:rPr>
        <w:t xml:space="preserve"> de trece de julio de dos mil veintiuno, así como en contra del Acta de Requerimiento de Pago, diligenciado el veinte de septiembre del año en que se actúa y la resolución contenida en el oficio número </w:t>
      </w:r>
      <w:r w:rsidR="00FB50D5">
        <w:rPr>
          <w:rFonts w:ascii="Arial" w:eastAsia="Times New Roman" w:hAnsi="Arial" w:cs="Arial"/>
          <w:bCs/>
          <w:i/>
          <w:iCs/>
          <w:lang w:eastAsia="es-ES"/>
        </w:rPr>
        <w:t>*******</w:t>
      </w:r>
      <w:r>
        <w:rPr>
          <w:rFonts w:ascii="Arial" w:eastAsia="Times New Roman" w:hAnsi="Arial" w:cs="Arial"/>
          <w:bCs/>
          <w:i/>
          <w:iCs/>
          <w:lang w:eastAsia="es-ES"/>
        </w:rPr>
        <w:t xml:space="preserve">  de veintisiete de octubre de dos mil veinte; en consecuencia, fórmese </w:t>
      </w:r>
      <w:r>
        <w:rPr>
          <w:rFonts w:ascii="Arial" w:eastAsia="Times New Roman" w:hAnsi="Arial" w:cs="Arial"/>
          <w:bCs/>
          <w:i/>
          <w:iCs/>
          <w:lang w:eastAsia="es-ES"/>
        </w:rPr>
        <w:lastRenderedPageBreak/>
        <w:t xml:space="preserve">expediente y regístrese en el libro que para tal efecto se lleva en esta Quinta Sala Unitaria de Primera Instancia. </w:t>
      </w:r>
    </w:p>
    <w:p w14:paraId="573BE7C0" w14:textId="77777777" w:rsidR="00C80911" w:rsidRDefault="00C80911" w:rsidP="007B582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Con fundamento en el artículo 158, 161 fracción X y 182 fracción I de la Ley de Procedimiento y Justicia Administrativa para el Estado de Oaxaca se </w:t>
      </w:r>
      <w:r>
        <w:rPr>
          <w:rFonts w:ascii="Arial" w:eastAsia="Times New Roman" w:hAnsi="Arial" w:cs="Arial"/>
          <w:b/>
          <w:bCs/>
          <w:i/>
          <w:iCs/>
          <w:lang w:eastAsia="es-ES"/>
        </w:rPr>
        <w:t xml:space="preserve">desecha </w:t>
      </w:r>
      <w:r>
        <w:rPr>
          <w:rFonts w:ascii="Arial" w:eastAsia="Times New Roman" w:hAnsi="Arial" w:cs="Arial"/>
          <w:bCs/>
          <w:i/>
          <w:iCs/>
          <w:lang w:eastAsia="es-ES"/>
        </w:rPr>
        <w:t xml:space="preserve">la presente demanda por notoriamente improcedente, en virtud que los actos que pretende impugnar no son actos definitivos y no se encuentran dentro de los supuestos establecidos en el artículo 133 de la Ley en cita, para promover el juicio contencioso administrativo. </w:t>
      </w:r>
    </w:p>
    <w:p w14:paraId="30369142" w14:textId="6923D0A3" w:rsidR="00C80911" w:rsidRDefault="00C80911" w:rsidP="007B582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Se dice lo anterior en razón de que el primer párrafo del artículo 98 de la ley antes referida prescribe: </w:t>
      </w:r>
      <w:r>
        <w:rPr>
          <w:rFonts w:ascii="Arial" w:eastAsia="Times New Roman" w:hAnsi="Arial" w:cs="Arial"/>
          <w:b/>
          <w:bCs/>
          <w:i/>
          <w:iCs/>
          <w:lang w:eastAsia="es-ES"/>
        </w:rPr>
        <w:t xml:space="preserve">“Artículo 98.- </w:t>
      </w:r>
      <w:r>
        <w:rPr>
          <w:rFonts w:ascii="Arial" w:eastAsia="Times New Roman" w:hAnsi="Arial" w:cs="Arial"/>
          <w:bCs/>
          <w:i/>
          <w:iCs/>
          <w:lang w:eastAsia="es-ES"/>
        </w:rPr>
        <w:t xml:space="preserve">Los interesados afectados por los actos y resoluciones de las autoridades administrativas </w:t>
      </w:r>
      <w:r>
        <w:rPr>
          <w:rFonts w:ascii="Arial" w:eastAsia="Times New Roman" w:hAnsi="Arial" w:cs="Arial"/>
          <w:b/>
          <w:bCs/>
          <w:i/>
          <w:iCs/>
          <w:u w:val="single"/>
          <w:lang w:eastAsia="es-ES"/>
        </w:rPr>
        <w:t>que pongan fin</w:t>
      </w:r>
      <w:r>
        <w:rPr>
          <w:rFonts w:ascii="Arial" w:eastAsia="Times New Roman" w:hAnsi="Arial" w:cs="Arial"/>
          <w:bCs/>
          <w:i/>
          <w:iCs/>
          <w:lang w:eastAsia="es-ES"/>
        </w:rPr>
        <w:t xml:space="preserve"> al procedimiento administrativo, a una instancia o resuelvan un expediente, podrán interponer recurso de revisión o intentar las vías judiciales-administrativas correspondientes, ante el Tribunal”, disposición de la que se advierte que sólo pueden ser combatidas a través del Juicio de Nulidad, aquellas resoluciones o actos que pongan fin a un procedimiento, una instancia o resuelvan un expediente supuesto que no se actualiza en el presente asunto, en razón que, de la lectura y análisis efectuado a las documentales que acompañó a su escrito inicial de demanda, así como de las manifestaciones vertidas en la misma, a las cuales se les concede pleno valor probatorio en términos de lo dispuesto por la fracción I del artículo 203 de la Ley de Procedimiento y Justicia Administrativa para el Estado de Oaxaca, se advierte que los actos de autoridad que pretenden impugnar, no han adquirido la calidad de definitivos, aunado a que éstos no se encuentran dentro de los supuestos previstos en la fracción II y fracción VII, incisos a), b), c) y d), del artículo 133 del ordenamiento legal antes invocado, mismos que facultan a las Salas Unitarias de este tribunal para conocer del Procedimiento Administrativo de Ejecución cuando al afectado en dicho procedimiento opte por no interponer el recurso ordinario ante las autoridades competentes y cuando afirme que el crédito exigido se ha extinguido; el monto del crédito es inferior al exigible; es poseedor, al título de propietario, del bien embargado o bien, que el procedimiento coactivo no se ajuste en la ley, el cual sólo podrá hacerse valer </w:t>
      </w:r>
      <w:r>
        <w:rPr>
          <w:rFonts w:ascii="Arial" w:eastAsia="Times New Roman" w:hAnsi="Arial" w:cs="Arial"/>
          <w:bCs/>
          <w:i/>
          <w:iCs/>
          <w:u w:val="single"/>
          <w:lang w:eastAsia="es-ES"/>
        </w:rPr>
        <w:t xml:space="preserve">contra la resolución que apruebe el remate, </w:t>
      </w:r>
      <w:r>
        <w:rPr>
          <w:rFonts w:ascii="Arial" w:eastAsia="Times New Roman" w:hAnsi="Arial" w:cs="Arial"/>
          <w:bCs/>
          <w:i/>
          <w:iCs/>
          <w:lang w:eastAsia="es-ES"/>
        </w:rPr>
        <w:t xml:space="preserve">salvo que éste sea de imposible reparación, situaciones que tampoco acontecen en el presente asunto, pues los actos que pretenden combatir son el Mandamiento de Ejecución número </w:t>
      </w:r>
      <w:r w:rsidR="00FB50D5">
        <w:rPr>
          <w:rFonts w:ascii="Arial" w:eastAsia="Times New Roman" w:hAnsi="Arial" w:cs="Arial"/>
          <w:bCs/>
          <w:i/>
          <w:iCs/>
          <w:lang w:eastAsia="es-ES"/>
        </w:rPr>
        <w:t>*******</w:t>
      </w:r>
      <w:r>
        <w:rPr>
          <w:rFonts w:ascii="Arial" w:eastAsia="Times New Roman" w:hAnsi="Arial" w:cs="Arial"/>
          <w:bCs/>
          <w:i/>
          <w:iCs/>
          <w:lang w:eastAsia="es-ES"/>
        </w:rPr>
        <w:t xml:space="preserve"> de trece de julio de dos mil veintiuno, el Acta de Requerimiento de Pago, diligenciado el veinte de septiembre del año en que se actúa y la resolución contenida en el oficio número </w:t>
      </w:r>
      <w:r w:rsidR="00FB50D5">
        <w:rPr>
          <w:rFonts w:ascii="Arial" w:eastAsia="Times New Roman" w:hAnsi="Arial" w:cs="Arial"/>
          <w:bCs/>
          <w:i/>
          <w:iCs/>
          <w:lang w:eastAsia="es-ES"/>
        </w:rPr>
        <w:t>*******</w:t>
      </w:r>
      <w:r>
        <w:rPr>
          <w:rFonts w:ascii="Arial" w:eastAsia="Times New Roman" w:hAnsi="Arial" w:cs="Arial"/>
          <w:bCs/>
          <w:i/>
          <w:iCs/>
          <w:lang w:eastAsia="es-ES"/>
        </w:rPr>
        <w:t xml:space="preserve"> de veintisiete de octubre de dos mil veinte del año en que se actúa.</w:t>
      </w:r>
    </w:p>
    <w:p w14:paraId="386F6905" w14:textId="77777777" w:rsidR="00C80911" w:rsidRPr="00F20ECC" w:rsidRDefault="00C80911" w:rsidP="007B582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las razones antes vertidas, y toda vez que esta juzgadora advierte motivo manifiesto e indudable de improcedencia para la tramitación del presente Juicio de Nulidad, de conformidad con lo establecido en la fracción I del artículo 182 de la Ley de Procedimiento y Justicia Administrativa; se </w:t>
      </w:r>
      <w:r>
        <w:rPr>
          <w:rFonts w:ascii="Arial" w:eastAsia="Times New Roman" w:hAnsi="Arial" w:cs="Arial"/>
          <w:b/>
          <w:bCs/>
          <w:i/>
          <w:iCs/>
          <w:lang w:eastAsia="es-ES"/>
        </w:rPr>
        <w:t xml:space="preserve">DESECHA </w:t>
      </w:r>
      <w:r>
        <w:rPr>
          <w:rFonts w:ascii="Arial" w:eastAsia="Times New Roman" w:hAnsi="Arial" w:cs="Arial"/>
          <w:bCs/>
          <w:i/>
          <w:iCs/>
          <w:lang w:eastAsia="es-ES"/>
        </w:rPr>
        <w:t xml:space="preserve">la presente demanda por notoriamente </w:t>
      </w:r>
      <w:r>
        <w:rPr>
          <w:rFonts w:ascii="Arial" w:eastAsia="Times New Roman" w:hAnsi="Arial" w:cs="Arial"/>
          <w:b/>
          <w:bCs/>
          <w:i/>
          <w:iCs/>
          <w:lang w:eastAsia="es-ES"/>
        </w:rPr>
        <w:t xml:space="preserve">IMPROCEDENTE, </w:t>
      </w:r>
      <w:r>
        <w:rPr>
          <w:rFonts w:ascii="Arial" w:eastAsia="Times New Roman" w:hAnsi="Arial" w:cs="Arial"/>
          <w:bCs/>
          <w:i/>
          <w:iCs/>
          <w:lang w:eastAsia="es-ES"/>
        </w:rPr>
        <w:t xml:space="preserve">de conformidad con lo establecido en el artículo 161, fracción X del ordenamiento legal antes invocado, por lo que en su oportunidad, archívese el presente asunto como total y definitivamente concluido. </w:t>
      </w:r>
    </w:p>
    <w:p w14:paraId="251CA8B4" w14:textId="77777777" w:rsidR="00C80911" w:rsidRPr="00F20ECC" w:rsidRDefault="00C80911" w:rsidP="007B5824">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Notifíquese </w:t>
      </w:r>
      <w:r>
        <w:rPr>
          <w:rFonts w:ascii="Arial" w:eastAsia="Times New Roman" w:hAnsi="Arial" w:cs="Arial"/>
          <w:bCs/>
          <w:i/>
          <w:iCs/>
          <w:lang w:eastAsia="es-ES"/>
        </w:rPr>
        <w:t xml:space="preserve">personalmente al actor en el domicilio que señala en su escrito de demanda, y a través de las personas que autoriza, tal y como lo disponen los artículos 172 y 173 de la Ley de Procedimiento y Justicia Administrativa para el Estado de Oaxaca. </w:t>
      </w:r>
      <w:r>
        <w:rPr>
          <w:rFonts w:ascii="Arial" w:eastAsia="Times New Roman" w:hAnsi="Arial" w:cs="Arial"/>
          <w:b/>
          <w:bCs/>
          <w:i/>
          <w:iCs/>
          <w:lang w:eastAsia="es-ES"/>
        </w:rPr>
        <w:t>Cúmplase.</w:t>
      </w:r>
    </w:p>
    <w:p w14:paraId="5780CA98" w14:textId="77777777" w:rsidR="00C80911" w:rsidRPr="00895E36" w:rsidRDefault="00C80911" w:rsidP="007B5824">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acordó y firma la Magistrada Virginia Hernández </w:t>
      </w:r>
      <w:proofErr w:type="spellStart"/>
      <w:r>
        <w:rPr>
          <w:rFonts w:ascii="Arial" w:eastAsia="Times New Roman" w:hAnsi="Arial" w:cs="Arial"/>
          <w:bCs/>
          <w:i/>
          <w:iCs/>
          <w:lang w:eastAsia="es-ES"/>
        </w:rPr>
        <w:t>Hernández</w:t>
      </w:r>
      <w:proofErr w:type="spellEnd"/>
      <w:r>
        <w:rPr>
          <w:rFonts w:ascii="Arial" w:eastAsia="Times New Roman" w:hAnsi="Arial" w:cs="Arial"/>
          <w:bCs/>
          <w:i/>
          <w:iCs/>
          <w:lang w:eastAsia="es-ES"/>
        </w:rPr>
        <w:t xml:space="preserve">, Titular de la Quinta Sala Unitaria de Primera Instancia del Tribunal de </w:t>
      </w:r>
      <w:r>
        <w:rPr>
          <w:rFonts w:ascii="Arial" w:eastAsia="Times New Roman" w:hAnsi="Arial" w:cs="Arial"/>
          <w:bCs/>
          <w:i/>
          <w:iCs/>
          <w:lang w:eastAsia="es-ES"/>
        </w:rPr>
        <w:lastRenderedPageBreak/>
        <w:t>Justicia Administrativa del Estado de Oaxaca, quien actúa legalmente con la Licenciada Marissa Ignacio Valencia, que autoriza y da fe.”</w:t>
      </w:r>
      <w:r>
        <w:rPr>
          <w:rFonts w:ascii="Arial" w:hAnsi="Arial" w:cs="Arial"/>
          <w:i/>
        </w:rPr>
        <w:t>.</w:t>
      </w:r>
      <w:r w:rsidRPr="00001C39">
        <w:rPr>
          <w:rFonts w:ascii="Arial" w:eastAsia="Times New Roman" w:hAnsi="Arial" w:cs="Arial"/>
          <w:b/>
          <w:bCs/>
          <w:i/>
          <w:iCs/>
          <w:lang w:eastAsia="es-ES"/>
        </w:rPr>
        <w:t xml:space="preserve"> </w:t>
      </w:r>
    </w:p>
    <w:p w14:paraId="02E914D2" w14:textId="77777777" w:rsidR="00C80911" w:rsidRPr="00CB6405" w:rsidRDefault="00C80911" w:rsidP="00C80911">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2D06979" w14:textId="6525E60D" w:rsidR="00C80911" w:rsidRPr="00B434C8" w:rsidRDefault="00C80911" w:rsidP="00C80911">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200867">
        <w:rPr>
          <w:rFonts w:ascii="Arial" w:hAnsi="Arial" w:cs="Arial"/>
          <w:bCs/>
          <w:iCs/>
          <w:sz w:val="26"/>
          <w:szCs w:val="26"/>
        </w:rPr>
        <w:t>ones</w:t>
      </w:r>
      <w:r>
        <w:rPr>
          <w:rFonts w:ascii="Arial" w:hAnsi="Arial" w:cs="Arial"/>
          <w:bCs/>
          <w:iCs/>
          <w:sz w:val="26"/>
          <w:szCs w:val="26"/>
        </w:rPr>
        <w:t xml:space="preserve"> I</w:t>
      </w:r>
      <w:r w:rsidR="00200867">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Pr>
          <w:rFonts w:ascii="Arial" w:hAnsi="Arial" w:cs="Arial"/>
          <w:bCs/>
          <w:iCs/>
          <w:sz w:val="26"/>
          <w:szCs w:val="26"/>
        </w:rPr>
        <w:t>l acuerdo</w:t>
      </w:r>
      <w:r>
        <w:rPr>
          <w:rFonts w:ascii="Arial" w:hAnsi="Arial" w:cs="Arial"/>
          <w:sz w:val="26"/>
          <w:szCs w:val="26"/>
        </w:rPr>
        <w:t xml:space="preserve"> de ocho de noviembre de dos mil veintiuno</w:t>
      </w:r>
      <w:r w:rsidRPr="008E3662">
        <w:rPr>
          <w:rFonts w:ascii="Arial" w:hAnsi="Arial" w:cs="Arial"/>
          <w:bCs/>
          <w:iCs/>
          <w:sz w:val="26"/>
          <w:szCs w:val="26"/>
        </w:rPr>
        <w:t>, dictad</w:t>
      </w:r>
      <w:r>
        <w:rPr>
          <w:rFonts w:ascii="Arial" w:hAnsi="Arial" w:cs="Arial"/>
          <w:bCs/>
          <w:iCs/>
          <w:sz w:val="26"/>
          <w:szCs w:val="26"/>
        </w:rPr>
        <w:t>o</w:t>
      </w:r>
      <w:r w:rsidRPr="008E3662">
        <w:rPr>
          <w:rFonts w:ascii="Arial" w:hAnsi="Arial" w:cs="Arial"/>
          <w:bCs/>
          <w:iCs/>
          <w:sz w:val="26"/>
          <w:szCs w:val="26"/>
        </w:rPr>
        <w:t xml:space="preserve"> por la </w:t>
      </w:r>
      <w:r>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089</w:t>
      </w:r>
      <w:r w:rsidRPr="00AE78C3">
        <w:rPr>
          <w:rFonts w:ascii="Arial" w:hAnsi="Arial" w:cs="Arial"/>
          <w:b/>
          <w:bCs/>
          <w:iCs/>
          <w:sz w:val="26"/>
          <w:szCs w:val="26"/>
        </w:rPr>
        <w:t>/20</w:t>
      </w:r>
      <w:r>
        <w:rPr>
          <w:rFonts w:ascii="Arial" w:hAnsi="Arial" w:cs="Arial"/>
          <w:b/>
          <w:bCs/>
          <w:iCs/>
          <w:sz w:val="26"/>
          <w:szCs w:val="26"/>
        </w:rPr>
        <w:t>21</w:t>
      </w:r>
      <w:r w:rsidRPr="00AE78C3">
        <w:rPr>
          <w:rFonts w:ascii="Arial" w:hAnsi="Arial" w:cs="Arial"/>
          <w:b/>
          <w:bCs/>
          <w:iCs/>
          <w:sz w:val="26"/>
          <w:szCs w:val="26"/>
        </w:rPr>
        <w:t>.</w:t>
      </w:r>
      <w:r w:rsidR="007B5824">
        <w:rPr>
          <w:rFonts w:ascii="Arial" w:hAnsi="Arial" w:cs="Arial"/>
          <w:b/>
          <w:bCs/>
          <w:iCs/>
          <w:sz w:val="26"/>
          <w:szCs w:val="26"/>
        </w:rPr>
        <w:t xml:space="preserve"> </w:t>
      </w:r>
      <w:r w:rsidR="007B5824" w:rsidRPr="007B5824">
        <w:rPr>
          <w:rFonts w:ascii="Arial" w:hAnsi="Arial" w:cs="Arial"/>
          <w:iCs/>
          <w:sz w:val="26"/>
          <w:szCs w:val="26"/>
        </w:rPr>
        <w:t>- -</w:t>
      </w:r>
    </w:p>
    <w:p w14:paraId="362159F4" w14:textId="77777777" w:rsidR="00C80911" w:rsidRPr="00011CEC" w:rsidRDefault="00C80911" w:rsidP="00C80911">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3884B1B2" w14:textId="77777777" w:rsidR="00C80911" w:rsidRPr="00011CEC" w:rsidRDefault="00C80911" w:rsidP="007B5824">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w:t>
      </w:r>
      <w:r w:rsidRPr="00011CEC">
        <w:rPr>
          <w:rFonts w:ascii="Arial" w:eastAsia="Times New Roman" w:hAnsi="Arial" w:cs="Arial"/>
          <w:i/>
          <w:iCs/>
        </w:rPr>
        <w:lastRenderedPageBreak/>
        <w:t>congruencia se estudien los planteamientos de legalidad o inconstitucionalidad que efectivamente se hayan hecho valer.”</w:t>
      </w:r>
    </w:p>
    <w:p w14:paraId="73422047" w14:textId="30AB112A" w:rsidR="001F0FD1" w:rsidRDefault="00C80911" w:rsidP="007B5824">
      <w:pPr>
        <w:spacing w:line="360" w:lineRule="auto"/>
        <w:ind w:firstLine="708"/>
        <w:jc w:val="both"/>
        <w:rPr>
          <w:rFonts w:ascii="Arial" w:hAnsi="Arial" w:cs="Arial"/>
          <w:sz w:val="26"/>
          <w:szCs w:val="26"/>
        </w:rPr>
      </w:pPr>
      <w:r w:rsidRPr="00626352">
        <w:rPr>
          <w:rFonts w:ascii="Arial" w:hAnsi="Arial" w:cs="Arial"/>
          <w:b/>
          <w:sz w:val="26"/>
          <w:szCs w:val="26"/>
        </w:rPr>
        <w:t>TERCERO.</w:t>
      </w:r>
      <w:r>
        <w:rPr>
          <w:rFonts w:ascii="Arial" w:hAnsi="Arial" w:cs="Arial"/>
          <w:b/>
          <w:sz w:val="26"/>
          <w:szCs w:val="26"/>
        </w:rPr>
        <w:t xml:space="preserve"> </w:t>
      </w:r>
      <w:r w:rsidRPr="00626352">
        <w:rPr>
          <w:rFonts w:ascii="Arial" w:hAnsi="Arial" w:cs="Arial"/>
          <w:b/>
          <w:sz w:val="26"/>
          <w:szCs w:val="26"/>
        </w:rPr>
        <w:t xml:space="preserve"> </w:t>
      </w:r>
      <w:r w:rsidR="001F0FD1">
        <w:rPr>
          <w:rFonts w:ascii="Arial" w:hAnsi="Arial" w:cs="Arial"/>
          <w:sz w:val="26"/>
          <w:szCs w:val="26"/>
        </w:rPr>
        <w:t xml:space="preserve">Señala el recurrente que le causa agravio el acuerdo que se recurre, porque es violatorio de los derechos de audiencia, acceso a la justicia y el debido proceso, por lo cual expone que la Magistrada de la Quinta Sala carece de facultades para desechar la demanda por no constituir resoluciones o actos que pongan fin a un procedimiento, instancia o resuelvan un expediente, con la finalidad de sustentar la consideración que precede, y transcribe los artículos 35, fracción I de la Ley Orgánica del Tribunal de Justicia Administrativa del Estado de Oaxaca, y los diversos 177, fracciones IV y VIII, y penúltimo párrafo, 179, 182 de la Ley de Procedimiento y Justicia Administrativa para el Estado de Oaxaca. </w:t>
      </w:r>
      <w:r w:rsidR="007B5824">
        <w:rPr>
          <w:rFonts w:ascii="Arial" w:hAnsi="Arial" w:cs="Arial"/>
          <w:sz w:val="26"/>
          <w:szCs w:val="26"/>
        </w:rPr>
        <w:t>- - - - - - - - - - - - - - - - - - - - - - - - - - - - - - - -</w:t>
      </w:r>
    </w:p>
    <w:p w14:paraId="4ADD3D40" w14:textId="515AF81A" w:rsidR="001F0FD1" w:rsidRDefault="001F0FD1" w:rsidP="007B5824">
      <w:pPr>
        <w:spacing w:line="360" w:lineRule="auto"/>
        <w:ind w:firstLine="708"/>
        <w:jc w:val="both"/>
        <w:rPr>
          <w:rFonts w:ascii="Arial" w:hAnsi="Arial" w:cs="Arial"/>
          <w:sz w:val="26"/>
          <w:szCs w:val="26"/>
        </w:rPr>
      </w:pPr>
      <w:r>
        <w:rPr>
          <w:rFonts w:ascii="Arial" w:hAnsi="Arial" w:cs="Arial"/>
          <w:sz w:val="26"/>
          <w:szCs w:val="26"/>
        </w:rPr>
        <w:t xml:space="preserve">Argumenta que de los preceptos legales transcritos se advierte, que es una atribución del Magistrado de Sala Unitaria instruir y resolver el procedimiento contencioso administrativo, atribución dentro de la cual, de una interpretación sistemática se puede concluir que cuenta con atribuciones para desechar la demanda, en dos casos específicos: i) si existe un motivo manifiesto e indudable de improcedencia y, ii) si el actor no subsana las omisiones o imprecisiones de la demanda dentro del plazo que se le fije. </w:t>
      </w:r>
      <w:r w:rsidR="007B5824">
        <w:rPr>
          <w:rFonts w:ascii="Arial" w:hAnsi="Arial" w:cs="Arial"/>
          <w:sz w:val="26"/>
          <w:szCs w:val="26"/>
        </w:rPr>
        <w:t>- - - - - - - - - - - - - - - - - - - - - - - - - - - - - - - - - - - - - -</w:t>
      </w:r>
    </w:p>
    <w:p w14:paraId="2483AB06" w14:textId="71C1835F" w:rsidR="001F0FD1" w:rsidRDefault="001F0FD1" w:rsidP="001F0FD1">
      <w:pPr>
        <w:spacing w:before="240" w:line="360" w:lineRule="auto"/>
        <w:ind w:firstLine="708"/>
        <w:jc w:val="both"/>
        <w:rPr>
          <w:rFonts w:ascii="Arial" w:hAnsi="Arial" w:cs="Arial"/>
          <w:sz w:val="26"/>
          <w:szCs w:val="26"/>
        </w:rPr>
      </w:pPr>
      <w:r>
        <w:rPr>
          <w:rFonts w:ascii="Arial" w:hAnsi="Arial" w:cs="Arial"/>
          <w:sz w:val="26"/>
          <w:szCs w:val="26"/>
        </w:rPr>
        <w:t>Refiere que como señaló en líneas anteriores, la Magistrada de Primera Instancia desechó su demanda por notoriamente improcedente, bajo el argumento de que no se cumple con lo dispuesto en el artículo 98 de la Ley de Procedimiento y Justicia Administrativa para el Estado de Oaxaca.</w:t>
      </w:r>
      <w:r w:rsidR="007B5824">
        <w:rPr>
          <w:rFonts w:ascii="Arial" w:hAnsi="Arial" w:cs="Arial"/>
          <w:sz w:val="26"/>
          <w:szCs w:val="26"/>
        </w:rPr>
        <w:t xml:space="preserve"> - - - - - - - - - - - - - - - - - - - - - - - - - - - - - - - - - - - - - - - - - - - - </w:t>
      </w:r>
    </w:p>
    <w:p w14:paraId="6E3DFF38" w14:textId="3CCBBCC5" w:rsidR="001F0FD1" w:rsidRDefault="001F0FD1" w:rsidP="001F0FD1">
      <w:pPr>
        <w:spacing w:before="240" w:line="360" w:lineRule="auto"/>
        <w:ind w:firstLine="708"/>
        <w:jc w:val="both"/>
        <w:rPr>
          <w:rFonts w:ascii="Arial" w:hAnsi="Arial" w:cs="Arial"/>
          <w:sz w:val="26"/>
          <w:szCs w:val="26"/>
        </w:rPr>
      </w:pPr>
      <w:r>
        <w:rPr>
          <w:rFonts w:ascii="Arial" w:hAnsi="Arial" w:cs="Arial"/>
          <w:sz w:val="26"/>
          <w:szCs w:val="26"/>
        </w:rPr>
        <w:t>Manifiesta que, como claramente lo podrán advertir los Magistrados de la Sala Superior, la forma y sentido en el que la Magistrada de la Sala Unitaria proveyó en su escrito de demanda presentada en la Oficialía de Partes Común, resulta violatorio de derechos fundamentales, pues se apoya en una indebida interpretación tanto de la Ley de Procedimiento y Justicia Administrativa para el Estado de Oaxaca, como la Ley Orgánica del Tribunal de Justicia Administrativa del Estado de Oaxaca</w:t>
      </w:r>
      <w:r w:rsidR="004C58BC">
        <w:rPr>
          <w:rFonts w:ascii="Arial" w:hAnsi="Arial" w:cs="Arial"/>
          <w:sz w:val="26"/>
          <w:szCs w:val="26"/>
        </w:rPr>
        <w:t>, y</w:t>
      </w:r>
      <w:r>
        <w:rPr>
          <w:rFonts w:ascii="Arial" w:hAnsi="Arial" w:cs="Arial"/>
          <w:sz w:val="26"/>
          <w:szCs w:val="26"/>
        </w:rPr>
        <w:t xml:space="preserve"> realiza una transcripción del artículo 133 de la Ley de Procedimiento y Justicia Administrativa para el Estado de Oaxaca </w:t>
      </w:r>
      <w:r>
        <w:rPr>
          <w:rFonts w:ascii="Arial" w:hAnsi="Arial" w:cs="Arial"/>
          <w:sz w:val="26"/>
          <w:szCs w:val="26"/>
        </w:rPr>
        <w:lastRenderedPageBreak/>
        <w:t>y el artículo 36 de la Ley Orgánica del Tribunal de Justicia Administrativa del Estado de Oaxaca.</w:t>
      </w:r>
      <w:r w:rsidR="007B5824">
        <w:rPr>
          <w:rFonts w:ascii="Arial" w:hAnsi="Arial" w:cs="Arial"/>
          <w:sz w:val="26"/>
          <w:szCs w:val="26"/>
        </w:rPr>
        <w:t xml:space="preserve"> - - - - - - - - - - - - - - - - - - - - - - - - - - - - - - - - - - - </w:t>
      </w:r>
    </w:p>
    <w:p w14:paraId="5B7503E0" w14:textId="0A85CB72" w:rsidR="001F0FD1" w:rsidRDefault="001F0FD1" w:rsidP="001F0FD1">
      <w:pPr>
        <w:spacing w:before="240" w:line="360" w:lineRule="auto"/>
        <w:ind w:firstLine="708"/>
        <w:jc w:val="both"/>
        <w:rPr>
          <w:rFonts w:ascii="Arial" w:hAnsi="Arial" w:cs="Arial"/>
          <w:sz w:val="26"/>
          <w:szCs w:val="26"/>
        </w:rPr>
      </w:pPr>
      <w:r>
        <w:rPr>
          <w:rFonts w:ascii="Arial" w:hAnsi="Arial" w:cs="Arial"/>
          <w:sz w:val="26"/>
          <w:szCs w:val="26"/>
        </w:rPr>
        <w:t>Los numerales que transcribe establecen los asuntos que debe conocer el Tribunal de Justicia Administrativa del Estado de Oaxaca, y sobre ese aspecto la propia Ley de Procedimiento y Justicia Administrativa para el Estado de Oaxaca, precisa que cuando se trate de un asunto que no deba conocer el Tribunal, se ésta ante una causa de improcedencia, las cuales se encuentran contenidas en el artículo 161 de la Ley en cita, (los transcribe).</w:t>
      </w:r>
      <w:r w:rsidR="007B5824">
        <w:rPr>
          <w:rFonts w:ascii="Arial" w:hAnsi="Arial" w:cs="Arial"/>
          <w:sz w:val="26"/>
          <w:szCs w:val="26"/>
        </w:rPr>
        <w:t xml:space="preserve"> - - - - - - - - - - - - - - - - - - - - - - - - - </w:t>
      </w:r>
    </w:p>
    <w:p w14:paraId="33227E05" w14:textId="327A5255" w:rsidR="001F0FD1" w:rsidRDefault="001F0FD1" w:rsidP="001F0FD1">
      <w:pPr>
        <w:spacing w:before="240" w:line="360" w:lineRule="auto"/>
        <w:ind w:firstLine="708"/>
        <w:jc w:val="both"/>
        <w:rPr>
          <w:rFonts w:ascii="Arial" w:hAnsi="Arial" w:cs="Arial"/>
          <w:b/>
          <w:sz w:val="26"/>
          <w:szCs w:val="26"/>
        </w:rPr>
      </w:pPr>
      <w:r>
        <w:rPr>
          <w:rFonts w:ascii="Arial" w:hAnsi="Arial" w:cs="Arial"/>
          <w:sz w:val="26"/>
          <w:szCs w:val="26"/>
        </w:rPr>
        <w:t>Invoca la</w:t>
      </w:r>
      <w:r w:rsidR="004C58BC">
        <w:rPr>
          <w:rFonts w:ascii="Arial" w:hAnsi="Arial" w:cs="Arial"/>
          <w:sz w:val="26"/>
          <w:szCs w:val="26"/>
        </w:rPr>
        <w:t>s</w:t>
      </w:r>
      <w:r>
        <w:rPr>
          <w:rFonts w:ascii="Arial" w:hAnsi="Arial" w:cs="Arial"/>
          <w:sz w:val="26"/>
          <w:szCs w:val="26"/>
        </w:rPr>
        <w:t xml:space="preserve"> tesis de rubro</w:t>
      </w:r>
      <w:r w:rsidR="004C58BC">
        <w:rPr>
          <w:rFonts w:ascii="Arial" w:hAnsi="Arial" w:cs="Arial"/>
          <w:sz w:val="26"/>
          <w:szCs w:val="26"/>
        </w:rPr>
        <w:t>s</w:t>
      </w:r>
      <w:r>
        <w:rPr>
          <w:rFonts w:ascii="Arial" w:hAnsi="Arial" w:cs="Arial"/>
          <w:sz w:val="26"/>
          <w:szCs w:val="26"/>
        </w:rPr>
        <w:t xml:space="preserve"> siguiente</w:t>
      </w:r>
      <w:r w:rsidR="004C58BC">
        <w:rPr>
          <w:rFonts w:ascii="Arial" w:hAnsi="Arial" w:cs="Arial"/>
          <w:sz w:val="26"/>
          <w:szCs w:val="26"/>
        </w:rPr>
        <w:t>s</w:t>
      </w:r>
      <w:r>
        <w:rPr>
          <w:rFonts w:ascii="Arial" w:hAnsi="Arial" w:cs="Arial"/>
          <w:sz w:val="26"/>
          <w:szCs w:val="26"/>
        </w:rPr>
        <w:t xml:space="preserve">: </w:t>
      </w:r>
      <w:r w:rsidRPr="004C58BC">
        <w:rPr>
          <w:rFonts w:ascii="Arial" w:hAnsi="Arial" w:cs="Arial"/>
          <w:bCs/>
          <w:i/>
          <w:iCs/>
          <w:sz w:val="26"/>
          <w:szCs w:val="26"/>
        </w:rPr>
        <w:t>“DESECHAMIENTO DE LA DEMANDA EN EL JUICIO CONTENCIOSO ADMINISTRATIVO. EL ARTÍCULO 208, PENÚLTIMO PÁRRAFO, DEL CÓDIGO FISCAL DE LA FEDERACIÓN (VIGENTE HASTA EL 31 DE DICIEMBRE DE 2005), COINCIDENTE CON EL 14, PENÚLTIMO PÁRRAFO, DE LA LEY FEDERAL DE PROCEDIMIENTO CONTENCIOSO ADMINISTRATIVO (ACTUALMENTE EN VIGOR), NO VIOLA LA GARANTÍA DE AUDIENCIA)”, “DEMANDA EN EL JUICIO CONTENCIOSO ADMINISTRATIVO FEDERAL. SU DESECHAMIENTO SÓLO PROCEDE RESPECTO DE CAUSALES DE IMPROCEDENCIA RESULTEN NOTORIAS Y MANIFIESTAS”, “MAGISTRADO INSTRUCTOR EN EL PROCEDIMIENTO CONTENCIOSO ADMINISTRATIVO FEDERAL. CARECE DE FACULTADES PARA DESECHAR LA DEMANDA DE NULIDAD, BAJO EL ARGUMENTO DE QUE LA RESOLUCIÓN IMPUGNADA NO ES DEFINITIVA, PUES ÉSA NO ES UNA CAUSA NOTORIA NI MANIFIESTA PARA ELLO”.</w:t>
      </w:r>
      <w:r>
        <w:rPr>
          <w:rFonts w:ascii="Arial" w:hAnsi="Arial" w:cs="Arial"/>
          <w:b/>
          <w:sz w:val="26"/>
          <w:szCs w:val="26"/>
        </w:rPr>
        <w:t xml:space="preserve"> </w:t>
      </w:r>
    </w:p>
    <w:p w14:paraId="4D4950E5" w14:textId="5E209892" w:rsidR="001F0FD1" w:rsidRDefault="007F4932" w:rsidP="001F0FD1">
      <w:pPr>
        <w:spacing w:before="240" w:line="360" w:lineRule="auto"/>
        <w:ind w:firstLine="708"/>
        <w:jc w:val="both"/>
        <w:rPr>
          <w:rFonts w:ascii="Arial" w:hAnsi="Arial" w:cs="Arial"/>
          <w:sz w:val="26"/>
          <w:szCs w:val="26"/>
        </w:rPr>
      </w:pPr>
      <w:r>
        <w:rPr>
          <w:rFonts w:ascii="Arial" w:hAnsi="Arial" w:cs="Arial"/>
          <w:sz w:val="26"/>
          <w:szCs w:val="26"/>
        </w:rPr>
        <w:t>A</w:t>
      </w:r>
      <w:r w:rsidR="001F0FD1">
        <w:rPr>
          <w:rFonts w:ascii="Arial" w:hAnsi="Arial" w:cs="Arial"/>
          <w:sz w:val="26"/>
          <w:szCs w:val="26"/>
        </w:rPr>
        <w:t xml:space="preserve">lega que el acto reclamado consistente en el acuerdo de ocho de noviembre de dos mil veintiuno, a través del cual se desechó la demanda presentada en la Oficialía de Partes Común del Tribunal, resulta violatorio de los derechos humanos de legalidad, seguridad jurídica y acceso a la justicia, consignados respectivamente en los artículos 16 y 17 del Pacto Federal, motivo por el cual lo procedente es revocar el proveído en comento y conminar a la Magistrada de Sala Unitaria para que en su lugar emita uno nuevo en el que admita a trámite su demanda, así también manifiesta que debió requerirle para que aclarara o regularizara su escrito de demanda, si estimaba improcedente la misma, antes de desecharla. </w:t>
      </w:r>
      <w:r w:rsidR="007B5824">
        <w:rPr>
          <w:rFonts w:ascii="Arial" w:hAnsi="Arial" w:cs="Arial"/>
          <w:sz w:val="26"/>
          <w:szCs w:val="26"/>
        </w:rPr>
        <w:t xml:space="preserve">- - - - - - - - - - - - - - - - - - - - - - - - - - - - - - - - - - - - - </w:t>
      </w:r>
    </w:p>
    <w:p w14:paraId="10B13B2F" w14:textId="61CB5D6E" w:rsidR="001F0FD1" w:rsidRDefault="001F0FD1" w:rsidP="001F0FD1">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Argumenta que de conformidad con los artículos 1° y 17 de la Constitución General de la República, los cuales fueron reproducidos en el agravio inmediato anterior en el país, toda persona gozará de los derechos humanos reconocidos por ella y por los tratados internacionales de los que México sea parte, así como de las garantías de su protección, los cuales no podrán restringirse ni suspenderse, sino en los casos y bajo las condiciones establecidas por la propia Constitución. Así mismo la Carta Magna ha reconocido la garantía de acceso a la Justicia, conforme a la cual toda persona tiene derecho a que se le administre justicia por tribunales que estarán expeditos para impartirla en los plazos y términos que fijen las leyes. </w:t>
      </w:r>
      <w:r w:rsidR="007B5824">
        <w:rPr>
          <w:rFonts w:ascii="Arial" w:hAnsi="Arial" w:cs="Arial"/>
          <w:sz w:val="26"/>
          <w:szCs w:val="26"/>
        </w:rPr>
        <w:t xml:space="preserve">- - - - - - - - - - - - - </w:t>
      </w:r>
    </w:p>
    <w:p w14:paraId="7A383351" w14:textId="39775EE3" w:rsidR="001F0FD1" w:rsidRDefault="001F0FD1" w:rsidP="001F0FD1">
      <w:pPr>
        <w:spacing w:before="240" w:line="360" w:lineRule="auto"/>
        <w:ind w:firstLine="708"/>
        <w:jc w:val="both"/>
        <w:rPr>
          <w:rFonts w:ascii="Arial" w:hAnsi="Arial" w:cs="Arial"/>
          <w:sz w:val="26"/>
          <w:szCs w:val="26"/>
        </w:rPr>
      </w:pPr>
      <w:r>
        <w:rPr>
          <w:rFonts w:ascii="Arial" w:hAnsi="Arial" w:cs="Arial"/>
          <w:sz w:val="26"/>
          <w:szCs w:val="26"/>
        </w:rPr>
        <w:t xml:space="preserve">Expresa que debe favorecerse la interpretación más amplia o extensiva de los actos de autoridad y, como consecuencia de ello, en el caso concreto la Magistrada de Sala Unitaria previo al desechar su escrito de demanda, debió aplicar el principio </w:t>
      </w:r>
      <w:r w:rsidRPr="002E064D">
        <w:rPr>
          <w:rFonts w:ascii="Arial" w:hAnsi="Arial" w:cs="Arial"/>
          <w:i/>
          <w:iCs/>
          <w:sz w:val="26"/>
          <w:szCs w:val="26"/>
        </w:rPr>
        <w:t>“pro homine”</w:t>
      </w:r>
      <w:r>
        <w:rPr>
          <w:rFonts w:ascii="Arial" w:hAnsi="Arial" w:cs="Arial"/>
          <w:sz w:val="26"/>
          <w:szCs w:val="26"/>
        </w:rPr>
        <w:t xml:space="preserve"> en relación con el artículo 179 de la Ley de Procedimiento y Justicia Administrativa para el Estado de Oaxaca, esto es, antes de emitir el acto de autoridad que en el caso afecte la esfera jurídica, es decir el </w:t>
      </w:r>
      <w:r w:rsidR="007F4932">
        <w:rPr>
          <w:rFonts w:ascii="Arial" w:hAnsi="Arial" w:cs="Arial"/>
          <w:sz w:val="26"/>
          <w:szCs w:val="26"/>
        </w:rPr>
        <w:t>multirreferido</w:t>
      </w:r>
      <w:r>
        <w:rPr>
          <w:rFonts w:ascii="Arial" w:hAnsi="Arial" w:cs="Arial"/>
          <w:sz w:val="26"/>
          <w:szCs w:val="26"/>
        </w:rPr>
        <w:t xml:space="preserve"> acuerdo de ocho de noviembre de dos mil veintiuno, la Magistrada de Primera Instancia, debió requerirle que aclarara su demanda, a fin de esclarecer cualquier impresión, con el fin de no contravenir la garantía de previa audiencia, contenida en el artículo 14, párrafo segundo, de la Constitución Federal, ni el acceso a la jurisdicción, previsto en el artículo 17 de la propia Carta Magna.</w:t>
      </w:r>
      <w:r w:rsidR="007B5824">
        <w:rPr>
          <w:rFonts w:ascii="Arial" w:hAnsi="Arial" w:cs="Arial"/>
          <w:sz w:val="26"/>
          <w:szCs w:val="26"/>
        </w:rPr>
        <w:t xml:space="preserve"> - - - - - - - - - - - - - - - - - - - - - - - - - - - - - - - </w:t>
      </w:r>
    </w:p>
    <w:p w14:paraId="5915A1EF" w14:textId="61543D14" w:rsidR="001F0FD1" w:rsidRDefault="001F0FD1" w:rsidP="001F0FD1">
      <w:pPr>
        <w:spacing w:before="240" w:line="360" w:lineRule="auto"/>
        <w:ind w:firstLine="708"/>
        <w:jc w:val="both"/>
        <w:rPr>
          <w:rFonts w:ascii="Arial" w:hAnsi="Arial" w:cs="Arial"/>
          <w:sz w:val="26"/>
          <w:szCs w:val="26"/>
        </w:rPr>
      </w:pPr>
      <w:r>
        <w:rPr>
          <w:rFonts w:ascii="Arial" w:hAnsi="Arial" w:cs="Arial"/>
          <w:sz w:val="26"/>
          <w:szCs w:val="26"/>
        </w:rPr>
        <w:t xml:space="preserve">Manifiesta que la Magistrada de Primera Instancia no analizó en forma íntegra el escrito de demanda, por principio de cuentas es de señalarse que el primer párrafo del artículo 16 de la Constitución Política de los Estados Unidos Mexicanos, otorga la garantía de fundamentación y motivación, al exigir que todo acto de autoridad deba estar debidamente fundado en la ley y motivado por las razones aplicables a esa norma de derecho, en vinculación con la garantía de legalidad prevista en el artículo 16 constitucional, se encuentra el principio de exhaustividad de las sentencias que impone a los órganos del Estado que realizan actos materialmente jurisdiccionales, la obligación de analizar todos los puntos que forman la Litis al momento de resolver una controversia sometida a su jurisdicción, principio que en materia </w:t>
      </w:r>
      <w:r>
        <w:rPr>
          <w:rFonts w:ascii="Arial" w:hAnsi="Arial" w:cs="Arial"/>
          <w:sz w:val="26"/>
          <w:szCs w:val="26"/>
        </w:rPr>
        <w:lastRenderedPageBreak/>
        <w:t xml:space="preserve">contenciosa administrativa se prevé en los artículos 190 y 206 de la Ley de Procedimiento y Justicia Administrativa para el Estado de Oaxaca </w:t>
      </w:r>
      <w:r w:rsidR="00B90D62">
        <w:rPr>
          <w:rFonts w:ascii="Arial" w:hAnsi="Arial" w:cs="Arial"/>
          <w:sz w:val="26"/>
          <w:szCs w:val="26"/>
        </w:rPr>
        <w:t>(</w:t>
      </w:r>
      <w:r>
        <w:rPr>
          <w:rFonts w:ascii="Arial" w:hAnsi="Arial" w:cs="Arial"/>
          <w:sz w:val="26"/>
          <w:szCs w:val="26"/>
        </w:rPr>
        <w:t>los transcribe</w:t>
      </w:r>
      <w:r w:rsidR="00B90D62">
        <w:rPr>
          <w:rFonts w:ascii="Arial" w:hAnsi="Arial" w:cs="Arial"/>
          <w:sz w:val="26"/>
          <w:szCs w:val="26"/>
        </w:rPr>
        <w:t>).</w:t>
      </w:r>
      <w:r w:rsidR="007B5824">
        <w:rPr>
          <w:rFonts w:ascii="Arial" w:hAnsi="Arial" w:cs="Arial"/>
          <w:sz w:val="26"/>
          <w:szCs w:val="26"/>
        </w:rPr>
        <w:t xml:space="preserve"> - - - - - - - - - - - - - - - - - - - - - - - - - - - - - - - - - - - - - - - - - - - - </w:t>
      </w:r>
    </w:p>
    <w:p w14:paraId="2DF2433D" w14:textId="1EAB3884" w:rsidR="001F0FD1" w:rsidRPr="0060708D" w:rsidRDefault="001F0FD1" w:rsidP="001F0FD1">
      <w:pPr>
        <w:spacing w:before="240" w:line="360" w:lineRule="auto"/>
        <w:ind w:firstLine="708"/>
        <w:jc w:val="both"/>
        <w:rPr>
          <w:rFonts w:ascii="Arial" w:hAnsi="Arial" w:cs="Arial"/>
          <w:sz w:val="26"/>
          <w:szCs w:val="26"/>
        </w:rPr>
      </w:pPr>
      <w:r>
        <w:rPr>
          <w:rFonts w:ascii="Arial" w:hAnsi="Arial" w:cs="Arial"/>
          <w:sz w:val="26"/>
          <w:szCs w:val="26"/>
        </w:rPr>
        <w:t>Señala que la Primera Instancia no advirtió que en su escrito de demanda se manifestó que se actualizó la hipótesis contenida en el artículo 133, fracción X, inciso b), de la Ley de Procedimiento y Justicia Administrativa para el Estado de Oaxaca, como también no se pronunció en relación con la resolución impugnada a través de la cual, la Secretaría de Finanzas del Estado de Oaxaca fijó en cantidad l</w:t>
      </w:r>
      <w:r w:rsidR="007B02BC">
        <w:rPr>
          <w:rFonts w:ascii="Arial" w:hAnsi="Arial" w:cs="Arial"/>
          <w:sz w:val="26"/>
          <w:szCs w:val="26"/>
        </w:rPr>
        <w:t>í</w:t>
      </w:r>
      <w:r>
        <w:rPr>
          <w:rFonts w:ascii="Arial" w:hAnsi="Arial" w:cs="Arial"/>
          <w:sz w:val="26"/>
          <w:szCs w:val="26"/>
        </w:rPr>
        <w:t xml:space="preserve">quida la multa determinada en el oficio número </w:t>
      </w:r>
      <w:r w:rsidR="00FB50D5">
        <w:rPr>
          <w:rFonts w:ascii="Arial" w:hAnsi="Arial" w:cs="Arial"/>
          <w:b/>
          <w:bCs/>
          <w:sz w:val="26"/>
          <w:szCs w:val="26"/>
        </w:rPr>
        <w:t>*******</w:t>
      </w:r>
      <w:r>
        <w:rPr>
          <w:rFonts w:ascii="Arial" w:hAnsi="Arial" w:cs="Arial"/>
          <w:sz w:val="26"/>
          <w:szCs w:val="26"/>
        </w:rPr>
        <w:t xml:space="preserve"> de veintisiete de octubre de dos mil veinte y con la cual determinó el crédito fiscal </w:t>
      </w:r>
      <w:r w:rsidR="00FB50D5">
        <w:rPr>
          <w:rFonts w:ascii="Arial" w:hAnsi="Arial" w:cs="Arial"/>
          <w:sz w:val="26"/>
          <w:szCs w:val="26"/>
        </w:rPr>
        <w:t>*******</w:t>
      </w:r>
      <w:r>
        <w:rPr>
          <w:rFonts w:ascii="Arial" w:hAnsi="Arial" w:cs="Arial"/>
          <w:sz w:val="26"/>
          <w:szCs w:val="26"/>
        </w:rPr>
        <w:t>, y tampoco no consideró el argumento de procedencia del juicio contencioso administrativo, sustentado en criterios del poder judicial de la federación en el cual expone la inaplicabilidad de la regla general para la impugnación de las violaciones cometidas antes del remate hasta que se publique la convocatoria respectiva.</w:t>
      </w:r>
      <w:r w:rsidR="007B5824">
        <w:rPr>
          <w:rFonts w:ascii="Arial" w:hAnsi="Arial" w:cs="Arial"/>
          <w:sz w:val="26"/>
          <w:szCs w:val="26"/>
        </w:rPr>
        <w:t xml:space="preserve"> - - - - - - - - - - - </w:t>
      </w:r>
    </w:p>
    <w:p w14:paraId="0068CC47" w14:textId="648662AC" w:rsidR="00175B0E" w:rsidRDefault="00175B0E" w:rsidP="00175B0E">
      <w:pPr>
        <w:pStyle w:val="Textoindependiente"/>
        <w:spacing w:after="200" w:line="360" w:lineRule="auto"/>
        <w:ind w:firstLine="708"/>
        <w:jc w:val="both"/>
        <w:rPr>
          <w:rFonts w:ascii="Arial" w:eastAsia="Calibri" w:hAnsi="Arial" w:cs="Arial"/>
          <w:sz w:val="26"/>
          <w:szCs w:val="26"/>
        </w:rPr>
      </w:pPr>
      <w:r>
        <w:rPr>
          <w:rFonts w:ascii="Arial" w:eastAsia="Calibri" w:hAnsi="Arial" w:cs="Arial"/>
          <w:sz w:val="26"/>
          <w:szCs w:val="26"/>
        </w:rPr>
        <w:t xml:space="preserve">Esta Sala Superior estima que son </w:t>
      </w:r>
      <w:r w:rsidRPr="00175B0E">
        <w:rPr>
          <w:rFonts w:ascii="Arial" w:eastAsia="Calibri" w:hAnsi="Arial" w:cs="Arial"/>
          <w:b/>
          <w:sz w:val="26"/>
          <w:szCs w:val="26"/>
        </w:rPr>
        <w:t>fundados</w:t>
      </w:r>
      <w:r w:rsidR="005F3705">
        <w:rPr>
          <w:rFonts w:ascii="Arial" w:eastAsia="Calibri" w:hAnsi="Arial" w:cs="Arial"/>
          <w:sz w:val="26"/>
          <w:szCs w:val="26"/>
        </w:rPr>
        <w:t xml:space="preserve"> los agravios del recurrente.</w:t>
      </w:r>
      <w:r w:rsidR="007B5824">
        <w:rPr>
          <w:rFonts w:ascii="Arial" w:eastAsia="Calibri" w:hAnsi="Arial" w:cs="Arial"/>
          <w:sz w:val="26"/>
          <w:szCs w:val="26"/>
        </w:rPr>
        <w:t xml:space="preserve"> </w:t>
      </w:r>
      <w:r w:rsidR="007B5824">
        <w:rPr>
          <w:rFonts w:ascii="Arial" w:hAnsi="Arial" w:cs="Arial"/>
          <w:sz w:val="26"/>
          <w:szCs w:val="26"/>
        </w:rPr>
        <w:t xml:space="preserve">- - - - - - - - - - - - - - - - - - - - - - - - - - - - - - - - - - - - - - - - - - - - </w:t>
      </w:r>
    </w:p>
    <w:p w14:paraId="0DC5F3B6" w14:textId="44257F99" w:rsidR="00015A31" w:rsidRPr="00F075A6" w:rsidRDefault="005F3705" w:rsidP="007B5824">
      <w:pPr>
        <w:pStyle w:val="Textoindependiente"/>
        <w:spacing w:after="0" w:line="360" w:lineRule="auto"/>
        <w:ind w:firstLine="708"/>
        <w:jc w:val="both"/>
        <w:rPr>
          <w:rFonts w:ascii="Arial" w:eastAsia="Calibri" w:hAnsi="Arial" w:cs="Arial"/>
          <w:b/>
          <w:sz w:val="26"/>
          <w:szCs w:val="26"/>
        </w:rPr>
      </w:pPr>
      <w:r>
        <w:rPr>
          <w:rFonts w:ascii="Arial" w:eastAsia="Calibri" w:hAnsi="Arial" w:cs="Arial"/>
          <w:bCs/>
          <w:sz w:val="26"/>
          <w:szCs w:val="26"/>
        </w:rPr>
        <w:t xml:space="preserve">En principio es necesario indicar, que de </w:t>
      </w:r>
      <w:r w:rsidRPr="00F062FC">
        <w:rPr>
          <w:rFonts w:ascii="Arial" w:eastAsia="Calibri" w:hAnsi="Arial" w:cs="Arial"/>
          <w:bCs/>
          <w:sz w:val="26"/>
          <w:szCs w:val="26"/>
        </w:rPr>
        <w:t xml:space="preserve">las constancias </w:t>
      </w:r>
      <w:r>
        <w:rPr>
          <w:rFonts w:ascii="Arial" w:eastAsia="Calibri" w:hAnsi="Arial" w:cs="Arial"/>
          <w:bCs/>
          <w:sz w:val="26"/>
          <w:szCs w:val="26"/>
        </w:rPr>
        <w:t xml:space="preserve">procesales </w:t>
      </w:r>
      <w:r w:rsidRPr="00F062FC">
        <w:rPr>
          <w:rFonts w:ascii="Arial" w:eastAsia="Calibri" w:hAnsi="Arial" w:cs="Arial"/>
          <w:bCs/>
          <w:sz w:val="26"/>
          <w:szCs w:val="26"/>
        </w:rPr>
        <w:t>que integran el ex</w:t>
      </w:r>
      <w:r>
        <w:rPr>
          <w:rFonts w:ascii="Arial" w:eastAsia="Calibri" w:hAnsi="Arial" w:cs="Arial"/>
          <w:bCs/>
          <w:sz w:val="26"/>
          <w:szCs w:val="26"/>
        </w:rPr>
        <w:t xml:space="preserve">pediente de primera instancia, </w:t>
      </w:r>
      <w:r w:rsidRPr="00F062FC">
        <w:rPr>
          <w:rFonts w:ascii="Arial" w:eastAsia="Calibri" w:hAnsi="Arial" w:cs="Arial"/>
          <w:bCs/>
          <w:sz w:val="26"/>
          <w:szCs w:val="26"/>
        </w:rPr>
        <w:t xml:space="preserve">las que </w:t>
      </w:r>
      <w:r>
        <w:rPr>
          <w:rFonts w:ascii="Arial" w:eastAsia="Calibri" w:hAnsi="Arial" w:cs="Arial"/>
          <w:bCs/>
          <w:sz w:val="26"/>
          <w:szCs w:val="26"/>
        </w:rPr>
        <w:t>tienen</w:t>
      </w:r>
      <w:r w:rsidRPr="00F062FC">
        <w:rPr>
          <w:rFonts w:ascii="Arial" w:eastAsia="Calibri" w:hAnsi="Arial" w:cs="Arial"/>
          <w:bCs/>
          <w:sz w:val="26"/>
          <w:szCs w:val="26"/>
        </w:rPr>
        <w:t xml:space="preserve"> pleno valor probatorio por tratarse de actuaciones judiciales, conforme</w:t>
      </w:r>
      <w:r>
        <w:rPr>
          <w:rFonts w:ascii="Arial" w:eastAsia="Calibri" w:hAnsi="Arial" w:cs="Arial"/>
          <w:bCs/>
          <w:sz w:val="26"/>
          <w:szCs w:val="26"/>
        </w:rPr>
        <w:t xml:space="preserve"> a</w:t>
      </w:r>
      <w:r w:rsidRPr="00F062FC">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Procedimiento y Justicia Administrativa para el Estado de Oaxaca</w:t>
      </w:r>
      <w:r w:rsidR="00F075A6">
        <w:rPr>
          <w:rFonts w:ascii="Arial" w:eastAsia="Calibri" w:hAnsi="Arial" w:cs="Arial"/>
          <w:bCs/>
          <w:sz w:val="26"/>
          <w:szCs w:val="26"/>
        </w:rPr>
        <w:t xml:space="preserve">, </w:t>
      </w:r>
      <w:r w:rsidR="00015A31">
        <w:rPr>
          <w:rFonts w:ascii="Arial" w:eastAsia="Calibri" w:hAnsi="Arial" w:cs="Arial"/>
          <w:bCs/>
          <w:sz w:val="26"/>
          <w:szCs w:val="26"/>
        </w:rPr>
        <w:t xml:space="preserve">se advierte que el demandante impugnó </w:t>
      </w:r>
      <w:r w:rsidR="00B60C24">
        <w:rPr>
          <w:rFonts w:ascii="Arial" w:eastAsia="Calibri" w:hAnsi="Arial" w:cs="Arial"/>
          <w:bCs/>
          <w:sz w:val="26"/>
          <w:szCs w:val="26"/>
        </w:rPr>
        <w:t xml:space="preserve">los actos consistentes en el crédito </w:t>
      </w:r>
      <w:r w:rsidR="00B60C24" w:rsidRPr="00B60C24">
        <w:rPr>
          <w:rFonts w:ascii="Arial" w:eastAsia="Calibri" w:hAnsi="Arial" w:cs="Arial"/>
          <w:bCs/>
          <w:sz w:val="26"/>
          <w:szCs w:val="26"/>
        </w:rPr>
        <w:t xml:space="preserve">número </w:t>
      </w:r>
      <w:r w:rsidR="00FB50D5">
        <w:rPr>
          <w:rFonts w:ascii="Arial" w:eastAsia="Calibri" w:hAnsi="Arial" w:cs="Arial"/>
          <w:b/>
          <w:sz w:val="26"/>
          <w:szCs w:val="26"/>
        </w:rPr>
        <w:t>*******</w:t>
      </w:r>
      <w:r w:rsidR="00B60C24">
        <w:rPr>
          <w:rFonts w:ascii="Arial" w:eastAsia="Calibri" w:hAnsi="Arial" w:cs="Arial"/>
          <w:bCs/>
          <w:sz w:val="26"/>
          <w:szCs w:val="26"/>
        </w:rPr>
        <w:t xml:space="preserve"> y el mandamiento de ejecución </w:t>
      </w:r>
      <w:r w:rsidR="00B60C24" w:rsidRPr="00B60C24">
        <w:rPr>
          <w:rFonts w:ascii="Arial" w:eastAsia="Calibri" w:hAnsi="Arial" w:cs="Arial"/>
          <w:bCs/>
          <w:sz w:val="26"/>
          <w:szCs w:val="26"/>
        </w:rPr>
        <w:t xml:space="preserve">número </w:t>
      </w:r>
      <w:bookmarkStart w:id="0" w:name="_Hlk109848362"/>
      <w:r w:rsidR="00FB50D5">
        <w:rPr>
          <w:rFonts w:ascii="Arial" w:eastAsia="Calibri" w:hAnsi="Arial" w:cs="Arial"/>
          <w:b/>
          <w:sz w:val="26"/>
          <w:szCs w:val="26"/>
        </w:rPr>
        <w:t>*******</w:t>
      </w:r>
      <w:r w:rsidR="00B60C24" w:rsidRPr="00356AE9">
        <w:rPr>
          <w:rFonts w:ascii="Arial" w:eastAsia="Calibri" w:hAnsi="Arial" w:cs="Arial"/>
          <w:b/>
          <w:sz w:val="26"/>
          <w:szCs w:val="26"/>
        </w:rPr>
        <w:t xml:space="preserve"> </w:t>
      </w:r>
      <w:r w:rsidR="00B60C24">
        <w:rPr>
          <w:rFonts w:ascii="Arial" w:eastAsia="Calibri" w:hAnsi="Arial" w:cs="Arial"/>
          <w:bCs/>
          <w:sz w:val="26"/>
          <w:szCs w:val="26"/>
        </w:rPr>
        <w:t>de</w:t>
      </w:r>
      <w:r w:rsidR="00F075A6">
        <w:rPr>
          <w:rFonts w:ascii="Arial" w:eastAsia="Calibri" w:hAnsi="Arial" w:cs="Arial"/>
          <w:bCs/>
          <w:sz w:val="26"/>
          <w:szCs w:val="26"/>
        </w:rPr>
        <w:t xml:space="preserve"> trece de julio </w:t>
      </w:r>
      <w:r w:rsidR="00B60C24">
        <w:rPr>
          <w:rFonts w:ascii="Arial" w:eastAsia="Calibri" w:hAnsi="Arial" w:cs="Arial"/>
          <w:bCs/>
          <w:sz w:val="26"/>
          <w:szCs w:val="26"/>
        </w:rPr>
        <w:t>de dos mil veint</w:t>
      </w:r>
      <w:r w:rsidR="00F075A6">
        <w:rPr>
          <w:rFonts w:ascii="Arial" w:eastAsia="Calibri" w:hAnsi="Arial" w:cs="Arial"/>
          <w:bCs/>
          <w:sz w:val="26"/>
          <w:szCs w:val="26"/>
        </w:rPr>
        <w:t>iuno</w:t>
      </w:r>
      <w:bookmarkEnd w:id="0"/>
      <w:r w:rsidR="00B60C24">
        <w:rPr>
          <w:rFonts w:ascii="Arial" w:eastAsia="Calibri" w:hAnsi="Arial" w:cs="Arial"/>
          <w:bCs/>
          <w:sz w:val="26"/>
          <w:szCs w:val="26"/>
        </w:rPr>
        <w:t xml:space="preserve">, </w:t>
      </w:r>
      <w:r w:rsidR="00793979">
        <w:rPr>
          <w:rFonts w:ascii="Arial" w:eastAsia="Calibri" w:hAnsi="Arial" w:cs="Arial"/>
          <w:bCs/>
          <w:sz w:val="26"/>
          <w:szCs w:val="26"/>
        </w:rPr>
        <w:t>y se observa que en sus pretensiones, señal</w:t>
      </w:r>
      <w:r w:rsidR="00916A04">
        <w:rPr>
          <w:rFonts w:ascii="Arial" w:eastAsia="Calibri" w:hAnsi="Arial" w:cs="Arial"/>
          <w:bCs/>
          <w:sz w:val="26"/>
          <w:szCs w:val="26"/>
        </w:rPr>
        <w:t xml:space="preserve">ó que el crédito </w:t>
      </w:r>
      <w:r w:rsidR="00916A04" w:rsidRPr="00B60C24">
        <w:rPr>
          <w:rFonts w:ascii="Arial" w:eastAsia="Calibri" w:hAnsi="Arial" w:cs="Arial"/>
          <w:bCs/>
          <w:sz w:val="26"/>
          <w:szCs w:val="26"/>
        </w:rPr>
        <w:t xml:space="preserve">número </w:t>
      </w:r>
      <w:r w:rsidR="00FB50D5">
        <w:rPr>
          <w:rFonts w:ascii="Arial" w:eastAsia="Calibri" w:hAnsi="Arial" w:cs="Arial"/>
          <w:bCs/>
          <w:sz w:val="26"/>
          <w:szCs w:val="26"/>
        </w:rPr>
        <w:t>*******</w:t>
      </w:r>
      <w:r w:rsidR="00916A04">
        <w:rPr>
          <w:rFonts w:ascii="Arial" w:eastAsia="Calibri" w:hAnsi="Arial" w:cs="Arial"/>
          <w:bCs/>
          <w:sz w:val="26"/>
          <w:szCs w:val="26"/>
        </w:rPr>
        <w:t xml:space="preserve"> fue emitido por </w:t>
      </w:r>
      <w:r w:rsidR="00F075A6">
        <w:rPr>
          <w:rFonts w:ascii="Arial" w:eastAsia="Calibri" w:hAnsi="Arial" w:cs="Arial"/>
          <w:bCs/>
          <w:sz w:val="26"/>
          <w:szCs w:val="26"/>
        </w:rPr>
        <w:t xml:space="preserve">el Órgano Superior de Fiscalización del Estado, </w:t>
      </w:r>
      <w:r w:rsidR="00187A2E">
        <w:rPr>
          <w:rFonts w:ascii="Arial" w:eastAsia="Calibri" w:hAnsi="Arial" w:cs="Arial"/>
          <w:bCs/>
          <w:sz w:val="26"/>
          <w:szCs w:val="26"/>
        </w:rPr>
        <w:t>el veinti</w:t>
      </w:r>
      <w:r w:rsidR="00F075A6">
        <w:rPr>
          <w:rFonts w:ascii="Arial" w:eastAsia="Calibri" w:hAnsi="Arial" w:cs="Arial"/>
          <w:bCs/>
          <w:sz w:val="26"/>
          <w:szCs w:val="26"/>
        </w:rPr>
        <w:t>siete de octubre de dos mil veinte</w:t>
      </w:r>
      <w:r w:rsidR="006246C1">
        <w:rPr>
          <w:rFonts w:ascii="Arial" w:eastAsia="Calibri" w:hAnsi="Arial" w:cs="Arial"/>
          <w:bCs/>
          <w:sz w:val="26"/>
          <w:szCs w:val="26"/>
        </w:rPr>
        <w:t xml:space="preserve"> </w:t>
      </w:r>
      <w:r w:rsidR="00187A2E">
        <w:rPr>
          <w:rFonts w:ascii="Arial" w:eastAsia="Calibri" w:hAnsi="Arial" w:cs="Arial"/>
          <w:bCs/>
          <w:sz w:val="26"/>
          <w:szCs w:val="26"/>
        </w:rPr>
        <w:t xml:space="preserve">en la resolución determinante </w:t>
      </w:r>
      <w:r w:rsidR="00FB50D5">
        <w:rPr>
          <w:rFonts w:ascii="Arial" w:eastAsia="Calibri" w:hAnsi="Arial" w:cs="Arial"/>
          <w:b/>
          <w:sz w:val="26"/>
          <w:szCs w:val="26"/>
        </w:rPr>
        <w:t>*******</w:t>
      </w:r>
      <w:r w:rsidR="00187A2E" w:rsidRPr="00F075A6">
        <w:rPr>
          <w:rFonts w:ascii="Arial" w:eastAsia="Calibri" w:hAnsi="Arial" w:cs="Arial"/>
          <w:b/>
          <w:sz w:val="26"/>
          <w:szCs w:val="26"/>
        </w:rPr>
        <w:t>.</w:t>
      </w:r>
      <w:r w:rsidR="007B5824">
        <w:rPr>
          <w:rFonts w:ascii="Arial" w:eastAsia="Calibri" w:hAnsi="Arial" w:cs="Arial"/>
          <w:b/>
          <w:sz w:val="26"/>
          <w:szCs w:val="26"/>
        </w:rPr>
        <w:t xml:space="preserve"> </w:t>
      </w:r>
      <w:r w:rsidR="007B5824">
        <w:rPr>
          <w:rFonts w:ascii="Arial" w:hAnsi="Arial" w:cs="Arial"/>
          <w:sz w:val="26"/>
          <w:szCs w:val="26"/>
        </w:rPr>
        <w:t xml:space="preserve">- - - - - - - - - - - - - - - - - - - - - - - - - </w:t>
      </w:r>
    </w:p>
    <w:p w14:paraId="753D489C" w14:textId="2FB2A9DD" w:rsidR="00C13F72" w:rsidRDefault="00187A2E" w:rsidP="00015A31">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En ese orden de ideas, del análisis efectuado a</w:t>
      </w:r>
      <w:r w:rsidR="00E77DBE">
        <w:rPr>
          <w:rFonts w:ascii="Arial" w:eastAsia="Calibri" w:hAnsi="Arial" w:cs="Arial"/>
          <w:bCs/>
          <w:sz w:val="26"/>
          <w:szCs w:val="26"/>
        </w:rPr>
        <w:t xml:space="preserve"> la</w:t>
      </w:r>
      <w:r w:rsidR="00C13F72">
        <w:rPr>
          <w:rFonts w:ascii="Arial" w:eastAsia="Calibri" w:hAnsi="Arial" w:cs="Arial"/>
          <w:bCs/>
          <w:sz w:val="26"/>
          <w:szCs w:val="26"/>
        </w:rPr>
        <w:t>s</w:t>
      </w:r>
      <w:r>
        <w:rPr>
          <w:rFonts w:ascii="Arial" w:eastAsia="Calibri" w:hAnsi="Arial" w:cs="Arial"/>
          <w:bCs/>
          <w:sz w:val="26"/>
          <w:szCs w:val="26"/>
        </w:rPr>
        <w:t xml:space="preserve"> constancia</w:t>
      </w:r>
      <w:r w:rsidR="00C13F72">
        <w:rPr>
          <w:rFonts w:ascii="Arial" w:eastAsia="Calibri" w:hAnsi="Arial" w:cs="Arial"/>
          <w:bCs/>
          <w:sz w:val="26"/>
          <w:szCs w:val="26"/>
        </w:rPr>
        <w:t>s</w:t>
      </w:r>
      <w:r>
        <w:rPr>
          <w:rFonts w:ascii="Arial" w:eastAsia="Calibri" w:hAnsi="Arial" w:cs="Arial"/>
          <w:bCs/>
          <w:sz w:val="26"/>
          <w:szCs w:val="26"/>
        </w:rPr>
        <w:t xml:space="preserve"> de</w:t>
      </w:r>
      <w:r w:rsidR="00E77DBE">
        <w:rPr>
          <w:rFonts w:ascii="Arial" w:eastAsia="Calibri" w:hAnsi="Arial" w:cs="Arial"/>
          <w:bCs/>
          <w:sz w:val="26"/>
          <w:szCs w:val="26"/>
        </w:rPr>
        <w:t xml:space="preserve">l mandamiento de ejecución </w:t>
      </w:r>
      <w:r w:rsidR="00FB50D5">
        <w:rPr>
          <w:rFonts w:ascii="Arial" w:eastAsia="Calibri" w:hAnsi="Arial" w:cs="Arial"/>
          <w:b/>
          <w:sz w:val="26"/>
          <w:szCs w:val="26"/>
        </w:rPr>
        <w:t>*******</w:t>
      </w:r>
      <w:r w:rsidR="00356AE9" w:rsidRPr="00356AE9">
        <w:rPr>
          <w:rFonts w:ascii="Arial" w:eastAsia="Calibri" w:hAnsi="Arial" w:cs="Arial"/>
          <w:b/>
          <w:sz w:val="26"/>
          <w:szCs w:val="26"/>
        </w:rPr>
        <w:t xml:space="preserve"> </w:t>
      </w:r>
      <w:r w:rsidR="00E77DBE" w:rsidRPr="00E77DBE">
        <w:rPr>
          <w:rFonts w:ascii="Arial" w:eastAsia="Calibri" w:hAnsi="Arial" w:cs="Arial"/>
          <w:bCs/>
          <w:sz w:val="26"/>
          <w:szCs w:val="26"/>
        </w:rPr>
        <w:t>y de su acta de requerimiento de pago</w:t>
      </w:r>
      <w:r w:rsidR="00E77DBE">
        <w:rPr>
          <w:rStyle w:val="Refdenotaalpie"/>
          <w:rFonts w:ascii="Arial" w:eastAsia="Calibri" w:hAnsi="Arial" w:cs="Arial"/>
          <w:bCs/>
          <w:sz w:val="26"/>
          <w:szCs w:val="26"/>
        </w:rPr>
        <w:footnoteReference w:id="2"/>
      </w:r>
      <w:r>
        <w:rPr>
          <w:rFonts w:ascii="Arial" w:eastAsia="Calibri" w:hAnsi="Arial" w:cs="Arial"/>
          <w:bCs/>
          <w:sz w:val="26"/>
          <w:szCs w:val="26"/>
        </w:rPr>
        <w:t xml:space="preserve">, se observa </w:t>
      </w:r>
      <w:r w:rsidR="00C13F72">
        <w:rPr>
          <w:rFonts w:ascii="Arial" w:eastAsia="Calibri" w:hAnsi="Arial" w:cs="Arial"/>
          <w:bCs/>
          <w:sz w:val="26"/>
          <w:szCs w:val="26"/>
        </w:rPr>
        <w:t>lo siguiente:</w:t>
      </w:r>
    </w:p>
    <w:p w14:paraId="5A90EDFF" w14:textId="6D4E0610" w:rsidR="00C13F72" w:rsidRDefault="00C13F72" w:rsidP="00C13F72">
      <w:pPr>
        <w:pStyle w:val="Textoindependiente"/>
        <w:numPr>
          <w:ilvl w:val="0"/>
          <w:numId w:val="13"/>
        </w:numPr>
        <w:spacing w:after="200" w:line="360" w:lineRule="auto"/>
        <w:jc w:val="both"/>
        <w:rPr>
          <w:rFonts w:ascii="Arial" w:eastAsia="Calibri" w:hAnsi="Arial" w:cs="Arial"/>
          <w:bCs/>
          <w:sz w:val="26"/>
          <w:szCs w:val="26"/>
        </w:rPr>
      </w:pPr>
      <w:r>
        <w:rPr>
          <w:rFonts w:ascii="Arial" w:eastAsia="Calibri" w:hAnsi="Arial" w:cs="Arial"/>
          <w:bCs/>
          <w:sz w:val="26"/>
          <w:szCs w:val="26"/>
        </w:rPr>
        <w:t>Q</w:t>
      </w:r>
      <w:r w:rsidR="00187A2E">
        <w:rPr>
          <w:rFonts w:ascii="Arial" w:eastAsia="Calibri" w:hAnsi="Arial" w:cs="Arial"/>
          <w:bCs/>
          <w:sz w:val="26"/>
          <w:szCs w:val="26"/>
        </w:rPr>
        <w:t xml:space="preserve">ue </w:t>
      </w:r>
      <w:r w:rsidR="00E77DBE">
        <w:rPr>
          <w:rFonts w:ascii="Arial" w:eastAsia="Calibri" w:hAnsi="Arial" w:cs="Arial"/>
          <w:bCs/>
          <w:sz w:val="26"/>
          <w:szCs w:val="26"/>
        </w:rPr>
        <w:t>la resolución determinante del crédito n</w:t>
      </w:r>
      <w:r>
        <w:rPr>
          <w:rFonts w:ascii="Arial" w:eastAsia="Calibri" w:hAnsi="Arial" w:cs="Arial"/>
          <w:bCs/>
          <w:sz w:val="26"/>
          <w:szCs w:val="26"/>
        </w:rPr>
        <w:t xml:space="preserve">úmero </w:t>
      </w:r>
      <w:r w:rsidR="00FB50D5">
        <w:rPr>
          <w:rFonts w:ascii="Arial" w:eastAsia="Calibri" w:hAnsi="Arial" w:cs="Arial"/>
          <w:b/>
          <w:sz w:val="26"/>
          <w:szCs w:val="26"/>
        </w:rPr>
        <w:t>*******</w:t>
      </w:r>
      <w:r>
        <w:rPr>
          <w:rFonts w:ascii="Arial" w:eastAsia="Calibri" w:hAnsi="Arial" w:cs="Arial"/>
          <w:bCs/>
          <w:sz w:val="26"/>
          <w:szCs w:val="26"/>
        </w:rPr>
        <w:t xml:space="preserve"> fue la identificada con el </w:t>
      </w:r>
      <w:bookmarkStart w:id="1" w:name="_Hlk109847760"/>
      <w:bookmarkStart w:id="2" w:name="_Hlk109847869"/>
      <w:r>
        <w:rPr>
          <w:rFonts w:ascii="Arial" w:eastAsia="Calibri" w:hAnsi="Arial" w:cs="Arial"/>
          <w:bCs/>
          <w:sz w:val="26"/>
          <w:szCs w:val="26"/>
        </w:rPr>
        <w:t>número</w:t>
      </w:r>
      <w:r w:rsidR="00356AE9" w:rsidRPr="00356AE9">
        <w:rPr>
          <w:rFonts w:ascii="Arial" w:eastAsia="Calibri" w:hAnsi="Arial" w:cs="Arial"/>
          <w:b/>
          <w:sz w:val="26"/>
          <w:szCs w:val="26"/>
        </w:rPr>
        <w:t xml:space="preserve"> </w:t>
      </w:r>
      <w:r w:rsidR="00FB50D5">
        <w:rPr>
          <w:rFonts w:ascii="Arial" w:eastAsia="Calibri" w:hAnsi="Arial" w:cs="Arial"/>
          <w:b/>
          <w:sz w:val="26"/>
          <w:szCs w:val="26"/>
        </w:rPr>
        <w:t>*******</w:t>
      </w:r>
      <w:r>
        <w:rPr>
          <w:rFonts w:ascii="Arial" w:eastAsia="Calibri" w:hAnsi="Arial" w:cs="Arial"/>
          <w:bCs/>
          <w:sz w:val="26"/>
          <w:szCs w:val="26"/>
        </w:rPr>
        <w:t xml:space="preserve"> de</w:t>
      </w:r>
      <w:r w:rsidR="00356AE9">
        <w:rPr>
          <w:rFonts w:ascii="Arial" w:eastAsia="Calibri" w:hAnsi="Arial" w:cs="Arial"/>
          <w:bCs/>
          <w:sz w:val="26"/>
          <w:szCs w:val="26"/>
        </w:rPr>
        <w:t xml:space="preserve"> veintisiete de octubre de dos mil veinte</w:t>
      </w:r>
      <w:r>
        <w:rPr>
          <w:rFonts w:ascii="Arial" w:eastAsia="Calibri" w:hAnsi="Arial" w:cs="Arial"/>
          <w:bCs/>
          <w:sz w:val="26"/>
          <w:szCs w:val="26"/>
        </w:rPr>
        <w:t xml:space="preserve">, </w:t>
      </w:r>
      <w:bookmarkEnd w:id="1"/>
      <w:r w:rsidR="006246C1">
        <w:rPr>
          <w:rFonts w:ascii="Arial" w:eastAsia="Calibri" w:hAnsi="Arial" w:cs="Arial"/>
          <w:bCs/>
          <w:sz w:val="26"/>
          <w:szCs w:val="26"/>
        </w:rPr>
        <w:t xml:space="preserve">emitida por </w:t>
      </w:r>
      <w:r w:rsidR="00F84D04">
        <w:rPr>
          <w:rFonts w:ascii="Arial" w:eastAsia="Calibri" w:hAnsi="Arial" w:cs="Arial"/>
          <w:bCs/>
          <w:sz w:val="26"/>
          <w:szCs w:val="26"/>
        </w:rPr>
        <w:t>el Órgano Superior de Fiscalización del Estado.</w:t>
      </w:r>
      <w:bookmarkEnd w:id="2"/>
    </w:p>
    <w:p w14:paraId="180086A0" w14:textId="2014BF92" w:rsidR="00187A2E" w:rsidRDefault="00C13F72" w:rsidP="00C13F72">
      <w:pPr>
        <w:pStyle w:val="Textoindependiente"/>
        <w:numPr>
          <w:ilvl w:val="0"/>
          <w:numId w:val="13"/>
        </w:numPr>
        <w:spacing w:after="200" w:line="360" w:lineRule="auto"/>
        <w:jc w:val="both"/>
        <w:rPr>
          <w:rFonts w:ascii="Arial" w:eastAsia="Calibri" w:hAnsi="Arial" w:cs="Arial"/>
          <w:bCs/>
          <w:sz w:val="26"/>
          <w:szCs w:val="26"/>
        </w:rPr>
      </w:pPr>
      <w:r>
        <w:rPr>
          <w:rFonts w:ascii="Arial" w:eastAsia="Calibri" w:hAnsi="Arial" w:cs="Arial"/>
          <w:bCs/>
          <w:sz w:val="26"/>
          <w:szCs w:val="26"/>
        </w:rPr>
        <w:t xml:space="preserve">Que el concepto de pago </w:t>
      </w:r>
      <w:r w:rsidR="00BA141B">
        <w:rPr>
          <w:rFonts w:ascii="Arial" w:eastAsia="Calibri" w:hAnsi="Arial" w:cs="Arial"/>
          <w:bCs/>
          <w:sz w:val="26"/>
          <w:szCs w:val="26"/>
        </w:rPr>
        <w:t>requerido</w:t>
      </w:r>
      <w:r w:rsidR="00323F68">
        <w:rPr>
          <w:rFonts w:ascii="Arial" w:eastAsia="Calibri" w:hAnsi="Arial" w:cs="Arial"/>
          <w:bCs/>
          <w:sz w:val="26"/>
          <w:szCs w:val="26"/>
        </w:rPr>
        <w:t xml:space="preserve"> es</w:t>
      </w:r>
      <w:r w:rsidR="00F84D04">
        <w:rPr>
          <w:rFonts w:ascii="Arial" w:eastAsia="Calibri" w:hAnsi="Arial" w:cs="Arial"/>
          <w:bCs/>
          <w:sz w:val="26"/>
          <w:szCs w:val="26"/>
        </w:rPr>
        <w:t xml:space="preserve"> el </w:t>
      </w:r>
      <w:bookmarkStart w:id="3" w:name="_Hlk109848548"/>
      <w:r w:rsidR="00F84D04">
        <w:rPr>
          <w:rFonts w:ascii="Arial" w:eastAsia="Calibri" w:hAnsi="Arial" w:cs="Arial"/>
          <w:bCs/>
          <w:sz w:val="26"/>
          <w:szCs w:val="26"/>
        </w:rPr>
        <w:t>“resarcimiento de daños causados a la hacienda pública municipal de Reforma de Pineda, Distrito de Juchitán, Oaxaca, durante el ejercicio fiscal 2016”</w:t>
      </w:r>
      <w:r w:rsidR="00A25E5D">
        <w:rPr>
          <w:rFonts w:ascii="Arial" w:eastAsia="Calibri" w:hAnsi="Arial" w:cs="Arial"/>
          <w:bCs/>
          <w:sz w:val="26"/>
          <w:szCs w:val="26"/>
        </w:rPr>
        <w:t>, cuando el actor fungió como Síndico de ese Municipio.</w:t>
      </w:r>
    </w:p>
    <w:bookmarkEnd w:id="3"/>
    <w:p w14:paraId="00EA01DD" w14:textId="49CF0629" w:rsidR="00323F68" w:rsidRPr="007009AC" w:rsidRDefault="00323F68" w:rsidP="00C13F72">
      <w:pPr>
        <w:pStyle w:val="Textoindependiente"/>
        <w:numPr>
          <w:ilvl w:val="0"/>
          <w:numId w:val="13"/>
        </w:numPr>
        <w:spacing w:after="200" w:line="360" w:lineRule="auto"/>
        <w:jc w:val="both"/>
        <w:rPr>
          <w:rFonts w:ascii="Arial" w:eastAsia="Calibri" w:hAnsi="Arial" w:cs="Arial"/>
          <w:b/>
          <w:sz w:val="26"/>
          <w:szCs w:val="26"/>
        </w:rPr>
      </w:pPr>
      <w:r>
        <w:rPr>
          <w:rFonts w:ascii="Arial" w:eastAsia="Calibri" w:hAnsi="Arial" w:cs="Arial"/>
          <w:bCs/>
          <w:sz w:val="26"/>
          <w:szCs w:val="26"/>
        </w:rPr>
        <w:t xml:space="preserve">Que se trata de una multa no fiscal, por un importe determinado en cantidad de </w:t>
      </w:r>
      <w:bookmarkStart w:id="4" w:name="_Hlk109847711"/>
      <w:r w:rsidRPr="007009AC">
        <w:rPr>
          <w:rFonts w:ascii="Arial" w:eastAsia="Calibri" w:hAnsi="Arial" w:cs="Arial"/>
          <w:b/>
          <w:sz w:val="26"/>
          <w:szCs w:val="26"/>
        </w:rPr>
        <w:t>$</w:t>
      </w:r>
      <w:r w:rsidR="00FB50D5">
        <w:rPr>
          <w:rFonts w:ascii="Arial" w:eastAsia="Calibri" w:hAnsi="Arial" w:cs="Arial"/>
          <w:b/>
          <w:sz w:val="26"/>
          <w:szCs w:val="26"/>
        </w:rPr>
        <w:t>*******</w:t>
      </w:r>
      <w:r w:rsidRPr="007009AC">
        <w:rPr>
          <w:rFonts w:ascii="Arial" w:eastAsia="Calibri" w:hAnsi="Arial" w:cs="Arial"/>
          <w:b/>
          <w:sz w:val="26"/>
          <w:szCs w:val="26"/>
        </w:rPr>
        <w:t>).</w:t>
      </w:r>
    </w:p>
    <w:bookmarkEnd w:id="4"/>
    <w:p w14:paraId="53F182BC" w14:textId="1A581D5E" w:rsidR="00323F68" w:rsidRDefault="001C2020" w:rsidP="001C2020">
      <w:pPr>
        <w:pStyle w:val="Textoindependiente"/>
        <w:spacing w:after="200" w:line="360" w:lineRule="auto"/>
        <w:ind w:firstLine="360"/>
        <w:jc w:val="both"/>
        <w:rPr>
          <w:rFonts w:ascii="Arial" w:eastAsia="Calibri" w:hAnsi="Arial" w:cs="Arial"/>
          <w:bCs/>
          <w:sz w:val="26"/>
          <w:szCs w:val="26"/>
        </w:rPr>
      </w:pPr>
      <w:r>
        <w:rPr>
          <w:rFonts w:ascii="Arial" w:eastAsia="Calibri" w:hAnsi="Arial" w:cs="Arial"/>
          <w:bCs/>
          <w:sz w:val="26"/>
          <w:szCs w:val="26"/>
        </w:rPr>
        <w:t xml:space="preserve">Como se ve, </w:t>
      </w:r>
      <w:r w:rsidR="007535B6">
        <w:rPr>
          <w:rFonts w:ascii="Arial" w:eastAsia="Calibri" w:hAnsi="Arial" w:cs="Arial"/>
          <w:bCs/>
          <w:sz w:val="26"/>
          <w:szCs w:val="26"/>
        </w:rPr>
        <w:t xml:space="preserve">el mandamiento de ejecución impugnado se deriva </w:t>
      </w:r>
      <w:r w:rsidR="00323F68">
        <w:rPr>
          <w:rFonts w:ascii="Arial" w:eastAsia="Calibri" w:hAnsi="Arial" w:cs="Arial"/>
          <w:bCs/>
          <w:sz w:val="26"/>
          <w:szCs w:val="26"/>
        </w:rPr>
        <w:t>de una multa que</w:t>
      </w:r>
      <w:r w:rsidR="007535B6">
        <w:rPr>
          <w:rFonts w:ascii="Arial" w:eastAsia="Calibri" w:hAnsi="Arial" w:cs="Arial"/>
          <w:bCs/>
          <w:sz w:val="26"/>
          <w:szCs w:val="26"/>
        </w:rPr>
        <w:t xml:space="preserve"> no es de naturaleza tributaria, </w:t>
      </w:r>
      <w:r w:rsidR="006246C1">
        <w:rPr>
          <w:rFonts w:ascii="Arial" w:eastAsia="Calibri" w:hAnsi="Arial" w:cs="Arial"/>
          <w:bCs/>
          <w:sz w:val="26"/>
          <w:szCs w:val="26"/>
        </w:rPr>
        <w:t xml:space="preserve">si no que proviene </w:t>
      </w:r>
      <w:r w:rsidR="0021719F">
        <w:rPr>
          <w:rFonts w:ascii="Arial" w:eastAsia="Calibri" w:hAnsi="Arial" w:cs="Arial"/>
          <w:bCs/>
          <w:sz w:val="26"/>
          <w:szCs w:val="26"/>
        </w:rPr>
        <w:t xml:space="preserve">de un procedimiento </w:t>
      </w:r>
      <w:r w:rsidR="00E40FCB">
        <w:rPr>
          <w:rFonts w:ascii="Arial" w:eastAsia="Calibri" w:hAnsi="Arial" w:cs="Arial"/>
          <w:bCs/>
          <w:sz w:val="26"/>
          <w:szCs w:val="26"/>
        </w:rPr>
        <w:t xml:space="preserve">de fiscalización </w:t>
      </w:r>
      <w:r w:rsidR="0021719F">
        <w:rPr>
          <w:rFonts w:ascii="Arial" w:eastAsia="Calibri" w:hAnsi="Arial" w:cs="Arial"/>
          <w:bCs/>
          <w:sz w:val="26"/>
          <w:szCs w:val="26"/>
        </w:rPr>
        <w:t xml:space="preserve">instaurado </w:t>
      </w:r>
      <w:r w:rsidR="00E40FCB">
        <w:rPr>
          <w:rFonts w:ascii="Arial" w:eastAsia="Calibri" w:hAnsi="Arial" w:cs="Arial"/>
          <w:bCs/>
          <w:sz w:val="26"/>
          <w:szCs w:val="26"/>
        </w:rPr>
        <w:t xml:space="preserve">en contra del ahora recurrente </w:t>
      </w:r>
      <w:r w:rsidR="0021719F">
        <w:rPr>
          <w:rFonts w:ascii="Arial" w:eastAsia="Calibri" w:hAnsi="Arial" w:cs="Arial"/>
          <w:bCs/>
          <w:sz w:val="26"/>
          <w:szCs w:val="26"/>
        </w:rPr>
        <w:t xml:space="preserve">por </w:t>
      </w:r>
      <w:r w:rsidR="007009AC">
        <w:rPr>
          <w:rFonts w:ascii="Arial" w:eastAsia="Calibri" w:hAnsi="Arial" w:cs="Arial"/>
          <w:bCs/>
          <w:sz w:val="26"/>
          <w:szCs w:val="26"/>
        </w:rPr>
        <w:t xml:space="preserve">el </w:t>
      </w:r>
      <w:r w:rsidR="0021719F">
        <w:rPr>
          <w:rFonts w:ascii="Arial" w:eastAsia="Calibri" w:hAnsi="Arial" w:cs="Arial"/>
          <w:bCs/>
          <w:sz w:val="26"/>
          <w:szCs w:val="26"/>
        </w:rPr>
        <w:t xml:space="preserve">Órgano Superior de Fiscalización del Estado, </w:t>
      </w:r>
      <w:r w:rsidR="007535B6">
        <w:rPr>
          <w:rFonts w:ascii="Arial" w:eastAsia="Calibri" w:hAnsi="Arial" w:cs="Arial"/>
          <w:bCs/>
          <w:sz w:val="26"/>
          <w:szCs w:val="26"/>
        </w:rPr>
        <w:t xml:space="preserve">aunque </w:t>
      </w:r>
      <w:r w:rsidR="007009AC">
        <w:rPr>
          <w:rFonts w:ascii="Arial" w:eastAsia="Calibri" w:hAnsi="Arial" w:cs="Arial"/>
          <w:bCs/>
          <w:sz w:val="26"/>
          <w:szCs w:val="26"/>
        </w:rPr>
        <w:t>el mandamiento de ejecución impugnado</w:t>
      </w:r>
      <w:r w:rsidR="007535B6">
        <w:rPr>
          <w:rFonts w:ascii="Arial" w:eastAsia="Calibri" w:hAnsi="Arial" w:cs="Arial"/>
          <w:bCs/>
          <w:sz w:val="26"/>
          <w:szCs w:val="26"/>
        </w:rPr>
        <w:t xml:space="preserve"> haya sido emitido por la Coordinadora de Cobro Coactivo de la Secretaría de Finanzas del Estado de Oaxaca y se haya diligenciado </w:t>
      </w:r>
      <w:r w:rsidR="0021719F">
        <w:rPr>
          <w:rFonts w:ascii="Arial" w:eastAsia="Calibri" w:hAnsi="Arial" w:cs="Arial"/>
          <w:bCs/>
          <w:sz w:val="26"/>
          <w:szCs w:val="26"/>
        </w:rPr>
        <w:t>conforme al procedimiento administrativo de ejecución establecido en el Código Fiscal para el Estado de Oaxaca vigente.</w:t>
      </w:r>
      <w:r w:rsidR="007B5824">
        <w:rPr>
          <w:rFonts w:ascii="Arial" w:eastAsia="Calibri" w:hAnsi="Arial" w:cs="Arial"/>
          <w:bCs/>
          <w:sz w:val="26"/>
          <w:szCs w:val="26"/>
        </w:rPr>
        <w:t xml:space="preserve"> </w:t>
      </w:r>
      <w:r w:rsidR="007B5824">
        <w:rPr>
          <w:rFonts w:ascii="Arial" w:hAnsi="Arial" w:cs="Arial"/>
          <w:sz w:val="26"/>
          <w:szCs w:val="26"/>
        </w:rPr>
        <w:t xml:space="preserve">- - - - - - - - - - - - - - - - - - - - - - - - - - - - - - - - </w:t>
      </w:r>
    </w:p>
    <w:p w14:paraId="554902AD" w14:textId="3C02A46E" w:rsidR="00CB5D34" w:rsidRDefault="00ED277A" w:rsidP="00354FA4">
      <w:pPr>
        <w:pStyle w:val="Textoindependiente"/>
        <w:spacing w:after="200" w:line="360" w:lineRule="auto"/>
        <w:ind w:firstLine="708"/>
        <w:jc w:val="both"/>
        <w:rPr>
          <w:rFonts w:ascii="Arial" w:eastAsia="Calibri" w:hAnsi="Arial" w:cs="Arial"/>
          <w:bCs/>
          <w:sz w:val="26"/>
          <w:szCs w:val="26"/>
        </w:rPr>
      </w:pPr>
      <w:r>
        <w:rPr>
          <w:rFonts w:ascii="Arial" w:eastAsia="Calibri" w:hAnsi="Arial" w:cs="Arial"/>
          <w:bCs/>
          <w:sz w:val="26"/>
          <w:szCs w:val="26"/>
        </w:rPr>
        <w:t xml:space="preserve">Sin embargo, en el acuerdo de </w:t>
      </w:r>
      <w:r w:rsidR="007009AC">
        <w:rPr>
          <w:rFonts w:ascii="Arial" w:eastAsia="Calibri" w:hAnsi="Arial" w:cs="Arial"/>
          <w:bCs/>
          <w:sz w:val="26"/>
          <w:szCs w:val="26"/>
        </w:rPr>
        <w:t xml:space="preserve">ocho de noviembre </w:t>
      </w:r>
      <w:r>
        <w:rPr>
          <w:rFonts w:ascii="Arial" w:eastAsia="Calibri" w:hAnsi="Arial" w:cs="Arial"/>
          <w:bCs/>
          <w:sz w:val="26"/>
          <w:szCs w:val="26"/>
        </w:rPr>
        <w:t>de dos mil veint</w:t>
      </w:r>
      <w:r w:rsidR="007009AC">
        <w:rPr>
          <w:rFonts w:ascii="Arial" w:eastAsia="Calibri" w:hAnsi="Arial" w:cs="Arial"/>
          <w:bCs/>
          <w:sz w:val="26"/>
          <w:szCs w:val="26"/>
        </w:rPr>
        <w:t>iuno</w:t>
      </w:r>
      <w:r w:rsidR="00970944">
        <w:rPr>
          <w:rStyle w:val="Refdenotaalpie"/>
          <w:rFonts w:ascii="Arial" w:eastAsia="Calibri" w:hAnsi="Arial" w:cs="Arial"/>
          <w:bCs/>
          <w:sz w:val="26"/>
          <w:szCs w:val="26"/>
        </w:rPr>
        <w:footnoteReference w:id="3"/>
      </w:r>
      <w:r>
        <w:rPr>
          <w:rFonts w:ascii="Arial" w:eastAsia="Calibri" w:hAnsi="Arial" w:cs="Arial"/>
          <w:bCs/>
          <w:sz w:val="26"/>
          <w:szCs w:val="26"/>
        </w:rPr>
        <w:t>, la secretaria de acuerdos adscrita a la Quinta Sala Unitaria de Primera Instancia</w:t>
      </w:r>
      <w:r w:rsidR="00AB278A">
        <w:rPr>
          <w:rFonts w:ascii="Arial" w:eastAsia="Calibri" w:hAnsi="Arial" w:cs="Arial"/>
          <w:bCs/>
          <w:sz w:val="26"/>
          <w:szCs w:val="26"/>
        </w:rPr>
        <w:t>, sin haber realizado el análisis integral de los actos impugnados por</w:t>
      </w:r>
      <w:r w:rsidR="007009AC">
        <w:rPr>
          <w:rFonts w:ascii="Arial" w:eastAsia="Calibri" w:hAnsi="Arial" w:cs="Arial"/>
          <w:bCs/>
          <w:sz w:val="26"/>
          <w:szCs w:val="26"/>
        </w:rPr>
        <w:t xml:space="preserve"> </w:t>
      </w:r>
      <w:r w:rsidR="00FB50D5">
        <w:rPr>
          <w:rFonts w:ascii="Arial" w:eastAsia="Calibri" w:hAnsi="Arial" w:cs="Arial"/>
          <w:b/>
          <w:sz w:val="26"/>
          <w:szCs w:val="26"/>
        </w:rPr>
        <w:t>*******</w:t>
      </w:r>
      <w:r w:rsidR="00AB278A" w:rsidRPr="007009AC">
        <w:rPr>
          <w:rFonts w:ascii="Arial" w:eastAsia="Calibri" w:hAnsi="Arial" w:cs="Arial"/>
          <w:b/>
          <w:sz w:val="26"/>
          <w:szCs w:val="26"/>
        </w:rPr>
        <w:t>,</w:t>
      </w:r>
      <w:r w:rsidR="00AB278A">
        <w:rPr>
          <w:rFonts w:ascii="Arial" w:eastAsia="Calibri" w:hAnsi="Arial" w:cs="Arial"/>
          <w:bCs/>
          <w:sz w:val="26"/>
          <w:szCs w:val="26"/>
        </w:rPr>
        <w:t xml:space="preserve"> </w:t>
      </w:r>
      <w:r>
        <w:rPr>
          <w:rFonts w:ascii="Arial" w:eastAsia="Calibri" w:hAnsi="Arial" w:cs="Arial"/>
          <w:bCs/>
          <w:sz w:val="26"/>
          <w:szCs w:val="26"/>
        </w:rPr>
        <w:t xml:space="preserve">determinó desechar por improcedente la demanda promovida en contra del </w:t>
      </w:r>
      <w:r w:rsidRPr="00ED277A">
        <w:rPr>
          <w:rFonts w:ascii="Arial" w:eastAsia="Calibri" w:hAnsi="Arial" w:cs="Arial"/>
          <w:bCs/>
          <w:sz w:val="26"/>
          <w:szCs w:val="26"/>
        </w:rPr>
        <w:t>mandamiento de ejecución</w:t>
      </w:r>
      <w:r w:rsidR="00E82423">
        <w:rPr>
          <w:rFonts w:ascii="Arial" w:eastAsia="Calibri" w:hAnsi="Arial" w:cs="Arial"/>
          <w:bCs/>
          <w:sz w:val="26"/>
          <w:szCs w:val="26"/>
        </w:rPr>
        <w:t xml:space="preserve"> </w:t>
      </w:r>
      <w:r w:rsidR="00FB50D5">
        <w:rPr>
          <w:rFonts w:ascii="Arial" w:eastAsia="Calibri" w:hAnsi="Arial" w:cs="Arial"/>
          <w:b/>
          <w:sz w:val="26"/>
          <w:szCs w:val="26"/>
        </w:rPr>
        <w:t>*******</w:t>
      </w:r>
      <w:r w:rsidR="007C1650" w:rsidRPr="008B02C2">
        <w:rPr>
          <w:rFonts w:ascii="Arial" w:eastAsia="Calibri" w:hAnsi="Arial" w:cs="Arial"/>
          <w:b/>
          <w:bCs/>
          <w:sz w:val="26"/>
          <w:szCs w:val="26"/>
        </w:rPr>
        <w:t>,</w:t>
      </w:r>
      <w:r w:rsidR="007C1650">
        <w:rPr>
          <w:rFonts w:ascii="Arial" w:eastAsia="Calibri" w:hAnsi="Arial" w:cs="Arial"/>
          <w:bCs/>
          <w:sz w:val="26"/>
          <w:szCs w:val="26"/>
        </w:rPr>
        <w:t xml:space="preserve"> </w:t>
      </w:r>
      <w:r w:rsidR="006D0773">
        <w:rPr>
          <w:rFonts w:ascii="Arial" w:eastAsia="Calibri" w:hAnsi="Arial" w:cs="Arial"/>
          <w:bCs/>
          <w:sz w:val="26"/>
          <w:szCs w:val="26"/>
        </w:rPr>
        <w:t>porque estimó</w:t>
      </w:r>
      <w:r w:rsidR="007C1650">
        <w:rPr>
          <w:rFonts w:ascii="Arial" w:eastAsia="Calibri" w:hAnsi="Arial" w:cs="Arial"/>
          <w:bCs/>
          <w:sz w:val="26"/>
          <w:szCs w:val="26"/>
        </w:rPr>
        <w:t xml:space="preserve"> que </w:t>
      </w:r>
      <w:r w:rsidR="00B3319A">
        <w:rPr>
          <w:rFonts w:ascii="Arial" w:eastAsia="Calibri" w:hAnsi="Arial" w:cs="Arial"/>
          <w:bCs/>
          <w:sz w:val="26"/>
          <w:szCs w:val="26"/>
        </w:rPr>
        <w:t xml:space="preserve">este acto no es </w:t>
      </w:r>
      <w:r w:rsidR="007C1650">
        <w:rPr>
          <w:rFonts w:ascii="Arial" w:eastAsia="Calibri" w:hAnsi="Arial" w:cs="Arial"/>
          <w:bCs/>
          <w:sz w:val="26"/>
          <w:szCs w:val="26"/>
        </w:rPr>
        <w:t>definitivo</w:t>
      </w:r>
      <w:r w:rsidR="006D0773">
        <w:rPr>
          <w:rFonts w:ascii="Arial" w:eastAsia="Calibri" w:hAnsi="Arial" w:cs="Arial"/>
          <w:bCs/>
          <w:sz w:val="26"/>
          <w:szCs w:val="26"/>
        </w:rPr>
        <w:t xml:space="preserve"> ni le causa</w:t>
      </w:r>
      <w:r w:rsidR="00B3319A">
        <w:rPr>
          <w:rFonts w:ascii="Arial" w:eastAsia="Calibri" w:hAnsi="Arial" w:cs="Arial"/>
          <w:bCs/>
          <w:sz w:val="26"/>
          <w:szCs w:val="26"/>
        </w:rPr>
        <w:t xml:space="preserve"> agravios al interesado</w:t>
      </w:r>
      <w:r w:rsidR="007C1650">
        <w:rPr>
          <w:rFonts w:ascii="Arial" w:eastAsia="Calibri" w:hAnsi="Arial" w:cs="Arial"/>
          <w:bCs/>
          <w:sz w:val="26"/>
          <w:szCs w:val="26"/>
        </w:rPr>
        <w:t xml:space="preserve">, </w:t>
      </w:r>
      <w:r w:rsidR="00162F92">
        <w:rPr>
          <w:rFonts w:ascii="Arial" w:eastAsia="Calibri" w:hAnsi="Arial" w:cs="Arial"/>
          <w:bCs/>
          <w:sz w:val="26"/>
          <w:szCs w:val="26"/>
        </w:rPr>
        <w:t xml:space="preserve">y </w:t>
      </w:r>
      <w:r w:rsidR="007C1650" w:rsidRPr="00413F4D">
        <w:rPr>
          <w:rFonts w:ascii="Arial" w:eastAsia="Calibri" w:hAnsi="Arial" w:cs="Arial"/>
          <w:bCs/>
          <w:i/>
          <w:sz w:val="26"/>
          <w:szCs w:val="26"/>
        </w:rPr>
        <w:t>“n</w:t>
      </w:r>
      <w:r w:rsidR="00162F92">
        <w:rPr>
          <w:rFonts w:ascii="Arial" w:eastAsia="Calibri" w:hAnsi="Arial" w:cs="Arial"/>
          <w:bCs/>
          <w:i/>
          <w:sz w:val="26"/>
          <w:szCs w:val="26"/>
        </w:rPr>
        <w:t>o</w:t>
      </w:r>
      <w:r w:rsidR="007C1650" w:rsidRPr="00413F4D">
        <w:rPr>
          <w:rFonts w:ascii="Arial" w:eastAsia="Calibri" w:hAnsi="Arial" w:cs="Arial"/>
          <w:bCs/>
          <w:i/>
          <w:sz w:val="26"/>
          <w:szCs w:val="26"/>
        </w:rPr>
        <w:t xml:space="preserve"> se encuentra </w:t>
      </w:r>
      <w:r w:rsidR="00354FA4" w:rsidRPr="00413F4D">
        <w:rPr>
          <w:rFonts w:ascii="Arial" w:eastAsia="Calibri" w:hAnsi="Arial" w:cs="Arial"/>
          <w:bCs/>
          <w:i/>
          <w:sz w:val="26"/>
          <w:szCs w:val="26"/>
        </w:rPr>
        <w:t>dentro de los supuestos establecidos para promover el juicio contencioso administrativo”</w:t>
      </w:r>
      <w:r w:rsidR="00AB278A">
        <w:rPr>
          <w:rFonts w:ascii="Arial" w:eastAsia="Calibri" w:hAnsi="Arial" w:cs="Arial"/>
          <w:bCs/>
          <w:sz w:val="26"/>
          <w:szCs w:val="26"/>
        </w:rPr>
        <w:t xml:space="preserve">, </w:t>
      </w:r>
      <w:r w:rsidR="00EA7357">
        <w:rPr>
          <w:rFonts w:ascii="Arial" w:eastAsia="Calibri" w:hAnsi="Arial" w:cs="Arial"/>
          <w:bCs/>
          <w:sz w:val="26"/>
          <w:szCs w:val="26"/>
        </w:rPr>
        <w:t>y fundó</w:t>
      </w:r>
      <w:r w:rsidR="00CB5D34">
        <w:rPr>
          <w:rFonts w:ascii="Arial" w:eastAsia="Calibri" w:hAnsi="Arial" w:cs="Arial"/>
          <w:bCs/>
          <w:sz w:val="26"/>
          <w:szCs w:val="26"/>
        </w:rPr>
        <w:t xml:space="preserve"> su </w:t>
      </w:r>
      <w:r w:rsidR="00CB5D34">
        <w:rPr>
          <w:rFonts w:ascii="Arial" w:eastAsia="Calibri" w:hAnsi="Arial" w:cs="Arial"/>
          <w:bCs/>
          <w:sz w:val="26"/>
          <w:szCs w:val="26"/>
        </w:rPr>
        <w:lastRenderedPageBreak/>
        <w:t>determinación en l</w:t>
      </w:r>
      <w:r w:rsidR="00F16DF6">
        <w:rPr>
          <w:rFonts w:ascii="Arial" w:eastAsia="Calibri" w:hAnsi="Arial" w:cs="Arial"/>
          <w:bCs/>
          <w:sz w:val="26"/>
          <w:szCs w:val="26"/>
        </w:rPr>
        <w:t>os</w:t>
      </w:r>
      <w:r w:rsidR="00CB5D34">
        <w:rPr>
          <w:rFonts w:ascii="Arial" w:eastAsia="Calibri" w:hAnsi="Arial" w:cs="Arial"/>
          <w:bCs/>
          <w:sz w:val="26"/>
          <w:szCs w:val="26"/>
        </w:rPr>
        <w:t xml:space="preserve"> numeral</w:t>
      </w:r>
      <w:r w:rsidR="00F16DF6">
        <w:rPr>
          <w:rFonts w:ascii="Arial" w:eastAsia="Calibri" w:hAnsi="Arial" w:cs="Arial"/>
          <w:bCs/>
          <w:sz w:val="26"/>
          <w:szCs w:val="26"/>
        </w:rPr>
        <w:t>es</w:t>
      </w:r>
      <w:r w:rsidR="00CB5D34">
        <w:rPr>
          <w:rFonts w:ascii="Arial" w:eastAsia="Calibri" w:hAnsi="Arial" w:cs="Arial"/>
          <w:bCs/>
          <w:sz w:val="26"/>
          <w:szCs w:val="26"/>
        </w:rPr>
        <w:t xml:space="preserve"> 98 </w:t>
      </w:r>
      <w:r w:rsidR="00F16DF6">
        <w:rPr>
          <w:rFonts w:ascii="Arial" w:eastAsia="Calibri" w:hAnsi="Arial" w:cs="Arial"/>
          <w:bCs/>
          <w:sz w:val="26"/>
          <w:szCs w:val="26"/>
        </w:rPr>
        <w:t>y 133 fracci</w:t>
      </w:r>
      <w:r w:rsidR="000A4628">
        <w:rPr>
          <w:rFonts w:ascii="Arial" w:eastAsia="Calibri" w:hAnsi="Arial" w:cs="Arial"/>
          <w:bCs/>
          <w:sz w:val="26"/>
          <w:szCs w:val="26"/>
        </w:rPr>
        <w:t xml:space="preserve">ones II y </w:t>
      </w:r>
      <w:r w:rsidR="00F16DF6">
        <w:rPr>
          <w:rFonts w:ascii="Arial" w:eastAsia="Calibri" w:hAnsi="Arial" w:cs="Arial"/>
          <w:bCs/>
          <w:sz w:val="26"/>
          <w:szCs w:val="26"/>
        </w:rPr>
        <w:t xml:space="preserve">VIII incisos a), b), c) y d) </w:t>
      </w:r>
      <w:r w:rsidR="00CB5D34">
        <w:rPr>
          <w:rFonts w:ascii="Arial" w:eastAsia="Calibri" w:hAnsi="Arial" w:cs="Arial"/>
          <w:bCs/>
          <w:sz w:val="26"/>
          <w:szCs w:val="26"/>
        </w:rPr>
        <w:t>a la</w:t>
      </w:r>
      <w:r w:rsidR="00CB5D34" w:rsidRPr="00181701">
        <w:rPr>
          <w:rFonts w:ascii="Arial" w:eastAsia="Calibri" w:hAnsi="Arial" w:cs="Arial"/>
          <w:bCs/>
          <w:sz w:val="26"/>
          <w:szCs w:val="26"/>
        </w:rPr>
        <w:t xml:space="preserve"> Ley de Procedimiento y Justicia Administ</w:t>
      </w:r>
      <w:r w:rsidR="00A17A80">
        <w:rPr>
          <w:rFonts w:ascii="Arial" w:eastAsia="Calibri" w:hAnsi="Arial" w:cs="Arial"/>
          <w:bCs/>
          <w:sz w:val="26"/>
          <w:szCs w:val="26"/>
        </w:rPr>
        <w:t>rativa para el Estado de Oaxaca, que establecen:</w:t>
      </w:r>
    </w:p>
    <w:p w14:paraId="02B50D2B" w14:textId="75AD683D"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“ARTÍCULO 98.-</w:t>
      </w:r>
      <w:r w:rsidRPr="00F432B6">
        <w:rPr>
          <w:rFonts w:ascii="Arial" w:eastAsia="Calibri" w:hAnsi="Arial" w:cs="Arial"/>
          <w:bCs/>
          <w:i/>
          <w:sz w:val="22"/>
          <w:szCs w:val="22"/>
        </w:rPr>
        <w:t xml:space="preserve"> 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p w14:paraId="7F1839D7" w14:textId="162BFD18"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F432B6">
        <w:rPr>
          <w:rFonts w:ascii="Arial" w:eastAsia="Calibri" w:hAnsi="Arial" w:cs="Arial"/>
          <w:bCs/>
          <w:i/>
          <w:sz w:val="22"/>
          <w:szCs w:val="22"/>
        </w:rPr>
        <w:t>Para poder acudir al Juicio de Amparo, será necesario agotar los medios de impugnación previstos en esta ley.</w:t>
      </w:r>
    </w:p>
    <w:p w14:paraId="718B7BC9" w14:textId="7CFB39B7"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ARTÍCULO 133.-</w:t>
      </w:r>
      <w:r w:rsidRPr="00F432B6">
        <w:rPr>
          <w:rFonts w:ascii="Arial" w:eastAsia="Calibri" w:hAnsi="Arial" w:cs="Arial"/>
          <w:bCs/>
          <w:i/>
          <w:sz w:val="22"/>
          <w:szCs w:val="22"/>
        </w:rPr>
        <w:t xml:space="preserve"> Las Salas Unitarias del Tribunal son competentes para conocer y resolver los juicios que se promuevan en contra de: (…)</w:t>
      </w:r>
    </w:p>
    <w:p w14:paraId="7FCB9F57" w14:textId="2A29017A" w:rsidR="000A4628" w:rsidRPr="005701EB" w:rsidRDefault="005701EB" w:rsidP="007B5824">
      <w:pPr>
        <w:pStyle w:val="Textoindependiente"/>
        <w:spacing w:line="276" w:lineRule="auto"/>
        <w:ind w:left="567" w:right="758"/>
        <w:jc w:val="both"/>
        <w:rPr>
          <w:rFonts w:ascii="Arial" w:eastAsia="Calibri" w:hAnsi="Arial" w:cs="Arial"/>
          <w:b/>
          <w:bCs/>
          <w:i/>
          <w:iCs/>
          <w:sz w:val="22"/>
          <w:szCs w:val="22"/>
        </w:rPr>
      </w:pPr>
      <w:r w:rsidRPr="002549E1">
        <w:rPr>
          <w:rFonts w:ascii="Arial" w:hAnsi="Arial" w:cs="Arial"/>
          <w:b/>
          <w:bCs/>
          <w:i/>
          <w:iCs/>
          <w:sz w:val="22"/>
          <w:szCs w:val="22"/>
        </w:rPr>
        <w:t>II.</w:t>
      </w:r>
      <w:r w:rsidRPr="005701EB">
        <w:rPr>
          <w:rFonts w:ascii="Arial" w:hAnsi="Arial" w:cs="Arial"/>
          <w:i/>
          <w:iCs/>
          <w:sz w:val="22"/>
          <w:szCs w:val="22"/>
        </w:rPr>
        <w:t xml:space="preserve">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5315B25D" w14:textId="21BD8CB4"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VIII.</w:t>
      </w:r>
      <w:r w:rsidRPr="00F432B6">
        <w:rPr>
          <w:rFonts w:ascii="Arial" w:eastAsia="Calibri" w:hAnsi="Arial" w:cs="Arial"/>
          <w:bCs/>
          <w:i/>
          <w:sz w:val="22"/>
          <w:szCs w:val="22"/>
        </w:rPr>
        <w:t xml:space="preserve"> El procedimiento administrativo de ejecución cuando el afectado en dicho procedimiento opte por no interponer el recurso ordinario ante las autoridades competentes y cuando afirme:</w:t>
      </w:r>
    </w:p>
    <w:p w14:paraId="02688C0E" w14:textId="77777777"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 xml:space="preserve">a) </w:t>
      </w:r>
      <w:r w:rsidRPr="00F432B6">
        <w:rPr>
          <w:rFonts w:ascii="Arial" w:eastAsia="Calibri" w:hAnsi="Arial" w:cs="Arial"/>
          <w:bCs/>
          <w:i/>
          <w:sz w:val="22"/>
          <w:szCs w:val="22"/>
        </w:rPr>
        <w:t>Que el crédito que le exige se ha extinguido legalmente;</w:t>
      </w:r>
    </w:p>
    <w:p w14:paraId="7FD1A8A2" w14:textId="77777777"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b)</w:t>
      </w:r>
      <w:r w:rsidRPr="00F432B6">
        <w:rPr>
          <w:rFonts w:ascii="Arial" w:eastAsia="Calibri" w:hAnsi="Arial" w:cs="Arial"/>
          <w:bCs/>
          <w:i/>
          <w:sz w:val="22"/>
          <w:szCs w:val="22"/>
        </w:rPr>
        <w:t xml:space="preserve"> Que el monto del crédito es inferior al exigible;</w:t>
      </w:r>
    </w:p>
    <w:p w14:paraId="293F4DDC" w14:textId="7C03EF55" w:rsidR="00A17A80" w:rsidRPr="00F432B6"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c)</w:t>
      </w:r>
      <w:r w:rsidRPr="00F432B6">
        <w:rPr>
          <w:rFonts w:ascii="Arial" w:eastAsia="Calibri" w:hAnsi="Arial" w:cs="Arial"/>
          <w:bCs/>
          <w:i/>
          <w:sz w:val="22"/>
          <w:szCs w:val="22"/>
        </w:rPr>
        <w:t xml:space="preserve"> Que es poseedor, a título de propietario, del bien embargado; </w:t>
      </w:r>
    </w:p>
    <w:p w14:paraId="193234AF" w14:textId="00EAD71E" w:rsidR="002549E1" w:rsidRPr="007B5824" w:rsidRDefault="00A17A80" w:rsidP="007B5824">
      <w:pPr>
        <w:pStyle w:val="Textoindependiente"/>
        <w:spacing w:line="276" w:lineRule="auto"/>
        <w:ind w:left="567" w:right="758"/>
        <w:jc w:val="both"/>
        <w:rPr>
          <w:rFonts w:ascii="Arial" w:eastAsia="Calibri" w:hAnsi="Arial" w:cs="Arial"/>
          <w:bCs/>
          <w:i/>
          <w:sz w:val="22"/>
          <w:szCs w:val="22"/>
        </w:rPr>
      </w:pPr>
      <w:r w:rsidRPr="00413150">
        <w:rPr>
          <w:rFonts w:ascii="Arial" w:eastAsia="Calibri" w:hAnsi="Arial" w:cs="Arial"/>
          <w:b/>
          <w:bCs/>
          <w:i/>
          <w:sz w:val="22"/>
          <w:szCs w:val="22"/>
        </w:rPr>
        <w:t>d)</w:t>
      </w:r>
      <w:r w:rsidRPr="00F432B6">
        <w:rPr>
          <w:rFonts w:ascii="Arial" w:eastAsia="Calibri" w:hAnsi="Arial" w:cs="Arial"/>
          <w:bCs/>
          <w:i/>
          <w:sz w:val="22"/>
          <w:szCs w:val="22"/>
        </w:rPr>
        <w:t xml:space="preserve"> Que el procedimiento coactivo no se ajuste a la ley. En este caso, la oposición no se podrá hacer valer, sino contra la resolución que apruebe el remate; salvo que se trate de resoluciones cuya ejecución material sea imposible reparación.</w:t>
      </w:r>
      <w:r w:rsidR="00EC7EEE" w:rsidRPr="00F432B6">
        <w:rPr>
          <w:rFonts w:ascii="Arial" w:eastAsia="Calibri" w:hAnsi="Arial" w:cs="Arial"/>
          <w:bCs/>
          <w:i/>
          <w:sz w:val="22"/>
          <w:szCs w:val="22"/>
        </w:rPr>
        <w:t>”</w:t>
      </w:r>
    </w:p>
    <w:p w14:paraId="62E18828" w14:textId="0525B681" w:rsidR="00EC7EEE" w:rsidRDefault="00EC7EEE" w:rsidP="007807F4">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Los preceptos</w:t>
      </w:r>
      <w:r w:rsidR="00482CD1">
        <w:rPr>
          <w:rFonts w:ascii="Arial" w:eastAsia="Calibri" w:hAnsi="Arial" w:cs="Arial"/>
          <w:bCs/>
          <w:sz w:val="26"/>
          <w:szCs w:val="26"/>
        </w:rPr>
        <w:t xml:space="preserve"> legales invocados </w:t>
      </w:r>
      <w:r w:rsidR="00867E70">
        <w:rPr>
          <w:rFonts w:ascii="Arial" w:eastAsia="Calibri" w:hAnsi="Arial" w:cs="Arial"/>
          <w:bCs/>
          <w:sz w:val="26"/>
          <w:szCs w:val="26"/>
        </w:rPr>
        <w:t xml:space="preserve">establecen </w:t>
      </w:r>
      <w:r w:rsidR="00482CD1">
        <w:rPr>
          <w:rFonts w:ascii="Arial" w:eastAsia="Calibri" w:hAnsi="Arial" w:cs="Arial"/>
          <w:bCs/>
          <w:sz w:val="26"/>
          <w:szCs w:val="26"/>
        </w:rPr>
        <w:t>respectivamente</w:t>
      </w:r>
      <w:r w:rsidR="00867E70">
        <w:rPr>
          <w:rFonts w:ascii="Arial" w:eastAsia="Calibri" w:hAnsi="Arial" w:cs="Arial"/>
          <w:bCs/>
          <w:sz w:val="26"/>
          <w:szCs w:val="26"/>
        </w:rPr>
        <w:t>,</w:t>
      </w:r>
      <w:r w:rsidR="00482CD1">
        <w:rPr>
          <w:rFonts w:ascii="Arial" w:eastAsia="Calibri" w:hAnsi="Arial" w:cs="Arial"/>
          <w:bCs/>
          <w:sz w:val="26"/>
          <w:szCs w:val="26"/>
        </w:rPr>
        <w:t xml:space="preserve"> </w:t>
      </w:r>
      <w:r w:rsidR="00867E70">
        <w:rPr>
          <w:rFonts w:ascii="Arial" w:eastAsia="Calibri" w:hAnsi="Arial" w:cs="Arial"/>
          <w:bCs/>
          <w:sz w:val="26"/>
          <w:szCs w:val="26"/>
        </w:rPr>
        <w:t xml:space="preserve">la </w:t>
      </w:r>
      <w:proofErr w:type="spellStart"/>
      <w:r w:rsidR="00DA1608">
        <w:rPr>
          <w:rFonts w:ascii="Arial" w:eastAsia="Calibri" w:hAnsi="Arial" w:cs="Arial"/>
          <w:bCs/>
          <w:sz w:val="26"/>
          <w:szCs w:val="26"/>
        </w:rPr>
        <w:t>optatividad</w:t>
      </w:r>
      <w:proofErr w:type="spellEnd"/>
      <w:r w:rsidR="00DA1608">
        <w:rPr>
          <w:rFonts w:ascii="Arial" w:eastAsia="Calibri" w:hAnsi="Arial" w:cs="Arial"/>
          <w:bCs/>
          <w:sz w:val="26"/>
          <w:szCs w:val="26"/>
        </w:rPr>
        <w:t xml:space="preserve"> del recurso de revisión en sede administrativa antes de </w:t>
      </w:r>
      <w:r w:rsidR="000D5033">
        <w:rPr>
          <w:rFonts w:ascii="Arial" w:eastAsia="Calibri" w:hAnsi="Arial" w:cs="Arial"/>
          <w:bCs/>
          <w:sz w:val="26"/>
          <w:szCs w:val="26"/>
        </w:rPr>
        <w:t>interponer el juicio de nulidad ante las Salas Unitarias,</w:t>
      </w:r>
      <w:r w:rsidR="00DF7732">
        <w:rPr>
          <w:rFonts w:ascii="Arial" w:eastAsia="Calibri" w:hAnsi="Arial" w:cs="Arial"/>
          <w:bCs/>
          <w:sz w:val="26"/>
          <w:szCs w:val="26"/>
        </w:rPr>
        <w:t xml:space="preserve"> y por otra parte, contemplan el supuesto de procedencia del juicio contencioso administrativo en contra del procedimiento administrativo de ejecución cuando no se promueva el recurso administrativo ante las autoridades competentes.</w:t>
      </w:r>
      <w:r w:rsidR="00920599">
        <w:rPr>
          <w:rFonts w:ascii="Arial" w:eastAsia="Calibri" w:hAnsi="Arial" w:cs="Arial"/>
          <w:bCs/>
          <w:sz w:val="26"/>
          <w:szCs w:val="26"/>
        </w:rPr>
        <w:t xml:space="preserve"> Aunado a esto</w:t>
      </w:r>
      <w:r w:rsidR="00DF7732">
        <w:rPr>
          <w:rFonts w:ascii="Arial" w:eastAsia="Calibri" w:hAnsi="Arial" w:cs="Arial"/>
          <w:bCs/>
          <w:sz w:val="26"/>
          <w:szCs w:val="26"/>
        </w:rPr>
        <w:t>, es pertinente</w:t>
      </w:r>
      <w:r w:rsidR="007807F4">
        <w:rPr>
          <w:rFonts w:ascii="Arial" w:eastAsia="Calibri" w:hAnsi="Arial" w:cs="Arial"/>
          <w:bCs/>
          <w:sz w:val="26"/>
          <w:szCs w:val="26"/>
        </w:rPr>
        <w:t xml:space="preserve"> mencionar que</w:t>
      </w:r>
      <w:r w:rsidR="00DF7732">
        <w:rPr>
          <w:rFonts w:ascii="Arial" w:eastAsia="Calibri" w:hAnsi="Arial" w:cs="Arial"/>
          <w:bCs/>
          <w:sz w:val="26"/>
          <w:szCs w:val="26"/>
        </w:rPr>
        <w:t xml:space="preserve"> si bien es cierto que el numeral 120 fracción I de la </w:t>
      </w:r>
      <w:r w:rsidR="00DF7732" w:rsidRPr="00181701">
        <w:rPr>
          <w:rFonts w:ascii="Arial" w:eastAsia="Calibri" w:hAnsi="Arial" w:cs="Arial"/>
          <w:bCs/>
          <w:sz w:val="26"/>
          <w:szCs w:val="26"/>
        </w:rPr>
        <w:t>Ley de Procedimiento y Justicia Administ</w:t>
      </w:r>
      <w:r w:rsidR="00DF7732">
        <w:rPr>
          <w:rFonts w:ascii="Arial" w:eastAsia="Calibri" w:hAnsi="Arial" w:cs="Arial"/>
          <w:bCs/>
          <w:sz w:val="26"/>
          <w:szCs w:val="26"/>
        </w:rPr>
        <w:t xml:space="preserve">rativa para el Estado de Oaxaca, dispone que </w:t>
      </w:r>
      <w:r w:rsidR="00920599">
        <w:rPr>
          <w:rFonts w:ascii="Arial" w:eastAsia="Calibri" w:hAnsi="Arial" w:cs="Arial"/>
          <w:bCs/>
          <w:sz w:val="26"/>
          <w:szCs w:val="26"/>
        </w:rPr>
        <w:t xml:space="preserve">este Tribunal es competente para resolver las controversias de carácter fiscal que se susciten entre los </w:t>
      </w:r>
      <w:r w:rsidR="00920599" w:rsidRPr="00920599">
        <w:rPr>
          <w:rFonts w:ascii="Arial" w:eastAsia="Calibri" w:hAnsi="Arial" w:cs="Arial"/>
          <w:bCs/>
          <w:sz w:val="26"/>
          <w:szCs w:val="26"/>
        </w:rPr>
        <w:t>particulares y las autoridades de la administración pública del Estado</w:t>
      </w:r>
      <w:r w:rsidR="007807F4">
        <w:rPr>
          <w:rFonts w:ascii="Arial" w:eastAsia="Calibri" w:hAnsi="Arial" w:cs="Arial"/>
          <w:bCs/>
          <w:sz w:val="26"/>
          <w:szCs w:val="26"/>
        </w:rPr>
        <w:t>, también se debe tener en cuenta que el artículo 1 de la Ley d</w:t>
      </w:r>
      <w:r w:rsidR="007807F4" w:rsidRPr="007807F4">
        <w:rPr>
          <w:rFonts w:ascii="Arial" w:eastAsia="Calibri" w:hAnsi="Arial" w:cs="Arial"/>
          <w:bCs/>
          <w:sz w:val="26"/>
          <w:szCs w:val="26"/>
        </w:rPr>
        <w:t xml:space="preserve">e Justicia </w:t>
      </w:r>
      <w:r w:rsidR="007807F4">
        <w:rPr>
          <w:rFonts w:ascii="Arial" w:eastAsia="Calibri" w:hAnsi="Arial" w:cs="Arial"/>
          <w:bCs/>
          <w:sz w:val="26"/>
          <w:szCs w:val="26"/>
        </w:rPr>
        <w:t>de Fiscalización y</w:t>
      </w:r>
      <w:r w:rsidR="007807F4" w:rsidRPr="007807F4">
        <w:rPr>
          <w:rFonts w:ascii="Arial" w:eastAsia="Calibri" w:hAnsi="Arial" w:cs="Arial"/>
          <w:bCs/>
          <w:sz w:val="26"/>
          <w:szCs w:val="26"/>
        </w:rPr>
        <w:t xml:space="preserve"> Rendición</w:t>
      </w:r>
      <w:r w:rsidR="007807F4">
        <w:rPr>
          <w:rFonts w:ascii="Arial" w:eastAsia="Calibri" w:hAnsi="Arial" w:cs="Arial"/>
          <w:bCs/>
          <w:sz w:val="26"/>
          <w:szCs w:val="26"/>
        </w:rPr>
        <w:t xml:space="preserve"> de Cuentas para el Estado d</w:t>
      </w:r>
      <w:r w:rsidR="007807F4" w:rsidRPr="007807F4">
        <w:rPr>
          <w:rFonts w:ascii="Arial" w:eastAsia="Calibri" w:hAnsi="Arial" w:cs="Arial"/>
          <w:bCs/>
          <w:sz w:val="26"/>
          <w:szCs w:val="26"/>
        </w:rPr>
        <w:t>e Oaxaca</w:t>
      </w:r>
      <w:r w:rsidR="007807F4">
        <w:rPr>
          <w:rFonts w:ascii="Arial" w:eastAsia="Calibri" w:hAnsi="Arial" w:cs="Arial"/>
          <w:bCs/>
          <w:sz w:val="26"/>
          <w:szCs w:val="26"/>
        </w:rPr>
        <w:t xml:space="preserve"> establece que a tra</w:t>
      </w:r>
      <w:r w:rsidR="00EA7357">
        <w:rPr>
          <w:rFonts w:ascii="Arial" w:eastAsia="Calibri" w:hAnsi="Arial" w:cs="Arial"/>
          <w:bCs/>
          <w:sz w:val="26"/>
          <w:szCs w:val="26"/>
        </w:rPr>
        <w:t>vés del juicio de inconformidad</w:t>
      </w:r>
      <w:r w:rsidR="007807F4">
        <w:rPr>
          <w:rFonts w:ascii="Arial" w:eastAsia="Calibri" w:hAnsi="Arial" w:cs="Arial"/>
          <w:bCs/>
          <w:sz w:val="26"/>
          <w:szCs w:val="26"/>
        </w:rPr>
        <w:t xml:space="preserve"> debe garantizarse que </w:t>
      </w:r>
      <w:r w:rsidR="007807F4" w:rsidRPr="007807F4">
        <w:rPr>
          <w:rFonts w:ascii="Arial" w:eastAsia="Calibri" w:hAnsi="Arial" w:cs="Arial"/>
          <w:bCs/>
          <w:sz w:val="26"/>
          <w:szCs w:val="26"/>
        </w:rPr>
        <w:t xml:space="preserve">los actos y resoluciones de la Auditoría Superior </w:t>
      </w:r>
      <w:r w:rsidR="007807F4" w:rsidRPr="007807F4">
        <w:rPr>
          <w:rFonts w:ascii="Arial" w:eastAsia="Calibri" w:hAnsi="Arial" w:cs="Arial"/>
          <w:bCs/>
          <w:sz w:val="26"/>
          <w:szCs w:val="26"/>
        </w:rPr>
        <w:lastRenderedPageBreak/>
        <w:t>del Estado,</w:t>
      </w:r>
      <w:r w:rsidR="007807F4">
        <w:rPr>
          <w:rFonts w:ascii="Arial" w:eastAsia="Calibri" w:hAnsi="Arial" w:cs="Arial"/>
          <w:bCs/>
          <w:sz w:val="26"/>
          <w:szCs w:val="26"/>
        </w:rPr>
        <w:t xml:space="preserve"> ahora Órgano Superior de Fiscalización del Estado de Oaxaca, </w:t>
      </w:r>
      <w:r w:rsidR="007807F4" w:rsidRPr="007807F4">
        <w:rPr>
          <w:rFonts w:ascii="Arial" w:eastAsia="Calibri" w:hAnsi="Arial" w:cs="Arial"/>
          <w:bCs/>
          <w:sz w:val="26"/>
          <w:szCs w:val="26"/>
        </w:rPr>
        <w:t>se sujeten a los principios de legalidad, defin</w:t>
      </w:r>
      <w:r w:rsidR="00553975">
        <w:rPr>
          <w:rFonts w:ascii="Arial" w:eastAsia="Calibri" w:hAnsi="Arial" w:cs="Arial"/>
          <w:bCs/>
          <w:sz w:val="26"/>
          <w:szCs w:val="26"/>
        </w:rPr>
        <w:t>i</w:t>
      </w:r>
      <w:r w:rsidR="007807F4" w:rsidRPr="007807F4">
        <w:rPr>
          <w:rFonts w:ascii="Arial" w:eastAsia="Calibri" w:hAnsi="Arial" w:cs="Arial"/>
          <w:bCs/>
          <w:sz w:val="26"/>
          <w:szCs w:val="26"/>
        </w:rPr>
        <w:t>tividad</w:t>
      </w:r>
      <w:r w:rsidR="007807F4">
        <w:rPr>
          <w:rFonts w:ascii="Arial" w:eastAsia="Calibri" w:hAnsi="Arial" w:cs="Arial"/>
          <w:bCs/>
          <w:sz w:val="26"/>
          <w:szCs w:val="26"/>
        </w:rPr>
        <w:t xml:space="preserve"> </w:t>
      </w:r>
      <w:r w:rsidR="007807F4" w:rsidRPr="007807F4">
        <w:rPr>
          <w:rFonts w:ascii="Arial" w:eastAsia="Calibri" w:hAnsi="Arial" w:cs="Arial"/>
          <w:bCs/>
          <w:sz w:val="26"/>
          <w:szCs w:val="26"/>
        </w:rPr>
        <w:t>y demás principios constitucionales</w:t>
      </w:r>
      <w:r w:rsidR="007807F4">
        <w:rPr>
          <w:rFonts w:ascii="Arial" w:eastAsia="Calibri" w:hAnsi="Arial" w:cs="Arial"/>
          <w:bCs/>
          <w:sz w:val="26"/>
          <w:szCs w:val="26"/>
        </w:rPr>
        <w:t>.</w:t>
      </w:r>
      <w:r w:rsidR="007B5824">
        <w:rPr>
          <w:rFonts w:ascii="Arial" w:eastAsia="Calibri" w:hAnsi="Arial" w:cs="Arial"/>
          <w:bCs/>
          <w:sz w:val="26"/>
          <w:szCs w:val="26"/>
        </w:rPr>
        <w:t xml:space="preserve"> </w:t>
      </w:r>
      <w:r w:rsidR="007B5824">
        <w:rPr>
          <w:rFonts w:ascii="Arial" w:hAnsi="Arial" w:cs="Arial"/>
          <w:sz w:val="26"/>
          <w:szCs w:val="26"/>
        </w:rPr>
        <w:t xml:space="preserve">- - - - - - - - - - - - - - - - - - - - - - - - - - - - - - - - </w:t>
      </w:r>
    </w:p>
    <w:p w14:paraId="6EF4B44C" w14:textId="1FFFB9D2" w:rsidR="007807F4" w:rsidRDefault="004B5D56" w:rsidP="003E7D26">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Bajo esa consideración, se tiene que la vía adecuada para impugnar el mandamiento de ejecución </w:t>
      </w:r>
      <w:r w:rsidR="00FB50D5">
        <w:rPr>
          <w:rFonts w:ascii="Arial" w:eastAsia="Calibri" w:hAnsi="Arial" w:cs="Arial"/>
          <w:b/>
          <w:sz w:val="26"/>
          <w:szCs w:val="26"/>
        </w:rPr>
        <w:t>*******</w:t>
      </w:r>
      <w:r w:rsidR="00E82423">
        <w:rPr>
          <w:rFonts w:ascii="Arial" w:eastAsia="Calibri" w:hAnsi="Arial" w:cs="Arial"/>
          <w:b/>
          <w:sz w:val="26"/>
          <w:szCs w:val="26"/>
        </w:rPr>
        <w:t xml:space="preserve">, </w:t>
      </w:r>
      <w:r w:rsidRPr="004B5D56">
        <w:rPr>
          <w:rFonts w:ascii="Arial" w:eastAsia="Calibri" w:hAnsi="Arial" w:cs="Arial"/>
          <w:bCs/>
          <w:sz w:val="26"/>
          <w:szCs w:val="26"/>
        </w:rPr>
        <w:t>dirigido</w:t>
      </w:r>
      <w:r>
        <w:rPr>
          <w:rFonts w:ascii="Arial" w:eastAsia="Calibri" w:hAnsi="Arial" w:cs="Arial"/>
          <w:b/>
          <w:bCs/>
          <w:sz w:val="26"/>
          <w:szCs w:val="26"/>
        </w:rPr>
        <w:t xml:space="preserve"> </w:t>
      </w:r>
      <w:r w:rsidRPr="004B5D56">
        <w:rPr>
          <w:rFonts w:ascii="Arial" w:eastAsia="Calibri" w:hAnsi="Arial" w:cs="Arial"/>
          <w:bCs/>
          <w:sz w:val="26"/>
          <w:szCs w:val="26"/>
        </w:rPr>
        <w:t>a</w:t>
      </w:r>
      <w:r w:rsidR="00E82423">
        <w:rPr>
          <w:rFonts w:ascii="Arial" w:eastAsia="Calibri" w:hAnsi="Arial" w:cs="Arial"/>
          <w:bCs/>
          <w:sz w:val="26"/>
          <w:szCs w:val="26"/>
        </w:rPr>
        <w:t xml:space="preserve"> </w:t>
      </w:r>
      <w:r w:rsidR="00FB50D5">
        <w:rPr>
          <w:rFonts w:ascii="Arial" w:eastAsia="Calibri" w:hAnsi="Arial" w:cs="Arial"/>
          <w:b/>
          <w:sz w:val="26"/>
          <w:szCs w:val="26"/>
        </w:rPr>
        <w:t>*******</w:t>
      </w:r>
      <w:r w:rsidR="00E82423">
        <w:rPr>
          <w:rFonts w:ascii="Arial" w:eastAsia="Calibri" w:hAnsi="Arial" w:cs="Arial"/>
          <w:b/>
          <w:sz w:val="26"/>
          <w:szCs w:val="26"/>
        </w:rPr>
        <w:t xml:space="preserve">, </w:t>
      </w:r>
      <w:r w:rsidR="00AE33E1" w:rsidRPr="00AE33E1">
        <w:rPr>
          <w:rFonts w:ascii="Arial" w:eastAsia="Calibri" w:hAnsi="Arial" w:cs="Arial"/>
          <w:bCs/>
          <w:sz w:val="26"/>
          <w:szCs w:val="26"/>
        </w:rPr>
        <w:t xml:space="preserve">es a través del </w:t>
      </w:r>
      <w:r w:rsidR="00AE33E1">
        <w:rPr>
          <w:rFonts w:ascii="Arial" w:eastAsia="Calibri" w:hAnsi="Arial" w:cs="Arial"/>
          <w:b/>
          <w:bCs/>
          <w:sz w:val="26"/>
          <w:szCs w:val="26"/>
        </w:rPr>
        <w:t xml:space="preserve">juicio de inconformidad, </w:t>
      </w:r>
      <w:r w:rsidR="00AE33E1" w:rsidRPr="00AE33E1">
        <w:rPr>
          <w:rFonts w:ascii="Arial" w:eastAsia="Calibri" w:hAnsi="Arial" w:cs="Arial"/>
          <w:bCs/>
          <w:sz w:val="26"/>
          <w:szCs w:val="26"/>
        </w:rPr>
        <w:t xml:space="preserve">porque la multa </w:t>
      </w:r>
      <w:r w:rsidR="003E7D26" w:rsidRPr="004B5D56">
        <w:rPr>
          <w:rFonts w:ascii="Arial" w:eastAsia="Calibri" w:hAnsi="Arial" w:cs="Arial"/>
          <w:bCs/>
          <w:sz w:val="26"/>
          <w:szCs w:val="26"/>
        </w:rPr>
        <w:t>en cantidad de</w:t>
      </w:r>
      <w:r w:rsidR="00970944">
        <w:rPr>
          <w:rFonts w:ascii="Arial" w:eastAsia="Calibri" w:hAnsi="Arial" w:cs="Arial"/>
          <w:bCs/>
          <w:sz w:val="26"/>
          <w:szCs w:val="26"/>
        </w:rPr>
        <w:t xml:space="preserve"> </w:t>
      </w:r>
      <w:r w:rsidR="00970944" w:rsidRPr="00970944">
        <w:rPr>
          <w:rFonts w:ascii="Arial" w:eastAsia="Calibri" w:hAnsi="Arial" w:cs="Arial"/>
          <w:b/>
          <w:sz w:val="26"/>
          <w:szCs w:val="26"/>
        </w:rPr>
        <w:t>$</w:t>
      </w:r>
      <w:r w:rsidR="00FB50D5">
        <w:rPr>
          <w:rFonts w:ascii="Arial" w:eastAsia="Calibri" w:hAnsi="Arial" w:cs="Arial"/>
          <w:b/>
          <w:sz w:val="26"/>
          <w:szCs w:val="26"/>
        </w:rPr>
        <w:t>*******</w:t>
      </w:r>
      <w:r w:rsidR="00970944" w:rsidRPr="00970944">
        <w:rPr>
          <w:rFonts w:ascii="Arial" w:eastAsia="Calibri" w:hAnsi="Arial" w:cs="Arial"/>
          <w:b/>
          <w:sz w:val="26"/>
          <w:szCs w:val="26"/>
        </w:rPr>
        <w:t>)</w:t>
      </w:r>
      <w:r w:rsidR="00970944">
        <w:rPr>
          <w:rFonts w:ascii="Arial" w:eastAsia="Calibri" w:hAnsi="Arial" w:cs="Arial"/>
          <w:b/>
          <w:sz w:val="26"/>
          <w:szCs w:val="26"/>
        </w:rPr>
        <w:t xml:space="preserve">, </w:t>
      </w:r>
      <w:r w:rsidR="00AE33E1" w:rsidRPr="00AE33E1">
        <w:rPr>
          <w:rFonts w:ascii="Arial" w:eastAsia="Calibri" w:hAnsi="Arial" w:cs="Arial"/>
          <w:bCs/>
          <w:sz w:val="26"/>
          <w:szCs w:val="26"/>
        </w:rPr>
        <w:t xml:space="preserve">tiene su origen en una determinación </w:t>
      </w:r>
      <w:r w:rsidRPr="003E7D26">
        <w:rPr>
          <w:rFonts w:ascii="Arial" w:eastAsia="Calibri" w:hAnsi="Arial" w:cs="Arial"/>
          <w:b/>
          <w:bCs/>
          <w:sz w:val="26"/>
          <w:szCs w:val="26"/>
        </w:rPr>
        <w:t>no fiscal</w:t>
      </w:r>
      <w:r w:rsidRPr="004B5D56">
        <w:rPr>
          <w:rFonts w:ascii="Arial" w:eastAsia="Calibri" w:hAnsi="Arial" w:cs="Arial"/>
          <w:bCs/>
          <w:sz w:val="26"/>
          <w:szCs w:val="26"/>
        </w:rPr>
        <w:t xml:space="preserve">, </w:t>
      </w:r>
      <w:r w:rsidR="003E7D26">
        <w:rPr>
          <w:rFonts w:ascii="Arial" w:eastAsia="Calibri" w:hAnsi="Arial" w:cs="Arial"/>
          <w:bCs/>
          <w:sz w:val="26"/>
          <w:szCs w:val="26"/>
        </w:rPr>
        <w:t xml:space="preserve">que es la resolución </w:t>
      </w:r>
      <w:r w:rsidR="00970944">
        <w:rPr>
          <w:rFonts w:ascii="Arial" w:eastAsia="Calibri" w:hAnsi="Arial" w:cs="Arial"/>
          <w:bCs/>
          <w:sz w:val="26"/>
          <w:szCs w:val="26"/>
        </w:rPr>
        <w:t>número</w:t>
      </w:r>
      <w:r w:rsidR="00970944" w:rsidRPr="00356AE9">
        <w:rPr>
          <w:rFonts w:ascii="Arial" w:eastAsia="Calibri" w:hAnsi="Arial" w:cs="Arial"/>
          <w:b/>
          <w:sz w:val="26"/>
          <w:szCs w:val="26"/>
        </w:rPr>
        <w:t xml:space="preserve"> </w:t>
      </w:r>
      <w:r w:rsidR="00FB50D5">
        <w:rPr>
          <w:rFonts w:ascii="Arial" w:eastAsia="Calibri" w:hAnsi="Arial" w:cs="Arial"/>
          <w:b/>
          <w:sz w:val="26"/>
          <w:szCs w:val="26"/>
        </w:rPr>
        <w:t>*******</w:t>
      </w:r>
      <w:r w:rsidR="00970944">
        <w:rPr>
          <w:rFonts w:ascii="Arial" w:eastAsia="Calibri" w:hAnsi="Arial" w:cs="Arial"/>
          <w:bCs/>
          <w:sz w:val="26"/>
          <w:szCs w:val="26"/>
        </w:rPr>
        <w:t xml:space="preserve"> de veintisiete de octubre de dos mil veinte, emi</w:t>
      </w:r>
      <w:r w:rsidR="00EA7357">
        <w:rPr>
          <w:rFonts w:ascii="Arial" w:eastAsia="Calibri" w:hAnsi="Arial" w:cs="Arial"/>
          <w:bCs/>
          <w:sz w:val="26"/>
          <w:szCs w:val="26"/>
        </w:rPr>
        <w:t xml:space="preserve">tida </w:t>
      </w:r>
      <w:r w:rsidR="00970944">
        <w:rPr>
          <w:rFonts w:ascii="Arial" w:eastAsia="Calibri" w:hAnsi="Arial" w:cs="Arial"/>
          <w:bCs/>
          <w:sz w:val="26"/>
          <w:szCs w:val="26"/>
        </w:rPr>
        <w:t xml:space="preserve">por el </w:t>
      </w:r>
      <w:r w:rsidR="003E7D26">
        <w:rPr>
          <w:rFonts w:ascii="Arial" w:eastAsia="Calibri" w:hAnsi="Arial" w:cs="Arial"/>
          <w:bCs/>
          <w:sz w:val="26"/>
          <w:szCs w:val="26"/>
        </w:rPr>
        <w:t>Órgano Superior de Fiscalización del Estado de Oaxaca.</w:t>
      </w:r>
    </w:p>
    <w:p w14:paraId="1F054BCB" w14:textId="30888388" w:rsidR="00935F05" w:rsidRDefault="00935F05" w:rsidP="003E7D26">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Es importante señalar, que el recurrente manifestó que una de las principales razones que lo llevaron a interponer el juicio de nulidad es que no fue emplazado en el procedimiento administrativo </w:t>
      </w:r>
      <w:r w:rsidRPr="003E7D26">
        <w:rPr>
          <w:rFonts w:ascii="Arial" w:eastAsia="Calibri" w:hAnsi="Arial" w:cs="Arial"/>
          <w:bCs/>
          <w:sz w:val="26"/>
          <w:szCs w:val="26"/>
        </w:rPr>
        <w:t>número</w:t>
      </w:r>
      <w:r w:rsidR="00970944">
        <w:rPr>
          <w:rFonts w:ascii="Arial" w:eastAsia="Calibri" w:hAnsi="Arial" w:cs="Arial"/>
          <w:bCs/>
          <w:sz w:val="26"/>
          <w:szCs w:val="26"/>
        </w:rPr>
        <w:t xml:space="preserve"> </w:t>
      </w:r>
      <w:r w:rsidR="00FB50D5">
        <w:rPr>
          <w:rFonts w:ascii="Arial" w:eastAsia="Calibri" w:hAnsi="Arial" w:cs="Arial"/>
          <w:b/>
          <w:sz w:val="26"/>
          <w:szCs w:val="26"/>
        </w:rPr>
        <w:t>*******</w:t>
      </w:r>
      <w:r w:rsidR="00970944">
        <w:rPr>
          <w:rFonts w:ascii="Arial" w:eastAsia="Calibri" w:hAnsi="Arial" w:cs="Arial"/>
          <w:b/>
          <w:sz w:val="26"/>
          <w:szCs w:val="26"/>
        </w:rPr>
        <w:t>,</w:t>
      </w:r>
      <w:r>
        <w:rPr>
          <w:rFonts w:ascii="Arial" w:eastAsia="Calibri" w:hAnsi="Arial" w:cs="Arial"/>
          <w:bCs/>
          <w:sz w:val="26"/>
          <w:szCs w:val="26"/>
        </w:rPr>
        <w:t xml:space="preserve"> y que</w:t>
      </w:r>
      <w:r w:rsidR="002109FD">
        <w:rPr>
          <w:rFonts w:ascii="Arial" w:eastAsia="Calibri" w:hAnsi="Arial" w:cs="Arial"/>
          <w:bCs/>
          <w:sz w:val="26"/>
          <w:szCs w:val="26"/>
        </w:rPr>
        <w:t>,</w:t>
      </w:r>
      <w:r>
        <w:rPr>
          <w:rFonts w:ascii="Arial" w:eastAsia="Calibri" w:hAnsi="Arial" w:cs="Arial"/>
          <w:bCs/>
          <w:sz w:val="26"/>
          <w:szCs w:val="26"/>
        </w:rPr>
        <w:t xml:space="preserve"> por ello, desconoce el crédito fiscal que se le pretende </w:t>
      </w:r>
    </w:p>
    <w:p w14:paraId="71BEDC34" w14:textId="002AD4DF" w:rsidR="00935F05" w:rsidRDefault="00935F05" w:rsidP="003E7D26">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Por lo tanto</w:t>
      </w:r>
      <w:r w:rsidR="003E7D26">
        <w:rPr>
          <w:rFonts w:ascii="Arial" w:eastAsia="Calibri" w:hAnsi="Arial" w:cs="Arial"/>
          <w:bCs/>
          <w:sz w:val="26"/>
          <w:szCs w:val="26"/>
        </w:rPr>
        <w:t>, no es dable permitir que por un lado se instaure el juicio contencioso administrativo para pretender la anulación del mandamiento de ejecución</w:t>
      </w:r>
      <w:r w:rsidR="00970944">
        <w:rPr>
          <w:rFonts w:ascii="Arial" w:eastAsia="Calibri" w:hAnsi="Arial" w:cs="Arial"/>
          <w:bCs/>
          <w:sz w:val="26"/>
          <w:szCs w:val="26"/>
        </w:rPr>
        <w:t xml:space="preserve"> </w:t>
      </w:r>
      <w:r w:rsidR="00FB50D5">
        <w:rPr>
          <w:rFonts w:ascii="Arial" w:eastAsia="Calibri" w:hAnsi="Arial" w:cs="Arial"/>
          <w:b/>
          <w:sz w:val="26"/>
          <w:szCs w:val="26"/>
        </w:rPr>
        <w:t>*******</w:t>
      </w:r>
      <w:r w:rsidR="00970944">
        <w:rPr>
          <w:rFonts w:ascii="Arial" w:eastAsia="Calibri" w:hAnsi="Arial" w:cs="Arial"/>
          <w:b/>
          <w:sz w:val="26"/>
          <w:szCs w:val="26"/>
        </w:rPr>
        <w:t xml:space="preserve">, </w:t>
      </w:r>
      <w:r w:rsidR="0096395F" w:rsidRPr="00765117">
        <w:rPr>
          <w:rFonts w:ascii="Arial" w:eastAsia="Calibri" w:hAnsi="Arial" w:cs="Arial"/>
          <w:sz w:val="26"/>
          <w:szCs w:val="26"/>
        </w:rPr>
        <w:t>y que</w:t>
      </w:r>
      <w:r w:rsidR="00765117">
        <w:rPr>
          <w:rFonts w:ascii="Arial" w:eastAsia="Calibri" w:hAnsi="Arial" w:cs="Arial"/>
          <w:sz w:val="26"/>
          <w:szCs w:val="26"/>
        </w:rPr>
        <w:t>,</w:t>
      </w:r>
      <w:r w:rsidR="0096395F" w:rsidRPr="00765117">
        <w:rPr>
          <w:rFonts w:ascii="Arial" w:eastAsia="Calibri" w:hAnsi="Arial" w:cs="Arial"/>
          <w:sz w:val="26"/>
          <w:szCs w:val="26"/>
        </w:rPr>
        <w:t xml:space="preserve"> por otra parte, a través del juicio de inconformidad, se combata la resolución</w:t>
      </w:r>
      <w:r w:rsidR="00970944">
        <w:rPr>
          <w:rFonts w:ascii="Arial" w:eastAsia="Calibri" w:hAnsi="Arial" w:cs="Arial"/>
          <w:bCs/>
          <w:sz w:val="26"/>
          <w:szCs w:val="26"/>
        </w:rPr>
        <w:t xml:space="preserve"> </w:t>
      </w:r>
      <w:bookmarkStart w:id="5" w:name="_Hlk109848435"/>
      <w:r w:rsidR="00765117">
        <w:rPr>
          <w:rFonts w:ascii="Arial" w:eastAsia="Calibri" w:hAnsi="Arial" w:cs="Arial"/>
          <w:bCs/>
          <w:sz w:val="26"/>
          <w:szCs w:val="26"/>
        </w:rPr>
        <w:t>número</w:t>
      </w:r>
      <w:r w:rsidR="00765117" w:rsidRPr="00356AE9">
        <w:rPr>
          <w:rFonts w:ascii="Arial" w:eastAsia="Calibri" w:hAnsi="Arial" w:cs="Arial"/>
          <w:b/>
          <w:sz w:val="26"/>
          <w:szCs w:val="26"/>
        </w:rPr>
        <w:t xml:space="preserve"> </w:t>
      </w:r>
      <w:r w:rsidR="00FB50D5">
        <w:rPr>
          <w:rFonts w:ascii="Arial" w:eastAsia="Calibri" w:hAnsi="Arial" w:cs="Arial"/>
          <w:b/>
          <w:sz w:val="26"/>
          <w:szCs w:val="26"/>
        </w:rPr>
        <w:t>*******</w:t>
      </w:r>
      <w:r w:rsidR="00765117">
        <w:rPr>
          <w:rFonts w:ascii="Arial" w:eastAsia="Calibri" w:hAnsi="Arial" w:cs="Arial"/>
          <w:bCs/>
          <w:sz w:val="26"/>
          <w:szCs w:val="26"/>
        </w:rPr>
        <w:t xml:space="preserve"> de veintisiete de octubre de dos mil veinte, emitida por el Órgano Superior de Fiscalización del Estado,</w:t>
      </w:r>
      <w:bookmarkEnd w:id="5"/>
      <w:r w:rsidR="00765117">
        <w:rPr>
          <w:rFonts w:ascii="Arial" w:eastAsia="Calibri" w:hAnsi="Arial" w:cs="Arial"/>
          <w:bCs/>
          <w:sz w:val="26"/>
          <w:szCs w:val="26"/>
        </w:rPr>
        <w:t xml:space="preserve"> </w:t>
      </w:r>
      <w:r w:rsidR="0096395F">
        <w:rPr>
          <w:rFonts w:ascii="Arial" w:eastAsia="Calibri" w:hAnsi="Arial" w:cs="Arial"/>
          <w:bCs/>
          <w:sz w:val="26"/>
          <w:szCs w:val="26"/>
        </w:rPr>
        <w:t>porque la</w:t>
      </w:r>
      <w:r w:rsidR="00F87EAD">
        <w:rPr>
          <w:rFonts w:ascii="Arial" w:eastAsia="Calibri" w:hAnsi="Arial" w:cs="Arial"/>
          <w:bCs/>
          <w:sz w:val="26"/>
          <w:szCs w:val="26"/>
        </w:rPr>
        <w:t xml:space="preserve"> pretensión contenida en la</w:t>
      </w:r>
      <w:r w:rsidR="0096395F">
        <w:rPr>
          <w:rFonts w:ascii="Arial" w:eastAsia="Calibri" w:hAnsi="Arial" w:cs="Arial"/>
          <w:bCs/>
          <w:sz w:val="26"/>
          <w:szCs w:val="26"/>
        </w:rPr>
        <w:t xml:space="preserve"> demanda</w:t>
      </w:r>
      <w:r w:rsidR="00586258">
        <w:rPr>
          <w:rFonts w:ascii="Arial" w:eastAsia="Calibri" w:hAnsi="Arial" w:cs="Arial"/>
          <w:bCs/>
          <w:sz w:val="26"/>
          <w:szCs w:val="26"/>
        </w:rPr>
        <w:t xml:space="preserve"> es indivisible y</w:t>
      </w:r>
      <w:r w:rsidR="0096395F">
        <w:rPr>
          <w:rFonts w:ascii="Arial" w:eastAsia="Calibri" w:hAnsi="Arial" w:cs="Arial"/>
          <w:bCs/>
          <w:sz w:val="26"/>
          <w:szCs w:val="26"/>
        </w:rPr>
        <w:t xml:space="preserve"> </w:t>
      </w:r>
      <w:r w:rsidR="00586258">
        <w:rPr>
          <w:rFonts w:ascii="Arial" w:eastAsia="Calibri" w:hAnsi="Arial" w:cs="Arial"/>
          <w:bCs/>
          <w:sz w:val="26"/>
          <w:szCs w:val="26"/>
        </w:rPr>
        <w:t xml:space="preserve">tiene que </w:t>
      </w:r>
      <w:r w:rsidR="00F87EAD">
        <w:rPr>
          <w:rFonts w:ascii="Arial" w:eastAsia="Calibri" w:hAnsi="Arial" w:cs="Arial"/>
          <w:bCs/>
          <w:sz w:val="26"/>
          <w:szCs w:val="26"/>
        </w:rPr>
        <w:t>analizarse de manera integral</w:t>
      </w:r>
      <w:r w:rsidR="00586258">
        <w:rPr>
          <w:rFonts w:ascii="Arial" w:eastAsia="Calibri" w:hAnsi="Arial" w:cs="Arial"/>
          <w:bCs/>
          <w:sz w:val="26"/>
          <w:szCs w:val="26"/>
        </w:rPr>
        <w:t xml:space="preserve">, </w:t>
      </w:r>
      <w:r w:rsidR="00EA7357">
        <w:rPr>
          <w:rFonts w:ascii="Arial" w:eastAsia="Calibri" w:hAnsi="Arial" w:cs="Arial"/>
          <w:bCs/>
          <w:sz w:val="26"/>
          <w:szCs w:val="26"/>
        </w:rPr>
        <w:t>considerando</w:t>
      </w:r>
      <w:r w:rsidR="00586258">
        <w:rPr>
          <w:rFonts w:ascii="Arial" w:eastAsia="Calibri" w:hAnsi="Arial" w:cs="Arial"/>
          <w:bCs/>
          <w:sz w:val="26"/>
          <w:szCs w:val="26"/>
        </w:rPr>
        <w:t xml:space="preserve"> ambos actos se encuentran firmemente vinculados entre sí,</w:t>
      </w:r>
      <w:r w:rsidR="00971BDD">
        <w:rPr>
          <w:rFonts w:ascii="Arial" w:eastAsia="Calibri" w:hAnsi="Arial" w:cs="Arial"/>
          <w:bCs/>
          <w:sz w:val="26"/>
          <w:szCs w:val="26"/>
        </w:rPr>
        <w:t xml:space="preserve"> </w:t>
      </w:r>
      <w:r w:rsidR="00EF6743">
        <w:rPr>
          <w:rFonts w:ascii="Arial" w:eastAsia="Calibri" w:hAnsi="Arial" w:cs="Arial"/>
          <w:bCs/>
          <w:sz w:val="26"/>
          <w:szCs w:val="26"/>
        </w:rPr>
        <w:t>siendo imposible segmentar su análisis a través de diferentes juicios, aunque estos se tramiten ante el mismo órgano jurisdiccional.</w:t>
      </w:r>
      <w:r w:rsidR="00586258">
        <w:rPr>
          <w:rFonts w:ascii="Arial" w:eastAsia="Calibri" w:hAnsi="Arial" w:cs="Arial"/>
          <w:bCs/>
          <w:sz w:val="26"/>
          <w:szCs w:val="26"/>
        </w:rPr>
        <w:t xml:space="preserve"> </w:t>
      </w:r>
      <w:r w:rsidR="007B5824">
        <w:rPr>
          <w:rFonts w:ascii="Arial" w:hAnsi="Arial" w:cs="Arial"/>
          <w:sz w:val="26"/>
          <w:szCs w:val="26"/>
        </w:rPr>
        <w:t xml:space="preserve">- - - - - - - </w:t>
      </w:r>
    </w:p>
    <w:p w14:paraId="28E58769" w14:textId="3C8E0686" w:rsidR="00935F05" w:rsidRDefault="00935F05" w:rsidP="003E7D26">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apoyo a lo anterior se invoca la tesis </w:t>
      </w:r>
      <w:r w:rsidRPr="00935F05">
        <w:rPr>
          <w:rFonts w:ascii="Arial" w:eastAsia="Calibri" w:hAnsi="Arial" w:cs="Arial"/>
          <w:bCs/>
          <w:sz w:val="26"/>
          <w:szCs w:val="26"/>
        </w:rPr>
        <w:t>I.8o.C.4 K</w:t>
      </w:r>
      <w:r>
        <w:rPr>
          <w:rFonts w:ascii="Arial" w:eastAsia="Calibri" w:hAnsi="Arial" w:cs="Arial"/>
          <w:bCs/>
          <w:sz w:val="26"/>
          <w:szCs w:val="26"/>
        </w:rPr>
        <w:t xml:space="preserve"> con número de registro digital </w:t>
      </w:r>
      <w:r w:rsidRPr="00935F05">
        <w:rPr>
          <w:rFonts w:ascii="Arial" w:eastAsia="Calibri" w:hAnsi="Arial" w:cs="Arial"/>
          <w:bCs/>
          <w:sz w:val="26"/>
          <w:szCs w:val="26"/>
        </w:rPr>
        <w:t>213106</w:t>
      </w:r>
      <w:r>
        <w:rPr>
          <w:rFonts w:ascii="Arial" w:eastAsia="Calibri" w:hAnsi="Arial" w:cs="Arial"/>
          <w:bCs/>
          <w:sz w:val="26"/>
          <w:szCs w:val="26"/>
        </w:rPr>
        <w:t xml:space="preserve">, emitida por los Tribunales Colegiados de Circuito, visible en el </w:t>
      </w:r>
      <w:r w:rsidRPr="00935F05">
        <w:rPr>
          <w:rFonts w:ascii="Arial" w:eastAsia="Calibri" w:hAnsi="Arial" w:cs="Arial"/>
          <w:bCs/>
          <w:sz w:val="26"/>
          <w:szCs w:val="26"/>
        </w:rPr>
        <w:t>Semanario Judicial de la</w:t>
      </w:r>
      <w:r>
        <w:rPr>
          <w:rFonts w:ascii="Arial" w:eastAsia="Calibri" w:hAnsi="Arial" w:cs="Arial"/>
          <w:bCs/>
          <w:sz w:val="26"/>
          <w:szCs w:val="26"/>
        </w:rPr>
        <w:t xml:space="preserve"> Federación, </w:t>
      </w:r>
      <w:r w:rsidRPr="00935F05">
        <w:rPr>
          <w:rFonts w:ascii="Arial" w:eastAsia="Calibri" w:hAnsi="Arial" w:cs="Arial"/>
          <w:bCs/>
          <w:sz w:val="26"/>
          <w:szCs w:val="26"/>
        </w:rPr>
        <w:t>Tomo XIII, Marzo de 1994, página 353</w:t>
      </w:r>
      <w:r>
        <w:rPr>
          <w:rFonts w:ascii="Arial" w:eastAsia="Calibri" w:hAnsi="Arial" w:cs="Arial"/>
          <w:bCs/>
          <w:sz w:val="26"/>
          <w:szCs w:val="26"/>
        </w:rPr>
        <w:t>, de rubro y texto siguientes:</w:t>
      </w:r>
    </w:p>
    <w:p w14:paraId="31D1931E" w14:textId="53BDE94F" w:rsidR="00935F05" w:rsidRPr="00935F05" w:rsidRDefault="00935F05" w:rsidP="007B5824">
      <w:pPr>
        <w:pStyle w:val="Textoindependiente"/>
        <w:spacing w:line="276" w:lineRule="auto"/>
        <w:ind w:left="567" w:right="616"/>
        <w:jc w:val="both"/>
        <w:rPr>
          <w:rFonts w:ascii="Arial" w:eastAsia="Calibri" w:hAnsi="Arial" w:cs="Arial"/>
          <w:b/>
          <w:bCs/>
          <w:i/>
          <w:sz w:val="22"/>
          <w:szCs w:val="22"/>
        </w:rPr>
      </w:pPr>
      <w:r>
        <w:rPr>
          <w:rFonts w:ascii="Arial" w:eastAsia="Calibri" w:hAnsi="Arial" w:cs="Arial"/>
          <w:b/>
          <w:bCs/>
          <w:i/>
          <w:sz w:val="22"/>
          <w:szCs w:val="22"/>
        </w:rPr>
        <w:t>“</w:t>
      </w:r>
      <w:r w:rsidRPr="00935F05">
        <w:rPr>
          <w:rFonts w:ascii="Arial" w:eastAsia="Calibri" w:hAnsi="Arial" w:cs="Arial"/>
          <w:b/>
          <w:bCs/>
          <w:i/>
          <w:sz w:val="22"/>
          <w:szCs w:val="22"/>
        </w:rPr>
        <w:t>INTERPRETACION RIGIDA QUE PUEDA TOMARSE COMO REGLA GENERAL.</w:t>
      </w:r>
    </w:p>
    <w:p w14:paraId="6EC724D9" w14:textId="7CED6C91" w:rsidR="00935F05" w:rsidRPr="00935F05" w:rsidRDefault="00935F05" w:rsidP="007B5824">
      <w:pPr>
        <w:pStyle w:val="Textoindependiente"/>
        <w:spacing w:line="276" w:lineRule="auto"/>
        <w:ind w:left="567" w:right="616"/>
        <w:jc w:val="both"/>
        <w:rPr>
          <w:rFonts w:ascii="Arial" w:eastAsia="Calibri" w:hAnsi="Arial" w:cs="Arial"/>
          <w:bCs/>
          <w:i/>
          <w:sz w:val="22"/>
          <w:szCs w:val="22"/>
        </w:rPr>
      </w:pPr>
      <w:r w:rsidRPr="00935F05">
        <w:rPr>
          <w:rFonts w:ascii="Arial" w:eastAsia="Calibri" w:hAnsi="Arial" w:cs="Arial"/>
          <w:bCs/>
          <w:i/>
          <w:sz w:val="22"/>
          <w:szCs w:val="22"/>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3435DAB3" w14:textId="529DEE44" w:rsidR="001B6D9F" w:rsidRPr="00935F05" w:rsidRDefault="00935F05" w:rsidP="007B5824">
      <w:pPr>
        <w:pStyle w:val="Textoindependiente"/>
        <w:spacing w:line="276" w:lineRule="auto"/>
        <w:ind w:left="567" w:right="616"/>
        <w:jc w:val="both"/>
        <w:rPr>
          <w:rFonts w:ascii="Arial" w:eastAsia="Calibri" w:hAnsi="Arial" w:cs="Arial"/>
          <w:bCs/>
          <w:i/>
          <w:sz w:val="22"/>
          <w:szCs w:val="22"/>
        </w:rPr>
      </w:pPr>
      <w:r w:rsidRPr="00935F05">
        <w:rPr>
          <w:rFonts w:ascii="Arial" w:eastAsia="Calibri" w:hAnsi="Arial" w:cs="Arial"/>
          <w:bCs/>
          <w:i/>
          <w:sz w:val="22"/>
          <w:szCs w:val="22"/>
        </w:rPr>
        <w:lastRenderedPageBreak/>
        <w:t>OCTAVO TRIBUNAL COLEGIADO EN MATERIA CIVIL DEL PRIMER CIRCUITO.</w:t>
      </w:r>
      <w:r>
        <w:rPr>
          <w:rFonts w:ascii="Arial" w:eastAsia="Calibri" w:hAnsi="Arial" w:cs="Arial"/>
          <w:bCs/>
          <w:i/>
          <w:sz w:val="22"/>
          <w:szCs w:val="22"/>
        </w:rPr>
        <w:t>”</w:t>
      </w:r>
    </w:p>
    <w:p w14:paraId="275A3725" w14:textId="77777777" w:rsidR="00765117" w:rsidRDefault="00765117" w:rsidP="007B5824">
      <w:pPr>
        <w:pStyle w:val="Textoindependiente"/>
        <w:spacing w:line="276" w:lineRule="auto"/>
        <w:ind w:right="49" w:firstLine="567"/>
        <w:jc w:val="both"/>
        <w:rPr>
          <w:rFonts w:ascii="Arial" w:eastAsia="Calibri" w:hAnsi="Arial" w:cs="Arial"/>
          <w:bCs/>
          <w:sz w:val="26"/>
          <w:szCs w:val="26"/>
        </w:rPr>
      </w:pPr>
    </w:p>
    <w:p w14:paraId="27D2BA52" w14:textId="2462E58C" w:rsidR="00FF11F2" w:rsidRDefault="00935F05" w:rsidP="00935F05">
      <w:pPr>
        <w:pStyle w:val="Textoindependiente"/>
        <w:spacing w:line="360" w:lineRule="auto"/>
        <w:ind w:right="49" w:firstLine="567"/>
        <w:jc w:val="both"/>
        <w:rPr>
          <w:rFonts w:ascii="Arial" w:eastAsia="Calibri" w:hAnsi="Arial" w:cs="Arial"/>
          <w:bCs/>
          <w:sz w:val="26"/>
          <w:szCs w:val="26"/>
        </w:rPr>
      </w:pPr>
      <w:r>
        <w:rPr>
          <w:rFonts w:ascii="Arial" w:eastAsia="Calibri" w:hAnsi="Arial" w:cs="Arial"/>
          <w:bCs/>
          <w:sz w:val="26"/>
          <w:szCs w:val="26"/>
        </w:rPr>
        <w:t>Por ello, se colige que es el juicio de inconformidad, el medio para garantizar al recurrente</w:t>
      </w:r>
      <w:r w:rsidR="00090CF1">
        <w:rPr>
          <w:rFonts w:ascii="Arial" w:eastAsia="Calibri" w:hAnsi="Arial" w:cs="Arial"/>
          <w:bCs/>
          <w:sz w:val="26"/>
          <w:szCs w:val="26"/>
        </w:rPr>
        <w:t xml:space="preserve"> el derecho al debido proceso y</w:t>
      </w:r>
      <w:r>
        <w:rPr>
          <w:rFonts w:ascii="Arial" w:eastAsia="Calibri" w:hAnsi="Arial" w:cs="Arial"/>
          <w:bCs/>
          <w:sz w:val="26"/>
          <w:szCs w:val="26"/>
        </w:rPr>
        <w:t xml:space="preserve"> el acceso a la tutela judic</w:t>
      </w:r>
      <w:r w:rsidR="00090CF1">
        <w:rPr>
          <w:rFonts w:ascii="Arial" w:eastAsia="Calibri" w:hAnsi="Arial" w:cs="Arial"/>
          <w:bCs/>
          <w:sz w:val="26"/>
          <w:szCs w:val="26"/>
        </w:rPr>
        <w:t xml:space="preserve">ial efectiva previstos respectivamente, en </w:t>
      </w:r>
      <w:r>
        <w:rPr>
          <w:rFonts w:ascii="Arial" w:eastAsia="Calibri" w:hAnsi="Arial" w:cs="Arial"/>
          <w:bCs/>
          <w:sz w:val="26"/>
          <w:szCs w:val="26"/>
        </w:rPr>
        <w:t>l</w:t>
      </w:r>
      <w:r w:rsidR="00090CF1">
        <w:rPr>
          <w:rFonts w:ascii="Arial" w:eastAsia="Calibri" w:hAnsi="Arial" w:cs="Arial"/>
          <w:bCs/>
          <w:sz w:val="26"/>
          <w:szCs w:val="26"/>
        </w:rPr>
        <w:t>os</w:t>
      </w:r>
      <w:r>
        <w:rPr>
          <w:rFonts w:ascii="Arial" w:eastAsia="Calibri" w:hAnsi="Arial" w:cs="Arial"/>
          <w:bCs/>
          <w:sz w:val="26"/>
          <w:szCs w:val="26"/>
        </w:rPr>
        <w:t xml:space="preserve"> artículo</w:t>
      </w:r>
      <w:r w:rsidR="00090CF1">
        <w:rPr>
          <w:rFonts w:ascii="Arial" w:eastAsia="Calibri" w:hAnsi="Arial" w:cs="Arial"/>
          <w:bCs/>
          <w:sz w:val="26"/>
          <w:szCs w:val="26"/>
        </w:rPr>
        <w:t>s 14 y</w:t>
      </w:r>
      <w:r>
        <w:rPr>
          <w:rFonts w:ascii="Arial" w:eastAsia="Calibri" w:hAnsi="Arial" w:cs="Arial"/>
          <w:bCs/>
          <w:sz w:val="26"/>
          <w:szCs w:val="26"/>
        </w:rPr>
        <w:t xml:space="preserve"> 17 de la Constitución Política de los Estados Unidos M</w:t>
      </w:r>
      <w:r w:rsidR="00183A51">
        <w:rPr>
          <w:rFonts w:ascii="Arial" w:eastAsia="Calibri" w:hAnsi="Arial" w:cs="Arial"/>
          <w:bCs/>
          <w:sz w:val="26"/>
          <w:szCs w:val="26"/>
        </w:rPr>
        <w:t>exicanos</w:t>
      </w:r>
      <w:r w:rsidR="00A47391">
        <w:rPr>
          <w:rFonts w:ascii="Arial" w:eastAsia="Calibri" w:hAnsi="Arial" w:cs="Arial"/>
          <w:bCs/>
          <w:sz w:val="26"/>
          <w:szCs w:val="26"/>
        </w:rPr>
        <w:t>, por lo tanto, la Quinta Sala U</w:t>
      </w:r>
      <w:r w:rsidR="00183A51">
        <w:rPr>
          <w:rFonts w:ascii="Arial" w:eastAsia="Calibri" w:hAnsi="Arial" w:cs="Arial"/>
          <w:bCs/>
          <w:sz w:val="26"/>
          <w:szCs w:val="26"/>
        </w:rPr>
        <w:t xml:space="preserve">nitaria, en vez de desechar por improcedente la demanda </w:t>
      </w:r>
      <w:r w:rsidR="00FF11F2">
        <w:rPr>
          <w:rFonts w:ascii="Arial" w:eastAsia="Calibri" w:hAnsi="Arial" w:cs="Arial"/>
          <w:bCs/>
          <w:sz w:val="26"/>
          <w:szCs w:val="26"/>
        </w:rPr>
        <w:t>en el acuerdo recurrido</w:t>
      </w:r>
      <w:r w:rsidR="00183A51">
        <w:rPr>
          <w:rFonts w:ascii="Arial" w:eastAsia="Calibri" w:hAnsi="Arial" w:cs="Arial"/>
          <w:bCs/>
          <w:sz w:val="26"/>
          <w:szCs w:val="26"/>
        </w:rPr>
        <w:t xml:space="preserve">, debió analizar de manera integral su contenido y declinar su competencia a favor de la Sala Superior de este Tribunal, que </w:t>
      </w:r>
      <w:r w:rsidR="00FF11F2">
        <w:rPr>
          <w:rFonts w:ascii="Arial" w:eastAsia="Calibri" w:hAnsi="Arial" w:cs="Arial"/>
          <w:bCs/>
          <w:sz w:val="26"/>
          <w:szCs w:val="26"/>
        </w:rPr>
        <w:t>es la instancia competente para resolver el juicio de inconformidad, en términos del artículo 24 fracción I</w:t>
      </w:r>
      <w:r w:rsidR="00FF11F2">
        <w:rPr>
          <w:rStyle w:val="Refdenotaalpie"/>
          <w:rFonts w:ascii="Arial" w:eastAsia="Calibri" w:hAnsi="Arial" w:cs="Arial"/>
          <w:bCs/>
          <w:sz w:val="26"/>
          <w:szCs w:val="26"/>
        </w:rPr>
        <w:footnoteReference w:id="4"/>
      </w:r>
      <w:r w:rsidR="00FF11F2">
        <w:rPr>
          <w:rFonts w:ascii="Arial" w:eastAsia="Calibri" w:hAnsi="Arial" w:cs="Arial"/>
          <w:bCs/>
          <w:sz w:val="26"/>
          <w:szCs w:val="26"/>
        </w:rPr>
        <w:t xml:space="preserve"> de la Ley Orgánica del Tribunal de Justicia Administrativa para el Estado de Oaxaca, para salvaguardar el derecho de acceso a la justicia del demandante. De ahí lo</w:t>
      </w:r>
      <w:r w:rsidR="00FF11F2" w:rsidRPr="00FF11F2">
        <w:rPr>
          <w:rFonts w:ascii="Arial" w:eastAsia="Calibri" w:hAnsi="Arial" w:cs="Arial"/>
          <w:b/>
          <w:bCs/>
          <w:sz w:val="26"/>
          <w:szCs w:val="26"/>
        </w:rPr>
        <w:t xml:space="preserve"> fundado</w:t>
      </w:r>
      <w:r w:rsidR="00FF11F2">
        <w:rPr>
          <w:rFonts w:ascii="Arial" w:eastAsia="Calibri" w:hAnsi="Arial" w:cs="Arial"/>
          <w:bCs/>
          <w:sz w:val="26"/>
          <w:szCs w:val="26"/>
        </w:rPr>
        <w:t xml:space="preserve"> del agravio. </w:t>
      </w:r>
      <w:r w:rsidR="007B5824">
        <w:rPr>
          <w:rFonts w:ascii="Arial" w:hAnsi="Arial" w:cs="Arial"/>
          <w:sz w:val="26"/>
          <w:szCs w:val="26"/>
        </w:rPr>
        <w:t xml:space="preserve">- - - - - - - - - - - - - - - - - - - - - - - - - - - - - - - - - - - </w:t>
      </w:r>
    </w:p>
    <w:p w14:paraId="1073831B" w14:textId="35645066" w:rsidR="00CF182A" w:rsidRDefault="00CF182A" w:rsidP="00CF182A">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t xml:space="preserve">Es aplicable al caso la jurisprudencia de la Décima Época, número I. 14o.T.J./3 (10a.), con número de registro digital 2019394, emitida por los Tribunales Colegiados de Circuito, publicado en la Gaceta del Semanario Judicial de la Federación, Libro 63, Febrero de 2019, Tomo II, visible a página 2478, cuyo rubro y texto mencionan: </w:t>
      </w:r>
    </w:p>
    <w:p w14:paraId="3A795CCE" w14:textId="77777777" w:rsidR="00CF182A" w:rsidRPr="006C60DF" w:rsidRDefault="00CF182A" w:rsidP="007B5824">
      <w:pPr>
        <w:pStyle w:val="NormalWeb"/>
        <w:shd w:val="clear" w:color="auto" w:fill="FFFFFF"/>
        <w:spacing w:line="276" w:lineRule="auto"/>
        <w:ind w:left="567" w:right="616"/>
        <w:jc w:val="both"/>
        <w:rPr>
          <w:rFonts w:ascii="Arial" w:hAnsi="Arial" w:cs="Arial"/>
          <w:i/>
          <w:sz w:val="22"/>
          <w:szCs w:val="22"/>
        </w:rPr>
      </w:pPr>
      <w:r w:rsidRPr="006C60DF">
        <w:rPr>
          <w:rFonts w:ascii="Arial" w:hAnsi="Arial" w:cs="Arial"/>
          <w:b/>
          <w:bCs/>
          <w:i/>
          <w:sz w:val="22"/>
          <w:szCs w:val="22"/>
        </w:rPr>
        <w:t>“TUTELA JUDICIAL EFECTIVA. SU RELACIÓN CON LOS FORMALISMOS PROCESALES</w:t>
      </w:r>
      <w:r w:rsidRPr="006C60DF">
        <w:rPr>
          <w:rFonts w:ascii="Arial" w:hAnsi="Arial" w:cs="Arial"/>
          <w:bCs/>
          <w:i/>
          <w:sz w:val="22"/>
          <w:szCs w:val="22"/>
        </w:rPr>
        <w:t xml:space="preserve">. </w:t>
      </w:r>
      <w:r w:rsidRPr="006C60DF">
        <w:rPr>
          <w:rFonts w:ascii="Arial" w:hAnsi="Arial" w:cs="Arial"/>
          <w:i/>
          <w:sz w:val="22"/>
          <w:szCs w:val="22"/>
        </w:rPr>
        <w:t>El artículo </w:t>
      </w:r>
      <w:hyperlink r:id="rId8" w:history="1">
        <w:r w:rsidRPr="006C60DF">
          <w:rPr>
            <w:rStyle w:val="Hipervnculo"/>
            <w:rFonts w:ascii="Arial" w:eastAsiaTheme="majorEastAsia" w:hAnsi="Arial" w:cs="Arial"/>
            <w:i/>
            <w:color w:val="auto"/>
            <w:sz w:val="22"/>
            <w:szCs w:val="22"/>
          </w:rPr>
          <w:t>17, párrafo tercero, de la Constitución Política de los Estados Unidos Mexicanos</w:t>
        </w:r>
      </w:hyperlink>
      <w:r w:rsidRPr="006C60DF">
        <w:rPr>
          <w:rFonts w:ascii="Arial" w:hAnsi="Arial" w:cs="Arial"/>
          <w:i/>
          <w:sz w:val="22"/>
          <w:szCs w:val="22"/>
        </w:rPr>
        <w:t xml:space="preserve">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w:t>
      </w:r>
      <w:r w:rsidRPr="006C60DF">
        <w:rPr>
          <w:rFonts w:ascii="Arial" w:hAnsi="Arial" w:cs="Arial"/>
          <w:i/>
          <w:sz w:val="22"/>
          <w:szCs w:val="22"/>
        </w:rPr>
        <w:lastRenderedPageBreak/>
        <w:t>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6C60DF">
        <w:rPr>
          <w:rFonts w:ascii="Arial" w:hAnsi="Arial" w:cs="Arial"/>
          <w:b/>
          <w:i/>
          <w:sz w:val="22"/>
          <w:szCs w:val="22"/>
        </w:rPr>
        <w:t>”</w:t>
      </w:r>
    </w:p>
    <w:p w14:paraId="1B322DAE" w14:textId="543EA90F" w:rsidR="00CF182A" w:rsidRPr="00DE5BB0" w:rsidRDefault="00CF182A" w:rsidP="00CF182A">
      <w:pPr>
        <w:spacing w:line="360" w:lineRule="auto"/>
        <w:ind w:firstLine="567"/>
        <w:jc w:val="both"/>
        <w:rPr>
          <w:rFonts w:ascii="Arial" w:eastAsia="Times New Roman" w:hAnsi="Arial" w:cs="Arial"/>
          <w:bCs/>
          <w:color w:val="000000"/>
          <w:sz w:val="26"/>
          <w:szCs w:val="26"/>
        </w:rPr>
      </w:pPr>
      <w:r>
        <w:rPr>
          <w:rFonts w:ascii="Arial" w:eastAsia="Times New Roman" w:hAnsi="Arial" w:cs="Arial"/>
          <w:iCs/>
          <w:sz w:val="26"/>
          <w:szCs w:val="26"/>
        </w:rPr>
        <w:t>Ahora, toda vez que la Quinta Sala Unitaria de Primera Instancia irrogó los</w:t>
      </w:r>
      <w:r w:rsidRPr="00DE5BB0">
        <w:rPr>
          <w:rFonts w:ascii="Arial" w:eastAsia="Times New Roman" w:hAnsi="Arial" w:cs="Arial"/>
          <w:bCs/>
          <w:color w:val="000000"/>
          <w:sz w:val="26"/>
          <w:szCs w:val="26"/>
        </w:rPr>
        <w:t xml:space="preserve"> agravio</w:t>
      </w:r>
      <w:r>
        <w:rPr>
          <w:rFonts w:ascii="Arial" w:eastAsia="Times New Roman" w:hAnsi="Arial" w:cs="Arial"/>
          <w:bCs/>
          <w:color w:val="000000"/>
          <w:sz w:val="26"/>
          <w:szCs w:val="26"/>
        </w:rPr>
        <w:t>s</w:t>
      </w:r>
      <w:r w:rsidRPr="00DE5BB0">
        <w:rPr>
          <w:rFonts w:ascii="Arial" w:eastAsia="Times New Roman" w:hAnsi="Arial" w:cs="Arial"/>
          <w:bCs/>
          <w:color w:val="000000"/>
          <w:sz w:val="26"/>
          <w:szCs w:val="26"/>
        </w:rPr>
        <w:t xml:space="preserve"> aducido</w:t>
      </w:r>
      <w:r>
        <w:rPr>
          <w:rFonts w:ascii="Arial" w:eastAsia="Times New Roman" w:hAnsi="Arial" w:cs="Arial"/>
          <w:bCs/>
          <w:color w:val="000000"/>
          <w:sz w:val="26"/>
          <w:szCs w:val="26"/>
        </w:rPr>
        <w:t>s</w:t>
      </w:r>
      <w:r w:rsidRPr="00DE5BB0">
        <w:rPr>
          <w:rFonts w:ascii="Arial" w:eastAsia="Times New Roman" w:hAnsi="Arial" w:cs="Arial"/>
          <w:sz w:val="26"/>
          <w:szCs w:val="26"/>
        </w:rPr>
        <w:t>, a fin de repararlo</w:t>
      </w:r>
      <w:r>
        <w:rPr>
          <w:rFonts w:ascii="Arial" w:eastAsia="Times New Roman" w:hAnsi="Arial" w:cs="Arial"/>
          <w:sz w:val="26"/>
          <w:szCs w:val="26"/>
        </w:rPr>
        <w:t>s, es procedente</w:t>
      </w:r>
      <w:r w:rsidRPr="00DE5BB0">
        <w:rPr>
          <w:rFonts w:ascii="Arial" w:eastAsia="Times New Roman" w:hAnsi="Arial" w:cs="Arial"/>
          <w:sz w:val="26"/>
          <w:szCs w:val="26"/>
        </w:rPr>
        <w:t xml:space="preserve"> </w:t>
      </w:r>
      <w:r w:rsidR="00C27215">
        <w:rPr>
          <w:rFonts w:ascii="Arial" w:eastAsia="Times New Roman" w:hAnsi="Arial" w:cs="Arial"/>
          <w:b/>
          <w:sz w:val="26"/>
          <w:szCs w:val="26"/>
        </w:rPr>
        <w:t>REVOCA</w:t>
      </w:r>
      <w:r w:rsidR="00A47391">
        <w:rPr>
          <w:rFonts w:ascii="Arial" w:eastAsia="Times New Roman" w:hAnsi="Arial" w:cs="Arial"/>
          <w:b/>
          <w:sz w:val="26"/>
          <w:szCs w:val="26"/>
        </w:rPr>
        <w:t>R</w:t>
      </w:r>
      <w:r w:rsidR="00C27215">
        <w:rPr>
          <w:rFonts w:ascii="Arial" w:eastAsia="Times New Roman" w:hAnsi="Arial" w:cs="Arial"/>
          <w:b/>
          <w:sz w:val="26"/>
          <w:szCs w:val="26"/>
        </w:rPr>
        <w:t xml:space="preserve"> </w:t>
      </w:r>
      <w:r w:rsidRPr="00DE5BB0">
        <w:rPr>
          <w:rFonts w:ascii="Arial" w:eastAsia="Times New Roman" w:hAnsi="Arial" w:cs="Arial"/>
          <w:sz w:val="26"/>
          <w:szCs w:val="26"/>
        </w:rPr>
        <w:t>el auto recurrido</w:t>
      </w:r>
      <w:r w:rsidR="00A47391">
        <w:rPr>
          <w:rFonts w:ascii="Arial" w:eastAsia="Times New Roman" w:hAnsi="Arial" w:cs="Arial"/>
          <w:sz w:val="26"/>
          <w:szCs w:val="26"/>
        </w:rPr>
        <w:t xml:space="preserve"> dictar otro en su lugar</w:t>
      </w:r>
      <w:r w:rsidRPr="00DE5BB0">
        <w:rPr>
          <w:rFonts w:ascii="Arial" w:eastAsia="Times New Roman" w:hAnsi="Arial" w:cs="Arial"/>
          <w:sz w:val="26"/>
          <w:szCs w:val="26"/>
        </w:rPr>
        <w:t>,</w:t>
      </w:r>
      <w:r w:rsidR="00517E8A">
        <w:rPr>
          <w:rFonts w:ascii="Arial" w:eastAsia="Times New Roman" w:hAnsi="Arial" w:cs="Arial"/>
          <w:sz w:val="26"/>
          <w:szCs w:val="26"/>
        </w:rPr>
        <w:t xml:space="preserve"> </w:t>
      </w:r>
      <w:r w:rsidR="00517E8A">
        <w:rPr>
          <w:rFonts w:ascii="Arial" w:eastAsia="Calibri" w:hAnsi="Arial" w:cs="Arial"/>
          <w:bCs/>
          <w:sz w:val="26"/>
          <w:szCs w:val="26"/>
        </w:rPr>
        <w:t>en los siguientes términos</w:t>
      </w:r>
      <w:r>
        <w:rPr>
          <w:rFonts w:ascii="Arial" w:eastAsia="Calibri" w:hAnsi="Arial" w:cs="Arial"/>
          <w:bCs/>
          <w:sz w:val="26"/>
          <w:szCs w:val="26"/>
        </w:rPr>
        <w:t xml:space="preserve">: </w:t>
      </w:r>
    </w:p>
    <w:p w14:paraId="4FD6A249" w14:textId="10D2B170" w:rsidR="006006E1" w:rsidRPr="004E1DB0" w:rsidRDefault="00517E8A" w:rsidP="007B5824">
      <w:pPr>
        <w:spacing w:after="0"/>
        <w:ind w:left="567" w:right="616"/>
        <w:jc w:val="both"/>
        <w:rPr>
          <w:rFonts w:ascii="Arial" w:hAnsi="Arial" w:cs="Arial"/>
          <w:i/>
          <w:iCs/>
        </w:rPr>
      </w:pPr>
      <w:r w:rsidRPr="00517E8A">
        <w:rPr>
          <w:rFonts w:ascii="Arial" w:eastAsia="Times New Roman" w:hAnsi="Arial" w:cs="Arial"/>
          <w:b/>
          <w:bCs/>
          <w:i/>
          <w:iCs/>
          <w:lang w:eastAsia="es-ES"/>
        </w:rPr>
        <w:t>“</w:t>
      </w:r>
      <w:r w:rsidRPr="00517E8A">
        <w:rPr>
          <w:rFonts w:ascii="Arial" w:hAnsi="Arial" w:cs="Arial"/>
          <w:i/>
          <w:iCs/>
        </w:rPr>
        <w:t xml:space="preserve">Por recibido en la oficialía de partes común de este Tribunal, el </w:t>
      </w:r>
      <w:r w:rsidR="00765117">
        <w:rPr>
          <w:rFonts w:ascii="Arial" w:hAnsi="Arial" w:cs="Arial"/>
          <w:i/>
          <w:iCs/>
        </w:rPr>
        <w:t>cuatro</w:t>
      </w:r>
      <w:r w:rsidRPr="00517E8A">
        <w:rPr>
          <w:rFonts w:ascii="Arial" w:hAnsi="Arial" w:cs="Arial"/>
          <w:i/>
          <w:iCs/>
        </w:rPr>
        <w:t xml:space="preserve"> </w:t>
      </w:r>
      <w:r w:rsidRPr="007B02BC">
        <w:rPr>
          <w:rFonts w:ascii="Arial" w:hAnsi="Arial" w:cs="Arial"/>
          <w:i/>
          <w:iCs/>
        </w:rPr>
        <w:t xml:space="preserve">de </w:t>
      </w:r>
      <w:r w:rsidR="00765117" w:rsidRPr="007B02BC">
        <w:rPr>
          <w:rFonts w:ascii="Arial" w:hAnsi="Arial" w:cs="Arial"/>
          <w:i/>
          <w:iCs/>
        </w:rPr>
        <w:t>novi</w:t>
      </w:r>
      <w:r w:rsidRPr="007B02BC">
        <w:rPr>
          <w:rFonts w:ascii="Arial" w:hAnsi="Arial" w:cs="Arial"/>
          <w:i/>
          <w:iCs/>
        </w:rPr>
        <w:t>embre de</w:t>
      </w:r>
      <w:r w:rsidR="00765117" w:rsidRPr="007B02BC">
        <w:rPr>
          <w:rFonts w:ascii="Arial" w:hAnsi="Arial" w:cs="Arial"/>
          <w:i/>
          <w:iCs/>
        </w:rPr>
        <w:t xml:space="preserve"> dos mil veintiuno</w:t>
      </w:r>
      <w:r w:rsidRPr="00517E8A">
        <w:rPr>
          <w:rFonts w:ascii="Arial" w:hAnsi="Arial" w:cs="Arial"/>
          <w:i/>
          <w:iCs/>
        </w:rPr>
        <w:t xml:space="preserve"> y turnado a esta Quinta Sala Unitaria de Primera Instancia en esta data, el escrito signado por </w:t>
      </w:r>
      <w:r w:rsidR="00FB50D5">
        <w:rPr>
          <w:rFonts w:ascii="Arial" w:hAnsi="Arial" w:cs="Arial"/>
          <w:b/>
          <w:bCs/>
          <w:i/>
          <w:iCs/>
        </w:rPr>
        <w:t>*******</w:t>
      </w:r>
      <w:r w:rsidR="00A31393" w:rsidRPr="00A31393">
        <w:rPr>
          <w:rFonts w:ascii="Arial" w:hAnsi="Arial" w:cs="Arial"/>
          <w:b/>
          <w:bCs/>
          <w:i/>
          <w:iCs/>
        </w:rPr>
        <w:t xml:space="preserve">, </w:t>
      </w:r>
      <w:r w:rsidRPr="00517E8A">
        <w:rPr>
          <w:rFonts w:ascii="Arial" w:hAnsi="Arial" w:cs="Arial"/>
          <w:i/>
          <w:iCs/>
        </w:rPr>
        <w:t xml:space="preserve">quien promueve por su propio derecho </w:t>
      </w:r>
      <w:r w:rsidRPr="00517E8A">
        <w:rPr>
          <w:rFonts w:ascii="Arial" w:hAnsi="Arial" w:cs="Arial"/>
          <w:b/>
          <w:i/>
          <w:iCs/>
        </w:rPr>
        <w:t xml:space="preserve">juicio de nulidad </w:t>
      </w:r>
      <w:r w:rsidRPr="00517E8A">
        <w:rPr>
          <w:rFonts w:ascii="Arial" w:hAnsi="Arial" w:cs="Arial"/>
          <w:i/>
          <w:iCs/>
        </w:rPr>
        <w:t xml:space="preserve">en contra del mandamiento de ejecución número </w:t>
      </w:r>
      <w:r w:rsidR="00FB50D5">
        <w:rPr>
          <w:rFonts w:ascii="Arial" w:hAnsi="Arial" w:cs="Arial"/>
          <w:i/>
          <w:iCs/>
        </w:rPr>
        <w:t>*******</w:t>
      </w:r>
      <w:r w:rsidR="002109FD" w:rsidRPr="002109FD">
        <w:rPr>
          <w:rFonts w:ascii="Arial" w:hAnsi="Arial" w:cs="Arial"/>
          <w:i/>
          <w:iCs/>
        </w:rPr>
        <w:t xml:space="preserve"> de trece de julio de dos mil veintiuno</w:t>
      </w:r>
      <w:r w:rsidR="002109FD">
        <w:rPr>
          <w:rFonts w:ascii="Arial" w:hAnsi="Arial" w:cs="Arial"/>
          <w:i/>
          <w:iCs/>
        </w:rPr>
        <w:t xml:space="preserve">, </w:t>
      </w:r>
      <w:r w:rsidRPr="00517E8A">
        <w:rPr>
          <w:rFonts w:ascii="Arial" w:hAnsi="Arial" w:cs="Arial"/>
          <w:i/>
          <w:iCs/>
        </w:rPr>
        <w:t xml:space="preserve">emitido por la </w:t>
      </w:r>
      <w:r w:rsidR="00191AB4">
        <w:rPr>
          <w:rFonts w:ascii="Arial" w:hAnsi="Arial" w:cs="Arial"/>
          <w:b/>
          <w:i/>
          <w:iCs/>
        </w:rPr>
        <w:t>C</w:t>
      </w:r>
      <w:r w:rsidRPr="00517E8A">
        <w:rPr>
          <w:rFonts w:ascii="Arial" w:hAnsi="Arial" w:cs="Arial"/>
          <w:b/>
          <w:i/>
          <w:iCs/>
        </w:rPr>
        <w:t xml:space="preserve">oordinadora de Cobro Coactivo de la Secretaría de Finanzas del Gobierno del Estado; </w:t>
      </w:r>
      <w:r w:rsidRPr="00517E8A">
        <w:rPr>
          <w:rFonts w:ascii="Arial" w:hAnsi="Arial" w:cs="Arial"/>
          <w:i/>
          <w:iCs/>
        </w:rPr>
        <w:t>en consecuencia, fórmese expediente y regístrese en el libro que para tal efecto se lleva en esta Quinta Sala Unitaria de Primera Instancia</w:t>
      </w:r>
      <w:r w:rsidR="006006E1">
        <w:rPr>
          <w:rFonts w:ascii="Arial" w:hAnsi="Arial" w:cs="Arial"/>
          <w:i/>
          <w:iCs/>
        </w:rPr>
        <w:t xml:space="preserve">.- </w:t>
      </w:r>
      <w:r w:rsidR="006006E1" w:rsidRPr="006C60DF">
        <w:rPr>
          <w:rFonts w:ascii="Arial" w:hAnsi="Arial" w:cs="Arial"/>
          <w:b/>
          <w:bCs/>
          <w:i/>
          <w:iCs/>
        </w:rPr>
        <w:t>Ahora bien,</w:t>
      </w:r>
      <w:r w:rsidR="006006E1" w:rsidRPr="006C60DF">
        <w:rPr>
          <w:rFonts w:ascii="Arial" w:hAnsi="Arial" w:cs="Arial"/>
          <w:i/>
          <w:iCs/>
        </w:rPr>
        <w:t xml:space="preserve"> de la lectura del escrito de demanda y los documentos anexos, se advierte que lo que el promovente</w:t>
      </w:r>
      <w:r w:rsidR="00A25E5D">
        <w:rPr>
          <w:rFonts w:ascii="Arial" w:hAnsi="Arial" w:cs="Arial"/>
          <w:i/>
          <w:iCs/>
        </w:rPr>
        <w:t xml:space="preserve"> </w:t>
      </w:r>
      <w:r w:rsidR="00FB50D5">
        <w:rPr>
          <w:rFonts w:ascii="Arial" w:hAnsi="Arial" w:cs="Arial"/>
          <w:b/>
          <w:bCs/>
          <w:i/>
          <w:iCs/>
        </w:rPr>
        <w:t>*******</w:t>
      </w:r>
      <w:r w:rsidR="00A25E5D" w:rsidRPr="00A31393">
        <w:rPr>
          <w:rFonts w:ascii="Arial" w:hAnsi="Arial" w:cs="Arial"/>
          <w:b/>
          <w:bCs/>
          <w:i/>
          <w:iCs/>
        </w:rPr>
        <w:t>,</w:t>
      </w:r>
      <w:r w:rsidR="00A25E5D">
        <w:rPr>
          <w:rFonts w:ascii="Arial" w:hAnsi="Arial" w:cs="Arial"/>
          <w:b/>
          <w:bCs/>
          <w:i/>
          <w:iCs/>
        </w:rPr>
        <w:t xml:space="preserve"> </w:t>
      </w:r>
      <w:r w:rsidR="006006E1" w:rsidRPr="006C60DF">
        <w:rPr>
          <w:rFonts w:ascii="Arial" w:hAnsi="Arial" w:cs="Arial"/>
          <w:i/>
          <w:iCs/>
        </w:rPr>
        <w:t xml:space="preserve">intenta impugnar es la resolución </w:t>
      </w:r>
      <w:r w:rsidR="00A25E5D" w:rsidRPr="00A25E5D">
        <w:rPr>
          <w:rFonts w:ascii="Arial" w:hAnsi="Arial" w:cs="Arial"/>
          <w:i/>
          <w:iCs/>
        </w:rPr>
        <w:t xml:space="preserve">número </w:t>
      </w:r>
      <w:r w:rsidR="00FB50D5">
        <w:rPr>
          <w:rFonts w:ascii="Arial" w:hAnsi="Arial" w:cs="Arial"/>
          <w:b/>
          <w:bCs/>
          <w:i/>
          <w:iCs/>
        </w:rPr>
        <w:t>*******</w:t>
      </w:r>
      <w:r w:rsidR="00A25E5D" w:rsidRPr="00A25E5D">
        <w:rPr>
          <w:rFonts w:ascii="Arial" w:hAnsi="Arial" w:cs="Arial"/>
          <w:i/>
          <w:iCs/>
        </w:rPr>
        <w:t xml:space="preserve"> de veintisiete de octubre de dos mil veinte, emitida por el Órgano Superior de Fiscalización del Estado,</w:t>
      </w:r>
      <w:r w:rsidR="00A25E5D">
        <w:rPr>
          <w:rFonts w:ascii="Arial" w:hAnsi="Arial" w:cs="Arial"/>
          <w:i/>
          <w:iCs/>
        </w:rPr>
        <w:t xml:space="preserve"> </w:t>
      </w:r>
      <w:r w:rsidR="006006E1" w:rsidRPr="006C60DF">
        <w:rPr>
          <w:rFonts w:ascii="Arial" w:hAnsi="Arial" w:cs="Arial"/>
          <w:i/>
          <w:iCs/>
        </w:rPr>
        <w:t xml:space="preserve">por el que se le impuso una multa </w:t>
      </w:r>
      <w:r w:rsidR="006006E1" w:rsidRPr="006006E1">
        <w:rPr>
          <w:rFonts w:ascii="Arial" w:hAnsi="Arial" w:cs="Arial"/>
          <w:b/>
          <w:i/>
          <w:iCs/>
        </w:rPr>
        <w:t>no fiscal</w:t>
      </w:r>
      <w:r w:rsidR="006006E1">
        <w:rPr>
          <w:rFonts w:ascii="Arial" w:hAnsi="Arial" w:cs="Arial"/>
          <w:i/>
          <w:iCs/>
        </w:rPr>
        <w:t xml:space="preserve"> </w:t>
      </w:r>
      <w:r w:rsidR="006006E1" w:rsidRPr="006C60DF">
        <w:rPr>
          <w:rFonts w:ascii="Arial" w:hAnsi="Arial" w:cs="Arial"/>
          <w:i/>
          <w:iCs/>
        </w:rPr>
        <w:t xml:space="preserve">por </w:t>
      </w:r>
      <w:r w:rsidR="004E3C1D" w:rsidRPr="004E3C1D">
        <w:rPr>
          <w:rFonts w:ascii="Arial" w:hAnsi="Arial" w:cs="Arial"/>
          <w:i/>
          <w:iCs/>
        </w:rPr>
        <w:t>“resarcimiento de daños causados a la hacienda pública municipal de Reforma de Pineda, Distrito de Juchitán, Oaxaca, durante el ejercicio fiscal 2016”, cuando el actor fungió como Síndico de ese Municipio</w:t>
      </w:r>
      <w:r w:rsidR="004E3C1D">
        <w:rPr>
          <w:rFonts w:ascii="Arial" w:hAnsi="Arial" w:cs="Arial"/>
          <w:i/>
          <w:iCs/>
        </w:rPr>
        <w:t xml:space="preserve">, asunto </w:t>
      </w:r>
      <w:r w:rsidR="006006E1" w:rsidRPr="006C60DF">
        <w:rPr>
          <w:rFonts w:ascii="Arial" w:hAnsi="Arial" w:cs="Arial"/>
          <w:i/>
          <w:iCs/>
        </w:rPr>
        <w:t xml:space="preserve">que debe ser sustanciado mediante el </w:t>
      </w:r>
      <w:r w:rsidR="006006E1" w:rsidRPr="006C60DF">
        <w:rPr>
          <w:rFonts w:ascii="Arial" w:hAnsi="Arial" w:cs="Arial"/>
          <w:b/>
          <w:i/>
          <w:iCs/>
        </w:rPr>
        <w:t>juicio de inconformidad</w:t>
      </w:r>
      <w:r w:rsidR="006006E1" w:rsidRPr="006C60DF">
        <w:rPr>
          <w:rFonts w:ascii="Arial" w:hAnsi="Arial" w:cs="Arial"/>
          <w:i/>
          <w:iCs/>
        </w:rPr>
        <w:t xml:space="preserve"> y dirimido por la Sala Superior de este Tribunal de Justicia Administrativa del Estado de Oaxaca, </w:t>
      </w:r>
      <w:r w:rsidR="0099454C">
        <w:rPr>
          <w:rFonts w:ascii="Arial" w:hAnsi="Arial" w:cs="Arial"/>
          <w:i/>
          <w:iCs/>
        </w:rPr>
        <w:t xml:space="preserve">por lo que con fundamento en </w:t>
      </w:r>
      <w:r w:rsidR="006006E1" w:rsidRPr="006C60DF">
        <w:rPr>
          <w:rFonts w:ascii="Arial" w:hAnsi="Arial" w:cs="Arial"/>
          <w:i/>
          <w:iCs/>
        </w:rPr>
        <w:t>los artículos 114 QUÁTER de la Constitución Política del Estado Libre y Soberano de Oaxaca, así como los artículos 1, 2, 5 y 28, de la Ley de Justicia de Fiscalización y Rendición de Cuentas para el Estado de Oaxaca; en relación con los artículos 1, 3, 118, 120, fracción VI, de la Ley de Procedimiento y Justicia Administrativa para el Estado de Oaxaca; 4, f</w:t>
      </w:r>
      <w:r w:rsidR="00D24AF7">
        <w:rPr>
          <w:rFonts w:ascii="Arial" w:hAnsi="Arial" w:cs="Arial"/>
          <w:i/>
          <w:iCs/>
        </w:rPr>
        <w:t>racción II y 24 fracción I</w:t>
      </w:r>
      <w:r w:rsidR="006006E1" w:rsidRPr="006C60DF">
        <w:rPr>
          <w:rFonts w:ascii="Arial" w:hAnsi="Arial" w:cs="Arial"/>
          <w:i/>
          <w:iCs/>
        </w:rPr>
        <w:t xml:space="preserve"> de la Ley Orgánica del Tribunal de Justicia Administrativa del Estado de Oaxaca y 3, fracción XLII, del Reglamento Interno del Tribunal de Justicia Administra</w:t>
      </w:r>
      <w:r w:rsidR="006006E1">
        <w:rPr>
          <w:rFonts w:ascii="Arial" w:hAnsi="Arial" w:cs="Arial"/>
          <w:i/>
          <w:iCs/>
        </w:rPr>
        <w:t>tiva del Estado de Oaxa</w:t>
      </w:r>
      <w:r w:rsidR="004E1DB0">
        <w:rPr>
          <w:rFonts w:ascii="Arial" w:hAnsi="Arial" w:cs="Arial"/>
          <w:i/>
          <w:iCs/>
        </w:rPr>
        <w:t xml:space="preserve">ca, y con la finalidad de </w:t>
      </w:r>
      <w:r w:rsidR="006006E1" w:rsidRPr="006C60DF">
        <w:rPr>
          <w:rFonts w:ascii="Arial" w:hAnsi="Arial" w:cs="Arial"/>
          <w:i/>
          <w:iCs/>
        </w:rPr>
        <w:t xml:space="preserve">garantizar los derechos de seguridad jurídica, tutela judicial efectiva y debido proceso del promovente, </w:t>
      </w:r>
      <w:r w:rsidR="004E1DB0">
        <w:rPr>
          <w:rFonts w:ascii="Arial" w:hAnsi="Arial" w:cs="Arial"/>
          <w:i/>
          <w:iCs/>
        </w:rPr>
        <w:t xml:space="preserve">esta Quinta Sala Unitaria de Primera Instancia </w:t>
      </w:r>
      <w:r w:rsidR="004E1DB0" w:rsidRPr="004E1DB0">
        <w:rPr>
          <w:rFonts w:ascii="Arial" w:hAnsi="Arial" w:cs="Arial"/>
          <w:b/>
          <w:i/>
          <w:iCs/>
        </w:rPr>
        <w:t>SE DECLARA INCOMPETENTE</w:t>
      </w:r>
      <w:r w:rsidR="004E1DB0">
        <w:rPr>
          <w:rFonts w:ascii="Arial" w:hAnsi="Arial" w:cs="Arial"/>
          <w:i/>
          <w:iCs/>
        </w:rPr>
        <w:t xml:space="preserve"> para tramitar </w:t>
      </w:r>
      <w:r w:rsidR="006006E1" w:rsidRPr="006C60DF">
        <w:rPr>
          <w:rFonts w:ascii="Arial" w:hAnsi="Arial" w:cs="Arial"/>
          <w:i/>
          <w:iCs/>
        </w:rPr>
        <w:t xml:space="preserve">la demanda </w:t>
      </w:r>
      <w:r w:rsidR="004E1DB0">
        <w:rPr>
          <w:rFonts w:ascii="Arial" w:hAnsi="Arial" w:cs="Arial"/>
          <w:i/>
          <w:iCs/>
        </w:rPr>
        <w:t xml:space="preserve">de </w:t>
      </w:r>
      <w:r w:rsidR="00FB50D5">
        <w:rPr>
          <w:rFonts w:ascii="Arial" w:hAnsi="Arial" w:cs="Arial"/>
          <w:b/>
          <w:bCs/>
          <w:i/>
          <w:iCs/>
        </w:rPr>
        <w:t>*******</w:t>
      </w:r>
      <w:r w:rsidR="004E3C1D">
        <w:rPr>
          <w:rFonts w:ascii="Arial" w:hAnsi="Arial" w:cs="Arial"/>
          <w:b/>
          <w:bCs/>
          <w:i/>
          <w:iCs/>
        </w:rPr>
        <w:t xml:space="preserve">, </w:t>
      </w:r>
      <w:r w:rsidR="004E1DB0" w:rsidRPr="004E1DB0">
        <w:rPr>
          <w:rFonts w:ascii="Arial" w:hAnsi="Arial" w:cs="Arial"/>
          <w:bCs/>
          <w:i/>
          <w:iCs/>
        </w:rPr>
        <w:t xml:space="preserve">a través del juicio de nulidad, </w:t>
      </w:r>
      <w:r w:rsidR="004E1DB0">
        <w:rPr>
          <w:rFonts w:ascii="Arial" w:hAnsi="Arial" w:cs="Arial"/>
          <w:bCs/>
          <w:i/>
          <w:iCs/>
        </w:rPr>
        <w:t xml:space="preserve">y se ordena remitir a la Secretaría General de Acuerdos de este Tribunal los autos del presente expediente, </w:t>
      </w:r>
      <w:r w:rsidR="004E1DB0" w:rsidRPr="006C60DF">
        <w:rPr>
          <w:rFonts w:ascii="Arial" w:hAnsi="Arial" w:cs="Arial"/>
          <w:i/>
          <w:iCs/>
        </w:rPr>
        <w:t xml:space="preserve">para </w:t>
      </w:r>
      <w:r w:rsidR="004E1DB0">
        <w:rPr>
          <w:rFonts w:ascii="Arial" w:hAnsi="Arial" w:cs="Arial"/>
          <w:i/>
          <w:iCs/>
        </w:rPr>
        <w:t xml:space="preserve">que desahogue </w:t>
      </w:r>
      <w:r w:rsidR="004E1DB0" w:rsidRPr="006C60DF">
        <w:rPr>
          <w:rFonts w:ascii="Arial" w:hAnsi="Arial" w:cs="Arial"/>
          <w:i/>
          <w:iCs/>
        </w:rPr>
        <w:t>el trámite del juicio de inconformidad ante la Sala Superior</w:t>
      </w:r>
      <w:r w:rsidR="004E1DB0">
        <w:rPr>
          <w:rFonts w:ascii="Arial" w:hAnsi="Arial" w:cs="Arial"/>
          <w:i/>
          <w:iCs/>
        </w:rPr>
        <w:t xml:space="preserve">, que es </w:t>
      </w:r>
      <w:r w:rsidR="004E1DB0" w:rsidRPr="006C60DF">
        <w:rPr>
          <w:rFonts w:ascii="Arial" w:hAnsi="Arial" w:cs="Arial"/>
          <w:i/>
          <w:iCs/>
        </w:rPr>
        <w:t xml:space="preserve">la instancia competente para sustanciar y dirimir los asuntos planteados contra la autoridad </w:t>
      </w:r>
      <w:r w:rsidR="004E1DB0">
        <w:rPr>
          <w:rFonts w:ascii="Arial" w:hAnsi="Arial" w:cs="Arial"/>
          <w:i/>
          <w:iCs/>
        </w:rPr>
        <w:t xml:space="preserve">en materia de fiscalización y rendición de cuentas. </w:t>
      </w:r>
      <w:r w:rsidR="006006E1" w:rsidRPr="006C60DF">
        <w:rPr>
          <w:rFonts w:ascii="Arial" w:eastAsia="Times New Roman" w:hAnsi="Arial" w:cs="Arial"/>
          <w:b/>
          <w:i/>
          <w:iCs/>
        </w:rPr>
        <w:t>NOTIFÍQUESE</w:t>
      </w:r>
      <w:r w:rsidR="006006E1" w:rsidRPr="006C60DF">
        <w:rPr>
          <w:rFonts w:ascii="Arial" w:eastAsia="Times New Roman" w:hAnsi="Arial" w:cs="Arial"/>
          <w:bCs/>
          <w:i/>
          <w:iCs/>
        </w:rPr>
        <w:t xml:space="preserve"> personalmente al promovente en el domicilio que señala en el escrito de demanda a través de las personas que autoriza, con fundamento en lo dispuesto por los artículos 172 y 173 de la Ley de Procedimiento y Justicia Administrativa para el Estado de Oaxaca, </w:t>
      </w:r>
      <w:r w:rsidR="006006E1" w:rsidRPr="006C60DF">
        <w:rPr>
          <w:rFonts w:ascii="Arial" w:hAnsi="Arial" w:cs="Arial"/>
          <w:b/>
          <w:i/>
          <w:iCs/>
        </w:rPr>
        <w:t xml:space="preserve">CÚMPLASE. </w:t>
      </w:r>
      <w:r w:rsidR="006006E1" w:rsidRPr="006C60DF">
        <w:rPr>
          <w:rFonts w:ascii="Arial" w:eastAsia="Times New Roman" w:hAnsi="Arial" w:cs="Arial"/>
          <w:b/>
          <w:i/>
          <w:iCs/>
        </w:rPr>
        <w:t>…</w:t>
      </w:r>
      <w:r w:rsidR="006006E1" w:rsidRPr="006C60DF">
        <w:rPr>
          <w:rFonts w:ascii="Arial" w:hAnsi="Arial" w:cs="Arial"/>
          <w:i/>
        </w:rPr>
        <w:t xml:space="preserve"> ”</w:t>
      </w:r>
      <w:r w:rsidR="006006E1" w:rsidRPr="006C60DF">
        <w:rPr>
          <w:rFonts w:ascii="Arial" w:eastAsia="Times New Roman" w:hAnsi="Arial" w:cs="Arial"/>
          <w:b/>
          <w:bCs/>
          <w:i/>
          <w:iCs/>
          <w:lang w:eastAsia="es-ES"/>
        </w:rPr>
        <w:t xml:space="preserve"> </w:t>
      </w:r>
    </w:p>
    <w:p w14:paraId="781CA627" w14:textId="77777777" w:rsidR="006006E1" w:rsidRDefault="006006E1" w:rsidP="006006E1"/>
    <w:p w14:paraId="3883DE75" w14:textId="3BD4587F" w:rsidR="007B5821" w:rsidRDefault="00A538EE" w:rsidP="007C1650">
      <w:pPr>
        <w:pStyle w:val="Textoindependiente"/>
        <w:spacing w:after="200" w:line="360" w:lineRule="auto"/>
        <w:ind w:firstLine="708"/>
        <w:jc w:val="both"/>
        <w:rPr>
          <w:rFonts w:ascii="Arial" w:hAnsi="Arial" w:cs="Arial"/>
          <w:sz w:val="26"/>
          <w:szCs w:val="26"/>
        </w:rPr>
      </w:pPr>
      <w:r>
        <w:rPr>
          <w:rFonts w:ascii="Arial" w:hAnsi="Arial" w:cs="Arial"/>
          <w:sz w:val="26"/>
          <w:szCs w:val="26"/>
        </w:rPr>
        <w:lastRenderedPageBreak/>
        <w:t xml:space="preserve">En mérito de lo anterior, </w:t>
      </w:r>
      <w:r w:rsidR="007B5821">
        <w:rPr>
          <w:rFonts w:ascii="Arial" w:hAnsi="Arial" w:cs="Arial"/>
          <w:sz w:val="26"/>
          <w:szCs w:val="26"/>
        </w:rPr>
        <w:t>con fundamento en los artículos 237 y 238 de la Ley de Procedimiento y Justicia Administrativa para el Estado de Oaxaca, se</w:t>
      </w:r>
      <w:r w:rsidR="007B5821" w:rsidRPr="008C1633">
        <w:rPr>
          <w:rFonts w:ascii="Arial" w:hAnsi="Arial" w:cs="Arial"/>
          <w:sz w:val="26"/>
          <w:szCs w:val="26"/>
        </w:rPr>
        <w:t>:</w:t>
      </w:r>
      <w:r w:rsidR="007B5824">
        <w:rPr>
          <w:rFonts w:ascii="Arial" w:hAnsi="Arial" w:cs="Arial"/>
          <w:sz w:val="26"/>
          <w:szCs w:val="26"/>
        </w:rPr>
        <w:t xml:space="preserve"> - - - - - - - - - - - - - - - - - - - - - - - - - - - - - - - - - - - - - - - - - </w:t>
      </w:r>
    </w:p>
    <w:p w14:paraId="3EB2D5DD" w14:textId="77777777" w:rsidR="003B6CF0" w:rsidRPr="007B5824" w:rsidRDefault="003B6CF0" w:rsidP="003B6CF0">
      <w:pPr>
        <w:pStyle w:val="Sinespaciado"/>
        <w:spacing w:before="240" w:line="360" w:lineRule="auto"/>
        <w:jc w:val="center"/>
        <w:rPr>
          <w:rFonts w:ascii="Arial" w:hAnsi="Arial" w:cs="Arial"/>
          <w:b/>
          <w:sz w:val="26"/>
          <w:szCs w:val="26"/>
        </w:rPr>
      </w:pPr>
      <w:r w:rsidRPr="007B5824">
        <w:rPr>
          <w:rFonts w:ascii="Arial" w:hAnsi="Arial" w:cs="Arial"/>
          <w:b/>
          <w:sz w:val="26"/>
          <w:szCs w:val="26"/>
        </w:rPr>
        <w:t>R E S U E L V E</w:t>
      </w:r>
    </w:p>
    <w:p w14:paraId="6DC36662" w14:textId="23DD2CB5"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C27215">
        <w:rPr>
          <w:rFonts w:ascii="Arial" w:hAnsi="Arial" w:cs="Arial"/>
          <w:b/>
          <w:color w:val="000000"/>
          <w:sz w:val="26"/>
          <w:szCs w:val="26"/>
          <w:lang w:val="es-MX"/>
        </w:rPr>
        <w:t xml:space="preserve">REVOCA </w:t>
      </w:r>
      <w:r w:rsidR="00D914C1">
        <w:rPr>
          <w:rFonts w:ascii="Arial" w:hAnsi="Arial" w:cs="Arial"/>
          <w:bCs/>
          <w:color w:val="000000"/>
          <w:sz w:val="26"/>
          <w:szCs w:val="26"/>
          <w:lang w:val="es-MX"/>
        </w:rPr>
        <w:t xml:space="preserve">el acuerdo </w:t>
      </w:r>
      <w:r w:rsidR="004E3C1D">
        <w:rPr>
          <w:rFonts w:ascii="Arial" w:hAnsi="Arial" w:cs="Arial"/>
          <w:bCs/>
          <w:color w:val="000000"/>
          <w:sz w:val="26"/>
          <w:szCs w:val="26"/>
          <w:lang w:val="es-MX"/>
        </w:rPr>
        <w:t xml:space="preserve">de ocho de noviembre de dos mil veintiuno y se dicta uno nuevo, </w:t>
      </w:r>
      <w:r>
        <w:rPr>
          <w:rFonts w:ascii="Arial" w:hAnsi="Arial" w:cs="Arial"/>
          <w:color w:val="000000"/>
          <w:sz w:val="26"/>
          <w:szCs w:val="26"/>
          <w:lang w:val="es-MX"/>
        </w:rPr>
        <w:t>por las razones expuestas por esta Sala Superior en el considerando que antecede.</w:t>
      </w:r>
      <w:r w:rsidR="007B5824" w:rsidRPr="007B5824">
        <w:rPr>
          <w:rFonts w:ascii="Arial" w:hAnsi="Arial" w:cs="Arial"/>
          <w:sz w:val="26"/>
          <w:szCs w:val="26"/>
        </w:rPr>
        <w:t xml:space="preserve"> </w:t>
      </w:r>
      <w:r w:rsidR="007B5824">
        <w:rPr>
          <w:rFonts w:ascii="Arial" w:hAnsi="Arial" w:cs="Arial"/>
          <w:sz w:val="26"/>
          <w:szCs w:val="26"/>
        </w:rPr>
        <w:t xml:space="preserve">- - - - - - - - - - - - - - - - - </w:t>
      </w:r>
    </w:p>
    <w:p w14:paraId="3B97D14F" w14:textId="02120042" w:rsidR="00C27215" w:rsidRPr="00C27215" w:rsidRDefault="003B6CF0" w:rsidP="00E9212E">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6B717B" w:rsidRPr="006B717B">
        <w:rPr>
          <w:rFonts w:ascii="Arial" w:hAnsi="Arial" w:cs="Arial"/>
          <w:sz w:val="26"/>
          <w:szCs w:val="26"/>
        </w:rPr>
        <w:t>En cumplimiento a la presente resolución, s</w:t>
      </w:r>
      <w:r w:rsidR="00C27215" w:rsidRPr="00C27215">
        <w:rPr>
          <w:rFonts w:ascii="Arial" w:hAnsi="Arial" w:cs="Arial"/>
          <w:sz w:val="26"/>
          <w:szCs w:val="26"/>
        </w:rPr>
        <w:t>e ordena a la Quinta Sala Unitaria de Primera I</w:t>
      </w:r>
      <w:r w:rsidR="0025442E">
        <w:rPr>
          <w:rFonts w:ascii="Arial" w:hAnsi="Arial" w:cs="Arial"/>
          <w:sz w:val="26"/>
          <w:szCs w:val="26"/>
        </w:rPr>
        <w:t xml:space="preserve">nstancia, que remita a la Secretaría General de Acuerdos de este Tribunal, </w:t>
      </w:r>
      <w:r w:rsidR="00A65BCC">
        <w:rPr>
          <w:rFonts w:ascii="Arial" w:hAnsi="Arial" w:cs="Arial"/>
          <w:sz w:val="26"/>
          <w:szCs w:val="26"/>
        </w:rPr>
        <w:t xml:space="preserve">las constancias del expediente </w:t>
      </w:r>
      <w:r w:rsidR="00A65BCC" w:rsidRPr="007118C8">
        <w:rPr>
          <w:rFonts w:ascii="Arial" w:hAnsi="Arial" w:cs="Arial"/>
          <w:b/>
          <w:sz w:val="26"/>
          <w:szCs w:val="26"/>
        </w:rPr>
        <w:t>0</w:t>
      </w:r>
      <w:r w:rsidR="004E3C1D">
        <w:rPr>
          <w:rFonts w:ascii="Arial" w:hAnsi="Arial" w:cs="Arial"/>
          <w:b/>
          <w:sz w:val="26"/>
          <w:szCs w:val="26"/>
        </w:rPr>
        <w:t>089</w:t>
      </w:r>
      <w:r w:rsidR="00A65BCC" w:rsidRPr="007118C8">
        <w:rPr>
          <w:rFonts w:ascii="Arial" w:hAnsi="Arial" w:cs="Arial"/>
          <w:b/>
          <w:sz w:val="26"/>
          <w:szCs w:val="26"/>
        </w:rPr>
        <w:t>/202</w:t>
      </w:r>
      <w:r w:rsidR="004E3C1D">
        <w:rPr>
          <w:rFonts w:ascii="Arial" w:hAnsi="Arial" w:cs="Arial"/>
          <w:b/>
          <w:sz w:val="26"/>
          <w:szCs w:val="26"/>
        </w:rPr>
        <w:t>1</w:t>
      </w:r>
      <w:r w:rsidR="00A65BCC">
        <w:rPr>
          <w:rFonts w:ascii="Arial" w:hAnsi="Arial" w:cs="Arial"/>
          <w:sz w:val="26"/>
          <w:szCs w:val="26"/>
        </w:rPr>
        <w:t xml:space="preserve"> de su índice, para la tramitación del juicio de inconformidad correspondiente. </w:t>
      </w:r>
      <w:r w:rsidR="007B5824">
        <w:rPr>
          <w:rFonts w:ascii="Arial" w:hAnsi="Arial" w:cs="Arial"/>
          <w:sz w:val="26"/>
          <w:szCs w:val="26"/>
        </w:rPr>
        <w:t xml:space="preserve">- - - - - - - - - - - - - - - - - - - - - - - - - - - - - - - - - - - - - - - </w:t>
      </w:r>
    </w:p>
    <w:p w14:paraId="7C3BBB67" w14:textId="1B83112B" w:rsidR="003B6CF0" w:rsidRDefault="00A65BCC" w:rsidP="00E9212E">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TERCERO. </w:t>
      </w:r>
      <w:r w:rsidR="006C60DF" w:rsidRPr="007B1E95">
        <w:rPr>
          <w:rFonts w:ascii="Arial" w:hAnsi="Arial" w:cs="Arial"/>
          <w:b/>
          <w:sz w:val="26"/>
          <w:szCs w:val="26"/>
        </w:rPr>
        <w:t>N</w:t>
      </w:r>
      <w:r w:rsidR="006C60DF" w:rsidRPr="006E349D">
        <w:rPr>
          <w:rFonts w:ascii="Arial" w:hAnsi="Arial" w:cs="Arial"/>
          <w:b/>
          <w:sz w:val="26"/>
          <w:szCs w:val="26"/>
        </w:rPr>
        <w:t>OTIFÍQUESE</w:t>
      </w:r>
      <w:r w:rsidR="006C60DF">
        <w:rPr>
          <w:rFonts w:ascii="Arial" w:hAnsi="Arial" w:cs="Arial"/>
          <w:b/>
          <w:sz w:val="26"/>
          <w:szCs w:val="26"/>
        </w:rPr>
        <w:t xml:space="preserve"> Y CÚMPLASE,</w:t>
      </w:r>
      <w:r w:rsidR="006C60DF" w:rsidRPr="00986534">
        <w:rPr>
          <w:rFonts w:ascii="Arial" w:hAnsi="Arial" w:cs="Arial"/>
          <w:sz w:val="26"/>
          <w:szCs w:val="26"/>
        </w:rPr>
        <w:t xml:space="preserve"> </w:t>
      </w:r>
      <w:r w:rsidR="003B6CF0">
        <w:rPr>
          <w:rFonts w:ascii="Arial" w:hAnsi="Arial" w:cs="Arial"/>
          <w:sz w:val="26"/>
          <w:szCs w:val="26"/>
        </w:rPr>
        <w:t xml:space="preserve">remítase copia certificada de la presente resolución a la </w:t>
      </w:r>
      <w:r w:rsidR="00D914C1">
        <w:rPr>
          <w:rFonts w:ascii="Arial" w:hAnsi="Arial" w:cs="Arial"/>
          <w:sz w:val="26"/>
          <w:szCs w:val="26"/>
        </w:rPr>
        <w:t>Quint</w:t>
      </w:r>
      <w:r w:rsidR="003B6CF0">
        <w:rPr>
          <w:rFonts w:ascii="Arial" w:hAnsi="Arial" w:cs="Arial"/>
          <w:sz w:val="26"/>
          <w:szCs w:val="26"/>
        </w:rPr>
        <w:t>a Sala Unitaria de Primera Instancia de este Tribunal y en su oportunidad archívese el presente cuaderno de revisión como asunto concluido.</w:t>
      </w:r>
      <w:r w:rsidR="00C60C6C" w:rsidRPr="00C60C6C">
        <w:rPr>
          <w:rFonts w:ascii="Arial" w:hAnsi="Arial" w:cs="Arial"/>
          <w:sz w:val="26"/>
          <w:szCs w:val="26"/>
        </w:rPr>
        <w:t xml:space="preserve"> </w:t>
      </w:r>
      <w:r w:rsidR="00C60C6C">
        <w:rPr>
          <w:rFonts w:ascii="Arial" w:hAnsi="Arial" w:cs="Arial"/>
          <w:sz w:val="26"/>
          <w:szCs w:val="26"/>
        </w:rPr>
        <w:t xml:space="preserve">- - - - - - - - - - - - - - - - - - - </w:t>
      </w:r>
    </w:p>
    <w:p w14:paraId="15C36A20" w14:textId="743EBD50" w:rsidR="00E9212E" w:rsidRPr="00E9212E" w:rsidRDefault="006D1DB2" w:rsidP="006C60DF">
      <w:pPr>
        <w:tabs>
          <w:tab w:val="left" w:pos="1680"/>
          <w:tab w:val="center" w:pos="4277"/>
        </w:tabs>
        <w:spacing w:line="360" w:lineRule="auto"/>
        <w:jc w:val="both"/>
        <w:rPr>
          <w:rFonts w:ascii="Arial" w:hAnsi="Arial" w:cs="Arial"/>
          <w:sz w:val="26"/>
          <w:szCs w:val="26"/>
        </w:rPr>
      </w:pPr>
      <w:r w:rsidRPr="003B6CF0">
        <w:t xml:space="preserve"> </w:t>
      </w:r>
      <w:r w:rsidR="00E9212E" w:rsidRPr="00E9212E">
        <w:rPr>
          <w:rFonts w:ascii="Arial" w:hAnsi="Arial" w:cs="Arial"/>
          <w:sz w:val="26"/>
          <w:szCs w:val="26"/>
        </w:rPr>
        <w:t xml:space="preserve">       Por unanimidad de votos, lo resolvieron y firmaron los magistrados integrantes de la Sala Superior, Manuel Velasco Alcántara, Raúl Palomares Palomino </w:t>
      </w:r>
      <w:r w:rsidR="00E9212E" w:rsidRPr="00E9212E">
        <w:rPr>
          <w:rFonts w:ascii="Arial" w:hAnsi="Arial" w:cs="Arial"/>
          <w:b/>
          <w:bCs/>
          <w:sz w:val="26"/>
          <w:szCs w:val="26"/>
        </w:rPr>
        <w:t>(ponente)</w:t>
      </w:r>
      <w:r w:rsidR="00E9212E" w:rsidRPr="00E9212E">
        <w:rPr>
          <w:rFonts w:ascii="Arial" w:hAnsi="Arial" w:cs="Arial"/>
          <w:sz w:val="26"/>
          <w:szCs w:val="26"/>
        </w:rPr>
        <w:t>, Gloria del Carmen Camacho Meza, Paulo José Luis Tapia Palacios, Elías Cortés López, quienes actúan con el Licenciado Juan Edy García Coronado, secretario General de Acuerdos de este Tr</w:t>
      </w:r>
      <w:r w:rsidR="006C60DF">
        <w:rPr>
          <w:rFonts w:ascii="Arial" w:hAnsi="Arial" w:cs="Arial"/>
          <w:sz w:val="26"/>
          <w:szCs w:val="26"/>
        </w:rPr>
        <w:t>ibunal, que autoriza y da fe.</w:t>
      </w:r>
      <w:r w:rsidR="00C60C6C" w:rsidRPr="00C60C6C">
        <w:rPr>
          <w:rFonts w:ascii="Arial" w:hAnsi="Arial" w:cs="Arial"/>
          <w:sz w:val="26"/>
          <w:szCs w:val="26"/>
        </w:rPr>
        <w:t xml:space="preserve"> </w:t>
      </w:r>
      <w:r w:rsidR="00C60C6C">
        <w:rPr>
          <w:rFonts w:ascii="Arial" w:hAnsi="Arial" w:cs="Arial"/>
          <w:sz w:val="26"/>
          <w:szCs w:val="26"/>
        </w:rPr>
        <w:t xml:space="preserve">- - - - - - - - - - - - - - - - - </w:t>
      </w:r>
    </w:p>
    <w:p w14:paraId="04CAFB69" w14:textId="77777777" w:rsidR="00E9212E" w:rsidRPr="00E9212E" w:rsidRDefault="00E9212E" w:rsidP="00E9212E">
      <w:pPr>
        <w:tabs>
          <w:tab w:val="left" w:pos="1680"/>
          <w:tab w:val="center" w:pos="4277"/>
        </w:tabs>
        <w:jc w:val="center"/>
        <w:rPr>
          <w:rFonts w:ascii="Arial" w:hAnsi="Arial" w:cs="Arial"/>
          <w:sz w:val="26"/>
          <w:szCs w:val="26"/>
        </w:rPr>
      </w:pPr>
    </w:p>
    <w:p w14:paraId="1B2A788C" w14:textId="77777777" w:rsidR="00C60C6C" w:rsidRDefault="00C60C6C" w:rsidP="00FB50D5">
      <w:pPr>
        <w:pStyle w:val="Sinespaciado"/>
        <w:rPr>
          <w:rFonts w:ascii="Arial" w:hAnsi="Arial" w:cs="Arial"/>
          <w:sz w:val="26"/>
          <w:szCs w:val="26"/>
        </w:rPr>
      </w:pPr>
    </w:p>
    <w:p w14:paraId="0AC617C7" w14:textId="77777777" w:rsidR="00C60C6C" w:rsidRDefault="00C60C6C" w:rsidP="00FB50D5">
      <w:pPr>
        <w:pStyle w:val="Sinespaciado"/>
        <w:rPr>
          <w:rFonts w:ascii="Arial" w:hAnsi="Arial" w:cs="Arial"/>
          <w:sz w:val="26"/>
          <w:szCs w:val="26"/>
        </w:rPr>
      </w:pPr>
    </w:p>
    <w:p w14:paraId="7CA0944C" w14:textId="77777777" w:rsidR="00FB50D5" w:rsidRDefault="00FB50D5" w:rsidP="00FB50D5">
      <w:pPr>
        <w:pStyle w:val="Sinespaciado"/>
        <w:rPr>
          <w:rFonts w:ascii="Arial" w:hAnsi="Arial" w:cs="Arial"/>
          <w:sz w:val="26"/>
          <w:szCs w:val="26"/>
        </w:rPr>
      </w:pPr>
    </w:p>
    <w:p w14:paraId="3F583CCB" w14:textId="77777777" w:rsidR="00C60C6C" w:rsidRDefault="00C60C6C" w:rsidP="00C60C6C">
      <w:pPr>
        <w:pStyle w:val="Sinespaciado"/>
        <w:jc w:val="center"/>
        <w:rPr>
          <w:rFonts w:ascii="Arial" w:hAnsi="Arial" w:cs="Arial"/>
          <w:sz w:val="26"/>
          <w:szCs w:val="26"/>
        </w:rPr>
      </w:pPr>
    </w:p>
    <w:p w14:paraId="09EBE1D5" w14:textId="77777777" w:rsidR="00C60C6C" w:rsidRDefault="00C60C6C" w:rsidP="00C60C6C">
      <w:pPr>
        <w:pStyle w:val="Sinespaciado"/>
        <w:jc w:val="center"/>
        <w:rPr>
          <w:rFonts w:ascii="Arial" w:hAnsi="Arial" w:cs="Arial"/>
          <w:sz w:val="26"/>
          <w:szCs w:val="26"/>
        </w:rPr>
      </w:pPr>
    </w:p>
    <w:p w14:paraId="28DD4636" w14:textId="37210C91" w:rsidR="00C60C6C" w:rsidRPr="00856ABB" w:rsidRDefault="00C60C6C" w:rsidP="00C60C6C">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4BDB5929" w14:textId="77777777" w:rsidR="00C60C6C" w:rsidRDefault="00C60C6C" w:rsidP="00C60C6C">
      <w:pPr>
        <w:pStyle w:val="Sinespaciado"/>
        <w:jc w:val="center"/>
        <w:rPr>
          <w:rFonts w:ascii="Arial" w:hAnsi="Arial" w:cs="Arial"/>
          <w:sz w:val="26"/>
          <w:szCs w:val="26"/>
        </w:rPr>
      </w:pPr>
      <w:r w:rsidRPr="00856ABB">
        <w:rPr>
          <w:rFonts w:ascii="Arial" w:hAnsi="Arial" w:cs="Arial"/>
          <w:sz w:val="26"/>
          <w:szCs w:val="26"/>
        </w:rPr>
        <w:t>PRESIDENTE</w:t>
      </w:r>
    </w:p>
    <w:p w14:paraId="2CBC21EC" w14:textId="77777777" w:rsidR="00C60C6C" w:rsidRDefault="00C60C6C" w:rsidP="00FB50D5">
      <w:pPr>
        <w:pStyle w:val="Sinespaciado"/>
        <w:rPr>
          <w:rFonts w:ascii="Arial" w:hAnsi="Arial" w:cs="Arial"/>
          <w:sz w:val="26"/>
          <w:szCs w:val="26"/>
        </w:rPr>
      </w:pPr>
    </w:p>
    <w:p w14:paraId="486E2FDA" w14:textId="77777777" w:rsidR="00C60C6C" w:rsidRDefault="00C60C6C" w:rsidP="00C60C6C">
      <w:pPr>
        <w:pStyle w:val="Sinespaciado"/>
        <w:jc w:val="center"/>
        <w:rPr>
          <w:rFonts w:ascii="Arial" w:hAnsi="Arial" w:cs="Arial"/>
          <w:sz w:val="26"/>
          <w:szCs w:val="26"/>
        </w:rPr>
      </w:pPr>
    </w:p>
    <w:p w14:paraId="462EA539" w14:textId="1ECBF256" w:rsidR="00C60C6C" w:rsidRDefault="00C60C6C" w:rsidP="00C60C6C">
      <w:pPr>
        <w:pStyle w:val="Sinespaciado"/>
        <w:jc w:val="center"/>
        <w:rPr>
          <w:rFonts w:ascii="Arial" w:hAnsi="Arial" w:cs="Arial"/>
          <w:sz w:val="26"/>
          <w:szCs w:val="26"/>
        </w:rPr>
      </w:pPr>
    </w:p>
    <w:p w14:paraId="111C9CAB" w14:textId="77777777" w:rsidR="00C60C6C" w:rsidRDefault="00C60C6C" w:rsidP="00C60C6C">
      <w:pPr>
        <w:pStyle w:val="Sinespaciado"/>
        <w:jc w:val="center"/>
        <w:rPr>
          <w:rFonts w:ascii="Arial" w:hAnsi="Arial" w:cs="Arial"/>
          <w:sz w:val="26"/>
          <w:szCs w:val="26"/>
        </w:rPr>
      </w:pPr>
    </w:p>
    <w:p w14:paraId="06854C2F" w14:textId="77777777" w:rsidR="00C60C6C" w:rsidRDefault="00C60C6C" w:rsidP="00C60C6C">
      <w:pPr>
        <w:pStyle w:val="Sinespaciado"/>
        <w:jc w:val="center"/>
        <w:rPr>
          <w:rFonts w:ascii="Arial" w:hAnsi="Arial" w:cs="Arial"/>
          <w:sz w:val="26"/>
          <w:szCs w:val="26"/>
        </w:rPr>
      </w:pPr>
    </w:p>
    <w:p w14:paraId="42C85DB2" w14:textId="77777777" w:rsidR="00C60C6C" w:rsidRDefault="00C60C6C" w:rsidP="00C60C6C">
      <w:pPr>
        <w:pStyle w:val="Sinespaciado"/>
        <w:jc w:val="center"/>
        <w:rPr>
          <w:rFonts w:ascii="Arial" w:hAnsi="Arial" w:cs="Arial"/>
          <w:sz w:val="26"/>
          <w:szCs w:val="26"/>
        </w:rPr>
      </w:pPr>
    </w:p>
    <w:p w14:paraId="1BBF5F77" w14:textId="77777777" w:rsidR="00C60C6C" w:rsidRDefault="00C60C6C" w:rsidP="00C60C6C">
      <w:pPr>
        <w:pStyle w:val="Sinespaciado"/>
        <w:jc w:val="center"/>
        <w:rPr>
          <w:rFonts w:ascii="Arial" w:hAnsi="Arial" w:cs="Arial"/>
          <w:sz w:val="26"/>
          <w:szCs w:val="26"/>
        </w:rPr>
      </w:pPr>
    </w:p>
    <w:p w14:paraId="28D84C50" w14:textId="77777777" w:rsidR="00C60C6C" w:rsidRPr="00856ABB" w:rsidRDefault="00C60C6C" w:rsidP="00FB50D5">
      <w:pPr>
        <w:pStyle w:val="Sinespaciado"/>
        <w:rPr>
          <w:rFonts w:ascii="Arial" w:hAnsi="Arial" w:cs="Arial"/>
          <w:sz w:val="26"/>
          <w:szCs w:val="26"/>
        </w:rPr>
      </w:pPr>
    </w:p>
    <w:p w14:paraId="0CF44FB0" w14:textId="77777777" w:rsidR="00C60C6C" w:rsidRPr="00856ABB" w:rsidRDefault="00C60C6C" w:rsidP="00C60C6C">
      <w:pPr>
        <w:pStyle w:val="Sinespaciado"/>
        <w:jc w:val="center"/>
        <w:rPr>
          <w:rFonts w:ascii="Arial" w:hAnsi="Arial" w:cs="Arial"/>
          <w:sz w:val="26"/>
          <w:szCs w:val="26"/>
        </w:rPr>
      </w:pPr>
      <w:r w:rsidRPr="00856ABB">
        <w:rPr>
          <w:rFonts w:ascii="Arial" w:hAnsi="Arial" w:cs="Arial"/>
          <w:sz w:val="26"/>
          <w:szCs w:val="26"/>
        </w:rPr>
        <w:t>MAGISTRADO RAÚL PALOMARES PALOMINO.</w:t>
      </w:r>
    </w:p>
    <w:p w14:paraId="13A1D660" w14:textId="77777777" w:rsidR="00C60C6C" w:rsidRDefault="00C60C6C" w:rsidP="00C60C6C">
      <w:pPr>
        <w:pStyle w:val="Sinespaciado"/>
        <w:jc w:val="center"/>
        <w:rPr>
          <w:rFonts w:ascii="Arial" w:eastAsia="Times New Roman" w:hAnsi="Arial" w:cs="Arial"/>
          <w:sz w:val="26"/>
          <w:szCs w:val="26"/>
        </w:rPr>
      </w:pPr>
    </w:p>
    <w:p w14:paraId="37661C46" w14:textId="77777777" w:rsidR="00FB50D5" w:rsidRDefault="00FB50D5" w:rsidP="00FB50D5">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0446/2021.</w:t>
      </w:r>
    </w:p>
    <w:p w14:paraId="42A9E6A2" w14:textId="77777777" w:rsidR="00C60C6C" w:rsidRDefault="00C60C6C" w:rsidP="00C60C6C">
      <w:pPr>
        <w:pStyle w:val="Sinespaciado"/>
        <w:jc w:val="center"/>
        <w:rPr>
          <w:rFonts w:ascii="Arial" w:eastAsia="Times New Roman" w:hAnsi="Arial" w:cs="Arial"/>
          <w:sz w:val="26"/>
          <w:szCs w:val="26"/>
        </w:rPr>
      </w:pPr>
    </w:p>
    <w:p w14:paraId="0B01B2D1" w14:textId="77777777" w:rsidR="00C60C6C" w:rsidRDefault="00C60C6C" w:rsidP="00C60C6C">
      <w:pPr>
        <w:pStyle w:val="Sinespaciado"/>
        <w:jc w:val="center"/>
        <w:rPr>
          <w:rFonts w:ascii="Arial" w:eastAsia="Times New Roman" w:hAnsi="Arial" w:cs="Arial"/>
          <w:sz w:val="26"/>
          <w:szCs w:val="26"/>
        </w:rPr>
      </w:pPr>
    </w:p>
    <w:p w14:paraId="344F22D6" w14:textId="77777777" w:rsidR="00C60C6C" w:rsidRDefault="00C60C6C" w:rsidP="00FB50D5">
      <w:pPr>
        <w:pStyle w:val="Sinespaciado"/>
        <w:rPr>
          <w:rFonts w:ascii="Arial" w:eastAsia="Times New Roman" w:hAnsi="Arial" w:cs="Arial"/>
          <w:sz w:val="26"/>
          <w:szCs w:val="26"/>
        </w:rPr>
      </w:pPr>
    </w:p>
    <w:p w14:paraId="5AF82835" w14:textId="77777777" w:rsidR="00C60C6C" w:rsidRDefault="00C60C6C" w:rsidP="00C60C6C">
      <w:pPr>
        <w:pStyle w:val="Sinespaciado"/>
        <w:jc w:val="center"/>
        <w:rPr>
          <w:rFonts w:ascii="Arial" w:eastAsia="Times New Roman" w:hAnsi="Arial" w:cs="Arial"/>
          <w:sz w:val="26"/>
          <w:szCs w:val="26"/>
        </w:rPr>
      </w:pPr>
    </w:p>
    <w:p w14:paraId="7D2B697E" w14:textId="77777777" w:rsidR="00C60C6C" w:rsidRDefault="00C60C6C" w:rsidP="00C60C6C">
      <w:pPr>
        <w:pStyle w:val="Sinespaciado"/>
        <w:jc w:val="center"/>
        <w:rPr>
          <w:rFonts w:ascii="Arial" w:eastAsia="Times New Roman" w:hAnsi="Arial" w:cs="Arial"/>
          <w:sz w:val="26"/>
          <w:szCs w:val="26"/>
        </w:rPr>
      </w:pPr>
    </w:p>
    <w:p w14:paraId="057B0ABA" w14:textId="77777777" w:rsidR="00C60C6C" w:rsidRDefault="00C60C6C" w:rsidP="00C60C6C">
      <w:pPr>
        <w:pStyle w:val="Sinespaciado"/>
        <w:jc w:val="center"/>
        <w:rPr>
          <w:rFonts w:ascii="Arial" w:eastAsia="Times New Roman" w:hAnsi="Arial" w:cs="Arial"/>
          <w:sz w:val="26"/>
          <w:szCs w:val="26"/>
        </w:rPr>
      </w:pPr>
    </w:p>
    <w:p w14:paraId="5C573019" w14:textId="77777777" w:rsidR="00C60C6C" w:rsidRDefault="00C60C6C" w:rsidP="00C60C6C">
      <w:pPr>
        <w:pStyle w:val="Sinespaciado"/>
        <w:jc w:val="center"/>
        <w:rPr>
          <w:rFonts w:ascii="Arial" w:eastAsia="Times New Roman" w:hAnsi="Arial" w:cs="Arial"/>
          <w:sz w:val="26"/>
          <w:szCs w:val="26"/>
        </w:rPr>
      </w:pPr>
    </w:p>
    <w:p w14:paraId="17DD2792" w14:textId="77777777" w:rsidR="00C60C6C" w:rsidRPr="00856ABB" w:rsidRDefault="00C60C6C" w:rsidP="00C60C6C">
      <w:pPr>
        <w:pStyle w:val="Sinespaciado"/>
        <w:jc w:val="center"/>
        <w:rPr>
          <w:rFonts w:ascii="Arial" w:eastAsia="Times New Roman" w:hAnsi="Arial" w:cs="Arial"/>
          <w:sz w:val="26"/>
          <w:szCs w:val="26"/>
        </w:rPr>
      </w:pPr>
    </w:p>
    <w:p w14:paraId="1A43C284" w14:textId="77777777" w:rsidR="00C60C6C" w:rsidRDefault="00C60C6C" w:rsidP="00C60C6C">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3489F774" w14:textId="77777777" w:rsidR="00C60C6C" w:rsidRDefault="00C60C6C" w:rsidP="00C60C6C">
      <w:pPr>
        <w:pStyle w:val="Sinespaciado"/>
        <w:jc w:val="center"/>
        <w:rPr>
          <w:rFonts w:ascii="Arial" w:eastAsia="Times New Roman" w:hAnsi="Arial" w:cs="Arial"/>
          <w:sz w:val="26"/>
          <w:szCs w:val="26"/>
        </w:rPr>
      </w:pPr>
    </w:p>
    <w:p w14:paraId="2BE6EB24" w14:textId="77777777" w:rsidR="00C60C6C" w:rsidRDefault="00C60C6C" w:rsidP="00C60C6C">
      <w:pPr>
        <w:pStyle w:val="Sinespaciado"/>
        <w:jc w:val="center"/>
        <w:rPr>
          <w:rFonts w:ascii="Arial" w:eastAsia="Times New Roman" w:hAnsi="Arial" w:cs="Arial"/>
          <w:sz w:val="26"/>
          <w:szCs w:val="26"/>
        </w:rPr>
      </w:pPr>
    </w:p>
    <w:p w14:paraId="54D7A14A" w14:textId="77777777" w:rsidR="00C60C6C" w:rsidRDefault="00C60C6C" w:rsidP="00C60C6C">
      <w:pPr>
        <w:pStyle w:val="Sinespaciado"/>
        <w:jc w:val="center"/>
        <w:rPr>
          <w:rFonts w:ascii="Arial" w:eastAsia="Times New Roman" w:hAnsi="Arial" w:cs="Arial"/>
          <w:sz w:val="26"/>
          <w:szCs w:val="26"/>
        </w:rPr>
      </w:pPr>
    </w:p>
    <w:p w14:paraId="32DE0277" w14:textId="77777777" w:rsidR="00C60C6C" w:rsidRDefault="00C60C6C" w:rsidP="00C60C6C">
      <w:pPr>
        <w:pStyle w:val="Sinespaciado"/>
        <w:jc w:val="center"/>
        <w:rPr>
          <w:rFonts w:ascii="Arial" w:eastAsia="Times New Roman" w:hAnsi="Arial" w:cs="Arial"/>
          <w:sz w:val="26"/>
          <w:szCs w:val="26"/>
        </w:rPr>
      </w:pPr>
    </w:p>
    <w:p w14:paraId="0A1163FA" w14:textId="77777777" w:rsidR="00C60C6C" w:rsidRDefault="00C60C6C" w:rsidP="00C60C6C">
      <w:pPr>
        <w:pStyle w:val="Sinespaciado"/>
        <w:jc w:val="center"/>
        <w:rPr>
          <w:rFonts w:ascii="Arial" w:eastAsia="Times New Roman" w:hAnsi="Arial" w:cs="Arial"/>
          <w:sz w:val="26"/>
          <w:szCs w:val="26"/>
        </w:rPr>
      </w:pPr>
    </w:p>
    <w:p w14:paraId="58353201" w14:textId="77777777" w:rsidR="00C60C6C" w:rsidRDefault="00C60C6C" w:rsidP="00C60C6C">
      <w:pPr>
        <w:pStyle w:val="Sinespaciado"/>
        <w:jc w:val="center"/>
        <w:rPr>
          <w:rFonts w:ascii="Arial" w:eastAsia="Times New Roman" w:hAnsi="Arial" w:cs="Arial"/>
          <w:sz w:val="26"/>
          <w:szCs w:val="26"/>
        </w:rPr>
      </w:pPr>
    </w:p>
    <w:p w14:paraId="39B5AD08" w14:textId="77777777" w:rsidR="00C60C6C" w:rsidRDefault="00C60C6C" w:rsidP="00FB50D5">
      <w:pPr>
        <w:pStyle w:val="Sinespaciado"/>
        <w:rPr>
          <w:rFonts w:ascii="Arial" w:eastAsia="Times New Roman" w:hAnsi="Arial" w:cs="Arial"/>
          <w:sz w:val="26"/>
          <w:szCs w:val="26"/>
        </w:rPr>
      </w:pPr>
    </w:p>
    <w:p w14:paraId="09BBE0A7" w14:textId="77777777" w:rsidR="00C60C6C" w:rsidRDefault="00C60C6C" w:rsidP="00C60C6C">
      <w:pPr>
        <w:pStyle w:val="Sinespaciado"/>
        <w:jc w:val="center"/>
        <w:rPr>
          <w:rFonts w:ascii="Arial" w:eastAsia="Times New Roman" w:hAnsi="Arial" w:cs="Arial"/>
          <w:sz w:val="26"/>
          <w:szCs w:val="26"/>
        </w:rPr>
      </w:pPr>
    </w:p>
    <w:p w14:paraId="07A62ADB" w14:textId="77777777" w:rsidR="00C60C6C" w:rsidRDefault="00C60C6C" w:rsidP="00C60C6C">
      <w:pPr>
        <w:pStyle w:val="Sinespaciado"/>
        <w:jc w:val="center"/>
        <w:rPr>
          <w:rFonts w:ascii="Arial" w:eastAsia="Times New Roman" w:hAnsi="Arial" w:cs="Arial"/>
          <w:sz w:val="26"/>
          <w:szCs w:val="26"/>
        </w:rPr>
      </w:pPr>
    </w:p>
    <w:p w14:paraId="0CC6D247" w14:textId="77777777" w:rsidR="00C60C6C" w:rsidRPr="00856ABB" w:rsidRDefault="00C60C6C" w:rsidP="00C60C6C">
      <w:pPr>
        <w:pStyle w:val="Sinespaciado"/>
        <w:jc w:val="center"/>
        <w:rPr>
          <w:rFonts w:ascii="Arial" w:eastAsia="Times New Roman" w:hAnsi="Arial" w:cs="Arial"/>
          <w:sz w:val="26"/>
          <w:szCs w:val="26"/>
        </w:rPr>
      </w:pPr>
    </w:p>
    <w:p w14:paraId="427DA28B" w14:textId="77777777" w:rsidR="00C60C6C" w:rsidRDefault="00C60C6C" w:rsidP="00C60C6C">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68D1838A" w14:textId="77777777" w:rsidR="00C60C6C" w:rsidRDefault="00C60C6C" w:rsidP="00C60C6C">
      <w:pPr>
        <w:pStyle w:val="Sinespaciado"/>
        <w:jc w:val="center"/>
        <w:rPr>
          <w:rFonts w:ascii="Arial" w:eastAsia="Times New Roman" w:hAnsi="Arial" w:cs="Arial"/>
          <w:sz w:val="26"/>
          <w:szCs w:val="26"/>
        </w:rPr>
      </w:pPr>
    </w:p>
    <w:p w14:paraId="4947AB62" w14:textId="1EDE9364" w:rsidR="00C60C6C" w:rsidRDefault="00C60C6C" w:rsidP="00FB50D5">
      <w:pPr>
        <w:pStyle w:val="Sinespaciado"/>
        <w:rPr>
          <w:rFonts w:ascii="Arial" w:eastAsia="Times New Roman" w:hAnsi="Arial" w:cs="Arial"/>
          <w:sz w:val="26"/>
          <w:szCs w:val="26"/>
        </w:rPr>
      </w:pPr>
    </w:p>
    <w:p w14:paraId="5BC935E6" w14:textId="512598D6" w:rsidR="00C60C6C" w:rsidRDefault="00C60C6C" w:rsidP="00C60C6C">
      <w:pPr>
        <w:pStyle w:val="Sinespaciado"/>
        <w:jc w:val="center"/>
        <w:rPr>
          <w:rFonts w:ascii="Arial" w:eastAsia="Times New Roman" w:hAnsi="Arial" w:cs="Arial"/>
          <w:sz w:val="26"/>
          <w:szCs w:val="26"/>
        </w:rPr>
      </w:pPr>
    </w:p>
    <w:p w14:paraId="2A65333E" w14:textId="076BA1C7" w:rsidR="00C60C6C" w:rsidRDefault="00C60C6C" w:rsidP="00C60C6C">
      <w:pPr>
        <w:pStyle w:val="Sinespaciado"/>
        <w:jc w:val="center"/>
        <w:rPr>
          <w:rFonts w:ascii="Arial" w:eastAsia="Times New Roman" w:hAnsi="Arial" w:cs="Arial"/>
          <w:sz w:val="26"/>
          <w:szCs w:val="26"/>
        </w:rPr>
      </w:pPr>
    </w:p>
    <w:p w14:paraId="4729F103" w14:textId="2F0FCFE4" w:rsidR="00C60C6C" w:rsidRDefault="00C60C6C" w:rsidP="00C60C6C">
      <w:pPr>
        <w:pStyle w:val="Sinespaciado"/>
        <w:jc w:val="center"/>
        <w:rPr>
          <w:rFonts w:ascii="Arial" w:eastAsia="Times New Roman" w:hAnsi="Arial" w:cs="Arial"/>
          <w:sz w:val="26"/>
          <w:szCs w:val="26"/>
        </w:rPr>
      </w:pPr>
    </w:p>
    <w:p w14:paraId="0CA72277" w14:textId="02E1F165" w:rsidR="00C60C6C" w:rsidRDefault="00C60C6C" w:rsidP="00C60C6C">
      <w:pPr>
        <w:pStyle w:val="Sinespaciado"/>
        <w:jc w:val="center"/>
        <w:rPr>
          <w:rFonts w:ascii="Arial" w:eastAsia="Times New Roman" w:hAnsi="Arial" w:cs="Arial"/>
          <w:sz w:val="26"/>
          <w:szCs w:val="26"/>
        </w:rPr>
      </w:pPr>
    </w:p>
    <w:p w14:paraId="30F67214" w14:textId="7983408E" w:rsidR="00C60C6C" w:rsidRDefault="00C60C6C" w:rsidP="00C60C6C">
      <w:pPr>
        <w:pStyle w:val="Sinespaciado"/>
        <w:jc w:val="center"/>
        <w:rPr>
          <w:rFonts w:ascii="Arial" w:eastAsia="Times New Roman" w:hAnsi="Arial" w:cs="Arial"/>
          <w:sz w:val="26"/>
          <w:szCs w:val="26"/>
        </w:rPr>
      </w:pPr>
    </w:p>
    <w:p w14:paraId="3B508FE2" w14:textId="77777777" w:rsidR="00C60C6C" w:rsidRDefault="00C60C6C" w:rsidP="00C60C6C">
      <w:pPr>
        <w:pStyle w:val="Sinespaciado"/>
        <w:jc w:val="center"/>
        <w:rPr>
          <w:rFonts w:ascii="Arial" w:eastAsia="Times New Roman" w:hAnsi="Arial" w:cs="Arial"/>
          <w:sz w:val="26"/>
          <w:szCs w:val="26"/>
        </w:rPr>
      </w:pPr>
    </w:p>
    <w:p w14:paraId="5D869F73" w14:textId="77777777" w:rsidR="00C60C6C" w:rsidRDefault="00C60C6C" w:rsidP="00C60C6C">
      <w:pPr>
        <w:pStyle w:val="Sinespaciado"/>
        <w:jc w:val="center"/>
        <w:rPr>
          <w:rFonts w:ascii="Arial" w:eastAsia="Times New Roman" w:hAnsi="Arial" w:cs="Arial"/>
          <w:sz w:val="26"/>
          <w:szCs w:val="26"/>
        </w:rPr>
      </w:pPr>
    </w:p>
    <w:p w14:paraId="109FD83F" w14:textId="77777777" w:rsidR="00C60C6C" w:rsidRDefault="00C60C6C" w:rsidP="00C60C6C">
      <w:pPr>
        <w:pStyle w:val="Sinespaciado"/>
        <w:jc w:val="center"/>
        <w:rPr>
          <w:rFonts w:ascii="Arial" w:eastAsia="Times New Roman" w:hAnsi="Arial" w:cs="Arial"/>
          <w:sz w:val="26"/>
          <w:szCs w:val="26"/>
        </w:rPr>
      </w:pPr>
    </w:p>
    <w:p w14:paraId="5F3797B7" w14:textId="77777777" w:rsidR="00C60C6C" w:rsidRPr="00856ABB" w:rsidRDefault="00C60C6C" w:rsidP="00C60C6C">
      <w:pPr>
        <w:pStyle w:val="Sinespaciado"/>
        <w:jc w:val="center"/>
        <w:rPr>
          <w:rFonts w:ascii="Arial" w:eastAsia="Times New Roman" w:hAnsi="Arial" w:cs="Arial"/>
          <w:sz w:val="26"/>
          <w:szCs w:val="26"/>
        </w:rPr>
      </w:pPr>
    </w:p>
    <w:p w14:paraId="72C43579" w14:textId="77777777" w:rsidR="00C60C6C" w:rsidRDefault="00C60C6C" w:rsidP="00C60C6C">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6C4455AB" w14:textId="77777777" w:rsidR="00C60C6C" w:rsidRDefault="00C60C6C" w:rsidP="00C60C6C">
      <w:pPr>
        <w:pStyle w:val="Sinespaciado"/>
        <w:jc w:val="center"/>
        <w:rPr>
          <w:rFonts w:ascii="Arial" w:hAnsi="Arial" w:cs="Arial"/>
          <w:sz w:val="26"/>
          <w:szCs w:val="26"/>
        </w:rPr>
      </w:pPr>
    </w:p>
    <w:p w14:paraId="149784EC" w14:textId="77777777" w:rsidR="00C60C6C" w:rsidRDefault="00C60C6C" w:rsidP="00C60C6C">
      <w:pPr>
        <w:pStyle w:val="Sinespaciado"/>
        <w:jc w:val="center"/>
        <w:rPr>
          <w:rFonts w:ascii="Arial" w:hAnsi="Arial" w:cs="Arial"/>
          <w:sz w:val="26"/>
          <w:szCs w:val="26"/>
        </w:rPr>
      </w:pPr>
    </w:p>
    <w:p w14:paraId="13D318B2" w14:textId="77777777" w:rsidR="00C60C6C" w:rsidRDefault="00C60C6C" w:rsidP="00C60C6C">
      <w:pPr>
        <w:pStyle w:val="Sinespaciado"/>
        <w:jc w:val="center"/>
        <w:rPr>
          <w:rFonts w:ascii="Arial" w:hAnsi="Arial" w:cs="Arial"/>
          <w:sz w:val="26"/>
          <w:szCs w:val="26"/>
        </w:rPr>
      </w:pPr>
    </w:p>
    <w:p w14:paraId="246718AB" w14:textId="77777777" w:rsidR="00C60C6C" w:rsidRDefault="00C60C6C" w:rsidP="00C60C6C">
      <w:pPr>
        <w:pStyle w:val="Sinespaciado"/>
        <w:jc w:val="center"/>
        <w:rPr>
          <w:rFonts w:ascii="Arial" w:hAnsi="Arial" w:cs="Arial"/>
          <w:sz w:val="26"/>
          <w:szCs w:val="26"/>
        </w:rPr>
      </w:pPr>
    </w:p>
    <w:p w14:paraId="222A0DD9" w14:textId="77777777" w:rsidR="00C60C6C" w:rsidRDefault="00C60C6C" w:rsidP="00C60C6C">
      <w:pPr>
        <w:pStyle w:val="Sinespaciado"/>
        <w:jc w:val="center"/>
        <w:rPr>
          <w:rFonts w:ascii="Arial" w:hAnsi="Arial" w:cs="Arial"/>
          <w:sz w:val="26"/>
          <w:szCs w:val="26"/>
        </w:rPr>
      </w:pPr>
    </w:p>
    <w:p w14:paraId="43CF05B9" w14:textId="77777777" w:rsidR="00C60C6C" w:rsidRDefault="00C60C6C" w:rsidP="00FB50D5">
      <w:pPr>
        <w:pStyle w:val="Sinespaciado"/>
        <w:rPr>
          <w:rFonts w:ascii="Arial" w:hAnsi="Arial" w:cs="Arial"/>
          <w:sz w:val="26"/>
          <w:szCs w:val="26"/>
        </w:rPr>
      </w:pPr>
    </w:p>
    <w:p w14:paraId="781B63AB" w14:textId="77777777" w:rsidR="00C60C6C" w:rsidRDefault="00C60C6C" w:rsidP="00C60C6C">
      <w:pPr>
        <w:pStyle w:val="Sinespaciado"/>
        <w:jc w:val="center"/>
        <w:rPr>
          <w:rFonts w:ascii="Arial" w:hAnsi="Arial" w:cs="Arial"/>
          <w:sz w:val="26"/>
          <w:szCs w:val="26"/>
        </w:rPr>
      </w:pPr>
    </w:p>
    <w:p w14:paraId="4DCB92AD" w14:textId="77777777" w:rsidR="00C60C6C" w:rsidRDefault="00C60C6C" w:rsidP="00C60C6C">
      <w:pPr>
        <w:pStyle w:val="Sinespaciado"/>
        <w:jc w:val="center"/>
        <w:rPr>
          <w:rFonts w:ascii="Arial" w:hAnsi="Arial" w:cs="Arial"/>
          <w:sz w:val="26"/>
          <w:szCs w:val="26"/>
        </w:rPr>
      </w:pPr>
    </w:p>
    <w:p w14:paraId="15C6E4EC" w14:textId="77777777" w:rsidR="00C60C6C" w:rsidRDefault="00C60C6C" w:rsidP="00C60C6C">
      <w:pPr>
        <w:pStyle w:val="Sinespaciado"/>
        <w:jc w:val="center"/>
        <w:rPr>
          <w:rFonts w:ascii="Arial" w:hAnsi="Arial" w:cs="Arial"/>
          <w:sz w:val="26"/>
          <w:szCs w:val="26"/>
        </w:rPr>
      </w:pPr>
    </w:p>
    <w:p w14:paraId="0A48DEB2" w14:textId="77777777" w:rsidR="00C60C6C" w:rsidRDefault="00C60C6C" w:rsidP="00C60C6C">
      <w:pPr>
        <w:pStyle w:val="Sinespaciado"/>
        <w:jc w:val="center"/>
        <w:rPr>
          <w:rFonts w:ascii="Arial" w:hAnsi="Arial" w:cs="Arial"/>
          <w:sz w:val="26"/>
          <w:szCs w:val="26"/>
        </w:rPr>
      </w:pPr>
    </w:p>
    <w:p w14:paraId="2894058B" w14:textId="77777777" w:rsidR="00C60C6C" w:rsidRPr="00856ABB" w:rsidRDefault="00C60C6C" w:rsidP="00C60C6C">
      <w:pPr>
        <w:pStyle w:val="Sinespaciado"/>
        <w:jc w:val="center"/>
        <w:rPr>
          <w:rFonts w:ascii="Arial" w:eastAsia="Times New Roman" w:hAnsi="Arial" w:cs="Arial"/>
          <w:sz w:val="26"/>
          <w:szCs w:val="26"/>
        </w:rPr>
      </w:pPr>
    </w:p>
    <w:p w14:paraId="51A565C9" w14:textId="77777777" w:rsidR="00C60C6C" w:rsidRPr="00856ABB" w:rsidRDefault="00C60C6C" w:rsidP="00C60C6C">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513EA403" w14:textId="77777777" w:rsidR="00C60C6C" w:rsidRPr="00856ABB" w:rsidRDefault="00C60C6C" w:rsidP="00C60C6C">
      <w:pPr>
        <w:pStyle w:val="Sinespaciado"/>
        <w:jc w:val="center"/>
        <w:rPr>
          <w:rFonts w:ascii="Arial" w:hAnsi="Arial" w:cs="Arial"/>
          <w:sz w:val="26"/>
          <w:szCs w:val="26"/>
        </w:rPr>
      </w:pPr>
      <w:r w:rsidRPr="00856ABB">
        <w:rPr>
          <w:rFonts w:ascii="Arial" w:hAnsi="Arial" w:cs="Arial"/>
          <w:sz w:val="26"/>
          <w:szCs w:val="26"/>
        </w:rPr>
        <w:t>SECRETARIO GENERAL DE ACUERDOS</w:t>
      </w:r>
    </w:p>
    <w:p w14:paraId="6B26F8AE" w14:textId="77777777" w:rsidR="00C60C6C" w:rsidRPr="003B6CF0" w:rsidRDefault="00C60C6C" w:rsidP="00C60C6C"/>
    <w:p w14:paraId="511F1323" w14:textId="77777777" w:rsidR="00C60C6C" w:rsidRPr="003B6CF0" w:rsidRDefault="00C60C6C" w:rsidP="00C60C6C"/>
    <w:p w14:paraId="302DFD28" w14:textId="77777777" w:rsidR="00C60C6C" w:rsidRPr="003B6CF0" w:rsidRDefault="00C60C6C" w:rsidP="00C60C6C">
      <w:pPr>
        <w:tabs>
          <w:tab w:val="center" w:pos="4135"/>
          <w:tab w:val="left" w:pos="7515"/>
        </w:tabs>
        <w:spacing w:line="360" w:lineRule="auto"/>
        <w:jc w:val="center"/>
      </w:pPr>
    </w:p>
    <w:p w14:paraId="28D342DF" w14:textId="3A531D71" w:rsidR="00E9212E" w:rsidRPr="00E9212E" w:rsidRDefault="00E9212E" w:rsidP="00C60C6C">
      <w:pPr>
        <w:tabs>
          <w:tab w:val="left" w:pos="1680"/>
          <w:tab w:val="center" w:pos="4277"/>
        </w:tabs>
        <w:spacing w:after="0" w:line="240" w:lineRule="auto"/>
        <w:jc w:val="center"/>
        <w:rPr>
          <w:sz w:val="26"/>
          <w:szCs w:val="26"/>
        </w:rPr>
      </w:pPr>
    </w:p>
    <w:sectPr w:rsidR="00E9212E" w:rsidRPr="00E9212E"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A5FB3" w14:textId="77777777" w:rsidR="002059E4" w:rsidRDefault="002059E4">
      <w:pPr>
        <w:spacing w:after="0" w:line="240" w:lineRule="auto"/>
      </w:pPr>
      <w:r>
        <w:separator/>
      </w:r>
    </w:p>
  </w:endnote>
  <w:endnote w:type="continuationSeparator" w:id="0">
    <w:p w14:paraId="55F874D8" w14:textId="77777777" w:rsidR="002059E4" w:rsidRDefault="00205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6B3E" w14:textId="75C3EF4E" w:rsidR="0025442E" w:rsidRDefault="0025442E">
    <w:pPr>
      <w:pStyle w:val="Piedepgina"/>
      <w:jc w:val="center"/>
    </w:pPr>
  </w:p>
  <w:p w14:paraId="195FF414" w14:textId="77777777" w:rsidR="0025442E" w:rsidRDefault="002544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C9DC4" w14:textId="77777777" w:rsidR="002059E4" w:rsidRDefault="002059E4">
      <w:pPr>
        <w:spacing w:after="0" w:line="240" w:lineRule="auto"/>
      </w:pPr>
      <w:r>
        <w:separator/>
      </w:r>
    </w:p>
  </w:footnote>
  <w:footnote w:type="continuationSeparator" w:id="0">
    <w:p w14:paraId="06851A98" w14:textId="77777777" w:rsidR="002059E4" w:rsidRDefault="002059E4">
      <w:pPr>
        <w:spacing w:after="0" w:line="240" w:lineRule="auto"/>
      </w:pPr>
      <w:r>
        <w:continuationSeparator/>
      </w:r>
    </w:p>
  </w:footnote>
  <w:footnote w:id="1">
    <w:p w14:paraId="19904FF4" w14:textId="77777777" w:rsidR="0025442E" w:rsidRPr="00FE676C" w:rsidRDefault="0025442E" w:rsidP="005F3705">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50581623" w14:textId="77777777" w:rsidR="0025442E" w:rsidRPr="00FE676C" w:rsidRDefault="0025442E" w:rsidP="005F3705">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0BF31E02" w14:textId="328E1813" w:rsidR="0025442E" w:rsidRPr="00EA7357" w:rsidRDefault="0025442E" w:rsidP="00E77DBE">
      <w:pPr>
        <w:pStyle w:val="Textonotapie"/>
        <w:jc w:val="both"/>
        <w:rPr>
          <w:rFonts w:ascii="Arial" w:hAnsi="Arial" w:cs="Arial"/>
        </w:rPr>
      </w:pPr>
      <w:r w:rsidRPr="00EA7357">
        <w:rPr>
          <w:rStyle w:val="Refdenotaalpie"/>
          <w:rFonts w:ascii="Arial" w:hAnsi="Arial" w:cs="Arial"/>
        </w:rPr>
        <w:footnoteRef/>
      </w:r>
      <w:r w:rsidRPr="00EA7357">
        <w:rPr>
          <w:rFonts w:ascii="Arial" w:hAnsi="Arial" w:cs="Arial"/>
        </w:rPr>
        <w:t xml:space="preserve"> Obran agregados de la foja </w:t>
      </w:r>
      <w:r w:rsidR="00356AE9">
        <w:rPr>
          <w:rFonts w:ascii="Arial" w:hAnsi="Arial" w:cs="Arial"/>
        </w:rPr>
        <w:t>87 (ochenta y siete</w:t>
      </w:r>
      <w:r w:rsidRPr="00EA7357">
        <w:rPr>
          <w:rFonts w:ascii="Arial" w:hAnsi="Arial" w:cs="Arial"/>
        </w:rPr>
        <w:t xml:space="preserve">) a </w:t>
      </w:r>
      <w:r w:rsidR="00356AE9">
        <w:rPr>
          <w:rFonts w:ascii="Arial" w:hAnsi="Arial" w:cs="Arial"/>
        </w:rPr>
        <w:t>la 96</w:t>
      </w:r>
      <w:r w:rsidRPr="00EA7357">
        <w:rPr>
          <w:rFonts w:ascii="Arial" w:hAnsi="Arial" w:cs="Arial"/>
        </w:rPr>
        <w:t xml:space="preserve"> (</w:t>
      </w:r>
      <w:r w:rsidR="00356AE9">
        <w:rPr>
          <w:rFonts w:ascii="Arial" w:hAnsi="Arial" w:cs="Arial"/>
        </w:rPr>
        <w:t>noventa y seis</w:t>
      </w:r>
      <w:r w:rsidRPr="00EA7357">
        <w:rPr>
          <w:rFonts w:ascii="Arial" w:hAnsi="Arial" w:cs="Arial"/>
        </w:rPr>
        <w:t xml:space="preserve">) del cuadernillo de copias certificadas del expediente </w:t>
      </w:r>
      <w:r w:rsidRPr="00EA7357">
        <w:rPr>
          <w:rFonts w:ascii="Arial" w:hAnsi="Arial" w:cs="Arial"/>
          <w:b/>
        </w:rPr>
        <w:t>0</w:t>
      </w:r>
      <w:r w:rsidR="00356AE9">
        <w:rPr>
          <w:rFonts w:ascii="Arial" w:hAnsi="Arial" w:cs="Arial"/>
          <w:b/>
        </w:rPr>
        <w:t>089</w:t>
      </w:r>
      <w:r w:rsidRPr="00EA7357">
        <w:rPr>
          <w:rFonts w:ascii="Arial" w:hAnsi="Arial" w:cs="Arial"/>
          <w:b/>
        </w:rPr>
        <w:t>/202</w:t>
      </w:r>
      <w:r w:rsidR="00356AE9">
        <w:rPr>
          <w:rFonts w:ascii="Arial" w:hAnsi="Arial" w:cs="Arial"/>
          <w:b/>
        </w:rPr>
        <w:t>1</w:t>
      </w:r>
      <w:r w:rsidRPr="00EA7357">
        <w:rPr>
          <w:rFonts w:ascii="Arial" w:hAnsi="Arial" w:cs="Arial"/>
        </w:rPr>
        <w:t xml:space="preserve"> del índice de la Quinta Sala Unitaria de Primera Instancia.</w:t>
      </w:r>
    </w:p>
  </w:footnote>
  <w:footnote w:id="3">
    <w:p w14:paraId="5E7516FF" w14:textId="77777777" w:rsidR="00970944" w:rsidRPr="00970944" w:rsidRDefault="00970944" w:rsidP="00970944">
      <w:pPr>
        <w:pStyle w:val="Textonotapie"/>
        <w:jc w:val="both"/>
        <w:rPr>
          <w:rFonts w:ascii="Arial" w:hAnsi="Arial" w:cs="Arial"/>
        </w:rPr>
      </w:pPr>
      <w:r w:rsidRPr="00970944">
        <w:rPr>
          <w:rStyle w:val="Refdenotaalpie"/>
          <w:rFonts w:ascii="Arial" w:hAnsi="Arial" w:cs="Arial"/>
        </w:rPr>
        <w:footnoteRef/>
      </w:r>
      <w:r w:rsidRPr="00970944">
        <w:rPr>
          <w:rFonts w:ascii="Arial" w:hAnsi="Arial" w:cs="Arial"/>
        </w:rPr>
        <w:t xml:space="preserve"> Consultable en la foja 01 (uno) del cuadernillo de copias certificadas del expediente </w:t>
      </w:r>
      <w:r w:rsidRPr="00970944">
        <w:rPr>
          <w:rFonts w:ascii="Arial" w:hAnsi="Arial" w:cs="Arial"/>
          <w:b/>
        </w:rPr>
        <w:t>0089/2021</w:t>
      </w:r>
      <w:r w:rsidRPr="00970944">
        <w:rPr>
          <w:rFonts w:ascii="Arial" w:hAnsi="Arial" w:cs="Arial"/>
        </w:rPr>
        <w:t xml:space="preserve"> del índice de la Quinta Sala Unitaria de Primera Instancia.</w:t>
      </w:r>
    </w:p>
    <w:p w14:paraId="441797FF" w14:textId="4D001AB0" w:rsidR="00970944" w:rsidRPr="00970944" w:rsidRDefault="00970944">
      <w:pPr>
        <w:pStyle w:val="Textonotapie"/>
        <w:rPr>
          <w:rFonts w:ascii="Arial" w:hAnsi="Arial" w:cs="Arial"/>
        </w:rPr>
      </w:pPr>
    </w:p>
  </w:footnote>
  <w:footnote w:id="4">
    <w:p w14:paraId="563D8A57" w14:textId="25991C49" w:rsidR="002A5B9B" w:rsidRPr="002A5B9B" w:rsidRDefault="0025442E" w:rsidP="002A5B9B">
      <w:pPr>
        <w:pStyle w:val="Default"/>
        <w:rPr>
          <w:i/>
          <w:sz w:val="20"/>
          <w:szCs w:val="20"/>
          <w:lang w:val="es-ES"/>
        </w:rPr>
      </w:pPr>
      <w:r>
        <w:rPr>
          <w:rStyle w:val="Refdenotaalpie"/>
        </w:rPr>
        <w:footnoteRef/>
      </w:r>
      <w:r>
        <w:t xml:space="preserve"> </w:t>
      </w:r>
      <w:r w:rsidR="002A5B9B" w:rsidRPr="002A5B9B">
        <w:rPr>
          <w:i/>
          <w:sz w:val="20"/>
          <w:szCs w:val="20"/>
        </w:rPr>
        <w:t>“</w:t>
      </w:r>
      <w:r w:rsidR="002A5B9B" w:rsidRPr="002A5B9B">
        <w:rPr>
          <w:b/>
          <w:bCs/>
          <w:i/>
          <w:sz w:val="20"/>
          <w:szCs w:val="20"/>
          <w:lang w:val="es-ES"/>
        </w:rPr>
        <w:t xml:space="preserve">Artículo 24.- </w:t>
      </w:r>
      <w:r w:rsidR="002A5B9B" w:rsidRPr="002A5B9B">
        <w:rPr>
          <w:i/>
          <w:sz w:val="20"/>
          <w:szCs w:val="20"/>
          <w:lang w:val="es-ES"/>
        </w:rPr>
        <w:t xml:space="preserve">Son atribuciones de la Sala Superior: </w:t>
      </w:r>
    </w:p>
    <w:p w14:paraId="11F1018D" w14:textId="6CCC287E" w:rsidR="002A5B9B" w:rsidRPr="002A5B9B" w:rsidRDefault="002A5B9B" w:rsidP="002A5B9B">
      <w:pPr>
        <w:autoSpaceDE w:val="0"/>
        <w:autoSpaceDN w:val="0"/>
        <w:adjustRightInd w:val="0"/>
        <w:spacing w:after="0" w:line="240" w:lineRule="auto"/>
        <w:rPr>
          <w:rFonts w:ascii="Arial" w:hAnsi="Arial" w:cs="Arial"/>
          <w:i/>
          <w:color w:val="000000"/>
          <w:sz w:val="20"/>
          <w:szCs w:val="20"/>
          <w:lang w:val="es-ES"/>
        </w:rPr>
      </w:pPr>
      <w:r w:rsidRPr="002A5B9B">
        <w:rPr>
          <w:rFonts w:ascii="Arial" w:hAnsi="Arial" w:cs="Arial"/>
          <w:i/>
          <w:color w:val="000000"/>
          <w:sz w:val="20"/>
          <w:szCs w:val="20"/>
          <w:lang w:val="es-ES"/>
        </w:rPr>
        <w:t xml:space="preserve">I. Resolver el recurso de revisión y Juicio de Inconformidad previstos en la Ley;” </w:t>
      </w:r>
    </w:p>
    <w:p w14:paraId="6BCF6BCA" w14:textId="0132F46B" w:rsidR="0025442E" w:rsidRPr="002A5B9B" w:rsidRDefault="0025442E">
      <w:pPr>
        <w:pStyle w:val="Textonotapie"/>
        <w:rPr>
          <w:i/>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EndPr/>
    <w:sdtContent>
      <w:p w14:paraId="0409FE29" w14:textId="587CD92A" w:rsidR="0025442E" w:rsidRDefault="004710F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25442E">
          <w:fldChar w:fldCharType="begin"/>
        </w:r>
        <w:r w:rsidR="0025442E">
          <w:instrText>PAGE   \* MERGEFORMAT</w:instrText>
        </w:r>
        <w:r w:rsidR="0025442E">
          <w:fldChar w:fldCharType="separate"/>
        </w:r>
        <w:r w:rsidR="00145D49" w:rsidRPr="00145D49">
          <w:rPr>
            <w:noProof/>
            <w:lang w:val="es-ES"/>
          </w:rPr>
          <w:t>14</w:t>
        </w:r>
        <w:r w:rsidR="0025442E">
          <w:fldChar w:fldCharType="end"/>
        </w:r>
      </w:p>
    </w:sdtContent>
  </w:sdt>
  <w:p w14:paraId="0E68208C" w14:textId="77777777" w:rsidR="0025442E" w:rsidRDefault="0025442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4EDBA7BF" w:rsidR="0025442E" w:rsidRDefault="004710F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25442E">
          <w:fldChar w:fldCharType="begin"/>
        </w:r>
        <w:r w:rsidR="0025442E">
          <w:instrText>PAGE   \* MERGEFORMAT</w:instrText>
        </w:r>
        <w:r w:rsidR="0025442E">
          <w:fldChar w:fldCharType="separate"/>
        </w:r>
        <w:r w:rsidR="00145D49" w:rsidRPr="00145D49">
          <w:rPr>
            <w:noProof/>
            <w:lang w:val="es-ES"/>
          </w:rPr>
          <w:t>13</w:t>
        </w:r>
        <w:r w:rsidR="0025442E">
          <w:fldChar w:fldCharType="end"/>
        </w:r>
      </w:sdtContent>
    </w:sdt>
  </w:p>
  <w:p w14:paraId="51E22156" w14:textId="47E29A8A" w:rsidR="0025442E" w:rsidRDefault="00145D4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B4F856F" wp14:editId="14BEE358">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E475F9B" w14:textId="77777777" w:rsidR="00145D49" w:rsidRDefault="00145D49" w:rsidP="00145D49">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4F856F"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3E475F9B" w14:textId="77777777" w:rsidR="00145D49" w:rsidRDefault="00145D49" w:rsidP="00145D4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5442E"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E66641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C94" w14:textId="2C1A9D1C" w:rsidR="0025442E" w:rsidRDefault="004710F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5CBEB4"/>
    <w:multiLevelType w:val="hybridMultilevel"/>
    <w:tmpl w:val="682FEDAC"/>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1457986034">
    <w:abstractNumId w:val="13"/>
  </w:num>
  <w:num w:numId="2" w16cid:durableId="1332029677">
    <w:abstractNumId w:val="3"/>
  </w:num>
  <w:num w:numId="3" w16cid:durableId="941688409">
    <w:abstractNumId w:val="1"/>
  </w:num>
  <w:num w:numId="4" w16cid:durableId="1232233864">
    <w:abstractNumId w:val="10"/>
  </w:num>
  <w:num w:numId="5" w16cid:durableId="1673944372">
    <w:abstractNumId w:val="12"/>
  </w:num>
  <w:num w:numId="6" w16cid:durableId="784927408">
    <w:abstractNumId w:val="7"/>
  </w:num>
  <w:num w:numId="7" w16cid:durableId="1137458524">
    <w:abstractNumId w:val="5"/>
  </w:num>
  <w:num w:numId="8" w16cid:durableId="307438659">
    <w:abstractNumId w:val="2"/>
  </w:num>
  <w:num w:numId="9" w16cid:durableId="810560471">
    <w:abstractNumId w:val="4"/>
  </w:num>
  <w:num w:numId="10" w16cid:durableId="1281304599">
    <w:abstractNumId w:val="9"/>
  </w:num>
  <w:num w:numId="11" w16cid:durableId="514731855">
    <w:abstractNumId w:val="11"/>
  </w:num>
  <w:num w:numId="12" w16cid:durableId="504974317">
    <w:abstractNumId w:val="8"/>
  </w:num>
  <w:num w:numId="13" w16cid:durableId="160237536">
    <w:abstractNumId w:val="6"/>
  </w:num>
  <w:num w:numId="14" w16cid:durableId="155368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5A31"/>
    <w:rsid w:val="0001695E"/>
    <w:rsid w:val="00016C0B"/>
    <w:rsid w:val="00016E88"/>
    <w:rsid w:val="000174F5"/>
    <w:rsid w:val="00020680"/>
    <w:rsid w:val="00020D86"/>
    <w:rsid w:val="00020F03"/>
    <w:rsid w:val="00021989"/>
    <w:rsid w:val="00021B04"/>
    <w:rsid w:val="00021C5F"/>
    <w:rsid w:val="00022BBC"/>
    <w:rsid w:val="00023549"/>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A4A"/>
    <w:rsid w:val="00044C5F"/>
    <w:rsid w:val="000450F5"/>
    <w:rsid w:val="000456C6"/>
    <w:rsid w:val="000466B1"/>
    <w:rsid w:val="000466D5"/>
    <w:rsid w:val="00052597"/>
    <w:rsid w:val="000525F8"/>
    <w:rsid w:val="0005285F"/>
    <w:rsid w:val="00053207"/>
    <w:rsid w:val="0005370C"/>
    <w:rsid w:val="000540E8"/>
    <w:rsid w:val="00054705"/>
    <w:rsid w:val="00054771"/>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6A1"/>
    <w:rsid w:val="00077DFD"/>
    <w:rsid w:val="00080A85"/>
    <w:rsid w:val="0008122B"/>
    <w:rsid w:val="0008141F"/>
    <w:rsid w:val="00083375"/>
    <w:rsid w:val="00085132"/>
    <w:rsid w:val="0008514D"/>
    <w:rsid w:val="00085F74"/>
    <w:rsid w:val="00087470"/>
    <w:rsid w:val="000875DB"/>
    <w:rsid w:val="000900BD"/>
    <w:rsid w:val="000904A5"/>
    <w:rsid w:val="0009077C"/>
    <w:rsid w:val="00090CF1"/>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628"/>
    <w:rsid w:val="000A5540"/>
    <w:rsid w:val="000A578F"/>
    <w:rsid w:val="000A58B5"/>
    <w:rsid w:val="000A5D36"/>
    <w:rsid w:val="000A5FA8"/>
    <w:rsid w:val="000A6C87"/>
    <w:rsid w:val="000A6CAE"/>
    <w:rsid w:val="000B01A0"/>
    <w:rsid w:val="000B0351"/>
    <w:rsid w:val="000B03B9"/>
    <w:rsid w:val="000B0431"/>
    <w:rsid w:val="000B0AD4"/>
    <w:rsid w:val="000B1042"/>
    <w:rsid w:val="000B1A06"/>
    <w:rsid w:val="000B1F22"/>
    <w:rsid w:val="000B2866"/>
    <w:rsid w:val="000B31B3"/>
    <w:rsid w:val="000B35EE"/>
    <w:rsid w:val="000B36E5"/>
    <w:rsid w:val="000B39C8"/>
    <w:rsid w:val="000B3B3B"/>
    <w:rsid w:val="000B40FA"/>
    <w:rsid w:val="000B5281"/>
    <w:rsid w:val="000B584E"/>
    <w:rsid w:val="000B5EC8"/>
    <w:rsid w:val="000B5FE3"/>
    <w:rsid w:val="000B61EB"/>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033"/>
    <w:rsid w:val="000D5397"/>
    <w:rsid w:val="000D558F"/>
    <w:rsid w:val="000D5746"/>
    <w:rsid w:val="000D6E87"/>
    <w:rsid w:val="000D7314"/>
    <w:rsid w:val="000D771A"/>
    <w:rsid w:val="000D7B89"/>
    <w:rsid w:val="000D7C8C"/>
    <w:rsid w:val="000E0AAB"/>
    <w:rsid w:val="000E1E0D"/>
    <w:rsid w:val="000E343A"/>
    <w:rsid w:val="000E3FF4"/>
    <w:rsid w:val="000E40FD"/>
    <w:rsid w:val="000E4354"/>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92C"/>
    <w:rsid w:val="001041F6"/>
    <w:rsid w:val="0010644A"/>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959"/>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29D"/>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5D49"/>
    <w:rsid w:val="001460CF"/>
    <w:rsid w:val="00146509"/>
    <w:rsid w:val="0014671A"/>
    <w:rsid w:val="00146991"/>
    <w:rsid w:val="00147CCC"/>
    <w:rsid w:val="00147FEF"/>
    <w:rsid w:val="0015050B"/>
    <w:rsid w:val="00151A88"/>
    <w:rsid w:val="00152DA5"/>
    <w:rsid w:val="00152F51"/>
    <w:rsid w:val="00152FB6"/>
    <w:rsid w:val="0015351E"/>
    <w:rsid w:val="00153BE4"/>
    <w:rsid w:val="00153D2A"/>
    <w:rsid w:val="001542BE"/>
    <w:rsid w:val="00154490"/>
    <w:rsid w:val="00156250"/>
    <w:rsid w:val="00156F22"/>
    <w:rsid w:val="001570E1"/>
    <w:rsid w:val="00161661"/>
    <w:rsid w:val="0016171F"/>
    <w:rsid w:val="00161F6F"/>
    <w:rsid w:val="001621EF"/>
    <w:rsid w:val="00162F92"/>
    <w:rsid w:val="00163680"/>
    <w:rsid w:val="00163EBF"/>
    <w:rsid w:val="00164BCE"/>
    <w:rsid w:val="001659D0"/>
    <w:rsid w:val="0016604B"/>
    <w:rsid w:val="0016700D"/>
    <w:rsid w:val="00167ADD"/>
    <w:rsid w:val="00170233"/>
    <w:rsid w:val="001702C6"/>
    <w:rsid w:val="001711A1"/>
    <w:rsid w:val="00172205"/>
    <w:rsid w:val="0017260E"/>
    <w:rsid w:val="001729D0"/>
    <w:rsid w:val="00172B51"/>
    <w:rsid w:val="00172C89"/>
    <w:rsid w:val="0017568D"/>
    <w:rsid w:val="00175B0E"/>
    <w:rsid w:val="00175C14"/>
    <w:rsid w:val="001761CB"/>
    <w:rsid w:val="0017651E"/>
    <w:rsid w:val="001778B4"/>
    <w:rsid w:val="001779CB"/>
    <w:rsid w:val="00177B53"/>
    <w:rsid w:val="00181701"/>
    <w:rsid w:val="001826D0"/>
    <w:rsid w:val="001831E3"/>
    <w:rsid w:val="0018345B"/>
    <w:rsid w:val="0018356C"/>
    <w:rsid w:val="0018358B"/>
    <w:rsid w:val="00183A51"/>
    <w:rsid w:val="0018454F"/>
    <w:rsid w:val="001846BB"/>
    <w:rsid w:val="001854BD"/>
    <w:rsid w:val="00185DC5"/>
    <w:rsid w:val="00186701"/>
    <w:rsid w:val="00186AEF"/>
    <w:rsid w:val="00186FB3"/>
    <w:rsid w:val="0018765B"/>
    <w:rsid w:val="00187A2E"/>
    <w:rsid w:val="00191AB4"/>
    <w:rsid w:val="00192287"/>
    <w:rsid w:val="001923AE"/>
    <w:rsid w:val="001924B2"/>
    <w:rsid w:val="00193379"/>
    <w:rsid w:val="00193735"/>
    <w:rsid w:val="00194308"/>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10F"/>
    <w:rsid w:val="001B61BE"/>
    <w:rsid w:val="001B6D9F"/>
    <w:rsid w:val="001B6E63"/>
    <w:rsid w:val="001B7EF3"/>
    <w:rsid w:val="001C0151"/>
    <w:rsid w:val="001C0C36"/>
    <w:rsid w:val="001C100F"/>
    <w:rsid w:val="001C1402"/>
    <w:rsid w:val="001C1FDF"/>
    <w:rsid w:val="001C2020"/>
    <w:rsid w:val="001C2557"/>
    <w:rsid w:val="001C2644"/>
    <w:rsid w:val="001C2B0B"/>
    <w:rsid w:val="001C2B81"/>
    <w:rsid w:val="001C36D8"/>
    <w:rsid w:val="001C39B4"/>
    <w:rsid w:val="001C3A80"/>
    <w:rsid w:val="001C421F"/>
    <w:rsid w:val="001C422B"/>
    <w:rsid w:val="001C502D"/>
    <w:rsid w:val="001C53B0"/>
    <w:rsid w:val="001C7EC3"/>
    <w:rsid w:val="001D07F6"/>
    <w:rsid w:val="001D0B66"/>
    <w:rsid w:val="001D0DCF"/>
    <w:rsid w:val="001D2607"/>
    <w:rsid w:val="001D306E"/>
    <w:rsid w:val="001D31A6"/>
    <w:rsid w:val="001D3B81"/>
    <w:rsid w:val="001D40CC"/>
    <w:rsid w:val="001D4256"/>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0FD1"/>
    <w:rsid w:val="001F2154"/>
    <w:rsid w:val="001F287C"/>
    <w:rsid w:val="001F2D73"/>
    <w:rsid w:val="001F3C5C"/>
    <w:rsid w:val="001F5050"/>
    <w:rsid w:val="001F625A"/>
    <w:rsid w:val="001F6B28"/>
    <w:rsid w:val="001F6C56"/>
    <w:rsid w:val="001F72DF"/>
    <w:rsid w:val="001F77D0"/>
    <w:rsid w:val="00200867"/>
    <w:rsid w:val="002010A9"/>
    <w:rsid w:val="00201769"/>
    <w:rsid w:val="0020247E"/>
    <w:rsid w:val="002025FD"/>
    <w:rsid w:val="00203FD3"/>
    <w:rsid w:val="002059E4"/>
    <w:rsid w:val="00205A55"/>
    <w:rsid w:val="00206222"/>
    <w:rsid w:val="002063E1"/>
    <w:rsid w:val="0020694D"/>
    <w:rsid w:val="00206B99"/>
    <w:rsid w:val="002073D2"/>
    <w:rsid w:val="002078AA"/>
    <w:rsid w:val="00210261"/>
    <w:rsid w:val="0021074F"/>
    <w:rsid w:val="002109FD"/>
    <w:rsid w:val="002111AC"/>
    <w:rsid w:val="0021188E"/>
    <w:rsid w:val="00212E08"/>
    <w:rsid w:val="0021302A"/>
    <w:rsid w:val="00213783"/>
    <w:rsid w:val="00214685"/>
    <w:rsid w:val="002147E4"/>
    <w:rsid w:val="00214CE8"/>
    <w:rsid w:val="002161AD"/>
    <w:rsid w:val="00216595"/>
    <w:rsid w:val="002165D6"/>
    <w:rsid w:val="00216AB7"/>
    <w:rsid w:val="002170A5"/>
    <w:rsid w:val="0021719F"/>
    <w:rsid w:val="00217F57"/>
    <w:rsid w:val="00221687"/>
    <w:rsid w:val="00221709"/>
    <w:rsid w:val="00222A05"/>
    <w:rsid w:val="00222E1E"/>
    <w:rsid w:val="0022341D"/>
    <w:rsid w:val="0022360E"/>
    <w:rsid w:val="00223F75"/>
    <w:rsid w:val="00224412"/>
    <w:rsid w:val="002246DF"/>
    <w:rsid w:val="002248E9"/>
    <w:rsid w:val="00225069"/>
    <w:rsid w:val="00226FD2"/>
    <w:rsid w:val="00227445"/>
    <w:rsid w:val="00227471"/>
    <w:rsid w:val="00230D10"/>
    <w:rsid w:val="00231036"/>
    <w:rsid w:val="00232D7F"/>
    <w:rsid w:val="0023417B"/>
    <w:rsid w:val="002350A1"/>
    <w:rsid w:val="00235D14"/>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6D4"/>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42E"/>
    <w:rsid w:val="002549E1"/>
    <w:rsid w:val="00256B3C"/>
    <w:rsid w:val="00256E7D"/>
    <w:rsid w:val="00256F27"/>
    <w:rsid w:val="00257816"/>
    <w:rsid w:val="00257C5E"/>
    <w:rsid w:val="00260433"/>
    <w:rsid w:val="0026116F"/>
    <w:rsid w:val="002614F4"/>
    <w:rsid w:val="002617F9"/>
    <w:rsid w:val="00262666"/>
    <w:rsid w:val="00262D7C"/>
    <w:rsid w:val="00263720"/>
    <w:rsid w:val="00264581"/>
    <w:rsid w:val="00265161"/>
    <w:rsid w:val="00265F1B"/>
    <w:rsid w:val="002665A2"/>
    <w:rsid w:val="00267221"/>
    <w:rsid w:val="00270087"/>
    <w:rsid w:val="00270831"/>
    <w:rsid w:val="0027275E"/>
    <w:rsid w:val="00272A7D"/>
    <w:rsid w:val="00273171"/>
    <w:rsid w:val="00273266"/>
    <w:rsid w:val="002748AA"/>
    <w:rsid w:val="00275418"/>
    <w:rsid w:val="00280254"/>
    <w:rsid w:val="002805AC"/>
    <w:rsid w:val="00280919"/>
    <w:rsid w:val="00281661"/>
    <w:rsid w:val="00282C81"/>
    <w:rsid w:val="00283B3F"/>
    <w:rsid w:val="002841EE"/>
    <w:rsid w:val="002844AF"/>
    <w:rsid w:val="0028472C"/>
    <w:rsid w:val="00284891"/>
    <w:rsid w:val="00285B3A"/>
    <w:rsid w:val="00285C95"/>
    <w:rsid w:val="00286130"/>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24F"/>
    <w:rsid w:val="002A4403"/>
    <w:rsid w:val="002A4AD1"/>
    <w:rsid w:val="002A4AE9"/>
    <w:rsid w:val="002A4B47"/>
    <w:rsid w:val="002A4DEA"/>
    <w:rsid w:val="002A5750"/>
    <w:rsid w:val="002A5B9B"/>
    <w:rsid w:val="002A605E"/>
    <w:rsid w:val="002A61E1"/>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6B"/>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064D"/>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01CC"/>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095"/>
    <w:rsid w:val="00312470"/>
    <w:rsid w:val="0031285C"/>
    <w:rsid w:val="003136B6"/>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6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4FA4"/>
    <w:rsid w:val="00355E26"/>
    <w:rsid w:val="00355E72"/>
    <w:rsid w:val="0035659D"/>
    <w:rsid w:val="00356AE9"/>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0DC5"/>
    <w:rsid w:val="00390E46"/>
    <w:rsid w:val="00392B20"/>
    <w:rsid w:val="00394516"/>
    <w:rsid w:val="003961E1"/>
    <w:rsid w:val="003974F9"/>
    <w:rsid w:val="003A0AA1"/>
    <w:rsid w:val="003A0FE5"/>
    <w:rsid w:val="003A24EC"/>
    <w:rsid w:val="003A3EA0"/>
    <w:rsid w:val="003A5771"/>
    <w:rsid w:val="003A6262"/>
    <w:rsid w:val="003A645D"/>
    <w:rsid w:val="003B0033"/>
    <w:rsid w:val="003B0A5E"/>
    <w:rsid w:val="003B0AA1"/>
    <w:rsid w:val="003B0AA8"/>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9D8"/>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1A1"/>
    <w:rsid w:val="003E5231"/>
    <w:rsid w:val="003E5B98"/>
    <w:rsid w:val="003E62FB"/>
    <w:rsid w:val="003E6A41"/>
    <w:rsid w:val="003E7801"/>
    <w:rsid w:val="003E7D26"/>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1B0"/>
    <w:rsid w:val="004113F8"/>
    <w:rsid w:val="00411707"/>
    <w:rsid w:val="0041258E"/>
    <w:rsid w:val="00412C2F"/>
    <w:rsid w:val="00413150"/>
    <w:rsid w:val="00413F4D"/>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37F14"/>
    <w:rsid w:val="0044044F"/>
    <w:rsid w:val="00441DE8"/>
    <w:rsid w:val="00442F0F"/>
    <w:rsid w:val="00442F67"/>
    <w:rsid w:val="00442FBB"/>
    <w:rsid w:val="00443268"/>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61F"/>
    <w:rsid w:val="00461D44"/>
    <w:rsid w:val="00461FB3"/>
    <w:rsid w:val="0046279F"/>
    <w:rsid w:val="00463325"/>
    <w:rsid w:val="00463D48"/>
    <w:rsid w:val="00464148"/>
    <w:rsid w:val="004647B9"/>
    <w:rsid w:val="00464F06"/>
    <w:rsid w:val="004652D5"/>
    <w:rsid w:val="00465BF5"/>
    <w:rsid w:val="00466042"/>
    <w:rsid w:val="004668E6"/>
    <w:rsid w:val="004673D5"/>
    <w:rsid w:val="00467CC5"/>
    <w:rsid w:val="004710F6"/>
    <w:rsid w:val="0047274B"/>
    <w:rsid w:val="00472B3D"/>
    <w:rsid w:val="00472D90"/>
    <w:rsid w:val="00473EB5"/>
    <w:rsid w:val="00474FAD"/>
    <w:rsid w:val="0047647A"/>
    <w:rsid w:val="004771E5"/>
    <w:rsid w:val="00477357"/>
    <w:rsid w:val="00477E07"/>
    <w:rsid w:val="00480A69"/>
    <w:rsid w:val="004813E0"/>
    <w:rsid w:val="004826CB"/>
    <w:rsid w:val="00482CD1"/>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B7D"/>
    <w:rsid w:val="004A5F27"/>
    <w:rsid w:val="004A6251"/>
    <w:rsid w:val="004A6CA2"/>
    <w:rsid w:val="004A770C"/>
    <w:rsid w:val="004A781C"/>
    <w:rsid w:val="004A7ECD"/>
    <w:rsid w:val="004B05CE"/>
    <w:rsid w:val="004B0EF8"/>
    <w:rsid w:val="004B117E"/>
    <w:rsid w:val="004B17F7"/>
    <w:rsid w:val="004B1E33"/>
    <w:rsid w:val="004B4654"/>
    <w:rsid w:val="004B5540"/>
    <w:rsid w:val="004B5D56"/>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8BC"/>
    <w:rsid w:val="004C5BBF"/>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1DB0"/>
    <w:rsid w:val="004E2E3B"/>
    <w:rsid w:val="004E32FC"/>
    <w:rsid w:val="004E3C1D"/>
    <w:rsid w:val="004E3E15"/>
    <w:rsid w:val="004E4A63"/>
    <w:rsid w:val="004E531A"/>
    <w:rsid w:val="004E6061"/>
    <w:rsid w:val="004E6502"/>
    <w:rsid w:val="004E744E"/>
    <w:rsid w:val="004F026D"/>
    <w:rsid w:val="004F0402"/>
    <w:rsid w:val="004F07B7"/>
    <w:rsid w:val="004F12C9"/>
    <w:rsid w:val="004F1387"/>
    <w:rsid w:val="004F1B13"/>
    <w:rsid w:val="004F2870"/>
    <w:rsid w:val="004F28AC"/>
    <w:rsid w:val="004F2A92"/>
    <w:rsid w:val="004F2E5D"/>
    <w:rsid w:val="004F2E7C"/>
    <w:rsid w:val="004F421C"/>
    <w:rsid w:val="004F4289"/>
    <w:rsid w:val="004F48BF"/>
    <w:rsid w:val="004F4FD6"/>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991"/>
    <w:rsid w:val="00510F23"/>
    <w:rsid w:val="0051133B"/>
    <w:rsid w:val="005115C3"/>
    <w:rsid w:val="00515288"/>
    <w:rsid w:val="00515B21"/>
    <w:rsid w:val="00515CF2"/>
    <w:rsid w:val="00516305"/>
    <w:rsid w:val="00517079"/>
    <w:rsid w:val="00517219"/>
    <w:rsid w:val="00517E8A"/>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3975"/>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A23"/>
    <w:rsid w:val="00563B9C"/>
    <w:rsid w:val="00564488"/>
    <w:rsid w:val="0056508D"/>
    <w:rsid w:val="00567CCF"/>
    <w:rsid w:val="005701EB"/>
    <w:rsid w:val="00570608"/>
    <w:rsid w:val="005707BD"/>
    <w:rsid w:val="00570A3B"/>
    <w:rsid w:val="0057187A"/>
    <w:rsid w:val="005720EB"/>
    <w:rsid w:val="0057273D"/>
    <w:rsid w:val="005731B2"/>
    <w:rsid w:val="00573350"/>
    <w:rsid w:val="00573D28"/>
    <w:rsid w:val="00573E34"/>
    <w:rsid w:val="005740D5"/>
    <w:rsid w:val="005740DA"/>
    <w:rsid w:val="0057478E"/>
    <w:rsid w:val="00577656"/>
    <w:rsid w:val="0057772B"/>
    <w:rsid w:val="00580176"/>
    <w:rsid w:val="005802AF"/>
    <w:rsid w:val="00581327"/>
    <w:rsid w:val="005817AB"/>
    <w:rsid w:val="00582C57"/>
    <w:rsid w:val="00584BAB"/>
    <w:rsid w:val="00584EFB"/>
    <w:rsid w:val="0058621D"/>
    <w:rsid w:val="00586258"/>
    <w:rsid w:val="00586D72"/>
    <w:rsid w:val="00586E4F"/>
    <w:rsid w:val="00587330"/>
    <w:rsid w:val="0058765E"/>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303"/>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13C2"/>
    <w:rsid w:val="005D2061"/>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3705"/>
    <w:rsid w:val="005F45C2"/>
    <w:rsid w:val="005F4ECF"/>
    <w:rsid w:val="005F569A"/>
    <w:rsid w:val="005F6073"/>
    <w:rsid w:val="005F6196"/>
    <w:rsid w:val="005F61B4"/>
    <w:rsid w:val="005F6454"/>
    <w:rsid w:val="005F7759"/>
    <w:rsid w:val="005F7852"/>
    <w:rsid w:val="0060041C"/>
    <w:rsid w:val="006006E1"/>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391"/>
    <w:rsid w:val="00622BEF"/>
    <w:rsid w:val="0062386E"/>
    <w:rsid w:val="006246C1"/>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472"/>
    <w:rsid w:val="00691515"/>
    <w:rsid w:val="00692778"/>
    <w:rsid w:val="00692B2A"/>
    <w:rsid w:val="006937A1"/>
    <w:rsid w:val="00693CC2"/>
    <w:rsid w:val="00693F50"/>
    <w:rsid w:val="00694688"/>
    <w:rsid w:val="00694863"/>
    <w:rsid w:val="006948AC"/>
    <w:rsid w:val="00694C91"/>
    <w:rsid w:val="00694D2F"/>
    <w:rsid w:val="00695D24"/>
    <w:rsid w:val="00695E1B"/>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43D"/>
    <w:rsid w:val="006B5508"/>
    <w:rsid w:val="006B717B"/>
    <w:rsid w:val="006B7267"/>
    <w:rsid w:val="006C1371"/>
    <w:rsid w:val="006C1F9E"/>
    <w:rsid w:val="006C2F23"/>
    <w:rsid w:val="006C408C"/>
    <w:rsid w:val="006C44AE"/>
    <w:rsid w:val="006C456A"/>
    <w:rsid w:val="006C564D"/>
    <w:rsid w:val="006C60DF"/>
    <w:rsid w:val="006C671F"/>
    <w:rsid w:val="006C6F3C"/>
    <w:rsid w:val="006C6FB7"/>
    <w:rsid w:val="006D007C"/>
    <w:rsid w:val="006D06F5"/>
    <w:rsid w:val="006D0773"/>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3B3"/>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09AC"/>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8C8"/>
    <w:rsid w:val="00711EB9"/>
    <w:rsid w:val="0071287D"/>
    <w:rsid w:val="00712D50"/>
    <w:rsid w:val="00712E04"/>
    <w:rsid w:val="00713419"/>
    <w:rsid w:val="007135A0"/>
    <w:rsid w:val="00713957"/>
    <w:rsid w:val="00714402"/>
    <w:rsid w:val="00714488"/>
    <w:rsid w:val="00715319"/>
    <w:rsid w:val="00715EBB"/>
    <w:rsid w:val="00717898"/>
    <w:rsid w:val="0072215B"/>
    <w:rsid w:val="00722B88"/>
    <w:rsid w:val="0072304C"/>
    <w:rsid w:val="0072368F"/>
    <w:rsid w:val="00723995"/>
    <w:rsid w:val="00723EC1"/>
    <w:rsid w:val="00724552"/>
    <w:rsid w:val="00724C1C"/>
    <w:rsid w:val="00727C09"/>
    <w:rsid w:val="00727D9C"/>
    <w:rsid w:val="00730089"/>
    <w:rsid w:val="00730250"/>
    <w:rsid w:val="00730453"/>
    <w:rsid w:val="0073182F"/>
    <w:rsid w:val="00731959"/>
    <w:rsid w:val="0073212F"/>
    <w:rsid w:val="007324A9"/>
    <w:rsid w:val="00732EB6"/>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35B6"/>
    <w:rsid w:val="007562AF"/>
    <w:rsid w:val="00756771"/>
    <w:rsid w:val="00756A0B"/>
    <w:rsid w:val="00757070"/>
    <w:rsid w:val="0075716B"/>
    <w:rsid w:val="00757251"/>
    <w:rsid w:val="007573A2"/>
    <w:rsid w:val="00757BFC"/>
    <w:rsid w:val="00757FD7"/>
    <w:rsid w:val="00760108"/>
    <w:rsid w:val="00760AB6"/>
    <w:rsid w:val="00760DD6"/>
    <w:rsid w:val="00761447"/>
    <w:rsid w:val="00761C44"/>
    <w:rsid w:val="00762460"/>
    <w:rsid w:val="00762B99"/>
    <w:rsid w:val="0076511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7F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979"/>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2BC"/>
    <w:rsid w:val="007B08F4"/>
    <w:rsid w:val="007B0A40"/>
    <w:rsid w:val="007B14D2"/>
    <w:rsid w:val="007B34BC"/>
    <w:rsid w:val="007B452B"/>
    <w:rsid w:val="007B4EEE"/>
    <w:rsid w:val="007B5821"/>
    <w:rsid w:val="007B5824"/>
    <w:rsid w:val="007B5EBB"/>
    <w:rsid w:val="007B65D2"/>
    <w:rsid w:val="007B6AD5"/>
    <w:rsid w:val="007C04A2"/>
    <w:rsid w:val="007C1271"/>
    <w:rsid w:val="007C1650"/>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32"/>
    <w:rsid w:val="007F4946"/>
    <w:rsid w:val="007F4B42"/>
    <w:rsid w:val="007F5B11"/>
    <w:rsid w:val="007F63C0"/>
    <w:rsid w:val="007F7CB7"/>
    <w:rsid w:val="007F7F91"/>
    <w:rsid w:val="00801A10"/>
    <w:rsid w:val="00801F35"/>
    <w:rsid w:val="00802109"/>
    <w:rsid w:val="00803361"/>
    <w:rsid w:val="00803391"/>
    <w:rsid w:val="00803D63"/>
    <w:rsid w:val="00805B95"/>
    <w:rsid w:val="008061D6"/>
    <w:rsid w:val="008068C9"/>
    <w:rsid w:val="00806D14"/>
    <w:rsid w:val="0080728A"/>
    <w:rsid w:val="00807D76"/>
    <w:rsid w:val="00811182"/>
    <w:rsid w:val="008112DB"/>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67E70"/>
    <w:rsid w:val="00870822"/>
    <w:rsid w:val="0087089C"/>
    <w:rsid w:val="008709B3"/>
    <w:rsid w:val="00870DB7"/>
    <w:rsid w:val="0087135B"/>
    <w:rsid w:val="00871CF9"/>
    <w:rsid w:val="008721B7"/>
    <w:rsid w:val="008728A9"/>
    <w:rsid w:val="00872D12"/>
    <w:rsid w:val="00873D60"/>
    <w:rsid w:val="008740F9"/>
    <w:rsid w:val="00874C67"/>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2BFB"/>
    <w:rsid w:val="008A4EE6"/>
    <w:rsid w:val="008A6544"/>
    <w:rsid w:val="008A65C4"/>
    <w:rsid w:val="008A7EC3"/>
    <w:rsid w:val="008A7F72"/>
    <w:rsid w:val="008B02C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190"/>
    <w:rsid w:val="008C02B6"/>
    <w:rsid w:val="008C0623"/>
    <w:rsid w:val="008C2171"/>
    <w:rsid w:val="008C2664"/>
    <w:rsid w:val="008C2CF5"/>
    <w:rsid w:val="008C2DFE"/>
    <w:rsid w:val="008C3494"/>
    <w:rsid w:val="008C3682"/>
    <w:rsid w:val="008C3721"/>
    <w:rsid w:val="008C3CED"/>
    <w:rsid w:val="008C3DDE"/>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9A1"/>
    <w:rsid w:val="008E4A67"/>
    <w:rsid w:val="008E77EB"/>
    <w:rsid w:val="008F0205"/>
    <w:rsid w:val="008F0DCC"/>
    <w:rsid w:val="008F1EB2"/>
    <w:rsid w:val="008F284E"/>
    <w:rsid w:val="008F2BAD"/>
    <w:rsid w:val="008F2CAE"/>
    <w:rsid w:val="008F39F2"/>
    <w:rsid w:val="008F438A"/>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A04"/>
    <w:rsid w:val="00920287"/>
    <w:rsid w:val="00920599"/>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5F05"/>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395F"/>
    <w:rsid w:val="00964A87"/>
    <w:rsid w:val="00964CE3"/>
    <w:rsid w:val="00965204"/>
    <w:rsid w:val="00965931"/>
    <w:rsid w:val="00965DB7"/>
    <w:rsid w:val="009663A9"/>
    <w:rsid w:val="00966C28"/>
    <w:rsid w:val="009700BB"/>
    <w:rsid w:val="00970944"/>
    <w:rsid w:val="00971321"/>
    <w:rsid w:val="00971BDD"/>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4C"/>
    <w:rsid w:val="009955E8"/>
    <w:rsid w:val="009968CB"/>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0FDB"/>
    <w:rsid w:val="009C16E5"/>
    <w:rsid w:val="009C24D1"/>
    <w:rsid w:val="009C3841"/>
    <w:rsid w:val="009C570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9ED"/>
    <w:rsid w:val="00A16EFC"/>
    <w:rsid w:val="00A17A7F"/>
    <w:rsid w:val="00A17A80"/>
    <w:rsid w:val="00A17D94"/>
    <w:rsid w:val="00A20FD0"/>
    <w:rsid w:val="00A21357"/>
    <w:rsid w:val="00A215C1"/>
    <w:rsid w:val="00A21B13"/>
    <w:rsid w:val="00A22381"/>
    <w:rsid w:val="00A23061"/>
    <w:rsid w:val="00A23D23"/>
    <w:rsid w:val="00A243B5"/>
    <w:rsid w:val="00A24A17"/>
    <w:rsid w:val="00A24B73"/>
    <w:rsid w:val="00A257A4"/>
    <w:rsid w:val="00A258BB"/>
    <w:rsid w:val="00A25E5D"/>
    <w:rsid w:val="00A27138"/>
    <w:rsid w:val="00A30D30"/>
    <w:rsid w:val="00A31158"/>
    <w:rsid w:val="00A31393"/>
    <w:rsid w:val="00A3215A"/>
    <w:rsid w:val="00A32881"/>
    <w:rsid w:val="00A3359F"/>
    <w:rsid w:val="00A33F3B"/>
    <w:rsid w:val="00A352E3"/>
    <w:rsid w:val="00A35446"/>
    <w:rsid w:val="00A3583F"/>
    <w:rsid w:val="00A367EE"/>
    <w:rsid w:val="00A36936"/>
    <w:rsid w:val="00A37544"/>
    <w:rsid w:val="00A37825"/>
    <w:rsid w:val="00A4105D"/>
    <w:rsid w:val="00A41757"/>
    <w:rsid w:val="00A417FE"/>
    <w:rsid w:val="00A41FA8"/>
    <w:rsid w:val="00A426F3"/>
    <w:rsid w:val="00A42E01"/>
    <w:rsid w:val="00A44166"/>
    <w:rsid w:val="00A448E0"/>
    <w:rsid w:val="00A456F5"/>
    <w:rsid w:val="00A45C71"/>
    <w:rsid w:val="00A4628E"/>
    <w:rsid w:val="00A47209"/>
    <w:rsid w:val="00A47391"/>
    <w:rsid w:val="00A47455"/>
    <w:rsid w:val="00A50A18"/>
    <w:rsid w:val="00A51741"/>
    <w:rsid w:val="00A51781"/>
    <w:rsid w:val="00A5203E"/>
    <w:rsid w:val="00A52320"/>
    <w:rsid w:val="00A52762"/>
    <w:rsid w:val="00A537AD"/>
    <w:rsid w:val="00A538EE"/>
    <w:rsid w:val="00A541F8"/>
    <w:rsid w:val="00A54A2D"/>
    <w:rsid w:val="00A54AAC"/>
    <w:rsid w:val="00A5569F"/>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5BCC"/>
    <w:rsid w:val="00A66C53"/>
    <w:rsid w:val="00A66CB2"/>
    <w:rsid w:val="00A701A6"/>
    <w:rsid w:val="00A703F5"/>
    <w:rsid w:val="00A71119"/>
    <w:rsid w:val="00A72E3D"/>
    <w:rsid w:val="00A72EE1"/>
    <w:rsid w:val="00A72F0F"/>
    <w:rsid w:val="00A72FB8"/>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C8"/>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278A"/>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58A"/>
    <w:rsid w:val="00AD38ED"/>
    <w:rsid w:val="00AD39D6"/>
    <w:rsid w:val="00AD3C97"/>
    <w:rsid w:val="00AD4282"/>
    <w:rsid w:val="00AD5A42"/>
    <w:rsid w:val="00AD7073"/>
    <w:rsid w:val="00AD77FD"/>
    <w:rsid w:val="00AD79E2"/>
    <w:rsid w:val="00AD7FFB"/>
    <w:rsid w:val="00AE1C5C"/>
    <w:rsid w:val="00AE271F"/>
    <w:rsid w:val="00AE33E1"/>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18B"/>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0B0"/>
    <w:rsid w:val="00B0768C"/>
    <w:rsid w:val="00B10264"/>
    <w:rsid w:val="00B1212B"/>
    <w:rsid w:val="00B125A0"/>
    <w:rsid w:val="00B13177"/>
    <w:rsid w:val="00B13E8D"/>
    <w:rsid w:val="00B15852"/>
    <w:rsid w:val="00B161B4"/>
    <w:rsid w:val="00B164D8"/>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362"/>
    <w:rsid w:val="00B27702"/>
    <w:rsid w:val="00B30025"/>
    <w:rsid w:val="00B31114"/>
    <w:rsid w:val="00B313D0"/>
    <w:rsid w:val="00B3156A"/>
    <w:rsid w:val="00B315E1"/>
    <w:rsid w:val="00B315F4"/>
    <w:rsid w:val="00B317DD"/>
    <w:rsid w:val="00B32568"/>
    <w:rsid w:val="00B3319A"/>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C24"/>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D62"/>
    <w:rsid w:val="00B90ED9"/>
    <w:rsid w:val="00B91714"/>
    <w:rsid w:val="00B923B6"/>
    <w:rsid w:val="00B9293A"/>
    <w:rsid w:val="00B93021"/>
    <w:rsid w:val="00B93BE3"/>
    <w:rsid w:val="00B95FE2"/>
    <w:rsid w:val="00B962EE"/>
    <w:rsid w:val="00B97246"/>
    <w:rsid w:val="00B9725F"/>
    <w:rsid w:val="00B972B2"/>
    <w:rsid w:val="00B97390"/>
    <w:rsid w:val="00BA03EE"/>
    <w:rsid w:val="00BA141B"/>
    <w:rsid w:val="00BA1836"/>
    <w:rsid w:val="00BA18D4"/>
    <w:rsid w:val="00BA224E"/>
    <w:rsid w:val="00BA258A"/>
    <w:rsid w:val="00BA2682"/>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2F38"/>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CDC"/>
    <w:rsid w:val="00BE1BBE"/>
    <w:rsid w:val="00BE2C9F"/>
    <w:rsid w:val="00BE36D5"/>
    <w:rsid w:val="00BE4FDC"/>
    <w:rsid w:val="00BE6056"/>
    <w:rsid w:val="00BE6217"/>
    <w:rsid w:val="00BE7C10"/>
    <w:rsid w:val="00BF01B9"/>
    <w:rsid w:val="00BF0D7C"/>
    <w:rsid w:val="00BF1235"/>
    <w:rsid w:val="00BF1DCB"/>
    <w:rsid w:val="00BF1F39"/>
    <w:rsid w:val="00BF26B2"/>
    <w:rsid w:val="00BF2AD9"/>
    <w:rsid w:val="00BF2FDA"/>
    <w:rsid w:val="00BF30D9"/>
    <w:rsid w:val="00BF5877"/>
    <w:rsid w:val="00BF5B35"/>
    <w:rsid w:val="00BF68A1"/>
    <w:rsid w:val="00C006E1"/>
    <w:rsid w:val="00C013E9"/>
    <w:rsid w:val="00C01536"/>
    <w:rsid w:val="00C0185C"/>
    <w:rsid w:val="00C01AE5"/>
    <w:rsid w:val="00C0372A"/>
    <w:rsid w:val="00C03CFC"/>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3F72"/>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02"/>
    <w:rsid w:val="00C22F22"/>
    <w:rsid w:val="00C2365F"/>
    <w:rsid w:val="00C23BF3"/>
    <w:rsid w:val="00C23FDB"/>
    <w:rsid w:val="00C24B6B"/>
    <w:rsid w:val="00C25A02"/>
    <w:rsid w:val="00C268F6"/>
    <w:rsid w:val="00C27215"/>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C6C"/>
    <w:rsid w:val="00C6124E"/>
    <w:rsid w:val="00C613CF"/>
    <w:rsid w:val="00C6230B"/>
    <w:rsid w:val="00C6257D"/>
    <w:rsid w:val="00C632FA"/>
    <w:rsid w:val="00C635D0"/>
    <w:rsid w:val="00C64273"/>
    <w:rsid w:val="00C65B9B"/>
    <w:rsid w:val="00C67249"/>
    <w:rsid w:val="00C67698"/>
    <w:rsid w:val="00C70952"/>
    <w:rsid w:val="00C70B81"/>
    <w:rsid w:val="00C710D6"/>
    <w:rsid w:val="00C71A33"/>
    <w:rsid w:val="00C71B90"/>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911"/>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5D3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2F0E"/>
    <w:rsid w:val="00CE302C"/>
    <w:rsid w:val="00CE31BD"/>
    <w:rsid w:val="00CE449A"/>
    <w:rsid w:val="00CE4619"/>
    <w:rsid w:val="00CE4BF2"/>
    <w:rsid w:val="00CE5E91"/>
    <w:rsid w:val="00CF01EA"/>
    <w:rsid w:val="00CF07B7"/>
    <w:rsid w:val="00CF10EF"/>
    <w:rsid w:val="00CF182A"/>
    <w:rsid w:val="00CF1F53"/>
    <w:rsid w:val="00CF1FAE"/>
    <w:rsid w:val="00CF3BED"/>
    <w:rsid w:val="00CF490E"/>
    <w:rsid w:val="00CF4A6D"/>
    <w:rsid w:val="00CF593F"/>
    <w:rsid w:val="00CF5B89"/>
    <w:rsid w:val="00CF6510"/>
    <w:rsid w:val="00CF65E5"/>
    <w:rsid w:val="00CF66B8"/>
    <w:rsid w:val="00CF6971"/>
    <w:rsid w:val="00CF6B42"/>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5A73"/>
    <w:rsid w:val="00D16547"/>
    <w:rsid w:val="00D20368"/>
    <w:rsid w:val="00D209D8"/>
    <w:rsid w:val="00D20B6C"/>
    <w:rsid w:val="00D20DAB"/>
    <w:rsid w:val="00D2186C"/>
    <w:rsid w:val="00D239A5"/>
    <w:rsid w:val="00D24260"/>
    <w:rsid w:val="00D2457A"/>
    <w:rsid w:val="00D24AF7"/>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4A0"/>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4C1"/>
    <w:rsid w:val="00D9154A"/>
    <w:rsid w:val="00D923F4"/>
    <w:rsid w:val="00D93271"/>
    <w:rsid w:val="00D93F15"/>
    <w:rsid w:val="00D9475D"/>
    <w:rsid w:val="00D96319"/>
    <w:rsid w:val="00D9777F"/>
    <w:rsid w:val="00D97C0F"/>
    <w:rsid w:val="00DA020A"/>
    <w:rsid w:val="00DA07B6"/>
    <w:rsid w:val="00DA0CA2"/>
    <w:rsid w:val="00DA158D"/>
    <w:rsid w:val="00DA1608"/>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745"/>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732"/>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9AE"/>
    <w:rsid w:val="00E35EC1"/>
    <w:rsid w:val="00E35F95"/>
    <w:rsid w:val="00E3623E"/>
    <w:rsid w:val="00E369E0"/>
    <w:rsid w:val="00E36F87"/>
    <w:rsid w:val="00E36FAF"/>
    <w:rsid w:val="00E3758B"/>
    <w:rsid w:val="00E37775"/>
    <w:rsid w:val="00E37879"/>
    <w:rsid w:val="00E40220"/>
    <w:rsid w:val="00E4029A"/>
    <w:rsid w:val="00E40FCB"/>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4AE3"/>
    <w:rsid w:val="00E75146"/>
    <w:rsid w:val="00E755AB"/>
    <w:rsid w:val="00E75B19"/>
    <w:rsid w:val="00E75BB5"/>
    <w:rsid w:val="00E75F66"/>
    <w:rsid w:val="00E7676F"/>
    <w:rsid w:val="00E7767C"/>
    <w:rsid w:val="00E77805"/>
    <w:rsid w:val="00E77C72"/>
    <w:rsid w:val="00E77DBE"/>
    <w:rsid w:val="00E801F8"/>
    <w:rsid w:val="00E8167D"/>
    <w:rsid w:val="00E81BCF"/>
    <w:rsid w:val="00E8217A"/>
    <w:rsid w:val="00E82423"/>
    <w:rsid w:val="00E82708"/>
    <w:rsid w:val="00E8399A"/>
    <w:rsid w:val="00E839A4"/>
    <w:rsid w:val="00E839CE"/>
    <w:rsid w:val="00E83AB6"/>
    <w:rsid w:val="00E86711"/>
    <w:rsid w:val="00E86798"/>
    <w:rsid w:val="00E90CAB"/>
    <w:rsid w:val="00E90E54"/>
    <w:rsid w:val="00E9118C"/>
    <w:rsid w:val="00E914A9"/>
    <w:rsid w:val="00E9212E"/>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6EFA"/>
    <w:rsid w:val="00EA7357"/>
    <w:rsid w:val="00EA7BE2"/>
    <w:rsid w:val="00EA7C5F"/>
    <w:rsid w:val="00EA7FAC"/>
    <w:rsid w:val="00EB0480"/>
    <w:rsid w:val="00EB0E25"/>
    <w:rsid w:val="00EB1BF9"/>
    <w:rsid w:val="00EB1D2C"/>
    <w:rsid w:val="00EB2497"/>
    <w:rsid w:val="00EB2A4F"/>
    <w:rsid w:val="00EB2ACC"/>
    <w:rsid w:val="00EB2D9B"/>
    <w:rsid w:val="00EB2F4D"/>
    <w:rsid w:val="00EB3C52"/>
    <w:rsid w:val="00EB407B"/>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EE"/>
    <w:rsid w:val="00ED0365"/>
    <w:rsid w:val="00ED073E"/>
    <w:rsid w:val="00ED0BF4"/>
    <w:rsid w:val="00ED0E71"/>
    <w:rsid w:val="00ED18EC"/>
    <w:rsid w:val="00ED2378"/>
    <w:rsid w:val="00ED277A"/>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74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5A6"/>
    <w:rsid w:val="00F079CC"/>
    <w:rsid w:val="00F13509"/>
    <w:rsid w:val="00F1360C"/>
    <w:rsid w:val="00F1390D"/>
    <w:rsid w:val="00F151EA"/>
    <w:rsid w:val="00F15595"/>
    <w:rsid w:val="00F156A1"/>
    <w:rsid w:val="00F15E52"/>
    <w:rsid w:val="00F165F3"/>
    <w:rsid w:val="00F16DF6"/>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0003"/>
    <w:rsid w:val="00F310A3"/>
    <w:rsid w:val="00F31B8A"/>
    <w:rsid w:val="00F31BE9"/>
    <w:rsid w:val="00F31FDD"/>
    <w:rsid w:val="00F323A8"/>
    <w:rsid w:val="00F334EB"/>
    <w:rsid w:val="00F34104"/>
    <w:rsid w:val="00F34DC1"/>
    <w:rsid w:val="00F34DEA"/>
    <w:rsid w:val="00F35DBE"/>
    <w:rsid w:val="00F36B23"/>
    <w:rsid w:val="00F370C9"/>
    <w:rsid w:val="00F37101"/>
    <w:rsid w:val="00F377CE"/>
    <w:rsid w:val="00F37F62"/>
    <w:rsid w:val="00F40094"/>
    <w:rsid w:val="00F40646"/>
    <w:rsid w:val="00F42591"/>
    <w:rsid w:val="00F426C8"/>
    <w:rsid w:val="00F432B6"/>
    <w:rsid w:val="00F4377C"/>
    <w:rsid w:val="00F44809"/>
    <w:rsid w:val="00F45459"/>
    <w:rsid w:val="00F46D5A"/>
    <w:rsid w:val="00F47305"/>
    <w:rsid w:val="00F5036E"/>
    <w:rsid w:val="00F519A9"/>
    <w:rsid w:val="00F52AF5"/>
    <w:rsid w:val="00F52EAC"/>
    <w:rsid w:val="00F53204"/>
    <w:rsid w:val="00F53860"/>
    <w:rsid w:val="00F54021"/>
    <w:rsid w:val="00F542AA"/>
    <w:rsid w:val="00F543D3"/>
    <w:rsid w:val="00F551B0"/>
    <w:rsid w:val="00F55452"/>
    <w:rsid w:val="00F55CC1"/>
    <w:rsid w:val="00F56A49"/>
    <w:rsid w:val="00F578C0"/>
    <w:rsid w:val="00F60D33"/>
    <w:rsid w:val="00F61136"/>
    <w:rsid w:val="00F6166A"/>
    <w:rsid w:val="00F624A5"/>
    <w:rsid w:val="00F62D15"/>
    <w:rsid w:val="00F6398A"/>
    <w:rsid w:val="00F63C51"/>
    <w:rsid w:val="00F64C5A"/>
    <w:rsid w:val="00F65360"/>
    <w:rsid w:val="00F66D81"/>
    <w:rsid w:val="00F67C3E"/>
    <w:rsid w:val="00F70281"/>
    <w:rsid w:val="00F707C2"/>
    <w:rsid w:val="00F707EE"/>
    <w:rsid w:val="00F710EA"/>
    <w:rsid w:val="00F73249"/>
    <w:rsid w:val="00F74615"/>
    <w:rsid w:val="00F74CF0"/>
    <w:rsid w:val="00F75115"/>
    <w:rsid w:val="00F75D29"/>
    <w:rsid w:val="00F75F03"/>
    <w:rsid w:val="00F760C4"/>
    <w:rsid w:val="00F7696C"/>
    <w:rsid w:val="00F77624"/>
    <w:rsid w:val="00F804E8"/>
    <w:rsid w:val="00F80C67"/>
    <w:rsid w:val="00F80DF4"/>
    <w:rsid w:val="00F8181F"/>
    <w:rsid w:val="00F8258C"/>
    <w:rsid w:val="00F826FD"/>
    <w:rsid w:val="00F82BC8"/>
    <w:rsid w:val="00F82E77"/>
    <w:rsid w:val="00F8312D"/>
    <w:rsid w:val="00F838C1"/>
    <w:rsid w:val="00F83C99"/>
    <w:rsid w:val="00F84C3A"/>
    <w:rsid w:val="00F84D04"/>
    <w:rsid w:val="00F85662"/>
    <w:rsid w:val="00F86E1B"/>
    <w:rsid w:val="00F87EAD"/>
    <w:rsid w:val="00F902E3"/>
    <w:rsid w:val="00F921D2"/>
    <w:rsid w:val="00F92334"/>
    <w:rsid w:val="00F937E1"/>
    <w:rsid w:val="00F93EFB"/>
    <w:rsid w:val="00F94647"/>
    <w:rsid w:val="00F9524E"/>
    <w:rsid w:val="00F9577C"/>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0E30"/>
    <w:rsid w:val="00FB1043"/>
    <w:rsid w:val="00FB20F3"/>
    <w:rsid w:val="00FB43AC"/>
    <w:rsid w:val="00FB47EA"/>
    <w:rsid w:val="00FB50D5"/>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A54"/>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1F2"/>
    <w:rsid w:val="00FF1282"/>
    <w:rsid w:val="00FF1339"/>
    <w:rsid w:val="00FF1682"/>
    <w:rsid w:val="00FF33D3"/>
    <w:rsid w:val="00FF479B"/>
    <w:rsid w:val="00FF5100"/>
    <w:rsid w:val="00FF5C53"/>
    <w:rsid w:val="00FF63AC"/>
    <w:rsid w:val="00FF6AA1"/>
    <w:rsid w:val="00FF71A8"/>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15F1A6A-A48F-46D4-BBBF-1782A211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60C6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B58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7B58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7B5821"/>
  </w:style>
  <w:style w:type="character" w:customStyle="1" w:styleId="Ttulo2Car">
    <w:name w:val="Título 2 Car"/>
    <w:basedOn w:val="Fuentedeprrafopredeter"/>
    <w:link w:val="Ttulo2"/>
    <w:uiPriority w:val="9"/>
    <w:rsid w:val="00C60C6C"/>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C60C6C"/>
    <w:pPr>
      <w:ind w:left="566" w:hanging="283"/>
      <w:contextualSpacing/>
    </w:pPr>
  </w:style>
  <w:style w:type="paragraph" w:styleId="Sangradetextonormal">
    <w:name w:val="Body Text Indent"/>
    <w:basedOn w:val="Normal"/>
    <w:link w:val="SangradetextonormalCar"/>
    <w:uiPriority w:val="99"/>
    <w:unhideWhenUsed/>
    <w:rsid w:val="00C60C6C"/>
    <w:pPr>
      <w:spacing w:after="120"/>
      <w:ind w:left="283"/>
    </w:pPr>
  </w:style>
  <w:style w:type="character" w:customStyle="1" w:styleId="SangradetextonormalCar">
    <w:name w:val="Sangría de texto normal Car"/>
    <w:basedOn w:val="Fuentedeprrafopredeter"/>
    <w:link w:val="Sangradetextonormal"/>
    <w:uiPriority w:val="99"/>
    <w:rsid w:val="00C60C6C"/>
  </w:style>
  <w:style w:type="paragraph" w:styleId="Textoindependienteprimerasangra">
    <w:name w:val="Body Text First Indent"/>
    <w:basedOn w:val="Textoindependiente"/>
    <w:link w:val="TextoindependienteprimerasangraCar"/>
    <w:uiPriority w:val="99"/>
    <w:unhideWhenUsed/>
    <w:rsid w:val="00C60C6C"/>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C60C6C"/>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C60C6C"/>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60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0035F-FF9B-48DF-98BC-D6A7FB25C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5176</Words>
  <Characters>28470</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pc</cp:lastModifiedBy>
  <cp:revision>2</cp:revision>
  <cp:lastPrinted>2022-09-29T21:44:00Z</cp:lastPrinted>
  <dcterms:created xsi:type="dcterms:W3CDTF">2023-03-13T16:12:00Z</dcterms:created>
  <dcterms:modified xsi:type="dcterms:W3CDTF">2023-03-13T16:12:00Z</dcterms:modified>
</cp:coreProperties>
</file>