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837D6" w14:textId="77777777" w:rsidR="00295F71" w:rsidRPr="00295F71" w:rsidRDefault="00295F71" w:rsidP="00295F71">
      <w:pPr>
        <w:ind w:left="2835" w:firstLine="3"/>
        <w:jc w:val="both"/>
        <w:rPr>
          <w:rFonts w:ascii="Arial" w:hAnsi="Arial" w:cs="Arial"/>
          <w:b/>
          <w:sz w:val="26"/>
          <w:szCs w:val="26"/>
        </w:rPr>
      </w:pPr>
      <w:r w:rsidRPr="00295F71">
        <w:rPr>
          <w:rFonts w:ascii="Arial" w:hAnsi="Arial" w:cs="Arial"/>
          <w:b/>
          <w:sz w:val="26"/>
          <w:szCs w:val="26"/>
        </w:rPr>
        <w:t>SALA SUPERIOR DEL TRIBUNAL DE JUSTICIA ADMINISTRATIVA DEL ESTADO DE OAXACA.</w:t>
      </w:r>
    </w:p>
    <w:p w14:paraId="7832DC76" w14:textId="77777777" w:rsidR="00295F71" w:rsidRPr="00295F71" w:rsidRDefault="00295F71" w:rsidP="00295F71">
      <w:pPr>
        <w:ind w:left="2835"/>
        <w:jc w:val="both"/>
        <w:rPr>
          <w:rFonts w:ascii="Arial" w:hAnsi="Arial" w:cs="Arial"/>
          <w:b/>
          <w:sz w:val="26"/>
          <w:szCs w:val="26"/>
        </w:rPr>
      </w:pPr>
      <w:r w:rsidRPr="00295F71">
        <w:rPr>
          <w:rFonts w:ascii="Arial" w:hAnsi="Arial" w:cs="Arial"/>
          <w:b/>
          <w:sz w:val="26"/>
          <w:szCs w:val="26"/>
        </w:rPr>
        <w:t>RECURSO DE REVISIÓN:</w:t>
      </w:r>
      <w:r w:rsidRPr="00295F71">
        <w:rPr>
          <w:rFonts w:ascii="Arial" w:hAnsi="Arial" w:cs="Arial"/>
          <w:b/>
          <w:sz w:val="26"/>
          <w:szCs w:val="26"/>
        </w:rPr>
        <w:tab/>
        <w:t>0451/2021.</w:t>
      </w:r>
    </w:p>
    <w:p w14:paraId="5240A542" w14:textId="77777777" w:rsidR="00295F71" w:rsidRPr="00295F71" w:rsidRDefault="00295F71" w:rsidP="00295F71">
      <w:pPr>
        <w:ind w:left="2835"/>
        <w:jc w:val="both"/>
        <w:rPr>
          <w:rFonts w:ascii="Arial" w:hAnsi="Arial" w:cs="Arial"/>
          <w:b/>
          <w:sz w:val="26"/>
          <w:szCs w:val="26"/>
        </w:rPr>
      </w:pPr>
      <w:r w:rsidRPr="00295F71">
        <w:rPr>
          <w:rFonts w:ascii="Arial" w:hAnsi="Arial" w:cs="Arial"/>
          <w:b/>
          <w:sz w:val="26"/>
          <w:szCs w:val="26"/>
        </w:rPr>
        <w:t>EXPEDIENTE:</w:t>
      </w:r>
      <w:r w:rsidRPr="00295F71">
        <w:rPr>
          <w:rFonts w:ascii="Arial" w:hAnsi="Arial" w:cs="Arial"/>
          <w:b/>
          <w:sz w:val="26"/>
          <w:szCs w:val="26"/>
        </w:rPr>
        <w:tab/>
        <w:t>0030/2021 DE LA CUARTA SALA UNITARIA DE PRIMERA INSTANCIA.</w:t>
      </w:r>
    </w:p>
    <w:p w14:paraId="1510C1B3" w14:textId="77777777" w:rsidR="00295F71" w:rsidRPr="00295F71" w:rsidRDefault="00295F71" w:rsidP="00295F71">
      <w:pPr>
        <w:ind w:left="2835"/>
        <w:jc w:val="both"/>
        <w:rPr>
          <w:rFonts w:ascii="Arial" w:hAnsi="Arial" w:cs="Arial"/>
          <w:b/>
          <w:sz w:val="26"/>
          <w:szCs w:val="26"/>
        </w:rPr>
      </w:pPr>
      <w:r w:rsidRPr="00295F71">
        <w:rPr>
          <w:rFonts w:ascii="Arial" w:hAnsi="Arial" w:cs="Arial"/>
          <w:b/>
          <w:sz w:val="26"/>
          <w:szCs w:val="26"/>
        </w:rPr>
        <w:t>PONENTE: MAGISTRADA GLORIA DEL CARMEN CAMACHO MEZA.</w:t>
      </w:r>
    </w:p>
    <w:p w14:paraId="3EE3B902" w14:textId="77777777" w:rsidR="00295F71" w:rsidRPr="00295F71" w:rsidRDefault="00295F71" w:rsidP="00295F71">
      <w:pPr>
        <w:spacing w:before="240" w:line="360" w:lineRule="auto"/>
        <w:jc w:val="both"/>
        <w:rPr>
          <w:rFonts w:ascii="Arial" w:hAnsi="Arial" w:cs="Arial"/>
          <w:b/>
          <w:sz w:val="26"/>
          <w:szCs w:val="26"/>
        </w:rPr>
      </w:pPr>
    </w:p>
    <w:p w14:paraId="413D586B" w14:textId="77777777" w:rsidR="00295F71" w:rsidRPr="00295F71" w:rsidRDefault="00295F71" w:rsidP="00295F71">
      <w:pPr>
        <w:spacing w:before="240" w:line="360" w:lineRule="auto"/>
        <w:jc w:val="both"/>
        <w:rPr>
          <w:rFonts w:ascii="Arial" w:hAnsi="Arial" w:cs="Arial"/>
          <w:b/>
          <w:sz w:val="26"/>
          <w:szCs w:val="26"/>
        </w:rPr>
      </w:pPr>
      <w:r w:rsidRPr="00295F71">
        <w:rPr>
          <w:rFonts w:ascii="Arial" w:hAnsi="Arial" w:cs="Arial"/>
          <w:b/>
          <w:sz w:val="26"/>
          <w:szCs w:val="26"/>
        </w:rPr>
        <w:t xml:space="preserve">OAXACA DE JUÁREZ, OAXACA, A SIETE DE JULIO DE DOS MIL VEINTIDÓS. - - - - - - - - - - - - - - - - - - - - - - - - - - - - - - - - - - - - - - - - - - </w:t>
      </w:r>
    </w:p>
    <w:p w14:paraId="6975E0C7" w14:textId="0824AD8F" w:rsidR="00295F71" w:rsidRDefault="00295F71" w:rsidP="00295F71">
      <w:pPr>
        <w:spacing w:line="360" w:lineRule="auto"/>
        <w:ind w:firstLine="709"/>
        <w:jc w:val="both"/>
        <w:rPr>
          <w:rFonts w:ascii="Arial" w:hAnsi="Arial" w:cs="Arial"/>
          <w:sz w:val="26"/>
          <w:szCs w:val="26"/>
        </w:rPr>
      </w:pPr>
      <w:r w:rsidRPr="00295F71">
        <w:rPr>
          <w:rFonts w:ascii="Arial" w:hAnsi="Arial" w:cs="Arial"/>
          <w:sz w:val="26"/>
          <w:szCs w:val="26"/>
        </w:rPr>
        <w:t xml:space="preserve">Se tiene por recibido el cuaderno de recurso de revisión </w:t>
      </w:r>
      <w:r w:rsidRPr="00295F71">
        <w:rPr>
          <w:rFonts w:ascii="Arial" w:hAnsi="Arial" w:cs="Arial"/>
          <w:b/>
          <w:bCs/>
          <w:sz w:val="26"/>
          <w:szCs w:val="26"/>
        </w:rPr>
        <w:t>0451/2021</w:t>
      </w:r>
      <w:r w:rsidRPr="00295F71">
        <w:rPr>
          <w:rFonts w:ascii="Arial" w:hAnsi="Arial" w:cs="Arial"/>
          <w:sz w:val="26"/>
          <w:szCs w:val="26"/>
        </w:rPr>
        <w:t xml:space="preserve">, turnado por la Secretaría General de Acuerdos, con motivo del recurso de revisión interpuesto por </w:t>
      </w:r>
      <w:bookmarkStart w:id="0" w:name="_Hlk74567089"/>
      <w:r w:rsidRPr="00295F71">
        <w:rPr>
          <w:rFonts w:ascii="Arial" w:hAnsi="Arial" w:cs="Arial"/>
          <w:b/>
          <w:sz w:val="26"/>
          <w:szCs w:val="26"/>
        </w:rPr>
        <w:t>REY EDUARDO VARGAS PÉREZ</w:t>
      </w:r>
      <w:r w:rsidRPr="00295F71">
        <w:rPr>
          <w:rFonts w:ascii="Arial" w:hAnsi="Arial" w:cs="Arial"/>
          <w:sz w:val="26"/>
          <w:szCs w:val="26"/>
        </w:rPr>
        <w:t>,</w:t>
      </w:r>
      <w:r w:rsidRPr="00295F71">
        <w:rPr>
          <w:rFonts w:ascii="Arial" w:hAnsi="Arial" w:cs="Arial"/>
          <w:b/>
          <w:sz w:val="26"/>
          <w:szCs w:val="26"/>
        </w:rPr>
        <w:t xml:space="preserve"> POLICÍA VIAL CON NÚMERO ESTADÍSTICO PV-051 </w:t>
      </w:r>
      <w:bookmarkEnd w:id="0"/>
      <w:r w:rsidRPr="00295F71">
        <w:rPr>
          <w:rFonts w:ascii="Arial" w:eastAsia="Calibri" w:hAnsi="Arial" w:cs="Arial"/>
          <w:b/>
          <w:color w:val="000000" w:themeColor="text1"/>
          <w:sz w:val="26"/>
          <w:szCs w:val="26"/>
        </w:rPr>
        <w:t>ADSCRITO A LA SUBDIRECCIÓN DE TRÁNSITO Y MOVILIDAD DEL MUNICIPIO DE OAXACA DE JUÁREZ, OAXACA</w:t>
      </w:r>
      <w:r w:rsidRPr="00295F71">
        <w:rPr>
          <w:rFonts w:ascii="Arial" w:hAnsi="Arial" w:cs="Arial"/>
          <w:b/>
          <w:sz w:val="26"/>
          <w:szCs w:val="26"/>
        </w:rPr>
        <w:t xml:space="preserve">, </w:t>
      </w:r>
      <w:r w:rsidRPr="00295F71">
        <w:rPr>
          <w:rFonts w:ascii="Arial" w:hAnsi="Arial" w:cs="Arial"/>
          <w:sz w:val="26"/>
          <w:szCs w:val="26"/>
        </w:rPr>
        <w:t xml:space="preserve">en contra de la sentencia de </w:t>
      </w:r>
      <w:bookmarkStart w:id="1" w:name="_Hlk80613725"/>
      <w:r w:rsidRPr="00295F71">
        <w:rPr>
          <w:rFonts w:ascii="Arial" w:hAnsi="Arial" w:cs="Arial"/>
          <w:sz w:val="26"/>
          <w:szCs w:val="26"/>
        </w:rPr>
        <w:t xml:space="preserve">veintisiete de octubre de dos mil veintiuno, </w:t>
      </w:r>
      <w:bookmarkEnd w:id="1"/>
      <w:r w:rsidRPr="00295F71">
        <w:rPr>
          <w:rFonts w:ascii="Arial" w:eastAsia="Calibri" w:hAnsi="Arial" w:cs="Arial"/>
          <w:sz w:val="26"/>
          <w:szCs w:val="26"/>
          <w:lang w:eastAsia="en-US"/>
        </w:rPr>
        <w:t>dictada en el juicio de nulidad</w:t>
      </w:r>
      <w:r w:rsidRPr="00295F71">
        <w:rPr>
          <w:rFonts w:ascii="Arial" w:eastAsia="Calibri" w:hAnsi="Arial" w:cs="Arial"/>
          <w:bCs/>
          <w:sz w:val="26"/>
          <w:szCs w:val="26"/>
          <w:lang w:eastAsia="en-US"/>
        </w:rPr>
        <w:t xml:space="preserve"> 0030/2021 de la Cuarta</w:t>
      </w:r>
      <w:r w:rsidRPr="00295F71">
        <w:rPr>
          <w:rFonts w:ascii="Arial" w:eastAsia="Calibri" w:hAnsi="Arial" w:cs="Arial"/>
          <w:sz w:val="26"/>
          <w:szCs w:val="26"/>
          <w:lang w:eastAsia="en-US"/>
        </w:rPr>
        <w:t xml:space="preserve"> Sala Unitaria de Primera Instancia de este Tribunal</w:t>
      </w:r>
      <w:r w:rsidRPr="00295F71">
        <w:rPr>
          <w:rFonts w:ascii="Arial" w:hAnsi="Arial" w:cs="Arial"/>
          <w:sz w:val="26"/>
          <w:szCs w:val="26"/>
        </w:rPr>
        <w:t xml:space="preserve">, relativo al juicio de nulidad promovido por </w:t>
      </w:r>
      <w:r w:rsidR="005C5617">
        <w:rPr>
          <w:rFonts w:ascii="Arial" w:hAnsi="Arial" w:cs="Arial"/>
          <w:b/>
          <w:bCs/>
          <w:sz w:val="26"/>
          <w:szCs w:val="26"/>
        </w:rPr>
        <w:t>*******</w:t>
      </w:r>
      <w:r w:rsidRPr="00295F71">
        <w:rPr>
          <w:rFonts w:ascii="Arial" w:hAnsi="Arial" w:cs="Arial"/>
          <w:b/>
          <w:sz w:val="26"/>
          <w:szCs w:val="26"/>
        </w:rPr>
        <w:t>,</w:t>
      </w:r>
      <w:r w:rsidRPr="00295F71">
        <w:rPr>
          <w:rFonts w:ascii="Arial" w:hAnsi="Arial" w:cs="Arial"/>
          <w:bCs/>
          <w:sz w:val="26"/>
          <w:szCs w:val="26"/>
        </w:rPr>
        <w:t xml:space="preserve"> </w:t>
      </w:r>
      <w:r w:rsidRPr="00295F71">
        <w:rPr>
          <w:rFonts w:ascii="Arial" w:hAnsi="Arial" w:cs="Arial"/>
          <w:sz w:val="26"/>
          <w:szCs w:val="26"/>
        </w:rPr>
        <w:t>en contra del hoy</w:t>
      </w:r>
      <w:r w:rsidRPr="00295F71">
        <w:rPr>
          <w:rFonts w:ascii="Arial" w:hAnsi="Arial" w:cs="Arial"/>
          <w:b/>
          <w:sz w:val="26"/>
          <w:szCs w:val="26"/>
        </w:rPr>
        <w:t xml:space="preserve"> RECURRENTE;</w:t>
      </w:r>
      <w:r w:rsidRPr="00295F71">
        <w:rPr>
          <w:rFonts w:ascii="Arial" w:hAnsi="Arial" w:cs="Arial"/>
          <w:sz w:val="26"/>
          <w:szCs w:val="26"/>
        </w:rPr>
        <w:t xml:space="preserve"> por lo que, con fundamento en los artículos 236, 238 de la Ley de Procedimiento y Justicia Administrativa para el Estado de Oaxaca y </w:t>
      </w:r>
      <w:r w:rsidRPr="00295F71">
        <w:rPr>
          <w:rFonts w:ascii="Arial" w:hAnsi="Arial" w:cs="Arial"/>
          <w:bCs/>
          <w:iCs/>
          <w:sz w:val="26"/>
          <w:szCs w:val="26"/>
        </w:rPr>
        <w:t xml:space="preserve">24 fracciones I y III de la Ley  Orgánica del Tribunal de Justicia Administrativa del Estado de Oaxaca, se da tramite, Por lo consiguiente </w:t>
      </w:r>
      <w:r w:rsidRPr="00295F71">
        <w:rPr>
          <w:rFonts w:ascii="Arial" w:hAnsi="Arial" w:cs="Arial"/>
          <w:sz w:val="26"/>
          <w:szCs w:val="26"/>
        </w:rPr>
        <w:t xml:space="preserve">se procede a dictar resolución en los siguientes términos:- -  - - - - - - - - - - - - - - - - - - - - - - - - - - - - - - - - - - - </w:t>
      </w:r>
    </w:p>
    <w:p w14:paraId="022309CA" w14:textId="77777777" w:rsidR="005C5617" w:rsidRPr="00295F71" w:rsidRDefault="005C5617" w:rsidP="00295F71">
      <w:pPr>
        <w:spacing w:line="360" w:lineRule="auto"/>
        <w:ind w:firstLine="709"/>
        <w:jc w:val="both"/>
        <w:rPr>
          <w:rFonts w:ascii="Arial" w:hAnsi="Arial" w:cs="Arial"/>
          <w:sz w:val="26"/>
          <w:szCs w:val="26"/>
        </w:rPr>
      </w:pPr>
    </w:p>
    <w:p w14:paraId="6A3D1F50" w14:textId="77777777" w:rsidR="00295F71" w:rsidRPr="00295F71" w:rsidRDefault="00295F71" w:rsidP="00295F71">
      <w:pPr>
        <w:spacing w:line="360" w:lineRule="auto"/>
        <w:ind w:firstLine="709"/>
        <w:jc w:val="center"/>
        <w:rPr>
          <w:rFonts w:ascii="Arial" w:hAnsi="Arial" w:cs="Arial"/>
          <w:b/>
          <w:sz w:val="26"/>
          <w:szCs w:val="26"/>
        </w:rPr>
      </w:pPr>
      <w:r w:rsidRPr="00295F71">
        <w:rPr>
          <w:rFonts w:ascii="Arial" w:hAnsi="Arial" w:cs="Arial"/>
          <w:b/>
          <w:bCs/>
          <w:sz w:val="26"/>
          <w:szCs w:val="26"/>
        </w:rPr>
        <w:t>R E S U L T A N D O</w:t>
      </w:r>
    </w:p>
    <w:p w14:paraId="45E724EA" w14:textId="77777777" w:rsidR="00295F71" w:rsidRPr="00295F71" w:rsidRDefault="00295F71" w:rsidP="00295F71">
      <w:pPr>
        <w:spacing w:line="360" w:lineRule="auto"/>
        <w:ind w:firstLine="708"/>
        <w:jc w:val="both"/>
        <w:rPr>
          <w:rFonts w:ascii="Arial" w:hAnsi="Arial" w:cs="Arial"/>
          <w:sz w:val="26"/>
          <w:szCs w:val="26"/>
        </w:rPr>
      </w:pPr>
      <w:r w:rsidRPr="00295F71">
        <w:rPr>
          <w:rFonts w:ascii="Arial" w:hAnsi="Arial" w:cs="Arial"/>
          <w:b/>
          <w:bCs/>
          <w:sz w:val="26"/>
          <w:szCs w:val="26"/>
        </w:rPr>
        <w:t xml:space="preserve">PRIMERO. </w:t>
      </w:r>
      <w:r w:rsidRPr="00295F71">
        <w:rPr>
          <w:rFonts w:ascii="Arial" w:hAnsi="Arial" w:cs="Arial"/>
          <w:sz w:val="26"/>
          <w:szCs w:val="26"/>
        </w:rPr>
        <w:t xml:space="preserve">Inconforme con la sentencia de veintisiete de octubre   de dos mil veintiuno, dictada por la Cuarta Sala Unitaria de Primera Instancia, </w:t>
      </w:r>
      <w:r w:rsidRPr="00295F71">
        <w:rPr>
          <w:rFonts w:ascii="Arial" w:hAnsi="Arial" w:cs="Arial"/>
          <w:b/>
          <w:sz w:val="26"/>
          <w:szCs w:val="26"/>
        </w:rPr>
        <w:t>REY EDUARDO VARGAS PÉREZ</w:t>
      </w:r>
      <w:r w:rsidRPr="00295F71">
        <w:rPr>
          <w:rFonts w:ascii="Arial" w:hAnsi="Arial" w:cs="Arial"/>
          <w:sz w:val="26"/>
          <w:szCs w:val="26"/>
        </w:rPr>
        <w:t>,</w:t>
      </w:r>
      <w:r w:rsidRPr="00295F71">
        <w:rPr>
          <w:rFonts w:ascii="Arial" w:hAnsi="Arial" w:cs="Arial"/>
          <w:b/>
          <w:sz w:val="26"/>
          <w:szCs w:val="26"/>
        </w:rPr>
        <w:t xml:space="preserve"> POLICÍA VIAL CON NÚMERO ESTADÍSTICO PV-051 </w:t>
      </w:r>
      <w:r w:rsidRPr="00295F71">
        <w:rPr>
          <w:rFonts w:ascii="Arial" w:eastAsia="Calibri" w:hAnsi="Arial" w:cs="Arial"/>
          <w:b/>
          <w:color w:val="000000" w:themeColor="text1"/>
          <w:sz w:val="26"/>
          <w:szCs w:val="26"/>
        </w:rPr>
        <w:t>ADSCRITO A LA SUBDIRECCIÓN DE TRÁNSITO Y MOVILIDAD DEL MUNICIPIO DE OAXACA DE JUÁREZ, OAXACA</w:t>
      </w:r>
      <w:r w:rsidRPr="00295F71">
        <w:rPr>
          <w:rFonts w:ascii="Arial" w:hAnsi="Arial" w:cs="Arial"/>
          <w:b/>
          <w:sz w:val="26"/>
          <w:szCs w:val="26"/>
        </w:rPr>
        <w:t>,</w:t>
      </w:r>
      <w:r w:rsidRPr="00295F71">
        <w:rPr>
          <w:rFonts w:ascii="Arial" w:hAnsi="Arial" w:cs="Arial"/>
          <w:sz w:val="26"/>
          <w:szCs w:val="26"/>
        </w:rPr>
        <w:t xml:space="preserve"> interpuso en su contra recurso de revisión.- - - - - - </w:t>
      </w:r>
    </w:p>
    <w:p w14:paraId="4F801194" w14:textId="77777777" w:rsidR="00295F71" w:rsidRPr="00295F71" w:rsidRDefault="00295F71" w:rsidP="00295F71">
      <w:pPr>
        <w:spacing w:after="120" w:line="360" w:lineRule="auto"/>
        <w:ind w:firstLine="567"/>
        <w:jc w:val="both"/>
        <w:rPr>
          <w:rFonts w:ascii="Arial" w:hAnsi="Arial" w:cs="Arial"/>
          <w:bCs/>
          <w:iCs/>
          <w:sz w:val="26"/>
          <w:szCs w:val="26"/>
        </w:rPr>
      </w:pPr>
      <w:r w:rsidRPr="00295F71">
        <w:rPr>
          <w:rFonts w:ascii="Arial" w:hAnsi="Arial" w:cs="Arial"/>
          <w:b/>
          <w:bCs/>
          <w:iCs/>
          <w:sz w:val="26"/>
          <w:szCs w:val="26"/>
        </w:rPr>
        <w:lastRenderedPageBreak/>
        <w:t xml:space="preserve">SEGUNDO. </w:t>
      </w:r>
      <w:r w:rsidRPr="00295F71">
        <w:rPr>
          <w:rFonts w:ascii="Arial" w:hAnsi="Arial" w:cs="Arial"/>
          <w:bCs/>
          <w:iCs/>
          <w:sz w:val="26"/>
          <w:szCs w:val="26"/>
        </w:rPr>
        <w:t>Los puntos resolutivos de la sentencia recurrida son los siguientes:- - - - - - - - - - - - - - - - - - - - - - - - - - - - - - - - - - - - - - - - - -</w:t>
      </w:r>
    </w:p>
    <w:p w14:paraId="7F2F3C2B" w14:textId="77777777" w:rsidR="00295F71" w:rsidRPr="00295F71" w:rsidRDefault="00295F71" w:rsidP="00295F71">
      <w:pPr>
        <w:spacing w:after="0" w:line="360" w:lineRule="auto"/>
        <w:ind w:left="1134" w:right="900" w:firstLine="282"/>
        <w:jc w:val="both"/>
        <w:rPr>
          <w:rFonts w:ascii="Arial" w:eastAsia="Calibri" w:hAnsi="Arial" w:cs="Arial"/>
          <w:bCs/>
          <w:i/>
          <w:color w:val="000000" w:themeColor="text1"/>
        </w:rPr>
      </w:pPr>
      <w:r w:rsidRPr="00295F71">
        <w:rPr>
          <w:rFonts w:ascii="Arial" w:eastAsia="Calibri" w:hAnsi="Arial" w:cs="Arial"/>
          <w:b/>
          <w:bCs/>
          <w:i/>
          <w:color w:val="000000" w:themeColor="text1"/>
        </w:rPr>
        <w:t xml:space="preserve">PRIMERO. </w:t>
      </w:r>
      <w:r w:rsidRPr="00295F71">
        <w:rPr>
          <w:rFonts w:ascii="Arial" w:eastAsia="Calibri" w:hAnsi="Arial" w:cs="Arial"/>
          <w:bCs/>
          <w:i/>
          <w:color w:val="000000" w:themeColor="text1"/>
        </w:rPr>
        <w:t xml:space="preserve">Esta Cuarta Sala Unitaria </w:t>
      </w:r>
      <w:r w:rsidRPr="00295F71">
        <w:rPr>
          <w:rFonts w:ascii="Arial" w:eastAsia="Calibri" w:hAnsi="Arial" w:cs="Arial"/>
          <w:b/>
          <w:i/>
          <w:color w:val="000000" w:themeColor="text1"/>
        </w:rPr>
        <w:t>fue competente</w:t>
      </w:r>
      <w:r w:rsidRPr="00295F71">
        <w:rPr>
          <w:rFonts w:ascii="Arial" w:eastAsia="Calibri" w:hAnsi="Arial" w:cs="Arial"/>
          <w:b/>
          <w:bCs/>
          <w:i/>
          <w:color w:val="000000" w:themeColor="text1"/>
        </w:rPr>
        <w:t xml:space="preserve"> </w:t>
      </w:r>
      <w:r w:rsidRPr="00295F71">
        <w:rPr>
          <w:rFonts w:ascii="Arial" w:eastAsia="Calibri" w:hAnsi="Arial" w:cs="Arial"/>
          <w:bCs/>
          <w:i/>
          <w:color w:val="000000" w:themeColor="text1"/>
        </w:rPr>
        <w:t>para conocer y resolver del presente asunto.- - - - - - - - - - - - - - - - - -</w:t>
      </w:r>
    </w:p>
    <w:p w14:paraId="522442EB" w14:textId="77777777" w:rsidR="00295F71" w:rsidRPr="00295F71" w:rsidRDefault="00295F71" w:rsidP="00295F71">
      <w:pPr>
        <w:spacing w:after="120" w:line="360" w:lineRule="auto"/>
        <w:ind w:left="1134" w:right="902" w:firstLine="284"/>
        <w:jc w:val="both"/>
        <w:rPr>
          <w:rFonts w:ascii="Arial" w:eastAsia="Calibri" w:hAnsi="Arial" w:cs="Arial"/>
          <w:bCs/>
          <w:i/>
          <w:color w:val="000000" w:themeColor="text1"/>
        </w:rPr>
      </w:pPr>
      <w:r w:rsidRPr="00295F71">
        <w:rPr>
          <w:rFonts w:ascii="Arial" w:eastAsia="Calibri" w:hAnsi="Arial" w:cs="Arial"/>
          <w:b/>
          <w:bCs/>
          <w:i/>
          <w:color w:val="000000" w:themeColor="text1"/>
        </w:rPr>
        <w:t xml:space="preserve">SEGUNDO. </w:t>
      </w:r>
      <w:r w:rsidRPr="00295F71">
        <w:rPr>
          <w:rFonts w:ascii="Arial" w:eastAsia="Calibri" w:hAnsi="Arial" w:cs="Arial"/>
          <w:bCs/>
          <w:i/>
          <w:color w:val="000000" w:themeColor="text1"/>
        </w:rPr>
        <w:t>La personalidad de las partes quedó acreditada en autos.- - - - - - - - - - - - - - - - - - - - - - - - - - - - - - - - - - - - - - - -</w:t>
      </w:r>
    </w:p>
    <w:p w14:paraId="5428109B" w14:textId="77777777" w:rsidR="00295F71" w:rsidRPr="00295F71" w:rsidRDefault="00295F71" w:rsidP="00295F71">
      <w:pPr>
        <w:spacing w:after="120" w:line="360" w:lineRule="auto"/>
        <w:ind w:left="1134" w:right="902" w:firstLine="284"/>
        <w:jc w:val="both"/>
        <w:rPr>
          <w:rFonts w:ascii="Arial" w:eastAsia="Calibri" w:hAnsi="Arial" w:cs="Arial"/>
          <w:bCs/>
          <w:i/>
          <w:color w:val="000000" w:themeColor="text1"/>
        </w:rPr>
      </w:pPr>
      <w:r w:rsidRPr="00295F71">
        <w:rPr>
          <w:rFonts w:ascii="Arial" w:eastAsia="Calibri" w:hAnsi="Arial" w:cs="Arial"/>
          <w:b/>
          <w:i/>
          <w:color w:val="000000" w:themeColor="text1"/>
        </w:rPr>
        <w:t xml:space="preserve">TERCERO. </w:t>
      </w:r>
      <w:r w:rsidRPr="00295F71">
        <w:rPr>
          <w:rFonts w:ascii="Arial" w:eastAsia="Calibri" w:hAnsi="Arial" w:cs="Arial"/>
          <w:i/>
          <w:color w:val="000000" w:themeColor="text1"/>
        </w:rPr>
        <w:t>No se actualizaron las causales de</w:t>
      </w:r>
      <w:r w:rsidRPr="00295F71">
        <w:rPr>
          <w:rFonts w:ascii="Arial" w:eastAsia="Calibri" w:hAnsi="Arial" w:cs="Arial"/>
          <w:bCs/>
          <w:i/>
          <w:color w:val="000000" w:themeColor="text1"/>
        </w:rPr>
        <w:t xml:space="preserve"> improcedencia hechas valer por la autoridad demandada, por lo que </w:t>
      </w:r>
      <w:r w:rsidRPr="00295F71">
        <w:rPr>
          <w:rFonts w:ascii="Arial" w:eastAsia="Calibri" w:hAnsi="Arial" w:cs="Arial"/>
          <w:b/>
          <w:i/>
          <w:color w:val="000000" w:themeColor="text1"/>
        </w:rPr>
        <w:t xml:space="preserve">NO SE SOBRESEE EL JUICIO. </w:t>
      </w:r>
      <w:r w:rsidRPr="00295F71">
        <w:rPr>
          <w:rFonts w:ascii="Arial" w:eastAsia="Calibri" w:hAnsi="Arial" w:cs="Arial"/>
          <w:i/>
          <w:color w:val="000000" w:themeColor="text1"/>
        </w:rPr>
        <w:t xml:space="preserve">- - - - - - - - - - - - - - - - - - - </w:t>
      </w:r>
    </w:p>
    <w:p w14:paraId="2011DEFB" w14:textId="0CE5AE8C" w:rsidR="00295F71" w:rsidRPr="00295F71" w:rsidRDefault="00295F71" w:rsidP="00295F71">
      <w:pPr>
        <w:spacing w:after="120" w:line="360" w:lineRule="auto"/>
        <w:ind w:left="1134" w:right="902" w:firstLine="284"/>
        <w:jc w:val="both"/>
        <w:rPr>
          <w:rFonts w:ascii="Arial" w:eastAsia="Calibri" w:hAnsi="Arial" w:cs="Arial"/>
          <w:bCs/>
          <w:i/>
          <w:color w:val="000000" w:themeColor="text1"/>
        </w:rPr>
      </w:pPr>
      <w:r w:rsidRPr="00295F71">
        <w:rPr>
          <w:rFonts w:ascii="Arial" w:eastAsia="Calibri" w:hAnsi="Arial" w:cs="Arial"/>
          <w:b/>
          <w:bCs/>
          <w:i/>
          <w:color w:val="000000" w:themeColor="text1"/>
        </w:rPr>
        <w:t xml:space="preserve">CUARTO. </w:t>
      </w:r>
      <w:r w:rsidRPr="00295F71">
        <w:rPr>
          <w:rFonts w:ascii="Arial" w:eastAsia="Calibri" w:hAnsi="Arial" w:cs="Arial"/>
          <w:bCs/>
          <w:i/>
          <w:color w:val="000000" w:themeColor="text1"/>
        </w:rPr>
        <w:t>Se declara</w:t>
      </w:r>
      <w:r w:rsidRPr="00295F71">
        <w:rPr>
          <w:rFonts w:ascii="Arial" w:eastAsia="Calibri" w:hAnsi="Arial" w:cs="Arial"/>
          <w:b/>
          <w:bCs/>
          <w:i/>
          <w:color w:val="000000" w:themeColor="text1"/>
        </w:rPr>
        <w:t xml:space="preserve"> LA</w:t>
      </w:r>
      <w:r w:rsidRPr="00295F71">
        <w:rPr>
          <w:rFonts w:ascii="Arial" w:eastAsia="Calibri" w:hAnsi="Arial" w:cs="Arial"/>
          <w:bCs/>
          <w:i/>
          <w:color w:val="000000" w:themeColor="text1"/>
        </w:rPr>
        <w:t xml:space="preserve"> </w:t>
      </w:r>
      <w:bookmarkStart w:id="2" w:name="_Hlk77236877"/>
      <w:r w:rsidRPr="00295F71">
        <w:rPr>
          <w:rFonts w:ascii="Arial" w:eastAsia="Calibri" w:hAnsi="Arial" w:cs="Arial"/>
          <w:b/>
          <w:bCs/>
          <w:i/>
          <w:color w:val="000000" w:themeColor="text1"/>
        </w:rPr>
        <w:t xml:space="preserve">NULIDAD LISA Y LLANA </w:t>
      </w:r>
      <w:r w:rsidRPr="00295F71">
        <w:rPr>
          <w:rFonts w:ascii="Arial" w:eastAsia="Calibri" w:hAnsi="Arial" w:cs="Arial"/>
          <w:i/>
          <w:color w:val="000000" w:themeColor="text1"/>
        </w:rPr>
        <w:t xml:space="preserve">del acta de infracción </w:t>
      </w:r>
      <w:r w:rsidR="005C5617">
        <w:rPr>
          <w:rFonts w:ascii="Arial" w:eastAsia="Calibri" w:hAnsi="Arial" w:cs="Arial"/>
          <w:b/>
          <w:bCs/>
          <w:i/>
          <w:color w:val="000000" w:themeColor="text1"/>
        </w:rPr>
        <w:t>*******</w:t>
      </w:r>
      <w:r w:rsidRPr="00295F71">
        <w:rPr>
          <w:rFonts w:ascii="Arial" w:eastAsia="Calibri" w:hAnsi="Arial" w:cs="Arial"/>
          <w:b/>
          <w:bCs/>
          <w:i/>
          <w:color w:val="000000" w:themeColor="text1"/>
        </w:rPr>
        <w:t>,</w:t>
      </w:r>
      <w:r w:rsidRPr="00295F71">
        <w:rPr>
          <w:rFonts w:ascii="Arial" w:eastAsia="Calibri" w:hAnsi="Arial" w:cs="Arial"/>
          <w:i/>
          <w:color w:val="000000" w:themeColor="text1"/>
        </w:rPr>
        <w:t xml:space="preserve"> de quince de marzo de dos mil veintiuno, emitida por el Policía Vial con número estadístico PV-051, adscrito a la Subdirección de Tránsito y Movilidad del Municipio de Oaxaca de Juárez, Oaxaca, y en consecuencia se le restituye en el pleno goce de sus derechos afectados, como quedó precisado en el considerando </w:t>
      </w:r>
      <w:r w:rsidRPr="00295F71">
        <w:rPr>
          <w:rFonts w:ascii="Arial" w:eastAsia="Calibri" w:hAnsi="Arial" w:cs="Arial"/>
          <w:bCs/>
          <w:i/>
          <w:color w:val="000000" w:themeColor="text1"/>
        </w:rPr>
        <w:t>cuarto</w:t>
      </w:r>
      <w:r w:rsidRPr="00295F71">
        <w:rPr>
          <w:rFonts w:ascii="Arial" w:eastAsia="Calibri" w:hAnsi="Arial" w:cs="Arial"/>
          <w:b/>
          <w:i/>
          <w:color w:val="000000" w:themeColor="text1"/>
        </w:rPr>
        <w:t xml:space="preserve"> </w:t>
      </w:r>
      <w:r w:rsidRPr="00295F71">
        <w:rPr>
          <w:rFonts w:ascii="Arial" w:eastAsia="Calibri" w:hAnsi="Arial" w:cs="Arial"/>
          <w:i/>
          <w:color w:val="000000" w:themeColor="text1"/>
        </w:rPr>
        <w:t>de esta sentencia</w:t>
      </w:r>
      <w:bookmarkEnd w:id="2"/>
      <w:r w:rsidRPr="00295F71">
        <w:rPr>
          <w:rFonts w:ascii="Arial" w:eastAsia="Calibri" w:hAnsi="Arial" w:cs="Arial"/>
          <w:i/>
          <w:color w:val="000000" w:themeColor="text1"/>
        </w:rPr>
        <w:t xml:space="preserve">. - - - - - - </w:t>
      </w:r>
    </w:p>
    <w:p w14:paraId="68A40066" w14:textId="77777777" w:rsidR="00295F71" w:rsidRPr="00295F71" w:rsidRDefault="00295F71" w:rsidP="00295F71">
      <w:pPr>
        <w:spacing w:after="120" w:line="360" w:lineRule="auto"/>
        <w:ind w:left="1134" w:right="902" w:firstLine="284"/>
        <w:jc w:val="both"/>
        <w:rPr>
          <w:rFonts w:ascii="Arial" w:eastAsia="Calibri" w:hAnsi="Arial" w:cs="Arial"/>
          <w:i/>
          <w:color w:val="000000" w:themeColor="text1"/>
        </w:rPr>
      </w:pPr>
      <w:r w:rsidRPr="00295F71">
        <w:rPr>
          <w:rFonts w:ascii="Arial" w:eastAsia="Calibri" w:hAnsi="Arial" w:cs="Arial"/>
          <w:b/>
          <w:bCs/>
          <w:i/>
          <w:color w:val="000000" w:themeColor="text1"/>
        </w:rPr>
        <w:t xml:space="preserve">QUINTO. NOTIFÍQUESE PERSONALMENTE AL ACTOR Y POR OFICIO A LA AUTORIDAD DEMANDADA, </w:t>
      </w:r>
      <w:r w:rsidRPr="00295F71">
        <w:rPr>
          <w:rFonts w:ascii="Arial" w:eastAsia="Calibri" w:hAnsi="Arial" w:cs="Arial"/>
          <w:i/>
          <w:color w:val="000000" w:themeColor="text1"/>
        </w:rPr>
        <w:t>c</w:t>
      </w:r>
      <w:r w:rsidRPr="00295F71">
        <w:rPr>
          <w:rFonts w:ascii="Arial" w:eastAsia="Calibri" w:hAnsi="Arial" w:cs="Arial"/>
          <w:bCs/>
          <w:i/>
          <w:color w:val="000000" w:themeColor="text1"/>
        </w:rPr>
        <w:t xml:space="preserve">on fundamento en los artículos </w:t>
      </w:r>
      <w:r w:rsidRPr="00295F71">
        <w:rPr>
          <w:rFonts w:ascii="Arial" w:eastAsia="Calibri" w:hAnsi="Arial" w:cs="Arial"/>
          <w:i/>
          <w:color w:val="000000" w:themeColor="text1"/>
        </w:rPr>
        <w:t xml:space="preserve">172 fracción I y 173 fracciones I y II </w:t>
      </w:r>
      <w:r w:rsidRPr="00295F71">
        <w:rPr>
          <w:rFonts w:ascii="Arial" w:eastAsia="Calibri" w:hAnsi="Arial" w:cs="Arial"/>
          <w:bCs/>
          <w:i/>
          <w:color w:val="000000" w:themeColor="text1"/>
        </w:rPr>
        <w:t>de la Ley de Procedimiento y Justicia Administrativa para el Estado</w:t>
      </w:r>
      <w:r w:rsidRPr="00295F71">
        <w:rPr>
          <w:rFonts w:ascii="Arial" w:eastAsia="Calibri" w:hAnsi="Arial" w:cs="Arial"/>
          <w:b/>
          <w:bCs/>
          <w:i/>
          <w:color w:val="000000" w:themeColor="text1"/>
        </w:rPr>
        <w:t>."</w:t>
      </w:r>
      <w:r w:rsidRPr="00295F71">
        <w:rPr>
          <w:rFonts w:ascii="Arial" w:eastAsia="Calibri" w:hAnsi="Arial" w:cs="Arial"/>
          <w:i/>
          <w:color w:val="000000" w:themeColor="text1"/>
        </w:rPr>
        <w:t>- - - - - - - - - - - - - - - - - - - - - - - - - - - - - - - - - - - - - - - -</w:t>
      </w:r>
    </w:p>
    <w:p w14:paraId="76B03240" w14:textId="77777777" w:rsidR="00295F71" w:rsidRPr="00295F71" w:rsidRDefault="00295F71" w:rsidP="00295F71">
      <w:pPr>
        <w:spacing w:after="120" w:line="360" w:lineRule="auto"/>
        <w:ind w:left="1134" w:right="902" w:firstLine="284"/>
        <w:jc w:val="both"/>
        <w:rPr>
          <w:rFonts w:ascii="Arial" w:eastAsia="Calibri" w:hAnsi="Arial" w:cs="Arial"/>
          <w:i/>
          <w:color w:val="000000" w:themeColor="text1"/>
        </w:rPr>
      </w:pPr>
    </w:p>
    <w:p w14:paraId="6084C25A" w14:textId="33C32149" w:rsidR="00295F71" w:rsidRPr="00295F71" w:rsidRDefault="00295F71" w:rsidP="005D7E15">
      <w:pPr>
        <w:spacing w:after="120" w:line="360" w:lineRule="auto"/>
        <w:ind w:right="49"/>
        <w:jc w:val="center"/>
        <w:rPr>
          <w:rFonts w:ascii="Arial" w:eastAsia="Calibri" w:hAnsi="Arial" w:cs="Arial"/>
          <w:b/>
          <w:bCs/>
          <w:sz w:val="26"/>
          <w:szCs w:val="26"/>
        </w:rPr>
      </w:pPr>
      <w:r w:rsidRPr="00295F71">
        <w:rPr>
          <w:rFonts w:ascii="Arial" w:eastAsia="Calibri" w:hAnsi="Arial" w:cs="Arial"/>
          <w:b/>
          <w:bCs/>
          <w:sz w:val="26"/>
          <w:szCs w:val="26"/>
        </w:rPr>
        <w:t>C O N S I D E R A N D O</w:t>
      </w:r>
    </w:p>
    <w:p w14:paraId="6020CF55" w14:textId="33B1DD3F" w:rsidR="00295F71" w:rsidRPr="00295F71" w:rsidRDefault="00295F71" w:rsidP="00295F71">
      <w:pPr>
        <w:spacing w:after="120" w:line="360" w:lineRule="auto"/>
        <w:ind w:firstLine="708"/>
        <w:jc w:val="both"/>
        <w:rPr>
          <w:rFonts w:ascii="Arial" w:hAnsi="Arial" w:cs="Arial"/>
          <w:bCs/>
          <w:iCs/>
          <w:sz w:val="26"/>
          <w:szCs w:val="26"/>
        </w:rPr>
      </w:pPr>
      <w:r w:rsidRPr="00295F71">
        <w:rPr>
          <w:rFonts w:ascii="Arial" w:hAnsi="Arial" w:cs="Arial"/>
          <w:b/>
          <w:bCs/>
          <w:iCs/>
          <w:sz w:val="26"/>
          <w:szCs w:val="26"/>
        </w:rPr>
        <w:t xml:space="preserve">PRIMERO. </w:t>
      </w:r>
      <w:r w:rsidRPr="00295F71">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fracciones I y III, 25 fracción I y 27 de la Ley  Orgánica del Tribunal de Justicia Administrativa del Estado de Oaxaca; 120</w:t>
      </w:r>
      <w:r w:rsidRPr="00295F71">
        <w:rPr>
          <w:rFonts w:ascii="Arial" w:hAnsi="Arial" w:cs="Arial"/>
          <w:bCs/>
          <w:iCs/>
          <w:sz w:val="26"/>
          <w:szCs w:val="26"/>
          <w:lang w:eastAsia="es-ES"/>
        </w:rPr>
        <w:t xml:space="preserve">, 125, 127, 129,130 fracción l, 131, 201, 236 y 238 </w:t>
      </w:r>
      <w:r w:rsidRPr="00295F71">
        <w:rPr>
          <w:rFonts w:ascii="Arial" w:hAnsi="Arial" w:cs="Arial"/>
          <w:bCs/>
          <w:iCs/>
          <w:sz w:val="26"/>
          <w:szCs w:val="26"/>
        </w:rPr>
        <w:t xml:space="preserve">de la Ley de Procedimiento y Justicia Administrativa para el Estado de Oaxaca, dado que se trata de un recurso de revisión interpuesto en contra de la sentencia de </w:t>
      </w:r>
      <w:r w:rsidRPr="00295F71">
        <w:rPr>
          <w:rFonts w:ascii="Arial" w:hAnsi="Arial" w:cs="Arial"/>
          <w:sz w:val="26"/>
          <w:szCs w:val="26"/>
        </w:rPr>
        <w:t>veintisiete de octubre de dos mil veintiuno</w:t>
      </w:r>
      <w:r w:rsidRPr="00295F71">
        <w:rPr>
          <w:rFonts w:ascii="Arial" w:hAnsi="Arial" w:cs="Arial"/>
          <w:bCs/>
          <w:color w:val="000000"/>
          <w:sz w:val="26"/>
          <w:szCs w:val="26"/>
        </w:rPr>
        <w:t xml:space="preserve">, </w:t>
      </w:r>
      <w:r w:rsidRPr="00295F71">
        <w:rPr>
          <w:rFonts w:ascii="Arial" w:hAnsi="Arial" w:cs="Arial"/>
          <w:bCs/>
          <w:iCs/>
          <w:sz w:val="26"/>
          <w:szCs w:val="26"/>
        </w:rPr>
        <w:t xml:space="preserve">dictada por la Cuarta  Sala Unitaria de Primera Instancia de este Tribunal, en el juicio de nulidad </w:t>
      </w:r>
      <w:r w:rsidRPr="00295F71">
        <w:rPr>
          <w:rFonts w:ascii="Arial" w:hAnsi="Arial" w:cs="Arial"/>
          <w:b/>
          <w:bCs/>
          <w:iCs/>
          <w:sz w:val="26"/>
          <w:szCs w:val="26"/>
        </w:rPr>
        <w:t>0030/2021.</w:t>
      </w:r>
      <w:r w:rsidRPr="00295F71">
        <w:rPr>
          <w:rFonts w:ascii="Arial" w:hAnsi="Arial" w:cs="Arial"/>
          <w:bCs/>
          <w:iCs/>
          <w:sz w:val="26"/>
          <w:szCs w:val="26"/>
        </w:rPr>
        <w:t xml:space="preserve">- - </w:t>
      </w:r>
    </w:p>
    <w:p w14:paraId="65BEEB82" w14:textId="77777777" w:rsidR="00295F71" w:rsidRPr="00295F71" w:rsidRDefault="00295F71" w:rsidP="00295F71">
      <w:pPr>
        <w:spacing w:line="360" w:lineRule="auto"/>
        <w:ind w:firstLine="708"/>
        <w:jc w:val="both"/>
        <w:rPr>
          <w:rFonts w:ascii="Arial" w:hAnsi="Arial" w:cs="Arial"/>
          <w:sz w:val="26"/>
          <w:szCs w:val="26"/>
        </w:rPr>
      </w:pPr>
      <w:r w:rsidRPr="00295F71">
        <w:rPr>
          <w:rFonts w:ascii="Arial" w:hAnsi="Arial" w:cs="Arial"/>
          <w:b/>
          <w:sz w:val="26"/>
          <w:szCs w:val="26"/>
        </w:rPr>
        <w:t>SEGUNDO</w:t>
      </w:r>
      <w:r w:rsidRPr="00295F71">
        <w:rPr>
          <w:rFonts w:ascii="Arial" w:hAnsi="Arial" w:cs="Arial"/>
          <w:sz w:val="26"/>
          <w:szCs w:val="26"/>
        </w:rPr>
        <w:t>. El agravio hecho valer se encuentra expuesto en el escrito del recurrente, por lo que no existe necesidad de transcribirlo, al no transgredírsele derecho alguno, como tampoco se vulnera disposición expresa que imponga tal obligación. En apoyo a lo anterior, se invoca el criterio Jurisprudencial</w:t>
      </w:r>
      <w:r w:rsidRPr="00295F71">
        <w:rPr>
          <w:rFonts w:ascii="Arial" w:hAnsi="Arial" w:cs="Arial"/>
          <w:bCs/>
          <w:color w:val="000000"/>
          <w:sz w:val="26"/>
          <w:szCs w:val="26"/>
        </w:rPr>
        <w:t xml:space="preserve"> 2a./J. 58/2010 emitido por la </w:t>
      </w:r>
      <w:r w:rsidRPr="00295F71">
        <w:rPr>
          <w:rFonts w:ascii="Arial" w:hAnsi="Arial" w:cs="Arial"/>
          <w:bCs/>
          <w:color w:val="000000"/>
          <w:sz w:val="26"/>
          <w:szCs w:val="26"/>
        </w:rPr>
        <w:lastRenderedPageBreak/>
        <w:t xml:space="preserve">Segunda Sala de la Suprema Corte de Justicia de la Nación, con número de registro 164618, publicado en la Gaceta del Semanario Judicial de la Federación, tomo XXXI, mayo de 2010, visible a página 830, novena época, bajo el rubro y texto siguiente:- - - - - - - - - - - - - - - - - - - - - - - - - </w:t>
      </w:r>
    </w:p>
    <w:p w14:paraId="685DCF30" w14:textId="75EF1151" w:rsidR="00295F71" w:rsidRPr="00295F71" w:rsidRDefault="00295F71" w:rsidP="00295F71">
      <w:pPr>
        <w:spacing w:after="120" w:line="240" w:lineRule="auto"/>
        <w:ind w:left="567" w:right="902"/>
        <w:jc w:val="both"/>
        <w:rPr>
          <w:rFonts w:ascii="Arial" w:eastAsia="Calibri" w:hAnsi="Arial" w:cs="Arial"/>
          <w:bCs/>
          <w:i/>
        </w:rPr>
      </w:pPr>
      <w:r w:rsidRPr="00295F71">
        <w:rPr>
          <w:rFonts w:ascii="Arial" w:eastAsia="Calibri" w:hAnsi="Arial" w:cs="Arial"/>
          <w:b/>
          <w:bCs/>
          <w:i/>
        </w:rPr>
        <w:t xml:space="preserve">“CONCEPTOS DE VIOLACIÓN O AGRAVIOS. PARA CUMPLIR CON LOS PRINCIPIOS DE CONGRUENCIA Y EXHAUSTIVIDAD EN LAS SENTENCIAS DE AMPARO ES INNECESARIA SU TRANSCRIPCIÓN. </w:t>
      </w:r>
      <w:r w:rsidRPr="00295F7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 - - - - - - - - - - - - - - </w:t>
      </w:r>
      <w:r w:rsidR="00A87DA8">
        <w:rPr>
          <w:rFonts w:ascii="Arial" w:eastAsia="Calibri" w:hAnsi="Arial" w:cs="Arial"/>
          <w:bCs/>
          <w:i/>
        </w:rPr>
        <w:t>- - - - - - - - - -- - - - - - - - - - - - - - - --</w:t>
      </w:r>
    </w:p>
    <w:p w14:paraId="71E25307" w14:textId="77777777" w:rsidR="00295F71" w:rsidRPr="00295F71" w:rsidRDefault="00295F71" w:rsidP="00295F71">
      <w:pPr>
        <w:widowControl w:val="0"/>
        <w:tabs>
          <w:tab w:val="left" w:pos="7938"/>
        </w:tabs>
        <w:spacing w:before="240" w:line="360" w:lineRule="auto"/>
        <w:ind w:right="18" w:firstLine="709"/>
        <w:jc w:val="both"/>
        <w:rPr>
          <w:rFonts w:ascii="Arial" w:eastAsia="Times New Roman" w:hAnsi="Arial" w:cs="Arial"/>
          <w:sz w:val="26"/>
          <w:szCs w:val="26"/>
        </w:rPr>
      </w:pPr>
      <w:bookmarkStart w:id="3" w:name="_Hlk39776426"/>
      <w:bookmarkStart w:id="4" w:name="_Hlk74574762"/>
      <w:r w:rsidRPr="00295F71">
        <w:rPr>
          <w:rFonts w:ascii="Arial" w:eastAsia="Times New Roman" w:hAnsi="Arial" w:cs="Arial"/>
          <w:b/>
          <w:sz w:val="26"/>
          <w:szCs w:val="26"/>
        </w:rPr>
        <w:t xml:space="preserve">TERCERO. </w:t>
      </w:r>
      <w:r w:rsidRPr="00295F71">
        <w:rPr>
          <w:rFonts w:ascii="Arial" w:eastAsia="Times New Roman" w:hAnsi="Arial" w:cs="Arial"/>
          <w:sz w:val="26"/>
          <w:szCs w:val="26"/>
        </w:rPr>
        <w:t>La autoridad</w:t>
      </w:r>
      <w:r w:rsidRPr="00295F71">
        <w:rPr>
          <w:rFonts w:ascii="Arial" w:eastAsia="Calibri" w:hAnsi="Arial" w:cs="Arial"/>
          <w:bCs/>
          <w:sz w:val="26"/>
          <w:szCs w:val="26"/>
          <w:lang w:val="es-ES" w:eastAsia="en-US"/>
        </w:rPr>
        <w:t xml:space="preserve"> recurrente </w:t>
      </w:r>
      <w:r w:rsidRPr="00295F71">
        <w:rPr>
          <w:rFonts w:ascii="Arial" w:eastAsia="Times New Roman" w:hAnsi="Arial" w:cs="Arial"/>
          <w:sz w:val="26"/>
          <w:szCs w:val="26"/>
        </w:rPr>
        <w:t xml:space="preserve">argumenta en su </w:t>
      </w:r>
      <w:r w:rsidRPr="00295F71">
        <w:rPr>
          <w:rFonts w:ascii="Arial" w:eastAsia="Times New Roman" w:hAnsi="Arial" w:cs="Arial"/>
          <w:b/>
          <w:sz w:val="26"/>
          <w:szCs w:val="26"/>
        </w:rPr>
        <w:t>agravio</w:t>
      </w:r>
      <w:r w:rsidRPr="00295F71">
        <w:rPr>
          <w:rFonts w:ascii="Arial" w:eastAsia="Times New Roman" w:hAnsi="Arial" w:cs="Arial"/>
          <w:sz w:val="26"/>
          <w:szCs w:val="26"/>
        </w:rPr>
        <w:t xml:space="preserve"> señalado como </w:t>
      </w:r>
      <w:r w:rsidRPr="00295F71">
        <w:rPr>
          <w:rFonts w:ascii="Arial" w:eastAsia="Times New Roman" w:hAnsi="Arial" w:cs="Arial"/>
          <w:b/>
          <w:bCs/>
          <w:sz w:val="26"/>
          <w:szCs w:val="26"/>
        </w:rPr>
        <w:t xml:space="preserve">primero,  </w:t>
      </w:r>
      <w:r w:rsidRPr="00295F71">
        <w:rPr>
          <w:rFonts w:ascii="Arial" w:eastAsia="Times New Roman" w:hAnsi="Arial" w:cs="Arial"/>
          <w:sz w:val="26"/>
          <w:szCs w:val="26"/>
        </w:rPr>
        <w:t xml:space="preserve">que le causa perjuicio el considerando cuarto de la sentencia que combate, ya que el mismo viola en perjuicio de la autoridad que representa, los artículos 14 y 16 de la Constitución Política de los Estados Unidos Mexicanos y 207, fracción II de la Ley de Procedimiento y Justicia Administrativa para el Estado de Oaxaca, en virtud de que la sentencia que recurre no está emitida en forma congruente con el acto impugnado, ya que a pesar de que quedó debidamente acreditada la correcta fundamentación y motivación del acto, y con ello la validez del mismo, el A quo hizo un razonamiento omiso y engañoso cuando determina que se declara la nulidad lisa y llana del acta de infracción.- - - - - - - - - - - - - - - - - - - - - - - - - - - - - - - - </w:t>
      </w:r>
    </w:p>
    <w:p w14:paraId="129837A5" w14:textId="1E5BF240" w:rsidR="00295F71" w:rsidRPr="00295F71" w:rsidRDefault="00295F71" w:rsidP="00295F71">
      <w:pPr>
        <w:spacing w:after="120" w:line="360" w:lineRule="auto"/>
        <w:ind w:firstLine="709"/>
        <w:jc w:val="both"/>
        <w:rPr>
          <w:rFonts w:ascii="Arial" w:eastAsia="Calibri" w:hAnsi="Arial" w:cs="Arial"/>
          <w:bCs/>
          <w:sz w:val="26"/>
          <w:szCs w:val="26"/>
        </w:rPr>
      </w:pPr>
      <w:r w:rsidRPr="00295F71">
        <w:rPr>
          <w:rFonts w:ascii="Arial" w:eastAsia="Calibri" w:hAnsi="Arial" w:cs="Arial"/>
          <w:sz w:val="26"/>
          <w:szCs w:val="26"/>
          <w:lang w:val="es-ES" w:eastAsia="en-US"/>
        </w:rPr>
        <w:t>Más adelante refiere</w:t>
      </w:r>
      <w:r w:rsidRPr="00295F71">
        <w:rPr>
          <w:rFonts w:ascii="Arial" w:eastAsia="Calibri" w:hAnsi="Arial" w:cs="Arial"/>
          <w:bCs/>
          <w:sz w:val="26"/>
          <w:szCs w:val="26"/>
        </w:rPr>
        <w:t xml:space="preserve"> el recurrente que </w:t>
      </w:r>
      <w:r w:rsidR="00593581">
        <w:rPr>
          <w:rFonts w:ascii="Arial" w:eastAsia="Calibri" w:hAnsi="Arial" w:cs="Arial"/>
          <w:bCs/>
          <w:sz w:val="26"/>
          <w:szCs w:val="26"/>
        </w:rPr>
        <w:t>la</w:t>
      </w:r>
      <w:r w:rsidRPr="00295F71">
        <w:rPr>
          <w:rFonts w:ascii="Arial" w:eastAsia="Calibri" w:hAnsi="Arial" w:cs="Arial"/>
          <w:bCs/>
          <w:sz w:val="26"/>
          <w:szCs w:val="26"/>
        </w:rPr>
        <w:t xml:space="preserve"> Secretari</w:t>
      </w:r>
      <w:r w:rsidR="00593581">
        <w:rPr>
          <w:rFonts w:ascii="Arial" w:eastAsia="Calibri" w:hAnsi="Arial" w:cs="Arial"/>
          <w:bCs/>
          <w:sz w:val="26"/>
          <w:szCs w:val="26"/>
        </w:rPr>
        <w:t>a</w:t>
      </w:r>
      <w:r w:rsidRPr="00295F71">
        <w:rPr>
          <w:rFonts w:ascii="Arial" w:eastAsia="Calibri" w:hAnsi="Arial" w:cs="Arial"/>
          <w:bCs/>
          <w:sz w:val="26"/>
          <w:szCs w:val="26"/>
        </w:rPr>
        <w:t xml:space="preserve"> de Acuerdos habilitad</w:t>
      </w:r>
      <w:r w:rsidR="00593581">
        <w:rPr>
          <w:rFonts w:ascii="Arial" w:eastAsia="Calibri" w:hAnsi="Arial" w:cs="Arial"/>
          <w:bCs/>
          <w:sz w:val="26"/>
          <w:szCs w:val="26"/>
        </w:rPr>
        <w:t>a</w:t>
      </w:r>
      <w:r w:rsidRPr="00295F71">
        <w:rPr>
          <w:rFonts w:ascii="Arial" w:eastAsia="Calibri" w:hAnsi="Arial" w:cs="Arial"/>
          <w:bCs/>
          <w:sz w:val="26"/>
          <w:szCs w:val="26"/>
        </w:rPr>
        <w:t xml:space="preserve"> como encargad</w:t>
      </w:r>
      <w:r w:rsidR="00593581">
        <w:rPr>
          <w:rFonts w:ascii="Arial" w:eastAsia="Calibri" w:hAnsi="Arial" w:cs="Arial"/>
          <w:bCs/>
          <w:sz w:val="26"/>
          <w:szCs w:val="26"/>
        </w:rPr>
        <w:t>a</w:t>
      </w:r>
      <w:r w:rsidRPr="00295F71">
        <w:rPr>
          <w:rFonts w:ascii="Arial" w:eastAsia="Calibri" w:hAnsi="Arial" w:cs="Arial"/>
          <w:bCs/>
          <w:sz w:val="26"/>
          <w:szCs w:val="26"/>
        </w:rPr>
        <w:t xml:space="preserve"> del despacho de la Cuarta Sala Unitaria de Primera Instancia de este Tribunal, </w:t>
      </w:r>
      <w:bookmarkStart w:id="5" w:name="_Hlk104553777"/>
      <w:r w:rsidRPr="00295F71">
        <w:rPr>
          <w:rFonts w:ascii="Arial" w:eastAsia="Calibri" w:hAnsi="Arial" w:cs="Arial"/>
          <w:bCs/>
          <w:sz w:val="26"/>
          <w:szCs w:val="26"/>
        </w:rPr>
        <w:t>transgredió los principios de congruencia y exhaustividad que deben imperar en toda resolución</w:t>
      </w:r>
      <w:bookmarkEnd w:id="5"/>
      <w:r w:rsidRPr="00295F71">
        <w:rPr>
          <w:rFonts w:ascii="Arial" w:eastAsia="Calibri" w:hAnsi="Arial" w:cs="Arial"/>
          <w:bCs/>
          <w:sz w:val="26"/>
          <w:szCs w:val="26"/>
        </w:rPr>
        <w:t xml:space="preserve">, ya que la sentencia sirve de instrumento de realización de justicia, pues tiene como objeto resolver una controversia planteada por las partes, por lo que el juzgador debe necesariamente contar con un mínimo de técnica, seguir una exposición metodológica y observar en todo momento los principios referidos, siendo estos la base de toda </w:t>
      </w:r>
      <w:r w:rsidRPr="00295F71">
        <w:rPr>
          <w:rFonts w:ascii="Arial" w:eastAsia="Calibri" w:hAnsi="Arial" w:cs="Arial"/>
          <w:bCs/>
          <w:sz w:val="26"/>
          <w:szCs w:val="26"/>
        </w:rPr>
        <w:lastRenderedPageBreak/>
        <w:t xml:space="preserve">resolución, pues en ella, el estado a través del juzgador aplica la ley, dirime la controversia sometida a su competencia y determina a cuál de las partes le asiste la razón respecto de un determinado conflicto jurídico.- - - - - - - - - - - - - - - - - - - - - - - - - - - - - - - - - - - - - - - - - - - - - - </w:t>
      </w:r>
    </w:p>
    <w:p w14:paraId="749B7168" w14:textId="795C9A7C" w:rsidR="00295F71" w:rsidRPr="00295F71" w:rsidRDefault="00295F71" w:rsidP="00295F71">
      <w:pPr>
        <w:spacing w:after="120" w:line="360" w:lineRule="auto"/>
        <w:ind w:firstLine="709"/>
        <w:jc w:val="both"/>
        <w:rPr>
          <w:rFonts w:ascii="Arial" w:eastAsia="Calibri" w:hAnsi="Arial" w:cs="Arial"/>
          <w:bCs/>
          <w:color w:val="FF0000"/>
          <w:sz w:val="26"/>
          <w:szCs w:val="26"/>
        </w:rPr>
      </w:pPr>
      <w:r w:rsidRPr="00295F71">
        <w:rPr>
          <w:rFonts w:ascii="Arial" w:eastAsia="Calibri" w:hAnsi="Arial" w:cs="Arial"/>
          <w:bCs/>
          <w:sz w:val="26"/>
          <w:szCs w:val="26"/>
        </w:rPr>
        <w:t xml:space="preserve">También manifiesta que lo resuelto por </w:t>
      </w:r>
      <w:r w:rsidR="00593581">
        <w:rPr>
          <w:rFonts w:ascii="Arial" w:eastAsia="Calibri" w:hAnsi="Arial" w:cs="Arial"/>
          <w:bCs/>
          <w:sz w:val="26"/>
          <w:szCs w:val="26"/>
        </w:rPr>
        <w:t>la</w:t>
      </w:r>
      <w:r w:rsidRPr="00295F71">
        <w:rPr>
          <w:rFonts w:ascii="Arial" w:eastAsia="Calibri" w:hAnsi="Arial" w:cs="Arial"/>
          <w:bCs/>
          <w:sz w:val="26"/>
          <w:szCs w:val="26"/>
        </w:rPr>
        <w:t xml:space="preserve"> Secretari</w:t>
      </w:r>
      <w:r w:rsidR="00593581">
        <w:rPr>
          <w:rFonts w:ascii="Arial" w:eastAsia="Calibri" w:hAnsi="Arial" w:cs="Arial"/>
          <w:bCs/>
          <w:sz w:val="26"/>
          <w:szCs w:val="26"/>
        </w:rPr>
        <w:t>a</w:t>
      </w:r>
      <w:r w:rsidRPr="00295F71">
        <w:rPr>
          <w:rFonts w:ascii="Arial" w:eastAsia="Calibri" w:hAnsi="Arial" w:cs="Arial"/>
          <w:bCs/>
          <w:sz w:val="26"/>
          <w:szCs w:val="26"/>
        </w:rPr>
        <w:t xml:space="preserve"> encargad</w:t>
      </w:r>
      <w:r w:rsidR="00593581">
        <w:rPr>
          <w:rFonts w:ascii="Arial" w:eastAsia="Calibri" w:hAnsi="Arial" w:cs="Arial"/>
          <w:bCs/>
          <w:sz w:val="26"/>
          <w:szCs w:val="26"/>
        </w:rPr>
        <w:t>a</w:t>
      </w:r>
      <w:r w:rsidRPr="00295F71">
        <w:rPr>
          <w:rFonts w:ascii="Arial" w:eastAsia="Calibri" w:hAnsi="Arial" w:cs="Arial"/>
          <w:bCs/>
          <w:sz w:val="26"/>
          <w:szCs w:val="26"/>
        </w:rPr>
        <w:t xml:space="preserve"> del despacho de la Cuarta Sala Unitaria de Primera Instancia</w:t>
      </w:r>
      <w:r w:rsidRPr="00295F71">
        <w:rPr>
          <w:rFonts w:ascii="Arial" w:eastAsia="Calibri" w:hAnsi="Arial" w:cs="Arial"/>
          <w:sz w:val="26"/>
          <w:szCs w:val="26"/>
          <w:lang w:val="es-ES" w:eastAsia="en-US"/>
        </w:rPr>
        <w:t xml:space="preserve">, </w:t>
      </w:r>
      <w:r w:rsidRPr="00295F71">
        <w:rPr>
          <w:rFonts w:ascii="Arial" w:eastAsia="Calibri" w:hAnsi="Arial" w:cs="Arial"/>
          <w:bCs/>
          <w:color w:val="000000" w:themeColor="text1"/>
          <w:sz w:val="26"/>
          <w:szCs w:val="26"/>
        </w:rPr>
        <w:t xml:space="preserve">le causa afectación a su investidura como Policía Vial Municipal del Municipio de Oaxaca de Juárez, ya que el acta de infracción con número de folio </w:t>
      </w:r>
      <w:r w:rsidR="005C5617">
        <w:rPr>
          <w:rFonts w:ascii="Arial" w:eastAsia="Calibri" w:hAnsi="Arial" w:cs="Arial"/>
          <w:bCs/>
          <w:color w:val="000000" w:themeColor="text1"/>
          <w:sz w:val="26"/>
          <w:szCs w:val="26"/>
        </w:rPr>
        <w:t>*******</w:t>
      </w:r>
      <w:r w:rsidRPr="00295F71">
        <w:rPr>
          <w:rFonts w:ascii="Arial" w:eastAsia="Calibri" w:hAnsi="Arial" w:cs="Arial"/>
          <w:bCs/>
          <w:color w:val="000000" w:themeColor="text1"/>
          <w:sz w:val="26"/>
          <w:szCs w:val="26"/>
        </w:rPr>
        <w:t xml:space="preserve">, se encuentra debidamente fundada y motivada, pues en la misma se encuentran plasmados los artículos 16, fracción IV, 86, fracción IX y 130 del Reglamento de Vialidad para el Municipio de Oaxaca de Juárez, que prevén la conducta ilegal del infractor, ordenamiento jurídico de orden público y de carácter obligatorio, y que tal como reza el principio general de derecho “LA IGNORANCIA DE LA LEY, NO EXIME DE SU CUMPLIMIENTO”; </w:t>
      </w:r>
      <w:r w:rsidRPr="00295F71">
        <w:rPr>
          <w:rFonts w:ascii="Arial" w:eastAsiaTheme="minorHAnsi" w:hAnsi="Arial" w:cs="Arial"/>
          <w:bCs/>
          <w:iCs/>
          <w:sz w:val="26"/>
          <w:szCs w:val="26"/>
          <w:lang w:eastAsia="en-US"/>
        </w:rPr>
        <w:t xml:space="preserve">el efecto de cometerse una infracción prevista en el mismo, es el de hacerse acreedor a una sanción, y en el caso el infractor debió ser acreedor a la multa, la cual resulta ser la consecuencia de su conducta ilegal.  </w:t>
      </w:r>
      <w:r w:rsidRPr="00295F71">
        <w:rPr>
          <w:rFonts w:ascii="Arial" w:eastAsia="Calibri" w:hAnsi="Arial" w:cs="Arial"/>
          <w:bCs/>
          <w:color w:val="000000" w:themeColor="text1"/>
          <w:sz w:val="26"/>
          <w:szCs w:val="26"/>
        </w:rPr>
        <w:t xml:space="preserve">Tal como se desprende de la boleta de infracción que fue notificada al administrado el día quince de marzo de dos mil veintiuno, </w:t>
      </w:r>
      <w:bookmarkStart w:id="6" w:name="_Hlk99533130"/>
      <w:r w:rsidRPr="00295F71">
        <w:rPr>
          <w:rFonts w:ascii="Arial" w:eastAsia="Calibri" w:hAnsi="Arial" w:cs="Arial"/>
          <w:bCs/>
          <w:sz w:val="26"/>
          <w:szCs w:val="26"/>
        </w:rPr>
        <w:t>por ello refiere que la sentencia no está apegada a derecho, ni fundada ni motivada. - - - - - - - - - - - - - - - - - - - -</w:t>
      </w:r>
    </w:p>
    <w:bookmarkEnd w:id="3"/>
    <w:bookmarkEnd w:id="4"/>
    <w:bookmarkEnd w:id="6"/>
    <w:p w14:paraId="0A5A9307" w14:textId="6EAD6FF8" w:rsidR="00295F71" w:rsidRPr="00295F71" w:rsidRDefault="00295F71" w:rsidP="00295F71">
      <w:pPr>
        <w:spacing w:before="120" w:after="0" w:line="360" w:lineRule="auto"/>
        <w:ind w:firstLine="708"/>
        <w:jc w:val="both"/>
        <w:rPr>
          <w:rFonts w:ascii="Arial" w:hAnsi="Arial" w:cs="Arial"/>
          <w:bCs/>
          <w:iCs/>
          <w:sz w:val="26"/>
          <w:szCs w:val="26"/>
          <w:lang w:eastAsia="es-ES"/>
        </w:rPr>
      </w:pPr>
      <w:r w:rsidRPr="00295F71">
        <w:rPr>
          <w:rFonts w:ascii="Arial" w:eastAsia="Calibri" w:hAnsi="Arial" w:cs="Arial"/>
          <w:sz w:val="26"/>
          <w:szCs w:val="26"/>
        </w:rPr>
        <w:t xml:space="preserve">El </w:t>
      </w:r>
      <w:r w:rsidRPr="00295F71">
        <w:rPr>
          <w:rFonts w:ascii="Arial" w:eastAsia="Calibri" w:hAnsi="Arial" w:cs="Arial"/>
          <w:bCs/>
          <w:sz w:val="26"/>
          <w:szCs w:val="26"/>
        </w:rPr>
        <w:t xml:space="preserve">agravio expuesto por el recurrente es </w:t>
      </w:r>
      <w:r w:rsidRPr="00295F71">
        <w:rPr>
          <w:rFonts w:ascii="Arial" w:eastAsia="Calibri" w:hAnsi="Arial" w:cs="Arial"/>
          <w:b/>
          <w:bCs/>
          <w:sz w:val="26"/>
          <w:szCs w:val="26"/>
        </w:rPr>
        <w:t xml:space="preserve">INFUNDADO, </w:t>
      </w:r>
      <w:r w:rsidRPr="00295F71">
        <w:rPr>
          <w:rFonts w:ascii="Arial" w:eastAsia="Calibri" w:hAnsi="Arial" w:cs="Arial"/>
          <w:bCs/>
          <w:sz w:val="26"/>
          <w:szCs w:val="26"/>
        </w:rPr>
        <w:t>porque del</w:t>
      </w:r>
      <w:r w:rsidRPr="00295F71">
        <w:rPr>
          <w:rFonts w:ascii="Arial" w:eastAsia="Calibri" w:hAnsi="Arial" w:cs="Arial"/>
          <w:sz w:val="26"/>
          <w:szCs w:val="26"/>
        </w:rPr>
        <w:t xml:space="preserve"> </w:t>
      </w:r>
      <w:r w:rsidRPr="00295F71">
        <w:rPr>
          <w:rFonts w:ascii="Arial" w:eastAsia="Calibri" w:hAnsi="Arial" w:cs="Arial"/>
          <w:bCs/>
          <w:sz w:val="26"/>
          <w:szCs w:val="26"/>
        </w:rPr>
        <w:t xml:space="preserve">análisis de las constancias </w:t>
      </w:r>
      <w:r w:rsidRPr="00295F71">
        <w:rPr>
          <w:rFonts w:ascii="Arial" w:hAnsi="Arial" w:cs="Arial"/>
          <w:color w:val="000000"/>
          <w:sz w:val="26"/>
          <w:szCs w:val="26"/>
        </w:rPr>
        <w:t xml:space="preserve">que integran el expediente de Primera Instancia remitido para la substanciación del presente recurso, las cuales tienen pleno valor probatorio, por tratarse de actuaciones procesales, conforme a lo dispuesto por el artículo </w:t>
      </w:r>
      <w:bookmarkStart w:id="7" w:name="_Hlk77171460"/>
      <w:r w:rsidRPr="00295F71">
        <w:rPr>
          <w:rFonts w:ascii="Arial" w:hAnsi="Arial" w:cs="Arial"/>
          <w:sz w:val="26"/>
          <w:szCs w:val="26"/>
        </w:rPr>
        <w:t>203</w:t>
      </w:r>
      <w:r w:rsidRPr="00295F71">
        <w:rPr>
          <w:rFonts w:ascii="Arial" w:hAnsi="Arial" w:cs="Arial"/>
          <w:sz w:val="26"/>
          <w:szCs w:val="26"/>
          <w:vertAlign w:val="superscript"/>
        </w:rPr>
        <w:footnoteReference w:id="1"/>
      </w:r>
      <w:r w:rsidRPr="00295F71">
        <w:rPr>
          <w:rFonts w:ascii="Arial" w:hAnsi="Arial" w:cs="Arial"/>
          <w:color w:val="000000"/>
          <w:sz w:val="26"/>
          <w:szCs w:val="26"/>
        </w:rPr>
        <w:t xml:space="preserve"> fracción I de la Ley de Procedimiento y Justicia Administrativa para el Estado de Oaxaca</w:t>
      </w:r>
      <w:bookmarkEnd w:id="7"/>
      <w:r w:rsidRPr="00295F71">
        <w:rPr>
          <w:rFonts w:ascii="Arial" w:hAnsi="Arial" w:cs="Arial"/>
          <w:color w:val="000000"/>
          <w:sz w:val="26"/>
          <w:szCs w:val="26"/>
        </w:rPr>
        <w:t xml:space="preserve">, se tiene la sentencia de </w:t>
      </w:r>
      <w:r w:rsidRPr="00295F71">
        <w:rPr>
          <w:rFonts w:ascii="Arial" w:hAnsi="Arial" w:cs="Arial"/>
          <w:bCs/>
          <w:color w:val="000000"/>
          <w:sz w:val="26"/>
          <w:szCs w:val="26"/>
        </w:rPr>
        <w:t>veintisiete de octubre de dos mil veintiuno</w:t>
      </w:r>
      <w:r w:rsidRPr="00295F71">
        <w:rPr>
          <w:rFonts w:ascii="Arial" w:hAnsi="Arial" w:cs="Arial"/>
          <w:bCs/>
          <w:iCs/>
          <w:sz w:val="26"/>
          <w:szCs w:val="26"/>
          <w:lang w:eastAsia="es-ES"/>
        </w:rPr>
        <w:t>, en la que en su considerando CUARTO se encuentra la siguiente determinación:</w:t>
      </w:r>
      <w:r w:rsidR="008762E5">
        <w:rPr>
          <w:rFonts w:ascii="Arial" w:hAnsi="Arial" w:cs="Arial"/>
          <w:bCs/>
          <w:iCs/>
          <w:sz w:val="26"/>
          <w:szCs w:val="26"/>
          <w:lang w:eastAsia="es-ES"/>
        </w:rPr>
        <w:t>- - - - - - - - - - - - - - - - - - - -- - - - - - - - - - - - -- - -</w:t>
      </w:r>
    </w:p>
    <w:p w14:paraId="4FC72AEA" w14:textId="77777777"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w:t>
      </w:r>
      <w:r w:rsidRPr="00295F71">
        <w:rPr>
          <w:rFonts w:ascii="Arial" w:hAnsi="Arial" w:cs="Arial"/>
          <w:b/>
          <w:bCs/>
          <w:i/>
          <w:iCs/>
          <w:lang w:eastAsia="es-ES"/>
        </w:rPr>
        <w:t xml:space="preserve">CUARTO. </w:t>
      </w:r>
      <w:r w:rsidRPr="00295F71">
        <w:rPr>
          <w:rFonts w:ascii="Arial" w:hAnsi="Arial" w:cs="Arial"/>
          <w:bCs/>
          <w:i/>
          <w:iCs/>
          <w:lang w:eastAsia="es-ES"/>
        </w:rPr>
        <w:t xml:space="preserve">[…] </w:t>
      </w:r>
    </w:p>
    <w:p w14:paraId="26C635C4" w14:textId="20F55D3B"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 xml:space="preserve">Ahora, esta juzgadora procede al análisis del acta de infracción impugnada con número de folio </w:t>
      </w:r>
      <w:r w:rsidR="005C5617">
        <w:rPr>
          <w:rFonts w:ascii="Arial" w:hAnsi="Arial" w:cs="Arial"/>
          <w:b/>
          <w:i/>
          <w:iCs/>
          <w:lang w:eastAsia="es-ES"/>
        </w:rPr>
        <w:t>*******</w:t>
      </w:r>
      <w:r w:rsidRPr="00295F71">
        <w:rPr>
          <w:rFonts w:ascii="Arial" w:hAnsi="Arial" w:cs="Arial"/>
          <w:b/>
          <w:i/>
          <w:iCs/>
          <w:lang w:eastAsia="es-ES"/>
        </w:rPr>
        <w:t xml:space="preserve">, </w:t>
      </w:r>
      <w:r w:rsidRPr="00295F71">
        <w:rPr>
          <w:rFonts w:ascii="Arial" w:hAnsi="Arial" w:cs="Arial"/>
          <w:bCs/>
          <w:i/>
          <w:iCs/>
          <w:lang w:eastAsia="es-ES"/>
        </w:rPr>
        <w:t xml:space="preserve">de quince de marzo de dos mil veintiuno, emitida por el Policía vial con número estadístico PV-051, adscrito a la Subdirección de Tránsito y </w:t>
      </w:r>
      <w:r w:rsidRPr="00295F71">
        <w:rPr>
          <w:rFonts w:ascii="Arial" w:hAnsi="Arial" w:cs="Arial"/>
          <w:bCs/>
          <w:i/>
          <w:iCs/>
          <w:lang w:eastAsia="es-ES"/>
        </w:rPr>
        <w:lastRenderedPageBreak/>
        <w:t>Movilidad del Municipio de Oaxaca de Juárez, Oaxaca, a la cual se le confiere valor probatorio pleno, por ser un documento público expedido por un servidor público en ejercicio de sus funciones, en términos del artículo 203 fracción I, de la Ley que rige a ese Tribunal.</w:t>
      </w:r>
    </w:p>
    <w:p w14:paraId="1D09631E" w14:textId="7B7C4B8E"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 xml:space="preserve">De ella se advierte, que la Policía Vial que lo emitió, en el rubro de </w:t>
      </w:r>
      <w:r w:rsidRPr="00295F71">
        <w:rPr>
          <w:rFonts w:ascii="Arial" w:hAnsi="Arial" w:cs="Arial"/>
          <w:b/>
          <w:i/>
          <w:iCs/>
          <w:lang w:eastAsia="es-ES"/>
        </w:rPr>
        <w:t xml:space="preserve">motivación </w:t>
      </w:r>
      <w:r w:rsidRPr="00295F71">
        <w:rPr>
          <w:rFonts w:ascii="Arial" w:hAnsi="Arial" w:cs="Arial"/>
          <w:bCs/>
          <w:i/>
          <w:iCs/>
          <w:lang w:eastAsia="es-ES"/>
        </w:rPr>
        <w:t xml:space="preserve">señaló “se encuentra estacionado en doble fila y licencia vencida artículo 86 fracción IX y 59 fracción IX”, y en cuanto al rubro de </w:t>
      </w:r>
      <w:r w:rsidRPr="00295F71">
        <w:rPr>
          <w:rFonts w:ascii="Arial" w:hAnsi="Arial" w:cs="Arial"/>
          <w:b/>
          <w:i/>
          <w:iCs/>
          <w:lang w:eastAsia="es-ES"/>
        </w:rPr>
        <w:t xml:space="preserve">fundamentación </w:t>
      </w:r>
      <w:r w:rsidRPr="00295F71">
        <w:rPr>
          <w:rFonts w:ascii="Arial" w:hAnsi="Arial" w:cs="Arial"/>
          <w:bCs/>
          <w:i/>
          <w:iCs/>
          <w:lang w:eastAsia="es-ES"/>
        </w:rPr>
        <w:t xml:space="preserve">indicó “ARTÍCULO 21 Y 115 </w:t>
      </w:r>
      <w:r w:rsidR="0023394F" w:rsidRPr="00295F71">
        <w:rPr>
          <w:rFonts w:ascii="Arial" w:hAnsi="Arial" w:cs="Arial"/>
          <w:bCs/>
          <w:i/>
          <w:iCs/>
          <w:lang w:eastAsia="es-ES"/>
        </w:rPr>
        <w:t>FRACCIÓN</w:t>
      </w:r>
      <w:r w:rsidRPr="00295F71">
        <w:rPr>
          <w:rFonts w:ascii="Arial" w:hAnsi="Arial" w:cs="Arial"/>
          <w:bCs/>
          <w:i/>
          <w:iCs/>
          <w:lang w:eastAsia="es-ES"/>
        </w:rPr>
        <w:t xml:space="preserve"> II Y III INCISO H) DE LA CONSTITUCIÓN POLÍTICA DE LOS ESTADOS UNIDOS MEXICANOS; 113 </w:t>
      </w:r>
      <w:r w:rsidR="0023394F" w:rsidRPr="00295F71">
        <w:rPr>
          <w:rFonts w:ascii="Arial" w:hAnsi="Arial" w:cs="Arial"/>
          <w:bCs/>
          <w:i/>
          <w:iCs/>
          <w:lang w:eastAsia="es-ES"/>
        </w:rPr>
        <w:t>FRACCIÓN</w:t>
      </w:r>
      <w:r w:rsidRPr="00295F71">
        <w:rPr>
          <w:rFonts w:ascii="Arial" w:hAnsi="Arial" w:cs="Arial"/>
          <w:bCs/>
          <w:i/>
          <w:iCs/>
          <w:lang w:eastAsia="es-ES"/>
        </w:rPr>
        <w:t xml:space="preserve"> II Y III INCISO H) DE LA CONSTITUCIÓN POLÍTICA DEL ESTADO LIBRE Y SOBERADO DE OAXACA; 143 DE LA LEY ORGÁNICA MUNICIPAL DEL ESTADO LIBRE Y SOBERADO DE OAXACA; ARTÍCULO 188 DE LA LEY DE INGRESOS DEL MUNICIPIO DE OAXACA DE JUÁREZ PARA EL EJERCICIO FISCAL 2020; ARTÍCULO 1, 16 FRACCIÓN II, 85 PÁRRAFO SEGUNDO, 90 FRACCIÓN II, 129, 130, 132, 135, 136, 149 Y 156 DEL REGLAMENTO DE VIALIDAD DEL MUNICIPIO DE OAXACA DE JUÁREZ”; y en relación al rubro de </w:t>
      </w:r>
      <w:r w:rsidRPr="00295F71">
        <w:rPr>
          <w:rFonts w:ascii="Arial" w:hAnsi="Arial" w:cs="Arial"/>
          <w:b/>
          <w:i/>
          <w:iCs/>
          <w:lang w:eastAsia="es-ES"/>
        </w:rPr>
        <w:t xml:space="preserve">observaciones </w:t>
      </w:r>
      <w:r w:rsidRPr="00295F71">
        <w:rPr>
          <w:rFonts w:ascii="Arial" w:hAnsi="Arial" w:cs="Arial"/>
          <w:bCs/>
          <w:i/>
          <w:iCs/>
          <w:lang w:eastAsia="es-ES"/>
        </w:rPr>
        <w:t>señaló: “…sin garantía…” sin embargo, no precisó las</w:t>
      </w:r>
      <w:r w:rsidRPr="00295F71">
        <w:rPr>
          <w:rFonts w:ascii="Arial" w:hAnsi="Arial" w:cs="Arial"/>
          <w:b/>
          <w:i/>
          <w:iCs/>
          <w:lang w:eastAsia="es-ES"/>
        </w:rPr>
        <w:t xml:space="preserve"> razones, motivos o circunstancias especiales que llevaron a esa autoridad a concluir que el caso en particular encuadraba en el supuesto previsto en las normas legales invocadas </w:t>
      </w:r>
      <w:r w:rsidRPr="00295F71">
        <w:rPr>
          <w:rFonts w:ascii="Arial" w:hAnsi="Arial" w:cs="Arial"/>
          <w:bCs/>
          <w:i/>
          <w:iCs/>
          <w:lang w:eastAsia="es-ES"/>
        </w:rPr>
        <w:t>como fundamento.</w:t>
      </w:r>
    </w:p>
    <w:p w14:paraId="0C2C313F" w14:textId="77777777"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Por lo que, la autoridad demandada omitió señalar tiempo, modo y circunstancia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los actos que emitan para no dejar al administrado en estado de indefensión al ignorar las causas por las cuales se emitió el acto impugnado; ya que únicamente se limitó a invocar como fundamento de su actuar el artículo 86 fracción IX del Reglamento de Vialidad para el Municipio de Oaxaca de Juárez, sin que hiciera referencia de los hechos ocurridos ni especificara las razones particulares o causas inmediatas, que lo llevaron a concluir el sustento para la emisión del acto.</w:t>
      </w:r>
    </w:p>
    <w:p w14:paraId="1669EBF8" w14:textId="77777777"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 xml:space="preserve">Así, el Policía Vial con número estadístico PV-051, adscrito a la Subdirección de Tránsito y Movilidad de Municipio de Oaxaca de Juárez, Oaxaca, al no precisar y concluir con argumentos lógico jurídicos las circunstancias por las cuales estimó que el supuesto infractor había cometido una falta al Reglamento de Vialidad para el Municipio de Oaxaca de Juárez, soslayó cumplir con la obligación </w:t>
      </w:r>
      <w:r w:rsidRPr="00295F71">
        <w:rPr>
          <w:rFonts w:ascii="Arial" w:hAnsi="Arial" w:cs="Arial"/>
          <w:bCs/>
          <w:i/>
          <w:iCs/>
          <w:lang w:eastAsia="es-ES"/>
        </w:rPr>
        <w:lastRenderedPageBreak/>
        <w:t>de fundar y motivar el acto impugnado, esto es, que debió expresar con precisión el o los preceptos legales aplicables al caso y señalar las circunstancias especiales, razones particulares o causas inmediatas que haya tenido en consideración para la emisión del acto, tal y como lo preé la fracción V del artículo 17, de la Ley de Procedimiento y Justicia Administrativa para el Estado de Oaxaca.</w:t>
      </w:r>
    </w:p>
    <w:p w14:paraId="788E57C4" w14:textId="77777777"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07C9EFC5" w14:textId="77777777"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
          <w:i/>
          <w:iCs/>
          <w:lang w:eastAsia="es-ES"/>
        </w:rPr>
        <w:t xml:space="preserve">“FUNDAMENTACIÓN Y MOTIVACIÓN DE LOS ACTOS ADMINISTRATIVOS. </w:t>
      </w:r>
      <w:r w:rsidRPr="00295F71">
        <w:rPr>
          <w:rFonts w:ascii="Arial" w:hAnsi="Arial" w:cs="Arial"/>
          <w:bCs/>
          <w:i/>
          <w:iCs/>
          <w:lang w:eastAsia="es-ES"/>
        </w:rPr>
        <w:t>[…]</w:t>
      </w:r>
    </w:p>
    <w:p w14:paraId="69000BE4" w14:textId="1109BE13"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 xml:space="preserve">En consecuencia, procede con fundamento en el artículo 208 fracción II, de la Ley de Procedimiento y Justicia }administrativa para el Estado de Oaxaca, declarar la </w:t>
      </w:r>
      <w:r w:rsidRPr="00295F71">
        <w:rPr>
          <w:rFonts w:ascii="Arial" w:hAnsi="Arial" w:cs="Arial"/>
          <w:b/>
          <w:i/>
          <w:iCs/>
          <w:lang w:eastAsia="es-ES"/>
        </w:rPr>
        <w:t xml:space="preserve">NULIDAD LISA Y LLANA, </w:t>
      </w:r>
      <w:r w:rsidRPr="00295F71">
        <w:rPr>
          <w:rFonts w:ascii="Arial" w:hAnsi="Arial" w:cs="Arial"/>
          <w:bCs/>
          <w:i/>
          <w:iCs/>
          <w:lang w:eastAsia="es-ES"/>
        </w:rPr>
        <w:t xml:space="preserve">del acta de infracción </w:t>
      </w:r>
      <w:r w:rsidR="005C5617">
        <w:rPr>
          <w:rFonts w:ascii="Arial" w:hAnsi="Arial" w:cs="Arial"/>
          <w:b/>
          <w:i/>
          <w:iCs/>
          <w:lang w:eastAsia="es-ES"/>
        </w:rPr>
        <w:t>*******</w:t>
      </w:r>
      <w:r w:rsidRPr="00295F71">
        <w:rPr>
          <w:rFonts w:ascii="Arial" w:hAnsi="Arial" w:cs="Arial"/>
          <w:b/>
          <w:i/>
          <w:iCs/>
          <w:lang w:eastAsia="es-ES"/>
        </w:rPr>
        <w:t>,</w:t>
      </w:r>
      <w:r w:rsidRPr="00295F71">
        <w:rPr>
          <w:rFonts w:ascii="Arial" w:hAnsi="Arial" w:cs="Arial"/>
          <w:bCs/>
          <w:i/>
          <w:iCs/>
          <w:lang w:eastAsia="es-ES"/>
        </w:rPr>
        <w:t xml:space="preserve"> de quince de marzo de dos mil veintiuno, emitida por el Policía Vial con número estadístico PV-051, adscrito a la Subdirección de Tránsito y Movilidad del Municipio de Oaxaca de Juárez, Oaxaca, y una vez que cause ejecutoria la sentencia se dé (sic) baja del Sistema SAP, el acta de infracción impugnada.</w:t>
      </w:r>
    </w:p>
    <w:p w14:paraId="41D513ED" w14:textId="77777777" w:rsidR="00295F71" w:rsidRPr="00295F71" w:rsidRDefault="00295F71" w:rsidP="00295F71">
      <w:pPr>
        <w:spacing w:before="120" w:after="0" w:line="360" w:lineRule="auto"/>
        <w:ind w:left="851" w:right="900" w:firstLine="567"/>
        <w:jc w:val="both"/>
        <w:rPr>
          <w:rFonts w:ascii="Arial" w:hAnsi="Arial" w:cs="Arial"/>
          <w:bCs/>
          <w:i/>
          <w:iCs/>
          <w:lang w:eastAsia="es-ES"/>
        </w:rPr>
      </w:pPr>
      <w:r w:rsidRPr="00295F71">
        <w:rPr>
          <w:rFonts w:ascii="Arial" w:hAnsi="Arial" w:cs="Arial"/>
          <w:bCs/>
          <w:i/>
          <w:iCs/>
          <w:lang w:eastAsia="es-ES"/>
        </w:rPr>
        <w:t>[…]”</w:t>
      </w:r>
    </w:p>
    <w:p w14:paraId="266A4CBB" w14:textId="77777777" w:rsidR="00295F71" w:rsidRPr="00295F71" w:rsidRDefault="00295F71" w:rsidP="00295F71">
      <w:pPr>
        <w:spacing w:after="120" w:line="360" w:lineRule="auto"/>
        <w:ind w:firstLine="709"/>
        <w:jc w:val="both"/>
        <w:rPr>
          <w:rFonts w:ascii="Arial" w:eastAsia="Calibri" w:hAnsi="Arial" w:cs="Arial"/>
          <w:bCs/>
          <w:sz w:val="26"/>
          <w:szCs w:val="26"/>
        </w:rPr>
      </w:pPr>
      <w:r w:rsidRPr="00295F71">
        <w:rPr>
          <w:rFonts w:ascii="Arial" w:eastAsia="Calibri" w:hAnsi="Arial" w:cs="Arial"/>
          <w:bCs/>
          <w:color w:val="000000" w:themeColor="text1"/>
          <w:sz w:val="26"/>
          <w:szCs w:val="26"/>
        </w:rPr>
        <w:t>De la anterior transcripción se advierte que</w:t>
      </w:r>
      <w:r w:rsidRPr="00295F71">
        <w:rPr>
          <w:rFonts w:ascii="Arial" w:eastAsia="Calibri" w:hAnsi="Arial" w:cs="Arial"/>
          <w:bCs/>
          <w:sz w:val="26"/>
          <w:szCs w:val="26"/>
        </w:rPr>
        <w:t xml:space="preserve">, la Primera Instancia  para resolver el asunto de la manera que lo hizo, realizó primeramente una exposición de lo planteado por las partes, así como un análisis detallado del acta de infracción, para después proceder a declarar la nulidad lisa y llana de ésta, al considerar que no cumple con lo estatuido en la </w:t>
      </w:r>
      <w:r w:rsidRPr="00295F71">
        <w:rPr>
          <w:rFonts w:ascii="Arial" w:eastAsia="Calibri" w:hAnsi="Arial" w:cs="Arial"/>
          <w:bCs/>
          <w:color w:val="000000" w:themeColor="text1"/>
          <w:sz w:val="26"/>
          <w:szCs w:val="26"/>
        </w:rPr>
        <w:t>fracción V, del artículo 17</w:t>
      </w:r>
      <w:r w:rsidRPr="00295F71">
        <w:rPr>
          <w:rFonts w:ascii="Arial" w:eastAsia="Calibri" w:hAnsi="Arial" w:cs="Arial"/>
          <w:bCs/>
          <w:color w:val="000000" w:themeColor="text1"/>
          <w:sz w:val="26"/>
          <w:szCs w:val="26"/>
          <w:vertAlign w:val="superscript"/>
        </w:rPr>
        <w:t xml:space="preserve"> </w:t>
      </w:r>
      <w:r w:rsidRPr="00295F71">
        <w:rPr>
          <w:rFonts w:ascii="Arial" w:eastAsia="Calibri" w:hAnsi="Arial" w:cs="Arial"/>
          <w:bCs/>
          <w:color w:val="000000" w:themeColor="text1"/>
          <w:sz w:val="26"/>
          <w:szCs w:val="26"/>
        </w:rPr>
        <w:t>de la Ley de Procedimiento y Justicia Administrativa para el Estado de Oaxaca</w:t>
      </w:r>
      <w:r w:rsidRPr="00295F71">
        <w:rPr>
          <w:rFonts w:ascii="Arial" w:eastAsia="Calibri" w:hAnsi="Arial" w:cs="Arial"/>
          <w:bCs/>
          <w:sz w:val="26"/>
          <w:szCs w:val="26"/>
        </w:rPr>
        <w:t xml:space="preserve">, porque el Policía Vial con número estadístico PV-051, fue omiso en señalar tiempo, modo y circunstancias de la conducta del infractor que le llevaron a concluir que el actor infringió el Reglamento de Vialidad Municipal,  ya que únicamente se limitó a invocar como fundamento de su actuar el artículo 86, fracción IX del citado Reglamento, sin que hiciera referencia de los hechos ocurridos ni especificara las razones particulares o causas inmediatas que lo llevaron a concluir el sustento para la emisión del acto; y menos aún, explicó en todo caso, por qué dicha acción constituye una infracción al Reglamento de Vialidad del Municipio de Oaxaca de Juárez, ni tampoco detalló cómo tal conducta se adecuó a los artículos que invocó.- - - - - - - - - - - - - - - - - - - - - - - - - - - - - - - - - - - - - - - - - - - - - - - </w:t>
      </w:r>
    </w:p>
    <w:p w14:paraId="570E6F69" w14:textId="77777777" w:rsidR="00295F71" w:rsidRPr="00295F71" w:rsidRDefault="00295F71" w:rsidP="00295F71">
      <w:pPr>
        <w:spacing w:after="120" w:line="360" w:lineRule="auto"/>
        <w:ind w:firstLine="709"/>
        <w:jc w:val="both"/>
        <w:rPr>
          <w:rFonts w:ascii="Arial" w:hAnsi="Arial" w:cs="Arial"/>
          <w:bCs/>
          <w:i/>
          <w:iCs/>
          <w:lang w:eastAsia="es-ES"/>
        </w:rPr>
      </w:pPr>
      <w:r w:rsidRPr="00295F71">
        <w:rPr>
          <w:rFonts w:ascii="Arial" w:hAnsi="Arial" w:cs="Arial"/>
          <w:bCs/>
          <w:iCs/>
          <w:sz w:val="26"/>
          <w:szCs w:val="26"/>
          <w:lang w:eastAsia="es-ES"/>
        </w:rPr>
        <w:lastRenderedPageBreak/>
        <w:t>Por tanto, al ser omisa la recurrente en</w:t>
      </w:r>
      <w:r w:rsidRPr="00295F71">
        <w:rPr>
          <w:rFonts w:ascii="Arial" w:eastAsia="Calibri" w:hAnsi="Arial" w:cs="Arial"/>
          <w:bCs/>
          <w:color w:val="000000" w:themeColor="text1"/>
          <w:sz w:val="26"/>
          <w:szCs w:val="26"/>
        </w:rPr>
        <w:t xml:space="preserve"> detallar la motivación correspondiente a efecto de tener el acto administrativo como debidamente fundado y motivado de conformidad con el artículo 16 Constitucional, en relación con el diverso 17,</w:t>
      </w:r>
      <w:r w:rsidRPr="00295F71">
        <w:rPr>
          <w:rFonts w:ascii="Arial" w:eastAsia="Calibri" w:hAnsi="Arial" w:cs="Arial"/>
          <w:bCs/>
          <w:color w:val="000000" w:themeColor="text1"/>
          <w:sz w:val="26"/>
          <w:szCs w:val="26"/>
          <w:vertAlign w:val="superscript"/>
        </w:rPr>
        <w:footnoteReference w:id="2"/>
      </w:r>
      <w:r w:rsidRPr="00295F71">
        <w:rPr>
          <w:rFonts w:ascii="Arial" w:eastAsia="Calibri" w:hAnsi="Arial" w:cs="Arial"/>
          <w:bCs/>
          <w:color w:val="000000" w:themeColor="text1"/>
          <w:sz w:val="26"/>
          <w:szCs w:val="26"/>
        </w:rPr>
        <w:t xml:space="preserve"> fracción V de la Ley de Procedimiento y Justicia Administrativa para el Estado de Oaxaca, es que el acta de infracción combatida, no se encuentra debidamente fundada y motivada. - - - - - - - - - - - - - - - - - - - - - - - - - - - - - - - - - - - - -</w:t>
      </w:r>
    </w:p>
    <w:p w14:paraId="5FD4E1F0" w14:textId="48154092" w:rsidR="00295F71" w:rsidRPr="00295F71" w:rsidRDefault="00295F71" w:rsidP="00295F71">
      <w:pPr>
        <w:spacing w:line="360" w:lineRule="auto"/>
        <w:ind w:firstLine="851"/>
        <w:jc w:val="both"/>
        <w:rPr>
          <w:rFonts w:ascii="Arial" w:eastAsia="Calibri" w:hAnsi="Arial" w:cs="Arial"/>
          <w:bCs/>
          <w:color w:val="000000" w:themeColor="text1"/>
          <w:sz w:val="26"/>
          <w:szCs w:val="26"/>
        </w:rPr>
      </w:pPr>
      <w:r w:rsidRPr="00295F71">
        <w:rPr>
          <w:rFonts w:ascii="Arial" w:eastAsia="Calibri" w:hAnsi="Arial" w:cs="Arial"/>
          <w:bCs/>
          <w:color w:val="000000" w:themeColor="text1"/>
          <w:sz w:val="26"/>
          <w:szCs w:val="26"/>
        </w:rPr>
        <w:t>Entendiéndose por fundamentación y motivación, la cita exacta de los artículos aplicables a la conducta desplegada por los justiciables, y los razonamientos lógicos jurídicos que efectivamente acrediten que dicha conducta se adecua a lo establecido en la norma. Tiene sustento lo anterior en la Jurisprudencia, emitida por los Tribunales Colegiados de Circuito, en el Semanario Judicial de la Federación y su Gaceta, en la octava época, materia: común, número 54, junio de 1992, página 49, con número de registro 219034, de rubro y texto siguientes:</w:t>
      </w:r>
      <w:r w:rsidR="0033401E">
        <w:rPr>
          <w:rFonts w:ascii="Arial" w:eastAsia="Calibri" w:hAnsi="Arial" w:cs="Arial"/>
          <w:bCs/>
          <w:color w:val="000000" w:themeColor="text1"/>
          <w:sz w:val="26"/>
          <w:szCs w:val="26"/>
        </w:rPr>
        <w:t>-  - - - - - - - -</w:t>
      </w:r>
    </w:p>
    <w:p w14:paraId="04ECA961" w14:textId="77777777" w:rsidR="00295F71" w:rsidRPr="00295F71" w:rsidRDefault="00295F71" w:rsidP="00295F71">
      <w:pPr>
        <w:spacing w:after="120" w:line="240" w:lineRule="auto"/>
        <w:ind w:left="851" w:right="900"/>
        <w:jc w:val="both"/>
        <w:rPr>
          <w:rFonts w:ascii="Arial" w:eastAsia="Times New Roman" w:hAnsi="Arial" w:cs="Arial"/>
          <w:i/>
          <w:iCs/>
          <w:color w:val="000000" w:themeColor="text1"/>
        </w:rPr>
      </w:pPr>
      <w:r w:rsidRPr="00295F71">
        <w:rPr>
          <w:rFonts w:ascii="Arial" w:eastAsia="Times New Roman" w:hAnsi="Arial" w:cs="Arial"/>
          <w:b/>
          <w:bCs/>
          <w:i/>
          <w:iCs/>
          <w:color w:val="000000" w:themeColor="text1"/>
        </w:rPr>
        <w:t xml:space="preserve"> “FUNDAMENTACIÓN Y MOTIVACIÓN. </w:t>
      </w:r>
      <w:r w:rsidRPr="00295F71">
        <w:rPr>
          <w:rFonts w:ascii="Arial" w:eastAsia="Times New Roman" w:hAnsi="Arial" w:cs="Arial"/>
          <w:i/>
          <w:iCs/>
          <w:color w:val="000000" w:themeColor="text1"/>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w:t>
      </w:r>
    </w:p>
    <w:p w14:paraId="062AA504" w14:textId="77777777" w:rsidR="00295F71" w:rsidRPr="00295F71" w:rsidRDefault="00295F71" w:rsidP="00295F71">
      <w:pPr>
        <w:spacing w:after="120" w:line="240" w:lineRule="auto"/>
        <w:ind w:left="851" w:right="900"/>
        <w:jc w:val="both"/>
        <w:rPr>
          <w:rFonts w:ascii="Arial" w:eastAsia="Times New Roman" w:hAnsi="Arial" w:cs="Arial"/>
          <w:i/>
          <w:iCs/>
          <w:color w:val="000000" w:themeColor="text1"/>
        </w:rPr>
      </w:pPr>
    </w:p>
    <w:p w14:paraId="2D093577" w14:textId="77777777" w:rsidR="00295F71" w:rsidRPr="00295F71" w:rsidRDefault="00295F71" w:rsidP="00295F71">
      <w:pPr>
        <w:spacing w:after="120" w:line="360" w:lineRule="auto"/>
        <w:ind w:firstLine="709"/>
        <w:jc w:val="both"/>
        <w:rPr>
          <w:rFonts w:ascii="Arial" w:eastAsia="Calibri" w:hAnsi="Arial" w:cs="Arial"/>
          <w:bCs/>
          <w:sz w:val="26"/>
          <w:szCs w:val="26"/>
        </w:rPr>
      </w:pPr>
      <w:r w:rsidRPr="00295F71">
        <w:rPr>
          <w:rFonts w:ascii="Arial" w:eastAsia="Calibri" w:hAnsi="Arial" w:cs="Arial"/>
          <w:bCs/>
          <w:sz w:val="26"/>
          <w:szCs w:val="26"/>
        </w:rPr>
        <w:t xml:space="preserve">Por ende, la Sala Unitaria de Primera Instancia con el dictado de la sentencia de veintisiete de octubre de dos mil veintiuno, no transgredió los principios de congruencia y exhaustividad, pues fijó de manera clara y precisa los puntos controvertidos en el asunto, expresó las razones por las que hizo uso de la facultad para suplir la deficiencia de la queja, y realizó el examen y valoración de las pruebas que rindieron las partes.- </w:t>
      </w:r>
    </w:p>
    <w:p w14:paraId="5554D3BF" w14:textId="12C02F35" w:rsidR="00295F71" w:rsidRPr="00295F71" w:rsidRDefault="00295F71" w:rsidP="00295F71">
      <w:pPr>
        <w:spacing w:after="120" w:line="360" w:lineRule="auto"/>
        <w:ind w:firstLine="709"/>
        <w:jc w:val="both"/>
        <w:rPr>
          <w:rFonts w:ascii="Arial" w:eastAsia="Calibri" w:hAnsi="Arial" w:cs="Arial"/>
          <w:bCs/>
          <w:sz w:val="26"/>
          <w:szCs w:val="26"/>
        </w:rPr>
      </w:pPr>
      <w:r w:rsidRPr="00295F71">
        <w:rPr>
          <w:rFonts w:ascii="Arial" w:eastAsia="Calibri" w:hAnsi="Arial" w:cs="Arial"/>
          <w:bCs/>
          <w:sz w:val="26"/>
          <w:szCs w:val="26"/>
        </w:rPr>
        <w:t xml:space="preserve">Además, </w:t>
      </w:r>
      <w:r w:rsidRPr="00295F71">
        <w:rPr>
          <w:rFonts w:ascii="Arial" w:eastAsia="Calibri" w:hAnsi="Arial" w:cs="Arial"/>
          <w:bCs/>
          <w:color w:val="000000" w:themeColor="text1"/>
          <w:sz w:val="26"/>
          <w:szCs w:val="26"/>
        </w:rPr>
        <w:t xml:space="preserve">de que sí </w:t>
      </w:r>
      <w:r w:rsidRPr="00295F71">
        <w:rPr>
          <w:rFonts w:ascii="Arial" w:eastAsia="Calibri" w:hAnsi="Arial" w:cs="Arial"/>
          <w:bCs/>
          <w:sz w:val="26"/>
          <w:szCs w:val="26"/>
        </w:rPr>
        <w:t xml:space="preserve">fundó y motivó su determinación, cuando señaló las razones por las que consideró que el acta de infracción con número de folio </w:t>
      </w:r>
      <w:r w:rsidR="005C5617">
        <w:rPr>
          <w:rFonts w:ascii="Arial" w:eastAsia="Calibri" w:hAnsi="Arial" w:cs="Arial"/>
          <w:bCs/>
          <w:sz w:val="26"/>
          <w:szCs w:val="26"/>
        </w:rPr>
        <w:t>*******</w:t>
      </w:r>
      <w:r w:rsidRPr="00295F71">
        <w:rPr>
          <w:rFonts w:ascii="Arial" w:eastAsia="Calibri" w:hAnsi="Arial" w:cs="Arial"/>
          <w:bCs/>
          <w:sz w:val="26"/>
          <w:szCs w:val="26"/>
        </w:rPr>
        <w:t xml:space="preserve">, carece de la debida fundamentación y motivación, ya que citó los preceptos legales y los criterios con los que sustentó sus consideraciones para arribar a la conclusión que el </w:t>
      </w:r>
      <w:r w:rsidRPr="00295F71">
        <w:rPr>
          <w:rFonts w:ascii="Arial" w:eastAsia="Calibri" w:hAnsi="Arial" w:cs="Arial"/>
          <w:b/>
          <w:bCs/>
          <w:sz w:val="26"/>
          <w:szCs w:val="26"/>
        </w:rPr>
        <w:t>Policía Vial con</w:t>
      </w:r>
      <w:r w:rsidRPr="00295F71">
        <w:rPr>
          <w:rFonts w:ascii="Arial" w:eastAsia="Calibri" w:hAnsi="Arial" w:cs="Arial"/>
          <w:bCs/>
          <w:sz w:val="26"/>
          <w:szCs w:val="26"/>
        </w:rPr>
        <w:t xml:space="preserve"> </w:t>
      </w:r>
      <w:r w:rsidRPr="00295F71">
        <w:rPr>
          <w:rFonts w:ascii="Arial" w:eastAsia="Calibri" w:hAnsi="Arial" w:cs="Arial"/>
          <w:b/>
          <w:bCs/>
          <w:sz w:val="26"/>
          <w:szCs w:val="26"/>
        </w:rPr>
        <w:t>número estadístico PV-051</w:t>
      </w:r>
      <w:r w:rsidRPr="00295F71">
        <w:rPr>
          <w:rFonts w:ascii="Arial" w:eastAsia="Calibri" w:hAnsi="Arial" w:cs="Arial"/>
          <w:bCs/>
          <w:sz w:val="26"/>
          <w:szCs w:val="26"/>
        </w:rPr>
        <w:t>, soslayó cumplir con la obligación de fundar y motivar el acto impugnado</w:t>
      </w:r>
      <w:bookmarkStart w:id="8" w:name="_Hlk99544118"/>
      <w:r w:rsidRPr="00295F71">
        <w:rPr>
          <w:rFonts w:ascii="Arial" w:eastAsia="Calibri" w:hAnsi="Arial" w:cs="Arial"/>
          <w:bCs/>
          <w:sz w:val="26"/>
          <w:szCs w:val="26"/>
        </w:rPr>
        <w:t xml:space="preserve">, y finalmente determinó que con </w:t>
      </w:r>
      <w:r w:rsidRPr="00295F71">
        <w:rPr>
          <w:rFonts w:ascii="Arial" w:eastAsia="Calibri" w:hAnsi="Arial" w:cs="Arial"/>
          <w:bCs/>
          <w:sz w:val="26"/>
          <w:szCs w:val="26"/>
        </w:rPr>
        <w:lastRenderedPageBreak/>
        <w:t>la declaración de la nulidad lisa y llana del acta de infracción impugnada, resultaba innecesario el análisis de los restantes conceptos de impugnación, en virtud de que de hacerlo en nada variaría el resultado del fallo, pues con el estudiado, se alcanzó el beneficio máximo solicitado por el demandante, como fue la nulidad total del acto demandado. En tal virtud, la Primera Instancia con el dictado de la sentencia combatida, no transgredió el principio de congruencia y exhaustividad, pues ésta fue emitida conforme a lo previsto en el artículo 207</w:t>
      </w:r>
      <w:r w:rsidRPr="00295F71">
        <w:rPr>
          <w:rFonts w:ascii="Arial" w:eastAsia="Calibri" w:hAnsi="Arial" w:cs="Arial"/>
          <w:bCs/>
          <w:sz w:val="26"/>
          <w:szCs w:val="26"/>
          <w:vertAlign w:val="superscript"/>
        </w:rPr>
        <w:footnoteReference w:id="3"/>
      </w:r>
      <w:r w:rsidRPr="00295F71">
        <w:rPr>
          <w:rFonts w:ascii="Arial" w:eastAsia="Calibri" w:hAnsi="Arial" w:cs="Arial"/>
          <w:bCs/>
          <w:sz w:val="26"/>
          <w:szCs w:val="26"/>
        </w:rPr>
        <w:t xml:space="preserve">, fracciones I y II de la Ley de </w:t>
      </w:r>
      <w:r w:rsidRPr="00295F71">
        <w:rPr>
          <w:rFonts w:ascii="Arial" w:eastAsia="Calibri" w:hAnsi="Arial" w:cs="Arial"/>
          <w:sz w:val="26"/>
          <w:szCs w:val="26"/>
          <w:lang w:val="es-ES" w:eastAsia="en-US"/>
        </w:rPr>
        <w:t>Procedimiento y Justicia Administrativa para el Estado de Oaxaca</w:t>
      </w:r>
      <w:r w:rsidRPr="00295F71">
        <w:rPr>
          <w:rFonts w:ascii="Arial" w:eastAsia="Calibri" w:hAnsi="Arial" w:cs="Arial"/>
          <w:bCs/>
          <w:sz w:val="26"/>
          <w:szCs w:val="26"/>
        </w:rPr>
        <w:t xml:space="preserve">.- - - - - - - - - - - - - - - - - - - - - - </w:t>
      </w:r>
    </w:p>
    <w:bookmarkEnd w:id="8"/>
    <w:p w14:paraId="324C2519" w14:textId="2429A4F0" w:rsidR="00295F71" w:rsidRPr="00295F71" w:rsidRDefault="00295F71" w:rsidP="00295F71">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sidRPr="00295F71">
        <w:rPr>
          <w:rFonts w:ascii="Arial" w:eastAsia="Calibri" w:hAnsi="Arial" w:cs="Arial"/>
          <w:sz w:val="26"/>
          <w:szCs w:val="26"/>
          <w:lang w:val="es-ES" w:eastAsia="en-US"/>
        </w:rPr>
        <w:t xml:space="preserve">En consecuencia, lo procedente es </w:t>
      </w:r>
      <w:r w:rsidRPr="00295F71">
        <w:rPr>
          <w:rFonts w:ascii="Arial" w:eastAsia="Calibri" w:hAnsi="Arial" w:cs="Arial"/>
          <w:b/>
          <w:bCs/>
          <w:sz w:val="26"/>
          <w:szCs w:val="26"/>
          <w:lang w:val="es-ES" w:eastAsia="en-US"/>
        </w:rPr>
        <w:t>C</w:t>
      </w:r>
      <w:r w:rsidRPr="00295F71">
        <w:rPr>
          <w:rFonts w:ascii="Arial" w:eastAsia="Calibri" w:hAnsi="Arial" w:cs="Arial"/>
          <w:b/>
          <w:sz w:val="26"/>
          <w:szCs w:val="26"/>
          <w:lang w:val="es-ES" w:eastAsia="en-US"/>
        </w:rPr>
        <w:t>ONFIRMAR</w:t>
      </w:r>
      <w:r w:rsidRPr="00295F71">
        <w:rPr>
          <w:rFonts w:ascii="Arial" w:eastAsia="Calibri" w:hAnsi="Arial" w:cs="Arial"/>
          <w:sz w:val="26"/>
          <w:szCs w:val="26"/>
          <w:lang w:val="es-ES" w:eastAsia="en-US"/>
        </w:rPr>
        <w:t xml:space="preserve"> la sentencia recurrida; por tanto, </w:t>
      </w:r>
      <w:r w:rsidRPr="00295F71">
        <w:rPr>
          <w:rFonts w:ascii="Arial" w:eastAsia="Calibri" w:hAnsi="Arial" w:cs="Arial"/>
          <w:bCs/>
          <w:sz w:val="26"/>
          <w:szCs w:val="26"/>
          <w:lang w:val="es-ES" w:eastAsia="en-US"/>
        </w:rPr>
        <w:t>c</w:t>
      </w:r>
      <w:r w:rsidRPr="00295F71">
        <w:rPr>
          <w:rFonts w:ascii="Arial" w:eastAsia="Calibri" w:hAnsi="Arial" w:cs="Arial"/>
          <w:sz w:val="26"/>
          <w:szCs w:val="26"/>
          <w:lang w:val="es-ES" w:eastAsia="en-US"/>
        </w:rPr>
        <w:t>on fundamento en los artículos 236 y 238 de la Ley de Procedimiento y Justicia Administrativa para el Estado de Oaxaca, se: - - - - - - - - - - - - - - - - - - - - - - - - - - - - - - - - - - - - - - - - - - - - - - - - -</w:t>
      </w:r>
    </w:p>
    <w:p w14:paraId="2E37FA56" w14:textId="77777777" w:rsidR="00295F71" w:rsidRPr="00295F71" w:rsidRDefault="00295F71" w:rsidP="00295F71">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295F71">
        <w:rPr>
          <w:rFonts w:ascii="Arial" w:eastAsia="Times New Roman" w:hAnsi="Arial" w:cs="Arial"/>
          <w:b/>
          <w:sz w:val="24"/>
          <w:szCs w:val="24"/>
          <w:lang w:val="es-ES"/>
        </w:rPr>
        <w:t>R E S U E L V E</w:t>
      </w:r>
    </w:p>
    <w:p w14:paraId="348B8F4F" w14:textId="77777777" w:rsidR="00295F71" w:rsidRPr="00295F71" w:rsidRDefault="00295F71" w:rsidP="00295F71">
      <w:pPr>
        <w:spacing w:after="120" w:line="360" w:lineRule="auto"/>
        <w:ind w:firstLine="708"/>
        <w:jc w:val="both"/>
        <w:rPr>
          <w:rFonts w:ascii="Arial" w:eastAsia="Times New Roman" w:hAnsi="Arial" w:cs="Arial"/>
          <w:color w:val="000000"/>
          <w:sz w:val="26"/>
          <w:szCs w:val="26"/>
        </w:rPr>
      </w:pPr>
      <w:r w:rsidRPr="00295F71">
        <w:rPr>
          <w:rFonts w:ascii="Arial" w:eastAsia="Times New Roman" w:hAnsi="Arial" w:cs="Arial"/>
          <w:b/>
          <w:color w:val="000000"/>
          <w:sz w:val="26"/>
          <w:szCs w:val="26"/>
          <w:lang w:val="es-ES"/>
        </w:rPr>
        <w:t>PRIMERO</w:t>
      </w:r>
      <w:r w:rsidRPr="00295F71">
        <w:rPr>
          <w:rFonts w:ascii="Arial" w:eastAsia="Times New Roman" w:hAnsi="Arial" w:cs="Arial"/>
          <w:color w:val="000000"/>
          <w:sz w:val="26"/>
          <w:szCs w:val="26"/>
          <w:lang w:val="es-ES"/>
        </w:rPr>
        <w:t xml:space="preserve">. </w:t>
      </w:r>
      <w:r w:rsidRPr="00295F71">
        <w:rPr>
          <w:rFonts w:ascii="Arial" w:eastAsia="Times New Roman" w:hAnsi="Arial" w:cs="Arial"/>
          <w:color w:val="000000"/>
          <w:sz w:val="26"/>
          <w:szCs w:val="26"/>
        </w:rPr>
        <w:t>Se</w:t>
      </w:r>
      <w:r w:rsidRPr="00295F71">
        <w:rPr>
          <w:rFonts w:ascii="Arial" w:eastAsia="Times New Roman" w:hAnsi="Arial" w:cs="Arial"/>
          <w:b/>
          <w:color w:val="000000"/>
          <w:sz w:val="26"/>
          <w:szCs w:val="26"/>
        </w:rPr>
        <w:t xml:space="preserve"> CONFIRMA </w:t>
      </w:r>
      <w:r w:rsidRPr="00295F71">
        <w:rPr>
          <w:rFonts w:ascii="Arial" w:eastAsia="Times New Roman" w:hAnsi="Arial" w:cs="Arial"/>
          <w:bCs/>
          <w:color w:val="000000"/>
          <w:sz w:val="26"/>
          <w:szCs w:val="26"/>
        </w:rPr>
        <w:t xml:space="preserve">la sentencia dictada el veintisiete de octubre de dos mil veintiuno, </w:t>
      </w:r>
      <w:r w:rsidRPr="00295F71">
        <w:rPr>
          <w:rFonts w:ascii="Arial" w:eastAsia="Times New Roman" w:hAnsi="Arial" w:cs="Arial"/>
          <w:color w:val="000000"/>
          <w:sz w:val="26"/>
          <w:szCs w:val="26"/>
        </w:rPr>
        <w:t xml:space="preserve">por las razones expuestas en el considerando que antecede.- - - - - - - - - - - - - - - - - - - - - - - - - - - - - - - </w:t>
      </w:r>
    </w:p>
    <w:p w14:paraId="690589E9" w14:textId="77777777" w:rsidR="00295F71" w:rsidRPr="00295F71" w:rsidRDefault="00295F71" w:rsidP="00295F71">
      <w:pPr>
        <w:widowControl w:val="0"/>
        <w:tabs>
          <w:tab w:val="left" w:pos="7938"/>
        </w:tabs>
        <w:spacing w:after="120" w:line="360" w:lineRule="auto"/>
        <w:ind w:right="17" w:firstLine="709"/>
        <w:jc w:val="both"/>
        <w:rPr>
          <w:rFonts w:ascii="Arial" w:hAnsi="Arial" w:cs="Arial"/>
          <w:sz w:val="26"/>
          <w:szCs w:val="26"/>
        </w:rPr>
      </w:pPr>
      <w:r w:rsidRPr="00295F71">
        <w:rPr>
          <w:rFonts w:ascii="Arial" w:hAnsi="Arial" w:cs="Arial"/>
          <w:b/>
          <w:sz w:val="26"/>
          <w:szCs w:val="26"/>
        </w:rPr>
        <w:t>SEGUNDO</w:t>
      </w:r>
      <w:r w:rsidRPr="00295F71">
        <w:rPr>
          <w:rFonts w:ascii="Arial" w:hAnsi="Arial" w:cs="Arial"/>
          <w:sz w:val="26"/>
          <w:szCs w:val="26"/>
        </w:rPr>
        <w:t xml:space="preserve">. </w:t>
      </w:r>
      <w:r w:rsidRPr="00295F71">
        <w:rPr>
          <w:rFonts w:ascii="Arial" w:hAnsi="Arial" w:cs="Arial"/>
          <w:b/>
          <w:sz w:val="26"/>
          <w:szCs w:val="26"/>
        </w:rPr>
        <w:t xml:space="preserve">NOTIFÍQUESE Y CÚMPLASE. </w:t>
      </w:r>
      <w:r w:rsidRPr="00295F71">
        <w:rPr>
          <w:rFonts w:ascii="Arial" w:hAnsi="Arial" w:cs="Arial"/>
          <w:sz w:val="26"/>
          <w:szCs w:val="26"/>
        </w:rPr>
        <w:t xml:space="preserve">Con copia certificada de la presente resolución, devuélvase el expediente a la Cuarta Sala Unitaria de Primera Instancia de este Tribunal, y en su oportunidad archívese el presente cuaderno de revisión como asunto concluido.- - - </w:t>
      </w:r>
    </w:p>
    <w:p w14:paraId="1488A309" w14:textId="77777777" w:rsidR="00295F71" w:rsidRPr="00295F71" w:rsidRDefault="00295F71" w:rsidP="00295F71">
      <w:pPr>
        <w:widowControl w:val="0"/>
        <w:tabs>
          <w:tab w:val="left" w:pos="0"/>
        </w:tabs>
        <w:spacing w:after="120" w:line="360" w:lineRule="auto"/>
        <w:ind w:right="18"/>
        <w:jc w:val="both"/>
        <w:rPr>
          <w:rFonts w:ascii="Arial" w:hAnsi="Arial" w:cs="Arial"/>
          <w:sz w:val="26"/>
          <w:szCs w:val="26"/>
        </w:rPr>
      </w:pPr>
      <w:r w:rsidRPr="00295F71">
        <w:rPr>
          <w:rFonts w:ascii="Arial" w:hAnsi="Arial" w:cs="Arial"/>
          <w:sz w:val="26"/>
          <w:szCs w:val="26"/>
        </w:rPr>
        <w:tab/>
        <w:t>Por unanimidad de votos, lo resolvieron y firmaron los Magistrados Integrantes de la Sala Superior Manuel Velasco Alcántara, Raúl Palomares Palomino,</w:t>
      </w:r>
      <w:r w:rsidRPr="00295F71">
        <w:rPr>
          <w:rFonts w:ascii="Arial" w:hAnsi="Arial" w:cs="Arial"/>
          <w:b/>
          <w:bCs/>
          <w:sz w:val="26"/>
          <w:szCs w:val="26"/>
        </w:rPr>
        <w:t xml:space="preserve"> </w:t>
      </w:r>
      <w:r w:rsidRPr="00295F71">
        <w:rPr>
          <w:rFonts w:ascii="Arial" w:hAnsi="Arial" w:cs="Arial"/>
          <w:sz w:val="26"/>
          <w:szCs w:val="26"/>
        </w:rPr>
        <w:t xml:space="preserve">Gloria del Carmen Camacho Meza </w:t>
      </w:r>
      <w:r w:rsidRPr="00295F71">
        <w:rPr>
          <w:rFonts w:ascii="Arial" w:hAnsi="Arial" w:cs="Arial"/>
          <w:b/>
          <w:sz w:val="26"/>
          <w:szCs w:val="26"/>
        </w:rPr>
        <w:t>(ponente),</w:t>
      </w:r>
      <w:r w:rsidRPr="00295F71">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w:t>
      </w:r>
    </w:p>
    <w:p w14:paraId="58E35F9E" w14:textId="77777777" w:rsidR="00295F71" w:rsidRPr="00295F71" w:rsidRDefault="00295F71" w:rsidP="00295F71">
      <w:pPr>
        <w:tabs>
          <w:tab w:val="center" w:pos="4135"/>
          <w:tab w:val="left" w:pos="7515"/>
        </w:tabs>
        <w:spacing w:line="360" w:lineRule="auto"/>
        <w:jc w:val="both"/>
        <w:rPr>
          <w:rFonts w:ascii="Arial" w:eastAsia="Times New Roman" w:hAnsi="Arial" w:cs="Arial"/>
          <w:sz w:val="26"/>
          <w:szCs w:val="26"/>
        </w:rPr>
      </w:pPr>
    </w:p>
    <w:p w14:paraId="25D817F4" w14:textId="77777777" w:rsidR="00295F71" w:rsidRPr="00295F71" w:rsidRDefault="00295F71" w:rsidP="00295F71">
      <w:pPr>
        <w:tabs>
          <w:tab w:val="center" w:pos="4135"/>
          <w:tab w:val="left" w:pos="7515"/>
        </w:tabs>
        <w:spacing w:line="360" w:lineRule="auto"/>
        <w:jc w:val="both"/>
        <w:rPr>
          <w:rFonts w:ascii="Arial" w:eastAsia="Times New Roman" w:hAnsi="Arial" w:cs="Arial"/>
          <w:sz w:val="26"/>
          <w:szCs w:val="26"/>
        </w:rPr>
      </w:pPr>
    </w:p>
    <w:p w14:paraId="6E1BA02A" w14:textId="77777777" w:rsidR="00295F71" w:rsidRPr="00295F71" w:rsidRDefault="00295F71" w:rsidP="00295F71">
      <w:pPr>
        <w:tabs>
          <w:tab w:val="center" w:pos="4135"/>
          <w:tab w:val="left" w:pos="7515"/>
        </w:tabs>
        <w:spacing w:line="360" w:lineRule="auto"/>
        <w:jc w:val="both"/>
        <w:rPr>
          <w:rFonts w:ascii="Arial" w:eastAsia="Times New Roman" w:hAnsi="Arial" w:cs="Arial"/>
          <w:sz w:val="26"/>
          <w:szCs w:val="26"/>
        </w:rPr>
      </w:pPr>
    </w:p>
    <w:p w14:paraId="34DC51C3" w14:textId="77777777" w:rsidR="00295F71" w:rsidRPr="00295F71" w:rsidRDefault="00295F71" w:rsidP="00295F71">
      <w:pPr>
        <w:tabs>
          <w:tab w:val="center" w:pos="4135"/>
          <w:tab w:val="left" w:pos="7515"/>
        </w:tabs>
        <w:spacing w:after="0" w:line="240" w:lineRule="auto"/>
        <w:jc w:val="center"/>
        <w:rPr>
          <w:rFonts w:ascii="Arial" w:eastAsia="Times New Roman" w:hAnsi="Arial" w:cs="Arial"/>
          <w:sz w:val="26"/>
          <w:szCs w:val="26"/>
        </w:rPr>
      </w:pPr>
      <w:r w:rsidRPr="00295F71">
        <w:rPr>
          <w:rFonts w:ascii="Arial" w:eastAsia="Times New Roman" w:hAnsi="Arial" w:cs="Arial"/>
          <w:sz w:val="26"/>
          <w:szCs w:val="26"/>
        </w:rPr>
        <w:t>MAGISTRADO MANUEL VELASCO ALCÁNTARA</w:t>
      </w:r>
    </w:p>
    <w:p w14:paraId="03396BE7" w14:textId="77777777" w:rsidR="00295F71" w:rsidRPr="00295F71" w:rsidRDefault="00295F71" w:rsidP="00295F71">
      <w:pPr>
        <w:tabs>
          <w:tab w:val="center" w:pos="4135"/>
          <w:tab w:val="left" w:pos="7515"/>
        </w:tabs>
        <w:spacing w:after="0" w:line="240" w:lineRule="auto"/>
        <w:jc w:val="center"/>
        <w:rPr>
          <w:rFonts w:ascii="Arial" w:eastAsia="Times New Roman" w:hAnsi="Arial" w:cs="Arial"/>
          <w:sz w:val="26"/>
          <w:szCs w:val="26"/>
        </w:rPr>
      </w:pPr>
      <w:r w:rsidRPr="00295F71">
        <w:rPr>
          <w:rFonts w:ascii="Arial" w:eastAsia="Times New Roman" w:hAnsi="Arial" w:cs="Arial"/>
          <w:sz w:val="26"/>
          <w:szCs w:val="26"/>
        </w:rPr>
        <w:t>PRESIDENTE</w:t>
      </w:r>
    </w:p>
    <w:p w14:paraId="092EAD16" w14:textId="7876ACFD" w:rsidR="00006171" w:rsidRPr="00295F71" w:rsidRDefault="00006171" w:rsidP="00006171">
      <w:pPr>
        <w:tabs>
          <w:tab w:val="center" w:pos="4135"/>
          <w:tab w:val="left" w:pos="7515"/>
        </w:tabs>
        <w:spacing w:line="360" w:lineRule="auto"/>
        <w:jc w:val="center"/>
        <w:rPr>
          <w:rFonts w:ascii="Arial" w:eastAsia="Times New Roman" w:hAnsi="Arial" w:cs="Arial"/>
          <w:b/>
          <w:bCs/>
          <w:sz w:val="16"/>
          <w:szCs w:val="16"/>
        </w:rPr>
      </w:pPr>
      <w:r w:rsidRPr="00295F71">
        <w:rPr>
          <w:rFonts w:ascii="Arial" w:eastAsia="Times New Roman" w:hAnsi="Arial" w:cs="Arial"/>
          <w:b/>
          <w:bCs/>
          <w:sz w:val="16"/>
          <w:szCs w:val="16"/>
        </w:rPr>
        <w:lastRenderedPageBreak/>
        <w:t>LAS PRESENTES FIRMAS CORRESPONDEN A LA RES</w:t>
      </w:r>
      <w:bookmarkStart w:id="9" w:name="_GoBack"/>
      <w:bookmarkEnd w:id="9"/>
      <w:r w:rsidRPr="00295F71">
        <w:rPr>
          <w:rFonts w:ascii="Arial" w:eastAsia="Times New Roman" w:hAnsi="Arial" w:cs="Arial"/>
          <w:b/>
          <w:bCs/>
          <w:sz w:val="16"/>
          <w:szCs w:val="16"/>
        </w:rPr>
        <w:t>OLUCIÓN DEL RECURSO DE REVISIÓN 0</w:t>
      </w:r>
      <w:r>
        <w:rPr>
          <w:rFonts w:ascii="Arial" w:eastAsia="Times New Roman" w:hAnsi="Arial" w:cs="Arial"/>
          <w:b/>
          <w:bCs/>
          <w:sz w:val="16"/>
          <w:szCs w:val="16"/>
        </w:rPr>
        <w:t>451</w:t>
      </w:r>
      <w:r w:rsidRPr="00295F71">
        <w:rPr>
          <w:rFonts w:ascii="Arial" w:eastAsia="Times New Roman" w:hAnsi="Arial" w:cs="Arial"/>
          <w:b/>
          <w:bCs/>
          <w:sz w:val="16"/>
          <w:szCs w:val="16"/>
        </w:rPr>
        <w:t>/202</w:t>
      </w:r>
      <w:r>
        <w:rPr>
          <w:rFonts w:ascii="Arial" w:eastAsia="Times New Roman" w:hAnsi="Arial" w:cs="Arial"/>
          <w:b/>
          <w:bCs/>
          <w:sz w:val="16"/>
          <w:szCs w:val="16"/>
        </w:rPr>
        <w:t>1</w:t>
      </w:r>
      <w:r w:rsidRPr="00295F71">
        <w:rPr>
          <w:rFonts w:ascii="Arial" w:eastAsia="Times New Roman" w:hAnsi="Arial" w:cs="Arial"/>
          <w:b/>
          <w:bCs/>
          <w:sz w:val="16"/>
          <w:szCs w:val="16"/>
        </w:rPr>
        <w:t>.</w:t>
      </w:r>
    </w:p>
    <w:p w14:paraId="4CED2A06"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41720F5C"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4FC40B78"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2EF8ECA3"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1E9AEE3A"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r w:rsidRPr="00295F71">
        <w:rPr>
          <w:rFonts w:ascii="Arial" w:eastAsia="Times New Roman" w:hAnsi="Arial" w:cs="Arial"/>
          <w:sz w:val="26"/>
          <w:szCs w:val="26"/>
        </w:rPr>
        <w:t>MAGISTRADO RAÚL PALOMARES PALOMINO</w:t>
      </w:r>
    </w:p>
    <w:p w14:paraId="38B1E5B6"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1BC64B44"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21422282"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01328E8D"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0B9368FB"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r w:rsidRPr="00295F71">
        <w:rPr>
          <w:rFonts w:ascii="Arial" w:eastAsia="Times New Roman" w:hAnsi="Arial" w:cs="Arial"/>
          <w:sz w:val="26"/>
          <w:szCs w:val="26"/>
        </w:rPr>
        <w:t>MAGISTRADA GLORIA DEL CARMEN CAMACHO MEZA</w:t>
      </w:r>
    </w:p>
    <w:p w14:paraId="312F09AD"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7493026E"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46D13095"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3F50384D" w14:textId="77777777" w:rsidR="00295F71" w:rsidRPr="00295F71" w:rsidRDefault="00295F71" w:rsidP="00006171">
      <w:pPr>
        <w:tabs>
          <w:tab w:val="center" w:pos="4135"/>
          <w:tab w:val="left" w:pos="7515"/>
        </w:tabs>
        <w:spacing w:line="360" w:lineRule="auto"/>
        <w:rPr>
          <w:rFonts w:ascii="Arial" w:eastAsia="Times New Roman" w:hAnsi="Arial" w:cs="Arial"/>
          <w:sz w:val="26"/>
          <w:szCs w:val="26"/>
        </w:rPr>
      </w:pPr>
    </w:p>
    <w:p w14:paraId="038CBC6A"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4924EB33"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r w:rsidRPr="00295F71">
        <w:rPr>
          <w:rFonts w:ascii="Arial" w:eastAsia="Times New Roman" w:hAnsi="Arial" w:cs="Arial"/>
          <w:sz w:val="26"/>
          <w:szCs w:val="26"/>
        </w:rPr>
        <w:t>MAGISTRADO PAULO JOSÉ LUIS TAPIA PALACIOS</w:t>
      </w:r>
    </w:p>
    <w:p w14:paraId="285FE250"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0179E84A"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3CD10E76"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3B24ABD2"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p>
    <w:p w14:paraId="08E06C43" w14:textId="77777777" w:rsidR="00295F71" w:rsidRPr="00295F71" w:rsidRDefault="00295F71" w:rsidP="00295F71">
      <w:pPr>
        <w:tabs>
          <w:tab w:val="center" w:pos="4135"/>
          <w:tab w:val="left" w:pos="7515"/>
        </w:tabs>
        <w:spacing w:line="360" w:lineRule="auto"/>
        <w:jc w:val="center"/>
        <w:rPr>
          <w:rFonts w:ascii="Arial" w:eastAsia="Times New Roman" w:hAnsi="Arial" w:cs="Arial"/>
          <w:sz w:val="26"/>
          <w:szCs w:val="26"/>
        </w:rPr>
      </w:pPr>
      <w:r w:rsidRPr="00295F71">
        <w:rPr>
          <w:rFonts w:ascii="Arial" w:eastAsia="Times New Roman" w:hAnsi="Arial" w:cs="Arial"/>
          <w:sz w:val="26"/>
          <w:szCs w:val="26"/>
        </w:rPr>
        <w:t>MAGISTRADO ELÍAS CORTÉS LÓPEZ</w:t>
      </w:r>
    </w:p>
    <w:p w14:paraId="24A5F911" w14:textId="77777777" w:rsidR="00295F71" w:rsidRPr="00295F71" w:rsidRDefault="00295F71" w:rsidP="00295F71">
      <w:pPr>
        <w:spacing w:after="0" w:line="240" w:lineRule="auto"/>
        <w:jc w:val="center"/>
        <w:rPr>
          <w:rFonts w:ascii="Arial" w:eastAsia="Times New Roman" w:hAnsi="Arial" w:cs="Arial"/>
          <w:sz w:val="26"/>
          <w:szCs w:val="26"/>
        </w:rPr>
      </w:pPr>
    </w:p>
    <w:p w14:paraId="0E50D9E5" w14:textId="77777777" w:rsidR="00295F71" w:rsidRPr="00295F71" w:rsidRDefault="00295F71" w:rsidP="00295F71">
      <w:pPr>
        <w:spacing w:after="0" w:line="240" w:lineRule="auto"/>
        <w:jc w:val="center"/>
        <w:rPr>
          <w:rFonts w:ascii="Arial" w:eastAsia="Times New Roman" w:hAnsi="Arial" w:cs="Arial"/>
          <w:sz w:val="26"/>
          <w:szCs w:val="26"/>
        </w:rPr>
      </w:pPr>
    </w:p>
    <w:p w14:paraId="4EC3DC10" w14:textId="77777777" w:rsidR="00295F71" w:rsidRPr="00295F71" w:rsidRDefault="00295F71" w:rsidP="00295F71">
      <w:pPr>
        <w:spacing w:after="0" w:line="240" w:lineRule="auto"/>
        <w:jc w:val="center"/>
        <w:rPr>
          <w:rFonts w:ascii="Arial" w:eastAsia="Times New Roman" w:hAnsi="Arial" w:cs="Arial"/>
          <w:sz w:val="26"/>
          <w:szCs w:val="26"/>
        </w:rPr>
      </w:pPr>
    </w:p>
    <w:p w14:paraId="4ADE42A7" w14:textId="77777777" w:rsidR="00295F71" w:rsidRPr="00295F71" w:rsidRDefault="00295F71" w:rsidP="00295F71">
      <w:pPr>
        <w:spacing w:after="0" w:line="240" w:lineRule="auto"/>
        <w:jc w:val="center"/>
        <w:rPr>
          <w:rFonts w:ascii="Arial" w:eastAsia="Times New Roman" w:hAnsi="Arial" w:cs="Arial"/>
          <w:sz w:val="26"/>
          <w:szCs w:val="26"/>
        </w:rPr>
      </w:pPr>
    </w:p>
    <w:p w14:paraId="4BAFEFA3" w14:textId="77777777" w:rsidR="00295F71" w:rsidRPr="00295F71" w:rsidRDefault="00295F71" w:rsidP="00295F71">
      <w:pPr>
        <w:spacing w:after="0" w:line="240" w:lineRule="auto"/>
        <w:jc w:val="center"/>
        <w:rPr>
          <w:rFonts w:ascii="Arial" w:eastAsia="Times New Roman" w:hAnsi="Arial" w:cs="Arial"/>
          <w:sz w:val="26"/>
          <w:szCs w:val="26"/>
        </w:rPr>
      </w:pPr>
    </w:p>
    <w:p w14:paraId="37891A6E" w14:textId="77777777" w:rsidR="00295F71" w:rsidRPr="00295F71" w:rsidRDefault="00295F71" w:rsidP="00295F71">
      <w:pPr>
        <w:spacing w:after="0" w:line="240" w:lineRule="auto"/>
        <w:jc w:val="center"/>
        <w:rPr>
          <w:rFonts w:ascii="Arial" w:eastAsia="Times New Roman" w:hAnsi="Arial" w:cs="Arial"/>
          <w:sz w:val="26"/>
          <w:szCs w:val="26"/>
        </w:rPr>
      </w:pPr>
    </w:p>
    <w:p w14:paraId="21C7BC1D" w14:textId="77777777" w:rsidR="00295F71" w:rsidRPr="00295F71" w:rsidRDefault="00295F71" w:rsidP="00295F71">
      <w:pPr>
        <w:spacing w:after="0" w:line="240" w:lineRule="auto"/>
        <w:jc w:val="center"/>
        <w:rPr>
          <w:rFonts w:ascii="Arial" w:eastAsia="Times New Roman" w:hAnsi="Arial" w:cs="Arial"/>
          <w:sz w:val="26"/>
          <w:szCs w:val="26"/>
        </w:rPr>
      </w:pPr>
    </w:p>
    <w:p w14:paraId="06886953" w14:textId="77777777" w:rsidR="00295F71" w:rsidRPr="00295F71" w:rsidRDefault="00295F71" w:rsidP="00295F71">
      <w:pPr>
        <w:spacing w:after="0" w:line="240" w:lineRule="auto"/>
        <w:jc w:val="center"/>
        <w:rPr>
          <w:rFonts w:ascii="Arial" w:eastAsia="Times New Roman" w:hAnsi="Arial" w:cs="Arial"/>
          <w:sz w:val="26"/>
          <w:szCs w:val="26"/>
        </w:rPr>
      </w:pPr>
      <w:r w:rsidRPr="00295F71">
        <w:rPr>
          <w:rFonts w:ascii="Arial" w:eastAsia="Times New Roman" w:hAnsi="Arial" w:cs="Arial"/>
          <w:sz w:val="26"/>
          <w:szCs w:val="26"/>
        </w:rPr>
        <w:t>LICENCIADO JUAN EDY GARCÍA CORONADO.</w:t>
      </w:r>
    </w:p>
    <w:p w14:paraId="3A3D3EE3" w14:textId="77777777" w:rsidR="00295F71" w:rsidRPr="00295F71" w:rsidRDefault="00295F71" w:rsidP="00295F71">
      <w:pPr>
        <w:spacing w:after="0" w:line="240" w:lineRule="auto"/>
        <w:jc w:val="center"/>
        <w:rPr>
          <w:rFonts w:ascii="Arial" w:eastAsia="Times New Roman" w:hAnsi="Arial" w:cs="Arial"/>
          <w:sz w:val="26"/>
          <w:szCs w:val="26"/>
        </w:rPr>
      </w:pPr>
      <w:r w:rsidRPr="00295F71">
        <w:rPr>
          <w:rFonts w:ascii="Arial" w:eastAsia="Times New Roman" w:hAnsi="Arial" w:cs="Arial"/>
          <w:sz w:val="26"/>
          <w:szCs w:val="26"/>
        </w:rPr>
        <w:t>SECRETARIO GENERAL DE ACUERDOS.</w:t>
      </w:r>
    </w:p>
    <w:p w14:paraId="5AA26AF9" w14:textId="77777777" w:rsidR="00295F71" w:rsidRPr="00295F71" w:rsidRDefault="00295F71" w:rsidP="00295F71">
      <w:pPr>
        <w:widowControl w:val="0"/>
        <w:tabs>
          <w:tab w:val="left" w:pos="0"/>
        </w:tabs>
        <w:spacing w:after="120" w:line="360" w:lineRule="auto"/>
        <w:ind w:right="18"/>
        <w:jc w:val="both"/>
        <w:rPr>
          <w:rFonts w:ascii="Calibri" w:eastAsia="Times New Roman" w:hAnsi="Calibri" w:cs="Times New Roman"/>
        </w:rPr>
      </w:pPr>
      <w:r w:rsidRPr="00295F71">
        <w:rPr>
          <w:rFonts w:ascii="Calibri" w:eastAsia="Times New Roman" w:hAnsi="Calibri" w:cs="Times New Roman"/>
        </w:rPr>
        <w:t xml:space="preserve"> </w:t>
      </w:r>
    </w:p>
    <w:p w14:paraId="59D0C4DF" w14:textId="77777777" w:rsidR="000B3F09" w:rsidRDefault="000B3F09" w:rsidP="00E4651E">
      <w:pPr>
        <w:shd w:val="clear" w:color="auto" w:fill="FFFFFF"/>
        <w:ind w:left="720"/>
        <w:rPr>
          <w:rStyle w:val="registros-movil-hide"/>
          <w:sz w:val="26"/>
          <w:szCs w:val="26"/>
        </w:rPr>
      </w:pPr>
    </w:p>
    <w:sectPr w:rsidR="000B3F09" w:rsidSect="00203943">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C1A71" w14:textId="77777777" w:rsidR="00BB12FC" w:rsidRDefault="00BB12FC">
      <w:pPr>
        <w:spacing w:after="0" w:line="240" w:lineRule="auto"/>
      </w:pPr>
      <w:r>
        <w:separator/>
      </w:r>
    </w:p>
  </w:endnote>
  <w:endnote w:type="continuationSeparator" w:id="0">
    <w:p w14:paraId="6FCAF16A" w14:textId="77777777" w:rsidR="00BB12FC" w:rsidRDefault="00BB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5D26C5" w:rsidRDefault="005D26C5">
    <w:pPr>
      <w:pStyle w:val="Piedepgina"/>
      <w:jc w:val="center"/>
    </w:pPr>
  </w:p>
  <w:p w14:paraId="1375E309" w14:textId="77777777" w:rsidR="005D26C5" w:rsidRDefault="005D2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41064" w14:textId="77777777" w:rsidR="00BB12FC" w:rsidRDefault="00BB12FC">
      <w:pPr>
        <w:spacing w:after="0" w:line="240" w:lineRule="auto"/>
      </w:pPr>
      <w:r>
        <w:separator/>
      </w:r>
    </w:p>
  </w:footnote>
  <w:footnote w:type="continuationSeparator" w:id="0">
    <w:p w14:paraId="1635096C" w14:textId="77777777" w:rsidR="00BB12FC" w:rsidRDefault="00BB12FC">
      <w:pPr>
        <w:spacing w:after="0" w:line="240" w:lineRule="auto"/>
      </w:pPr>
      <w:r>
        <w:continuationSeparator/>
      </w:r>
    </w:p>
  </w:footnote>
  <w:footnote w:id="1">
    <w:p w14:paraId="23EEAA80" w14:textId="77777777" w:rsidR="00295F71" w:rsidRDefault="00295F71" w:rsidP="00295F71">
      <w:pPr>
        <w:pStyle w:val="Textonotapie"/>
        <w:jc w:val="both"/>
        <w:rPr>
          <w:rFonts w:ascii="Arial" w:hAnsi="Arial" w:cs="Arial"/>
          <w:sz w:val="18"/>
          <w:szCs w:val="18"/>
        </w:rPr>
      </w:pPr>
      <w:r>
        <w:rPr>
          <w:rStyle w:val="Refdenotaalpie"/>
        </w:rPr>
        <w:footnoteRef/>
      </w:r>
      <w:r>
        <w:t xml:space="preserve"> </w:t>
      </w:r>
      <w:r w:rsidRPr="00E05E8C">
        <w:rPr>
          <w:rFonts w:ascii="Arial" w:hAnsi="Arial" w:cs="Arial"/>
          <w:b/>
          <w:sz w:val="18"/>
          <w:szCs w:val="18"/>
        </w:rPr>
        <w:t>ARTÍCULO 203</w:t>
      </w:r>
      <w:r w:rsidRPr="00E05E8C">
        <w:rPr>
          <w:rFonts w:ascii="Arial" w:hAnsi="Arial" w:cs="Arial"/>
          <w:sz w:val="18"/>
          <w:szCs w:val="18"/>
        </w:rPr>
        <w:t>.- La valoración de las pruebas se hará de acuerdo con las siguientes reglas:</w:t>
      </w:r>
    </w:p>
    <w:p w14:paraId="160FB463" w14:textId="77777777" w:rsidR="00295F71" w:rsidRDefault="00295F71" w:rsidP="00295F71">
      <w:pPr>
        <w:pStyle w:val="Textonotapie"/>
        <w:jc w:val="both"/>
        <w:rPr>
          <w:rFonts w:ascii="Arial" w:hAnsi="Arial" w:cs="Arial"/>
          <w:sz w:val="18"/>
          <w:szCs w:val="18"/>
        </w:rPr>
      </w:pPr>
    </w:p>
    <w:p w14:paraId="7388032B" w14:textId="77777777" w:rsidR="00295F71" w:rsidRPr="00E05E8C" w:rsidRDefault="00295F71" w:rsidP="00295F71">
      <w:pPr>
        <w:pStyle w:val="Textonotapie"/>
        <w:jc w:val="both"/>
        <w:rPr>
          <w:rFonts w:ascii="Arial" w:hAnsi="Arial" w:cs="Arial"/>
          <w:sz w:val="18"/>
          <w:szCs w:val="18"/>
        </w:rPr>
      </w:pPr>
      <w:r w:rsidRPr="00E05E8C">
        <w:rPr>
          <w:rFonts w:ascii="Arial" w:hAnsi="Arial" w:cs="Arial"/>
          <w:sz w:val="18"/>
          <w:szCs w:val="18"/>
        </w:rPr>
        <w:t>I. Harán prueba plena la confesión expresa de las partes y los actos contenidos en documentos públicos, si en éstos últimos se contienen declaraciones de verdad o manifestaciones de hechos de particulares</w:t>
      </w:r>
    </w:p>
  </w:footnote>
  <w:footnote w:id="2">
    <w:p w14:paraId="43EE7438" w14:textId="77777777" w:rsidR="00295F71" w:rsidRDefault="00295F71" w:rsidP="00295F71">
      <w:pPr>
        <w:pStyle w:val="Textonotapie"/>
      </w:pPr>
      <w:r>
        <w:rPr>
          <w:rStyle w:val="Refdenotaalpie"/>
        </w:rPr>
        <w:footnoteRef/>
      </w:r>
      <w:r>
        <w:t xml:space="preserve"> </w:t>
      </w:r>
      <w:r w:rsidRPr="008D0852">
        <w:rPr>
          <w:b/>
        </w:rPr>
        <w:t>ARTÍCULO 17</w:t>
      </w:r>
      <w:r>
        <w:t>.- Son elementos y requisitos de validez del acto administrativo:</w:t>
      </w:r>
    </w:p>
    <w:p w14:paraId="2DED5BE4" w14:textId="77777777" w:rsidR="00295F71" w:rsidRDefault="00295F71" w:rsidP="00295F71">
      <w:pPr>
        <w:pStyle w:val="Textonotapie"/>
      </w:pPr>
      <w:r>
        <w:t>V. Estar fundado y motivado;</w:t>
      </w:r>
    </w:p>
  </w:footnote>
  <w:footnote w:id="3">
    <w:p w14:paraId="05EB019D" w14:textId="77777777" w:rsidR="00295F71" w:rsidRPr="00FB2A71" w:rsidRDefault="00295F71" w:rsidP="00295F71">
      <w:pPr>
        <w:pStyle w:val="Textonotapie"/>
        <w:rPr>
          <w:sz w:val="16"/>
          <w:szCs w:val="16"/>
        </w:rPr>
      </w:pPr>
      <w:r w:rsidRPr="00FB2A71">
        <w:rPr>
          <w:rStyle w:val="Refdenotaalpie"/>
          <w:b/>
          <w:sz w:val="16"/>
          <w:szCs w:val="16"/>
        </w:rPr>
        <w:footnoteRef/>
      </w:r>
      <w:r w:rsidRPr="00FB2A71">
        <w:rPr>
          <w:b/>
          <w:sz w:val="16"/>
          <w:szCs w:val="16"/>
        </w:rPr>
        <w:t xml:space="preserve"> ARTÍCULO 207.-</w:t>
      </w:r>
      <w:r w:rsidRPr="00FB2A71">
        <w:rPr>
          <w:sz w:val="16"/>
          <w:szCs w:val="16"/>
        </w:rPr>
        <w:t xml:space="preserve"> Las sentencias que emita el Tribunal, deberán de contener: </w:t>
      </w:r>
    </w:p>
    <w:p w14:paraId="23A997F6" w14:textId="77777777" w:rsidR="00295F71" w:rsidRPr="00FB2A71" w:rsidRDefault="00295F71" w:rsidP="00295F71">
      <w:pPr>
        <w:pStyle w:val="Textonotapie"/>
        <w:rPr>
          <w:sz w:val="16"/>
          <w:szCs w:val="16"/>
        </w:rPr>
      </w:pPr>
      <w:r w:rsidRPr="00FB2A71">
        <w:rPr>
          <w:sz w:val="16"/>
          <w:szCs w:val="16"/>
        </w:rPr>
        <w:t>I. La fijación clara y precisa de los puntos controvertidos, la exposición de las razones por las que, en su caso, se haga uso de la facultad para suplir la deficiencia de la queja, así como el examen y valoración de las pruebas que se hayan rendido;</w:t>
      </w:r>
    </w:p>
    <w:p w14:paraId="3C378D7C" w14:textId="77777777" w:rsidR="00295F71" w:rsidRPr="00FB2A71" w:rsidRDefault="00295F71" w:rsidP="00295F71">
      <w:pPr>
        <w:pStyle w:val="Textonotapie"/>
        <w:rPr>
          <w:sz w:val="16"/>
          <w:szCs w:val="16"/>
        </w:rPr>
      </w:pPr>
      <w:r w:rsidRPr="00FB2A71">
        <w:rPr>
          <w:sz w:val="16"/>
          <w:szCs w:val="16"/>
        </w:rPr>
        <w:t xml:space="preserve"> II. La exposición debidamente fundada y motivada de las consideraciones en que se basa la resolución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5D26C5" w:rsidRDefault="005C5617">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D26C5">
          <w:fldChar w:fldCharType="begin"/>
        </w:r>
        <w:r w:rsidR="005D26C5">
          <w:instrText>PAGE   \* MERGEFORMAT</w:instrText>
        </w:r>
        <w:r w:rsidR="005D26C5">
          <w:fldChar w:fldCharType="separate"/>
        </w:r>
        <w:r w:rsidRPr="005C5617">
          <w:rPr>
            <w:noProof/>
            <w:lang w:val="es-ES"/>
          </w:rPr>
          <w:t>2</w:t>
        </w:r>
        <w:r w:rsidR="005D26C5">
          <w:rPr>
            <w:noProof/>
            <w:lang w:val="es-ES"/>
          </w:rPr>
          <w:fldChar w:fldCharType="end"/>
        </w:r>
      </w:p>
    </w:sdtContent>
  </w:sdt>
  <w:p w14:paraId="475DD6C7" w14:textId="77777777" w:rsidR="005D26C5" w:rsidRDefault="005D2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5D26C5" w:rsidRDefault="005C5617">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26C5">
          <w:fldChar w:fldCharType="begin"/>
        </w:r>
        <w:r w:rsidR="005D26C5">
          <w:instrText>PAGE   \* MERGEFORMAT</w:instrText>
        </w:r>
        <w:r w:rsidR="005D26C5">
          <w:fldChar w:fldCharType="separate"/>
        </w:r>
        <w:r w:rsidRPr="005C5617">
          <w:rPr>
            <w:noProof/>
            <w:lang w:val="es-ES"/>
          </w:rPr>
          <w:t>1</w:t>
        </w:r>
        <w:r w:rsidR="005D26C5">
          <w:rPr>
            <w:noProof/>
            <w:lang w:val="es-ES"/>
          </w:rPr>
          <w:fldChar w:fldCharType="end"/>
        </w:r>
      </w:sdtContent>
    </w:sdt>
  </w:p>
  <w:p w14:paraId="318D0739" w14:textId="7F976BAA" w:rsidR="005D26C5" w:rsidRDefault="005C561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F0A683E" wp14:editId="1748A88E">
              <wp:simplePos x="0" y="0"/>
              <wp:positionH relativeFrom="page">
                <wp:posOffset>247457</wp:posOffset>
              </wp:positionH>
              <wp:positionV relativeFrom="paragraph">
                <wp:posOffset>3956050</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B7D2C3" w14:textId="77777777" w:rsidR="005C5617" w:rsidRDefault="005C5617" w:rsidP="005C561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A683E" id="_x0000_t202" coordsize="21600,21600" o:spt="202" path="m,l,21600r21600,l21600,xe">
              <v:stroke joinstyle="miter"/>
              <v:path gradientshapeok="t" o:connecttype="rect"/>
            </v:shapetype>
            <v:shape id="Cuadro de texto 1" o:spid="_x0000_s1026" type="#_x0000_t202" style="position:absolute;left:0;text-align:left;margin-left:19.5pt;margin-top:311.5pt;width:101.05pt;height:91.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" fillcolor="white [3201]" strokeweight=".5pt">
              <v:textbox>
                <w:txbxContent>
                  <w:p w14:paraId="03B7D2C3" w14:textId="77777777" w:rsidR="005C5617" w:rsidRDefault="005C5617" w:rsidP="005C561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w10:wrap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5D26C5" w:rsidRDefault="005C5617">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74B4F62"/>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4F7E630D"/>
    <w:multiLevelType w:val="hybridMultilevel"/>
    <w:tmpl w:val="E0861510"/>
    <w:lvl w:ilvl="0" w:tplc="780AAF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52431973"/>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F540EC"/>
    <w:multiLevelType w:val="hybridMultilevel"/>
    <w:tmpl w:val="48AE8730"/>
    <w:lvl w:ilvl="0" w:tplc="7E16B9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10B22D1"/>
    <w:multiLevelType w:val="hybridMultilevel"/>
    <w:tmpl w:val="F52AD1FA"/>
    <w:lvl w:ilvl="0" w:tplc="E2800D74">
      <w:start w:val="1"/>
      <w:numFmt w:val="decimal"/>
      <w:lvlText w:val="%1)"/>
      <w:lvlJc w:val="left"/>
      <w:pPr>
        <w:ind w:left="1069" w:hanging="360"/>
      </w:pPr>
      <w:rPr>
        <w:rFonts w:ascii="Arial" w:eastAsia="Calibri" w:hAnsi="Arial" w:cs="Arial"/>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8">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66138F4"/>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2"/>
  </w:num>
  <w:num w:numId="3">
    <w:abstractNumId w:val="0"/>
  </w:num>
  <w:num w:numId="4">
    <w:abstractNumId w:val="10"/>
  </w:num>
  <w:num w:numId="5">
    <w:abstractNumId w:val="19"/>
  </w:num>
  <w:num w:numId="6">
    <w:abstractNumId w:val="6"/>
  </w:num>
  <w:num w:numId="7">
    <w:abstractNumId w:val="4"/>
  </w:num>
  <w:num w:numId="8">
    <w:abstractNumId w:val="1"/>
  </w:num>
  <w:num w:numId="9">
    <w:abstractNumId w:val="3"/>
  </w:num>
  <w:num w:numId="10">
    <w:abstractNumId w:val="8"/>
  </w:num>
  <w:num w:numId="11">
    <w:abstractNumId w:val="11"/>
  </w:num>
  <w:num w:numId="12">
    <w:abstractNumId w:val="5"/>
  </w:num>
  <w:num w:numId="13">
    <w:abstractNumId w:val="18"/>
  </w:num>
  <w:num w:numId="14">
    <w:abstractNumId w:val="7"/>
  </w:num>
  <w:num w:numId="15">
    <w:abstractNumId w:val="14"/>
  </w:num>
  <w:num w:numId="16">
    <w:abstractNumId w:val="15"/>
  </w:num>
  <w:num w:numId="17">
    <w:abstractNumId w:val="13"/>
  </w:num>
  <w:num w:numId="18">
    <w:abstractNumId w:val="9"/>
  </w:num>
  <w:num w:numId="19">
    <w:abstractNumId w:val="21"/>
  </w:num>
  <w:num w:numId="20">
    <w:abstractNumId w:val="16"/>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681"/>
    <w:rsid w:val="00000AF2"/>
    <w:rsid w:val="00000BFF"/>
    <w:rsid w:val="00000EAB"/>
    <w:rsid w:val="0000187B"/>
    <w:rsid w:val="00001D97"/>
    <w:rsid w:val="00001FA6"/>
    <w:rsid w:val="0000259B"/>
    <w:rsid w:val="00002B85"/>
    <w:rsid w:val="00002CFB"/>
    <w:rsid w:val="00003CC3"/>
    <w:rsid w:val="00004038"/>
    <w:rsid w:val="0000488B"/>
    <w:rsid w:val="00005B69"/>
    <w:rsid w:val="00005BCB"/>
    <w:rsid w:val="00005EA0"/>
    <w:rsid w:val="00006171"/>
    <w:rsid w:val="0000669F"/>
    <w:rsid w:val="00007105"/>
    <w:rsid w:val="00007296"/>
    <w:rsid w:val="00007DE0"/>
    <w:rsid w:val="00007E09"/>
    <w:rsid w:val="00007EFD"/>
    <w:rsid w:val="00007FD5"/>
    <w:rsid w:val="00010444"/>
    <w:rsid w:val="000106FE"/>
    <w:rsid w:val="000121A9"/>
    <w:rsid w:val="000126F6"/>
    <w:rsid w:val="00012918"/>
    <w:rsid w:val="00012DC1"/>
    <w:rsid w:val="000130C8"/>
    <w:rsid w:val="000135AF"/>
    <w:rsid w:val="000140C7"/>
    <w:rsid w:val="000145D5"/>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116"/>
    <w:rsid w:val="000262A2"/>
    <w:rsid w:val="000264DD"/>
    <w:rsid w:val="000268FF"/>
    <w:rsid w:val="00026C11"/>
    <w:rsid w:val="0002784E"/>
    <w:rsid w:val="000306D4"/>
    <w:rsid w:val="00030BAF"/>
    <w:rsid w:val="00032237"/>
    <w:rsid w:val="000324B9"/>
    <w:rsid w:val="000329BA"/>
    <w:rsid w:val="00032D83"/>
    <w:rsid w:val="000330FB"/>
    <w:rsid w:val="00033105"/>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56F41"/>
    <w:rsid w:val="00060DBB"/>
    <w:rsid w:val="00061268"/>
    <w:rsid w:val="00061414"/>
    <w:rsid w:val="00061610"/>
    <w:rsid w:val="000616B5"/>
    <w:rsid w:val="00061C4C"/>
    <w:rsid w:val="0006202A"/>
    <w:rsid w:val="000620CD"/>
    <w:rsid w:val="00062522"/>
    <w:rsid w:val="00062802"/>
    <w:rsid w:val="00062BE3"/>
    <w:rsid w:val="000640F2"/>
    <w:rsid w:val="00064193"/>
    <w:rsid w:val="00064906"/>
    <w:rsid w:val="00064E90"/>
    <w:rsid w:val="00064FD9"/>
    <w:rsid w:val="0006533C"/>
    <w:rsid w:val="00067B5A"/>
    <w:rsid w:val="00067E6B"/>
    <w:rsid w:val="00070777"/>
    <w:rsid w:val="00070AA4"/>
    <w:rsid w:val="00071C6F"/>
    <w:rsid w:val="00071E8C"/>
    <w:rsid w:val="00071F15"/>
    <w:rsid w:val="000728B9"/>
    <w:rsid w:val="00073320"/>
    <w:rsid w:val="000737BF"/>
    <w:rsid w:val="00074056"/>
    <w:rsid w:val="00074201"/>
    <w:rsid w:val="00074A23"/>
    <w:rsid w:val="00074C62"/>
    <w:rsid w:val="000755A5"/>
    <w:rsid w:val="000756DE"/>
    <w:rsid w:val="00076647"/>
    <w:rsid w:val="00076CEA"/>
    <w:rsid w:val="00077661"/>
    <w:rsid w:val="00077826"/>
    <w:rsid w:val="00077DFD"/>
    <w:rsid w:val="00080A85"/>
    <w:rsid w:val="00080D0E"/>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1BC8"/>
    <w:rsid w:val="00091FAC"/>
    <w:rsid w:val="000939DB"/>
    <w:rsid w:val="00093C95"/>
    <w:rsid w:val="00094EB2"/>
    <w:rsid w:val="00095419"/>
    <w:rsid w:val="000964DE"/>
    <w:rsid w:val="00096B18"/>
    <w:rsid w:val="00096C5C"/>
    <w:rsid w:val="00096CE1"/>
    <w:rsid w:val="00097571"/>
    <w:rsid w:val="000A084D"/>
    <w:rsid w:val="000A0E5E"/>
    <w:rsid w:val="000A12C0"/>
    <w:rsid w:val="000A1491"/>
    <w:rsid w:val="000A17DF"/>
    <w:rsid w:val="000A200A"/>
    <w:rsid w:val="000A2550"/>
    <w:rsid w:val="000A27AC"/>
    <w:rsid w:val="000A3282"/>
    <w:rsid w:val="000A335C"/>
    <w:rsid w:val="000A33D9"/>
    <w:rsid w:val="000A33F5"/>
    <w:rsid w:val="000A44EC"/>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3F1"/>
    <w:rsid w:val="000C0569"/>
    <w:rsid w:val="000C1B50"/>
    <w:rsid w:val="000C1E6B"/>
    <w:rsid w:val="000C238B"/>
    <w:rsid w:val="000C2764"/>
    <w:rsid w:val="000C35F6"/>
    <w:rsid w:val="000C3DC9"/>
    <w:rsid w:val="000C4139"/>
    <w:rsid w:val="000C47B5"/>
    <w:rsid w:val="000C4A0A"/>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0B89"/>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370"/>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A05"/>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1F45"/>
    <w:rsid w:val="0011210D"/>
    <w:rsid w:val="00112765"/>
    <w:rsid w:val="00112BF7"/>
    <w:rsid w:val="00113361"/>
    <w:rsid w:val="00113A46"/>
    <w:rsid w:val="00113CB5"/>
    <w:rsid w:val="00114AC5"/>
    <w:rsid w:val="001162E0"/>
    <w:rsid w:val="00116579"/>
    <w:rsid w:val="0011786C"/>
    <w:rsid w:val="00120252"/>
    <w:rsid w:val="001217D8"/>
    <w:rsid w:val="00121DE8"/>
    <w:rsid w:val="00122C63"/>
    <w:rsid w:val="00122F5E"/>
    <w:rsid w:val="001237B4"/>
    <w:rsid w:val="001239B6"/>
    <w:rsid w:val="001243FD"/>
    <w:rsid w:val="001244EC"/>
    <w:rsid w:val="001246AB"/>
    <w:rsid w:val="00124CAC"/>
    <w:rsid w:val="00126EEE"/>
    <w:rsid w:val="00126EEF"/>
    <w:rsid w:val="00126F80"/>
    <w:rsid w:val="00127248"/>
    <w:rsid w:val="00127B1F"/>
    <w:rsid w:val="00127C05"/>
    <w:rsid w:val="00130500"/>
    <w:rsid w:val="0013065F"/>
    <w:rsid w:val="00130C9B"/>
    <w:rsid w:val="001312BC"/>
    <w:rsid w:val="00131911"/>
    <w:rsid w:val="00131CDF"/>
    <w:rsid w:val="00132142"/>
    <w:rsid w:val="00132391"/>
    <w:rsid w:val="00133212"/>
    <w:rsid w:val="00133BFB"/>
    <w:rsid w:val="00133DCC"/>
    <w:rsid w:val="00134968"/>
    <w:rsid w:val="00134A68"/>
    <w:rsid w:val="00134AB5"/>
    <w:rsid w:val="00135132"/>
    <w:rsid w:val="0013555E"/>
    <w:rsid w:val="00135B0C"/>
    <w:rsid w:val="001365EE"/>
    <w:rsid w:val="00136897"/>
    <w:rsid w:val="0013695E"/>
    <w:rsid w:val="00136D3F"/>
    <w:rsid w:val="00136FB8"/>
    <w:rsid w:val="00137286"/>
    <w:rsid w:val="00140432"/>
    <w:rsid w:val="0014043C"/>
    <w:rsid w:val="00140D7E"/>
    <w:rsid w:val="00141B5B"/>
    <w:rsid w:val="00142417"/>
    <w:rsid w:val="001435ED"/>
    <w:rsid w:val="00143682"/>
    <w:rsid w:val="001441D3"/>
    <w:rsid w:val="001443C4"/>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3CCE"/>
    <w:rsid w:val="001542BE"/>
    <w:rsid w:val="00154490"/>
    <w:rsid w:val="00156250"/>
    <w:rsid w:val="0015691A"/>
    <w:rsid w:val="00156F22"/>
    <w:rsid w:val="001570E1"/>
    <w:rsid w:val="00157244"/>
    <w:rsid w:val="00161661"/>
    <w:rsid w:val="0016171F"/>
    <w:rsid w:val="00161F6F"/>
    <w:rsid w:val="001621EF"/>
    <w:rsid w:val="00163EBF"/>
    <w:rsid w:val="00164BCE"/>
    <w:rsid w:val="001659D0"/>
    <w:rsid w:val="0016604B"/>
    <w:rsid w:val="0016700D"/>
    <w:rsid w:val="00167686"/>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BF7"/>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3EA"/>
    <w:rsid w:val="001C6890"/>
    <w:rsid w:val="001C7177"/>
    <w:rsid w:val="001C7EC3"/>
    <w:rsid w:val="001D07F6"/>
    <w:rsid w:val="001D0DCF"/>
    <w:rsid w:val="001D1CA5"/>
    <w:rsid w:val="001D1DBB"/>
    <w:rsid w:val="001D2F0A"/>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240"/>
    <w:rsid w:val="001F45E8"/>
    <w:rsid w:val="001F47CB"/>
    <w:rsid w:val="001F5050"/>
    <w:rsid w:val="001F51D3"/>
    <w:rsid w:val="001F5362"/>
    <w:rsid w:val="001F5DB8"/>
    <w:rsid w:val="001F5FF9"/>
    <w:rsid w:val="001F625A"/>
    <w:rsid w:val="001F6B28"/>
    <w:rsid w:val="001F6C56"/>
    <w:rsid w:val="001F72DF"/>
    <w:rsid w:val="001F77D0"/>
    <w:rsid w:val="002010A9"/>
    <w:rsid w:val="00201769"/>
    <w:rsid w:val="0020247E"/>
    <w:rsid w:val="002025FD"/>
    <w:rsid w:val="00203943"/>
    <w:rsid w:val="00203FD3"/>
    <w:rsid w:val="00205A55"/>
    <w:rsid w:val="00206114"/>
    <w:rsid w:val="00206222"/>
    <w:rsid w:val="002068A3"/>
    <w:rsid w:val="0020694D"/>
    <w:rsid w:val="00206B99"/>
    <w:rsid w:val="002073D2"/>
    <w:rsid w:val="002078AA"/>
    <w:rsid w:val="002100D4"/>
    <w:rsid w:val="00210261"/>
    <w:rsid w:val="0021074F"/>
    <w:rsid w:val="00210E0C"/>
    <w:rsid w:val="002111AC"/>
    <w:rsid w:val="0021124A"/>
    <w:rsid w:val="0021188E"/>
    <w:rsid w:val="00212E08"/>
    <w:rsid w:val="0021302A"/>
    <w:rsid w:val="00213783"/>
    <w:rsid w:val="00214685"/>
    <w:rsid w:val="002147E4"/>
    <w:rsid w:val="00214CE8"/>
    <w:rsid w:val="00215B34"/>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2D7F"/>
    <w:rsid w:val="0023394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B1"/>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6C1"/>
    <w:rsid w:val="00250E2D"/>
    <w:rsid w:val="00251240"/>
    <w:rsid w:val="00252528"/>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A9A"/>
    <w:rsid w:val="00262D7C"/>
    <w:rsid w:val="00263720"/>
    <w:rsid w:val="00265161"/>
    <w:rsid w:val="00265F1B"/>
    <w:rsid w:val="002665A2"/>
    <w:rsid w:val="00267221"/>
    <w:rsid w:val="00267E4D"/>
    <w:rsid w:val="00267F74"/>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5F71"/>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1E7C"/>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373"/>
    <w:rsid w:val="002C3470"/>
    <w:rsid w:val="002C348A"/>
    <w:rsid w:val="002C39F0"/>
    <w:rsid w:val="002C41D3"/>
    <w:rsid w:val="002C4419"/>
    <w:rsid w:val="002C4824"/>
    <w:rsid w:val="002C509D"/>
    <w:rsid w:val="002C5345"/>
    <w:rsid w:val="002C5540"/>
    <w:rsid w:val="002C62F6"/>
    <w:rsid w:val="002C6C58"/>
    <w:rsid w:val="002C6CED"/>
    <w:rsid w:val="002C6F55"/>
    <w:rsid w:val="002C721C"/>
    <w:rsid w:val="002D0290"/>
    <w:rsid w:val="002D03BF"/>
    <w:rsid w:val="002D0C9B"/>
    <w:rsid w:val="002D0DFB"/>
    <w:rsid w:val="002D1434"/>
    <w:rsid w:val="002D1979"/>
    <w:rsid w:val="002D1B63"/>
    <w:rsid w:val="002D268B"/>
    <w:rsid w:val="002D2CEE"/>
    <w:rsid w:val="002D3701"/>
    <w:rsid w:val="002D3CF1"/>
    <w:rsid w:val="002D3F79"/>
    <w:rsid w:val="002D40DB"/>
    <w:rsid w:val="002D413F"/>
    <w:rsid w:val="002D4B99"/>
    <w:rsid w:val="002D5F02"/>
    <w:rsid w:val="002D6E4D"/>
    <w:rsid w:val="002D724E"/>
    <w:rsid w:val="002D72C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508"/>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59F"/>
    <w:rsid w:val="002F5E12"/>
    <w:rsid w:val="002F67C7"/>
    <w:rsid w:val="002F6EC3"/>
    <w:rsid w:val="002F7173"/>
    <w:rsid w:val="002F7484"/>
    <w:rsid w:val="002F77C3"/>
    <w:rsid w:val="002F7BD3"/>
    <w:rsid w:val="00301CB4"/>
    <w:rsid w:val="00301E71"/>
    <w:rsid w:val="00302960"/>
    <w:rsid w:val="0030330D"/>
    <w:rsid w:val="00304999"/>
    <w:rsid w:val="00304F25"/>
    <w:rsid w:val="003056B2"/>
    <w:rsid w:val="00305D48"/>
    <w:rsid w:val="00305D82"/>
    <w:rsid w:val="003062E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DFB"/>
    <w:rsid w:val="00323FF5"/>
    <w:rsid w:val="0032464C"/>
    <w:rsid w:val="00324B78"/>
    <w:rsid w:val="00325007"/>
    <w:rsid w:val="003253CA"/>
    <w:rsid w:val="00326842"/>
    <w:rsid w:val="00326982"/>
    <w:rsid w:val="00326BD8"/>
    <w:rsid w:val="00326D5E"/>
    <w:rsid w:val="0032707A"/>
    <w:rsid w:val="00327A8E"/>
    <w:rsid w:val="00327BDD"/>
    <w:rsid w:val="00331836"/>
    <w:rsid w:val="0033190E"/>
    <w:rsid w:val="0033348C"/>
    <w:rsid w:val="00333962"/>
    <w:rsid w:val="00333B62"/>
    <w:rsid w:val="00333E45"/>
    <w:rsid w:val="00333F91"/>
    <w:rsid w:val="0033401E"/>
    <w:rsid w:val="00334175"/>
    <w:rsid w:val="00334A65"/>
    <w:rsid w:val="003359A4"/>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955"/>
    <w:rsid w:val="00343BE2"/>
    <w:rsid w:val="003448FF"/>
    <w:rsid w:val="00345910"/>
    <w:rsid w:val="00345946"/>
    <w:rsid w:val="00345C53"/>
    <w:rsid w:val="00346754"/>
    <w:rsid w:val="003467D8"/>
    <w:rsid w:val="00347AAB"/>
    <w:rsid w:val="00347FD3"/>
    <w:rsid w:val="0035006A"/>
    <w:rsid w:val="003509B6"/>
    <w:rsid w:val="00350B13"/>
    <w:rsid w:val="003515B4"/>
    <w:rsid w:val="00352CC2"/>
    <w:rsid w:val="00352DE7"/>
    <w:rsid w:val="0035300A"/>
    <w:rsid w:val="0035347E"/>
    <w:rsid w:val="003549F9"/>
    <w:rsid w:val="00355BB2"/>
    <w:rsid w:val="00355E72"/>
    <w:rsid w:val="00355ED0"/>
    <w:rsid w:val="0035659D"/>
    <w:rsid w:val="003602EB"/>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7DD"/>
    <w:rsid w:val="00395933"/>
    <w:rsid w:val="003961E1"/>
    <w:rsid w:val="003974F9"/>
    <w:rsid w:val="0039774F"/>
    <w:rsid w:val="003A0AA1"/>
    <w:rsid w:val="003A0E9C"/>
    <w:rsid w:val="003A0FE5"/>
    <w:rsid w:val="003A24EC"/>
    <w:rsid w:val="003A3EA0"/>
    <w:rsid w:val="003A55EE"/>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6DC"/>
    <w:rsid w:val="003B5766"/>
    <w:rsid w:val="003B57C3"/>
    <w:rsid w:val="003B5AE7"/>
    <w:rsid w:val="003B609E"/>
    <w:rsid w:val="003B6C7E"/>
    <w:rsid w:val="003B79F9"/>
    <w:rsid w:val="003C0293"/>
    <w:rsid w:val="003C0DF1"/>
    <w:rsid w:val="003C1936"/>
    <w:rsid w:val="003C1E4B"/>
    <w:rsid w:val="003C2063"/>
    <w:rsid w:val="003C268F"/>
    <w:rsid w:val="003C32DC"/>
    <w:rsid w:val="003C32FC"/>
    <w:rsid w:val="003C42AD"/>
    <w:rsid w:val="003C4C9F"/>
    <w:rsid w:val="003C5D9D"/>
    <w:rsid w:val="003C5FB0"/>
    <w:rsid w:val="003C7036"/>
    <w:rsid w:val="003C7781"/>
    <w:rsid w:val="003C7FA5"/>
    <w:rsid w:val="003D0C96"/>
    <w:rsid w:val="003D1CAA"/>
    <w:rsid w:val="003D1CF6"/>
    <w:rsid w:val="003D4395"/>
    <w:rsid w:val="003D474C"/>
    <w:rsid w:val="003D5398"/>
    <w:rsid w:val="003D588A"/>
    <w:rsid w:val="003D5BAD"/>
    <w:rsid w:val="003D5F20"/>
    <w:rsid w:val="003D62F4"/>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E7CA4"/>
    <w:rsid w:val="003E7F9F"/>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B98"/>
    <w:rsid w:val="00401FEB"/>
    <w:rsid w:val="004022FC"/>
    <w:rsid w:val="00402763"/>
    <w:rsid w:val="004027A1"/>
    <w:rsid w:val="004046A2"/>
    <w:rsid w:val="00405103"/>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BE9"/>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146"/>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45"/>
    <w:rsid w:val="004340BA"/>
    <w:rsid w:val="004348C5"/>
    <w:rsid w:val="00435579"/>
    <w:rsid w:val="00436B6F"/>
    <w:rsid w:val="00437D5A"/>
    <w:rsid w:val="0044044F"/>
    <w:rsid w:val="00441DE8"/>
    <w:rsid w:val="00442F67"/>
    <w:rsid w:val="00442FBB"/>
    <w:rsid w:val="00443077"/>
    <w:rsid w:val="0044311E"/>
    <w:rsid w:val="00443487"/>
    <w:rsid w:val="0044467E"/>
    <w:rsid w:val="0044496C"/>
    <w:rsid w:val="00444F46"/>
    <w:rsid w:val="0044520F"/>
    <w:rsid w:val="004468EC"/>
    <w:rsid w:val="00446A05"/>
    <w:rsid w:val="00446A09"/>
    <w:rsid w:val="00446B69"/>
    <w:rsid w:val="004502C5"/>
    <w:rsid w:val="004507EA"/>
    <w:rsid w:val="004509CE"/>
    <w:rsid w:val="00450F66"/>
    <w:rsid w:val="004515BE"/>
    <w:rsid w:val="00452B43"/>
    <w:rsid w:val="00453B9A"/>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67F4D"/>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5F9D"/>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0C7"/>
    <w:rsid w:val="004A6251"/>
    <w:rsid w:val="004A6CA2"/>
    <w:rsid w:val="004A735C"/>
    <w:rsid w:val="004A770C"/>
    <w:rsid w:val="004A781C"/>
    <w:rsid w:val="004A7ECD"/>
    <w:rsid w:val="004B05CE"/>
    <w:rsid w:val="004B0EF8"/>
    <w:rsid w:val="004B117E"/>
    <w:rsid w:val="004B14A3"/>
    <w:rsid w:val="004B17F7"/>
    <w:rsid w:val="004B18B8"/>
    <w:rsid w:val="004B1E33"/>
    <w:rsid w:val="004B224C"/>
    <w:rsid w:val="004B39D5"/>
    <w:rsid w:val="004B4654"/>
    <w:rsid w:val="004B5540"/>
    <w:rsid w:val="004B5ECF"/>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C6A"/>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B5"/>
    <w:rsid w:val="004D3EE4"/>
    <w:rsid w:val="004D3F67"/>
    <w:rsid w:val="004D431C"/>
    <w:rsid w:val="004D47DC"/>
    <w:rsid w:val="004D48D7"/>
    <w:rsid w:val="004D4DDD"/>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6FC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183E"/>
    <w:rsid w:val="00502093"/>
    <w:rsid w:val="00502177"/>
    <w:rsid w:val="00502B65"/>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810"/>
    <w:rsid w:val="00515B21"/>
    <w:rsid w:val="00515CF2"/>
    <w:rsid w:val="00517079"/>
    <w:rsid w:val="00520023"/>
    <w:rsid w:val="005201C4"/>
    <w:rsid w:val="00520569"/>
    <w:rsid w:val="00520CD2"/>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5DD1"/>
    <w:rsid w:val="00536D43"/>
    <w:rsid w:val="0053715D"/>
    <w:rsid w:val="00537700"/>
    <w:rsid w:val="00537BB3"/>
    <w:rsid w:val="00537DB4"/>
    <w:rsid w:val="00540317"/>
    <w:rsid w:val="0054049A"/>
    <w:rsid w:val="00541390"/>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0F0B"/>
    <w:rsid w:val="00551154"/>
    <w:rsid w:val="005522CE"/>
    <w:rsid w:val="00552ACC"/>
    <w:rsid w:val="00553082"/>
    <w:rsid w:val="00553578"/>
    <w:rsid w:val="005549C8"/>
    <w:rsid w:val="00554C70"/>
    <w:rsid w:val="00554E0D"/>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D1E"/>
    <w:rsid w:val="00567CCF"/>
    <w:rsid w:val="00570608"/>
    <w:rsid w:val="005707BD"/>
    <w:rsid w:val="00570A3B"/>
    <w:rsid w:val="0057187A"/>
    <w:rsid w:val="00571C23"/>
    <w:rsid w:val="005720EB"/>
    <w:rsid w:val="0057246A"/>
    <w:rsid w:val="0057273D"/>
    <w:rsid w:val="00572E8B"/>
    <w:rsid w:val="005731B2"/>
    <w:rsid w:val="00573350"/>
    <w:rsid w:val="00573D28"/>
    <w:rsid w:val="00573E34"/>
    <w:rsid w:val="005740D5"/>
    <w:rsid w:val="005740DA"/>
    <w:rsid w:val="005771B7"/>
    <w:rsid w:val="0057749B"/>
    <w:rsid w:val="00577656"/>
    <w:rsid w:val="0057772B"/>
    <w:rsid w:val="00580176"/>
    <w:rsid w:val="005802AF"/>
    <w:rsid w:val="00580CDB"/>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3581"/>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5FA2"/>
    <w:rsid w:val="005A64CA"/>
    <w:rsid w:val="005A6A9E"/>
    <w:rsid w:val="005A7140"/>
    <w:rsid w:val="005A752F"/>
    <w:rsid w:val="005B1E67"/>
    <w:rsid w:val="005B2365"/>
    <w:rsid w:val="005B296A"/>
    <w:rsid w:val="005B3184"/>
    <w:rsid w:val="005B36F5"/>
    <w:rsid w:val="005B3BB9"/>
    <w:rsid w:val="005B3F3B"/>
    <w:rsid w:val="005B51EE"/>
    <w:rsid w:val="005B5FC8"/>
    <w:rsid w:val="005B6E2C"/>
    <w:rsid w:val="005B7761"/>
    <w:rsid w:val="005C08BA"/>
    <w:rsid w:val="005C0DC0"/>
    <w:rsid w:val="005C160B"/>
    <w:rsid w:val="005C194D"/>
    <w:rsid w:val="005C1C0E"/>
    <w:rsid w:val="005C21B5"/>
    <w:rsid w:val="005C2D8D"/>
    <w:rsid w:val="005C3179"/>
    <w:rsid w:val="005C44D8"/>
    <w:rsid w:val="005C464F"/>
    <w:rsid w:val="005C49FE"/>
    <w:rsid w:val="005C5617"/>
    <w:rsid w:val="005C565F"/>
    <w:rsid w:val="005C5844"/>
    <w:rsid w:val="005C5B71"/>
    <w:rsid w:val="005C639C"/>
    <w:rsid w:val="005C66F8"/>
    <w:rsid w:val="005C7062"/>
    <w:rsid w:val="005C714B"/>
    <w:rsid w:val="005C795A"/>
    <w:rsid w:val="005D26C5"/>
    <w:rsid w:val="005D2B1C"/>
    <w:rsid w:val="005D2CDE"/>
    <w:rsid w:val="005D2DDC"/>
    <w:rsid w:val="005D341C"/>
    <w:rsid w:val="005D3A26"/>
    <w:rsid w:val="005D3C96"/>
    <w:rsid w:val="005D3DB2"/>
    <w:rsid w:val="005D413D"/>
    <w:rsid w:val="005D4EDA"/>
    <w:rsid w:val="005D58F0"/>
    <w:rsid w:val="005D65FC"/>
    <w:rsid w:val="005D6747"/>
    <w:rsid w:val="005D6918"/>
    <w:rsid w:val="005D6A39"/>
    <w:rsid w:val="005D7E15"/>
    <w:rsid w:val="005E08EE"/>
    <w:rsid w:val="005E1980"/>
    <w:rsid w:val="005E25CA"/>
    <w:rsid w:val="005E3A57"/>
    <w:rsid w:val="005E3BA2"/>
    <w:rsid w:val="005E40A8"/>
    <w:rsid w:val="005E499E"/>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46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7B6"/>
    <w:rsid w:val="00615A62"/>
    <w:rsid w:val="00615EBC"/>
    <w:rsid w:val="00616043"/>
    <w:rsid w:val="006163BF"/>
    <w:rsid w:val="00616F1D"/>
    <w:rsid w:val="00616FA1"/>
    <w:rsid w:val="00617516"/>
    <w:rsid w:val="00617C77"/>
    <w:rsid w:val="0062006E"/>
    <w:rsid w:val="00620357"/>
    <w:rsid w:val="00620FB8"/>
    <w:rsid w:val="006214D7"/>
    <w:rsid w:val="00621B71"/>
    <w:rsid w:val="006225CD"/>
    <w:rsid w:val="00622BEF"/>
    <w:rsid w:val="0062386E"/>
    <w:rsid w:val="00623E6B"/>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772A"/>
    <w:rsid w:val="0063772C"/>
    <w:rsid w:val="006418C8"/>
    <w:rsid w:val="006418E4"/>
    <w:rsid w:val="006427D9"/>
    <w:rsid w:val="00642BAE"/>
    <w:rsid w:val="00642CAD"/>
    <w:rsid w:val="00643498"/>
    <w:rsid w:val="00643D25"/>
    <w:rsid w:val="0064489B"/>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21B"/>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2B40"/>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397"/>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A5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0F00"/>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35"/>
    <w:rsid w:val="006D668F"/>
    <w:rsid w:val="006E0406"/>
    <w:rsid w:val="006E09D6"/>
    <w:rsid w:val="006E1695"/>
    <w:rsid w:val="006E1835"/>
    <w:rsid w:val="006E197B"/>
    <w:rsid w:val="006E1AC8"/>
    <w:rsid w:val="006E22C9"/>
    <w:rsid w:val="006E2B27"/>
    <w:rsid w:val="006E3401"/>
    <w:rsid w:val="006E58AF"/>
    <w:rsid w:val="006E687C"/>
    <w:rsid w:val="006E698C"/>
    <w:rsid w:val="006E6A36"/>
    <w:rsid w:val="006E7B65"/>
    <w:rsid w:val="006E7F21"/>
    <w:rsid w:val="006F017D"/>
    <w:rsid w:val="006F0329"/>
    <w:rsid w:val="006F05CC"/>
    <w:rsid w:val="006F0771"/>
    <w:rsid w:val="006F0913"/>
    <w:rsid w:val="006F2412"/>
    <w:rsid w:val="006F3230"/>
    <w:rsid w:val="006F3F32"/>
    <w:rsid w:val="006F3FE0"/>
    <w:rsid w:val="006F462B"/>
    <w:rsid w:val="006F4FB8"/>
    <w:rsid w:val="006F5392"/>
    <w:rsid w:val="006F5864"/>
    <w:rsid w:val="006F6131"/>
    <w:rsid w:val="006F650D"/>
    <w:rsid w:val="006F68C0"/>
    <w:rsid w:val="006F68E5"/>
    <w:rsid w:val="006F6D40"/>
    <w:rsid w:val="006F7BE1"/>
    <w:rsid w:val="00700013"/>
    <w:rsid w:val="007007EB"/>
    <w:rsid w:val="00701329"/>
    <w:rsid w:val="007015D5"/>
    <w:rsid w:val="007017F0"/>
    <w:rsid w:val="00702862"/>
    <w:rsid w:val="007037DD"/>
    <w:rsid w:val="00703AE1"/>
    <w:rsid w:val="00703B2F"/>
    <w:rsid w:val="0070428E"/>
    <w:rsid w:val="007042B5"/>
    <w:rsid w:val="007042F2"/>
    <w:rsid w:val="00704634"/>
    <w:rsid w:val="00704A75"/>
    <w:rsid w:val="00705A44"/>
    <w:rsid w:val="00705D6A"/>
    <w:rsid w:val="00705E84"/>
    <w:rsid w:val="00706144"/>
    <w:rsid w:val="007061EE"/>
    <w:rsid w:val="007063E6"/>
    <w:rsid w:val="00707031"/>
    <w:rsid w:val="00707245"/>
    <w:rsid w:val="007073AC"/>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9B6"/>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6DE1"/>
    <w:rsid w:val="0076715A"/>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322"/>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3DE9"/>
    <w:rsid w:val="007A43A0"/>
    <w:rsid w:val="007A47F2"/>
    <w:rsid w:val="007A490A"/>
    <w:rsid w:val="007A530A"/>
    <w:rsid w:val="007A65AF"/>
    <w:rsid w:val="007A719C"/>
    <w:rsid w:val="007A726F"/>
    <w:rsid w:val="007A757A"/>
    <w:rsid w:val="007B08F4"/>
    <w:rsid w:val="007B0A40"/>
    <w:rsid w:val="007B14D2"/>
    <w:rsid w:val="007B1CBC"/>
    <w:rsid w:val="007B2C51"/>
    <w:rsid w:val="007B34BC"/>
    <w:rsid w:val="007B3739"/>
    <w:rsid w:val="007B3D9B"/>
    <w:rsid w:val="007B452B"/>
    <w:rsid w:val="007B4780"/>
    <w:rsid w:val="007B4EEE"/>
    <w:rsid w:val="007B5EBB"/>
    <w:rsid w:val="007B65D2"/>
    <w:rsid w:val="007B6AD5"/>
    <w:rsid w:val="007C04A2"/>
    <w:rsid w:val="007C0D36"/>
    <w:rsid w:val="007C1271"/>
    <w:rsid w:val="007C1686"/>
    <w:rsid w:val="007C27DF"/>
    <w:rsid w:val="007C313D"/>
    <w:rsid w:val="007C3225"/>
    <w:rsid w:val="007C350E"/>
    <w:rsid w:val="007C36B7"/>
    <w:rsid w:val="007C3B2E"/>
    <w:rsid w:val="007C405D"/>
    <w:rsid w:val="007C4D7C"/>
    <w:rsid w:val="007C503D"/>
    <w:rsid w:val="007C5545"/>
    <w:rsid w:val="007C587A"/>
    <w:rsid w:val="007C6262"/>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1EF"/>
    <w:rsid w:val="007D5692"/>
    <w:rsid w:val="007D5976"/>
    <w:rsid w:val="007D6461"/>
    <w:rsid w:val="007E086A"/>
    <w:rsid w:val="007E2AA7"/>
    <w:rsid w:val="007E3210"/>
    <w:rsid w:val="007E32FC"/>
    <w:rsid w:val="007E4266"/>
    <w:rsid w:val="007E4EA5"/>
    <w:rsid w:val="007E5A5C"/>
    <w:rsid w:val="007E5AFE"/>
    <w:rsid w:val="007E7A9C"/>
    <w:rsid w:val="007F0633"/>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316"/>
    <w:rsid w:val="00801A10"/>
    <w:rsid w:val="00801F35"/>
    <w:rsid w:val="00802922"/>
    <w:rsid w:val="00803391"/>
    <w:rsid w:val="00803D63"/>
    <w:rsid w:val="00805B95"/>
    <w:rsid w:val="008061D6"/>
    <w:rsid w:val="008068C9"/>
    <w:rsid w:val="00806BDD"/>
    <w:rsid w:val="00806D14"/>
    <w:rsid w:val="0080728A"/>
    <w:rsid w:val="00807D76"/>
    <w:rsid w:val="00810C2C"/>
    <w:rsid w:val="00811182"/>
    <w:rsid w:val="00811407"/>
    <w:rsid w:val="00811B44"/>
    <w:rsid w:val="008122E4"/>
    <w:rsid w:val="00812D5A"/>
    <w:rsid w:val="00813206"/>
    <w:rsid w:val="00813494"/>
    <w:rsid w:val="00813755"/>
    <w:rsid w:val="00813833"/>
    <w:rsid w:val="008139EF"/>
    <w:rsid w:val="008161D5"/>
    <w:rsid w:val="00816FDD"/>
    <w:rsid w:val="00817A06"/>
    <w:rsid w:val="0082001A"/>
    <w:rsid w:val="008205D0"/>
    <w:rsid w:val="0082070E"/>
    <w:rsid w:val="00820D99"/>
    <w:rsid w:val="00820E06"/>
    <w:rsid w:val="00820F66"/>
    <w:rsid w:val="008211F5"/>
    <w:rsid w:val="008212FB"/>
    <w:rsid w:val="00823863"/>
    <w:rsid w:val="008240AB"/>
    <w:rsid w:val="008241FC"/>
    <w:rsid w:val="00824635"/>
    <w:rsid w:val="00824B51"/>
    <w:rsid w:val="00824FA5"/>
    <w:rsid w:val="00825DF2"/>
    <w:rsid w:val="00826459"/>
    <w:rsid w:val="008264A3"/>
    <w:rsid w:val="00826F27"/>
    <w:rsid w:val="008270BC"/>
    <w:rsid w:val="008303A9"/>
    <w:rsid w:val="0083042F"/>
    <w:rsid w:val="008309C8"/>
    <w:rsid w:val="008309F3"/>
    <w:rsid w:val="00830E08"/>
    <w:rsid w:val="008312B3"/>
    <w:rsid w:val="0083287B"/>
    <w:rsid w:val="00832A83"/>
    <w:rsid w:val="00832A94"/>
    <w:rsid w:val="00832D2B"/>
    <w:rsid w:val="00833114"/>
    <w:rsid w:val="008357D2"/>
    <w:rsid w:val="00836EFC"/>
    <w:rsid w:val="008370CF"/>
    <w:rsid w:val="00837CEF"/>
    <w:rsid w:val="00840700"/>
    <w:rsid w:val="00840C89"/>
    <w:rsid w:val="0084114B"/>
    <w:rsid w:val="008413FA"/>
    <w:rsid w:val="00842756"/>
    <w:rsid w:val="008430AD"/>
    <w:rsid w:val="008433AE"/>
    <w:rsid w:val="0084355F"/>
    <w:rsid w:val="00843D17"/>
    <w:rsid w:val="008440D8"/>
    <w:rsid w:val="00845B42"/>
    <w:rsid w:val="0084703C"/>
    <w:rsid w:val="008473A8"/>
    <w:rsid w:val="00847424"/>
    <w:rsid w:val="00847B25"/>
    <w:rsid w:val="00850259"/>
    <w:rsid w:val="008504C8"/>
    <w:rsid w:val="008508A4"/>
    <w:rsid w:val="00851000"/>
    <w:rsid w:val="00851789"/>
    <w:rsid w:val="00851C7B"/>
    <w:rsid w:val="00854886"/>
    <w:rsid w:val="00854E51"/>
    <w:rsid w:val="00855029"/>
    <w:rsid w:val="0085507C"/>
    <w:rsid w:val="0085563E"/>
    <w:rsid w:val="00855D7F"/>
    <w:rsid w:val="00856409"/>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16"/>
    <w:rsid w:val="008728A9"/>
    <w:rsid w:val="00872D12"/>
    <w:rsid w:val="00873D60"/>
    <w:rsid w:val="008740F9"/>
    <w:rsid w:val="00875679"/>
    <w:rsid w:val="008757CB"/>
    <w:rsid w:val="00875E9B"/>
    <w:rsid w:val="008762E5"/>
    <w:rsid w:val="008764A9"/>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D7E"/>
    <w:rsid w:val="00883058"/>
    <w:rsid w:val="0088390F"/>
    <w:rsid w:val="0088401E"/>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513"/>
    <w:rsid w:val="008979CB"/>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1DE0"/>
    <w:rsid w:val="008B299F"/>
    <w:rsid w:val="008B2A33"/>
    <w:rsid w:val="008B3030"/>
    <w:rsid w:val="008B32AC"/>
    <w:rsid w:val="008B33CF"/>
    <w:rsid w:val="008B3977"/>
    <w:rsid w:val="008B43C8"/>
    <w:rsid w:val="008B458E"/>
    <w:rsid w:val="008B4EBC"/>
    <w:rsid w:val="008B5073"/>
    <w:rsid w:val="008B5200"/>
    <w:rsid w:val="008B5DFE"/>
    <w:rsid w:val="008B604B"/>
    <w:rsid w:val="008B6325"/>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36A"/>
    <w:rsid w:val="008D1EDE"/>
    <w:rsid w:val="008D2763"/>
    <w:rsid w:val="008D3210"/>
    <w:rsid w:val="008D32AD"/>
    <w:rsid w:val="008D3620"/>
    <w:rsid w:val="008D458F"/>
    <w:rsid w:val="008D4A9D"/>
    <w:rsid w:val="008D5259"/>
    <w:rsid w:val="008D52D9"/>
    <w:rsid w:val="008D5B35"/>
    <w:rsid w:val="008D5B56"/>
    <w:rsid w:val="008D6772"/>
    <w:rsid w:val="008D6C62"/>
    <w:rsid w:val="008D7A62"/>
    <w:rsid w:val="008D7AC6"/>
    <w:rsid w:val="008E02E6"/>
    <w:rsid w:val="008E08A8"/>
    <w:rsid w:val="008E0B04"/>
    <w:rsid w:val="008E15B5"/>
    <w:rsid w:val="008E2B42"/>
    <w:rsid w:val="008E3006"/>
    <w:rsid w:val="008E350D"/>
    <w:rsid w:val="008E3B36"/>
    <w:rsid w:val="008E3CEC"/>
    <w:rsid w:val="008E480F"/>
    <w:rsid w:val="008E4A67"/>
    <w:rsid w:val="008E56F5"/>
    <w:rsid w:val="008F0205"/>
    <w:rsid w:val="008F0D67"/>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07"/>
    <w:rsid w:val="00912F68"/>
    <w:rsid w:val="009133A9"/>
    <w:rsid w:val="00913418"/>
    <w:rsid w:val="009137F9"/>
    <w:rsid w:val="00913C08"/>
    <w:rsid w:val="00914B11"/>
    <w:rsid w:val="00915282"/>
    <w:rsid w:val="00915409"/>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95A"/>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70A"/>
    <w:rsid w:val="00952B3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17E"/>
    <w:rsid w:val="00965204"/>
    <w:rsid w:val="00965931"/>
    <w:rsid w:val="00965DB7"/>
    <w:rsid w:val="0096623B"/>
    <w:rsid w:val="009663A9"/>
    <w:rsid w:val="00966C28"/>
    <w:rsid w:val="009700BB"/>
    <w:rsid w:val="00971321"/>
    <w:rsid w:val="00972697"/>
    <w:rsid w:val="00972B61"/>
    <w:rsid w:val="009730F2"/>
    <w:rsid w:val="00973CD7"/>
    <w:rsid w:val="00974250"/>
    <w:rsid w:val="00974AAF"/>
    <w:rsid w:val="00974DD0"/>
    <w:rsid w:val="00974F50"/>
    <w:rsid w:val="009756EC"/>
    <w:rsid w:val="009757EE"/>
    <w:rsid w:val="0097584C"/>
    <w:rsid w:val="00976FCC"/>
    <w:rsid w:val="0097768E"/>
    <w:rsid w:val="009800E3"/>
    <w:rsid w:val="009818A2"/>
    <w:rsid w:val="00981B20"/>
    <w:rsid w:val="009829E2"/>
    <w:rsid w:val="00982E04"/>
    <w:rsid w:val="00983525"/>
    <w:rsid w:val="0098426C"/>
    <w:rsid w:val="009844CE"/>
    <w:rsid w:val="00984590"/>
    <w:rsid w:val="00984F92"/>
    <w:rsid w:val="00984FB7"/>
    <w:rsid w:val="00984FD8"/>
    <w:rsid w:val="009855CB"/>
    <w:rsid w:val="00985932"/>
    <w:rsid w:val="009868FC"/>
    <w:rsid w:val="00986D6A"/>
    <w:rsid w:val="00987D6B"/>
    <w:rsid w:val="00990013"/>
    <w:rsid w:val="00990127"/>
    <w:rsid w:val="00990D44"/>
    <w:rsid w:val="00991E94"/>
    <w:rsid w:val="00992712"/>
    <w:rsid w:val="00992D67"/>
    <w:rsid w:val="00993E7E"/>
    <w:rsid w:val="00993ED8"/>
    <w:rsid w:val="00994082"/>
    <w:rsid w:val="00994CCC"/>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404"/>
    <w:rsid w:val="009B575E"/>
    <w:rsid w:val="009B6107"/>
    <w:rsid w:val="009B622A"/>
    <w:rsid w:val="009B6D2C"/>
    <w:rsid w:val="009B79D7"/>
    <w:rsid w:val="009B7AFA"/>
    <w:rsid w:val="009C0461"/>
    <w:rsid w:val="009C16E5"/>
    <w:rsid w:val="009C24D1"/>
    <w:rsid w:val="009C3841"/>
    <w:rsid w:val="009C3C89"/>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C17"/>
    <w:rsid w:val="009E2F5D"/>
    <w:rsid w:val="009E34FA"/>
    <w:rsid w:val="009E3523"/>
    <w:rsid w:val="009E3D69"/>
    <w:rsid w:val="009E3DAE"/>
    <w:rsid w:val="009E3DB9"/>
    <w:rsid w:val="009E49A6"/>
    <w:rsid w:val="009E4B0C"/>
    <w:rsid w:val="009E4B72"/>
    <w:rsid w:val="009E5432"/>
    <w:rsid w:val="009E558E"/>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A7B"/>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257"/>
    <w:rsid w:val="00A073BA"/>
    <w:rsid w:val="00A07A56"/>
    <w:rsid w:val="00A07D97"/>
    <w:rsid w:val="00A1031F"/>
    <w:rsid w:val="00A10464"/>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2F"/>
    <w:rsid w:val="00A25247"/>
    <w:rsid w:val="00A257A4"/>
    <w:rsid w:val="00A258BB"/>
    <w:rsid w:val="00A25AF8"/>
    <w:rsid w:val="00A26CEA"/>
    <w:rsid w:val="00A27138"/>
    <w:rsid w:val="00A271B6"/>
    <w:rsid w:val="00A2790F"/>
    <w:rsid w:val="00A30D30"/>
    <w:rsid w:val="00A30EE2"/>
    <w:rsid w:val="00A31158"/>
    <w:rsid w:val="00A3215A"/>
    <w:rsid w:val="00A32881"/>
    <w:rsid w:val="00A32A4A"/>
    <w:rsid w:val="00A32B50"/>
    <w:rsid w:val="00A32D53"/>
    <w:rsid w:val="00A3359F"/>
    <w:rsid w:val="00A33F3B"/>
    <w:rsid w:val="00A34AF4"/>
    <w:rsid w:val="00A352E3"/>
    <w:rsid w:val="00A35446"/>
    <w:rsid w:val="00A3583F"/>
    <w:rsid w:val="00A35CD1"/>
    <w:rsid w:val="00A36936"/>
    <w:rsid w:val="00A37825"/>
    <w:rsid w:val="00A40044"/>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3F67"/>
    <w:rsid w:val="00A54A2D"/>
    <w:rsid w:val="00A54AAC"/>
    <w:rsid w:val="00A55548"/>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5A59"/>
    <w:rsid w:val="00A66CB2"/>
    <w:rsid w:val="00A67E0E"/>
    <w:rsid w:val="00A703F5"/>
    <w:rsid w:val="00A71119"/>
    <w:rsid w:val="00A72E3D"/>
    <w:rsid w:val="00A72EE1"/>
    <w:rsid w:val="00A73888"/>
    <w:rsid w:val="00A73B00"/>
    <w:rsid w:val="00A7413E"/>
    <w:rsid w:val="00A74641"/>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DA8"/>
    <w:rsid w:val="00A87E95"/>
    <w:rsid w:val="00A900FE"/>
    <w:rsid w:val="00A91FEE"/>
    <w:rsid w:val="00A92803"/>
    <w:rsid w:val="00A92C9A"/>
    <w:rsid w:val="00A9370A"/>
    <w:rsid w:val="00A94465"/>
    <w:rsid w:val="00A94E2C"/>
    <w:rsid w:val="00A94F2D"/>
    <w:rsid w:val="00A95DD5"/>
    <w:rsid w:val="00A96022"/>
    <w:rsid w:val="00A966F4"/>
    <w:rsid w:val="00A96770"/>
    <w:rsid w:val="00A96C07"/>
    <w:rsid w:val="00A96E7D"/>
    <w:rsid w:val="00A97932"/>
    <w:rsid w:val="00A979D7"/>
    <w:rsid w:val="00AA0197"/>
    <w:rsid w:val="00AA029D"/>
    <w:rsid w:val="00AA11A2"/>
    <w:rsid w:val="00AA1BD8"/>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0E24"/>
    <w:rsid w:val="00AB11B8"/>
    <w:rsid w:val="00AB18D3"/>
    <w:rsid w:val="00AB23B8"/>
    <w:rsid w:val="00AB2CD8"/>
    <w:rsid w:val="00AB2ED8"/>
    <w:rsid w:val="00AB3569"/>
    <w:rsid w:val="00AB511E"/>
    <w:rsid w:val="00AB5C16"/>
    <w:rsid w:val="00AB5C8E"/>
    <w:rsid w:val="00AB6057"/>
    <w:rsid w:val="00AB613B"/>
    <w:rsid w:val="00AB628D"/>
    <w:rsid w:val="00AB65B0"/>
    <w:rsid w:val="00AC00B1"/>
    <w:rsid w:val="00AC0229"/>
    <w:rsid w:val="00AC0D28"/>
    <w:rsid w:val="00AC0E47"/>
    <w:rsid w:val="00AC12CF"/>
    <w:rsid w:val="00AC1438"/>
    <w:rsid w:val="00AC154D"/>
    <w:rsid w:val="00AC2548"/>
    <w:rsid w:val="00AC36D5"/>
    <w:rsid w:val="00AC3C32"/>
    <w:rsid w:val="00AC3DB8"/>
    <w:rsid w:val="00AC543E"/>
    <w:rsid w:val="00AC59CF"/>
    <w:rsid w:val="00AD0DA8"/>
    <w:rsid w:val="00AD100C"/>
    <w:rsid w:val="00AD2540"/>
    <w:rsid w:val="00AD3815"/>
    <w:rsid w:val="00AD38ED"/>
    <w:rsid w:val="00AD39D6"/>
    <w:rsid w:val="00AD3C97"/>
    <w:rsid w:val="00AD4282"/>
    <w:rsid w:val="00AD5A42"/>
    <w:rsid w:val="00AD7073"/>
    <w:rsid w:val="00AD7559"/>
    <w:rsid w:val="00AD77FD"/>
    <w:rsid w:val="00AD79E2"/>
    <w:rsid w:val="00AD7C6A"/>
    <w:rsid w:val="00AD7FFB"/>
    <w:rsid w:val="00AE099B"/>
    <w:rsid w:val="00AE1B67"/>
    <w:rsid w:val="00AE1C5C"/>
    <w:rsid w:val="00AE271F"/>
    <w:rsid w:val="00AE3DF5"/>
    <w:rsid w:val="00AE4CFF"/>
    <w:rsid w:val="00AE4E46"/>
    <w:rsid w:val="00AE50E1"/>
    <w:rsid w:val="00AE52B0"/>
    <w:rsid w:val="00AE54F8"/>
    <w:rsid w:val="00AE5C7F"/>
    <w:rsid w:val="00AE6BA2"/>
    <w:rsid w:val="00AF0EE5"/>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1FA"/>
    <w:rsid w:val="00AF72B1"/>
    <w:rsid w:val="00AF76CC"/>
    <w:rsid w:val="00B0093A"/>
    <w:rsid w:val="00B00AAC"/>
    <w:rsid w:val="00B020E7"/>
    <w:rsid w:val="00B02152"/>
    <w:rsid w:val="00B0229E"/>
    <w:rsid w:val="00B02BB1"/>
    <w:rsid w:val="00B02FB6"/>
    <w:rsid w:val="00B03ACC"/>
    <w:rsid w:val="00B03DC2"/>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17F91"/>
    <w:rsid w:val="00B20379"/>
    <w:rsid w:val="00B20696"/>
    <w:rsid w:val="00B2074B"/>
    <w:rsid w:val="00B20905"/>
    <w:rsid w:val="00B20AEB"/>
    <w:rsid w:val="00B211BD"/>
    <w:rsid w:val="00B21544"/>
    <w:rsid w:val="00B21AB1"/>
    <w:rsid w:val="00B228FA"/>
    <w:rsid w:val="00B2361C"/>
    <w:rsid w:val="00B23719"/>
    <w:rsid w:val="00B2459C"/>
    <w:rsid w:val="00B25468"/>
    <w:rsid w:val="00B25FA6"/>
    <w:rsid w:val="00B26009"/>
    <w:rsid w:val="00B26215"/>
    <w:rsid w:val="00B26918"/>
    <w:rsid w:val="00B26C44"/>
    <w:rsid w:val="00B30025"/>
    <w:rsid w:val="00B31114"/>
    <w:rsid w:val="00B313D0"/>
    <w:rsid w:val="00B3156A"/>
    <w:rsid w:val="00B315E1"/>
    <w:rsid w:val="00B315F4"/>
    <w:rsid w:val="00B317DD"/>
    <w:rsid w:val="00B31CEC"/>
    <w:rsid w:val="00B32768"/>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4D"/>
    <w:rsid w:val="00B636E6"/>
    <w:rsid w:val="00B647EC"/>
    <w:rsid w:val="00B64AED"/>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E2"/>
    <w:rsid w:val="00B814A1"/>
    <w:rsid w:val="00B82205"/>
    <w:rsid w:val="00B8238D"/>
    <w:rsid w:val="00B82642"/>
    <w:rsid w:val="00B832CE"/>
    <w:rsid w:val="00B83A0B"/>
    <w:rsid w:val="00B83D7F"/>
    <w:rsid w:val="00B8477B"/>
    <w:rsid w:val="00B84942"/>
    <w:rsid w:val="00B84DE7"/>
    <w:rsid w:val="00B854B7"/>
    <w:rsid w:val="00B85F88"/>
    <w:rsid w:val="00B8650B"/>
    <w:rsid w:val="00B868E2"/>
    <w:rsid w:val="00B868FA"/>
    <w:rsid w:val="00B86B3C"/>
    <w:rsid w:val="00B876BF"/>
    <w:rsid w:val="00B877FC"/>
    <w:rsid w:val="00B87BE7"/>
    <w:rsid w:val="00B87E94"/>
    <w:rsid w:val="00B90116"/>
    <w:rsid w:val="00B90958"/>
    <w:rsid w:val="00B90ED9"/>
    <w:rsid w:val="00B91714"/>
    <w:rsid w:val="00B923B6"/>
    <w:rsid w:val="00B9293A"/>
    <w:rsid w:val="00B92E08"/>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7AD"/>
    <w:rsid w:val="00BA5246"/>
    <w:rsid w:val="00BA59AD"/>
    <w:rsid w:val="00BA5A5C"/>
    <w:rsid w:val="00BA63BB"/>
    <w:rsid w:val="00BA65C8"/>
    <w:rsid w:val="00BA6A89"/>
    <w:rsid w:val="00BA6F7A"/>
    <w:rsid w:val="00BA785A"/>
    <w:rsid w:val="00BA79B7"/>
    <w:rsid w:val="00BA7EF5"/>
    <w:rsid w:val="00BB0D35"/>
    <w:rsid w:val="00BB12FC"/>
    <w:rsid w:val="00BB13C5"/>
    <w:rsid w:val="00BB1812"/>
    <w:rsid w:val="00BB23CB"/>
    <w:rsid w:val="00BB2532"/>
    <w:rsid w:val="00BB2686"/>
    <w:rsid w:val="00BB37EA"/>
    <w:rsid w:val="00BB3A96"/>
    <w:rsid w:val="00BB454B"/>
    <w:rsid w:val="00BB4D08"/>
    <w:rsid w:val="00BB6A68"/>
    <w:rsid w:val="00BB739C"/>
    <w:rsid w:val="00BB7905"/>
    <w:rsid w:val="00BB797A"/>
    <w:rsid w:val="00BB7A83"/>
    <w:rsid w:val="00BC0108"/>
    <w:rsid w:val="00BC088B"/>
    <w:rsid w:val="00BC1305"/>
    <w:rsid w:val="00BC2587"/>
    <w:rsid w:val="00BC2926"/>
    <w:rsid w:val="00BC327E"/>
    <w:rsid w:val="00BC342A"/>
    <w:rsid w:val="00BC35AD"/>
    <w:rsid w:val="00BC3B4D"/>
    <w:rsid w:val="00BC40F2"/>
    <w:rsid w:val="00BC45CE"/>
    <w:rsid w:val="00BC4F3D"/>
    <w:rsid w:val="00BC6164"/>
    <w:rsid w:val="00BC64CE"/>
    <w:rsid w:val="00BC64F9"/>
    <w:rsid w:val="00BC68AD"/>
    <w:rsid w:val="00BC7112"/>
    <w:rsid w:val="00BD0C00"/>
    <w:rsid w:val="00BD0DA0"/>
    <w:rsid w:val="00BD3693"/>
    <w:rsid w:val="00BD438C"/>
    <w:rsid w:val="00BD492B"/>
    <w:rsid w:val="00BD4F9A"/>
    <w:rsid w:val="00BD5E19"/>
    <w:rsid w:val="00BD62AB"/>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217"/>
    <w:rsid w:val="00C1063F"/>
    <w:rsid w:val="00C11D9D"/>
    <w:rsid w:val="00C123A5"/>
    <w:rsid w:val="00C12959"/>
    <w:rsid w:val="00C1296A"/>
    <w:rsid w:val="00C13E95"/>
    <w:rsid w:val="00C1492D"/>
    <w:rsid w:val="00C14A18"/>
    <w:rsid w:val="00C14B07"/>
    <w:rsid w:val="00C14BF5"/>
    <w:rsid w:val="00C15877"/>
    <w:rsid w:val="00C15ADE"/>
    <w:rsid w:val="00C15B7A"/>
    <w:rsid w:val="00C165C5"/>
    <w:rsid w:val="00C16FBB"/>
    <w:rsid w:val="00C17608"/>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2CA"/>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2F49"/>
    <w:rsid w:val="00C632FA"/>
    <w:rsid w:val="00C635D0"/>
    <w:rsid w:val="00C63A91"/>
    <w:rsid w:val="00C63DD1"/>
    <w:rsid w:val="00C64273"/>
    <w:rsid w:val="00C64A18"/>
    <w:rsid w:val="00C65B9B"/>
    <w:rsid w:val="00C67249"/>
    <w:rsid w:val="00C67698"/>
    <w:rsid w:val="00C679B5"/>
    <w:rsid w:val="00C70952"/>
    <w:rsid w:val="00C70B81"/>
    <w:rsid w:val="00C724E4"/>
    <w:rsid w:val="00C732D8"/>
    <w:rsid w:val="00C7377B"/>
    <w:rsid w:val="00C73782"/>
    <w:rsid w:val="00C737D7"/>
    <w:rsid w:val="00C73886"/>
    <w:rsid w:val="00C73DC4"/>
    <w:rsid w:val="00C73EC3"/>
    <w:rsid w:val="00C74D41"/>
    <w:rsid w:val="00C756FD"/>
    <w:rsid w:val="00C75775"/>
    <w:rsid w:val="00C75981"/>
    <w:rsid w:val="00C75C57"/>
    <w:rsid w:val="00C75E08"/>
    <w:rsid w:val="00C76261"/>
    <w:rsid w:val="00C764AA"/>
    <w:rsid w:val="00C76927"/>
    <w:rsid w:val="00C76E4E"/>
    <w:rsid w:val="00C80261"/>
    <w:rsid w:val="00C808D5"/>
    <w:rsid w:val="00C80910"/>
    <w:rsid w:val="00C80C23"/>
    <w:rsid w:val="00C810FC"/>
    <w:rsid w:val="00C822AC"/>
    <w:rsid w:val="00C82E05"/>
    <w:rsid w:val="00C83154"/>
    <w:rsid w:val="00C83651"/>
    <w:rsid w:val="00C83754"/>
    <w:rsid w:val="00C83F2B"/>
    <w:rsid w:val="00C846EB"/>
    <w:rsid w:val="00C84998"/>
    <w:rsid w:val="00C85104"/>
    <w:rsid w:val="00C855DB"/>
    <w:rsid w:val="00C86C40"/>
    <w:rsid w:val="00C8734A"/>
    <w:rsid w:val="00C9111E"/>
    <w:rsid w:val="00C91446"/>
    <w:rsid w:val="00C919AB"/>
    <w:rsid w:val="00C92681"/>
    <w:rsid w:val="00C94605"/>
    <w:rsid w:val="00C94994"/>
    <w:rsid w:val="00C94C04"/>
    <w:rsid w:val="00C951C1"/>
    <w:rsid w:val="00C95FEF"/>
    <w:rsid w:val="00C9600B"/>
    <w:rsid w:val="00C962CF"/>
    <w:rsid w:val="00C96BE2"/>
    <w:rsid w:val="00C96F07"/>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6B"/>
    <w:rsid w:val="00CA66BE"/>
    <w:rsid w:val="00CA7888"/>
    <w:rsid w:val="00CB1AC1"/>
    <w:rsid w:val="00CB26F2"/>
    <w:rsid w:val="00CB2BAE"/>
    <w:rsid w:val="00CB3166"/>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44B"/>
    <w:rsid w:val="00CD2580"/>
    <w:rsid w:val="00CD3739"/>
    <w:rsid w:val="00CD3AE0"/>
    <w:rsid w:val="00CD3B16"/>
    <w:rsid w:val="00CD4B83"/>
    <w:rsid w:val="00CD5020"/>
    <w:rsid w:val="00CD58BA"/>
    <w:rsid w:val="00CD6145"/>
    <w:rsid w:val="00CD64DE"/>
    <w:rsid w:val="00CD6D50"/>
    <w:rsid w:val="00CD75EC"/>
    <w:rsid w:val="00CD7638"/>
    <w:rsid w:val="00CD7CB9"/>
    <w:rsid w:val="00CD7E95"/>
    <w:rsid w:val="00CE049D"/>
    <w:rsid w:val="00CE0DF5"/>
    <w:rsid w:val="00CE1228"/>
    <w:rsid w:val="00CE123E"/>
    <w:rsid w:val="00CE140B"/>
    <w:rsid w:val="00CE2476"/>
    <w:rsid w:val="00CE25CA"/>
    <w:rsid w:val="00CE2CBA"/>
    <w:rsid w:val="00CE302C"/>
    <w:rsid w:val="00CE31BD"/>
    <w:rsid w:val="00CE449A"/>
    <w:rsid w:val="00CE4619"/>
    <w:rsid w:val="00CE4B53"/>
    <w:rsid w:val="00CE4BF2"/>
    <w:rsid w:val="00CE4CE3"/>
    <w:rsid w:val="00CE5706"/>
    <w:rsid w:val="00CE5E91"/>
    <w:rsid w:val="00CE7297"/>
    <w:rsid w:val="00CF01EA"/>
    <w:rsid w:val="00CF10EF"/>
    <w:rsid w:val="00CF1F53"/>
    <w:rsid w:val="00CF1FAE"/>
    <w:rsid w:val="00CF21C5"/>
    <w:rsid w:val="00CF2BF6"/>
    <w:rsid w:val="00CF32C3"/>
    <w:rsid w:val="00CF3BED"/>
    <w:rsid w:val="00CF4A6D"/>
    <w:rsid w:val="00CF593F"/>
    <w:rsid w:val="00CF5B89"/>
    <w:rsid w:val="00CF6384"/>
    <w:rsid w:val="00CF6510"/>
    <w:rsid w:val="00CF65E5"/>
    <w:rsid w:val="00CF664E"/>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79"/>
    <w:rsid w:val="00D065AD"/>
    <w:rsid w:val="00D06BB8"/>
    <w:rsid w:val="00D072EF"/>
    <w:rsid w:val="00D07394"/>
    <w:rsid w:val="00D07A9C"/>
    <w:rsid w:val="00D10A14"/>
    <w:rsid w:val="00D113FF"/>
    <w:rsid w:val="00D11E7B"/>
    <w:rsid w:val="00D12C52"/>
    <w:rsid w:val="00D12D84"/>
    <w:rsid w:val="00D14E13"/>
    <w:rsid w:val="00D15683"/>
    <w:rsid w:val="00D16547"/>
    <w:rsid w:val="00D20368"/>
    <w:rsid w:val="00D209D8"/>
    <w:rsid w:val="00D20B6C"/>
    <w:rsid w:val="00D20DAB"/>
    <w:rsid w:val="00D20FE7"/>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0E4"/>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BD9"/>
    <w:rsid w:val="00D5603C"/>
    <w:rsid w:val="00D56163"/>
    <w:rsid w:val="00D566F5"/>
    <w:rsid w:val="00D56BF3"/>
    <w:rsid w:val="00D56E67"/>
    <w:rsid w:val="00D600ED"/>
    <w:rsid w:val="00D60503"/>
    <w:rsid w:val="00D62605"/>
    <w:rsid w:val="00D63073"/>
    <w:rsid w:val="00D6362A"/>
    <w:rsid w:val="00D63816"/>
    <w:rsid w:val="00D63DA5"/>
    <w:rsid w:val="00D641C8"/>
    <w:rsid w:val="00D64B3A"/>
    <w:rsid w:val="00D64D09"/>
    <w:rsid w:val="00D6587E"/>
    <w:rsid w:val="00D65C48"/>
    <w:rsid w:val="00D67688"/>
    <w:rsid w:val="00D67C48"/>
    <w:rsid w:val="00D705DA"/>
    <w:rsid w:val="00D70CA3"/>
    <w:rsid w:val="00D718E2"/>
    <w:rsid w:val="00D719E5"/>
    <w:rsid w:val="00D72097"/>
    <w:rsid w:val="00D73167"/>
    <w:rsid w:val="00D7322F"/>
    <w:rsid w:val="00D73481"/>
    <w:rsid w:val="00D739DB"/>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F7A"/>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CE2"/>
    <w:rsid w:val="00DC5054"/>
    <w:rsid w:val="00DC596B"/>
    <w:rsid w:val="00DC78C5"/>
    <w:rsid w:val="00DC7910"/>
    <w:rsid w:val="00DC7CCB"/>
    <w:rsid w:val="00DD016C"/>
    <w:rsid w:val="00DD054C"/>
    <w:rsid w:val="00DD0B1B"/>
    <w:rsid w:val="00DD0B5B"/>
    <w:rsid w:val="00DD1994"/>
    <w:rsid w:val="00DD1BAF"/>
    <w:rsid w:val="00DD2585"/>
    <w:rsid w:val="00DD26C1"/>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5048"/>
    <w:rsid w:val="00DE68DD"/>
    <w:rsid w:val="00DE70A4"/>
    <w:rsid w:val="00DE77DC"/>
    <w:rsid w:val="00DF0FAE"/>
    <w:rsid w:val="00DF1506"/>
    <w:rsid w:val="00DF1F74"/>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45C"/>
    <w:rsid w:val="00E055B0"/>
    <w:rsid w:val="00E069C1"/>
    <w:rsid w:val="00E0725D"/>
    <w:rsid w:val="00E1063D"/>
    <w:rsid w:val="00E10676"/>
    <w:rsid w:val="00E10E12"/>
    <w:rsid w:val="00E119EA"/>
    <w:rsid w:val="00E11DFA"/>
    <w:rsid w:val="00E123BB"/>
    <w:rsid w:val="00E12AFD"/>
    <w:rsid w:val="00E12B19"/>
    <w:rsid w:val="00E12DB1"/>
    <w:rsid w:val="00E13157"/>
    <w:rsid w:val="00E13856"/>
    <w:rsid w:val="00E13C28"/>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0C9D"/>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DA4"/>
    <w:rsid w:val="00E56DAB"/>
    <w:rsid w:val="00E56E97"/>
    <w:rsid w:val="00E56EE4"/>
    <w:rsid w:val="00E605AF"/>
    <w:rsid w:val="00E60A17"/>
    <w:rsid w:val="00E60A75"/>
    <w:rsid w:val="00E611B6"/>
    <w:rsid w:val="00E61A44"/>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514"/>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7DF"/>
    <w:rsid w:val="00EA3B39"/>
    <w:rsid w:val="00EA3BBF"/>
    <w:rsid w:val="00EA3EA7"/>
    <w:rsid w:val="00EA4F63"/>
    <w:rsid w:val="00EA689E"/>
    <w:rsid w:val="00EA7C5F"/>
    <w:rsid w:val="00EA7FAC"/>
    <w:rsid w:val="00EB02CA"/>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550"/>
    <w:rsid w:val="00EB67AA"/>
    <w:rsid w:val="00EB70B5"/>
    <w:rsid w:val="00EB780C"/>
    <w:rsid w:val="00EC0AA1"/>
    <w:rsid w:val="00EC3CB8"/>
    <w:rsid w:val="00EC45FC"/>
    <w:rsid w:val="00EC4707"/>
    <w:rsid w:val="00EC4A4E"/>
    <w:rsid w:val="00EC4B0C"/>
    <w:rsid w:val="00EC5A01"/>
    <w:rsid w:val="00EC5C0A"/>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600F"/>
    <w:rsid w:val="00ED7403"/>
    <w:rsid w:val="00ED7AA8"/>
    <w:rsid w:val="00ED7E17"/>
    <w:rsid w:val="00EE057C"/>
    <w:rsid w:val="00EE0858"/>
    <w:rsid w:val="00EE236A"/>
    <w:rsid w:val="00EE2649"/>
    <w:rsid w:val="00EE3015"/>
    <w:rsid w:val="00EE31AF"/>
    <w:rsid w:val="00EE34A1"/>
    <w:rsid w:val="00EE41A1"/>
    <w:rsid w:val="00EE50C5"/>
    <w:rsid w:val="00EE536C"/>
    <w:rsid w:val="00EE53E7"/>
    <w:rsid w:val="00EE7006"/>
    <w:rsid w:val="00EE71BF"/>
    <w:rsid w:val="00EE721D"/>
    <w:rsid w:val="00EE7365"/>
    <w:rsid w:val="00EE73E5"/>
    <w:rsid w:val="00EE761C"/>
    <w:rsid w:val="00EE7B44"/>
    <w:rsid w:val="00EE7D04"/>
    <w:rsid w:val="00EE7FB9"/>
    <w:rsid w:val="00EF09AC"/>
    <w:rsid w:val="00EF14D1"/>
    <w:rsid w:val="00EF18F3"/>
    <w:rsid w:val="00EF1DD2"/>
    <w:rsid w:val="00EF58F2"/>
    <w:rsid w:val="00EF5A50"/>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4E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0F2"/>
    <w:rsid w:val="00F2789C"/>
    <w:rsid w:val="00F30A9D"/>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0F34"/>
    <w:rsid w:val="00F42591"/>
    <w:rsid w:val="00F426C8"/>
    <w:rsid w:val="00F4377C"/>
    <w:rsid w:val="00F44809"/>
    <w:rsid w:val="00F45459"/>
    <w:rsid w:val="00F464F5"/>
    <w:rsid w:val="00F46D5A"/>
    <w:rsid w:val="00F47305"/>
    <w:rsid w:val="00F47FCB"/>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F79"/>
    <w:rsid w:val="00F66007"/>
    <w:rsid w:val="00F66D81"/>
    <w:rsid w:val="00F67C3E"/>
    <w:rsid w:val="00F70281"/>
    <w:rsid w:val="00F707C2"/>
    <w:rsid w:val="00F707EE"/>
    <w:rsid w:val="00F710EA"/>
    <w:rsid w:val="00F71B3D"/>
    <w:rsid w:val="00F73249"/>
    <w:rsid w:val="00F74615"/>
    <w:rsid w:val="00F746D6"/>
    <w:rsid w:val="00F74CF0"/>
    <w:rsid w:val="00F75115"/>
    <w:rsid w:val="00F75D29"/>
    <w:rsid w:val="00F75F03"/>
    <w:rsid w:val="00F77624"/>
    <w:rsid w:val="00F804E8"/>
    <w:rsid w:val="00F80DF4"/>
    <w:rsid w:val="00F8181F"/>
    <w:rsid w:val="00F8258C"/>
    <w:rsid w:val="00F825AB"/>
    <w:rsid w:val="00F826FD"/>
    <w:rsid w:val="00F82BC8"/>
    <w:rsid w:val="00F82E77"/>
    <w:rsid w:val="00F838C1"/>
    <w:rsid w:val="00F83C99"/>
    <w:rsid w:val="00F84433"/>
    <w:rsid w:val="00F844B3"/>
    <w:rsid w:val="00F84C3A"/>
    <w:rsid w:val="00F85662"/>
    <w:rsid w:val="00F86A03"/>
    <w:rsid w:val="00F86E1B"/>
    <w:rsid w:val="00F87AB3"/>
    <w:rsid w:val="00F902E3"/>
    <w:rsid w:val="00F91DEE"/>
    <w:rsid w:val="00F92334"/>
    <w:rsid w:val="00F937E1"/>
    <w:rsid w:val="00F93EFB"/>
    <w:rsid w:val="00F94647"/>
    <w:rsid w:val="00F9524E"/>
    <w:rsid w:val="00F957C0"/>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3A5C"/>
    <w:rsid w:val="00FC4C6D"/>
    <w:rsid w:val="00FC4DC2"/>
    <w:rsid w:val="00FC5311"/>
    <w:rsid w:val="00FC6C11"/>
    <w:rsid w:val="00FC7940"/>
    <w:rsid w:val="00FC7B46"/>
    <w:rsid w:val="00FC7B74"/>
    <w:rsid w:val="00FD0CFA"/>
    <w:rsid w:val="00FD1CE7"/>
    <w:rsid w:val="00FD1D4B"/>
    <w:rsid w:val="00FD1F76"/>
    <w:rsid w:val="00FD230C"/>
    <w:rsid w:val="00FD2D70"/>
    <w:rsid w:val="00FD30CD"/>
    <w:rsid w:val="00FD3979"/>
    <w:rsid w:val="00FD3EBF"/>
    <w:rsid w:val="00FD40D5"/>
    <w:rsid w:val="00FD44BF"/>
    <w:rsid w:val="00FD4636"/>
    <w:rsid w:val="00FD46BA"/>
    <w:rsid w:val="00FD4915"/>
    <w:rsid w:val="00FD4F18"/>
    <w:rsid w:val="00FD5D4A"/>
    <w:rsid w:val="00FD6B5B"/>
    <w:rsid w:val="00FD724F"/>
    <w:rsid w:val="00FE05FC"/>
    <w:rsid w:val="00FE0693"/>
    <w:rsid w:val="00FE086E"/>
    <w:rsid w:val="00FE0AF4"/>
    <w:rsid w:val="00FE127F"/>
    <w:rsid w:val="00FE27EE"/>
    <w:rsid w:val="00FE30E1"/>
    <w:rsid w:val="00FE403F"/>
    <w:rsid w:val="00FE43FC"/>
    <w:rsid w:val="00FE520C"/>
    <w:rsid w:val="00FE57BC"/>
    <w:rsid w:val="00FE65C5"/>
    <w:rsid w:val="00FE6DA0"/>
    <w:rsid w:val="00FE6F60"/>
    <w:rsid w:val="00FE7339"/>
    <w:rsid w:val="00FF0C49"/>
    <w:rsid w:val="00FF0FDB"/>
    <w:rsid w:val="00FF1282"/>
    <w:rsid w:val="00FF1339"/>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7015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62247">
          <w:marLeft w:val="0"/>
          <w:marRight w:val="0"/>
          <w:marTop w:val="0"/>
          <w:marBottom w:val="0"/>
          <w:divBdr>
            <w:top w:val="none" w:sz="0" w:space="0" w:color="auto"/>
            <w:left w:val="none" w:sz="0" w:space="0" w:color="auto"/>
            <w:bottom w:val="none" w:sz="0" w:space="0" w:color="auto"/>
            <w:right w:val="none" w:sz="0" w:space="0" w:color="auto"/>
          </w:divBdr>
          <w:divsChild>
            <w:div w:id="1152212852">
              <w:marLeft w:val="0"/>
              <w:marRight w:val="0"/>
              <w:marTop w:val="0"/>
              <w:marBottom w:val="0"/>
              <w:divBdr>
                <w:top w:val="none" w:sz="0" w:space="0" w:color="auto"/>
                <w:left w:val="none" w:sz="0" w:space="0" w:color="auto"/>
                <w:bottom w:val="none" w:sz="0" w:space="0" w:color="auto"/>
                <w:right w:val="none" w:sz="0" w:space="0" w:color="auto"/>
              </w:divBdr>
            </w:div>
          </w:divsChild>
        </w:div>
        <w:div w:id="179634624">
          <w:marLeft w:val="0"/>
          <w:marRight w:val="0"/>
          <w:marTop w:val="0"/>
          <w:marBottom w:val="0"/>
          <w:divBdr>
            <w:top w:val="none" w:sz="0" w:space="0" w:color="auto"/>
            <w:left w:val="none" w:sz="0" w:space="0" w:color="auto"/>
            <w:bottom w:val="none" w:sz="0" w:space="0" w:color="auto"/>
            <w:right w:val="none" w:sz="0" w:space="0" w:color="auto"/>
          </w:divBdr>
          <w:divsChild>
            <w:div w:id="2026202485">
              <w:marLeft w:val="0"/>
              <w:marRight w:val="0"/>
              <w:marTop w:val="0"/>
              <w:marBottom w:val="0"/>
              <w:divBdr>
                <w:top w:val="none" w:sz="0" w:space="0" w:color="auto"/>
                <w:left w:val="none" w:sz="0" w:space="0" w:color="auto"/>
                <w:bottom w:val="none" w:sz="0" w:space="0" w:color="auto"/>
                <w:right w:val="none" w:sz="0" w:space="0" w:color="auto"/>
              </w:divBdr>
            </w:div>
            <w:div w:id="1634479125">
              <w:marLeft w:val="0"/>
              <w:marRight w:val="0"/>
              <w:marTop w:val="0"/>
              <w:marBottom w:val="0"/>
              <w:divBdr>
                <w:top w:val="none" w:sz="0" w:space="0" w:color="auto"/>
                <w:left w:val="none" w:sz="0" w:space="0" w:color="auto"/>
                <w:bottom w:val="none" w:sz="0" w:space="0" w:color="auto"/>
                <w:right w:val="none" w:sz="0" w:space="0" w:color="auto"/>
              </w:divBdr>
            </w:div>
            <w:div w:id="1036540895">
              <w:marLeft w:val="0"/>
              <w:marRight w:val="0"/>
              <w:marTop w:val="0"/>
              <w:marBottom w:val="0"/>
              <w:divBdr>
                <w:top w:val="none" w:sz="0" w:space="0" w:color="auto"/>
                <w:left w:val="none" w:sz="0" w:space="0" w:color="auto"/>
                <w:bottom w:val="none" w:sz="0" w:space="0" w:color="auto"/>
                <w:right w:val="none" w:sz="0" w:space="0" w:color="auto"/>
              </w:divBdr>
            </w:div>
          </w:divsChild>
        </w:div>
        <w:div w:id="2049525998">
          <w:marLeft w:val="0"/>
          <w:marRight w:val="0"/>
          <w:marTop w:val="0"/>
          <w:marBottom w:val="0"/>
          <w:divBdr>
            <w:top w:val="none" w:sz="0" w:space="0" w:color="auto"/>
            <w:left w:val="none" w:sz="0" w:space="0" w:color="auto"/>
            <w:bottom w:val="none" w:sz="0" w:space="0" w:color="auto"/>
            <w:right w:val="none" w:sz="0" w:space="0" w:color="auto"/>
          </w:divBdr>
          <w:divsChild>
            <w:div w:id="756438074">
              <w:marLeft w:val="0"/>
              <w:marRight w:val="0"/>
              <w:marTop w:val="0"/>
              <w:marBottom w:val="0"/>
              <w:divBdr>
                <w:top w:val="none" w:sz="0" w:space="0" w:color="auto"/>
                <w:left w:val="none" w:sz="0" w:space="0" w:color="auto"/>
                <w:bottom w:val="none" w:sz="0" w:space="0" w:color="auto"/>
                <w:right w:val="none" w:sz="0" w:space="0" w:color="auto"/>
              </w:divBdr>
            </w:div>
            <w:div w:id="1336954809">
              <w:marLeft w:val="0"/>
              <w:marRight w:val="0"/>
              <w:marTop w:val="0"/>
              <w:marBottom w:val="0"/>
              <w:divBdr>
                <w:top w:val="none" w:sz="0" w:space="0" w:color="auto"/>
                <w:left w:val="none" w:sz="0" w:space="0" w:color="auto"/>
                <w:bottom w:val="none" w:sz="0" w:space="0" w:color="auto"/>
                <w:right w:val="none" w:sz="0" w:space="0" w:color="auto"/>
              </w:divBdr>
            </w:div>
            <w:div w:id="2144078288">
              <w:marLeft w:val="0"/>
              <w:marRight w:val="0"/>
              <w:marTop w:val="0"/>
              <w:marBottom w:val="0"/>
              <w:divBdr>
                <w:top w:val="none" w:sz="0" w:space="0" w:color="auto"/>
                <w:left w:val="none" w:sz="0" w:space="0" w:color="auto"/>
                <w:bottom w:val="none" w:sz="0" w:space="0" w:color="auto"/>
                <w:right w:val="none" w:sz="0" w:space="0" w:color="auto"/>
              </w:divBdr>
            </w:div>
          </w:divsChild>
        </w:div>
        <w:div w:id="2085688767">
          <w:marLeft w:val="0"/>
          <w:marRight w:val="0"/>
          <w:marTop w:val="0"/>
          <w:marBottom w:val="0"/>
          <w:divBdr>
            <w:top w:val="none" w:sz="0" w:space="0" w:color="auto"/>
            <w:left w:val="none" w:sz="0" w:space="0" w:color="auto"/>
            <w:bottom w:val="none" w:sz="0" w:space="0" w:color="auto"/>
            <w:right w:val="none" w:sz="0" w:space="0" w:color="auto"/>
          </w:divBdr>
        </w:div>
        <w:div w:id="1343631954">
          <w:marLeft w:val="0"/>
          <w:marRight w:val="0"/>
          <w:marTop w:val="0"/>
          <w:marBottom w:val="0"/>
          <w:divBdr>
            <w:top w:val="none" w:sz="0" w:space="0" w:color="auto"/>
            <w:left w:val="none" w:sz="0" w:space="0" w:color="auto"/>
            <w:bottom w:val="none" w:sz="0" w:space="0" w:color="auto"/>
            <w:right w:val="none" w:sz="0" w:space="0" w:color="auto"/>
          </w:divBdr>
        </w:div>
      </w:divsChild>
    </w:div>
    <w:div w:id="39670703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202001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C18A3-F82A-4E89-A92A-67660ED7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3056</Words>
  <Characters>16809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20</cp:revision>
  <cp:lastPrinted>2021-05-06T20:42:00Z</cp:lastPrinted>
  <dcterms:created xsi:type="dcterms:W3CDTF">2022-06-30T19:43:00Z</dcterms:created>
  <dcterms:modified xsi:type="dcterms:W3CDTF">2023-02-08T20:20:00Z</dcterms:modified>
</cp:coreProperties>
</file>