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3" w:type="dxa"/>
        <w:tblInd w:w="-781" w:type="dxa"/>
        <w:tblLayout w:type="fixed"/>
        <w:tblCellMar>
          <w:left w:w="70" w:type="dxa"/>
          <w:right w:w="70" w:type="dxa"/>
        </w:tblCellMar>
        <w:tblLook w:val="04A0" w:firstRow="1" w:lastRow="0" w:firstColumn="1" w:lastColumn="0" w:noHBand="0" w:noVBand="1"/>
      </w:tblPr>
      <w:tblGrid>
        <w:gridCol w:w="2160"/>
        <w:gridCol w:w="6843"/>
      </w:tblGrid>
      <w:tr w:rsidR="002C3E30" w14:paraId="589C626F" w14:textId="77777777" w:rsidTr="00497375">
        <w:trPr>
          <w:trHeight w:val="3824"/>
        </w:trPr>
        <w:tc>
          <w:tcPr>
            <w:tcW w:w="2160" w:type="dxa"/>
            <w:hideMark/>
          </w:tcPr>
          <w:p w14:paraId="78C92650" w14:textId="77777777" w:rsidR="002C3E30" w:rsidRDefault="002C3E30">
            <w:pPr>
              <w:spacing w:after="0" w:line="240" w:lineRule="auto"/>
              <w:rPr>
                <w:rFonts w:ascii="Arial" w:hAnsi="Arial" w:cs="Arial"/>
                <w:b/>
                <w:sz w:val="24"/>
                <w:szCs w:val="24"/>
                <w:lang w:eastAsia="en-US"/>
              </w:rPr>
            </w:pPr>
            <w:r>
              <w:rPr>
                <w:rFonts w:ascii="Arial" w:hAnsi="Arial" w:cs="Arial"/>
                <w:b/>
                <w:sz w:val="24"/>
                <w:szCs w:val="24"/>
                <w:lang w:eastAsia="en-US"/>
              </w:rPr>
              <w:t xml:space="preserve">     </w:t>
            </w:r>
          </w:p>
        </w:tc>
        <w:tc>
          <w:tcPr>
            <w:tcW w:w="6843" w:type="dxa"/>
          </w:tcPr>
          <w:p w14:paraId="57CFC711" w14:textId="77777777" w:rsidR="002C3E30" w:rsidRDefault="002C3E30">
            <w:pPr>
              <w:tabs>
                <w:tab w:val="left" w:pos="3103"/>
              </w:tabs>
              <w:spacing w:after="0" w:line="240" w:lineRule="auto"/>
              <w:ind w:left="2394"/>
              <w:jc w:val="both"/>
              <w:rPr>
                <w:rFonts w:ascii="Arial" w:hAnsi="Arial" w:cs="Arial"/>
                <w:b/>
                <w:i/>
                <w:iCs/>
                <w:caps/>
                <w:sz w:val="24"/>
                <w:szCs w:val="24"/>
                <w:lang w:eastAsia="en-US"/>
              </w:rPr>
            </w:pPr>
            <w:r>
              <w:rPr>
                <w:rFonts w:ascii="Arial" w:hAnsi="Arial" w:cs="Arial"/>
                <w:b/>
                <w:i/>
                <w:iCs/>
                <w:caps/>
                <w:sz w:val="24"/>
                <w:szCs w:val="24"/>
                <w:lang w:eastAsia="en-US"/>
              </w:rPr>
              <w:t xml:space="preserve">                       </w:t>
            </w:r>
          </w:p>
          <w:p w14:paraId="5914C8B1" w14:textId="77777777" w:rsidR="002C3E30" w:rsidRPr="00DF04C0" w:rsidRDefault="002C3E30" w:rsidP="00DF04C0">
            <w:pPr>
              <w:tabs>
                <w:tab w:val="left" w:pos="3103"/>
              </w:tabs>
              <w:spacing w:after="0" w:line="240" w:lineRule="auto"/>
              <w:ind w:left="1758"/>
              <w:jc w:val="both"/>
              <w:rPr>
                <w:rFonts w:ascii="Arial" w:hAnsi="Arial" w:cs="Arial"/>
                <w:b/>
                <w:iCs/>
                <w:caps/>
                <w:sz w:val="26"/>
                <w:szCs w:val="26"/>
                <w:lang w:eastAsia="en-US"/>
              </w:rPr>
            </w:pPr>
            <w:r w:rsidRPr="00DF04C0">
              <w:rPr>
                <w:rFonts w:ascii="Arial" w:hAnsi="Arial" w:cs="Arial"/>
                <w:b/>
                <w:iCs/>
                <w:caps/>
                <w:sz w:val="26"/>
                <w:szCs w:val="26"/>
                <w:lang w:eastAsia="en-US"/>
              </w:rPr>
              <w:t>SALA SUPERIOR DEL TRIBUNAL DE JUSTICIA ADMINISTRATIVA DEL ESTADO DE OAXACA.</w:t>
            </w:r>
          </w:p>
          <w:p w14:paraId="0D640F43" w14:textId="77777777" w:rsidR="002C3E30" w:rsidRPr="00DF04C0" w:rsidRDefault="002C3E30" w:rsidP="00DF04C0">
            <w:pPr>
              <w:pStyle w:val="Encabezado"/>
              <w:tabs>
                <w:tab w:val="clear" w:pos="4252"/>
              </w:tabs>
              <w:spacing w:line="254" w:lineRule="auto"/>
              <w:ind w:left="1758" w:right="51"/>
              <w:jc w:val="both"/>
              <w:rPr>
                <w:rFonts w:ascii="Arial" w:hAnsi="Arial" w:cs="Arial"/>
                <w:b/>
                <w:iCs/>
                <w:caps/>
                <w:sz w:val="26"/>
                <w:szCs w:val="26"/>
                <w:lang w:val="es-PE"/>
              </w:rPr>
            </w:pPr>
            <w:r w:rsidRPr="00DF04C0">
              <w:rPr>
                <w:rFonts w:ascii="Arial" w:hAnsi="Arial" w:cs="Arial"/>
                <w:b/>
                <w:iCs/>
                <w:caps/>
                <w:sz w:val="26"/>
                <w:szCs w:val="26"/>
                <w:lang w:val="es-PE"/>
              </w:rPr>
              <w:t xml:space="preserve">               </w:t>
            </w:r>
          </w:p>
          <w:p w14:paraId="52AA3277" w14:textId="1E1CE127" w:rsidR="002C3E30" w:rsidRPr="00DF04C0" w:rsidRDefault="00CA1AC7" w:rsidP="00DF04C0">
            <w:pPr>
              <w:pStyle w:val="Encabezado"/>
              <w:tabs>
                <w:tab w:val="clear" w:pos="4252"/>
              </w:tabs>
              <w:spacing w:line="254" w:lineRule="auto"/>
              <w:ind w:left="1758" w:right="51"/>
              <w:jc w:val="both"/>
              <w:rPr>
                <w:rFonts w:ascii="Arial" w:hAnsi="Arial" w:cs="Arial"/>
                <w:b/>
                <w:iCs/>
                <w:caps/>
                <w:sz w:val="26"/>
                <w:szCs w:val="26"/>
                <w:lang w:val="es-PE"/>
              </w:rPr>
            </w:pPr>
            <w:r w:rsidRPr="00DF04C0">
              <w:rPr>
                <w:rFonts w:ascii="Arial" w:hAnsi="Arial" w:cs="Arial"/>
                <w:b/>
                <w:iCs/>
                <w:caps/>
                <w:sz w:val="26"/>
                <w:szCs w:val="26"/>
                <w:lang w:val="es-PE"/>
              </w:rPr>
              <w:t>RECURSO DE REVISIÓN:   0462</w:t>
            </w:r>
            <w:r w:rsidR="002C3E30" w:rsidRPr="00DF04C0">
              <w:rPr>
                <w:rFonts w:ascii="Arial" w:hAnsi="Arial" w:cs="Arial"/>
                <w:b/>
                <w:iCs/>
                <w:caps/>
                <w:sz w:val="26"/>
                <w:szCs w:val="26"/>
                <w:lang w:val="es-PE"/>
              </w:rPr>
              <w:t>/202</w:t>
            </w:r>
            <w:r w:rsidR="00145528" w:rsidRPr="00DF04C0">
              <w:rPr>
                <w:rFonts w:ascii="Arial" w:hAnsi="Arial" w:cs="Arial"/>
                <w:b/>
                <w:iCs/>
                <w:caps/>
                <w:sz w:val="26"/>
                <w:szCs w:val="26"/>
                <w:lang w:val="es-PE"/>
              </w:rPr>
              <w:t>1</w:t>
            </w:r>
            <w:r w:rsidR="002C3E30" w:rsidRPr="00DF04C0">
              <w:rPr>
                <w:rFonts w:ascii="Arial" w:hAnsi="Arial" w:cs="Arial"/>
                <w:b/>
                <w:iCs/>
                <w:caps/>
                <w:sz w:val="26"/>
                <w:szCs w:val="26"/>
                <w:lang w:val="es-PE"/>
              </w:rPr>
              <w:t xml:space="preserve">. </w:t>
            </w:r>
          </w:p>
          <w:p w14:paraId="665ED0C0" w14:textId="77777777" w:rsidR="002C3E30" w:rsidRPr="00DF04C0" w:rsidRDefault="002C3E30" w:rsidP="00DF04C0">
            <w:pPr>
              <w:pStyle w:val="Encabezado"/>
              <w:tabs>
                <w:tab w:val="clear" w:pos="4252"/>
              </w:tabs>
              <w:spacing w:line="254" w:lineRule="auto"/>
              <w:ind w:left="1758" w:right="51"/>
              <w:jc w:val="both"/>
              <w:rPr>
                <w:rFonts w:ascii="Arial" w:hAnsi="Arial" w:cs="Arial"/>
                <w:b/>
                <w:iCs/>
                <w:caps/>
                <w:sz w:val="26"/>
                <w:szCs w:val="26"/>
                <w:lang w:val="es-PE"/>
              </w:rPr>
            </w:pPr>
          </w:p>
          <w:p w14:paraId="5E7B4791" w14:textId="0AC5EBA8" w:rsidR="002C3E30" w:rsidRPr="00DF04C0" w:rsidRDefault="002C3E30" w:rsidP="00DF04C0">
            <w:pPr>
              <w:pStyle w:val="Encabezado"/>
              <w:tabs>
                <w:tab w:val="clear" w:pos="4252"/>
              </w:tabs>
              <w:spacing w:line="254" w:lineRule="auto"/>
              <w:ind w:left="1758" w:right="51"/>
              <w:jc w:val="both"/>
              <w:rPr>
                <w:rFonts w:ascii="Arial" w:hAnsi="Arial" w:cs="Arial"/>
                <w:b/>
                <w:iCs/>
                <w:caps/>
                <w:sz w:val="26"/>
                <w:szCs w:val="26"/>
                <w:lang w:val="es-PE"/>
              </w:rPr>
            </w:pPr>
            <w:r w:rsidRPr="00DF04C0">
              <w:rPr>
                <w:rFonts w:ascii="Arial" w:hAnsi="Arial" w:cs="Arial"/>
                <w:b/>
                <w:iCs/>
                <w:caps/>
                <w:sz w:val="26"/>
                <w:szCs w:val="26"/>
                <w:lang w:val="es-PE"/>
              </w:rPr>
              <w:t>EXPEDIENTE: 0</w:t>
            </w:r>
            <w:r w:rsidR="00CA1AC7" w:rsidRPr="00DF04C0">
              <w:rPr>
                <w:rFonts w:ascii="Arial" w:hAnsi="Arial" w:cs="Arial"/>
                <w:b/>
                <w:iCs/>
                <w:caps/>
                <w:sz w:val="26"/>
                <w:szCs w:val="26"/>
                <w:lang w:val="es-PE"/>
              </w:rPr>
              <w:t>120</w:t>
            </w:r>
            <w:r w:rsidR="00C73F8D" w:rsidRPr="00DF04C0">
              <w:rPr>
                <w:rFonts w:ascii="Arial" w:hAnsi="Arial" w:cs="Arial"/>
                <w:b/>
                <w:iCs/>
                <w:caps/>
                <w:sz w:val="26"/>
                <w:szCs w:val="26"/>
                <w:lang w:val="es-PE"/>
              </w:rPr>
              <w:t>/20</w:t>
            </w:r>
            <w:r w:rsidR="00E40EF3" w:rsidRPr="00DF04C0">
              <w:rPr>
                <w:rFonts w:ascii="Arial" w:hAnsi="Arial" w:cs="Arial"/>
                <w:b/>
                <w:iCs/>
                <w:caps/>
                <w:sz w:val="26"/>
                <w:szCs w:val="26"/>
                <w:lang w:val="es-PE"/>
              </w:rPr>
              <w:t>21</w:t>
            </w:r>
            <w:r w:rsidRPr="00DF04C0">
              <w:rPr>
                <w:rFonts w:ascii="Arial" w:hAnsi="Arial" w:cs="Arial"/>
                <w:b/>
                <w:iCs/>
                <w:caps/>
                <w:sz w:val="26"/>
                <w:szCs w:val="26"/>
                <w:lang w:val="es-PE"/>
              </w:rPr>
              <w:t xml:space="preserve"> DE LA </w:t>
            </w:r>
            <w:r w:rsidR="00C73F8D" w:rsidRPr="00DF04C0">
              <w:rPr>
                <w:rFonts w:ascii="Arial" w:hAnsi="Arial" w:cs="Arial"/>
                <w:b/>
                <w:iCs/>
                <w:caps/>
                <w:sz w:val="26"/>
                <w:szCs w:val="26"/>
                <w:lang w:val="es-PE"/>
              </w:rPr>
              <w:t>TERCERA S</w:t>
            </w:r>
            <w:r w:rsidRPr="00DF04C0">
              <w:rPr>
                <w:rFonts w:ascii="Arial" w:hAnsi="Arial" w:cs="Arial"/>
                <w:b/>
                <w:iCs/>
                <w:caps/>
                <w:sz w:val="26"/>
                <w:szCs w:val="26"/>
                <w:lang w:val="es-PE"/>
              </w:rPr>
              <w:t>ALA UNITARIA DE PRIMERA INSTANCIA</w:t>
            </w:r>
          </w:p>
          <w:p w14:paraId="3A755C25" w14:textId="77777777" w:rsidR="002C3E30" w:rsidRPr="00DF04C0" w:rsidRDefault="002C3E30" w:rsidP="00DF04C0">
            <w:pPr>
              <w:pStyle w:val="Encabezado"/>
              <w:tabs>
                <w:tab w:val="clear" w:pos="4252"/>
              </w:tabs>
              <w:spacing w:line="254" w:lineRule="auto"/>
              <w:ind w:left="1758" w:right="51"/>
              <w:jc w:val="both"/>
              <w:rPr>
                <w:rFonts w:ascii="Arial" w:hAnsi="Arial" w:cs="Arial"/>
                <w:b/>
                <w:iCs/>
                <w:caps/>
                <w:sz w:val="26"/>
                <w:szCs w:val="26"/>
                <w:lang w:val="es-PE"/>
              </w:rPr>
            </w:pPr>
            <w:r w:rsidRPr="00DF04C0">
              <w:rPr>
                <w:rFonts w:ascii="Arial" w:hAnsi="Arial" w:cs="Arial"/>
                <w:b/>
                <w:iCs/>
                <w:caps/>
                <w:sz w:val="26"/>
                <w:szCs w:val="26"/>
                <w:lang w:val="es-PE"/>
              </w:rPr>
              <w:t xml:space="preserve">       </w:t>
            </w:r>
          </w:p>
          <w:p w14:paraId="435CC272" w14:textId="449728AE" w:rsidR="002C3E30" w:rsidRDefault="002C3E30" w:rsidP="00DF04C0">
            <w:pPr>
              <w:pStyle w:val="Encabezado"/>
              <w:tabs>
                <w:tab w:val="clear" w:pos="4252"/>
              </w:tabs>
              <w:spacing w:line="254" w:lineRule="auto"/>
              <w:ind w:left="1758" w:right="51"/>
              <w:jc w:val="both"/>
              <w:rPr>
                <w:rFonts w:ascii="Arial" w:hAnsi="Arial" w:cs="Arial"/>
                <w:b/>
                <w:iCs/>
                <w:caps/>
                <w:lang w:val="es-PE"/>
              </w:rPr>
            </w:pPr>
            <w:r w:rsidRPr="00DF04C0">
              <w:rPr>
                <w:rFonts w:ascii="Arial" w:hAnsi="Arial" w:cs="Arial"/>
                <w:b/>
                <w:iCs/>
                <w:caps/>
                <w:sz w:val="26"/>
                <w:szCs w:val="26"/>
                <w:lang w:val="es-PE"/>
              </w:rPr>
              <w:t>magistr</w:t>
            </w:r>
            <w:r w:rsidR="00C73F8D" w:rsidRPr="00DF04C0">
              <w:rPr>
                <w:rFonts w:ascii="Arial" w:hAnsi="Arial" w:cs="Arial"/>
                <w:b/>
                <w:iCs/>
                <w:caps/>
                <w:sz w:val="26"/>
                <w:szCs w:val="26"/>
                <w:lang w:val="es-PE"/>
              </w:rPr>
              <w:t>ado ponente: MANUEL VELASCO ALCÁ</w:t>
            </w:r>
            <w:r w:rsidRPr="00DF04C0">
              <w:rPr>
                <w:rFonts w:ascii="Arial" w:hAnsi="Arial" w:cs="Arial"/>
                <w:b/>
                <w:iCs/>
                <w:caps/>
                <w:sz w:val="26"/>
                <w:szCs w:val="26"/>
                <w:lang w:val="es-PE"/>
              </w:rPr>
              <w:t>NTARA.</w:t>
            </w:r>
          </w:p>
        </w:tc>
      </w:tr>
      <w:tr w:rsidR="002C3E30" w14:paraId="63E88F6B" w14:textId="77777777" w:rsidTr="00497375">
        <w:trPr>
          <w:trHeight w:val="273"/>
        </w:trPr>
        <w:tc>
          <w:tcPr>
            <w:tcW w:w="2160" w:type="dxa"/>
          </w:tcPr>
          <w:p w14:paraId="0279200F" w14:textId="77777777" w:rsidR="002C3E30" w:rsidRDefault="002C3E30">
            <w:pPr>
              <w:spacing w:after="0" w:line="240" w:lineRule="auto"/>
              <w:rPr>
                <w:rFonts w:ascii="Arial" w:hAnsi="Arial" w:cs="Arial"/>
                <w:b/>
                <w:sz w:val="24"/>
                <w:szCs w:val="24"/>
                <w:lang w:val="es-ES" w:eastAsia="en-US"/>
              </w:rPr>
            </w:pPr>
          </w:p>
        </w:tc>
        <w:tc>
          <w:tcPr>
            <w:tcW w:w="6843" w:type="dxa"/>
            <w:hideMark/>
          </w:tcPr>
          <w:p w14:paraId="7BCF89DB" w14:textId="77777777" w:rsidR="002C3E30" w:rsidRDefault="002C3E30">
            <w:pPr>
              <w:tabs>
                <w:tab w:val="left" w:pos="3103"/>
              </w:tabs>
              <w:spacing w:after="0" w:line="240" w:lineRule="auto"/>
              <w:ind w:left="2678" w:hanging="2961"/>
              <w:jc w:val="both"/>
              <w:rPr>
                <w:rFonts w:ascii="Arial" w:hAnsi="Arial" w:cs="Arial"/>
                <w:b/>
                <w:iCs/>
                <w:caps/>
                <w:sz w:val="24"/>
                <w:szCs w:val="24"/>
                <w:lang w:eastAsia="en-US"/>
              </w:rPr>
            </w:pPr>
            <w:r>
              <w:rPr>
                <w:rFonts w:ascii="Arial" w:hAnsi="Arial" w:cs="Arial"/>
                <w:b/>
                <w:i/>
                <w:iCs/>
                <w:caps/>
                <w:sz w:val="24"/>
                <w:szCs w:val="24"/>
                <w:lang w:eastAsia="en-US"/>
              </w:rPr>
              <w:t xml:space="preserve">                                          </w:t>
            </w:r>
          </w:p>
        </w:tc>
      </w:tr>
      <w:tr w:rsidR="002C3E30" w14:paraId="6173CE1F" w14:textId="77777777" w:rsidTr="00497375">
        <w:trPr>
          <w:trHeight w:val="289"/>
        </w:trPr>
        <w:tc>
          <w:tcPr>
            <w:tcW w:w="2160" w:type="dxa"/>
          </w:tcPr>
          <w:p w14:paraId="6BD2EC30" w14:textId="77777777" w:rsidR="002C3E30" w:rsidRDefault="002C3E30">
            <w:pPr>
              <w:spacing w:after="0" w:line="240" w:lineRule="auto"/>
              <w:rPr>
                <w:rFonts w:ascii="Arial" w:hAnsi="Arial" w:cs="Arial"/>
                <w:b/>
                <w:sz w:val="24"/>
                <w:szCs w:val="24"/>
                <w:lang w:eastAsia="en-US"/>
              </w:rPr>
            </w:pPr>
          </w:p>
        </w:tc>
        <w:tc>
          <w:tcPr>
            <w:tcW w:w="6843" w:type="dxa"/>
          </w:tcPr>
          <w:p w14:paraId="15BBD1FF" w14:textId="77777777" w:rsidR="002C3E30" w:rsidRDefault="002C3E30">
            <w:pPr>
              <w:tabs>
                <w:tab w:val="left" w:pos="3103"/>
              </w:tabs>
              <w:spacing w:after="0" w:line="240" w:lineRule="auto"/>
              <w:ind w:left="2961" w:hanging="2961"/>
              <w:jc w:val="both"/>
              <w:rPr>
                <w:rFonts w:ascii="Arial" w:hAnsi="Arial" w:cs="Arial"/>
                <w:b/>
                <w:i/>
                <w:iCs/>
                <w:caps/>
                <w:sz w:val="24"/>
                <w:szCs w:val="24"/>
                <w:lang w:eastAsia="en-US"/>
              </w:rPr>
            </w:pPr>
          </w:p>
        </w:tc>
      </w:tr>
    </w:tbl>
    <w:p w14:paraId="32B754BA" w14:textId="424D58CB" w:rsidR="002C3E30" w:rsidRDefault="002C3E30" w:rsidP="00DF04C0">
      <w:pPr>
        <w:spacing w:line="360" w:lineRule="auto"/>
        <w:ind w:firstLine="709"/>
        <w:jc w:val="both"/>
        <w:rPr>
          <w:rFonts w:ascii="Arial" w:hAnsi="Arial" w:cs="Arial"/>
          <w:b/>
          <w:sz w:val="26"/>
          <w:szCs w:val="26"/>
        </w:rPr>
      </w:pPr>
      <w:r>
        <w:rPr>
          <w:rFonts w:ascii="Arial" w:hAnsi="Arial" w:cs="Arial"/>
          <w:b/>
          <w:sz w:val="26"/>
          <w:szCs w:val="26"/>
        </w:rPr>
        <w:t xml:space="preserve">OAXACA DE JUÁREZ, OAXACA, A </w:t>
      </w:r>
      <w:r w:rsidR="00DF04C0">
        <w:rPr>
          <w:rFonts w:ascii="Arial" w:hAnsi="Arial" w:cs="Arial"/>
          <w:b/>
          <w:sz w:val="26"/>
          <w:szCs w:val="26"/>
        </w:rPr>
        <w:t>UNO</w:t>
      </w:r>
      <w:r>
        <w:rPr>
          <w:rFonts w:ascii="Arial" w:hAnsi="Arial" w:cs="Arial"/>
          <w:b/>
          <w:sz w:val="26"/>
          <w:szCs w:val="26"/>
        </w:rPr>
        <w:t xml:space="preserve"> DE </w:t>
      </w:r>
      <w:r w:rsidR="00DF04C0">
        <w:rPr>
          <w:rFonts w:ascii="Arial" w:hAnsi="Arial" w:cs="Arial"/>
          <w:b/>
          <w:sz w:val="26"/>
          <w:szCs w:val="26"/>
        </w:rPr>
        <w:t>SEPTIEMBRE</w:t>
      </w:r>
      <w:r>
        <w:rPr>
          <w:rFonts w:ascii="Arial" w:hAnsi="Arial" w:cs="Arial"/>
          <w:b/>
          <w:sz w:val="26"/>
          <w:szCs w:val="26"/>
        </w:rPr>
        <w:t xml:space="preserve"> DE</w:t>
      </w:r>
      <w:r w:rsidR="00C73F8D">
        <w:rPr>
          <w:rFonts w:ascii="Arial" w:hAnsi="Arial" w:cs="Arial"/>
          <w:b/>
          <w:sz w:val="26"/>
          <w:szCs w:val="26"/>
        </w:rPr>
        <w:t xml:space="preserve"> DOS MIL VEINTIDÓS</w:t>
      </w:r>
      <w:r>
        <w:rPr>
          <w:rFonts w:ascii="Arial" w:hAnsi="Arial" w:cs="Arial"/>
          <w:b/>
          <w:sz w:val="26"/>
          <w:szCs w:val="26"/>
        </w:rPr>
        <w:t xml:space="preserve">. - - - - - - - - - - - - - - - - - - - - - - - - - - - - - - - - - - - </w:t>
      </w:r>
    </w:p>
    <w:p w14:paraId="3E3A38C4" w14:textId="183E8FF5" w:rsidR="002C3E30" w:rsidRDefault="00C73F8D" w:rsidP="00586CAF">
      <w:pPr>
        <w:spacing w:line="360" w:lineRule="auto"/>
        <w:ind w:firstLine="709"/>
        <w:jc w:val="both"/>
        <w:rPr>
          <w:rFonts w:ascii="Arial" w:hAnsi="Arial" w:cs="Arial"/>
          <w:sz w:val="26"/>
          <w:szCs w:val="26"/>
        </w:rPr>
      </w:pPr>
      <w:r>
        <w:rPr>
          <w:rFonts w:ascii="Arial" w:hAnsi="Arial" w:cs="Arial"/>
          <w:sz w:val="26"/>
          <w:szCs w:val="26"/>
        </w:rPr>
        <w:t>Por recibido el cuaderno de r</w:t>
      </w:r>
      <w:r w:rsidR="002C3E30">
        <w:rPr>
          <w:rFonts w:ascii="Arial" w:hAnsi="Arial" w:cs="Arial"/>
          <w:sz w:val="26"/>
          <w:szCs w:val="26"/>
        </w:rPr>
        <w:t xml:space="preserve">evisión </w:t>
      </w:r>
      <w:r w:rsidR="002C3E30">
        <w:rPr>
          <w:rFonts w:ascii="Arial" w:hAnsi="Arial" w:cs="Arial"/>
          <w:b/>
          <w:sz w:val="26"/>
          <w:szCs w:val="26"/>
        </w:rPr>
        <w:t>0</w:t>
      </w:r>
      <w:r w:rsidR="00CA1AC7">
        <w:rPr>
          <w:rFonts w:ascii="Arial" w:hAnsi="Arial" w:cs="Arial"/>
          <w:b/>
          <w:sz w:val="26"/>
          <w:szCs w:val="26"/>
        </w:rPr>
        <w:t>462</w:t>
      </w:r>
      <w:r w:rsidR="002C3E30">
        <w:rPr>
          <w:rFonts w:ascii="Arial" w:hAnsi="Arial" w:cs="Arial"/>
          <w:b/>
          <w:sz w:val="26"/>
          <w:szCs w:val="26"/>
        </w:rPr>
        <w:t>/202</w:t>
      </w:r>
      <w:r w:rsidR="00145528">
        <w:rPr>
          <w:rFonts w:ascii="Arial" w:hAnsi="Arial" w:cs="Arial"/>
          <w:b/>
          <w:sz w:val="26"/>
          <w:szCs w:val="26"/>
        </w:rPr>
        <w:t>1</w:t>
      </w:r>
      <w:r w:rsidR="002C3E30">
        <w:rPr>
          <w:rFonts w:ascii="Arial" w:hAnsi="Arial" w:cs="Arial"/>
          <w:sz w:val="26"/>
          <w:szCs w:val="26"/>
        </w:rPr>
        <w:t xml:space="preserve"> que remite la Secretaría General de Acuerdos con motivo del recurso de revisión interpuesto por </w:t>
      </w:r>
      <w:r w:rsidR="00D068AB">
        <w:rPr>
          <w:rFonts w:ascii="Arial" w:hAnsi="Arial" w:cs="Arial"/>
          <w:b/>
          <w:bCs/>
          <w:sz w:val="26"/>
          <w:szCs w:val="26"/>
        </w:rPr>
        <w:t>*******</w:t>
      </w:r>
      <w:r w:rsidR="00CA1AC7">
        <w:rPr>
          <w:rFonts w:ascii="Arial" w:hAnsi="Arial" w:cs="Arial"/>
          <w:b/>
          <w:bCs/>
          <w:sz w:val="26"/>
          <w:szCs w:val="26"/>
        </w:rPr>
        <w:t xml:space="preserve">, en su calidad de </w:t>
      </w:r>
      <w:r w:rsidR="00DF04C0">
        <w:rPr>
          <w:rFonts w:ascii="Arial" w:hAnsi="Arial" w:cs="Arial"/>
          <w:b/>
          <w:bCs/>
          <w:sz w:val="26"/>
          <w:szCs w:val="26"/>
        </w:rPr>
        <w:t>APODERADA LEGAL DE LA EMPRESA NOMINADA “</w:t>
      </w:r>
      <w:r w:rsidR="00D068AB">
        <w:rPr>
          <w:rFonts w:ascii="Arial" w:hAnsi="Arial" w:cs="Arial"/>
          <w:b/>
          <w:bCs/>
          <w:sz w:val="26"/>
          <w:szCs w:val="26"/>
        </w:rPr>
        <w:t>*******</w:t>
      </w:r>
      <w:r w:rsidR="00DF04C0">
        <w:rPr>
          <w:rFonts w:ascii="Arial" w:hAnsi="Arial" w:cs="Arial"/>
          <w:b/>
          <w:bCs/>
          <w:sz w:val="26"/>
          <w:szCs w:val="26"/>
        </w:rPr>
        <w:t xml:space="preserve">” </w:t>
      </w:r>
      <w:r w:rsidR="002C3E30">
        <w:rPr>
          <w:rFonts w:ascii="Arial" w:hAnsi="Arial" w:cs="Arial"/>
          <w:sz w:val="26"/>
          <w:szCs w:val="26"/>
        </w:rPr>
        <w:t xml:space="preserve">en contra del acuerdo de </w:t>
      </w:r>
      <w:r w:rsidR="00CA1AC7">
        <w:rPr>
          <w:rFonts w:ascii="Arial" w:hAnsi="Arial" w:cs="Arial"/>
          <w:sz w:val="26"/>
          <w:szCs w:val="26"/>
        </w:rPr>
        <w:t xml:space="preserve">dieciséis de noviembre de dos mil veintiuno </w:t>
      </w:r>
      <w:r w:rsidR="002C3E30">
        <w:rPr>
          <w:rFonts w:ascii="Arial" w:hAnsi="Arial" w:cs="Arial"/>
          <w:sz w:val="26"/>
          <w:szCs w:val="26"/>
        </w:rPr>
        <w:t xml:space="preserve">dictado por </w:t>
      </w:r>
      <w:r w:rsidR="00145528">
        <w:rPr>
          <w:rFonts w:ascii="Arial" w:hAnsi="Arial" w:cs="Arial"/>
          <w:sz w:val="26"/>
          <w:szCs w:val="26"/>
        </w:rPr>
        <w:t xml:space="preserve">la </w:t>
      </w:r>
      <w:r>
        <w:rPr>
          <w:rFonts w:ascii="Arial" w:hAnsi="Arial" w:cs="Arial"/>
          <w:sz w:val="26"/>
          <w:szCs w:val="26"/>
        </w:rPr>
        <w:t xml:space="preserve">Tercera </w:t>
      </w:r>
      <w:r w:rsidR="00145528">
        <w:rPr>
          <w:rFonts w:ascii="Arial" w:hAnsi="Arial" w:cs="Arial"/>
          <w:sz w:val="26"/>
          <w:szCs w:val="26"/>
        </w:rPr>
        <w:t xml:space="preserve">Sala </w:t>
      </w:r>
      <w:r>
        <w:rPr>
          <w:rFonts w:ascii="Arial" w:hAnsi="Arial" w:cs="Arial"/>
          <w:sz w:val="26"/>
          <w:szCs w:val="26"/>
        </w:rPr>
        <w:t xml:space="preserve">Unitaria </w:t>
      </w:r>
      <w:r w:rsidR="00145528">
        <w:rPr>
          <w:rFonts w:ascii="Arial" w:hAnsi="Arial" w:cs="Arial"/>
          <w:sz w:val="26"/>
          <w:szCs w:val="26"/>
        </w:rPr>
        <w:t>de Primera Instancia</w:t>
      </w:r>
      <w:r w:rsidR="002C3E30">
        <w:rPr>
          <w:rFonts w:ascii="Arial" w:hAnsi="Arial" w:cs="Arial"/>
          <w:sz w:val="26"/>
          <w:szCs w:val="26"/>
        </w:rPr>
        <w:t xml:space="preserve"> del Tribunal de Justicia Administrativa del Estado de Oaxaca, en el expediente </w:t>
      </w:r>
      <w:r w:rsidR="002C3E30">
        <w:rPr>
          <w:rFonts w:ascii="Arial" w:hAnsi="Arial" w:cs="Arial"/>
          <w:b/>
          <w:sz w:val="26"/>
          <w:szCs w:val="26"/>
        </w:rPr>
        <w:t>0</w:t>
      </w:r>
      <w:r w:rsidR="00CA1AC7">
        <w:rPr>
          <w:rFonts w:ascii="Arial" w:hAnsi="Arial" w:cs="Arial"/>
          <w:b/>
          <w:sz w:val="26"/>
          <w:szCs w:val="26"/>
        </w:rPr>
        <w:t>120</w:t>
      </w:r>
      <w:r>
        <w:rPr>
          <w:rFonts w:ascii="Arial" w:hAnsi="Arial" w:cs="Arial"/>
          <w:b/>
          <w:sz w:val="26"/>
          <w:szCs w:val="26"/>
        </w:rPr>
        <w:t>/2021</w:t>
      </w:r>
      <w:r w:rsidR="002C3E30">
        <w:rPr>
          <w:rFonts w:ascii="Arial" w:hAnsi="Arial" w:cs="Arial"/>
          <w:sz w:val="26"/>
          <w:szCs w:val="26"/>
        </w:rPr>
        <w:t xml:space="preserve"> relativo al juicio de nulidad promovido </w:t>
      </w:r>
      <w:r w:rsidR="002C3E30" w:rsidRPr="00C73F8D">
        <w:rPr>
          <w:rFonts w:ascii="Arial" w:hAnsi="Arial" w:cs="Arial"/>
          <w:sz w:val="26"/>
          <w:szCs w:val="26"/>
        </w:rPr>
        <w:t>por</w:t>
      </w:r>
      <w:r w:rsidR="002C3E30">
        <w:rPr>
          <w:rFonts w:ascii="Arial" w:hAnsi="Arial" w:cs="Arial"/>
          <w:b/>
          <w:sz w:val="26"/>
          <w:szCs w:val="26"/>
        </w:rPr>
        <w:t xml:space="preserve"> </w:t>
      </w:r>
      <w:r w:rsidR="00D068AB">
        <w:rPr>
          <w:rFonts w:ascii="Arial" w:hAnsi="Arial" w:cs="Arial"/>
          <w:b/>
          <w:bCs/>
          <w:sz w:val="26"/>
          <w:szCs w:val="26"/>
        </w:rPr>
        <w:t>*******</w:t>
      </w:r>
      <w:r w:rsidR="00DF04C0">
        <w:rPr>
          <w:rFonts w:ascii="Arial" w:hAnsi="Arial" w:cs="Arial"/>
          <w:b/>
          <w:bCs/>
          <w:sz w:val="26"/>
          <w:szCs w:val="26"/>
        </w:rPr>
        <w:t>,</w:t>
      </w:r>
      <w:r w:rsidR="00CA1AC7">
        <w:rPr>
          <w:rFonts w:ascii="Arial" w:hAnsi="Arial" w:cs="Arial"/>
          <w:b/>
          <w:bCs/>
          <w:sz w:val="26"/>
          <w:szCs w:val="26"/>
        </w:rPr>
        <w:t xml:space="preserve"> en su calidad de </w:t>
      </w:r>
      <w:r w:rsidR="00DF04C0">
        <w:rPr>
          <w:rFonts w:ascii="Arial" w:hAnsi="Arial" w:cs="Arial"/>
          <w:b/>
          <w:bCs/>
          <w:sz w:val="26"/>
          <w:szCs w:val="26"/>
        </w:rPr>
        <w:t>APODERADA LEGAL DE LA EMPRESA NOMINADA “</w:t>
      </w:r>
      <w:r w:rsidR="00D068AB">
        <w:rPr>
          <w:rFonts w:ascii="Arial" w:hAnsi="Arial" w:cs="Arial"/>
          <w:b/>
          <w:bCs/>
          <w:sz w:val="26"/>
          <w:szCs w:val="26"/>
        </w:rPr>
        <w:t>*******</w:t>
      </w:r>
      <w:r w:rsidR="00DF04C0">
        <w:rPr>
          <w:rFonts w:ascii="Arial" w:hAnsi="Arial" w:cs="Arial"/>
          <w:b/>
          <w:bCs/>
          <w:sz w:val="26"/>
          <w:szCs w:val="26"/>
        </w:rPr>
        <w:t xml:space="preserve">” </w:t>
      </w:r>
      <w:r w:rsidR="002C3E30">
        <w:rPr>
          <w:rFonts w:ascii="Arial" w:hAnsi="Arial" w:cs="Arial"/>
          <w:sz w:val="26"/>
          <w:szCs w:val="26"/>
        </w:rPr>
        <w:t>en contra de</w:t>
      </w:r>
      <w:r>
        <w:rPr>
          <w:rFonts w:ascii="Arial" w:hAnsi="Arial" w:cs="Arial"/>
          <w:sz w:val="26"/>
          <w:szCs w:val="26"/>
        </w:rPr>
        <w:t xml:space="preserve"> </w:t>
      </w:r>
      <w:r w:rsidR="00D068AB">
        <w:rPr>
          <w:rFonts w:ascii="Arial" w:hAnsi="Arial" w:cs="Arial"/>
          <w:b/>
          <w:sz w:val="26"/>
          <w:szCs w:val="26"/>
        </w:rPr>
        <w:t>*******</w:t>
      </w:r>
      <w:r w:rsidR="002C3E30">
        <w:rPr>
          <w:rFonts w:ascii="Arial" w:hAnsi="Arial" w:cs="Arial"/>
          <w:b/>
          <w:bCs/>
          <w:sz w:val="26"/>
          <w:szCs w:val="26"/>
        </w:rPr>
        <w:t>,</w:t>
      </w:r>
      <w:r w:rsidR="002C3E30">
        <w:rPr>
          <w:rFonts w:ascii="Arial" w:hAnsi="Arial" w:cs="Arial"/>
          <w:sz w:val="26"/>
          <w:szCs w:val="26"/>
        </w:rPr>
        <w:t xml:space="preserve"> </w:t>
      </w:r>
      <w:r w:rsidR="00586CAF" w:rsidRPr="00CB6405">
        <w:rPr>
          <w:rFonts w:ascii="Arial" w:hAnsi="Arial" w:cs="Arial"/>
          <w:sz w:val="26"/>
          <w:szCs w:val="26"/>
        </w:rPr>
        <w:t>por lo que con fundamento en los artículos 2</w:t>
      </w:r>
      <w:r w:rsidR="00586CAF">
        <w:rPr>
          <w:rFonts w:ascii="Arial" w:hAnsi="Arial" w:cs="Arial"/>
          <w:sz w:val="26"/>
          <w:szCs w:val="26"/>
        </w:rPr>
        <w:t>36</w:t>
      </w:r>
      <w:r w:rsidR="00586CAF" w:rsidRPr="00CB6405">
        <w:rPr>
          <w:rFonts w:ascii="Arial" w:hAnsi="Arial" w:cs="Arial"/>
          <w:sz w:val="26"/>
          <w:szCs w:val="26"/>
        </w:rPr>
        <w:t xml:space="preserve"> y 2</w:t>
      </w:r>
      <w:r w:rsidR="00586CAF">
        <w:rPr>
          <w:rFonts w:ascii="Arial" w:hAnsi="Arial" w:cs="Arial"/>
          <w:sz w:val="26"/>
          <w:szCs w:val="26"/>
        </w:rPr>
        <w:t>3</w:t>
      </w:r>
      <w:r w:rsidR="00586CAF" w:rsidRPr="00CB6405">
        <w:rPr>
          <w:rFonts w:ascii="Arial" w:hAnsi="Arial" w:cs="Arial"/>
          <w:sz w:val="26"/>
          <w:szCs w:val="26"/>
        </w:rPr>
        <w:t xml:space="preserve">8 de la Ley de </w:t>
      </w:r>
      <w:r w:rsidR="00586CAF">
        <w:rPr>
          <w:rFonts w:ascii="Arial" w:hAnsi="Arial" w:cs="Arial"/>
          <w:sz w:val="26"/>
          <w:szCs w:val="26"/>
        </w:rPr>
        <w:t xml:space="preserve">Procedimiento y Justicia </w:t>
      </w:r>
      <w:r w:rsidR="00586CAF" w:rsidRPr="00CB6405">
        <w:rPr>
          <w:rFonts w:ascii="Arial" w:hAnsi="Arial" w:cs="Arial"/>
          <w:sz w:val="26"/>
          <w:szCs w:val="26"/>
        </w:rPr>
        <w:t xml:space="preserve">Administrativa </w:t>
      </w:r>
      <w:r w:rsidR="00586CAF">
        <w:rPr>
          <w:rFonts w:ascii="Arial" w:hAnsi="Arial" w:cs="Arial"/>
          <w:sz w:val="26"/>
          <w:szCs w:val="26"/>
        </w:rPr>
        <w:t>para el Estado de Oaxaca y 24 fracciones I y III de la Ley Orgánica  del Tribunal de Justicia Administrativa del Estado de Oaxaca</w:t>
      </w:r>
      <w:r w:rsidR="00586CAF" w:rsidRPr="00CB6405">
        <w:rPr>
          <w:rFonts w:ascii="Arial" w:hAnsi="Arial" w:cs="Arial"/>
          <w:sz w:val="26"/>
          <w:szCs w:val="26"/>
        </w:rPr>
        <w:t xml:space="preserve">, </w:t>
      </w:r>
      <w:r w:rsidR="00586CAF">
        <w:rPr>
          <w:rFonts w:ascii="Arial" w:hAnsi="Arial" w:cs="Arial"/>
          <w:sz w:val="26"/>
          <w:szCs w:val="26"/>
        </w:rPr>
        <w:t xml:space="preserve">se da trámite. Por consiguiente, </w:t>
      </w:r>
      <w:r w:rsidR="00586CAF" w:rsidRPr="00CB6405">
        <w:rPr>
          <w:rFonts w:ascii="Arial" w:hAnsi="Arial" w:cs="Arial"/>
          <w:sz w:val="26"/>
          <w:szCs w:val="26"/>
        </w:rPr>
        <w:t>se procede a dictar resolución en los siguientes términos</w:t>
      </w:r>
      <w:r w:rsidR="002C3E30">
        <w:rPr>
          <w:rFonts w:ascii="Arial" w:hAnsi="Arial" w:cs="Arial"/>
          <w:sz w:val="26"/>
          <w:szCs w:val="26"/>
        </w:rPr>
        <w:t>:</w:t>
      </w:r>
      <w:r w:rsidR="00DF04C0">
        <w:rPr>
          <w:rFonts w:ascii="Arial" w:hAnsi="Arial" w:cs="Arial"/>
          <w:sz w:val="26"/>
          <w:szCs w:val="26"/>
        </w:rPr>
        <w:t xml:space="preserve">- - - - - - - - - - - </w:t>
      </w:r>
      <w:r w:rsidR="00D068AB">
        <w:rPr>
          <w:rFonts w:ascii="Arial" w:hAnsi="Arial" w:cs="Arial"/>
          <w:sz w:val="26"/>
          <w:szCs w:val="26"/>
        </w:rPr>
        <w:t xml:space="preserve">- - - - - - - - - - - - - - - - - - - - - - </w:t>
      </w:r>
    </w:p>
    <w:p w14:paraId="5AA07ED5" w14:textId="77777777" w:rsidR="002C3E30" w:rsidRDefault="002C3E30" w:rsidP="00586CAF">
      <w:pPr>
        <w:spacing w:line="360" w:lineRule="auto"/>
        <w:jc w:val="center"/>
        <w:rPr>
          <w:rFonts w:ascii="Arial" w:hAnsi="Arial" w:cs="Arial"/>
          <w:b/>
          <w:bCs/>
          <w:sz w:val="26"/>
          <w:szCs w:val="26"/>
        </w:rPr>
      </w:pPr>
      <w:r>
        <w:rPr>
          <w:rFonts w:ascii="Arial" w:hAnsi="Arial" w:cs="Arial"/>
          <w:b/>
          <w:bCs/>
          <w:sz w:val="26"/>
          <w:szCs w:val="26"/>
        </w:rPr>
        <w:t>R E S U L T A N D O</w:t>
      </w:r>
    </w:p>
    <w:p w14:paraId="5A2EA418" w14:textId="431F482B" w:rsidR="002C3E30" w:rsidRDefault="002C3E30" w:rsidP="00586CAF">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w:t>
      </w:r>
      <w:r w:rsidR="00586CAF">
        <w:rPr>
          <w:rFonts w:ascii="Arial" w:hAnsi="Arial" w:cs="Arial"/>
          <w:sz w:val="26"/>
          <w:szCs w:val="26"/>
        </w:rPr>
        <w:t xml:space="preserve">de dieciséis de noviembre de dos mil veintiuno dictado por la Tercera </w:t>
      </w:r>
      <w:r w:rsidR="00C73F8D">
        <w:rPr>
          <w:rFonts w:ascii="Arial" w:hAnsi="Arial" w:cs="Arial"/>
          <w:sz w:val="26"/>
          <w:szCs w:val="26"/>
        </w:rPr>
        <w:t>Sala Unitaria de Primera Instancia del Tribunal de Justicia Administrativa del Estado de Oaxaca,</w:t>
      </w:r>
      <w:r>
        <w:rPr>
          <w:rFonts w:ascii="Arial" w:hAnsi="Arial" w:cs="Arial"/>
          <w:sz w:val="26"/>
          <w:szCs w:val="26"/>
        </w:rPr>
        <w:t xml:space="preserve"> </w:t>
      </w:r>
      <w:r w:rsidR="00586CAF">
        <w:rPr>
          <w:rFonts w:ascii="Arial" w:hAnsi="Arial" w:cs="Arial"/>
          <w:sz w:val="26"/>
          <w:szCs w:val="26"/>
        </w:rPr>
        <w:t xml:space="preserve">la promovente </w:t>
      </w:r>
      <w:r>
        <w:rPr>
          <w:rFonts w:ascii="Arial" w:hAnsi="Arial" w:cs="Arial"/>
          <w:sz w:val="26"/>
          <w:szCs w:val="26"/>
        </w:rPr>
        <w:t>interp</w:t>
      </w:r>
      <w:r w:rsidR="00C73F8D">
        <w:rPr>
          <w:rFonts w:ascii="Arial" w:hAnsi="Arial" w:cs="Arial"/>
          <w:sz w:val="26"/>
          <w:szCs w:val="26"/>
        </w:rPr>
        <w:t xml:space="preserve">uso </w:t>
      </w:r>
      <w:r>
        <w:rPr>
          <w:rFonts w:ascii="Arial" w:hAnsi="Arial" w:cs="Arial"/>
          <w:sz w:val="26"/>
          <w:szCs w:val="26"/>
        </w:rPr>
        <w:t xml:space="preserve">en su contra recurso de revisión. </w:t>
      </w:r>
      <w:r w:rsidR="00DF04C0">
        <w:rPr>
          <w:rFonts w:ascii="Arial" w:hAnsi="Arial" w:cs="Arial"/>
          <w:sz w:val="26"/>
          <w:szCs w:val="26"/>
        </w:rPr>
        <w:t xml:space="preserve">- - - - - - - - - - </w:t>
      </w:r>
    </w:p>
    <w:p w14:paraId="4A5A0A14" w14:textId="0226EEA1" w:rsidR="002C3E30" w:rsidRPr="00586CAF" w:rsidRDefault="002C3E30" w:rsidP="002C3E30">
      <w:pPr>
        <w:spacing w:after="120" w:line="360" w:lineRule="auto"/>
        <w:jc w:val="both"/>
        <w:rPr>
          <w:rFonts w:ascii="Arial" w:hAnsi="Arial" w:cs="Arial"/>
          <w:sz w:val="26"/>
          <w:szCs w:val="26"/>
        </w:rPr>
      </w:pPr>
      <w:r>
        <w:rPr>
          <w:rFonts w:ascii="Arial" w:hAnsi="Arial" w:cs="Arial"/>
          <w:b/>
          <w:bCs/>
          <w:sz w:val="24"/>
          <w:szCs w:val="24"/>
        </w:rPr>
        <w:tab/>
        <w:t xml:space="preserve">SEGUNDO. </w:t>
      </w:r>
      <w:r w:rsidR="00C73F8D" w:rsidRPr="00586CAF">
        <w:rPr>
          <w:rFonts w:ascii="Arial" w:hAnsi="Arial" w:cs="Arial"/>
          <w:sz w:val="26"/>
          <w:szCs w:val="26"/>
        </w:rPr>
        <w:t xml:space="preserve">El </w:t>
      </w:r>
      <w:r w:rsidRPr="00586CAF">
        <w:rPr>
          <w:rFonts w:ascii="Arial" w:hAnsi="Arial" w:cs="Arial"/>
          <w:sz w:val="26"/>
          <w:szCs w:val="26"/>
        </w:rPr>
        <w:t>acuerdo recurrido es del tenor siguiente:</w:t>
      </w:r>
      <w:r w:rsidR="00DF04C0">
        <w:rPr>
          <w:rFonts w:ascii="Arial" w:hAnsi="Arial" w:cs="Arial"/>
          <w:sz w:val="26"/>
          <w:szCs w:val="26"/>
        </w:rPr>
        <w:t xml:space="preserve"> - - - - - - - - </w:t>
      </w:r>
    </w:p>
    <w:p w14:paraId="6D4C381C" w14:textId="1925EFE1" w:rsidR="00586CAF" w:rsidRDefault="008813E5" w:rsidP="00DF04C0">
      <w:pPr>
        <w:ind w:left="567" w:right="616" w:firstLine="142"/>
        <w:jc w:val="both"/>
        <w:rPr>
          <w:rFonts w:ascii="Arial" w:hAnsi="Arial" w:cs="Arial"/>
          <w:b/>
          <w:i/>
        </w:rPr>
      </w:pPr>
      <w:r w:rsidRPr="00EB08D7">
        <w:rPr>
          <w:rFonts w:ascii="Arial" w:hAnsi="Arial" w:cs="Arial"/>
          <w:i/>
        </w:rPr>
        <w:t>“</w:t>
      </w:r>
      <w:r w:rsidR="00356D32" w:rsidRPr="00EB08D7">
        <w:rPr>
          <w:rFonts w:ascii="Arial" w:hAnsi="Arial" w:cs="Arial"/>
          <w:i/>
        </w:rPr>
        <w:t>Por recibida la demanda en la oficialía de partes común de este Tribunal, el</w:t>
      </w:r>
      <w:r w:rsidR="00A54EAC">
        <w:rPr>
          <w:rFonts w:ascii="Arial" w:hAnsi="Arial" w:cs="Arial"/>
          <w:i/>
        </w:rPr>
        <w:t xml:space="preserve"> once de noviembre del actual, promovida por </w:t>
      </w:r>
      <w:r w:rsidR="00D068AB">
        <w:rPr>
          <w:rFonts w:ascii="Arial" w:hAnsi="Arial" w:cs="Arial"/>
          <w:i/>
        </w:rPr>
        <w:t>*******</w:t>
      </w:r>
      <w:r w:rsidR="00A54EAC">
        <w:rPr>
          <w:rFonts w:ascii="Arial" w:hAnsi="Arial" w:cs="Arial"/>
          <w:i/>
        </w:rPr>
        <w:t xml:space="preserve">, Apoderada Legal de </w:t>
      </w:r>
      <w:r w:rsidR="00D068AB">
        <w:rPr>
          <w:rFonts w:ascii="Arial" w:hAnsi="Arial" w:cs="Arial"/>
          <w:i/>
        </w:rPr>
        <w:t>*******</w:t>
      </w:r>
      <w:proofErr w:type="gramStart"/>
      <w:r w:rsidR="00A54EAC">
        <w:rPr>
          <w:rFonts w:ascii="Arial" w:hAnsi="Arial" w:cs="Arial"/>
          <w:i/>
        </w:rPr>
        <w:t>.;</w:t>
      </w:r>
      <w:proofErr w:type="gramEnd"/>
      <w:r w:rsidR="00A54EAC">
        <w:rPr>
          <w:rFonts w:ascii="Arial" w:hAnsi="Arial" w:cs="Arial"/>
          <w:i/>
        </w:rPr>
        <w:t xml:space="preserve"> en contra de actos de </w:t>
      </w:r>
      <w:r w:rsidR="00D068AB">
        <w:rPr>
          <w:rFonts w:ascii="Arial" w:hAnsi="Arial" w:cs="Arial"/>
          <w:i/>
        </w:rPr>
        <w:t>*******</w:t>
      </w:r>
      <w:r w:rsidR="00A54EAC">
        <w:rPr>
          <w:rFonts w:ascii="Arial" w:hAnsi="Arial" w:cs="Arial"/>
          <w:i/>
        </w:rPr>
        <w:t xml:space="preserve">.; en consecuencia, </w:t>
      </w:r>
      <w:r w:rsidR="00B9758E">
        <w:rPr>
          <w:rFonts w:ascii="Arial" w:hAnsi="Arial" w:cs="Arial"/>
          <w:i/>
        </w:rPr>
        <w:t xml:space="preserve">fórmese expediente y regístrese su ingreso en el Libro de </w:t>
      </w:r>
      <w:r w:rsidR="00B9758E">
        <w:rPr>
          <w:rFonts w:ascii="Arial" w:hAnsi="Arial" w:cs="Arial"/>
          <w:i/>
        </w:rPr>
        <w:lastRenderedPageBreak/>
        <w:t xml:space="preserve">Gobierno que para tal efecto lleva esta Tercera Sala Unitaria con el número </w:t>
      </w:r>
      <w:r w:rsidR="00B9758E" w:rsidRPr="00B9758E">
        <w:rPr>
          <w:rFonts w:ascii="Arial" w:hAnsi="Arial" w:cs="Arial"/>
          <w:b/>
          <w:i/>
        </w:rPr>
        <w:t>0120/2021</w:t>
      </w:r>
      <w:r w:rsidR="00B9758E">
        <w:rPr>
          <w:rFonts w:ascii="Arial" w:hAnsi="Arial" w:cs="Arial"/>
          <w:b/>
          <w:i/>
        </w:rPr>
        <w:t>.</w:t>
      </w:r>
    </w:p>
    <w:p w14:paraId="20F355B7" w14:textId="35619B4B" w:rsidR="00B9758E" w:rsidRDefault="00B9758E" w:rsidP="00DF04C0">
      <w:pPr>
        <w:ind w:left="567" w:right="616" w:firstLine="142"/>
        <w:jc w:val="both"/>
        <w:rPr>
          <w:rFonts w:ascii="Arial" w:hAnsi="Arial" w:cs="Arial"/>
          <w:i/>
        </w:rPr>
      </w:pPr>
      <w:r>
        <w:rPr>
          <w:rFonts w:ascii="Arial" w:hAnsi="Arial" w:cs="Arial"/>
          <w:i/>
        </w:rPr>
        <w:t>En términos del artículo 161 último párrafo de la Ley de Procedimiento y Justicia Administrativa para el estado de Oaxaca, esta juzgadora procede a verificar si en este asunto se actualiza alguna causal de improcedencia que impida su conocimiento.</w:t>
      </w:r>
    </w:p>
    <w:p w14:paraId="7C8F6196" w14:textId="54E6851E" w:rsidR="00B9758E" w:rsidRDefault="00A73BBF" w:rsidP="00DF04C0">
      <w:pPr>
        <w:ind w:left="567" w:right="616" w:firstLine="142"/>
        <w:jc w:val="both"/>
        <w:rPr>
          <w:rFonts w:ascii="Arial" w:hAnsi="Arial" w:cs="Arial"/>
          <w:i/>
        </w:rPr>
      </w:pPr>
      <w:r>
        <w:rPr>
          <w:rFonts w:ascii="Arial" w:hAnsi="Arial" w:cs="Arial"/>
          <w:i/>
        </w:rPr>
        <w:t xml:space="preserve">Al respecto se tiene que la actora en este asunto señala como acto impugnado el siguiente: “RECIBO CFDI con folio fiscal </w:t>
      </w:r>
      <w:r w:rsidR="00D068AB">
        <w:rPr>
          <w:rFonts w:ascii="Arial" w:hAnsi="Arial" w:cs="Arial"/>
          <w:i/>
        </w:rPr>
        <w:t>*******</w:t>
      </w:r>
      <w:r>
        <w:rPr>
          <w:rFonts w:ascii="Arial" w:hAnsi="Arial" w:cs="Arial"/>
          <w:i/>
        </w:rPr>
        <w:t xml:space="preserve">, </w:t>
      </w:r>
      <w:r w:rsidR="00F7278F">
        <w:rPr>
          <w:rFonts w:ascii="Arial" w:hAnsi="Arial" w:cs="Arial"/>
          <w:i/>
        </w:rPr>
        <w:t xml:space="preserve">emitido por </w:t>
      </w:r>
      <w:r w:rsidR="00D068AB">
        <w:rPr>
          <w:rFonts w:ascii="Arial" w:hAnsi="Arial" w:cs="Arial"/>
          <w:i/>
        </w:rPr>
        <w:t>*******</w:t>
      </w:r>
      <w:r w:rsidR="00420DB0">
        <w:rPr>
          <w:rFonts w:ascii="Arial" w:hAnsi="Arial" w:cs="Arial"/>
          <w:i/>
        </w:rPr>
        <w:t xml:space="preserve">, en este supuesto, de la fracción II, del artículo 133 de la Ley de Procedimiento y Justicia Administrativa para el Estado de Oaxaca, se advierte que el Juicio de Nulidad procede contra resoluciones dictadas por autoridades fiscales, estatales, municipales y de sus órganos descentralizados y desconcentrados, </w:t>
      </w:r>
      <w:r w:rsidR="00162EAE">
        <w:rPr>
          <w:rFonts w:ascii="Arial" w:hAnsi="Arial" w:cs="Arial"/>
          <w:i/>
        </w:rPr>
        <w:t>en que se determine la existencia de una obligación fiscal, se fije esta en cantidad l</w:t>
      </w:r>
      <w:r w:rsidR="00557FC6">
        <w:rPr>
          <w:rFonts w:ascii="Arial" w:hAnsi="Arial" w:cs="Arial"/>
          <w:i/>
        </w:rPr>
        <w:t xml:space="preserve">íquida, o se den las bases para su liquidación, nieguen la devolución de cantidades que procedan conforme a la ley, o cualquiera otra que cause agravios de carácter fiscal; </w:t>
      </w:r>
      <w:r w:rsidR="001918C6">
        <w:rPr>
          <w:rFonts w:ascii="Arial" w:hAnsi="Arial" w:cs="Arial"/>
          <w:i/>
        </w:rPr>
        <w:t>luego entonces, para que un acto administrativo tenga la naturaleza de crédito fiscal impugnable a trav</w:t>
      </w:r>
      <w:r w:rsidR="00F860C9">
        <w:rPr>
          <w:rFonts w:ascii="Arial" w:hAnsi="Arial" w:cs="Arial"/>
          <w:i/>
        </w:rPr>
        <w:t xml:space="preserve">és el juicio de nulidad, es necesario la emisión de una resolución en la que se determine un adeudo en cantidad líquida o se fijen las bases para su liquidación, que ésta se notifique al contribuyente, se le otorgue un plazo para su cumplimiento, esto es, para el pago del adeudo y que, ante su omisión, sea exigible a través del procedimiento administrativo de ejecución; </w:t>
      </w:r>
      <w:r w:rsidR="00A672AE">
        <w:rPr>
          <w:rFonts w:ascii="Arial" w:hAnsi="Arial" w:cs="Arial"/>
          <w:i/>
        </w:rPr>
        <w:t>por tanto, los recibos de pago por consumo de agua potable no son impugnables en términos del referido artículo 33 fracción II de la Ley que rige a este Tribunal,</w:t>
      </w:r>
      <w:r w:rsidR="00475774">
        <w:rPr>
          <w:rFonts w:ascii="Arial" w:hAnsi="Arial" w:cs="Arial"/>
          <w:i/>
        </w:rPr>
        <w:t xml:space="preserve"> en virtud de que si bien es cierto, contienen una cantidad total a pagar, también lo es que ello no los convierte en una resolución determinante de un crédito fiscal, ya que únicamente son instrumentos o formatos para el pago, y en ellos no se establece un adeudo en cantidad líquida que derive de un procedimiento fiscalizador </w:t>
      </w:r>
      <w:r w:rsidR="0094153C">
        <w:rPr>
          <w:rFonts w:ascii="Arial" w:hAnsi="Arial" w:cs="Arial"/>
          <w:i/>
        </w:rPr>
        <w:t xml:space="preserve">instaurado por una autoridad, tampoco determina la existencia de una obligación fiscal, ni establecen un plazo perentorio para que el particular  cubra dicho adeudo con el apercibimiento de que, de no hacerlo, se hará efectivo a través del aludido procedimiento, criterio sostenido por el máximo Tribunal del país, como se advierte de la jurisprudencia con datos de identificación: Semanario Judicial de la </w:t>
      </w:r>
      <w:r w:rsidR="002B1A88">
        <w:rPr>
          <w:rFonts w:ascii="Arial" w:hAnsi="Arial" w:cs="Arial"/>
          <w:i/>
        </w:rPr>
        <w:t>F</w:t>
      </w:r>
      <w:r w:rsidR="0094153C">
        <w:rPr>
          <w:rFonts w:ascii="Arial" w:hAnsi="Arial" w:cs="Arial"/>
          <w:i/>
        </w:rPr>
        <w:t>ederación y su Gaceta, Tomo XXXVIII, Diciembre de 2008, Novena Época, pág. 294, registro 168248, Jurisprudencia Administrativa, Segunda Sala, de rubro: “</w:t>
      </w:r>
      <w:r w:rsidR="0094153C">
        <w:rPr>
          <w:rFonts w:ascii="Arial" w:hAnsi="Arial" w:cs="Arial"/>
          <w:b/>
          <w:i/>
        </w:rPr>
        <w:t>TENENCIA O USO DE VEHÍCULOS. EL RECIBO DE PAGO RELATIVO NO CONSTITUYE UN ACTO DE AUTORIDAD PARA LOS EFECTOS DE JUICIO DE AMPARO.”</w:t>
      </w:r>
      <w:r w:rsidR="0094153C">
        <w:rPr>
          <w:rFonts w:ascii="Arial" w:hAnsi="Arial" w:cs="Arial"/>
          <w:i/>
        </w:rPr>
        <w:t xml:space="preserve">; y en la Tesis: </w:t>
      </w:r>
    </w:p>
    <w:p w14:paraId="219FFD97" w14:textId="18FCE6E3" w:rsidR="0094153C" w:rsidRPr="0094153C" w:rsidRDefault="0094153C" w:rsidP="00DF04C0">
      <w:pPr>
        <w:ind w:left="567" w:right="616" w:firstLine="142"/>
        <w:jc w:val="both"/>
        <w:rPr>
          <w:rFonts w:ascii="Arial" w:hAnsi="Arial" w:cs="Arial"/>
          <w:i/>
        </w:rPr>
      </w:pPr>
      <w:r>
        <w:rPr>
          <w:rFonts w:ascii="Arial" w:hAnsi="Arial" w:cs="Arial"/>
          <w:i/>
        </w:rPr>
        <w:t xml:space="preserve">Semanario Judicial de la </w:t>
      </w:r>
      <w:r w:rsidR="002B1A88">
        <w:rPr>
          <w:rFonts w:ascii="Arial" w:hAnsi="Arial" w:cs="Arial"/>
          <w:i/>
        </w:rPr>
        <w:t>F</w:t>
      </w:r>
      <w:r>
        <w:rPr>
          <w:rFonts w:ascii="Arial" w:hAnsi="Arial" w:cs="Arial"/>
          <w:i/>
        </w:rPr>
        <w:t xml:space="preserve">ederación y su Gaceta, </w:t>
      </w:r>
      <w:r w:rsidR="002B1A88">
        <w:rPr>
          <w:rFonts w:ascii="Arial" w:hAnsi="Arial" w:cs="Arial"/>
          <w:i/>
        </w:rPr>
        <w:t>Libro XXII</w:t>
      </w:r>
      <w:r>
        <w:rPr>
          <w:rFonts w:ascii="Arial" w:hAnsi="Arial" w:cs="Arial"/>
          <w:i/>
        </w:rPr>
        <w:t xml:space="preserve">, </w:t>
      </w:r>
      <w:r w:rsidR="002B1A88">
        <w:rPr>
          <w:rFonts w:ascii="Arial" w:hAnsi="Arial" w:cs="Arial"/>
          <w:i/>
        </w:rPr>
        <w:t>Julio de 2013</w:t>
      </w:r>
      <w:r>
        <w:rPr>
          <w:rFonts w:ascii="Arial" w:hAnsi="Arial" w:cs="Arial"/>
          <w:i/>
        </w:rPr>
        <w:t>,</w:t>
      </w:r>
      <w:r w:rsidR="002B1A88">
        <w:rPr>
          <w:rFonts w:ascii="Arial" w:hAnsi="Arial" w:cs="Arial"/>
          <w:i/>
        </w:rPr>
        <w:t xml:space="preserve"> Tomo II, Décim</w:t>
      </w:r>
      <w:r>
        <w:rPr>
          <w:rFonts w:ascii="Arial" w:hAnsi="Arial" w:cs="Arial"/>
          <w:i/>
        </w:rPr>
        <w:t>a Época, p</w:t>
      </w:r>
      <w:r w:rsidR="002B1A88">
        <w:rPr>
          <w:rFonts w:ascii="Arial" w:hAnsi="Arial" w:cs="Arial"/>
          <w:i/>
        </w:rPr>
        <w:t>ág. 1529</w:t>
      </w:r>
      <w:r>
        <w:rPr>
          <w:rFonts w:ascii="Arial" w:hAnsi="Arial" w:cs="Arial"/>
          <w:i/>
        </w:rPr>
        <w:t xml:space="preserve">, registro </w:t>
      </w:r>
      <w:r w:rsidR="002B1A88">
        <w:rPr>
          <w:rFonts w:ascii="Arial" w:hAnsi="Arial" w:cs="Arial"/>
          <w:i/>
        </w:rPr>
        <w:t>2004068</w:t>
      </w:r>
      <w:r>
        <w:rPr>
          <w:rFonts w:ascii="Arial" w:hAnsi="Arial" w:cs="Arial"/>
          <w:i/>
        </w:rPr>
        <w:t xml:space="preserve">, </w:t>
      </w:r>
      <w:r w:rsidR="002B1A88">
        <w:rPr>
          <w:rFonts w:ascii="Arial" w:hAnsi="Arial" w:cs="Arial"/>
          <w:i/>
        </w:rPr>
        <w:t xml:space="preserve">Tesis Aislada </w:t>
      </w:r>
      <w:r>
        <w:rPr>
          <w:rFonts w:ascii="Arial" w:hAnsi="Arial" w:cs="Arial"/>
          <w:i/>
        </w:rPr>
        <w:t xml:space="preserve">Administrativa, </w:t>
      </w:r>
      <w:r w:rsidR="002B1A88">
        <w:rPr>
          <w:rFonts w:ascii="Arial" w:hAnsi="Arial" w:cs="Arial"/>
          <w:i/>
        </w:rPr>
        <w:t>Tribunales Colegiados de Circuito, de ru</w:t>
      </w:r>
      <w:r>
        <w:rPr>
          <w:rFonts w:ascii="Arial" w:hAnsi="Arial" w:cs="Arial"/>
          <w:i/>
        </w:rPr>
        <w:t xml:space="preserve">bro: </w:t>
      </w:r>
      <w:r w:rsidRPr="00162053">
        <w:rPr>
          <w:rFonts w:ascii="Arial" w:hAnsi="Arial" w:cs="Arial"/>
          <w:i/>
        </w:rPr>
        <w:t>“</w:t>
      </w:r>
      <w:r w:rsidR="00162053" w:rsidRPr="00162053">
        <w:rPr>
          <w:rFonts w:ascii="Arial" w:hAnsi="Arial" w:cs="Arial"/>
          <w:i/>
        </w:rPr>
        <w:t xml:space="preserve">RECIBOS DE PAGO POR CONSUMO DE AGUA POTABLE Y DRENAJE EXPEDIDOS POR LOS ORGANISMOS OPERADORES MUNICIPALES DE ESOS SERVICIOS DEL ESTADO DE TAMAULIPAS. NO SON IMPUGNABLES A </w:t>
      </w:r>
      <w:r w:rsidR="00497375" w:rsidRPr="00162053">
        <w:rPr>
          <w:rFonts w:ascii="Arial" w:hAnsi="Arial" w:cs="Arial"/>
          <w:i/>
        </w:rPr>
        <w:t>TRAVÉS</w:t>
      </w:r>
      <w:r w:rsidR="00162053" w:rsidRPr="00162053">
        <w:rPr>
          <w:rFonts w:ascii="Arial" w:hAnsi="Arial" w:cs="Arial"/>
          <w:i/>
        </w:rPr>
        <w:t xml:space="preserve"> DEL JUICIO DE NULIDAD EN TÉRMINOS DEL ARTÍCULO 195 FRACCIONES I Y III, DEL </w:t>
      </w:r>
      <w:r w:rsidR="00497375" w:rsidRPr="00162053">
        <w:rPr>
          <w:rFonts w:ascii="Arial" w:hAnsi="Arial" w:cs="Arial"/>
          <w:i/>
        </w:rPr>
        <w:t>CÓDIGO</w:t>
      </w:r>
      <w:r w:rsidR="00162053" w:rsidRPr="00162053">
        <w:rPr>
          <w:rFonts w:ascii="Arial" w:hAnsi="Arial" w:cs="Arial"/>
          <w:i/>
        </w:rPr>
        <w:t xml:space="preserve"> FISCAL LOCAL AL NO SER RESOLUCIONES DETERMINANTES DE UN CRÉDITO FISCAL</w:t>
      </w:r>
      <w:r w:rsidRPr="00162053">
        <w:rPr>
          <w:rFonts w:ascii="Arial" w:hAnsi="Arial" w:cs="Arial"/>
          <w:i/>
        </w:rPr>
        <w:t>”</w:t>
      </w:r>
    </w:p>
    <w:p w14:paraId="78867DFE" w14:textId="77777777" w:rsidR="004973FD" w:rsidRDefault="004973FD" w:rsidP="00DF04C0">
      <w:pPr>
        <w:ind w:left="567" w:right="616" w:firstLine="142"/>
        <w:jc w:val="both"/>
        <w:rPr>
          <w:rFonts w:ascii="Arial" w:hAnsi="Arial" w:cs="Arial"/>
          <w:i/>
        </w:rPr>
      </w:pPr>
      <w:r w:rsidRPr="004973FD">
        <w:rPr>
          <w:rFonts w:ascii="Arial" w:hAnsi="Arial" w:cs="Arial"/>
          <w:i/>
        </w:rPr>
        <w:t xml:space="preserve">En consecuencia, al advertirse el motivo manifiesto e indudable de improcedencia, </w:t>
      </w:r>
      <w:r>
        <w:rPr>
          <w:rFonts w:ascii="Arial" w:hAnsi="Arial" w:cs="Arial"/>
          <w:b/>
          <w:i/>
        </w:rPr>
        <w:t xml:space="preserve">SE DESECHA LA DEMANDA, </w:t>
      </w:r>
      <w:r>
        <w:rPr>
          <w:rFonts w:ascii="Arial" w:hAnsi="Arial" w:cs="Arial"/>
          <w:i/>
        </w:rPr>
        <w:t>de conformidad con lo dispuesto en los artículos 161 fracción X y 182 fracción I de la Ley de Procedimiento y Justicia Administrativa para el Estado de Oaxaca.</w:t>
      </w:r>
    </w:p>
    <w:p w14:paraId="20197255" w14:textId="7898888C" w:rsidR="0094153C" w:rsidRDefault="004973FD" w:rsidP="00DF04C0">
      <w:pPr>
        <w:ind w:left="567" w:right="616" w:firstLine="142"/>
        <w:jc w:val="both"/>
        <w:rPr>
          <w:rFonts w:ascii="Arial" w:hAnsi="Arial" w:cs="Arial"/>
          <w:i/>
        </w:rPr>
      </w:pPr>
      <w:r>
        <w:rPr>
          <w:rFonts w:ascii="Arial" w:hAnsi="Arial" w:cs="Arial"/>
          <w:i/>
        </w:rPr>
        <w:lastRenderedPageBreak/>
        <w:t>Quedan a disposición de la parte actora en la Secretaría de Acuerdos de esta Sala Unitaria, los documentos certificados que agregó a su escrito de demanda por el plazo de tres días hábiles; en el momento procesal oportuno, remítase este expediente al archivo con que cuenta este Tribunal como totalmente y definitivamente concluido, lo anterior de conformidad con lo dispuesto en el artículo 71 fracción VIII del Reglamento Interno de este Tribunal, y 127 del Código de Procedimientos Civiles para el Estado de Oaxaca, aplicado supletoriamente.</w:t>
      </w:r>
    </w:p>
    <w:p w14:paraId="455EBCC9" w14:textId="51E8149E" w:rsidR="002C3E30" w:rsidRPr="00EB08D7" w:rsidRDefault="00356D32" w:rsidP="00DF04C0">
      <w:pPr>
        <w:spacing w:after="0"/>
        <w:ind w:left="567" w:right="616" w:firstLine="142"/>
        <w:jc w:val="both"/>
        <w:rPr>
          <w:rFonts w:ascii="Arial" w:hAnsi="Arial" w:cs="Arial"/>
          <w:bCs/>
          <w:i/>
          <w:iCs/>
        </w:rPr>
      </w:pPr>
      <w:r w:rsidRPr="00EB08D7">
        <w:rPr>
          <w:rFonts w:ascii="Arial" w:hAnsi="Arial" w:cs="Arial"/>
          <w:i/>
        </w:rPr>
        <w:t xml:space="preserve">Con las medidas de salud determinadas por el Pleno de este Tribunal, en el Protocolo para la Reincorporación del Personal y Atención a los Usuarios, emitido en el Acuerdo General de Pleno AG/TJAO/12/2020, </w:t>
      </w:r>
      <w:r w:rsidR="00586CAF" w:rsidRPr="00EB08D7">
        <w:rPr>
          <w:rFonts w:ascii="Arial" w:hAnsi="Arial" w:cs="Arial"/>
          <w:b/>
          <w:i/>
        </w:rPr>
        <w:t>N</w:t>
      </w:r>
      <w:r w:rsidRPr="00EB08D7">
        <w:rPr>
          <w:rFonts w:ascii="Arial" w:hAnsi="Arial" w:cs="Arial"/>
          <w:b/>
          <w:i/>
        </w:rPr>
        <w:t xml:space="preserve">otifíquese </w:t>
      </w:r>
      <w:r w:rsidR="00586CAF" w:rsidRPr="00EB08D7">
        <w:rPr>
          <w:rFonts w:ascii="Arial" w:hAnsi="Arial" w:cs="Arial"/>
          <w:i/>
        </w:rPr>
        <w:t xml:space="preserve">(sic) personalmente al promovente en el domicilio que señaló en el escrito de demanda, incluso por conducto de las personas que autoriza, </w:t>
      </w:r>
      <w:r w:rsidRPr="00EB08D7">
        <w:rPr>
          <w:rFonts w:ascii="Arial" w:hAnsi="Arial" w:cs="Arial"/>
          <w:i/>
        </w:rPr>
        <w:t xml:space="preserve">lo anterior en términos de los artículos 172 fracción </w:t>
      </w:r>
      <w:r w:rsidR="00586CAF" w:rsidRPr="00EB08D7">
        <w:rPr>
          <w:rFonts w:ascii="Arial" w:hAnsi="Arial" w:cs="Arial"/>
          <w:i/>
        </w:rPr>
        <w:t xml:space="preserve">I y </w:t>
      </w:r>
      <w:r w:rsidRPr="00EB08D7">
        <w:rPr>
          <w:rFonts w:ascii="Arial" w:hAnsi="Arial" w:cs="Arial"/>
          <w:i/>
        </w:rPr>
        <w:t>173 fracción I de la Ley de Procedimiento y Justicia Administrativa para el Estado de Oaxaca, y Cúmplase.</w:t>
      </w:r>
      <w:r w:rsidR="002C3E30" w:rsidRPr="00EB08D7">
        <w:rPr>
          <w:rFonts w:ascii="Arial" w:hAnsi="Arial" w:cs="Arial"/>
          <w:i/>
        </w:rPr>
        <w:t>”</w:t>
      </w:r>
      <w:r w:rsidR="002C3E30" w:rsidRPr="00EB08D7">
        <w:rPr>
          <w:rFonts w:ascii="Arial" w:hAnsi="Arial" w:cs="Arial"/>
          <w:bCs/>
          <w:i/>
          <w:iCs/>
        </w:rPr>
        <w:t xml:space="preserve"> </w:t>
      </w:r>
    </w:p>
    <w:p w14:paraId="05688CF7" w14:textId="77777777" w:rsidR="00356D32" w:rsidRPr="00EB08D7" w:rsidRDefault="00356D32" w:rsidP="00356D32">
      <w:pPr>
        <w:spacing w:after="0" w:line="240" w:lineRule="auto"/>
        <w:ind w:left="567" w:right="616"/>
        <w:jc w:val="both"/>
        <w:rPr>
          <w:rFonts w:ascii="Arial" w:hAnsi="Arial" w:cs="Arial"/>
          <w:bCs/>
          <w:i/>
          <w:iCs/>
        </w:rPr>
      </w:pPr>
    </w:p>
    <w:p w14:paraId="5E7D53FE" w14:textId="77777777" w:rsidR="002C3E30" w:rsidRDefault="002C3E30" w:rsidP="002C3E30">
      <w:pPr>
        <w:spacing w:line="360" w:lineRule="auto"/>
        <w:jc w:val="center"/>
        <w:rPr>
          <w:rFonts w:ascii="Arial" w:hAnsi="Arial" w:cs="Arial"/>
          <w:b/>
          <w:bCs/>
          <w:sz w:val="26"/>
          <w:szCs w:val="26"/>
        </w:rPr>
      </w:pPr>
      <w:r>
        <w:rPr>
          <w:rFonts w:ascii="Arial" w:hAnsi="Arial" w:cs="Arial"/>
          <w:b/>
          <w:bCs/>
          <w:sz w:val="26"/>
          <w:szCs w:val="26"/>
        </w:rPr>
        <w:t>C O N S I D E R A N D O</w:t>
      </w:r>
    </w:p>
    <w:p w14:paraId="090C2379" w14:textId="70385E13" w:rsidR="002C3E30" w:rsidRDefault="002C3E30" w:rsidP="001D2353">
      <w:pPr>
        <w:spacing w:line="360" w:lineRule="auto"/>
        <w:ind w:firstLine="567"/>
        <w:jc w:val="both"/>
        <w:rPr>
          <w:rFonts w:ascii="Arial" w:hAnsi="Arial" w:cs="Arial"/>
          <w:sz w:val="26"/>
          <w:szCs w:val="26"/>
          <w:lang w:eastAsia="es-ES"/>
        </w:rPr>
      </w:pPr>
      <w:r>
        <w:rPr>
          <w:rFonts w:ascii="Arial" w:hAnsi="Arial" w:cs="Arial"/>
          <w:b/>
          <w:bCs/>
          <w:iCs/>
          <w:sz w:val="26"/>
          <w:szCs w:val="26"/>
        </w:rPr>
        <w:t>PRIMERO.</w:t>
      </w:r>
      <w:r>
        <w:rPr>
          <w:rFonts w:ascii="Arial" w:hAnsi="Arial" w:cs="Arial"/>
          <w:bCs/>
          <w:iCs/>
          <w:sz w:val="26"/>
          <w:szCs w:val="26"/>
          <w:lang w:eastAsia="es-ES"/>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w:t>
      </w:r>
      <w:r w:rsidR="00967680">
        <w:rPr>
          <w:rFonts w:ascii="Arial" w:hAnsi="Arial" w:cs="Arial"/>
          <w:bCs/>
          <w:iCs/>
          <w:sz w:val="26"/>
          <w:szCs w:val="26"/>
        </w:rPr>
        <w:t>,</w:t>
      </w:r>
      <w:r>
        <w:rPr>
          <w:rFonts w:ascii="Arial" w:hAnsi="Arial" w:cs="Arial"/>
          <w:bCs/>
          <w:iCs/>
          <w:sz w:val="26"/>
          <w:szCs w:val="26"/>
        </w:rPr>
        <w:t xml:space="preserve"> párrafo segundo, 2</w:t>
      </w:r>
      <w:r w:rsidR="00967680">
        <w:rPr>
          <w:rFonts w:ascii="Arial" w:hAnsi="Arial" w:cs="Arial"/>
          <w:bCs/>
          <w:iCs/>
          <w:sz w:val="26"/>
          <w:szCs w:val="26"/>
        </w:rPr>
        <w:t>,</w:t>
      </w:r>
      <w:r w:rsidR="00C73F8D">
        <w:rPr>
          <w:rFonts w:ascii="Arial" w:hAnsi="Arial" w:cs="Arial"/>
          <w:bCs/>
          <w:iCs/>
          <w:sz w:val="26"/>
          <w:szCs w:val="26"/>
        </w:rPr>
        <w:t xml:space="preserve"> </w:t>
      </w:r>
      <w:r>
        <w:rPr>
          <w:rFonts w:ascii="Arial" w:hAnsi="Arial" w:cs="Arial"/>
          <w:bCs/>
          <w:iCs/>
          <w:sz w:val="26"/>
          <w:szCs w:val="26"/>
        </w:rPr>
        <w:t>4</w:t>
      </w:r>
      <w:r w:rsidR="00967680">
        <w:rPr>
          <w:rFonts w:ascii="Arial" w:hAnsi="Arial" w:cs="Arial"/>
          <w:bCs/>
          <w:iCs/>
          <w:sz w:val="26"/>
          <w:szCs w:val="26"/>
        </w:rPr>
        <w:t>,</w:t>
      </w:r>
      <w:r>
        <w:rPr>
          <w:rFonts w:ascii="Arial" w:hAnsi="Arial" w:cs="Arial"/>
          <w:bCs/>
          <w:iCs/>
          <w:sz w:val="26"/>
          <w:szCs w:val="26"/>
        </w:rPr>
        <w:t xml:space="preserve"> fracción VIII, 23, 24</w:t>
      </w:r>
      <w:r w:rsidR="00967680">
        <w:rPr>
          <w:rFonts w:ascii="Arial" w:hAnsi="Arial" w:cs="Arial"/>
          <w:bCs/>
          <w:iCs/>
          <w:sz w:val="26"/>
          <w:szCs w:val="26"/>
        </w:rPr>
        <w:t>,</w:t>
      </w:r>
      <w:r>
        <w:rPr>
          <w:rFonts w:ascii="Arial" w:hAnsi="Arial" w:cs="Arial"/>
          <w:bCs/>
          <w:iCs/>
          <w:sz w:val="26"/>
          <w:szCs w:val="26"/>
        </w:rPr>
        <w:t xml:space="preserve"> fracci</w:t>
      </w:r>
      <w:r w:rsidR="00EB08D7">
        <w:rPr>
          <w:rFonts w:ascii="Arial" w:hAnsi="Arial" w:cs="Arial"/>
          <w:bCs/>
          <w:iCs/>
          <w:sz w:val="26"/>
          <w:szCs w:val="26"/>
        </w:rPr>
        <w:t xml:space="preserve">ones </w:t>
      </w:r>
      <w:r>
        <w:rPr>
          <w:rFonts w:ascii="Arial" w:hAnsi="Arial" w:cs="Arial"/>
          <w:bCs/>
          <w:iCs/>
          <w:sz w:val="26"/>
          <w:szCs w:val="26"/>
        </w:rPr>
        <w:t>I</w:t>
      </w:r>
      <w:r w:rsidR="00EB08D7">
        <w:rPr>
          <w:rFonts w:ascii="Arial" w:hAnsi="Arial" w:cs="Arial"/>
          <w:bCs/>
          <w:iCs/>
          <w:sz w:val="26"/>
          <w:szCs w:val="26"/>
        </w:rPr>
        <w:t xml:space="preserve"> y III</w:t>
      </w:r>
      <w:r>
        <w:rPr>
          <w:rFonts w:ascii="Arial" w:hAnsi="Arial" w:cs="Arial"/>
          <w:bCs/>
          <w:iCs/>
          <w:sz w:val="26"/>
          <w:szCs w:val="26"/>
        </w:rPr>
        <w:t>, 25</w:t>
      </w:r>
      <w:r w:rsidR="00967680">
        <w:rPr>
          <w:rFonts w:ascii="Arial" w:hAnsi="Arial" w:cs="Arial"/>
          <w:bCs/>
          <w:iCs/>
          <w:sz w:val="26"/>
          <w:szCs w:val="26"/>
        </w:rPr>
        <w:t>,</w:t>
      </w:r>
      <w:r>
        <w:rPr>
          <w:rFonts w:ascii="Arial" w:hAnsi="Arial" w:cs="Arial"/>
          <w:bCs/>
          <w:iCs/>
          <w:sz w:val="26"/>
          <w:szCs w:val="26"/>
        </w:rPr>
        <w:t xml:space="preserve"> fracción I y 27</w:t>
      </w:r>
      <w:r w:rsidR="00967680">
        <w:rPr>
          <w:rFonts w:ascii="Arial" w:hAnsi="Arial" w:cs="Arial"/>
          <w:bCs/>
          <w:iCs/>
          <w:sz w:val="26"/>
          <w:szCs w:val="26"/>
        </w:rPr>
        <w:t>,</w:t>
      </w:r>
      <w:r>
        <w:rPr>
          <w:rFonts w:ascii="Arial" w:hAnsi="Arial" w:cs="Arial"/>
          <w:bCs/>
          <w:iCs/>
          <w:sz w:val="26"/>
          <w:szCs w:val="26"/>
        </w:rPr>
        <w:t xml:space="preserve"> de la Ley Orgánica del Tribunal de Justicia Admi</w:t>
      </w:r>
      <w:r w:rsidR="00C73F8D">
        <w:rPr>
          <w:rFonts w:ascii="Arial" w:hAnsi="Arial" w:cs="Arial"/>
          <w:bCs/>
          <w:iCs/>
          <w:sz w:val="26"/>
          <w:szCs w:val="26"/>
        </w:rPr>
        <w:t>nistrativa del Estado de Oaxaca</w:t>
      </w:r>
      <w:r>
        <w:rPr>
          <w:rFonts w:ascii="Arial" w:hAnsi="Arial" w:cs="Arial"/>
          <w:bCs/>
          <w:iCs/>
          <w:sz w:val="26"/>
          <w:szCs w:val="26"/>
        </w:rPr>
        <w:t>; así como los diversos 125, 127, 129, 130</w:t>
      </w:r>
      <w:r w:rsidR="00967680">
        <w:rPr>
          <w:rFonts w:ascii="Arial" w:hAnsi="Arial" w:cs="Arial"/>
          <w:bCs/>
          <w:iCs/>
          <w:sz w:val="26"/>
          <w:szCs w:val="26"/>
        </w:rPr>
        <w:t>,</w:t>
      </w:r>
      <w:r>
        <w:rPr>
          <w:rFonts w:ascii="Arial" w:hAnsi="Arial" w:cs="Arial"/>
          <w:bCs/>
          <w:iCs/>
          <w:sz w:val="26"/>
          <w:szCs w:val="26"/>
        </w:rPr>
        <w:t xml:space="preserve"> fracción I, 131, 231, 236 y 238</w:t>
      </w:r>
      <w:r w:rsidR="00967680">
        <w:rPr>
          <w:rFonts w:ascii="Arial" w:hAnsi="Arial" w:cs="Arial"/>
          <w:bCs/>
          <w:iCs/>
          <w:sz w:val="26"/>
          <w:szCs w:val="26"/>
        </w:rPr>
        <w:t>,</w:t>
      </w:r>
      <w:r>
        <w:rPr>
          <w:rFonts w:ascii="Arial" w:hAnsi="Arial" w:cs="Arial"/>
          <w:bCs/>
          <w:iCs/>
          <w:sz w:val="26"/>
          <w:szCs w:val="26"/>
        </w:rPr>
        <w:t xml:space="preserve"> de la Ley de Procedimiento y Justicia Administrativa para el Estado de Oaxaca</w:t>
      </w:r>
      <w:r>
        <w:rPr>
          <w:rFonts w:ascii="Arial" w:hAnsi="Arial" w:cs="Arial"/>
          <w:bCs/>
          <w:iCs/>
          <w:sz w:val="26"/>
          <w:szCs w:val="26"/>
          <w:lang w:eastAsia="es-ES"/>
        </w:rPr>
        <w:t xml:space="preserve">, </w:t>
      </w:r>
      <w:r>
        <w:rPr>
          <w:rFonts w:ascii="Arial" w:hAnsi="Arial" w:cs="Arial"/>
          <w:bCs/>
          <w:iCs/>
          <w:sz w:val="26"/>
          <w:szCs w:val="26"/>
        </w:rPr>
        <w:t xml:space="preserve">dado que se trata de un recurso de revisión en contra del acuerdo </w:t>
      </w:r>
      <w:r w:rsidR="00EB08D7">
        <w:rPr>
          <w:rFonts w:ascii="Arial" w:hAnsi="Arial" w:cs="Arial"/>
          <w:sz w:val="26"/>
          <w:szCs w:val="26"/>
        </w:rPr>
        <w:t xml:space="preserve">de dieciséis de noviembre de dos mil veintiuno dictado por la Tercera </w:t>
      </w:r>
      <w:r w:rsidR="001D2353">
        <w:rPr>
          <w:rFonts w:ascii="Arial" w:hAnsi="Arial" w:cs="Arial"/>
          <w:sz w:val="26"/>
          <w:szCs w:val="26"/>
        </w:rPr>
        <w:t>Sala Unitaria de Primera Instancia de este Tribunal</w:t>
      </w:r>
      <w:r>
        <w:rPr>
          <w:rFonts w:ascii="Arial" w:hAnsi="Arial" w:cs="Arial"/>
          <w:bCs/>
          <w:iCs/>
          <w:sz w:val="26"/>
          <w:szCs w:val="26"/>
        </w:rPr>
        <w:t xml:space="preserve">, </w:t>
      </w:r>
      <w:r>
        <w:rPr>
          <w:rFonts w:ascii="Arial" w:hAnsi="Arial" w:cs="Arial"/>
          <w:sz w:val="26"/>
          <w:szCs w:val="26"/>
        </w:rPr>
        <w:t xml:space="preserve">en el expediente </w:t>
      </w:r>
      <w:r>
        <w:rPr>
          <w:rFonts w:ascii="Arial" w:hAnsi="Arial" w:cs="Arial"/>
          <w:b/>
          <w:sz w:val="26"/>
          <w:szCs w:val="26"/>
        </w:rPr>
        <w:t>0</w:t>
      </w:r>
      <w:r w:rsidR="00EB08D7">
        <w:rPr>
          <w:rFonts w:ascii="Arial" w:hAnsi="Arial" w:cs="Arial"/>
          <w:b/>
          <w:sz w:val="26"/>
          <w:szCs w:val="26"/>
        </w:rPr>
        <w:t>120</w:t>
      </w:r>
      <w:r>
        <w:rPr>
          <w:rFonts w:ascii="Arial" w:hAnsi="Arial" w:cs="Arial"/>
          <w:b/>
          <w:sz w:val="26"/>
          <w:szCs w:val="26"/>
        </w:rPr>
        <w:t>/202</w:t>
      </w:r>
      <w:r w:rsidR="001D2353">
        <w:rPr>
          <w:rFonts w:ascii="Arial" w:hAnsi="Arial" w:cs="Arial"/>
          <w:b/>
          <w:sz w:val="26"/>
          <w:szCs w:val="26"/>
        </w:rPr>
        <w:t>1.</w:t>
      </w:r>
      <w:r>
        <w:rPr>
          <w:rFonts w:ascii="Arial" w:hAnsi="Arial" w:cs="Arial"/>
          <w:b/>
          <w:sz w:val="26"/>
          <w:szCs w:val="26"/>
        </w:rPr>
        <w:t xml:space="preserve"> </w:t>
      </w:r>
      <w:r w:rsidR="00DF04C0" w:rsidRPr="00DF04C0">
        <w:rPr>
          <w:rFonts w:ascii="Arial" w:hAnsi="Arial" w:cs="Arial"/>
          <w:bCs/>
          <w:sz w:val="26"/>
          <w:szCs w:val="26"/>
        </w:rPr>
        <w:t>- - - - - - - - - - - -</w:t>
      </w:r>
      <w:r w:rsidR="00DF04C0">
        <w:rPr>
          <w:rFonts w:ascii="Arial" w:hAnsi="Arial" w:cs="Arial"/>
          <w:b/>
          <w:sz w:val="26"/>
          <w:szCs w:val="26"/>
        </w:rPr>
        <w:t xml:space="preserve"> </w:t>
      </w:r>
    </w:p>
    <w:p w14:paraId="31B99786" w14:textId="0F1C480F" w:rsidR="002C3E30" w:rsidRDefault="002C3E30" w:rsidP="002C3E30">
      <w:pPr>
        <w:spacing w:line="360" w:lineRule="auto"/>
        <w:ind w:firstLine="708"/>
        <w:jc w:val="both"/>
        <w:rPr>
          <w:rFonts w:ascii="Arial" w:eastAsia="Times New Roman" w:hAnsi="Arial" w:cs="Arial"/>
          <w:sz w:val="26"/>
          <w:szCs w:val="26"/>
        </w:rPr>
      </w:pPr>
      <w:r>
        <w:rPr>
          <w:rFonts w:ascii="Arial" w:hAnsi="Arial" w:cs="Arial"/>
          <w:b/>
          <w:bCs/>
          <w:sz w:val="26"/>
          <w:szCs w:val="26"/>
        </w:rPr>
        <w:t xml:space="preserve">SEGUNDO. </w:t>
      </w:r>
      <w:r w:rsidR="00EB08D7">
        <w:rPr>
          <w:rFonts w:ascii="Arial" w:eastAsia="Times New Roman" w:hAnsi="Arial" w:cs="Arial"/>
          <w:bCs/>
          <w:sz w:val="26"/>
          <w:szCs w:val="26"/>
        </w:rPr>
        <w:t xml:space="preserve">Los </w:t>
      </w:r>
      <w:r>
        <w:rPr>
          <w:rFonts w:ascii="Arial" w:eastAsia="Times New Roman" w:hAnsi="Arial" w:cs="Arial"/>
          <w:bCs/>
          <w:sz w:val="26"/>
          <w:szCs w:val="26"/>
        </w:rPr>
        <w:t>agravio</w:t>
      </w:r>
      <w:r w:rsidR="00EB08D7">
        <w:rPr>
          <w:rFonts w:ascii="Arial" w:eastAsia="Times New Roman" w:hAnsi="Arial" w:cs="Arial"/>
          <w:bCs/>
          <w:sz w:val="26"/>
          <w:szCs w:val="26"/>
        </w:rPr>
        <w:t>s</w:t>
      </w:r>
      <w:r w:rsidR="00917ED4">
        <w:rPr>
          <w:rFonts w:ascii="Arial" w:eastAsia="Times New Roman" w:hAnsi="Arial" w:cs="Arial"/>
          <w:bCs/>
          <w:sz w:val="26"/>
          <w:szCs w:val="26"/>
        </w:rPr>
        <w:t xml:space="preserve"> hecho</w:t>
      </w:r>
      <w:r w:rsidR="00EB08D7">
        <w:rPr>
          <w:rFonts w:ascii="Arial" w:eastAsia="Times New Roman" w:hAnsi="Arial" w:cs="Arial"/>
          <w:bCs/>
          <w:sz w:val="26"/>
          <w:szCs w:val="26"/>
        </w:rPr>
        <w:t>s</w:t>
      </w:r>
      <w:r>
        <w:rPr>
          <w:rFonts w:ascii="Arial" w:eastAsia="Times New Roman" w:hAnsi="Arial" w:cs="Arial"/>
          <w:bCs/>
          <w:sz w:val="26"/>
          <w:szCs w:val="26"/>
        </w:rPr>
        <w:t xml:space="preserve"> valer se encuentra</w:t>
      </w:r>
      <w:r w:rsidR="00EB08D7">
        <w:rPr>
          <w:rFonts w:ascii="Arial" w:eastAsia="Times New Roman" w:hAnsi="Arial" w:cs="Arial"/>
          <w:bCs/>
          <w:sz w:val="26"/>
          <w:szCs w:val="26"/>
        </w:rPr>
        <w:t>n</w:t>
      </w:r>
      <w:r>
        <w:rPr>
          <w:rFonts w:ascii="Arial" w:eastAsia="Times New Roman" w:hAnsi="Arial" w:cs="Arial"/>
          <w:bCs/>
          <w:sz w:val="26"/>
          <w:szCs w:val="26"/>
        </w:rPr>
        <w:t xml:space="preserve"> expuesto</w:t>
      </w:r>
      <w:r w:rsidR="00EB08D7">
        <w:rPr>
          <w:rFonts w:ascii="Arial" w:eastAsia="Times New Roman" w:hAnsi="Arial" w:cs="Arial"/>
          <w:bCs/>
          <w:sz w:val="26"/>
          <w:szCs w:val="26"/>
        </w:rPr>
        <w:t>s</w:t>
      </w:r>
      <w:r>
        <w:rPr>
          <w:rFonts w:ascii="Arial" w:eastAsia="Times New Roman" w:hAnsi="Arial" w:cs="Arial"/>
          <w:bCs/>
          <w:sz w:val="26"/>
          <w:szCs w:val="26"/>
        </w:rPr>
        <w:t xml:space="preserve"> en el escrito respectivo de la recurrente, por lo que no existe necesidad de transcribirlo</w:t>
      </w:r>
      <w:r w:rsidR="00EB08D7">
        <w:rPr>
          <w:rFonts w:ascii="Arial" w:eastAsia="Times New Roman" w:hAnsi="Arial" w:cs="Arial"/>
          <w:bCs/>
          <w:sz w:val="26"/>
          <w:szCs w:val="26"/>
        </w:rPr>
        <w:t>s</w:t>
      </w:r>
      <w:r>
        <w:rPr>
          <w:rFonts w:ascii="Arial" w:eastAsia="Times New Roman" w:hAnsi="Arial" w:cs="Arial"/>
          <w:bCs/>
          <w:sz w:val="26"/>
          <w:szCs w:val="26"/>
        </w:rPr>
        <w:t>, virtud a que ello no implica transgresión a derecho alguno de la recurrente, como tampoco se vulnera disposición expresa que imponga tal obligación</w:t>
      </w:r>
      <w:r>
        <w:rPr>
          <w:rFonts w:ascii="Arial" w:eastAsia="Times New Roman" w:hAnsi="Arial" w:cs="Arial"/>
          <w:sz w:val="26"/>
          <w:szCs w:val="26"/>
        </w:rPr>
        <w:t>.</w:t>
      </w:r>
      <w:r w:rsidR="00DF04C0">
        <w:rPr>
          <w:rFonts w:ascii="Arial" w:eastAsia="Times New Roman" w:hAnsi="Arial" w:cs="Arial"/>
          <w:sz w:val="26"/>
          <w:szCs w:val="26"/>
        </w:rPr>
        <w:t xml:space="preserve"> - - - - - - - - - - - - - - - - - - - - - - - - - - - - - - - - </w:t>
      </w:r>
    </w:p>
    <w:p w14:paraId="0B8E2562" w14:textId="41DADB3D" w:rsidR="00855965" w:rsidRPr="00855965" w:rsidRDefault="00855965" w:rsidP="00855965">
      <w:pPr>
        <w:shd w:val="clear" w:color="auto" w:fill="FFFFFF"/>
        <w:spacing w:line="360" w:lineRule="auto"/>
        <w:ind w:firstLine="567"/>
        <w:jc w:val="both"/>
        <w:rPr>
          <w:rFonts w:ascii="Arial" w:hAnsi="Arial" w:cs="Arial"/>
          <w:bCs/>
          <w:color w:val="000000"/>
          <w:sz w:val="26"/>
          <w:szCs w:val="26"/>
        </w:rPr>
      </w:pPr>
      <w:r w:rsidRPr="00855965">
        <w:rPr>
          <w:rFonts w:ascii="Arial" w:hAnsi="Arial" w:cs="Arial"/>
          <w:bCs/>
          <w:color w:val="000000"/>
          <w:sz w:val="26"/>
          <w:szCs w:val="26"/>
        </w:rPr>
        <w:t xml:space="preserve">Se invoca en apoyo a lo anterior, la jurisprudencia en materia común, número </w:t>
      </w:r>
      <w:r w:rsidRPr="00855965">
        <w:rPr>
          <w:rFonts w:ascii="Arial" w:eastAsia="Times New Roman" w:hAnsi="Arial" w:cs="Arial"/>
          <w:color w:val="212529"/>
          <w:sz w:val="26"/>
          <w:szCs w:val="26"/>
        </w:rPr>
        <w:t xml:space="preserve">2a./J. 58/2010, de la Novena Época, emitida por la Segunda Sala de la Suprema Corte de Justicia de la Nación, </w:t>
      </w:r>
      <w:r w:rsidRPr="00855965">
        <w:rPr>
          <w:rFonts w:ascii="Arial" w:hAnsi="Arial" w:cs="Arial"/>
          <w:bCs/>
          <w:color w:val="000000"/>
          <w:sz w:val="26"/>
          <w:szCs w:val="26"/>
        </w:rPr>
        <w:t xml:space="preserve">con número de registro digital </w:t>
      </w:r>
      <w:r w:rsidRPr="00855965">
        <w:rPr>
          <w:rFonts w:ascii="Arial" w:eastAsia="Times New Roman" w:hAnsi="Arial" w:cs="Arial"/>
          <w:color w:val="212529"/>
          <w:sz w:val="26"/>
          <w:szCs w:val="26"/>
        </w:rPr>
        <w:t xml:space="preserve">164618, publicada en el Semanario Judicial de la Federación y su Gaceta. En el Tomo XXXI, Mayo de 2010, visible a página 830, </w:t>
      </w:r>
      <w:r w:rsidRPr="00855965">
        <w:rPr>
          <w:rFonts w:ascii="Arial" w:hAnsi="Arial" w:cs="Arial"/>
          <w:bCs/>
          <w:color w:val="000000"/>
          <w:sz w:val="26"/>
          <w:szCs w:val="26"/>
        </w:rPr>
        <w:t xml:space="preserve">bajo el rubro y texto siguiente: </w:t>
      </w:r>
      <w:r w:rsidR="00DF04C0">
        <w:rPr>
          <w:rFonts w:ascii="Arial" w:hAnsi="Arial" w:cs="Arial"/>
          <w:bCs/>
          <w:color w:val="000000"/>
          <w:sz w:val="26"/>
          <w:szCs w:val="26"/>
        </w:rPr>
        <w:t xml:space="preserve">- - - - - - - - - - - - - - - - - - - - - </w:t>
      </w:r>
    </w:p>
    <w:p w14:paraId="673CC5B0" w14:textId="77777777" w:rsidR="00855965" w:rsidRPr="00AA0CED" w:rsidRDefault="00855965" w:rsidP="00DF04C0">
      <w:pPr>
        <w:spacing w:before="240" w:after="0"/>
        <w:ind w:left="567" w:right="758"/>
        <w:jc w:val="both"/>
        <w:rPr>
          <w:rFonts w:ascii="Arial" w:eastAsia="Times New Roman" w:hAnsi="Arial" w:cs="Arial"/>
          <w:i/>
          <w:iCs/>
        </w:rPr>
      </w:pPr>
      <w:r w:rsidRPr="00AA0CED">
        <w:rPr>
          <w:rFonts w:ascii="Arial" w:eastAsia="Times New Roman" w:hAnsi="Arial" w:cs="Arial"/>
          <w:b/>
          <w:bCs/>
          <w:i/>
          <w:iCs/>
        </w:rPr>
        <w:t xml:space="preserve">“CONCEPTOS DE VIOLACIÓN O AGRAVIOS. PARA CUMPLIR CON LOS PRINCIPIOS DE CONGRUENCIA Y EXHAUSTIVIDAD EN LAS </w:t>
      </w:r>
      <w:r w:rsidRPr="00AA0CED">
        <w:rPr>
          <w:rFonts w:ascii="Arial" w:eastAsia="Times New Roman" w:hAnsi="Arial" w:cs="Arial"/>
          <w:b/>
          <w:bCs/>
          <w:i/>
          <w:iCs/>
        </w:rPr>
        <w:lastRenderedPageBreak/>
        <w:t xml:space="preserve">SENTENCIAS DE AMPARO ES INNECESARIA SU TRANSCRIPCIÓN. </w:t>
      </w:r>
      <w:r w:rsidRPr="00AA0CED">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362029E" w14:textId="0DCA0D8E" w:rsidR="00565536" w:rsidRPr="00D700D0" w:rsidRDefault="002C3E30" w:rsidP="002F1906">
      <w:pPr>
        <w:spacing w:before="240" w:after="0" w:line="360" w:lineRule="auto"/>
        <w:ind w:firstLine="567"/>
        <w:jc w:val="both"/>
        <w:rPr>
          <w:rFonts w:ascii="Arial" w:eastAsia="Calibri" w:hAnsi="Arial" w:cs="Arial"/>
          <w:bCs/>
          <w:sz w:val="26"/>
          <w:szCs w:val="26"/>
        </w:rPr>
      </w:pPr>
      <w:r>
        <w:rPr>
          <w:rFonts w:ascii="Arial" w:hAnsi="Arial" w:cs="Arial"/>
          <w:b/>
          <w:bCs/>
          <w:sz w:val="26"/>
          <w:szCs w:val="26"/>
        </w:rPr>
        <w:t>TERCERO.</w:t>
      </w:r>
      <w:r>
        <w:rPr>
          <w:rFonts w:ascii="Arial" w:eastAsia="Calibri" w:hAnsi="Arial" w:cs="Arial"/>
          <w:bCs/>
          <w:sz w:val="24"/>
          <w:szCs w:val="24"/>
        </w:rPr>
        <w:t xml:space="preserve"> </w:t>
      </w:r>
      <w:r w:rsidR="00D205DC" w:rsidRPr="00D700D0">
        <w:rPr>
          <w:rFonts w:ascii="Arial" w:eastAsia="Calibri" w:hAnsi="Arial" w:cs="Arial"/>
          <w:bCs/>
          <w:sz w:val="26"/>
          <w:szCs w:val="26"/>
        </w:rPr>
        <w:t>A</w:t>
      </w:r>
      <w:r w:rsidRPr="00D700D0">
        <w:rPr>
          <w:rFonts w:ascii="Arial" w:eastAsia="Calibri" w:hAnsi="Arial" w:cs="Arial"/>
          <w:bCs/>
          <w:sz w:val="26"/>
          <w:szCs w:val="26"/>
        </w:rPr>
        <w:t xml:space="preserve">rguye </w:t>
      </w:r>
      <w:r w:rsidR="00E40EF3" w:rsidRPr="00D700D0">
        <w:rPr>
          <w:rFonts w:ascii="Arial" w:eastAsia="Calibri" w:hAnsi="Arial" w:cs="Arial"/>
          <w:bCs/>
          <w:sz w:val="26"/>
          <w:szCs w:val="26"/>
        </w:rPr>
        <w:t>l</w:t>
      </w:r>
      <w:r w:rsidR="00AA0CED" w:rsidRPr="00D700D0">
        <w:rPr>
          <w:rFonts w:ascii="Arial" w:eastAsia="Calibri" w:hAnsi="Arial" w:cs="Arial"/>
          <w:bCs/>
          <w:sz w:val="26"/>
          <w:szCs w:val="26"/>
        </w:rPr>
        <w:t>a</w:t>
      </w:r>
      <w:r w:rsidR="00D205DC" w:rsidRPr="00D700D0">
        <w:rPr>
          <w:rFonts w:ascii="Arial" w:eastAsia="Calibri" w:hAnsi="Arial" w:cs="Arial"/>
          <w:bCs/>
          <w:sz w:val="26"/>
          <w:szCs w:val="26"/>
        </w:rPr>
        <w:t xml:space="preserve"> recurrente </w:t>
      </w:r>
      <w:r w:rsidR="00AA0CED" w:rsidRPr="00D700D0">
        <w:rPr>
          <w:rFonts w:ascii="Arial" w:eastAsia="Calibri" w:hAnsi="Arial" w:cs="Arial"/>
          <w:bCs/>
          <w:sz w:val="26"/>
          <w:szCs w:val="26"/>
        </w:rPr>
        <w:t xml:space="preserve">en el primer agravio que la autoridad responsable viola en perjuicio de su representada el derecho de fundamentación, motivación y debido proceso, porque considera que </w:t>
      </w:r>
      <w:r w:rsidR="00565536" w:rsidRPr="00D700D0">
        <w:rPr>
          <w:rFonts w:ascii="Arial" w:eastAsia="Calibri" w:hAnsi="Arial" w:cs="Arial"/>
          <w:bCs/>
          <w:sz w:val="26"/>
          <w:szCs w:val="26"/>
        </w:rPr>
        <w:t xml:space="preserve">la persona moral </w:t>
      </w:r>
      <w:r w:rsidR="00D068AB">
        <w:rPr>
          <w:rFonts w:ascii="Arial" w:eastAsia="Calibri" w:hAnsi="Arial" w:cs="Arial"/>
          <w:bCs/>
          <w:sz w:val="26"/>
          <w:szCs w:val="26"/>
        </w:rPr>
        <w:t>*******</w:t>
      </w:r>
      <w:r w:rsidR="000434A9" w:rsidRPr="00D700D0">
        <w:rPr>
          <w:rFonts w:ascii="Arial" w:eastAsia="Calibri" w:hAnsi="Arial" w:cs="Arial"/>
          <w:bCs/>
          <w:sz w:val="26"/>
          <w:szCs w:val="26"/>
        </w:rPr>
        <w:t xml:space="preserve"> </w:t>
      </w:r>
      <w:r w:rsidR="00B22ECD" w:rsidRPr="00D700D0">
        <w:rPr>
          <w:rFonts w:ascii="Arial" w:eastAsia="Calibri" w:hAnsi="Arial" w:cs="Arial"/>
          <w:bCs/>
          <w:sz w:val="26"/>
          <w:szCs w:val="26"/>
        </w:rPr>
        <w:t>al haber generado los recibos fiscales “CFDI”</w:t>
      </w:r>
      <w:r w:rsidR="00565536" w:rsidRPr="00D700D0">
        <w:rPr>
          <w:rFonts w:ascii="Arial" w:eastAsia="Calibri" w:hAnsi="Arial" w:cs="Arial"/>
          <w:bCs/>
          <w:sz w:val="26"/>
          <w:szCs w:val="26"/>
        </w:rPr>
        <w:t>,</w:t>
      </w:r>
      <w:r w:rsidR="00B22ECD" w:rsidRPr="00D700D0">
        <w:rPr>
          <w:rFonts w:ascii="Arial" w:eastAsia="Calibri" w:hAnsi="Arial" w:cs="Arial"/>
          <w:bCs/>
          <w:sz w:val="26"/>
          <w:szCs w:val="26"/>
        </w:rPr>
        <w:t xml:space="preserve"> que señala como actos impugnados, </w:t>
      </w:r>
      <w:r w:rsidR="000434A9" w:rsidRPr="00D700D0">
        <w:rPr>
          <w:rFonts w:ascii="Arial" w:eastAsia="Calibri" w:hAnsi="Arial" w:cs="Arial"/>
          <w:bCs/>
          <w:sz w:val="26"/>
          <w:szCs w:val="26"/>
        </w:rPr>
        <w:t>actuó en calidad de autoridad por haberle sido concesionada la prestación del servicio de agua potable y alcantarillado</w:t>
      </w:r>
      <w:r w:rsidR="00B22ECD" w:rsidRPr="00D700D0">
        <w:rPr>
          <w:rFonts w:ascii="Arial" w:eastAsia="Calibri" w:hAnsi="Arial" w:cs="Arial"/>
          <w:bCs/>
          <w:sz w:val="26"/>
          <w:szCs w:val="26"/>
        </w:rPr>
        <w:t xml:space="preserve"> de Santa María Huatulco, Oaxaca; </w:t>
      </w:r>
      <w:r w:rsidR="000434A9" w:rsidRPr="00D700D0">
        <w:rPr>
          <w:rFonts w:ascii="Arial" w:eastAsia="Calibri" w:hAnsi="Arial" w:cs="Arial"/>
          <w:bCs/>
          <w:sz w:val="26"/>
          <w:szCs w:val="26"/>
        </w:rPr>
        <w:t>por</w:t>
      </w:r>
      <w:r w:rsidR="00B22ECD" w:rsidRPr="00D700D0">
        <w:rPr>
          <w:rFonts w:ascii="Arial" w:eastAsia="Calibri" w:hAnsi="Arial" w:cs="Arial"/>
          <w:bCs/>
          <w:sz w:val="26"/>
          <w:szCs w:val="26"/>
        </w:rPr>
        <w:t xml:space="preserve"> tanto, se rige por la Ley de Agua Potable y Alcantarillado para el Estado de Oaxaca, y la Ley de ingresos de ese municipio, por lo que este Tribunal es competente para conocer la demanda de nulidad que planteó en contra del recibo fiscal </w:t>
      </w:r>
      <w:proofErr w:type="spellStart"/>
      <w:r w:rsidR="00B22ECD" w:rsidRPr="00D700D0">
        <w:rPr>
          <w:rFonts w:ascii="Arial" w:eastAsia="Calibri" w:hAnsi="Arial" w:cs="Arial"/>
          <w:bCs/>
          <w:sz w:val="26"/>
          <w:szCs w:val="26"/>
        </w:rPr>
        <w:t>CFDI</w:t>
      </w:r>
      <w:proofErr w:type="spellEnd"/>
      <w:r w:rsidR="00B22ECD" w:rsidRPr="00D700D0">
        <w:rPr>
          <w:rFonts w:ascii="Arial" w:eastAsia="Calibri" w:hAnsi="Arial" w:cs="Arial"/>
          <w:bCs/>
          <w:sz w:val="26"/>
          <w:szCs w:val="26"/>
        </w:rPr>
        <w:t xml:space="preserve"> </w:t>
      </w:r>
      <w:r w:rsidR="00D068AB">
        <w:rPr>
          <w:rFonts w:ascii="Arial" w:eastAsia="Calibri" w:hAnsi="Arial" w:cs="Arial"/>
          <w:bCs/>
          <w:sz w:val="26"/>
          <w:szCs w:val="26"/>
        </w:rPr>
        <w:t>*******</w:t>
      </w:r>
      <w:r w:rsidR="00565536" w:rsidRPr="00D700D0">
        <w:rPr>
          <w:rFonts w:ascii="Arial" w:eastAsia="Calibri" w:hAnsi="Arial" w:cs="Arial"/>
          <w:bCs/>
          <w:sz w:val="26"/>
          <w:szCs w:val="26"/>
        </w:rPr>
        <w:t xml:space="preserve">, mediante el cual </w:t>
      </w:r>
      <w:r w:rsidR="00D068AB">
        <w:rPr>
          <w:rFonts w:ascii="Arial" w:eastAsia="Calibri" w:hAnsi="Arial" w:cs="Arial"/>
          <w:bCs/>
          <w:sz w:val="26"/>
          <w:szCs w:val="26"/>
        </w:rPr>
        <w:t>*******</w:t>
      </w:r>
      <w:r w:rsidR="00565536" w:rsidRPr="00D700D0">
        <w:rPr>
          <w:rFonts w:ascii="Arial" w:eastAsia="Calibri" w:hAnsi="Arial" w:cs="Arial"/>
          <w:bCs/>
          <w:sz w:val="26"/>
          <w:szCs w:val="26"/>
        </w:rPr>
        <w:t xml:space="preserve"> pretende hacer el cobro irregular en los términos planteados.</w:t>
      </w:r>
      <w:r w:rsidR="005D2CFA">
        <w:rPr>
          <w:rFonts w:ascii="Arial" w:eastAsia="Calibri" w:hAnsi="Arial" w:cs="Arial"/>
          <w:bCs/>
          <w:sz w:val="26"/>
          <w:szCs w:val="26"/>
        </w:rPr>
        <w:t xml:space="preserve"> - - - - - - - - - - - - - - -</w:t>
      </w:r>
      <w:r w:rsidR="00D068AB">
        <w:rPr>
          <w:rFonts w:ascii="Arial" w:eastAsia="Calibri" w:hAnsi="Arial" w:cs="Arial"/>
          <w:bCs/>
          <w:sz w:val="26"/>
          <w:szCs w:val="26"/>
        </w:rPr>
        <w:t xml:space="preserve"> - - - - - - - - - -</w:t>
      </w:r>
    </w:p>
    <w:p w14:paraId="10899C3B" w14:textId="02C46975" w:rsidR="00AA0CED" w:rsidRPr="00D700D0" w:rsidRDefault="00565536" w:rsidP="002F1906">
      <w:pPr>
        <w:spacing w:before="240" w:after="0" w:line="360" w:lineRule="auto"/>
        <w:ind w:firstLine="567"/>
        <w:jc w:val="both"/>
        <w:rPr>
          <w:rFonts w:ascii="Arial" w:eastAsia="Calibri" w:hAnsi="Arial" w:cs="Arial"/>
          <w:bCs/>
          <w:sz w:val="26"/>
          <w:szCs w:val="26"/>
        </w:rPr>
      </w:pPr>
      <w:r w:rsidRPr="00D700D0">
        <w:rPr>
          <w:rFonts w:ascii="Arial" w:eastAsia="Calibri" w:hAnsi="Arial" w:cs="Arial"/>
          <w:bCs/>
          <w:sz w:val="26"/>
          <w:szCs w:val="26"/>
        </w:rPr>
        <w:t xml:space="preserve">En el segundo agravio refiere el recurrente que </w:t>
      </w:r>
      <w:r w:rsidR="007D669A" w:rsidRPr="00D700D0">
        <w:rPr>
          <w:rFonts w:ascii="Arial" w:eastAsia="Calibri" w:hAnsi="Arial" w:cs="Arial"/>
          <w:bCs/>
          <w:sz w:val="26"/>
          <w:szCs w:val="26"/>
        </w:rPr>
        <w:t xml:space="preserve">se violan en perjuicio de su representada los artículos 1 y 17 de la Constitución Política de los Estados Unidos Mexicanos, ya que la magistrada de primera instancia consideró que  los recibos de pago CFDI n son impugnables, ya que  únicamente son instrumentos o formatos de pago, motivo por el que desechó la demanda; cuando el comprobante surgió como </w:t>
      </w:r>
      <w:r w:rsidR="00720207" w:rsidRPr="00D700D0">
        <w:rPr>
          <w:rFonts w:ascii="Arial" w:eastAsia="Calibri" w:hAnsi="Arial" w:cs="Arial"/>
          <w:bCs/>
          <w:sz w:val="26"/>
          <w:szCs w:val="26"/>
        </w:rPr>
        <w:t>cumplimiento a l</w:t>
      </w:r>
      <w:r w:rsidR="007D669A" w:rsidRPr="00D700D0">
        <w:rPr>
          <w:rFonts w:ascii="Arial" w:eastAsia="Calibri" w:hAnsi="Arial" w:cs="Arial"/>
          <w:bCs/>
          <w:sz w:val="26"/>
          <w:szCs w:val="26"/>
        </w:rPr>
        <w:t xml:space="preserve">a obligación </w:t>
      </w:r>
      <w:r w:rsidR="00720207" w:rsidRPr="00D700D0">
        <w:rPr>
          <w:rFonts w:ascii="Arial" w:eastAsia="Calibri" w:hAnsi="Arial" w:cs="Arial"/>
          <w:bCs/>
          <w:sz w:val="26"/>
          <w:szCs w:val="26"/>
        </w:rPr>
        <w:t xml:space="preserve">señalada en los artículos 29 y 29-A del Código Fiscal de la Federación, 36, 37, 39 y 40 del Reglamento del Código Fiscal de la Federación, así como la regla 2.7.1.32 de la segunda resolución de modificaciones a la resolución d la miscelánea fiscal, luego entones la obligación de expedir comprobantes fiscales por ingresos que perciban, deberán emitirlos mediante documentos digitales a través de la página de internet del servicio de administración tributaria. </w:t>
      </w:r>
      <w:r w:rsidR="005D2CFA">
        <w:rPr>
          <w:rFonts w:ascii="Arial" w:eastAsia="Calibri" w:hAnsi="Arial" w:cs="Arial"/>
          <w:bCs/>
          <w:sz w:val="26"/>
          <w:szCs w:val="26"/>
        </w:rPr>
        <w:t xml:space="preserve">- - - - - - - - </w:t>
      </w:r>
    </w:p>
    <w:p w14:paraId="51B16CF6" w14:textId="41A7473F" w:rsidR="00431525" w:rsidRPr="00D700D0" w:rsidRDefault="00431525" w:rsidP="002F1906">
      <w:pPr>
        <w:spacing w:before="240" w:after="0" w:line="360" w:lineRule="auto"/>
        <w:ind w:firstLine="567"/>
        <w:jc w:val="both"/>
        <w:rPr>
          <w:rFonts w:ascii="Arial" w:eastAsia="Calibri" w:hAnsi="Arial" w:cs="Arial"/>
          <w:bCs/>
          <w:sz w:val="26"/>
          <w:szCs w:val="26"/>
        </w:rPr>
      </w:pPr>
      <w:r w:rsidRPr="00D700D0">
        <w:rPr>
          <w:rFonts w:ascii="Arial" w:eastAsia="Calibri" w:hAnsi="Arial" w:cs="Arial"/>
          <w:bCs/>
          <w:sz w:val="26"/>
          <w:szCs w:val="26"/>
        </w:rPr>
        <w:lastRenderedPageBreak/>
        <w:t xml:space="preserve">Alega que fue insuficiente que la magistrada de la tercera sala unitaria fundara sus consideraciones en el artículo 133 de la Ley de Justicia Administrativa para el Estado de Oaxaca (sic), para determinar el </w:t>
      </w:r>
      <w:proofErr w:type="spellStart"/>
      <w:r w:rsidRPr="00D700D0">
        <w:rPr>
          <w:rFonts w:ascii="Arial" w:eastAsia="Calibri" w:hAnsi="Arial" w:cs="Arial"/>
          <w:bCs/>
          <w:sz w:val="26"/>
          <w:szCs w:val="26"/>
        </w:rPr>
        <w:t>desechamiento</w:t>
      </w:r>
      <w:proofErr w:type="spellEnd"/>
      <w:r w:rsidRPr="00D700D0">
        <w:rPr>
          <w:rFonts w:ascii="Arial" w:eastAsia="Calibri" w:hAnsi="Arial" w:cs="Arial"/>
          <w:bCs/>
          <w:sz w:val="26"/>
          <w:szCs w:val="26"/>
        </w:rPr>
        <w:t xml:space="preserve"> de la demanda sin </w:t>
      </w:r>
      <w:r w:rsidR="00CA4ABF" w:rsidRPr="00D700D0">
        <w:rPr>
          <w:rFonts w:ascii="Arial" w:eastAsia="Calibri" w:hAnsi="Arial" w:cs="Arial"/>
          <w:bCs/>
          <w:sz w:val="26"/>
          <w:szCs w:val="26"/>
        </w:rPr>
        <w:t xml:space="preserve">dejar a salvo sus derechos, </w:t>
      </w:r>
      <w:r w:rsidR="0085249A" w:rsidRPr="00D700D0">
        <w:rPr>
          <w:rFonts w:ascii="Arial" w:eastAsia="Calibri" w:hAnsi="Arial" w:cs="Arial"/>
          <w:bCs/>
          <w:sz w:val="26"/>
          <w:szCs w:val="26"/>
        </w:rPr>
        <w:t xml:space="preserve">debiendo suplir en todo momento prácticas que tiendan a denegar el derecho de acceso a la justicia y dejar a salvo sus derechos para hacerlos valer en la vía correspondiente,  </w:t>
      </w:r>
      <w:r w:rsidR="00CA4ABF" w:rsidRPr="00D700D0">
        <w:rPr>
          <w:rFonts w:ascii="Arial" w:eastAsia="Calibri" w:hAnsi="Arial" w:cs="Arial"/>
          <w:bCs/>
          <w:sz w:val="26"/>
          <w:szCs w:val="26"/>
        </w:rPr>
        <w:t xml:space="preserve">lo que causó agravio a su representada por </w:t>
      </w:r>
      <w:r w:rsidR="0085249A" w:rsidRPr="00D700D0">
        <w:rPr>
          <w:rFonts w:ascii="Arial" w:eastAsia="Calibri" w:hAnsi="Arial" w:cs="Arial"/>
          <w:bCs/>
          <w:sz w:val="26"/>
          <w:szCs w:val="26"/>
        </w:rPr>
        <w:t>haberle retrasado</w:t>
      </w:r>
      <w:r w:rsidR="00CA4ABF" w:rsidRPr="00D700D0">
        <w:rPr>
          <w:rFonts w:ascii="Arial" w:eastAsia="Calibri" w:hAnsi="Arial" w:cs="Arial"/>
          <w:bCs/>
          <w:sz w:val="26"/>
          <w:szCs w:val="26"/>
        </w:rPr>
        <w:t xml:space="preserve"> e</w:t>
      </w:r>
      <w:r w:rsidR="0085249A" w:rsidRPr="00D700D0">
        <w:rPr>
          <w:rFonts w:ascii="Arial" w:eastAsia="Calibri" w:hAnsi="Arial" w:cs="Arial"/>
          <w:bCs/>
          <w:sz w:val="26"/>
          <w:szCs w:val="26"/>
        </w:rPr>
        <w:t>l acceso a</w:t>
      </w:r>
      <w:r w:rsidR="00CA4ABF" w:rsidRPr="00D700D0">
        <w:rPr>
          <w:rFonts w:ascii="Arial" w:eastAsia="Calibri" w:hAnsi="Arial" w:cs="Arial"/>
          <w:bCs/>
          <w:sz w:val="26"/>
          <w:szCs w:val="26"/>
        </w:rPr>
        <w:t xml:space="preserve"> una justicia pronta por su incorrecto estudio.</w:t>
      </w:r>
      <w:r w:rsidR="005D2CFA">
        <w:rPr>
          <w:rFonts w:ascii="Arial" w:eastAsia="Calibri" w:hAnsi="Arial" w:cs="Arial"/>
          <w:bCs/>
          <w:sz w:val="26"/>
          <w:szCs w:val="26"/>
        </w:rPr>
        <w:t xml:space="preserve"> - - - - - - - - - - - - - - - - - - - - - - - - - - - - - - - - - - - - </w:t>
      </w:r>
    </w:p>
    <w:p w14:paraId="6E2F6AFE" w14:textId="56779371" w:rsidR="00F25566" w:rsidRDefault="007D67FA" w:rsidP="005D2CFA">
      <w:pPr>
        <w:spacing w:before="240" w:line="360" w:lineRule="auto"/>
        <w:ind w:firstLine="567"/>
        <w:jc w:val="both"/>
        <w:rPr>
          <w:rFonts w:ascii="Arial" w:hAnsi="Arial" w:cs="Arial"/>
          <w:bCs/>
          <w:color w:val="000000"/>
          <w:sz w:val="26"/>
          <w:szCs w:val="26"/>
        </w:rPr>
      </w:pPr>
      <w:r>
        <w:rPr>
          <w:rFonts w:ascii="Arial" w:eastAsia="Calibri" w:hAnsi="Arial" w:cs="Arial"/>
          <w:bCs/>
          <w:sz w:val="26"/>
          <w:szCs w:val="26"/>
        </w:rPr>
        <w:t xml:space="preserve">Son </w:t>
      </w:r>
      <w:r w:rsidR="00F25566">
        <w:rPr>
          <w:rFonts w:ascii="Arial" w:eastAsia="Calibri" w:hAnsi="Arial" w:cs="Arial"/>
          <w:b/>
          <w:bCs/>
          <w:sz w:val="26"/>
          <w:szCs w:val="26"/>
        </w:rPr>
        <w:t>sustancialmente fundados</w:t>
      </w:r>
      <w:r>
        <w:rPr>
          <w:rFonts w:ascii="Arial" w:eastAsia="Calibri" w:hAnsi="Arial" w:cs="Arial"/>
          <w:bCs/>
          <w:sz w:val="26"/>
          <w:szCs w:val="26"/>
        </w:rPr>
        <w:t xml:space="preserve"> los</w:t>
      </w:r>
      <w:r w:rsidRPr="00D700D0">
        <w:rPr>
          <w:rFonts w:ascii="Arial" w:eastAsia="Calibri" w:hAnsi="Arial" w:cs="Arial"/>
          <w:bCs/>
          <w:sz w:val="26"/>
          <w:szCs w:val="26"/>
        </w:rPr>
        <w:t xml:space="preserve"> agravio</w:t>
      </w:r>
      <w:r>
        <w:rPr>
          <w:rFonts w:ascii="Arial" w:eastAsia="Calibri" w:hAnsi="Arial" w:cs="Arial"/>
          <w:bCs/>
          <w:sz w:val="26"/>
          <w:szCs w:val="26"/>
        </w:rPr>
        <w:t>s</w:t>
      </w:r>
      <w:r w:rsidRPr="00D700D0">
        <w:rPr>
          <w:rFonts w:ascii="Arial" w:eastAsia="Calibri" w:hAnsi="Arial" w:cs="Arial"/>
          <w:bCs/>
          <w:sz w:val="26"/>
          <w:szCs w:val="26"/>
        </w:rPr>
        <w:t xml:space="preserve"> </w:t>
      </w:r>
      <w:r>
        <w:rPr>
          <w:rFonts w:ascii="Arial" w:eastAsia="Calibri" w:hAnsi="Arial" w:cs="Arial"/>
          <w:bCs/>
          <w:sz w:val="26"/>
          <w:szCs w:val="26"/>
        </w:rPr>
        <w:t xml:space="preserve">descritos, en razón del </w:t>
      </w:r>
      <w:r w:rsidRPr="00D700D0">
        <w:rPr>
          <w:rFonts w:ascii="Arial" w:hAnsi="Arial" w:cs="Arial"/>
          <w:sz w:val="26"/>
          <w:szCs w:val="26"/>
        </w:rPr>
        <w:t>a</w:t>
      </w:r>
      <w:r w:rsidRPr="00D700D0">
        <w:rPr>
          <w:rFonts w:ascii="Arial" w:eastAsia="Times New Roman" w:hAnsi="Arial" w:cs="Arial"/>
          <w:sz w:val="26"/>
          <w:szCs w:val="26"/>
        </w:rPr>
        <w:t xml:space="preserve">nálisis de </w:t>
      </w:r>
      <w:r w:rsidRPr="00D700D0">
        <w:rPr>
          <w:rFonts w:ascii="Arial" w:hAnsi="Arial" w:cs="Arial"/>
          <w:bCs/>
          <w:sz w:val="26"/>
          <w:szCs w:val="26"/>
        </w:rPr>
        <w:t>las</w:t>
      </w:r>
      <w:r w:rsidRPr="00D700D0">
        <w:rPr>
          <w:rFonts w:ascii="Arial" w:hAnsi="Arial" w:cs="Arial"/>
          <w:sz w:val="26"/>
          <w:szCs w:val="26"/>
        </w:rPr>
        <w:t xml:space="preserve"> constancias de autos que fueron remitidas para la substanciación del presente asunto, </w:t>
      </w:r>
      <w:r>
        <w:rPr>
          <w:rFonts w:ascii="Arial" w:hAnsi="Arial" w:cs="Arial"/>
          <w:sz w:val="26"/>
          <w:szCs w:val="26"/>
        </w:rPr>
        <w:t xml:space="preserve">con valor probatorio pleno de conformidad con lo dispuesto por </w:t>
      </w:r>
      <w:r w:rsidRPr="00D700D0">
        <w:rPr>
          <w:rFonts w:ascii="Arial" w:hAnsi="Arial" w:cs="Arial"/>
          <w:sz w:val="26"/>
          <w:szCs w:val="26"/>
        </w:rPr>
        <w:t xml:space="preserve">el artículo 203, fracción I, de la Ley de Procedimiento y Justicia Administrativa para el Estado de Oaxaca, por tratarse de actuaciones judiciales; </w:t>
      </w:r>
      <w:r>
        <w:rPr>
          <w:rFonts w:ascii="Arial" w:hAnsi="Arial" w:cs="Arial"/>
          <w:sz w:val="26"/>
          <w:szCs w:val="26"/>
        </w:rPr>
        <w:t xml:space="preserve">en las </w:t>
      </w:r>
      <w:r w:rsidRPr="00D700D0">
        <w:rPr>
          <w:rFonts w:ascii="Arial" w:hAnsi="Arial" w:cs="Arial"/>
          <w:sz w:val="26"/>
          <w:szCs w:val="26"/>
        </w:rPr>
        <w:t xml:space="preserve">que </w:t>
      </w:r>
      <w:r w:rsidRPr="00D700D0">
        <w:rPr>
          <w:rFonts w:ascii="Arial" w:hAnsi="Arial" w:cs="Arial"/>
          <w:bCs/>
          <w:color w:val="000000"/>
          <w:sz w:val="26"/>
          <w:szCs w:val="26"/>
        </w:rPr>
        <w:t>a foja</w:t>
      </w:r>
      <w:r>
        <w:rPr>
          <w:rFonts w:ascii="Arial" w:hAnsi="Arial" w:cs="Arial"/>
          <w:bCs/>
          <w:color w:val="000000"/>
          <w:sz w:val="26"/>
          <w:szCs w:val="26"/>
        </w:rPr>
        <w:t xml:space="preserve"> veinticinco, </w:t>
      </w:r>
      <w:r w:rsidR="00F25566">
        <w:rPr>
          <w:rFonts w:ascii="Arial" w:hAnsi="Arial" w:cs="Arial"/>
          <w:bCs/>
          <w:color w:val="000000"/>
          <w:sz w:val="26"/>
          <w:szCs w:val="26"/>
        </w:rPr>
        <w:t xml:space="preserve">se  encuentra el acuerdo impugnado ya transcrito en el resultando segundo de la presente resolución, del que se advierte que la juzgadora consideró adecuar el asunto planteado a la hipótesis establecida en la fracción X, del artículo 161, de la Ley de la materia, para desechar la demanda por encontrarse un motivo manifiesto e indudable de improcedencia del juicio conforme lo dispuesto en la fracción I, del artículo 182, de la Ley en cita, lo que generó los agravios esgrimidos, ya que la magistrada instructora desvió su atención para considerar la improcedencia del  juicio promovido, cuando no contaba con los </w:t>
      </w:r>
      <w:r w:rsidR="00F25566">
        <w:rPr>
          <w:rFonts w:ascii="Arial" w:hAnsi="Arial" w:cs="Arial"/>
          <w:sz w:val="26"/>
          <w:szCs w:val="26"/>
        </w:rPr>
        <w:t xml:space="preserve">elementos suficientes para llegar a tal determinación, por ende, no se encuentra legalmente justificado el </w:t>
      </w:r>
      <w:proofErr w:type="spellStart"/>
      <w:r w:rsidR="00F25566">
        <w:rPr>
          <w:rFonts w:ascii="Arial" w:hAnsi="Arial" w:cs="Arial"/>
          <w:sz w:val="26"/>
          <w:szCs w:val="26"/>
        </w:rPr>
        <w:t>desechamiento</w:t>
      </w:r>
      <w:proofErr w:type="spellEnd"/>
      <w:r w:rsidR="00F25566">
        <w:rPr>
          <w:rFonts w:ascii="Arial" w:hAnsi="Arial" w:cs="Arial"/>
          <w:sz w:val="26"/>
          <w:szCs w:val="26"/>
        </w:rPr>
        <w:t xml:space="preserve"> de la demanda en la forma como lo hizo.</w:t>
      </w:r>
      <w:r w:rsidR="005D2CFA">
        <w:rPr>
          <w:rFonts w:ascii="Arial" w:hAnsi="Arial" w:cs="Arial"/>
          <w:sz w:val="26"/>
          <w:szCs w:val="26"/>
        </w:rPr>
        <w:t xml:space="preserve">- - </w:t>
      </w:r>
    </w:p>
    <w:p w14:paraId="61885FA3" w14:textId="5FBDC188" w:rsidR="00A54EAC" w:rsidRDefault="00F25566" w:rsidP="00D34524">
      <w:pPr>
        <w:spacing w:line="360" w:lineRule="auto"/>
        <w:ind w:firstLine="567"/>
        <w:jc w:val="both"/>
        <w:rPr>
          <w:rFonts w:ascii="Arial" w:hAnsi="Arial" w:cs="Arial"/>
          <w:sz w:val="26"/>
          <w:szCs w:val="26"/>
        </w:rPr>
      </w:pPr>
      <w:r>
        <w:rPr>
          <w:rFonts w:ascii="Arial" w:hAnsi="Arial" w:cs="Arial"/>
          <w:bCs/>
          <w:color w:val="000000"/>
          <w:sz w:val="26"/>
          <w:szCs w:val="26"/>
        </w:rPr>
        <w:t xml:space="preserve">Se dice lo anterior, tomando en consideración que de fojas uno a </w:t>
      </w:r>
      <w:r w:rsidR="00D33038">
        <w:rPr>
          <w:rFonts w:ascii="Arial" w:hAnsi="Arial" w:cs="Arial"/>
          <w:bCs/>
          <w:color w:val="000000"/>
          <w:sz w:val="26"/>
          <w:szCs w:val="26"/>
        </w:rPr>
        <w:t>veinticuatro d</w:t>
      </w:r>
      <w:r>
        <w:rPr>
          <w:rFonts w:ascii="Arial" w:hAnsi="Arial" w:cs="Arial"/>
          <w:bCs/>
          <w:color w:val="000000"/>
          <w:sz w:val="26"/>
          <w:szCs w:val="26"/>
        </w:rPr>
        <w:t xml:space="preserve">el expediente de primera instancia, obra glosada la demanda </w:t>
      </w:r>
      <w:r w:rsidR="00D33038">
        <w:rPr>
          <w:rFonts w:ascii="Arial" w:hAnsi="Arial" w:cs="Arial"/>
          <w:bCs/>
          <w:color w:val="000000"/>
          <w:sz w:val="26"/>
          <w:szCs w:val="26"/>
        </w:rPr>
        <w:t xml:space="preserve">y anexos </w:t>
      </w:r>
      <w:r>
        <w:rPr>
          <w:rFonts w:ascii="Arial" w:hAnsi="Arial" w:cs="Arial"/>
          <w:bCs/>
          <w:color w:val="000000"/>
          <w:sz w:val="26"/>
          <w:szCs w:val="26"/>
        </w:rPr>
        <w:t>de</w:t>
      </w:r>
      <w:r w:rsidR="00D33038">
        <w:rPr>
          <w:rFonts w:ascii="Arial" w:hAnsi="Arial" w:cs="Arial"/>
          <w:bCs/>
          <w:color w:val="000000"/>
          <w:sz w:val="26"/>
          <w:szCs w:val="26"/>
        </w:rPr>
        <w:t xml:space="preserve"> </w:t>
      </w:r>
      <w:r>
        <w:rPr>
          <w:rFonts w:ascii="Arial" w:hAnsi="Arial" w:cs="Arial"/>
          <w:bCs/>
          <w:color w:val="000000"/>
          <w:sz w:val="26"/>
          <w:szCs w:val="26"/>
        </w:rPr>
        <w:t>l</w:t>
      </w:r>
      <w:r w:rsidR="00D33038">
        <w:rPr>
          <w:rFonts w:ascii="Arial" w:hAnsi="Arial" w:cs="Arial"/>
          <w:bCs/>
          <w:color w:val="000000"/>
          <w:sz w:val="26"/>
          <w:szCs w:val="26"/>
        </w:rPr>
        <w:t>a</w:t>
      </w:r>
      <w:r>
        <w:rPr>
          <w:rFonts w:ascii="Arial" w:hAnsi="Arial" w:cs="Arial"/>
          <w:bCs/>
          <w:color w:val="000000"/>
          <w:sz w:val="26"/>
          <w:szCs w:val="26"/>
        </w:rPr>
        <w:t xml:space="preserve"> hoy recurrente, de cuyo tenor se advierte que </w:t>
      </w:r>
      <w:r w:rsidR="00D33038">
        <w:rPr>
          <w:rFonts w:ascii="Arial" w:hAnsi="Arial" w:cs="Arial"/>
          <w:bCs/>
          <w:color w:val="000000"/>
          <w:sz w:val="26"/>
          <w:szCs w:val="26"/>
        </w:rPr>
        <w:t xml:space="preserve">la actora hoy recurrente, omitió adjuntar a su demanda el contrato por prestación de servicio de agua potable que celebró con </w:t>
      </w:r>
      <w:r w:rsidR="00D068AB">
        <w:rPr>
          <w:rFonts w:ascii="Arial" w:hAnsi="Arial" w:cs="Arial"/>
          <w:bCs/>
          <w:color w:val="000000"/>
          <w:sz w:val="26"/>
          <w:szCs w:val="26"/>
        </w:rPr>
        <w:t>*******</w:t>
      </w:r>
      <w:r w:rsidR="00D33038">
        <w:rPr>
          <w:rFonts w:ascii="Arial" w:hAnsi="Arial" w:cs="Arial"/>
          <w:bCs/>
          <w:color w:val="000000"/>
          <w:sz w:val="26"/>
          <w:szCs w:val="26"/>
        </w:rPr>
        <w:t>, que se relaciona con su afirmación descrita en el primer punto del capítulo de hechos de su demanda</w:t>
      </w:r>
      <w:r w:rsidR="0008257C">
        <w:rPr>
          <w:rFonts w:ascii="Arial" w:hAnsi="Arial" w:cs="Arial"/>
          <w:sz w:val="26"/>
          <w:szCs w:val="26"/>
        </w:rPr>
        <w:t xml:space="preserve">. </w:t>
      </w:r>
      <w:r w:rsidR="005D2CFA">
        <w:rPr>
          <w:rFonts w:ascii="Arial" w:hAnsi="Arial" w:cs="Arial"/>
          <w:sz w:val="26"/>
          <w:szCs w:val="26"/>
        </w:rPr>
        <w:t xml:space="preserve">- - - - - - - - - - - - - - - - - - - - - - - - - - - - - </w:t>
      </w:r>
      <w:r w:rsidR="00D068AB">
        <w:rPr>
          <w:rFonts w:ascii="Arial" w:hAnsi="Arial" w:cs="Arial"/>
          <w:sz w:val="26"/>
          <w:szCs w:val="26"/>
        </w:rPr>
        <w:t xml:space="preserve">- - - - - </w:t>
      </w:r>
    </w:p>
    <w:p w14:paraId="43400569" w14:textId="2C8E7F12" w:rsidR="00DB188E" w:rsidRDefault="00A54EAC" w:rsidP="00D34524">
      <w:pPr>
        <w:spacing w:line="360" w:lineRule="auto"/>
        <w:ind w:firstLine="567"/>
        <w:jc w:val="both"/>
        <w:rPr>
          <w:rFonts w:ascii="Arial" w:hAnsi="Arial" w:cs="Arial"/>
          <w:bCs/>
          <w:color w:val="000000"/>
          <w:sz w:val="26"/>
          <w:szCs w:val="26"/>
        </w:rPr>
      </w:pPr>
      <w:r>
        <w:rPr>
          <w:rFonts w:ascii="Arial" w:hAnsi="Arial" w:cs="Arial"/>
          <w:sz w:val="26"/>
          <w:szCs w:val="26"/>
        </w:rPr>
        <w:t xml:space="preserve">No obstante que </w:t>
      </w:r>
      <w:r w:rsidR="00F25566">
        <w:rPr>
          <w:rFonts w:ascii="Arial" w:hAnsi="Arial" w:cs="Arial"/>
          <w:sz w:val="26"/>
          <w:szCs w:val="26"/>
        </w:rPr>
        <w:t xml:space="preserve">el juicio contencioso administrativo es de estricto derecho, </w:t>
      </w:r>
      <w:r w:rsidR="0008257C">
        <w:rPr>
          <w:rFonts w:ascii="Arial" w:hAnsi="Arial" w:cs="Arial"/>
          <w:sz w:val="26"/>
          <w:szCs w:val="26"/>
        </w:rPr>
        <w:t xml:space="preserve">en </w:t>
      </w:r>
      <w:r>
        <w:rPr>
          <w:rFonts w:ascii="Arial" w:hAnsi="Arial" w:cs="Arial"/>
          <w:sz w:val="26"/>
          <w:szCs w:val="26"/>
        </w:rPr>
        <w:t xml:space="preserve">el presente </w:t>
      </w:r>
      <w:r w:rsidR="00D33038">
        <w:rPr>
          <w:rFonts w:ascii="Arial" w:hAnsi="Arial" w:cs="Arial"/>
          <w:sz w:val="26"/>
          <w:szCs w:val="26"/>
        </w:rPr>
        <w:t>c</w:t>
      </w:r>
      <w:r w:rsidR="0008257C">
        <w:rPr>
          <w:rFonts w:ascii="Arial" w:hAnsi="Arial" w:cs="Arial"/>
          <w:sz w:val="26"/>
          <w:szCs w:val="26"/>
        </w:rPr>
        <w:t>aso se trata de la a</w:t>
      </w:r>
      <w:r w:rsidR="00F25566">
        <w:rPr>
          <w:rFonts w:ascii="Arial" w:hAnsi="Arial" w:cs="Arial"/>
          <w:sz w:val="26"/>
          <w:szCs w:val="26"/>
        </w:rPr>
        <w:t>dministrad</w:t>
      </w:r>
      <w:r w:rsidR="00D33038">
        <w:rPr>
          <w:rFonts w:ascii="Arial" w:hAnsi="Arial" w:cs="Arial"/>
          <w:sz w:val="26"/>
          <w:szCs w:val="26"/>
        </w:rPr>
        <w:t>a</w:t>
      </w:r>
      <w:r w:rsidR="00F25566">
        <w:rPr>
          <w:rFonts w:ascii="Arial" w:hAnsi="Arial" w:cs="Arial"/>
          <w:sz w:val="26"/>
          <w:szCs w:val="26"/>
        </w:rPr>
        <w:t xml:space="preserve">, </w:t>
      </w:r>
      <w:r w:rsidR="0008257C">
        <w:rPr>
          <w:rFonts w:ascii="Arial" w:hAnsi="Arial" w:cs="Arial"/>
          <w:sz w:val="26"/>
          <w:szCs w:val="26"/>
        </w:rPr>
        <w:t xml:space="preserve">por lo que, </w:t>
      </w:r>
      <w:r w:rsidR="00F25566">
        <w:rPr>
          <w:rFonts w:ascii="Arial" w:hAnsi="Arial" w:cs="Arial"/>
          <w:sz w:val="26"/>
          <w:szCs w:val="26"/>
        </w:rPr>
        <w:t>la juzgadora obligatoriamente debió salvaguardar</w:t>
      </w:r>
      <w:r w:rsidR="0008257C">
        <w:rPr>
          <w:rFonts w:ascii="Arial" w:hAnsi="Arial" w:cs="Arial"/>
          <w:sz w:val="26"/>
          <w:szCs w:val="26"/>
        </w:rPr>
        <w:t>le</w:t>
      </w:r>
      <w:r w:rsidR="00F25566">
        <w:rPr>
          <w:rFonts w:ascii="Arial" w:hAnsi="Arial" w:cs="Arial"/>
          <w:sz w:val="26"/>
          <w:szCs w:val="26"/>
        </w:rPr>
        <w:t xml:space="preserve"> las garantías de </w:t>
      </w:r>
      <w:r w:rsidR="00F25566">
        <w:rPr>
          <w:rFonts w:ascii="Arial" w:hAnsi="Arial" w:cs="Arial"/>
          <w:sz w:val="26"/>
          <w:szCs w:val="26"/>
        </w:rPr>
        <w:lastRenderedPageBreak/>
        <w:t xml:space="preserve">audiencia y acceso </w:t>
      </w:r>
      <w:r w:rsidR="0008257C">
        <w:rPr>
          <w:rFonts w:ascii="Arial" w:hAnsi="Arial" w:cs="Arial"/>
          <w:sz w:val="26"/>
          <w:szCs w:val="26"/>
        </w:rPr>
        <w:t>a la impartición de la justicia;</w:t>
      </w:r>
      <w:r w:rsidR="00F25566">
        <w:rPr>
          <w:rFonts w:ascii="Arial" w:hAnsi="Arial" w:cs="Arial"/>
          <w:sz w:val="26"/>
          <w:szCs w:val="26"/>
        </w:rPr>
        <w:t xml:space="preserve"> </w:t>
      </w:r>
      <w:r w:rsidR="0008257C">
        <w:rPr>
          <w:rFonts w:ascii="Arial" w:hAnsi="Arial" w:cs="Arial"/>
          <w:sz w:val="26"/>
          <w:szCs w:val="26"/>
        </w:rPr>
        <w:t>para</w:t>
      </w:r>
      <w:r w:rsidR="00F25566">
        <w:rPr>
          <w:rFonts w:ascii="Arial" w:hAnsi="Arial" w:cs="Arial"/>
          <w:sz w:val="26"/>
          <w:szCs w:val="26"/>
        </w:rPr>
        <w:t xml:space="preserve"> considerar </w:t>
      </w:r>
      <w:r w:rsidR="00D33038">
        <w:rPr>
          <w:rFonts w:ascii="Arial" w:hAnsi="Arial" w:cs="Arial"/>
          <w:sz w:val="26"/>
          <w:szCs w:val="26"/>
        </w:rPr>
        <w:t xml:space="preserve">que la demanda no cumplía </w:t>
      </w:r>
      <w:r w:rsidR="0008257C">
        <w:rPr>
          <w:rFonts w:ascii="Arial" w:hAnsi="Arial" w:cs="Arial"/>
          <w:sz w:val="26"/>
          <w:szCs w:val="26"/>
        </w:rPr>
        <w:t xml:space="preserve">el requisito contemplado en la fracción IX del artículo 177 de la Ley de Procedimiento y Justicia Administrativa para el Estado de Oaxaca, </w:t>
      </w:r>
      <w:r>
        <w:rPr>
          <w:rFonts w:ascii="Arial" w:hAnsi="Arial" w:cs="Arial"/>
          <w:sz w:val="26"/>
          <w:szCs w:val="26"/>
        </w:rPr>
        <w:t xml:space="preserve">por consiguiente, debido requerir a la hoy recurrente, </w:t>
      </w:r>
      <w:r w:rsidR="00F25566">
        <w:rPr>
          <w:rFonts w:ascii="Arial" w:hAnsi="Arial" w:cs="Arial"/>
          <w:sz w:val="26"/>
          <w:szCs w:val="26"/>
        </w:rPr>
        <w:t xml:space="preserve">con fundamento en lo dispuesto por el artículo 179 de la Ley </w:t>
      </w:r>
      <w:r w:rsidR="0008257C">
        <w:rPr>
          <w:rFonts w:ascii="Arial" w:hAnsi="Arial" w:cs="Arial"/>
          <w:sz w:val="26"/>
          <w:szCs w:val="26"/>
        </w:rPr>
        <w:t xml:space="preserve">en cita, </w:t>
      </w:r>
      <w:r>
        <w:rPr>
          <w:rFonts w:ascii="Arial" w:hAnsi="Arial" w:cs="Arial"/>
          <w:sz w:val="26"/>
          <w:szCs w:val="26"/>
        </w:rPr>
        <w:t xml:space="preserve"> </w:t>
      </w:r>
      <w:r w:rsidR="00F25566">
        <w:rPr>
          <w:rFonts w:ascii="Arial" w:hAnsi="Arial" w:cs="Arial"/>
          <w:sz w:val="26"/>
          <w:szCs w:val="26"/>
        </w:rPr>
        <w:t xml:space="preserve">para que en el plazo de tres días hábiles siguientes al en que surtiera efectos la notificación, </w:t>
      </w:r>
      <w:r w:rsidR="0008257C">
        <w:rPr>
          <w:rFonts w:ascii="Arial" w:hAnsi="Arial" w:cs="Arial"/>
          <w:sz w:val="26"/>
          <w:szCs w:val="26"/>
        </w:rPr>
        <w:t xml:space="preserve">exhibiera copias certificadas del contrato que </w:t>
      </w:r>
      <w:r w:rsidR="0008257C">
        <w:rPr>
          <w:rFonts w:ascii="Arial" w:hAnsi="Arial" w:cs="Arial"/>
          <w:bCs/>
          <w:color w:val="000000"/>
          <w:sz w:val="26"/>
          <w:szCs w:val="26"/>
        </w:rPr>
        <w:t xml:space="preserve">celebró con </w:t>
      </w:r>
      <w:r w:rsidR="00D068AB">
        <w:rPr>
          <w:rFonts w:ascii="Arial" w:hAnsi="Arial" w:cs="Arial"/>
          <w:bCs/>
          <w:color w:val="000000"/>
          <w:sz w:val="26"/>
          <w:szCs w:val="26"/>
        </w:rPr>
        <w:t>*******</w:t>
      </w:r>
      <w:r w:rsidR="0008257C">
        <w:rPr>
          <w:rFonts w:ascii="Arial" w:hAnsi="Arial" w:cs="Arial"/>
          <w:bCs/>
          <w:color w:val="000000"/>
          <w:sz w:val="26"/>
          <w:szCs w:val="26"/>
        </w:rPr>
        <w:t>. para la prestación de servicio de agua potable, o en su caso</w:t>
      </w:r>
      <w:r w:rsidR="00D34524">
        <w:rPr>
          <w:rFonts w:ascii="Arial" w:hAnsi="Arial" w:cs="Arial"/>
          <w:bCs/>
          <w:color w:val="000000"/>
          <w:sz w:val="26"/>
          <w:szCs w:val="26"/>
        </w:rPr>
        <w:t>,</w:t>
      </w:r>
      <w:r>
        <w:rPr>
          <w:rFonts w:ascii="Arial" w:hAnsi="Arial" w:cs="Arial"/>
          <w:bCs/>
          <w:color w:val="000000"/>
          <w:sz w:val="26"/>
          <w:szCs w:val="26"/>
        </w:rPr>
        <w:t xml:space="preserve"> manifestara </w:t>
      </w:r>
      <w:r w:rsidR="0008257C">
        <w:rPr>
          <w:rFonts w:ascii="Arial" w:hAnsi="Arial" w:cs="Arial"/>
          <w:bCs/>
          <w:color w:val="000000"/>
          <w:sz w:val="26"/>
          <w:szCs w:val="26"/>
        </w:rPr>
        <w:t>la imposibilidad que t</w:t>
      </w:r>
      <w:r>
        <w:rPr>
          <w:rFonts w:ascii="Arial" w:hAnsi="Arial" w:cs="Arial"/>
          <w:bCs/>
          <w:color w:val="000000"/>
          <w:sz w:val="26"/>
          <w:szCs w:val="26"/>
        </w:rPr>
        <w:t xml:space="preserve">uviera </w:t>
      </w:r>
      <w:r w:rsidR="0008257C">
        <w:rPr>
          <w:rFonts w:ascii="Arial" w:hAnsi="Arial" w:cs="Arial"/>
          <w:bCs/>
          <w:color w:val="000000"/>
          <w:sz w:val="26"/>
          <w:szCs w:val="26"/>
        </w:rPr>
        <w:t>para exhibirlo e indi</w:t>
      </w:r>
      <w:r>
        <w:rPr>
          <w:rFonts w:ascii="Arial" w:hAnsi="Arial" w:cs="Arial"/>
          <w:bCs/>
          <w:color w:val="000000"/>
          <w:sz w:val="26"/>
          <w:szCs w:val="26"/>
        </w:rPr>
        <w:t xml:space="preserve">cara </w:t>
      </w:r>
      <w:r w:rsidR="00843432">
        <w:rPr>
          <w:rFonts w:ascii="Arial" w:hAnsi="Arial" w:cs="Arial"/>
          <w:bCs/>
          <w:color w:val="000000"/>
          <w:sz w:val="26"/>
          <w:szCs w:val="26"/>
        </w:rPr>
        <w:t xml:space="preserve">el lugar donde se encuentre para </w:t>
      </w:r>
      <w:r>
        <w:rPr>
          <w:rFonts w:ascii="Arial" w:hAnsi="Arial" w:cs="Arial"/>
          <w:bCs/>
          <w:color w:val="000000"/>
          <w:sz w:val="26"/>
          <w:szCs w:val="26"/>
        </w:rPr>
        <w:t>que la Sala Unitaria lo requiriera</w:t>
      </w:r>
      <w:r w:rsidR="00D34524">
        <w:rPr>
          <w:rFonts w:ascii="Arial" w:hAnsi="Arial" w:cs="Arial"/>
          <w:bCs/>
          <w:color w:val="000000"/>
          <w:sz w:val="26"/>
          <w:szCs w:val="26"/>
        </w:rPr>
        <w:t xml:space="preserve">, dado que </w:t>
      </w:r>
      <w:r w:rsidR="00843432">
        <w:rPr>
          <w:rFonts w:ascii="Arial" w:hAnsi="Arial" w:cs="Arial"/>
          <w:bCs/>
          <w:color w:val="000000"/>
          <w:sz w:val="26"/>
          <w:szCs w:val="26"/>
        </w:rPr>
        <w:t xml:space="preserve">en </w:t>
      </w:r>
      <w:r w:rsidR="00D34524">
        <w:rPr>
          <w:rFonts w:ascii="Arial" w:hAnsi="Arial" w:cs="Arial"/>
          <w:bCs/>
          <w:color w:val="000000"/>
          <w:sz w:val="26"/>
          <w:szCs w:val="26"/>
        </w:rPr>
        <w:t xml:space="preserve">dicha documental </w:t>
      </w:r>
      <w:r w:rsidR="00843432">
        <w:rPr>
          <w:rFonts w:ascii="Arial" w:hAnsi="Arial" w:cs="Arial"/>
          <w:bCs/>
          <w:color w:val="000000"/>
          <w:sz w:val="26"/>
          <w:szCs w:val="26"/>
        </w:rPr>
        <w:t xml:space="preserve">deben estar establecidas </w:t>
      </w:r>
      <w:r w:rsidR="00D34524">
        <w:rPr>
          <w:rFonts w:ascii="Arial" w:hAnsi="Arial" w:cs="Arial"/>
          <w:bCs/>
          <w:color w:val="000000"/>
          <w:sz w:val="26"/>
          <w:szCs w:val="26"/>
        </w:rPr>
        <w:t>las condiciones consignadas para la prestación del servicio de agua potable, de los que se deduzca si lo que se reclama en la demanda constituye un acto administrativo y de</w:t>
      </w:r>
      <w:r w:rsidR="00843432">
        <w:rPr>
          <w:rFonts w:ascii="Arial" w:hAnsi="Arial" w:cs="Arial"/>
          <w:bCs/>
          <w:color w:val="000000"/>
          <w:sz w:val="26"/>
          <w:szCs w:val="26"/>
        </w:rPr>
        <w:t xml:space="preserve"> autoridad </w:t>
      </w:r>
      <w:r w:rsidR="00D34524">
        <w:rPr>
          <w:rFonts w:ascii="Arial" w:hAnsi="Arial" w:cs="Arial"/>
          <w:bCs/>
          <w:color w:val="000000"/>
          <w:sz w:val="26"/>
          <w:szCs w:val="26"/>
        </w:rPr>
        <w:t xml:space="preserve">que </w:t>
      </w:r>
      <w:r w:rsidR="00843432">
        <w:rPr>
          <w:rFonts w:ascii="Arial" w:hAnsi="Arial" w:cs="Arial"/>
          <w:bCs/>
          <w:color w:val="000000"/>
          <w:sz w:val="26"/>
          <w:szCs w:val="26"/>
        </w:rPr>
        <w:t>motive e</w:t>
      </w:r>
      <w:r w:rsidR="00D34524">
        <w:rPr>
          <w:rFonts w:ascii="Arial" w:hAnsi="Arial" w:cs="Arial"/>
          <w:bCs/>
          <w:color w:val="000000"/>
          <w:sz w:val="26"/>
          <w:szCs w:val="26"/>
        </w:rPr>
        <w:t>l trámite de la demanda</w:t>
      </w:r>
      <w:r w:rsidR="00843432">
        <w:rPr>
          <w:rFonts w:ascii="Arial" w:hAnsi="Arial" w:cs="Arial"/>
          <w:bCs/>
          <w:color w:val="000000"/>
          <w:sz w:val="26"/>
          <w:szCs w:val="26"/>
        </w:rPr>
        <w:t xml:space="preserve">, </w:t>
      </w:r>
      <w:r w:rsidR="00DB188E">
        <w:rPr>
          <w:rFonts w:ascii="Arial" w:hAnsi="Arial" w:cs="Arial"/>
          <w:bCs/>
          <w:color w:val="000000"/>
          <w:sz w:val="26"/>
          <w:szCs w:val="26"/>
        </w:rPr>
        <w:t xml:space="preserve">como lo señala la Jurisprudencia en materia común, administrativa, número </w:t>
      </w:r>
      <w:proofErr w:type="spellStart"/>
      <w:r w:rsidR="00DB188E">
        <w:rPr>
          <w:rFonts w:ascii="Arial" w:hAnsi="Arial" w:cs="Arial"/>
          <w:bCs/>
          <w:color w:val="000000"/>
          <w:sz w:val="26"/>
          <w:szCs w:val="26"/>
        </w:rPr>
        <w:t>PC.V</w:t>
      </w:r>
      <w:proofErr w:type="spellEnd"/>
      <w:r w:rsidR="00DB188E">
        <w:rPr>
          <w:rFonts w:ascii="Arial" w:hAnsi="Arial" w:cs="Arial"/>
          <w:bCs/>
          <w:color w:val="000000"/>
          <w:sz w:val="26"/>
          <w:szCs w:val="26"/>
        </w:rPr>
        <w:t xml:space="preserve">. J/12 (10a.), con número de registro digital 2013734, de la Décima Época, emitidas por los Plenos de Circuito, </w:t>
      </w:r>
      <w:r w:rsidR="00B4757F">
        <w:rPr>
          <w:rFonts w:ascii="Arial" w:hAnsi="Arial" w:cs="Arial"/>
          <w:bCs/>
          <w:color w:val="000000"/>
          <w:sz w:val="26"/>
          <w:szCs w:val="26"/>
        </w:rPr>
        <w:t>publicada en la Gaceta del Semanario Judicial de la Federación, Libro 39, Febrero de 2017, Tomo II, consultable a página 1510,</w:t>
      </w:r>
      <w:r w:rsidR="00DD3799">
        <w:rPr>
          <w:rFonts w:ascii="Arial" w:hAnsi="Arial" w:cs="Arial"/>
          <w:bCs/>
          <w:color w:val="000000"/>
          <w:sz w:val="26"/>
          <w:szCs w:val="26"/>
        </w:rPr>
        <w:t xml:space="preserve"> de rub</w:t>
      </w:r>
      <w:r w:rsidR="00B4757F">
        <w:rPr>
          <w:rFonts w:ascii="Arial" w:hAnsi="Arial" w:cs="Arial"/>
          <w:bCs/>
          <w:color w:val="000000"/>
          <w:sz w:val="26"/>
          <w:szCs w:val="26"/>
        </w:rPr>
        <w:t>r</w:t>
      </w:r>
      <w:r w:rsidR="00DD3799">
        <w:rPr>
          <w:rFonts w:ascii="Arial" w:hAnsi="Arial" w:cs="Arial"/>
          <w:bCs/>
          <w:color w:val="000000"/>
          <w:sz w:val="26"/>
          <w:szCs w:val="26"/>
        </w:rPr>
        <w:t>o</w:t>
      </w:r>
      <w:r w:rsidR="00B4757F">
        <w:rPr>
          <w:rFonts w:ascii="Arial" w:hAnsi="Arial" w:cs="Arial"/>
          <w:bCs/>
          <w:color w:val="000000"/>
          <w:sz w:val="26"/>
          <w:szCs w:val="26"/>
        </w:rPr>
        <w:t xml:space="preserve"> y texto siguientes:</w:t>
      </w:r>
      <w:r w:rsidR="005D2CFA">
        <w:rPr>
          <w:rFonts w:ascii="Arial" w:hAnsi="Arial" w:cs="Arial"/>
          <w:bCs/>
          <w:color w:val="000000"/>
          <w:sz w:val="26"/>
          <w:szCs w:val="26"/>
        </w:rPr>
        <w:t xml:space="preserve"> - - - - - - - - - - </w:t>
      </w:r>
    </w:p>
    <w:p w14:paraId="1F9A0992" w14:textId="577851FE" w:rsidR="00B4757F" w:rsidRPr="00F40224" w:rsidRDefault="006A557F" w:rsidP="005D2CFA">
      <w:pPr>
        <w:ind w:left="567" w:right="616"/>
        <w:jc w:val="both"/>
        <w:rPr>
          <w:rFonts w:ascii="Arial" w:hAnsi="Arial" w:cs="Arial"/>
          <w:bCs/>
          <w:i/>
        </w:rPr>
      </w:pPr>
      <w:r w:rsidRPr="00F40224">
        <w:rPr>
          <w:rFonts w:ascii="Arial" w:hAnsi="Arial" w:cs="Arial"/>
          <w:bCs/>
          <w:i/>
        </w:rPr>
        <w:t>“</w:t>
      </w:r>
      <w:r w:rsidRPr="00F40224">
        <w:rPr>
          <w:rFonts w:ascii="Arial" w:hAnsi="Arial" w:cs="Arial"/>
          <w:b/>
          <w:bCs/>
          <w:i/>
        </w:rPr>
        <w:t xml:space="preserve">ORGANISMO OPERADOR MUNICIPAL DENOMINADO AGUA DE HERMOSILLO. TIENE EL CARÁCTER DE AUTORIDAD PARA EFECTOS DEL JUICIO DE AMPARO, CUANDO EL ACTO RECLAMADO ES LA ORDEN DE PAGO DE ADEUDOS Y/O AVISOS DE COBRO, DERIVADO DE LA PRESTACIÓN DEL SERVICIO DE SUMINISTRO DE AGUA POTABLE. </w:t>
      </w:r>
      <w:r w:rsidRPr="00F40224">
        <w:rPr>
          <w:rFonts w:ascii="Arial" w:hAnsi="Arial" w:cs="Arial"/>
          <w:bCs/>
          <w:i/>
        </w:rPr>
        <w:t xml:space="preserve">Los artículos 5, 15, 16 y 27 a 29, del Reglamento de la Prestación y Uso de los Servicios Públicos de Agua Potable, Drenaje, Alcantarillado, Tratamiento y Disposición de Aguas Residuales de Hermosillo, Sonora, </w:t>
      </w:r>
      <w:r w:rsidR="00F379AB" w:rsidRPr="00F40224">
        <w:rPr>
          <w:rFonts w:ascii="Arial" w:hAnsi="Arial" w:cs="Arial"/>
          <w:bCs/>
          <w:i/>
        </w:rPr>
        <w:t>establecen las condiciones para la prestación del servicio de agua potable, las cuales deben consignarse en el contrato respectivo, el cual no emerge en un plano de igualdad, ya que lo apr</w:t>
      </w:r>
      <w:r w:rsidR="00F40224">
        <w:rPr>
          <w:rFonts w:ascii="Arial" w:hAnsi="Arial" w:cs="Arial"/>
          <w:bCs/>
          <w:i/>
        </w:rPr>
        <w:t>ueba y expide unilateralmente el</w:t>
      </w:r>
      <w:r w:rsidR="00F379AB" w:rsidRPr="00F40224">
        <w:rPr>
          <w:rFonts w:ascii="Arial" w:hAnsi="Arial" w:cs="Arial"/>
          <w:bCs/>
          <w:i/>
        </w:rPr>
        <w:t xml:space="preserve"> Organismo Operador Municipal denominado Agua de Hermosillo, es decir, dicha dependencia de la administración pública municipal dispone y ordena el contenido que deben tener los contratos mencionados, sin que puedan modificarse ni alterarse; asimismo, las obligaciones que derivan de la contratación, como lo relativo a la facturación, medición, contenido del recibo, periodos de consumo, pago y demás conceptos relacionados con el sumini</w:t>
      </w:r>
      <w:r w:rsidR="00F40224" w:rsidRPr="00F40224">
        <w:rPr>
          <w:rFonts w:ascii="Arial" w:hAnsi="Arial" w:cs="Arial"/>
          <w:bCs/>
          <w:i/>
        </w:rPr>
        <w:t>s</w:t>
      </w:r>
      <w:r w:rsidR="00F379AB" w:rsidRPr="00F40224">
        <w:rPr>
          <w:rFonts w:ascii="Arial" w:hAnsi="Arial" w:cs="Arial"/>
          <w:bCs/>
          <w:i/>
        </w:rPr>
        <w:t>tro de agua están contemplados en el reglamento citado, sin que el usuario pueda sugerir una modificación; y, los aspectos relacionados con la tarifa aplicable, garantías, duración del contrato, fecha límite de pago, horario del suministro, casos de suspensión, re</w:t>
      </w:r>
      <w:r w:rsidR="00F40224" w:rsidRPr="00F40224">
        <w:rPr>
          <w:rFonts w:ascii="Arial" w:hAnsi="Arial" w:cs="Arial"/>
          <w:bCs/>
          <w:i/>
        </w:rPr>
        <w:t>qu</w:t>
      </w:r>
      <w:r w:rsidR="00F379AB" w:rsidRPr="00F40224">
        <w:rPr>
          <w:rFonts w:ascii="Arial" w:hAnsi="Arial" w:cs="Arial"/>
          <w:bCs/>
          <w:i/>
        </w:rPr>
        <w:t>isitos para la reanudación del servicio, responsabilidades del suministrador por interrup</w:t>
      </w:r>
      <w:r w:rsidR="00F40224" w:rsidRPr="00F40224">
        <w:rPr>
          <w:rFonts w:ascii="Arial" w:hAnsi="Arial" w:cs="Arial"/>
          <w:bCs/>
          <w:i/>
        </w:rPr>
        <w:t>ci</w:t>
      </w:r>
      <w:r w:rsidR="00F379AB" w:rsidRPr="00F40224">
        <w:rPr>
          <w:rFonts w:ascii="Arial" w:hAnsi="Arial" w:cs="Arial"/>
          <w:bCs/>
          <w:i/>
        </w:rPr>
        <w:t>ón del servicio, causas de modificación o te</w:t>
      </w:r>
      <w:r w:rsidR="00F40224" w:rsidRPr="00F40224">
        <w:rPr>
          <w:rFonts w:ascii="Arial" w:hAnsi="Arial" w:cs="Arial"/>
          <w:bCs/>
          <w:i/>
        </w:rPr>
        <w:t>rmi</w:t>
      </w:r>
      <w:r w:rsidR="00F379AB" w:rsidRPr="00F40224">
        <w:rPr>
          <w:rFonts w:ascii="Arial" w:hAnsi="Arial" w:cs="Arial"/>
          <w:bCs/>
          <w:i/>
        </w:rPr>
        <w:t>nación del contrato, constituyen condiciones del contrato que derivan, no de la voluntad del Organismo Operador Municipal denominado Agua de Hermosillo ni del usuario, sino del reglamento indicado. En ese sentido, los actos del organ</w:t>
      </w:r>
      <w:r w:rsidR="00534D29" w:rsidRPr="00F40224">
        <w:rPr>
          <w:rFonts w:ascii="Arial" w:hAnsi="Arial" w:cs="Arial"/>
          <w:bCs/>
          <w:i/>
        </w:rPr>
        <w:t xml:space="preserve">ismo </w:t>
      </w:r>
      <w:r w:rsidR="00F379AB" w:rsidRPr="00F40224">
        <w:rPr>
          <w:rFonts w:ascii="Arial" w:hAnsi="Arial" w:cs="Arial"/>
          <w:bCs/>
          <w:i/>
        </w:rPr>
        <w:t xml:space="preserve">referido, relacionados con la prestación del servicio de suministro de agua potable, </w:t>
      </w:r>
      <w:r w:rsidR="00F379AB" w:rsidRPr="00F40224">
        <w:rPr>
          <w:rFonts w:ascii="Arial" w:hAnsi="Arial" w:cs="Arial"/>
          <w:bCs/>
          <w:i/>
        </w:rPr>
        <w:lastRenderedPageBreak/>
        <w:t xml:space="preserve">son actos administrativos y de autoridad, ya que no pueden considerarse como actos celebrados entre particulares en un plano de coordinación, pues el organismo aludido, actúa en situación de superioridad respecto de su </w:t>
      </w:r>
      <w:proofErr w:type="spellStart"/>
      <w:r w:rsidR="00F379AB" w:rsidRPr="00F40224">
        <w:rPr>
          <w:rFonts w:ascii="Arial" w:hAnsi="Arial" w:cs="Arial"/>
          <w:bCs/>
          <w:i/>
        </w:rPr>
        <w:t>co</w:t>
      </w:r>
      <w:proofErr w:type="spellEnd"/>
      <w:r w:rsidR="00F379AB" w:rsidRPr="00F40224">
        <w:rPr>
          <w:rFonts w:ascii="Arial" w:hAnsi="Arial" w:cs="Arial"/>
          <w:bCs/>
          <w:i/>
        </w:rPr>
        <w:t>-contratante, ya que puede imponerle las cláusulas del convenio, por lo que no queda al particular</w:t>
      </w:r>
      <w:r w:rsidR="00534D29" w:rsidRPr="00F40224">
        <w:rPr>
          <w:rFonts w:ascii="Arial" w:hAnsi="Arial" w:cs="Arial"/>
          <w:bCs/>
          <w:i/>
        </w:rPr>
        <w:t xml:space="preserve"> ni la posibilidad jurí</w:t>
      </w:r>
      <w:r w:rsidR="00F379AB" w:rsidRPr="00F40224">
        <w:rPr>
          <w:rFonts w:ascii="Arial" w:hAnsi="Arial" w:cs="Arial"/>
          <w:bCs/>
          <w:i/>
        </w:rPr>
        <w:t xml:space="preserve">dica de que discutirlas, lo cual destruye la idea misma del contrato, pues si las voluntades que en él deben intervenir no contribuyen a su formación, sino que solo una de ellas lo impone y la otra se limita a </w:t>
      </w:r>
      <w:r w:rsidR="00534D29" w:rsidRPr="00F40224">
        <w:rPr>
          <w:rFonts w:ascii="Arial" w:hAnsi="Arial" w:cs="Arial"/>
          <w:bCs/>
          <w:i/>
        </w:rPr>
        <w:t>aceptarla, porque no puede jurí</w:t>
      </w:r>
      <w:r w:rsidR="00F379AB" w:rsidRPr="00F40224">
        <w:rPr>
          <w:rFonts w:ascii="Arial" w:hAnsi="Arial" w:cs="Arial"/>
          <w:bCs/>
          <w:i/>
        </w:rPr>
        <w:t>dicamente discutirlo, entonces no existe bilateralidad de voluntades –elemento esencial del acto contractual-. Por tanto, los actos que re</w:t>
      </w:r>
      <w:r w:rsidR="00534D29" w:rsidRPr="00F40224">
        <w:rPr>
          <w:rFonts w:ascii="Arial" w:hAnsi="Arial" w:cs="Arial"/>
          <w:bCs/>
          <w:i/>
        </w:rPr>
        <w:t>ali</w:t>
      </w:r>
      <w:r w:rsidR="00F379AB" w:rsidRPr="00F40224">
        <w:rPr>
          <w:rFonts w:ascii="Arial" w:hAnsi="Arial" w:cs="Arial"/>
          <w:bCs/>
          <w:i/>
        </w:rPr>
        <w:t>ce el Organismo Operador Municipal denominado Agua de Hermosillo relacionados con la prestación del servicio de agua potable, son actos administrativos y de autoridad, incluidos desde luego las órdenes de pago de adeudos y avisos de cobro.</w:t>
      </w:r>
      <w:r w:rsidR="00F40224" w:rsidRPr="00F40224">
        <w:rPr>
          <w:rFonts w:ascii="Arial" w:hAnsi="Arial" w:cs="Arial"/>
          <w:bCs/>
          <w:i/>
        </w:rPr>
        <w:t>”</w:t>
      </w:r>
    </w:p>
    <w:p w14:paraId="40D7D3AF" w14:textId="141AB3BB" w:rsidR="00F25566" w:rsidRDefault="00F40224" w:rsidP="00D34524">
      <w:pPr>
        <w:spacing w:line="360" w:lineRule="auto"/>
        <w:ind w:firstLine="567"/>
        <w:jc w:val="both"/>
        <w:rPr>
          <w:rFonts w:ascii="Arial" w:hAnsi="Arial" w:cs="Arial"/>
          <w:sz w:val="26"/>
          <w:szCs w:val="26"/>
        </w:rPr>
      </w:pPr>
      <w:r>
        <w:rPr>
          <w:rFonts w:ascii="Arial" w:hAnsi="Arial" w:cs="Arial"/>
          <w:bCs/>
          <w:color w:val="000000"/>
          <w:sz w:val="26"/>
          <w:szCs w:val="26"/>
        </w:rPr>
        <w:tab/>
        <w:t xml:space="preserve">En este sentido, </w:t>
      </w:r>
      <w:r w:rsidR="00D34524">
        <w:rPr>
          <w:rFonts w:ascii="Arial" w:hAnsi="Arial" w:cs="Arial"/>
          <w:bCs/>
          <w:color w:val="000000"/>
          <w:sz w:val="26"/>
          <w:szCs w:val="26"/>
        </w:rPr>
        <w:t>un</w:t>
      </w:r>
      <w:r w:rsidR="00F25566">
        <w:rPr>
          <w:rFonts w:ascii="Arial" w:hAnsi="Arial" w:cs="Arial"/>
          <w:sz w:val="26"/>
          <w:szCs w:val="26"/>
        </w:rPr>
        <w:t xml:space="preserve">a vez transcurrido el plazo </w:t>
      </w:r>
      <w:r w:rsidR="00D34524">
        <w:rPr>
          <w:rFonts w:ascii="Arial" w:hAnsi="Arial" w:cs="Arial"/>
          <w:sz w:val="26"/>
          <w:szCs w:val="26"/>
        </w:rPr>
        <w:t xml:space="preserve">legal </w:t>
      </w:r>
      <w:r w:rsidR="00F25566">
        <w:rPr>
          <w:rFonts w:ascii="Arial" w:hAnsi="Arial" w:cs="Arial"/>
          <w:sz w:val="26"/>
          <w:szCs w:val="26"/>
        </w:rPr>
        <w:t xml:space="preserve">concedido, </w:t>
      </w:r>
      <w:r w:rsidR="00D34524">
        <w:rPr>
          <w:rFonts w:ascii="Arial" w:hAnsi="Arial" w:cs="Arial"/>
          <w:sz w:val="26"/>
          <w:szCs w:val="26"/>
        </w:rPr>
        <w:t xml:space="preserve">satisfecho el requisito de la demanda requerido </w:t>
      </w:r>
      <w:r w:rsidR="00F25566">
        <w:rPr>
          <w:rFonts w:ascii="Arial" w:hAnsi="Arial" w:cs="Arial"/>
          <w:sz w:val="26"/>
          <w:szCs w:val="26"/>
        </w:rPr>
        <w:t>o no, la magistrada de primera instancia estar</w:t>
      </w:r>
      <w:r w:rsidR="00D34524">
        <w:rPr>
          <w:rFonts w:ascii="Arial" w:hAnsi="Arial" w:cs="Arial"/>
          <w:sz w:val="26"/>
          <w:szCs w:val="26"/>
        </w:rPr>
        <w:t>ía e</w:t>
      </w:r>
      <w:r w:rsidR="00F25566">
        <w:rPr>
          <w:rFonts w:ascii="Arial" w:hAnsi="Arial" w:cs="Arial"/>
          <w:sz w:val="26"/>
          <w:szCs w:val="26"/>
        </w:rPr>
        <w:t>n aptitud de admitir</w:t>
      </w:r>
      <w:r w:rsidR="00843432">
        <w:rPr>
          <w:rFonts w:ascii="Arial" w:hAnsi="Arial" w:cs="Arial"/>
          <w:sz w:val="26"/>
          <w:szCs w:val="26"/>
        </w:rPr>
        <w:t>la</w:t>
      </w:r>
      <w:r w:rsidR="00F25566">
        <w:rPr>
          <w:rFonts w:ascii="Arial" w:hAnsi="Arial" w:cs="Arial"/>
          <w:sz w:val="26"/>
          <w:szCs w:val="26"/>
        </w:rPr>
        <w:t xml:space="preserve"> o desechar</w:t>
      </w:r>
      <w:r w:rsidR="00843432">
        <w:rPr>
          <w:rFonts w:ascii="Arial" w:hAnsi="Arial" w:cs="Arial"/>
          <w:sz w:val="26"/>
          <w:szCs w:val="26"/>
        </w:rPr>
        <w:t>la</w:t>
      </w:r>
      <w:r w:rsidR="00F25566">
        <w:rPr>
          <w:rFonts w:ascii="Arial" w:hAnsi="Arial" w:cs="Arial"/>
          <w:sz w:val="26"/>
          <w:szCs w:val="26"/>
        </w:rPr>
        <w:t>, lo que</w:t>
      </w:r>
      <w:r>
        <w:rPr>
          <w:rFonts w:ascii="Arial" w:hAnsi="Arial" w:cs="Arial"/>
          <w:sz w:val="26"/>
          <w:szCs w:val="26"/>
        </w:rPr>
        <w:t xml:space="preserve"> no sucedió</w:t>
      </w:r>
      <w:r w:rsidR="00843432">
        <w:rPr>
          <w:rFonts w:ascii="Arial" w:hAnsi="Arial" w:cs="Arial"/>
          <w:sz w:val="26"/>
          <w:szCs w:val="26"/>
        </w:rPr>
        <w:t xml:space="preserve">; </w:t>
      </w:r>
      <w:r w:rsidR="00F25566">
        <w:rPr>
          <w:rFonts w:ascii="Arial" w:hAnsi="Arial" w:cs="Arial"/>
          <w:sz w:val="26"/>
          <w:szCs w:val="26"/>
        </w:rPr>
        <w:t xml:space="preserve">pues </w:t>
      </w:r>
      <w:r>
        <w:rPr>
          <w:rFonts w:ascii="Arial" w:hAnsi="Arial" w:cs="Arial"/>
          <w:sz w:val="26"/>
          <w:szCs w:val="26"/>
        </w:rPr>
        <w:t xml:space="preserve">la juzgadora </w:t>
      </w:r>
      <w:r w:rsidR="00F25566">
        <w:rPr>
          <w:rFonts w:ascii="Arial" w:hAnsi="Arial" w:cs="Arial"/>
          <w:sz w:val="26"/>
          <w:szCs w:val="26"/>
        </w:rPr>
        <w:t>lejos observar lo dis</w:t>
      </w:r>
      <w:r w:rsidR="00C455D8">
        <w:rPr>
          <w:rFonts w:ascii="Arial" w:hAnsi="Arial" w:cs="Arial"/>
          <w:sz w:val="26"/>
          <w:szCs w:val="26"/>
        </w:rPr>
        <w:t>puesto en los artículos 177</w:t>
      </w:r>
      <w:r w:rsidR="00F25566">
        <w:rPr>
          <w:rFonts w:ascii="Arial" w:hAnsi="Arial" w:cs="Arial"/>
          <w:sz w:val="26"/>
          <w:szCs w:val="26"/>
        </w:rPr>
        <w:t xml:space="preserve"> y 179 </w:t>
      </w:r>
      <w:r w:rsidR="00C455D8">
        <w:rPr>
          <w:rFonts w:ascii="Arial" w:hAnsi="Arial" w:cs="Arial"/>
          <w:sz w:val="26"/>
          <w:szCs w:val="26"/>
        </w:rPr>
        <w:t>de la Ley de la materia</w:t>
      </w:r>
      <w:r w:rsidR="00F25566">
        <w:rPr>
          <w:rFonts w:ascii="Arial" w:hAnsi="Arial" w:cs="Arial"/>
          <w:sz w:val="26"/>
          <w:szCs w:val="26"/>
        </w:rPr>
        <w:t xml:space="preserve">, decretó indebidamente el </w:t>
      </w:r>
      <w:proofErr w:type="spellStart"/>
      <w:r w:rsidR="00F25566">
        <w:rPr>
          <w:rFonts w:ascii="Arial" w:hAnsi="Arial" w:cs="Arial"/>
          <w:sz w:val="26"/>
          <w:szCs w:val="26"/>
        </w:rPr>
        <w:t>desechamiento</w:t>
      </w:r>
      <w:proofErr w:type="spellEnd"/>
      <w:r w:rsidR="00F25566">
        <w:rPr>
          <w:rFonts w:ascii="Arial" w:hAnsi="Arial" w:cs="Arial"/>
          <w:sz w:val="26"/>
          <w:szCs w:val="26"/>
        </w:rPr>
        <w:t xml:space="preserve"> de la demanda,  lo que conllevó a la trasgresión de los principios de audiencia, legalidad, seguridad jurídica y tutela judicial efectiva contenidas en los artículos 8, 14, 16 y 17 de la Constitución Política de los Estados Unidos Mexicanos dentro del procedimiento, además de que puso al recurrente en estado de indefensión, por haberle negado los derechos de audiencia y de acceso a la impartición de la justicia. De ahí lo </w:t>
      </w:r>
      <w:r w:rsidR="00F25566" w:rsidRPr="00395C53">
        <w:rPr>
          <w:rFonts w:ascii="Arial" w:hAnsi="Arial" w:cs="Arial"/>
          <w:b/>
          <w:bCs/>
          <w:sz w:val="26"/>
          <w:szCs w:val="26"/>
        </w:rPr>
        <w:t>sustancialmente fundado</w:t>
      </w:r>
      <w:r w:rsidR="00F25566">
        <w:rPr>
          <w:rFonts w:ascii="Arial" w:hAnsi="Arial" w:cs="Arial"/>
          <w:sz w:val="26"/>
          <w:szCs w:val="26"/>
        </w:rPr>
        <w:t xml:space="preserve"> del agravio analizado.</w:t>
      </w:r>
      <w:r w:rsidR="005D2CFA">
        <w:rPr>
          <w:rFonts w:ascii="Arial" w:hAnsi="Arial" w:cs="Arial"/>
          <w:sz w:val="26"/>
          <w:szCs w:val="26"/>
        </w:rPr>
        <w:t xml:space="preserve"> - - - </w:t>
      </w:r>
    </w:p>
    <w:p w14:paraId="32E0B6F8" w14:textId="658EF5CE" w:rsidR="00F25566" w:rsidRDefault="00F25566" w:rsidP="00F25566">
      <w:pPr>
        <w:spacing w:line="360" w:lineRule="auto"/>
        <w:ind w:firstLine="567"/>
        <w:jc w:val="both"/>
        <w:rPr>
          <w:rFonts w:ascii="Arial" w:eastAsia="Times New Roman" w:hAnsi="Arial" w:cs="Arial"/>
          <w:bCs/>
          <w:color w:val="000000"/>
          <w:sz w:val="26"/>
          <w:szCs w:val="26"/>
        </w:rPr>
      </w:pPr>
      <w:r>
        <w:rPr>
          <w:rFonts w:ascii="Arial" w:eastAsia="Times New Roman" w:hAnsi="Arial" w:cs="Arial"/>
          <w:iCs/>
          <w:sz w:val="26"/>
          <w:szCs w:val="26"/>
        </w:rPr>
        <w:t>De lo expuesto se advierte, que</w:t>
      </w:r>
      <w:r w:rsidRPr="000400CC">
        <w:rPr>
          <w:rFonts w:ascii="Arial" w:eastAsia="Times New Roman" w:hAnsi="Arial" w:cs="Arial"/>
          <w:iCs/>
          <w:sz w:val="26"/>
          <w:szCs w:val="26"/>
        </w:rPr>
        <w:t xml:space="preserve"> la Sala Instructora</w:t>
      </w:r>
      <w:r>
        <w:rPr>
          <w:rFonts w:ascii="Arial" w:eastAsia="Times New Roman" w:hAnsi="Arial" w:cs="Arial"/>
          <w:iCs/>
          <w:sz w:val="26"/>
          <w:szCs w:val="26"/>
        </w:rPr>
        <w:t xml:space="preserve"> irrogó a</w:t>
      </w:r>
      <w:r w:rsidR="00F40224">
        <w:rPr>
          <w:rFonts w:ascii="Arial" w:eastAsia="Times New Roman" w:hAnsi="Arial" w:cs="Arial"/>
          <w:iCs/>
          <w:sz w:val="26"/>
          <w:szCs w:val="26"/>
        </w:rPr>
        <w:t xml:space="preserve"> </w:t>
      </w:r>
      <w:r>
        <w:rPr>
          <w:rFonts w:ascii="Arial" w:eastAsia="Times New Roman" w:hAnsi="Arial" w:cs="Arial"/>
          <w:iCs/>
          <w:sz w:val="26"/>
          <w:szCs w:val="26"/>
        </w:rPr>
        <w:t>l</w:t>
      </w:r>
      <w:r w:rsidR="00F40224">
        <w:rPr>
          <w:rFonts w:ascii="Arial" w:eastAsia="Times New Roman" w:hAnsi="Arial" w:cs="Arial"/>
          <w:iCs/>
          <w:sz w:val="26"/>
          <w:szCs w:val="26"/>
        </w:rPr>
        <w:t>a</w:t>
      </w:r>
      <w:r>
        <w:rPr>
          <w:rFonts w:ascii="Arial" w:eastAsia="Times New Roman" w:hAnsi="Arial" w:cs="Arial"/>
          <w:iCs/>
          <w:sz w:val="26"/>
          <w:szCs w:val="26"/>
        </w:rPr>
        <w:t xml:space="preserve"> recurrente el agravio aducido</w:t>
      </w:r>
      <w:r>
        <w:rPr>
          <w:rFonts w:ascii="Arial" w:eastAsia="Times New Roman" w:hAnsi="Arial" w:cs="Arial"/>
          <w:sz w:val="26"/>
          <w:szCs w:val="26"/>
        </w:rPr>
        <w:t>, por lo que, a fin de repararlo,</w:t>
      </w:r>
      <w:r w:rsidRPr="000400CC">
        <w:rPr>
          <w:rFonts w:ascii="Arial" w:eastAsia="Times New Roman" w:hAnsi="Arial" w:cs="Arial"/>
          <w:sz w:val="26"/>
          <w:szCs w:val="26"/>
        </w:rPr>
        <w:t xml:space="preserve"> impone </w:t>
      </w:r>
      <w:r>
        <w:rPr>
          <w:rFonts w:ascii="Arial" w:eastAsia="Times New Roman" w:hAnsi="Arial" w:cs="Arial"/>
          <w:b/>
          <w:sz w:val="26"/>
          <w:szCs w:val="26"/>
        </w:rPr>
        <w:t>REVOCA</w:t>
      </w:r>
      <w:r w:rsidR="00C455D8">
        <w:rPr>
          <w:rFonts w:ascii="Arial" w:eastAsia="Times New Roman" w:hAnsi="Arial" w:cs="Arial"/>
          <w:b/>
          <w:sz w:val="26"/>
          <w:szCs w:val="26"/>
        </w:rPr>
        <w:t>R</w:t>
      </w:r>
      <w:r>
        <w:rPr>
          <w:rFonts w:ascii="Arial" w:eastAsia="Times New Roman" w:hAnsi="Arial" w:cs="Arial"/>
          <w:b/>
          <w:sz w:val="26"/>
          <w:szCs w:val="26"/>
        </w:rPr>
        <w:t xml:space="preserve"> </w:t>
      </w:r>
      <w:r w:rsidRPr="000400CC">
        <w:rPr>
          <w:rFonts w:ascii="Arial" w:eastAsia="Times New Roman" w:hAnsi="Arial" w:cs="Arial"/>
          <w:sz w:val="26"/>
          <w:szCs w:val="26"/>
        </w:rPr>
        <w:t xml:space="preserve">el </w:t>
      </w:r>
      <w:r>
        <w:rPr>
          <w:rFonts w:ascii="Arial" w:eastAsia="Times New Roman" w:hAnsi="Arial" w:cs="Arial"/>
          <w:sz w:val="26"/>
          <w:szCs w:val="26"/>
        </w:rPr>
        <w:t>proveído re</w:t>
      </w:r>
      <w:r w:rsidR="00F40224">
        <w:rPr>
          <w:rFonts w:ascii="Arial" w:eastAsia="Times New Roman" w:hAnsi="Arial" w:cs="Arial"/>
          <w:sz w:val="26"/>
          <w:szCs w:val="26"/>
        </w:rPr>
        <w:t xml:space="preserve">futado que versará </w:t>
      </w:r>
      <w:r>
        <w:rPr>
          <w:rFonts w:ascii="Arial" w:eastAsia="Times New Roman" w:hAnsi="Arial" w:cs="Arial"/>
          <w:sz w:val="26"/>
          <w:szCs w:val="26"/>
        </w:rPr>
        <w:t>de la siguiente manera</w:t>
      </w:r>
      <w:r w:rsidRPr="000400CC">
        <w:rPr>
          <w:rFonts w:ascii="Arial" w:eastAsia="Calibri" w:hAnsi="Arial" w:cs="Arial"/>
          <w:bCs/>
          <w:sz w:val="26"/>
          <w:szCs w:val="26"/>
        </w:rPr>
        <w:t>:</w:t>
      </w:r>
      <w:r w:rsidR="005D2CFA">
        <w:rPr>
          <w:rFonts w:ascii="Arial" w:eastAsia="Calibri" w:hAnsi="Arial" w:cs="Arial"/>
          <w:bCs/>
          <w:sz w:val="26"/>
          <w:szCs w:val="26"/>
        </w:rPr>
        <w:t xml:space="preserve"> - - </w:t>
      </w:r>
    </w:p>
    <w:p w14:paraId="71D80C20" w14:textId="60591D72" w:rsidR="00F25566" w:rsidRPr="005D2CFA" w:rsidRDefault="00F25566" w:rsidP="005D2CFA">
      <w:pPr>
        <w:spacing w:after="0"/>
        <w:ind w:left="567" w:right="616" w:firstLine="141"/>
        <w:jc w:val="both"/>
        <w:rPr>
          <w:rFonts w:ascii="Arial" w:hAnsi="Arial" w:cs="Arial"/>
          <w:i/>
        </w:rPr>
      </w:pPr>
      <w:r w:rsidRPr="005D2CFA">
        <w:rPr>
          <w:rFonts w:ascii="Arial" w:eastAsia="Times New Roman" w:hAnsi="Arial" w:cs="Arial"/>
          <w:bCs/>
          <w:i/>
        </w:rPr>
        <w:t>“</w:t>
      </w:r>
      <w:r w:rsidRPr="005D2CFA">
        <w:rPr>
          <w:rFonts w:ascii="Arial" w:hAnsi="Arial" w:cs="Arial"/>
          <w:i/>
        </w:rPr>
        <w:t xml:space="preserve">Por recibida </w:t>
      </w:r>
      <w:r w:rsidR="00EC22F4" w:rsidRPr="005D2CFA">
        <w:rPr>
          <w:rFonts w:ascii="Arial" w:hAnsi="Arial" w:cs="Arial"/>
          <w:i/>
        </w:rPr>
        <w:t xml:space="preserve">a demanda </w:t>
      </w:r>
      <w:r w:rsidRPr="005D2CFA">
        <w:rPr>
          <w:rFonts w:ascii="Arial" w:hAnsi="Arial" w:cs="Arial"/>
          <w:i/>
        </w:rPr>
        <w:t>en la oficialía de partes común de este Tribunal</w:t>
      </w:r>
      <w:r w:rsidR="00EC22F4" w:rsidRPr="005D2CFA">
        <w:rPr>
          <w:rFonts w:ascii="Arial" w:hAnsi="Arial" w:cs="Arial"/>
          <w:i/>
        </w:rPr>
        <w:t>,</w:t>
      </w:r>
      <w:r w:rsidRPr="005D2CFA">
        <w:rPr>
          <w:rFonts w:ascii="Arial" w:hAnsi="Arial" w:cs="Arial"/>
          <w:i/>
        </w:rPr>
        <w:t xml:space="preserve"> el </w:t>
      </w:r>
      <w:r w:rsidR="00EC22F4" w:rsidRPr="005D2CFA">
        <w:rPr>
          <w:rFonts w:ascii="Arial" w:hAnsi="Arial" w:cs="Arial"/>
          <w:i/>
        </w:rPr>
        <w:t xml:space="preserve">once de noviembre del actual, promovida por </w:t>
      </w:r>
      <w:r w:rsidR="00D068AB">
        <w:rPr>
          <w:rFonts w:ascii="Arial" w:hAnsi="Arial" w:cs="Arial"/>
          <w:i/>
        </w:rPr>
        <w:t>*******</w:t>
      </w:r>
      <w:r w:rsidR="00EC22F4" w:rsidRPr="005D2CFA">
        <w:rPr>
          <w:rFonts w:ascii="Arial" w:hAnsi="Arial" w:cs="Arial"/>
          <w:i/>
        </w:rPr>
        <w:t>, Apoderada Legal de la empresa denominada “</w:t>
      </w:r>
      <w:r w:rsidR="00D068AB">
        <w:rPr>
          <w:rFonts w:ascii="Arial" w:hAnsi="Arial" w:cs="Arial"/>
          <w:i/>
        </w:rPr>
        <w:t>*******</w:t>
      </w:r>
      <w:r w:rsidR="00EC22F4" w:rsidRPr="005D2CFA">
        <w:rPr>
          <w:rFonts w:ascii="Arial" w:hAnsi="Arial" w:cs="Arial"/>
          <w:i/>
        </w:rPr>
        <w:t xml:space="preserve"> contra actos de </w:t>
      </w:r>
      <w:r w:rsidR="00D068AB">
        <w:rPr>
          <w:rFonts w:ascii="Arial" w:hAnsi="Arial" w:cs="Arial"/>
          <w:i/>
        </w:rPr>
        <w:t>*******</w:t>
      </w:r>
      <w:r w:rsidR="00EC22F4" w:rsidRPr="005D2CFA">
        <w:rPr>
          <w:rFonts w:ascii="Arial" w:hAnsi="Arial" w:cs="Arial"/>
          <w:i/>
        </w:rPr>
        <w:t>, en consecuencia,</w:t>
      </w:r>
      <w:r w:rsidRPr="005D2CFA">
        <w:rPr>
          <w:rFonts w:ascii="Arial" w:hAnsi="Arial" w:cs="Arial"/>
          <w:i/>
        </w:rPr>
        <w:t xml:space="preserve"> fórmese expediente y regístrese su ingreso en el Libro de Gobierno que para tal efecto lleva esta Tercera Sala Unitaria con el número </w:t>
      </w:r>
      <w:r w:rsidR="00EC22F4" w:rsidRPr="005D2CFA">
        <w:rPr>
          <w:rFonts w:ascii="Arial" w:hAnsi="Arial" w:cs="Arial"/>
          <w:b/>
          <w:i/>
        </w:rPr>
        <w:t>0120</w:t>
      </w:r>
      <w:r w:rsidRPr="005D2CFA">
        <w:rPr>
          <w:rFonts w:ascii="Arial" w:hAnsi="Arial" w:cs="Arial"/>
          <w:b/>
          <w:i/>
        </w:rPr>
        <w:t>/2021</w:t>
      </w:r>
      <w:r w:rsidRPr="005D2CFA">
        <w:rPr>
          <w:rFonts w:ascii="Arial" w:hAnsi="Arial" w:cs="Arial"/>
          <w:i/>
        </w:rPr>
        <w:t>.</w:t>
      </w:r>
    </w:p>
    <w:p w14:paraId="0B104829" w14:textId="4317A001" w:rsidR="008F5FF1" w:rsidRPr="005D2CFA" w:rsidRDefault="00F25566" w:rsidP="005D2CFA">
      <w:pPr>
        <w:ind w:left="567" w:right="616" w:firstLine="141"/>
        <w:jc w:val="both"/>
        <w:rPr>
          <w:rFonts w:ascii="Arial" w:hAnsi="Arial" w:cs="Arial"/>
          <w:i/>
        </w:rPr>
      </w:pPr>
      <w:r w:rsidRPr="005D2CFA">
        <w:rPr>
          <w:rFonts w:ascii="Arial" w:hAnsi="Arial" w:cs="Arial"/>
          <w:i/>
        </w:rPr>
        <w:t xml:space="preserve">Del estudio integral del escrito de demanda se advierte que ésta </w:t>
      </w:r>
      <w:r w:rsidR="00EC22F4" w:rsidRPr="005D2CFA">
        <w:rPr>
          <w:rFonts w:ascii="Arial" w:hAnsi="Arial" w:cs="Arial"/>
          <w:i/>
        </w:rPr>
        <w:t xml:space="preserve">no cumple el requisito </w:t>
      </w:r>
      <w:r w:rsidRPr="005D2CFA">
        <w:rPr>
          <w:rFonts w:ascii="Arial" w:hAnsi="Arial" w:cs="Arial"/>
          <w:i/>
        </w:rPr>
        <w:t>es</w:t>
      </w:r>
      <w:r w:rsidR="00EC22F4" w:rsidRPr="005D2CFA">
        <w:rPr>
          <w:rFonts w:ascii="Arial" w:hAnsi="Arial" w:cs="Arial"/>
          <w:i/>
        </w:rPr>
        <w:t>tablecido en la fracción IX del artículo 177 de la Ley de Procedimiento y Justicia Administrativa para el Estado de Oaxaca</w:t>
      </w:r>
      <w:r w:rsidR="00DD3799" w:rsidRPr="005D2CFA">
        <w:rPr>
          <w:rFonts w:ascii="Arial" w:hAnsi="Arial" w:cs="Arial"/>
          <w:i/>
        </w:rPr>
        <w:t xml:space="preserve">, toda vez que la promovente </w:t>
      </w:r>
      <w:r w:rsidR="00DD3799" w:rsidRPr="005D2CFA">
        <w:rPr>
          <w:rFonts w:ascii="Arial" w:hAnsi="Arial" w:cs="Arial"/>
          <w:bCs/>
          <w:i/>
          <w:color w:val="000000"/>
        </w:rPr>
        <w:t xml:space="preserve">omitió adjuntar a su demanda el contrato por prestación de servicio de agua potable que dice haber celebrado con </w:t>
      </w:r>
      <w:r w:rsidR="00D068AB">
        <w:rPr>
          <w:rFonts w:ascii="Arial" w:hAnsi="Arial" w:cs="Arial"/>
          <w:bCs/>
          <w:i/>
          <w:color w:val="000000"/>
        </w:rPr>
        <w:t>*******</w:t>
      </w:r>
      <w:r w:rsidR="00DD3799" w:rsidRPr="005D2CFA">
        <w:rPr>
          <w:rFonts w:ascii="Arial" w:hAnsi="Arial" w:cs="Arial"/>
          <w:bCs/>
          <w:i/>
          <w:color w:val="000000"/>
        </w:rPr>
        <w:t>, como afirma en el primer punto del capítulo de hechos de su demanda</w:t>
      </w:r>
      <w:r w:rsidR="00DD3799" w:rsidRPr="005D2CFA">
        <w:rPr>
          <w:rFonts w:ascii="Arial" w:hAnsi="Arial" w:cs="Arial"/>
          <w:i/>
        </w:rPr>
        <w:t xml:space="preserve">; por lo que en aras de salvaguardarle las garantías de audiencia y acceso a la impartición de la justicia por tratarse de la administrada; con fundamento en lo dispuesto por el artículo 179 de la Ley en cita, se requiere a la promovente para que en el plazo de tres días hábiles siguientes al en que sura efectos la notificación, exhiba copia certificada del contrato que </w:t>
      </w:r>
      <w:r w:rsidR="00DD3799" w:rsidRPr="005D2CFA">
        <w:rPr>
          <w:rFonts w:ascii="Arial" w:hAnsi="Arial" w:cs="Arial"/>
          <w:bCs/>
          <w:i/>
          <w:color w:val="000000"/>
        </w:rPr>
        <w:t xml:space="preserve">celebró con </w:t>
      </w:r>
      <w:r w:rsidR="00D068AB">
        <w:rPr>
          <w:rFonts w:ascii="Arial" w:hAnsi="Arial" w:cs="Arial"/>
          <w:bCs/>
          <w:i/>
          <w:color w:val="000000"/>
        </w:rPr>
        <w:t>*******</w:t>
      </w:r>
      <w:r w:rsidR="00DD3799" w:rsidRPr="005D2CFA">
        <w:rPr>
          <w:rFonts w:ascii="Arial" w:hAnsi="Arial" w:cs="Arial"/>
          <w:bCs/>
          <w:i/>
          <w:color w:val="000000"/>
        </w:rPr>
        <w:t xml:space="preserve"> para la prestación de servicio de agua potable, o en su caso, manifieste la imposibilidad que tenga para exhibirlo </w:t>
      </w:r>
      <w:r w:rsidR="00DD3799" w:rsidRPr="005D2CFA">
        <w:rPr>
          <w:rFonts w:ascii="Arial" w:hAnsi="Arial" w:cs="Arial"/>
          <w:bCs/>
          <w:i/>
          <w:color w:val="000000"/>
        </w:rPr>
        <w:lastRenderedPageBreak/>
        <w:t>e indique el lugar donde se encuentre para que esta Sala Unitaria lo requiera</w:t>
      </w:r>
      <w:r w:rsidR="00DD3799" w:rsidRPr="005D2CFA">
        <w:rPr>
          <w:rFonts w:ascii="Arial" w:hAnsi="Arial" w:cs="Arial"/>
          <w:i/>
        </w:rPr>
        <w:t xml:space="preserve">; </w:t>
      </w:r>
      <w:r w:rsidR="00DD3799" w:rsidRPr="005D2CFA">
        <w:rPr>
          <w:rFonts w:ascii="Arial" w:hAnsi="Arial" w:cs="Arial"/>
          <w:b/>
          <w:bCs/>
          <w:i/>
        </w:rPr>
        <w:t>bajo apercibimiento que de no</w:t>
      </w:r>
      <w:r w:rsidR="00DD3799" w:rsidRPr="005D2CFA">
        <w:rPr>
          <w:rFonts w:ascii="Arial" w:hAnsi="Arial" w:cs="Arial"/>
          <w:i/>
        </w:rPr>
        <w:t xml:space="preserve"> </w:t>
      </w:r>
      <w:r w:rsidR="00DD3799" w:rsidRPr="005D2CFA">
        <w:rPr>
          <w:rFonts w:ascii="Arial" w:hAnsi="Arial" w:cs="Arial"/>
          <w:b/>
          <w:bCs/>
          <w:i/>
        </w:rPr>
        <w:t xml:space="preserve">cumplir el requerimiento que se le formula, la demanda será desechada, </w:t>
      </w:r>
      <w:r w:rsidR="00FC4CBE" w:rsidRPr="005D2CFA">
        <w:rPr>
          <w:rFonts w:ascii="Arial" w:hAnsi="Arial" w:cs="Arial"/>
          <w:bCs/>
          <w:i/>
        </w:rPr>
        <w:t>en virtud de que en la</w:t>
      </w:r>
      <w:r w:rsidR="00FC4CBE" w:rsidRPr="005D2CFA">
        <w:rPr>
          <w:rFonts w:ascii="Arial" w:hAnsi="Arial" w:cs="Arial"/>
          <w:b/>
          <w:bCs/>
          <w:i/>
        </w:rPr>
        <w:t xml:space="preserve"> </w:t>
      </w:r>
      <w:r w:rsidR="00DD3799" w:rsidRPr="005D2CFA">
        <w:rPr>
          <w:rFonts w:ascii="Arial" w:hAnsi="Arial" w:cs="Arial"/>
          <w:bCs/>
          <w:i/>
          <w:color w:val="000000"/>
        </w:rPr>
        <w:t xml:space="preserve">documental </w:t>
      </w:r>
      <w:r w:rsidR="00FC4CBE" w:rsidRPr="005D2CFA">
        <w:rPr>
          <w:rFonts w:ascii="Arial" w:hAnsi="Arial" w:cs="Arial"/>
          <w:bCs/>
          <w:i/>
          <w:color w:val="000000"/>
        </w:rPr>
        <w:t xml:space="preserve">requerida </w:t>
      </w:r>
      <w:r w:rsidR="00DD3799" w:rsidRPr="005D2CFA">
        <w:rPr>
          <w:rFonts w:ascii="Arial" w:hAnsi="Arial" w:cs="Arial"/>
          <w:bCs/>
          <w:i/>
          <w:color w:val="000000"/>
        </w:rPr>
        <w:t xml:space="preserve">deben estar establecidas las condiciones consignadas para la prestación del servicio de agua potable, de los que se deduzca si lo que se reclama en la demanda constituye un acto administrativo y de autoridad que motive el trámite de la demanda, como lo señala la Jurisprudencia en materia común, administrativa, número </w:t>
      </w:r>
      <w:proofErr w:type="spellStart"/>
      <w:r w:rsidR="00DD3799" w:rsidRPr="005D2CFA">
        <w:rPr>
          <w:rFonts w:ascii="Arial" w:hAnsi="Arial" w:cs="Arial"/>
          <w:bCs/>
          <w:i/>
          <w:color w:val="000000"/>
        </w:rPr>
        <w:t>PC.V</w:t>
      </w:r>
      <w:proofErr w:type="spellEnd"/>
      <w:r w:rsidR="00DD3799" w:rsidRPr="005D2CFA">
        <w:rPr>
          <w:rFonts w:ascii="Arial" w:hAnsi="Arial" w:cs="Arial"/>
          <w:bCs/>
          <w:i/>
          <w:color w:val="000000"/>
        </w:rPr>
        <w:t xml:space="preserve">. J/12 (10a.), con número de registro digital 2013734, de la Décima Época, emitidas por los Plenos de Circuito, publicada en la Gaceta del Semanario Judicial de la Federación, Libro 39, Febrero de 2017, Tomo II, consultable a página 1510, de rubro </w:t>
      </w:r>
      <w:r w:rsidR="00DD3799" w:rsidRPr="005D2CFA">
        <w:rPr>
          <w:rFonts w:ascii="Arial" w:hAnsi="Arial" w:cs="Arial"/>
          <w:bCs/>
          <w:i/>
        </w:rPr>
        <w:t>“</w:t>
      </w:r>
      <w:r w:rsidR="00DD3799" w:rsidRPr="005D2CFA">
        <w:rPr>
          <w:rFonts w:ascii="Arial" w:hAnsi="Arial" w:cs="Arial"/>
          <w:b/>
          <w:bCs/>
          <w:i/>
        </w:rPr>
        <w:t>ORGANISMO OPERADOR MUNICIPAL DENOMINADO AGUA DE HERMOSILLO. TIENE EL CARÁCTER DE AUTORIDAD PARA EFECTOS DEL JUICIO DE AMPARO, CUANDO EL ACTO RECLAMADO ES LA ORDEN DE PAGO DE ADEUDOS Y/O AVISOS DE COBRO, DERIVADO DE LA PRESTACIÓN DEL SERVICIO DE SUMINISTRO DE AGUA POTABLE.”</w:t>
      </w:r>
    </w:p>
    <w:p w14:paraId="2BBFF97E" w14:textId="77777777" w:rsidR="008F5FF1" w:rsidRPr="005D2CFA" w:rsidRDefault="008F5FF1" w:rsidP="005D2CFA">
      <w:pPr>
        <w:ind w:left="567" w:right="616" w:firstLine="141"/>
        <w:jc w:val="both"/>
        <w:rPr>
          <w:rFonts w:ascii="Arial" w:hAnsi="Arial" w:cs="Arial"/>
          <w:i/>
        </w:rPr>
      </w:pPr>
      <w:r w:rsidRPr="005D2CFA">
        <w:rPr>
          <w:rFonts w:ascii="Arial" w:hAnsi="Arial" w:cs="Arial"/>
          <w:i/>
        </w:rPr>
        <w:t xml:space="preserve">Con las medidas de salud determinadas por el Pleno de este Tribunal, en el Protocolo para la Reincorporación del Personal y Atención a los Usuarios, emitido en el Acuerdo General de Pleno AG/TJAO/12/2020, </w:t>
      </w:r>
      <w:r w:rsidRPr="005D2CFA">
        <w:rPr>
          <w:rFonts w:ascii="Arial" w:hAnsi="Arial" w:cs="Arial"/>
          <w:b/>
          <w:i/>
        </w:rPr>
        <w:t xml:space="preserve">Notifíquese </w:t>
      </w:r>
      <w:r w:rsidRPr="005D2CFA">
        <w:rPr>
          <w:rFonts w:ascii="Arial" w:hAnsi="Arial" w:cs="Arial"/>
          <w:i/>
        </w:rPr>
        <w:t>(sic) personalmente al promovente en el domicilio que señaló en el escrito de demanda, incluso por conducto de las personas que autoriza, lo anterior en términos de los artículos 172 fracción I y 173 fracción I de la Ley de Procedimiento y Justicia Administrativa para el Estado de Oaxaca, y Cúmplase.”</w:t>
      </w:r>
    </w:p>
    <w:p w14:paraId="05D795E7" w14:textId="77777777" w:rsidR="008F5FF1" w:rsidRPr="005D2CFA" w:rsidRDefault="008F5FF1" w:rsidP="005D2CFA">
      <w:pPr>
        <w:spacing w:after="0"/>
        <w:ind w:left="567" w:right="616"/>
        <w:jc w:val="both"/>
        <w:rPr>
          <w:rFonts w:ascii="Arial" w:hAnsi="Arial" w:cs="Arial"/>
          <w:i/>
        </w:rPr>
      </w:pPr>
    </w:p>
    <w:p w14:paraId="519A8931" w14:textId="2402DAC3" w:rsidR="00C82F81" w:rsidRPr="008F5FF1" w:rsidRDefault="00C82F81" w:rsidP="008F5FF1">
      <w:pPr>
        <w:spacing w:after="0" w:line="360" w:lineRule="auto"/>
        <w:ind w:right="49" w:firstLine="567"/>
        <w:jc w:val="both"/>
        <w:rPr>
          <w:rFonts w:cstheme="minorHAnsi"/>
        </w:rPr>
      </w:pPr>
      <w:r>
        <w:rPr>
          <w:rFonts w:ascii="Arial" w:hAnsi="Arial" w:cs="Arial"/>
          <w:sz w:val="26"/>
          <w:szCs w:val="26"/>
        </w:rPr>
        <w:t>En mérito de lo anterior, con funda</w:t>
      </w:r>
      <w:r w:rsidR="008F5FF1">
        <w:rPr>
          <w:rFonts w:ascii="Arial" w:hAnsi="Arial" w:cs="Arial"/>
          <w:sz w:val="26"/>
          <w:szCs w:val="26"/>
        </w:rPr>
        <w:t>mento en los artículos 236</w:t>
      </w:r>
      <w:r>
        <w:rPr>
          <w:rFonts w:ascii="Arial" w:hAnsi="Arial" w:cs="Arial"/>
          <w:sz w:val="26"/>
          <w:szCs w:val="26"/>
        </w:rPr>
        <w:t xml:space="preserve"> y 238 de la Ley de Procedimiento y Justicia Administrativa para el Estado de Oaxaca, se:</w:t>
      </w:r>
      <w:r w:rsidR="005D2CFA">
        <w:rPr>
          <w:rFonts w:ascii="Arial" w:hAnsi="Arial" w:cs="Arial"/>
          <w:sz w:val="26"/>
          <w:szCs w:val="26"/>
        </w:rPr>
        <w:t xml:space="preserve"> - - - - - - - - - - - - - - - - - - - - - - - - - - - - - - - - - - - - - - - - - - - </w:t>
      </w:r>
    </w:p>
    <w:p w14:paraId="308DEDE0" w14:textId="3F06BB68" w:rsidR="00C82F81" w:rsidRDefault="00C82F81" w:rsidP="00C82F81">
      <w:pPr>
        <w:tabs>
          <w:tab w:val="left" w:pos="1134"/>
        </w:tabs>
        <w:spacing w:before="240" w:line="360" w:lineRule="auto"/>
        <w:jc w:val="center"/>
        <w:rPr>
          <w:rFonts w:ascii="Arial" w:eastAsia="Times New Roman" w:hAnsi="Arial" w:cs="Arial"/>
          <w:b/>
          <w:color w:val="000000"/>
          <w:sz w:val="26"/>
          <w:szCs w:val="26"/>
        </w:rPr>
      </w:pPr>
      <w:r>
        <w:rPr>
          <w:rFonts w:ascii="Arial" w:eastAsia="Times New Roman" w:hAnsi="Arial" w:cs="Arial"/>
          <w:b/>
          <w:color w:val="000000"/>
          <w:sz w:val="26"/>
          <w:szCs w:val="26"/>
        </w:rPr>
        <w:t>R E S U E L V E</w:t>
      </w:r>
    </w:p>
    <w:p w14:paraId="4FEB7261" w14:textId="11F7F82D" w:rsidR="00C82F81" w:rsidRDefault="00C82F81" w:rsidP="00663119">
      <w:pPr>
        <w:widowControl w:val="0"/>
        <w:tabs>
          <w:tab w:val="left" w:pos="-1985"/>
          <w:tab w:val="left" w:pos="7938"/>
        </w:tabs>
        <w:spacing w:line="360" w:lineRule="auto"/>
        <w:ind w:right="17" w:firstLine="709"/>
        <w:jc w:val="both"/>
        <w:rPr>
          <w:rFonts w:ascii="Arial" w:eastAsia="Times New Roman" w:hAnsi="Arial" w:cs="Arial"/>
          <w:b/>
          <w:color w:val="000000"/>
          <w:sz w:val="26"/>
          <w:szCs w:val="26"/>
          <w:lang w:eastAsia="es-ES"/>
        </w:rPr>
      </w:pPr>
      <w:r>
        <w:rPr>
          <w:rFonts w:ascii="Arial" w:eastAsia="Times New Roman" w:hAnsi="Arial" w:cs="Arial"/>
          <w:b/>
          <w:color w:val="000000"/>
          <w:sz w:val="26"/>
          <w:szCs w:val="26"/>
          <w:lang w:eastAsia="es-ES"/>
        </w:rPr>
        <w:t>PRIMERO</w:t>
      </w:r>
      <w:r>
        <w:rPr>
          <w:rFonts w:ascii="Arial" w:eastAsia="Times New Roman" w:hAnsi="Arial" w:cs="Arial"/>
          <w:color w:val="000000"/>
          <w:sz w:val="26"/>
          <w:szCs w:val="26"/>
          <w:lang w:eastAsia="es-ES"/>
        </w:rPr>
        <w:t xml:space="preserve">. Se </w:t>
      </w:r>
      <w:r w:rsidR="00151FE0">
        <w:rPr>
          <w:rFonts w:ascii="Arial" w:eastAsia="Times New Roman" w:hAnsi="Arial" w:cs="Arial"/>
          <w:b/>
          <w:color w:val="000000"/>
          <w:sz w:val="26"/>
          <w:szCs w:val="26"/>
          <w:lang w:eastAsia="es-ES"/>
        </w:rPr>
        <w:t>REVOC</w:t>
      </w:r>
      <w:r w:rsidR="00BA00B1">
        <w:rPr>
          <w:rFonts w:ascii="Arial" w:eastAsia="Times New Roman" w:hAnsi="Arial" w:cs="Arial"/>
          <w:b/>
          <w:color w:val="000000"/>
          <w:sz w:val="26"/>
          <w:szCs w:val="26"/>
          <w:lang w:eastAsia="es-ES"/>
        </w:rPr>
        <w:t>A</w:t>
      </w:r>
      <w:r>
        <w:rPr>
          <w:rFonts w:ascii="Arial" w:eastAsia="Times New Roman" w:hAnsi="Arial" w:cs="Arial"/>
          <w:color w:val="000000"/>
          <w:sz w:val="26"/>
          <w:szCs w:val="26"/>
          <w:lang w:eastAsia="es-ES"/>
        </w:rPr>
        <w:t xml:space="preserve"> el acuerdo impugnado, por las razones expuestas en el considerando que antecede. - - - - - - - - - - - - - - - - - - - </w:t>
      </w:r>
    </w:p>
    <w:p w14:paraId="168FE26F" w14:textId="01A7D618" w:rsidR="00C82F81" w:rsidRDefault="00C82F81" w:rsidP="00663119">
      <w:pPr>
        <w:spacing w:line="360" w:lineRule="auto"/>
        <w:ind w:firstLine="708"/>
        <w:jc w:val="both"/>
        <w:rPr>
          <w:rFonts w:ascii="Arial" w:eastAsia="Times New Roman" w:hAnsi="Arial" w:cs="Arial"/>
          <w:sz w:val="26"/>
          <w:szCs w:val="26"/>
        </w:rPr>
      </w:pPr>
      <w:r>
        <w:rPr>
          <w:rFonts w:ascii="Arial" w:eastAsia="Times New Roman" w:hAnsi="Arial" w:cs="Arial"/>
          <w:b/>
          <w:sz w:val="26"/>
          <w:szCs w:val="26"/>
          <w:lang w:eastAsia="es-ES"/>
        </w:rPr>
        <w:t xml:space="preserve">SEGUNDO. </w:t>
      </w:r>
      <w:r>
        <w:rPr>
          <w:rFonts w:ascii="Arial" w:eastAsia="Times New Roman" w:hAnsi="Arial" w:cs="Arial"/>
          <w:b/>
          <w:sz w:val="26"/>
          <w:szCs w:val="26"/>
        </w:rPr>
        <w:t>NOTIFÍQUESE Y CÚMPLASE</w:t>
      </w:r>
      <w:r>
        <w:rPr>
          <w:rFonts w:ascii="Arial" w:eastAsia="Times New Roman" w:hAnsi="Arial" w:cs="Arial"/>
          <w:sz w:val="26"/>
          <w:szCs w:val="26"/>
        </w:rPr>
        <w:t>, con copia certificada de la presente resolución, vuelvan las constancias remitidas a la Sala de origen y en su oportunidad archívese el cuaderno de revisión como concluido. - - - - - - - - - - - - - - - - - - - - - - - - - - - - - - - - - - - - - - - - - - - -</w:t>
      </w:r>
    </w:p>
    <w:p w14:paraId="28EE8515" w14:textId="170F610C" w:rsidR="00C82F81" w:rsidRPr="007D2133" w:rsidRDefault="00C82F81" w:rsidP="00C82F81">
      <w:pPr>
        <w:tabs>
          <w:tab w:val="left" w:pos="1925"/>
          <w:tab w:val="center" w:pos="4135"/>
        </w:tabs>
        <w:spacing w:line="360" w:lineRule="auto"/>
        <w:jc w:val="both"/>
        <w:rPr>
          <w:rFonts w:ascii="Arial" w:hAnsi="Arial" w:cs="Arial"/>
          <w:sz w:val="26"/>
          <w:szCs w:val="26"/>
        </w:rPr>
      </w:pPr>
      <w:r w:rsidRPr="007D2133">
        <w:rPr>
          <w:rFonts w:ascii="Arial" w:hAnsi="Arial" w:cs="Arial"/>
          <w:sz w:val="26"/>
          <w:szCs w:val="26"/>
        </w:rPr>
        <w:t xml:space="preserve">           Por unanimidad de votos, lo resolvieron y firmaron los Magistrados </w:t>
      </w:r>
      <w:r w:rsidR="005D2CFA">
        <w:rPr>
          <w:rFonts w:ascii="Arial" w:hAnsi="Arial" w:cs="Arial"/>
          <w:sz w:val="26"/>
          <w:szCs w:val="26"/>
        </w:rPr>
        <w:t>I</w:t>
      </w:r>
      <w:r w:rsidRPr="007D2133">
        <w:rPr>
          <w:rFonts w:ascii="Arial" w:hAnsi="Arial" w:cs="Arial"/>
          <w:sz w:val="26"/>
          <w:szCs w:val="26"/>
        </w:rPr>
        <w:t xml:space="preserve">ntegrantes de la Sala Superior, Manuel Velasco Alcántara </w:t>
      </w:r>
      <w:r w:rsidRPr="007D2133">
        <w:rPr>
          <w:rFonts w:ascii="Arial" w:hAnsi="Arial" w:cs="Arial"/>
          <w:b/>
          <w:bCs/>
          <w:sz w:val="26"/>
          <w:szCs w:val="26"/>
        </w:rPr>
        <w:t>(ponente)</w:t>
      </w:r>
      <w:r w:rsidRPr="007D2133">
        <w:rPr>
          <w:rFonts w:ascii="Arial" w:hAnsi="Arial" w:cs="Arial"/>
          <w:sz w:val="26"/>
          <w:szCs w:val="26"/>
        </w:rPr>
        <w:t>, Raúl Palomares Palomino, Gloria del Carmen Camacho Meza, Paulo José Luis Tapia Palacios</w:t>
      </w:r>
      <w:r w:rsidR="00C0433C">
        <w:rPr>
          <w:rFonts w:ascii="Arial" w:hAnsi="Arial" w:cs="Arial"/>
          <w:sz w:val="26"/>
          <w:szCs w:val="26"/>
        </w:rPr>
        <w:t xml:space="preserve"> y Elías López Cortés</w:t>
      </w:r>
      <w:r w:rsidRPr="007D2133">
        <w:rPr>
          <w:rFonts w:ascii="Arial" w:hAnsi="Arial" w:cs="Arial"/>
          <w:sz w:val="26"/>
          <w:szCs w:val="26"/>
        </w:rPr>
        <w:t>, quienes actúan con el Licenciado Juan Edy García Coronado, Secretari</w:t>
      </w:r>
      <w:r w:rsidR="001A1A39">
        <w:rPr>
          <w:rFonts w:ascii="Arial" w:hAnsi="Arial" w:cs="Arial"/>
          <w:sz w:val="26"/>
          <w:szCs w:val="26"/>
        </w:rPr>
        <w:t xml:space="preserve">o </w:t>
      </w:r>
      <w:r w:rsidRPr="007D2133">
        <w:rPr>
          <w:rFonts w:ascii="Arial" w:hAnsi="Arial" w:cs="Arial"/>
          <w:sz w:val="26"/>
          <w:szCs w:val="26"/>
        </w:rPr>
        <w:t xml:space="preserve">General de Acuerdos de este Tribunal, que autoriza y da fe. - - - - - - - - - </w:t>
      </w:r>
      <w:r w:rsidR="005D2CFA">
        <w:rPr>
          <w:rFonts w:ascii="Arial" w:hAnsi="Arial" w:cs="Arial"/>
          <w:sz w:val="26"/>
          <w:szCs w:val="26"/>
        </w:rPr>
        <w:t xml:space="preserve">- - - - - - </w:t>
      </w:r>
    </w:p>
    <w:p w14:paraId="74D3F947" w14:textId="6E831682" w:rsidR="00E21107" w:rsidRDefault="00E21107" w:rsidP="00C82F81">
      <w:pPr>
        <w:tabs>
          <w:tab w:val="left" w:pos="1680"/>
          <w:tab w:val="center" w:pos="4277"/>
        </w:tabs>
        <w:spacing w:line="360" w:lineRule="auto"/>
        <w:jc w:val="center"/>
        <w:rPr>
          <w:rFonts w:ascii="Arial" w:eastAsiaTheme="minorHAnsi" w:hAnsi="Arial" w:cs="Arial"/>
          <w:sz w:val="26"/>
          <w:szCs w:val="26"/>
          <w:lang w:val="es-ES" w:eastAsia="en-US"/>
        </w:rPr>
      </w:pPr>
    </w:p>
    <w:p w14:paraId="3603741C" w14:textId="3D8A2BD1" w:rsidR="005D2CFA" w:rsidRDefault="005D2CFA" w:rsidP="00C82F81">
      <w:pPr>
        <w:tabs>
          <w:tab w:val="left" w:pos="1680"/>
          <w:tab w:val="center" w:pos="4277"/>
        </w:tabs>
        <w:spacing w:line="360" w:lineRule="auto"/>
        <w:jc w:val="center"/>
        <w:rPr>
          <w:rFonts w:ascii="Arial" w:eastAsiaTheme="minorHAnsi" w:hAnsi="Arial" w:cs="Arial"/>
          <w:sz w:val="26"/>
          <w:szCs w:val="26"/>
          <w:lang w:val="es-ES" w:eastAsia="en-US"/>
        </w:rPr>
      </w:pPr>
      <w:bookmarkStart w:id="0" w:name="_GoBack"/>
      <w:bookmarkEnd w:id="0"/>
    </w:p>
    <w:p w14:paraId="78BFBC00" w14:textId="0F20EA8C" w:rsidR="005D2CFA" w:rsidRPr="00D068AB" w:rsidRDefault="00D068AB" w:rsidP="00D068AB">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RECURSO DE REVISIÓN 0462/2021.</w:t>
      </w:r>
      <w:r>
        <w:rPr>
          <w:rFonts w:ascii="Arial" w:eastAsiaTheme="minorHAnsi" w:hAnsi="Arial" w:cs="Arial"/>
          <w:sz w:val="26"/>
          <w:szCs w:val="26"/>
          <w:lang w:val="es-ES" w:eastAsia="en-US"/>
        </w:rPr>
        <w:tab/>
      </w:r>
    </w:p>
    <w:p w14:paraId="7D29F860" w14:textId="77777777" w:rsidR="005D2CFA" w:rsidRDefault="005D2CFA" w:rsidP="00C82F81">
      <w:pPr>
        <w:tabs>
          <w:tab w:val="left" w:pos="1680"/>
          <w:tab w:val="center" w:pos="4277"/>
        </w:tabs>
        <w:spacing w:line="360" w:lineRule="auto"/>
        <w:jc w:val="center"/>
        <w:rPr>
          <w:rFonts w:ascii="Arial" w:eastAsiaTheme="minorHAnsi" w:hAnsi="Arial" w:cs="Arial"/>
          <w:sz w:val="26"/>
          <w:szCs w:val="26"/>
          <w:lang w:val="es-ES" w:eastAsia="en-US"/>
        </w:rPr>
      </w:pPr>
    </w:p>
    <w:p w14:paraId="7CD2B50D" w14:textId="77777777" w:rsidR="00D068AB" w:rsidRDefault="00D068AB" w:rsidP="00C82F81">
      <w:pPr>
        <w:tabs>
          <w:tab w:val="left" w:pos="1680"/>
          <w:tab w:val="center" w:pos="4277"/>
        </w:tabs>
        <w:spacing w:line="360" w:lineRule="auto"/>
        <w:jc w:val="center"/>
        <w:rPr>
          <w:rFonts w:ascii="Arial" w:eastAsiaTheme="minorHAnsi" w:hAnsi="Arial" w:cs="Arial"/>
          <w:sz w:val="26"/>
          <w:szCs w:val="26"/>
          <w:lang w:val="es-ES" w:eastAsia="en-US"/>
        </w:rPr>
      </w:pPr>
    </w:p>
    <w:p w14:paraId="3A78BCC4" w14:textId="77777777" w:rsidR="00D068AB" w:rsidRDefault="00D068AB" w:rsidP="00C82F81">
      <w:pPr>
        <w:tabs>
          <w:tab w:val="left" w:pos="1680"/>
          <w:tab w:val="center" w:pos="4277"/>
        </w:tabs>
        <w:spacing w:line="360" w:lineRule="auto"/>
        <w:jc w:val="center"/>
        <w:rPr>
          <w:rFonts w:ascii="Arial" w:eastAsiaTheme="minorHAnsi" w:hAnsi="Arial" w:cs="Arial"/>
          <w:sz w:val="26"/>
          <w:szCs w:val="26"/>
          <w:lang w:val="es-ES" w:eastAsia="en-US"/>
        </w:rPr>
      </w:pPr>
    </w:p>
    <w:p w14:paraId="4E4A8CCC" w14:textId="77777777" w:rsidR="005D2CFA" w:rsidRDefault="005D2CFA" w:rsidP="005D2CFA">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D084FF8" w14:textId="77777777" w:rsidR="005D2CFA" w:rsidRDefault="005D2CFA" w:rsidP="005D2CFA">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62F0991C" w14:textId="77777777" w:rsidR="005D2CFA" w:rsidRDefault="005D2CFA" w:rsidP="005D2CFA">
      <w:pPr>
        <w:spacing w:after="0" w:line="240" w:lineRule="auto"/>
        <w:ind w:firstLine="567"/>
        <w:jc w:val="center"/>
        <w:rPr>
          <w:rFonts w:ascii="Arial" w:eastAsiaTheme="minorHAnsi" w:hAnsi="Arial" w:cs="Arial"/>
          <w:sz w:val="26"/>
          <w:szCs w:val="26"/>
          <w:lang w:eastAsia="en-US"/>
        </w:rPr>
      </w:pPr>
    </w:p>
    <w:p w14:paraId="432EB3F8" w14:textId="77777777" w:rsidR="005D2CFA" w:rsidRDefault="005D2CFA" w:rsidP="005D2CFA">
      <w:pPr>
        <w:spacing w:after="0" w:line="240" w:lineRule="auto"/>
        <w:ind w:firstLine="567"/>
        <w:jc w:val="center"/>
        <w:rPr>
          <w:rFonts w:ascii="Arial" w:eastAsiaTheme="minorHAnsi" w:hAnsi="Arial" w:cs="Arial"/>
          <w:sz w:val="26"/>
          <w:szCs w:val="26"/>
          <w:lang w:eastAsia="en-US"/>
        </w:rPr>
      </w:pPr>
    </w:p>
    <w:p w14:paraId="71BB010A" w14:textId="44EE8D96" w:rsidR="005D2CFA" w:rsidRDefault="005D2CFA" w:rsidP="005D2CFA">
      <w:pPr>
        <w:tabs>
          <w:tab w:val="left" w:pos="1680"/>
          <w:tab w:val="center" w:pos="4277"/>
        </w:tabs>
        <w:spacing w:after="120" w:line="360" w:lineRule="auto"/>
        <w:jc w:val="center"/>
        <w:rPr>
          <w:rFonts w:ascii="Arial" w:eastAsiaTheme="minorHAnsi" w:hAnsi="Arial" w:cs="Arial"/>
          <w:b/>
          <w:sz w:val="16"/>
          <w:szCs w:val="16"/>
          <w:lang w:eastAsia="en-US"/>
        </w:rPr>
      </w:pPr>
    </w:p>
    <w:p w14:paraId="2E23D592" w14:textId="77777777" w:rsidR="005D2CFA" w:rsidRDefault="005D2CFA" w:rsidP="005D2CFA">
      <w:pPr>
        <w:spacing w:after="0" w:line="240" w:lineRule="auto"/>
        <w:ind w:firstLine="567"/>
        <w:jc w:val="center"/>
        <w:rPr>
          <w:rFonts w:ascii="Arial" w:eastAsiaTheme="minorHAnsi" w:hAnsi="Arial" w:cs="Arial"/>
          <w:sz w:val="26"/>
          <w:szCs w:val="26"/>
          <w:lang w:eastAsia="en-US"/>
        </w:rPr>
      </w:pPr>
    </w:p>
    <w:p w14:paraId="2FC4FC1C" w14:textId="77777777" w:rsidR="005D2CFA" w:rsidRDefault="005D2CFA" w:rsidP="005D2CFA">
      <w:pPr>
        <w:spacing w:after="0" w:line="240" w:lineRule="auto"/>
        <w:ind w:firstLine="567"/>
        <w:jc w:val="center"/>
        <w:rPr>
          <w:rFonts w:ascii="Arial" w:eastAsiaTheme="minorHAnsi" w:hAnsi="Arial" w:cs="Arial"/>
          <w:sz w:val="26"/>
          <w:szCs w:val="26"/>
          <w:lang w:eastAsia="en-US"/>
        </w:rPr>
      </w:pPr>
    </w:p>
    <w:p w14:paraId="6A6C2BE4" w14:textId="145CC86C" w:rsidR="005D2CFA" w:rsidRDefault="005D2CFA" w:rsidP="005D2CFA">
      <w:pPr>
        <w:spacing w:after="0" w:line="240" w:lineRule="auto"/>
        <w:ind w:firstLine="567"/>
        <w:jc w:val="center"/>
        <w:rPr>
          <w:rFonts w:ascii="Arial" w:eastAsiaTheme="minorHAnsi" w:hAnsi="Arial" w:cs="Arial"/>
          <w:sz w:val="26"/>
          <w:szCs w:val="26"/>
          <w:lang w:eastAsia="en-US"/>
        </w:rPr>
      </w:pPr>
    </w:p>
    <w:p w14:paraId="4681A41C" w14:textId="77777777" w:rsidR="005D2CFA" w:rsidRDefault="005D2CFA" w:rsidP="005D2CFA">
      <w:pPr>
        <w:spacing w:after="0" w:line="240" w:lineRule="auto"/>
        <w:ind w:firstLine="567"/>
        <w:jc w:val="center"/>
        <w:rPr>
          <w:rFonts w:ascii="Arial" w:eastAsiaTheme="minorHAnsi" w:hAnsi="Arial" w:cs="Arial"/>
          <w:sz w:val="26"/>
          <w:szCs w:val="26"/>
          <w:lang w:eastAsia="en-US"/>
        </w:rPr>
      </w:pPr>
    </w:p>
    <w:p w14:paraId="52DCB905" w14:textId="77777777" w:rsidR="005D2CFA" w:rsidRDefault="005D2CFA" w:rsidP="005D2CFA">
      <w:pPr>
        <w:spacing w:after="0" w:line="240" w:lineRule="auto"/>
        <w:ind w:firstLine="567"/>
        <w:jc w:val="center"/>
        <w:rPr>
          <w:rFonts w:ascii="Arial" w:eastAsiaTheme="minorHAnsi" w:hAnsi="Arial" w:cs="Arial"/>
          <w:sz w:val="26"/>
          <w:szCs w:val="26"/>
          <w:lang w:eastAsia="en-US"/>
        </w:rPr>
      </w:pPr>
    </w:p>
    <w:p w14:paraId="78B2E3EF" w14:textId="77777777" w:rsidR="005D2CFA" w:rsidRDefault="005D2CFA" w:rsidP="005D2CFA">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6A404FE0" w14:textId="77777777" w:rsidR="005D2CFA" w:rsidRDefault="005D2CFA" w:rsidP="005D2CFA">
      <w:pPr>
        <w:spacing w:after="120"/>
        <w:jc w:val="center"/>
        <w:rPr>
          <w:rFonts w:ascii="Arial" w:eastAsiaTheme="minorHAnsi" w:hAnsi="Arial" w:cs="Arial"/>
          <w:sz w:val="26"/>
          <w:szCs w:val="26"/>
          <w:lang w:eastAsia="en-US"/>
        </w:rPr>
      </w:pPr>
    </w:p>
    <w:p w14:paraId="40453E36" w14:textId="77777777" w:rsidR="005D2CFA" w:rsidRDefault="005D2CFA" w:rsidP="005D2CFA">
      <w:pPr>
        <w:spacing w:after="120"/>
        <w:jc w:val="center"/>
        <w:rPr>
          <w:rFonts w:ascii="Arial" w:eastAsiaTheme="minorHAnsi" w:hAnsi="Arial" w:cs="Arial"/>
          <w:sz w:val="26"/>
          <w:szCs w:val="26"/>
          <w:lang w:eastAsia="en-US"/>
        </w:rPr>
      </w:pPr>
    </w:p>
    <w:p w14:paraId="3B70756F" w14:textId="77777777" w:rsidR="005D2CFA" w:rsidRDefault="005D2CFA" w:rsidP="005D2CFA">
      <w:pPr>
        <w:spacing w:after="120"/>
        <w:jc w:val="center"/>
        <w:rPr>
          <w:rFonts w:ascii="Arial" w:eastAsiaTheme="minorHAnsi" w:hAnsi="Arial" w:cs="Arial"/>
          <w:sz w:val="26"/>
          <w:szCs w:val="26"/>
          <w:lang w:eastAsia="en-US"/>
        </w:rPr>
      </w:pPr>
    </w:p>
    <w:p w14:paraId="6455F8AA" w14:textId="4E8142DB" w:rsidR="005D2CFA" w:rsidRDefault="005D2CFA" w:rsidP="005D2CFA">
      <w:pPr>
        <w:spacing w:after="120"/>
        <w:jc w:val="center"/>
        <w:rPr>
          <w:rFonts w:ascii="Arial" w:eastAsiaTheme="minorHAnsi" w:hAnsi="Arial" w:cs="Arial"/>
          <w:sz w:val="26"/>
          <w:szCs w:val="26"/>
          <w:lang w:eastAsia="en-US"/>
        </w:rPr>
      </w:pPr>
    </w:p>
    <w:p w14:paraId="4FEEB9DA" w14:textId="77777777" w:rsidR="005D2CFA" w:rsidRDefault="005D2CFA" w:rsidP="005D2CFA">
      <w:pPr>
        <w:spacing w:after="120"/>
        <w:jc w:val="center"/>
        <w:rPr>
          <w:rFonts w:ascii="Arial" w:eastAsiaTheme="minorHAnsi" w:hAnsi="Arial" w:cs="Arial"/>
          <w:sz w:val="26"/>
          <w:szCs w:val="26"/>
          <w:lang w:eastAsia="en-US"/>
        </w:rPr>
      </w:pPr>
    </w:p>
    <w:p w14:paraId="51318DB0" w14:textId="77777777" w:rsidR="005D2CFA" w:rsidRDefault="005D2CFA" w:rsidP="005D2CFA">
      <w:pPr>
        <w:spacing w:after="120"/>
        <w:jc w:val="center"/>
        <w:rPr>
          <w:rFonts w:ascii="Arial" w:eastAsiaTheme="minorHAnsi" w:hAnsi="Arial" w:cs="Arial"/>
          <w:sz w:val="26"/>
          <w:szCs w:val="26"/>
          <w:lang w:eastAsia="en-US"/>
        </w:rPr>
      </w:pPr>
    </w:p>
    <w:p w14:paraId="75158368" w14:textId="77777777" w:rsidR="005D2CFA" w:rsidRDefault="005D2CFA" w:rsidP="005D2CFA">
      <w:pPr>
        <w:spacing w:after="120"/>
        <w:jc w:val="center"/>
        <w:rPr>
          <w:rFonts w:ascii="Arial" w:eastAsiaTheme="minorHAnsi" w:hAnsi="Arial" w:cs="Arial"/>
          <w:sz w:val="26"/>
          <w:szCs w:val="26"/>
          <w:lang w:eastAsia="en-US"/>
        </w:rPr>
      </w:pPr>
    </w:p>
    <w:p w14:paraId="555F3141"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3FF169D9"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798E8FF7" w14:textId="061CE4B7" w:rsidR="005D2CFA" w:rsidRDefault="005D2CFA" w:rsidP="00D068AB">
      <w:pPr>
        <w:tabs>
          <w:tab w:val="left" w:pos="1680"/>
          <w:tab w:val="center" w:pos="4277"/>
        </w:tabs>
        <w:spacing w:after="120" w:line="360" w:lineRule="auto"/>
        <w:rPr>
          <w:rFonts w:ascii="Arial" w:eastAsiaTheme="minorHAnsi" w:hAnsi="Arial" w:cs="Arial"/>
          <w:sz w:val="26"/>
          <w:szCs w:val="26"/>
          <w:lang w:eastAsia="en-US"/>
        </w:rPr>
      </w:pPr>
    </w:p>
    <w:p w14:paraId="1D7EE593" w14:textId="2839E882"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50998E3B" w14:textId="2DF24075"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419F85DF" w14:textId="1FDF8CC9"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5E28CD84"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6D35F5A8"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A1E22D8" w14:textId="1162900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0D3C2826"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012B9935"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00A1267A"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414DCDD8"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60DEAD4C"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59AB1553"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135DED64"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1568DFCF"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735ED0CD" w14:textId="77777777" w:rsidR="005D2CFA" w:rsidRDefault="005D2CFA" w:rsidP="005D2CFA">
      <w:pPr>
        <w:tabs>
          <w:tab w:val="left" w:pos="1680"/>
          <w:tab w:val="center" w:pos="4277"/>
        </w:tabs>
        <w:spacing w:after="120" w:line="360" w:lineRule="auto"/>
        <w:rPr>
          <w:rFonts w:ascii="Arial" w:eastAsiaTheme="minorHAnsi" w:hAnsi="Arial" w:cs="Arial"/>
          <w:sz w:val="26"/>
          <w:szCs w:val="26"/>
          <w:lang w:eastAsia="en-US"/>
        </w:rPr>
      </w:pPr>
    </w:p>
    <w:p w14:paraId="177D490D" w14:textId="5E611A44"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4E399053" w14:textId="77777777" w:rsidR="005D2CFA" w:rsidRDefault="005D2CFA" w:rsidP="005D2CFA">
      <w:pPr>
        <w:tabs>
          <w:tab w:val="left" w:pos="1680"/>
          <w:tab w:val="center" w:pos="4277"/>
        </w:tabs>
        <w:spacing w:after="120" w:line="360" w:lineRule="auto"/>
        <w:jc w:val="center"/>
        <w:rPr>
          <w:rFonts w:ascii="Arial" w:eastAsiaTheme="minorHAnsi" w:hAnsi="Arial" w:cs="Arial"/>
          <w:sz w:val="26"/>
          <w:szCs w:val="26"/>
          <w:lang w:eastAsia="en-US"/>
        </w:rPr>
      </w:pPr>
    </w:p>
    <w:p w14:paraId="3C6845E0" w14:textId="77777777" w:rsidR="005D2CFA" w:rsidRDefault="005D2CFA" w:rsidP="005D2CFA">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74D672A" w14:textId="77777777" w:rsidR="005D2CFA" w:rsidRDefault="005D2CFA" w:rsidP="005D2CFA">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7EB1B32" w14:textId="31420F1D" w:rsidR="00C82F81" w:rsidRPr="007D2133" w:rsidRDefault="00C82F81" w:rsidP="005D2CFA">
      <w:pPr>
        <w:tabs>
          <w:tab w:val="left" w:pos="1680"/>
          <w:tab w:val="center" w:pos="4277"/>
        </w:tabs>
        <w:spacing w:line="360" w:lineRule="auto"/>
        <w:jc w:val="center"/>
        <w:rPr>
          <w:rFonts w:ascii="Arial" w:eastAsiaTheme="minorHAnsi" w:hAnsi="Arial" w:cs="Arial"/>
          <w:sz w:val="26"/>
          <w:szCs w:val="26"/>
          <w:lang w:val="es-ES" w:eastAsia="en-US"/>
        </w:rPr>
      </w:pPr>
    </w:p>
    <w:sectPr w:rsidR="00C82F81" w:rsidRPr="007D213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09147" w14:textId="77777777" w:rsidR="00FF74FC" w:rsidRDefault="00FF74FC">
      <w:pPr>
        <w:spacing w:after="0" w:line="240" w:lineRule="auto"/>
      </w:pPr>
      <w:r>
        <w:separator/>
      </w:r>
    </w:p>
  </w:endnote>
  <w:endnote w:type="continuationSeparator" w:id="0">
    <w:p w14:paraId="32EBA60D" w14:textId="77777777" w:rsidR="00FF74FC" w:rsidRDefault="00FF7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F379AB" w:rsidRDefault="00F379AB">
    <w:pPr>
      <w:pStyle w:val="Piedepgina"/>
      <w:jc w:val="center"/>
    </w:pPr>
  </w:p>
  <w:p w14:paraId="195FF414" w14:textId="77777777" w:rsidR="00F379AB" w:rsidRDefault="00F379A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B7C8E" w14:textId="77777777" w:rsidR="00FF74FC" w:rsidRDefault="00FF74FC">
      <w:pPr>
        <w:spacing w:after="0" w:line="240" w:lineRule="auto"/>
      </w:pPr>
      <w:r>
        <w:separator/>
      </w:r>
    </w:p>
  </w:footnote>
  <w:footnote w:type="continuationSeparator" w:id="0">
    <w:p w14:paraId="0B3EF98C" w14:textId="77777777" w:rsidR="00FF74FC" w:rsidRDefault="00FF74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F379AB" w:rsidRDefault="00D068A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F379AB">
          <w:fldChar w:fldCharType="begin"/>
        </w:r>
        <w:r w:rsidR="00F379AB">
          <w:instrText>PAGE   \* MERGEFORMAT</w:instrText>
        </w:r>
        <w:r w:rsidR="00F379AB">
          <w:fldChar w:fldCharType="separate"/>
        </w:r>
        <w:r w:rsidRPr="00D068AB">
          <w:rPr>
            <w:noProof/>
            <w:lang w:val="es-ES"/>
          </w:rPr>
          <w:t>10</w:t>
        </w:r>
        <w:r w:rsidR="00F379AB">
          <w:fldChar w:fldCharType="end"/>
        </w:r>
      </w:p>
    </w:sdtContent>
  </w:sdt>
  <w:p w14:paraId="0E68208C" w14:textId="77777777" w:rsidR="00F379AB" w:rsidRDefault="00F379A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F379AB" w:rsidRDefault="00D068A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379AB">
          <w:fldChar w:fldCharType="begin"/>
        </w:r>
        <w:r w:rsidR="00F379AB">
          <w:instrText>PAGE   \* MERGEFORMAT</w:instrText>
        </w:r>
        <w:r w:rsidR="00F379AB">
          <w:fldChar w:fldCharType="separate"/>
        </w:r>
        <w:r w:rsidRPr="00D068AB">
          <w:rPr>
            <w:noProof/>
            <w:lang w:val="es-ES"/>
          </w:rPr>
          <w:t>9</w:t>
        </w:r>
        <w:r w:rsidR="00F379AB">
          <w:fldChar w:fldCharType="end"/>
        </w:r>
      </w:sdtContent>
    </w:sdt>
  </w:p>
  <w:p w14:paraId="51E22156" w14:textId="0B9801D2" w:rsidR="00F379AB" w:rsidRDefault="00D068A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4DCED62" wp14:editId="21CE8A2F">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A8B9A59" w14:textId="77777777" w:rsidR="00D068AB" w:rsidRDefault="00D068AB" w:rsidP="00D068A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DCED6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A8B9A59" w14:textId="77777777" w:rsidR="00D068AB" w:rsidRDefault="00D068AB" w:rsidP="00D068A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F379AB"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F379AB" w:rsidRDefault="00D068A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A1808"/>
    <w:multiLevelType w:val="hybridMultilevel"/>
    <w:tmpl w:val="B03C8F22"/>
    <w:lvl w:ilvl="0" w:tplc="3DE02DE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7781240"/>
    <w:multiLevelType w:val="hybridMultilevel"/>
    <w:tmpl w:val="E97CE21E"/>
    <w:lvl w:ilvl="0" w:tplc="D99007BA">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55B6663"/>
    <w:multiLevelType w:val="hybridMultilevel"/>
    <w:tmpl w:val="E6365460"/>
    <w:lvl w:ilvl="0" w:tplc="8B76A6A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DD34A81"/>
    <w:multiLevelType w:val="hybridMultilevel"/>
    <w:tmpl w:val="5CF82512"/>
    <w:lvl w:ilvl="0" w:tplc="606EDEC2">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1"/>
  </w:num>
  <w:num w:numId="4">
    <w:abstractNumId w:val="11"/>
  </w:num>
  <w:num w:numId="5">
    <w:abstractNumId w:val="14"/>
  </w:num>
  <w:num w:numId="6">
    <w:abstractNumId w:val="7"/>
  </w:num>
  <w:num w:numId="7">
    <w:abstractNumId w:val="6"/>
  </w:num>
  <w:num w:numId="8">
    <w:abstractNumId w:val="2"/>
  </w:num>
  <w:num w:numId="9">
    <w:abstractNumId w:val="5"/>
  </w:num>
  <w:num w:numId="10">
    <w:abstractNumId w:val="9"/>
  </w:num>
  <w:num w:numId="11">
    <w:abstractNumId w:val="13"/>
  </w:num>
  <w:num w:numId="12">
    <w:abstractNumId w:val="8"/>
  </w:num>
  <w:num w:numId="13">
    <w:abstractNumId w:val="4"/>
  </w:num>
  <w:num w:numId="14">
    <w:abstractNumId w:val="0"/>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46E3"/>
    <w:rsid w:val="000251E2"/>
    <w:rsid w:val="00025BEB"/>
    <w:rsid w:val="000262A2"/>
    <w:rsid w:val="000264DD"/>
    <w:rsid w:val="00026C11"/>
    <w:rsid w:val="00027064"/>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0CC"/>
    <w:rsid w:val="00040C69"/>
    <w:rsid w:val="000419E9"/>
    <w:rsid w:val="00041EAA"/>
    <w:rsid w:val="00042473"/>
    <w:rsid w:val="00043077"/>
    <w:rsid w:val="000434A9"/>
    <w:rsid w:val="0004386F"/>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53A"/>
    <w:rsid w:val="00055F66"/>
    <w:rsid w:val="000562FB"/>
    <w:rsid w:val="000565B2"/>
    <w:rsid w:val="00056FA4"/>
    <w:rsid w:val="00060DBB"/>
    <w:rsid w:val="00061268"/>
    <w:rsid w:val="00061610"/>
    <w:rsid w:val="000616B5"/>
    <w:rsid w:val="00061C4C"/>
    <w:rsid w:val="0006202A"/>
    <w:rsid w:val="000620CD"/>
    <w:rsid w:val="00062802"/>
    <w:rsid w:val="00062BE3"/>
    <w:rsid w:val="000643D9"/>
    <w:rsid w:val="00064906"/>
    <w:rsid w:val="00064FD9"/>
    <w:rsid w:val="00066F15"/>
    <w:rsid w:val="00067B5A"/>
    <w:rsid w:val="00070777"/>
    <w:rsid w:val="00070AA4"/>
    <w:rsid w:val="00071C6F"/>
    <w:rsid w:val="00071E8C"/>
    <w:rsid w:val="00071F15"/>
    <w:rsid w:val="000728B9"/>
    <w:rsid w:val="0007314A"/>
    <w:rsid w:val="000737BF"/>
    <w:rsid w:val="00074A23"/>
    <w:rsid w:val="00074C62"/>
    <w:rsid w:val="000755A5"/>
    <w:rsid w:val="000756DE"/>
    <w:rsid w:val="00076647"/>
    <w:rsid w:val="00076CEA"/>
    <w:rsid w:val="00076D1C"/>
    <w:rsid w:val="00077661"/>
    <w:rsid w:val="00077DFD"/>
    <w:rsid w:val="00080A85"/>
    <w:rsid w:val="0008122B"/>
    <w:rsid w:val="0008141F"/>
    <w:rsid w:val="0008257C"/>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875"/>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DE0"/>
    <w:rsid w:val="000B1F22"/>
    <w:rsid w:val="000B2866"/>
    <w:rsid w:val="000B31B3"/>
    <w:rsid w:val="000B35EE"/>
    <w:rsid w:val="000B36E5"/>
    <w:rsid w:val="000B39C8"/>
    <w:rsid w:val="000B39F5"/>
    <w:rsid w:val="000B3B3B"/>
    <w:rsid w:val="000B40FA"/>
    <w:rsid w:val="000B4DC7"/>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1ED7"/>
    <w:rsid w:val="000C238B"/>
    <w:rsid w:val="000C2764"/>
    <w:rsid w:val="000C3DC9"/>
    <w:rsid w:val="000C4139"/>
    <w:rsid w:val="000C47B5"/>
    <w:rsid w:val="000C5414"/>
    <w:rsid w:val="000C5BCE"/>
    <w:rsid w:val="000C5DC1"/>
    <w:rsid w:val="000C6670"/>
    <w:rsid w:val="000D01D9"/>
    <w:rsid w:val="000D04BF"/>
    <w:rsid w:val="000D153E"/>
    <w:rsid w:val="000D170C"/>
    <w:rsid w:val="000D1CF0"/>
    <w:rsid w:val="000D2A1F"/>
    <w:rsid w:val="000D3E85"/>
    <w:rsid w:val="000D3EA9"/>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888"/>
    <w:rsid w:val="000F2949"/>
    <w:rsid w:val="000F2B5A"/>
    <w:rsid w:val="000F2D32"/>
    <w:rsid w:val="000F4347"/>
    <w:rsid w:val="000F50E8"/>
    <w:rsid w:val="000F54B0"/>
    <w:rsid w:val="000F58B2"/>
    <w:rsid w:val="000F5C41"/>
    <w:rsid w:val="000F5DE0"/>
    <w:rsid w:val="000F62C3"/>
    <w:rsid w:val="000F75AF"/>
    <w:rsid w:val="000F77DE"/>
    <w:rsid w:val="001002F5"/>
    <w:rsid w:val="00100570"/>
    <w:rsid w:val="001019F2"/>
    <w:rsid w:val="001025E5"/>
    <w:rsid w:val="00102AFD"/>
    <w:rsid w:val="001041F6"/>
    <w:rsid w:val="0010644A"/>
    <w:rsid w:val="0010719A"/>
    <w:rsid w:val="001108F3"/>
    <w:rsid w:val="00110B09"/>
    <w:rsid w:val="00110C32"/>
    <w:rsid w:val="0011111E"/>
    <w:rsid w:val="00111BFC"/>
    <w:rsid w:val="00111CBB"/>
    <w:rsid w:val="0011210D"/>
    <w:rsid w:val="00112765"/>
    <w:rsid w:val="00112BF7"/>
    <w:rsid w:val="00113361"/>
    <w:rsid w:val="00113A46"/>
    <w:rsid w:val="00114AC5"/>
    <w:rsid w:val="001162E0"/>
    <w:rsid w:val="00116579"/>
    <w:rsid w:val="0011697E"/>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43A"/>
    <w:rsid w:val="001314E2"/>
    <w:rsid w:val="00131911"/>
    <w:rsid w:val="00131CDF"/>
    <w:rsid w:val="00132391"/>
    <w:rsid w:val="00133BFB"/>
    <w:rsid w:val="00133DCC"/>
    <w:rsid w:val="00134A68"/>
    <w:rsid w:val="00134AB5"/>
    <w:rsid w:val="00135132"/>
    <w:rsid w:val="0013555E"/>
    <w:rsid w:val="00135851"/>
    <w:rsid w:val="00135B0C"/>
    <w:rsid w:val="00136749"/>
    <w:rsid w:val="00136897"/>
    <w:rsid w:val="0013695E"/>
    <w:rsid w:val="00136FB8"/>
    <w:rsid w:val="00137C86"/>
    <w:rsid w:val="0014043C"/>
    <w:rsid w:val="00140D7E"/>
    <w:rsid w:val="00142417"/>
    <w:rsid w:val="00143682"/>
    <w:rsid w:val="00143CB5"/>
    <w:rsid w:val="001441D3"/>
    <w:rsid w:val="001450E2"/>
    <w:rsid w:val="00145528"/>
    <w:rsid w:val="001460CF"/>
    <w:rsid w:val="00146509"/>
    <w:rsid w:val="0014671A"/>
    <w:rsid w:val="00146991"/>
    <w:rsid w:val="00147CCC"/>
    <w:rsid w:val="00147FEF"/>
    <w:rsid w:val="0015050B"/>
    <w:rsid w:val="00151A88"/>
    <w:rsid w:val="00151FE0"/>
    <w:rsid w:val="00152DA5"/>
    <w:rsid w:val="00152F51"/>
    <w:rsid w:val="00152FB6"/>
    <w:rsid w:val="0015351E"/>
    <w:rsid w:val="00153BE4"/>
    <w:rsid w:val="001542BE"/>
    <w:rsid w:val="00154490"/>
    <w:rsid w:val="00156250"/>
    <w:rsid w:val="00156F05"/>
    <w:rsid w:val="00156F22"/>
    <w:rsid w:val="001570E1"/>
    <w:rsid w:val="0015742A"/>
    <w:rsid w:val="00160A8C"/>
    <w:rsid w:val="00161661"/>
    <w:rsid w:val="0016171F"/>
    <w:rsid w:val="00161F6F"/>
    <w:rsid w:val="00162053"/>
    <w:rsid w:val="001621EF"/>
    <w:rsid w:val="00162EAE"/>
    <w:rsid w:val="00163EBF"/>
    <w:rsid w:val="00164BCE"/>
    <w:rsid w:val="001659D0"/>
    <w:rsid w:val="0016604B"/>
    <w:rsid w:val="0016700D"/>
    <w:rsid w:val="00167ADD"/>
    <w:rsid w:val="001702C6"/>
    <w:rsid w:val="0017035C"/>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0E6A"/>
    <w:rsid w:val="001918C6"/>
    <w:rsid w:val="00192287"/>
    <w:rsid w:val="001922EA"/>
    <w:rsid w:val="001923AE"/>
    <w:rsid w:val="001924B2"/>
    <w:rsid w:val="00193379"/>
    <w:rsid w:val="0019471E"/>
    <w:rsid w:val="00194B7B"/>
    <w:rsid w:val="001951A3"/>
    <w:rsid w:val="00195583"/>
    <w:rsid w:val="001A0745"/>
    <w:rsid w:val="001A1302"/>
    <w:rsid w:val="001A16CC"/>
    <w:rsid w:val="001A18E1"/>
    <w:rsid w:val="001A1A39"/>
    <w:rsid w:val="001A2144"/>
    <w:rsid w:val="001A2510"/>
    <w:rsid w:val="001A2FDB"/>
    <w:rsid w:val="001A3755"/>
    <w:rsid w:val="001A4127"/>
    <w:rsid w:val="001A4E1C"/>
    <w:rsid w:val="001A554E"/>
    <w:rsid w:val="001A6EBE"/>
    <w:rsid w:val="001A6F68"/>
    <w:rsid w:val="001A77FB"/>
    <w:rsid w:val="001B009D"/>
    <w:rsid w:val="001B13DB"/>
    <w:rsid w:val="001B17F6"/>
    <w:rsid w:val="001B1A3B"/>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353"/>
    <w:rsid w:val="001D31A6"/>
    <w:rsid w:val="001D3660"/>
    <w:rsid w:val="001D3B81"/>
    <w:rsid w:val="001D40CC"/>
    <w:rsid w:val="001D4D61"/>
    <w:rsid w:val="001D4D8C"/>
    <w:rsid w:val="001D5282"/>
    <w:rsid w:val="001D529D"/>
    <w:rsid w:val="001D577C"/>
    <w:rsid w:val="001D694C"/>
    <w:rsid w:val="001D754A"/>
    <w:rsid w:val="001E288A"/>
    <w:rsid w:val="001E2A02"/>
    <w:rsid w:val="001E2B84"/>
    <w:rsid w:val="001E332F"/>
    <w:rsid w:val="001E338B"/>
    <w:rsid w:val="001E3B11"/>
    <w:rsid w:val="001E4C02"/>
    <w:rsid w:val="001E65E8"/>
    <w:rsid w:val="001E6AE5"/>
    <w:rsid w:val="001E7020"/>
    <w:rsid w:val="001E71FD"/>
    <w:rsid w:val="001E77A9"/>
    <w:rsid w:val="001E7BD1"/>
    <w:rsid w:val="001F2154"/>
    <w:rsid w:val="001F287C"/>
    <w:rsid w:val="001F2D73"/>
    <w:rsid w:val="001F46BD"/>
    <w:rsid w:val="001F5050"/>
    <w:rsid w:val="001F625A"/>
    <w:rsid w:val="001F65A9"/>
    <w:rsid w:val="001F6B28"/>
    <w:rsid w:val="001F6C56"/>
    <w:rsid w:val="001F72DF"/>
    <w:rsid w:val="001F77D0"/>
    <w:rsid w:val="002010A9"/>
    <w:rsid w:val="00201769"/>
    <w:rsid w:val="0020247E"/>
    <w:rsid w:val="002025FD"/>
    <w:rsid w:val="00203D47"/>
    <w:rsid w:val="00203FD3"/>
    <w:rsid w:val="00205A55"/>
    <w:rsid w:val="00206222"/>
    <w:rsid w:val="0020674F"/>
    <w:rsid w:val="0020694D"/>
    <w:rsid w:val="00206B99"/>
    <w:rsid w:val="002073D2"/>
    <w:rsid w:val="002078AA"/>
    <w:rsid w:val="00210261"/>
    <w:rsid w:val="0021074F"/>
    <w:rsid w:val="002111AC"/>
    <w:rsid w:val="0021188E"/>
    <w:rsid w:val="002129A1"/>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1C8"/>
    <w:rsid w:val="00222A05"/>
    <w:rsid w:val="00222E1E"/>
    <w:rsid w:val="0022341D"/>
    <w:rsid w:val="002235E8"/>
    <w:rsid w:val="0022360E"/>
    <w:rsid w:val="00223A5D"/>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9D7"/>
    <w:rsid w:val="00241BC3"/>
    <w:rsid w:val="00241C7D"/>
    <w:rsid w:val="00241F55"/>
    <w:rsid w:val="00242699"/>
    <w:rsid w:val="002434A0"/>
    <w:rsid w:val="00243566"/>
    <w:rsid w:val="002437EB"/>
    <w:rsid w:val="00243E9B"/>
    <w:rsid w:val="0024401A"/>
    <w:rsid w:val="0024497C"/>
    <w:rsid w:val="002449D8"/>
    <w:rsid w:val="00244A2B"/>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B8B"/>
    <w:rsid w:val="00252528"/>
    <w:rsid w:val="002530F3"/>
    <w:rsid w:val="00253130"/>
    <w:rsid w:val="00253A1C"/>
    <w:rsid w:val="002541B3"/>
    <w:rsid w:val="00254B2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C39"/>
    <w:rsid w:val="00282C81"/>
    <w:rsid w:val="00283B3F"/>
    <w:rsid w:val="002841EE"/>
    <w:rsid w:val="002844AF"/>
    <w:rsid w:val="00284891"/>
    <w:rsid w:val="00285B3A"/>
    <w:rsid w:val="00285C95"/>
    <w:rsid w:val="00286C13"/>
    <w:rsid w:val="00286D80"/>
    <w:rsid w:val="0028712F"/>
    <w:rsid w:val="00287888"/>
    <w:rsid w:val="00291333"/>
    <w:rsid w:val="00291341"/>
    <w:rsid w:val="00291F3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A88"/>
    <w:rsid w:val="002B1C2A"/>
    <w:rsid w:val="002B2706"/>
    <w:rsid w:val="002B3BA3"/>
    <w:rsid w:val="002B4040"/>
    <w:rsid w:val="002B4BC9"/>
    <w:rsid w:val="002B5C09"/>
    <w:rsid w:val="002B5C82"/>
    <w:rsid w:val="002B6893"/>
    <w:rsid w:val="002B6B9D"/>
    <w:rsid w:val="002B6C19"/>
    <w:rsid w:val="002B6D0D"/>
    <w:rsid w:val="002B79C4"/>
    <w:rsid w:val="002C01BF"/>
    <w:rsid w:val="002C06FE"/>
    <w:rsid w:val="002C2259"/>
    <w:rsid w:val="002C3470"/>
    <w:rsid w:val="002C348A"/>
    <w:rsid w:val="002C3E30"/>
    <w:rsid w:val="002C41D3"/>
    <w:rsid w:val="002C4419"/>
    <w:rsid w:val="002C4824"/>
    <w:rsid w:val="002C4EF1"/>
    <w:rsid w:val="002C4F5A"/>
    <w:rsid w:val="002C509D"/>
    <w:rsid w:val="002C5540"/>
    <w:rsid w:val="002C5FEC"/>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8AF"/>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06"/>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FB1"/>
    <w:rsid w:val="00301CB4"/>
    <w:rsid w:val="00302960"/>
    <w:rsid w:val="00302E9E"/>
    <w:rsid w:val="0030330D"/>
    <w:rsid w:val="00304999"/>
    <w:rsid w:val="00304F25"/>
    <w:rsid w:val="003056B2"/>
    <w:rsid w:val="00305D48"/>
    <w:rsid w:val="00306940"/>
    <w:rsid w:val="00307353"/>
    <w:rsid w:val="003079A4"/>
    <w:rsid w:val="00307E06"/>
    <w:rsid w:val="00310733"/>
    <w:rsid w:val="0031096E"/>
    <w:rsid w:val="00311560"/>
    <w:rsid w:val="00311708"/>
    <w:rsid w:val="00311BB1"/>
    <w:rsid w:val="00312470"/>
    <w:rsid w:val="0031285C"/>
    <w:rsid w:val="00313A44"/>
    <w:rsid w:val="00314B2F"/>
    <w:rsid w:val="003150CD"/>
    <w:rsid w:val="003154AB"/>
    <w:rsid w:val="003155CF"/>
    <w:rsid w:val="00315BA3"/>
    <w:rsid w:val="00316707"/>
    <w:rsid w:val="00317B07"/>
    <w:rsid w:val="00317BDE"/>
    <w:rsid w:val="00317DC3"/>
    <w:rsid w:val="0032088F"/>
    <w:rsid w:val="00320BA7"/>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EF2"/>
    <w:rsid w:val="00352CC2"/>
    <w:rsid w:val="00352DE7"/>
    <w:rsid w:val="0035300A"/>
    <w:rsid w:val="0035347E"/>
    <w:rsid w:val="003549F9"/>
    <w:rsid w:val="00355E72"/>
    <w:rsid w:val="0035659D"/>
    <w:rsid w:val="00356D32"/>
    <w:rsid w:val="003611E4"/>
    <w:rsid w:val="0036133D"/>
    <w:rsid w:val="003617D9"/>
    <w:rsid w:val="00361938"/>
    <w:rsid w:val="00362318"/>
    <w:rsid w:val="003625FB"/>
    <w:rsid w:val="003633B9"/>
    <w:rsid w:val="003636DE"/>
    <w:rsid w:val="003646B9"/>
    <w:rsid w:val="003646E5"/>
    <w:rsid w:val="00365239"/>
    <w:rsid w:val="003652C6"/>
    <w:rsid w:val="003654A6"/>
    <w:rsid w:val="003660A9"/>
    <w:rsid w:val="00366829"/>
    <w:rsid w:val="003668C0"/>
    <w:rsid w:val="0036711C"/>
    <w:rsid w:val="00370552"/>
    <w:rsid w:val="00370629"/>
    <w:rsid w:val="003708D3"/>
    <w:rsid w:val="00371249"/>
    <w:rsid w:val="003726E1"/>
    <w:rsid w:val="003732EB"/>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17C5"/>
    <w:rsid w:val="00392B20"/>
    <w:rsid w:val="00393C1B"/>
    <w:rsid w:val="00394516"/>
    <w:rsid w:val="00394C7A"/>
    <w:rsid w:val="00395C53"/>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01"/>
    <w:rsid w:val="003B57C3"/>
    <w:rsid w:val="003B609E"/>
    <w:rsid w:val="003B6C7E"/>
    <w:rsid w:val="003B6CF0"/>
    <w:rsid w:val="003B79F9"/>
    <w:rsid w:val="003C0293"/>
    <w:rsid w:val="003C0DF1"/>
    <w:rsid w:val="003C1936"/>
    <w:rsid w:val="003C1EC6"/>
    <w:rsid w:val="003C268F"/>
    <w:rsid w:val="003C32DC"/>
    <w:rsid w:val="003C32FC"/>
    <w:rsid w:val="003C42AD"/>
    <w:rsid w:val="003C4C9F"/>
    <w:rsid w:val="003C5D9D"/>
    <w:rsid w:val="003C7036"/>
    <w:rsid w:val="003C7781"/>
    <w:rsid w:val="003C7FA5"/>
    <w:rsid w:val="003D0C96"/>
    <w:rsid w:val="003D1CAA"/>
    <w:rsid w:val="003D4395"/>
    <w:rsid w:val="003D4401"/>
    <w:rsid w:val="003D474C"/>
    <w:rsid w:val="003D5398"/>
    <w:rsid w:val="003D5BAD"/>
    <w:rsid w:val="003D5F20"/>
    <w:rsid w:val="003D6E19"/>
    <w:rsid w:val="003D737D"/>
    <w:rsid w:val="003D7E33"/>
    <w:rsid w:val="003E0A8C"/>
    <w:rsid w:val="003E0C30"/>
    <w:rsid w:val="003E0F2A"/>
    <w:rsid w:val="003E175E"/>
    <w:rsid w:val="003E1CD9"/>
    <w:rsid w:val="003E2CF8"/>
    <w:rsid w:val="003E3169"/>
    <w:rsid w:val="003E35FB"/>
    <w:rsid w:val="003E3999"/>
    <w:rsid w:val="003E43BE"/>
    <w:rsid w:val="003E4A4E"/>
    <w:rsid w:val="003E504F"/>
    <w:rsid w:val="003E5231"/>
    <w:rsid w:val="003E5B98"/>
    <w:rsid w:val="003E62FB"/>
    <w:rsid w:val="003E6A41"/>
    <w:rsid w:val="003E77A7"/>
    <w:rsid w:val="003E7801"/>
    <w:rsid w:val="003F0AF5"/>
    <w:rsid w:val="003F14E4"/>
    <w:rsid w:val="003F1FC5"/>
    <w:rsid w:val="003F3E65"/>
    <w:rsid w:val="003F42FC"/>
    <w:rsid w:val="003F446F"/>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012"/>
    <w:rsid w:val="0041065C"/>
    <w:rsid w:val="004113F8"/>
    <w:rsid w:val="00411707"/>
    <w:rsid w:val="0041258E"/>
    <w:rsid w:val="00412C2F"/>
    <w:rsid w:val="0041486D"/>
    <w:rsid w:val="0041540D"/>
    <w:rsid w:val="0041584F"/>
    <w:rsid w:val="00415924"/>
    <w:rsid w:val="004165A7"/>
    <w:rsid w:val="00416F89"/>
    <w:rsid w:val="00417B7B"/>
    <w:rsid w:val="00420DB0"/>
    <w:rsid w:val="004211BE"/>
    <w:rsid w:val="0042205F"/>
    <w:rsid w:val="00423C26"/>
    <w:rsid w:val="00423E2F"/>
    <w:rsid w:val="00423E43"/>
    <w:rsid w:val="00424839"/>
    <w:rsid w:val="00424D35"/>
    <w:rsid w:val="004256FF"/>
    <w:rsid w:val="004258D6"/>
    <w:rsid w:val="004264F9"/>
    <w:rsid w:val="00426777"/>
    <w:rsid w:val="00426A82"/>
    <w:rsid w:val="00427031"/>
    <w:rsid w:val="00427142"/>
    <w:rsid w:val="00427899"/>
    <w:rsid w:val="00427DBB"/>
    <w:rsid w:val="00427FBB"/>
    <w:rsid w:val="00430399"/>
    <w:rsid w:val="00430E42"/>
    <w:rsid w:val="00431525"/>
    <w:rsid w:val="00431691"/>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50A"/>
    <w:rsid w:val="00461FB3"/>
    <w:rsid w:val="0046279F"/>
    <w:rsid w:val="00463325"/>
    <w:rsid w:val="00463D48"/>
    <w:rsid w:val="00464148"/>
    <w:rsid w:val="004647B9"/>
    <w:rsid w:val="00464F06"/>
    <w:rsid w:val="004652D5"/>
    <w:rsid w:val="00465BF5"/>
    <w:rsid w:val="00466042"/>
    <w:rsid w:val="004668E6"/>
    <w:rsid w:val="004673D5"/>
    <w:rsid w:val="00470889"/>
    <w:rsid w:val="0047274B"/>
    <w:rsid w:val="00472B3D"/>
    <w:rsid w:val="00472D90"/>
    <w:rsid w:val="00473EB5"/>
    <w:rsid w:val="00475774"/>
    <w:rsid w:val="0047647A"/>
    <w:rsid w:val="004771E5"/>
    <w:rsid w:val="00477357"/>
    <w:rsid w:val="0047755C"/>
    <w:rsid w:val="00477E07"/>
    <w:rsid w:val="00480A69"/>
    <w:rsid w:val="004813E0"/>
    <w:rsid w:val="004826CB"/>
    <w:rsid w:val="00483B0E"/>
    <w:rsid w:val="00484AE9"/>
    <w:rsid w:val="0048534F"/>
    <w:rsid w:val="00485508"/>
    <w:rsid w:val="0048659E"/>
    <w:rsid w:val="00486775"/>
    <w:rsid w:val="004874A4"/>
    <w:rsid w:val="00491E99"/>
    <w:rsid w:val="004929E7"/>
    <w:rsid w:val="00493141"/>
    <w:rsid w:val="0049318A"/>
    <w:rsid w:val="00493A5B"/>
    <w:rsid w:val="00494F0A"/>
    <w:rsid w:val="00495547"/>
    <w:rsid w:val="004961AD"/>
    <w:rsid w:val="00496339"/>
    <w:rsid w:val="004967A0"/>
    <w:rsid w:val="00496C40"/>
    <w:rsid w:val="00497059"/>
    <w:rsid w:val="00497082"/>
    <w:rsid w:val="00497375"/>
    <w:rsid w:val="004973EC"/>
    <w:rsid w:val="004973FD"/>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B6"/>
    <w:rsid w:val="004B4654"/>
    <w:rsid w:val="004B5500"/>
    <w:rsid w:val="004B5540"/>
    <w:rsid w:val="004B5F62"/>
    <w:rsid w:val="004B6800"/>
    <w:rsid w:val="004B69CB"/>
    <w:rsid w:val="004B6B98"/>
    <w:rsid w:val="004B71FE"/>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60D"/>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55"/>
    <w:rsid w:val="004F4289"/>
    <w:rsid w:val="004F48BF"/>
    <w:rsid w:val="004F49E9"/>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5EE"/>
    <w:rsid w:val="00515B21"/>
    <w:rsid w:val="00515CF2"/>
    <w:rsid w:val="00516DF6"/>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2EEB"/>
    <w:rsid w:val="00533B21"/>
    <w:rsid w:val="00533D34"/>
    <w:rsid w:val="00533EE1"/>
    <w:rsid w:val="00534D29"/>
    <w:rsid w:val="00534D86"/>
    <w:rsid w:val="0053715D"/>
    <w:rsid w:val="00537700"/>
    <w:rsid w:val="00537BB3"/>
    <w:rsid w:val="00537DB4"/>
    <w:rsid w:val="00540317"/>
    <w:rsid w:val="0054049A"/>
    <w:rsid w:val="00540E7B"/>
    <w:rsid w:val="0054184C"/>
    <w:rsid w:val="00541B18"/>
    <w:rsid w:val="00541D68"/>
    <w:rsid w:val="00542646"/>
    <w:rsid w:val="00543994"/>
    <w:rsid w:val="00543C2D"/>
    <w:rsid w:val="00543DE7"/>
    <w:rsid w:val="0054479C"/>
    <w:rsid w:val="00544E43"/>
    <w:rsid w:val="00546E22"/>
    <w:rsid w:val="00547361"/>
    <w:rsid w:val="0054747B"/>
    <w:rsid w:val="00547737"/>
    <w:rsid w:val="00547A16"/>
    <w:rsid w:val="00551154"/>
    <w:rsid w:val="005517AB"/>
    <w:rsid w:val="005522CE"/>
    <w:rsid w:val="005523D2"/>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57FC6"/>
    <w:rsid w:val="00560145"/>
    <w:rsid w:val="0056061C"/>
    <w:rsid w:val="005609AA"/>
    <w:rsid w:val="00561AFE"/>
    <w:rsid w:val="00561B8F"/>
    <w:rsid w:val="0056210B"/>
    <w:rsid w:val="00562D03"/>
    <w:rsid w:val="005632DA"/>
    <w:rsid w:val="00563692"/>
    <w:rsid w:val="00563B9C"/>
    <w:rsid w:val="00564488"/>
    <w:rsid w:val="0056508D"/>
    <w:rsid w:val="00565536"/>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0EC"/>
    <w:rsid w:val="00584BAB"/>
    <w:rsid w:val="00584EFB"/>
    <w:rsid w:val="0058621D"/>
    <w:rsid w:val="00586CAF"/>
    <w:rsid w:val="00586D72"/>
    <w:rsid w:val="00586E4F"/>
    <w:rsid w:val="00587330"/>
    <w:rsid w:val="00587984"/>
    <w:rsid w:val="00587A84"/>
    <w:rsid w:val="00590AF7"/>
    <w:rsid w:val="00592360"/>
    <w:rsid w:val="00593333"/>
    <w:rsid w:val="005934A8"/>
    <w:rsid w:val="005960D3"/>
    <w:rsid w:val="005973A7"/>
    <w:rsid w:val="005979D6"/>
    <w:rsid w:val="005A0825"/>
    <w:rsid w:val="005A09A3"/>
    <w:rsid w:val="005A1FEE"/>
    <w:rsid w:val="005A273F"/>
    <w:rsid w:val="005A3583"/>
    <w:rsid w:val="005A4118"/>
    <w:rsid w:val="005A453F"/>
    <w:rsid w:val="005A493F"/>
    <w:rsid w:val="005A6A9E"/>
    <w:rsid w:val="005A752F"/>
    <w:rsid w:val="005B1BB4"/>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18A"/>
    <w:rsid w:val="005C795A"/>
    <w:rsid w:val="005D0E8F"/>
    <w:rsid w:val="005D2CDE"/>
    <w:rsid w:val="005D2CFA"/>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6F8"/>
    <w:rsid w:val="00602AAE"/>
    <w:rsid w:val="006031E8"/>
    <w:rsid w:val="00603EE5"/>
    <w:rsid w:val="00605582"/>
    <w:rsid w:val="00605720"/>
    <w:rsid w:val="00605C0C"/>
    <w:rsid w:val="00605C57"/>
    <w:rsid w:val="00605C73"/>
    <w:rsid w:val="00606224"/>
    <w:rsid w:val="0060626C"/>
    <w:rsid w:val="006065FF"/>
    <w:rsid w:val="006067BD"/>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13"/>
    <w:rsid w:val="00634EF5"/>
    <w:rsid w:val="00636401"/>
    <w:rsid w:val="00636905"/>
    <w:rsid w:val="00636A93"/>
    <w:rsid w:val="00636EC9"/>
    <w:rsid w:val="0063772A"/>
    <w:rsid w:val="006418C8"/>
    <w:rsid w:val="006427D9"/>
    <w:rsid w:val="00642BAE"/>
    <w:rsid w:val="00642CAD"/>
    <w:rsid w:val="00643498"/>
    <w:rsid w:val="00643D25"/>
    <w:rsid w:val="006448DB"/>
    <w:rsid w:val="00644D3E"/>
    <w:rsid w:val="006452FA"/>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372"/>
    <w:rsid w:val="006546B6"/>
    <w:rsid w:val="006547BB"/>
    <w:rsid w:val="006555CA"/>
    <w:rsid w:val="00655BA3"/>
    <w:rsid w:val="006560E3"/>
    <w:rsid w:val="006564ED"/>
    <w:rsid w:val="00656C6E"/>
    <w:rsid w:val="0066116D"/>
    <w:rsid w:val="006612D9"/>
    <w:rsid w:val="00663119"/>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5A2"/>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B8"/>
    <w:rsid w:val="006A19D5"/>
    <w:rsid w:val="006A28FD"/>
    <w:rsid w:val="006A326C"/>
    <w:rsid w:val="006A52BF"/>
    <w:rsid w:val="006A557F"/>
    <w:rsid w:val="006A5821"/>
    <w:rsid w:val="006A5A6C"/>
    <w:rsid w:val="006A6099"/>
    <w:rsid w:val="006A61E5"/>
    <w:rsid w:val="006A654C"/>
    <w:rsid w:val="006A6B9A"/>
    <w:rsid w:val="006A7061"/>
    <w:rsid w:val="006B0A9C"/>
    <w:rsid w:val="006B0B08"/>
    <w:rsid w:val="006B10A8"/>
    <w:rsid w:val="006B10B6"/>
    <w:rsid w:val="006B1B86"/>
    <w:rsid w:val="006B208B"/>
    <w:rsid w:val="006B2EE7"/>
    <w:rsid w:val="006B3C7A"/>
    <w:rsid w:val="006B4001"/>
    <w:rsid w:val="006B454E"/>
    <w:rsid w:val="006B462B"/>
    <w:rsid w:val="006B46C9"/>
    <w:rsid w:val="006B4FD6"/>
    <w:rsid w:val="006B511B"/>
    <w:rsid w:val="006B5508"/>
    <w:rsid w:val="006B6919"/>
    <w:rsid w:val="006B7267"/>
    <w:rsid w:val="006C1371"/>
    <w:rsid w:val="006C1F9E"/>
    <w:rsid w:val="006C2F23"/>
    <w:rsid w:val="006C408C"/>
    <w:rsid w:val="006C44AE"/>
    <w:rsid w:val="006C456A"/>
    <w:rsid w:val="006C4690"/>
    <w:rsid w:val="006C564D"/>
    <w:rsid w:val="006C671F"/>
    <w:rsid w:val="006C6F3C"/>
    <w:rsid w:val="006C6FB7"/>
    <w:rsid w:val="006D007C"/>
    <w:rsid w:val="006D06F5"/>
    <w:rsid w:val="006D120B"/>
    <w:rsid w:val="006D159E"/>
    <w:rsid w:val="006D1DB2"/>
    <w:rsid w:val="006D3FF8"/>
    <w:rsid w:val="006D428F"/>
    <w:rsid w:val="006D54E1"/>
    <w:rsid w:val="006D5A11"/>
    <w:rsid w:val="006D668F"/>
    <w:rsid w:val="006E0406"/>
    <w:rsid w:val="006E09D6"/>
    <w:rsid w:val="006E1617"/>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9F7"/>
    <w:rsid w:val="006F6131"/>
    <w:rsid w:val="006F650D"/>
    <w:rsid w:val="006F68C0"/>
    <w:rsid w:val="006F68E5"/>
    <w:rsid w:val="00700013"/>
    <w:rsid w:val="007007EB"/>
    <w:rsid w:val="00700A55"/>
    <w:rsid w:val="00701329"/>
    <w:rsid w:val="007017F0"/>
    <w:rsid w:val="00702862"/>
    <w:rsid w:val="007037DD"/>
    <w:rsid w:val="00703AE1"/>
    <w:rsid w:val="00703B2F"/>
    <w:rsid w:val="0070428E"/>
    <w:rsid w:val="007042B5"/>
    <w:rsid w:val="00704634"/>
    <w:rsid w:val="00704E7F"/>
    <w:rsid w:val="00705309"/>
    <w:rsid w:val="00705D6A"/>
    <w:rsid w:val="00705E84"/>
    <w:rsid w:val="00705EFE"/>
    <w:rsid w:val="00706144"/>
    <w:rsid w:val="007061EE"/>
    <w:rsid w:val="007063E6"/>
    <w:rsid w:val="00707031"/>
    <w:rsid w:val="00707245"/>
    <w:rsid w:val="0070762B"/>
    <w:rsid w:val="00707707"/>
    <w:rsid w:val="00710B09"/>
    <w:rsid w:val="00711EB9"/>
    <w:rsid w:val="00712861"/>
    <w:rsid w:val="0071287D"/>
    <w:rsid w:val="00712D50"/>
    <w:rsid w:val="00713419"/>
    <w:rsid w:val="007135A0"/>
    <w:rsid w:val="00713957"/>
    <w:rsid w:val="00714402"/>
    <w:rsid w:val="00714488"/>
    <w:rsid w:val="00715319"/>
    <w:rsid w:val="00715EBB"/>
    <w:rsid w:val="0071682B"/>
    <w:rsid w:val="00717898"/>
    <w:rsid w:val="00720207"/>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376C"/>
    <w:rsid w:val="00733E9B"/>
    <w:rsid w:val="00734300"/>
    <w:rsid w:val="0073439D"/>
    <w:rsid w:val="00734795"/>
    <w:rsid w:val="00734E8E"/>
    <w:rsid w:val="00736943"/>
    <w:rsid w:val="00736E3E"/>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2A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10C"/>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C4F"/>
    <w:rsid w:val="007A367E"/>
    <w:rsid w:val="007A3AF8"/>
    <w:rsid w:val="007A43A0"/>
    <w:rsid w:val="007A47F2"/>
    <w:rsid w:val="007A490A"/>
    <w:rsid w:val="007A4919"/>
    <w:rsid w:val="007A530A"/>
    <w:rsid w:val="007A5DC3"/>
    <w:rsid w:val="007A65AF"/>
    <w:rsid w:val="007A719C"/>
    <w:rsid w:val="007A726F"/>
    <w:rsid w:val="007A757A"/>
    <w:rsid w:val="007B08F4"/>
    <w:rsid w:val="007B0A40"/>
    <w:rsid w:val="007B14D2"/>
    <w:rsid w:val="007B34BC"/>
    <w:rsid w:val="007B4415"/>
    <w:rsid w:val="007B452B"/>
    <w:rsid w:val="007B4ACB"/>
    <w:rsid w:val="007B4EEE"/>
    <w:rsid w:val="007B5EBB"/>
    <w:rsid w:val="007B65D2"/>
    <w:rsid w:val="007B6AD5"/>
    <w:rsid w:val="007C04A2"/>
    <w:rsid w:val="007C1271"/>
    <w:rsid w:val="007C313D"/>
    <w:rsid w:val="007C3B2E"/>
    <w:rsid w:val="007C405D"/>
    <w:rsid w:val="007C4D7C"/>
    <w:rsid w:val="007C5545"/>
    <w:rsid w:val="007C587A"/>
    <w:rsid w:val="007C6111"/>
    <w:rsid w:val="007C79F5"/>
    <w:rsid w:val="007C7A6B"/>
    <w:rsid w:val="007D0A0F"/>
    <w:rsid w:val="007D131D"/>
    <w:rsid w:val="007D1719"/>
    <w:rsid w:val="007D2133"/>
    <w:rsid w:val="007D303D"/>
    <w:rsid w:val="007D371F"/>
    <w:rsid w:val="007D3939"/>
    <w:rsid w:val="007D3BCC"/>
    <w:rsid w:val="007D3CE0"/>
    <w:rsid w:val="007D404D"/>
    <w:rsid w:val="007D4474"/>
    <w:rsid w:val="007D45CB"/>
    <w:rsid w:val="007D4645"/>
    <w:rsid w:val="007D5692"/>
    <w:rsid w:val="007D6461"/>
    <w:rsid w:val="007D669A"/>
    <w:rsid w:val="007D67FA"/>
    <w:rsid w:val="007D7816"/>
    <w:rsid w:val="007E3210"/>
    <w:rsid w:val="007E32FC"/>
    <w:rsid w:val="007E4266"/>
    <w:rsid w:val="007E4EA5"/>
    <w:rsid w:val="007E5A5C"/>
    <w:rsid w:val="007E7A9C"/>
    <w:rsid w:val="007F0BA9"/>
    <w:rsid w:val="007F0F35"/>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6DD"/>
    <w:rsid w:val="00803D63"/>
    <w:rsid w:val="008059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05B"/>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19CB"/>
    <w:rsid w:val="0083287B"/>
    <w:rsid w:val="00832A83"/>
    <w:rsid w:val="00832D2B"/>
    <w:rsid w:val="00833114"/>
    <w:rsid w:val="008357D2"/>
    <w:rsid w:val="008370CF"/>
    <w:rsid w:val="00837CEF"/>
    <w:rsid w:val="00840C89"/>
    <w:rsid w:val="0084114B"/>
    <w:rsid w:val="00842756"/>
    <w:rsid w:val="008430AD"/>
    <w:rsid w:val="008433AE"/>
    <w:rsid w:val="00843432"/>
    <w:rsid w:val="0084355F"/>
    <w:rsid w:val="00843D17"/>
    <w:rsid w:val="0084703C"/>
    <w:rsid w:val="008473A8"/>
    <w:rsid w:val="00847424"/>
    <w:rsid w:val="00847B25"/>
    <w:rsid w:val="00850259"/>
    <w:rsid w:val="008504C8"/>
    <w:rsid w:val="00851000"/>
    <w:rsid w:val="00851789"/>
    <w:rsid w:val="0085249A"/>
    <w:rsid w:val="00854886"/>
    <w:rsid w:val="00854F22"/>
    <w:rsid w:val="00855029"/>
    <w:rsid w:val="0085507C"/>
    <w:rsid w:val="0085563E"/>
    <w:rsid w:val="00855965"/>
    <w:rsid w:val="008601DA"/>
    <w:rsid w:val="00860510"/>
    <w:rsid w:val="00861653"/>
    <w:rsid w:val="00861978"/>
    <w:rsid w:val="008625C0"/>
    <w:rsid w:val="00863418"/>
    <w:rsid w:val="008634C5"/>
    <w:rsid w:val="00863FB1"/>
    <w:rsid w:val="00864A30"/>
    <w:rsid w:val="00864F72"/>
    <w:rsid w:val="00865B42"/>
    <w:rsid w:val="00866DED"/>
    <w:rsid w:val="00866DF0"/>
    <w:rsid w:val="008672F5"/>
    <w:rsid w:val="00870822"/>
    <w:rsid w:val="0087089C"/>
    <w:rsid w:val="008708E2"/>
    <w:rsid w:val="008709B3"/>
    <w:rsid w:val="00870DB7"/>
    <w:rsid w:val="0087135B"/>
    <w:rsid w:val="00871CF9"/>
    <w:rsid w:val="008721B7"/>
    <w:rsid w:val="008728A9"/>
    <w:rsid w:val="00872D12"/>
    <w:rsid w:val="00873D60"/>
    <w:rsid w:val="008740F9"/>
    <w:rsid w:val="00875679"/>
    <w:rsid w:val="008757CB"/>
    <w:rsid w:val="0087759D"/>
    <w:rsid w:val="00877C2B"/>
    <w:rsid w:val="00877D5E"/>
    <w:rsid w:val="00880169"/>
    <w:rsid w:val="00880384"/>
    <w:rsid w:val="008804B7"/>
    <w:rsid w:val="0088052E"/>
    <w:rsid w:val="00880860"/>
    <w:rsid w:val="00880A15"/>
    <w:rsid w:val="00880AD0"/>
    <w:rsid w:val="00881102"/>
    <w:rsid w:val="008813E5"/>
    <w:rsid w:val="0088142E"/>
    <w:rsid w:val="0088144E"/>
    <w:rsid w:val="00881527"/>
    <w:rsid w:val="00881759"/>
    <w:rsid w:val="00883058"/>
    <w:rsid w:val="0088369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3A2"/>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3F66"/>
    <w:rsid w:val="008C4305"/>
    <w:rsid w:val="008C4332"/>
    <w:rsid w:val="008C4DA7"/>
    <w:rsid w:val="008C4DD6"/>
    <w:rsid w:val="008C4FF7"/>
    <w:rsid w:val="008C508D"/>
    <w:rsid w:val="008C50D4"/>
    <w:rsid w:val="008C5220"/>
    <w:rsid w:val="008C65C9"/>
    <w:rsid w:val="008C7C52"/>
    <w:rsid w:val="008D0183"/>
    <w:rsid w:val="008D1236"/>
    <w:rsid w:val="008D1EDE"/>
    <w:rsid w:val="008D227A"/>
    <w:rsid w:val="008D32AD"/>
    <w:rsid w:val="008D3620"/>
    <w:rsid w:val="008D458F"/>
    <w:rsid w:val="008D52D9"/>
    <w:rsid w:val="008D6772"/>
    <w:rsid w:val="008D7AC6"/>
    <w:rsid w:val="008D7AD1"/>
    <w:rsid w:val="008E02E6"/>
    <w:rsid w:val="008E08A8"/>
    <w:rsid w:val="008E0B04"/>
    <w:rsid w:val="008E15B5"/>
    <w:rsid w:val="008E2B42"/>
    <w:rsid w:val="008E350D"/>
    <w:rsid w:val="008E3AC5"/>
    <w:rsid w:val="008E3B36"/>
    <w:rsid w:val="008E3CB4"/>
    <w:rsid w:val="008E3CEC"/>
    <w:rsid w:val="008E480F"/>
    <w:rsid w:val="008E4A67"/>
    <w:rsid w:val="008E77EB"/>
    <w:rsid w:val="008F0205"/>
    <w:rsid w:val="008F0DCC"/>
    <w:rsid w:val="008F1EB2"/>
    <w:rsid w:val="008F23F8"/>
    <w:rsid w:val="008F284E"/>
    <w:rsid w:val="008F2BAD"/>
    <w:rsid w:val="008F2BE2"/>
    <w:rsid w:val="008F2CAE"/>
    <w:rsid w:val="008F37D5"/>
    <w:rsid w:val="008F39F2"/>
    <w:rsid w:val="008F45EB"/>
    <w:rsid w:val="008F4E1B"/>
    <w:rsid w:val="008F52F4"/>
    <w:rsid w:val="008F5FF1"/>
    <w:rsid w:val="008F733A"/>
    <w:rsid w:val="008F743B"/>
    <w:rsid w:val="009011B4"/>
    <w:rsid w:val="0090168E"/>
    <w:rsid w:val="00901AE0"/>
    <w:rsid w:val="009020E0"/>
    <w:rsid w:val="00902FFF"/>
    <w:rsid w:val="00903765"/>
    <w:rsid w:val="00903E8E"/>
    <w:rsid w:val="00904997"/>
    <w:rsid w:val="00904D5B"/>
    <w:rsid w:val="0090526A"/>
    <w:rsid w:val="00905D8A"/>
    <w:rsid w:val="009064F4"/>
    <w:rsid w:val="0090696C"/>
    <w:rsid w:val="00907C15"/>
    <w:rsid w:val="0091170B"/>
    <w:rsid w:val="00911817"/>
    <w:rsid w:val="00912A3E"/>
    <w:rsid w:val="00912F68"/>
    <w:rsid w:val="009133A9"/>
    <w:rsid w:val="00913418"/>
    <w:rsid w:val="00913765"/>
    <w:rsid w:val="009137F9"/>
    <w:rsid w:val="00913C08"/>
    <w:rsid w:val="00915036"/>
    <w:rsid w:val="00915282"/>
    <w:rsid w:val="0091567A"/>
    <w:rsid w:val="00917ED4"/>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C2F"/>
    <w:rsid w:val="00934282"/>
    <w:rsid w:val="00934719"/>
    <w:rsid w:val="00934B4F"/>
    <w:rsid w:val="00935C0C"/>
    <w:rsid w:val="00936747"/>
    <w:rsid w:val="00937A05"/>
    <w:rsid w:val="00937A28"/>
    <w:rsid w:val="00937B14"/>
    <w:rsid w:val="00937D05"/>
    <w:rsid w:val="009401E4"/>
    <w:rsid w:val="0094044A"/>
    <w:rsid w:val="0094049C"/>
    <w:rsid w:val="00940C5D"/>
    <w:rsid w:val="0094153C"/>
    <w:rsid w:val="00941603"/>
    <w:rsid w:val="00941839"/>
    <w:rsid w:val="00942CAB"/>
    <w:rsid w:val="00942E61"/>
    <w:rsid w:val="00945295"/>
    <w:rsid w:val="0094562D"/>
    <w:rsid w:val="009466F3"/>
    <w:rsid w:val="00946B4B"/>
    <w:rsid w:val="00946E68"/>
    <w:rsid w:val="00946FB0"/>
    <w:rsid w:val="009473C5"/>
    <w:rsid w:val="009475F5"/>
    <w:rsid w:val="00947760"/>
    <w:rsid w:val="00947785"/>
    <w:rsid w:val="00950019"/>
    <w:rsid w:val="009504AD"/>
    <w:rsid w:val="009513AF"/>
    <w:rsid w:val="009514A7"/>
    <w:rsid w:val="00952111"/>
    <w:rsid w:val="009524CE"/>
    <w:rsid w:val="009525E5"/>
    <w:rsid w:val="00952A1B"/>
    <w:rsid w:val="00952E94"/>
    <w:rsid w:val="00953386"/>
    <w:rsid w:val="00954F7D"/>
    <w:rsid w:val="00955095"/>
    <w:rsid w:val="009557F9"/>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680"/>
    <w:rsid w:val="009700BB"/>
    <w:rsid w:val="00971321"/>
    <w:rsid w:val="009720CD"/>
    <w:rsid w:val="00972B61"/>
    <w:rsid w:val="009730F2"/>
    <w:rsid w:val="00974250"/>
    <w:rsid w:val="00974F50"/>
    <w:rsid w:val="009756EC"/>
    <w:rsid w:val="009757EE"/>
    <w:rsid w:val="0097584C"/>
    <w:rsid w:val="00976BA7"/>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28F"/>
    <w:rsid w:val="00991C8F"/>
    <w:rsid w:val="00991E94"/>
    <w:rsid w:val="00992712"/>
    <w:rsid w:val="0099379B"/>
    <w:rsid w:val="00993E7E"/>
    <w:rsid w:val="0099690A"/>
    <w:rsid w:val="00997136"/>
    <w:rsid w:val="009971A7"/>
    <w:rsid w:val="009A33BE"/>
    <w:rsid w:val="009A3F67"/>
    <w:rsid w:val="009B0C38"/>
    <w:rsid w:val="009B1120"/>
    <w:rsid w:val="009B127F"/>
    <w:rsid w:val="009B140B"/>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D62"/>
    <w:rsid w:val="009C0461"/>
    <w:rsid w:val="009C15FE"/>
    <w:rsid w:val="009C16E5"/>
    <w:rsid w:val="009C24D1"/>
    <w:rsid w:val="009C3841"/>
    <w:rsid w:val="009C607A"/>
    <w:rsid w:val="009C6929"/>
    <w:rsid w:val="009C6A52"/>
    <w:rsid w:val="009C72C2"/>
    <w:rsid w:val="009D183B"/>
    <w:rsid w:val="009D20BD"/>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7A7"/>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1AC8"/>
    <w:rsid w:val="00A022D9"/>
    <w:rsid w:val="00A023EE"/>
    <w:rsid w:val="00A0357E"/>
    <w:rsid w:val="00A03CB6"/>
    <w:rsid w:val="00A03CB7"/>
    <w:rsid w:val="00A04078"/>
    <w:rsid w:val="00A040CB"/>
    <w:rsid w:val="00A041FD"/>
    <w:rsid w:val="00A0428C"/>
    <w:rsid w:val="00A04377"/>
    <w:rsid w:val="00A045DB"/>
    <w:rsid w:val="00A04848"/>
    <w:rsid w:val="00A04926"/>
    <w:rsid w:val="00A04D47"/>
    <w:rsid w:val="00A0592A"/>
    <w:rsid w:val="00A06A2F"/>
    <w:rsid w:val="00A06D1F"/>
    <w:rsid w:val="00A06F57"/>
    <w:rsid w:val="00A06FB2"/>
    <w:rsid w:val="00A073BA"/>
    <w:rsid w:val="00A07A56"/>
    <w:rsid w:val="00A07C2D"/>
    <w:rsid w:val="00A1031F"/>
    <w:rsid w:val="00A10D42"/>
    <w:rsid w:val="00A11419"/>
    <w:rsid w:val="00A1186C"/>
    <w:rsid w:val="00A12661"/>
    <w:rsid w:val="00A12D31"/>
    <w:rsid w:val="00A12F8B"/>
    <w:rsid w:val="00A13C0F"/>
    <w:rsid w:val="00A164A6"/>
    <w:rsid w:val="00A165FE"/>
    <w:rsid w:val="00A167B0"/>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6ABA"/>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E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672AE"/>
    <w:rsid w:val="00A703F5"/>
    <w:rsid w:val="00A71119"/>
    <w:rsid w:val="00A713D1"/>
    <w:rsid w:val="00A72E3D"/>
    <w:rsid w:val="00A72EE1"/>
    <w:rsid w:val="00A73B00"/>
    <w:rsid w:val="00A73BBF"/>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841"/>
    <w:rsid w:val="00A927EF"/>
    <w:rsid w:val="00A92C9A"/>
    <w:rsid w:val="00A9370A"/>
    <w:rsid w:val="00A93F1B"/>
    <w:rsid w:val="00A94E2C"/>
    <w:rsid w:val="00A94F2D"/>
    <w:rsid w:val="00A95DD5"/>
    <w:rsid w:val="00A96022"/>
    <w:rsid w:val="00A964FB"/>
    <w:rsid w:val="00A966F4"/>
    <w:rsid w:val="00A96770"/>
    <w:rsid w:val="00A97932"/>
    <w:rsid w:val="00AA0197"/>
    <w:rsid w:val="00AA029D"/>
    <w:rsid w:val="00AA0CED"/>
    <w:rsid w:val="00AA11A2"/>
    <w:rsid w:val="00AA1489"/>
    <w:rsid w:val="00AA20E4"/>
    <w:rsid w:val="00AA221F"/>
    <w:rsid w:val="00AA2C0B"/>
    <w:rsid w:val="00AA2CA6"/>
    <w:rsid w:val="00AA3786"/>
    <w:rsid w:val="00AA38B9"/>
    <w:rsid w:val="00AA438D"/>
    <w:rsid w:val="00AA55E0"/>
    <w:rsid w:val="00AA5BC8"/>
    <w:rsid w:val="00AA61B7"/>
    <w:rsid w:val="00AA689B"/>
    <w:rsid w:val="00AA696C"/>
    <w:rsid w:val="00AA7023"/>
    <w:rsid w:val="00AA7A1A"/>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7AF4"/>
    <w:rsid w:val="00AD100C"/>
    <w:rsid w:val="00AD2540"/>
    <w:rsid w:val="00AD38ED"/>
    <w:rsid w:val="00AD39D6"/>
    <w:rsid w:val="00AD3C97"/>
    <w:rsid w:val="00AD4282"/>
    <w:rsid w:val="00AD4A4A"/>
    <w:rsid w:val="00AD5A42"/>
    <w:rsid w:val="00AD7073"/>
    <w:rsid w:val="00AD77FD"/>
    <w:rsid w:val="00AD79E2"/>
    <w:rsid w:val="00AD7A40"/>
    <w:rsid w:val="00AD7FFB"/>
    <w:rsid w:val="00AE1C5C"/>
    <w:rsid w:val="00AE271F"/>
    <w:rsid w:val="00AE3DF5"/>
    <w:rsid w:val="00AE4CFF"/>
    <w:rsid w:val="00AE4E46"/>
    <w:rsid w:val="00AE52B0"/>
    <w:rsid w:val="00AE54F8"/>
    <w:rsid w:val="00AE5C7F"/>
    <w:rsid w:val="00AF0637"/>
    <w:rsid w:val="00AF1629"/>
    <w:rsid w:val="00AF2172"/>
    <w:rsid w:val="00AF3B8C"/>
    <w:rsid w:val="00AF3E80"/>
    <w:rsid w:val="00AF4CB2"/>
    <w:rsid w:val="00AF4E0C"/>
    <w:rsid w:val="00AF4E17"/>
    <w:rsid w:val="00AF5B71"/>
    <w:rsid w:val="00AF67FD"/>
    <w:rsid w:val="00AF6C6B"/>
    <w:rsid w:val="00AF6E07"/>
    <w:rsid w:val="00AF72B1"/>
    <w:rsid w:val="00AF7FAF"/>
    <w:rsid w:val="00B0093A"/>
    <w:rsid w:val="00B00AAC"/>
    <w:rsid w:val="00B02152"/>
    <w:rsid w:val="00B0229E"/>
    <w:rsid w:val="00B02BB1"/>
    <w:rsid w:val="00B02D69"/>
    <w:rsid w:val="00B02FB6"/>
    <w:rsid w:val="00B03ACC"/>
    <w:rsid w:val="00B04123"/>
    <w:rsid w:val="00B049EC"/>
    <w:rsid w:val="00B04B6B"/>
    <w:rsid w:val="00B04DD6"/>
    <w:rsid w:val="00B050D6"/>
    <w:rsid w:val="00B0768C"/>
    <w:rsid w:val="00B10264"/>
    <w:rsid w:val="00B106BB"/>
    <w:rsid w:val="00B1212B"/>
    <w:rsid w:val="00B125A0"/>
    <w:rsid w:val="00B1263B"/>
    <w:rsid w:val="00B13177"/>
    <w:rsid w:val="00B13E8D"/>
    <w:rsid w:val="00B15852"/>
    <w:rsid w:val="00B161B4"/>
    <w:rsid w:val="00B16301"/>
    <w:rsid w:val="00B16887"/>
    <w:rsid w:val="00B176C8"/>
    <w:rsid w:val="00B20379"/>
    <w:rsid w:val="00B2074B"/>
    <w:rsid w:val="00B211BD"/>
    <w:rsid w:val="00B211E3"/>
    <w:rsid w:val="00B21544"/>
    <w:rsid w:val="00B21AB1"/>
    <w:rsid w:val="00B228FA"/>
    <w:rsid w:val="00B22ECD"/>
    <w:rsid w:val="00B2361C"/>
    <w:rsid w:val="00B23719"/>
    <w:rsid w:val="00B2459C"/>
    <w:rsid w:val="00B25FA6"/>
    <w:rsid w:val="00B26009"/>
    <w:rsid w:val="00B26215"/>
    <w:rsid w:val="00B26918"/>
    <w:rsid w:val="00B26C44"/>
    <w:rsid w:val="00B27702"/>
    <w:rsid w:val="00B27901"/>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757F"/>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81F"/>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58E"/>
    <w:rsid w:val="00BA00B1"/>
    <w:rsid w:val="00BA03EE"/>
    <w:rsid w:val="00BA1836"/>
    <w:rsid w:val="00BA18D4"/>
    <w:rsid w:val="00BA224E"/>
    <w:rsid w:val="00BA258A"/>
    <w:rsid w:val="00BA2A3D"/>
    <w:rsid w:val="00BA31EF"/>
    <w:rsid w:val="00BA3973"/>
    <w:rsid w:val="00BA42E0"/>
    <w:rsid w:val="00BA5246"/>
    <w:rsid w:val="00BA5998"/>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569D"/>
    <w:rsid w:val="00BB6A68"/>
    <w:rsid w:val="00BB739C"/>
    <w:rsid w:val="00BB7905"/>
    <w:rsid w:val="00BC0108"/>
    <w:rsid w:val="00BC088B"/>
    <w:rsid w:val="00BC1305"/>
    <w:rsid w:val="00BC2587"/>
    <w:rsid w:val="00BC342A"/>
    <w:rsid w:val="00BC40F2"/>
    <w:rsid w:val="00BC45CE"/>
    <w:rsid w:val="00BC4F3D"/>
    <w:rsid w:val="00BC6469"/>
    <w:rsid w:val="00BC64CE"/>
    <w:rsid w:val="00BC68AD"/>
    <w:rsid w:val="00BC7112"/>
    <w:rsid w:val="00BD0C00"/>
    <w:rsid w:val="00BD0DA0"/>
    <w:rsid w:val="00BD1F9D"/>
    <w:rsid w:val="00BD3693"/>
    <w:rsid w:val="00BD438C"/>
    <w:rsid w:val="00BD492B"/>
    <w:rsid w:val="00BD4F9A"/>
    <w:rsid w:val="00BD5E19"/>
    <w:rsid w:val="00BD609A"/>
    <w:rsid w:val="00BD6D4E"/>
    <w:rsid w:val="00BD71F1"/>
    <w:rsid w:val="00BD74CF"/>
    <w:rsid w:val="00BE0C9E"/>
    <w:rsid w:val="00BE1BBE"/>
    <w:rsid w:val="00BE2C9F"/>
    <w:rsid w:val="00BE36D5"/>
    <w:rsid w:val="00BE4FDC"/>
    <w:rsid w:val="00BE6056"/>
    <w:rsid w:val="00BE6217"/>
    <w:rsid w:val="00BE7C10"/>
    <w:rsid w:val="00BF01B9"/>
    <w:rsid w:val="00BF0D7C"/>
    <w:rsid w:val="00BF1235"/>
    <w:rsid w:val="00BF12D6"/>
    <w:rsid w:val="00BF1F39"/>
    <w:rsid w:val="00BF2AD9"/>
    <w:rsid w:val="00BF2FDA"/>
    <w:rsid w:val="00BF3FFD"/>
    <w:rsid w:val="00BF5877"/>
    <w:rsid w:val="00BF68A1"/>
    <w:rsid w:val="00C006E1"/>
    <w:rsid w:val="00C013E9"/>
    <w:rsid w:val="00C01536"/>
    <w:rsid w:val="00C0185C"/>
    <w:rsid w:val="00C01AE5"/>
    <w:rsid w:val="00C0372A"/>
    <w:rsid w:val="00C0433C"/>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189"/>
    <w:rsid w:val="00C14A18"/>
    <w:rsid w:val="00C14B07"/>
    <w:rsid w:val="00C14B91"/>
    <w:rsid w:val="00C14BF5"/>
    <w:rsid w:val="00C14D5F"/>
    <w:rsid w:val="00C15877"/>
    <w:rsid w:val="00C15ADE"/>
    <w:rsid w:val="00C15B7A"/>
    <w:rsid w:val="00C165C5"/>
    <w:rsid w:val="00C16FBB"/>
    <w:rsid w:val="00C17BA5"/>
    <w:rsid w:val="00C2004B"/>
    <w:rsid w:val="00C206F6"/>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5CC0"/>
    <w:rsid w:val="00C370A0"/>
    <w:rsid w:val="00C4017A"/>
    <w:rsid w:val="00C404FF"/>
    <w:rsid w:val="00C40770"/>
    <w:rsid w:val="00C41148"/>
    <w:rsid w:val="00C41357"/>
    <w:rsid w:val="00C41799"/>
    <w:rsid w:val="00C4244D"/>
    <w:rsid w:val="00C42C2F"/>
    <w:rsid w:val="00C434BE"/>
    <w:rsid w:val="00C43B8F"/>
    <w:rsid w:val="00C45268"/>
    <w:rsid w:val="00C455CD"/>
    <w:rsid w:val="00C455D8"/>
    <w:rsid w:val="00C45BBF"/>
    <w:rsid w:val="00C46708"/>
    <w:rsid w:val="00C474EF"/>
    <w:rsid w:val="00C500D2"/>
    <w:rsid w:val="00C50922"/>
    <w:rsid w:val="00C51440"/>
    <w:rsid w:val="00C52089"/>
    <w:rsid w:val="00C53E87"/>
    <w:rsid w:val="00C55CDE"/>
    <w:rsid w:val="00C56885"/>
    <w:rsid w:val="00C56AE3"/>
    <w:rsid w:val="00C56D20"/>
    <w:rsid w:val="00C57069"/>
    <w:rsid w:val="00C573A5"/>
    <w:rsid w:val="00C57680"/>
    <w:rsid w:val="00C57997"/>
    <w:rsid w:val="00C6058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3F8D"/>
    <w:rsid w:val="00C74D41"/>
    <w:rsid w:val="00C756FD"/>
    <w:rsid w:val="00C75775"/>
    <w:rsid w:val="00C75C57"/>
    <w:rsid w:val="00C76261"/>
    <w:rsid w:val="00C76E4E"/>
    <w:rsid w:val="00C80261"/>
    <w:rsid w:val="00C808D5"/>
    <w:rsid w:val="00C810FC"/>
    <w:rsid w:val="00C82F81"/>
    <w:rsid w:val="00C83651"/>
    <w:rsid w:val="00C83754"/>
    <w:rsid w:val="00C83F2B"/>
    <w:rsid w:val="00C84998"/>
    <w:rsid w:val="00C855DB"/>
    <w:rsid w:val="00C864FD"/>
    <w:rsid w:val="00C9111E"/>
    <w:rsid w:val="00C91446"/>
    <w:rsid w:val="00C919AB"/>
    <w:rsid w:val="00C92681"/>
    <w:rsid w:val="00C946BD"/>
    <w:rsid w:val="00C94994"/>
    <w:rsid w:val="00C94C04"/>
    <w:rsid w:val="00C951C1"/>
    <w:rsid w:val="00C95FEF"/>
    <w:rsid w:val="00C9600B"/>
    <w:rsid w:val="00C962CF"/>
    <w:rsid w:val="00C96BE2"/>
    <w:rsid w:val="00C96F6C"/>
    <w:rsid w:val="00C97806"/>
    <w:rsid w:val="00C978B4"/>
    <w:rsid w:val="00CA069E"/>
    <w:rsid w:val="00CA1A5E"/>
    <w:rsid w:val="00CA1AC7"/>
    <w:rsid w:val="00CA1BD1"/>
    <w:rsid w:val="00CA1D49"/>
    <w:rsid w:val="00CA2377"/>
    <w:rsid w:val="00CA265A"/>
    <w:rsid w:val="00CA29C1"/>
    <w:rsid w:val="00CA2D94"/>
    <w:rsid w:val="00CA403B"/>
    <w:rsid w:val="00CA476E"/>
    <w:rsid w:val="00CA4ABF"/>
    <w:rsid w:val="00CA4B98"/>
    <w:rsid w:val="00CA4BFA"/>
    <w:rsid w:val="00CA5463"/>
    <w:rsid w:val="00CA5A6D"/>
    <w:rsid w:val="00CB1AC1"/>
    <w:rsid w:val="00CB26F2"/>
    <w:rsid w:val="00CB2BAE"/>
    <w:rsid w:val="00CB3166"/>
    <w:rsid w:val="00CB40D4"/>
    <w:rsid w:val="00CB4C77"/>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444"/>
    <w:rsid w:val="00CF10EF"/>
    <w:rsid w:val="00CF1F53"/>
    <w:rsid w:val="00CF1FAE"/>
    <w:rsid w:val="00CF334A"/>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8AB"/>
    <w:rsid w:val="00D06BB8"/>
    <w:rsid w:val="00D072EF"/>
    <w:rsid w:val="00D07394"/>
    <w:rsid w:val="00D07A9C"/>
    <w:rsid w:val="00D106EB"/>
    <w:rsid w:val="00D10A14"/>
    <w:rsid w:val="00D113FF"/>
    <w:rsid w:val="00D11E7B"/>
    <w:rsid w:val="00D12C52"/>
    <w:rsid w:val="00D12D84"/>
    <w:rsid w:val="00D14E13"/>
    <w:rsid w:val="00D16547"/>
    <w:rsid w:val="00D20368"/>
    <w:rsid w:val="00D205DC"/>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038"/>
    <w:rsid w:val="00D33362"/>
    <w:rsid w:val="00D33C0D"/>
    <w:rsid w:val="00D34524"/>
    <w:rsid w:val="00D3459F"/>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568"/>
    <w:rsid w:val="00D55BD9"/>
    <w:rsid w:val="00D56163"/>
    <w:rsid w:val="00D566F5"/>
    <w:rsid w:val="00D56BF3"/>
    <w:rsid w:val="00D60503"/>
    <w:rsid w:val="00D61565"/>
    <w:rsid w:val="00D62605"/>
    <w:rsid w:val="00D63073"/>
    <w:rsid w:val="00D6362A"/>
    <w:rsid w:val="00D63DA5"/>
    <w:rsid w:val="00D641C8"/>
    <w:rsid w:val="00D64B3A"/>
    <w:rsid w:val="00D64D09"/>
    <w:rsid w:val="00D6587E"/>
    <w:rsid w:val="00D65C48"/>
    <w:rsid w:val="00D67C48"/>
    <w:rsid w:val="00D700D0"/>
    <w:rsid w:val="00D70CA3"/>
    <w:rsid w:val="00D718E2"/>
    <w:rsid w:val="00D719E5"/>
    <w:rsid w:val="00D72097"/>
    <w:rsid w:val="00D72AF3"/>
    <w:rsid w:val="00D73167"/>
    <w:rsid w:val="00D7322F"/>
    <w:rsid w:val="00D73481"/>
    <w:rsid w:val="00D73C07"/>
    <w:rsid w:val="00D73FD8"/>
    <w:rsid w:val="00D743AB"/>
    <w:rsid w:val="00D74799"/>
    <w:rsid w:val="00D74FDC"/>
    <w:rsid w:val="00D7536B"/>
    <w:rsid w:val="00D75AD5"/>
    <w:rsid w:val="00D80753"/>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394"/>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188E"/>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5CC5"/>
    <w:rsid w:val="00DC73AF"/>
    <w:rsid w:val="00DC78C5"/>
    <w:rsid w:val="00DC78FE"/>
    <w:rsid w:val="00DC7910"/>
    <w:rsid w:val="00DC7CCB"/>
    <w:rsid w:val="00DD016C"/>
    <w:rsid w:val="00DD054C"/>
    <w:rsid w:val="00DD0B1B"/>
    <w:rsid w:val="00DD1994"/>
    <w:rsid w:val="00DD1BAF"/>
    <w:rsid w:val="00DD2585"/>
    <w:rsid w:val="00DD2D97"/>
    <w:rsid w:val="00DD32BB"/>
    <w:rsid w:val="00DD3799"/>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4BC"/>
    <w:rsid w:val="00DE77DC"/>
    <w:rsid w:val="00DF04C0"/>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720"/>
    <w:rsid w:val="00E17B49"/>
    <w:rsid w:val="00E17DE3"/>
    <w:rsid w:val="00E17F03"/>
    <w:rsid w:val="00E2102F"/>
    <w:rsid w:val="00E21107"/>
    <w:rsid w:val="00E21CDD"/>
    <w:rsid w:val="00E21E11"/>
    <w:rsid w:val="00E22091"/>
    <w:rsid w:val="00E233B1"/>
    <w:rsid w:val="00E233C9"/>
    <w:rsid w:val="00E23438"/>
    <w:rsid w:val="00E24415"/>
    <w:rsid w:val="00E24D01"/>
    <w:rsid w:val="00E25521"/>
    <w:rsid w:val="00E25917"/>
    <w:rsid w:val="00E261E0"/>
    <w:rsid w:val="00E26580"/>
    <w:rsid w:val="00E2721C"/>
    <w:rsid w:val="00E27B4B"/>
    <w:rsid w:val="00E30A6D"/>
    <w:rsid w:val="00E30B75"/>
    <w:rsid w:val="00E311CE"/>
    <w:rsid w:val="00E31D2B"/>
    <w:rsid w:val="00E31E30"/>
    <w:rsid w:val="00E31E40"/>
    <w:rsid w:val="00E33520"/>
    <w:rsid w:val="00E33741"/>
    <w:rsid w:val="00E33D3D"/>
    <w:rsid w:val="00E35EC1"/>
    <w:rsid w:val="00E35F95"/>
    <w:rsid w:val="00E3623E"/>
    <w:rsid w:val="00E369E0"/>
    <w:rsid w:val="00E36F87"/>
    <w:rsid w:val="00E36FAF"/>
    <w:rsid w:val="00E37244"/>
    <w:rsid w:val="00E37775"/>
    <w:rsid w:val="00E37879"/>
    <w:rsid w:val="00E4029A"/>
    <w:rsid w:val="00E40EF3"/>
    <w:rsid w:val="00E410B5"/>
    <w:rsid w:val="00E41DFA"/>
    <w:rsid w:val="00E4205C"/>
    <w:rsid w:val="00E42264"/>
    <w:rsid w:val="00E42D1E"/>
    <w:rsid w:val="00E433EA"/>
    <w:rsid w:val="00E43435"/>
    <w:rsid w:val="00E44850"/>
    <w:rsid w:val="00E455A1"/>
    <w:rsid w:val="00E45DF0"/>
    <w:rsid w:val="00E45F05"/>
    <w:rsid w:val="00E46072"/>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B2C"/>
    <w:rsid w:val="00E71EAE"/>
    <w:rsid w:val="00E75146"/>
    <w:rsid w:val="00E755AB"/>
    <w:rsid w:val="00E75B19"/>
    <w:rsid w:val="00E75BB5"/>
    <w:rsid w:val="00E7676F"/>
    <w:rsid w:val="00E76E70"/>
    <w:rsid w:val="00E7767C"/>
    <w:rsid w:val="00E77805"/>
    <w:rsid w:val="00E77C72"/>
    <w:rsid w:val="00E801F8"/>
    <w:rsid w:val="00E8167D"/>
    <w:rsid w:val="00E81BCF"/>
    <w:rsid w:val="00E8217A"/>
    <w:rsid w:val="00E823D7"/>
    <w:rsid w:val="00E82708"/>
    <w:rsid w:val="00E8399A"/>
    <w:rsid w:val="00E839A4"/>
    <w:rsid w:val="00E839CE"/>
    <w:rsid w:val="00E83AB6"/>
    <w:rsid w:val="00E86711"/>
    <w:rsid w:val="00E86798"/>
    <w:rsid w:val="00E8683C"/>
    <w:rsid w:val="00E87A7D"/>
    <w:rsid w:val="00E9070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ECC"/>
    <w:rsid w:val="00EA202F"/>
    <w:rsid w:val="00EA2148"/>
    <w:rsid w:val="00EA2C19"/>
    <w:rsid w:val="00EA2F53"/>
    <w:rsid w:val="00EA3031"/>
    <w:rsid w:val="00EA3072"/>
    <w:rsid w:val="00EA3B39"/>
    <w:rsid w:val="00EA3BBF"/>
    <w:rsid w:val="00EA3EA7"/>
    <w:rsid w:val="00EA422A"/>
    <w:rsid w:val="00EA4F63"/>
    <w:rsid w:val="00EA689E"/>
    <w:rsid w:val="00EA7BE2"/>
    <w:rsid w:val="00EA7C5F"/>
    <w:rsid w:val="00EA7FAC"/>
    <w:rsid w:val="00EB0480"/>
    <w:rsid w:val="00EB08D7"/>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5EF"/>
    <w:rsid w:val="00EB780C"/>
    <w:rsid w:val="00EC22F4"/>
    <w:rsid w:val="00EC45FC"/>
    <w:rsid w:val="00EC4A4E"/>
    <w:rsid w:val="00EC4B0C"/>
    <w:rsid w:val="00EC5283"/>
    <w:rsid w:val="00EC5A01"/>
    <w:rsid w:val="00EC5CC8"/>
    <w:rsid w:val="00EC6864"/>
    <w:rsid w:val="00EC6A8E"/>
    <w:rsid w:val="00EC6B14"/>
    <w:rsid w:val="00EC6BCB"/>
    <w:rsid w:val="00EC729C"/>
    <w:rsid w:val="00EC7AAA"/>
    <w:rsid w:val="00ED0365"/>
    <w:rsid w:val="00ED073E"/>
    <w:rsid w:val="00ED0BF4"/>
    <w:rsid w:val="00ED0E71"/>
    <w:rsid w:val="00ED1757"/>
    <w:rsid w:val="00ED18EC"/>
    <w:rsid w:val="00ED2378"/>
    <w:rsid w:val="00ED29A6"/>
    <w:rsid w:val="00ED35F3"/>
    <w:rsid w:val="00ED3C6C"/>
    <w:rsid w:val="00ED525B"/>
    <w:rsid w:val="00ED5337"/>
    <w:rsid w:val="00ED59E7"/>
    <w:rsid w:val="00ED72E4"/>
    <w:rsid w:val="00ED7403"/>
    <w:rsid w:val="00ED7AA8"/>
    <w:rsid w:val="00EE057C"/>
    <w:rsid w:val="00EE0858"/>
    <w:rsid w:val="00EE0B77"/>
    <w:rsid w:val="00EE236A"/>
    <w:rsid w:val="00EE2649"/>
    <w:rsid w:val="00EE3015"/>
    <w:rsid w:val="00EE31AF"/>
    <w:rsid w:val="00EE34A1"/>
    <w:rsid w:val="00EE41A1"/>
    <w:rsid w:val="00EE4771"/>
    <w:rsid w:val="00EE50C5"/>
    <w:rsid w:val="00EE536C"/>
    <w:rsid w:val="00EE53E7"/>
    <w:rsid w:val="00EE71BF"/>
    <w:rsid w:val="00EE73E5"/>
    <w:rsid w:val="00EE7B44"/>
    <w:rsid w:val="00EE7D04"/>
    <w:rsid w:val="00EE7FB9"/>
    <w:rsid w:val="00EF09AC"/>
    <w:rsid w:val="00EF14D1"/>
    <w:rsid w:val="00EF1DD2"/>
    <w:rsid w:val="00EF58F2"/>
    <w:rsid w:val="00EF5FA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7DA"/>
    <w:rsid w:val="00F079CC"/>
    <w:rsid w:val="00F13509"/>
    <w:rsid w:val="00F1360C"/>
    <w:rsid w:val="00F1390D"/>
    <w:rsid w:val="00F151EA"/>
    <w:rsid w:val="00F15595"/>
    <w:rsid w:val="00F156A1"/>
    <w:rsid w:val="00F168D3"/>
    <w:rsid w:val="00F208B7"/>
    <w:rsid w:val="00F20B24"/>
    <w:rsid w:val="00F21368"/>
    <w:rsid w:val="00F21A7E"/>
    <w:rsid w:val="00F224D7"/>
    <w:rsid w:val="00F226DE"/>
    <w:rsid w:val="00F227F6"/>
    <w:rsid w:val="00F22851"/>
    <w:rsid w:val="00F24944"/>
    <w:rsid w:val="00F24A97"/>
    <w:rsid w:val="00F24EE4"/>
    <w:rsid w:val="00F2516C"/>
    <w:rsid w:val="00F25566"/>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6EA1"/>
    <w:rsid w:val="00F370C9"/>
    <w:rsid w:val="00F37101"/>
    <w:rsid w:val="00F377CE"/>
    <w:rsid w:val="00F379AB"/>
    <w:rsid w:val="00F40094"/>
    <w:rsid w:val="00F4022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5F1"/>
    <w:rsid w:val="00F64C5A"/>
    <w:rsid w:val="00F65E87"/>
    <w:rsid w:val="00F66D81"/>
    <w:rsid w:val="00F67C3E"/>
    <w:rsid w:val="00F70281"/>
    <w:rsid w:val="00F707C2"/>
    <w:rsid w:val="00F707EE"/>
    <w:rsid w:val="00F710EA"/>
    <w:rsid w:val="00F7278F"/>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05D"/>
    <w:rsid w:val="00F84C3A"/>
    <w:rsid w:val="00F85662"/>
    <w:rsid w:val="00F860C9"/>
    <w:rsid w:val="00F86E1B"/>
    <w:rsid w:val="00F902E3"/>
    <w:rsid w:val="00F921D2"/>
    <w:rsid w:val="00F92334"/>
    <w:rsid w:val="00F937E1"/>
    <w:rsid w:val="00F93EFB"/>
    <w:rsid w:val="00F94647"/>
    <w:rsid w:val="00F9524E"/>
    <w:rsid w:val="00F9566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CBE"/>
    <w:rsid w:val="00FC4DC2"/>
    <w:rsid w:val="00FC5311"/>
    <w:rsid w:val="00FC6C11"/>
    <w:rsid w:val="00FC7940"/>
    <w:rsid w:val="00FC7B46"/>
    <w:rsid w:val="00FC7B74"/>
    <w:rsid w:val="00FD0CFA"/>
    <w:rsid w:val="00FD1CE7"/>
    <w:rsid w:val="00FD1D4B"/>
    <w:rsid w:val="00FD1F76"/>
    <w:rsid w:val="00FD230C"/>
    <w:rsid w:val="00FD2671"/>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0A8"/>
    <w:rsid w:val="00FF0C49"/>
    <w:rsid w:val="00FF0FDB"/>
    <w:rsid w:val="00FF1167"/>
    <w:rsid w:val="00FF1282"/>
    <w:rsid w:val="00FF1339"/>
    <w:rsid w:val="00FF1682"/>
    <w:rsid w:val="00FF33D3"/>
    <w:rsid w:val="00FF479B"/>
    <w:rsid w:val="00FF5100"/>
    <w:rsid w:val="00FF5C53"/>
    <w:rsid w:val="00FF63AC"/>
    <w:rsid w:val="00FF6AA1"/>
    <w:rsid w:val="00FF74FC"/>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registros-movil-hide">
    <w:name w:val="registros-movil-hide"/>
    <w:basedOn w:val="Fuentedeprrafopredeter"/>
    <w:rsid w:val="005D2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02457507">
      <w:bodyDiv w:val="1"/>
      <w:marLeft w:val="0"/>
      <w:marRight w:val="0"/>
      <w:marTop w:val="0"/>
      <w:marBottom w:val="0"/>
      <w:divBdr>
        <w:top w:val="none" w:sz="0" w:space="0" w:color="auto"/>
        <w:left w:val="none" w:sz="0" w:space="0" w:color="auto"/>
        <w:bottom w:val="none" w:sz="0" w:space="0" w:color="auto"/>
        <w:right w:val="none" w:sz="0" w:space="0" w:color="auto"/>
      </w:divBdr>
      <w:divsChild>
        <w:div w:id="511574937">
          <w:marLeft w:val="0"/>
          <w:marRight w:val="0"/>
          <w:marTop w:val="0"/>
          <w:marBottom w:val="0"/>
          <w:divBdr>
            <w:top w:val="none" w:sz="0" w:space="0" w:color="auto"/>
            <w:left w:val="none" w:sz="0" w:space="0" w:color="auto"/>
            <w:bottom w:val="none" w:sz="0" w:space="0" w:color="auto"/>
            <w:right w:val="none" w:sz="0" w:space="0" w:color="auto"/>
          </w:divBdr>
          <w:divsChild>
            <w:div w:id="1930237571">
              <w:marLeft w:val="0"/>
              <w:marRight w:val="0"/>
              <w:marTop w:val="0"/>
              <w:marBottom w:val="0"/>
              <w:divBdr>
                <w:top w:val="none" w:sz="0" w:space="0" w:color="auto"/>
                <w:left w:val="none" w:sz="0" w:space="0" w:color="auto"/>
                <w:bottom w:val="none" w:sz="0" w:space="0" w:color="auto"/>
                <w:right w:val="none" w:sz="0" w:space="0" w:color="auto"/>
              </w:divBdr>
            </w:div>
          </w:divsChild>
        </w:div>
        <w:div w:id="2057507872">
          <w:marLeft w:val="0"/>
          <w:marRight w:val="0"/>
          <w:marTop w:val="0"/>
          <w:marBottom w:val="0"/>
          <w:divBdr>
            <w:top w:val="none" w:sz="0" w:space="0" w:color="auto"/>
            <w:left w:val="none" w:sz="0" w:space="0" w:color="auto"/>
            <w:bottom w:val="none" w:sz="0" w:space="0" w:color="auto"/>
            <w:right w:val="none" w:sz="0" w:space="0" w:color="auto"/>
          </w:divBdr>
          <w:divsChild>
            <w:div w:id="473179830">
              <w:marLeft w:val="0"/>
              <w:marRight w:val="0"/>
              <w:marTop w:val="0"/>
              <w:marBottom w:val="0"/>
              <w:divBdr>
                <w:top w:val="none" w:sz="0" w:space="0" w:color="auto"/>
                <w:left w:val="none" w:sz="0" w:space="0" w:color="auto"/>
                <w:bottom w:val="none" w:sz="0" w:space="0" w:color="auto"/>
                <w:right w:val="none" w:sz="0" w:space="0" w:color="auto"/>
              </w:divBdr>
            </w:div>
            <w:div w:id="857159841">
              <w:marLeft w:val="0"/>
              <w:marRight w:val="0"/>
              <w:marTop w:val="0"/>
              <w:marBottom w:val="0"/>
              <w:divBdr>
                <w:top w:val="none" w:sz="0" w:space="0" w:color="auto"/>
                <w:left w:val="none" w:sz="0" w:space="0" w:color="auto"/>
                <w:bottom w:val="none" w:sz="0" w:space="0" w:color="auto"/>
                <w:right w:val="none" w:sz="0" w:space="0" w:color="auto"/>
              </w:divBdr>
            </w:div>
            <w:div w:id="220940870">
              <w:marLeft w:val="0"/>
              <w:marRight w:val="0"/>
              <w:marTop w:val="0"/>
              <w:marBottom w:val="0"/>
              <w:divBdr>
                <w:top w:val="none" w:sz="0" w:space="0" w:color="auto"/>
                <w:left w:val="none" w:sz="0" w:space="0" w:color="auto"/>
                <w:bottom w:val="none" w:sz="0" w:space="0" w:color="auto"/>
                <w:right w:val="none" w:sz="0" w:space="0" w:color="auto"/>
              </w:divBdr>
            </w:div>
          </w:divsChild>
        </w:div>
        <w:div w:id="585305439">
          <w:marLeft w:val="0"/>
          <w:marRight w:val="0"/>
          <w:marTop w:val="0"/>
          <w:marBottom w:val="0"/>
          <w:divBdr>
            <w:top w:val="none" w:sz="0" w:space="0" w:color="auto"/>
            <w:left w:val="none" w:sz="0" w:space="0" w:color="auto"/>
            <w:bottom w:val="none" w:sz="0" w:space="0" w:color="auto"/>
            <w:right w:val="none" w:sz="0" w:space="0" w:color="auto"/>
          </w:divBdr>
          <w:divsChild>
            <w:div w:id="214004270">
              <w:marLeft w:val="0"/>
              <w:marRight w:val="0"/>
              <w:marTop w:val="0"/>
              <w:marBottom w:val="0"/>
              <w:divBdr>
                <w:top w:val="none" w:sz="0" w:space="0" w:color="auto"/>
                <w:left w:val="none" w:sz="0" w:space="0" w:color="auto"/>
                <w:bottom w:val="none" w:sz="0" w:space="0" w:color="auto"/>
                <w:right w:val="none" w:sz="0" w:space="0" w:color="auto"/>
              </w:divBdr>
            </w:div>
            <w:div w:id="1813865861">
              <w:marLeft w:val="0"/>
              <w:marRight w:val="0"/>
              <w:marTop w:val="0"/>
              <w:marBottom w:val="0"/>
              <w:divBdr>
                <w:top w:val="none" w:sz="0" w:space="0" w:color="auto"/>
                <w:left w:val="none" w:sz="0" w:space="0" w:color="auto"/>
                <w:bottom w:val="none" w:sz="0" w:space="0" w:color="auto"/>
                <w:right w:val="none" w:sz="0" w:space="0" w:color="auto"/>
              </w:divBdr>
            </w:div>
            <w:div w:id="906769659">
              <w:marLeft w:val="0"/>
              <w:marRight w:val="0"/>
              <w:marTop w:val="0"/>
              <w:marBottom w:val="0"/>
              <w:divBdr>
                <w:top w:val="none" w:sz="0" w:space="0" w:color="auto"/>
                <w:left w:val="none" w:sz="0" w:space="0" w:color="auto"/>
                <w:bottom w:val="none" w:sz="0" w:space="0" w:color="auto"/>
                <w:right w:val="none" w:sz="0" w:space="0" w:color="auto"/>
              </w:divBdr>
            </w:div>
          </w:divsChild>
        </w:div>
        <w:div w:id="181018552">
          <w:marLeft w:val="0"/>
          <w:marRight w:val="0"/>
          <w:marTop w:val="0"/>
          <w:marBottom w:val="0"/>
          <w:divBdr>
            <w:top w:val="none" w:sz="0" w:space="0" w:color="auto"/>
            <w:left w:val="none" w:sz="0" w:space="0" w:color="auto"/>
            <w:bottom w:val="none" w:sz="0" w:space="0" w:color="auto"/>
            <w:right w:val="none" w:sz="0" w:space="0" w:color="auto"/>
          </w:divBdr>
        </w:div>
        <w:div w:id="1614943904">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23274884">
      <w:bodyDiv w:val="1"/>
      <w:marLeft w:val="0"/>
      <w:marRight w:val="0"/>
      <w:marTop w:val="0"/>
      <w:marBottom w:val="0"/>
      <w:divBdr>
        <w:top w:val="none" w:sz="0" w:space="0" w:color="auto"/>
        <w:left w:val="none" w:sz="0" w:space="0" w:color="auto"/>
        <w:bottom w:val="none" w:sz="0" w:space="0" w:color="auto"/>
        <w:right w:val="none" w:sz="0" w:space="0" w:color="auto"/>
      </w:divBdr>
      <w:divsChild>
        <w:div w:id="1088772912">
          <w:marLeft w:val="0"/>
          <w:marRight w:val="0"/>
          <w:marTop w:val="0"/>
          <w:marBottom w:val="0"/>
          <w:divBdr>
            <w:top w:val="none" w:sz="0" w:space="0" w:color="auto"/>
            <w:left w:val="none" w:sz="0" w:space="0" w:color="auto"/>
            <w:bottom w:val="none" w:sz="0" w:space="0" w:color="auto"/>
            <w:right w:val="none" w:sz="0" w:space="0" w:color="auto"/>
          </w:divBdr>
          <w:divsChild>
            <w:div w:id="1821575424">
              <w:marLeft w:val="0"/>
              <w:marRight w:val="0"/>
              <w:marTop w:val="0"/>
              <w:marBottom w:val="0"/>
              <w:divBdr>
                <w:top w:val="none" w:sz="0" w:space="0" w:color="auto"/>
                <w:left w:val="none" w:sz="0" w:space="0" w:color="auto"/>
                <w:bottom w:val="none" w:sz="0" w:space="0" w:color="auto"/>
                <w:right w:val="none" w:sz="0" w:space="0" w:color="auto"/>
              </w:divBdr>
            </w:div>
          </w:divsChild>
        </w:div>
        <w:div w:id="1034843130">
          <w:marLeft w:val="0"/>
          <w:marRight w:val="0"/>
          <w:marTop w:val="0"/>
          <w:marBottom w:val="0"/>
          <w:divBdr>
            <w:top w:val="none" w:sz="0" w:space="0" w:color="auto"/>
            <w:left w:val="none" w:sz="0" w:space="0" w:color="auto"/>
            <w:bottom w:val="none" w:sz="0" w:space="0" w:color="auto"/>
            <w:right w:val="none" w:sz="0" w:space="0" w:color="auto"/>
          </w:divBdr>
          <w:divsChild>
            <w:div w:id="1721125123">
              <w:marLeft w:val="0"/>
              <w:marRight w:val="0"/>
              <w:marTop w:val="0"/>
              <w:marBottom w:val="0"/>
              <w:divBdr>
                <w:top w:val="none" w:sz="0" w:space="0" w:color="auto"/>
                <w:left w:val="none" w:sz="0" w:space="0" w:color="auto"/>
                <w:bottom w:val="none" w:sz="0" w:space="0" w:color="auto"/>
                <w:right w:val="none" w:sz="0" w:space="0" w:color="auto"/>
              </w:divBdr>
            </w:div>
            <w:div w:id="562063092">
              <w:marLeft w:val="0"/>
              <w:marRight w:val="0"/>
              <w:marTop w:val="0"/>
              <w:marBottom w:val="0"/>
              <w:divBdr>
                <w:top w:val="none" w:sz="0" w:space="0" w:color="auto"/>
                <w:left w:val="none" w:sz="0" w:space="0" w:color="auto"/>
                <w:bottom w:val="none" w:sz="0" w:space="0" w:color="auto"/>
                <w:right w:val="none" w:sz="0" w:space="0" w:color="auto"/>
              </w:divBdr>
            </w:div>
            <w:div w:id="1062018869">
              <w:marLeft w:val="0"/>
              <w:marRight w:val="0"/>
              <w:marTop w:val="0"/>
              <w:marBottom w:val="0"/>
              <w:divBdr>
                <w:top w:val="none" w:sz="0" w:space="0" w:color="auto"/>
                <w:left w:val="none" w:sz="0" w:space="0" w:color="auto"/>
                <w:bottom w:val="none" w:sz="0" w:space="0" w:color="auto"/>
                <w:right w:val="none" w:sz="0" w:space="0" w:color="auto"/>
              </w:divBdr>
            </w:div>
          </w:divsChild>
        </w:div>
        <w:div w:id="472796968">
          <w:marLeft w:val="0"/>
          <w:marRight w:val="0"/>
          <w:marTop w:val="0"/>
          <w:marBottom w:val="0"/>
          <w:divBdr>
            <w:top w:val="none" w:sz="0" w:space="0" w:color="auto"/>
            <w:left w:val="none" w:sz="0" w:space="0" w:color="auto"/>
            <w:bottom w:val="none" w:sz="0" w:space="0" w:color="auto"/>
            <w:right w:val="none" w:sz="0" w:space="0" w:color="auto"/>
          </w:divBdr>
          <w:divsChild>
            <w:div w:id="1659457392">
              <w:marLeft w:val="0"/>
              <w:marRight w:val="0"/>
              <w:marTop w:val="0"/>
              <w:marBottom w:val="0"/>
              <w:divBdr>
                <w:top w:val="none" w:sz="0" w:space="0" w:color="auto"/>
                <w:left w:val="none" w:sz="0" w:space="0" w:color="auto"/>
                <w:bottom w:val="none" w:sz="0" w:space="0" w:color="auto"/>
                <w:right w:val="none" w:sz="0" w:space="0" w:color="auto"/>
              </w:divBdr>
            </w:div>
            <w:div w:id="160896903">
              <w:marLeft w:val="0"/>
              <w:marRight w:val="0"/>
              <w:marTop w:val="0"/>
              <w:marBottom w:val="0"/>
              <w:divBdr>
                <w:top w:val="none" w:sz="0" w:space="0" w:color="auto"/>
                <w:left w:val="none" w:sz="0" w:space="0" w:color="auto"/>
                <w:bottom w:val="none" w:sz="0" w:space="0" w:color="auto"/>
                <w:right w:val="none" w:sz="0" w:space="0" w:color="auto"/>
              </w:divBdr>
            </w:div>
            <w:div w:id="450632940">
              <w:marLeft w:val="0"/>
              <w:marRight w:val="0"/>
              <w:marTop w:val="0"/>
              <w:marBottom w:val="0"/>
              <w:divBdr>
                <w:top w:val="none" w:sz="0" w:space="0" w:color="auto"/>
                <w:left w:val="none" w:sz="0" w:space="0" w:color="auto"/>
                <w:bottom w:val="none" w:sz="0" w:space="0" w:color="auto"/>
                <w:right w:val="none" w:sz="0" w:space="0" w:color="auto"/>
              </w:divBdr>
            </w:div>
          </w:divsChild>
        </w:div>
        <w:div w:id="1293247424">
          <w:marLeft w:val="0"/>
          <w:marRight w:val="0"/>
          <w:marTop w:val="0"/>
          <w:marBottom w:val="0"/>
          <w:divBdr>
            <w:top w:val="none" w:sz="0" w:space="0" w:color="auto"/>
            <w:left w:val="none" w:sz="0" w:space="0" w:color="auto"/>
            <w:bottom w:val="none" w:sz="0" w:space="0" w:color="auto"/>
            <w:right w:val="none" w:sz="0" w:space="0" w:color="auto"/>
          </w:divBdr>
        </w:div>
        <w:div w:id="1580939582">
          <w:marLeft w:val="0"/>
          <w:marRight w:val="0"/>
          <w:marTop w:val="0"/>
          <w:marBottom w:val="0"/>
          <w:divBdr>
            <w:top w:val="none" w:sz="0" w:space="0" w:color="auto"/>
            <w:left w:val="none" w:sz="0" w:space="0" w:color="auto"/>
            <w:bottom w:val="none" w:sz="0" w:space="0" w:color="auto"/>
            <w:right w:val="none" w:sz="0" w:space="0" w:color="auto"/>
          </w:divBdr>
        </w:div>
      </w:divsChild>
    </w:div>
    <w:div w:id="64763641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A4729-47F4-4879-B1C4-7ADC8AEB6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3613</Words>
  <Characters>19872</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cp:revision>
  <cp:lastPrinted>2022-09-08T17:41:00Z</cp:lastPrinted>
  <dcterms:created xsi:type="dcterms:W3CDTF">2022-09-02T22:35:00Z</dcterms:created>
  <dcterms:modified xsi:type="dcterms:W3CDTF">2023-02-17T20:57:00Z</dcterms:modified>
</cp:coreProperties>
</file>