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ACC" w:rsidRPr="000806EB" w:rsidRDefault="00A42ACC" w:rsidP="00A42ACC">
      <w:pPr>
        <w:spacing w:after="0"/>
        <w:ind w:left="3686" w:right="51"/>
        <w:jc w:val="both"/>
        <w:rPr>
          <w:rFonts w:ascii="Arial" w:eastAsia="Times New Roman" w:hAnsi="Arial" w:cs="Arial"/>
          <w:b/>
          <w:sz w:val="24"/>
          <w:szCs w:val="24"/>
          <w:lang w:val="es-ES_tradnl" w:eastAsia="es-ES"/>
        </w:rPr>
      </w:pPr>
      <w:r w:rsidRPr="000806EB">
        <w:rPr>
          <w:rFonts w:ascii="Arial" w:eastAsia="Times New Roman" w:hAnsi="Arial" w:cs="Arial"/>
          <w:b/>
          <w:sz w:val="24"/>
          <w:szCs w:val="24"/>
          <w:lang w:val="es-ES_tradnl" w:eastAsia="es-ES"/>
        </w:rPr>
        <w:t>TRIBUNAL DE JUSTICIA ADMINISTRATIVA DEL ESTADO DE OAXACA.</w:t>
      </w:r>
    </w:p>
    <w:p w:rsidR="00A42ACC" w:rsidRPr="000806EB" w:rsidRDefault="00A42ACC" w:rsidP="00A42ACC">
      <w:pPr>
        <w:spacing w:after="0"/>
        <w:ind w:left="3686" w:right="51"/>
        <w:jc w:val="both"/>
        <w:rPr>
          <w:rFonts w:ascii="Arial" w:eastAsia="Times New Roman" w:hAnsi="Arial" w:cs="Arial"/>
          <w:b/>
          <w:sz w:val="24"/>
          <w:szCs w:val="24"/>
          <w:lang w:val="es-ES_tradnl" w:eastAsia="es-ES"/>
        </w:rPr>
      </w:pPr>
    </w:p>
    <w:p w:rsidR="00A42ACC" w:rsidRPr="000806EB" w:rsidRDefault="00A42ACC" w:rsidP="00A42ACC">
      <w:pPr>
        <w:spacing w:after="0"/>
        <w:ind w:left="3686" w:right="51"/>
        <w:jc w:val="both"/>
        <w:rPr>
          <w:rFonts w:ascii="Arial" w:eastAsia="Times New Roman" w:hAnsi="Arial" w:cs="Arial"/>
          <w:b/>
          <w:sz w:val="24"/>
          <w:szCs w:val="24"/>
          <w:lang w:val="es-ES_tradnl" w:eastAsia="es-ES"/>
        </w:rPr>
      </w:pPr>
      <w:r w:rsidRPr="000806EB">
        <w:rPr>
          <w:rFonts w:ascii="Arial" w:eastAsia="Times New Roman" w:hAnsi="Arial" w:cs="Arial"/>
          <w:b/>
          <w:sz w:val="24"/>
          <w:szCs w:val="24"/>
          <w:lang w:val="es-ES_tradnl" w:eastAsia="es-ES"/>
        </w:rPr>
        <w:t>SEXTA SALA UNITARIA DE PRIMERA INSTANCIA.</w:t>
      </w:r>
    </w:p>
    <w:p w:rsidR="00A42ACC" w:rsidRPr="000806EB" w:rsidRDefault="00A42ACC" w:rsidP="00A42ACC">
      <w:pPr>
        <w:spacing w:after="0"/>
        <w:ind w:left="3686" w:right="51"/>
        <w:jc w:val="both"/>
        <w:rPr>
          <w:rFonts w:ascii="Arial" w:eastAsia="Times New Roman" w:hAnsi="Arial" w:cs="Arial"/>
          <w:b/>
          <w:sz w:val="24"/>
          <w:szCs w:val="24"/>
          <w:lang w:val="es-ES_tradnl" w:eastAsia="es-ES"/>
        </w:rPr>
      </w:pPr>
    </w:p>
    <w:p w:rsidR="00A42ACC" w:rsidRPr="000806EB" w:rsidRDefault="00A42ACC" w:rsidP="00A42ACC">
      <w:pPr>
        <w:spacing w:after="0"/>
        <w:ind w:left="3686" w:right="51"/>
        <w:jc w:val="both"/>
        <w:rPr>
          <w:rFonts w:ascii="Arial" w:eastAsia="Times New Roman" w:hAnsi="Arial" w:cs="Arial"/>
          <w:bCs/>
          <w:sz w:val="24"/>
          <w:szCs w:val="24"/>
          <w:lang w:val="es-ES_tradnl" w:eastAsia="es-ES"/>
        </w:rPr>
      </w:pPr>
      <w:r w:rsidRPr="000806EB">
        <w:rPr>
          <w:rFonts w:ascii="Arial" w:eastAsia="Times New Roman" w:hAnsi="Arial" w:cs="Arial"/>
          <w:b/>
          <w:sz w:val="24"/>
          <w:szCs w:val="24"/>
          <w:lang w:val="es-ES_tradnl" w:eastAsia="es-ES"/>
        </w:rPr>
        <w:t xml:space="preserve">JUICIO DE NULIDAD: </w:t>
      </w:r>
      <w:r w:rsidRPr="000806EB">
        <w:rPr>
          <w:rFonts w:ascii="Arial" w:eastAsia="Times New Roman" w:hAnsi="Arial" w:cs="Arial"/>
          <w:bCs/>
          <w:sz w:val="24"/>
          <w:szCs w:val="24"/>
          <w:lang w:val="es-ES_tradnl" w:eastAsia="es-ES"/>
        </w:rPr>
        <w:t xml:space="preserve">47/2019. </w:t>
      </w:r>
    </w:p>
    <w:p w:rsidR="00A42ACC" w:rsidRPr="000806EB" w:rsidRDefault="00A42ACC" w:rsidP="00A42ACC">
      <w:pPr>
        <w:spacing w:after="0"/>
        <w:ind w:left="3686" w:right="51"/>
        <w:jc w:val="both"/>
        <w:rPr>
          <w:rFonts w:ascii="Arial" w:eastAsia="Times New Roman" w:hAnsi="Arial" w:cs="Arial"/>
          <w:b/>
          <w:sz w:val="24"/>
          <w:szCs w:val="24"/>
          <w:lang w:val="es-ES_tradnl" w:eastAsia="es-ES"/>
        </w:rPr>
      </w:pPr>
    </w:p>
    <w:p w:rsidR="00A42ACC" w:rsidRPr="000806EB" w:rsidRDefault="00A42ACC" w:rsidP="00A42ACC">
      <w:pPr>
        <w:spacing w:after="0"/>
        <w:ind w:left="3686" w:right="51"/>
        <w:jc w:val="both"/>
        <w:rPr>
          <w:rFonts w:ascii="Arial" w:eastAsia="Times New Roman" w:hAnsi="Arial" w:cs="Arial"/>
          <w:sz w:val="24"/>
          <w:szCs w:val="24"/>
          <w:lang w:val="es-ES_tradnl" w:eastAsia="es-ES"/>
        </w:rPr>
      </w:pPr>
      <w:r w:rsidRPr="000806EB">
        <w:rPr>
          <w:rFonts w:ascii="Arial" w:eastAsia="Times New Roman" w:hAnsi="Arial" w:cs="Arial"/>
          <w:b/>
          <w:sz w:val="24"/>
          <w:szCs w:val="24"/>
          <w:lang w:val="es-ES_tradnl" w:eastAsia="es-ES"/>
        </w:rPr>
        <w:t xml:space="preserve">ACTOR: </w:t>
      </w:r>
      <w:r w:rsidR="00133A3B">
        <w:rPr>
          <w:rFonts w:ascii="Arial" w:eastAsia="Times New Roman" w:hAnsi="Arial" w:cs="Arial"/>
          <w:sz w:val="24"/>
          <w:szCs w:val="24"/>
          <w:lang w:val="es-ES_tradnl" w:eastAsia="es-ES"/>
        </w:rPr>
        <w:t>**********</w:t>
      </w:r>
      <w:r w:rsidRPr="000806EB">
        <w:rPr>
          <w:rFonts w:ascii="Arial" w:eastAsia="Times New Roman" w:hAnsi="Arial" w:cs="Arial"/>
          <w:sz w:val="24"/>
          <w:szCs w:val="24"/>
          <w:lang w:val="es-ES_tradnl" w:eastAsia="es-ES"/>
        </w:rPr>
        <w:t xml:space="preserve">.  </w:t>
      </w:r>
    </w:p>
    <w:p w:rsidR="00A42ACC" w:rsidRPr="000806EB" w:rsidRDefault="00A42ACC" w:rsidP="00A42ACC">
      <w:pPr>
        <w:spacing w:after="0"/>
        <w:ind w:left="3686" w:right="51"/>
        <w:jc w:val="both"/>
        <w:rPr>
          <w:rFonts w:ascii="Arial" w:eastAsia="Times New Roman" w:hAnsi="Arial" w:cs="Arial"/>
          <w:sz w:val="24"/>
          <w:szCs w:val="24"/>
          <w:lang w:val="es-ES_tradnl" w:eastAsia="es-ES"/>
        </w:rPr>
      </w:pPr>
    </w:p>
    <w:p w:rsidR="00A42ACC" w:rsidRPr="000806EB" w:rsidRDefault="00A42ACC" w:rsidP="00A42ACC">
      <w:pPr>
        <w:spacing w:after="0"/>
        <w:ind w:left="3686" w:right="51"/>
        <w:jc w:val="both"/>
        <w:rPr>
          <w:rFonts w:ascii="Arial" w:eastAsia="Times New Roman" w:hAnsi="Arial" w:cs="Arial"/>
          <w:sz w:val="24"/>
          <w:szCs w:val="24"/>
          <w:lang w:val="es-ES_tradnl" w:eastAsia="es-ES"/>
        </w:rPr>
      </w:pPr>
      <w:r w:rsidRPr="000806EB">
        <w:rPr>
          <w:rFonts w:ascii="Arial" w:eastAsia="Times New Roman" w:hAnsi="Arial" w:cs="Arial"/>
          <w:b/>
          <w:sz w:val="24"/>
          <w:szCs w:val="24"/>
          <w:lang w:val="es-ES_tradnl" w:eastAsia="es-ES"/>
        </w:rPr>
        <w:t xml:space="preserve">AUTORIDAD DEMANDADA: </w:t>
      </w:r>
      <w:bookmarkStart w:id="0" w:name="_Hlk49769963"/>
      <w:r w:rsidRPr="000806EB">
        <w:rPr>
          <w:rFonts w:ascii="Arial" w:eastAsia="Times New Roman" w:hAnsi="Arial" w:cs="Arial"/>
          <w:sz w:val="24"/>
          <w:szCs w:val="24"/>
          <w:lang w:val="es-ES_tradnl" w:eastAsia="es-ES"/>
        </w:rPr>
        <w:t>DIRECTORA DE INGRESOS Y RECAUDACIÓN DE LA SUBSECRETARÍA DE INGRESOS DE LA SECRETARÍA DE FINANZAS DEL GOBIERNO DEL ESTADO DE OAXACA</w:t>
      </w:r>
      <w:bookmarkEnd w:id="0"/>
      <w:r w:rsidRPr="000806EB">
        <w:rPr>
          <w:rFonts w:ascii="Arial" w:eastAsia="Times New Roman" w:hAnsi="Arial" w:cs="Arial"/>
          <w:sz w:val="24"/>
          <w:szCs w:val="24"/>
          <w:lang w:val="es-ES_tradnl" w:eastAsia="es-ES"/>
        </w:rPr>
        <w:t>.</w:t>
      </w:r>
    </w:p>
    <w:p w:rsidR="00A42ACC" w:rsidRPr="000806EB" w:rsidRDefault="00A42ACC" w:rsidP="00A42ACC">
      <w:pPr>
        <w:spacing w:after="0"/>
        <w:ind w:left="3969" w:right="51"/>
        <w:jc w:val="both"/>
        <w:rPr>
          <w:rFonts w:ascii="Arial" w:eastAsia="Times New Roman" w:hAnsi="Arial" w:cs="Arial"/>
          <w:sz w:val="24"/>
          <w:szCs w:val="24"/>
          <w:lang w:val="es-ES_tradnl" w:eastAsia="es-ES"/>
        </w:rPr>
      </w:pPr>
    </w:p>
    <w:p w:rsidR="00A42ACC" w:rsidRPr="000806EB" w:rsidRDefault="00A42ACC" w:rsidP="00A42ACC">
      <w:pPr>
        <w:widowControl w:val="0"/>
        <w:spacing w:after="0" w:line="240" w:lineRule="auto"/>
        <w:ind w:right="51"/>
        <w:rPr>
          <w:rFonts w:ascii="Arial" w:eastAsia="Times New Roman" w:hAnsi="Arial" w:cs="Arial"/>
          <w:color w:val="FF0000"/>
          <w:sz w:val="24"/>
          <w:szCs w:val="24"/>
          <w:lang w:val="es-ES" w:eastAsia="es-ES"/>
        </w:rPr>
      </w:pPr>
    </w:p>
    <w:p w:rsidR="00A42ACC" w:rsidRPr="000806EB" w:rsidRDefault="00A42ACC" w:rsidP="00A42ACC">
      <w:pPr>
        <w:widowControl w:val="0"/>
        <w:spacing w:line="360" w:lineRule="auto"/>
        <w:ind w:right="51" w:firstLine="567"/>
        <w:jc w:val="both"/>
        <w:rPr>
          <w:rFonts w:ascii="Arial" w:eastAsia="Times New Roman" w:hAnsi="Arial" w:cs="Arial"/>
          <w:b/>
          <w:sz w:val="24"/>
          <w:szCs w:val="24"/>
          <w:lang w:val="es-ES" w:eastAsia="es-ES"/>
        </w:rPr>
      </w:pPr>
      <w:r w:rsidRPr="000806EB">
        <w:rPr>
          <w:rFonts w:ascii="Arial" w:eastAsia="Times New Roman" w:hAnsi="Arial" w:cs="Arial"/>
          <w:b/>
          <w:sz w:val="24"/>
          <w:szCs w:val="24"/>
          <w:lang w:val="es-ES" w:eastAsia="es-ES"/>
        </w:rPr>
        <w:t xml:space="preserve">OAXACA DE JUÁREZ, OAXACA, </w:t>
      </w:r>
      <w:r w:rsidR="000806EB" w:rsidRPr="000806EB">
        <w:rPr>
          <w:rFonts w:ascii="Arial" w:eastAsia="Times New Roman" w:hAnsi="Arial" w:cs="Arial"/>
          <w:b/>
          <w:sz w:val="24"/>
          <w:szCs w:val="24"/>
          <w:lang w:val="es-ES" w:eastAsia="es-ES"/>
        </w:rPr>
        <w:t>TREINTA DE SEPTIEMBRE</w:t>
      </w:r>
      <w:r w:rsidRPr="000806EB">
        <w:rPr>
          <w:rFonts w:ascii="Arial" w:eastAsia="Times New Roman" w:hAnsi="Arial" w:cs="Arial"/>
          <w:b/>
          <w:sz w:val="24"/>
          <w:szCs w:val="24"/>
          <w:lang w:val="es-ES" w:eastAsia="es-ES"/>
        </w:rPr>
        <w:t xml:space="preserve"> DE DOS MIL VEINTE.</w:t>
      </w:r>
      <w:r w:rsidRPr="000806EB">
        <w:rPr>
          <w:sz w:val="24"/>
          <w:szCs w:val="24"/>
        </w:rPr>
        <w:t xml:space="preserve"> </w:t>
      </w:r>
      <w:r w:rsidRPr="000806EB">
        <w:rPr>
          <w:rFonts w:ascii="Arial" w:eastAsia="Times New Roman" w:hAnsi="Arial" w:cs="Arial"/>
          <w:b/>
          <w:sz w:val="24"/>
          <w:szCs w:val="24"/>
          <w:lang w:val="es-ES" w:eastAsia="es-ES"/>
        </w:rPr>
        <w:t xml:space="preserve"> </w:t>
      </w:r>
    </w:p>
    <w:p w:rsidR="00A42ACC" w:rsidRPr="000806EB" w:rsidRDefault="00A42ACC" w:rsidP="00A42ACC">
      <w:pPr>
        <w:widowControl w:val="0"/>
        <w:spacing w:line="360" w:lineRule="auto"/>
        <w:ind w:right="51" w:firstLine="567"/>
        <w:jc w:val="both"/>
        <w:rPr>
          <w:rFonts w:ascii="Arial" w:eastAsia="Times New Roman" w:hAnsi="Arial" w:cs="Arial"/>
          <w:sz w:val="24"/>
          <w:szCs w:val="24"/>
          <w:lang w:val="es-ES" w:eastAsia="es-ES"/>
        </w:rPr>
      </w:pPr>
      <w:r w:rsidRPr="000806EB">
        <w:rPr>
          <w:rFonts w:ascii="Arial" w:eastAsia="Times New Roman" w:hAnsi="Arial" w:cs="Arial"/>
          <w:b/>
          <w:sz w:val="24"/>
          <w:szCs w:val="24"/>
          <w:lang w:val="es-ES_tradnl" w:eastAsia="es-ES"/>
        </w:rPr>
        <w:t xml:space="preserve">V I S T O S, </w:t>
      </w:r>
      <w:r w:rsidRPr="000806EB">
        <w:rPr>
          <w:rFonts w:ascii="Arial" w:eastAsia="Times New Roman" w:hAnsi="Arial" w:cs="Arial"/>
          <w:sz w:val="24"/>
          <w:szCs w:val="24"/>
          <w:lang w:val="es-ES_tradnl" w:eastAsia="es-ES"/>
        </w:rPr>
        <w:t xml:space="preserve">para resolver los autos del juicio de nulidad número </w:t>
      </w:r>
      <w:r w:rsidRPr="000806EB">
        <w:rPr>
          <w:rFonts w:ascii="Arial" w:eastAsia="Times New Roman" w:hAnsi="Arial" w:cs="Arial"/>
          <w:b/>
          <w:bCs/>
          <w:sz w:val="24"/>
          <w:szCs w:val="24"/>
          <w:lang w:val="es-ES_tradnl" w:eastAsia="es-ES"/>
        </w:rPr>
        <w:t>47/2019</w:t>
      </w:r>
      <w:r w:rsidRPr="000806EB">
        <w:rPr>
          <w:rFonts w:ascii="Arial" w:eastAsia="Times New Roman" w:hAnsi="Arial" w:cs="Arial"/>
          <w:sz w:val="24"/>
          <w:szCs w:val="24"/>
          <w:lang w:val="es-ES_tradnl" w:eastAsia="es-ES"/>
        </w:rPr>
        <w:t xml:space="preserve">, interpuesto por </w:t>
      </w:r>
      <w:r w:rsidR="00133A3B">
        <w:rPr>
          <w:rFonts w:ascii="Arial" w:eastAsia="Times New Roman" w:hAnsi="Arial" w:cs="Arial"/>
          <w:bCs/>
          <w:sz w:val="24"/>
          <w:szCs w:val="24"/>
          <w:lang w:val="es-ES_tradnl" w:eastAsia="es-ES"/>
        </w:rPr>
        <w:t>**********</w:t>
      </w:r>
      <w:r w:rsidRPr="000806EB">
        <w:rPr>
          <w:rFonts w:ascii="Arial" w:eastAsia="Times New Roman" w:hAnsi="Arial" w:cs="Arial"/>
          <w:sz w:val="24"/>
          <w:szCs w:val="24"/>
          <w:lang w:val="es-ES_tradnl" w:eastAsia="es-ES"/>
        </w:rPr>
        <w:t xml:space="preserve">, en contra de la </w:t>
      </w:r>
      <w:r w:rsidRPr="000806EB">
        <w:rPr>
          <w:rFonts w:ascii="Arial" w:eastAsia="Times New Roman" w:hAnsi="Arial" w:cs="Arial"/>
          <w:b/>
          <w:sz w:val="24"/>
          <w:szCs w:val="24"/>
          <w:lang w:val="es-ES_tradnl" w:eastAsia="es-ES"/>
        </w:rPr>
        <w:t>DIRECTORA DE INGRESOS Y RECAUDACIÓN DE LA SUBSECRETARÍA DE INGRESOS DE LA SECRETARÍA DE FINANZAS DEL GOBIERNO DEL ESTADO DE OAXACA</w:t>
      </w:r>
      <w:r w:rsidRPr="000806EB">
        <w:rPr>
          <w:rFonts w:ascii="Arial" w:eastAsia="Times New Roman" w:hAnsi="Arial" w:cs="Arial"/>
          <w:sz w:val="24"/>
          <w:szCs w:val="24"/>
          <w:lang w:val="es-ES_tradnl" w:eastAsia="es-ES"/>
        </w:rPr>
        <w:t xml:space="preserve">, y; </w:t>
      </w:r>
    </w:p>
    <w:p w:rsidR="00A42ACC" w:rsidRPr="000806EB" w:rsidRDefault="00A42ACC" w:rsidP="00A42ACC">
      <w:pPr>
        <w:spacing w:line="360" w:lineRule="auto"/>
        <w:jc w:val="center"/>
        <w:rPr>
          <w:rFonts w:ascii="Arial" w:hAnsi="Arial" w:cs="Arial"/>
          <w:b/>
          <w:spacing w:val="-3"/>
          <w:sz w:val="24"/>
          <w:szCs w:val="24"/>
          <w:lang w:val="es-ES_tradnl"/>
        </w:rPr>
      </w:pPr>
      <w:r w:rsidRPr="000806EB">
        <w:rPr>
          <w:rFonts w:ascii="Arial" w:hAnsi="Arial" w:cs="Arial"/>
          <w:b/>
          <w:sz w:val="24"/>
          <w:szCs w:val="24"/>
        </w:rPr>
        <w:t>R E</w:t>
      </w:r>
      <w:r w:rsidRPr="000806EB">
        <w:rPr>
          <w:rFonts w:ascii="Arial" w:hAnsi="Arial" w:cs="Arial"/>
          <w:b/>
          <w:spacing w:val="-3"/>
          <w:sz w:val="24"/>
          <w:szCs w:val="24"/>
          <w:lang w:val="es-ES_tradnl"/>
        </w:rPr>
        <w:t xml:space="preserve"> S U L T A N D O:</w:t>
      </w:r>
    </w:p>
    <w:p w:rsidR="00A42ACC" w:rsidRPr="000806EB" w:rsidRDefault="00133A3B" w:rsidP="00A42ACC">
      <w:pPr>
        <w:spacing w:line="360" w:lineRule="auto"/>
        <w:ind w:firstLine="567"/>
        <w:jc w:val="both"/>
        <w:rPr>
          <w:rFonts w:ascii="Arial" w:hAnsi="Arial" w:cs="Arial"/>
          <w:bCs/>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1DA0D1EB" wp14:editId="3DA1F871">
                <wp:simplePos x="0" y="0"/>
                <wp:positionH relativeFrom="column">
                  <wp:posOffset>-1156447</wp:posOffset>
                </wp:positionH>
                <wp:positionV relativeFrom="paragraph">
                  <wp:posOffset>262255</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A0D1EB" id="_x0000_t202" coordsize="21600,21600" o:spt="202" path="m,l,21600r21600,l21600,xe">
                <v:stroke joinstyle="miter"/>
                <v:path gradientshapeok="t" o:connecttype="rect"/>
              </v:shapetype>
              <v:shape id="Cuadro de texto 5" o:spid="_x0000_s1026" type="#_x0000_t202" style="position:absolute;left:0;text-align:left;margin-left:-91.05pt;margin-top:20.6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
          <w:spacing w:val="-3"/>
          <w:sz w:val="24"/>
          <w:szCs w:val="24"/>
          <w:lang w:val="es-ES_tradnl"/>
        </w:rPr>
        <w:t xml:space="preserve">PRIMERO.- </w:t>
      </w:r>
      <w:r w:rsidR="00A42ACC" w:rsidRPr="000806EB">
        <w:rPr>
          <w:rFonts w:ascii="Arial" w:hAnsi="Arial" w:cs="Arial"/>
          <w:bCs/>
          <w:spacing w:val="-3"/>
          <w:sz w:val="24"/>
          <w:szCs w:val="24"/>
          <w:lang w:val="es-ES_tradnl"/>
        </w:rPr>
        <w:t xml:space="preserve">Con fecha veintidós de mayo de dos mil diecinueve (22/05/2019) </w:t>
      </w:r>
      <w:r>
        <w:rPr>
          <w:rFonts w:ascii="Arial" w:hAnsi="Arial" w:cs="Arial"/>
          <w:bCs/>
          <w:spacing w:val="-3"/>
          <w:sz w:val="24"/>
          <w:szCs w:val="24"/>
          <w:lang w:val="es-ES_tradnl"/>
        </w:rPr>
        <w:t>**********</w:t>
      </w:r>
      <w:r w:rsidR="00A42ACC" w:rsidRPr="000806EB">
        <w:rPr>
          <w:rFonts w:ascii="Arial" w:hAnsi="Arial" w:cs="Arial"/>
          <w:bCs/>
          <w:spacing w:val="-3"/>
          <w:sz w:val="24"/>
          <w:szCs w:val="24"/>
          <w:lang w:val="es-ES_tradnl"/>
        </w:rPr>
        <w:t>, presentó en la Oficialía de Partes Común de este Tribunal, presentó en la Oficialía de Partes Común de este Tribunal su escrito de demanda, en el cual  solicitó la nulidad de la multa por infracción relacionada con la presentación de declaraciones del Impuesto sobre Erogaciones por Remuneraciones al Trabajo Personal, con número de control 01MO14ER190912, de fecha diecinueve de febrero de dos mil diecinueve, emitida por la maestra ELIZABETH MARTÍNEZ ARZOLA, Directora de Ingresos y Recaudación de la Subsecretaría de Ingresos de la Secretaría de Finanzas del Gobierno del Estado de Oaxaca. Por lo que mediante acuerdo de esa misma fecha, se admitió a trámite la demanda, ordenándose notificar, emplazar y correr traslado a la autoridad demandada, para que produjera su contestación en los términos d</w:t>
      </w:r>
      <w:r w:rsidR="000806EB">
        <w:rPr>
          <w:rFonts w:ascii="Arial" w:hAnsi="Arial" w:cs="Arial"/>
          <w:bCs/>
          <w:spacing w:val="-3"/>
          <w:sz w:val="24"/>
          <w:szCs w:val="24"/>
          <w:lang w:val="es-ES_tradnl"/>
        </w:rPr>
        <w:t>e ley.</w:t>
      </w:r>
    </w:p>
    <w:p w:rsidR="00A42ACC" w:rsidRPr="000806EB" w:rsidRDefault="00A42ACC" w:rsidP="00A42ACC">
      <w:pPr>
        <w:spacing w:line="360" w:lineRule="auto"/>
        <w:ind w:firstLine="567"/>
        <w:jc w:val="both"/>
        <w:rPr>
          <w:rFonts w:ascii="Arial" w:hAnsi="Arial" w:cs="Arial"/>
          <w:bCs/>
          <w:spacing w:val="-3"/>
          <w:sz w:val="24"/>
          <w:szCs w:val="24"/>
          <w:lang w:val="es-ES_tradnl"/>
        </w:rPr>
      </w:pPr>
      <w:r w:rsidRPr="000806EB">
        <w:rPr>
          <w:rFonts w:ascii="Arial" w:hAnsi="Arial" w:cs="Arial"/>
          <w:b/>
          <w:spacing w:val="-3"/>
          <w:sz w:val="24"/>
          <w:szCs w:val="24"/>
          <w:lang w:val="es-ES_tradnl"/>
        </w:rPr>
        <w:t>SEGUNDO.-</w:t>
      </w:r>
      <w:r w:rsidRPr="000806EB">
        <w:rPr>
          <w:rFonts w:ascii="Arial" w:hAnsi="Arial" w:cs="Arial"/>
          <w:bCs/>
          <w:spacing w:val="-3"/>
          <w:sz w:val="24"/>
          <w:szCs w:val="24"/>
          <w:lang w:val="es-ES_tradnl"/>
        </w:rPr>
        <w:t xml:space="preserve"> Por acuerdo de fecha doce de julio de dos mil diecinueve (12/06/2019), se tuvo a MAIRA CORTÉS REYNA, Directora de lo Contencioso de la Procuraduría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w:t>
      </w:r>
      <w:r w:rsidRPr="000806EB">
        <w:rPr>
          <w:rFonts w:ascii="Arial" w:hAnsi="Arial" w:cs="Arial"/>
          <w:bCs/>
          <w:spacing w:val="-3"/>
          <w:sz w:val="24"/>
          <w:szCs w:val="24"/>
          <w:lang w:val="es-ES_tradnl"/>
        </w:rPr>
        <w:lastRenderedPageBreak/>
        <w:t>tuvieron por admitidas las pruebas que ofreció, de igual forma se le concedió a la parte actora un plazo para que dentro de este ampliara su escrito inicial de demanda, apercibida que no de hacerlo, se tendr</w:t>
      </w:r>
      <w:r w:rsidR="000806EB">
        <w:rPr>
          <w:rFonts w:ascii="Arial" w:hAnsi="Arial" w:cs="Arial"/>
          <w:bCs/>
          <w:spacing w:val="-3"/>
          <w:sz w:val="24"/>
          <w:szCs w:val="24"/>
          <w:lang w:val="es-ES_tradnl"/>
        </w:rPr>
        <w:t>ía por precluido su derecho.</w:t>
      </w:r>
    </w:p>
    <w:p w:rsidR="00A42ACC" w:rsidRPr="000806EB" w:rsidRDefault="00A42ACC" w:rsidP="00A42ACC">
      <w:pPr>
        <w:spacing w:line="360" w:lineRule="auto"/>
        <w:ind w:firstLine="567"/>
        <w:jc w:val="both"/>
        <w:rPr>
          <w:rFonts w:ascii="Arial" w:hAnsi="Arial" w:cs="Arial"/>
          <w:bCs/>
          <w:spacing w:val="-3"/>
          <w:sz w:val="24"/>
          <w:szCs w:val="24"/>
          <w:lang w:val="es-ES_tradnl"/>
        </w:rPr>
      </w:pPr>
      <w:r w:rsidRPr="000806EB">
        <w:rPr>
          <w:rFonts w:ascii="Arial" w:hAnsi="Arial" w:cs="Arial"/>
          <w:b/>
          <w:spacing w:val="-3"/>
          <w:sz w:val="24"/>
          <w:szCs w:val="24"/>
          <w:lang w:val="es-ES_tradnl"/>
        </w:rPr>
        <w:t>TERCERO.-</w:t>
      </w:r>
      <w:r w:rsidRPr="000806EB">
        <w:rPr>
          <w:rFonts w:ascii="Arial" w:hAnsi="Arial" w:cs="Arial"/>
          <w:bCs/>
          <w:spacing w:val="-3"/>
          <w:sz w:val="24"/>
          <w:szCs w:val="24"/>
          <w:lang w:val="es-ES_tradnl"/>
        </w:rPr>
        <w:t xml:space="preserve"> En auto de fecha veintiséis de noviembre de dos mil diecinueve (26/11/2019), se dio cuenta con el escrito de la parte actora, en la cual se le tuvo ampliando su escrito inicial de demanda, ordenándose correr traslado a la autoridad demandada, a efecto de que diera contestación a la ampliación efectuada, con el apercibimiento de no hacerlo se le tendría por precluido su derecho y por contestada la ampliación en sentido afirma</w:t>
      </w:r>
      <w:r w:rsidR="000806EB">
        <w:rPr>
          <w:rFonts w:ascii="Arial" w:hAnsi="Arial" w:cs="Arial"/>
          <w:bCs/>
          <w:spacing w:val="-3"/>
          <w:sz w:val="24"/>
          <w:szCs w:val="24"/>
          <w:lang w:val="es-ES_tradnl"/>
        </w:rPr>
        <w:t>tivo salvo prueba en contrario.</w:t>
      </w:r>
      <w:r w:rsidRPr="000806EB">
        <w:rPr>
          <w:rFonts w:ascii="Arial" w:hAnsi="Arial" w:cs="Arial"/>
          <w:bCs/>
          <w:spacing w:val="-3"/>
          <w:sz w:val="24"/>
          <w:szCs w:val="24"/>
          <w:lang w:val="es-ES_tradnl"/>
        </w:rPr>
        <w:t xml:space="preserve"> </w:t>
      </w:r>
    </w:p>
    <w:p w:rsidR="00A42ACC" w:rsidRPr="000806EB" w:rsidRDefault="00A42ACC" w:rsidP="00A42ACC">
      <w:pPr>
        <w:spacing w:line="360" w:lineRule="auto"/>
        <w:ind w:firstLine="567"/>
        <w:jc w:val="both"/>
        <w:rPr>
          <w:rFonts w:ascii="Arial" w:hAnsi="Arial" w:cs="Arial"/>
          <w:bCs/>
          <w:spacing w:val="-3"/>
          <w:sz w:val="24"/>
          <w:szCs w:val="24"/>
          <w:lang w:val="es-ES_tradnl"/>
        </w:rPr>
      </w:pPr>
      <w:r w:rsidRPr="000806EB">
        <w:rPr>
          <w:rFonts w:ascii="Arial" w:hAnsi="Arial" w:cs="Arial"/>
          <w:bCs/>
          <w:spacing w:val="-3"/>
          <w:sz w:val="24"/>
          <w:szCs w:val="24"/>
          <w:lang w:val="es-ES_tradnl"/>
        </w:rPr>
        <w:t xml:space="preserve">Finalmente, se les hizo del conocimiento a las partes el oficio por el cual se designada al magistrado ENRIQUE PACHECO MARTÍNEZ, como magistrado Titular de la Sexta Sala Unitaria de Primera Instancia de este Tribunal de Justicia Administrativa del Estado de Oaxaca, otorgándosele a las partes tres días hábiles para que manifestaran lo que a su derecho </w:t>
      </w:r>
      <w:r w:rsidR="000806EB">
        <w:rPr>
          <w:rFonts w:ascii="Arial" w:hAnsi="Arial" w:cs="Arial"/>
          <w:bCs/>
          <w:spacing w:val="-3"/>
          <w:sz w:val="24"/>
          <w:szCs w:val="24"/>
          <w:lang w:val="es-ES_tradnl"/>
        </w:rPr>
        <w:t>conviniera.</w:t>
      </w:r>
    </w:p>
    <w:p w:rsidR="00A42ACC" w:rsidRPr="000806EB" w:rsidRDefault="00133A3B" w:rsidP="00A42ACC">
      <w:pPr>
        <w:spacing w:line="360" w:lineRule="auto"/>
        <w:ind w:firstLine="567"/>
        <w:jc w:val="both"/>
        <w:rPr>
          <w:rFonts w:ascii="Arial" w:hAnsi="Arial" w:cs="Arial"/>
          <w:bCs/>
          <w:spacing w:val="-3"/>
          <w:sz w:val="24"/>
          <w:szCs w:val="24"/>
          <w:lang w:val="es-ES_tradnl"/>
        </w:rPr>
      </w:pPr>
      <w:r>
        <w:rPr>
          <w:noProof/>
          <w:lang w:eastAsia="es-MX"/>
        </w:rPr>
        <mc:AlternateContent>
          <mc:Choice Requires="wps">
            <w:drawing>
              <wp:anchor distT="0" distB="0" distL="114300" distR="114300" simplePos="0" relativeHeight="251661312" behindDoc="1" locked="0" layoutInCell="1" allowOverlap="1" wp14:anchorId="461C300A" wp14:editId="426BCBA5">
                <wp:simplePos x="0" y="0"/>
                <wp:positionH relativeFrom="column">
                  <wp:posOffset>5701553</wp:posOffset>
                </wp:positionH>
                <wp:positionV relativeFrom="paragraph">
                  <wp:posOffset>1173293</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C300A" id="Cuadro de texto 1" o:spid="_x0000_s1027" type="#_x0000_t202" style="position:absolute;left:0;text-align:left;margin-left:448.95pt;margin-top:92.4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
          <w:spacing w:val="-3"/>
          <w:sz w:val="24"/>
          <w:szCs w:val="24"/>
          <w:lang w:val="es-ES_tradnl"/>
        </w:rPr>
        <w:t>CUARTO.-</w:t>
      </w:r>
      <w:r w:rsidR="00A42ACC" w:rsidRPr="000806EB">
        <w:rPr>
          <w:rFonts w:ascii="Arial" w:hAnsi="Arial" w:cs="Arial"/>
          <w:bCs/>
          <w:spacing w:val="-3"/>
          <w:sz w:val="24"/>
          <w:szCs w:val="24"/>
          <w:lang w:val="es-ES_tradnl"/>
        </w:rPr>
        <w:t xml:space="preserve"> Mediante proveído de fecha dieciocho de marzo de dos mil veinte (18/03/2020), la Directora de lo Contencioso de la Procuraduría Fiscal dependiente de la Secretaría de Finanzas del Poder Ejecutivo del Estado de Oaxaca, dio contestación a la ampliación de demanda, ordenándose correr traslado a la parte actora para los efectos legales correspondientes, </w:t>
      </w:r>
      <w:r w:rsidR="000806EB">
        <w:rPr>
          <w:rFonts w:ascii="Arial" w:hAnsi="Arial" w:cs="Arial"/>
          <w:bCs/>
          <w:spacing w:val="-3"/>
          <w:sz w:val="24"/>
          <w:szCs w:val="24"/>
          <w:lang w:val="es-ES_tradnl"/>
        </w:rPr>
        <w:t>señalándose</w:t>
      </w:r>
      <w:r w:rsidR="00A42ACC" w:rsidRPr="000806EB">
        <w:rPr>
          <w:rFonts w:ascii="Arial" w:hAnsi="Arial" w:cs="Arial"/>
          <w:bCs/>
          <w:spacing w:val="-3"/>
          <w:sz w:val="24"/>
          <w:szCs w:val="24"/>
          <w:lang w:val="es-ES_tradnl"/>
        </w:rPr>
        <w:t xml:space="preserve"> fecha y hora para la celebració</w:t>
      </w:r>
      <w:r w:rsidR="000806EB">
        <w:rPr>
          <w:rFonts w:ascii="Arial" w:hAnsi="Arial" w:cs="Arial"/>
          <w:bCs/>
          <w:spacing w:val="-3"/>
          <w:sz w:val="24"/>
          <w:szCs w:val="24"/>
          <w:lang w:val="es-ES_tradnl"/>
        </w:rPr>
        <w:t>n de la audiencia final, la cual no se llevó a cabo, debido a la suspensión de labores de este Tribunal debido a la pandemia que afecta el país, por ello, mediante auto de treinta y uno de agosto del año en curso, se  señaló nuevamente fecha y hora para el desahogo de la audiencia final, finalmente, se les hizo saber a las partes el cambio de personal de esta Sala para que en el plazo de tres días hábiles manifestaran si tenían algún impedimento, sin que nada haya manifestado al respecto.</w:t>
      </w:r>
    </w:p>
    <w:p w:rsidR="00A42ACC" w:rsidRPr="000806EB" w:rsidRDefault="00A42ACC" w:rsidP="00A42ACC">
      <w:pPr>
        <w:spacing w:line="360" w:lineRule="auto"/>
        <w:ind w:firstLine="567"/>
        <w:jc w:val="both"/>
        <w:rPr>
          <w:rFonts w:ascii="Arial" w:hAnsi="Arial" w:cs="Arial"/>
          <w:bCs/>
          <w:spacing w:val="-3"/>
          <w:sz w:val="24"/>
          <w:szCs w:val="24"/>
          <w:lang w:val="es-ES_tradnl"/>
        </w:rPr>
      </w:pPr>
      <w:r w:rsidRPr="000806EB">
        <w:rPr>
          <w:rFonts w:ascii="Arial" w:hAnsi="Arial" w:cs="Arial"/>
          <w:b/>
          <w:spacing w:val="-3"/>
          <w:sz w:val="24"/>
          <w:szCs w:val="24"/>
          <w:lang w:val="es-ES_tradnl"/>
        </w:rPr>
        <w:t>QUINTO.-</w:t>
      </w:r>
      <w:r w:rsidRPr="000806EB">
        <w:rPr>
          <w:rFonts w:ascii="Arial" w:hAnsi="Arial" w:cs="Arial"/>
          <w:bCs/>
          <w:spacing w:val="-3"/>
          <w:sz w:val="24"/>
          <w:szCs w:val="24"/>
          <w:lang w:val="es-ES_tradnl"/>
        </w:rPr>
        <w:t xml:space="preserve"> El </w:t>
      </w:r>
      <w:r w:rsidR="000806EB">
        <w:rPr>
          <w:rFonts w:ascii="Arial" w:hAnsi="Arial" w:cs="Arial"/>
          <w:bCs/>
          <w:spacing w:val="-3"/>
          <w:sz w:val="24"/>
          <w:szCs w:val="24"/>
          <w:lang w:val="es-ES_tradnl"/>
        </w:rPr>
        <w:t xml:space="preserve">veintidós de septiembre de dos mil veinte </w:t>
      </w:r>
      <w:r w:rsidRPr="000806EB">
        <w:rPr>
          <w:rFonts w:ascii="Arial" w:hAnsi="Arial" w:cs="Arial"/>
          <w:bCs/>
          <w:spacing w:val="-3"/>
          <w:sz w:val="24"/>
          <w:szCs w:val="24"/>
          <w:lang w:val="es-ES_tradnl"/>
        </w:rPr>
        <w:t xml:space="preserve">se llevó a cabo la Audiencia de Ley, en la que no se presentaron las partes, ni persona alguna que legalmente las representara, asentando el Secretario de Acuerdos, que ninguna de las partes presentó alegatos, por lo que se citó a las partes oír sentencia </w:t>
      </w:r>
      <w:r w:rsidR="000806EB">
        <w:rPr>
          <w:rFonts w:ascii="Arial" w:hAnsi="Arial" w:cs="Arial"/>
          <w:bCs/>
          <w:spacing w:val="-3"/>
          <w:sz w:val="24"/>
          <w:szCs w:val="24"/>
          <w:lang w:val="es-ES_tradnl"/>
        </w:rPr>
        <w:t>dentro del término de ley, y;</w:t>
      </w:r>
    </w:p>
    <w:p w:rsidR="00A42ACC" w:rsidRPr="000806EB" w:rsidRDefault="00A42ACC" w:rsidP="00A42ACC">
      <w:pPr>
        <w:spacing w:line="360" w:lineRule="auto"/>
        <w:jc w:val="both"/>
        <w:rPr>
          <w:rFonts w:ascii="Arial" w:hAnsi="Arial" w:cs="Arial"/>
          <w:b/>
          <w:spacing w:val="-3"/>
          <w:sz w:val="24"/>
          <w:szCs w:val="24"/>
          <w:lang w:val="es-ES_tradnl"/>
        </w:rPr>
      </w:pPr>
      <w:r w:rsidRPr="000806EB">
        <w:rPr>
          <w:rFonts w:ascii="Arial" w:hAnsi="Arial" w:cs="Arial"/>
          <w:b/>
          <w:spacing w:val="-3"/>
          <w:sz w:val="24"/>
          <w:szCs w:val="24"/>
          <w:lang w:val="es-ES_tradnl"/>
        </w:rPr>
        <w:tab/>
      </w:r>
      <w:r w:rsidRPr="000806EB">
        <w:rPr>
          <w:rFonts w:ascii="Arial" w:hAnsi="Arial" w:cs="Arial"/>
          <w:b/>
          <w:spacing w:val="-3"/>
          <w:sz w:val="24"/>
          <w:szCs w:val="24"/>
          <w:lang w:val="es-ES_tradnl"/>
        </w:rPr>
        <w:tab/>
      </w:r>
      <w:r w:rsidRPr="000806EB">
        <w:rPr>
          <w:rFonts w:ascii="Arial" w:hAnsi="Arial" w:cs="Arial"/>
          <w:b/>
          <w:spacing w:val="-3"/>
          <w:sz w:val="24"/>
          <w:szCs w:val="24"/>
          <w:lang w:val="es-ES_tradnl"/>
        </w:rPr>
        <w:tab/>
      </w:r>
      <w:r w:rsidRPr="000806EB">
        <w:rPr>
          <w:rFonts w:ascii="Arial" w:hAnsi="Arial" w:cs="Arial"/>
          <w:b/>
          <w:spacing w:val="-3"/>
          <w:sz w:val="24"/>
          <w:szCs w:val="24"/>
          <w:lang w:val="es-ES_tradnl"/>
        </w:rPr>
        <w:tab/>
        <w:t>C O N S I D E R A N D O:</w:t>
      </w:r>
    </w:p>
    <w:p w:rsidR="00A42ACC" w:rsidRPr="000806EB" w:rsidRDefault="00A42ACC" w:rsidP="00A42ACC">
      <w:pPr>
        <w:spacing w:line="360" w:lineRule="auto"/>
        <w:ind w:firstLine="567"/>
        <w:jc w:val="both"/>
        <w:rPr>
          <w:rFonts w:ascii="Arial" w:hAnsi="Arial" w:cs="Arial"/>
          <w:sz w:val="24"/>
          <w:szCs w:val="24"/>
        </w:rPr>
      </w:pPr>
      <w:r w:rsidRPr="000806EB">
        <w:rPr>
          <w:rFonts w:ascii="Arial" w:hAnsi="Arial" w:cs="Arial"/>
          <w:b/>
          <w:sz w:val="24"/>
          <w:szCs w:val="24"/>
        </w:rPr>
        <w:t xml:space="preserve">PRIMERO. </w:t>
      </w:r>
      <w:r w:rsidRPr="000806EB">
        <w:rPr>
          <w:rFonts w:ascii="Arial" w:hAnsi="Arial" w:cs="Arial"/>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w:t>
      </w:r>
      <w:r w:rsidRPr="000806EB">
        <w:rPr>
          <w:rFonts w:ascii="Arial" w:hAnsi="Arial" w:cs="Arial"/>
          <w:sz w:val="24"/>
          <w:szCs w:val="24"/>
        </w:rPr>
        <w:lastRenderedPageBreak/>
        <w:t>de los artículos 119, 120 fracción I, 123, 124, 132 fracción I y II, 133, 146 y 147 de la Ley de Procedimiento y Justicia Administrativa para</w:t>
      </w:r>
      <w:r w:rsidR="000806EB">
        <w:rPr>
          <w:rFonts w:ascii="Arial" w:hAnsi="Arial" w:cs="Arial"/>
          <w:sz w:val="24"/>
          <w:szCs w:val="24"/>
        </w:rPr>
        <w:t xml:space="preserve"> el Estado de Oaxaca. </w:t>
      </w:r>
    </w:p>
    <w:p w:rsidR="00A42ACC" w:rsidRPr="000806EB" w:rsidRDefault="00A42ACC" w:rsidP="00A42ACC">
      <w:pPr>
        <w:spacing w:line="360" w:lineRule="auto"/>
        <w:ind w:firstLine="567"/>
        <w:jc w:val="both"/>
        <w:rPr>
          <w:rFonts w:ascii="Arial" w:hAnsi="Arial" w:cs="Arial"/>
          <w:bCs/>
          <w:snapToGrid w:val="0"/>
          <w:sz w:val="24"/>
          <w:szCs w:val="24"/>
        </w:rPr>
      </w:pPr>
      <w:r w:rsidRPr="000806EB">
        <w:rPr>
          <w:rFonts w:ascii="Arial" w:hAnsi="Arial" w:cs="Arial"/>
          <w:b/>
          <w:snapToGrid w:val="0"/>
          <w:sz w:val="24"/>
          <w:szCs w:val="24"/>
        </w:rPr>
        <w:t xml:space="preserve">SEGUNDO. </w:t>
      </w:r>
      <w:r w:rsidRPr="000806EB">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0806EB">
        <w:rPr>
          <w:rFonts w:ascii="Arial" w:hAnsi="Arial" w:cs="Arial"/>
          <w:bCs/>
          <w:snapToGrid w:val="0"/>
          <w:sz w:val="24"/>
          <w:szCs w:val="24"/>
        </w:rPr>
        <w:t>.</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
          <w:snapToGrid w:val="0"/>
          <w:sz w:val="24"/>
          <w:szCs w:val="24"/>
        </w:rPr>
        <w:t>TERCERO.</w:t>
      </w:r>
      <w:r w:rsidRPr="000806EB">
        <w:rPr>
          <w:rFonts w:ascii="Arial" w:hAnsi="Arial" w:cs="Arial"/>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Pr="000806EB">
        <w:rPr>
          <w:rFonts w:ascii="Arial" w:hAnsi="Arial" w:cs="Arial"/>
          <w:b/>
          <w:snapToGrid w:val="0"/>
          <w:sz w:val="24"/>
          <w:szCs w:val="24"/>
        </w:rPr>
        <w:t>NO SE SOBRESEE EL PRESENTE JUICIO</w:t>
      </w:r>
      <w:r w:rsidR="000806EB">
        <w:rPr>
          <w:rFonts w:ascii="Arial" w:hAnsi="Arial" w:cs="Arial"/>
          <w:bCs/>
          <w:snapToGrid w:val="0"/>
          <w:sz w:val="24"/>
          <w:szCs w:val="24"/>
        </w:rPr>
        <w:t>.</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
          <w:snapToGrid w:val="0"/>
          <w:sz w:val="24"/>
          <w:szCs w:val="24"/>
        </w:rPr>
        <w:t xml:space="preserve">CUARTO.- </w:t>
      </w:r>
      <w:r w:rsidRPr="000806EB">
        <w:rPr>
          <w:rFonts w:ascii="Arial" w:hAnsi="Arial" w:cs="Arial"/>
          <w:bCs/>
          <w:snapToGrid w:val="0"/>
          <w:sz w:val="24"/>
          <w:szCs w:val="24"/>
        </w:rPr>
        <w:t xml:space="preserve">La hoy actora manifiesta en sus conceptos de impugnación QUINTO,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de Oaxaca, </w:t>
      </w:r>
      <w:r w:rsidR="000806EB">
        <w:rPr>
          <w:rFonts w:ascii="Arial" w:hAnsi="Arial" w:cs="Arial"/>
          <w:bCs/>
          <w:snapToGrid w:val="0"/>
          <w:sz w:val="24"/>
          <w:szCs w:val="24"/>
        </w:rPr>
        <w:t>que a la letra dice:</w:t>
      </w:r>
    </w:p>
    <w:p w:rsidR="00A42ACC" w:rsidRPr="000806EB" w:rsidRDefault="00133A3B" w:rsidP="00A42ACC">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3360" behindDoc="1" locked="0" layoutInCell="1" allowOverlap="1" wp14:anchorId="6ED5FD35" wp14:editId="225FBF09">
                <wp:simplePos x="0" y="0"/>
                <wp:positionH relativeFrom="column">
                  <wp:posOffset>-1171014</wp:posOffset>
                </wp:positionH>
                <wp:positionV relativeFrom="paragraph">
                  <wp:posOffset>195879</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5FD35" id="Cuadro de texto 2" o:spid="_x0000_s1028" type="#_x0000_t202" style="position:absolute;left:0;text-align:left;margin-left:-92.2pt;margin-top:15.4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
          <w:i/>
          <w:iCs/>
          <w:snapToGrid w:val="0"/>
          <w:sz w:val="24"/>
          <w:szCs w:val="24"/>
        </w:rPr>
        <w:t>Artículo 31</w:t>
      </w:r>
      <w:r w:rsidR="00A42ACC" w:rsidRPr="000806EB">
        <w:rPr>
          <w:rFonts w:ascii="Arial" w:hAnsi="Arial" w:cs="Arial"/>
          <w:bCs/>
          <w:i/>
          <w:iCs/>
          <w:snapToGrid w:val="0"/>
          <w:sz w:val="24"/>
          <w:szCs w:val="24"/>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VIII. Imponer las sanciones que correspondan por violación a las disposiciones fiscales;</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XLII. Las demás que les confieran las leyes, este Reglamento y demás disposiciones normativas aplicables, así como las que expresamente les sean conferidas por el Subsecretario.</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w:t>
      </w:r>
      <w:r w:rsidR="000806EB">
        <w:rPr>
          <w:rFonts w:ascii="Arial" w:hAnsi="Arial" w:cs="Arial"/>
          <w:bCs/>
          <w:snapToGrid w:val="0"/>
          <w:sz w:val="24"/>
          <w:szCs w:val="24"/>
        </w:rPr>
        <w:t>mpetencia material.</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w:t>
      </w:r>
      <w:r w:rsidR="000806EB">
        <w:rPr>
          <w:rFonts w:ascii="Arial" w:hAnsi="Arial" w:cs="Arial"/>
          <w:bCs/>
          <w:snapToGrid w:val="0"/>
          <w:sz w:val="24"/>
          <w:szCs w:val="24"/>
        </w:rPr>
        <w:t>ca, mismo que a la letra dice:</w:t>
      </w:r>
      <w:r w:rsidR="00133A3B" w:rsidRPr="00133A3B">
        <w:rPr>
          <w:noProof/>
          <w:lang w:eastAsia="es-MX"/>
        </w:rPr>
        <w:t xml:space="preserve"> </w:t>
      </w:r>
    </w:p>
    <w:p w:rsidR="00A42ACC" w:rsidRPr="000806EB" w:rsidRDefault="00133A3B" w:rsidP="00A42ACC">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5408" behindDoc="1" locked="0" layoutInCell="1" allowOverlap="1" wp14:anchorId="23A5E137" wp14:editId="2DBDBD25">
                <wp:simplePos x="0" y="0"/>
                <wp:positionH relativeFrom="column">
                  <wp:posOffset>5459506</wp:posOffset>
                </wp:positionH>
                <wp:positionV relativeFrom="paragraph">
                  <wp:posOffset>201780</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5E137" id="Cuadro de texto 3" o:spid="_x0000_s1029" type="#_x0000_t202" style="position:absolute;left:0;text-align:left;margin-left:429.9pt;margin-top:15.9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
          <w:i/>
          <w:iCs/>
          <w:snapToGrid w:val="0"/>
          <w:sz w:val="24"/>
          <w:szCs w:val="24"/>
        </w:rPr>
        <w:t>Artículo 1.</w:t>
      </w:r>
      <w:r w:rsidR="00A42ACC" w:rsidRPr="000806EB">
        <w:rPr>
          <w:rFonts w:ascii="Arial" w:hAnsi="Arial" w:cs="Arial"/>
          <w:bCs/>
          <w:i/>
          <w:iCs/>
          <w:snapToGrid w:val="0"/>
          <w:sz w:val="24"/>
          <w:szCs w:val="24"/>
        </w:rPr>
        <w:t xml:space="preserve"> El presente ordenamiento tiene por objeto reglamentar la organización, competencia y facultades de los servidores públicos de la Secretaría de Finanzas del Poder Ejecutivo del Estado.</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0806EB">
        <w:rPr>
          <w:rFonts w:ascii="Arial" w:hAnsi="Arial" w:cs="Arial"/>
          <w:b/>
          <w:snapToGrid w:val="0"/>
          <w:sz w:val="24"/>
          <w:szCs w:val="24"/>
          <w:u w:val="single"/>
        </w:rPr>
        <w:t>INFUNDADO</w:t>
      </w:r>
      <w:r w:rsidRPr="000806EB">
        <w:rPr>
          <w:rFonts w:ascii="Arial" w:hAnsi="Arial" w:cs="Arial"/>
          <w:bCs/>
          <w:snapToGrid w:val="0"/>
          <w:sz w:val="24"/>
          <w:szCs w:val="24"/>
        </w:rPr>
        <w:t>, en virtud de que la autoridad demandada citó correctamente los preceptos legales mediante los cuales fundamenta y justifica su competenc</w:t>
      </w:r>
      <w:r w:rsidR="000806EB">
        <w:rPr>
          <w:rFonts w:ascii="Arial" w:hAnsi="Arial" w:cs="Arial"/>
          <w:bCs/>
          <w:snapToGrid w:val="0"/>
          <w:sz w:val="24"/>
          <w:szCs w:val="24"/>
        </w:rPr>
        <w:t>ia material y territorial.</w:t>
      </w:r>
    </w:p>
    <w:p w:rsidR="00A42ACC" w:rsidRPr="000806EB" w:rsidRDefault="00133A3B" w:rsidP="00A42ACC">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7456" behindDoc="1" locked="0" layoutInCell="1" allowOverlap="1" wp14:anchorId="3F0C8103" wp14:editId="5DBE20C9">
                <wp:simplePos x="0" y="0"/>
                <wp:positionH relativeFrom="column">
                  <wp:posOffset>-1156447</wp:posOffset>
                </wp:positionH>
                <wp:positionV relativeFrom="paragraph">
                  <wp:posOffset>1164553</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C8103" id="Cuadro de texto 4" o:spid="_x0000_s1030" type="#_x0000_t202" style="position:absolute;left:0;text-align:left;margin-left:-91.05pt;margin-top:91.7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
          <w:snapToGrid w:val="0"/>
          <w:sz w:val="24"/>
          <w:szCs w:val="24"/>
        </w:rPr>
        <w:t>QUINTO.-</w:t>
      </w:r>
      <w:r w:rsidR="00A42ACC" w:rsidRPr="000806EB">
        <w:rPr>
          <w:rFonts w:ascii="Arial" w:hAnsi="Arial" w:cs="Arial"/>
          <w:bCs/>
          <w:snapToGrid w:val="0"/>
          <w:sz w:val="24"/>
          <w:szCs w:val="24"/>
        </w:rPr>
        <w:t xml:space="preserve"> La parte actora manifiesta esencialmente en su concepto de violación CUARTO,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relacionada con la presentación de declaraciones del Impuesto Sobre Erogaciones por Remuneraciones al Trabajo Personal, con número de control 01MO14ER190912, de fecha diecinueve de febrero de dos mil diecinueve, visible en la foja 21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a lo que la autoridad demandada manifestó en su escrito de contestación (fojas 26 a 44)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w:t>
      </w:r>
      <w:r w:rsidR="000806EB">
        <w:rPr>
          <w:rFonts w:ascii="Arial" w:hAnsi="Arial" w:cs="Arial"/>
          <w:bCs/>
          <w:snapToGrid w:val="0"/>
          <w:sz w:val="24"/>
          <w:szCs w:val="24"/>
        </w:rPr>
        <w:t>esta lo siguiente:</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
          <w:i/>
          <w:iCs/>
          <w:snapToGrid w:val="0"/>
          <w:sz w:val="24"/>
          <w:szCs w:val="24"/>
        </w:rPr>
        <w:t>Artículo 64</w:t>
      </w:r>
      <w:r w:rsidRPr="000806EB">
        <w:rPr>
          <w:rFonts w:ascii="Arial" w:hAnsi="Arial" w:cs="Arial"/>
          <w:bCs/>
          <w:i/>
          <w:iCs/>
          <w:snapToGrid w:val="0"/>
          <w:sz w:val="24"/>
          <w:szCs w:val="24"/>
        </w:rPr>
        <w:t>.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Cs/>
          <w:i/>
          <w:iCs/>
          <w:snapToGrid w:val="0"/>
          <w:sz w:val="24"/>
          <w:szCs w:val="24"/>
        </w:rPr>
        <w:t>La responsabilidad solidaria subsistirá hasta en tanto el intermediario laboral cumpla con todas las obligaciones a que se encuentra sujeto en éste Capítulo.</w:t>
      </w:r>
    </w:p>
    <w:p w:rsidR="00A42ACC" w:rsidRPr="000806EB" w:rsidRDefault="00133A3B" w:rsidP="00A42ACC">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9504" behindDoc="1" locked="0" layoutInCell="1" allowOverlap="1" wp14:anchorId="5B130FBA" wp14:editId="054F48D0">
                <wp:simplePos x="0" y="0"/>
                <wp:positionH relativeFrom="column">
                  <wp:posOffset>5701553</wp:posOffset>
                </wp:positionH>
                <wp:positionV relativeFrom="paragraph">
                  <wp:posOffset>1725967</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30FBA" id="Cuadro de texto 6" o:spid="_x0000_s1031" type="#_x0000_t202" style="position:absolute;left:0;text-align:left;margin-left:448.95pt;margin-top:135.9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Cs/>
          <w:snapToGrid w:val="0"/>
          <w:sz w:val="24"/>
          <w:szCs w:val="24"/>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señalando en la citada multa el plazo para la presentación de las declaraciones omitidas así como la fecha en que vencían las misma, sin embargo, la autoridad es omisa al no señalar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actora en el supuesto jurídico que tiene como consecuencia la obligación de presentar la declaración bimestral definitiva por el sexto bimestre del ejercicio fiscal 2</w:t>
      </w:r>
      <w:r w:rsidR="000806EB">
        <w:rPr>
          <w:rFonts w:ascii="Arial" w:hAnsi="Arial" w:cs="Arial"/>
          <w:bCs/>
          <w:snapToGrid w:val="0"/>
          <w:sz w:val="24"/>
          <w:szCs w:val="24"/>
        </w:rPr>
        <w:t>019.</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convenga, mismo</w:t>
      </w:r>
      <w:r w:rsidR="00DD4A3E">
        <w:rPr>
          <w:rFonts w:ascii="Arial" w:hAnsi="Arial" w:cs="Arial"/>
          <w:bCs/>
          <w:snapToGrid w:val="0"/>
          <w:sz w:val="24"/>
          <w:szCs w:val="24"/>
        </w:rPr>
        <w:t xml:space="preserve"> que a la letra dice:</w:t>
      </w:r>
    </w:p>
    <w:p w:rsidR="00A42ACC" w:rsidRPr="000806EB" w:rsidRDefault="00A42ACC" w:rsidP="00A42ACC">
      <w:pPr>
        <w:ind w:left="567" w:right="615"/>
        <w:jc w:val="both"/>
        <w:rPr>
          <w:rFonts w:ascii="Arial" w:hAnsi="Arial" w:cs="Arial"/>
          <w:bCs/>
          <w:i/>
          <w:iCs/>
          <w:snapToGrid w:val="0"/>
          <w:sz w:val="24"/>
          <w:szCs w:val="24"/>
        </w:rPr>
      </w:pPr>
      <w:r w:rsidRPr="000806EB">
        <w:rPr>
          <w:rFonts w:ascii="Arial" w:hAnsi="Arial" w:cs="Arial"/>
          <w:b/>
          <w:i/>
          <w:iCs/>
          <w:snapToGrid w:val="0"/>
          <w:sz w:val="24"/>
          <w:szCs w:val="24"/>
        </w:rPr>
        <w:t>ARTÍCULO 113</w:t>
      </w:r>
      <w:r w:rsidRPr="000806EB">
        <w:rPr>
          <w:rFonts w:ascii="Arial" w:hAnsi="Arial" w:cs="Arial"/>
          <w:bCs/>
          <w:i/>
          <w:iCs/>
          <w:snapToGrid w:val="0"/>
          <w:sz w:val="24"/>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A42ACC" w:rsidRPr="000806EB" w:rsidRDefault="00133A3B" w:rsidP="00A42ACC">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71552" behindDoc="1" locked="0" layoutInCell="1" allowOverlap="1" wp14:anchorId="221FEACC" wp14:editId="3D7F61AA">
                <wp:simplePos x="0" y="0"/>
                <wp:positionH relativeFrom="column">
                  <wp:posOffset>-1009650</wp:posOffset>
                </wp:positionH>
                <wp:positionV relativeFrom="paragraph">
                  <wp:posOffset>477893</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FEACC" id="Cuadro de texto 7" o:spid="_x0000_s1032" type="#_x0000_t202" style="position:absolute;left:0;text-align:left;margin-left:-79.5pt;margin-top:37.6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Cs/>
          <w:i/>
          <w:iCs/>
          <w:snapToGrid w:val="0"/>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 </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w:t>
      </w:r>
      <w:r w:rsidR="00DD4A3E">
        <w:rPr>
          <w:rFonts w:ascii="Arial" w:hAnsi="Arial" w:cs="Arial"/>
          <w:bCs/>
          <w:snapToGrid w:val="0"/>
          <w:sz w:val="24"/>
          <w:szCs w:val="24"/>
        </w:rPr>
        <w:t>xto siguiente:</w:t>
      </w:r>
    </w:p>
    <w:p w:rsidR="00A42ACC" w:rsidRPr="000806EB" w:rsidRDefault="00A42ACC" w:rsidP="00A42ACC">
      <w:pPr>
        <w:ind w:left="567" w:right="615"/>
        <w:jc w:val="both"/>
        <w:rPr>
          <w:rFonts w:ascii="Arial" w:hAnsi="Arial" w:cs="Arial"/>
          <w:bCs/>
          <w:snapToGrid w:val="0"/>
          <w:sz w:val="24"/>
          <w:szCs w:val="24"/>
        </w:rPr>
      </w:pPr>
      <w:r w:rsidRPr="000806EB">
        <w:rPr>
          <w:rFonts w:ascii="Arial" w:hAnsi="Arial" w:cs="Arial"/>
          <w:b/>
          <w:snapToGrid w:val="0"/>
          <w:sz w:val="24"/>
          <w:szCs w:val="24"/>
        </w:rPr>
        <w:t>ACTOS VICIADOS, FRUTOS DE.</w:t>
      </w:r>
      <w:r w:rsidRPr="000806EB">
        <w:rPr>
          <w:rFonts w:ascii="Arial" w:hAnsi="Arial" w:cs="Arial"/>
          <w:bCs/>
          <w:snapToGrid w:val="0"/>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 xml:space="preserve">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con </w:t>
      </w:r>
      <w:r w:rsidR="00DD4A3E">
        <w:rPr>
          <w:rFonts w:ascii="Arial" w:hAnsi="Arial" w:cs="Arial"/>
          <w:bCs/>
          <w:snapToGrid w:val="0"/>
          <w:sz w:val="24"/>
          <w:szCs w:val="24"/>
        </w:rPr>
        <w:t xml:space="preserve">el siguiente rubro y texto: </w:t>
      </w:r>
    </w:p>
    <w:p w:rsidR="00A42ACC" w:rsidRPr="000806EB" w:rsidRDefault="00133A3B" w:rsidP="00A42ACC">
      <w:pPr>
        <w:ind w:left="567" w:right="615"/>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3600" behindDoc="1" locked="0" layoutInCell="1" allowOverlap="1" wp14:anchorId="26E85AEF" wp14:editId="3AF5528C">
                <wp:simplePos x="0" y="0"/>
                <wp:positionH relativeFrom="column">
                  <wp:posOffset>5593977</wp:posOffset>
                </wp:positionH>
                <wp:positionV relativeFrom="paragraph">
                  <wp:posOffset>3089237</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85AEF" id="Cuadro de texto 8" o:spid="_x0000_s1033" type="#_x0000_t202" style="position:absolute;left:0;text-align:left;margin-left:440.45pt;margin-top:243.25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l3aQIAAOcEAAAOAAAAZHJzL2Uyb0RvYy54bWysVF1P2zAUfZ+0/2D5faTtoEB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
          <w:snapToGrid w:val="0"/>
          <w:sz w:val="24"/>
          <w:szCs w:val="24"/>
        </w:rPr>
        <w:t>FUNDAMENTACIÓN Y MOTIVACIÓN, FALTA O INDEBIDA. EN CUANTO SON DISTINTAS, UNAS GENERAN NULIDAD LISA Y LLANA Y OTRAS PARA EFECTOS.</w:t>
      </w:r>
      <w:r w:rsidR="00A42ACC" w:rsidRPr="000806EB">
        <w:rPr>
          <w:rFonts w:ascii="Arial" w:hAnsi="Arial" w:cs="Arial"/>
          <w:bCs/>
          <w:snapToGrid w:val="0"/>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 xml:space="preserve">En consecuencia, al no haber seguido el procedimiento estipulado en el artículo 113 del Código Fiscal para el Estado de Oaxaca, ni tampoco contener en la citada multa los anexos que robustecen su motivación, el concepto de impugnación CUARTO hecho valer por la parte actora, resulta </w:t>
      </w:r>
      <w:r w:rsidRPr="000806EB">
        <w:rPr>
          <w:rFonts w:ascii="Arial" w:hAnsi="Arial" w:cs="Arial"/>
          <w:b/>
          <w:snapToGrid w:val="0"/>
          <w:sz w:val="24"/>
          <w:szCs w:val="24"/>
          <w:u w:val="single"/>
        </w:rPr>
        <w:t>FUNDADO</w:t>
      </w:r>
      <w:r w:rsidRPr="000806EB">
        <w:rPr>
          <w:rFonts w:ascii="Arial" w:hAnsi="Arial" w:cs="Arial"/>
          <w:bCs/>
          <w:snapToGrid w:val="0"/>
          <w:sz w:val="24"/>
          <w:szCs w:val="24"/>
        </w:rPr>
        <w:t xml:space="preserve">, por ello, esta Sala estima pertinente declarar la </w:t>
      </w:r>
      <w:r w:rsidRPr="000806EB">
        <w:rPr>
          <w:rFonts w:ascii="Arial" w:hAnsi="Arial" w:cs="Arial"/>
          <w:b/>
          <w:snapToGrid w:val="0"/>
          <w:sz w:val="24"/>
          <w:szCs w:val="24"/>
        </w:rPr>
        <w:t>NULIDAD LISA Y LLANA</w:t>
      </w:r>
      <w:r w:rsidRPr="000806EB">
        <w:rPr>
          <w:rFonts w:ascii="Arial" w:hAnsi="Arial" w:cs="Arial"/>
          <w:bCs/>
          <w:snapToGrid w:val="0"/>
          <w:sz w:val="24"/>
          <w:szCs w:val="24"/>
        </w:rPr>
        <w:t xml:space="preserve">, de la multa por infracción relacionada con la presentación de declaraciones del Impuesto Sobre Erogaciones por Remuneraciones al Trabajo Personal, con número de control </w:t>
      </w:r>
      <w:r w:rsidRPr="000806EB">
        <w:rPr>
          <w:rFonts w:ascii="Arial" w:hAnsi="Arial" w:cs="Arial"/>
          <w:bCs/>
          <w:spacing w:val="-3"/>
          <w:sz w:val="24"/>
          <w:szCs w:val="24"/>
          <w:lang w:val="es-ES_tradnl"/>
        </w:rPr>
        <w:t>01MO14ER190912, de fecha diecinueve de febrero de dos mil diecinueve</w:t>
      </w:r>
      <w:r w:rsidRPr="000806EB">
        <w:rPr>
          <w:rFonts w:ascii="Arial" w:hAnsi="Arial" w:cs="Arial"/>
          <w:bCs/>
          <w:snapToGrid w:val="0"/>
          <w:sz w:val="24"/>
          <w:szCs w:val="24"/>
        </w:rPr>
        <w:t xml:space="preserve">, emitida por la maestra </w:t>
      </w:r>
      <w:r w:rsidRPr="005C5E58">
        <w:rPr>
          <w:rFonts w:ascii="Arial" w:hAnsi="Arial" w:cs="Arial"/>
          <w:bCs/>
          <w:snapToGrid w:val="0"/>
          <w:sz w:val="24"/>
          <w:szCs w:val="24"/>
        </w:rPr>
        <w:t>ELIZABETH MARTÍNEZ ARZOLA,</w:t>
      </w:r>
      <w:r w:rsidRPr="000806EB">
        <w:rPr>
          <w:rFonts w:ascii="Arial" w:hAnsi="Arial" w:cs="Arial"/>
          <w:bCs/>
          <w:snapToGrid w:val="0"/>
          <w:sz w:val="24"/>
          <w:szCs w:val="24"/>
        </w:rPr>
        <w:t xml:space="preserve">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Pr="000806EB">
        <w:rPr>
          <w:rFonts w:ascii="Arial" w:hAnsi="Arial" w:cs="Arial"/>
          <w:bCs/>
          <w:snapToGrid w:val="0"/>
          <w:sz w:val="24"/>
          <w:szCs w:val="24"/>
          <w:u w:val="single"/>
        </w:rPr>
        <w:t>se ordena a esa autoridad fiscal para que por sí misma o a través de quien sea competente realice la baja de la citada multa del sistema electrónico y/o documental que para tal efecto lleve esa autoridad</w:t>
      </w:r>
      <w:r w:rsidRPr="000806EB">
        <w:rPr>
          <w:rFonts w:ascii="Arial" w:hAnsi="Arial" w:cs="Arial"/>
          <w:bCs/>
          <w:snapToGrid w:val="0"/>
          <w:sz w:val="24"/>
          <w:szCs w:val="24"/>
        </w:rPr>
        <w:t>.</w:t>
      </w:r>
    </w:p>
    <w:p w:rsidR="00A42ACC" w:rsidRPr="000806EB" w:rsidRDefault="00133A3B" w:rsidP="00A42ACC">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5648" behindDoc="1" locked="0" layoutInCell="1" allowOverlap="1" wp14:anchorId="364CD677" wp14:editId="3CCC5CBC">
                <wp:simplePos x="0" y="0"/>
                <wp:positionH relativeFrom="column">
                  <wp:posOffset>-1210235</wp:posOffset>
                </wp:positionH>
                <wp:positionV relativeFrom="paragraph">
                  <wp:posOffset>904464</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CD677" id="Cuadro de texto 9" o:spid="_x0000_s1034" type="#_x0000_t202" style="position:absolute;left:0;text-align:left;margin-left:-95.3pt;margin-top:71.2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42ACC" w:rsidRPr="000806EB">
        <w:rPr>
          <w:rFonts w:ascii="Arial" w:hAnsi="Arial" w:cs="Arial"/>
          <w:bCs/>
          <w:snapToGrid w:val="0"/>
          <w:sz w:val="24"/>
          <w:szCs w:val="24"/>
        </w:rPr>
        <w:t xml:space="preserve">Ahora bien, esta autoridad jurisdiccional no entra al estudio de los conceptos de impugnación restantes,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w:t>
      </w:r>
      <w:r w:rsidR="005C5E58">
        <w:rPr>
          <w:rFonts w:ascii="Arial" w:hAnsi="Arial" w:cs="Arial"/>
          <w:bCs/>
          <w:snapToGrid w:val="0"/>
          <w:sz w:val="24"/>
          <w:szCs w:val="24"/>
        </w:rPr>
        <w:t>bajo el rubro y texto siguiente:</w:t>
      </w:r>
    </w:p>
    <w:p w:rsidR="00A42ACC" w:rsidRPr="000806EB" w:rsidRDefault="00A42ACC" w:rsidP="00A42ACC">
      <w:pPr>
        <w:ind w:left="567" w:right="615"/>
        <w:jc w:val="both"/>
        <w:rPr>
          <w:rFonts w:ascii="Arial" w:hAnsi="Arial" w:cs="Arial"/>
          <w:bCs/>
          <w:snapToGrid w:val="0"/>
          <w:sz w:val="24"/>
          <w:szCs w:val="24"/>
        </w:rPr>
      </w:pPr>
      <w:r w:rsidRPr="000806EB">
        <w:rPr>
          <w:rFonts w:ascii="Arial" w:hAnsi="Arial" w:cs="Arial"/>
          <w:b/>
          <w:snapToGrid w:val="0"/>
          <w:sz w:val="24"/>
          <w:szCs w:val="24"/>
        </w:rPr>
        <w:t>CONCEPTOS DE VIOLACION. CUANDO SU ESTUDIO ES INNECESARIO.</w:t>
      </w:r>
      <w:r w:rsidRPr="000806EB">
        <w:rPr>
          <w:rFonts w:ascii="Arial" w:hAnsi="Arial" w:cs="Arial"/>
          <w:bCs/>
          <w:snapToGrid w:val="0"/>
          <w:sz w:val="24"/>
          <w:szCs w:val="24"/>
        </w:rPr>
        <w:t xml:space="preserve"> Si al considerarse fundado un concepto de violación ello trae como consecuencia la concesión del amparo, es innecesario analizar los restantes, ya que cualquiera que fuera el resultado de ese estudio, en nada variaría el sentido de la sentencia.</w:t>
      </w:r>
    </w:p>
    <w:p w:rsidR="00A42ACC" w:rsidRPr="000806EB" w:rsidRDefault="00A42ACC" w:rsidP="00A42ACC">
      <w:pPr>
        <w:spacing w:line="360" w:lineRule="auto"/>
        <w:ind w:right="51" w:firstLine="567"/>
        <w:jc w:val="both"/>
        <w:rPr>
          <w:rFonts w:ascii="Arial" w:hAnsi="Arial" w:cs="Arial"/>
          <w:bCs/>
          <w:snapToGrid w:val="0"/>
          <w:sz w:val="24"/>
          <w:szCs w:val="24"/>
        </w:rPr>
      </w:pPr>
      <w:r w:rsidRPr="000806EB">
        <w:rPr>
          <w:rFonts w:ascii="Arial" w:hAnsi="Arial" w:cs="Arial"/>
          <w:bCs/>
          <w:snapToGrid w:val="0"/>
          <w:sz w:val="24"/>
          <w:szCs w:val="24"/>
        </w:rPr>
        <w:t>Por lo anteriormente expuesto, fundado y motivado, en términos de los artículos 207, 208 fracciones II y VI, y 209 de la Ley de Procedimiento y Justicia Administrativa</w:t>
      </w:r>
      <w:r w:rsidR="00DD4A3E">
        <w:rPr>
          <w:rFonts w:ascii="Arial" w:hAnsi="Arial" w:cs="Arial"/>
          <w:bCs/>
          <w:snapToGrid w:val="0"/>
          <w:sz w:val="24"/>
          <w:szCs w:val="24"/>
        </w:rPr>
        <w:t xml:space="preserve"> para el Estado de Oaxaca, se;</w:t>
      </w:r>
    </w:p>
    <w:p w:rsidR="00A42ACC" w:rsidRPr="000806EB" w:rsidRDefault="00A42ACC" w:rsidP="00A42ACC">
      <w:pPr>
        <w:spacing w:line="360" w:lineRule="auto"/>
        <w:ind w:right="51" w:firstLine="567"/>
        <w:jc w:val="center"/>
        <w:rPr>
          <w:rFonts w:ascii="Arial" w:hAnsi="Arial" w:cs="Arial"/>
          <w:b/>
          <w:sz w:val="24"/>
          <w:szCs w:val="24"/>
        </w:rPr>
      </w:pPr>
      <w:r w:rsidRPr="000806EB">
        <w:rPr>
          <w:rFonts w:ascii="Arial" w:hAnsi="Arial" w:cs="Arial"/>
          <w:b/>
          <w:sz w:val="24"/>
          <w:szCs w:val="24"/>
        </w:rPr>
        <w:t>R E S U E L V E:</w:t>
      </w:r>
    </w:p>
    <w:p w:rsidR="00A42ACC" w:rsidRPr="000806EB" w:rsidRDefault="00A42ACC" w:rsidP="00A42ACC">
      <w:pPr>
        <w:widowControl w:val="0"/>
        <w:spacing w:after="120" w:line="360" w:lineRule="auto"/>
        <w:ind w:right="51" w:firstLine="708"/>
        <w:jc w:val="both"/>
        <w:rPr>
          <w:rFonts w:ascii="Arial" w:eastAsia="Times New Roman" w:hAnsi="Arial" w:cs="Arial"/>
          <w:sz w:val="24"/>
          <w:szCs w:val="24"/>
          <w:lang w:val="es-ES" w:eastAsia="es-ES"/>
        </w:rPr>
      </w:pPr>
      <w:r w:rsidRPr="000806EB">
        <w:rPr>
          <w:rFonts w:ascii="Arial" w:hAnsi="Arial" w:cs="Arial"/>
          <w:b/>
          <w:sz w:val="24"/>
          <w:szCs w:val="24"/>
        </w:rPr>
        <w:t>PRIMERO</w:t>
      </w:r>
      <w:r w:rsidRPr="000806EB">
        <w:rPr>
          <w:rFonts w:cs="Arial"/>
          <w:i/>
          <w:sz w:val="24"/>
          <w:szCs w:val="24"/>
        </w:rPr>
        <w:t>.</w:t>
      </w:r>
      <w:r w:rsidRPr="000806EB">
        <w:rPr>
          <w:rFonts w:cs="Arial"/>
          <w:sz w:val="24"/>
          <w:szCs w:val="24"/>
        </w:rPr>
        <w:t xml:space="preserve"> </w:t>
      </w:r>
      <w:r w:rsidRPr="000806EB">
        <w:rPr>
          <w:rFonts w:ascii="Arial" w:eastAsia="Times New Roman" w:hAnsi="Arial" w:cs="Arial"/>
          <w:sz w:val="24"/>
          <w:szCs w:val="24"/>
          <w:lang w:val="es-ES" w:eastAsia="es-ES"/>
        </w:rPr>
        <w:t>Esta Sexta</w:t>
      </w:r>
      <w:r w:rsidRPr="000806EB">
        <w:rPr>
          <w:rFonts w:ascii="Arial" w:eastAsia="Times New Roman" w:hAnsi="Arial" w:cs="Arial"/>
          <w:sz w:val="24"/>
          <w:szCs w:val="24"/>
          <w:lang w:eastAsia="es-ES"/>
        </w:rPr>
        <w:t xml:space="preserve"> </w:t>
      </w:r>
      <w:r w:rsidRPr="000806EB">
        <w:rPr>
          <w:rFonts w:ascii="Arial" w:eastAsia="Times New Roman" w:hAnsi="Arial" w:cs="Arial"/>
          <w:sz w:val="24"/>
          <w:szCs w:val="24"/>
          <w:lang w:val="es-ES" w:eastAsia="es-ES"/>
        </w:rPr>
        <w:t>Sala</w:t>
      </w:r>
      <w:r w:rsidRPr="000806EB">
        <w:rPr>
          <w:rFonts w:ascii="Arial" w:eastAsia="Times New Roman" w:hAnsi="Arial" w:cs="Arial"/>
          <w:sz w:val="24"/>
          <w:szCs w:val="24"/>
          <w:lang w:eastAsia="es-ES"/>
        </w:rPr>
        <w:t xml:space="preserve"> Unitaria </w:t>
      </w:r>
      <w:r w:rsidRPr="000806EB">
        <w:rPr>
          <w:rFonts w:ascii="Arial" w:eastAsia="Times New Roman" w:hAnsi="Arial" w:cs="Arial"/>
          <w:sz w:val="24"/>
          <w:szCs w:val="24"/>
          <w:lang w:val="es-ES" w:eastAsia="es-ES"/>
        </w:rPr>
        <w:t>del Tribunal de Justicia Administrativa del Estado de Oaxaca, es competente para conocer y resolver el presente juicio.</w:t>
      </w:r>
      <w:r w:rsidRPr="000806EB">
        <w:rPr>
          <w:rFonts w:ascii="Arial" w:hAnsi="Arial" w:cs="Arial"/>
          <w:bCs/>
          <w:snapToGrid w:val="0"/>
          <w:sz w:val="24"/>
          <w:szCs w:val="24"/>
        </w:rPr>
        <w:t xml:space="preserve"> </w:t>
      </w:r>
    </w:p>
    <w:p w:rsidR="00A42ACC" w:rsidRPr="000806EB" w:rsidRDefault="00A42ACC" w:rsidP="00A42ACC">
      <w:pPr>
        <w:pStyle w:val="Sangra2detindependiente1"/>
        <w:spacing w:after="240" w:line="360" w:lineRule="auto"/>
        <w:ind w:right="51" w:firstLine="567"/>
        <w:rPr>
          <w:rFonts w:cs="Arial"/>
          <w:b w:val="0"/>
          <w:bCs/>
          <w:i w:val="0"/>
          <w:szCs w:val="24"/>
        </w:rPr>
      </w:pPr>
      <w:r w:rsidRPr="000806EB">
        <w:rPr>
          <w:rFonts w:cs="Arial"/>
          <w:i w:val="0"/>
          <w:szCs w:val="24"/>
        </w:rPr>
        <w:t xml:space="preserve">SEGUNDO. </w:t>
      </w:r>
      <w:r w:rsidRPr="000806EB">
        <w:rPr>
          <w:rFonts w:cs="Arial"/>
          <w:b w:val="0"/>
          <w:bCs/>
          <w:i w:val="0"/>
          <w:szCs w:val="24"/>
        </w:rPr>
        <w:t>La personalidad de las partes quedó asentada en autos, dentro del considerando SE</w:t>
      </w:r>
      <w:r w:rsidR="00DD4A3E">
        <w:rPr>
          <w:rFonts w:cs="Arial"/>
          <w:b w:val="0"/>
          <w:bCs/>
          <w:i w:val="0"/>
          <w:szCs w:val="24"/>
        </w:rPr>
        <w:t>GUNDO de la presente resolución.</w:t>
      </w:r>
    </w:p>
    <w:p w:rsidR="00A42ACC" w:rsidRPr="000806EB" w:rsidRDefault="00A42ACC" w:rsidP="00A42ACC">
      <w:pPr>
        <w:pStyle w:val="Sangra2detindependiente1"/>
        <w:spacing w:after="240" w:line="360" w:lineRule="auto"/>
        <w:ind w:right="51" w:firstLine="567"/>
        <w:rPr>
          <w:rFonts w:cs="Arial"/>
          <w:b w:val="0"/>
          <w:bCs/>
          <w:i w:val="0"/>
          <w:szCs w:val="24"/>
        </w:rPr>
      </w:pPr>
      <w:r w:rsidRPr="000806EB">
        <w:rPr>
          <w:rFonts w:cs="Arial"/>
          <w:i w:val="0"/>
          <w:szCs w:val="24"/>
        </w:rPr>
        <w:t>TERCERO.</w:t>
      </w:r>
      <w:r w:rsidRPr="000806EB">
        <w:rPr>
          <w:rFonts w:cs="Arial"/>
          <w:b w:val="0"/>
          <w:bCs/>
          <w:i w:val="0"/>
          <w:szCs w:val="24"/>
        </w:rPr>
        <w:t xml:space="preserve"> Esta Sala advierte que, en el presente juicio no se configura alguna causal de improcedencia o sobreseimiento, por lo tanto, </w:t>
      </w:r>
      <w:r w:rsidRPr="000806EB">
        <w:rPr>
          <w:rFonts w:cs="Arial"/>
          <w:i w:val="0"/>
          <w:szCs w:val="24"/>
        </w:rPr>
        <w:t>NO SE SOBRESEE.</w:t>
      </w:r>
      <w:r w:rsidRPr="000806EB">
        <w:rPr>
          <w:szCs w:val="24"/>
        </w:rPr>
        <w:t xml:space="preserve"> </w:t>
      </w:r>
    </w:p>
    <w:p w:rsidR="00A42ACC" w:rsidRPr="000806EB" w:rsidRDefault="00A42ACC" w:rsidP="00A42ACC">
      <w:pPr>
        <w:pStyle w:val="Sangra2detindependiente1"/>
        <w:spacing w:after="240" w:line="360" w:lineRule="auto"/>
        <w:ind w:right="51" w:firstLine="567"/>
        <w:rPr>
          <w:rFonts w:cs="Arial"/>
          <w:i w:val="0"/>
          <w:szCs w:val="24"/>
        </w:rPr>
      </w:pPr>
      <w:r w:rsidRPr="000806EB">
        <w:rPr>
          <w:rFonts w:cs="Arial"/>
          <w:i w:val="0"/>
          <w:szCs w:val="24"/>
        </w:rPr>
        <w:t>CUARTO.</w:t>
      </w:r>
      <w:r w:rsidRPr="000806EB">
        <w:rPr>
          <w:rFonts w:cs="Arial"/>
          <w:b w:val="0"/>
          <w:bCs/>
          <w:i w:val="0"/>
          <w:szCs w:val="24"/>
        </w:rPr>
        <w:t xml:space="preserve"> Se declara la </w:t>
      </w:r>
      <w:r w:rsidRPr="000806EB">
        <w:rPr>
          <w:rFonts w:cs="Arial"/>
          <w:i w:val="0"/>
          <w:szCs w:val="24"/>
        </w:rPr>
        <w:t xml:space="preserve">NULIDAD LISA Y LLANA, </w:t>
      </w:r>
      <w:r w:rsidRPr="000806EB">
        <w:rPr>
          <w:rFonts w:cs="Arial"/>
          <w:b w:val="0"/>
          <w:bCs/>
          <w:i w:val="0"/>
          <w:szCs w:val="24"/>
        </w:rPr>
        <w:t xml:space="preserve">de la multa por infracción relacionada con la presentación de declaraciones del Impuesto Sobre Erogaciones por Remuneraciones al Trabajo Personal, con número de control 01MO14ER190912, de fecha diecinueve de febrero de dos mil diecinueve, emitida por la maestra </w:t>
      </w:r>
      <w:r w:rsidRPr="005C5E58">
        <w:rPr>
          <w:rFonts w:cs="Arial"/>
          <w:b w:val="0"/>
          <w:bCs/>
          <w:i w:val="0"/>
          <w:szCs w:val="24"/>
        </w:rPr>
        <w:t>ELIZABETH MARTÍNEZ ARZOLA</w:t>
      </w:r>
      <w:r w:rsidRPr="000806EB">
        <w:rPr>
          <w:rFonts w:cs="Arial"/>
          <w:b w:val="0"/>
          <w:bCs/>
          <w:i w:val="0"/>
          <w:szCs w:val="24"/>
        </w:rPr>
        <w:t xml:space="preserve">,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Pr="000806EB">
        <w:rPr>
          <w:rFonts w:cs="Arial"/>
          <w:b w:val="0"/>
          <w:bCs/>
          <w:i w:val="0"/>
          <w:szCs w:val="24"/>
          <w:u w:val="single"/>
        </w:rPr>
        <w:t xml:space="preserve">se ordena a esa autoridad fiscal para que por sí misma o a través de quien sea competente realice la baja de la </w:t>
      </w:r>
      <w:r w:rsidR="00133A3B">
        <w:rPr>
          <w:noProof/>
        </w:rPr>
        <mc:AlternateContent>
          <mc:Choice Requires="wps">
            <w:drawing>
              <wp:anchor distT="0" distB="0" distL="114300" distR="114300" simplePos="0" relativeHeight="251677696" behindDoc="1" locked="0" layoutInCell="1" allowOverlap="1" wp14:anchorId="68FB33D8" wp14:editId="0800E2FA">
                <wp:simplePos x="0" y="0"/>
                <wp:positionH relativeFrom="column">
                  <wp:posOffset>5701553</wp:posOffset>
                </wp:positionH>
                <wp:positionV relativeFrom="paragraph">
                  <wp:posOffset>2675778</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B33D8" id="Cuadro de texto 10" o:spid="_x0000_s1035" type="#_x0000_t202" style="position:absolute;left:0;text-align:left;margin-left:448.95pt;margin-top:210.7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o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" fillcolor="window" strokeweight=".5pt">
                <v:path arrowok="t"/>
                <v:textbox>
                  <w:txbxContent>
                    <w:p w:rsidR="00133A3B" w:rsidRPr="00035E13" w:rsidRDefault="00133A3B" w:rsidP="00133A3B">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0806EB">
        <w:rPr>
          <w:rFonts w:cs="Arial"/>
          <w:b w:val="0"/>
          <w:bCs/>
          <w:i w:val="0"/>
          <w:szCs w:val="24"/>
          <w:u w:val="single"/>
        </w:rPr>
        <w:t>citada multa del sistema electrónico y/o documental que para tal efecto lleve esa autoridad</w:t>
      </w:r>
      <w:r w:rsidRPr="000806EB">
        <w:rPr>
          <w:rFonts w:cs="Arial"/>
          <w:b w:val="0"/>
          <w:bCs/>
          <w:i w:val="0"/>
          <w:szCs w:val="24"/>
        </w:rPr>
        <w:t>, por las razones ya expuestas en el considerando QUINTO de esta sentencia.</w:t>
      </w:r>
    </w:p>
    <w:p w:rsidR="00A42ACC" w:rsidRPr="000806EB" w:rsidRDefault="00A42ACC" w:rsidP="00A42ACC">
      <w:pPr>
        <w:pStyle w:val="Sangra2detindependiente1"/>
        <w:spacing w:after="240" w:line="360" w:lineRule="auto"/>
        <w:ind w:right="51" w:firstLine="567"/>
        <w:rPr>
          <w:rFonts w:cs="Arial"/>
          <w:b w:val="0"/>
          <w:i w:val="0"/>
          <w:szCs w:val="24"/>
          <w:lang w:val="es-MX"/>
        </w:rPr>
      </w:pPr>
      <w:r w:rsidRPr="000806EB">
        <w:rPr>
          <w:rFonts w:cs="Arial"/>
          <w:bCs/>
          <w:i w:val="0"/>
          <w:szCs w:val="24"/>
          <w:lang w:val="es-MX"/>
        </w:rPr>
        <w:t>QUINTO.</w:t>
      </w:r>
      <w:r w:rsidRPr="000806EB">
        <w:rPr>
          <w:rFonts w:cs="Arial"/>
          <w:b w:val="0"/>
          <w:i w:val="0"/>
          <w:szCs w:val="24"/>
          <w:lang w:val="es-MX"/>
        </w:rPr>
        <w:t xml:space="preserve"> Conforme a lo dispuesto en los artículos 142 fracción I y 143 fracciones I y II de la Ley de Justicia Administrativa para el Estado de Oaxaca, </w:t>
      </w:r>
      <w:r w:rsidRPr="000806EB">
        <w:rPr>
          <w:rFonts w:cs="Arial"/>
          <w:bCs/>
          <w:i w:val="0"/>
          <w:szCs w:val="24"/>
          <w:lang w:val="es-MX"/>
        </w:rPr>
        <w:t>NOTIFÍQUESE y CÚMPLASE</w:t>
      </w:r>
      <w:r w:rsidRPr="000806EB">
        <w:rPr>
          <w:rFonts w:cs="Arial"/>
          <w:b w:val="0"/>
          <w:i w:val="0"/>
          <w:szCs w:val="24"/>
          <w:lang w:val="es-MX"/>
        </w:rPr>
        <w:t>.</w:t>
      </w:r>
      <w:r w:rsidR="00133A3B" w:rsidRPr="00133A3B">
        <w:rPr>
          <w:noProof/>
        </w:rPr>
        <w:t xml:space="preserve"> </w:t>
      </w:r>
    </w:p>
    <w:p w:rsidR="00C33802" w:rsidRPr="00A102CE" w:rsidRDefault="00C33802" w:rsidP="00C33802">
      <w:pPr>
        <w:spacing w:line="360" w:lineRule="auto"/>
        <w:ind w:firstLine="567"/>
        <w:jc w:val="both"/>
        <w:rPr>
          <w:rFonts w:ascii="Tahoma" w:hAnsi="Tahoma" w:cs="Tahoma"/>
          <w:sz w:val="24"/>
          <w:szCs w:val="24"/>
        </w:rPr>
      </w:pPr>
      <w:bookmarkStart w:id="1" w:name="_Hlk49196234"/>
      <w:r w:rsidRPr="00A102CE">
        <w:rPr>
          <w:rFonts w:ascii="Tahoma" w:hAnsi="Tahoma" w:cs="Tahoma"/>
          <w:sz w:val="24"/>
          <w:szCs w:val="24"/>
        </w:rPr>
        <w:t xml:space="preserve">Así lo acuerda y firma el </w:t>
      </w:r>
      <w:r w:rsidRPr="00A102CE">
        <w:rPr>
          <w:rFonts w:ascii="Tahoma" w:hAnsi="Tahoma" w:cs="Tahoma"/>
          <w:b/>
          <w:sz w:val="24"/>
          <w:szCs w:val="24"/>
        </w:rPr>
        <w:t>Lic</w:t>
      </w:r>
      <w:r w:rsidRPr="00A102CE">
        <w:rPr>
          <w:rFonts w:ascii="Tahoma" w:hAnsi="Tahoma" w:cs="Tahoma"/>
          <w:sz w:val="24"/>
          <w:szCs w:val="24"/>
        </w:rPr>
        <w:t xml:space="preserve"> </w:t>
      </w:r>
      <w:r w:rsidRPr="00A102CE">
        <w:rPr>
          <w:rFonts w:ascii="Tahoma" w:hAnsi="Tahoma" w:cs="Tahoma"/>
          <w:b/>
          <w:sz w:val="24"/>
          <w:szCs w:val="24"/>
        </w:rPr>
        <w:t xml:space="preserve">RENATO GABRIEL IBÁÑEZ CASTELLANOS, </w:t>
      </w:r>
      <w:r w:rsidRPr="00A102CE">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Pr="00A102CE">
        <w:rPr>
          <w:rFonts w:ascii="Tahoma" w:hAnsi="Tahoma" w:cs="Tahoma"/>
          <w:b/>
          <w:sz w:val="24"/>
          <w:szCs w:val="24"/>
        </w:rPr>
        <w:t>DULCE ELOÍSA HUERTA CONTRERAS</w:t>
      </w:r>
      <w:r w:rsidRPr="00A102CE">
        <w:rPr>
          <w:rFonts w:ascii="Tahoma" w:hAnsi="Tahoma" w:cs="Tahoma"/>
          <w:sz w:val="24"/>
          <w:szCs w:val="24"/>
        </w:rPr>
        <w:t xml:space="preserve">, Actuaria que autoriza y da fe. </w:t>
      </w:r>
      <w:bookmarkStart w:id="2" w:name="_GoBack"/>
      <w:bookmarkEnd w:id="2"/>
    </w:p>
    <w:bookmarkEnd w:id="1"/>
    <w:p w:rsidR="00A42ACC" w:rsidRPr="00C33802" w:rsidRDefault="00A42ACC" w:rsidP="00A42ACC">
      <w:pPr>
        <w:pStyle w:val="Sangra2detindependiente1"/>
        <w:spacing w:line="360" w:lineRule="auto"/>
        <w:ind w:right="51" w:firstLine="567"/>
        <w:rPr>
          <w:rFonts w:cs="Arial"/>
          <w:i w:val="0"/>
          <w:szCs w:val="24"/>
          <w:lang w:val="es-MX"/>
        </w:rPr>
      </w:pPr>
    </w:p>
    <w:p w:rsidR="00346DC8" w:rsidRPr="000806EB" w:rsidRDefault="00346DC8">
      <w:pPr>
        <w:rPr>
          <w:sz w:val="24"/>
          <w:szCs w:val="24"/>
          <w:lang w:val="es-ES_tradnl"/>
        </w:rPr>
      </w:pPr>
    </w:p>
    <w:sectPr w:rsidR="00346DC8" w:rsidRPr="000806EB" w:rsidSect="000806EB">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6EB" w:rsidRDefault="000806EB" w:rsidP="000806EB">
      <w:pPr>
        <w:spacing w:after="0" w:line="240" w:lineRule="auto"/>
      </w:pPr>
      <w:r>
        <w:separator/>
      </w:r>
    </w:p>
  </w:endnote>
  <w:endnote w:type="continuationSeparator" w:id="0">
    <w:p w:rsidR="000806EB" w:rsidRDefault="000806EB" w:rsidP="0008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5C5E58">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133A3B" w:rsidRPr="00133A3B">
          <w:rPr>
            <w:rFonts w:ascii="Arial" w:hAnsi="Arial" w:cs="Arial"/>
            <w:noProof/>
            <w:sz w:val="24"/>
            <w:szCs w:val="24"/>
            <w:lang w:val="es-ES"/>
          </w:rPr>
          <w:t>2</w:t>
        </w:r>
        <w:r w:rsidRPr="00604752">
          <w:rPr>
            <w:rFonts w:ascii="Arial" w:hAnsi="Arial" w:cs="Arial"/>
            <w:sz w:val="24"/>
            <w:szCs w:val="24"/>
          </w:rPr>
          <w:fldChar w:fldCharType="end"/>
        </w:r>
      </w:p>
    </w:sdtContent>
  </w:sdt>
  <w:p w:rsidR="0076338B" w:rsidRDefault="00133A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6EB" w:rsidRDefault="000806EB" w:rsidP="000806EB">
      <w:pPr>
        <w:spacing w:after="0" w:line="240" w:lineRule="auto"/>
      </w:pPr>
      <w:r>
        <w:separator/>
      </w:r>
    </w:p>
  </w:footnote>
  <w:footnote w:type="continuationSeparator" w:id="0">
    <w:p w:rsidR="000806EB" w:rsidRDefault="000806EB" w:rsidP="000806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mirrorMargins/>
  <w:defaultTabStop w:val="708"/>
  <w:hyphenationZone w:val="425"/>
  <w:drawingGridHorizontalSpacing w:val="110"/>
  <w:displayHorizontalDrawingGridEvery w:val="2"/>
  <w:displayVerticalDrawingGridEvery w:val="2"/>
  <w:characterSpacingControl w:val="doNotCompress"/>
  <w:hdrShapeDefaults>
    <o:shapedefaults v:ext="edit" spidmax="2050">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CC"/>
    <w:rsid w:val="000806EB"/>
    <w:rsid w:val="00092ACA"/>
    <w:rsid w:val="00133A3B"/>
    <w:rsid w:val="002C1213"/>
    <w:rsid w:val="002F308D"/>
    <w:rsid w:val="00346DC8"/>
    <w:rsid w:val="00351E17"/>
    <w:rsid w:val="003A7FDD"/>
    <w:rsid w:val="005649EC"/>
    <w:rsid w:val="005A16F5"/>
    <w:rsid w:val="005C5E58"/>
    <w:rsid w:val="00605068"/>
    <w:rsid w:val="00611445"/>
    <w:rsid w:val="00A42ACC"/>
    <w:rsid w:val="00A4512B"/>
    <w:rsid w:val="00A60CA8"/>
    <w:rsid w:val="00A97EF3"/>
    <w:rsid w:val="00B91E2C"/>
    <w:rsid w:val="00C33802"/>
    <w:rsid w:val="00DD21D9"/>
    <w:rsid w:val="00DD4A3E"/>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2"/>
    </o:shapelayout>
  </w:shapeDefaults>
  <w:decimalSymbol w:val="."/>
  <w:listSeparator w:val=","/>
  <w15:chartTrackingRefBased/>
  <w15:docId w15:val="{B321D6C3-AB82-4D70-BB29-7B669257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AC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2A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42ACC"/>
  </w:style>
  <w:style w:type="paragraph" w:styleId="Piedepgina">
    <w:name w:val="footer"/>
    <w:basedOn w:val="Normal"/>
    <w:link w:val="PiedepginaCar"/>
    <w:uiPriority w:val="99"/>
    <w:unhideWhenUsed/>
    <w:rsid w:val="00A42A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42ACC"/>
  </w:style>
  <w:style w:type="paragraph" w:customStyle="1" w:styleId="Sangra2detindependiente1">
    <w:name w:val="Sangría 2 de t. independiente1"/>
    <w:basedOn w:val="Normal"/>
    <w:rsid w:val="00A42ACC"/>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4196</Words>
  <Characters>23081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2021-05-11T21:01:00Z</dcterms:created>
  <dcterms:modified xsi:type="dcterms:W3CDTF">2021-05-11T21:01:00Z</dcterms:modified>
</cp:coreProperties>
</file>