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E6189B" w14:textId="77777777" w:rsidR="00E1353C" w:rsidRPr="00CB6405" w:rsidRDefault="00E1353C" w:rsidP="00E1353C">
      <w:pPr>
        <w:spacing w:line="240" w:lineRule="auto"/>
        <w:ind w:left="2977"/>
        <w:jc w:val="both"/>
        <w:rPr>
          <w:rFonts w:ascii="Arial" w:hAnsi="Arial" w:cs="Arial"/>
          <w:b/>
          <w:sz w:val="26"/>
          <w:szCs w:val="26"/>
        </w:rPr>
      </w:pPr>
      <w:r>
        <w:rPr>
          <w:rFonts w:ascii="Arial" w:hAnsi="Arial" w:cs="Arial"/>
          <w:b/>
          <w:sz w:val="26"/>
          <w:szCs w:val="26"/>
        </w:rPr>
        <w:t xml:space="preserve">                                                                                                                                                                                                                                                                                                                                                                                                                                                                                                                                                                                                                                                                                                                                                                                                                                                                                                                                                                                                                                                                                                                                                                                                                                                                                                                                                                                                                                                                                                                                                                                                                              </w:t>
      </w: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7C4ABE82" w14:textId="77777777" w:rsidR="00E1353C" w:rsidRPr="00CB6405" w:rsidRDefault="00E1353C" w:rsidP="00E1353C">
      <w:pPr>
        <w:spacing w:line="240" w:lineRule="auto"/>
        <w:ind w:left="2977"/>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r>
      <w:r>
        <w:rPr>
          <w:rFonts w:ascii="Arial" w:hAnsi="Arial" w:cs="Arial"/>
          <w:b/>
          <w:sz w:val="26"/>
          <w:szCs w:val="26"/>
        </w:rPr>
        <w:t>0489/2021.</w:t>
      </w:r>
    </w:p>
    <w:p w14:paraId="5A7B7703" w14:textId="77777777" w:rsidR="00E1353C" w:rsidRDefault="00E1353C" w:rsidP="00E1353C">
      <w:pPr>
        <w:spacing w:line="240" w:lineRule="auto"/>
        <w:ind w:left="2977"/>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0166/2020</w:t>
      </w:r>
      <w:r w:rsidRPr="00CB6405">
        <w:rPr>
          <w:rFonts w:ascii="Arial" w:hAnsi="Arial" w:cs="Arial"/>
          <w:b/>
          <w:sz w:val="26"/>
          <w:szCs w:val="26"/>
        </w:rPr>
        <w:t xml:space="preserve"> </w:t>
      </w:r>
      <w:r>
        <w:rPr>
          <w:rFonts w:ascii="Arial" w:hAnsi="Arial" w:cs="Arial"/>
          <w:b/>
          <w:sz w:val="26"/>
          <w:szCs w:val="26"/>
        </w:rPr>
        <w:t xml:space="preserve">DE LA CUARTA </w:t>
      </w:r>
      <w:r w:rsidRPr="00CB6405">
        <w:rPr>
          <w:rFonts w:ascii="Arial" w:hAnsi="Arial" w:cs="Arial"/>
          <w:b/>
          <w:sz w:val="26"/>
          <w:szCs w:val="26"/>
        </w:rPr>
        <w:t>SALA UNITARIA DE PRIMERA INSTANCIA</w:t>
      </w:r>
      <w:r>
        <w:rPr>
          <w:rFonts w:ascii="Arial" w:hAnsi="Arial" w:cs="Arial"/>
          <w:b/>
          <w:sz w:val="26"/>
          <w:szCs w:val="26"/>
        </w:rPr>
        <w:t>.</w:t>
      </w:r>
    </w:p>
    <w:p w14:paraId="4D919C9C" w14:textId="77777777" w:rsidR="00E1353C" w:rsidRDefault="00E1353C" w:rsidP="00E1353C">
      <w:pPr>
        <w:spacing w:line="240" w:lineRule="auto"/>
        <w:ind w:left="2977"/>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MAGISTRADA GLORIA DEL CARMEN CAMACHO MEZA.</w:t>
      </w:r>
    </w:p>
    <w:p w14:paraId="6631E370" w14:textId="77777777" w:rsidR="00E1353C" w:rsidRDefault="00E1353C" w:rsidP="00E1353C">
      <w:pPr>
        <w:spacing w:line="240" w:lineRule="auto"/>
        <w:ind w:left="2124"/>
        <w:jc w:val="both"/>
        <w:rPr>
          <w:rFonts w:ascii="Arial" w:hAnsi="Arial" w:cs="Arial"/>
          <w:b/>
          <w:sz w:val="26"/>
          <w:szCs w:val="26"/>
        </w:rPr>
      </w:pPr>
    </w:p>
    <w:p w14:paraId="22EF2691" w14:textId="77777777" w:rsidR="00E1353C" w:rsidRDefault="00E1353C" w:rsidP="00E1353C">
      <w:pPr>
        <w:spacing w:before="240" w:line="360" w:lineRule="auto"/>
        <w:jc w:val="both"/>
        <w:rPr>
          <w:rFonts w:ascii="Arial" w:hAnsi="Arial" w:cs="Arial"/>
          <w:b/>
          <w:sz w:val="26"/>
          <w:szCs w:val="26"/>
        </w:rPr>
      </w:pPr>
      <w:r>
        <w:rPr>
          <w:rFonts w:ascii="Arial" w:hAnsi="Arial" w:cs="Arial"/>
          <w:b/>
          <w:sz w:val="26"/>
          <w:szCs w:val="26"/>
        </w:rPr>
        <w:t>OAXACA DE JUÁREZ, OAXACA, A SEIS DE OCTUBRE DE DOS MIL VEINTIDÓS. - - - - - - - - - - - - - - - - - - - - - - - - - - - - - - - - - - - - - - - - - - -</w:t>
      </w:r>
    </w:p>
    <w:p w14:paraId="4BA74B36" w14:textId="7042F1B3" w:rsidR="00E1353C" w:rsidRPr="00821A01" w:rsidRDefault="00E1353C" w:rsidP="00E1353C">
      <w:pPr>
        <w:spacing w:before="240" w:line="360" w:lineRule="auto"/>
        <w:jc w:val="both"/>
        <w:rPr>
          <w:rFonts w:ascii="Arial" w:hAnsi="Arial" w:cs="Arial"/>
          <w:b/>
          <w:sz w:val="26"/>
          <w:szCs w:val="26"/>
        </w:rPr>
      </w:pPr>
      <w:r>
        <w:rPr>
          <w:rFonts w:ascii="Arial" w:hAnsi="Arial" w:cs="Arial"/>
          <w:b/>
          <w:sz w:val="26"/>
          <w:szCs w:val="26"/>
        </w:rPr>
        <w:tab/>
      </w:r>
      <w:r>
        <w:rPr>
          <w:rFonts w:ascii="Arial" w:hAnsi="Arial" w:cs="Arial"/>
          <w:sz w:val="26"/>
          <w:szCs w:val="26"/>
        </w:rPr>
        <w:t>Se tiene por recibido el cuaderno del recurso de r</w:t>
      </w:r>
      <w:r w:rsidRPr="006E349D">
        <w:rPr>
          <w:rFonts w:ascii="Arial" w:hAnsi="Arial" w:cs="Arial"/>
          <w:sz w:val="26"/>
          <w:szCs w:val="26"/>
        </w:rPr>
        <w:t xml:space="preserve">evisión </w:t>
      </w:r>
      <w:r>
        <w:rPr>
          <w:rFonts w:ascii="Arial" w:hAnsi="Arial" w:cs="Arial"/>
          <w:b/>
          <w:sz w:val="26"/>
          <w:szCs w:val="26"/>
        </w:rPr>
        <w:t>0489/2021</w:t>
      </w:r>
      <w:r w:rsidRPr="00821A01">
        <w:rPr>
          <w:rFonts w:ascii="Arial" w:hAnsi="Arial" w:cs="Arial"/>
          <w:b/>
          <w:bCs/>
          <w:sz w:val="26"/>
          <w:szCs w:val="26"/>
        </w:rPr>
        <w:t xml:space="preserve"> </w:t>
      </w:r>
      <w:r>
        <w:rPr>
          <w:rFonts w:ascii="Arial" w:hAnsi="Arial" w:cs="Arial"/>
          <w:sz w:val="26"/>
          <w:szCs w:val="26"/>
        </w:rPr>
        <w:t>que remite la Secretaría General de Acuerdos, con motivo del recurso de revisión interpuesto por el</w:t>
      </w:r>
      <w:r>
        <w:rPr>
          <w:rFonts w:ascii="Arial" w:hAnsi="Arial" w:cs="Arial"/>
          <w:b/>
          <w:sz w:val="26"/>
          <w:szCs w:val="26"/>
        </w:rPr>
        <w:t xml:space="preserve"> PRESIDENTE MUNICIPAL, SÍNDICO PROCURADOR  y REPRESENTANTE DEL AYUNTAMIENTO y de los integ</w:t>
      </w:r>
      <w:r w:rsidRPr="00C03993">
        <w:rPr>
          <w:rFonts w:ascii="Arial" w:hAnsi="Arial" w:cs="Arial"/>
          <w:b/>
          <w:sz w:val="26"/>
          <w:szCs w:val="26"/>
        </w:rPr>
        <w:t>rantes</w:t>
      </w:r>
      <w:r>
        <w:rPr>
          <w:rFonts w:ascii="Arial" w:hAnsi="Arial" w:cs="Arial"/>
          <w:b/>
          <w:sz w:val="26"/>
          <w:szCs w:val="26"/>
        </w:rPr>
        <w:t xml:space="preserve"> del Cabildo, así como el Regidor de Obras Públicas, autoridades del Municipio de Santa María Colotepec, Pochutla, Oaxaca, </w:t>
      </w:r>
      <w:r w:rsidRPr="00A56D0C">
        <w:rPr>
          <w:rFonts w:ascii="Arial" w:hAnsi="Arial" w:cs="Arial"/>
          <w:bCs/>
          <w:sz w:val="26"/>
          <w:szCs w:val="26"/>
        </w:rPr>
        <w:t xml:space="preserve">promovido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 xml:space="preserve">tra de la parte relativa del acuerdo de ocho de octubre de dos mil veintiuno, dictado en el expediente </w:t>
      </w:r>
      <w:r>
        <w:rPr>
          <w:rFonts w:ascii="Arial" w:hAnsi="Arial" w:cs="Arial"/>
          <w:b/>
          <w:sz w:val="26"/>
          <w:szCs w:val="26"/>
        </w:rPr>
        <w:t xml:space="preserve">0166/2020 </w:t>
      </w:r>
      <w:r>
        <w:rPr>
          <w:rFonts w:ascii="Arial" w:hAnsi="Arial" w:cs="Arial"/>
          <w:sz w:val="26"/>
          <w:szCs w:val="26"/>
        </w:rPr>
        <w:t>del índice de la Cuarta Sala Unitaria de Primera Instancia, relativo al juicio de nulidad promovido por</w:t>
      </w:r>
      <w:r>
        <w:rPr>
          <w:rFonts w:ascii="Arial" w:hAnsi="Arial" w:cs="Arial"/>
          <w:b/>
          <w:sz w:val="26"/>
          <w:szCs w:val="26"/>
        </w:rPr>
        <w:t xml:space="preserve"> </w:t>
      </w:r>
      <w:r w:rsidR="002B5B60">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apoderado legal de  </w:t>
      </w:r>
      <w:r w:rsidR="002B5B60">
        <w:rPr>
          <w:rFonts w:ascii="Arial" w:hAnsi="Arial" w:cs="Arial"/>
          <w:b/>
          <w:sz w:val="26"/>
          <w:szCs w:val="26"/>
        </w:rPr>
        <w:t>*******</w:t>
      </w:r>
      <w:r w:rsidRPr="007F2D19">
        <w:rPr>
          <w:rFonts w:ascii="Arial" w:hAnsi="Arial" w:cs="Arial"/>
          <w:b/>
          <w:sz w:val="26"/>
          <w:szCs w:val="26"/>
        </w:rPr>
        <w:t>,</w:t>
      </w:r>
      <w:r>
        <w:rPr>
          <w:rFonts w:ascii="Arial" w:hAnsi="Arial" w:cs="Arial"/>
          <w:b/>
          <w:sz w:val="26"/>
          <w:szCs w:val="26"/>
        </w:rPr>
        <w:t xml:space="preserve"> </w:t>
      </w:r>
      <w:r>
        <w:rPr>
          <w:rFonts w:ascii="Arial" w:hAnsi="Arial" w:cs="Arial"/>
          <w:sz w:val="26"/>
          <w:szCs w:val="26"/>
        </w:rPr>
        <w:t>en contra del</w:t>
      </w:r>
      <w:r>
        <w:rPr>
          <w:rFonts w:ascii="Arial" w:hAnsi="Arial" w:cs="Arial"/>
          <w:b/>
          <w:sz w:val="26"/>
          <w:szCs w:val="26"/>
        </w:rPr>
        <w:t xml:space="preserve"> </w:t>
      </w:r>
      <w:r w:rsidRPr="00B73C3E">
        <w:rPr>
          <w:rFonts w:ascii="Arial" w:hAnsi="Arial" w:cs="Arial"/>
          <w:sz w:val="26"/>
          <w:szCs w:val="26"/>
        </w:rPr>
        <w:t>Cabildo Municipal de Santa María Colotepec, Pochutla, Oaxaca, integrado por el Presidente Municipal, Síndico Municipal, Regidor de Hacienda, Regidor de Obras, Regidor de Salud, Regidora de Educación, Regidor Agropecuario, Regidor de Turismo, Regidor de Cultura y Deporte y Regidora de Ecología, autoridades del citado Municipio;</w:t>
      </w:r>
      <w:r>
        <w:rPr>
          <w:rFonts w:ascii="Arial" w:hAnsi="Arial" w:cs="Arial"/>
          <w:b/>
          <w:sz w:val="26"/>
          <w:szCs w:val="26"/>
        </w:rPr>
        <w:t xml:space="preserve"> </w:t>
      </w:r>
      <w:r>
        <w:rPr>
          <w:rFonts w:ascii="Arial" w:hAnsi="Arial" w:cs="Arial"/>
          <w:sz w:val="26"/>
          <w:szCs w:val="26"/>
        </w:rPr>
        <w:t xml:space="preserve"> por lo que, con fundamento en los artículos 236 y 23</w:t>
      </w:r>
      <w:r w:rsidRPr="00671697">
        <w:rPr>
          <w:rFonts w:ascii="Arial" w:hAnsi="Arial" w:cs="Arial"/>
          <w:sz w:val="26"/>
          <w:szCs w:val="26"/>
        </w:rPr>
        <w:t>8</w:t>
      </w:r>
      <w:r>
        <w:rPr>
          <w:rFonts w:ascii="Arial" w:hAnsi="Arial" w:cs="Arial"/>
          <w:sz w:val="26"/>
          <w:szCs w:val="26"/>
        </w:rPr>
        <w:t xml:space="preserve"> de la Ley de Procedimiento y Justicia Administrativa para el Estado de Oaxaca, </w:t>
      </w:r>
      <w:r>
        <w:rPr>
          <w:rFonts w:ascii="Arial" w:eastAsiaTheme="minorHAnsi" w:hAnsi="Arial" w:cs="Arial"/>
          <w:sz w:val="26"/>
          <w:szCs w:val="26"/>
          <w:lang w:eastAsia="en-US"/>
        </w:rPr>
        <w:t xml:space="preserve">y  24 </w:t>
      </w:r>
      <w:r w:rsidRPr="002623CE">
        <w:rPr>
          <w:rFonts w:ascii="Arial" w:eastAsiaTheme="minorHAnsi" w:hAnsi="Arial" w:cs="Arial"/>
          <w:sz w:val="26"/>
          <w:szCs w:val="26"/>
          <w:lang w:eastAsia="en-US"/>
        </w:rPr>
        <w:t>fracciones</w:t>
      </w:r>
      <w:r>
        <w:rPr>
          <w:rFonts w:ascii="Arial" w:eastAsiaTheme="minorHAnsi" w:hAnsi="Arial" w:cs="Arial"/>
          <w:sz w:val="26"/>
          <w:szCs w:val="26"/>
          <w:lang w:eastAsia="en-US"/>
        </w:rPr>
        <w:t xml:space="preserve"> I y III de la </w:t>
      </w:r>
      <w:r w:rsidRPr="00EB490F">
        <w:rPr>
          <w:rFonts w:ascii="Arial" w:eastAsiaTheme="minorHAnsi" w:hAnsi="Arial" w:cs="Arial"/>
          <w:sz w:val="26"/>
          <w:szCs w:val="26"/>
          <w:lang w:eastAsia="en-US"/>
        </w:rPr>
        <w:t>Ley Orgánica del Tribunal de Justicia Administrativa del Estado de Oaxac</w:t>
      </w:r>
      <w:r>
        <w:rPr>
          <w:rFonts w:ascii="Arial" w:eastAsiaTheme="minorHAnsi" w:hAnsi="Arial" w:cs="Arial"/>
          <w:sz w:val="26"/>
          <w:szCs w:val="26"/>
          <w:lang w:eastAsia="en-US"/>
        </w:rPr>
        <w:t xml:space="preserve">a, se da tramite. Por consiguiente, </w:t>
      </w:r>
      <w:r>
        <w:rPr>
          <w:rFonts w:ascii="Arial" w:hAnsi="Arial" w:cs="Arial"/>
          <w:sz w:val="26"/>
          <w:szCs w:val="26"/>
        </w:rPr>
        <w:t xml:space="preserve">se procede a dictar resolución en los siguientes términos: - - - - - - - - - - </w:t>
      </w:r>
      <w:r w:rsidR="002B5B60">
        <w:rPr>
          <w:rFonts w:ascii="Arial" w:hAnsi="Arial" w:cs="Arial"/>
          <w:sz w:val="26"/>
          <w:szCs w:val="26"/>
        </w:rPr>
        <w:t>- - - - - - - - - - - - - - - - - - - - - - - - - - - - - - - - - - -</w:t>
      </w:r>
    </w:p>
    <w:p w14:paraId="6BFD3BD8" w14:textId="77777777" w:rsidR="00E1353C" w:rsidRPr="00CB6405" w:rsidRDefault="00E1353C" w:rsidP="00E1353C">
      <w:pPr>
        <w:spacing w:line="360" w:lineRule="auto"/>
        <w:jc w:val="center"/>
        <w:rPr>
          <w:rFonts w:ascii="Arial" w:hAnsi="Arial" w:cs="Arial"/>
          <w:b/>
          <w:bCs/>
          <w:sz w:val="26"/>
          <w:szCs w:val="26"/>
        </w:rPr>
      </w:pPr>
      <w:r>
        <w:rPr>
          <w:rFonts w:ascii="Arial" w:hAnsi="Arial" w:cs="Arial"/>
          <w:b/>
          <w:bCs/>
          <w:sz w:val="26"/>
          <w:szCs w:val="26"/>
        </w:rPr>
        <w:t>R</w:t>
      </w:r>
      <w:r w:rsidRPr="00CB6405">
        <w:rPr>
          <w:rFonts w:ascii="Arial" w:hAnsi="Arial" w:cs="Arial"/>
          <w:b/>
          <w:bCs/>
          <w:sz w:val="26"/>
          <w:szCs w:val="26"/>
        </w:rPr>
        <w:t xml:space="preserve"> E S U L T A N D O</w:t>
      </w:r>
    </w:p>
    <w:p w14:paraId="6CEDB684" w14:textId="77777777" w:rsidR="00E1353C" w:rsidRPr="00CB6405" w:rsidRDefault="00E1353C" w:rsidP="00E1353C">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la parte relativa del acuerdo de ocho de octubre de dos mil veintiuno, </w:t>
      </w:r>
      <w:r w:rsidRPr="00CB6405">
        <w:rPr>
          <w:rFonts w:ascii="Arial" w:hAnsi="Arial" w:cs="Arial"/>
          <w:sz w:val="26"/>
          <w:szCs w:val="26"/>
        </w:rPr>
        <w:t>dictad</w:t>
      </w:r>
      <w:r>
        <w:rPr>
          <w:rFonts w:ascii="Arial" w:hAnsi="Arial" w:cs="Arial"/>
          <w:sz w:val="26"/>
          <w:szCs w:val="26"/>
        </w:rPr>
        <w:t xml:space="preserve">o </w:t>
      </w:r>
      <w:r w:rsidRPr="00CB6405">
        <w:rPr>
          <w:rFonts w:ascii="Arial" w:hAnsi="Arial" w:cs="Arial"/>
          <w:sz w:val="26"/>
          <w:szCs w:val="26"/>
        </w:rPr>
        <w:t xml:space="preserve">por </w:t>
      </w:r>
      <w:r>
        <w:rPr>
          <w:rFonts w:ascii="Arial" w:hAnsi="Arial" w:cs="Arial"/>
          <w:sz w:val="26"/>
          <w:szCs w:val="26"/>
        </w:rPr>
        <w:t xml:space="preserve">la Cuarta </w:t>
      </w:r>
      <w:r w:rsidRPr="00CB6405">
        <w:rPr>
          <w:rFonts w:ascii="Arial" w:hAnsi="Arial" w:cs="Arial"/>
          <w:sz w:val="26"/>
          <w:szCs w:val="26"/>
        </w:rPr>
        <w:t>Sala</w:t>
      </w:r>
      <w:r>
        <w:rPr>
          <w:rFonts w:ascii="Arial" w:hAnsi="Arial" w:cs="Arial"/>
          <w:sz w:val="26"/>
          <w:szCs w:val="26"/>
        </w:rPr>
        <w:t xml:space="preserve"> Unitaria de Primera Instancia, el</w:t>
      </w:r>
      <w:r>
        <w:rPr>
          <w:rFonts w:ascii="Arial" w:hAnsi="Arial" w:cs="Arial"/>
          <w:b/>
          <w:sz w:val="26"/>
          <w:szCs w:val="26"/>
        </w:rPr>
        <w:t xml:space="preserve"> PRESIDENTE MUNICIPAL, SÍNDICO PROCURADOR y REPRESENTANTE DEL AYUNTAMIENTO y de los </w:t>
      </w:r>
      <w:r>
        <w:rPr>
          <w:rFonts w:ascii="Arial" w:hAnsi="Arial" w:cs="Arial"/>
          <w:b/>
          <w:sz w:val="26"/>
          <w:szCs w:val="26"/>
        </w:rPr>
        <w:lastRenderedPageBreak/>
        <w:t xml:space="preserve">integrantes del Cabildo, así como el Regidor de Obras Públicas, autoridades del Municipio de Santa María Colotepec, Pochutla, Oaxaca, </w:t>
      </w:r>
      <w:r w:rsidRPr="00003FDD">
        <w:rPr>
          <w:rFonts w:ascii="Arial" w:hAnsi="Arial" w:cs="Arial"/>
          <w:sz w:val="26"/>
          <w:szCs w:val="26"/>
        </w:rPr>
        <w:t>interpus</w:t>
      </w:r>
      <w:r>
        <w:rPr>
          <w:rFonts w:ascii="Arial" w:hAnsi="Arial" w:cs="Arial"/>
          <w:sz w:val="26"/>
          <w:szCs w:val="26"/>
        </w:rPr>
        <w:t>ieron</w:t>
      </w:r>
      <w:r w:rsidRPr="00CB6405">
        <w:rPr>
          <w:rFonts w:ascii="Arial" w:hAnsi="Arial" w:cs="Arial"/>
          <w:sz w:val="26"/>
          <w:szCs w:val="26"/>
        </w:rPr>
        <w:t xml:space="preserve"> en su contra recurso de revisión.</w:t>
      </w:r>
      <w:r>
        <w:rPr>
          <w:rFonts w:ascii="Arial" w:hAnsi="Arial" w:cs="Arial"/>
          <w:sz w:val="26"/>
          <w:szCs w:val="26"/>
        </w:rPr>
        <w:t xml:space="preserve"> - - - - - - - - - - - - </w:t>
      </w:r>
    </w:p>
    <w:p w14:paraId="767FD944" w14:textId="77777777" w:rsidR="00E1353C" w:rsidRDefault="00E1353C" w:rsidP="00E1353C">
      <w:pPr>
        <w:spacing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Pr>
          <w:rFonts w:ascii="Arial" w:hAnsi="Arial" w:cs="Arial"/>
          <w:bCs/>
          <w:iCs/>
          <w:sz w:val="26"/>
          <w:szCs w:val="26"/>
        </w:rPr>
        <w:t>La parte relativa del acuerdo recurrido es el siguiente</w:t>
      </w:r>
      <w:r w:rsidRPr="003B084B">
        <w:rPr>
          <w:rFonts w:ascii="Arial" w:hAnsi="Arial" w:cs="Arial"/>
          <w:bCs/>
          <w:iCs/>
          <w:sz w:val="26"/>
          <w:szCs w:val="26"/>
        </w:rPr>
        <w:t>:</w:t>
      </w:r>
    </w:p>
    <w:p w14:paraId="21BEF486" w14:textId="77777777" w:rsidR="00E1353C" w:rsidRDefault="00E1353C" w:rsidP="00E1353C">
      <w:pPr>
        <w:spacing w:after="0"/>
        <w:ind w:left="567" w:right="616" w:firstLine="426"/>
        <w:jc w:val="both"/>
        <w:rPr>
          <w:rFonts w:ascii="Arial" w:eastAsia="Times New Roman" w:hAnsi="Arial" w:cs="Arial"/>
          <w:bCs/>
          <w:i/>
          <w:iCs/>
          <w:lang w:eastAsia="es-ES"/>
        </w:rPr>
      </w:pPr>
      <w:r w:rsidRPr="00312713">
        <w:rPr>
          <w:rFonts w:ascii="Arial" w:eastAsia="Times New Roman" w:hAnsi="Arial" w:cs="Arial"/>
          <w:bCs/>
          <w:i/>
          <w:iCs/>
          <w:lang w:eastAsia="es-ES"/>
        </w:rPr>
        <w:t>“</w:t>
      </w:r>
      <w:r>
        <w:rPr>
          <w:rFonts w:ascii="Arial" w:eastAsia="Times New Roman" w:hAnsi="Arial" w:cs="Arial"/>
          <w:bCs/>
          <w:i/>
          <w:iCs/>
          <w:lang w:eastAsia="es-ES"/>
        </w:rPr>
        <w:t>[…]</w:t>
      </w:r>
    </w:p>
    <w:p w14:paraId="35B78508" w14:textId="33CBE056" w:rsidR="00E1353C" w:rsidRDefault="00E1353C" w:rsidP="00E1353C">
      <w:pPr>
        <w:spacing w:after="0"/>
        <w:ind w:left="567" w:right="616" w:firstLine="426"/>
        <w:jc w:val="both"/>
        <w:rPr>
          <w:rFonts w:ascii="Arial" w:eastAsia="Times New Roman" w:hAnsi="Arial" w:cs="Arial"/>
          <w:bCs/>
          <w:i/>
          <w:iCs/>
          <w:lang w:eastAsia="es-ES"/>
        </w:rPr>
      </w:pPr>
      <w:r>
        <w:rPr>
          <w:rFonts w:ascii="Arial" w:eastAsia="Times New Roman" w:hAnsi="Arial" w:cs="Arial"/>
          <w:bCs/>
          <w:i/>
          <w:iCs/>
          <w:lang w:eastAsia="es-ES"/>
        </w:rPr>
        <w:t xml:space="preserve">En relación al primer escrito del </w:t>
      </w:r>
      <w:r>
        <w:rPr>
          <w:rFonts w:ascii="Arial" w:eastAsia="Times New Roman" w:hAnsi="Arial" w:cs="Arial"/>
          <w:b/>
          <w:bCs/>
          <w:i/>
          <w:iCs/>
          <w:lang w:eastAsia="es-ES"/>
        </w:rPr>
        <w:t xml:space="preserve">Presidente Municipal, Síndico Procurador y representante legal del Ayuntamiento, Regidor de Hacienda y Regidor de Obras Públicas, autoridades del Municipio de Santa María Colotepec, Pochutla, Oaxaca, </w:t>
      </w:r>
      <w:r>
        <w:rPr>
          <w:rFonts w:ascii="Arial" w:eastAsia="Times New Roman" w:hAnsi="Arial" w:cs="Arial"/>
          <w:bCs/>
          <w:i/>
          <w:iCs/>
          <w:lang w:eastAsia="es-ES"/>
        </w:rPr>
        <w:t xml:space="preserve">mediante el cual pretenden dar contestación a la demanda de nulidad interpuesta en su contra, y toda vez que contestan de manera conjunta, esta Sala Unitaria advierte que no obra en autos la pieza postal relativa a la notificación realizada al </w:t>
      </w:r>
      <w:r>
        <w:rPr>
          <w:rFonts w:ascii="Arial" w:eastAsia="Times New Roman" w:hAnsi="Arial" w:cs="Arial"/>
          <w:b/>
          <w:bCs/>
          <w:i/>
          <w:iCs/>
          <w:lang w:eastAsia="es-ES"/>
        </w:rPr>
        <w:t xml:space="preserve">Síndico Procurador Municipal, </w:t>
      </w:r>
      <w:r>
        <w:rPr>
          <w:rFonts w:ascii="Arial" w:eastAsia="Times New Roman" w:hAnsi="Arial" w:cs="Arial"/>
          <w:bCs/>
          <w:i/>
          <w:iCs/>
          <w:lang w:eastAsia="es-ES"/>
        </w:rPr>
        <w:t xml:space="preserve">por lo tanto, y a efecto de evitarle daños y perjuicios de difícil reparación en su contra, </w:t>
      </w:r>
      <w:r>
        <w:rPr>
          <w:rFonts w:ascii="Arial" w:eastAsia="Times New Roman" w:hAnsi="Arial" w:cs="Arial"/>
          <w:b/>
          <w:bCs/>
          <w:i/>
          <w:iCs/>
          <w:lang w:eastAsia="es-ES"/>
        </w:rPr>
        <w:t xml:space="preserve">se reserva acordar </w:t>
      </w:r>
      <w:r>
        <w:rPr>
          <w:rFonts w:ascii="Arial" w:eastAsia="Times New Roman" w:hAnsi="Arial" w:cs="Arial"/>
          <w:bCs/>
          <w:i/>
          <w:iCs/>
          <w:lang w:eastAsia="es-ES"/>
        </w:rPr>
        <w:t xml:space="preserve">el escrito de cuenta; y se </w:t>
      </w:r>
      <w:r>
        <w:rPr>
          <w:rFonts w:ascii="Arial" w:eastAsia="Times New Roman" w:hAnsi="Arial" w:cs="Arial"/>
          <w:b/>
          <w:bCs/>
          <w:i/>
          <w:iCs/>
          <w:lang w:eastAsia="es-ES"/>
        </w:rPr>
        <w:t xml:space="preserve">requiere </w:t>
      </w:r>
      <w:r>
        <w:rPr>
          <w:rFonts w:ascii="Arial" w:eastAsia="Times New Roman" w:hAnsi="Arial" w:cs="Arial"/>
          <w:bCs/>
          <w:i/>
          <w:iCs/>
          <w:lang w:eastAsia="es-ES"/>
        </w:rPr>
        <w:t xml:space="preserve">al </w:t>
      </w:r>
      <w:r>
        <w:rPr>
          <w:rFonts w:ascii="Arial" w:eastAsia="Times New Roman" w:hAnsi="Arial" w:cs="Arial"/>
          <w:b/>
          <w:bCs/>
          <w:i/>
          <w:iCs/>
          <w:lang w:eastAsia="es-ES"/>
        </w:rPr>
        <w:t xml:space="preserve">Encargado de la Oficina de Correos de México, con residencia en esta Ciudad, </w:t>
      </w:r>
      <w:r>
        <w:rPr>
          <w:rFonts w:ascii="Arial" w:eastAsia="Times New Roman" w:hAnsi="Arial" w:cs="Arial"/>
          <w:bCs/>
          <w:i/>
          <w:iCs/>
          <w:lang w:eastAsia="es-ES"/>
        </w:rPr>
        <w:t xml:space="preserve">para que dentro del término de </w:t>
      </w:r>
      <w:r>
        <w:rPr>
          <w:rFonts w:ascii="Arial" w:eastAsia="Times New Roman" w:hAnsi="Arial" w:cs="Arial"/>
          <w:b/>
          <w:bCs/>
          <w:i/>
          <w:iCs/>
          <w:lang w:eastAsia="es-ES"/>
        </w:rPr>
        <w:t xml:space="preserve">tres días hábiles </w:t>
      </w:r>
      <w:r>
        <w:rPr>
          <w:rFonts w:ascii="Arial" w:eastAsia="Times New Roman" w:hAnsi="Arial" w:cs="Arial"/>
          <w:bCs/>
          <w:i/>
          <w:iCs/>
          <w:lang w:eastAsia="es-ES"/>
        </w:rPr>
        <w:t xml:space="preserve">contados a partir del día hábil siguiente aquel en que surta efectos su notificación, </w:t>
      </w:r>
      <w:r>
        <w:rPr>
          <w:rFonts w:ascii="Arial" w:eastAsia="Times New Roman" w:hAnsi="Arial" w:cs="Arial"/>
          <w:b/>
          <w:bCs/>
          <w:i/>
          <w:iCs/>
          <w:lang w:eastAsia="es-ES"/>
        </w:rPr>
        <w:t xml:space="preserve">exhiba </w:t>
      </w:r>
      <w:r>
        <w:rPr>
          <w:rFonts w:ascii="Arial" w:eastAsia="Times New Roman" w:hAnsi="Arial" w:cs="Arial"/>
          <w:bCs/>
          <w:i/>
          <w:iCs/>
          <w:lang w:eastAsia="es-ES"/>
        </w:rPr>
        <w:t xml:space="preserve">ante esta Sala Unitaria, la pieza postal número </w:t>
      </w:r>
      <w:r w:rsidR="002B5B60">
        <w:rPr>
          <w:rFonts w:ascii="Arial" w:eastAsia="Times New Roman" w:hAnsi="Arial" w:cs="Arial"/>
          <w:b/>
          <w:bCs/>
          <w:i/>
          <w:iCs/>
          <w:lang w:eastAsia="es-ES"/>
        </w:rPr>
        <w:t>*******</w:t>
      </w:r>
      <w:r>
        <w:rPr>
          <w:rFonts w:ascii="Arial" w:eastAsia="Times New Roman" w:hAnsi="Arial" w:cs="Arial"/>
          <w:b/>
          <w:bCs/>
          <w:i/>
          <w:iCs/>
          <w:lang w:eastAsia="es-ES"/>
        </w:rPr>
        <w:t xml:space="preserve">, </w:t>
      </w:r>
      <w:r>
        <w:rPr>
          <w:rFonts w:ascii="Arial" w:eastAsia="Times New Roman" w:hAnsi="Arial" w:cs="Arial"/>
          <w:bCs/>
          <w:i/>
          <w:iCs/>
          <w:lang w:eastAsia="es-ES"/>
        </w:rPr>
        <w:t xml:space="preserve">la cual corresponde al oficio número </w:t>
      </w:r>
      <w:r w:rsidR="002B5B60">
        <w:rPr>
          <w:rFonts w:ascii="Arial" w:eastAsia="Times New Roman" w:hAnsi="Arial" w:cs="Arial"/>
          <w:b/>
          <w:bCs/>
          <w:i/>
          <w:iCs/>
          <w:lang w:eastAsia="es-ES"/>
        </w:rPr>
        <w:t>*******</w:t>
      </w:r>
      <w:r>
        <w:rPr>
          <w:rFonts w:ascii="Arial" w:eastAsia="Times New Roman" w:hAnsi="Arial" w:cs="Arial"/>
          <w:b/>
          <w:bCs/>
          <w:i/>
          <w:iCs/>
          <w:lang w:eastAsia="es-ES"/>
        </w:rPr>
        <w:t xml:space="preserve">, apercibido </w:t>
      </w:r>
      <w:r>
        <w:rPr>
          <w:rFonts w:ascii="Arial" w:eastAsia="Times New Roman" w:hAnsi="Arial" w:cs="Arial"/>
          <w:bCs/>
          <w:i/>
          <w:iCs/>
          <w:lang w:eastAsia="es-ES"/>
        </w:rPr>
        <w:t xml:space="preserve"> que para el caso de omisión, se le impondrá una </w:t>
      </w:r>
      <w:r>
        <w:rPr>
          <w:rFonts w:ascii="Arial" w:eastAsia="Times New Roman" w:hAnsi="Arial" w:cs="Arial"/>
          <w:b/>
          <w:bCs/>
          <w:i/>
          <w:iCs/>
          <w:lang w:eastAsia="es-ES"/>
        </w:rPr>
        <w:t xml:space="preserve">multa </w:t>
      </w:r>
      <w:r>
        <w:rPr>
          <w:rFonts w:ascii="Arial" w:eastAsia="Times New Roman" w:hAnsi="Arial" w:cs="Arial"/>
          <w:bCs/>
          <w:i/>
          <w:iCs/>
          <w:lang w:eastAsia="es-ES"/>
        </w:rPr>
        <w:t xml:space="preserve">de cinco Unidades de Medida y Actualización Diaria, equivalente a </w:t>
      </w:r>
      <w:r>
        <w:rPr>
          <w:rFonts w:ascii="Arial" w:eastAsia="Times New Roman" w:hAnsi="Arial" w:cs="Arial"/>
          <w:b/>
          <w:bCs/>
          <w:i/>
          <w:iCs/>
          <w:lang w:eastAsia="es-ES"/>
        </w:rPr>
        <w:t>$</w:t>
      </w:r>
      <w:r w:rsidR="002B5B60">
        <w:rPr>
          <w:rFonts w:ascii="Arial" w:eastAsia="Times New Roman" w:hAnsi="Arial" w:cs="Arial"/>
          <w:b/>
          <w:bCs/>
          <w:i/>
          <w:iCs/>
          <w:lang w:eastAsia="es-ES"/>
        </w:rPr>
        <w:t>*******</w:t>
      </w:r>
      <w:r>
        <w:rPr>
          <w:rFonts w:ascii="Arial" w:eastAsia="Times New Roman" w:hAnsi="Arial" w:cs="Arial"/>
          <w:b/>
          <w:bCs/>
          <w:i/>
          <w:iCs/>
          <w:lang w:eastAsia="es-ES"/>
        </w:rPr>
        <w:t xml:space="preserve">), </w:t>
      </w:r>
      <w:r>
        <w:rPr>
          <w:rFonts w:ascii="Arial" w:eastAsia="Times New Roman" w:hAnsi="Arial" w:cs="Arial"/>
          <w:bCs/>
          <w:i/>
          <w:iCs/>
          <w:lang w:eastAsia="es-ES"/>
        </w:rPr>
        <w:t>cantidad que resulta de multiplicar $89.62 (ochenta y nueve pesos 62/100 m.n.), que resultan ser las Unidades de Medida y Actualización Diaria, por los días de multa; lo anterior con fundamento en los artículos 155, fracción I, y 190 de la Ley de Procedimiento y Justicia Administrativa para el Estado; en relación con el diverso 127, del Código de Procedimientos Civiles, aplicado supletoriamente al a Ley de la Mat</w:t>
      </w:r>
      <w:r w:rsidR="002B5B60">
        <w:rPr>
          <w:rFonts w:ascii="Arial" w:eastAsia="Times New Roman" w:hAnsi="Arial" w:cs="Arial"/>
          <w:bCs/>
          <w:i/>
          <w:iCs/>
          <w:lang w:eastAsia="es-ES"/>
        </w:rPr>
        <w:t xml:space="preserve">eria.- - - - - - - - - - - - - </w:t>
      </w:r>
    </w:p>
    <w:p w14:paraId="5C776144" w14:textId="77777777" w:rsidR="00E1353C" w:rsidRPr="004B2BEA" w:rsidRDefault="00E1353C" w:rsidP="00E1353C">
      <w:pPr>
        <w:spacing w:after="0"/>
        <w:ind w:left="567" w:right="616" w:firstLine="426"/>
        <w:jc w:val="both"/>
        <w:rPr>
          <w:rFonts w:ascii="Arial" w:eastAsia="Times New Roman" w:hAnsi="Arial" w:cs="Arial"/>
          <w:bCs/>
          <w:i/>
          <w:iCs/>
          <w:lang w:eastAsia="es-ES"/>
        </w:rPr>
      </w:pPr>
      <w:r>
        <w:rPr>
          <w:rFonts w:ascii="Arial" w:eastAsia="Times New Roman" w:hAnsi="Arial" w:cs="Arial"/>
          <w:bCs/>
          <w:i/>
          <w:iCs/>
          <w:lang w:eastAsia="es-ES"/>
        </w:rPr>
        <w:t>[…]</w:t>
      </w:r>
    </w:p>
    <w:p w14:paraId="6ADB53FA" w14:textId="6E9D71BF" w:rsidR="00E1353C" w:rsidRDefault="00E1353C" w:rsidP="00E1353C">
      <w:pPr>
        <w:spacing w:after="0"/>
        <w:ind w:left="567" w:right="616" w:firstLine="426"/>
        <w:jc w:val="both"/>
        <w:rPr>
          <w:rFonts w:ascii="Arial" w:eastAsia="Times New Roman" w:hAnsi="Arial" w:cs="Arial"/>
          <w:bCs/>
          <w:i/>
          <w:iCs/>
          <w:lang w:eastAsia="es-ES"/>
        </w:rPr>
      </w:pPr>
      <w:r>
        <w:rPr>
          <w:rFonts w:ascii="Arial" w:eastAsia="Times New Roman" w:hAnsi="Arial" w:cs="Arial"/>
          <w:bCs/>
          <w:i/>
          <w:iCs/>
          <w:lang w:eastAsia="es-ES"/>
        </w:rPr>
        <w:t xml:space="preserve">Por otra parte, visto el estado procesal que guardan los autos, de ellos se advierte que mediante proveído de veinticinco de abril del presente año, se admitió a trámite la demanda de nulidad de la parte actora, por lo que se ordenó notificar, emplazar y correr traslado a las autoridades demandadas </w:t>
      </w:r>
      <w:r>
        <w:rPr>
          <w:rFonts w:ascii="Arial" w:eastAsia="Times New Roman" w:hAnsi="Arial" w:cs="Arial"/>
          <w:b/>
          <w:bCs/>
          <w:i/>
          <w:iCs/>
          <w:lang w:eastAsia="es-ES"/>
        </w:rPr>
        <w:t xml:space="preserve">Regidor de Salud, Regidora de Educación, Regidor Agropecuario, Regidor de Turismo, Regidor de Cultura y Deporte, y Regidora de Ecología, autoridades del Municipio de Santa María Colotepec, Pochutla, Oaxaca, </w:t>
      </w:r>
      <w:r>
        <w:rPr>
          <w:rFonts w:ascii="Arial" w:eastAsia="Times New Roman" w:hAnsi="Arial" w:cs="Arial"/>
          <w:bCs/>
          <w:i/>
          <w:iCs/>
          <w:lang w:eastAsia="es-ES"/>
        </w:rPr>
        <w:t xml:space="preserve">para que dentro del término de nueve días contados a partir del día siguiente aquel en que surtiera efectos su notificación diera contestación a la demanda de nulidad interpuesta en su contra; y toda vez que las citadas autoridades, fueron debidamente notificadas el seis de julio de la anualidad que transcurre, como consta en las piezas postales número </w:t>
      </w:r>
      <w:r w:rsidR="002B5B60">
        <w:rPr>
          <w:rFonts w:ascii="Arial" w:eastAsia="Times New Roman" w:hAnsi="Arial" w:cs="Arial"/>
          <w:b/>
          <w:bCs/>
          <w:i/>
          <w:iCs/>
          <w:lang w:eastAsia="es-ES"/>
        </w:rPr>
        <w:t>*******</w:t>
      </w:r>
      <w:r>
        <w:rPr>
          <w:rFonts w:ascii="Arial" w:eastAsia="Times New Roman" w:hAnsi="Arial" w:cs="Arial"/>
          <w:b/>
          <w:bCs/>
          <w:i/>
          <w:iCs/>
          <w:lang w:eastAsia="es-ES"/>
        </w:rPr>
        <w:t xml:space="preserve">, </w:t>
      </w:r>
      <w:r>
        <w:rPr>
          <w:rFonts w:ascii="Arial" w:eastAsia="Times New Roman" w:hAnsi="Arial" w:cs="Arial"/>
          <w:bCs/>
          <w:i/>
          <w:iCs/>
          <w:lang w:eastAsia="es-ES"/>
        </w:rPr>
        <w:t xml:space="preserve">por lo tanto el término de </w:t>
      </w:r>
      <w:r>
        <w:rPr>
          <w:rFonts w:ascii="Arial" w:eastAsia="Times New Roman" w:hAnsi="Arial" w:cs="Arial"/>
          <w:b/>
          <w:bCs/>
          <w:i/>
          <w:iCs/>
          <w:lang w:eastAsia="es-ES"/>
        </w:rPr>
        <w:t xml:space="preserve">nueve días hábiles </w:t>
      </w:r>
      <w:r>
        <w:rPr>
          <w:rFonts w:ascii="Arial" w:eastAsia="Times New Roman" w:hAnsi="Arial" w:cs="Arial"/>
          <w:bCs/>
          <w:i/>
          <w:iCs/>
          <w:lang w:eastAsia="es-ES"/>
        </w:rPr>
        <w:t xml:space="preserve">transcurrió del ocho de julio al veintidós de septiembre siguiente, descontándose el período comprendido del dieciséis de julio al dos de agosto de dos mil veintiuno, por haber correspondido al primer período vacacional que gozó este Tribunal; así como los períodos del tres al veinte de agosto, del veintitrés de agosto al tres de septiembre, y del seis al catorce de septiembre de dos mil veintiuno mediante Acuerdos Generales AG/TJAO/7/2021, AG/TJAO/8/2021, AG/TJAO/9/2021, del Pleno del Tribunal de Justicia Administrativa del Estado de Oaxaca,  con motivo de la emergencia sanitaria generada por el SARS-Cov-2 )CONVID-19), sin que corrieran plazos y términos, del quince al diecisiete de septiembre del año en curso, por motivo de la Conmemoración de la Independencia, y los días dieciocho y diecinueve de septiembre del año en curso, por haber correspondido a los días sábado y domingo, días inhábiles para este </w:t>
      </w:r>
      <w:r>
        <w:rPr>
          <w:rFonts w:ascii="Arial" w:eastAsia="Times New Roman" w:hAnsi="Arial" w:cs="Arial"/>
          <w:bCs/>
          <w:i/>
          <w:iCs/>
          <w:lang w:eastAsia="es-ES"/>
        </w:rPr>
        <w:lastRenderedPageBreak/>
        <w:t xml:space="preserve">Tribunal; y siendo un hecho notorio de que hasta el día de hoy no obra constancia alguna de que hayan hecho contestación alguna, se les hace efectivo el apercibimiento decretado por auto de veintiocho de abril del año en curso, en consecuencia, se tiene al </w:t>
      </w:r>
      <w:r>
        <w:rPr>
          <w:rFonts w:ascii="Arial" w:eastAsia="Times New Roman" w:hAnsi="Arial" w:cs="Arial"/>
          <w:b/>
          <w:bCs/>
          <w:i/>
          <w:iCs/>
          <w:lang w:eastAsia="es-ES"/>
        </w:rPr>
        <w:t xml:space="preserve">Regidor de Salud, Regidora de Educación, Regidor Agropecuario, Regidor de Turismo, Regidor de Cultura y Deporte, y Regidora de Ecología, autoridades del Municipio de Santa María Colotepec, Pochutla, Oaxaca, contestando </w:t>
      </w:r>
      <w:r w:rsidRPr="009218FF">
        <w:rPr>
          <w:rFonts w:ascii="Arial" w:eastAsia="Times New Roman" w:hAnsi="Arial" w:cs="Arial"/>
          <w:bCs/>
          <w:i/>
          <w:iCs/>
          <w:lang w:eastAsia="es-ES"/>
        </w:rPr>
        <w:t>la demanda en</w:t>
      </w:r>
      <w:r>
        <w:rPr>
          <w:rFonts w:ascii="Arial" w:eastAsia="Times New Roman" w:hAnsi="Arial" w:cs="Arial"/>
          <w:b/>
          <w:bCs/>
          <w:i/>
          <w:iCs/>
          <w:lang w:eastAsia="es-ES"/>
        </w:rPr>
        <w:t xml:space="preserve"> sentido afirmativo, </w:t>
      </w:r>
      <w:r>
        <w:rPr>
          <w:rFonts w:ascii="Arial" w:eastAsia="Times New Roman" w:hAnsi="Arial" w:cs="Arial"/>
          <w:bCs/>
          <w:i/>
          <w:iCs/>
          <w:lang w:eastAsia="es-ES"/>
        </w:rPr>
        <w:t>salvo prueba en contrario, lo anterior con fundamento en el artículo 183, segundo párrafo, de la Ley de Justicia Administrativa para el Estado (sic).- - - - - -</w:t>
      </w:r>
      <w:r w:rsidR="002B5B60">
        <w:rPr>
          <w:rFonts w:ascii="Arial" w:eastAsia="Times New Roman" w:hAnsi="Arial" w:cs="Arial"/>
          <w:bCs/>
          <w:i/>
          <w:iCs/>
          <w:lang w:eastAsia="es-ES"/>
        </w:rPr>
        <w:t xml:space="preserve"> - - - - - - - - - - - - - - - - - - - - - -</w:t>
      </w:r>
    </w:p>
    <w:p w14:paraId="7B319BB2" w14:textId="77777777" w:rsidR="00E1353C" w:rsidRPr="009218FF" w:rsidRDefault="00E1353C" w:rsidP="00E1353C">
      <w:pPr>
        <w:spacing w:after="0"/>
        <w:ind w:left="567" w:right="616" w:firstLine="426"/>
        <w:jc w:val="both"/>
        <w:rPr>
          <w:rFonts w:ascii="Arial" w:hAnsi="Arial" w:cs="Arial"/>
          <w:bCs/>
          <w:i/>
          <w:iCs/>
        </w:rPr>
      </w:pPr>
      <w:r>
        <w:rPr>
          <w:rFonts w:ascii="Arial" w:eastAsia="Times New Roman" w:hAnsi="Arial" w:cs="Arial"/>
          <w:bCs/>
          <w:i/>
          <w:iCs/>
          <w:lang w:eastAsia="es-ES"/>
        </w:rPr>
        <w:t>[…]”</w:t>
      </w:r>
    </w:p>
    <w:p w14:paraId="392F01DD" w14:textId="77777777" w:rsidR="00E1353C" w:rsidRPr="00CB6405" w:rsidRDefault="00E1353C" w:rsidP="00E1353C">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5B673B0C" w14:textId="77777777" w:rsidR="00E1353C" w:rsidRPr="00F21501" w:rsidRDefault="00E1353C" w:rsidP="00E1353C">
      <w:pPr>
        <w:spacing w:before="12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4 fracción VIII, 2</w:t>
      </w:r>
      <w:r>
        <w:rPr>
          <w:rFonts w:ascii="Arial" w:hAnsi="Arial" w:cs="Arial"/>
          <w:bCs/>
          <w:iCs/>
          <w:sz w:val="26"/>
          <w:szCs w:val="26"/>
        </w:rPr>
        <w:t>3, 24 fracciones I y III,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w:t>
      </w:r>
      <w:r>
        <w:rPr>
          <w:rFonts w:ascii="Arial" w:hAnsi="Arial" w:cs="Arial"/>
          <w:bCs/>
          <w:iCs/>
          <w:sz w:val="26"/>
          <w:szCs w:val="26"/>
        </w:rPr>
        <w:t xml:space="preserve"> el siete de agosto de dos mil veintiuno</w:t>
      </w:r>
      <w:r w:rsidRPr="00455424">
        <w:rPr>
          <w:rFonts w:ascii="Arial" w:hAnsi="Arial" w:cs="Arial"/>
          <w:bCs/>
          <w:iCs/>
          <w:sz w:val="26"/>
          <w:szCs w:val="26"/>
        </w:rPr>
        <w:t>;</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Justicia Administrativa para el Estado de Oaxaca,</w:t>
      </w:r>
      <w:r>
        <w:rPr>
          <w:rFonts w:ascii="Arial" w:hAnsi="Arial" w:cs="Arial"/>
          <w:bCs/>
          <w:iCs/>
          <w:sz w:val="26"/>
          <w:szCs w:val="26"/>
        </w:rPr>
        <w:t xml:space="preserve"> </w:t>
      </w:r>
      <w:r w:rsidRPr="008E3662">
        <w:rPr>
          <w:rFonts w:ascii="Arial" w:hAnsi="Arial" w:cs="Arial"/>
          <w:bCs/>
          <w:iCs/>
          <w:sz w:val="26"/>
          <w:szCs w:val="26"/>
        </w:rPr>
        <w:t>dado que se trata de</w:t>
      </w:r>
      <w:r>
        <w:rPr>
          <w:rFonts w:ascii="Arial" w:hAnsi="Arial" w:cs="Arial"/>
          <w:bCs/>
          <w:iCs/>
          <w:sz w:val="26"/>
          <w:szCs w:val="26"/>
        </w:rPr>
        <w:t>l</w:t>
      </w:r>
      <w:r w:rsidRPr="008E3662">
        <w:rPr>
          <w:rFonts w:ascii="Arial" w:hAnsi="Arial" w:cs="Arial"/>
          <w:bCs/>
          <w:iCs/>
          <w:sz w:val="26"/>
          <w:szCs w:val="26"/>
        </w:rPr>
        <w:t xml:space="preserve"> recurso de revisión interpuesto en contra de</w:t>
      </w:r>
      <w:r>
        <w:rPr>
          <w:rFonts w:ascii="Arial" w:hAnsi="Arial" w:cs="Arial"/>
          <w:bCs/>
          <w:iCs/>
          <w:sz w:val="26"/>
          <w:szCs w:val="26"/>
        </w:rPr>
        <w:t xml:space="preserve"> la parte relativa del acuerdo </w:t>
      </w:r>
      <w:r>
        <w:rPr>
          <w:rFonts w:ascii="Arial" w:hAnsi="Arial" w:cs="Arial"/>
          <w:sz w:val="26"/>
          <w:szCs w:val="26"/>
        </w:rPr>
        <w:t>de ocho de octubre de dos mil veintiuno</w:t>
      </w:r>
      <w:r>
        <w:rPr>
          <w:rFonts w:ascii="Arial" w:hAnsi="Arial" w:cs="Arial"/>
          <w:bCs/>
          <w:iCs/>
          <w:sz w:val="26"/>
          <w:szCs w:val="26"/>
        </w:rPr>
        <w:t>, dictado</w:t>
      </w:r>
      <w:r w:rsidRPr="008E3662">
        <w:rPr>
          <w:rFonts w:ascii="Arial" w:hAnsi="Arial" w:cs="Arial"/>
          <w:bCs/>
          <w:iCs/>
          <w:sz w:val="26"/>
          <w:szCs w:val="26"/>
        </w:rPr>
        <w:t xml:space="preserve"> por </w:t>
      </w:r>
      <w:r>
        <w:rPr>
          <w:rFonts w:ascii="Arial" w:hAnsi="Arial" w:cs="Arial"/>
          <w:bCs/>
          <w:iCs/>
          <w:sz w:val="26"/>
          <w:szCs w:val="26"/>
        </w:rPr>
        <w:t xml:space="preserve">la Cuarta </w:t>
      </w:r>
      <w:r w:rsidRPr="008E3662">
        <w:rPr>
          <w:rFonts w:ascii="Arial" w:hAnsi="Arial" w:cs="Arial"/>
          <w:bCs/>
          <w:iCs/>
          <w:sz w:val="26"/>
          <w:szCs w:val="26"/>
        </w:rPr>
        <w:t>Sala Unitaria de Primera Instancia de este Tribun</w:t>
      </w:r>
      <w:r>
        <w:rPr>
          <w:rFonts w:ascii="Arial" w:hAnsi="Arial" w:cs="Arial"/>
          <w:bCs/>
          <w:iCs/>
          <w:sz w:val="26"/>
          <w:szCs w:val="26"/>
        </w:rPr>
        <w:t xml:space="preserve">al, en el juicio de nulidad </w:t>
      </w:r>
      <w:r>
        <w:rPr>
          <w:rFonts w:ascii="Arial" w:hAnsi="Arial" w:cs="Arial"/>
          <w:b/>
          <w:bCs/>
          <w:iCs/>
          <w:sz w:val="26"/>
          <w:szCs w:val="26"/>
        </w:rPr>
        <w:t>0166/2020</w:t>
      </w:r>
      <w:r w:rsidRPr="00AE78C3">
        <w:rPr>
          <w:rFonts w:ascii="Arial" w:hAnsi="Arial" w:cs="Arial"/>
          <w:b/>
          <w:bCs/>
          <w:iCs/>
          <w:sz w:val="26"/>
          <w:szCs w:val="26"/>
        </w:rPr>
        <w:t>.</w:t>
      </w:r>
      <w:r>
        <w:rPr>
          <w:rFonts w:ascii="Arial" w:hAnsi="Arial" w:cs="Arial"/>
          <w:b/>
          <w:bCs/>
          <w:iCs/>
          <w:sz w:val="26"/>
          <w:szCs w:val="26"/>
        </w:rPr>
        <w:t xml:space="preserve"> </w:t>
      </w:r>
      <w:r>
        <w:rPr>
          <w:rFonts w:ascii="Arial" w:hAnsi="Arial" w:cs="Arial"/>
          <w:bCs/>
          <w:iCs/>
          <w:sz w:val="26"/>
          <w:szCs w:val="26"/>
        </w:rPr>
        <w:t xml:space="preserve">- - - - - - - - </w:t>
      </w:r>
    </w:p>
    <w:p w14:paraId="22512B4E" w14:textId="77777777" w:rsidR="00E1353C" w:rsidRPr="002A2D36" w:rsidRDefault="00E1353C" w:rsidP="00E1353C">
      <w:pPr>
        <w:spacing w:after="0" w:line="360" w:lineRule="auto"/>
        <w:ind w:firstLine="709"/>
        <w:jc w:val="both"/>
        <w:rPr>
          <w:rFonts w:ascii="Arial" w:hAnsi="Arial" w:cs="Arial"/>
          <w:sz w:val="26"/>
          <w:szCs w:val="26"/>
        </w:rPr>
      </w:pPr>
      <w:r w:rsidRPr="002A2D36">
        <w:rPr>
          <w:rFonts w:ascii="Arial" w:hAnsi="Arial" w:cs="Arial"/>
          <w:b/>
          <w:sz w:val="26"/>
          <w:szCs w:val="26"/>
        </w:rPr>
        <w:t>SEGUNDO</w:t>
      </w:r>
      <w:r w:rsidRPr="002A2D36">
        <w:rPr>
          <w:rFonts w:ascii="Arial" w:hAnsi="Arial" w:cs="Arial"/>
          <w:sz w:val="26"/>
          <w:szCs w:val="26"/>
        </w:rPr>
        <w:t xml:space="preserve">. </w:t>
      </w:r>
      <w:r>
        <w:rPr>
          <w:rFonts w:ascii="Arial" w:hAnsi="Arial" w:cs="Arial"/>
          <w:sz w:val="26"/>
          <w:szCs w:val="26"/>
        </w:rPr>
        <w:t>El</w:t>
      </w:r>
      <w:r w:rsidRPr="002A2D36">
        <w:rPr>
          <w:rFonts w:ascii="Arial" w:hAnsi="Arial" w:cs="Arial"/>
          <w:sz w:val="26"/>
          <w:szCs w:val="26"/>
        </w:rPr>
        <w:t xml:space="preserve"> agravio hecho valer se encuentra expuesto en el escrito respectivo de</w:t>
      </w:r>
      <w:r>
        <w:rPr>
          <w:rFonts w:ascii="Arial" w:hAnsi="Arial" w:cs="Arial"/>
          <w:sz w:val="26"/>
          <w:szCs w:val="26"/>
        </w:rPr>
        <w:t xml:space="preserve"> las autoridades </w:t>
      </w:r>
      <w:r w:rsidRPr="002A2D36">
        <w:rPr>
          <w:rFonts w:ascii="Arial" w:hAnsi="Arial" w:cs="Arial"/>
          <w:sz w:val="26"/>
          <w:szCs w:val="26"/>
        </w:rPr>
        <w:t>recurrente</w:t>
      </w:r>
      <w:r>
        <w:rPr>
          <w:rFonts w:ascii="Arial" w:hAnsi="Arial" w:cs="Arial"/>
          <w:sz w:val="26"/>
          <w:szCs w:val="26"/>
        </w:rPr>
        <w:t>s</w:t>
      </w:r>
      <w:r w:rsidRPr="002A2D36">
        <w:rPr>
          <w:rFonts w:ascii="Arial" w:hAnsi="Arial" w:cs="Arial"/>
          <w:sz w:val="26"/>
          <w:szCs w:val="26"/>
        </w:rPr>
        <w:t>, por lo que no exi</w:t>
      </w:r>
      <w:r>
        <w:rPr>
          <w:rFonts w:ascii="Arial" w:hAnsi="Arial" w:cs="Arial"/>
          <w:sz w:val="26"/>
          <w:szCs w:val="26"/>
        </w:rPr>
        <w:t>ste necesidad de transcribirlo</w:t>
      </w:r>
      <w:r w:rsidRPr="002A2D36">
        <w:rPr>
          <w:rFonts w:ascii="Arial" w:hAnsi="Arial" w:cs="Arial"/>
          <w:sz w:val="26"/>
          <w:szCs w:val="26"/>
        </w:rPr>
        <w:t xml:space="preserve"> al no transgredírsele derecho alguno, como tampoco se vulnera disposición expresa que imponga tal obligación. En apoyo a lo anterior, resulta aplicable la jurisprudencia 2a</w:t>
      </w:r>
      <w:proofErr w:type="gramStart"/>
      <w:r w:rsidRPr="002A2D36">
        <w:rPr>
          <w:rFonts w:ascii="Arial" w:hAnsi="Arial" w:cs="Arial"/>
          <w:sz w:val="26"/>
          <w:szCs w:val="26"/>
        </w:rPr>
        <w:t>./</w:t>
      </w:r>
      <w:proofErr w:type="gramEnd"/>
      <w:r w:rsidRPr="002A2D36">
        <w:rPr>
          <w:rFonts w:ascii="Arial" w:hAnsi="Arial" w:cs="Arial"/>
          <w:sz w:val="26"/>
          <w:szCs w:val="26"/>
        </w:rPr>
        <w:t xml:space="preserve">J. 58/2010, con número de registro digital 164618, publicada en el Semanario Judicial de la Federación y su Gaceta, Tomo XXXI, Mayo de 2010, página 830, de rubro y texto siguientes: </w:t>
      </w:r>
      <w:r>
        <w:rPr>
          <w:rFonts w:ascii="Arial" w:hAnsi="Arial" w:cs="Arial"/>
          <w:sz w:val="26"/>
          <w:szCs w:val="26"/>
        </w:rPr>
        <w:t xml:space="preserve">- - - - - - - - - - - - - - - - - - - - - - - - - - - - - - - - - - </w:t>
      </w:r>
    </w:p>
    <w:p w14:paraId="1EF7110D" w14:textId="77777777" w:rsidR="00E1353C" w:rsidRPr="00312713" w:rsidRDefault="00E1353C" w:rsidP="00E1353C">
      <w:pPr>
        <w:spacing w:after="0"/>
        <w:ind w:left="851" w:right="902"/>
        <w:jc w:val="both"/>
        <w:rPr>
          <w:rFonts w:ascii="Arial" w:hAnsi="Arial" w:cs="Arial"/>
          <w:i/>
        </w:rPr>
      </w:pPr>
      <w:r w:rsidRPr="00312713">
        <w:rPr>
          <w:rFonts w:ascii="Arial" w:hAnsi="Arial" w:cs="Arial"/>
          <w:b/>
          <w:i/>
        </w:rPr>
        <w:t>“CONCEPTOS DE VIOLACIÓN O AGRAVIOS. PARA CUMPLIR CON LOS PRINCIPIOS DE CONGRUENCIA Y EXHAUSTIVIDAD EN LAS SENTENCIAS DE AMPARO ES INNECESARIA SU TRANSCRIPCIÓN.</w:t>
      </w:r>
      <w:r>
        <w:rPr>
          <w:rFonts w:ascii="Arial" w:hAnsi="Arial" w:cs="Arial"/>
          <w:b/>
          <w:i/>
        </w:rPr>
        <w:t xml:space="preserve"> </w:t>
      </w:r>
      <w:r w:rsidRPr="00312713">
        <w:rPr>
          <w:rFonts w:ascii="Arial" w:hAnsi="Arial" w:cs="Arial"/>
          <w:i/>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w:t>
      </w:r>
      <w:r w:rsidRPr="00312713">
        <w:rPr>
          <w:rFonts w:ascii="Arial" w:hAnsi="Arial" w:cs="Arial"/>
          <w:i/>
        </w:rPr>
        <w:lastRenderedPageBreak/>
        <w:t>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Pr>
          <w:rFonts w:ascii="Arial" w:hAnsi="Arial" w:cs="Arial"/>
          <w:i/>
        </w:rPr>
        <w:t>”</w:t>
      </w:r>
    </w:p>
    <w:p w14:paraId="0755DEAB" w14:textId="77777777" w:rsidR="00E1353C" w:rsidRDefault="00E1353C" w:rsidP="00E1353C">
      <w:pPr>
        <w:widowControl w:val="0"/>
        <w:tabs>
          <w:tab w:val="left" w:pos="0"/>
        </w:tabs>
        <w:spacing w:before="360" w:after="0" w:line="360" w:lineRule="auto"/>
        <w:ind w:right="17"/>
        <w:jc w:val="both"/>
        <w:rPr>
          <w:rFonts w:ascii="Arial" w:eastAsia="Calibri" w:hAnsi="Arial" w:cs="Arial"/>
          <w:bCs/>
          <w:sz w:val="26"/>
          <w:szCs w:val="26"/>
        </w:rPr>
      </w:pPr>
      <w:r>
        <w:rPr>
          <w:rFonts w:ascii="Arial" w:eastAsia="Calibri" w:hAnsi="Arial" w:cs="Arial"/>
          <w:bCs/>
          <w:sz w:val="26"/>
          <w:szCs w:val="26"/>
        </w:rPr>
        <w:tab/>
      </w:r>
      <w:r w:rsidRPr="00B962C6">
        <w:rPr>
          <w:rFonts w:ascii="Arial" w:eastAsia="Calibri" w:hAnsi="Arial" w:cs="Arial"/>
          <w:b/>
          <w:bCs/>
          <w:sz w:val="26"/>
          <w:szCs w:val="26"/>
        </w:rPr>
        <w:t>TERCERO. -</w:t>
      </w:r>
      <w:r w:rsidRPr="00FA3EF7">
        <w:rPr>
          <w:rFonts w:ascii="Arial" w:hAnsi="Arial" w:cs="Arial"/>
          <w:bCs/>
          <w:sz w:val="26"/>
          <w:szCs w:val="26"/>
        </w:rPr>
        <w:t xml:space="preserve"> </w:t>
      </w:r>
      <w:r>
        <w:rPr>
          <w:rFonts w:ascii="Arial" w:hAnsi="Arial" w:cs="Arial"/>
          <w:bCs/>
          <w:sz w:val="26"/>
          <w:szCs w:val="26"/>
        </w:rPr>
        <w:t xml:space="preserve">Manifiestan los recurrentes </w:t>
      </w:r>
      <w:r>
        <w:rPr>
          <w:rFonts w:ascii="Arial" w:eastAsia="Calibri" w:hAnsi="Arial" w:cs="Arial"/>
          <w:bCs/>
          <w:sz w:val="26"/>
          <w:szCs w:val="26"/>
        </w:rPr>
        <w:t xml:space="preserve">que les causa agravio la parte conducente del acuerdo de ocho de octubre de dos mil veintiuno, dictado por la Cuarta Sala Unitaria de Primera Instancia.–La transcriben- </w:t>
      </w:r>
    </w:p>
    <w:p w14:paraId="044BE96B" w14:textId="77777777" w:rsidR="00E1353C" w:rsidRDefault="00E1353C" w:rsidP="00E1353C">
      <w:pPr>
        <w:widowControl w:val="0"/>
        <w:tabs>
          <w:tab w:val="left" w:pos="0"/>
        </w:tabs>
        <w:spacing w:before="120" w:after="0" w:line="360" w:lineRule="auto"/>
        <w:ind w:right="17"/>
        <w:jc w:val="both"/>
        <w:rPr>
          <w:rFonts w:ascii="Arial" w:eastAsia="Calibri" w:hAnsi="Arial" w:cs="Arial"/>
          <w:bCs/>
          <w:sz w:val="26"/>
          <w:szCs w:val="26"/>
        </w:rPr>
      </w:pPr>
      <w:r>
        <w:rPr>
          <w:rFonts w:ascii="Arial" w:eastAsia="Calibri" w:hAnsi="Arial" w:cs="Arial"/>
          <w:bCs/>
          <w:sz w:val="26"/>
          <w:szCs w:val="26"/>
        </w:rPr>
        <w:tab/>
        <w:t xml:space="preserve">Lo anterior, en virtud de quien compareció a dar contestación a la demanda, bajo la figura de Síndico Procurador y Representante Legal del Ayuntamiento, lo hizo en representación de los integrantes del Cabildo en términos del artículo 71 de la Ley Orgánica Municipal del Estado de Oaxaca, el cual transcriben; asimismo, </w:t>
      </w:r>
      <w:r w:rsidRPr="00C03993">
        <w:rPr>
          <w:rFonts w:ascii="Arial" w:eastAsia="Calibri" w:hAnsi="Arial" w:cs="Arial"/>
          <w:bCs/>
          <w:sz w:val="26"/>
          <w:szCs w:val="26"/>
        </w:rPr>
        <w:t>señalan como apoyo la Tesis Jurisprudencia con rubro: “</w:t>
      </w:r>
      <w:r w:rsidRPr="00C03993">
        <w:rPr>
          <w:rFonts w:ascii="Arial" w:eastAsia="Calibri" w:hAnsi="Arial" w:cs="Arial"/>
          <w:bCs/>
          <w:i/>
          <w:sz w:val="24"/>
          <w:szCs w:val="24"/>
        </w:rPr>
        <w:t>PROCEDIMIENTO CONTENCIOSO ADMINISTRATIVO. CONFORME AL TERCER PÁRRAFO DEL ARTÍCULO 50 DE LA LEY FEDERAL RELATIVA, LA SALA DEL CONOCIMIENTO, AL EMITIR SU SENTENCIA, DEBE EXAMINAR TODOS LOS ARGUMENTOS</w:t>
      </w:r>
      <w:r>
        <w:rPr>
          <w:rFonts w:ascii="Arial" w:eastAsia="Calibri" w:hAnsi="Arial" w:cs="Arial"/>
          <w:bCs/>
          <w:i/>
          <w:sz w:val="24"/>
          <w:szCs w:val="24"/>
        </w:rPr>
        <w:t xml:space="preserve"> DE LAS PARTES, CON LAS SALVEDADES CORRESPONDIENTES.” </w:t>
      </w:r>
      <w:r>
        <w:rPr>
          <w:rFonts w:ascii="Arial" w:eastAsia="Calibri" w:hAnsi="Arial" w:cs="Arial"/>
          <w:bCs/>
          <w:sz w:val="26"/>
          <w:szCs w:val="26"/>
        </w:rPr>
        <w:t xml:space="preserve">- - - - </w:t>
      </w:r>
    </w:p>
    <w:p w14:paraId="6F465030" w14:textId="77777777" w:rsidR="00E1353C" w:rsidRDefault="00E1353C" w:rsidP="00E1353C">
      <w:pPr>
        <w:widowControl w:val="0"/>
        <w:tabs>
          <w:tab w:val="left" w:pos="0"/>
        </w:tabs>
        <w:spacing w:before="120" w:after="0" w:line="360" w:lineRule="auto"/>
        <w:ind w:right="17"/>
        <w:jc w:val="both"/>
        <w:rPr>
          <w:rFonts w:ascii="Arial" w:eastAsia="Calibri" w:hAnsi="Arial" w:cs="Arial"/>
          <w:bCs/>
          <w:sz w:val="26"/>
          <w:szCs w:val="26"/>
        </w:rPr>
      </w:pPr>
      <w:r>
        <w:rPr>
          <w:rFonts w:ascii="Arial" w:eastAsia="Calibri" w:hAnsi="Arial" w:cs="Arial"/>
          <w:bCs/>
          <w:sz w:val="26"/>
          <w:szCs w:val="26"/>
        </w:rPr>
        <w:tab/>
        <w:t xml:space="preserve">En conclusión, indican que el acuerdo recurrido no fie emitido conforme a derecho, por lo que solicitan a esta Sala Superior </w:t>
      </w:r>
      <w:r w:rsidRPr="00C03993">
        <w:rPr>
          <w:rFonts w:ascii="Arial" w:eastAsia="Calibri" w:hAnsi="Arial" w:cs="Arial"/>
          <w:bCs/>
          <w:sz w:val="26"/>
          <w:szCs w:val="26"/>
        </w:rPr>
        <w:t>proceda a</w:t>
      </w:r>
      <w:r>
        <w:rPr>
          <w:rFonts w:ascii="Arial" w:eastAsia="Calibri" w:hAnsi="Arial" w:cs="Arial"/>
          <w:bCs/>
          <w:sz w:val="26"/>
          <w:szCs w:val="26"/>
        </w:rPr>
        <w:t xml:space="preserve"> revocarlo. - - - - - - - - - - - - - - - - - - - - - - -  - - - - - - - - - - - - - - - - - - - - -</w:t>
      </w:r>
    </w:p>
    <w:p w14:paraId="777F229E" w14:textId="77777777" w:rsidR="00E1353C" w:rsidRPr="00514668" w:rsidRDefault="00E1353C" w:rsidP="00E1353C">
      <w:pPr>
        <w:widowControl w:val="0"/>
        <w:tabs>
          <w:tab w:val="left" w:pos="0"/>
        </w:tabs>
        <w:spacing w:before="120" w:after="0" w:line="360" w:lineRule="auto"/>
        <w:ind w:right="17"/>
        <w:jc w:val="both"/>
        <w:rPr>
          <w:rFonts w:ascii="Arial" w:eastAsia="Calibri" w:hAnsi="Arial" w:cs="Arial"/>
          <w:bCs/>
          <w:sz w:val="26"/>
          <w:szCs w:val="26"/>
          <w:lang w:val="es-ES" w:eastAsia="en-US"/>
        </w:rPr>
      </w:pPr>
      <w:r>
        <w:rPr>
          <w:rFonts w:ascii="Arial" w:eastAsia="Calibri" w:hAnsi="Arial" w:cs="Arial"/>
          <w:bCs/>
          <w:sz w:val="26"/>
          <w:szCs w:val="26"/>
        </w:rPr>
        <w:tab/>
      </w:r>
      <w:r w:rsidRPr="00F764B3">
        <w:rPr>
          <w:rFonts w:ascii="Arial" w:eastAsia="Times New Roman" w:hAnsi="Arial" w:cs="Arial"/>
          <w:b/>
          <w:sz w:val="26"/>
          <w:szCs w:val="26"/>
        </w:rPr>
        <w:t>Antes</w:t>
      </w:r>
      <w:r w:rsidRPr="00514668">
        <w:rPr>
          <w:rFonts w:ascii="Arial" w:eastAsia="Times New Roman" w:hAnsi="Arial" w:cs="Arial"/>
          <w:sz w:val="26"/>
          <w:szCs w:val="26"/>
        </w:rPr>
        <w:t xml:space="preserve"> de entrar al estudio de</w:t>
      </w:r>
      <w:r>
        <w:rPr>
          <w:rFonts w:ascii="Arial" w:eastAsia="Times New Roman" w:hAnsi="Arial" w:cs="Arial"/>
          <w:sz w:val="26"/>
          <w:szCs w:val="26"/>
        </w:rPr>
        <w:t>l</w:t>
      </w:r>
      <w:r w:rsidRPr="00514668">
        <w:rPr>
          <w:rFonts w:ascii="Arial" w:eastAsia="Times New Roman" w:hAnsi="Arial" w:cs="Arial"/>
          <w:sz w:val="26"/>
          <w:szCs w:val="26"/>
        </w:rPr>
        <w:t xml:space="preserve"> agravio manifestado por la autoridad </w:t>
      </w:r>
      <w:r>
        <w:rPr>
          <w:rFonts w:ascii="Arial" w:eastAsia="Times New Roman" w:hAnsi="Arial" w:cs="Arial"/>
          <w:sz w:val="26"/>
          <w:szCs w:val="26"/>
        </w:rPr>
        <w:t>recurrente</w:t>
      </w:r>
      <w:r w:rsidRPr="00514668">
        <w:rPr>
          <w:rFonts w:ascii="Arial" w:eastAsia="Times New Roman" w:hAnsi="Arial" w:cs="Arial"/>
          <w:sz w:val="26"/>
          <w:szCs w:val="26"/>
        </w:rPr>
        <w:t>, esta Sala Superior considera necesario precisar que el</w:t>
      </w:r>
      <w:r w:rsidRPr="00514668">
        <w:rPr>
          <w:rFonts w:ascii="Arial" w:eastAsia="Calibri" w:hAnsi="Arial" w:cs="Arial"/>
          <w:bCs/>
          <w:sz w:val="26"/>
          <w:szCs w:val="26"/>
          <w:lang w:val="es-ES" w:eastAsia="en-US"/>
        </w:rPr>
        <w:t xml:space="preserve"> artículo 236</w:t>
      </w:r>
      <w:r>
        <w:rPr>
          <w:rFonts w:ascii="Arial" w:eastAsia="Calibri" w:hAnsi="Arial" w:cs="Arial"/>
          <w:bCs/>
          <w:sz w:val="26"/>
          <w:szCs w:val="26"/>
          <w:lang w:val="es-ES" w:eastAsia="en-US"/>
        </w:rPr>
        <w:t>,</w:t>
      </w:r>
      <w:r w:rsidRPr="00514668">
        <w:rPr>
          <w:rFonts w:ascii="Arial" w:eastAsia="Calibri" w:hAnsi="Arial" w:cs="Arial"/>
          <w:bCs/>
          <w:sz w:val="26"/>
          <w:szCs w:val="26"/>
          <w:lang w:val="es-ES" w:eastAsia="en-US"/>
        </w:rPr>
        <w:t xml:space="preserve"> fracción VII</w:t>
      </w:r>
      <w:r w:rsidRPr="00514668">
        <w:rPr>
          <w:rFonts w:ascii="Arial" w:eastAsia="Calibri" w:hAnsi="Arial" w:cs="Arial"/>
          <w:bCs/>
          <w:sz w:val="26"/>
          <w:szCs w:val="26"/>
          <w:vertAlign w:val="superscript"/>
          <w:lang w:val="es-ES" w:eastAsia="en-US"/>
        </w:rPr>
        <w:footnoteReference w:id="1"/>
      </w:r>
      <w:r w:rsidRPr="00514668">
        <w:rPr>
          <w:rFonts w:ascii="Arial" w:eastAsia="Calibri" w:hAnsi="Arial" w:cs="Arial"/>
          <w:bCs/>
          <w:sz w:val="26"/>
          <w:szCs w:val="26"/>
          <w:lang w:val="es-ES" w:eastAsia="en-US"/>
        </w:rPr>
        <w:t xml:space="preserve"> de la Ley de Procedimiento y Justicia Administrativa para el Estado de Oaxaca, establece que las sentencias de </w:t>
      </w:r>
      <w:r>
        <w:rPr>
          <w:rFonts w:ascii="Arial" w:eastAsia="Calibri" w:hAnsi="Arial" w:cs="Arial"/>
          <w:bCs/>
          <w:sz w:val="26"/>
          <w:szCs w:val="26"/>
          <w:lang w:val="es-ES" w:eastAsia="en-US"/>
        </w:rPr>
        <w:t>p</w:t>
      </w:r>
      <w:r w:rsidRPr="00514668">
        <w:rPr>
          <w:rFonts w:ascii="Arial" w:eastAsia="Calibri" w:hAnsi="Arial" w:cs="Arial"/>
          <w:bCs/>
          <w:sz w:val="26"/>
          <w:szCs w:val="26"/>
          <w:lang w:val="es-ES" w:eastAsia="en-US"/>
        </w:rPr>
        <w:t xml:space="preserve">rimera </w:t>
      </w:r>
      <w:r>
        <w:rPr>
          <w:rFonts w:ascii="Arial" w:eastAsia="Calibri" w:hAnsi="Arial" w:cs="Arial"/>
          <w:bCs/>
          <w:sz w:val="26"/>
          <w:szCs w:val="26"/>
          <w:lang w:val="es-ES" w:eastAsia="en-US"/>
        </w:rPr>
        <w:t>i</w:t>
      </w:r>
      <w:r w:rsidRPr="00514668">
        <w:rPr>
          <w:rFonts w:ascii="Arial" w:eastAsia="Calibri" w:hAnsi="Arial" w:cs="Arial"/>
          <w:bCs/>
          <w:sz w:val="26"/>
          <w:szCs w:val="26"/>
          <w:lang w:val="es-ES" w:eastAsia="en-US"/>
        </w:rPr>
        <w:t>nstancia podrán ser impugnadas por las partes a través del recurso de revisión.</w:t>
      </w:r>
      <w:r>
        <w:rPr>
          <w:rFonts w:ascii="Arial" w:eastAsia="Calibri" w:hAnsi="Arial" w:cs="Arial"/>
          <w:bCs/>
          <w:sz w:val="26"/>
          <w:szCs w:val="26"/>
          <w:lang w:val="es-ES" w:eastAsia="en-US"/>
        </w:rPr>
        <w:t xml:space="preserve"> - - - - - - -  - - - - - - - - - - - - - - - - - - - - - - - - - - - - - - </w:t>
      </w:r>
    </w:p>
    <w:p w14:paraId="635FF7DD" w14:textId="77777777" w:rsidR="00E1353C" w:rsidRPr="00514668" w:rsidRDefault="00E1353C" w:rsidP="00E1353C">
      <w:pPr>
        <w:spacing w:before="120" w:after="0" w:line="360" w:lineRule="auto"/>
        <w:ind w:firstLine="709"/>
        <w:jc w:val="both"/>
        <w:rPr>
          <w:rFonts w:ascii="Arial" w:eastAsia="Calibri" w:hAnsi="Arial" w:cs="Arial"/>
          <w:bCs/>
          <w:sz w:val="26"/>
          <w:szCs w:val="26"/>
        </w:rPr>
      </w:pPr>
      <w:r w:rsidRPr="00514668">
        <w:rPr>
          <w:rFonts w:ascii="Arial" w:eastAsia="Calibri" w:hAnsi="Arial" w:cs="Arial"/>
          <w:bCs/>
          <w:sz w:val="26"/>
          <w:szCs w:val="26"/>
        </w:rPr>
        <w:t>En el mismo orden de ideas, el artículo 163 de la misma Ley establece:</w:t>
      </w:r>
      <w:r w:rsidRPr="00DD1B16">
        <w:rPr>
          <w:rFonts w:ascii="Arial" w:eastAsia="Calibri" w:hAnsi="Arial" w:cs="Arial"/>
          <w:bCs/>
          <w:sz w:val="26"/>
          <w:szCs w:val="26"/>
        </w:rPr>
        <w:t xml:space="preserve"> </w:t>
      </w:r>
      <w:r>
        <w:rPr>
          <w:rFonts w:ascii="Arial" w:eastAsia="Calibri" w:hAnsi="Arial" w:cs="Arial"/>
          <w:bCs/>
          <w:sz w:val="26"/>
          <w:szCs w:val="26"/>
        </w:rPr>
        <w:t xml:space="preserve">- - - - - - - - - - - - - - - - - - - - - - - - - - - - - - - - - - - - - - - - - - - - </w:t>
      </w:r>
    </w:p>
    <w:p w14:paraId="73B4CBD9" w14:textId="77777777" w:rsidR="00E1353C" w:rsidRPr="0036406B" w:rsidRDefault="00E1353C" w:rsidP="00E1353C">
      <w:pPr>
        <w:autoSpaceDE w:val="0"/>
        <w:autoSpaceDN w:val="0"/>
        <w:adjustRightInd w:val="0"/>
        <w:spacing w:after="0"/>
        <w:ind w:left="851" w:right="900"/>
        <w:jc w:val="both"/>
        <w:rPr>
          <w:rFonts w:ascii="Arial" w:eastAsiaTheme="minorHAnsi" w:hAnsi="Arial" w:cs="Arial"/>
          <w:i/>
          <w:color w:val="000000"/>
          <w:lang w:val="es-ES" w:eastAsia="en-US"/>
        </w:rPr>
      </w:pPr>
      <w:r w:rsidRPr="0036406B">
        <w:rPr>
          <w:rFonts w:ascii="Arial" w:eastAsiaTheme="minorHAnsi" w:hAnsi="Arial" w:cs="Arial"/>
          <w:b/>
          <w:bCs/>
          <w:i/>
          <w:color w:val="000000"/>
          <w:lang w:val="es-ES" w:eastAsia="en-US"/>
        </w:rPr>
        <w:t xml:space="preserve">“ARTÍCULO 163.- </w:t>
      </w:r>
      <w:r w:rsidRPr="0036406B">
        <w:rPr>
          <w:rFonts w:ascii="Arial" w:eastAsiaTheme="minorHAnsi" w:hAnsi="Arial" w:cs="Arial"/>
          <w:i/>
          <w:color w:val="000000"/>
          <w:lang w:val="es-ES" w:eastAsia="en-US"/>
        </w:rPr>
        <w:t xml:space="preserve">Son partes en el juicio contencioso administrativo: </w:t>
      </w:r>
    </w:p>
    <w:p w14:paraId="79FD399E" w14:textId="77777777" w:rsidR="00E1353C" w:rsidRPr="0036406B" w:rsidRDefault="00E1353C" w:rsidP="00E1353C">
      <w:pPr>
        <w:autoSpaceDE w:val="0"/>
        <w:autoSpaceDN w:val="0"/>
        <w:adjustRightInd w:val="0"/>
        <w:spacing w:after="0"/>
        <w:ind w:left="851" w:right="900"/>
        <w:jc w:val="both"/>
        <w:rPr>
          <w:rFonts w:ascii="Arial" w:eastAsiaTheme="minorHAnsi" w:hAnsi="Arial" w:cs="Arial"/>
          <w:i/>
          <w:color w:val="000000"/>
          <w:lang w:val="es-ES" w:eastAsia="en-US"/>
        </w:rPr>
      </w:pPr>
    </w:p>
    <w:p w14:paraId="029850EC" w14:textId="77777777" w:rsidR="00E1353C" w:rsidRPr="0036406B" w:rsidRDefault="00E1353C" w:rsidP="00E1353C">
      <w:pPr>
        <w:autoSpaceDE w:val="0"/>
        <w:autoSpaceDN w:val="0"/>
        <w:adjustRightInd w:val="0"/>
        <w:spacing w:after="0"/>
        <w:ind w:left="851" w:right="900"/>
        <w:jc w:val="both"/>
        <w:rPr>
          <w:rFonts w:ascii="Arial" w:eastAsiaTheme="minorHAnsi" w:hAnsi="Arial" w:cs="Arial"/>
          <w:i/>
          <w:color w:val="000000"/>
          <w:lang w:val="es-ES" w:eastAsia="en-US"/>
        </w:rPr>
      </w:pPr>
      <w:r w:rsidRPr="0036406B">
        <w:rPr>
          <w:rFonts w:ascii="Arial" w:eastAsiaTheme="minorHAnsi" w:hAnsi="Arial" w:cs="Arial"/>
          <w:i/>
          <w:color w:val="000000"/>
          <w:lang w:val="es-ES" w:eastAsia="en-US"/>
        </w:rPr>
        <w:t xml:space="preserve">I. El actor. Tendrá ese carácter: </w:t>
      </w:r>
    </w:p>
    <w:p w14:paraId="28651E37" w14:textId="77777777" w:rsidR="00E1353C" w:rsidRPr="0036406B" w:rsidRDefault="00E1353C" w:rsidP="00E1353C">
      <w:pPr>
        <w:autoSpaceDE w:val="0"/>
        <w:autoSpaceDN w:val="0"/>
        <w:adjustRightInd w:val="0"/>
        <w:spacing w:after="0"/>
        <w:ind w:left="851" w:right="900"/>
        <w:jc w:val="both"/>
        <w:rPr>
          <w:rFonts w:ascii="Arial" w:eastAsiaTheme="minorHAnsi" w:hAnsi="Arial" w:cs="Arial"/>
          <w:i/>
          <w:color w:val="000000"/>
          <w:lang w:val="es-ES" w:eastAsia="en-US"/>
        </w:rPr>
      </w:pPr>
    </w:p>
    <w:p w14:paraId="4A44EB77" w14:textId="77777777" w:rsidR="00E1353C" w:rsidRPr="0036406B" w:rsidRDefault="00E1353C" w:rsidP="00E1353C">
      <w:pPr>
        <w:autoSpaceDE w:val="0"/>
        <w:autoSpaceDN w:val="0"/>
        <w:adjustRightInd w:val="0"/>
        <w:spacing w:after="0"/>
        <w:ind w:left="851" w:right="900"/>
        <w:jc w:val="both"/>
        <w:rPr>
          <w:rFonts w:ascii="Arial" w:eastAsiaTheme="minorHAnsi" w:hAnsi="Arial" w:cs="Arial"/>
          <w:i/>
          <w:color w:val="000000"/>
          <w:lang w:val="es-ES" w:eastAsia="en-US"/>
        </w:rPr>
      </w:pPr>
      <w:r w:rsidRPr="0036406B">
        <w:rPr>
          <w:rFonts w:ascii="Arial" w:eastAsiaTheme="minorHAnsi" w:hAnsi="Arial" w:cs="Arial"/>
          <w:i/>
          <w:color w:val="000000"/>
          <w:lang w:val="es-ES" w:eastAsia="en-US"/>
        </w:rPr>
        <w:t xml:space="preserve">a) El Administrado, que será el particular que tenga interés jurídico o legítimo que funde su pretensión; y </w:t>
      </w:r>
    </w:p>
    <w:p w14:paraId="510A09A6" w14:textId="77777777" w:rsidR="00E1353C" w:rsidRPr="0036406B" w:rsidRDefault="00E1353C" w:rsidP="00E1353C">
      <w:pPr>
        <w:autoSpaceDE w:val="0"/>
        <w:autoSpaceDN w:val="0"/>
        <w:adjustRightInd w:val="0"/>
        <w:spacing w:after="0"/>
        <w:ind w:left="851" w:right="900"/>
        <w:jc w:val="both"/>
        <w:rPr>
          <w:rFonts w:ascii="Arial" w:eastAsiaTheme="minorHAnsi" w:hAnsi="Arial" w:cs="Arial"/>
          <w:i/>
          <w:color w:val="000000"/>
          <w:lang w:val="es-ES" w:eastAsia="en-US"/>
        </w:rPr>
      </w:pPr>
    </w:p>
    <w:p w14:paraId="092101D8" w14:textId="77777777" w:rsidR="00E1353C" w:rsidRPr="0036406B" w:rsidRDefault="00E1353C" w:rsidP="00E1353C">
      <w:pPr>
        <w:autoSpaceDE w:val="0"/>
        <w:autoSpaceDN w:val="0"/>
        <w:adjustRightInd w:val="0"/>
        <w:spacing w:after="0"/>
        <w:ind w:left="851" w:right="900"/>
        <w:jc w:val="both"/>
        <w:rPr>
          <w:rFonts w:ascii="Arial" w:eastAsiaTheme="minorHAnsi" w:hAnsi="Arial" w:cs="Arial"/>
          <w:i/>
          <w:color w:val="000000"/>
          <w:lang w:val="es-ES" w:eastAsia="en-US"/>
        </w:rPr>
      </w:pPr>
      <w:r w:rsidRPr="0036406B">
        <w:rPr>
          <w:rFonts w:ascii="Arial" w:eastAsiaTheme="minorHAnsi" w:hAnsi="Arial" w:cs="Arial"/>
          <w:i/>
          <w:color w:val="000000"/>
          <w:lang w:val="es-ES" w:eastAsia="en-US"/>
        </w:rPr>
        <w:t xml:space="preserve">b) La autoridad en el juicio de lesividad. </w:t>
      </w:r>
    </w:p>
    <w:p w14:paraId="52507B75" w14:textId="77777777" w:rsidR="00E1353C" w:rsidRPr="0036406B" w:rsidRDefault="00E1353C" w:rsidP="00E1353C">
      <w:pPr>
        <w:autoSpaceDE w:val="0"/>
        <w:autoSpaceDN w:val="0"/>
        <w:adjustRightInd w:val="0"/>
        <w:spacing w:after="0"/>
        <w:ind w:left="851" w:right="900"/>
        <w:jc w:val="both"/>
        <w:rPr>
          <w:rFonts w:ascii="Arial" w:eastAsiaTheme="minorHAnsi" w:hAnsi="Arial" w:cs="Arial"/>
          <w:i/>
          <w:color w:val="000000"/>
          <w:lang w:val="es-ES" w:eastAsia="en-US"/>
        </w:rPr>
      </w:pPr>
    </w:p>
    <w:p w14:paraId="749D15FC" w14:textId="77777777" w:rsidR="00E1353C" w:rsidRPr="0036406B" w:rsidRDefault="00E1353C" w:rsidP="00E1353C">
      <w:pPr>
        <w:autoSpaceDE w:val="0"/>
        <w:autoSpaceDN w:val="0"/>
        <w:adjustRightInd w:val="0"/>
        <w:spacing w:after="0"/>
        <w:ind w:left="851" w:right="900"/>
        <w:jc w:val="both"/>
        <w:rPr>
          <w:rFonts w:ascii="Arial" w:eastAsiaTheme="minorHAnsi" w:hAnsi="Arial" w:cs="Arial"/>
          <w:i/>
          <w:color w:val="000000"/>
          <w:lang w:val="es-ES" w:eastAsia="en-US"/>
        </w:rPr>
      </w:pPr>
      <w:r w:rsidRPr="0036406B">
        <w:rPr>
          <w:rFonts w:ascii="Arial" w:eastAsiaTheme="minorHAnsi" w:hAnsi="Arial" w:cs="Arial"/>
          <w:i/>
          <w:color w:val="000000"/>
          <w:lang w:val="es-ES" w:eastAsia="en-US"/>
        </w:rPr>
        <w:t xml:space="preserve">II. El demandado. Tendrá ese carácter: </w:t>
      </w:r>
    </w:p>
    <w:p w14:paraId="4961669F" w14:textId="77777777" w:rsidR="00E1353C" w:rsidRPr="0036406B" w:rsidRDefault="00E1353C" w:rsidP="00E1353C">
      <w:pPr>
        <w:autoSpaceDE w:val="0"/>
        <w:autoSpaceDN w:val="0"/>
        <w:adjustRightInd w:val="0"/>
        <w:spacing w:after="0"/>
        <w:ind w:left="851" w:right="900"/>
        <w:jc w:val="both"/>
        <w:rPr>
          <w:rFonts w:ascii="Arial" w:eastAsiaTheme="minorHAnsi" w:hAnsi="Arial" w:cs="Arial"/>
          <w:i/>
          <w:color w:val="000000"/>
          <w:lang w:val="es-ES" w:eastAsia="en-US"/>
        </w:rPr>
      </w:pPr>
    </w:p>
    <w:p w14:paraId="38AAC831" w14:textId="77777777" w:rsidR="00E1353C" w:rsidRPr="0036406B" w:rsidRDefault="00E1353C" w:rsidP="00E1353C">
      <w:pPr>
        <w:autoSpaceDE w:val="0"/>
        <w:autoSpaceDN w:val="0"/>
        <w:adjustRightInd w:val="0"/>
        <w:spacing w:after="0"/>
        <w:ind w:left="851" w:right="900"/>
        <w:jc w:val="both"/>
        <w:rPr>
          <w:rFonts w:ascii="Arial" w:eastAsiaTheme="minorHAnsi" w:hAnsi="Arial" w:cs="Arial"/>
          <w:i/>
          <w:color w:val="000000"/>
          <w:lang w:val="es-ES" w:eastAsia="en-US"/>
        </w:rPr>
      </w:pPr>
      <w:r w:rsidRPr="0036406B">
        <w:rPr>
          <w:rFonts w:ascii="Arial" w:eastAsiaTheme="minorHAnsi" w:hAnsi="Arial" w:cs="Arial"/>
          <w:i/>
          <w:color w:val="000000"/>
          <w:lang w:val="es-ES" w:eastAsia="en-US"/>
        </w:rPr>
        <w:t xml:space="preserve">a) La autoridad que dicte, ordene, ejecute o trate de ejecutar el acto impugnado, o que omita dar respuesta a las peticiones o instancias de los particulares; </w:t>
      </w:r>
    </w:p>
    <w:p w14:paraId="0ACEBEE5" w14:textId="77777777" w:rsidR="00E1353C" w:rsidRPr="0036406B" w:rsidRDefault="00E1353C" w:rsidP="00E1353C">
      <w:pPr>
        <w:autoSpaceDE w:val="0"/>
        <w:autoSpaceDN w:val="0"/>
        <w:adjustRightInd w:val="0"/>
        <w:spacing w:after="0"/>
        <w:ind w:left="851" w:right="900"/>
        <w:jc w:val="both"/>
        <w:rPr>
          <w:rFonts w:ascii="Arial" w:eastAsiaTheme="minorHAnsi" w:hAnsi="Arial" w:cs="Arial"/>
          <w:i/>
          <w:color w:val="000000"/>
          <w:lang w:val="es-ES" w:eastAsia="en-US"/>
        </w:rPr>
      </w:pPr>
    </w:p>
    <w:p w14:paraId="387E086C" w14:textId="77777777" w:rsidR="00E1353C" w:rsidRPr="0036406B" w:rsidRDefault="00E1353C" w:rsidP="00E1353C">
      <w:pPr>
        <w:autoSpaceDE w:val="0"/>
        <w:autoSpaceDN w:val="0"/>
        <w:adjustRightInd w:val="0"/>
        <w:spacing w:after="0"/>
        <w:ind w:left="851" w:right="900"/>
        <w:jc w:val="both"/>
        <w:rPr>
          <w:rFonts w:ascii="Arial" w:eastAsiaTheme="minorHAnsi" w:hAnsi="Arial" w:cs="Arial"/>
          <w:i/>
          <w:color w:val="000000"/>
          <w:lang w:val="es-ES" w:eastAsia="en-US"/>
        </w:rPr>
      </w:pPr>
      <w:r w:rsidRPr="0036406B">
        <w:rPr>
          <w:rFonts w:ascii="Arial" w:eastAsiaTheme="minorHAnsi" w:hAnsi="Arial" w:cs="Arial"/>
          <w:i/>
          <w:color w:val="000000"/>
          <w:lang w:val="es-ES" w:eastAsia="en-US"/>
        </w:rPr>
        <w:t xml:space="preserve">b) La persona o institución que funja como autoridad administrativa o fiscal en el ámbito estatal o municipal o en los Organismos Públicos Descentralizados, que dicte, ordene, ejecute o trate de ejecutar el acto o resolución impugnados; y </w:t>
      </w:r>
    </w:p>
    <w:p w14:paraId="5615D7AC" w14:textId="77777777" w:rsidR="00E1353C" w:rsidRPr="0036406B" w:rsidRDefault="00E1353C" w:rsidP="00E1353C">
      <w:pPr>
        <w:autoSpaceDE w:val="0"/>
        <w:autoSpaceDN w:val="0"/>
        <w:adjustRightInd w:val="0"/>
        <w:spacing w:after="0"/>
        <w:ind w:left="851" w:right="900"/>
        <w:jc w:val="both"/>
        <w:rPr>
          <w:rFonts w:ascii="Arial" w:eastAsiaTheme="minorHAnsi" w:hAnsi="Arial" w:cs="Arial"/>
          <w:i/>
          <w:color w:val="000000"/>
          <w:lang w:val="es-ES" w:eastAsia="en-US"/>
        </w:rPr>
      </w:pPr>
    </w:p>
    <w:p w14:paraId="1EFFC36B" w14:textId="77777777" w:rsidR="00E1353C" w:rsidRPr="0036406B" w:rsidRDefault="00E1353C" w:rsidP="00E1353C">
      <w:pPr>
        <w:autoSpaceDE w:val="0"/>
        <w:autoSpaceDN w:val="0"/>
        <w:adjustRightInd w:val="0"/>
        <w:spacing w:after="0"/>
        <w:ind w:left="851" w:right="900"/>
        <w:jc w:val="both"/>
        <w:rPr>
          <w:rFonts w:ascii="Arial" w:eastAsiaTheme="minorHAnsi" w:hAnsi="Arial" w:cs="Arial"/>
          <w:i/>
          <w:color w:val="000000"/>
          <w:lang w:val="es-ES" w:eastAsia="en-US"/>
        </w:rPr>
      </w:pPr>
      <w:r w:rsidRPr="0036406B">
        <w:rPr>
          <w:rFonts w:ascii="Arial" w:eastAsiaTheme="minorHAnsi" w:hAnsi="Arial" w:cs="Arial"/>
          <w:i/>
          <w:color w:val="000000"/>
          <w:lang w:val="es-ES" w:eastAsia="en-US"/>
        </w:rPr>
        <w:t xml:space="preserve">c) El particular a quien favorezca la resolución cuya modificación o nulidad demande la autoridad administrativa, estatal o municipal. </w:t>
      </w:r>
    </w:p>
    <w:p w14:paraId="54F8A2DB" w14:textId="77777777" w:rsidR="00E1353C" w:rsidRPr="0036406B" w:rsidRDefault="00E1353C" w:rsidP="00E1353C">
      <w:pPr>
        <w:spacing w:before="100" w:beforeAutospacing="1" w:after="100" w:afterAutospacing="1"/>
        <w:ind w:left="851" w:right="900"/>
        <w:jc w:val="both"/>
        <w:rPr>
          <w:rFonts w:ascii="Arial" w:eastAsia="Calibri" w:hAnsi="Arial" w:cs="Arial"/>
          <w:bCs/>
          <w:i/>
        </w:rPr>
      </w:pPr>
      <w:r w:rsidRPr="0036406B">
        <w:rPr>
          <w:rFonts w:ascii="Arial" w:eastAsia="Times New Roman" w:hAnsi="Arial" w:cs="Arial"/>
          <w:i/>
        </w:rPr>
        <w:t>III. El tercero afectado, pudiendo intervenir con ese carácter cualquier persona física o moral, cuyos intereses puedan resultar incompatibles con las pretensiones del actor y que demuestre interés en que subsista el acto administrativo combatido.”</w:t>
      </w:r>
    </w:p>
    <w:p w14:paraId="618C943B" w14:textId="77777777" w:rsidR="00E1353C" w:rsidRPr="00514668" w:rsidRDefault="00E1353C" w:rsidP="00E1353C">
      <w:pPr>
        <w:spacing w:before="120" w:after="0" w:line="360" w:lineRule="auto"/>
        <w:ind w:firstLine="567"/>
        <w:jc w:val="both"/>
        <w:rPr>
          <w:rFonts w:ascii="Arial" w:eastAsia="Calibri" w:hAnsi="Arial" w:cs="Arial"/>
          <w:bCs/>
          <w:sz w:val="26"/>
          <w:szCs w:val="26"/>
        </w:rPr>
      </w:pPr>
      <w:r w:rsidRPr="00514668">
        <w:rPr>
          <w:rFonts w:ascii="Arial" w:eastAsia="Calibri" w:hAnsi="Arial" w:cs="Arial"/>
          <w:bCs/>
          <w:sz w:val="26"/>
          <w:szCs w:val="26"/>
        </w:rPr>
        <w:t xml:space="preserve">El precepto legal </w:t>
      </w:r>
      <w:r>
        <w:rPr>
          <w:rFonts w:ascii="Arial" w:eastAsia="Calibri" w:hAnsi="Arial" w:cs="Arial"/>
          <w:bCs/>
          <w:sz w:val="26"/>
          <w:szCs w:val="26"/>
        </w:rPr>
        <w:t xml:space="preserve">antes </w:t>
      </w:r>
      <w:r w:rsidRPr="00514668">
        <w:rPr>
          <w:rFonts w:ascii="Arial" w:eastAsia="Calibri" w:hAnsi="Arial" w:cs="Arial"/>
          <w:bCs/>
          <w:sz w:val="26"/>
          <w:szCs w:val="26"/>
        </w:rPr>
        <w:t xml:space="preserve">citado define claramente que las partes en el juicio contencioso administrativo son: </w:t>
      </w:r>
      <w:r w:rsidRPr="00514668">
        <w:rPr>
          <w:rFonts w:ascii="Arial" w:eastAsia="Calibri" w:hAnsi="Arial" w:cs="Arial"/>
          <w:bCs/>
          <w:i/>
          <w:sz w:val="26"/>
          <w:szCs w:val="26"/>
        </w:rPr>
        <w:t>el actor, la autoridad demandada y el tercero afectado.</w:t>
      </w:r>
      <w:r w:rsidRPr="00E60A76">
        <w:rPr>
          <w:rFonts w:ascii="Arial" w:eastAsia="Calibri" w:hAnsi="Arial" w:cs="Arial"/>
          <w:bCs/>
          <w:sz w:val="26"/>
          <w:szCs w:val="26"/>
        </w:rPr>
        <w:t xml:space="preserve"> </w:t>
      </w:r>
      <w:r>
        <w:rPr>
          <w:rFonts w:ascii="Arial" w:eastAsia="Calibri" w:hAnsi="Arial" w:cs="Arial"/>
          <w:bCs/>
          <w:sz w:val="26"/>
          <w:szCs w:val="26"/>
        </w:rPr>
        <w:t>- - - - - - - - - - - - - - - - - - - - - - - - - - - -</w:t>
      </w:r>
    </w:p>
    <w:p w14:paraId="691F921E" w14:textId="77777777" w:rsidR="00E1353C" w:rsidRDefault="00E1353C" w:rsidP="00E1353C">
      <w:pPr>
        <w:widowControl w:val="0"/>
        <w:autoSpaceDE w:val="0"/>
        <w:autoSpaceDN w:val="0"/>
        <w:adjustRightInd w:val="0"/>
        <w:spacing w:before="120" w:after="0" w:line="360" w:lineRule="auto"/>
        <w:ind w:firstLine="708"/>
        <w:jc w:val="both"/>
        <w:rPr>
          <w:rFonts w:ascii="Arial" w:eastAsia="Calibri" w:hAnsi="Arial" w:cs="Arial"/>
          <w:bCs/>
          <w:sz w:val="26"/>
          <w:szCs w:val="26"/>
          <w:lang w:val="es-ES" w:eastAsia="en-US"/>
        </w:rPr>
      </w:pPr>
      <w:r w:rsidRPr="00514668">
        <w:rPr>
          <w:rFonts w:ascii="Arial" w:eastAsia="Calibri" w:hAnsi="Arial" w:cs="Arial"/>
          <w:bCs/>
          <w:sz w:val="26"/>
          <w:szCs w:val="26"/>
          <w:lang w:val="es-ES" w:eastAsia="en-US"/>
        </w:rPr>
        <w:t xml:space="preserve">En esa tesitura, de las constancias procesales que integran el expediente de primera instancia, </w:t>
      </w:r>
      <w:r>
        <w:rPr>
          <w:rFonts w:ascii="Arial" w:eastAsia="Calibri" w:hAnsi="Arial" w:cs="Arial"/>
          <w:bCs/>
          <w:sz w:val="26"/>
          <w:szCs w:val="26"/>
          <w:lang w:val="es-ES" w:eastAsia="en-US"/>
        </w:rPr>
        <w:t>con</w:t>
      </w:r>
      <w:r w:rsidRPr="00514668">
        <w:rPr>
          <w:rFonts w:ascii="Arial" w:eastAsia="Calibri" w:hAnsi="Arial" w:cs="Arial"/>
          <w:bCs/>
          <w:sz w:val="26"/>
          <w:szCs w:val="26"/>
          <w:lang w:val="es-ES" w:eastAsia="en-US"/>
        </w:rPr>
        <w:t xml:space="preserve"> valor probatorio </w:t>
      </w:r>
      <w:r>
        <w:rPr>
          <w:rFonts w:ascii="Arial" w:eastAsia="Calibri" w:hAnsi="Arial" w:cs="Arial"/>
          <w:bCs/>
          <w:sz w:val="26"/>
          <w:szCs w:val="26"/>
          <w:lang w:val="es-ES" w:eastAsia="en-US"/>
        </w:rPr>
        <w:t xml:space="preserve">pleno </w:t>
      </w:r>
      <w:r w:rsidRPr="00514668">
        <w:rPr>
          <w:rFonts w:ascii="Arial" w:eastAsia="Calibri" w:hAnsi="Arial" w:cs="Arial"/>
          <w:bCs/>
          <w:sz w:val="26"/>
          <w:szCs w:val="26"/>
          <w:lang w:val="es-ES" w:eastAsia="en-US"/>
        </w:rPr>
        <w:t>conforme lo dispuesto por el artículo 203</w:t>
      </w:r>
      <w:r>
        <w:rPr>
          <w:rFonts w:ascii="Arial" w:eastAsia="Calibri" w:hAnsi="Arial" w:cs="Arial"/>
          <w:bCs/>
          <w:sz w:val="26"/>
          <w:szCs w:val="26"/>
          <w:lang w:val="es-ES" w:eastAsia="en-US"/>
        </w:rPr>
        <w:t>,</w:t>
      </w:r>
      <w:r w:rsidRPr="00514668">
        <w:rPr>
          <w:rFonts w:ascii="Arial" w:eastAsia="Calibri" w:hAnsi="Arial" w:cs="Arial"/>
          <w:bCs/>
          <w:sz w:val="26"/>
          <w:szCs w:val="26"/>
          <w:lang w:val="es-ES" w:eastAsia="en-US"/>
        </w:rPr>
        <w:t xml:space="preserve"> fracción I</w:t>
      </w:r>
      <w:r w:rsidRPr="00514668">
        <w:rPr>
          <w:rFonts w:ascii="Arial" w:eastAsia="Calibri" w:hAnsi="Arial" w:cs="Arial"/>
          <w:bCs/>
          <w:sz w:val="26"/>
          <w:szCs w:val="26"/>
          <w:vertAlign w:val="superscript"/>
          <w:lang w:val="es-ES" w:eastAsia="en-US"/>
        </w:rPr>
        <w:footnoteReference w:id="2"/>
      </w:r>
      <w:r w:rsidRPr="00514668">
        <w:rPr>
          <w:rFonts w:ascii="Arial" w:eastAsia="Calibri" w:hAnsi="Arial" w:cs="Arial"/>
          <w:bCs/>
          <w:sz w:val="26"/>
          <w:szCs w:val="26"/>
          <w:lang w:val="es-ES" w:eastAsia="en-US"/>
        </w:rPr>
        <w:t xml:space="preserve"> de la Ley de Procedimiento y Justicia Administrativa para el Estado de Oaxaca, por tratarse de actuaciones judiciales, se advierte </w:t>
      </w:r>
      <w:r>
        <w:rPr>
          <w:rFonts w:ascii="Arial" w:eastAsia="Calibri" w:hAnsi="Arial" w:cs="Arial"/>
          <w:bCs/>
          <w:sz w:val="26"/>
          <w:szCs w:val="26"/>
          <w:lang w:val="es-ES" w:eastAsia="en-US"/>
        </w:rPr>
        <w:t>lo siguiente: - - - - - - - - - - - - - - - - - -</w:t>
      </w:r>
    </w:p>
    <w:p w14:paraId="7B357E4F" w14:textId="292192E4" w:rsidR="00E1353C" w:rsidRPr="00C34249" w:rsidRDefault="00E1353C" w:rsidP="00E1353C">
      <w:pPr>
        <w:pStyle w:val="Prrafodelista"/>
        <w:numPr>
          <w:ilvl w:val="0"/>
          <w:numId w:val="15"/>
        </w:numPr>
        <w:spacing w:before="120" w:after="0" w:line="360" w:lineRule="auto"/>
        <w:ind w:left="1066" w:hanging="357"/>
        <w:contextualSpacing w:val="0"/>
        <w:jc w:val="both"/>
        <w:rPr>
          <w:rFonts w:ascii="Arial" w:eastAsiaTheme="minorHAnsi" w:hAnsi="Arial" w:cs="Arial"/>
          <w:b/>
          <w:sz w:val="26"/>
          <w:szCs w:val="26"/>
          <w:lang w:val="es-ES" w:eastAsia="en-US"/>
        </w:rPr>
      </w:pPr>
      <w:r w:rsidRPr="00905A94">
        <w:rPr>
          <w:rFonts w:ascii="Arial" w:eastAsiaTheme="minorHAnsi" w:hAnsi="Arial" w:cs="Arial"/>
          <w:bCs/>
          <w:sz w:val="26"/>
          <w:szCs w:val="26"/>
          <w:lang w:val="es-ES" w:eastAsia="en-US"/>
        </w:rPr>
        <w:t xml:space="preserve">Mediante </w:t>
      </w:r>
      <w:r w:rsidRPr="00716D2D">
        <w:rPr>
          <w:rFonts w:ascii="Arial" w:eastAsiaTheme="minorHAnsi" w:hAnsi="Arial" w:cs="Arial"/>
          <w:bCs/>
          <w:sz w:val="26"/>
          <w:szCs w:val="26"/>
          <w:lang w:val="es-ES" w:eastAsia="en-US"/>
        </w:rPr>
        <w:t>escrito prese</w:t>
      </w:r>
      <w:r w:rsidRPr="00905A94">
        <w:rPr>
          <w:rFonts w:ascii="Arial" w:eastAsiaTheme="minorHAnsi" w:hAnsi="Arial" w:cs="Arial"/>
          <w:bCs/>
          <w:sz w:val="26"/>
          <w:szCs w:val="26"/>
          <w:lang w:val="es-ES" w:eastAsia="en-US"/>
        </w:rPr>
        <w:t xml:space="preserve">ntado el </w:t>
      </w:r>
      <w:r>
        <w:rPr>
          <w:rFonts w:ascii="Arial" w:eastAsiaTheme="minorHAnsi" w:hAnsi="Arial" w:cs="Arial"/>
          <w:bCs/>
          <w:sz w:val="26"/>
          <w:szCs w:val="26"/>
          <w:lang w:val="es-ES" w:eastAsia="en-US"/>
        </w:rPr>
        <w:t xml:space="preserve">dieciocho </w:t>
      </w:r>
      <w:r w:rsidRPr="00C03993">
        <w:rPr>
          <w:rFonts w:ascii="Arial" w:eastAsiaTheme="minorHAnsi" w:hAnsi="Arial" w:cs="Arial"/>
          <w:bCs/>
          <w:sz w:val="26"/>
          <w:szCs w:val="26"/>
          <w:lang w:val="es-ES" w:eastAsia="en-US"/>
        </w:rPr>
        <w:t>de</w:t>
      </w:r>
      <w:r>
        <w:rPr>
          <w:rFonts w:ascii="Arial" w:eastAsiaTheme="minorHAnsi" w:hAnsi="Arial" w:cs="Arial"/>
          <w:bCs/>
          <w:sz w:val="26"/>
          <w:szCs w:val="26"/>
          <w:lang w:val="es-ES" w:eastAsia="en-US"/>
        </w:rPr>
        <w:t xml:space="preserve"> noviembre de dos mil veinte</w:t>
      </w:r>
      <w:r w:rsidRPr="00905A94">
        <w:rPr>
          <w:rFonts w:ascii="Arial" w:eastAsiaTheme="minorHAnsi" w:hAnsi="Arial" w:cs="Arial"/>
          <w:bCs/>
          <w:sz w:val="26"/>
          <w:szCs w:val="26"/>
          <w:lang w:val="es-ES" w:eastAsia="en-US"/>
        </w:rPr>
        <w:t xml:space="preserve"> ante la oficialía de partes común de este Tribunal, </w:t>
      </w:r>
      <w:r w:rsidR="002B5B60">
        <w:rPr>
          <w:rFonts w:ascii="Arial" w:hAnsi="Arial" w:cs="Arial"/>
          <w:b/>
          <w:sz w:val="26"/>
          <w:szCs w:val="26"/>
        </w:rPr>
        <w:t>*******</w:t>
      </w:r>
      <w:r>
        <w:rPr>
          <w:rFonts w:ascii="Arial" w:hAnsi="Arial" w:cs="Arial"/>
          <w:b/>
          <w:sz w:val="26"/>
          <w:szCs w:val="26"/>
        </w:rPr>
        <w:t xml:space="preserve">, </w:t>
      </w:r>
      <w:r w:rsidRPr="00905A94">
        <w:rPr>
          <w:rFonts w:ascii="Arial" w:eastAsiaTheme="minorHAnsi" w:hAnsi="Arial" w:cs="Arial"/>
          <w:bCs/>
          <w:sz w:val="26"/>
          <w:szCs w:val="26"/>
          <w:lang w:val="es-ES" w:eastAsia="en-US"/>
        </w:rPr>
        <w:t>demand</w:t>
      </w:r>
      <w:r>
        <w:rPr>
          <w:rFonts w:ascii="Arial" w:eastAsiaTheme="minorHAnsi" w:hAnsi="Arial" w:cs="Arial"/>
          <w:bCs/>
          <w:sz w:val="26"/>
          <w:szCs w:val="26"/>
          <w:lang w:val="es-ES" w:eastAsia="en-US"/>
        </w:rPr>
        <w:t>aron la excesiva cuantificación de impuestos para el otorgamiento de una licencia de funcionamiento comercial, así como de otros impuestos que emanan de la expedición de dicha licencia, sin que exista un debido mecanismo de cuantificación y base gravable.</w:t>
      </w:r>
    </w:p>
    <w:p w14:paraId="4E3B8EBD" w14:textId="6622677C" w:rsidR="00E1353C" w:rsidRDefault="00E1353C" w:rsidP="00E1353C">
      <w:pPr>
        <w:pStyle w:val="Prrafodelista"/>
        <w:widowControl w:val="0"/>
        <w:numPr>
          <w:ilvl w:val="0"/>
          <w:numId w:val="15"/>
        </w:numPr>
        <w:autoSpaceDE w:val="0"/>
        <w:autoSpaceDN w:val="0"/>
        <w:adjustRightInd w:val="0"/>
        <w:spacing w:before="120" w:after="0" w:line="360" w:lineRule="auto"/>
        <w:ind w:left="1066" w:hanging="357"/>
        <w:contextualSpacing w:val="0"/>
        <w:jc w:val="both"/>
        <w:rPr>
          <w:rFonts w:ascii="Arial" w:eastAsiaTheme="minorHAnsi" w:hAnsi="Arial" w:cs="Arial"/>
          <w:sz w:val="26"/>
          <w:szCs w:val="26"/>
          <w:lang w:val="es-ES" w:eastAsia="en-US"/>
        </w:rPr>
      </w:pPr>
      <w:r w:rsidRPr="00C34249">
        <w:rPr>
          <w:rFonts w:ascii="Arial" w:eastAsiaTheme="minorHAnsi" w:hAnsi="Arial" w:cs="Arial"/>
          <w:sz w:val="26"/>
          <w:szCs w:val="26"/>
          <w:lang w:val="es-ES" w:eastAsia="en-US"/>
        </w:rPr>
        <w:t xml:space="preserve">Mediante </w:t>
      </w:r>
      <w:r>
        <w:rPr>
          <w:rFonts w:ascii="Arial" w:eastAsiaTheme="minorHAnsi" w:hAnsi="Arial" w:cs="Arial"/>
          <w:sz w:val="26"/>
          <w:szCs w:val="26"/>
          <w:lang w:val="es-ES" w:eastAsia="en-US"/>
        </w:rPr>
        <w:t xml:space="preserve">acuerdo dictado el veinte de noviembre de dos mil veinte, la Cuarta Sala Unitaria requirió a los actores para que aclararan su demanda, señalando si era su deseo demandar el contenido del oficio </w:t>
      </w:r>
      <w:r w:rsidR="002B5B60">
        <w:rPr>
          <w:rFonts w:ascii="Arial" w:eastAsiaTheme="minorHAnsi" w:hAnsi="Arial" w:cs="Arial"/>
          <w:b/>
          <w:sz w:val="26"/>
          <w:szCs w:val="26"/>
          <w:lang w:val="es-ES" w:eastAsia="en-US"/>
        </w:rPr>
        <w:t>*******</w:t>
      </w:r>
      <w:r>
        <w:rPr>
          <w:rFonts w:ascii="Arial" w:eastAsiaTheme="minorHAnsi" w:hAnsi="Arial" w:cs="Arial"/>
          <w:b/>
          <w:sz w:val="26"/>
          <w:szCs w:val="26"/>
          <w:lang w:val="es-ES" w:eastAsia="en-US"/>
        </w:rPr>
        <w:t xml:space="preserve">, </w:t>
      </w:r>
      <w:r>
        <w:rPr>
          <w:rFonts w:ascii="Arial" w:eastAsiaTheme="minorHAnsi" w:hAnsi="Arial" w:cs="Arial"/>
          <w:sz w:val="26"/>
          <w:szCs w:val="26"/>
          <w:lang w:val="es-ES" w:eastAsia="en-US"/>
        </w:rPr>
        <w:t xml:space="preserve">de fecha nueve de octubre del citado año, emitido por el Presidente Municipal, Síndico </w:t>
      </w:r>
      <w:r>
        <w:rPr>
          <w:rFonts w:ascii="Arial" w:eastAsiaTheme="minorHAnsi" w:hAnsi="Arial" w:cs="Arial"/>
          <w:sz w:val="26"/>
          <w:szCs w:val="26"/>
          <w:lang w:val="es-ES" w:eastAsia="en-US"/>
        </w:rPr>
        <w:lastRenderedPageBreak/>
        <w:t>Municipal, Regidor de Hacienda, Regidor de Obras Públicas, Regidor de Salud, Regidora de Educación, Regidor Agropecuario, Regidor de Turismo, Regidor de Cultura y Deporte y Regidora de Ecología, autoridades del Ayuntamiento Constitucional de Santa María Colotepec, Pochutla, Oaxaca, y de ser afirmativo, formularan conceptos de impugnación en contra de dichas autoridades.</w:t>
      </w:r>
    </w:p>
    <w:p w14:paraId="5DDFD42E" w14:textId="77777777" w:rsidR="00E1353C" w:rsidRPr="00C03993" w:rsidRDefault="00E1353C" w:rsidP="00E1353C">
      <w:pPr>
        <w:pStyle w:val="Prrafodelista"/>
        <w:widowControl w:val="0"/>
        <w:numPr>
          <w:ilvl w:val="0"/>
          <w:numId w:val="15"/>
        </w:numPr>
        <w:autoSpaceDE w:val="0"/>
        <w:autoSpaceDN w:val="0"/>
        <w:adjustRightInd w:val="0"/>
        <w:spacing w:before="120" w:after="0" w:line="360" w:lineRule="auto"/>
        <w:ind w:left="1066" w:hanging="357"/>
        <w:contextualSpacing w:val="0"/>
        <w:jc w:val="both"/>
        <w:rPr>
          <w:rFonts w:ascii="Arial" w:eastAsiaTheme="minorHAnsi" w:hAnsi="Arial" w:cs="Arial"/>
          <w:sz w:val="26"/>
          <w:szCs w:val="26"/>
          <w:lang w:val="es-ES" w:eastAsia="en-US"/>
        </w:rPr>
      </w:pPr>
      <w:r>
        <w:rPr>
          <w:rFonts w:ascii="Arial" w:eastAsiaTheme="minorHAnsi" w:hAnsi="Arial" w:cs="Arial"/>
          <w:sz w:val="26"/>
          <w:szCs w:val="26"/>
          <w:lang w:val="es-ES" w:eastAsia="en-US"/>
        </w:rPr>
        <w:t xml:space="preserve">Por auto de veinticuatro de febrero de dos mil veintiuno, la Primera Instancia requiere nuevamente a los actores, para que exhibieran cinco juegos de copias simples de su demanda de nulidad, a efectos de poder notificar, emplazar y correr traslado a las autoridades </w:t>
      </w:r>
      <w:r w:rsidRPr="00C03993">
        <w:rPr>
          <w:rFonts w:ascii="Arial" w:eastAsiaTheme="minorHAnsi" w:hAnsi="Arial" w:cs="Arial"/>
          <w:sz w:val="26"/>
          <w:szCs w:val="26"/>
          <w:lang w:val="es-ES" w:eastAsia="en-US"/>
        </w:rPr>
        <w:t>demandadas.</w:t>
      </w:r>
    </w:p>
    <w:p w14:paraId="6EDBDBA6" w14:textId="35F7DC41" w:rsidR="00E1353C" w:rsidRPr="005D0799" w:rsidRDefault="00E1353C" w:rsidP="00E1353C">
      <w:pPr>
        <w:pStyle w:val="Prrafodelista"/>
        <w:widowControl w:val="0"/>
        <w:numPr>
          <w:ilvl w:val="0"/>
          <w:numId w:val="15"/>
        </w:numPr>
        <w:autoSpaceDE w:val="0"/>
        <w:autoSpaceDN w:val="0"/>
        <w:adjustRightInd w:val="0"/>
        <w:spacing w:before="120" w:after="0" w:line="360" w:lineRule="auto"/>
        <w:ind w:left="1066" w:hanging="357"/>
        <w:contextualSpacing w:val="0"/>
        <w:jc w:val="both"/>
        <w:rPr>
          <w:rFonts w:ascii="Arial" w:eastAsiaTheme="minorHAnsi" w:hAnsi="Arial" w:cs="Arial"/>
          <w:b/>
          <w:sz w:val="26"/>
          <w:szCs w:val="26"/>
          <w:lang w:val="es-ES" w:eastAsia="en-US"/>
        </w:rPr>
      </w:pPr>
      <w:r w:rsidRPr="005D0799">
        <w:rPr>
          <w:rFonts w:ascii="Arial" w:eastAsiaTheme="minorHAnsi" w:hAnsi="Arial" w:cs="Arial"/>
          <w:sz w:val="26"/>
          <w:szCs w:val="26"/>
          <w:lang w:val="es-ES" w:eastAsia="en-US"/>
        </w:rPr>
        <w:t xml:space="preserve">Mediante proveído de veintiocho de abril de dos mil veintiuno, la Cuarta Sala Unitaria de Primera Instancia, </w:t>
      </w:r>
      <w:r w:rsidRPr="005D0799">
        <w:rPr>
          <w:rFonts w:ascii="Arial" w:eastAsiaTheme="minorHAnsi" w:hAnsi="Arial" w:cs="Arial"/>
          <w:b/>
          <w:sz w:val="26"/>
          <w:szCs w:val="26"/>
          <w:lang w:val="es-ES" w:eastAsia="en-US"/>
        </w:rPr>
        <w:t xml:space="preserve">admitió </w:t>
      </w:r>
      <w:r w:rsidRPr="005D0799">
        <w:rPr>
          <w:rFonts w:ascii="Arial" w:eastAsiaTheme="minorHAnsi" w:hAnsi="Arial" w:cs="Arial"/>
          <w:bCs/>
          <w:sz w:val="26"/>
          <w:szCs w:val="26"/>
          <w:lang w:val="es-ES" w:eastAsia="en-US"/>
        </w:rPr>
        <w:t xml:space="preserve">a trámite la demanda interpuesta por </w:t>
      </w:r>
      <w:r w:rsidR="002B5B60">
        <w:rPr>
          <w:rFonts w:ascii="Arial" w:eastAsiaTheme="minorHAnsi" w:hAnsi="Arial" w:cs="Arial"/>
          <w:b/>
          <w:bCs/>
          <w:sz w:val="26"/>
          <w:szCs w:val="26"/>
          <w:lang w:val="es-ES" w:eastAsia="en-US"/>
        </w:rPr>
        <w:t>*******</w:t>
      </w:r>
      <w:r w:rsidRPr="005D0799">
        <w:rPr>
          <w:rFonts w:ascii="Arial" w:eastAsiaTheme="minorHAnsi" w:hAnsi="Arial" w:cs="Arial"/>
          <w:b/>
          <w:bCs/>
          <w:sz w:val="26"/>
          <w:szCs w:val="26"/>
          <w:lang w:val="es-ES" w:eastAsia="en-US"/>
        </w:rPr>
        <w:t xml:space="preserve">, apoderado legal de </w:t>
      </w:r>
      <w:r w:rsidR="002B5B60">
        <w:rPr>
          <w:rFonts w:ascii="Arial" w:eastAsiaTheme="minorHAnsi" w:hAnsi="Arial" w:cs="Arial"/>
          <w:b/>
          <w:bCs/>
          <w:sz w:val="26"/>
          <w:szCs w:val="26"/>
          <w:lang w:val="es-ES" w:eastAsia="en-US"/>
        </w:rPr>
        <w:t>*******</w:t>
      </w:r>
      <w:r w:rsidRPr="005D0799">
        <w:rPr>
          <w:rFonts w:ascii="Arial" w:eastAsiaTheme="minorHAnsi" w:hAnsi="Arial" w:cs="Arial"/>
          <w:b/>
          <w:bCs/>
          <w:sz w:val="26"/>
          <w:szCs w:val="26"/>
          <w:lang w:val="es-ES" w:eastAsia="en-US"/>
        </w:rPr>
        <w:t xml:space="preserve">, </w:t>
      </w:r>
      <w:r w:rsidRPr="005D0799">
        <w:rPr>
          <w:rFonts w:ascii="Arial" w:eastAsiaTheme="minorHAnsi" w:hAnsi="Arial" w:cs="Arial"/>
          <w:bCs/>
          <w:sz w:val="26"/>
          <w:szCs w:val="26"/>
          <w:lang w:val="es-ES" w:eastAsia="en-US"/>
        </w:rPr>
        <w:t xml:space="preserve">en contra de la cuantificación excesiva de impuestos para el otorgamiento de una licencia de funcionamiento comercial, la incorrecta tributación por considerarla excesiva, doble tributación, indebida cuantificación y proporcionalidad para la obtención de la citada licencia, así como el contenido del oficio </w:t>
      </w:r>
      <w:r w:rsidR="002B5B60">
        <w:rPr>
          <w:rFonts w:ascii="Arial" w:eastAsiaTheme="minorHAnsi" w:hAnsi="Arial" w:cs="Arial"/>
          <w:bCs/>
          <w:sz w:val="26"/>
          <w:szCs w:val="26"/>
          <w:lang w:val="es-ES" w:eastAsia="en-US"/>
        </w:rPr>
        <w:t>*******</w:t>
      </w:r>
      <w:r w:rsidRPr="005D0799">
        <w:rPr>
          <w:rFonts w:ascii="Arial" w:eastAsiaTheme="minorHAnsi" w:hAnsi="Arial" w:cs="Arial"/>
          <w:bCs/>
          <w:sz w:val="26"/>
          <w:szCs w:val="26"/>
          <w:lang w:val="es-ES" w:eastAsia="en-US"/>
        </w:rPr>
        <w:t xml:space="preserve"> de nueve de octubre de dos mil veinte, y con fundamento en el artículo 149 de la </w:t>
      </w:r>
      <w:r w:rsidRPr="005D0799">
        <w:rPr>
          <w:rFonts w:ascii="Arial" w:eastAsia="Calibri" w:hAnsi="Arial" w:cs="Arial"/>
          <w:bCs/>
          <w:sz w:val="26"/>
          <w:szCs w:val="26"/>
          <w:lang w:val="es-ES" w:eastAsia="en-US"/>
        </w:rPr>
        <w:t xml:space="preserve">Ley de Procedimiento y Justicia Administrativa para el Estado de Oaxaca </w:t>
      </w:r>
      <w:r w:rsidRPr="005D0799">
        <w:rPr>
          <w:rFonts w:ascii="Arial" w:eastAsiaTheme="minorHAnsi" w:hAnsi="Arial" w:cs="Arial"/>
          <w:bCs/>
          <w:sz w:val="26"/>
          <w:szCs w:val="26"/>
          <w:lang w:val="es-ES" w:eastAsia="en-US"/>
        </w:rPr>
        <w:t xml:space="preserve">ordenó notificar, emplazar y correr traslado a las autoridades demandadas </w:t>
      </w:r>
      <w:r w:rsidRPr="005D0799">
        <w:rPr>
          <w:rFonts w:ascii="Arial" w:eastAsiaTheme="minorHAnsi" w:hAnsi="Arial" w:cs="Arial"/>
          <w:sz w:val="26"/>
          <w:szCs w:val="26"/>
          <w:lang w:val="es-ES" w:eastAsia="en-US"/>
        </w:rPr>
        <w:t>Presidente Municipal, Síndico Municipal, Regidor de Hacienda, Regidor de Obras Públicas, Regidor de Salud, Regidora de Educación, Regidor Agropecuario, Regidor de Turismo, Regidor de Cultura y Deporte y Regidora de Ecología, autoridades del Ayuntamiento Constitucional de Santa María Colotepec, Pochutla, Oaxaca</w:t>
      </w:r>
      <w:r>
        <w:rPr>
          <w:rFonts w:ascii="Arial" w:eastAsiaTheme="minorHAnsi" w:hAnsi="Arial" w:cs="Arial"/>
          <w:sz w:val="26"/>
          <w:szCs w:val="26"/>
          <w:lang w:val="es-ES" w:eastAsia="en-US"/>
        </w:rPr>
        <w:t xml:space="preserve">, </w:t>
      </w:r>
      <w:r w:rsidRPr="005D0799">
        <w:rPr>
          <w:rFonts w:ascii="Arial" w:eastAsiaTheme="minorHAnsi" w:hAnsi="Arial" w:cs="Arial"/>
          <w:bCs/>
          <w:sz w:val="26"/>
          <w:szCs w:val="26"/>
          <w:lang w:val="es-ES" w:eastAsia="en-US"/>
        </w:rPr>
        <w:t xml:space="preserve">para que en el plazo legal de nueve días hábiles, </w:t>
      </w:r>
      <w:r w:rsidRPr="00C03993">
        <w:rPr>
          <w:rFonts w:ascii="Arial" w:eastAsiaTheme="minorHAnsi" w:hAnsi="Arial" w:cs="Arial"/>
          <w:bCs/>
          <w:sz w:val="26"/>
          <w:szCs w:val="26"/>
          <w:lang w:val="es-ES" w:eastAsia="en-US"/>
        </w:rPr>
        <w:t>dieran contestación a la demanda, bajo el apercibimiento que de no hacerlo, se les tendría</w:t>
      </w:r>
      <w:r w:rsidRPr="005D0799">
        <w:rPr>
          <w:rFonts w:ascii="Arial" w:eastAsiaTheme="minorHAnsi" w:hAnsi="Arial" w:cs="Arial"/>
          <w:bCs/>
          <w:sz w:val="26"/>
          <w:szCs w:val="26"/>
          <w:lang w:val="es-ES" w:eastAsia="en-US"/>
        </w:rPr>
        <w:t xml:space="preserve"> por contestada en sentido afirmativo.</w:t>
      </w:r>
    </w:p>
    <w:p w14:paraId="03866193" w14:textId="77777777" w:rsidR="00E1353C" w:rsidRPr="00C03993" w:rsidRDefault="00E1353C" w:rsidP="00E1353C">
      <w:pPr>
        <w:pStyle w:val="Prrafodelista"/>
        <w:widowControl w:val="0"/>
        <w:numPr>
          <w:ilvl w:val="0"/>
          <w:numId w:val="15"/>
        </w:numPr>
        <w:autoSpaceDE w:val="0"/>
        <w:autoSpaceDN w:val="0"/>
        <w:adjustRightInd w:val="0"/>
        <w:spacing w:before="120" w:after="0" w:line="360" w:lineRule="auto"/>
        <w:ind w:left="1066" w:hanging="357"/>
        <w:contextualSpacing w:val="0"/>
        <w:jc w:val="both"/>
        <w:rPr>
          <w:rFonts w:ascii="Arial" w:eastAsiaTheme="minorHAnsi" w:hAnsi="Arial" w:cs="Arial"/>
          <w:bCs/>
          <w:sz w:val="26"/>
          <w:szCs w:val="26"/>
          <w:lang w:val="es-ES" w:eastAsia="en-US"/>
        </w:rPr>
      </w:pPr>
      <w:r>
        <w:rPr>
          <w:rFonts w:ascii="Arial" w:eastAsiaTheme="minorHAnsi" w:hAnsi="Arial" w:cs="Arial"/>
          <w:bCs/>
          <w:sz w:val="26"/>
          <w:szCs w:val="26"/>
          <w:lang w:val="es-ES" w:eastAsia="en-US"/>
        </w:rPr>
        <w:t xml:space="preserve">El doce de julio de dos mil veintiuno, la Primera Instancia dicta un acuerdo en el que requiere al Encargado de la Oficina de Correos de México, para que exhibiera las piezas postales </w:t>
      </w:r>
      <w:r w:rsidRPr="00C03993">
        <w:rPr>
          <w:rFonts w:ascii="Arial" w:eastAsiaTheme="minorHAnsi" w:hAnsi="Arial" w:cs="Arial"/>
          <w:bCs/>
          <w:sz w:val="26"/>
          <w:szCs w:val="26"/>
          <w:lang w:val="es-ES" w:eastAsia="en-US"/>
        </w:rPr>
        <w:t xml:space="preserve">correspondientes a los oficios con los cuales se ordenó notificar </w:t>
      </w:r>
      <w:r w:rsidRPr="00C03993">
        <w:rPr>
          <w:rFonts w:ascii="Arial" w:eastAsiaTheme="minorHAnsi" w:hAnsi="Arial" w:cs="Arial"/>
          <w:bCs/>
          <w:sz w:val="26"/>
          <w:szCs w:val="26"/>
          <w:lang w:val="es-ES" w:eastAsia="en-US"/>
        </w:rPr>
        <w:lastRenderedPageBreak/>
        <w:t>y emplazar a las autoridades demandadas.</w:t>
      </w:r>
    </w:p>
    <w:p w14:paraId="5559F807" w14:textId="77777777" w:rsidR="00E1353C" w:rsidRPr="00C03993" w:rsidRDefault="00E1353C" w:rsidP="00E1353C">
      <w:pPr>
        <w:widowControl w:val="0"/>
        <w:autoSpaceDE w:val="0"/>
        <w:autoSpaceDN w:val="0"/>
        <w:adjustRightInd w:val="0"/>
        <w:spacing w:before="120" w:after="0" w:line="360" w:lineRule="auto"/>
        <w:ind w:left="1134" w:hanging="425"/>
        <w:jc w:val="both"/>
        <w:rPr>
          <w:rFonts w:ascii="Arial" w:eastAsiaTheme="minorHAnsi" w:hAnsi="Arial" w:cs="Arial"/>
          <w:bCs/>
          <w:i/>
          <w:iCs/>
          <w:sz w:val="26"/>
          <w:szCs w:val="26"/>
          <w:highlight w:val="yellow"/>
          <w:lang w:val="es-ES" w:eastAsia="en-US"/>
        </w:rPr>
      </w:pPr>
      <w:r>
        <w:rPr>
          <w:rFonts w:ascii="Arial" w:eastAsiaTheme="minorHAnsi" w:hAnsi="Arial" w:cs="Arial"/>
          <w:bCs/>
          <w:sz w:val="26"/>
          <w:szCs w:val="26"/>
          <w:lang w:val="es-ES" w:eastAsia="en-US"/>
        </w:rPr>
        <w:t xml:space="preserve">6) </w:t>
      </w:r>
      <w:r w:rsidRPr="00C03993">
        <w:rPr>
          <w:rFonts w:ascii="Arial" w:eastAsiaTheme="minorHAnsi" w:hAnsi="Arial" w:cs="Arial"/>
          <w:bCs/>
          <w:sz w:val="26"/>
          <w:szCs w:val="26"/>
          <w:lang w:val="es-ES" w:eastAsia="en-US"/>
        </w:rPr>
        <w:t xml:space="preserve"> Por auto de ocho de octubre de dos mil veintiuno, la Primera Instancia reserva acordar el escrito de contestación de demanda del </w:t>
      </w:r>
      <w:r>
        <w:rPr>
          <w:rFonts w:ascii="Arial" w:eastAsiaTheme="minorHAnsi" w:hAnsi="Arial" w:cs="Arial"/>
          <w:bCs/>
          <w:sz w:val="26"/>
          <w:szCs w:val="26"/>
          <w:lang w:val="es-ES" w:eastAsia="en-US"/>
        </w:rPr>
        <w:t xml:space="preserve">Presidente Municipal, </w:t>
      </w:r>
      <w:r w:rsidRPr="00C03993">
        <w:rPr>
          <w:rFonts w:ascii="Arial" w:eastAsiaTheme="minorHAnsi" w:hAnsi="Arial" w:cs="Arial"/>
          <w:bCs/>
          <w:sz w:val="26"/>
          <w:szCs w:val="26"/>
          <w:lang w:val="es-ES" w:eastAsia="en-US"/>
        </w:rPr>
        <w:t>Síndico Procurador</w:t>
      </w:r>
      <w:r>
        <w:rPr>
          <w:rFonts w:ascii="Arial" w:eastAsiaTheme="minorHAnsi" w:hAnsi="Arial" w:cs="Arial"/>
          <w:bCs/>
          <w:sz w:val="26"/>
          <w:szCs w:val="26"/>
          <w:lang w:val="es-ES" w:eastAsia="en-US"/>
        </w:rPr>
        <w:t xml:space="preserve"> y representante legal del Ayuntamiento, Regidor de Hacienda y Regidor de Obras Públicas, autoridades del Municipio de Santa María Colotepec, Pochutla, Oaxaca, </w:t>
      </w:r>
      <w:r w:rsidRPr="00C03993">
        <w:rPr>
          <w:rFonts w:ascii="Arial" w:eastAsiaTheme="minorHAnsi" w:hAnsi="Arial" w:cs="Arial"/>
          <w:bCs/>
          <w:sz w:val="26"/>
          <w:szCs w:val="26"/>
          <w:lang w:val="es-ES" w:eastAsia="en-US"/>
        </w:rPr>
        <w:t xml:space="preserve"> en virtud de que no obra en el expediente la pieza postal del oficio con el cual se ordenó notificar y emplazar a</w:t>
      </w:r>
      <w:r>
        <w:rPr>
          <w:rFonts w:ascii="Arial" w:eastAsiaTheme="minorHAnsi" w:hAnsi="Arial" w:cs="Arial"/>
          <w:bCs/>
          <w:sz w:val="26"/>
          <w:szCs w:val="26"/>
          <w:lang w:val="es-ES" w:eastAsia="en-US"/>
        </w:rPr>
        <w:t>l Síndico Procurador Municipal</w:t>
      </w:r>
      <w:r w:rsidRPr="00C03993">
        <w:rPr>
          <w:rFonts w:ascii="Arial" w:eastAsiaTheme="minorHAnsi" w:hAnsi="Arial" w:cs="Arial"/>
          <w:bCs/>
          <w:sz w:val="26"/>
          <w:szCs w:val="26"/>
          <w:lang w:val="es-ES" w:eastAsia="en-US"/>
        </w:rPr>
        <w:t xml:space="preserve">, por lo que requiere al Encargado de la Oficina de Correos de México; asimismo, tiene contestando la demanda en sentido afirmativo salvo prueba en contrario a las autoridades demandadas </w:t>
      </w:r>
      <w:r w:rsidRPr="00C03993">
        <w:rPr>
          <w:rFonts w:ascii="Arial" w:eastAsiaTheme="minorHAnsi" w:hAnsi="Arial" w:cs="Arial"/>
          <w:sz w:val="26"/>
          <w:szCs w:val="26"/>
          <w:lang w:val="es-ES" w:eastAsia="en-US"/>
        </w:rPr>
        <w:t xml:space="preserve">Regidor de Salud, Regidora de Educación, Regidor Agropecuario, Regidor de Turismo, Regidor de Cultura y Deporte y Regidora de Ecología, autoridades del Ayuntamiento Constitucional de Santa María Colotepec, Pochutla, Oaxaca, en virtud de que no dieron contestación a la demanda. </w:t>
      </w:r>
    </w:p>
    <w:p w14:paraId="778D0426" w14:textId="77777777" w:rsidR="00E1353C" w:rsidRPr="00184FDD" w:rsidRDefault="00E1353C" w:rsidP="00E1353C">
      <w:pPr>
        <w:widowControl w:val="0"/>
        <w:autoSpaceDE w:val="0"/>
        <w:autoSpaceDN w:val="0"/>
        <w:adjustRightInd w:val="0"/>
        <w:spacing w:before="120" w:after="0" w:line="360" w:lineRule="auto"/>
        <w:ind w:firstLine="709"/>
        <w:jc w:val="both"/>
        <w:rPr>
          <w:rFonts w:ascii="Arial" w:eastAsia="Calibri" w:hAnsi="Arial" w:cs="Arial"/>
          <w:bCs/>
          <w:sz w:val="26"/>
          <w:szCs w:val="26"/>
          <w:lang w:val="es-ES" w:eastAsia="en-US"/>
        </w:rPr>
      </w:pPr>
      <w:r w:rsidRPr="00184FDD">
        <w:rPr>
          <w:rFonts w:ascii="Arial" w:eastAsia="Calibri" w:hAnsi="Arial" w:cs="Arial"/>
          <w:bCs/>
          <w:sz w:val="26"/>
          <w:szCs w:val="26"/>
          <w:lang w:val="es-ES" w:eastAsia="en-US"/>
        </w:rPr>
        <w:t>De los puntos anteriormente descritos,</w:t>
      </w:r>
      <w:r>
        <w:rPr>
          <w:rFonts w:ascii="Arial" w:eastAsia="Calibri" w:hAnsi="Arial" w:cs="Arial"/>
          <w:bCs/>
          <w:sz w:val="26"/>
          <w:szCs w:val="26"/>
          <w:lang w:val="es-ES" w:eastAsia="en-US"/>
        </w:rPr>
        <w:t xml:space="preserve"> se advierte que</w:t>
      </w:r>
      <w:r w:rsidRPr="00184FDD">
        <w:rPr>
          <w:rFonts w:ascii="Arial" w:eastAsia="Calibri" w:hAnsi="Arial" w:cs="Arial"/>
          <w:bCs/>
          <w:sz w:val="26"/>
          <w:szCs w:val="26"/>
          <w:lang w:val="es-ES" w:eastAsia="en-US"/>
        </w:rPr>
        <w:t xml:space="preserve"> la </w:t>
      </w:r>
      <w:r>
        <w:rPr>
          <w:rFonts w:ascii="Arial" w:eastAsia="Calibri" w:hAnsi="Arial" w:cs="Arial"/>
          <w:bCs/>
          <w:sz w:val="26"/>
          <w:szCs w:val="26"/>
          <w:lang w:val="es-ES" w:eastAsia="en-US"/>
        </w:rPr>
        <w:t xml:space="preserve">Cuarta Sala Unitaria de Primera </w:t>
      </w:r>
      <w:r w:rsidRPr="00757354">
        <w:rPr>
          <w:rFonts w:ascii="Arial" w:eastAsia="Calibri" w:hAnsi="Arial" w:cs="Arial"/>
          <w:bCs/>
          <w:sz w:val="26"/>
          <w:szCs w:val="26"/>
          <w:lang w:val="es-ES" w:eastAsia="en-US"/>
        </w:rPr>
        <w:t>Instancia</w:t>
      </w:r>
      <w:r>
        <w:rPr>
          <w:rFonts w:ascii="Arial" w:eastAsia="Calibri" w:hAnsi="Arial" w:cs="Arial"/>
          <w:bCs/>
          <w:sz w:val="26"/>
          <w:szCs w:val="26"/>
          <w:lang w:val="es-ES" w:eastAsia="en-US"/>
        </w:rPr>
        <w:t xml:space="preserve">, en el acuerdo recurrido dictado el ocho de octubre de dos mil veintiuno, reservó acordar el escrito presentado por el Presidente Municipal, Síndico Procurador y representante legal del Ayuntamiento, Regidor de Hacienda y Regidor de Obras Públicas, autoridades del Municipio de Santa María Colotepec, Pochutla, Oaxaca, mediante el cual pretendían </w:t>
      </w:r>
      <w:r w:rsidRPr="00757354">
        <w:rPr>
          <w:rFonts w:ascii="Arial" w:eastAsia="Calibri" w:hAnsi="Arial" w:cs="Arial"/>
          <w:bCs/>
          <w:sz w:val="26"/>
          <w:szCs w:val="26"/>
          <w:lang w:val="es-ES" w:eastAsia="en-US"/>
        </w:rPr>
        <w:t>dar contestación a la</w:t>
      </w:r>
      <w:r>
        <w:rPr>
          <w:rFonts w:ascii="Arial" w:eastAsia="Calibri" w:hAnsi="Arial" w:cs="Arial"/>
          <w:bCs/>
          <w:sz w:val="26"/>
          <w:szCs w:val="26"/>
          <w:lang w:val="es-ES" w:eastAsia="en-US"/>
        </w:rPr>
        <w:t xml:space="preserve"> demanda de nulidad interpuesta en su contra, en virtud de que lo hacen de manera conjunta y no obra en autos la pieza postal relativa a la notificación realizada al Síndico Procurador Municipal; </w:t>
      </w:r>
      <w:r>
        <w:rPr>
          <w:rFonts w:ascii="Arial" w:eastAsiaTheme="minorHAnsi" w:hAnsi="Arial" w:cs="Arial"/>
          <w:bCs/>
          <w:sz w:val="26"/>
          <w:szCs w:val="26"/>
          <w:lang w:val="es-ES" w:eastAsia="en-US"/>
        </w:rPr>
        <w:t xml:space="preserve">lo que denota </w:t>
      </w:r>
      <w:r w:rsidRPr="00184FDD">
        <w:rPr>
          <w:rFonts w:ascii="Arial" w:eastAsiaTheme="minorHAnsi" w:hAnsi="Arial" w:cs="Arial"/>
          <w:bCs/>
          <w:sz w:val="26"/>
          <w:szCs w:val="26"/>
          <w:lang w:val="es-ES" w:eastAsia="en-US"/>
        </w:rPr>
        <w:t xml:space="preserve">que la </w:t>
      </w:r>
      <w:r w:rsidRPr="00184FDD">
        <w:rPr>
          <w:rFonts w:ascii="Arial" w:eastAsiaTheme="minorHAnsi" w:hAnsi="Arial" w:cs="Arial"/>
          <w:bCs/>
          <w:i/>
          <w:sz w:val="26"/>
          <w:szCs w:val="26"/>
          <w:lang w:val="es-ES" w:eastAsia="en-US"/>
        </w:rPr>
        <w:t>A quo</w:t>
      </w:r>
      <w:r>
        <w:rPr>
          <w:rFonts w:ascii="Arial" w:eastAsiaTheme="minorHAnsi" w:hAnsi="Arial" w:cs="Arial"/>
          <w:bCs/>
          <w:i/>
          <w:sz w:val="26"/>
          <w:szCs w:val="26"/>
          <w:lang w:val="es-ES" w:eastAsia="en-US"/>
        </w:rPr>
        <w:t>,</w:t>
      </w:r>
      <w:r w:rsidRPr="00184FDD">
        <w:rPr>
          <w:rFonts w:ascii="Arial" w:eastAsiaTheme="minorHAnsi" w:hAnsi="Arial" w:cs="Arial"/>
          <w:bCs/>
          <w:sz w:val="26"/>
          <w:szCs w:val="26"/>
          <w:lang w:val="es-ES" w:eastAsia="en-US"/>
        </w:rPr>
        <w:t xml:space="preserve"> </w:t>
      </w:r>
      <w:r w:rsidRPr="00184FDD">
        <w:rPr>
          <w:rFonts w:ascii="Arial" w:eastAsia="Calibri" w:hAnsi="Arial" w:cs="Arial"/>
          <w:bCs/>
          <w:sz w:val="26"/>
          <w:szCs w:val="26"/>
          <w:lang w:val="es-ES" w:eastAsia="en-US"/>
        </w:rPr>
        <w:t>todavía no ha proveído respecto del contenido de</w:t>
      </w:r>
      <w:r>
        <w:rPr>
          <w:rFonts w:ascii="Arial" w:eastAsia="Calibri" w:hAnsi="Arial" w:cs="Arial"/>
          <w:bCs/>
          <w:sz w:val="26"/>
          <w:szCs w:val="26"/>
          <w:lang w:val="es-ES" w:eastAsia="en-US"/>
        </w:rPr>
        <w:t>l escrito de contestación de demanda de dichas autoridades;</w:t>
      </w:r>
      <w:r w:rsidRPr="00184FDD">
        <w:rPr>
          <w:rFonts w:ascii="Arial" w:eastAsia="Calibri" w:hAnsi="Arial" w:cs="Arial"/>
          <w:bCs/>
          <w:sz w:val="26"/>
          <w:szCs w:val="26"/>
          <w:lang w:val="es-ES" w:eastAsia="en-US"/>
        </w:rPr>
        <w:t xml:space="preserve"> y por tanto</w:t>
      </w:r>
      <w:r>
        <w:rPr>
          <w:rFonts w:ascii="Arial" w:eastAsia="Calibri" w:hAnsi="Arial" w:cs="Arial"/>
          <w:bCs/>
          <w:sz w:val="26"/>
          <w:szCs w:val="26"/>
          <w:lang w:val="es-ES" w:eastAsia="en-US"/>
        </w:rPr>
        <w:t>,</w:t>
      </w:r>
      <w:r w:rsidRPr="00184FDD">
        <w:rPr>
          <w:rFonts w:ascii="Arial" w:eastAsia="Calibri" w:hAnsi="Arial" w:cs="Arial"/>
          <w:bCs/>
          <w:sz w:val="26"/>
          <w:szCs w:val="26"/>
          <w:lang w:val="es-ES" w:eastAsia="en-US"/>
        </w:rPr>
        <w:t xml:space="preserve"> aun no se </w:t>
      </w:r>
      <w:r w:rsidRPr="00757354">
        <w:rPr>
          <w:rFonts w:ascii="Arial" w:eastAsia="Calibri" w:hAnsi="Arial" w:cs="Arial"/>
          <w:bCs/>
          <w:sz w:val="26"/>
          <w:szCs w:val="26"/>
          <w:lang w:val="es-ES" w:eastAsia="en-US"/>
        </w:rPr>
        <w:t>les t</w:t>
      </w:r>
      <w:r w:rsidRPr="00184FDD">
        <w:rPr>
          <w:rFonts w:ascii="Arial" w:eastAsia="Calibri" w:hAnsi="Arial" w:cs="Arial"/>
          <w:bCs/>
          <w:sz w:val="26"/>
          <w:szCs w:val="26"/>
          <w:lang w:val="es-ES" w:eastAsia="en-US"/>
        </w:rPr>
        <w:t xml:space="preserve">iene reconocida su personalidad </w:t>
      </w:r>
      <w:r>
        <w:rPr>
          <w:rFonts w:ascii="Arial" w:eastAsia="Calibri" w:hAnsi="Arial" w:cs="Arial"/>
          <w:bCs/>
          <w:sz w:val="26"/>
          <w:szCs w:val="26"/>
          <w:lang w:val="es-ES" w:eastAsia="en-US"/>
        </w:rPr>
        <w:t>como</w:t>
      </w:r>
      <w:r w:rsidRPr="00184FDD">
        <w:rPr>
          <w:rFonts w:ascii="Arial" w:eastAsia="Calibri" w:hAnsi="Arial" w:cs="Arial"/>
          <w:bCs/>
          <w:sz w:val="26"/>
          <w:szCs w:val="26"/>
          <w:lang w:val="es-ES" w:eastAsia="en-US"/>
        </w:rPr>
        <w:t xml:space="preserve"> demandada</w:t>
      </w:r>
      <w:r>
        <w:rPr>
          <w:rFonts w:ascii="Arial" w:eastAsia="Calibri" w:hAnsi="Arial" w:cs="Arial"/>
          <w:bCs/>
          <w:sz w:val="26"/>
          <w:szCs w:val="26"/>
          <w:lang w:val="es-ES" w:eastAsia="en-US"/>
        </w:rPr>
        <w:t>s</w:t>
      </w:r>
      <w:r>
        <w:rPr>
          <w:rFonts w:ascii="Arial" w:eastAsiaTheme="minorHAnsi" w:hAnsi="Arial" w:cs="Arial"/>
          <w:bCs/>
          <w:sz w:val="26"/>
          <w:szCs w:val="26"/>
          <w:lang w:val="es-ES" w:eastAsia="en-US"/>
        </w:rPr>
        <w:t xml:space="preserve">. - - - - - - - - - - - </w:t>
      </w:r>
    </w:p>
    <w:p w14:paraId="77E51D50" w14:textId="77777777" w:rsidR="00E1353C" w:rsidRPr="00514668" w:rsidRDefault="00E1353C" w:rsidP="00E1353C">
      <w:pPr>
        <w:widowControl w:val="0"/>
        <w:autoSpaceDE w:val="0"/>
        <w:autoSpaceDN w:val="0"/>
        <w:adjustRightInd w:val="0"/>
        <w:spacing w:before="120" w:after="0" w:line="360" w:lineRule="auto"/>
        <w:ind w:firstLine="709"/>
        <w:jc w:val="both"/>
        <w:rPr>
          <w:rFonts w:ascii="Arial" w:eastAsia="Calibri" w:hAnsi="Arial" w:cs="Arial"/>
          <w:bCs/>
          <w:sz w:val="26"/>
          <w:szCs w:val="26"/>
          <w:lang w:val="es-ES" w:eastAsia="en-US"/>
        </w:rPr>
      </w:pPr>
      <w:r w:rsidRPr="00514668">
        <w:rPr>
          <w:rFonts w:ascii="Arial" w:eastAsia="Calibri" w:hAnsi="Arial" w:cs="Arial"/>
          <w:bCs/>
          <w:sz w:val="26"/>
          <w:szCs w:val="26"/>
          <w:lang w:val="es-ES" w:eastAsia="en-US"/>
        </w:rPr>
        <w:t>Por tanto, quien</w:t>
      </w:r>
      <w:r>
        <w:rPr>
          <w:rFonts w:ascii="Arial" w:eastAsia="Calibri" w:hAnsi="Arial" w:cs="Arial"/>
          <w:bCs/>
          <w:sz w:val="26"/>
          <w:szCs w:val="26"/>
          <w:lang w:val="es-ES" w:eastAsia="en-US"/>
        </w:rPr>
        <w:t>es</w:t>
      </w:r>
      <w:r w:rsidRPr="00514668">
        <w:rPr>
          <w:rFonts w:ascii="Arial" w:eastAsia="Calibri" w:hAnsi="Arial" w:cs="Arial"/>
          <w:bCs/>
          <w:sz w:val="26"/>
          <w:szCs w:val="26"/>
          <w:lang w:val="es-ES" w:eastAsia="en-US"/>
        </w:rPr>
        <w:t xml:space="preserve"> hoy promueve</w:t>
      </w:r>
      <w:r>
        <w:rPr>
          <w:rFonts w:ascii="Arial" w:eastAsia="Calibri" w:hAnsi="Arial" w:cs="Arial"/>
          <w:bCs/>
          <w:sz w:val="26"/>
          <w:szCs w:val="26"/>
          <w:lang w:val="es-ES" w:eastAsia="en-US"/>
        </w:rPr>
        <w:t>n</w:t>
      </w:r>
      <w:r w:rsidRPr="00514668">
        <w:rPr>
          <w:rFonts w:ascii="Arial" w:eastAsia="Calibri" w:hAnsi="Arial" w:cs="Arial"/>
          <w:bCs/>
          <w:sz w:val="26"/>
          <w:szCs w:val="26"/>
          <w:lang w:val="es-ES" w:eastAsia="en-US"/>
        </w:rPr>
        <w:t xml:space="preserve"> el recurso de revisión, no cuenta</w:t>
      </w:r>
      <w:r>
        <w:rPr>
          <w:rFonts w:ascii="Arial" w:eastAsia="Calibri" w:hAnsi="Arial" w:cs="Arial"/>
          <w:bCs/>
          <w:sz w:val="26"/>
          <w:szCs w:val="26"/>
          <w:lang w:val="es-ES" w:eastAsia="en-US"/>
        </w:rPr>
        <w:t>n</w:t>
      </w:r>
      <w:r w:rsidRPr="00514668">
        <w:rPr>
          <w:rFonts w:ascii="Arial" w:eastAsia="Calibri" w:hAnsi="Arial" w:cs="Arial"/>
          <w:bCs/>
          <w:sz w:val="26"/>
          <w:szCs w:val="26"/>
          <w:lang w:val="es-ES" w:eastAsia="en-US"/>
        </w:rPr>
        <w:t xml:space="preserve"> con </w:t>
      </w:r>
      <w:r w:rsidRPr="00514668">
        <w:rPr>
          <w:rFonts w:ascii="Arial" w:eastAsia="Calibri" w:hAnsi="Arial" w:cs="Arial"/>
          <w:bCs/>
          <w:i/>
          <w:sz w:val="26"/>
          <w:szCs w:val="26"/>
          <w:lang w:val="es-ES" w:eastAsia="en-US"/>
        </w:rPr>
        <w:t xml:space="preserve">legitimación </w:t>
      </w:r>
      <w:r w:rsidRPr="00514668">
        <w:rPr>
          <w:rFonts w:ascii="Arial" w:eastAsia="Calibri" w:hAnsi="Arial" w:cs="Arial"/>
          <w:bCs/>
          <w:sz w:val="26"/>
          <w:szCs w:val="26"/>
          <w:lang w:val="es-ES" w:eastAsia="en-US"/>
        </w:rPr>
        <w:t xml:space="preserve">para impugnar la determinación </w:t>
      </w:r>
      <w:r>
        <w:rPr>
          <w:rFonts w:ascii="Arial" w:eastAsia="Calibri" w:hAnsi="Arial" w:cs="Arial"/>
          <w:bCs/>
          <w:sz w:val="26"/>
          <w:szCs w:val="26"/>
          <w:lang w:val="es-ES" w:eastAsia="en-US"/>
        </w:rPr>
        <w:t xml:space="preserve">de la Primera Instancia, al no haber sido reconocida todavía su personalidad como autoridades demandadas, tomando en consideración la </w:t>
      </w:r>
      <w:r w:rsidRPr="00757354">
        <w:rPr>
          <w:rFonts w:ascii="Arial" w:eastAsia="Calibri" w:hAnsi="Arial" w:cs="Arial"/>
          <w:bCs/>
          <w:sz w:val="26"/>
          <w:szCs w:val="26"/>
          <w:lang w:val="es-ES" w:eastAsia="en-US"/>
        </w:rPr>
        <w:t>reserva de su</w:t>
      </w:r>
      <w:r>
        <w:rPr>
          <w:rFonts w:ascii="Arial" w:eastAsia="Calibri" w:hAnsi="Arial" w:cs="Arial"/>
          <w:bCs/>
          <w:sz w:val="26"/>
          <w:szCs w:val="26"/>
          <w:lang w:val="es-ES" w:eastAsia="en-US"/>
        </w:rPr>
        <w:t xml:space="preserve"> escrito de contestación de demanda</w:t>
      </w:r>
      <w:r w:rsidRPr="00514668">
        <w:rPr>
          <w:rFonts w:ascii="Arial" w:eastAsia="Calibri" w:hAnsi="Arial" w:cs="Arial"/>
          <w:bCs/>
          <w:sz w:val="26"/>
          <w:szCs w:val="26"/>
          <w:lang w:val="es-ES" w:eastAsia="en-US"/>
        </w:rPr>
        <w:t>.</w:t>
      </w:r>
      <w:r w:rsidRPr="004D329F">
        <w:rPr>
          <w:rFonts w:ascii="Arial" w:eastAsiaTheme="minorHAnsi" w:hAnsi="Arial" w:cs="Arial"/>
          <w:bCs/>
          <w:sz w:val="26"/>
          <w:szCs w:val="26"/>
          <w:lang w:val="es-ES" w:eastAsia="en-US"/>
        </w:rPr>
        <w:t xml:space="preserve"> </w:t>
      </w:r>
      <w:r>
        <w:rPr>
          <w:rFonts w:ascii="Arial" w:eastAsiaTheme="minorHAnsi" w:hAnsi="Arial" w:cs="Arial"/>
          <w:bCs/>
          <w:sz w:val="26"/>
          <w:szCs w:val="26"/>
          <w:lang w:val="es-ES" w:eastAsia="en-US"/>
        </w:rPr>
        <w:t>- - - - - - - - - - -  - - - - - - - - - - - - - -</w:t>
      </w:r>
    </w:p>
    <w:p w14:paraId="2BA27B7A" w14:textId="77777777" w:rsidR="00E1353C" w:rsidRPr="00514668" w:rsidRDefault="00E1353C" w:rsidP="00E1353C">
      <w:pPr>
        <w:widowControl w:val="0"/>
        <w:autoSpaceDE w:val="0"/>
        <w:autoSpaceDN w:val="0"/>
        <w:adjustRightInd w:val="0"/>
        <w:spacing w:before="120" w:after="0" w:line="360" w:lineRule="auto"/>
        <w:ind w:firstLine="708"/>
        <w:jc w:val="both"/>
        <w:rPr>
          <w:rFonts w:ascii="Arial" w:eastAsia="Calibri" w:hAnsi="Arial" w:cs="Arial"/>
          <w:bCs/>
          <w:sz w:val="26"/>
          <w:szCs w:val="26"/>
          <w:lang w:val="es-ES" w:eastAsia="en-US"/>
        </w:rPr>
      </w:pPr>
      <w:r w:rsidRPr="00514668">
        <w:rPr>
          <w:rFonts w:ascii="Arial" w:eastAsia="Calibri" w:hAnsi="Arial" w:cs="Arial"/>
          <w:bCs/>
          <w:sz w:val="26"/>
          <w:szCs w:val="26"/>
          <w:lang w:val="es-ES" w:eastAsia="en-US"/>
        </w:rPr>
        <w:t xml:space="preserve">En ese sentido, debe entenderse a la </w:t>
      </w:r>
      <w:r w:rsidRPr="00514668">
        <w:rPr>
          <w:rFonts w:ascii="Arial" w:eastAsia="Calibri" w:hAnsi="Arial" w:cs="Arial"/>
          <w:bCs/>
          <w:i/>
          <w:sz w:val="26"/>
          <w:szCs w:val="26"/>
          <w:lang w:val="es-ES" w:eastAsia="en-US"/>
        </w:rPr>
        <w:t xml:space="preserve">legitimación </w:t>
      </w:r>
      <w:r w:rsidRPr="00514668">
        <w:rPr>
          <w:rFonts w:ascii="Arial" w:eastAsia="Calibri" w:hAnsi="Arial" w:cs="Arial"/>
          <w:bCs/>
          <w:sz w:val="26"/>
          <w:szCs w:val="26"/>
          <w:lang w:val="es-ES" w:eastAsia="en-US"/>
        </w:rPr>
        <w:t xml:space="preserve">en su aspecto </w:t>
      </w:r>
      <w:r w:rsidRPr="00514668">
        <w:rPr>
          <w:rFonts w:ascii="Arial" w:eastAsia="Calibri" w:hAnsi="Arial" w:cs="Arial"/>
          <w:bCs/>
          <w:sz w:val="26"/>
          <w:szCs w:val="26"/>
          <w:lang w:val="es-ES" w:eastAsia="en-US"/>
        </w:rPr>
        <w:lastRenderedPageBreak/>
        <w:t>general como la aptitud de ser parte en un proceso concreto, pero únicamente la que se encuentra en determinada relación con la pretensión, que tratándose del recurso de revisión, sólo incumbe a quien pued</w:t>
      </w:r>
      <w:r>
        <w:rPr>
          <w:rFonts w:ascii="Arial" w:eastAsia="Calibri" w:hAnsi="Arial" w:cs="Arial"/>
          <w:bCs/>
          <w:sz w:val="26"/>
          <w:szCs w:val="26"/>
          <w:lang w:val="es-ES" w:eastAsia="en-US"/>
        </w:rPr>
        <w:t>e</w:t>
      </w:r>
      <w:r w:rsidRPr="00514668">
        <w:rPr>
          <w:rFonts w:ascii="Arial" w:eastAsia="Calibri" w:hAnsi="Arial" w:cs="Arial"/>
          <w:bCs/>
          <w:sz w:val="26"/>
          <w:szCs w:val="26"/>
          <w:lang w:val="es-ES" w:eastAsia="en-US"/>
        </w:rPr>
        <w:t xml:space="preserve"> ocasionarle perjuicio jurídico la decisión; esto es, que la </w:t>
      </w:r>
      <w:r>
        <w:rPr>
          <w:rFonts w:ascii="Arial" w:eastAsia="Calibri" w:hAnsi="Arial" w:cs="Arial"/>
          <w:bCs/>
          <w:sz w:val="26"/>
          <w:szCs w:val="26"/>
          <w:lang w:val="es-ES" w:eastAsia="en-US"/>
        </w:rPr>
        <w:t>resolución</w:t>
      </w:r>
      <w:r w:rsidRPr="00514668">
        <w:rPr>
          <w:rFonts w:ascii="Arial" w:eastAsia="Calibri" w:hAnsi="Arial" w:cs="Arial"/>
          <w:bCs/>
          <w:sz w:val="26"/>
          <w:szCs w:val="26"/>
          <w:lang w:val="es-ES" w:eastAsia="en-US"/>
        </w:rPr>
        <w:t xml:space="preserve"> impugnada le agravie directamente, para así, ver justificado su interés en que sea modificada o revocada esa decisión. </w:t>
      </w:r>
      <w:r>
        <w:rPr>
          <w:rFonts w:ascii="Arial" w:eastAsiaTheme="minorHAnsi" w:hAnsi="Arial" w:cs="Arial"/>
          <w:bCs/>
          <w:sz w:val="26"/>
          <w:szCs w:val="26"/>
          <w:lang w:val="es-ES" w:eastAsia="en-US"/>
        </w:rPr>
        <w:t xml:space="preserve">- - - - - - - - - </w:t>
      </w:r>
    </w:p>
    <w:p w14:paraId="1367C313" w14:textId="77777777" w:rsidR="00E1353C" w:rsidRPr="00514668" w:rsidRDefault="00E1353C" w:rsidP="00E1353C">
      <w:pPr>
        <w:spacing w:before="120" w:after="0" w:line="360" w:lineRule="auto"/>
        <w:ind w:firstLine="709"/>
        <w:jc w:val="both"/>
        <w:rPr>
          <w:rFonts w:ascii="Arial" w:eastAsia="Times New Roman" w:hAnsi="Arial"/>
          <w:color w:val="000000"/>
          <w:sz w:val="26"/>
          <w:szCs w:val="26"/>
          <w:lang w:val="es-ES" w:eastAsia="en-US"/>
        </w:rPr>
      </w:pPr>
      <w:r w:rsidRPr="00514668">
        <w:rPr>
          <w:rFonts w:ascii="Arial" w:eastAsia="Calibri" w:hAnsi="Arial" w:cs="Arial"/>
          <w:bCs/>
          <w:sz w:val="26"/>
          <w:szCs w:val="26"/>
          <w:lang w:val="es-ES" w:eastAsia="en-US"/>
        </w:rPr>
        <w:t>Al respecto, es aplicable al caso que nos ocupa,</w:t>
      </w:r>
      <w:r>
        <w:rPr>
          <w:rFonts w:ascii="Arial" w:eastAsia="Calibri" w:hAnsi="Arial" w:cs="Arial"/>
          <w:bCs/>
          <w:sz w:val="26"/>
          <w:szCs w:val="26"/>
          <w:lang w:val="es-ES" w:eastAsia="en-US"/>
        </w:rPr>
        <w:t xml:space="preserve"> la</w:t>
      </w:r>
      <w:r w:rsidRPr="00514668">
        <w:rPr>
          <w:rFonts w:ascii="Arial" w:eastAsia="Calibri" w:hAnsi="Arial" w:cs="Arial"/>
          <w:bCs/>
          <w:sz w:val="26"/>
          <w:szCs w:val="26"/>
          <w:lang w:val="es-ES" w:eastAsia="en-US"/>
        </w:rPr>
        <w:t xml:space="preserve"> </w:t>
      </w:r>
      <w:r>
        <w:rPr>
          <w:rFonts w:ascii="Arial" w:eastAsia="Calibri" w:hAnsi="Arial" w:cs="Arial"/>
          <w:bCs/>
          <w:sz w:val="26"/>
          <w:szCs w:val="26"/>
        </w:rPr>
        <w:t xml:space="preserve">tesis </w:t>
      </w:r>
      <w:r w:rsidRPr="001172A1">
        <w:rPr>
          <w:rFonts w:ascii="Arial" w:eastAsia="Calibri" w:hAnsi="Arial" w:cs="Arial"/>
          <w:bCs/>
          <w:sz w:val="26"/>
          <w:szCs w:val="26"/>
        </w:rPr>
        <w:t>I.8o.A.139</w:t>
      </w:r>
      <w:r>
        <w:rPr>
          <w:rFonts w:ascii="Arial" w:eastAsia="Calibri" w:hAnsi="Arial" w:cs="Arial"/>
          <w:bCs/>
          <w:sz w:val="26"/>
          <w:szCs w:val="26"/>
        </w:rPr>
        <w:t xml:space="preserve"> de</w:t>
      </w:r>
      <w:r w:rsidRPr="00514668">
        <w:rPr>
          <w:rFonts w:ascii="Arial" w:eastAsia="Calibri" w:hAnsi="Arial" w:cs="Arial"/>
          <w:bCs/>
          <w:sz w:val="26"/>
          <w:szCs w:val="26"/>
          <w:lang w:val="es-ES" w:eastAsia="en-US"/>
        </w:rPr>
        <w:t xml:space="preserve">l Octavo Tribunal Colegiado en Materia Administrativa del Primer Circuito, </w:t>
      </w:r>
      <w:r w:rsidRPr="00876F7B">
        <w:rPr>
          <w:rFonts w:ascii="Arial" w:eastAsia="Calibri" w:hAnsi="Arial" w:cs="Arial"/>
          <w:bCs/>
          <w:sz w:val="26"/>
          <w:szCs w:val="26"/>
          <w:lang w:val="es-ES" w:eastAsia="en-US"/>
        </w:rPr>
        <w:t xml:space="preserve">con número de </w:t>
      </w:r>
      <w:r>
        <w:rPr>
          <w:rFonts w:ascii="Arial" w:eastAsia="Calibri" w:hAnsi="Arial" w:cs="Arial"/>
          <w:bCs/>
          <w:sz w:val="26"/>
          <w:szCs w:val="26"/>
          <w:lang w:val="es-ES" w:eastAsia="en-US"/>
        </w:rPr>
        <w:t>registro</w:t>
      </w:r>
      <w:r w:rsidRPr="00876F7B">
        <w:rPr>
          <w:rStyle w:val="bold"/>
          <w:rFonts w:ascii="Arial" w:hAnsi="Arial" w:cs="Arial"/>
          <w:bCs/>
          <w:color w:val="212529"/>
          <w:sz w:val="26"/>
          <w:szCs w:val="26"/>
          <w:shd w:val="clear" w:color="auto" w:fill="FFFFFF"/>
        </w:rPr>
        <w:t xml:space="preserve"> digital: </w:t>
      </w:r>
      <w:r w:rsidRPr="00876F7B">
        <w:rPr>
          <w:rFonts w:ascii="Arial" w:hAnsi="Arial" w:cs="Arial"/>
          <w:color w:val="212529"/>
          <w:sz w:val="26"/>
          <w:szCs w:val="26"/>
          <w:shd w:val="clear" w:color="auto" w:fill="FFFFFF"/>
        </w:rPr>
        <w:t>167181</w:t>
      </w:r>
      <w:r w:rsidRPr="00514668">
        <w:rPr>
          <w:rFonts w:ascii="Arial" w:eastAsia="Calibri" w:hAnsi="Arial" w:cs="Arial"/>
          <w:bCs/>
          <w:sz w:val="26"/>
          <w:szCs w:val="26"/>
          <w:lang w:val="es-ES" w:eastAsia="en-US"/>
        </w:rPr>
        <w:t xml:space="preserve"> Novena</w:t>
      </w:r>
      <w:r w:rsidRPr="00514668">
        <w:rPr>
          <w:rFonts w:ascii="Arial" w:eastAsia="Times New Roman" w:hAnsi="Arial"/>
          <w:color w:val="000000"/>
          <w:sz w:val="26"/>
          <w:szCs w:val="26"/>
          <w:lang w:val="es-ES" w:eastAsia="en-US"/>
        </w:rPr>
        <w:t xml:space="preserve"> Época, Tomo XXIX, en mayo de 2009, consultable a página 1119 en la Gaceta del Semanario Judicial de la Federación, cuyo rubro y texto son los siguientes:</w:t>
      </w:r>
      <w:r w:rsidRPr="004D329F">
        <w:rPr>
          <w:rFonts w:ascii="Arial" w:eastAsiaTheme="minorHAnsi" w:hAnsi="Arial" w:cs="Arial"/>
          <w:bCs/>
          <w:sz w:val="26"/>
          <w:szCs w:val="26"/>
          <w:lang w:val="es-ES" w:eastAsia="en-US"/>
        </w:rPr>
        <w:t xml:space="preserve"> </w:t>
      </w:r>
      <w:r>
        <w:rPr>
          <w:rFonts w:ascii="Arial" w:eastAsiaTheme="minorHAnsi" w:hAnsi="Arial" w:cs="Arial"/>
          <w:bCs/>
          <w:sz w:val="26"/>
          <w:szCs w:val="26"/>
          <w:lang w:val="es-ES" w:eastAsia="en-US"/>
        </w:rPr>
        <w:t>- - - - - - - - - - - - - - - - - - - - - - - - - - - - - - - - - - - - - - - - - - - -</w:t>
      </w:r>
    </w:p>
    <w:p w14:paraId="0EB37BE2" w14:textId="77777777" w:rsidR="00E1353C" w:rsidRDefault="00E1353C" w:rsidP="00E1353C">
      <w:pPr>
        <w:widowControl w:val="0"/>
        <w:autoSpaceDE w:val="0"/>
        <w:autoSpaceDN w:val="0"/>
        <w:adjustRightInd w:val="0"/>
        <w:spacing w:before="120" w:after="0"/>
        <w:ind w:left="851" w:right="902"/>
        <w:jc w:val="both"/>
        <w:rPr>
          <w:rFonts w:ascii="Arial" w:eastAsia="Calibri" w:hAnsi="Arial" w:cs="Arial"/>
          <w:bCs/>
          <w:lang w:val="es-ES" w:eastAsia="en-US"/>
        </w:rPr>
      </w:pPr>
      <w:r w:rsidRPr="00697543">
        <w:rPr>
          <w:rFonts w:ascii="Arial" w:eastAsia="Calibri" w:hAnsi="Arial" w:cs="Arial"/>
          <w:bCs/>
          <w:lang w:val="es-ES" w:eastAsia="en-US"/>
        </w:rPr>
        <w:t>“</w:t>
      </w:r>
      <w:r w:rsidRPr="00697543">
        <w:rPr>
          <w:rFonts w:ascii="Arial" w:eastAsia="Calibri" w:hAnsi="Arial" w:cs="Arial"/>
          <w:b/>
          <w:bCs/>
          <w:i/>
          <w:lang w:val="es-ES" w:eastAsia="en-US"/>
        </w:rPr>
        <w:t>REVISIÓN CONTENCIOSA ADMINISTRATIVA. LA LEGITIMACIÓN PARA INTERPONER DICHO RECURSO NO SÓLO IMPLICA QUE EL PROMOVENTE SEA AUTORIDAD, SINO TAMBIÉN QUE LA SENTENCIA IMPUGNADA LE AGRAVIE</w:t>
      </w:r>
      <w:r w:rsidRPr="00697543">
        <w:rPr>
          <w:rFonts w:ascii="Arial" w:eastAsia="Calibri" w:hAnsi="Arial" w:cs="Arial"/>
          <w:bCs/>
          <w:i/>
          <w:lang w:val="es-ES" w:eastAsia="en-US"/>
        </w:rPr>
        <w:t>. 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r w:rsidRPr="00697543">
        <w:rPr>
          <w:rFonts w:ascii="Arial" w:eastAsia="Calibri" w:hAnsi="Arial" w:cs="Arial"/>
          <w:bCs/>
          <w:lang w:val="es-ES" w:eastAsia="en-US"/>
        </w:rPr>
        <w:t>”</w:t>
      </w:r>
    </w:p>
    <w:p w14:paraId="16A447A0" w14:textId="77777777" w:rsidR="00E1353C" w:rsidRPr="00697543" w:rsidRDefault="00E1353C" w:rsidP="00E1353C">
      <w:pPr>
        <w:widowControl w:val="0"/>
        <w:autoSpaceDE w:val="0"/>
        <w:autoSpaceDN w:val="0"/>
        <w:adjustRightInd w:val="0"/>
        <w:spacing w:before="120" w:after="0" w:line="240" w:lineRule="auto"/>
        <w:ind w:left="851" w:right="902"/>
        <w:jc w:val="both"/>
        <w:rPr>
          <w:rFonts w:ascii="Arial" w:eastAsia="Calibri" w:hAnsi="Arial" w:cs="Arial"/>
          <w:bCs/>
          <w:lang w:val="es-ES" w:eastAsia="en-US"/>
        </w:rPr>
      </w:pPr>
    </w:p>
    <w:p w14:paraId="375C7348" w14:textId="77777777" w:rsidR="00E1353C" w:rsidRPr="00514668" w:rsidRDefault="00E1353C" w:rsidP="00E1353C">
      <w:pPr>
        <w:spacing w:before="120" w:after="0" w:line="360" w:lineRule="auto"/>
        <w:jc w:val="both"/>
        <w:rPr>
          <w:rFonts w:ascii="Arial" w:eastAsia="Calibri" w:hAnsi="Arial" w:cs="Arial"/>
          <w:bCs/>
          <w:sz w:val="26"/>
          <w:szCs w:val="26"/>
          <w:lang w:val="es-ES" w:eastAsia="en-US"/>
        </w:rPr>
      </w:pPr>
      <w:r w:rsidRPr="00514668">
        <w:rPr>
          <w:rFonts w:ascii="Arial" w:eastAsia="Calibri" w:hAnsi="Arial" w:cs="Arial"/>
          <w:bCs/>
          <w:sz w:val="26"/>
          <w:szCs w:val="26"/>
          <w:lang w:val="es-ES" w:eastAsia="en-US"/>
        </w:rPr>
        <w:tab/>
        <w:t xml:space="preserve">En el presente caso, es pertinente puntualizar que la legitimación respecto de las partes procesales, puede ser de dos tipos: </w:t>
      </w:r>
      <w:r w:rsidRPr="00514668">
        <w:rPr>
          <w:rFonts w:ascii="Arial" w:eastAsia="Calibri" w:hAnsi="Arial" w:cs="Arial"/>
          <w:bCs/>
          <w:i/>
          <w:sz w:val="26"/>
          <w:szCs w:val="26"/>
          <w:lang w:val="es-ES" w:eastAsia="en-US"/>
        </w:rPr>
        <w:t xml:space="preserve">legitimación ad </w:t>
      </w:r>
      <w:proofErr w:type="spellStart"/>
      <w:r w:rsidRPr="00514668">
        <w:rPr>
          <w:rFonts w:ascii="Arial" w:eastAsia="Calibri" w:hAnsi="Arial" w:cs="Arial"/>
          <w:bCs/>
          <w:i/>
          <w:sz w:val="26"/>
          <w:szCs w:val="26"/>
          <w:lang w:val="es-ES" w:eastAsia="en-US"/>
        </w:rPr>
        <w:t>causam</w:t>
      </w:r>
      <w:proofErr w:type="spellEnd"/>
      <w:r w:rsidRPr="00514668">
        <w:rPr>
          <w:rFonts w:ascii="Arial" w:eastAsia="Calibri" w:hAnsi="Arial" w:cs="Arial"/>
          <w:bCs/>
          <w:sz w:val="26"/>
          <w:szCs w:val="26"/>
          <w:lang w:val="es-ES" w:eastAsia="en-US"/>
        </w:rPr>
        <w:t xml:space="preserve"> (legitimación en la causa) y </w:t>
      </w:r>
      <w:r w:rsidRPr="00514668">
        <w:rPr>
          <w:rFonts w:ascii="Arial" w:eastAsia="Calibri" w:hAnsi="Arial" w:cs="Arial"/>
          <w:bCs/>
          <w:i/>
          <w:sz w:val="26"/>
          <w:szCs w:val="26"/>
          <w:lang w:val="es-ES" w:eastAsia="en-US"/>
        </w:rPr>
        <w:t xml:space="preserve">legitimación ad </w:t>
      </w:r>
      <w:proofErr w:type="spellStart"/>
      <w:r w:rsidRPr="00514668">
        <w:rPr>
          <w:rFonts w:ascii="Arial" w:eastAsia="Calibri" w:hAnsi="Arial" w:cs="Arial"/>
          <w:bCs/>
          <w:i/>
          <w:sz w:val="26"/>
          <w:szCs w:val="26"/>
          <w:lang w:val="es-ES" w:eastAsia="en-US"/>
        </w:rPr>
        <w:t>processum</w:t>
      </w:r>
      <w:proofErr w:type="spellEnd"/>
      <w:r w:rsidRPr="00514668">
        <w:rPr>
          <w:rFonts w:ascii="Arial" w:eastAsia="Calibri" w:hAnsi="Arial" w:cs="Arial"/>
          <w:bCs/>
          <w:sz w:val="26"/>
          <w:szCs w:val="26"/>
          <w:lang w:val="es-ES" w:eastAsia="en-US"/>
        </w:rPr>
        <w:t xml:space="preserve"> (legitimación procesal). La </w:t>
      </w:r>
      <w:r w:rsidRPr="00514668">
        <w:rPr>
          <w:rFonts w:ascii="Arial" w:eastAsia="Calibri" w:hAnsi="Arial" w:cs="Arial"/>
          <w:bCs/>
          <w:i/>
          <w:sz w:val="26"/>
          <w:szCs w:val="26"/>
          <w:lang w:val="es-ES" w:eastAsia="en-US"/>
        </w:rPr>
        <w:t xml:space="preserve">legitimación ad </w:t>
      </w:r>
      <w:proofErr w:type="spellStart"/>
      <w:r w:rsidRPr="00514668">
        <w:rPr>
          <w:rFonts w:ascii="Arial" w:eastAsia="Calibri" w:hAnsi="Arial" w:cs="Arial"/>
          <w:bCs/>
          <w:i/>
          <w:sz w:val="26"/>
          <w:szCs w:val="26"/>
          <w:lang w:val="es-ES" w:eastAsia="en-US"/>
        </w:rPr>
        <w:t>causam</w:t>
      </w:r>
      <w:proofErr w:type="spellEnd"/>
      <w:r w:rsidRPr="00514668">
        <w:rPr>
          <w:rFonts w:ascii="Arial" w:eastAsia="Calibri" w:hAnsi="Arial" w:cs="Arial"/>
          <w:bCs/>
          <w:i/>
          <w:sz w:val="26"/>
          <w:szCs w:val="26"/>
          <w:lang w:val="es-ES" w:eastAsia="en-US"/>
        </w:rPr>
        <w:t xml:space="preserve"> </w:t>
      </w:r>
      <w:r w:rsidRPr="00514668">
        <w:rPr>
          <w:rFonts w:ascii="Arial" w:eastAsia="Calibri" w:hAnsi="Arial" w:cs="Arial"/>
          <w:bCs/>
          <w:sz w:val="26"/>
          <w:szCs w:val="26"/>
          <w:lang w:val="es-ES" w:eastAsia="en-US"/>
        </w:rPr>
        <w:t>se refiere a la identidad del actor, así como a la identidad del demandado, o bien de los terceros, todos siempre en sentido material, en cuanto que ellos son titulares de un derecho subjetivo cuya aplicación y respeto piden al órgano jurisdiccional, y dado que es una cuestión referente al fondo del asunto sólo puede analizarse al dictar sentencia.</w:t>
      </w:r>
      <w:r w:rsidRPr="004D329F">
        <w:rPr>
          <w:rFonts w:ascii="Arial" w:eastAsiaTheme="minorHAnsi" w:hAnsi="Arial" w:cs="Arial"/>
          <w:bCs/>
          <w:sz w:val="26"/>
          <w:szCs w:val="26"/>
          <w:lang w:val="es-ES" w:eastAsia="en-US"/>
        </w:rPr>
        <w:t xml:space="preserve"> </w:t>
      </w:r>
      <w:r>
        <w:rPr>
          <w:rFonts w:ascii="Arial" w:eastAsiaTheme="minorHAnsi" w:hAnsi="Arial" w:cs="Arial"/>
          <w:bCs/>
          <w:sz w:val="26"/>
          <w:szCs w:val="26"/>
          <w:lang w:val="es-ES" w:eastAsia="en-US"/>
        </w:rPr>
        <w:t>- - - - - - - - - - - - - - - - -</w:t>
      </w:r>
    </w:p>
    <w:p w14:paraId="70BF66CC" w14:textId="77777777" w:rsidR="00E1353C" w:rsidRPr="00514668" w:rsidRDefault="00E1353C" w:rsidP="00E1353C">
      <w:pPr>
        <w:spacing w:before="120" w:after="0" w:line="360" w:lineRule="auto"/>
        <w:ind w:firstLine="709"/>
        <w:jc w:val="both"/>
        <w:rPr>
          <w:rFonts w:ascii="Arial" w:eastAsia="Calibri" w:hAnsi="Arial" w:cs="Arial"/>
          <w:bCs/>
          <w:sz w:val="26"/>
          <w:szCs w:val="26"/>
          <w:lang w:val="es-ES" w:eastAsia="en-US"/>
        </w:rPr>
      </w:pPr>
      <w:r w:rsidRPr="00514668">
        <w:rPr>
          <w:rFonts w:ascii="Arial" w:eastAsia="Calibri" w:hAnsi="Arial" w:cs="Arial"/>
          <w:bCs/>
          <w:sz w:val="26"/>
          <w:szCs w:val="26"/>
          <w:lang w:val="es-ES" w:eastAsia="en-US"/>
        </w:rPr>
        <w:t xml:space="preserve">Por su parte, la </w:t>
      </w:r>
      <w:r w:rsidRPr="00514668">
        <w:rPr>
          <w:rFonts w:ascii="Arial" w:eastAsia="Calibri" w:hAnsi="Arial" w:cs="Arial"/>
          <w:bCs/>
          <w:i/>
          <w:sz w:val="26"/>
          <w:szCs w:val="26"/>
          <w:lang w:val="es-ES" w:eastAsia="en-US"/>
        </w:rPr>
        <w:t xml:space="preserve">legitimación ad </w:t>
      </w:r>
      <w:proofErr w:type="spellStart"/>
      <w:r w:rsidRPr="00514668">
        <w:rPr>
          <w:rFonts w:ascii="Arial" w:eastAsia="Calibri" w:hAnsi="Arial" w:cs="Arial"/>
          <w:bCs/>
          <w:i/>
          <w:sz w:val="26"/>
          <w:szCs w:val="26"/>
          <w:lang w:val="es-ES" w:eastAsia="en-US"/>
        </w:rPr>
        <w:t>processum</w:t>
      </w:r>
      <w:proofErr w:type="spellEnd"/>
      <w:r w:rsidRPr="00514668">
        <w:rPr>
          <w:rFonts w:ascii="Arial" w:eastAsia="Calibri" w:hAnsi="Arial" w:cs="Arial"/>
          <w:bCs/>
          <w:i/>
          <w:sz w:val="26"/>
          <w:szCs w:val="26"/>
          <w:lang w:val="es-ES" w:eastAsia="en-US"/>
        </w:rPr>
        <w:t xml:space="preserve"> </w:t>
      </w:r>
      <w:r w:rsidRPr="00514668">
        <w:rPr>
          <w:rFonts w:ascii="Arial" w:eastAsia="Calibri" w:hAnsi="Arial" w:cs="Arial"/>
          <w:bCs/>
          <w:sz w:val="26"/>
          <w:szCs w:val="26"/>
          <w:lang w:val="es-ES" w:eastAsia="en-US"/>
        </w:rPr>
        <w:t xml:space="preserve">o capacidad procesal, consiste en la capacidad que tiene un sujeto para realizar válidamente actos procesales, bien sea porque actúe por su propio derecho o en representación de otra persona titular del derecho violentado o bien de </w:t>
      </w:r>
      <w:r w:rsidRPr="00514668">
        <w:rPr>
          <w:rFonts w:ascii="Arial" w:eastAsia="Calibri" w:hAnsi="Arial" w:cs="Arial"/>
          <w:bCs/>
          <w:sz w:val="26"/>
          <w:szCs w:val="26"/>
          <w:lang w:val="es-ES" w:eastAsia="en-US"/>
        </w:rPr>
        <w:lastRenderedPageBreak/>
        <w:t>quien estima se ha transgredido su esfera objetiva de derechos, por lo que su acreditación en el juicio implica un presupuesto procesal.</w:t>
      </w:r>
      <w:r>
        <w:rPr>
          <w:rFonts w:ascii="Arial" w:eastAsia="Calibri" w:hAnsi="Arial" w:cs="Arial"/>
          <w:bCs/>
          <w:sz w:val="26"/>
          <w:szCs w:val="26"/>
          <w:lang w:val="es-ES" w:eastAsia="en-US"/>
        </w:rPr>
        <w:t xml:space="preserve"> - - - - - </w:t>
      </w:r>
    </w:p>
    <w:p w14:paraId="79D7918C" w14:textId="77777777" w:rsidR="00E1353C" w:rsidRDefault="00E1353C" w:rsidP="00E1353C">
      <w:pPr>
        <w:spacing w:before="120" w:after="0" w:line="360" w:lineRule="auto"/>
        <w:ind w:firstLine="709"/>
        <w:jc w:val="both"/>
        <w:rPr>
          <w:rFonts w:ascii="Arial" w:eastAsia="Calibri" w:hAnsi="Arial" w:cs="Arial"/>
          <w:bCs/>
          <w:sz w:val="26"/>
          <w:szCs w:val="26"/>
          <w:lang w:val="es-ES" w:eastAsia="en-US"/>
        </w:rPr>
      </w:pPr>
      <w:r>
        <w:rPr>
          <w:rFonts w:ascii="Arial" w:eastAsia="Calibri" w:hAnsi="Arial" w:cs="Arial"/>
          <w:bCs/>
          <w:sz w:val="26"/>
          <w:szCs w:val="26"/>
          <w:lang w:val="es-ES" w:eastAsia="en-US"/>
        </w:rPr>
        <w:t xml:space="preserve">En esas condiciones, se advierte que </w:t>
      </w:r>
      <w:r>
        <w:rPr>
          <w:rFonts w:ascii="Arial" w:hAnsi="Arial" w:cs="Arial"/>
          <w:sz w:val="26"/>
          <w:szCs w:val="26"/>
        </w:rPr>
        <w:t>el</w:t>
      </w:r>
      <w:r>
        <w:rPr>
          <w:rFonts w:ascii="Arial" w:hAnsi="Arial" w:cs="Arial"/>
          <w:b/>
          <w:sz w:val="26"/>
          <w:szCs w:val="26"/>
        </w:rPr>
        <w:t xml:space="preserve"> PRESIDENTE MUNICIPAL, SÍNDICO PROCURADOR  y REPRESENTANTE DEL AYUNTAMIENTO y de los integrante del Cabildo, así como el Regidor de Obras Públicas, autoridades del Municipio de Santa María Colotepec, Pochutla, Oaxaca</w:t>
      </w:r>
      <w:r>
        <w:rPr>
          <w:rFonts w:ascii="Arial" w:eastAsia="Calibri" w:hAnsi="Arial" w:cs="Arial"/>
          <w:bCs/>
          <w:sz w:val="26"/>
          <w:szCs w:val="26"/>
          <w:lang w:val="es-ES" w:eastAsia="en-US"/>
        </w:rPr>
        <w:t>,</w:t>
      </w:r>
      <w:r w:rsidRPr="00514668">
        <w:rPr>
          <w:rFonts w:ascii="Arial" w:eastAsia="Calibri" w:hAnsi="Arial" w:cs="Arial"/>
          <w:bCs/>
          <w:sz w:val="26"/>
          <w:szCs w:val="26"/>
          <w:lang w:val="es-ES" w:eastAsia="en-US"/>
        </w:rPr>
        <w:t xml:space="preserve"> carece</w:t>
      </w:r>
      <w:r>
        <w:rPr>
          <w:rFonts w:ascii="Arial" w:eastAsia="Calibri" w:hAnsi="Arial" w:cs="Arial"/>
          <w:bCs/>
          <w:sz w:val="26"/>
          <w:szCs w:val="26"/>
          <w:lang w:val="es-ES" w:eastAsia="en-US"/>
        </w:rPr>
        <w:t>n</w:t>
      </w:r>
      <w:r w:rsidRPr="00514668">
        <w:rPr>
          <w:rFonts w:ascii="Arial" w:eastAsia="Calibri" w:hAnsi="Arial" w:cs="Arial"/>
          <w:bCs/>
          <w:sz w:val="26"/>
          <w:szCs w:val="26"/>
          <w:lang w:val="es-ES" w:eastAsia="en-US"/>
        </w:rPr>
        <w:t xml:space="preserve"> de legitimación procesal para interponer</w:t>
      </w:r>
      <w:r>
        <w:rPr>
          <w:rFonts w:ascii="Arial" w:eastAsia="Calibri" w:hAnsi="Arial" w:cs="Arial"/>
          <w:bCs/>
          <w:sz w:val="26"/>
          <w:szCs w:val="26"/>
          <w:lang w:val="es-ES" w:eastAsia="en-US"/>
        </w:rPr>
        <w:t xml:space="preserve"> el</w:t>
      </w:r>
      <w:r w:rsidRPr="00514668">
        <w:rPr>
          <w:rFonts w:ascii="Arial" w:eastAsia="Calibri" w:hAnsi="Arial" w:cs="Arial"/>
          <w:bCs/>
          <w:sz w:val="26"/>
          <w:szCs w:val="26"/>
          <w:lang w:val="es-ES" w:eastAsia="en-US"/>
        </w:rPr>
        <w:t xml:space="preserve"> recu</w:t>
      </w:r>
      <w:r>
        <w:rPr>
          <w:rFonts w:ascii="Arial" w:eastAsia="Calibri" w:hAnsi="Arial" w:cs="Arial"/>
          <w:bCs/>
          <w:sz w:val="26"/>
          <w:szCs w:val="26"/>
          <w:lang w:val="es-ES" w:eastAsia="en-US"/>
        </w:rPr>
        <w:t>rso de revisión en contra de la parte relativa del acuerdo de ocho de octubre de dos mil veintiuno</w:t>
      </w:r>
      <w:r w:rsidRPr="00514668">
        <w:rPr>
          <w:rFonts w:ascii="Arial" w:eastAsia="Calibri" w:hAnsi="Arial" w:cs="Arial"/>
          <w:bCs/>
          <w:sz w:val="26"/>
          <w:szCs w:val="26"/>
          <w:lang w:val="es-ES" w:eastAsia="en-US"/>
        </w:rPr>
        <w:t xml:space="preserve">, porque </w:t>
      </w:r>
      <w:r w:rsidRPr="000106E1">
        <w:rPr>
          <w:rFonts w:ascii="Arial" w:eastAsia="Calibri" w:hAnsi="Arial" w:cs="Arial"/>
          <w:bCs/>
          <w:sz w:val="26"/>
          <w:szCs w:val="26"/>
          <w:lang w:val="es-ES" w:eastAsia="en-US"/>
        </w:rPr>
        <w:t xml:space="preserve">todavía no </w:t>
      </w:r>
      <w:r>
        <w:rPr>
          <w:rFonts w:ascii="Arial" w:eastAsia="Calibri" w:hAnsi="Arial" w:cs="Arial"/>
          <w:bCs/>
          <w:sz w:val="26"/>
          <w:szCs w:val="26"/>
          <w:lang w:val="es-ES" w:eastAsia="en-US"/>
        </w:rPr>
        <w:t xml:space="preserve">se </w:t>
      </w:r>
      <w:r w:rsidRPr="000106E1">
        <w:rPr>
          <w:rFonts w:ascii="Arial" w:eastAsia="Calibri" w:hAnsi="Arial" w:cs="Arial"/>
          <w:bCs/>
          <w:sz w:val="26"/>
          <w:szCs w:val="26"/>
          <w:lang w:val="es-ES" w:eastAsia="en-US"/>
        </w:rPr>
        <w:t xml:space="preserve">ha </w:t>
      </w:r>
      <w:r>
        <w:rPr>
          <w:rFonts w:ascii="Arial" w:eastAsia="Calibri" w:hAnsi="Arial" w:cs="Arial"/>
          <w:bCs/>
          <w:sz w:val="26"/>
          <w:szCs w:val="26"/>
          <w:lang w:val="es-ES" w:eastAsia="en-US"/>
        </w:rPr>
        <w:t xml:space="preserve">acordado </w:t>
      </w:r>
      <w:r w:rsidRPr="000106E1">
        <w:rPr>
          <w:rFonts w:ascii="Arial" w:eastAsia="Calibri" w:hAnsi="Arial" w:cs="Arial"/>
          <w:bCs/>
          <w:sz w:val="26"/>
          <w:szCs w:val="26"/>
          <w:lang w:val="es-ES" w:eastAsia="en-US"/>
        </w:rPr>
        <w:t xml:space="preserve">respecto del contenido de </w:t>
      </w:r>
      <w:r>
        <w:rPr>
          <w:rFonts w:ascii="Arial" w:eastAsia="Calibri" w:hAnsi="Arial" w:cs="Arial"/>
          <w:bCs/>
          <w:sz w:val="26"/>
          <w:szCs w:val="26"/>
          <w:lang w:val="es-ES" w:eastAsia="en-US"/>
        </w:rPr>
        <w:t>su escrito de contestación de demanda</w:t>
      </w:r>
      <w:r w:rsidRPr="000106E1">
        <w:rPr>
          <w:rFonts w:ascii="Arial" w:eastAsia="Calibri" w:hAnsi="Arial" w:cs="Arial"/>
          <w:bCs/>
          <w:sz w:val="26"/>
          <w:szCs w:val="26"/>
          <w:lang w:val="es-ES" w:eastAsia="en-US"/>
        </w:rPr>
        <w:t xml:space="preserve"> y </w:t>
      </w:r>
      <w:r>
        <w:rPr>
          <w:rFonts w:ascii="Arial" w:eastAsia="Calibri" w:hAnsi="Arial" w:cs="Arial"/>
          <w:bCs/>
          <w:sz w:val="26"/>
          <w:szCs w:val="26"/>
          <w:lang w:val="es-ES" w:eastAsia="en-US"/>
        </w:rPr>
        <w:t>por tanto, aun no se les tiene reconocida su personalidad como autoridades demandadas.</w:t>
      </w:r>
      <w:r>
        <w:rPr>
          <w:rFonts w:ascii="Arial" w:eastAsiaTheme="minorHAnsi" w:hAnsi="Arial" w:cs="Arial"/>
          <w:bCs/>
          <w:sz w:val="26"/>
          <w:szCs w:val="26"/>
          <w:lang w:val="es-ES" w:eastAsia="en-US"/>
        </w:rPr>
        <w:t xml:space="preserve"> - - - - - - - - - - - - - - - - - - - - - - - - - - - - -</w:t>
      </w:r>
    </w:p>
    <w:p w14:paraId="5DF7A85C" w14:textId="77777777" w:rsidR="00E1353C" w:rsidRPr="00E92FD5" w:rsidRDefault="00E1353C" w:rsidP="00E1353C">
      <w:pPr>
        <w:spacing w:before="120" w:after="0" w:line="360" w:lineRule="auto"/>
        <w:ind w:right="51" w:firstLine="708"/>
        <w:jc w:val="both"/>
        <w:rPr>
          <w:rFonts w:ascii="Arial" w:hAnsi="Arial" w:cs="Arial"/>
          <w:color w:val="212529"/>
          <w:sz w:val="26"/>
          <w:szCs w:val="26"/>
        </w:rPr>
      </w:pPr>
      <w:r w:rsidRPr="00E92FD5">
        <w:rPr>
          <w:rFonts w:ascii="Arial" w:eastAsia="Calibri" w:hAnsi="Arial" w:cs="Arial"/>
          <w:bCs/>
          <w:sz w:val="26"/>
          <w:szCs w:val="26"/>
        </w:rPr>
        <w:t>Sirve de apoyo la Jurisprudencia con número de registro digital</w:t>
      </w:r>
      <w:r w:rsidRPr="00E92FD5">
        <w:rPr>
          <w:rStyle w:val="bold"/>
          <w:rFonts w:ascii="Arial" w:hAnsi="Arial" w:cs="Arial"/>
          <w:b/>
          <w:bCs/>
          <w:color w:val="212529"/>
          <w:sz w:val="26"/>
          <w:szCs w:val="26"/>
        </w:rPr>
        <w:t> </w:t>
      </w:r>
      <w:r w:rsidRPr="00E92FD5">
        <w:rPr>
          <w:rFonts w:ascii="Arial" w:hAnsi="Arial" w:cs="Arial"/>
          <w:color w:val="212529"/>
          <w:sz w:val="26"/>
          <w:szCs w:val="26"/>
        </w:rPr>
        <w:t xml:space="preserve">169271, Novena </w:t>
      </w:r>
      <w:r w:rsidRPr="00E92FD5">
        <w:rPr>
          <w:rStyle w:val="bold"/>
          <w:rFonts w:ascii="Arial" w:hAnsi="Arial" w:cs="Arial"/>
          <w:bCs/>
          <w:color w:val="212529"/>
          <w:sz w:val="26"/>
          <w:szCs w:val="26"/>
        </w:rPr>
        <w:t>Época, Tesis:</w:t>
      </w:r>
      <w:r w:rsidRPr="00E92FD5">
        <w:rPr>
          <w:rStyle w:val="bold"/>
          <w:rFonts w:ascii="Arial" w:hAnsi="Arial" w:cs="Arial"/>
          <w:b/>
          <w:bCs/>
          <w:color w:val="212529"/>
          <w:sz w:val="26"/>
          <w:szCs w:val="26"/>
        </w:rPr>
        <w:t> </w:t>
      </w:r>
      <w:r w:rsidRPr="00E92FD5">
        <w:rPr>
          <w:rFonts w:ascii="Arial" w:hAnsi="Arial" w:cs="Arial"/>
          <w:color w:val="212529"/>
          <w:sz w:val="26"/>
          <w:szCs w:val="26"/>
        </w:rPr>
        <w:t xml:space="preserve">VI.3o.C. J/67, Semanario Judicial de la Federación y su Gaceta, </w:t>
      </w:r>
      <w:r w:rsidRPr="00E92FD5">
        <w:rPr>
          <w:rStyle w:val="ng-star-inserted"/>
          <w:rFonts w:ascii="Arial" w:hAnsi="Arial" w:cs="Arial"/>
          <w:color w:val="212529"/>
          <w:sz w:val="26"/>
          <w:szCs w:val="26"/>
        </w:rPr>
        <w:t xml:space="preserve">Tomo XXVIII, julio de 2008, página 1600, de rubro y texto siguientes: </w:t>
      </w:r>
    </w:p>
    <w:p w14:paraId="0102BF0C" w14:textId="77777777" w:rsidR="00E1353C" w:rsidRDefault="00E1353C" w:rsidP="00E1353C">
      <w:pPr>
        <w:shd w:val="clear" w:color="auto" w:fill="FFFFFF"/>
        <w:spacing w:before="100" w:beforeAutospacing="1" w:after="100" w:afterAutospacing="1"/>
        <w:ind w:left="851" w:right="900"/>
        <w:jc w:val="both"/>
        <w:rPr>
          <w:rFonts w:ascii="Arial" w:eastAsia="Times New Roman" w:hAnsi="Arial" w:cs="Arial"/>
          <w:i/>
          <w:color w:val="212529"/>
        </w:rPr>
      </w:pPr>
      <w:r w:rsidRPr="00E92FD5">
        <w:rPr>
          <w:rFonts w:ascii="Arial" w:eastAsia="Times New Roman" w:hAnsi="Arial" w:cs="Arial"/>
          <w:b/>
          <w:bCs/>
          <w:i/>
          <w:color w:val="212529"/>
        </w:rPr>
        <w:t>“</w:t>
      </w:r>
      <w:r w:rsidRPr="00741BCE">
        <w:rPr>
          <w:rFonts w:ascii="Arial" w:eastAsia="Times New Roman" w:hAnsi="Arial" w:cs="Arial"/>
          <w:b/>
          <w:bCs/>
          <w:i/>
          <w:color w:val="212529"/>
        </w:rPr>
        <w:t>LEGITIMACIÓN EN LA CAUSA. SÓLO PUEDE ESTUDIARSE EN LA SENTENCIA DEFINITIVA.</w:t>
      </w:r>
      <w:r w:rsidRPr="00E92FD5">
        <w:rPr>
          <w:rFonts w:ascii="Arial" w:eastAsia="Times New Roman" w:hAnsi="Arial" w:cs="Arial"/>
          <w:b/>
          <w:bCs/>
          <w:i/>
          <w:color w:val="212529"/>
        </w:rPr>
        <w:t xml:space="preserve"> </w:t>
      </w:r>
      <w:r w:rsidRPr="00741BCE">
        <w:rPr>
          <w:rFonts w:ascii="Arial" w:eastAsia="Times New Roman" w:hAnsi="Arial" w:cs="Arial"/>
          <w:i/>
          <w:color w:val="212529"/>
        </w:rPr>
        <w:t>Debe distinguirse la legitimación en el proceso, de la legitimación en la causa. La primera es un presupuesto del procedimiento que se refiere o a la capacidad para comparecer al juicio, para lo cual se requiere que el compareciente esté en pleno ejercicio de sus derechos civiles, o a la representación de quien comparece a nombre de otro. En este sentido, siendo la legitimación ad </w:t>
      </w:r>
      <w:proofErr w:type="spellStart"/>
      <w:r w:rsidRPr="00741BCE">
        <w:rPr>
          <w:rFonts w:ascii="Arial" w:eastAsia="Times New Roman" w:hAnsi="Arial" w:cs="Arial"/>
          <w:i/>
          <w:color w:val="212529"/>
        </w:rPr>
        <w:t>procesum</w:t>
      </w:r>
      <w:proofErr w:type="spellEnd"/>
      <w:r w:rsidRPr="00741BCE">
        <w:rPr>
          <w:rFonts w:ascii="Arial" w:eastAsia="Times New Roman" w:hAnsi="Arial" w:cs="Arial"/>
          <w:i/>
          <w:color w:val="212529"/>
        </w:rPr>
        <w:t xml:space="preserve"> un presupuesto procesal, puede examinarse en cualquier momento del juicio, pues si el actor carece de capacidad para comparecer a él o no justifica ser el representante legal del demandante, sería ociosa la continuación de un proceso seguido por quien no puede apersonarse en el mismo. En cambio, la legitimación en la causa, no es un presupuesto procesal, sino una condición para obtener sentencia favorable. En efecto, ésta consiste en la identidad del actor con la persona a cuyo favor está la ley; en consecuencia, el actor estará legitimado en la causa cuando ejercita un derecho que realmente le corresponde. Como se ve, la legitimación ad </w:t>
      </w:r>
      <w:proofErr w:type="spellStart"/>
      <w:r w:rsidRPr="00741BCE">
        <w:rPr>
          <w:rFonts w:ascii="Arial" w:eastAsia="Times New Roman" w:hAnsi="Arial" w:cs="Arial"/>
          <w:i/>
          <w:color w:val="212529"/>
        </w:rPr>
        <w:t>causam</w:t>
      </w:r>
      <w:proofErr w:type="spellEnd"/>
      <w:r w:rsidRPr="00741BCE">
        <w:rPr>
          <w:rFonts w:ascii="Arial" w:eastAsia="Times New Roman" w:hAnsi="Arial" w:cs="Arial"/>
          <w:i/>
          <w:color w:val="212529"/>
        </w:rPr>
        <w:t xml:space="preserve"> atañe al fondo de la cuestión litigiosa y, por tanto, lógicamente, sólo puede analizarse en el momento en que se pronuncie la sentencia definitiva.</w:t>
      </w:r>
      <w:r w:rsidRPr="00E92FD5">
        <w:rPr>
          <w:rFonts w:ascii="Arial" w:eastAsia="Times New Roman" w:hAnsi="Arial" w:cs="Arial"/>
          <w:i/>
          <w:color w:val="212529"/>
        </w:rPr>
        <w:t>”</w:t>
      </w:r>
    </w:p>
    <w:p w14:paraId="6167D8DE" w14:textId="77777777" w:rsidR="00E1353C" w:rsidRPr="00E92FD5" w:rsidRDefault="00E1353C" w:rsidP="00E1353C">
      <w:pPr>
        <w:pStyle w:val="temp"/>
        <w:shd w:val="clear" w:color="auto" w:fill="FFFFFF"/>
        <w:spacing w:before="120" w:beforeAutospacing="0" w:after="0" w:afterAutospacing="0" w:line="360" w:lineRule="auto"/>
        <w:ind w:firstLine="708"/>
        <w:jc w:val="both"/>
        <w:rPr>
          <w:rFonts w:ascii="Arial" w:hAnsi="Arial" w:cs="Arial"/>
          <w:color w:val="212529"/>
          <w:sz w:val="26"/>
          <w:szCs w:val="26"/>
        </w:rPr>
      </w:pPr>
      <w:r w:rsidRPr="00E92FD5">
        <w:rPr>
          <w:rFonts w:ascii="Arial" w:hAnsi="Arial" w:cs="Arial"/>
          <w:sz w:val="26"/>
          <w:szCs w:val="26"/>
        </w:rPr>
        <w:t>Así como la Jurisprudencia con número de r</w:t>
      </w:r>
      <w:r w:rsidRPr="00E92FD5">
        <w:rPr>
          <w:rStyle w:val="bold"/>
          <w:rFonts w:ascii="Arial" w:hAnsi="Arial" w:cs="Arial"/>
          <w:bCs/>
          <w:color w:val="212529"/>
          <w:sz w:val="26"/>
          <w:szCs w:val="26"/>
        </w:rPr>
        <w:t>egistro digital: </w:t>
      </w:r>
      <w:r w:rsidRPr="00E92FD5">
        <w:rPr>
          <w:rFonts w:ascii="Arial" w:hAnsi="Arial" w:cs="Arial"/>
          <w:color w:val="212529"/>
          <w:sz w:val="26"/>
          <w:szCs w:val="26"/>
        </w:rPr>
        <w:t xml:space="preserve">196956, Segunda Sala, </w:t>
      </w:r>
      <w:r w:rsidRPr="00E92FD5">
        <w:rPr>
          <w:rStyle w:val="bold"/>
          <w:rFonts w:ascii="Arial" w:hAnsi="Arial" w:cs="Arial"/>
          <w:bCs/>
          <w:color w:val="212529"/>
          <w:sz w:val="26"/>
          <w:szCs w:val="26"/>
        </w:rPr>
        <w:t>Novena Época, Materia(s): </w:t>
      </w:r>
      <w:r w:rsidRPr="00E92FD5">
        <w:rPr>
          <w:rFonts w:ascii="Arial" w:hAnsi="Arial" w:cs="Arial"/>
          <w:color w:val="212529"/>
          <w:sz w:val="26"/>
          <w:szCs w:val="26"/>
        </w:rPr>
        <w:t xml:space="preserve">Común, </w:t>
      </w:r>
      <w:r w:rsidRPr="00E92FD5">
        <w:rPr>
          <w:rStyle w:val="bold"/>
          <w:rFonts w:ascii="Arial" w:hAnsi="Arial" w:cs="Arial"/>
          <w:bCs/>
          <w:color w:val="212529"/>
          <w:sz w:val="26"/>
          <w:szCs w:val="26"/>
        </w:rPr>
        <w:t>Tesis: </w:t>
      </w:r>
      <w:r w:rsidRPr="00E92FD5">
        <w:rPr>
          <w:rFonts w:ascii="Arial" w:hAnsi="Arial" w:cs="Arial"/>
          <w:color w:val="212529"/>
          <w:sz w:val="26"/>
          <w:szCs w:val="26"/>
        </w:rPr>
        <w:t>2a./J. 75/97,</w:t>
      </w:r>
      <w:r w:rsidRPr="00E92FD5">
        <w:rPr>
          <w:rStyle w:val="bold"/>
          <w:rFonts w:ascii="Arial" w:hAnsi="Arial" w:cs="Arial"/>
          <w:bCs/>
          <w:color w:val="212529"/>
          <w:sz w:val="26"/>
          <w:szCs w:val="26"/>
        </w:rPr>
        <w:t> </w:t>
      </w:r>
      <w:r w:rsidRPr="00E92FD5">
        <w:rPr>
          <w:rFonts w:ascii="Arial" w:hAnsi="Arial" w:cs="Arial"/>
          <w:color w:val="212529"/>
          <w:sz w:val="26"/>
          <w:szCs w:val="26"/>
        </w:rPr>
        <w:t>Semanario Judicial de la Federación y su Gaceta.</w:t>
      </w:r>
      <w:r w:rsidRPr="00E92FD5">
        <w:rPr>
          <w:rFonts w:ascii="Arial" w:hAnsi="Arial" w:cs="Arial"/>
          <w:color w:val="212529"/>
          <w:sz w:val="26"/>
          <w:szCs w:val="26"/>
        </w:rPr>
        <w:br/>
      </w:r>
      <w:r w:rsidRPr="00E92FD5">
        <w:rPr>
          <w:rStyle w:val="ng-star-inserted"/>
          <w:rFonts w:ascii="Arial" w:eastAsia="PMingLiU" w:hAnsi="Arial" w:cs="Arial"/>
          <w:color w:val="212529"/>
          <w:sz w:val="26"/>
          <w:szCs w:val="26"/>
        </w:rPr>
        <w:t>Tomo VII, enero de 1998, página 351, que indica</w:t>
      </w:r>
      <w:r>
        <w:rPr>
          <w:rStyle w:val="ng-star-inserted"/>
          <w:rFonts w:ascii="Arial" w:eastAsia="PMingLiU" w:hAnsi="Arial" w:cs="Arial"/>
          <w:color w:val="212529"/>
          <w:sz w:val="26"/>
          <w:szCs w:val="26"/>
        </w:rPr>
        <w:t>:</w:t>
      </w:r>
    </w:p>
    <w:p w14:paraId="67F7AE9D" w14:textId="77777777" w:rsidR="00E1353C" w:rsidRPr="00E92FD5" w:rsidRDefault="00E1353C" w:rsidP="00E1353C">
      <w:pPr>
        <w:spacing w:before="120" w:after="0"/>
        <w:ind w:left="1134" w:right="777"/>
        <w:jc w:val="both"/>
        <w:rPr>
          <w:rFonts w:ascii="Arial" w:eastAsia="Calibri" w:hAnsi="Arial" w:cs="Arial"/>
          <w:bCs/>
          <w:i/>
        </w:rPr>
      </w:pPr>
      <w:r w:rsidRPr="00E92FD5">
        <w:rPr>
          <w:rFonts w:ascii="Arial" w:hAnsi="Arial" w:cs="Arial"/>
          <w:i/>
        </w:rPr>
        <w:t>“</w:t>
      </w:r>
      <w:r w:rsidRPr="00E92FD5">
        <w:rPr>
          <w:rFonts w:ascii="Arial" w:hAnsi="Arial" w:cs="Arial"/>
          <w:b/>
          <w:i/>
        </w:rPr>
        <w:t>LEGITIMACIÓN PROCESAL ACTIVA. CONCEPTO.</w:t>
      </w:r>
      <w:r w:rsidRPr="00E92FD5">
        <w:rPr>
          <w:rFonts w:ascii="Arial" w:hAnsi="Arial" w:cs="Arial"/>
          <w:i/>
        </w:rPr>
        <w:t xml:space="preserve"> Por legitimación procesal activa se entiende la potestad legal para acudir al órgano jurisdiccional con la petición de que se inicie la tramitación del juicio o de una instancia. A esta legitimación se le </w:t>
      </w:r>
      <w:r w:rsidRPr="00E92FD5">
        <w:rPr>
          <w:rFonts w:ascii="Arial" w:hAnsi="Arial" w:cs="Arial"/>
          <w:i/>
        </w:rPr>
        <w:lastRenderedPageBreak/>
        <w:t xml:space="preserve">conoce con el nombre de ad </w:t>
      </w:r>
      <w:proofErr w:type="spellStart"/>
      <w:r w:rsidRPr="00E92FD5">
        <w:rPr>
          <w:rFonts w:ascii="Arial" w:hAnsi="Arial" w:cs="Arial"/>
          <w:i/>
        </w:rPr>
        <w:t>procesum</w:t>
      </w:r>
      <w:proofErr w:type="spellEnd"/>
      <w:r w:rsidRPr="00E92FD5">
        <w:rPr>
          <w:rFonts w:ascii="Arial" w:hAnsi="Arial" w:cs="Arial"/>
          <w:i/>
        </w:rPr>
        <w:t xml:space="preserve"> y se produce cuando el derecho que se cuestionará en el juicio es ejercitado en el proceso por quien tiene aptitud para hacerlo valer, a diferencia de la legitimación ad </w:t>
      </w:r>
      <w:proofErr w:type="spellStart"/>
      <w:r w:rsidRPr="00E92FD5">
        <w:rPr>
          <w:rFonts w:ascii="Arial" w:hAnsi="Arial" w:cs="Arial"/>
          <w:i/>
        </w:rPr>
        <w:t>causam</w:t>
      </w:r>
      <w:proofErr w:type="spellEnd"/>
      <w:r w:rsidRPr="00E92FD5">
        <w:rPr>
          <w:rFonts w:ascii="Arial" w:hAnsi="Arial" w:cs="Arial"/>
          <w:i/>
        </w:rPr>
        <w:t xml:space="preserve"> que implica tener la titularidad de ese derecho cuestionado en el juicio. La legitimación en el proceso se produce cuando la acción es ejercitada en el juicio por aquel que tiene aptitud para hacer valer el derecho que se cuestionará, bien porque se ostente como titular de ese derecho o bien porque cuente con la representación legal de dicho titular. La legitimación ad </w:t>
      </w:r>
      <w:proofErr w:type="spellStart"/>
      <w:r w:rsidRPr="00E92FD5">
        <w:rPr>
          <w:rFonts w:ascii="Arial" w:hAnsi="Arial" w:cs="Arial"/>
          <w:i/>
        </w:rPr>
        <w:t>procesum</w:t>
      </w:r>
      <w:proofErr w:type="spellEnd"/>
      <w:r w:rsidRPr="00E92FD5">
        <w:rPr>
          <w:rFonts w:ascii="Arial" w:hAnsi="Arial" w:cs="Arial"/>
          <w:i/>
        </w:rPr>
        <w:t xml:space="preserve"> es requisito para la procedencia del juicio, mientras que la ad </w:t>
      </w:r>
      <w:proofErr w:type="spellStart"/>
      <w:r w:rsidRPr="00E92FD5">
        <w:rPr>
          <w:rFonts w:ascii="Arial" w:hAnsi="Arial" w:cs="Arial"/>
          <w:i/>
        </w:rPr>
        <w:t>causam</w:t>
      </w:r>
      <w:proofErr w:type="spellEnd"/>
      <w:r w:rsidRPr="00E92FD5">
        <w:rPr>
          <w:rFonts w:ascii="Arial" w:hAnsi="Arial" w:cs="Arial"/>
          <w:i/>
        </w:rPr>
        <w:t>, lo es para que se pronuncie sentencia favorable.</w:t>
      </w:r>
      <w:r>
        <w:rPr>
          <w:rFonts w:ascii="Arial" w:hAnsi="Arial" w:cs="Arial"/>
          <w:i/>
        </w:rPr>
        <w:t>”</w:t>
      </w:r>
    </w:p>
    <w:p w14:paraId="23F2ACE8" w14:textId="77777777" w:rsidR="00E1353C" w:rsidRPr="00514668" w:rsidRDefault="00E1353C" w:rsidP="00E1353C">
      <w:pPr>
        <w:spacing w:before="240" w:after="0" w:line="360" w:lineRule="auto"/>
        <w:ind w:firstLine="708"/>
        <w:jc w:val="both"/>
        <w:rPr>
          <w:rFonts w:ascii="Arial" w:eastAsiaTheme="minorHAnsi" w:hAnsi="Arial" w:cs="Arial"/>
          <w:sz w:val="26"/>
          <w:szCs w:val="26"/>
          <w:lang w:val="es-ES" w:eastAsia="en-US"/>
        </w:rPr>
      </w:pPr>
      <w:r>
        <w:rPr>
          <w:rFonts w:ascii="Arial" w:eastAsia="Calibri" w:hAnsi="Arial" w:cs="Arial"/>
          <w:bCs/>
          <w:sz w:val="26"/>
          <w:szCs w:val="26"/>
          <w:lang w:val="es-ES" w:eastAsia="en-US"/>
        </w:rPr>
        <w:t xml:space="preserve"> </w:t>
      </w:r>
      <w:r w:rsidRPr="00514668">
        <w:rPr>
          <w:rFonts w:ascii="Arial" w:eastAsia="Calibri" w:hAnsi="Arial" w:cs="Arial"/>
          <w:bCs/>
          <w:sz w:val="26"/>
          <w:szCs w:val="26"/>
          <w:lang w:val="es-ES" w:eastAsia="en-US"/>
        </w:rPr>
        <w:t xml:space="preserve">En consecuencia, atendiendo a las consideraciones anteriormente expuestas, es procedente </w:t>
      </w:r>
      <w:r w:rsidRPr="00514668">
        <w:rPr>
          <w:rFonts w:ascii="Arial" w:eastAsia="Calibri" w:hAnsi="Arial" w:cs="Arial"/>
          <w:b/>
          <w:bCs/>
          <w:sz w:val="26"/>
          <w:szCs w:val="26"/>
          <w:lang w:val="es-ES" w:eastAsia="en-US"/>
        </w:rPr>
        <w:t>DESECHAR</w:t>
      </w:r>
      <w:r w:rsidRPr="00514668">
        <w:rPr>
          <w:rFonts w:ascii="Arial" w:eastAsia="Calibri" w:hAnsi="Arial" w:cs="Arial"/>
          <w:bCs/>
          <w:sz w:val="26"/>
          <w:szCs w:val="26"/>
          <w:lang w:val="es-ES" w:eastAsia="en-US"/>
        </w:rPr>
        <w:t xml:space="preserve"> e</w:t>
      </w:r>
      <w:r>
        <w:rPr>
          <w:rFonts w:ascii="Arial" w:eastAsia="Calibri" w:hAnsi="Arial" w:cs="Arial"/>
          <w:bCs/>
          <w:sz w:val="26"/>
          <w:szCs w:val="26"/>
          <w:lang w:val="es-ES" w:eastAsia="en-US"/>
        </w:rPr>
        <w:t>l presente recurso de revisión interpuesto en contra de la parte relativa del acuerdo de ocho de octubre de dos mil veintiuno,</w:t>
      </w:r>
      <w:r w:rsidRPr="00086274">
        <w:rPr>
          <w:rFonts w:ascii="Arial" w:hAnsi="Arial" w:cs="Arial"/>
          <w:color w:val="000000"/>
          <w:sz w:val="26"/>
          <w:szCs w:val="26"/>
        </w:rPr>
        <w:t xml:space="preserve"> </w:t>
      </w:r>
      <w:r w:rsidRPr="00716D2D">
        <w:rPr>
          <w:rFonts w:ascii="Arial" w:hAnsi="Arial" w:cs="Arial"/>
          <w:color w:val="000000"/>
          <w:sz w:val="26"/>
          <w:szCs w:val="26"/>
        </w:rPr>
        <w:t xml:space="preserve">por falta de </w:t>
      </w:r>
      <w:r w:rsidRPr="004F73A6">
        <w:rPr>
          <w:rFonts w:ascii="Arial" w:hAnsi="Arial" w:cs="Arial"/>
          <w:color w:val="000000"/>
          <w:sz w:val="26"/>
          <w:szCs w:val="26"/>
        </w:rPr>
        <w:t>legitimación</w:t>
      </w:r>
      <w:r w:rsidRPr="004F73A6">
        <w:rPr>
          <w:rFonts w:ascii="Arial" w:eastAsiaTheme="minorHAnsi" w:hAnsi="Arial" w:cs="Arial"/>
          <w:bCs/>
          <w:sz w:val="26"/>
          <w:szCs w:val="26"/>
          <w:lang w:val="es-ES" w:eastAsia="en-US"/>
        </w:rPr>
        <w:t xml:space="preserve"> de</w:t>
      </w:r>
      <w:r>
        <w:rPr>
          <w:rFonts w:ascii="Arial" w:hAnsi="Arial" w:cs="Arial"/>
          <w:sz w:val="26"/>
          <w:szCs w:val="26"/>
        </w:rPr>
        <w:t>l</w:t>
      </w:r>
      <w:r>
        <w:rPr>
          <w:rFonts w:ascii="Arial" w:hAnsi="Arial" w:cs="Arial"/>
          <w:b/>
          <w:sz w:val="26"/>
          <w:szCs w:val="26"/>
        </w:rPr>
        <w:t xml:space="preserve"> PRESIDENTE MUNICIPAL</w:t>
      </w:r>
      <w:r w:rsidRPr="00457FEB">
        <w:rPr>
          <w:rFonts w:ascii="Arial" w:hAnsi="Arial" w:cs="Arial"/>
          <w:b/>
          <w:sz w:val="26"/>
          <w:szCs w:val="26"/>
        </w:rPr>
        <w:t>, SÍNDICO PROCURADOR y REPRESENTANTE DEL AYUNTAMIENTO y de los integrantes del Cabildo, así como el Regidor de Obras Públicas, autoridades del Municipio de Santa Ma</w:t>
      </w:r>
      <w:r>
        <w:rPr>
          <w:rFonts w:ascii="Arial" w:hAnsi="Arial" w:cs="Arial"/>
          <w:b/>
          <w:sz w:val="26"/>
          <w:szCs w:val="26"/>
        </w:rPr>
        <w:t xml:space="preserve">ría Colotepec, Pochutla, Oaxaca; </w:t>
      </w:r>
      <w:r>
        <w:rPr>
          <w:rFonts w:ascii="Arial" w:hAnsi="Arial" w:cs="Arial"/>
          <w:sz w:val="26"/>
          <w:szCs w:val="26"/>
        </w:rPr>
        <w:t>por tanto,</w:t>
      </w:r>
      <w:r>
        <w:rPr>
          <w:rFonts w:ascii="Arial" w:eastAsia="Calibri" w:hAnsi="Arial" w:cs="Arial"/>
          <w:bCs/>
          <w:sz w:val="26"/>
          <w:szCs w:val="26"/>
          <w:lang w:val="es-ES" w:eastAsia="en-US"/>
        </w:rPr>
        <w:t xml:space="preserve"> </w:t>
      </w:r>
      <w:r w:rsidRPr="00514668">
        <w:rPr>
          <w:rFonts w:ascii="Arial" w:eastAsiaTheme="minorHAnsi" w:hAnsi="Arial" w:cs="Arial"/>
          <w:bCs/>
          <w:iCs/>
          <w:sz w:val="26"/>
          <w:szCs w:val="26"/>
          <w:lang w:val="es-ES" w:eastAsia="en-US"/>
        </w:rPr>
        <w:t>con fundamento en los artículos 23</w:t>
      </w:r>
      <w:r>
        <w:rPr>
          <w:rFonts w:ascii="Arial" w:eastAsiaTheme="minorHAnsi" w:hAnsi="Arial" w:cs="Arial"/>
          <w:bCs/>
          <w:iCs/>
          <w:sz w:val="26"/>
          <w:szCs w:val="26"/>
          <w:lang w:val="es-ES" w:eastAsia="en-US"/>
        </w:rPr>
        <w:t>6</w:t>
      </w:r>
      <w:r w:rsidRPr="00514668">
        <w:rPr>
          <w:rFonts w:ascii="Arial" w:eastAsiaTheme="minorHAnsi" w:hAnsi="Arial" w:cs="Arial"/>
          <w:bCs/>
          <w:iCs/>
          <w:sz w:val="26"/>
          <w:szCs w:val="26"/>
          <w:lang w:val="es-ES" w:eastAsia="en-US"/>
        </w:rPr>
        <w:t xml:space="preserve"> y 238 de la Ley de Procedimiento y Justicia Administrativa para el Estado</w:t>
      </w:r>
      <w:r w:rsidRPr="00514668">
        <w:rPr>
          <w:rFonts w:ascii="Arial" w:eastAsia="Calibri" w:hAnsi="Arial" w:cs="Arial"/>
          <w:sz w:val="26"/>
          <w:szCs w:val="26"/>
          <w:lang w:val="es-ES" w:eastAsia="en-US"/>
        </w:rPr>
        <w:t xml:space="preserve"> de Oaxaca, se</w:t>
      </w:r>
      <w:r w:rsidRPr="00514668">
        <w:rPr>
          <w:rFonts w:ascii="Arial" w:eastAsiaTheme="minorHAnsi" w:hAnsi="Arial" w:cs="Arial"/>
          <w:sz w:val="26"/>
          <w:szCs w:val="26"/>
          <w:lang w:val="es-ES" w:eastAsia="en-US"/>
        </w:rPr>
        <w:t>:</w:t>
      </w:r>
      <w:r w:rsidRPr="0083167F">
        <w:rPr>
          <w:rFonts w:ascii="Arial" w:eastAsiaTheme="minorHAnsi" w:hAnsi="Arial" w:cs="Arial"/>
          <w:bCs/>
          <w:sz w:val="26"/>
          <w:szCs w:val="26"/>
          <w:lang w:val="es-ES" w:eastAsia="en-US"/>
        </w:rPr>
        <w:t xml:space="preserve"> </w:t>
      </w:r>
      <w:r>
        <w:rPr>
          <w:rFonts w:ascii="Arial" w:eastAsiaTheme="minorHAnsi" w:hAnsi="Arial" w:cs="Arial"/>
          <w:bCs/>
          <w:sz w:val="26"/>
          <w:szCs w:val="26"/>
          <w:lang w:val="es-ES" w:eastAsia="en-US"/>
        </w:rPr>
        <w:t xml:space="preserve">- - - - - - - - - - - - - </w:t>
      </w:r>
    </w:p>
    <w:p w14:paraId="2FDFFB07" w14:textId="77777777" w:rsidR="00E1353C" w:rsidRPr="0083167F" w:rsidRDefault="00E1353C" w:rsidP="00E1353C">
      <w:pPr>
        <w:spacing w:before="240" w:after="0" w:line="360" w:lineRule="auto"/>
        <w:jc w:val="center"/>
        <w:rPr>
          <w:rFonts w:ascii="Arial" w:hAnsi="Arial" w:cs="Arial"/>
          <w:b/>
          <w:sz w:val="26"/>
          <w:szCs w:val="26"/>
          <w:lang w:val="es-ES"/>
        </w:rPr>
      </w:pPr>
      <w:r w:rsidRPr="0083167F">
        <w:rPr>
          <w:rFonts w:ascii="Arial" w:hAnsi="Arial" w:cs="Arial"/>
          <w:b/>
          <w:sz w:val="26"/>
          <w:szCs w:val="26"/>
          <w:lang w:val="es-ES"/>
        </w:rPr>
        <w:t>R E S U E L V E</w:t>
      </w:r>
    </w:p>
    <w:p w14:paraId="3EADFE9B" w14:textId="77777777" w:rsidR="00E1353C" w:rsidRDefault="00E1353C" w:rsidP="00E1353C">
      <w:pPr>
        <w:pStyle w:val="Sinespaciado"/>
        <w:spacing w:before="240" w:after="240" w:line="360" w:lineRule="auto"/>
        <w:ind w:firstLine="708"/>
        <w:jc w:val="both"/>
        <w:rPr>
          <w:rFonts w:ascii="Arial" w:hAnsi="Arial" w:cs="Arial"/>
          <w:color w:val="000000"/>
          <w:sz w:val="26"/>
          <w:szCs w:val="26"/>
          <w:lang w:val="es-MX"/>
        </w:rPr>
      </w:pPr>
      <w:r w:rsidRPr="00514668">
        <w:rPr>
          <w:rFonts w:ascii="Arial" w:hAnsi="Arial" w:cs="Arial"/>
          <w:b/>
          <w:color w:val="000000"/>
          <w:sz w:val="26"/>
          <w:szCs w:val="26"/>
        </w:rPr>
        <w:t>PRIMERO</w:t>
      </w:r>
      <w:r w:rsidRPr="00514668">
        <w:rPr>
          <w:rFonts w:ascii="Arial" w:hAnsi="Arial" w:cs="Arial"/>
          <w:color w:val="000000"/>
          <w:sz w:val="26"/>
          <w:szCs w:val="26"/>
        </w:rPr>
        <w:t>.</w:t>
      </w:r>
      <w:r w:rsidRPr="00A81E37">
        <w:rPr>
          <w:rFonts w:ascii="Arial" w:hAnsi="Arial" w:cs="Arial"/>
          <w:b/>
          <w:bCs/>
          <w:color w:val="000000"/>
          <w:sz w:val="26"/>
          <w:szCs w:val="26"/>
        </w:rPr>
        <w:t xml:space="preserve"> </w:t>
      </w:r>
      <w:r w:rsidRPr="00514668">
        <w:rPr>
          <w:rFonts w:ascii="Arial" w:hAnsi="Arial" w:cs="Arial"/>
          <w:color w:val="000000"/>
          <w:sz w:val="26"/>
          <w:szCs w:val="26"/>
        </w:rPr>
        <w:t>Se</w:t>
      </w:r>
      <w:r w:rsidRPr="00514668">
        <w:rPr>
          <w:rFonts w:ascii="Arial" w:hAnsi="Arial" w:cs="Arial"/>
          <w:b/>
          <w:color w:val="000000"/>
          <w:sz w:val="26"/>
          <w:szCs w:val="26"/>
        </w:rPr>
        <w:t xml:space="preserve"> </w:t>
      </w:r>
      <w:r>
        <w:rPr>
          <w:rFonts w:ascii="Arial" w:hAnsi="Arial" w:cs="Arial"/>
          <w:b/>
          <w:color w:val="000000"/>
          <w:sz w:val="26"/>
          <w:szCs w:val="26"/>
        </w:rPr>
        <w:t xml:space="preserve">DESECHA </w:t>
      </w:r>
      <w:r w:rsidRPr="00716D2D">
        <w:rPr>
          <w:rFonts w:ascii="Arial" w:hAnsi="Arial" w:cs="Arial"/>
          <w:color w:val="000000"/>
          <w:sz w:val="26"/>
          <w:szCs w:val="26"/>
        </w:rPr>
        <w:t>el recurso de revisión interpuesto</w:t>
      </w:r>
      <w:r>
        <w:rPr>
          <w:rFonts w:ascii="Arial" w:hAnsi="Arial" w:cs="Arial"/>
          <w:color w:val="000000"/>
          <w:sz w:val="26"/>
          <w:szCs w:val="26"/>
        </w:rPr>
        <w:t xml:space="preserve"> en contra de la parte relativa del acuerdo de ocho de octubre de dos mil veintiuno,</w:t>
      </w:r>
      <w:r w:rsidRPr="00716D2D">
        <w:rPr>
          <w:rFonts w:ascii="Arial" w:hAnsi="Arial" w:cs="Arial"/>
          <w:color w:val="000000"/>
          <w:sz w:val="26"/>
          <w:szCs w:val="26"/>
        </w:rPr>
        <w:t xml:space="preserve"> </w:t>
      </w:r>
      <w:r>
        <w:rPr>
          <w:rFonts w:ascii="Arial" w:hAnsi="Arial" w:cs="Arial"/>
          <w:color w:val="000000"/>
          <w:sz w:val="26"/>
          <w:szCs w:val="26"/>
          <w:lang w:val="es-MX"/>
        </w:rPr>
        <w:t xml:space="preserve">por las razones expuestas en el considerando que antecede.- </w:t>
      </w:r>
    </w:p>
    <w:p w14:paraId="340D4997" w14:textId="77777777" w:rsidR="00E1353C" w:rsidRPr="00514668" w:rsidRDefault="00E1353C" w:rsidP="00E1353C">
      <w:pPr>
        <w:spacing w:before="120" w:after="0" w:line="360" w:lineRule="auto"/>
        <w:ind w:firstLine="708"/>
        <w:jc w:val="both"/>
        <w:rPr>
          <w:rFonts w:ascii="Arial" w:hAnsi="Arial" w:cs="Arial"/>
          <w:sz w:val="26"/>
          <w:szCs w:val="26"/>
        </w:rPr>
      </w:pPr>
      <w:r w:rsidRPr="00514668">
        <w:rPr>
          <w:rFonts w:ascii="Arial" w:hAnsi="Arial" w:cs="Arial"/>
          <w:b/>
          <w:sz w:val="26"/>
          <w:szCs w:val="26"/>
        </w:rPr>
        <w:t>SEGUNDO</w:t>
      </w:r>
      <w:r>
        <w:rPr>
          <w:rFonts w:ascii="Arial" w:hAnsi="Arial" w:cs="Arial"/>
          <w:b/>
          <w:sz w:val="26"/>
          <w:szCs w:val="26"/>
        </w:rPr>
        <w:t xml:space="preserve">. </w:t>
      </w:r>
      <w:r w:rsidRPr="00514668">
        <w:rPr>
          <w:rFonts w:ascii="Arial" w:hAnsi="Arial" w:cs="Arial"/>
          <w:b/>
          <w:sz w:val="26"/>
          <w:szCs w:val="26"/>
        </w:rPr>
        <w:t>NOTIFÍQUESE Y CÚMPLASE,</w:t>
      </w:r>
      <w:r w:rsidRPr="00514668">
        <w:rPr>
          <w:rFonts w:ascii="Arial" w:hAnsi="Arial" w:cs="Arial"/>
          <w:sz w:val="26"/>
          <w:szCs w:val="26"/>
        </w:rPr>
        <w:t xml:space="preserve"> remítase copia certificada de la</w:t>
      </w:r>
      <w:r>
        <w:rPr>
          <w:rFonts w:ascii="Arial" w:hAnsi="Arial" w:cs="Arial"/>
          <w:sz w:val="26"/>
          <w:szCs w:val="26"/>
        </w:rPr>
        <w:t xml:space="preserve"> presente resolución a la Cuarta </w:t>
      </w:r>
      <w:r w:rsidRPr="00514668">
        <w:rPr>
          <w:rFonts w:ascii="Arial" w:hAnsi="Arial" w:cs="Arial"/>
          <w:sz w:val="26"/>
          <w:szCs w:val="26"/>
        </w:rPr>
        <w:t>Sala Unitaria de Primera Instancia de este Tribunal y en su oportunidad archívese el presente cuaderno de revisión como asunto concluido.</w:t>
      </w:r>
      <w:r w:rsidRPr="00C34055">
        <w:rPr>
          <w:rFonts w:ascii="Arial" w:eastAsiaTheme="minorHAnsi" w:hAnsi="Arial" w:cs="Arial"/>
          <w:bCs/>
          <w:sz w:val="26"/>
          <w:szCs w:val="26"/>
          <w:lang w:val="es-ES" w:eastAsia="en-US"/>
        </w:rPr>
        <w:t xml:space="preserve"> </w:t>
      </w:r>
      <w:r>
        <w:rPr>
          <w:rFonts w:ascii="Arial" w:eastAsiaTheme="minorHAnsi" w:hAnsi="Arial" w:cs="Arial"/>
          <w:bCs/>
          <w:sz w:val="26"/>
          <w:szCs w:val="26"/>
          <w:lang w:val="es-ES" w:eastAsia="en-US"/>
        </w:rPr>
        <w:t>- - - - - - - - - - - - - - - - - - -</w:t>
      </w:r>
    </w:p>
    <w:p w14:paraId="57E929EE" w14:textId="3595079A" w:rsidR="00E1353C" w:rsidRDefault="00E1353C" w:rsidP="002B5B60">
      <w:pPr>
        <w:pStyle w:val="corte4fondo"/>
        <w:spacing w:before="120"/>
        <w:ind w:left="-284" w:right="51" w:firstLine="710"/>
        <w:rPr>
          <w:sz w:val="26"/>
          <w:szCs w:val="26"/>
          <w:lang w:val="es-MX"/>
        </w:rPr>
      </w:pPr>
      <w:r w:rsidRPr="00E62D2D">
        <w:rPr>
          <w:sz w:val="24"/>
          <w:szCs w:val="24"/>
        </w:rPr>
        <w:tab/>
      </w:r>
      <w:r w:rsidRPr="00F10224">
        <w:rPr>
          <w:sz w:val="26"/>
          <w:szCs w:val="26"/>
          <w:lang w:val="es-MX"/>
        </w:rPr>
        <w:t xml:space="preserve">Así lo resolvieron y firmaron los Magistrados </w:t>
      </w:r>
      <w:r>
        <w:rPr>
          <w:sz w:val="26"/>
          <w:szCs w:val="26"/>
          <w:lang w:val="es-MX"/>
        </w:rPr>
        <w:t xml:space="preserve">integrantes de la Sala Superior </w:t>
      </w:r>
      <w:r w:rsidRPr="00F10224">
        <w:rPr>
          <w:sz w:val="26"/>
          <w:szCs w:val="26"/>
          <w:lang w:val="es-MX"/>
        </w:rPr>
        <w:t xml:space="preserve">Manuel Velasco Alcántara, Raúl Palomares Palomino, Gloria del Carmen Camacho Meza </w:t>
      </w:r>
      <w:r w:rsidRPr="00457FEB">
        <w:rPr>
          <w:b/>
          <w:sz w:val="26"/>
          <w:szCs w:val="26"/>
          <w:lang w:val="es-MX"/>
        </w:rPr>
        <w:t>(ponente),</w:t>
      </w:r>
      <w:r w:rsidRPr="00F10224">
        <w:rPr>
          <w:sz w:val="26"/>
          <w:szCs w:val="26"/>
          <w:lang w:val="es-MX"/>
        </w:rPr>
        <w:t xml:space="preserve"> Paulo José Luis Tapia Palacios</w:t>
      </w:r>
      <w:r>
        <w:rPr>
          <w:sz w:val="26"/>
          <w:szCs w:val="26"/>
          <w:lang w:val="es-MX"/>
        </w:rPr>
        <w:t xml:space="preserve"> </w:t>
      </w:r>
      <w:r w:rsidRPr="00716D2D">
        <w:rPr>
          <w:sz w:val="26"/>
          <w:szCs w:val="26"/>
          <w:lang w:val="es-MX"/>
        </w:rPr>
        <w:t>y</w:t>
      </w:r>
      <w:r>
        <w:rPr>
          <w:sz w:val="26"/>
          <w:szCs w:val="26"/>
          <w:lang w:val="es-MX"/>
        </w:rPr>
        <w:t xml:space="preserve"> </w:t>
      </w:r>
      <w:r w:rsidRPr="00F10224">
        <w:rPr>
          <w:sz w:val="26"/>
          <w:szCs w:val="26"/>
          <w:lang w:val="es-MX"/>
        </w:rPr>
        <w:t>Elías Cortes López, quienes actúan con el Licenciado Juan Edy García Coronado, Secretario General de Acuerdos de este Tribunal, que autoriza y da fe. - - - - - - - - - - - - - -</w:t>
      </w:r>
      <w:r>
        <w:rPr>
          <w:sz w:val="26"/>
          <w:szCs w:val="26"/>
          <w:lang w:val="es-MX"/>
        </w:rPr>
        <w:t xml:space="preserve"> - - - - - - - - - - - - - - - - - - - - - - - - - - - - </w:t>
      </w:r>
    </w:p>
    <w:p w14:paraId="31516335" w14:textId="77777777" w:rsidR="002B5B60" w:rsidRDefault="002B5B60" w:rsidP="002B5B60">
      <w:pPr>
        <w:pStyle w:val="corte4fondo"/>
        <w:spacing w:before="120"/>
        <w:ind w:left="-284" w:right="51" w:firstLine="710"/>
        <w:rPr>
          <w:sz w:val="26"/>
          <w:szCs w:val="26"/>
          <w:lang w:val="es-MX"/>
        </w:rPr>
      </w:pPr>
    </w:p>
    <w:p w14:paraId="1A57ADF1" w14:textId="77777777" w:rsidR="002B5B60" w:rsidRPr="002B5B60" w:rsidRDefault="002B5B60" w:rsidP="002B5B60">
      <w:pPr>
        <w:pStyle w:val="corte4fondo"/>
        <w:spacing w:before="120"/>
        <w:ind w:left="-284" w:right="51" w:firstLine="710"/>
        <w:rPr>
          <w:sz w:val="26"/>
          <w:szCs w:val="26"/>
          <w:lang w:val="es-MX"/>
        </w:rPr>
      </w:pPr>
    </w:p>
    <w:p w14:paraId="26FA65B5" w14:textId="77777777" w:rsidR="00E1353C" w:rsidRDefault="00E1353C" w:rsidP="00E1353C">
      <w:pPr>
        <w:tabs>
          <w:tab w:val="left" w:pos="1680"/>
          <w:tab w:val="center" w:pos="4277"/>
        </w:tabs>
        <w:spacing w:after="0"/>
        <w:jc w:val="center"/>
        <w:rPr>
          <w:rFonts w:ascii="Arial" w:hAnsi="Arial" w:cs="Arial"/>
          <w:sz w:val="26"/>
          <w:szCs w:val="26"/>
        </w:rPr>
      </w:pPr>
    </w:p>
    <w:p w14:paraId="6F1C86D9" w14:textId="77777777" w:rsidR="00E1353C" w:rsidRDefault="00E1353C" w:rsidP="00E1353C">
      <w:pPr>
        <w:tabs>
          <w:tab w:val="left" w:pos="1680"/>
          <w:tab w:val="center" w:pos="4277"/>
        </w:tabs>
        <w:spacing w:after="0"/>
        <w:jc w:val="center"/>
        <w:rPr>
          <w:rFonts w:ascii="Arial" w:hAnsi="Arial" w:cs="Arial"/>
          <w:sz w:val="26"/>
          <w:szCs w:val="26"/>
        </w:rPr>
      </w:pPr>
    </w:p>
    <w:p w14:paraId="30B8A72E" w14:textId="77777777" w:rsidR="002B5B60" w:rsidRDefault="002B5B60" w:rsidP="002B5B60">
      <w:pPr>
        <w:tabs>
          <w:tab w:val="center" w:pos="4135"/>
          <w:tab w:val="left" w:pos="7515"/>
        </w:tabs>
        <w:spacing w:after="120" w:line="360" w:lineRule="auto"/>
        <w:jc w:val="center"/>
        <w:rPr>
          <w:rFonts w:ascii="Arial" w:hAnsi="Arial" w:cs="Arial"/>
          <w:sz w:val="26"/>
          <w:szCs w:val="26"/>
        </w:rPr>
      </w:pPr>
      <w:r w:rsidRPr="007E36E2">
        <w:rPr>
          <w:rFonts w:ascii="Arial" w:eastAsia="Times New Roman" w:hAnsi="Arial" w:cs="Arial"/>
          <w:b/>
          <w:bCs/>
          <w:sz w:val="16"/>
          <w:szCs w:val="16"/>
        </w:rPr>
        <w:lastRenderedPageBreak/>
        <w:t>LAS PRESENTES FIRMAS CORRESPONDEN A LA</w:t>
      </w:r>
      <w:bookmarkStart w:id="0" w:name="_GoBack"/>
      <w:bookmarkEnd w:id="0"/>
      <w:r w:rsidRPr="007E36E2">
        <w:rPr>
          <w:rFonts w:ascii="Arial" w:eastAsia="Times New Roman" w:hAnsi="Arial" w:cs="Arial"/>
          <w:b/>
          <w:bCs/>
          <w:sz w:val="16"/>
          <w:szCs w:val="16"/>
        </w:rPr>
        <w:t xml:space="preserve"> RESOLUCIÓN DEL RECURSO DE REVISIÓN </w:t>
      </w:r>
      <w:r>
        <w:rPr>
          <w:rFonts w:ascii="Arial" w:eastAsia="Times New Roman" w:hAnsi="Arial" w:cs="Arial"/>
          <w:b/>
          <w:bCs/>
          <w:sz w:val="16"/>
          <w:szCs w:val="16"/>
        </w:rPr>
        <w:t>0489/</w:t>
      </w:r>
      <w:r w:rsidRPr="007E36E2">
        <w:rPr>
          <w:rFonts w:ascii="Arial" w:eastAsia="Times New Roman" w:hAnsi="Arial" w:cs="Arial"/>
          <w:b/>
          <w:bCs/>
          <w:sz w:val="16"/>
          <w:szCs w:val="16"/>
        </w:rPr>
        <w:t>202</w:t>
      </w:r>
      <w:r>
        <w:rPr>
          <w:rFonts w:ascii="Arial" w:eastAsia="Times New Roman" w:hAnsi="Arial" w:cs="Arial"/>
          <w:b/>
          <w:bCs/>
          <w:sz w:val="16"/>
          <w:szCs w:val="16"/>
        </w:rPr>
        <w:t>1</w:t>
      </w:r>
    </w:p>
    <w:p w14:paraId="346E3894" w14:textId="77777777" w:rsidR="00E1353C" w:rsidRDefault="00E1353C" w:rsidP="00E1353C">
      <w:pPr>
        <w:tabs>
          <w:tab w:val="left" w:pos="1680"/>
          <w:tab w:val="center" w:pos="4277"/>
        </w:tabs>
        <w:spacing w:after="0"/>
        <w:jc w:val="center"/>
        <w:rPr>
          <w:rFonts w:ascii="Arial" w:hAnsi="Arial" w:cs="Arial"/>
          <w:sz w:val="26"/>
          <w:szCs w:val="26"/>
        </w:rPr>
      </w:pPr>
    </w:p>
    <w:p w14:paraId="36F26521" w14:textId="77777777" w:rsidR="002B5B60" w:rsidRDefault="002B5B60" w:rsidP="00E1353C">
      <w:pPr>
        <w:tabs>
          <w:tab w:val="left" w:pos="1680"/>
          <w:tab w:val="center" w:pos="4277"/>
        </w:tabs>
        <w:spacing w:after="0"/>
        <w:jc w:val="center"/>
        <w:rPr>
          <w:rFonts w:ascii="Arial" w:hAnsi="Arial" w:cs="Arial"/>
          <w:sz w:val="26"/>
          <w:szCs w:val="26"/>
        </w:rPr>
      </w:pPr>
    </w:p>
    <w:p w14:paraId="0C1E7F87" w14:textId="77777777" w:rsidR="002B5B60" w:rsidRDefault="002B5B60" w:rsidP="00E1353C">
      <w:pPr>
        <w:tabs>
          <w:tab w:val="left" w:pos="1680"/>
          <w:tab w:val="center" w:pos="4277"/>
        </w:tabs>
        <w:spacing w:after="0"/>
        <w:jc w:val="center"/>
        <w:rPr>
          <w:rFonts w:ascii="Arial" w:hAnsi="Arial" w:cs="Arial"/>
          <w:sz w:val="26"/>
          <w:szCs w:val="26"/>
        </w:rPr>
      </w:pPr>
    </w:p>
    <w:p w14:paraId="090F1E09" w14:textId="77777777" w:rsidR="002B5B60" w:rsidRDefault="002B5B60" w:rsidP="00E1353C">
      <w:pPr>
        <w:tabs>
          <w:tab w:val="left" w:pos="1680"/>
          <w:tab w:val="center" w:pos="4277"/>
        </w:tabs>
        <w:spacing w:after="0"/>
        <w:jc w:val="center"/>
        <w:rPr>
          <w:rFonts w:ascii="Arial" w:hAnsi="Arial" w:cs="Arial"/>
          <w:sz w:val="26"/>
          <w:szCs w:val="26"/>
        </w:rPr>
      </w:pPr>
    </w:p>
    <w:p w14:paraId="23FFF765" w14:textId="77777777" w:rsidR="002B5B60" w:rsidRDefault="002B5B60" w:rsidP="00E1353C">
      <w:pPr>
        <w:tabs>
          <w:tab w:val="left" w:pos="1680"/>
          <w:tab w:val="center" w:pos="4277"/>
        </w:tabs>
        <w:spacing w:after="0"/>
        <w:jc w:val="center"/>
        <w:rPr>
          <w:rFonts w:ascii="Arial" w:hAnsi="Arial" w:cs="Arial"/>
          <w:sz w:val="26"/>
          <w:szCs w:val="26"/>
        </w:rPr>
      </w:pPr>
    </w:p>
    <w:p w14:paraId="037D6873" w14:textId="77777777" w:rsidR="00E1353C" w:rsidRPr="00E62D2D" w:rsidRDefault="00E1353C" w:rsidP="00E1353C">
      <w:pPr>
        <w:tabs>
          <w:tab w:val="left" w:pos="1680"/>
          <w:tab w:val="center" w:pos="4277"/>
        </w:tabs>
        <w:spacing w:after="0"/>
        <w:jc w:val="center"/>
        <w:rPr>
          <w:rFonts w:ascii="Arial" w:hAnsi="Arial" w:cs="Arial"/>
          <w:sz w:val="26"/>
          <w:szCs w:val="26"/>
        </w:rPr>
      </w:pPr>
      <w:r w:rsidRPr="00E62D2D">
        <w:rPr>
          <w:rFonts w:ascii="Arial" w:hAnsi="Arial" w:cs="Arial"/>
          <w:sz w:val="26"/>
          <w:szCs w:val="26"/>
        </w:rPr>
        <w:t>MAGISTRADO MANUEL VELASCO ALCÁNTARA</w:t>
      </w:r>
    </w:p>
    <w:p w14:paraId="7D1CBFB7" w14:textId="77777777" w:rsidR="00E1353C" w:rsidRDefault="00E1353C" w:rsidP="00E1353C">
      <w:pPr>
        <w:tabs>
          <w:tab w:val="left" w:pos="798"/>
          <w:tab w:val="center" w:pos="4135"/>
        </w:tabs>
        <w:spacing w:after="0"/>
        <w:jc w:val="center"/>
        <w:rPr>
          <w:rFonts w:ascii="Arial" w:hAnsi="Arial" w:cs="Arial"/>
          <w:sz w:val="26"/>
          <w:szCs w:val="26"/>
        </w:rPr>
      </w:pPr>
      <w:r w:rsidRPr="00E62D2D">
        <w:rPr>
          <w:rFonts w:ascii="Arial" w:hAnsi="Arial" w:cs="Arial"/>
          <w:sz w:val="26"/>
          <w:szCs w:val="26"/>
        </w:rPr>
        <w:t>PRESIDENTE</w:t>
      </w:r>
    </w:p>
    <w:p w14:paraId="52F3DBAC" w14:textId="77777777" w:rsidR="00E1353C" w:rsidRDefault="00E1353C" w:rsidP="00E1353C">
      <w:pPr>
        <w:tabs>
          <w:tab w:val="center" w:pos="4135"/>
          <w:tab w:val="left" w:pos="7515"/>
        </w:tabs>
        <w:spacing w:line="360" w:lineRule="auto"/>
        <w:rPr>
          <w:rFonts w:ascii="Arial" w:hAnsi="Arial" w:cs="Arial"/>
          <w:sz w:val="26"/>
          <w:szCs w:val="26"/>
        </w:rPr>
      </w:pPr>
    </w:p>
    <w:p w14:paraId="703F29A0" w14:textId="77777777" w:rsidR="00E1353C" w:rsidRDefault="00E1353C" w:rsidP="00E1353C">
      <w:pPr>
        <w:tabs>
          <w:tab w:val="center" w:pos="4135"/>
          <w:tab w:val="left" w:pos="7515"/>
        </w:tabs>
        <w:spacing w:line="360" w:lineRule="auto"/>
        <w:rPr>
          <w:rFonts w:ascii="Arial" w:hAnsi="Arial" w:cs="Arial"/>
          <w:sz w:val="26"/>
          <w:szCs w:val="26"/>
        </w:rPr>
      </w:pPr>
    </w:p>
    <w:p w14:paraId="70A13A32" w14:textId="77777777" w:rsidR="00E1353C" w:rsidRDefault="00E1353C" w:rsidP="00E1353C">
      <w:pPr>
        <w:tabs>
          <w:tab w:val="center" w:pos="4135"/>
          <w:tab w:val="left" w:pos="7515"/>
        </w:tabs>
        <w:spacing w:line="360" w:lineRule="auto"/>
        <w:rPr>
          <w:rFonts w:ascii="Arial" w:hAnsi="Arial" w:cs="Arial"/>
          <w:sz w:val="26"/>
          <w:szCs w:val="26"/>
        </w:rPr>
      </w:pPr>
    </w:p>
    <w:p w14:paraId="74427C5C" w14:textId="77777777" w:rsidR="00E1353C" w:rsidRDefault="00E1353C" w:rsidP="00E1353C">
      <w:pPr>
        <w:tabs>
          <w:tab w:val="center" w:pos="4135"/>
          <w:tab w:val="left" w:pos="7515"/>
        </w:tabs>
        <w:spacing w:after="120" w:line="360" w:lineRule="auto"/>
        <w:jc w:val="center"/>
        <w:rPr>
          <w:rFonts w:ascii="Arial" w:hAnsi="Arial" w:cs="Arial"/>
          <w:sz w:val="26"/>
          <w:szCs w:val="26"/>
        </w:rPr>
      </w:pPr>
      <w:r>
        <w:rPr>
          <w:rFonts w:ascii="Arial" w:hAnsi="Arial" w:cs="Arial"/>
          <w:sz w:val="26"/>
          <w:szCs w:val="26"/>
        </w:rPr>
        <w:t>MAGISTRADO RAÚL PALOMARES PALOMINO</w:t>
      </w:r>
    </w:p>
    <w:p w14:paraId="35A9BA5A" w14:textId="77777777" w:rsidR="00E1353C" w:rsidRDefault="00E1353C" w:rsidP="00E1353C">
      <w:pPr>
        <w:tabs>
          <w:tab w:val="center" w:pos="4135"/>
          <w:tab w:val="left" w:pos="7515"/>
        </w:tabs>
        <w:spacing w:after="120" w:line="360" w:lineRule="auto"/>
        <w:jc w:val="center"/>
        <w:rPr>
          <w:rFonts w:ascii="Arial" w:hAnsi="Arial" w:cs="Arial"/>
          <w:sz w:val="26"/>
          <w:szCs w:val="26"/>
        </w:rPr>
      </w:pPr>
    </w:p>
    <w:p w14:paraId="4B5EDBF2" w14:textId="77777777" w:rsidR="00E1353C" w:rsidRDefault="00E1353C" w:rsidP="00E1353C">
      <w:pPr>
        <w:tabs>
          <w:tab w:val="center" w:pos="4135"/>
          <w:tab w:val="left" w:pos="7515"/>
        </w:tabs>
        <w:spacing w:after="120" w:line="360" w:lineRule="auto"/>
        <w:jc w:val="center"/>
        <w:rPr>
          <w:rFonts w:ascii="Arial" w:hAnsi="Arial" w:cs="Arial"/>
          <w:sz w:val="26"/>
          <w:szCs w:val="26"/>
        </w:rPr>
      </w:pPr>
    </w:p>
    <w:p w14:paraId="2C71EF8E" w14:textId="77777777" w:rsidR="00E1353C" w:rsidRDefault="00E1353C" w:rsidP="00E1353C">
      <w:pPr>
        <w:tabs>
          <w:tab w:val="center" w:pos="4135"/>
          <w:tab w:val="left" w:pos="7515"/>
        </w:tabs>
        <w:spacing w:after="120" w:line="360" w:lineRule="auto"/>
        <w:jc w:val="center"/>
        <w:rPr>
          <w:rFonts w:ascii="Arial" w:hAnsi="Arial" w:cs="Arial"/>
          <w:sz w:val="26"/>
          <w:szCs w:val="26"/>
        </w:rPr>
      </w:pPr>
    </w:p>
    <w:p w14:paraId="29FFEF8E" w14:textId="77777777" w:rsidR="00E1353C" w:rsidRDefault="00E1353C" w:rsidP="00E1353C">
      <w:pPr>
        <w:tabs>
          <w:tab w:val="left" w:pos="1925"/>
          <w:tab w:val="center" w:pos="4135"/>
        </w:tabs>
        <w:spacing w:after="120"/>
        <w:jc w:val="center"/>
        <w:rPr>
          <w:rFonts w:ascii="Arial" w:hAnsi="Arial" w:cs="Arial"/>
          <w:sz w:val="26"/>
          <w:szCs w:val="26"/>
        </w:rPr>
      </w:pPr>
      <w:r>
        <w:rPr>
          <w:rFonts w:ascii="Arial" w:hAnsi="Arial" w:cs="Arial"/>
          <w:sz w:val="26"/>
          <w:szCs w:val="26"/>
        </w:rPr>
        <w:t>MAGISTRADA GLORIA DEL CARMEN CAMACHO MEZA</w:t>
      </w:r>
    </w:p>
    <w:p w14:paraId="5A95F3AD" w14:textId="77777777" w:rsidR="00E1353C" w:rsidRDefault="00E1353C" w:rsidP="00E1353C">
      <w:pPr>
        <w:tabs>
          <w:tab w:val="left" w:pos="1925"/>
          <w:tab w:val="center" w:pos="4135"/>
        </w:tabs>
        <w:spacing w:after="120"/>
        <w:jc w:val="center"/>
        <w:rPr>
          <w:rFonts w:ascii="Arial" w:hAnsi="Arial" w:cs="Arial"/>
          <w:sz w:val="26"/>
          <w:szCs w:val="26"/>
        </w:rPr>
      </w:pPr>
    </w:p>
    <w:p w14:paraId="46ACBA8C" w14:textId="77777777" w:rsidR="00E1353C" w:rsidRDefault="00E1353C" w:rsidP="00E1353C">
      <w:pPr>
        <w:tabs>
          <w:tab w:val="left" w:pos="1925"/>
          <w:tab w:val="center" w:pos="4135"/>
        </w:tabs>
        <w:spacing w:after="120"/>
        <w:jc w:val="center"/>
        <w:rPr>
          <w:rFonts w:ascii="Arial" w:hAnsi="Arial" w:cs="Arial"/>
          <w:sz w:val="26"/>
          <w:szCs w:val="26"/>
        </w:rPr>
      </w:pPr>
    </w:p>
    <w:p w14:paraId="64E1F558" w14:textId="77777777" w:rsidR="00E1353C" w:rsidRDefault="00E1353C" w:rsidP="00E1353C">
      <w:pPr>
        <w:tabs>
          <w:tab w:val="left" w:pos="1925"/>
          <w:tab w:val="center" w:pos="4135"/>
        </w:tabs>
        <w:spacing w:after="120"/>
        <w:rPr>
          <w:rFonts w:ascii="Arial" w:hAnsi="Arial" w:cs="Arial"/>
          <w:sz w:val="26"/>
          <w:szCs w:val="26"/>
        </w:rPr>
      </w:pPr>
    </w:p>
    <w:p w14:paraId="4B8E1C1E" w14:textId="77777777" w:rsidR="00E1353C" w:rsidRDefault="00E1353C" w:rsidP="00E1353C">
      <w:pPr>
        <w:tabs>
          <w:tab w:val="left" w:pos="1925"/>
          <w:tab w:val="center" w:pos="4135"/>
        </w:tabs>
        <w:spacing w:after="120"/>
        <w:jc w:val="center"/>
        <w:rPr>
          <w:rFonts w:ascii="Arial" w:hAnsi="Arial" w:cs="Arial"/>
          <w:sz w:val="26"/>
          <w:szCs w:val="26"/>
        </w:rPr>
      </w:pPr>
    </w:p>
    <w:p w14:paraId="25D97B00" w14:textId="77777777" w:rsidR="00E1353C" w:rsidRDefault="00E1353C" w:rsidP="00E1353C">
      <w:pPr>
        <w:tabs>
          <w:tab w:val="left" w:pos="1925"/>
          <w:tab w:val="center" w:pos="4135"/>
        </w:tabs>
        <w:spacing w:after="120"/>
        <w:jc w:val="center"/>
        <w:rPr>
          <w:rFonts w:ascii="Arial" w:hAnsi="Arial" w:cs="Arial"/>
          <w:sz w:val="26"/>
          <w:szCs w:val="26"/>
        </w:rPr>
      </w:pPr>
      <w:r>
        <w:rPr>
          <w:rFonts w:ascii="Arial" w:hAnsi="Arial" w:cs="Arial"/>
          <w:sz w:val="26"/>
          <w:szCs w:val="26"/>
        </w:rPr>
        <w:t>MAGISTRADO PAULO JOSÉ LUIS TAPIA PALACIOS</w:t>
      </w:r>
    </w:p>
    <w:p w14:paraId="27131198" w14:textId="2C3EC2BE" w:rsidR="00E1353C" w:rsidRDefault="00E1353C" w:rsidP="00E1353C">
      <w:pPr>
        <w:tabs>
          <w:tab w:val="left" w:pos="1925"/>
          <w:tab w:val="center" w:pos="4135"/>
        </w:tabs>
        <w:spacing w:after="120"/>
        <w:jc w:val="center"/>
        <w:rPr>
          <w:rFonts w:ascii="Arial" w:hAnsi="Arial" w:cs="Arial"/>
          <w:sz w:val="26"/>
          <w:szCs w:val="26"/>
        </w:rPr>
      </w:pPr>
    </w:p>
    <w:p w14:paraId="2B91FAA0" w14:textId="77777777" w:rsidR="00E1353C" w:rsidRDefault="00E1353C" w:rsidP="00E1353C">
      <w:pPr>
        <w:tabs>
          <w:tab w:val="center" w:pos="4135"/>
          <w:tab w:val="left" w:pos="7515"/>
        </w:tabs>
        <w:spacing w:after="120" w:line="360" w:lineRule="auto"/>
        <w:jc w:val="center"/>
        <w:rPr>
          <w:rFonts w:ascii="Arial" w:hAnsi="Arial" w:cs="Arial"/>
          <w:sz w:val="26"/>
          <w:szCs w:val="26"/>
        </w:rPr>
      </w:pPr>
    </w:p>
    <w:p w14:paraId="1A4893E9" w14:textId="77777777" w:rsidR="00E1353C" w:rsidRDefault="00E1353C" w:rsidP="00E1353C">
      <w:pPr>
        <w:tabs>
          <w:tab w:val="center" w:pos="4135"/>
          <w:tab w:val="left" w:pos="7515"/>
        </w:tabs>
        <w:spacing w:after="120" w:line="360" w:lineRule="auto"/>
        <w:jc w:val="center"/>
        <w:rPr>
          <w:rFonts w:ascii="Arial" w:hAnsi="Arial" w:cs="Arial"/>
          <w:sz w:val="26"/>
          <w:szCs w:val="26"/>
        </w:rPr>
      </w:pPr>
    </w:p>
    <w:p w14:paraId="6D5F0591" w14:textId="77777777" w:rsidR="00E1353C" w:rsidRDefault="00E1353C" w:rsidP="00E1353C">
      <w:pPr>
        <w:tabs>
          <w:tab w:val="center" w:pos="4135"/>
          <w:tab w:val="left" w:pos="7515"/>
        </w:tabs>
        <w:spacing w:after="120" w:line="360" w:lineRule="auto"/>
        <w:jc w:val="center"/>
        <w:rPr>
          <w:rFonts w:ascii="Arial" w:hAnsi="Arial" w:cs="Arial"/>
          <w:sz w:val="26"/>
          <w:szCs w:val="26"/>
        </w:rPr>
      </w:pPr>
      <w:r>
        <w:rPr>
          <w:rFonts w:ascii="Arial" w:hAnsi="Arial" w:cs="Arial"/>
          <w:sz w:val="26"/>
          <w:szCs w:val="26"/>
        </w:rPr>
        <w:t>MAGISTRADO ELÍAS CORTÉS LÓPEZ</w:t>
      </w:r>
    </w:p>
    <w:p w14:paraId="691EE217" w14:textId="77777777" w:rsidR="00E1353C" w:rsidRDefault="00E1353C" w:rsidP="00E1353C">
      <w:pPr>
        <w:tabs>
          <w:tab w:val="center" w:pos="4135"/>
          <w:tab w:val="left" w:pos="7515"/>
        </w:tabs>
        <w:spacing w:after="120" w:line="360" w:lineRule="auto"/>
        <w:jc w:val="center"/>
        <w:rPr>
          <w:rFonts w:ascii="Arial" w:hAnsi="Arial" w:cs="Arial"/>
          <w:sz w:val="26"/>
          <w:szCs w:val="26"/>
        </w:rPr>
      </w:pPr>
    </w:p>
    <w:p w14:paraId="60D4722E" w14:textId="77777777" w:rsidR="00E1353C" w:rsidRDefault="00E1353C" w:rsidP="00E1353C">
      <w:pPr>
        <w:tabs>
          <w:tab w:val="center" w:pos="4135"/>
          <w:tab w:val="left" w:pos="7515"/>
        </w:tabs>
        <w:spacing w:after="120" w:line="360" w:lineRule="auto"/>
        <w:jc w:val="center"/>
        <w:rPr>
          <w:rFonts w:ascii="Arial" w:hAnsi="Arial" w:cs="Arial"/>
          <w:sz w:val="26"/>
          <w:szCs w:val="26"/>
        </w:rPr>
      </w:pPr>
    </w:p>
    <w:p w14:paraId="512D4925" w14:textId="77777777" w:rsidR="00E1353C" w:rsidRDefault="00E1353C" w:rsidP="00E1353C">
      <w:pPr>
        <w:tabs>
          <w:tab w:val="center" w:pos="4135"/>
          <w:tab w:val="left" w:pos="7515"/>
        </w:tabs>
        <w:spacing w:after="120" w:line="360" w:lineRule="auto"/>
        <w:jc w:val="center"/>
        <w:rPr>
          <w:rFonts w:ascii="Arial" w:hAnsi="Arial" w:cs="Arial"/>
          <w:sz w:val="26"/>
          <w:szCs w:val="26"/>
        </w:rPr>
      </w:pPr>
    </w:p>
    <w:p w14:paraId="515BE2A3" w14:textId="77777777" w:rsidR="00E1353C" w:rsidRDefault="00E1353C" w:rsidP="00E1353C">
      <w:pPr>
        <w:tabs>
          <w:tab w:val="left" w:pos="1925"/>
          <w:tab w:val="center" w:pos="4135"/>
        </w:tabs>
        <w:spacing w:after="0"/>
        <w:jc w:val="center"/>
        <w:rPr>
          <w:rFonts w:ascii="Arial" w:hAnsi="Arial" w:cs="Arial"/>
          <w:sz w:val="26"/>
          <w:szCs w:val="26"/>
        </w:rPr>
      </w:pPr>
      <w:r>
        <w:rPr>
          <w:rFonts w:ascii="Arial" w:hAnsi="Arial" w:cs="Arial"/>
          <w:sz w:val="26"/>
          <w:szCs w:val="26"/>
        </w:rPr>
        <w:t>LIC. JUAN EDY GARCÍA CORONADO</w:t>
      </w:r>
    </w:p>
    <w:p w14:paraId="4D126B05" w14:textId="77777777" w:rsidR="00E1353C" w:rsidRPr="00E0283D" w:rsidRDefault="00E1353C" w:rsidP="00E1353C">
      <w:pPr>
        <w:spacing w:after="0"/>
        <w:jc w:val="center"/>
        <w:rPr>
          <w:rFonts w:ascii="Arial" w:hAnsi="Arial" w:cs="Arial"/>
          <w:sz w:val="26"/>
          <w:szCs w:val="26"/>
        </w:rPr>
      </w:pPr>
      <w:r>
        <w:rPr>
          <w:rFonts w:ascii="Arial" w:hAnsi="Arial" w:cs="Arial"/>
          <w:sz w:val="26"/>
          <w:szCs w:val="26"/>
        </w:rPr>
        <w:t>SECRETARIO GENERAL DE ACUERDOS</w:t>
      </w:r>
    </w:p>
    <w:p w14:paraId="407B6546" w14:textId="69C51046" w:rsidR="0086287F" w:rsidRPr="00C70467" w:rsidRDefault="0086287F" w:rsidP="00C70467"/>
    <w:sectPr w:rsidR="0086287F" w:rsidRPr="00C70467" w:rsidSect="002D1DCC">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ECDAD2" w14:textId="77777777" w:rsidR="0073337B" w:rsidRDefault="0073337B">
      <w:pPr>
        <w:spacing w:after="0" w:line="240" w:lineRule="auto"/>
      </w:pPr>
      <w:r>
        <w:separator/>
      </w:r>
    </w:p>
  </w:endnote>
  <w:endnote w:type="continuationSeparator" w:id="0">
    <w:p w14:paraId="3FBC5219" w14:textId="77777777" w:rsidR="0073337B" w:rsidRDefault="007333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591B17" w14:textId="77777777" w:rsidR="0073337B" w:rsidRDefault="0073337B">
      <w:pPr>
        <w:spacing w:after="0" w:line="240" w:lineRule="auto"/>
      </w:pPr>
      <w:r>
        <w:separator/>
      </w:r>
    </w:p>
  </w:footnote>
  <w:footnote w:type="continuationSeparator" w:id="0">
    <w:p w14:paraId="5FEB58D4" w14:textId="77777777" w:rsidR="0073337B" w:rsidRDefault="0073337B">
      <w:pPr>
        <w:spacing w:after="0" w:line="240" w:lineRule="auto"/>
      </w:pPr>
      <w:r>
        <w:continuationSeparator/>
      </w:r>
    </w:p>
  </w:footnote>
  <w:footnote w:id="1">
    <w:p w14:paraId="56A0768E" w14:textId="77777777" w:rsidR="00E1353C" w:rsidRPr="00F764B3" w:rsidRDefault="00E1353C" w:rsidP="00E1353C">
      <w:pPr>
        <w:pStyle w:val="Textonotapie"/>
        <w:jc w:val="both"/>
        <w:rPr>
          <w:rFonts w:ascii="Arial" w:hAnsi="Arial" w:cs="Arial"/>
          <w:sz w:val="18"/>
          <w:szCs w:val="18"/>
        </w:rPr>
      </w:pPr>
      <w:r w:rsidRPr="00873308">
        <w:rPr>
          <w:rStyle w:val="Refdenotaalpie"/>
          <w:rFonts w:ascii="Arial" w:hAnsi="Arial" w:cs="Arial"/>
          <w:i/>
        </w:rPr>
        <w:footnoteRef/>
      </w:r>
      <w:r w:rsidRPr="00873308">
        <w:rPr>
          <w:rFonts w:ascii="Arial" w:hAnsi="Arial" w:cs="Arial"/>
          <w:i/>
        </w:rPr>
        <w:t xml:space="preserve"> </w:t>
      </w:r>
      <w:r w:rsidRPr="00F764B3">
        <w:rPr>
          <w:rFonts w:ascii="Arial" w:hAnsi="Arial" w:cs="Arial"/>
          <w:b/>
          <w:sz w:val="18"/>
          <w:szCs w:val="18"/>
        </w:rPr>
        <w:t xml:space="preserve">ARTÍCULO 236.- </w:t>
      </w:r>
      <w:r w:rsidRPr="00F764B3">
        <w:rPr>
          <w:rFonts w:ascii="Arial" w:hAnsi="Arial" w:cs="Arial"/>
          <w:sz w:val="18"/>
          <w:szCs w:val="18"/>
        </w:rPr>
        <w:t>Contra los acuerdos y resoluciones dictados por las salas unitarias de primera instancia, procede el recurso de revisión, cuyo conocimiento y resolución corresponde a la Sala Superior.</w:t>
      </w:r>
    </w:p>
    <w:p w14:paraId="64F11A53" w14:textId="77777777" w:rsidR="00E1353C" w:rsidRPr="00F764B3" w:rsidRDefault="00E1353C" w:rsidP="00E1353C">
      <w:pPr>
        <w:pStyle w:val="Textonotapie"/>
        <w:jc w:val="both"/>
        <w:rPr>
          <w:rFonts w:ascii="Arial" w:hAnsi="Arial" w:cs="Arial"/>
          <w:sz w:val="18"/>
          <w:szCs w:val="18"/>
        </w:rPr>
      </w:pPr>
      <w:r w:rsidRPr="00F764B3">
        <w:rPr>
          <w:rFonts w:ascii="Arial" w:hAnsi="Arial" w:cs="Arial"/>
          <w:sz w:val="18"/>
          <w:szCs w:val="18"/>
        </w:rPr>
        <w:t>Podrán ser impugnadas por las partes, mediante recurso de revisión: …</w:t>
      </w:r>
    </w:p>
    <w:p w14:paraId="108BBBD8" w14:textId="77777777" w:rsidR="00E1353C" w:rsidRPr="00F764B3" w:rsidRDefault="00E1353C" w:rsidP="00E1353C">
      <w:pPr>
        <w:pStyle w:val="Textonotapie"/>
        <w:jc w:val="both"/>
        <w:rPr>
          <w:rFonts w:ascii="Arial" w:hAnsi="Arial" w:cs="Arial"/>
          <w:sz w:val="18"/>
          <w:szCs w:val="18"/>
        </w:rPr>
      </w:pPr>
      <w:r w:rsidRPr="00F764B3">
        <w:rPr>
          <w:rFonts w:ascii="Arial" w:hAnsi="Arial" w:cs="Arial"/>
          <w:sz w:val="18"/>
          <w:szCs w:val="18"/>
        </w:rPr>
        <w:t>VII. Las sentencias que decidan la cuestión planteada;</w:t>
      </w:r>
    </w:p>
  </w:footnote>
  <w:footnote w:id="2">
    <w:p w14:paraId="5BB21134" w14:textId="77777777" w:rsidR="00E1353C" w:rsidRPr="00DC638F" w:rsidRDefault="00E1353C" w:rsidP="00E1353C">
      <w:pPr>
        <w:pStyle w:val="Textonotapie"/>
        <w:rPr>
          <w:rFonts w:ascii="Arial" w:hAnsi="Arial" w:cs="Arial"/>
          <w:sz w:val="18"/>
          <w:szCs w:val="18"/>
        </w:rPr>
      </w:pPr>
      <w:r>
        <w:rPr>
          <w:rStyle w:val="Refdenotaalpie"/>
        </w:rPr>
        <w:footnoteRef/>
      </w:r>
      <w:r>
        <w:t xml:space="preserve"> </w:t>
      </w:r>
      <w:r w:rsidRPr="00DC638F">
        <w:rPr>
          <w:rFonts w:ascii="Arial" w:hAnsi="Arial" w:cs="Arial"/>
          <w:sz w:val="18"/>
          <w:szCs w:val="18"/>
        </w:rPr>
        <w:t>“</w:t>
      </w:r>
      <w:r w:rsidRPr="00DC638F">
        <w:rPr>
          <w:rFonts w:ascii="Arial" w:hAnsi="Arial" w:cs="Arial"/>
          <w:b/>
          <w:sz w:val="18"/>
          <w:szCs w:val="18"/>
        </w:rPr>
        <w:t xml:space="preserve">ARTÍCULO 203.- </w:t>
      </w:r>
      <w:r w:rsidRPr="00DC638F">
        <w:rPr>
          <w:rFonts w:ascii="Arial" w:hAnsi="Arial" w:cs="Arial"/>
          <w:sz w:val="18"/>
          <w:szCs w:val="18"/>
        </w:rPr>
        <w:t>La valoración de las pruebas se hará de acuerdo con las siguientes reglas:</w:t>
      </w:r>
    </w:p>
    <w:p w14:paraId="594AD985" w14:textId="77777777" w:rsidR="00E1353C" w:rsidRDefault="00E1353C" w:rsidP="00E1353C">
      <w:pPr>
        <w:pStyle w:val="Textonotapie"/>
        <w:jc w:val="both"/>
        <w:rPr>
          <w:rFonts w:ascii="Arial" w:hAnsi="Arial" w:cs="Arial"/>
          <w:sz w:val="18"/>
          <w:szCs w:val="18"/>
        </w:rPr>
      </w:pPr>
      <w:r w:rsidRPr="00DC638F">
        <w:rPr>
          <w:rFonts w:ascii="Arial" w:hAnsi="Arial" w:cs="Arial"/>
          <w:sz w:val="18"/>
          <w:szCs w:val="18"/>
        </w:rPr>
        <w:t xml:space="preserve"> </w:t>
      </w:r>
    </w:p>
    <w:p w14:paraId="2787B728" w14:textId="77777777" w:rsidR="00E1353C" w:rsidRPr="00DC638F" w:rsidRDefault="00E1353C" w:rsidP="00E1353C">
      <w:pPr>
        <w:pStyle w:val="Textonotapie"/>
        <w:jc w:val="both"/>
        <w:rPr>
          <w:rFonts w:ascii="Arial" w:hAnsi="Arial" w:cs="Arial"/>
          <w:sz w:val="18"/>
          <w:szCs w:val="18"/>
        </w:rPr>
      </w:pPr>
      <w:r w:rsidRPr="00DC638F">
        <w:rPr>
          <w:rFonts w:ascii="Arial" w:hAnsi="Arial" w:cs="Arial"/>
          <w:b/>
          <w:sz w:val="18"/>
          <w:szCs w:val="18"/>
        </w:rPr>
        <w:t>I.</w:t>
      </w:r>
      <w:r w:rsidRPr="00DC638F">
        <w:rPr>
          <w:rFonts w:ascii="Arial" w:hAnsi="Arial" w:cs="Arial"/>
          <w:sz w:val="18"/>
          <w:szCs w:val="18"/>
        </w:rPr>
        <w:t xml:space="preserve"> Harán prueba plena la confesión expresa de las partes y los actos contenidos en documentos públicos, si en éstos últimos se contiene declaraciones de verdad o manifestacio</w:t>
      </w:r>
      <w:r>
        <w:rPr>
          <w:rFonts w:ascii="Arial" w:hAnsi="Arial" w:cs="Arial"/>
          <w:sz w:val="18"/>
          <w:szCs w:val="18"/>
        </w:rPr>
        <w:t>nes de hechos de particulares.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0F5C41" w:rsidRDefault="002B5B60">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2B5B60">
          <w:rPr>
            <w:noProof/>
            <w:lang w:val="es-ES"/>
          </w:rPr>
          <w:t>2</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76F700" w:rsidR="000F5C41" w:rsidRDefault="002B5B60">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2B5B60">
          <w:rPr>
            <w:noProof/>
            <w:lang w:val="es-ES"/>
          </w:rPr>
          <w:t>3</w:t>
        </w:r>
        <w:r w:rsidR="000F5C41">
          <w:fldChar w:fldCharType="end"/>
        </w:r>
      </w:sdtContent>
    </w:sdt>
  </w:p>
  <w:p w14:paraId="51E22156" w14:textId="0B0726A6" w:rsidR="00655BA3" w:rsidRDefault="00FB00AC"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715D4EE2" wp14:editId="5F52EAD0">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23A83295" w14:textId="77777777" w:rsidR="00FB00AC" w:rsidRDefault="00FB00AC" w:rsidP="00FB00AC">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5D4EE2"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23A83295" w14:textId="77777777" w:rsidR="00FB00AC" w:rsidRDefault="00FB00AC" w:rsidP="00FB00AC">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2B5B60">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D394836"/>
    <w:multiLevelType w:val="hybridMultilevel"/>
    <w:tmpl w:val="471A2160"/>
    <w:lvl w:ilvl="0" w:tplc="0A84DF2C">
      <w:numFmt w:val="bullet"/>
      <w:lvlText w:val="-"/>
      <w:lvlJc w:val="left"/>
      <w:pPr>
        <w:ind w:left="927" w:hanging="360"/>
      </w:pPr>
      <w:rPr>
        <w:rFonts w:ascii="Arial" w:eastAsia="Times New Roman" w:hAnsi="Aria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66E82488"/>
    <w:multiLevelType w:val="hybridMultilevel"/>
    <w:tmpl w:val="1FA2D79E"/>
    <w:lvl w:ilvl="0" w:tplc="7DC8F48E">
      <w:start w:val="1"/>
      <w:numFmt w:val="decimal"/>
      <w:lvlText w:val="%1)"/>
      <w:lvlJc w:val="left"/>
      <w:pPr>
        <w:ind w:left="5464" w:hanging="360"/>
      </w:pPr>
      <w:rPr>
        <w:rFonts w:eastAsia="Calibri" w:hint="default"/>
        <w:b w:val="0"/>
        <w:i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nsid w:val="786E7504"/>
    <w:multiLevelType w:val="hybridMultilevel"/>
    <w:tmpl w:val="9984FDE2"/>
    <w:lvl w:ilvl="0" w:tplc="A458385C">
      <w:start w:val="1"/>
      <w:numFmt w:val="lowerLetter"/>
      <w:lvlText w:val="%1)"/>
      <w:lvlJc w:val="left"/>
      <w:pPr>
        <w:ind w:left="1068" w:hanging="360"/>
      </w:pPr>
      <w:rPr>
        <w:rFonts w:hint="default"/>
        <w:color w:val="00000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3"/>
  </w:num>
  <w:num w:numId="2">
    <w:abstractNumId w:val="2"/>
  </w:num>
  <w:num w:numId="3">
    <w:abstractNumId w:val="0"/>
  </w:num>
  <w:num w:numId="4">
    <w:abstractNumId w:val="8"/>
  </w:num>
  <w:num w:numId="5">
    <w:abstractNumId w:val="11"/>
  </w:num>
  <w:num w:numId="6">
    <w:abstractNumId w:val="6"/>
  </w:num>
  <w:num w:numId="7">
    <w:abstractNumId w:val="4"/>
  </w:num>
  <w:num w:numId="8">
    <w:abstractNumId w:val="1"/>
  </w:num>
  <w:num w:numId="9">
    <w:abstractNumId w:val="3"/>
  </w:num>
  <w:num w:numId="10">
    <w:abstractNumId w:val="7"/>
  </w:num>
  <w:num w:numId="11">
    <w:abstractNumId w:val="9"/>
  </w:num>
  <w:num w:numId="12">
    <w:abstractNumId w:val="14"/>
  </w:num>
  <w:num w:numId="13">
    <w:abstractNumId w:val="10"/>
  </w:num>
  <w:num w:numId="14">
    <w:abstractNumId w:val="5"/>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BD9"/>
    <w:rsid w:val="00001FA6"/>
    <w:rsid w:val="0000259B"/>
    <w:rsid w:val="00002B85"/>
    <w:rsid w:val="00003CC3"/>
    <w:rsid w:val="00004038"/>
    <w:rsid w:val="0000488B"/>
    <w:rsid w:val="00004B98"/>
    <w:rsid w:val="00005B69"/>
    <w:rsid w:val="00005BCB"/>
    <w:rsid w:val="00005EA0"/>
    <w:rsid w:val="000064A1"/>
    <w:rsid w:val="00007105"/>
    <w:rsid w:val="00007296"/>
    <w:rsid w:val="00007E09"/>
    <w:rsid w:val="00007EFD"/>
    <w:rsid w:val="00007F26"/>
    <w:rsid w:val="00007FD5"/>
    <w:rsid w:val="000106FE"/>
    <w:rsid w:val="000109FA"/>
    <w:rsid w:val="000120A1"/>
    <w:rsid w:val="000121A9"/>
    <w:rsid w:val="000126F6"/>
    <w:rsid w:val="00012918"/>
    <w:rsid w:val="00012DC1"/>
    <w:rsid w:val="000130C8"/>
    <w:rsid w:val="000135AF"/>
    <w:rsid w:val="0001439A"/>
    <w:rsid w:val="00014F98"/>
    <w:rsid w:val="0001640B"/>
    <w:rsid w:val="0001695E"/>
    <w:rsid w:val="00016C0B"/>
    <w:rsid w:val="00016E88"/>
    <w:rsid w:val="000174F5"/>
    <w:rsid w:val="00020680"/>
    <w:rsid w:val="00020D86"/>
    <w:rsid w:val="00021989"/>
    <w:rsid w:val="00021B04"/>
    <w:rsid w:val="00021C11"/>
    <w:rsid w:val="00021C5F"/>
    <w:rsid w:val="00022321"/>
    <w:rsid w:val="00022BBC"/>
    <w:rsid w:val="00023F33"/>
    <w:rsid w:val="00024545"/>
    <w:rsid w:val="00025BEB"/>
    <w:rsid w:val="0002618B"/>
    <w:rsid w:val="000262A2"/>
    <w:rsid w:val="000264DD"/>
    <w:rsid w:val="00026B4D"/>
    <w:rsid w:val="00026C11"/>
    <w:rsid w:val="000306D4"/>
    <w:rsid w:val="00030BAF"/>
    <w:rsid w:val="000324B9"/>
    <w:rsid w:val="000329BA"/>
    <w:rsid w:val="00032D83"/>
    <w:rsid w:val="000330FB"/>
    <w:rsid w:val="000338EE"/>
    <w:rsid w:val="00034F3F"/>
    <w:rsid w:val="000361BF"/>
    <w:rsid w:val="0003629C"/>
    <w:rsid w:val="00036809"/>
    <w:rsid w:val="00036823"/>
    <w:rsid w:val="000369AF"/>
    <w:rsid w:val="00037279"/>
    <w:rsid w:val="00037443"/>
    <w:rsid w:val="00037843"/>
    <w:rsid w:val="00037C6A"/>
    <w:rsid w:val="00037DF7"/>
    <w:rsid w:val="00040C69"/>
    <w:rsid w:val="000419E9"/>
    <w:rsid w:val="00041EAA"/>
    <w:rsid w:val="00042473"/>
    <w:rsid w:val="00043077"/>
    <w:rsid w:val="000441B5"/>
    <w:rsid w:val="00044C5F"/>
    <w:rsid w:val="000450F5"/>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3177"/>
    <w:rsid w:val="00064906"/>
    <w:rsid w:val="00064FD9"/>
    <w:rsid w:val="00065428"/>
    <w:rsid w:val="00067B5A"/>
    <w:rsid w:val="00070777"/>
    <w:rsid w:val="00070AA4"/>
    <w:rsid w:val="00071BAC"/>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4B79"/>
    <w:rsid w:val="00085132"/>
    <w:rsid w:val="0008514D"/>
    <w:rsid w:val="00085F74"/>
    <w:rsid w:val="00087470"/>
    <w:rsid w:val="000875DB"/>
    <w:rsid w:val="00087949"/>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CF"/>
    <w:rsid w:val="000A33D9"/>
    <w:rsid w:val="000A33F5"/>
    <w:rsid w:val="000A5540"/>
    <w:rsid w:val="000A578F"/>
    <w:rsid w:val="000A58B5"/>
    <w:rsid w:val="000A5D36"/>
    <w:rsid w:val="000A5FA8"/>
    <w:rsid w:val="000A6C62"/>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C14"/>
    <w:rsid w:val="000B6EF2"/>
    <w:rsid w:val="000B71FE"/>
    <w:rsid w:val="000B77B4"/>
    <w:rsid w:val="000B7A3A"/>
    <w:rsid w:val="000C02A9"/>
    <w:rsid w:val="000C0569"/>
    <w:rsid w:val="000C1E6B"/>
    <w:rsid w:val="000C238B"/>
    <w:rsid w:val="000C2764"/>
    <w:rsid w:val="000C2F3A"/>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C8"/>
    <w:rsid w:val="000E4C30"/>
    <w:rsid w:val="000E5391"/>
    <w:rsid w:val="000E5501"/>
    <w:rsid w:val="000E5766"/>
    <w:rsid w:val="000E5B3C"/>
    <w:rsid w:val="000E5B66"/>
    <w:rsid w:val="000E74F5"/>
    <w:rsid w:val="000E772E"/>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481D"/>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DE5"/>
    <w:rsid w:val="00122F5E"/>
    <w:rsid w:val="001237B4"/>
    <w:rsid w:val="001239B6"/>
    <w:rsid w:val="001244EC"/>
    <w:rsid w:val="00126EEE"/>
    <w:rsid w:val="00126EEF"/>
    <w:rsid w:val="00126F1E"/>
    <w:rsid w:val="00126F80"/>
    <w:rsid w:val="00127248"/>
    <w:rsid w:val="00127B1F"/>
    <w:rsid w:val="00127C05"/>
    <w:rsid w:val="0013042C"/>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188"/>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780"/>
    <w:rsid w:val="001729D0"/>
    <w:rsid w:val="00172B51"/>
    <w:rsid w:val="00172C89"/>
    <w:rsid w:val="0017568D"/>
    <w:rsid w:val="00175C14"/>
    <w:rsid w:val="0017617D"/>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0F99"/>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64DE"/>
    <w:rsid w:val="001C7EC3"/>
    <w:rsid w:val="001D07F6"/>
    <w:rsid w:val="001D0DCF"/>
    <w:rsid w:val="001D1791"/>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4E15"/>
    <w:rsid w:val="001F5050"/>
    <w:rsid w:val="001F625A"/>
    <w:rsid w:val="001F6756"/>
    <w:rsid w:val="001F6B28"/>
    <w:rsid w:val="001F6C56"/>
    <w:rsid w:val="001F72DF"/>
    <w:rsid w:val="001F77D0"/>
    <w:rsid w:val="00200647"/>
    <w:rsid w:val="002010A9"/>
    <w:rsid w:val="00201769"/>
    <w:rsid w:val="0020247E"/>
    <w:rsid w:val="002025FD"/>
    <w:rsid w:val="00203FD3"/>
    <w:rsid w:val="002040A0"/>
    <w:rsid w:val="00204105"/>
    <w:rsid w:val="002050B6"/>
    <w:rsid w:val="0020550B"/>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50"/>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69EA"/>
    <w:rsid w:val="002371FF"/>
    <w:rsid w:val="00237985"/>
    <w:rsid w:val="00237D5A"/>
    <w:rsid w:val="00237DC2"/>
    <w:rsid w:val="00240C99"/>
    <w:rsid w:val="0024189D"/>
    <w:rsid w:val="00241BC3"/>
    <w:rsid w:val="00241C7D"/>
    <w:rsid w:val="00241F55"/>
    <w:rsid w:val="00242699"/>
    <w:rsid w:val="00243429"/>
    <w:rsid w:val="002434A0"/>
    <w:rsid w:val="00243566"/>
    <w:rsid w:val="002437EB"/>
    <w:rsid w:val="00243E9B"/>
    <w:rsid w:val="0024401A"/>
    <w:rsid w:val="0024497C"/>
    <w:rsid w:val="002449D8"/>
    <w:rsid w:val="002450A8"/>
    <w:rsid w:val="0024549A"/>
    <w:rsid w:val="002458C0"/>
    <w:rsid w:val="00245F41"/>
    <w:rsid w:val="002465CB"/>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1E8B"/>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35DC"/>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B6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5BC6"/>
    <w:rsid w:val="002C62F6"/>
    <w:rsid w:val="002C6CED"/>
    <w:rsid w:val="002C6F55"/>
    <w:rsid w:val="002D0290"/>
    <w:rsid w:val="002D0C9B"/>
    <w:rsid w:val="002D1979"/>
    <w:rsid w:val="002D1DCC"/>
    <w:rsid w:val="002D268B"/>
    <w:rsid w:val="002D2CEE"/>
    <w:rsid w:val="002D3701"/>
    <w:rsid w:val="002D3CF1"/>
    <w:rsid w:val="002D3F79"/>
    <w:rsid w:val="002D413F"/>
    <w:rsid w:val="002D4B99"/>
    <w:rsid w:val="002D50AF"/>
    <w:rsid w:val="002D6E4D"/>
    <w:rsid w:val="002D7100"/>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647"/>
    <w:rsid w:val="00311708"/>
    <w:rsid w:val="00311BB1"/>
    <w:rsid w:val="00312470"/>
    <w:rsid w:val="0031285C"/>
    <w:rsid w:val="00313A44"/>
    <w:rsid w:val="00314E09"/>
    <w:rsid w:val="003150CD"/>
    <w:rsid w:val="003154AB"/>
    <w:rsid w:val="003155CF"/>
    <w:rsid w:val="00315BA3"/>
    <w:rsid w:val="00316707"/>
    <w:rsid w:val="00317908"/>
    <w:rsid w:val="00317B07"/>
    <w:rsid w:val="00317BDE"/>
    <w:rsid w:val="00317DC3"/>
    <w:rsid w:val="0032088F"/>
    <w:rsid w:val="00321643"/>
    <w:rsid w:val="00321A91"/>
    <w:rsid w:val="00322486"/>
    <w:rsid w:val="00323295"/>
    <w:rsid w:val="00323848"/>
    <w:rsid w:val="00323FF5"/>
    <w:rsid w:val="0032464C"/>
    <w:rsid w:val="003249AA"/>
    <w:rsid w:val="00324B78"/>
    <w:rsid w:val="003253CA"/>
    <w:rsid w:val="00326D5E"/>
    <w:rsid w:val="00327A8E"/>
    <w:rsid w:val="00327BDD"/>
    <w:rsid w:val="00331836"/>
    <w:rsid w:val="0033190E"/>
    <w:rsid w:val="0033219C"/>
    <w:rsid w:val="00333962"/>
    <w:rsid w:val="00333B62"/>
    <w:rsid w:val="00333D8D"/>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07"/>
    <w:rsid w:val="00343BE2"/>
    <w:rsid w:val="003448FF"/>
    <w:rsid w:val="00344A79"/>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48A"/>
    <w:rsid w:val="00381DC3"/>
    <w:rsid w:val="0038228C"/>
    <w:rsid w:val="00382BDE"/>
    <w:rsid w:val="003859C4"/>
    <w:rsid w:val="00385EA5"/>
    <w:rsid w:val="00386F92"/>
    <w:rsid w:val="003874C3"/>
    <w:rsid w:val="00387725"/>
    <w:rsid w:val="003878C3"/>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19B2"/>
    <w:rsid w:val="003C268F"/>
    <w:rsid w:val="003C32DC"/>
    <w:rsid w:val="003C32FC"/>
    <w:rsid w:val="003C42AD"/>
    <w:rsid w:val="003C4629"/>
    <w:rsid w:val="003C4C9F"/>
    <w:rsid w:val="003C5D9D"/>
    <w:rsid w:val="003C7036"/>
    <w:rsid w:val="003C7781"/>
    <w:rsid w:val="003C7FA5"/>
    <w:rsid w:val="003D0C96"/>
    <w:rsid w:val="003D1CAA"/>
    <w:rsid w:val="003D4395"/>
    <w:rsid w:val="003D474C"/>
    <w:rsid w:val="003D476D"/>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82C"/>
    <w:rsid w:val="003E6921"/>
    <w:rsid w:val="003E6A41"/>
    <w:rsid w:val="003E7801"/>
    <w:rsid w:val="003E7D9D"/>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483C"/>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3A6A"/>
    <w:rsid w:val="0041486D"/>
    <w:rsid w:val="0041584F"/>
    <w:rsid w:val="00415924"/>
    <w:rsid w:val="004165A7"/>
    <w:rsid w:val="00416F89"/>
    <w:rsid w:val="00417B7B"/>
    <w:rsid w:val="004211BE"/>
    <w:rsid w:val="00421B78"/>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579B"/>
    <w:rsid w:val="004468EC"/>
    <w:rsid w:val="00446A05"/>
    <w:rsid w:val="00446B69"/>
    <w:rsid w:val="004502C5"/>
    <w:rsid w:val="004509CE"/>
    <w:rsid w:val="004515BE"/>
    <w:rsid w:val="00452B43"/>
    <w:rsid w:val="0045460D"/>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A69"/>
    <w:rsid w:val="004813E0"/>
    <w:rsid w:val="00483B0E"/>
    <w:rsid w:val="00484AE9"/>
    <w:rsid w:val="00485508"/>
    <w:rsid w:val="0048659E"/>
    <w:rsid w:val="00486775"/>
    <w:rsid w:val="004874A4"/>
    <w:rsid w:val="00490FBE"/>
    <w:rsid w:val="00491E99"/>
    <w:rsid w:val="004929E7"/>
    <w:rsid w:val="0049318A"/>
    <w:rsid w:val="00493A5B"/>
    <w:rsid w:val="00494837"/>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28B5"/>
    <w:rsid w:val="004B3666"/>
    <w:rsid w:val="004B4654"/>
    <w:rsid w:val="004B5540"/>
    <w:rsid w:val="004B5F62"/>
    <w:rsid w:val="004B6800"/>
    <w:rsid w:val="004B69CB"/>
    <w:rsid w:val="004B6B98"/>
    <w:rsid w:val="004B748E"/>
    <w:rsid w:val="004B7C5E"/>
    <w:rsid w:val="004C05E4"/>
    <w:rsid w:val="004C1578"/>
    <w:rsid w:val="004C16FF"/>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1B4"/>
    <w:rsid w:val="004E32FC"/>
    <w:rsid w:val="004E3E15"/>
    <w:rsid w:val="004E4A63"/>
    <w:rsid w:val="004E531A"/>
    <w:rsid w:val="004E6061"/>
    <w:rsid w:val="004E6502"/>
    <w:rsid w:val="004E744E"/>
    <w:rsid w:val="004F026D"/>
    <w:rsid w:val="004F0402"/>
    <w:rsid w:val="004F07B7"/>
    <w:rsid w:val="004F12C9"/>
    <w:rsid w:val="004F1B13"/>
    <w:rsid w:val="004F281D"/>
    <w:rsid w:val="004F28AC"/>
    <w:rsid w:val="004F2A92"/>
    <w:rsid w:val="004F2E5D"/>
    <w:rsid w:val="004F2E7C"/>
    <w:rsid w:val="004F421C"/>
    <w:rsid w:val="004F4289"/>
    <w:rsid w:val="004F48BF"/>
    <w:rsid w:val="004F557D"/>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56C"/>
    <w:rsid w:val="00584B8A"/>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4B"/>
    <w:rsid w:val="005B3184"/>
    <w:rsid w:val="005B36F5"/>
    <w:rsid w:val="005B3BB9"/>
    <w:rsid w:val="005B3F3B"/>
    <w:rsid w:val="005B43D1"/>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365"/>
    <w:rsid w:val="005C795A"/>
    <w:rsid w:val="005D07AE"/>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6B66"/>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494"/>
    <w:rsid w:val="006157B6"/>
    <w:rsid w:val="00615A62"/>
    <w:rsid w:val="00615EBC"/>
    <w:rsid w:val="00616F1D"/>
    <w:rsid w:val="00616FA1"/>
    <w:rsid w:val="00617C77"/>
    <w:rsid w:val="0062006E"/>
    <w:rsid w:val="00620357"/>
    <w:rsid w:val="00620FB8"/>
    <w:rsid w:val="006214D7"/>
    <w:rsid w:val="00621B71"/>
    <w:rsid w:val="00622BEF"/>
    <w:rsid w:val="006234A1"/>
    <w:rsid w:val="0062386E"/>
    <w:rsid w:val="00624802"/>
    <w:rsid w:val="00624F20"/>
    <w:rsid w:val="00625F4E"/>
    <w:rsid w:val="0062722E"/>
    <w:rsid w:val="006279BE"/>
    <w:rsid w:val="006304BB"/>
    <w:rsid w:val="0063071F"/>
    <w:rsid w:val="00630C62"/>
    <w:rsid w:val="00631207"/>
    <w:rsid w:val="0063273E"/>
    <w:rsid w:val="00633242"/>
    <w:rsid w:val="00633B84"/>
    <w:rsid w:val="00633FA0"/>
    <w:rsid w:val="00634534"/>
    <w:rsid w:val="00634EF5"/>
    <w:rsid w:val="00636401"/>
    <w:rsid w:val="00636905"/>
    <w:rsid w:val="00636A93"/>
    <w:rsid w:val="0063772A"/>
    <w:rsid w:val="006418C8"/>
    <w:rsid w:val="006427D9"/>
    <w:rsid w:val="00642BAE"/>
    <w:rsid w:val="00642CAD"/>
    <w:rsid w:val="00643498"/>
    <w:rsid w:val="00643B34"/>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2588"/>
    <w:rsid w:val="00663F47"/>
    <w:rsid w:val="00664AC4"/>
    <w:rsid w:val="00664FB0"/>
    <w:rsid w:val="0066505B"/>
    <w:rsid w:val="00665ACE"/>
    <w:rsid w:val="0066641A"/>
    <w:rsid w:val="0066701C"/>
    <w:rsid w:val="006671D4"/>
    <w:rsid w:val="0066750D"/>
    <w:rsid w:val="00667F2F"/>
    <w:rsid w:val="00670154"/>
    <w:rsid w:val="00671338"/>
    <w:rsid w:val="00671E0E"/>
    <w:rsid w:val="00672CE0"/>
    <w:rsid w:val="00672F8D"/>
    <w:rsid w:val="006730DE"/>
    <w:rsid w:val="006730F3"/>
    <w:rsid w:val="00673B33"/>
    <w:rsid w:val="006747AB"/>
    <w:rsid w:val="00676465"/>
    <w:rsid w:val="0067732E"/>
    <w:rsid w:val="006775C4"/>
    <w:rsid w:val="0068056E"/>
    <w:rsid w:val="00681AC1"/>
    <w:rsid w:val="00681EE7"/>
    <w:rsid w:val="00682165"/>
    <w:rsid w:val="006829CA"/>
    <w:rsid w:val="00683178"/>
    <w:rsid w:val="0068325D"/>
    <w:rsid w:val="00684F50"/>
    <w:rsid w:val="00685785"/>
    <w:rsid w:val="0068585E"/>
    <w:rsid w:val="00686F6A"/>
    <w:rsid w:val="00687828"/>
    <w:rsid w:val="00687BEB"/>
    <w:rsid w:val="006904B5"/>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0CF"/>
    <w:rsid w:val="006973E2"/>
    <w:rsid w:val="00697607"/>
    <w:rsid w:val="0069771F"/>
    <w:rsid w:val="00697D08"/>
    <w:rsid w:val="00697D57"/>
    <w:rsid w:val="006A079F"/>
    <w:rsid w:val="006A07C1"/>
    <w:rsid w:val="006A136B"/>
    <w:rsid w:val="006A19D5"/>
    <w:rsid w:val="006A2835"/>
    <w:rsid w:val="006A28FD"/>
    <w:rsid w:val="006A326C"/>
    <w:rsid w:val="006A52BF"/>
    <w:rsid w:val="006A5821"/>
    <w:rsid w:val="006A5A6C"/>
    <w:rsid w:val="006A5FB2"/>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4E9A"/>
    <w:rsid w:val="006C564D"/>
    <w:rsid w:val="006C671F"/>
    <w:rsid w:val="006C6F3C"/>
    <w:rsid w:val="006C6FB7"/>
    <w:rsid w:val="006D007C"/>
    <w:rsid w:val="006D06F5"/>
    <w:rsid w:val="006D120B"/>
    <w:rsid w:val="006D1710"/>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68B6"/>
    <w:rsid w:val="00707031"/>
    <w:rsid w:val="00707245"/>
    <w:rsid w:val="00707C73"/>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353"/>
    <w:rsid w:val="0073182F"/>
    <w:rsid w:val="0073212F"/>
    <w:rsid w:val="007324A9"/>
    <w:rsid w:val="00732E44"/>
    <w:rsid w:val="0073319D"/>
    <w:rsid w:val="007332CB"/>
    <w:rsid w:val="0073337B"/>
    <w:rsid w:val="00734300"/>
    <w:rsid w:val="0073439D"/>
    <w:rsid w:val="00734795"/>
    <w:rsid w:val="00736F71"/>
    <w:rsid w:val="00740D93"/>
    <w:rsid w:val="007426D1"/>
    <w:rsid w:val="00743E50"/>
    <w:rsid w:val="00743F9C"/>
    <w:rsid w:val="00744DC2"/>
    <w:rsid w:val="00744E48"/>
    <w:rsid w:val="00744EED"/>
    <w:rsid w:val="00746015"/>
    <w:rsid w:val="00746730"/>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5EA5"/>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A1"/>
    <w:rsid w:val="007B6AD5"/>
    <w:rsid w:val="007C04A2"/>
    <w:rsid w:val="007C1271"/>
    <w:rsid w:val="007C313D"/>
    <w:rsid w:val="007C3B2E"/>
    <w:rsid w:val="007C405D"/>
    <w:rsid w:val="007C4D7C"/>
    <w:rsid w:val="007C5545"/>
    <w:rsid w:val="007C587A"/>
    <w:rsid w:val="007C5C8A"/>
    <w:rsid w:val="007C755B"/>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1E87"/>
    <w:rsid w:val="007E3210"/>
    <w:rsid w:val="007E32FC"/>
    <w:rsid w:val="007E4266"/>
    <w:rsid w:val="007E4EA5"/>
    <w:rsid w:val="007E5A5C"/>
    <w:rsid w:val="007E62E4"/>
    <w:rsid w:val="007E7416"/>
    <w:rsid w:val="007E7A9C"/>
    <w:rsid w:val="007F0BA9"/>
    <w:rsid w:val="007F14CC"/>
    <w:rsid w:val="007F17A3"/>
    <w:rsid w:val="007F1A1A"/>
    <w:rsid w:val="007F1ECE"/>
    <w:rsid w:val="007F2DD4"/>
    <w:rsid w:val="007F35C6"/>
    <w:rsid w:val="007F3BF0"/>
    <w:rsid w:val="007F4946"/>
    <w:rsid w:val="007F4B42"/>
    <w:rsid w:val="007F5B11"/>
    <w:rsid w:val="007F784E"/>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274"/>
    <w:rsid w:val="00813494"/>
    <w:rsid w:val="00813755"/>
    <w:rsid w:val="008161D5"/>
    <w:rsid w:val="00817A06"/>
    <w:rsid w:val="00817C4D"/>
    <w:rsid w:val="0082001A"/>
    <w:rsid w:val="008205D0"/>
    <w:rsid w:val="0082070E"/>
    <w:rsid w:val="00820D99"/>
    <w:rsid w:val="00820E06"/>
    <w:rsid w:val="008211F5"/>
    <w:rsid w:val="00823863"/>
    <w:rsid w:val="008240AB"/>
    <w:rsid w:val="008241FC"/>
    <w:rsid w:val="00824B51"/>
    <w:rsid w:val="00825521"/>
    <w:rsid w:val="00825DF2"/>
    <w:rsid w:val="00826459"/>
    <w:rsid w:val="008264A3"/>
    <w:rsid w:val="00826F27"/>
    <w:rsid w:val="008270BC"/>
    <w:rsid w:val="00830208"/>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4EF3"/>
    <w:rsid w:val="0084703C"/>
    <w:rsid w:val="00847078"/>
    <w:rsid w:val="008473A8"/>
    <w:rsid w:val="00847424"/>
    <w:rsid w:val="00847B25"/>
    <w:rsid w:val="00850259"/>
    <w:rsid w:val="008504C8"/>
    <w:rsid w:val="00851000"/>
    <w:rsid w:val="00851789"/>
    <w:rsid w:val="00852B0D"/>
    <w:rsid w:val="00854886"/>
    <w:rsid w:val="00855029"/>
    <w:rsid w:val="0085507C"/>
    <w:rsid w:val="0085563E"/>
    <w:rsid w:val="008601DA"/>
    <w:rsid w:val="00861653"/>
    <w:rsid w:val="00861978"/>
    <w:rsid w:val="008625C0"/>
    <w:rsid w:val="0086287F"/>
    <w:rsid w:val="00863418"/>
    <w:rsid w:val="008634C5"/>
    <w:rsid w:val="00863ED0"/>
    <w:rsid w:val="00863FB1"/>
    <w:rsid w:val="00864CD9"/>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4AC"/>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97917"/>
    <w:rsid w:val="00897BB0"/>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408"/>
    <w:rsid w:val="008C65C9"/>
    <w:rsid w:val="008C7C52"/>
    <w:rsid w:val="008D1236"/>
    <w:rsid w:val="008D1EDE"/>
    <w:rsid w:val="008D207B"/>
    <w:rsid w:val="008D32AD"/>
    <w:rsid w:val="008D3620"/>
    <w:rsid w:val="008D458F"/>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784"/>
    <w:rsid w:val="008F1EB2"/>
    <w:rsid w:val="008F284E"/>
    <w:rsid w:val="008F2BAD"/>
    <w:rsid w:val="008F2CAE"/>
    <w:rsid w:val="008F39F2"/>
    <w:rsid w:val="008F45EB"/>
    <w:rsid w:val="008F4E1B"/>
    <w:rsid w:val="008F52F4"/>
    <w:rsid w:val="008F743B"/>
    <w:rsid w:val="008F7F13"/>
    <w:rsid w:val="009011B4"/>
    <w:rsid w:val="0090168E"/>
    <w:rsid w:val="00901AE0"/>
    <w:rsid w:val="009020E0"/>
    <w:rsid w:val="00902FFF"/>
    <w:rsid w:val="00903765"/>
    <w:rsid w:val="00903E8E"/>
    <w:rsid w:val="00904997"/>
    <w:rsid w:val="00905D8A"/>
    <w:rsid w:val="0090696C"/>
    <w:rsid w:val="00907C15"/>
    <w:rsid w:val="0091170B"/>
    <w:rsid w:val="00911817"/>
    <w:rsid w:val="00912F68"/>
    <w:rsid w:val="009133A9"/>
    <w:rsid w:val="00913418"/>
    <w:rsid w:val="009137F9"/>
    <w:rsid w:val="00913C08"/>
    <w:rsid w:val="00915282"/>
    <w:rsid w:val="0091567A"/>
    <w:rsid w:val="00916FC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3060"/>
    <w:rsid w:val="00933673"/>
    <w:rsid w:val="00934282"/>
    <w:rsid w:val="00934586"/>
    <w:rsid w:val="00934719"/>
    <w:rsid w:val="00934B4F"/>
    <w:rsid w:val="0093504D"/>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C63"/>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DF"/>
    <w:rsid w:val="009829E2"/>
    <w:rsid w:val="00983525"/>
    <w:rsid w:val="00983DD4"/>
    <w:rsid w:val="009844CE"/>
    <w:rsid w:val="00984590"/>
    <w:rsid w:val="00984F92"/>
    <w:rsid w:val="00984FB7"/>
    <w:rsid w:val="009855CB"/>
    <w:rsid w:val="00985932"/>
    <w:rsid w:val="00986560"/>
    <w:rsid w:val="009868FC"/>
    <w:rsid w:val="00986D6A"/>
    <w:rsid w:val="00990013"/>
    <w:rsid w:val="00990D44"/>
    <w:rsid w:val="00991E94"/>
    <w:rsid w:val="00992712"/>
    <w:rsid w:val="00993E7E"/>
    <w:rsid w:val="0099690A"/>
    <w:rsid w:val="00997136"/>
    <w:rsid w:val="009971A7"/>
    <w:rsid w:val="009A33BE"/>
    <w:rsid w:val="009A3F67"/>
    <w:rsid w:val="009B0BD3"/>
    <w:rsid w:val="009B0C38"/>
    <w:rsid w:val="009B1120"/>
    <w:rsid w:val="009B127F"/>
    <w:rsid w:val="009B15EE"/>
    <w:rsid w:val="009B19C2"/>
    <w:rsid w:val="009B1EAF"/>
    <w:rsid w:val="009B229F"/>
    <w:rsid w:val="009B2AE4"/>
    <w:rsid w:val="009B30D4"/>
    <w:rsid w:val="009B38A3"/>
    <w:rsid w:val="009B38C8"/>
    <w:rsid w:val="009B4CE4"/>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C7933"/>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05EC"/>
    <w:rsid w:val="009F1587"/>
    <w:rsid w:val="009F2391"/>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2809"/>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3D2D"/>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936"/>
    <w:rsid w:val="00A374AE"/>
    <w:rsid w:val="00A37825"/>
    <w:rsid w:val="00A4105D"/>
    <w:rsid w:val="00A41757"/>
    <w:rsid w:val="00A417FE"/>
    <w:rsid w:val="00A41FA8"/>
    <w:rsid w:val="00A426F3"/>
    <w:rsid w:val="00A42731"/>
    <w:rsid w:val="00A42E01"/>
    <w:rsid w:val="00A44166"/>
    <w:rsid w:val="00A448E0"/>
    <w:rsid w:val="00A456F5"/>
    <w:rsid w:val="00A45C71"/>
    <w:rsid w:val="00A4628E"/>
    <w:rsid w:val="00A47209"/>
    <w:rsid w:val="00A47455"/>
    <w:rsid w:val="00A51781"/>
    <w:rsid w:val="00A5203E"/>
    <w:rsid w:val="00A52320"/>
    <w:rsid w:val="00A52762"/>
    <w:rsid w:val="00A52D92"/>
    <w:rsid w:val="00A537AD"/>
    <w:rsid w:val="00A54A2D"/>
    <w:rsid w:val="00A54AAC"/>
    <w:rsid w:val="00A55915"/>
    <w:rsid w:val="00A55A68"/>
    <w:rsid w:val="00A56094"/>
    <w:rsid w:val="00A5698E"/>
    <w:rsid w:val="00A56B70"/>
    <w:rsid w:val="00A575B4"/>
    <w:rsid w:val="00A608CD"/>
    <w:rsid w:val="00A61E7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106"/>
    <w:rsid w:val="00A8427B"/>
    <w:rsid w:val="00A84B23"/>
    <w:rsid w:val="00A84B4C"/>
    <w:rsid w:val="00A85897"/>
    <w:rsid w:val="00A86E22"/>
    <w:rsid w:val="00A87174"/>
    <w:rsid w:val="00A87279"/>
    <w:rsid w:val="00A87E95"/>
    <w:rsid w:val="00A900FE"/>
    <w:rsid w:val="00A90B51"/>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5E74"/>
    <w:rsid w:val="00AA61B7"/>
    <w:rsid w:val="00AA689B"/>
    <w:rsid w:val="00AA7023"/>
    <w:rsid w:val="00AA7F37"/>
    <w:rsid w:val="00AB00F1"/>
    <w:rsid w:val="00AB0CE7"/>
    <w:rsid w:val="00AB11B8"/>
    <w:rsid w:val="00AB3569"/>
    <w:rsid w:val="00AB511E"/>
    <w:rsid w:val="00AB5C16"/>
    <w:rsid w:val="00AB5C8E"/>
    <w:rsid w:val="00AB628D"/>
    <w:rsid w:val="00AC00B1"/>
    <w:rsid w:val="00AC0229"/>
    <w:rsid w:val="00AC12CF"/>
    <w:rsid w:val="00AC154D"/>
    <w:rsid w:val="00AC2548"/>
    <w:rsid w:val="00AC3C32"/>
    <w:rsid w:val="00AC3DB8"/>
    <w:rsid w:val="00AD0127"/>
    <w:rsid w:val="00AD100C"/>
    <w:rsid w:val="00AD2540"/>
    <w:rsid w:val="00AD38ED"/>
    <w:rsid w:val="00AD39D6"/>
    <w:rsid w:val="00AD3C97"/>
    <w:rsid w:val="00AD4282"/>
    <w:rsid w:val="00AD523B"/>
    <w:rsid w:val="00AD5A42"/>
    <w:rsid w:val="00AD7073"/>
    <w:rsid w:val="00AD77FD"/>
    <w:rsid w:val="00AD79E2"/>
    <w:rsid w:val="00AD7FFB"/>
    <w:rsid w:val="00AE1C5C"/>
    <w:rsid w:val="00AE271F"/>
    <w:rsid w:val="00AE3DF5"/>
    <w:rsid w:val="00AE4CFF"/>
    <w:rsid w:val="00AE4E40"/>
    <w:rsid w:val="00AE4E46"/>
    <w:rsid w:val="00AE52B0"/>
    <w:rsid w:val="00AE54F8"/>
    <w:rsid w:val="00AE5C7F"/>
    <w:rsid w:val="00AF1629"/>
    <w:rsid w:val="00AF2172"/>
    <w:rsid w:val="00AF3B8C"/>
    <w:rsid w:val="00AF3E80"/>
    <w:rsid w:val="00AF45E9"/>
    <w:rsid w:val="00AF4CB2"/>
    <w:rsid w:val="00AF4E0C"/>
    <w:rsid w:val="00AF4E17"/>
    <w:rsid w:val="00AF5B71"/>
    <w:rsid w:val="00AF67FD"/>
    <w:rsid w:val="00AF69D9"/>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1BD6"/>
    <w:rsid w:val="00B33EBC"/>
    <w:rsid w:val="00B33FC4"/>
    <w:rsid w:val="00B34A0D"/>
    <w:rsid w:val="00B34E8B"/>
    <w:rsid w:val="00B372E3"/>
    <w:rsid w:val="00B37C1A"/>
    <w:rsid w:val="00B37D09"/>
    <w:rsid w:val="00B40212"/>
    <w:rsid w:val="00B40B0C"/>
    <w:rsid w:val="00B40B73"/>
    <w:rsid w:val="00B41312"/>
    <w:rsid w:val="00B417BF"/>
    <w:rsid w:val="00B41952"/>
    <w:rsid w:val="00B42215"/>
    <w:rsid w:val="00B438BE"/>
    <w:rsid w:val="00B453AD"/>
    <w:rsid w:val="00B45776"/>
    <w:rsid w:val="00B462D1"/>
    <w:rsid w:val="00B50446"/>
    <w:rsid w:val="00B51B10"/>
    <w:rsid w:val="00B523E5"/>
    <w:rsid w:val="00B52834"/>
    <w:rsid w:val="00B528A3"/>
    <w:rsid w:val="00B52E31"/>
    <w:rsid w:val="00B5349D"/>
    <w:rsid w:val="00B534E9"/>
    <w:rsid w:val="00B5372D"/>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663C"/>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901"/>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2C65"/>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2759"/>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3693"/>
    <w:rsid w:val="00BD438C"/>
    <w:rsid w:val="00BD492B"/>
    <w:rsid w:val="00BD4E8F"/>
    <w:rsid w:val="00BD4F9A"/>
    <w:rsid w:val="00BD5E19"/>
    <w:rsid w:val="00BD6D4E"/>
    <w:rsid w:val="00BD71F1"/>
    <w:rsid w:val="00BD74CF"/>
    <w:rsid w:val="00BE0B8C"/>
    <w:rsid w:val="00BE1BBE"/>
    <w:rsid w:val="00BE2C9F"/>
    <w:rsid w:val="00BE36D5"/>
    <w:rsid w:val="00BE4FDC"/>
    <w:rsid w:val="00BE6056"/>
    <w:rsid w:val="00BE6217"/>
    <w:rsid w:val="00BE7C10"/>
    <w:rsid w:val="00BF01B9"/>
    <w:rsid w:val="00BF0D7C"/>
    <w:rsid w:val="00BF1235"/>
    <w:rsid w:val="00BF1F39"/>
    <w:rsid w:val="00BF2AD9"/>
    <w:rsid w:val="00BF2FDA"/>
    <w:rsid w:val="00BF3C79"/>
    <w:rsid w:val="00BF5153"/>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1C21"/>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482B"/>
    <w:rsid w:val="00C3542E"/>
    <w:rsid w:val="00C35B5E"/>
    <w:rsid w:val="00C370A0"/>
    <w:rsid w:val="00C4017A"/>
    <w:rsid w:val="00C404FF"/>
    <w:rsid w:val="00C40770"/>
    <w:rsid w:val="00C40F63"/>
    <w:rsid w:val="00C41357"/>
    <w:rsid w:val="00C41799"/>
    <w:rsid w:val="00C4244D"/>
    <w:rsid w:val="00C42C2F"/>
    <w:rsid w:val="00C43906"/>
    <w:rsid w:val="00C43B8F"/>
    <w:rsid w:val="00C45268"/>
    <w:rsid w:val="00C455CD"/>
    <w:rsid w:val="00C45BBF"/>
    <w:rsid w:val="00C46708"/>
    <w:rsid w:val="00C46DE2"/>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47B6"/>
    <w:rsid w:val="00C65B9B"/>
    <w:rsid w:val="00C67249"/>
    <w:rsid w:val="00C67698"/>
    <w:rsid w:val="00C70467"/>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80261"/>
    <w:rsid w:val="00C808D5"/>
    <w:rsid w:val="00C810FC"/>
    <w:rsid w:val="00C8348F"/>
    <w:rsid w:val="00C83651"/>
    <w:rsid w:val="00C83754"/>
    <w:rsid w:val="00C83F2B"/>
    <w:rsid w:val="00C84998"/>
    <w:rsid w:val="00C855DB"/>
    <w:rsid w:val="00C9111E"/>
    <w:rsid w:val="00C91446"/>
    <w:rsid w:val="00C919AB"/>
    <w:rsid w:val="00C92681"/>
    <w:rsid w:val="00C94994"/>
    <w:rsid w:val="00C94C04"/>
    <w:rsid w:val="00C95050"/>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601"/>
    <w:rsid w:val="00CA5A6D"/>
    <w:rsid w:val="00CB1AC1"/>
    <w:rsid w:val="00CB26F2"/>
    <w:rsid w:val="00CB2BAE"/>
    <w:rsid w:val="00CB3166"/>
    <w:rsid w:val="00CB40D4"/>
    <w:rsid w:val="00CB5534"/>
    <w:rsid w:val="00CB638D"/>
    <w:rsid w:val="00CB6900"/>
    <w:rsid w:val="00CB6EB4"/>
    <w:rsid w:val="00CB7439"/>
    <w:rsid w:val="00CB748E"/>
    <w:rsid w:val="00CB77A4"/>
    <w:rsid w:val="00CB7C3A"/>
    <w:rsid w:val="00CC051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90B"/>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3DA4"/>
    <w:rsid w:val="00D14E13"/>
    <w:rsid w:val="00D16547"/>
    <w:rsid w:val="00D17D27"/>
    <w:rsid w:val="00D20368"/>
    <w:rsid w:val="00D209D8"/>
    <w:rsid w:val="00D20B6C"/>
    <w:rsid w:val="00D20C16"/>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212"/>
    <w:rsid w:val="00D3635F"/>
    <w:rsid w:val="00D36532"/>
    <w:rsid w:val="00D367F9"/>
    <w:rsid w:val="00D37FBA"/>
    <w:rsid w:val="00D40A87"/>
    <w:rsid w:val="00D418AA"/>
    <w:rsid w:val="00D41CA2"/>
    <w:rsid w:val="00D42026"/>
    <w:rsid w:val="00D424A2"/>
    <w:rsid w:val="00D4251B"/>
    <w:rsid w:val="00D42ECA"/>
    <w:rsid w:val="00D44BD1"/>
    <w:rsid w:val="00D45359"/>
    <w:rsid w:val="00D47AB6"/>
    <w:rsid w:val="00D507D9"/>
    <w:rsid w:val="00D50BC3"/>
    <w:rsid w:val="00D511FD"/>
    <w:rsid w:val="00D52E63"/>
    <w:rsid w:val="00D53E86"/>
    <w:rsid w:val="00D545A8"/>
    <w:rsid w:val="00D548A5"/>
    <w:rsid w:val="00D548E5"/>
    <w:rsid w:val="00D55BD9"/>
    <w:rsid w:val="00D56163"/>
    <w:rsid w:val="00D566F5"/>
    <w:rsid w:val="00D56B12"/>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292"/>
    <w:rsid w:val="00DC458D"/>
    <w:rsid w:val="00DC4BE1"/>
    <w:rsid w:val="00DC5054"/>
    <w:rsid w:val="00DC596B"/>
    <w:rsid w:val="00DC78C5"/>
    <w:rsid w:val="00DC7910"/>
    <w:rsid w:val="00DC7CCB"/>
    <w:rsid w:val="00DD016C"/>
    <w:rsid w:val="00DD054C"/>
    <w:rsid w:val="00DD0B1B"/>
    <w:rsid w:val="00DD0BE9"/>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4440"/>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A12"/>
    <w:rsid w:val="00E01B2C"/>
    <w:rsid w:val="00E01B75"/>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53C"/>
    <w:rsid w:val="00E13856"/>
    <w:rsid w:val="00E13E2F"/>
    <w:rsid w:val="00E14C82"/>
    <w:rsid w:val="00E15278"/>
    <w:rsid w:val="00E1582A"/>
    <w:rsid w:val="00E158E9"/>
    <w:rsid w:val="00E15B98"/>
    <w:rsid w:val="00E16411"/>
    <w:rsid w:val="00E16654"/>
    <w:rsid w:val="00E17B49"/>
    <w:rsid w:val="00E17DE3"/>
    <w:rsid w:val="00E17F03"/>
    <w:rsid w:val="00E2102F"/>
    <w:rsid w:val="00E214A5"/>
    <w:rsid w:val="00E21CDD"/>
    <w:rsid w:val="00E21E11"/>
    <w:rsid w:val="00E230FD"/>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26EE"/>
    <w:rsid w:val="00E749F0"/>
    <w:rsid w:val="00E75146"/>
    <w:rsid w:val="00E755AB"/>
    <w:rsid w:val="00E75B19"/>
    <w:rsid w:val="00E75BB5"/>
    <w:rsid w:val="00E760FA"/>
    <w:rsid w:val="00E7676F"/>
    <w:rsid w:val="00E7767C"/>
    <w:rsid w:val="00E77805"/>
    <w:rsid w:val="00E77C72"/>
    <w:rsid w:val="00E801F8"/>
    <w:rsid w:val="00E8167D"/>
    <w:rsid w:val="00E81BCF"/>
    <w:rsid w:val="00E8217A"/>
    <w:rsid w:val="00E82708"/>
    <w:rsid w:val="00E8349F"/>
    <w:rsid w:val="00E8399A"/>
    <w:rsid w:val="00E839A4"/>
    <w:rsid w:val="00E839CE"/>
    <w:rsid w:val="00E83AB6"/>
    <w:rsid w:val="00E83F0B"/>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5E2"/>
    <w:rsid w:val="00EE0858"/>
    <w:rsid w:val="00EE236A"/>
    <w:rsid w:val="00EE2649"/>
    <w:rsid w:val="00EE3015"/>
    <w:rsid w:val="00EE31AF"/>
    <w:rsid w:val="00EE34A1"/>
    <w:rsid w:val="00EE3702"/>
    <w:rsid w:val="00EE41A1"/>
    <w:rsid w:val="00EE4A8E"/>
    <w:rsid w:val="00EE50C5"/>
    <w:rsid w:val="00EE536C"/>
    <w:rsid w:val="00EE53E7"/>
    <w:rsid w:val="00EE62A9"/>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4BB6"/>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6B91"/>
    <w:rsid w:val="00F370C9"/>
    <w:rsid w:val="00F37101"/>
    <w:rsid w:val="00F3725C"/>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57322"/>
    <w:rsid w:val="00F57781"/>
    <w:rsid w:val="00F60B1C"/>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565"/>
    <w:rsid w:val="00F937E1"/>
    <w:rsid w:val="00F93EFB"/>
    <w:rsid w:val="00F94647"/>
    <w:rsid w:val="00F94F05"/>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0AC"/>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573"/>
    <w:rsid w:val="00FD1CE7"/>
    <w:rsid w:val="00FD1D4B"/>
    <w:rsid w:val="00FD1F76"/>
    <w:rsid w:val="00FD230C"/>
    <w:rsid w:val="00FD30CD"/>
    <w:rsid w:val="00FD40D5"/>
    <w:rsid w:val="00FD4514"/>
    <w:rsid w:val="00FD45A7"/>
    <w:rsid w:val="00FD4636"/>
    <w:rsid w:val="00FD46BA"/>
    <w:rsid w:val="00FD4915"/>
    <w:rsid w:val="00FD4F18"/>
    <w:rsid w:val="00FD5D4A"/>
    <w:rsid w:val="00FD6B5B"/>
    <w:rsid w:val="00FD6F5C"/>
    <w:rsid w:val="00FE03F8"/>
    <w:rsid w:val="00FE05FC"/>
    <w:rsid w:val="00FE0693"/>
    <w:rsid w:val="00FE086E"/>
    <w:rsid w:val="00FE0AF4"/>
    <w:rsid w:val="00FE127F"/>
    <w:rsid w:val="00FE27EE"/>
    <w:rsid w:val="00FE30E1"/>
    <w:rsid w:val="00FE520C"/>
    <w:rsid w:val="00FE631C"/>
    <w:rsid w:val="00FE65C5"/>
    <w:rsid w:val="00FE6DA0"/>
    <w:rsid w:val="00FF0C49"/>
    <w:rsid w:val="00FF0FDB"/>
    <w:rsid w:val="00FF1282"/>
    <w:rsid w:val="00FF1339"/>
    <w:rsid w:val="00FF1682"/>
    <w:rsid w:val="00FF33D3"/>
    <w:rsid w:val="00FF479B"/>
    <w:rsid w:val="00FF5100"/>
    <w:rsid w:val="00FF5C53"/>
    <w:rsid w:val="00FF600F"/>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mp">
    <w:name w:val="temp"/>
    <w:basedOn w:val="Normal"/>
    <w:rsid w:val="001D179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1D1791"/>
  </w:style>
  <w:style w:type="character" w:customStyle="1" w:styleId="ng-star-inserted">
    <w:name w:val="ng-star-inserted"/>
    <w:basedOn w:val="Fuentedeprrafopredeter"/>
    <w:rsid w:val="001D1791"/>
  </w:style>
  <w:style w:type="character" w:customStyle="1" w:styleId="registros-movil-hide">
    <w:name w:val="registros-movil-hide"/>
    <w:basedOn w:val="Fuentedeprrafopredeter"/>
    <w:rsid w:val="00DD0BE9"/>
  </w:style>
  <w:style w:type="paragraph" w:styleId="Textoindependienteprimerasangra">
    <w:name w:val="Body Text First Indent"/>
    <w:basedOn w:val="Textoindependiente"/>
    <w:link w:val="TextoindependienteprimerasangraCar"/>
    <w:uiPriority w:val="99"/>
    <w:unhideWhenUsed/>
    <w:rsid w:val="00897BB0"/>
    <w:pPr>
      <w:spacing w:after="200" w:line="276" w:lineRule="auto"/>
      <w:ind w:firstLine="360"/>
    </w:pPr>
    <w:rPr>
      <w:rFonts w:ascii="Calibri" w:eastAsia="Calibri" w:hAnsi="Calibri"/>
      <w:sz w:val="22"/>
      <w:szCs w:val="22"/>
      <w:lang w:eastAsia="en-US"/>
    </w:rPr>
  </w:style>
  <w:style w:type="character" w:customStyle="1" w:styleId="TextoindependienteprimerasangraCar">
    <w:name w:val="Texto independiente primera sangría Car"/>
    <w:basedOn w:val="TextoindependienteCar"/>
    <w:link w:val="Textoindependienteprimerasangra"/>
    <w:uiPriority w:val="99"/>
    <w:rsid w:val="00897BB0"/>
    <w:rPr>
      <w:rFonts w:ascii="Calibri" w:eastAsia="Calibri" w:hAnsi="Calibri" w:cs="Times New Roman"/>
      <w:sz w:val="20"/>
      <w:szCs w:val="20"/>
      <w:lang w:val="es-ES" w:eastAsia="en-US"/>
    </w:rPr>
  </w:style>
  <w:style w:type="paragraph" w:styleId="Sangradetextonormal">
    <w:name w:val="Body Text Indent"/>
    <w:basedOn w:val="Normal"/>
    <w:link w:val="SangradetextonormalCar"/>
    <w:uiPriority w:val="99"/>
    <w:semiHidden/>
    <w:unhideWhenUsed/>
    <w:rsid w:val="00897BB0"/>
    <w:pPr>
      <w:spacing w:after="120"/>
      <w:ind w:left="283"/>
    </w:pPr>
  </w:style>
  <w:style w:type="character" w:customStyle="1" w:styleId="SangradetextonormalCar">
    <w:name w:val="Sangría de texto normal Car"/>
    <w:basedOn w:val="Fuentedeprrafopredeter"/>
    <w:link w:val="Sangradetextonormal"/>
    <w:uiPriority w:val="99"/>
    <w:semiHidden/>
    <w:rsid w:val="00897BB0"/>
  </w:style>
  <w:style w:type="paragraph" w:styleId="Textoindependienteprimerasangra2">
    <w:name w:val="Body Text First Indent 2"/>
    <w:basedOn w:val="Sangradetextonormal"/>
    <w:link w:val="Textoindependienteprimerasangra2Car"/>
    <w:uiPriority w:val="99"/>
    <w:unhideWhenUsed/>
    <w:rsid w:val="00897BB0"/>
    <w:pPr>
      <w:spacing w:after="200"/>
      <w:ind w:left="360" w:firstLine="360"/>
    </w:pPr>
    <w:rPr>
      <w:rFonts w:ascii="Calibri" w:eastAsia="Calibri" w:hAnsi="Calibri" w:cs="Times New Roman"/>
      <w:lang w:eastAsia="en-US"/>
    </w:rPr>
  </w:style>
  <w:style w:type="character" w:customStyle="1" w:styleId="Textoindependienteprimerasangra2Car">
    <w:name w:val="Texto independiente primera sangría 2 Car"/>
    <w:basedOn w:val="SangradetextonormalCar"/>
    <w:link w:val="Textoindependienteprimerasangra2"/>
    <w:uiPriority w:val="99"/>
    <w:rsid w:val="00897BB0"/>
    <w:rPr>
      <w:rFonts w:ascii="Calibri" w:eastAsia="Calibri" w:hAnsi="Calibri" w:cs="Times New Roman"/>
      <w:lang w:eastAsia="en-US"/>
    </w:rPr>
  </w:style>
  <w:style w:type="paragraph" w:styleId="NormalWeb">
    <w:name w:val="Normal (Web)"/>
    <w:basedOn w:val="Normal"/>
    <w:uiPriority w:val="99"/>
    <w:unhideWhenUsed/>
    <w:rsid w:val="00897BB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26804">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833381093">
      <w:bodyDiv w:val="1"/>
      <w:marLeft w:val="0"/>
      <w:marRight w:val="0"/>
      <w:marTop w:val="0"/>
      <w:marBottom w:val="0"/>
      <w:divBdr>
        <w:top w:val="none" w:sz="0" w:space="0" w:color="auto"/>
        <w:left w:val="none" w:sz="0" w:space="0" w:color="auto"/>
        <w:bottom w:val="none" w:sz="0" w:space="0" w:color="auto"/>
        <w:right w:val="none" w:sz="0" w:space="0" w:color="auto"/>
      </w:divBdr>
      <w:divsChild>
        <w:div w:id="1203975378">
          <w:marLeft w:val="0"/>
          <w:marRight w:val="0"/>
          <w:marTop w:val="0"/>
          <w:marBottom w:val="0"/>
          <w:divBdr>
            <w:top w:val="none" w:sz="0" w:space="0" w:color="auto"/>
            <w:left w:val="none" w:sz="0" w:space="0" w:color="auto"/>
            <w:bottom w:val="none" w:sz="0" w:space="0" w:color="auto"/>
            <w:right w:val="none" w:sz="0" w:space="0" w:color="auto"/>
          </w:divBdr>
        </w:div>
        <w:div w:id="2055690071">
          <w:marLeft w:val="0"/>
          <w:marRight w:val="0"/>
          <w:marTop w:val="0"/>
          <w:marBottom w:val="0"/>
          <w:divBdr>
            <w:top w:val="none" w:sz="0" w:space="0" w:color="auto"/>
            <w:left w:val="none" w:sz="0" w:space="0" w:color="auto"/>
            <w:bottom w:val="none" w:sz="0" w:space="0" w:color="auto"/>
            <w:right w:val="none" w:sz="0" w:space="0" w:color="auto"/>
          </w:divBdr>
        </w:div>
        <w:div w:id="1196692419">
          <w:marLeft w:val="0"/>
          <w:marRight w:val="0"/>
          <w:marTop w:val="0"/>
          <w:marBottom w:val="0"/>
          <w:divBdr>
            <w:top w:val="none" w:sz="0" w:space="0" w:color="auto"/>
            <w:left w:val="none" w:sz="0" w:space="0" w:color="auto"/>
            <w:bottom w:val="none" w:sz="0" w:space="0" w:color="auto"/>
            <w:right w:val="none" w:sz="0" w:space="0" w:color="auto"/>
          </w:divBdr>
        </w:div>
        <w:div w:id="643392485">
          <w:marLeft w:val="0"/>
          <w:marRight w:val="0"/>
          <w:marTop w:val="0"/>
          <w:marBottom w:val="0"/>
          <w:divBdr>
            <w:top w:val="none" w:sz="0" w:space="0" w:color="auto"/>
            <w:left w:val="none" w:sz="0" w:space="0" w:color="auto"/>
            <w:bottom w:val="none" w:sz="0" w:space="0" w:color="auto"/>
            <w:right w:val="none" w:sz="0" w:space="0" w:color="auto"/>
          </w:divBdr>
        </w:div>
        <w:div w:id="1973553792">
          <w:marLeft w:val="0"/>
          <w:marRight w:val="0"/>
          <w:marTop w:val="0"/>
          <w:marBottom w:val="0"/>
          <w:divBdr>
            <w:top w:val="none" w:sz="0" w:space="0" w:color="auto"/>
            <w:left w:val="none" w:sz="0" w:space="0" w:color="auto"/>
            <w:bottom w:val="none" w:sz="0" w:space="0" w:color="auto"/>
            <w:right w:val="none" w:sz="0" w:space="0" w:color="auto"/>
          </w:divBdr>
        </w:div>
        <w:div w:id="1222248086">
          <w:marLeft w:val="0"/>
          <w:marRight w:val="0"/>
          <w:marTop w:val="0"/>
          <w:marBottom w:val="0"/>
          <w:divBdr>
            <w:top w:val="none" w:sz="0" w:space="0" w:color="auto"/>
            <w:left w:val="none" w:sz="0" w:space="0" w:color="auto"/>
            <w:bottom w:val="none" w:sz="0" w:space="0" w:color="auto"/>
            <w:right w:val="none" w:sz="0" w:space="0" w:color="auto"/>
          </w:divBdr>
        </w:div>
      </w:divsChild>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1139031680">
      <w:bodyDiv w:val="1"/>
      <w:marLeft w:val="0"/>
      <w:marRight w:val="0"/>
      <w:marTop w:val="0"/>
      <w:marBottom w:val="0"/>
      <w:divBdr>
        <w:top w:val="none" w:sz="0" w:space="0" w:color="auto"/>
        <w:left w:val="none" w:sz="0" w:space="0" w:color="auto"/>
        <w:bottom w:val="none" w:sz="0" w:space="0" w:color="auto"/>
        <w:right w:val="none" w:sz="0" w:space="0" w:color="auto"/>
      </w:divBdr>
      <w:divsChild>
        <w:div w:id="142430463">
          <w:marLeft w:val="0"/>
          <w:marRight w:val="0"/>
          <w:marTop w:val="0"/>
          <w:marBottom w:val="0"/>
          <w:divBdr>
            <w:top w:val="none" w:sz="0" w:space="0" w:color="auto"/>
            <w:left w:val="none" w:sz="0" w:space="0" w:color="auto"/>
            <w:bottom w:val="none" w:sz="0" w:space="0" w:color="auto"/>
            <w:right w:val="none" w:sz="0" w:space="0" w:color="auto"/>
          </w:divBdr>
        </w:div>
        <w:div w:id="1691955746">
          <w:marLeft w:val="0"/>
          <w:marRight w:val="0"/>
          <w:marTop w:val="0"/>
          <w:marBottom w:val="0"/>
          <w:divBdr>
            <w:top w:val="none" w:sz="0" w:space="0" w:color="auto"/>
            <w:left w:val="none" w:sz="0" w:space="0" w:color="auto"/>
            <w:bottom w:val="none" w:sz="0" w:space="0" w:color="auto"/>
            <w:right w:val="none" w:sz="0" w:space="0" w:color="auto"/>
          </w:divBdr>
        </w:div>
        <w:div w:id="1635797098">
          <w:marLeft w:val="0"/>
          <w:marRight w:val="0"/>
          <w:marTop w:val="0"/>
          <w:marBottom w:val="0"/>
          <w:divBdr>
            <w:top w:val="none" w:sz="0" w:space="0" w:color="auto"/>
            <w:left w:val="none" w:sz="0" w:space="0" w:color="auto"/>
            <w:bottom w:val="none" w:sz="0" w:space="0" w:color="auto"/>
            <w:right w:val="none" w:sz="0" w:space="0" w:color="auto"/>
          </w:divBdr>
        </w:div>
        <w:div w:id="923227449">
          <w:marLeft w:val="0"/>
          <w:marRight w:val="0"/>
          <w:marTop w:val="0"/>
          <w:marBottom w:val="0"/>
          <w:divBdr>
            <w:top w:val="none" w:sz="0" w:space="0" w:color="auto"/>
            <w:left w:val="none" w:sz="0" w:space="0" w:color="auto"/>
            <w:bottom w:val="none" w:sz="0" w:space="0" w:color="auto"/>
            <w:right w:val="none" w:sz="0" w:space="0" w:color="auto"/>
          </w:divBdr>
        </w:div>
        <w:div w:id="2137870277">
          <w:marLeft w:val="0"/>
          <w:marRight w:val="0"/>
          <w:marTop w:val="0"/>
          <w:marBottom w:val="0"/>
          <w:divBdr>
            <w:top w:val="none" w:sz="0" w:space="0" w:color="auto"/>
            <w:left w:val="none" w:sz="0" w:space="0" w:color="auto"/>
            <w:bottom w:val="none" w:sz="0" w:space="0" w:color="auto"/>
            <w:right w:val="none" w:sz="0" w:space="0" w:color="auto"/>
          </w:divBdr>
        </w:div>
        <w:div w:id="1709255183">
          <w:marLeft w:val="0"/>
          <w:marRight w:val="0"/>
          <w:marTop w:val="0"/>
          <w:marBottom w:val="0"/>
          <w:divBdr>
            <w:top w:val="none" w:sz="0" w:space="0" w:color="auto"/>
            <w:left w:val="none" w:sz="0" w:space="0" w:color="auto"/>
            <w:bottom w:val="none" w:sz="0" w:space="0" w:color="auto"/>
            <w:right w:val="none" w:sz="0" w:space="0" w:color="auto"/>
          </w:divBdr>
        </w:div>
        <w:div w:id="68232510">
          <w:marLeft w:val="0"/>
          <w:marRight w:val="0"/>
          <w:marTop w:val="0"/>
          <w:marBottom w:val="0"/>
          <w:divBdr>
            <w:top w:val="none" w:sz="0" w:space="0" w:color="auto"/>
            <w:left w:val="none" w:sz="0" w:space="0" w:color="auto"/>
            <w:bottom w:val="none" w:sz="0" w:space="0" w:color="auto"/>
            <w:right w:val="none" w:sz="0" w:space="0" w:color="auto"/>
          </w:divBdr>
        </w:div>
      </w:divsChild>
    </w:div>
    <w:div w:id="1281886385">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18591307">
      <w:bodyDiv w:val="1"/>
      <w:marLeft w:val="0"/>
      <w:marRight w:val="0"/>
      <w:marTop w:val="0"/>
      <w:marBottom w:val="0"/>
      <w:divBdr>
        <w:top w:val="none" w:sz="0" w:space="0" w:color="auto"/>
        <w:left w:val="none" w:sz="0" w:space="0" w:color="auto"/>
        <w:bottom w:val="none" w:sz="0" w:space="0" w:color="auto"/>
        <w:right w:val="none" w:sz="0" w:space="0" w:color="auto"/>
      </w:divBdr>
      <w:divsChild>
        <w:div w:id="815300436">
          <w:marLeft w:val="0"/>
          <w:marRight w:val="0"/>
          <w:marTop w:val="0"/>
          <w:marBottom w:val="0"/>
          <w:divBdr>
            <w:top w:val="none" w:sz="0" w:space="0" w:color="auto"/>
            <w:left w:val="none" w:sz="0" w:space="0" w:color="auto"/>
            <w:bottom w:val="none" w:sz="0" w:space="0" w:color="auto"/>
            <w:right w:val="none" w:sz="0" w:space="0" w:color="auto"/>
          </w:divBdr>
          <w:divsChild>
            <w:div w:id="1927423684">
              <w:marLeft w:val="0"/>
              <w:marRight w:val="0"/>
              <w:marTop w:val="0"/>
              <w:marBottom w:val="0"/>
              <w:divBdr>
                <w:top w:val="none" w:sz="0" w:space="0" w:color="auto"/>
                <w:left w:val="none" w:sz="0" w:space="0" w:color="auto"/>
                <w:bottom w:val="none" w:sz="0" w:space="0" w:color="auto"/>
                <w:right w:val="none" w:sz="0" w:space="0" w:color="auto"/>
              </w:divBdr>
            </w:div>
          </w:divsChild>
        </w:div>
        <w:div w:id="33428449">
          <w:marLeft w:val="0"/>
          <w:marRight w:val="0"/>
          <w:marTop w:val="0"/>
          <w:marBottom w:val="0"/>
          <w:divBdr>
            <w:top w:val="none" w:sz="0" w:space="0" w:color="auto"/>
            <w:left w:val="none" w:sz="0" w:space="0" w:color="auto"/>
            <w:bottom w:val="none" w:sz="0" w:space="0" w:color="auto"/>
            <w:right w:val="none" w:sz="0" w:space="0" w:color="auto"/>
          </w:divBdr>
          <w:divsChild>
            <w:div w:id="1540581272">
              <w:marLeft w:val="0"/>
              <w:marRight w:val="0"/>
              <w:marTop w:val="0"/>
              <w:marBottom w:val="0"/>
              <w:divBdr>
                <w:top w:val="none" w:sz="0" w:space="0" w:color="auto"/>
                <w:left w:val="none" w:sz="0" w:space="0" w:color="auto"/>
                <w:bottom w:val="none" w:sz="0" w:space="0" w:color="auto"/>
                <w:right w:val="none" w:sz="0" w:space="0" w:color="auto"/>
              </w:divBdr>
            </w:div>
            <w:div w:id="1504858562">
              <w:marLeft w:val="0"/>
              <w:marRight w:val="0"/>
              <w:marTop w:val="0"/>
              <w:marBottom w:val="0"/>
              <w:divBdr>
                <w:top w:val="none" w:sz="0" w:space="0" w:color="auto"/>
                <w:left w:val="none" w:sz="0" w:space="0" w:color="auto"/>
                <w:bottom w:val="none" w:sz="0" w:space="0" w:color="auto"/>
                <w:right w:val="none" w:sz="0" w:space="0" w:color="auto"/>
              </w:divBdr>
            </w:div>
            <w:div w:id="419524352">
              <w:marLeft w:val="0"/>
              <w:marRight w:val="0"/>
              <w:marTop w:val="0"/>
              <w:marBottom w:val="0"/>
              <w:divBdr>
                <w:top w:val="none" w:sz="0" w:space="0" w:color="auto"/>
                <w:left w:val="none" w:sz="0" w:space="0" w:color="auto"/>
                <w:bottom w:val="none" w:sz="0" w:space="0" w:color="auto"/>
                <w:right w:val="none" w:sz="0" w:space="0" w:color="auto"/>
              </w:divBdr>
            </w:div>
          </w:divsChild>
        </w:div>
        <w:div w:id="1100100045">
          <w:marLeft w:val="0"/>
          <w:marRight w:val="0"/>
          <w:marTop w:val="0"/>
          <w:marBottom w:val="0"/>
          <w:divBdr>
            <w:top w:val="none" w:sz="0" w:space="0" w:color="auto"/>
            <w:left w:val="none" w:sz="0" w:space="0" w:color="auto"/>
            <w:bottom w:val="none" w:sz="0" w:space="0" w:color="auto"/>
            <w:right w:val="none" w:sz="0" w:space="0" w:color="auto"/>
          </w:divBdr>
          <w:divsChild>
            <w:div w:id="655837709">
              <w:marLeft w:val="0"/>
              <w:marRight w:val="0"/>
              <w:marTop w:val="0"/>
              <w:marBottom w:val="0"/>
              <w:divBdr>
                <w:top w:val="none" w:sz="0" w:space="0" w:color="auto"/>
                <w:left w:val="none" w:sz="0" w:space="0" w:color="auto"/>
                <w:bottom w:val="none" w:sz="0" w:space="0" w:color="auto"/>
                <w:right w:val="none" w:sz="0" w:space="0" w:color="auto"/>
              </w:divBdr>
            </w:div>
            <w:div w:id="2115515438">
              <w:marLeft w:val="0"/>
              <w:marRight w:val="0"/>
              <w:marTop w:val="0"/>
              <w:marBottom w:val="0"/>
              <w:divBdr>
                <w:top w:val="none" w:sz="0" w:space="0" w:color="auto"/>
                <w:left w:val="none" w:sz="0" w:space="0" w:color="auto"/>
                <w:bottom w:val="none" w:sz="0" w:space="0" w:color="auto"/>
                <w:right w:val="none" w:sz="0" w:space="0" w:color="auto"/>
              </w:divBdr>
            </w:div>
            <w:div w:id="1342974450">
              <w:marLeft w:val="0"/>
              <w:marRight w:val="0"/>
              <w:marTop w:val="0"/>
              <w:marBottom w:val="0"/>
              <w:divBdr>
                <w:top w:val="none" w:sz="0" w:space="0" w:color="auto"/>
                <w:left w:val="none" w:sz="0" w:space="0" w:color="auto"/>
                <w:bottom w:val="none" w:sz="0" w:space="0" w:color="auto"/>
                <w:right w:val="none" w:sz="0" w:space="0" w:color="auto"/>
              </w:divBdr>
            </w:div>
          </w:divsChild>
        </w:div>
        <w:div w:id="408111942">
          <w:marLeft w:val="0"/>
          <w:marRight w:val="0"/>
          <w:marTop w:val="0"/>
          <w:marBottom w:val="0"/>
          <w:divBdr>
            <w:top w:val="none" w:sz="0" w:space="0" w:color="auto"/>
            <w:left w:val="none" w:sz="0" w:space="0" w:color="auto"/>
            <w:bottom w:val="none" w:sz="0" w:space="0" w:color="auto"/>
            <w:right w:val="none" w:sz="0" w:space="0" w:color="auto"/>
          </w:divBdr>
        </w:div>
        <w:div w:id="15409711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D298D8-9792-479A-942F-80621DB4DE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11</Pages>
  <Words>4225</Words>
  <Characters>23241</Characters>
  <Application>Microsoft Office Word</Application>
  <DocSecurity>0</DocSecurity>
  <Lines>193</Lines>
  <Paragraphs>54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27412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4</cp:revision>
  <cp:lastPrinted>2022-10-11T18:27:00Z</cp:lastPrinted>
  <dcterms:created xsi:type="dcterms:W3CDTF">2022-10-11T18:28:00Z</dcterms:created>
  <dcterms:modified xsi:type="dcterms:W3CDTF">2023-02-24T18:14:00Z</dcterms:modified>
</cp:coreProperties>
</file>