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B25" w:rsidRDefault="00012B25" w:rsidP="00012B25">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012B25" w:rsidRDefault="00012B25" w:rsidP="00012B25">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071/2018</w:t>
      </w:r>
    </w:p>
    <w:p w:rsidR="00012B25" w:rsidRDefault="00012B25" w:rsidP="00012B25">
      <w:pPr>
        <w:spacing w:line="240" w:lineRule="auto"/>
        <w:ind w:left="2124"/>
        <w:jc w:val="both"/>
        <w:rPr>
          <w:rFonts w:ascii="Arial" w:hAnsi="Arial" w:cs="Arial"/>
          <w:b/>
          <w:sz w:val="26"/>
          <w:szCs w:val="26"/>
        </w:rPr>
      </w:pPr>
      <w:r>
        <w:rPr>
          <w:rFonts w:ascii="Arial" w:hAnsi="Arial" w:cs="Arial"/>
          <w:b/>
          <w:sz w:val="26"/>
          <w:szCs w:val="26"/>
        </w:rPr>
        <w:t>CUADERNO DE SUSPENSIÓN:</w:t>
      </w:r>
      <w:r>
        <w:rPr>
          <w:rFonts w:ascii="Arial" w:hAnsi="Arial" w:cs="Arial"/>
          <w:b/>
          <w:sz w:val="26"/>
          <w:szCs w:val="26"/>
        </w:rPr>
        <w:tab/>
        <w:t>0153/2017 DE LA SEXTA SALA UNITARIA DE PRIMERA INSTANCIA.</w:t>
      </w:r>
    </w:p>
    <w:p w:rsidR="00012B25" w:rsidRDefault="00012B25" w:rsidP="00012B25">
      <w:pPr>
        <w:spacing w:line="240" w:lineRule="auto"/>
        <w:ind w:left="2124"/>
        <w:jc w:val="both"/>
        <w:rPr>
          <w:rFonts w:ascii="Arial" w:hAnsi="Arial" w:cs="Arial"/>
          <w:b/>
          <w:sz w:val="26"/>
          <w:szCs w:val="26"/>
        </w:rPr>
      </w:pPr>
      <w:r>
        <w:rPr>
          <w:rFonts w:ascii="Arial" w:hAnsi="Arial" w:cs="Arial"/>
          <w:b/>
          <w:sz w:val="26"/>
          <w:szCs w:val="26"/>
        </w:rPr>
        <w:t>PONENTE: MAGISTRADA MARIA ELENA VILLA DE JARQUÍN.</w:t>
      </w:r>
    </w:p>
    <w:p w:rsidR="00012B25" w:rsidRDefault="00012B25" w:rsidP="00012B25">
      <w:pPr>
        <w:spacing w:line="240" w:lineRule="auto"/>
        <w:ind w:left="2124"/>
        <w:jc w:val="both"/>
        <w:rPr>
          <w:rFonts w:ascii="Arial" w:hAnsi="Arial" w:cs="Arial"/>
          <w:b/>
          <w:sz w:val="26"/>
          <w:szCs w:val="26"/>
        </w:rPr>
      </w:pPr>
    </w:p>
    <w:p w:rsidR="00012B25" w:rsidRDefault="00012B25" w:rsidP="00012B25">
      <w:pPr>
        <w:spacing w:before="240" w:line="360" w:lineRule="auto"/>
        <w:jc w:val="both"/>
        <w:rPr>
          <w:rFonts w:ascii="Arial" w:hAnsi="Arial" w:cs="Arial"/>
          <w:b/>
          <w:sz w:val="26"/>
          <w:szCs w:val="26"/>
        </w:rPr>
      </w:pPr>
      <w:r>
        <w:rPr>
          <w:rFonts w:ascii="Arial" w:hAnsi="Arial" w:cs="Arial"/>
          <w:b/>
          <w:sz w:val="26"/>
          <w:szCs w:val="26"/>
        </w:rPr>
        <w:t>OAXACA DE JUÁREZ, OAXACA, SEIS DE DICIEMBRE DOS MIL DIECIOCHO.</w:t>
      </w:r>
    </w:p>
    <w:p w:rsidR="00012B25" w:rsidRDefault="00012B25" w:rsidP="00012B25">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0071/2018</w:t>
      </w:r>
      <w:r>
        <w:rPr>
          <w:rFonts w:ascii="Arial" w:hAnsi="Arial" w:cs="Arial"/>
          <w:sz w:val="26"/>
          <w:szCs w:val="26"/>
        </w:rPr>
        <w:t xml:space="preserve">, que remite la Secretaría General de Acuerdos, con motivo del recurso de revisión interpuesto por </w:t>
      </w:r>
      <w:r w:rsidR="00321CC4">
        <w:rPr>
          <w:rFonts w:ascii="Arial" w:hAnsi="Arial" w:cs="Arial"/>
          <w:b/>
          <w:sz w:val="26"/>
          <w:szCs w:val="26"/>
        </w:rPr>
        <w:t>**********</w:t>
      </w:r>
      <w:r>
        <w:rPr>
          <w:rFonts w:ascii="Arial" w:hAnsi="Arial" w:cs="Arial"/>
          <w:sz w:val="26"/>
          <w:szCs w:val="26"/>
        </w:rPr>
        <w:t xml:space="preserve">, en contra de la resolución de treinta de enero de dos mil dieciocho, dictada en el Cuaderno de Suspensión </w:t>
      </w:r>
      <w:r>
        <w:rPr>
          <w:rFonts w:ascii="Arial" w:hAnsi="Arial" w:cs="Arial"/>
          <w:b/>
          <w:sz w:val="26"/>
          <w:szCs w:val="26"/>
        </w:rPr>
        <w:t xml:space="preserve">0153/2017 </w:t>
      </w:r>
      <w:r>
        <w:rPr>
          <w:rFonts w:ascii="Arial" w:hAnsi="Arial" w:cs="Arial"/>
          <w:sz w:val="26"/>
          <w:szCs w:val="26"/>
        </w:rPr>
        <w:t xml:space="preserve">de la Sexta Sala Unitaria de Primera Instancia, relativo al juicio de nulidad promovido por la </w:t>
      </w:r>
      <w:r>
        <w:rPr>
          <w:rFonts w:ascii="Arial" w:hAnsi="Arial" w:cs="Arial"/>
          <w:b/>
          <w:sz w:val="26"/>
          <w:szCs w:val="26"/>
        </w:rPr>
        <w:t>RECURRENTE</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 xml:space="preserve">SECRETARIO DE MEDIO AMBIENTE, ENERGÍAS Y DESARROLLO SUSTENTABLE DE OAXACA, </w:t>
      </w:r>
      <w:r>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veinte de octubre de dos mil diecisiete</w:t>
      </w:r>
      <w:r>
        <w:rPr>
          <w:rFonts w:ascii="Arial" w:hAnsi="Arial" w:cs="Arial"/>
          <w:sz w:val="26"/>
          <w:szCs w:val="26"/>
        </w:rPr>
        <w:t>, se admite. En consecuencia, se procede a dictar resolución en los siguientes términos:</w:t>
      </w:r>
    </w:p>
    <w:p w:rsidR="00012B25" w:rsidRDefault="00012B25" w:rsidP="00012B25">
      <w:pPr>
        <w:spacing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012B25" w:rsidRDefault="00012B25" w:rsidP="00012B25">
      <w:pPr>
        <w:spacing w:line="360" w:lineRule="auto"/>
        <w:ind w:firstLine="708"/>
        <w:jc w:val="both"/>
        <w:rPr>
          <w:rFonts w:ascii="Arial" w:hAnsi="Arial" w:cs="Arial"/>
          <w:sz w:val="26"/>
          <w:szCs w:val="26"/>
          <w:lang w:val="es-MX"/>
        </w:rPr>
      </w:pPr>
      <w:r>
        <w:rPr>
          <w:rFonts w:ascii="Arial" w:hAnsi="Arial" w:cs="Arial"/>
          <w:b/>
          <w:bCs/>
          <w:sz w:val="26"/>
          <w:szCs w:val="26"/>
          <w:lang w:val="es-MX"/>
        </w:rPr>
        <w:t xml:space="preserve">PRIMERO. </w:t>
      </w:r>
      <w:r>
        <w:rPr>
          <w:rFonts w:ascii="Arial" w:hAnsi="Arial" w:cs="Arial"/>
          <w:sz w:val="26"/>
          <w:szCs w:val="26"/>
          <w:lang w:val="es-MX"/>
        </w:rPr>
        <w:t>Inconforme con la resolución de treinta de enero de dos mil dieciocho, dictada por la Sexta Sala Unitaria de Primera Instancia,</w:t>
      </w:r>
      <w:r>
        <w:rPr>
          <w:rFonts w:ascii="Arial" w:hAnsi="Arial" w:cs="Arial"/>
          <w:b/>
          <w:sz w:val="26"/>
          <w:szCs w:val="26"/>
        </w:rPr>
        <w:t xml:space="preserve"> </w:t>
      </w:r>
      <w:r w:rsidR="00321CC4">
        <w:rPr>
          <w:rFonts w:ascii="Arial" w:hAnsi="Arial" w:cs="Arial"/>
          <w:b/>
          <w:sz w:val="26"/>
          <w:szCs w:val="26"/>
        </w:rPr>
        <w:t>**********</w:t>
      </w:r>
      <w:r>
        <w:rPr>
          <w:rFonts w:ascii="Arial" w:hAnsi="Arial" w:cs="Arial"/>
          <w:sz w:val="26"/>
          <w:szCs w:val="26"/>
        </w:rPr>
        <w:t xml:space="preserve">, </w:t>
      </w:r>
      <w:r>
        <w:rPr>
          <w:rFonts w:ascii="Arial" w:hAnsi="Arial" w:cs="Arial"/>
          <w:b/>
          <w:sz w:val="26"/>
          <w:szCs w:val="26"/>
          <w:lang w:val="es-MX"/>
        </w:rPr>
        <w:t xml:space="preserve"> </w:t>
      </w:r>
      <w:r>
        <w:rPr>
          <w:rFonts w:ascii="Arial" w:hAnsi="Arial" w:cs="Arial"/>
          <w:sz w:val="26"/>
          <w:szCs w:val="26"/>
          <w:lang w:val="es-MX"/>
        </w:rPr>
        <w:t>interpuso en su contra recurso de revisión.</w:t>
      </w:r>
    </w:p>
    <w:p w:rsidR="00012B25" w:rsidRDefault="00012B25" w:rsidP="00012B25">
      <w:pPr>
        <w:spacing w:after="0" w:line="360" w:lineRule="auto"/>
        <w:ind w:firstLine="708"/>
        <w:jc w:val="both"/>
        <w:rPr>
          <w:rFonts w:ascii="Arial" w:hAnsi="Arial" w:cs="Arial"/>
          <w:bCs/>
          <w:sz w:val="26"/>
          <w:szCs w:val="26"/>
        </w:rPr>
      </w:pPr>
      <w:r>
        <w:rPr>
          <w:rFonts w:ascii="Arial" w:hAnsi="Arial" w:cs="Arial"/>
          <w:b/>
          <w:bCs/>
          <w:sz w:val="26"/>
          <w:szCs w:val="26"/>
          <w:lang w:val="es-MX"/>
        </w:rPr>
        <w:t xml:space="preserve">SEGUNDO. </w:t>
      </w:r>
      <w:r>
        <w:rPr>
          <w:rFonts w:ascii="Arial" w:hAnsi="Arial" w:cs="Arial"/>
          <w:bCs/>
          <w:sz w:val="26"/>
          <w:szCs w:val="26"/>
        </w:rPr>
        <w:t>Los puntos resolutivos de la resolución recurrida son los siguientes:</w:t>
      </w:r>
    </w:p>
    <w:p w:rsidR="00012B25" w:rsidRDefault="00012B25" w:rsidP="00012B25">
      <w:pPr>
        <w:autoSpaceDE w:val="0"/>
        <w:autoSpaceDN w:val="0"/>
        <w:adjustRightInd w:val="0"/>
        <w:spacing w:before="240" w:line="360" w:lineRule="auto"/>
        <w:ind w:left="1134" w:right="495"/>
        <w:jc w:val="both"/>
        <w:rPr>
          <w:rFonts w:ascii="Arial" w:hAnsi="Arial" w:cs="Arial"/>
          <w:bCs/>
          <w:iCs/>
        </w:rPr>
      </w:pPr>
      <w:r>
        <w:rPr>
          <w:rFonts w:ascii="Arial" w:hAnsi="Arial" w:cs="Arial"/>
          <w:bCs/>
          <w:iCs/>
          <w:sz w:val="24"/>
          <w:szCs w:val="24"/>
        </w:rPr>
        <w:t xml:space="preserve"> </w:t>
      </w:r>
      <w:r>
        <w:rPr>
          <w:rFonts w:ascii="Arial" w:hAnsi="Arial" w:cs="Arial"/>
          <w:b/>
          <w:bCs/>
          <w:iCs/>
        </w:rPr>
        <w:t>“PRIMERO</w:t>
      </w:r>
      <w:r>
        <w:rPr>
          <w:rFonts w:ascii="Arial" w:hAnsi="Arial" w:cs="Arial"/>
          <w:bCs/>
          <w:iCs/>
        </w:rPr>
        <w:t xml:space="preserve">. </w:t>
      </w:r>
      <w:r>
        <w:rPr>
          <w:rFonts w:ascii="Arial" w:hAnsi="Arial" w:cs="Arial"/>
          <w:b/>
          <w:bCs/>
          <w:iCs/>
        </w:rPr>
        <w:t>SE NIEGA LA SUSPENSIÓN DEFINITIVA</w:t>
      </w:r>
      <w:r>
        <w:rPr>
          <w:rFonts w:ascii="Arial" w:hAnsi="Arial" w:cs="Arial"/>
          <w:bCs/>
          <w:iCs/>
        </w:rPr>
        <w:t xml:space="preserve">, solicitada </w:t>
      </w:r>
      <w:r w:rsidR="00321CC4">
        <w:rPr>
          <w:rFonts w:ascii="Arial" w:hAnsi="Arial" w:cs="Arial"/>
          <w:bCs/>
          <w:iCs/>
        </w:rPr>
        <w:t>**********</w:t>
      </w:r>
      <w:r>
        <w:rPr>
          <w:rFonts w:ascii="Arial" w:hAnsi="Arial" w:cs="Arial"/>
          <w:bCs/>
          <w:iCs/>
        </w:rPr>
        <w:t xml:space="preserve"> por las razones señaladas en el considerando tercero de esta resolución. </w:t>
      </w:r>
    </w:p>
    <w:p w:rsidR="00012B25" w:rsidRDefault="00012B25" w:rsidP="00012B25">
      <w:pPr>
        <w:autoSpaceDE w:val="0"/>
        <w:autoSpaceDN w:val="0"/>
        <w:adjustRightInd w:val="0"/>
        <w:spacing w:before="240" w:line="360" w:lineRule="auto"/>
        <w:ind w:left="1134" w:right="495"/>
        <w:jc w:val="both"/>
        <w:rPr>
          <w:rFonts w:ascii="Arial" w:hAnsi="Arial" w:cs="Arial"/>
          <w:bCs/>
          <w:iCs/>
        </w:rPr>
      </w:pPr>
      <w:r>
        <w:rPr>
          <w:rFonts w:ascii="Arial" w:hAnsi="Arial" w:cs="Arial"/>
          <w:b/>
          <w:bCs/>
          <w:iCs/>
        </w:rPr>
        <w:t>SEGUNDO</w:t>
      </w:r>
      <w:r>
        <w:rPr>
          <w:rFonts w:ascii="Arial" w:hAnsi="Arial" w:cs="Arial"/>
          <w:bCs/>
          <w:iCs/>
        </w:rPr>
        <w:t xml:space="preserve">. </w:t>
      </w:r>
      <w:r>
        <w:rPr>
          <w:rFonts w:ascii="Arial" w:hAnsi="Arial" w:cs="Arial"/>
          <w:b/>
          <w:bCs/>
          <w:iCs/>
        </w:rPr>
        <w:t>NOTIFIQUESE PERSONALMENTE AL ACTOR Y POR OFICIO A LA AUTORIDAD DEMANDADA</w:t>
      </w:r>
      <w:r>
        <w:rPr>
          <w:rFonts w:ascii="Arial" w:hAnsi="Arial" w:cs="Arial"/>
          <w:bCs/>
          <w:iCs/>
        </w:rPr>
        <w:t xml:space="preserve">, en términos del artículo 172, fracción I y 173, fracción I, II de la ley de Justicia Administrativa para el Estado de Oaxaca,- </w:t>
      </w:r>
      <w:r>
        <w:rPr>
          <w:rFonts w:ascii="Arial" w:hAnsi="Arial" w:cs="Arial"/>
          <w:b/>
          <w:bCs/>
          <w:iCs/>
        </w:rPr>
        <w:t>CÚMPLASE.</w:t>
      </w:r>
      <w:r>
        <w:rPr>
          <w:rFonts w:ascii="Arial" w:hAnsi="Arial" w:cs="Arial"/>
          <w:bCs/>
          <w:iCs/>
        </w:rPr>
        <w:t xml:space="preserve"> …”</w:t>
      </w:r>
    </w:p>
    <w:p w:rsidR="00012B25" w:rsidRDefault="00012B25" w:rsidP="00012B25">
      <w:pPr>
        <w:tabs>
          <w:tab w:val="left" w:pos="2460"/>
          <w:tab w:val="center" w:pos="4253"/>
        </w:tabs>
        <w:spacing w:line="360" w:lineRule="auto"/>
        <w:ind w:left="851" w:right="616"/>
        <w:jc w:val="center"/>
        <w:rPr>
          <w:rFonts w:ascii="Arial" w:hAnsi="Arial" w:cs="Arial"/>
          <w:b/>
          <w:bCs/>
          <w:sz w:val="26"/>
          <w:szCs w:val="26"/>
        </w:rPr>
      </w:pPr>
      <w:r>
        <w:rPr>
          <w:rFonts w:ascii="Arial" w:hAnsi="Arial" w:cs="Arial"/>
          <w:b/>
          <w:bCs/>
          <w:sz w:val="26"/>
          <w:szCs w:val="26"/>
        </w:rPr>
        <w:t>C O N S I D E R A N D O:</w:t>
      </w:r>
    </w:p>
    <w:p w:rsidR="00012B25" w:rsidRDefault="00012B25" w:rsidP="00012B25">
      <w:pPr>
        <w:spacing w:before="240" w:line="360" w:lineRule="auto"/>
        <w:ind w:firstLine="708"/>
        <w:jc w:val="both"/>
        <w:rPr>
          <w:rFonts w:ascii="Arial" w:hAnsi="Arial" w:cs="Arial"/>
          <w:b/>
          <w:bCs/>
          <w:iCs/>
          <w:sz w:val="26"/>
          <w:szCs w:val="26"/>
        </w:rPr>
      </w:pPr>
      <w:r>
        <w:rPr>
          <w:rFonts w:ascii="Arial" w:hAnsi="Arial" w:cs="Arial"/>
          <w:b/>
          <w:bCs/>
          <w:iCs/>
          <w:sz w:val="26"/>
          <w:szCs w:val="26"/>
        </w:rPr>
        <w:lastRenderedPageBreak/>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 vigente hasta el  veinte de octubre de dos mil diecisiete,</w:t>
      </w:r>
      <w:r>
        <w:rPr>
          <w:rFonts w:ascii="Arial" w:hAnsi="Arial" w:cs="Arial"/>
          <w:sz w:val="26"/>
          <w:szCs w:val="26"/>
        </w:rPr>
        <w:t xml:space="preserve"> </w:t>
      </w:r>
      <w:r>
        <w:rPr>
          <w:rFonts w:ascii="Arial" w:hAnsi="Arial" w:cs="Arial"/>
          <w:bCs/>
          <w:iCs/>
          <w:sz w:val="26"/>
          <w:szCs w:val="26"/>
        </w:rPr>
        <w:t xml:space="preserve">dado que se trata de un Recurso de Revisión interpuesto en contra de la resolución de treinta de enero de dos mil dieciocho, dictado por la Sexta Sala Unitaria de Primera Instancia, en el cuaderno de suspensión  </w:t>
      </w:r>
      <w:r>
        <w:rPr>
          <w:rFonts w:ascii="Arial" w:hAnsi="Arial" w:cs="Arial"/>
          <w:b/>
          <w:bCs/>
          <w:iCs/>
          <w:sz w:val="26"/>
          <w:szCs w:val="26"/>
        </w:rPr>
        <w:t>0153/2017.</w:t>
      </w:r>
    </w:p>
    <w:p w:rsidR="00012B25" w:rsidRDefault="00012B25" w:rsidP="00012B25">
      <w:pPr>
        <w:spacing w:before="240" w:line="360" w:lineRule="auto"/>
        <w:ind w:firstLine="708"/>
        <w:jc w:val="both"/>
        <w:rPr>
          <w:rFonts w:ascii="Arial" w:hAnsi="Arial" w:cs="Arial"/>
          <w:sz w:val="26"/>
          <w:szCs w:val="26"/>
          <w:lang w:val="es-MX"/>
        </w:rPr>
      </w:pPr>
      <w:r>
        <w:rPr>
          <w:rFonts w:ascii="Arial" w:hAnsi="Arial" w:cs="Arial"/>
          <w:b/>
          <w:bCs/>
          <w:sz w:val="26"/>
          <w:szCs w:val="26"/>
          <w:lang w:val="es-MX"/>
        </w:rPr>
        <w:t>SEGUNDO.</w:t>
      </w:r>
      <w:r>
        <w:rPr>
          <w:rFonts w:ascii="Arial" w:hAnsi="Arial" w:cs="Arial"/>
          <w:bCs/>
          <w:sz w:val="26"/>
          <w:szCs w:val="26"/>
          <w:lang w:val="es-MX"/>
        </w:rPr>
        <w:t xml:space="preserve"> Los agravios hechos valer se encuentran expuestos en el escrito respectivo de la recurrente, por lo que no existe necesidad de transcribirlos, al no transgredírsele derecho alguno, como tampoco se vulnera disposición expresa que imponga tal obligación</w:t>
      </w:r>
      <w:r>
        <w:rPr>
          <w:rFonts w:ascii="Arial" w:hAnsi="Arial" w:cs="Arial"/>
          <w:sz w:val="26"/>
          <w:szCs w:val="26"/>
          <w:lang w:val="es-MX"/>
        </w:rPr>
        <w:t>.</w:t>
      </w:r>
    </w:p>
    <w:p w:rsidR="00012B25" w:rsidRDefault="00012B25" w:rsidP="00012B25">
      <w:pPr>
        <w:widowControl w:val="0"/>
        <w:tabs>
          <w:tab w:val="left" w:pos="7938"/>
        </w:tabs>
        <w:spacing w:before="240" w:after="0" w:line="360" w:lineRule="auto"/>
        <w:ind w:right="18" w:firstLine="709"/>
        <w:jc w:val="both"/>
        <w:rPr>
          <w:rFonts w:ascii="Arial" w:eastAsiaTheme="minorEastAsia" w:hAnsi="Arial" w:cs="Arial"/>
          <w:bCs/>
          <w:color w:val="000000"/>
          <w:sz w:val="26"/>
          <w:szCs w:val="26"/>
          <w:lang w:val="es-MX" w:eastAsia="es-MX"/>
        </w:rPr>
      </w:pPr>
      <w:r>
        <w:rPr>
          <w:rFonts w:ascii="Arial" w:hAnsi="Arial" w:cs="Arial"/>
          <w:b/>
          <w:bCs/>
          <w:color w:val="000000"/>
          <w:sz w:val="26"/>
          <w:szCs w:val="26"/>
          <w:lang w:val="es-MX"/>
        </w:rPr>
        <w:t>TERCERO</w:t>
      </w:r>
      <w:r>
        <w:rPr>
          <w:rFonts w:ascii="Arial" w:eastAsiaTheme="minorEastAsia" w:hAnsi="Arial" w:cs="Arial"/>
          <w:bCs/>
          <w:color w:val="000000"/>
          <w:sz w:val="26"/>
          <w:szCs w:val="26"/>
          <w:lang w:val="es-MX" w:eastAsia="es-MX"/>
        </w:rPr>
        <w:t xml:space="preserve"> Del escrito de inconformidad se desprende que el revisionista manifiesta inconformarse en contra de la resolución de treinta de enero de dos mil dieciocho, en el que la primera instancia negó la suspensión definitiva al actor, al estimar que se afectaría el interés social y el orden público.</w:t>
      </w:r>
    </w:p>
    <w:p w:rsidR="00012B25" w:rsidRDefault="00012B25" w:rsidP="00012B25">
      <w:pPr>
        <w:widowControl w:val="0"/>
        <w:spacing w:before="240" w:after="0" w:line="360" w:lineRule="auto"/>
        <w:ind w:right="18"/>
        <w:jc w:val="both"/>
        <w:rPr>
          <w:rFonts w:ascii="Arial" w:eastAsiaTheme="minorEastAsia" w:hAnsi="Arial" w:cs="Arial"/>
          <w:bCs/>
          <w:color w:val="000000"/>
          <w:sz w:val="26"/>
          <w:szCs w:val="26"/>
          <w:lang w:val="es-MX" w:eastAsia="es-MX"/>
        </w:rPr>
      </w:pPr>
      <w:r>
        <w:rPr>
          <w:rFonts w:ascii="Arial" w:eastAsiaTheme="minorEastAsia" w:hAnsi="Arial" w:cs="Arial"/>
          <w:bCs/>
          <w:color w:val="000000"/>
          <w:sz w:val="26"/>
          <w:szCs w:val="26"/>
          <w:lang w:val="es-MX" w:eastAsia="es-MX"/>
        </w:rPr>
        <w:tab/>
        <w:t>Previo al pronunciamiento de la presente resolución es pertinente indicar lo siguiente:</w:t>
      </w:r>
    </w:p>
    <w:p w:rsidR="00012B25" w:rsidRDefault="00012B25" w:rsidP="00012B25">
      <w:pPr>
        <w:spacing w:before="240" w:line="360" w:lineRule="auto"/>
        <w:ind w:left="568"/>
        <w:contextualSpacing/>
        <w:jc w:val="both"/>
        <w:rPr>
          <w:rFonts w:ascii="Arial" w:eastAsia="Calibri" w:hAnsi="Arial" w:cs="Arial"/>
          <w:bCs/>
          <w:sz w:val="26"/>
          <w:szCs w:val="26"/>
          <w:lang w:eastAsia="es-MX"/>
        </w:rPr>
      </w:pPr>
      <w:r>
        <w:rPr>
          <w:rFonts w:ascii="Arial" w:eastAsia="Calibri" w:hAnsi="Arial" w:cs="Arial"/>
          <w:b/>
          <w:bCs/>
          <w:sz w:val="26"/>
          <w:szCs w:val="26"/>
          <w:lang w:eastAsia="es-MX"/>
        </w:rPr>
        <w:t xml:space="preserve">1.-  </w:t>
      </w:r>
      <w:r w:rsidR="00321CC4">
        <w:rPr>
          <w:rFonts w:ascii="Arial" w:eastAsia="Calibri" w:hAnsi="Arial" w:cs="Arial"/>
          <w:b/>
          <w:bCs/>
          <w:sz w:val="26"/>
          <w:szCs w:val="26"/>
          <w:lang w:eastAsia="es-MX"/>
        </w:rPr>
        <w:t>**********</w:t>
      </w:r>
      <w:r>
        <w:rPr>
          <w:rFonts w:ascii="Arial" w:eastAsia="Calibri" w:hAnsi="Arial" w:cs="Arial"/>
          <w:b/>
          <w:bCs/>
          <w:sz w:val="26"/>
          <w:szCs w:val="26"/>
          <w:lang w:eastAsia="es-MX"/>
        </w:rPr>
        <w:t xml:space="preserve">, </w:t>
      </w:r>
      <w:r>
        <w:rPr>
          <w:rFonts w:ascii="Arial" w:eastAsia="Calibri" w:hAnsi="Arial" w:cs="Arial"/>
          <w:bCs/>
          <w:sz w:val="26"/>
          <w:szCs w:val="26"/>
          <w:lang w:eastAsia="es-MX"/>
        </w:rPr>
        <w:t>promovió juicio de nulidad en contra del oficio número SEMADESO/DCCDS/DIRA/1870/2017, de fecha dos de octubre de dos mil diecisiete, suscrito por el Secretario del Medio Ambiente, Energías y Desarrollo Sustentable de Oaxaca.</w:t>
      </w:r>
    </w:p>
    <w:p w:rsidR="00012B25" w:rsidRDefault="00012B25" w:rsidP="00012B25">
      <w:pPr>
        <w:spacing w:before="240"/>
        <w:ind w:left="568"/>
        <w:contextualSpacing/>
        <w:jc w:val="both"/>
        <w:rPr>
          <w:rFonts w:ascii="Arial" w:eastAsia="Calibri" w:hAnsi="Arial" w:cs="Arial"/>
          <w:bCs/>
          <w:sz w:val="26"/>
          <w:szCs w:val="26"/>
          <w:lang w:eastAsia="es-MX"/>
        </w:rPr>
      </w:pPr>
      <w:r w:rsidRPr="00012B25">
        <w:rPr>
          <w:rFonts w:ascii="Arial" w:eastAsia="Calibri" w:hAnsi="Arial" w:cs="Arial"/>
          <w:b/>
          <w:bCs/>
          <w:sz w:val="26"/>
          <w:szCs w:val="26"/>
          <w:lang w:eastAsia="es-MX"/>
        </w:rPr>
        <w:t>2.-</w:t>
      </w:r>
      <w:r>
        <w:rPr>
          <w:rFonts w:ascii="Arial" w:eastAsia="Calibri" w:hAnsi="Arial" w:cs="Arial"/>
          <w:bCs/>
          <w:sz w:val="26"/>
          <w:szCs w:val="26"/>
          <w:lang w:eastAsia="es-MX"/>
        </w:rPr>
        <w:t xml:space="preserve"> Medida cautelar que le </w:t>
      </w:r>
      <w:r>
        <w:rPr>
          <w:rFonts w:ascii="Arial" w:eastAsia="Calibri" w:hAnsi="Arial" w:cs="Arial"/>
          <w:b/>
          <w:bCs/>
          <w:sz w:val="26"/>
          <w:szCs w:val="26"/>
          <w:lang w:eastAsia="es-MX"/>
        </w:rPr>
        <w:t>FUE NEGADA</w:t>
      </w:r>
      <w:r>
        <w:rPr>
          <w:rFonts w:ascii="Arial" w:eastAsia="Calibri" w:hAnsi="Arial" w:cs="Arial"/>
          <w:bCs/>
          <w:sz w:val="26"/>
          <w:szCs w:val="26"/>
          <w:lang w:eastAsia="es-MX"/>
        </w:rPr>
        <w:t xml:space="preserve"> en el acuerdo de nueve de enero de dos mil dieciocho. </w:t>
      </w:r>
    </w:p>
    <w:p w:rsidR="00012B25" w:rsidRPr="00012B25" w:rsidRDefault="00012B25" w:rsidP="00012B25">
      <w:pPr>
        <w:spacing w:before="240"/>
        <w:ind w:left="568"/>
        <w:contextualSpacing/>
        <w:jc w:val="both"/>
        <w:rPr>
          <w:rFonts w:ascii="Arial" w:eastAsia="Calibri" w:hAnsi="Arial" w:cs="Arial"/>
          <w:b/>
          <w:bCs/>
          <w:sz w:val="26"/>
          <w:szCs w:val="26"/>
          <w:lang w:eastAsia="es-MX"/>
        </w:rPr>
      </w:pPr>
      <w:r w:rsidRPr="00012B25">
        <w:rPr>
          <w:rFonts w:ascii="Arial" w:eastAsia="Calibri" w:hAnsi="Arial" w:cs="Arial"/>
          <w:b/>
          <w:bCs/>
          <w:sz w:val="26"/>
          <w:szCs w:val="26"/>
          <w:lang w:eastAsia="es-MX"/>
        </w:rPr>
        <w:t>3.-</w:t>
      </w:r>
      <w:r>
        <w:rPr>
          <w:rFonts w:ascii="Arial" w:eastAsia="Calibri" w:hAnsi="Arial" w:cs="Arial"/>
          <w:bCs/>
          <w:sz w:val="26"/>
          <w:szCs w:val="26"/>
          <w:lang w:eastAsia="es-MX"/>
        </w:rPr>
        <w:t xml:space="preserve"> Con fecha treinta de dos mil dieciocho, la primera instancia resolvió y negó la </w:t>
      </w:r>
      <w:r>
        <w:rPr>
          <w:rFonts w:ascii="Arial" w:eastAsia="Calibri" w:hAnsi="Arial" w:cs="Arial"/>
          <w:b/>
          <w:bCs/>
          <w:sz w:val="26"/>
          <w:szCs w:val="26"/>
          <w:lang w:eastAsia="es-MX"/>
        </w:rPr>
        <w:t>SUSPENSIÓN DEFINITIVA</w:t>
      </w:r>
      <w:r>
        <w:rPr>
          <w:rFonts w:ascii="Arial" w:eastAsia="Calibri" w:hAnsi="Arial" w:cs="Arial"/>
          <w:bCs/>
          <w:sz w:val="26"/>
          <w:szCs w:val="26"/>
          <w:lang w:eastAsia="es-MX"/>
        </w:rPr>
        <w:t xml:space="preserve"> a </w:t>
      </w:r>
      <w:r>
        <w:rPr>
          <w:rFonts w:ascii="Arial" w:eastAsia="Calibri" w:hAnsi="Arial" w:cs="Arial"/>
          <w:b/>
          <w:bCs/>
          <w:sz w:val="26"/>
          <w:szCs w:val="26"/>
          <w:lang w:eastAsia="es-MX"/>
        </w:rPr>
        <w:t xml:space="preserve">Mario Luis Padrillo Sánchez. </w:t>
      </w:r>
    </w:p>
    <w:p w:rsidR="00012B25" w:rsidRDefault="00012B25" w:rsidP="00012B25">
      <w:pPr>
        <w:widowControl w:val="0"/>
        <w:spacing w:before="240" w:after="0" w:line="360" w:lineRule="auto"/>
        <w:ind w:left="567" w:right="18" w:hanging="567"/>
        <w:jc w:val="both"/>
        <w:rPr>
          <w:rFonts w:ascii="Arial" w:eastAsiaTheme="minorEastAsia" w:hAnsi="Arial" w:cs="Arial"/>
          <w:bCs/>
          <w:color w:val="000000"/>
          <w:sz w:val="26"/>
          <w:szCs w:val="26"/>
          <w:lang w:eastAsia="es-MX"/>
        </w:rPr>
      </w:pPr>
      <w:r>
        <w:rPr>
          <w:rFonts w:ascii="Arial" w:eastAsia="Calibri" w:hAnsi="Arial" w:cs="Arial"/>
          <w:bCs/>
          <w:sz w:val="26"/>
          <w:szCs w:val="26"/>
          <w:lang w:eastAsia="es-MX"/>
        </w:rPr>
        <w:t xml:space="preserve"> </w:t>
      </w:r>
      <w:r>
        <w:rPr>
          <w:rFonts w:ascii="Arial" w:eastAsiaTheme="minorEastAsia" w:hAnsi="Arial" w:cs="Arial"/>
          <w:bCs/>
          <w:color w:val="000000"/>
          <w:sz w:val="26"/>
          <w:szCs w:val="26"/>
          <w:lang w:eastAsia="es-MX"/>
        </w:rPr>
        <w:t xml:space="preserve">        </w:t>
      </w:r>
      <w:r w:rsidRPr="00012B25">
        <w:rPr>
          <w:rFonts w:ascii="Arial" w:eastAsiaTheme="minorEastAsia" w:hAnsi="Arial" w:cs="Arial"/>
          <w:b/>
          <w:bCs/>
          <w:color w:val="000000"/>
          <w:sz w:val="26"/>
          <w:szCs w:val="26"/>
          <w:lang w:eastAsia="es-MX"/>
        </w:rPr>
        <w:t>4.-</w:t>
      </w:r>
      <w:r>
        <w:rPr>
          <w:rFonts w:ascii="Arial" w:eastAsiaTheme="minorEastAsia" w:hAnsi="Arial" w:cs="Arial"/>
          <w:bCs/>
          <w:color w:val="000000"/>
          <w:sz w:val="26"/>
          <w:szCs w:val="26"/>
          <w:lang w:eastAsia="es-MX"/>
        </w:rPr>
        <w:t xml:space="preserve">  El veintinueve de noviembre del presente año, se recibió el oficio TCAC/SGA/065/2018. Signada por la Secretaria General de Acuerdos de este Tribunal. Con el que remite el cuadernillo de copias certificadas deducidas del cuaderno de suspensión 0153/2017 del índice de la Sexta Sala Unitaria de primera </w:t>
      </w:r>
      <w:r>
        <w:rPr>
          <w:rFonts w:ascii="Arial" w:eastAsiaTheme="minorEastAsia" w:hAnsi="Arial" w:cs="Arial"/>
          <w:bCs/>
          <w:color w:val="000000"/>
          <w:sz w:val="26"/>
          <w:szCs w:val="26"/>
          <w:lang w:eastAsia="es-MX"/>
        </w:rPr>
        <w:lastRenderedPageBreak/>
        <w:t xml:space="preserve">Instancia y de las que se obtiene que el veintiséis de Junio de dos mil dieciocho, se </w:t>
      </w:r>
      <w:proofErr w:type="gramStart"/>
      <w:r>
        <w:rPr>
          <w:rFonts w:ascii="Arial" w:eastAsiaTheme="minorEastAsia" w:hAnsi="Arial" w:cs="Arial"/>
          <w:bCs/>
          <w:color w:val="000000"/>
          <w:sz w:val="26"/>
          <w:szCs w:val="26"/>
          <w:lang w:eastAsia="es-MX"/>
        </w:rPr>
        <w:t>dictó</w:t>
      </w:r>
      <w:proofErr w:type="gramEnd"/>
      <w:r>
        <w:rPr>
          <w:rFonts w:ascii="Arial" w:eastAsiaTheme="minorEastAsia" w:hAnsi="Arial" w:cs="Arial"/>
          <w:bCs/>
          <w:color w:val="000000"/>
          <w:sz w:val="26"/>
          <w:szCs w:val="26"/>
          <w:lang w:eastAsia="es-MX"/>
        </w:rPr>
        <w:t xml:space="preserve"> sentencia definitiva en el juicio de nulidad 0153/2017.</w:t>
      </w:r>
    </w:p>
    <w:p w:rsidR="00012B25" w:rsidRDefault="00012B25" w:rsidP="00012B25">
      <w:pPr>
        <w:widowControl w:val="0"/>
        <w:spacing w:before="240" w:after="0" w:line="360" w:lineRule="auto"/>
        <w:ind w:right="18" w:firstLine="705"/>
        <w:contextualSpacing/>
        <w:jc w:val="both"/>
        <w:rPr>
          <w:rFonts w:ascii="Arial" w:eastAsiaTheme="minorEastAsia" w:hAnsi="Arial" w:cs="Arial"/>
          <w:bCs/>
          <w:color w:val="000000"/>
          <w:sz w:val="26"/>
          <w:szCs w:val="26"/>
          <w:lang w:eastAsia="es-MX"/>
        </w:rPr>
      </w:pPr>
      <w:r>
        <w:rPr>
          <w:rFonts w:ascii="Arial" w:eastAsiaTheme="minorEastAsia" w:hAnsi="Arial" w:cs="Arial"/>
          <w:b/>
          <w:bCs/>
          <w:color w:val="000000"/>
          <w:sz w:val="26"/>
          <w:szCs w:val="26"/>
          <w:lang w:eastAsia="es-MX"/>
        </w:rPr>
        <w:t xml:space="preserve">Ahora, </w:t>
      </w:r>
      <w:r>
        <w:rPr>
          <w:rFonts w:ascii="Arial" w:eastAsiaTheme="minorEastAsia" w:hAnsi="Arial" w:cs="Arial"/>
          <w:bCs/>
          <w:color w:val="000000"/>
          <w:sz w:val="26"/>
          <w:szCs w:val="26"/>
          <w:lang w:eastAsia="es-MX"/>
        </w:rPr>
        <w:t xml:space="preserve">la suspensión constituye una medida cautelar procesal por la que se persigue que los efectos del acto demandado se paralicen </w:t>
      </w:r>
      <w:r>
        <w:rPr>
          <w:rFonts w:ascii="Arial" w:eastAsiaTheme="minorEastAsia" w:hAnsi="Arial" w:cs="Arial"/>
          <w:bCs/>
          <w:i/>
          <w:color w:val="000000"/>
          <w:sz w:val="26"/>
          <w:szCs w:val="26"/>
          <w:lang w:eastAsia="es-MX"/>
        </w:rPr>
        <w:t xml:space="preserve">temporalmente </w:t>
      </w:r>
      <w:r>
        <w:rPr>
          <w:rFonts w:ascii="Arial" w:eastAsiaTheme="minorEastAsia" w:hAnsi="Arial" w:cs="Arial"/>
          <w:bCs/>
          <w:color w:val="000000"/>
          <w:sz w:val="26"/>
          <w:szCs w:val="26"/>
          <w:lang w:eastAsia="es-MX"/>
        </w:rPr>
        <w:t xml:space="preserve">hasta en tanto se resuelva el fondo de la cuestión planteada al juzgador, con el objeto de evitar que la materia de la controversia quede sin materia y también para evitar daños irreparables o de difícil reparación al afectado. </w:t>
      </w:r>
    </w:p>
    <w:p w:rsidR="00012B25" w:rsidRDefault="00012B25" w:rsidP="00012B25">
      <w:pPr>
        <w:widowControl w:val="0"/>
        <w:tabs>
          <w:tab w:val="left" w:pos="7938"/>
        </w:tabs>
        <w:spacing w:before="240" w:after="0" w:line="360" w:lineRule="auto"/>
        <w:ind w:right="18" w:firstLine="709"/>
        <w:jc w:val="both"/>
        <w:rPr>
          <w:rFonts w:ascii="Arial" w:eastAsiaTheme="minorEastAsia" w:hAnsi="Arial" w:cs="Arial"/>
          <w:bCs/>
          <w:color w:val="000000"/>
          <w:sz w:val="26"/>
          <w:szCs w:val="26"/>
          <w:lang w:val="es-MX" w:eastAsia="es-MX"/>
        </w:rPr>
      </w:pPr>
      <w:r>
        <w:rPr>
          <w:rFonts w:ascii="Arial" w:eastAsiaTheme="minorEastAsia" w:hAnsi="Arial" w:cs="Arial"/>
          <w:bCs/>
          <w:color w:val="000000"/>
          <w:sz w:val="26"/>
          <w:szCs w:val="26"/>
          <w:lang w:val="es-MX" w:eastAsia="es-MX"/>
        </w:rPr>
        <w:t xml:space="preserve">En este sentido, si la primera instancia ya dictó la determinación que resuelve el fondo del asunto sometido a su jurisdicción (el veinte de junio de dos mil dieciocho) entonces los efectos temporales de la medida cautelar </w:t>
      </w:r>
      <w:r>
        <w:rPr>
          <w:rFonts w:ascii="Arial" w:eastAsiaTheme="minorEastAsia" w:hAnsi="Arial" w:cs="Arial"/>
          <w:bCs/>
          <w:i/>
          <w:color w:val="000000"/>
          <w:sz w:val="26"/>
          <w:szCs w:val="26"/>
          <w:lang w:val="es-MX" w:eastAsia="es-MX"/>
        </w:rPr>
        <w:t xml:space="preserve">suspensión </w:t>
      </w:r>
      <w:r>
        <w:rPr>
          <w:rFonts w:ascii="Arial" w:eastAsiaTheme="minorEastAsia" w:hAnsi="Arial" w:cs="Arial"/>
          <w:bCs/>
          <w:color w:val="000000"/>
          <w:sz w:val="26"/>
          <w:szCs w:val="26"/>
          <w:lang w:val="es-MX" w:eastAsia="es-MX"/>
        </w:rPr>
        <w:t xml:space="preserve">resultan infructuosos en esta instancia de la secuela procesal, al haberse emitido la sentencia que resuelve el fondo de la Litis establecida. </w:t>
      </w:r>
    </w:p>
    <w:p w:rsidR="00012B25" w:rsidRDefault="00012B25" w:rsidP="00012B25">
      <w:pPr>
        <w:widowControl w:val="0"/>
        <w:tabs>
          <w:tab w:val="left" w:pos="7938"/>
        </w:tabs>
        <w:spacing w:before="240" w:after="0" w:line="360" w:lineRule="auto"/>
        <w:ind w:right="18" w:firstLine="709"/>
        <w:jc w:val="both"/>
        <w:rPr>
          <w:rFonts w:ascii="Arial" w:eastAsiaTheme="minorEastAsia" w:hAnsi="Arial" w:cs="Arial"/>
          <w:bCs/>
          <w:sz w:val="26"/>
          <w:szCs w:val="26"/>
          <w:lang w:val="es-MX" w:eastAsia="es-MX"/>
        </w:rPr>
      </w:pPr>
      <w:r>
        <w:rPr>
          <w:rFonts w:ascii="Arial" w:eastAsiaTheme="minorEastAsia" w:hAnsi="Arial" w:cs="Arial"/>
          <w:bCs/>
          <w:color w:val="000000"/>
          <w:sz w:val="26"/>
          <w:szCs w:val="26"/>
          <w:lang w:val="es-MX" w:eastAsia="es-MX"/>
        </w:rPr>
        <w:t xml:space="preserve">Se está entonces, ante lo que se ha denominado cambio de situación jurídica pues las condiciones jurídicas que existían a la presentación de la demanda y la correspondiente solicitud de suspensión han cambiado y con ello, la presunta ilegalidad aducida en contra de la medida suspensional controvertida no surtirá sus efectos ni producirá algún perjuicio en la esfera jurídica del administrado. </w:t>
      </w:r>
    </w:p>
    <w:p w:rsidR="00012B25" w:rsidRDefault="00012B25" w:rsidP="00012B25">
      <w:pPr>
        <w:spacing w:before="240" w:after="0" w:line="360" w:lineRule="auto"/>
        <w:ind w:firstLine="709"/>
        <w:jc w:val="both"/>
        <w:rPr>
          <w:rFonts w:ascii="Arial" w:eastAsiaTheme="minorEastAsia" w:hAnsi="Arial" w:cs="Arial"/>
          <w:bCs/>
          <w:sz w:val="26"/>
          <w:szCs w:val="26"/>
          <w:lang w:val="es-MX" w:eastAsia="es-MX"/>
        </w:rPr>
      </w:pPr>
      <w:r>
        <w:rPr>
          <w:rFonts w:ascii="Arial" w:eastAsiaTheme="minorEastAsia" w:hAnsi="Arial" w:cs="Arial"/>
          <w:bCs/>
          <w:sz w:val="26"/>
          <w:szCs w:val="26"/>
          <w:lang w:val="es-MX" w:eastAsia="es-MX"/>
        </w:rPr>
        <w:t>Al respecto, resulta orientador el criterio contenido en la tesis CXI/96, de la Segunda Sala de la Suprema Corte de Justicia de la Nación, visible a página 219, del Semanario Judicial de la Federación y su Gaceta, Tomo IV, Diciembre de 1996, de la Novena Época, de rubro y texto siguientes:</w:t>
      </w:r>
    </w:p>
    <w:p w:rsidR="00012B25" w:rsidRDefault="00012B25" w:rsidP="00012B25">
      <w:pPr>
        <w:spacing w:before="240" w:after="0" w:line="360" w:lineRule="auto"/>
        <w:ind w:left="709" w:right="709"/>
        <w:jc w:val="both"/>
        <w:rPr>
          <w:rFonts w:ascii="Arial" w:eastAsiaTheme="minorEastAsia" w:hAnsi="Arial" w:cs="Arial"/>
          <w:b/>
          <w:bCs/>
          <w:lang w:val="es-MX" w:eastAsia="es-MX"/>
        </w:rPr>
      </w:pPr>
      <w:r>
        <w:rPr>
          <w:rFonts w:ascii="Arial" w:eastAsiaTheme="minorEastAsia" w:hAnsi="Arial" w:cs="Arial"/>
          <w:b/>
          <w:bCs/>
          <w:i/>
          <w:lang w:val="es-MX" w:eastAsia="es-MX"/>
        </w:rPr>
        <w:t xml:space="preserve">“CAMBIO DE SITUACIÓN JURÍDICA. REGLA GENERAL. </w:t>
      </w:r>
      <w:r>
        <w:rPr>
          <w:rFonts w:ascii="Arial" w:eastAsiaTheme="minorEastAsia" w:hAnsi="Arial" w:cs="Arial"/>
          <w:bCs/>
          <w:i/>
          <w:lang w:val="es-MX" w:eastAsia="es-MX"/>
        </w:rPr>
        <w:t xml:space="preserve">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w:t>
      </w:r>
      <w:r>
        <w:rPr>
          <w:rFonts w:ascii="Arial" w:eastAsiaTheme="minorEastAsia" w:hAnsi="Arial" w:cs="Arial"/>
          <w:bCs/>
          <w:i/>
          <w:lang w:val="es-MX" w:eastAsia="es-MX"/>
        </w:rPr>
        <w:lastRenderedPageBreak/>
        <w:t>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rsidR="00012B25" w:rsidRDefault="00012B25" w:rsidP="00012B25">
      <w:pPr>
        <w:spacing w:before="240" w:after="0" w:line="360" w:lineRule="auto"/>
        <w:ind w:firstLine="709"/>
        <w:jc w:val="both"/>
        <w:rPr>
          <w:rFonts w:ascii="Arial" w:eastAsiaTheme="minorEastAsia" w:hAnsi="Arial" w:cs="Arial"/>
          <w:bCs/>
          <w:sz w:val="26"/>
          <w:szCs w:val="26"/>
          <w:lang w:val="es-MX" w:eastAsia="es-MX"/>
        </w:rPr>
      </w:pPr>
      <w:r>
        <w:rPr>
          <w:rFonts w:ascii="Arial" w:eastAsiaTheme="minorEastAsia" w:hAnsi="Arial" w:cs="Arial"/>
          <w:b/>
          <w:bCs/>
          <w:sz w:val="26"/>
          <w:szCs w:val="26"/>
          <w:lang w:val="es-MX" w:eastAsia="es-MX"/>
        </w:rPr>
        <w:t xml:space="preserve">Por estas razones, </w:t>
      </w:r>
      <w:r>
        <w:rPr>
          <w:rFonts w:ascii="Arial" w:eastAsiaTheme="minorEastAsia" w:hAnsi="Arial" w:cs="Arial"/>
          <w:bCs/>
          <w:sz w:val="26"/>
          <w:szCs w:val="26"/>
          <w:lang w:val="es-MX" w:eastAsia="es-MX"/>
        </w:rPr>
        <w:t xml:space="preserve">como se apuntó en líneas precedentes, al haberse pronunciado la sentencia en el juicio natural debe decretarse sin materia el presente medio de defensa, virtud que la validez del acto demandado y la paralización o continuación de sus efectos, ya no depende de la medida suspensional solicitada sino de la sentencia que ha puesto fin a la controversia. Esta consideración encuentra sustento por identidad en el tema en la jurisprudencia IX.1o. J/12 del Primer Tribunal Colegiado del Noveno Distrito, dictada en la novena época, misma que ha sido publicada en el Semanario Judicial de la Federación y su Gaceta en el tomo XVIII, de diciembre de 2003, y que es consultable a página 1312, con el título y texto del tenor literal siguiente: </w:t>
      </w:r>
    </w:p>
    <w:p w:rsidR="00012B25" w:rsidRDefault="00012B25" w:rsidP="00012B25">
      <w:pPr>
        <w:spacing w:before="240" w:after="0" w:line="360" w:lineRule="auto"/>
        <w:ind w:left="851" w:right="899"/>
        <w:jc w:val="both"/>
        <w:rPr>
          <w:rFonts w:ascii="Arial" w:eastAsiaTheme="minorEastAsia" w:hAnsi="Arial" w:cs="Arial"/>
          <w:bCs/>
          <w:i/>
          <w:lang w:val="es-MX" w:eastAsia="es-MX"/>
        </w:rPr>
      </w:pPr>
      <w:r>
        <w:rPr>
          <w:rFonts w:ascii="Arial" w:eastAsiaTheme="minorEastAsia" w:hAnsi="Arial" w:cs="Arial"/>
          <w:bCs/>
          <w:i/>
          <w:lang w:val="es-MX" w:eastAsia="es-MX"/>
        </w:rPr>
        <w:t>“</w:t>
      </w:r>
      <w:r>
        <w:rPr>
          <w:rFonts w:ascii="Arial" w:eastAsiaTheme="minorEastAsia" w:hAnsi="Arial" w:cs="Arial"/>
          <w:b/>
          <w:bCs/>
          <w:i/>
          <w:lang w:val="es-MX" w:eastAsia="es-MX"/>
        </w:rPr>
        <w:t>QUEJA SIN MATERIA</w:t>
      </w:r>
      <w:r>
        <w:rPr>
          <w:rFonts w:ascii="Arial" w:eastAsiaTheme="minorEastAsia" w:hAnsi="Arial" w:cs="Arial"/>
          <w:bCs/>
          <w:i/>
          <w:lang w:val="es-MX" w:eastAsia="es-MX"/>
        </w:rPr>
        <w:t>.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suspensional ya no depende del auto de suspensión provisional, sino de la citada interlocutoria y ésta no es materia del recurso de queja, por lo cual no puede afectarse al resolver el mismo.”</w:t>
      </w:r>
    </w:p>
    <w:p w:rsidR="00012B25" w:rsidRDefault="00012B25" w:rsidP="00012B25">
      <w:pPr>
        <w:spacing w:before="240" w:after="0" w:line="360" w:lineRule="auto"/>
        <w:ind w:right="709" w:firstLine="709"/>
        <w:jc w:val="both"/>
        <w:rPr>
          <w:rFonts w:ascii="Arial" w:eastAsiaTheme="minorEastAsia" w:hAnsi="Arial" w:cs="Arial"/>
          <w:bCs/>
          <w:sz w:val="26"/>
          <w:szCs w:val="26"/>
          <w:lang w:val="es-MX" w:eastAsia="es-MX"/>
        </w:rPr>
      </w:pPr>
      <w:r>
        <w:rPr>
          <w:rFonts w:ascii="Arial" w:eastAsiaTheme="minorEastAsia" w:hAnsi="Arial" w:cs="Arial"/>
          <w:bCs/>
          <w:sz w:val="26"/>
          <w:szCs w:val="26"/>
          <w:lang w:val="es-MX" w:eastAsia="es-MX"/>
        </w:rPr>
        <w:t>De esta manera, la nueva situación jurídica bajo la cual se rigen ahora las partes, constituye un obstáculo respecto al análisis de la legalidad o ilegalidad de la determinación que negó la suspensión provisional.</w:t>
      </w:r>
    </w:p>
    <w:p w:rsidR="00012B25" w:rsidRDefault="00012B25" w:rsidP="00012B25">
      <w:pPr>
        <w:spacing w:before="240" w:after="0" w:line="360" w:lineRule="auto"/>
        <w:ind w:firstLine="709"/>
        <w:jc w:val="both"/>
        <w:rPr>
          <w:rFonts w:ascii="Arial" w:eastAsiaTheme="minorEastAsia" w:hAnsi="Arial" w:cs="Arial"/>
          <w:bCs/>
          <w:sz w:val="26"/>
          <w:szCs w:val="26"/>
          <w:lang w:val="es-MX" w:eastAsia="es-MX"/>
        </w:rPr>
      </w:pPr>
      <w:r>
        <w:rPr>
          <w:rFonts w:ascii="Arial" w:eastAsiaTheme="minorEastAsia" w:hAnsi="Arial" w:cs="Arial"/>
          <w:bCs/>
          <w:sz w:val="26"/>
          <w:szCs w:val="26"/>
          <w:lang w:val="es-MX" w:eastAsia="es-MX"/>
        </w:rPr>
        <w:t>Por tanto, no sería factible, ni jurídica ni materialmente, restituir o negar al recurrente, los derechos violentados por tal determinación, aun siéndole favorable la resolución que en el presente recurso llegare a dictarse, pues no podría retrotraerse en sus efectos sin modificar la nueva situación que rige el juicio de nulidad; pues la suspensión, se reitera, tiene el carácter de temporal hasta en tanto se dicte la sentencia que decida el fondo del asunto.</w:t>
      </w:r>
    </w:p>
    <w:p w:rsidR="00012B25" w:rsidRDefault="00012B25" w:rsidP="00012B25">
      <w:pPr>
        <w:spacing w:before="240" w:after="0" w:line="360" w:lineRule="auto"/>
        <w:ind w:firstLine="709"/>
        <w:jc w:val="both"/>
        <w:rPr>
          <w:rFonts w:ascii="Arial" w:eastAsiaTheme="minorEastAsia" w:hAnsi="Arial" w:cs="Arial"/>
          <w:sz w:val="26"/>
          <w:szCs w:val="26"/>
          <w:lang w:val="es-MX" w:eastAsia="es-MX"/>
        </w:rPr>
      </w:pPr>
      <w:r>
        <w:rPr>
          <w:rFonts w:ascii="Arial" w:eastAsiaTheme="minorEastAsia" w:hAnsi="Arial" w:cs="Arial"/>
          <w:bCs/>
          <w:sz w:val="26"/>
          <w:szCs w:val="26"/>
          <w:lang w:val="es-MX" w:eastAsia="es-MX"/>
        </w:rPr>
        <w:lastRenderedPageBreak/>
        <w:t xml:space="preserve">En consecuencia, se </w:t>
      </w:r>
      <w:r>
        <w:rPr>
          <w:rFonts w:ascii="Arial" w:eastAsiaTheme="minorEastAsia" w:hAnsi="Arial" w:cs="Arial"/>
          <w:b/>
          <w:bCs/>
          <w:sz w:val="26"/>
          <w:szCs w:val="26"/>
          <w:lang w:val="es-MX" w:eastAsia="es-MX"/>
        </w:rPr>
        <w:t xml:space="preserve">DECLARA SIN MATERIA </w:t>
      </w:r>
      <w:r>
        <w:rPr>
          <w:rFonts w:ascii="Arial" w:eastAsiaTheme="minorEastAsia" w:hAnsi="Arial" w:cs="Arial"/>
          <w:bCs/>
          <w:sz w:val="26"/>
          <w:szCs w:val="26"/>
          <w:lang w:val="es-MX" w:eastAsia="es-MX"/>
        </w:rPr>
        <w:t>el presente recurso de revisión y</w:t>
      </w:r>
      <w:r>
        <w:rPr>
          <w:rFonts w:ascii="Arial" w:eastAsia="Calibri" w:hAnsi="Arial" w:cs="Arial"/>
          <w:bCs/>
          <w:sz w:val="26"/>
          <w:szCs w:val="26"/>
          <w:lang w:val="es-MX" w:eastAsia="es-MX"/>
        </w:rPr>
        <w:t xml:space="preserve"> </w:t>
      </w:r>
      <w:r>
        <w:rPr>
          <w:rFonts w:ascii="Arial" w:eastAsiaTheme="minorEastAsia" w:hAnsi="Arial" w:cs="Arial"/>
          <w:sz w:val="26"/>
          <w:szCs w:val="26"/>
          <w:lang w:val="es-MX" w:eastAsia="es-MX"/>
        </w:rPr>
        <w:t>con fundamento en los artículos 207 y 208 de la Ley de Justicia Administrativa para el Estado,  vigente hasta el  veinte de octubre de  dos mil diecisiete, se:</w:t>
      </w:r>
    </w:p>
    <w:p w:rsidR="00012B25" w:rsidRDefault="00012B25" w:rsidP="00012B25">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012B25" w:rsidRDefault="00012B25" w:rsidP="00012B25">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DECLARA SIN MATERIA </w:t>
      </w:r>
      <w:r>
        <w:rPr>
          <w:rFonts w:ascii="Arial" w:hAnsi="Arial" w:cs="Arial"/>
          <w:sz w:val="26"/>
          <w:szCs w:val="26"/>
        </w:rPr>
        <w:t xml:space="preserve">el presente medio de impugnación, </w:t>
      </w:r>
      <w:r>
        <w:rPr>
          <w:rFonts w:ascii="Arial" w:hAnsi="Arial" w:cs="Arial"/>
          <w:sz w:val="26"/>
          <w:szCs w:val="26"/>
          <w:lang w:eastAsia="es-ES"/>
        </w:rPr>
        <w:t>por las razones expuestas en el considerando que antecede</w:t>
      </w:r>
      <w:r>
        <w:rPr>
          <w:rFonts w:ascii="Arial" w:hAnsi="Arial" w:cs="Arial"/>
          <w:sz w:val="26"/>
          <w:szCs w:val="26"/>
        </w:rPr>
        <w:t xml:space="preserve">. </w:t>
      </w:r>
    </w:p>
    <w:p w:rsidR="00012B25" w:rsidRPr="00012B25" w:rsidRDefault="00012B25" w:rsidP="00012B25">
      <w:pPr>
        <w:pStyle w:val="Sinespaciado"/>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 </w:t>
      </w:r>
      <w:r>
        <w:rPr>
          <w:rFonts w:ascii="Arial" w:hAnsi="Arial" w:cs="Arial"/>
          <w:b/>
          <w:sz w:val="26"/>
          <w:szCs w:val="26"/>
        </w:rPr>
        <w:t>SEGUNDO.</w:t>
      </w:r>
      <w:r>
        <w:rPr>
          <w:rFonts w:ascii="Arial" w:hAnsi="Arial" w:cs="Arial"/>
          <w:sz w:val="26"/>
          <w:szCs w:val="26"/>
        </w:rPr>
        <w:t xml:space="preserve"> </w:t>
      </w:r>
      <w:r>
        <w:rPr>
          <w:rFonts w:ascii="Arial" w:hAnsi="Arial" w:cs="Arial"/>
          <w:b/>
          <w:sz w:val="26"/>
          <w:szCs w:val="26"/>
        </w:rPr>
        <w:t>NOTIFÍQUESE Y CÚMPLASE,</w:t>
      </w:r>
      <w:r>
        <w:rPr>
          <w:rFonts w:ascii="Arial" w:hAnsi="Arial" w:cs="Arial"/>
          <w:sz w:val="26"/>
          <w:szCs w:val="26"/>
        </w:rPr>
        <w:t xml:space="preserve"> con copia certificada de la presente resolución, vuelvan las constancias remitidas a la Sexta Sala Unitaria de Primera Instancia, </w:t>
      </w:r>
      <w:r>
        <w:rPr>
          <w:rFonts w:ascii="Arial" w:eastAsia="Calibri" w:hAnsi="Arial" w:cs="Arial"/>
          <w:sz w:val="26"/>
          <w:szCs w:val="26"/>
        </w:rPr>
        <w:t>y en su oportunidad archívese los cuadernos de revisión co</w:t>
      </w:r>
      <w:bookmarkStart w:id="0" w:name="_GoBack"/>
      <w:bookmarkEnd w:id="0"/>
      <w:r>
        <w:rPr>
          <w:rFonts w:ascii="Arial" w:eastAsia="Calibri" w:hAnsi="Arial" w:cs="Arial"/>
          <w:sz w:val="26"/>
          <w:szCs w:val="26"/>
        </w:rPr>
        <w:t>mo concluidos.</w:t>
      </w:r>
    </w:p>
    <w:p w:rsidR="00AF32D8" w:rsidRDefault="00AF32D8" w:rsidP="00AF32D8">
      <w:pPr>
        <w:tabs>
          <w:tab w:val="left" w:pos="1985"/>
        </w:tabs>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mayoría de votos, lo resolvieron y firmaron los Magistrados integrantes de la Sala Superior del Tribunal de Justicia Administrativa del Estado de Oaxaca; con el voto particular del Magistrado Manuel Velasco Alcántara, el cual se engrosa al final de la presente, quienes actúan con la Secretaria General de Acuerdos de este Tribunal, que autoriza y da fe.</w:t>
      </w:r>
    </w:p>
    <w:p w:rsidR="00AF32D8" w:rsidRDefault="00AF32D8" w:rsidP="00AF32D8">
      <w:pPr>
        <w:tabs>
          <w:tab w:val="left" w:pos="1985"/>
        </w:tabs>
        <w:spacing w:before="240" w:line="360" w:lineRule="auto"/>
        <w:ind w:firstLine="708"/>
        <w:jc w:val="both"/>
        <w:rPr>
          <w:rFonts w:ascii="Arial" w:eastAsiaTheme="minorEastAsia" w:hAnsi="Arial" w:cs="Arial"/>
          <w:sz w:val="26"/>
          <w:szCs w:val="26"/>
          <w:lang w:eastAsia="es-MX"/>
        </w:rPr>
      </w:pPr>
    </w:p>
    <w:p w:rsidR="00AF32D8" w:rsidRDefault="00AF32D8" w:rsidP="00AF32D8">
      <w:pPr>
        <w:tabs>
          <w:tab w:val="left" w:pos="1985"/>
        </w:tabs>
        <w:spacing w:before="240" w:line="360" w:lineRule="auto"/>
        <w:ind w:firstLine="708"/>
        <w:jc w:val="both"/>
        <w:rPr>
          <w:rFonts w:ascii="Arial" w:eastAsiaTheme="minorEastAsia" w:hAnsi="Arial" w:cs="Arial"/>
          <w:sz w:val="26"/>
          <w:szCs w:val="26"/>
          <w:lang w:eastAsia="es-MX"/>
        </w:rPr>
      </w:pPr>
    </w:p>
    <w:p w:rsidR="00012B25" w:rsidRDefault="00012B25" w:rsidP="00AF32D8">
      <w:pPr>
        <w:tabs>
          <w:tab w:val="left" w:pos="1985"/>
        </w:tabs>
        <w:spacing w:before="240" w:line="360" w:lineRule="auto"/>
        <w:ind w:firstLine="708"/>
        <w:jc w:val="both"/>
        <w:rPr>
          <w:rFonts w:ascii="Arial" w:eastAsiaTheme="minorEastAsia" w:hAnsi="Arial" w:cs="Arial"/>
          <w:sz w:val="26"/>
          <w:szCs w:val="26"/>
          <w:lang w:eastAsia="es-MX"/>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 xml:space="preserve">MAGISTRADO ADRIAN QUIROGA AVENDAÑO </w:t>
      </w: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PRESIDENTE</w:t>
      </w:r>
    </w:p>
    <w:p w:rsidR="00AF32D8" w:rsidRDefault="00AF32D8" w:rsidP="00AF32D8">
      <w:pPr>
        <w:spacing w:line="360" w:lineRule="auto"/>
        <w:rPr>
          <w:rFonts w:ascii="Arial" w:eastAsia="Calibri" w:hAnsi="Arial" w:cs="Arial"/>
          <w:b/>
          <w:sz w:val="26"/>
          <w:szCs w:val="26"/>
        </w:rPr>
      </w:pPr>
    </w:p>
    <w:p w:rsidR="00AF32D8" w:rsidRDefault="00AF32D8"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AF32D8" w:rsidRDefault="00AF32D8" w:rsidP="00AF32D8">
      <w:pPr>
        <w:spacing w:line="360" w:lineRule="auto"/>
        <w:jc w:val="center"/>
        <w:rPr>
          <w:rFonts w:ascii="Arial" w:eastAsia="Calibri" w:hAnsi="Arial" w:cs="Arial"/>
          <w:sz w:val="26"/>
          <w:szCs w:val="26"/>
        </w:rPr>
      </w:pPr>
    </w:p>
    <w:p w:rsidR="00012B25" w:rsidRDefault="00012B25" w:rsidP="00012B25">
      <w:pPr>
        <w:spacing w:line="360" w:lineRule="auto"/>
        <w:jc w:val="center"/>
        <w:rPr>
          <w:rFonts w:ascii="Arial" w:eastAsia="Calibri" w:hAnsi="Arial" w:cs="Arial"/>
          <w:b/>
          <w:sz w:val="14"/>
          <w:szCs w:val="26"/>
        </w:rPr>
      </w:pPr>
    </w:p>
    <w:p w:rsidR="00012B25" w:rsidRPr="00AF32D8" w:rsidRDefault="00012B25" w:rsidP="00012B25">
      <w:pPr>
        <w:spacing w:line="360" w:lineRule="auto"/>
        <w:jc w:val="center"/>
        <w:rPr>
          <w:rFonts w:ascii="Arial" w:eastAsia="Calibri" w:hAnsi="Arial" w:cs="Arial"/>
          <w:b/>
          <w:sz w:val="14"/>
          <w:szCs w:val="26"/>
        </w:rPr>
      </w:pPr>
      <w:r w:rsidRPr="00AF32D8">
        <w:rPr>
          <w:rFonts w:ascii="Arial" w:eastAsia="Calibri" w:hAnsi="Arial" w:cs="Arial"/>
          <w:b/>
          <w:sz w:val="14"/>
          <w:szCs w:val="26"/>
        </w:rPr>
        <w:t>LAS PRESENTES FIRMAS CORRES</w:t>
      </w:r>
      <w:r>
        <w:rPr>
          <w:rFonts w:ascii="Arial" w:eastAsia="Calibri" w:hAnsi="Arial" w:cs="Arial"/>
          <w:b/>
          <w:sz w:val="14"/>
          <w:szCs w:val="26"/>
        </w:rPr>
        <w:t>PONEN AL RECURSO DE REVISIÓN 071</w:t>
      </w:r>
      <w:r w:rsidRPr="00AF32D8">
        <w:rPr>
          <w:rFonts w:ascii="Arial" w:eastAsia="Calibri" w:hAnsi="Arial" w:cs="Arial"/>
          <w:b/>
          <w:sz w:val="14"/>
          <w:szCs w:val="26"/>
        </w:rPr>
        <w:t>/2018</w:t>
      </w:r>
    </w:p>
    <w:p w:rsidR="00AF32D8" w:rsidRDefault="00AF32D8" w:rsidP="00AF32D8">
      <w:pPr>
        <w:spacing w:line="360" w:lineRule="auto"/>
        <w:jc w:val="center"/>
        <w:rPr>
          <w:rFonts w:ascii="Arial" w:eastAsia="Calibri" w:hAnsi="Arial" w:cs="Arial"/>
          <w:sz w:val="26"/>
          <w:szCs w:val="26"/>
        </w:rPr>
      </w:pPr>
    </w:p>
    <w:p w:rsidR="00012B25" w:rsidRDefault="00012B25" w:rsidP="00012B25">
      <w:pPr>
        <w:spacing w:line="360" w:lineRule="auto"/>
        <w:rPr>
          <w:rFonts w:ascii="Arial" w:eastAsia="Calibri" w:hAnsi="Arial" w:cs="Arial"/>
          <w:sz w:val="26"/>
          <w:szCs w:val="26"/>
        </w:rPr>
      </w:pPr>
    </w:p>
    <w:p w:rsidR="00012B25" w:rsidRDefault="00012B25"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AF32D8" w:rsidRDefault="00AF32D8"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p>
    <w:p w:rsidR="00AF32D8" w:rsidRDefault="00AF32D8" w:rsidP="00AF32D8">
      <w:pPr>
        <w:spacing w:line="36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MAGISTRADA MARIA ELENA VILLA DE JARQUIN</w:t>
      </w: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MAGISTRADO MANUEL VELASCO ALCANTARA</w:t>
      </w: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AF32D8" w:rsidRDefault="00AF32D8" w:rsidP="00AF32D8">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AF32D8" w:rsidRDefault="00AF32D8" w:rsidP="00AF32D8">
      <w:pPr>
        <w:spacing w:line="360" w:lineRule="auto"/>
        <w:ind w:firstLine="708"/>
        <w:jc w:val="both"/>
        <w:rPr>
          <w:sz w:val="26"/>
          <w:szCs w:val="26"/>
        </w:rPr>
      </w:pPr>
    </w:p>
    <w:p w:rsidR="00AF32D8" w:rsidRDefault="00AF32D8" w:rsidP="00AF32D8">
      <w:pPr>
        <w:spacing w:line="360" w:lineRule="auto"/>
        <w:ind w:firstLine="708"/>
        <w:jc w:val="both"/>
        <w:rPr>
          <w:sz w:val="26"/>
          <w:szCs w:val="26"/>
        </w:rPr>
      </w:pPr>
    </w:p>
    <w:p w:rsidR="0023434D" w:rsidRPr="00AF32D8" w:rsidRDefault="0023434D" w:rsidP="00AF32D8"/>
    <w:sectPr w:rsidR="0023434D" w:rsidRPr="00AF32D8" w:rsidSect="002932AE">
      <w:headerReference w:type="even" r:id="rId9"/>
      <w:headerReference w:type="default" r:id="rId10"/>
      <w:footerReference w:type="even"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DAE" w:rsidRDefault="00762DAE">
      <w:pPr>
        <w:spacing w:after="0" w:line="240" w:lineRule="auto"/>
      </w:pPr>
      <w:r>
        <w:separator/>
      </w:r>
    </w:p>
  </w:endnote>
  <w:endnote w:type="continuationSeparator" w:id="0">
    <w:p w:rsidR="00762DAE" w:rsidRDefault="00762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409A" w:rsidRDefault="001E409A">
    <w:pPr>
      <w:pStyle w:val="Piedepgina"/>
    </w:pPr>
    <w:r>
      <w:rPr>
        <w:noProof/>
        <w:lang w:val="es-MX" w:eastAsia="es-MX"/>
      </w:rPr>
      <w:drawing>
        <wp:anchor distT="0" distB="0" distL="114300" distR="114300" simplePos="0" relativeHeight="251658240" behindDoc="0" locked="0" layoutInCell="1" allowOverlap="1" wp14:anchorId="686C9533" wp14:editId="28A4A3F0">
          <wp:simplePos x="0" y="0"/>
          <wp:positionH relativeFrom="column">
            <wp:posOffset>5775960</wp:posOffset>
          </wp:positionH>
          <wp:positionV relativeFrom="paragraph">
            <wp:posOffset>-5360670</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DAE" w:rsidRDefault="00762DAE">
      <w:pPr>
        <w:spacing w:after="0" w:line="240" w:lineRule="auto"/>
      </w:pPr>
      <w:r>
        <w:separator/>
      </w:r>
    </w:p>
  </w:footnote>
  <w:footnote w:type="continuationSeparator" w:id="0">
    <w:p w:rsidR="00762DAE" w:rsidRDefault="00762D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321CC4">
          <w:rPr>
            <w:noProof/>
          </w:rPr>
          <w:t>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321CC4">
          <w:rPr>
            <w:noProof/>
          </w:rPr>
          <w:t>5</w:t>
        </w:r>
        <w:r>
          <w:rPr>
            <w:noProof/>
          </w:rPr>
          <w:fldChar w:fldCharType="end"/>
        </w:r>
      </w:p>
      <w:p w:rsidR="00E61AB6" w:rsidRDefault="00321CC4" w:rsidP="008C74CA">
        <w:pPr>
          <w:pStyle w:val="Encabezado"/>
          <w:jc w:val="center"/>
        </w:pPr>
      </w:p>
    </w:sdtContent>
  </w:sdt>
  <w:p w:rsidR="00E61AB6" w:rsidRDefault="00E61AB6" w:rsidP="00256B01">
    <w:pPr>
      <w:pStyle w:val="Encabezado"/>
      <w:jc w:val="center"/>
    </w:pPr>
  </w:p>
  <w:p w:rsidR="00E61AB6" w:rsidRDefault="001E409A"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-1343025</wp:posOffset>
          </wp:positionH>
          <wp:positionV relativeFrom="paragraph">
            <wp:posOffset>5672455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4C133104"/>
    <w:multiLevelType w:val="hybridMultilevel"/>
    <w:tmpl w:val="18B64F16"/>
    <w:lvl w:ilvl="0" w:tplc="650C120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 w:numId="12">
    <w:abstractNumId w:val="1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2369"/>
    <w:rsid w:val="00012B25"/>
    <w:rsid w:val="0001664B"/>
    <w:rsid w:val="000169A3"/>
    <w:rsid w:val="00017C09"/>
    <w:rsid w:val="00021DF1"/>
    <w:rsid w:val="0002236D"/>
    <w:rsid w:val="00026C11"/>
    <w:rsid w:val="000330FB"/>
    <w:rsid w:val="0003331C"/>
    <w:rsid w:val="00035047"/>
    <w:rsid w:val="00035379"/>
    <w:rsid w:val="00036D01"/>
    <w:rsid w:val="000410A1"/>
    <w:rsid w:val="00041D15"/>
    <w:rsid w:val="00042914"/>
    <w:rsid w:val="00042B31"/>
    <w:rsid w:val="0004575F"/>
    <w:rsid w:val="00045A11"/>
    <w:rsid w:val="00050B7F"/>
    <w:rsid w:val="00050C5A"/>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96C2D"/>
    <w:rsid w:val="000A1494"/>
    <w:rsid w:val="000A4E40"/>
    <w:rsid w:val="000A6360"/>
    <w:rsid w:val="000A6EC7"/>
    <w:rsid w:val="000A7BA9"/>
    <w:rsid w:val="000B020E"/>
    <w:rsid w:val="000B0E70"/>
    <w:rsid w:val="000B1A06"/>
    <w:rsid w:val="000B3B3B"/>
    <w:rsid w:val="000B3F2E"/>
    <w:rsid w:val="000B4122"/>
    <w:rsid w:val="000C0E02"/>
    <w:rsid w:val="000C1F7C"/>
    <w:rsid w:val="000C313C"/>
    <w:rsid w:val="000C3DBF"/>
    <w:rsid w:val="000D0E1D"/>
    <w:rsid w:val="000D1BD0"/>
    <w:rsid w:val="000D29A1"/>
    <w:rsid w:val="000D2FDE"/>
    <w:rsid w:val="000E0D51"/>
    <w:rsid w:val="000E12D3"/>
    <w:rsid w:val="000E218B"/>
    <w:rsid w:val="000E2E24"/>
    <w:rsid w:val="000E322A"/>
    <w:rsid w:val="000E4110"/>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3A30"/>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099A"/>
    <w:rsid w:val="00171831"/>
    <w:rsid w:val="00172205"/>
    <w:rsid w:val="00172B29"/>
    <w:rsid w:val="001761CB"/>
    <w:rsid w:val="00180F55"/>
    <w:rsid w:val="001827CF"/>
    <w:rsid w:val="001843E8"/>
    <w:rsid w:val="00184B23"/>
    <w:rsid w:val="00185C83"/>
    <w:rsid w:val="00190DE9"/>
    <w:rsid w:val="001914B9"/>
    <w:rsid w:val="00191A27"/>
    <w:rsid w:val="00192287"/>
    <w:rsid w:val="00192D2F"/>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973"/>
    <w:rsid w:val="001D0A5A"/>
    <w:rsid w:val="001D2397"/>
    <w:rsid w:val="001D27A6"/>
    <w:rsid w:val="001D3995"/>
    <w:rsid w:val="001D3B81"/>
    <w:rsid w:val="001D68F4"/>
    <w:rsid w:val="001D694C"/>
    <w:rsid w:val="001D730F"/>
    <w:rsid w:val="001D7FCD"/>
    <w:rsid w:val="001E1758"/>
    <w:rsid w:val="001E3B11"/>
    <w:rsid w:val="001E409A"/>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08C3"/>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32AE"/>
    <w:rsid w:val="0029542B"/>
    <w:rsid w:val="00296748"/>
    <w:rsid w:val="002A0B1C"/>
    <w:rsid w:val="002A28E5"/>
    <w:rsid w:val="002A2985"/>
    <w:rsid w:val="002A4088"/>
    <w:rsid w:val="002A411F"/>
    <w:rsid w:val="002A5510"/>
    <w:rsid w:val="002A6940"/>
    <w:rsid w:val="002A6EF0"/>
    <w:rsid w:val="002A72DF"/>
    <w:rsid w:val="002B2AF4"/>
    <w:rsid w:val="002B3CD7"/>
    <w:rsid w:val="002B44A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144E"/>
    <w:rsid w:val="00302511"/>
    <w:rsid w:val="00302C57"/>
    <w:rsid w:val="00303020"/>
    <w:rsid w:val="003032E2"/>
    <w:rsid w:val="00304999"/>
    <w:rsid w:val="0030731D"/>
    <w:rsid w:val="003076B0"/>
    <w:rsid w:val="00307E06"/>
    <w:rsid w:val="00310EFD"/>
    <w:rsid w:val="00312470"/>
    <w:rsid w:val="003124A7"/>
    <w:rsid w:val="00315C76"/>
    <w:rsid w:val="0031730E"/>
    <w:rsid w:val="00321AAB"/>
    <w:rsid w:val="00321C10"/>
    <w:rsid w:val="00321CC4"/>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77FE1"/>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21BA"/>
    <w:rsid w:val="003C3C72"/>
    <w:rsid w:val="003C4A93"/>
    <w:rsid w:val="003C63BE"/>
    <w:rsid w:val="003D1C8C"/>
    <w:rsid w:val="003D1EF2"/>
    <w:rsid w:val="003D5E2A"/>
    <w:rsid w:val="003D707F"/>
    <w:rsid w:val="003D7F85"/>
    <w:rsid w:val="003E0B3C"/>
    <w:rsid w:val="003E0F2A"/>
    <w:rsid w:val="003E14E9"/>
    <w:rsid w:val="003E15CF"/>
    <w:rsid w:val="003E2B2E"/>
    <w:rsid w:val="003E2C06"/>
    <w:rsid w:val="003E4484"/>
    <w:rsid w:val="003E52CC"/>
    <w:rsid w:val="003E5B1E"/>
    <w:rsid w:val="003E5FDE"/>
    <w:rsid w:val="003E7801"/>
    <w:rsid w:val="003E7C2E"/>
    <w:rsid w:val="003E7C91"/>
    <w:rsid w:val="003F0345"/>
    <w:rsid w:val="003F09E7"/>
    <w:rsid w:val="003F47AD"/>
    <w:rsid w:val="003F5E8A"/>
    <w:rsid w:val="003F7035"/>
    <w:rsid w:val="00400164"/>
    <w:rsid w:val="0040457E"/>
    <w:rsid w:val="00404D0E"/>
    <w:rsid w:val="00407B2F"/>
    <w:rsid w:val="00411707"/>
    <w:rsid w:val="00412972"/>
    <w:rsid w:val="0041349D"/>
    <w:rsid w:val="004138D3"/>
    <w:rsid w:val="0041760B"/>
    <w:rsid w:val="004179B2"/>
    <w:rsid w:val="00423A9D"/>
    <w:rsid w:val="00424229"/>
    <w:rsid w:val="00427081"/>
    <w:rsid w:val="00433FAD"/>
    <w:rsid w:val="004407BC"/>
    <w:rsid w:val="00441D6B"/>
    <w:rsid w:val="004426E6"/>
    <w:rsid w:val="00444733"/>
    <w:rsid w:val="00447E3A"/>
    <w:rsid w:val="004503A6"/>
    <w:rsid w:val="00454494"/>
    <w:rsid w:val="004547D3"/>
    <w:rsid w:val="004567C7"/>
    <w:rsid w:val="00457CC7"/>
    <w:rsid w:val="004628A3"/>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A6399"/>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075A"/>
    <w:rsid w:val="00526DC4"/>
    <w:rsid w:val="00527DCF"/>
    <w:rsid w:val="005300DF"/>
    <w:rsid w:val="00531A5A"/>
    <w:rsid w:val="00531A6D"/>
    <w:rsid w:val="00531B0F"/>
    <w:rsid w:val="00531B2A"/>
    <w:rsid w:val="00531DE3"/>
    <w:rsid w:val="00533C34"/>
    <w:rsid w:val="0053422E"/>
    <w:rsid w:val="00534C95"/>
    <w:rsid w:val="0053715D"/>
    <w:rsid w:val="005410B3"/>
    <w:rsid w:val="00541ACF"/>
    <w:rsid w:val="00541B18"/>
    <w:rsid w:val="00542671"/>
    <w:rsid w:val="005443FC"/>
    <w:rsid w:val="00544A76"/>
    <w:rsid w:val="00545D35"/>
    <w:rsid w:val="005478F9"/>
    <w:rsid w:val="0055061B"/>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3428"/>
    <w:rsid w:val="005B74A1"/>
    <w:rsid w:val="005C0B46"/>
    <w:rsid w:val="005C2C8E"/>
    <w:rsid w:val="005C32A7"/>
    <w:rsid w:val="005C3AA7"/>
    <w:rsid w:val="005C414F"/>
    <w:rsid w:val="005C770C"/>
    <w:rsid w:val="005C7C2F"/>
    <w:rsid w:val="005D1684"/>
    <w:rsid w:val="005D1BD9"/>
    <w:rsid w:val="005D2BE8"/>
    <w:rsid w:val="005D3F0B"/>
    <w:rsid w:val="005D411C"/>
    <w:rsid w:val="005D4300"/>
    <w:rsid w:val="005D46E5"/>
    <w:rsid w:val="005D536A"/>
    <w:rsid w:val="005D62CD"/>
    <w:rsid w:val="005D65FC"/>
    <w:rsid w:val="005D74CC"/>
    <w:rsid w:val="005D751A"/>
    <w:rsid w:val="005D786E"/>
    <w:rsid w:val="005E025B"/>
    <w:rsid w:val="005E18B0"/>
    <w:rsid w:val="005E1B22"/>
    <w:rsid w:val="005E245F"/>
    <w:rsid w:val="005E31AD"/>
    <w:rsid w:val="005E3275"/>
    <w:rsid w:val="005E40A8"/>
    <w:rsid w:val="005E5273"/>
    <w:rsid w:val="005E76E1"/>
    <w:rsid w:val="005F0B76"/>
    <w:rsid w:val="005F1575"/>
    <w:rsid w:val="005F35AE"/>
    <w:rsid w:val="006012BD"/>
    <w:rsid w:val="00602086"/>
    <w:rsid w:val="006030E1"/>
    <w:rsid w:val="006031E8"/>
    <w:rsid w:val="0060326D"/>
    <w:rsid w:val="0060423E"/>
    <w:rsid w:val="00605D2B"/>
    <w:rsid w:val="006062DA"/>
    <w:rsid w:val="00607309"/>
    <w:rsid w:val="00607F3D"/>
    <w:rsid w:val="006105BC"/>
    <w:rsid w:val="006108C8"/>
    <w:rsid w:val="00610C46"/>
    <w:rsid w:val="00611349"/>
    <w:rsid w:val="00611746"/>
    <w:rsid w:val="00611DD6"/>
    <w:rsid w:val="006150FB"/>
    <w:rsid w:val="00616F53"/>
    <w:rsid w:val="00620173"/>
    <w:rsid w:val="00621035"/>
    <w:rsid w:val="00621070"/>
    <w:rsid w:val="00630C62"/>
    <w:rsid w:val="00633FA0"/>
    <w:rsid w:val="00634208"/>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603"/>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C3773"/>
    <w:rsid w:val="006D1203"/>
    <w:rsid w:val="006D4142"/>
    <w:rsid w:val="006D42FF"/>
    <w:rsid w:val="006D4B71"/>
    <w:rsid w:val="006D7AAA"/>
    <w:rsid w:val="006E04EF"/>
    <w:rsid w:val="006E19FC"/>
    <w:rsid w:val="006E1B16"/>
    <w:rsid w:val="006E22F2"/>
    <w:rsid w:val="006E27BA"/>
    <w:rsid w:val="006E43D3"/>
    <w:rsid w:val="006E44A9"/>
    <w:rsid w:val="006E6519"/>
    <w:rsid w:val="006F0897"/>
    <w:rsid w:val="006F0D29"/>
    <w:rsid w:val="006F2412"/>
    <w:rsid w:val="006F253C"/>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01E3"/>
    <w:rsid w:val="00752052"/>
    <w:rsid w:val="00752B02"/>
    <w:rsid w:val="00753CA1"/>
    <w:rsid w:val="00755251"/>
    <w:rsid w:val="007568F4"/>
    <w:rsid w:val="007569A2"/>
    <w:rsid w:val="0075724E"/>
    <w:rsid w:val="00762DAE"/>
    <w:rsid w:val="007633A0"/>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A33"/>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078E"/>
    <w:rsid w:val="007C4D7C"/>
    <w:rsid w:val="007C4FC7"/>
    <w:rsid w:val="007C5134"/>
    <w:rsid w:val="007C6CD3"/>
    <w:rsid w:val="007C7870"/>
    <w:rsid w:val="007C7943"/>
    <w:rsid w:val="007C7AD1"/>
    <w:rsid w:val="007D2543"/>
    <w:rsid w:val="007D4645"/>
    <w:rsid w:val="007D4E0F"/>
    <w:rsid w:val="007D55DA"/>
    <w:rsid w:val="007D6D8D"/>
    <w:rsid w:val="007D7972"/>
    <w:rsid w:val="007E1BC3"/>
    <w:rsid w:val="007E32FC"/>
    <w:rsid w:val="007E37BF"/>
    <w:rsid w:val="007E503E"/>
    <w:rsid w:val="007E52F1"/>
    <w:rsid w:val="007E6F05"/>
    <w:rsid w:val="007E7DD4"/>
    <w:rsid w:val="007F125D"/>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23AD6"/>
    <w:rsid w:val="0083002A"/>
    <w:rsid w:val="00830884"/>
    <w:rsid w:val="00831537"/>
    <w:rsid w:val="00832757"/>
    <w:rsid w:val="00832BFA"/>
    <w:rsid w:val="00832FE5"/>
    <w:rsid w:val="0083489B"/>
    <w:rsid w:val="0084114B"/>
    <w:rsid w:val="00841573"/>
    <w:rsid w:val="00841CA9"/>
    <w:rsid w:val="00842ED4"/>
    <w:rsid w:val="00845EA4"/>
    <w:rsid w:val="00847A1D"/>
    <w:rsid w:val="00847F39"/>
    <w:rsid w:val="008550F0"/>
    <w:rsid w:val="00855650"/>
    <w:rsid w:val="00855B19"/>
    <w:rsid w:val="008561AA"/>
    <w:rsid w:val="008572F6"/>
    <w:rsid w:val="00857BD3"/>
    <w:rsid w:val="00860037"/>
    <w:rsid w:val="00860FEF"/>
    <w:rsid w:val="008618D9"/>
    <w:rsid w:val="0086361E"/>
    <w:rsid w:val="008649E5"/>
    <w:rsid w:val="00864F72"/>
    <w:rsid w:val="00866679"/>
    <w:rsid w:val="0086740D"/>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542F"/>
    <w:rsid w:val="00897C9D"/>
    <w:rsid w:val="008A20F1"/>
    <w:rsid w:val="008A2A09"/>
    <w:rsid w:val="008A47B2"/>
    <w:rsid w:val="008A5670"/>
    <w:rsid w:val="008A6B4E"/>
    <w:rsid w:val="008B02EC"/>
    <w:rsid w:val="008B073B"/>
    <w:rsid w:val="008B1D4F"/>
    <w:rsid w:val="008B2E64"/>
    <w:rsid w:val="008B2FDE"/>
    <w:rsid w:val="008B4B2E"/>
    <w:rsid w:val="008B4EBC"/>
    <w:rsid w:val="008B5E35"/>
    <w:rsid w:val="008C297E"/>
    <w:rsid w:val="008C380D"/>
    <w:rsid w:val="008C508D"/>
    <w:rsid w:val="008C74CA"/>
    <w:rsid w:val="008D04B8"/>
    <w:rsid w:val="008D1236"/>
    <w:rsid w:val="008D38EC"/>
    <w:rsid w:val="008E1E39"/>
    <w:rsid w:val="008E215F"/>
    <w:rsid w:val="008E4231"/>
    <w:rsid w:val="008E586E"/>
    <w:rsid w:val="008E5A8E"/>
    <w:rsid w:val="008E5DC8"/>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4D6B"/>
    <w:rsid w:val="009159DA"/>
    <w:rsid w:val="00920D15"/>
    <w:rsid w:val="009210A6"/>
    <w:rsid w:val="009233B3"/>
    <w:rsid w:val="00926FCD"/>
    <w:rsid w:val="00926FD4"/>
    <w:rsid w:val="00927607"/>
    <w:rsid w:val="00931E3D"/>
    <w:rsid w:val="0094005B"/>
    <w:rsid w:val="00943709"/>
    <w:rsid w:val="00943B62"/>
    <w:rsid w:val="009443A6"/>
    <w:rsid w:val="00945C2C"/>
    <w:rsid w:val="0094607A"/>
    <w:rsid w:val="00947785"/>
    <w:rsid w:val="00956CD1"/>
    <w:rsid w:val="009622E2"/>
    <w:rsid w:val="009623FA"/>
    <w:rsid w:val="00963968"/>
    <w:rsid w:val="00964969"/>
    <w:rsid w:val="00964A87"/>
    <w:rsid w:val="00964BF0"/>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6AA4"/>
    <w:rsid w:val="009D7058"/>
    <w:rsid w:val="009E0336"/>
    <w:rsid w:val="009E10EC"/>
    <w:rsid w:val="009E3A9A"/>
    <w:rsid w:val="009E5841"/>
    <w:rsid w:val="009E7213"/>
    <w:rsid w:val="009E7F4B"/>
    <w:rsid w:val="009F50FA"/>
    <w:rsid w:val="00A022D9"/>
    <w:rsid w:val="00A033BB"/>
    <w:rsid w:val="00A0357E"/>
    <w:rsid w:val="00A045F4"/>
    <w:rsid w:val="00A05B4F"/>
    <w:rsid w:val="00A10387"/>
    <w:rsid w:val="00A14761"/>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096F"/>
    <w:rsid w:val="00A51216"/>
    <w:rsid w:val="00A5314A"/>
    <w:rsid w:val="00A55BA3"/>
    <w:rsid w:val="00A57F60"/>
    <w:rsid w:val="00A61A6E"/>
    <w:rsid w:val="00A65B8D"/>
    <w:rsid w:val="00A67424"/>
    <w:rsid w:val="00A703CE"/>
    <w:rsid w:val="00A7188F"/>
    <w:rsid w:val="00A7216C"/>
    <w:rsid w:val="00A75E55"/>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97B3E"/>
    <w:rsid w:val="00AA0100"/>
    <w:rsid w:val="00AA0A4A"/>
    <w:rsid w:val="00AA27AB"/>
    <w:rsid w:val="00AA29E9"/>
    <w:rsid w:val="00AA38C5"/>
    <w:rsid w:val="00AA3C93"/>
    <w:rsid w:val="00AA3DF2"/>
    <w:rsid w:val="00AA512C"/>
    <w:rsid w:val="00AB00F1"/>
    <w:rsid w:val="00AB0764"/>
    <w:rsid w:val="00AB10A6"/>
    <w:rsid w:val="00AB19C6"/>
    <w:rsid w:val="00AB1E7B"/>
    <w:rsid w:val="00AB213D"/>
    <w:rsid w:val="00AB4741"/>
    <w:rsid w:val="00AB559F"/>
    <w:rsid w:val="00AB628D"/>
    <w:rsid w:val="00AB641E"/>
    <w:rsid w:val="00AC1530"/>
    <w:rsid w:val="00AC1D64"/>
    <w:rsid w:val="00AC2BA3"/>
    <w:rsid w:val="00AC50FD"/>
    <w:rsid w:val="00AD1E25"/>
    <w:rsid w:val="00AD38ED"/>
    <w:rsid w:val="00AD4282"/>
    <w:rsid w:val="00AD77FD"/>
    <w:rsid w:val="00AE1A7A"/>
    <w:rsid w:val="00AE4894"/>
    <w:rsid w:val="00AE5AC8"/>
    <w:rsid w:val="00AE6C12"/>
    <w:rsid w:val="00AF32D8"/>
    <w:rsid w:val="00AF6174"/>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55F21"/>
    <w:rsid w:val="00B606D6"/>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9CD"/>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077BB"/>
    <w:rsid w:val="00C11344"/>
    <w:rsid w:val="00C12055"/>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3ADF"/>
    <w:rsid w:val="00C446B2"/>
    <w:rsid w:val="00C45315"/>
    <w:rsid w:val="00C46DE0"/>
    <w:rsid w:val="00C52510"/>
    <w:rsid w:val="00C52BDC"/>
    <w:rsid w:val="00C539E3"/>
    <w:rsid w:val="00C55168"/>
    <w:rsid w:val="00C56885"/>
    <w:rsid w:val="00C57680"/>
    <w:rsid w:val="00C57997"/>
    <w:rsid w:val="00C57C9F"/>
    <w:rsid w:val="00C57DE8"/>
    <w:rsid w:val="00C607C9"/>
    <w:rsid w:val="00C6230B"/>
    <w:rsid w:val="00C625C8"/>
    <w:rsid w:val="00C669B9"/>
    <w:rsid w:val="00C70AD4"/>
    <w:rsid w:val="00C70DE3"/>
    <w:rsid w:val="00C72D55"/>
    <w:rsid w:val="00C732C5"/>
    <w:rsid w:val="00C734EC"/>
    <w:rsid w:val="00C747C2"/>
    <w:rsid w:val="00C80261"/>
    <w:rsid w:val="00C80FE1"/>
    <w:rsid w:val="00C811FA"/>
    <w:rsid w:val="00C8246A"/>
    <w:rsid w:val="00C830CA"/>
    <w:rsid w:val="00C83120"/>
    <w:rsid w:val="00C836D2"/>
    <w:rsid w:val="00C8387E"/>
    <w:rsid w:val="00C83BAB"/>
    <w:rsid w:val="00C84197"/>
    <w:rsid w:val="00C84663"/>
    <w:rsid w:val="00C904A0"/>
    <w:rsid w:val="00C9115E"/>
    <w:rsid w:val="00C9167C"/>
    <w:rsid w:val="00C926A1"/>
    <w:rsid w:val="00C9405A"/>
    <w:rsid w:val="00C94AA0"/>
    <w:rsid w:val="00C94C27"/>
    <w:rsid w:val="00C95207"/>
    <w:rsid w:val="00C962CF"/>
    <w:rsid w:val="00CA1B76"/>
    <w:rsid w:val="00CA4468"/>
    <w:rsid w:val="00CA4E8C"/>
    <w:rsid w:val="00CA6573"/>
    <w:rsid w:val="00CA7887"/>
    <w:rsid w:val="00CB1B3A"/>
    <w:rsid w:val="00CB27A4"/>
    <w:rsid w:val="00CB621B"/>
    <w:rsid w:val="00CB65EC"/>
    <w:rsid w:val="00CB6E8A"/>
    <w:rsid w:val="00CC1DB1"/>
    <w:rsid w:val="00CC7CEF"/>
    <w:rsid w:val="00CD0468"/>
    <w:rsid w:val="00CD1491"/>
    <w:rsid w:val="00CD5B46"/>
    <w:rsid w:val="00CD64C9"/>
    <w:rsid w:val="00CD64DE"/>
    <w:rsid w:val="00CD6EC0"/>
    <w:rsid w:val="00CE50AD"/>
    <w:rsid w:val="00CE5195"/>
    <w:rsid w:val="00CE51E4"/>
    <w:rsid w:val="00CF10FC"/>
    <w:rsid w:val="00CF1E45"/>
    <w:rsid w:val="00CF5631"/>
    <w:rsid w:val="00CF6971"/>
    <w:rsid w:val="00CF7993"/>
    <w:rsid w:val="00D00905"/>
    <w:rsid w:val="00D00AC1"/>
    <w:rsid w:val="00D014AF"/>
    <w:rsid w:val="00D03926"/>
    <w:rsid w:val="00D03B93"/>
    <w:rsid w:val="00D1093F"/>
    <w:rsid w:val="00D10E5C"/>
    <w:rsid w:val="00D12214"/>
    <w:rsid w:val="00D12D3B"/>
    <w:rsid w:val="00D154BF"/>
    <w:rsid w:val="00D1598E"/>
    <w:rsid w:val="00D16225"/>
    <w:rsid w:val="00D16547"/>
    <w:rsid w:val="00D2010F"/>
    <w:rsid w:val="00D20368"/>
    <w:rsid w:val="00D22035"/>
    <w:rsid w:val="00D24260"/>
    <w:rsid w:val="00D2489A"/>
    <w:rsid w:val="00D24BE6"/>
    <w:rsid w:val="00D25099"/>
    <w:rsid w:val="00D25F12"/>
    <w:rsid w:val="00D309C0"/>
    <w:rsid w:val="00D33C66"/>
    <w:rsid w:val="00D34A5A"/>
    <w:rsid w:val="00D35A50"/>
    <w:rsid w:val="00D35BF1"/>
    <w:rsid w:val="00D3635F"/>
    <w:rsid w:val="00D378CF"/>
    <w:rsid w:val="00D37E6E"/>
    <w:rsid w:val="00D434D5"/>
    <w:rsid w:val="00D43BA6"/>
    <w:rsid w:val="00D44218"/>
    <w:rsid w:val="00D4494B"/>
    <w:rsid w:val="00D45843"/>
    <w:rsid w:val="00D50C63"/>
    <w:rsid w:val="00D5482F"/>
    <w:rsid w:val="00D566F5"/>
    <w:rsid w:val="00D56752"/>
    <w:rsid w:val="00D56F54"/>
    <w:rsid w:val="00D5720A"/>
    <w:rsid w:val="00D57960"/>
    <w:rsid w:val="00D62375"/>
    <w:rsid w:val="00D63A6F"/>
    <w:rsid w:val="00D70AB8"/>
    <w:rsid w:val="00D70D48"/>
    <w:rsid w:val="00D7104A"/>
    <w:rsid w:val="00D718E2"/>
    <w:rsid w:val="00D723E9"/>
    <w:rsid w:val="00D73B5B"/>
    <w:rsid w:val="00D73D39"/>
    <w:rsid w:val="00D74FDC"/>
    <w:rsid w:val="00D81285"/>
    <w:rsid w:val="00D81429"/>
    <w:rsid w:val="00D82506"/>
    <w:rsid w:val="00D871A9"/>
    <w:rsid w:val="00D9154A"/>
    <w:rsid w:val="00D91AF2"/>
    <w:rsid w:val="00D927CA"/>
    <w:rsid w:val="00D93271"/>
    <w:rsid w:val="00D942A7"/>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1EB5"/>
    <w:rsid w:val="00DE2129"/>
    <w:rsid w:val="00DE28BF"/>
    <w:rsid w:val="00DE44E9"/>
    <w:rsid w:val="00DE4A89"/>
    <w:rsid w:val="00DE5048"/>
    <w:rsid w:val="00DE6690"/>
    <w:rsid w:val="00DE7637"/>
    <w:rsid w:val="00DF09B8"/>
    <w:rsid w:val="00DF15EE"/>
    <w:rsid w:val="00DF2313"/>
    <w:rsid w:val="00DF53EA"/>
    <w:rsid w:val="00E006B6"/>
    <w:rsid w:val="00E013E9"/>
    <w:rsid w:val="00E02840"/>
    <w:rsid w:val="00E02932"/>
    <w:rsid w:val="00E0313D"/>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4392"/>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87733"/>
    <w:rsid w:val="00E90E54"/>
    <w:rsid w:val="00E91FF2"/>
    <w:rsid w:val="00E94929"/>
    <w:rsid w:val="00E94FF3"/>
    <w:rsid w:val="00E9514D"/>
    <w:rsid w:val="00EA0F7F"/>
    <w:rsid w:val="00EA2C19"/>
    <w:rsid w:val="00EA379C"/>
    <w:rsid w:val="00EA37E1"/>
    <w:rsid w:val="00EA3C9C"/>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9CB"/>
    <w:rsid w:val="00ED2E55"/>
    <w:rsid w:val="00ED54D9"/>
    <w:rsid w:val="00ED5DDA"/>
    <w:rsid w:val="00ED7D48"/>
    <w:rsid w:val="00EE1352"/>
    <w:rsid w:val="00EE3E2A"/>
    <w:rsid w:val="00EE46B7"/>
    <w:rsid w:val="00EE480B"/>
    <w:rsid w:val="00EE695C"/>
    <w:rsid w:val="00EF363A"/>
    <w:rsid w:val="00F0156D"/>
    <w:rsid w:val="00F02AED"/>
    <w:rsid w:val="00F02DE0"/>
    <w:rsid w:val="00F053FC"/>
    <w:rsid w:val="00F06CB3"/>
    <w:rsid w:val="00F079CC"/>
    <w:rsid w:val="00F07A83"/>
    <w:rsid w:val="00F07FC2"/>
    <w:rsid w:val="00F12336"/>
    <w:rsid w:val="00F123A4"/>
    <w:rsid w:val="00F13DD5"/>
    <w:rsid w:val="00F14813"/>
    <w:rsid w:val="00F1519C"/>
    <w:rsid w:val="00F16359"/>
    <w:rsid w:val="00F20C21"/>
    <w:rsid w:val="00F21698"/>
    <w:rsid w:val="00F24A07"/>
    <w:rsid w:val="00F2514D"/>
    <w:rsid w:val="00F277ED"/>
    <w:rsid w:val="00F27F68"/>
    <w:rsid w:val="00F321E1"/>
    <w:rsid w:val="00F3568E"/>
    <w:rsid w:val="00F35DBE"/>
    <w:rsid w:val="00F36D77"/>
    <w:rsid w:val="00F370E1"/>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654C4"/>
    <w:rsid w:val="00F668B1"/>
    <w:rsid w:val="00F72E7B"/>
    <w:rsid w:val="00F7450D"/>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3C8"/>
    <w:rsid w:val="00FA0F1F"/>
    <w:rsid w:val="00FA17DB"/>
    <w:rsid w:val="00FA26F7"/>
    <w:rsid w:val="00FA3C84"/>
    <w:rsid w:val="00FA4E53"/>
    <w:rsid w:val="00FA5C27"/>
    <w:rsid w:val="00FB0E2A"/>
    <w:rsid w:val="00FB1E09"/>
    <w:rsid w:val="00FB4039"/>
    <w:rsid w:val="00FB409B"/>
    <w:rsid w:val="00FB4892"/>
    <w:rsid w:val="00FB6C65"/>
    <w:rsid w:val="00FB6DF3"/>
    <w:rsid w:val="00FC0ED3"/>
    <w:rsid w:val="00FC1289"/>
    <w:rsid w:val="00FC15D5"/>
    <w:rsid w:val="00FC28C0"/>
    <w:rsid w:val="00FC397B"/>
    <w:rsid w:val="00FC479D"/>
    <w:rsid w:val="00FC6AFB"/>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2D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rsid w:val="00620173"/>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20173"/>
    <w:rPr>
      <w:rFonts w:ascii="Arial" w:eastAsia="Times New Roman" w:hAnsi="Arial" w:cs="Times New Roman"/>
      <w:sz w:val="30"/>
      <w:szCs w:val="20"/>
      <w:lang w:val="es-ES_tradnl" w:eastAsia="es-ES"/>
    </w:rPr>
  </w:style>
  <w:style w:type="character" w:customStyle="1" w:styleId="red">
    <w:name w:val="red"/>
    <w:basedOn w:val="Fuentedeprrafopredeter"/>
    <w:rsid w:val="003E14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2D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rsid w:val="00620173"/>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20173"/>
    <w:rPr>
      <w:rFonts w:ascii="Arial" w:eastAsia="Times New Roman" w:hAnsi="Arial" w:cs="Times New Roman"/>
      <w:sz w:val="30"/>
      <w:szCs w:val="20"/>
      <w:lang w:val="es-ES_tradnl" w:eastAsia="es-ES"/>
    </w:rPr>
  </w:style>
  <w:style w:type="character" w:customStyle="1" w:styleId="red">
    <w:name w:val="red"/>
    <w:basedOn w:val="Fuentedeprrafopredeter"/>
    <w:rsid w:val="003E1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23093">
      <w:bodyDiv w:val="1"/>
      <w:marLeft w:val="0"/>
      <w:marRight w:val="0"/>
      <w:marTop w:val="0"/>
      <w:marBottom w:val="0"/>
      <w:divBdr>
        <w:top w:val="none" w:sz="0" w:space="0" w:color="auto"/>
        <w:left w:val="none" w:sz="0" w:space="0" w:color="auto"/>
        <w:bottom w:val="none" w:sz="0" w:space="0" w:color="auto"/>
        <w:right w:val="none" w:sz="0" w:space="0" w:color="auto"/>
      </w:divBdr>
      <w:divsChild>
        <w:div w:id="1197036357">
          <w:marLeft w:val="0"/>
          <w:marRight w:val="0"/>
          <w:marTop w:val="0"/>
          <w:marBottom w:val="40"/>
          <w:divBdr>
            <w:top w:val="none" w:sz="0" w:space="0" w:color="auto"/>
            <w:left w:val="none" w:sz="0" w:space="0" w:color="auto"/>
            <w:bottom w:val="none" w:sz="0" w:space="0" w:color="auto"/>
            <w:right w:val="none" w:sz="0" w:space="0" w:color="auto"/>
          </w:divBdr>
        </w:div>
        <w:div w:id="791047889">
          <w:marLeft w:val="0"/>
          <w:marRight w:val="0"/>
          <w:marTop w:val="0"/>
          <w:marBottom w:val="68"/>
          <w:divBdr>
            <w:top w:val="none" w:sz="0" w:space="0" w:color="auto"/>
            <w:left w:val="none" w:sz="0" w:space="0" w:color="auto"/>
            <w:bottom w:val="none" w:sz="0" w:space="0" w:color="auto"/>
            <w:right w:val="none" w:sz="0" w:space="0" w:color="auto"/>
          </w:divBdr>
        </w:div>
      </w:divsChild>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64404024">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8542954">
      <w:bodyDiv w:val="1"/>
      <w:marLeft w:val="0"/>
      <w:marRight w:val="0"/>
      <w:marTop w:val="0"/>
      <w:marBottom w:val="0"/>
      <w:divBdr>
        <w:top w:val="none" w:sz="0" w:space="0" w:color="auto"/>
        <w:left w:val="none" w:sz="0" w:space="0" w:color="auto"/>
        <w:bottom w:val="none" w:sz="0" w:space="0" w:color="auto"/>
        <w:right w:val="none" w:sz="0" w:space="0" w:color="auto"/>
      </w:divBdr>
    </w:div>
    <w:div w:id="1226645708">
      <w:bodyDiv w:val="1"/>
      <w:marLeft w:val="0"/>
      <w:marRight w:val="0"/>
      <w:marTop w:val="0"/>
      <w:marBottom w:val="0"/>
      <w:divBdr>
        <w:top w:val="none" w:sz="0" w:space="0" w:color="auto"/>
        <w:left w:val="none" w:sz="0" w:space="0" w:color="auto"/>
        <w:bottom w:val="none" w:sz="0" w:space="0" w:color="auto"/>
        <w:right w:val="none" w:sz="0" w:space="0" w:color="auto"/>
      </w:divBdr>
      <w:divsChild>
        <w:div w:id="285698288">
          <w:marLeft w:val="0"/>
          <w:marRight w:val="0"/>
          <w:marTop w:val="0"/>
          <w:marBottom w:val="68"/>
          <w:divBdr>
            <w:top w:val="none" w:sz="0" w:space="0" w:color="auto"/>
            <w:left w:val="none" w:sz="0" w:space="0" w:color="auto"/>
            <w:bottom w:val="none" w:sz="0" w:space="0" w:color="auto"/>
            <w:right w:val="none" w:sz="0" w:space="0" w:color="auto"/>
          </w:divBdr>
        </w:div>
        <w:div w:id="2000494242">
          <w:marLeft w:val="0"/>
          <w:marRight w:val="0"/>
          <w:marTop w:val="0"/>
          <w:marBottom w:val="68"/>
          <w:divBdr>
            <w:top w:val="none" w:sz="0" w:space="0" w:color="auto"/>
            <w:left w:val="none" w:sz="0" w:space="0" w:color="auto"/>
            <w:bottom w:val="none" w:sz="0" w:space="0" w:color="auto"/>
            <w:right w:val="none" w:sz="0" w:space="0" w:color="auto"/>
          </w:divBdr>
        </w:div>
        <w:div w:id="1164469533">
          <w:marLeft w:val="0"/>
          <w:marRight w:val="0"/>
          <w:marTop w:val="0"/>
          <w:marBottom w:val="68"/>
          <w:divBdr>
            <w:top w:val="none" w:sz="0" w:space="0" w:color="auto"/>
            <w:left w:val="none" w:sz="0" w:space="0" w:color="auto"/>
            <w:bottom w:val="none" w:sz="0" w:space="0" w:color="auto"/>
            <w:right w:val="none" w:sz="0" w:space="0" w:color="auto"/>
          </w:divBdr>
        </w:div>
        <w:div w:id="894701839">
          <w:marLeft w:val="0"/>
          <w:marRight w:val="0"/>
          <w:marTop w:val="0"/>
          <w:marBottom w:val="68"/>
          <w:divBdr>
            <w:top w:val="none" w:sz="0" w:space="0" w:color="auto"/>
            <w:left w:val="none" w:sz="0" w:space="0" w:color="auto"/>
            <w:bottom w:val="none" w:sz="0" w:space="0" w:color="auto"/>
            <w:right w:val="none" w:sz="0" w:space="0" w:color="auto"/>
          </w:divBdr>
        </w:div>
        <w:div w:id="45419318">
          <w:marLeft w:val="0"/>
          <w:marRight w:val="0"/>
          <w:marTop w:val="0"/>
          <w:marBottom w:val="68"/>
          <w:divBdr>
            <w:top w:val="none" w:sz="0" w:space="0" w:color="auto"/>
            <w:left w:val="none" w:sz="0" w:space="0" w:color="auto"/>
            <w:bottom w:val="none" w:sz="0" w:space="0" w:color="auto"/>
            <w:right w:val="none" w:sz="0" w:space="0" w:color="auto"/>
          </w:divBdr>
        </w:div>
        <w:div w:id="447821893">
          <w:marLeft w:val="0"/>
          <w:marRight w:val="0"/>
          <w:marTop w:val="0"/>
          <w:marBottom w:val="68"/>
          <w:divBdr>
            <w:top w:val="none" w:sz="0" w:space="0" w:color="auto"/>
            <w:left w:val="none" w:sz="0" w:space="0" w:color="auto"/>
            <w:bottom w:val="none" w:sz="0" w:space="0" w:color="auto"/>
            <w:right w:val="none" w:sz="0" w:space="0" w:color="auto"/>
          </w:divBdr>
        </w:div>
        <w:div w:id="1305349623">
          <w:marLeft w:val="0"/>
          <w:marRight w:val="0"/>
          <w:marTop w:val="0"/>
          <w:marBottom w:val="68"/>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361858383">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956063428">
      <w:bodyDiv w:val="1"/>
      <w:marLeft w:val="0"/>
      <w:marRight w:val="0"/>
      <w:marTop w:val="0"/>
      <w:marBottom w:val="0"/>
      <w:divBdr>
        <w:top w:val="none" w:sz="0" w:space="0" w:color="auto"/>
        <w:left w:val="none" w:sz="0" w:space="0" w:color="auto"/>
        <w:bottom w:val="none" w:sz="0" w:space="0" w:color="auto"/>
        <w:right w:val="none" w:sz="0" w:space="0" w:color="auto"/>
      </w:divBdr>
      <w:divsChild>
        <w:div w:id="1346127229">
          <w:marLeft w:val="0"/>
          <w:marRight w:val="0"/>
          <w:marTop w:val="0"/>
          <w:marBottom w:val="0"/>
          <w:divBdr>
            <w:top w:val="none" w:sz="0" w:space="0" w:color="auto"/>
            <w:left w:val="none" w:sz="0" w:space="0" w:color="auto"/>
            <w:bottom w:val="none" w:sz="0" w:space="0" w:color="auto"/>
            <w:right w:val="none" w:sz="0" w:space="0" w:color="auto"/>
          </w:divBdr>
        </w:div>
      </w:divsChild>
    </w:div>
    <w:div w:id="2022657815">
      <w:bodyDiv w:val="1"/>
      <w:marLeft w:val="0"/>
      <w:marRight w:val="0"/>
      <w:marTop w:val="0"/>
      <w:marBottom w:val="0"/>
      <w:divBdr>
        <w:top w:val="none" w:sz="0" w:space="0" w:color="auto"/>
        <w:left w:val="none" w:sz="0" w:space="0" w:color="auto"/>
        <w:bottom w:val="none" w:sz="0" w:space="0" w:color="auto"/>
        <w:right w:val="none" w:sz="0" w:space="0" w:color="auto"/>
      </w:divBdr>
      <w:divsChild>
        <w:div w:id="2022775465">
          <w:marLeft w:val="0"/>
          <w:marRight w:val="0"/>
          <w:marTop w:val="0"/>
          <w:marBottom w:val="68"/>
          <w:divBdr>
            <w:top w:val="none" w:sz="0" w:space="0" w:color="auto"/>
            <w:left w:val="none" w:sz="0" w:space="0" w:color="auto"/>
            <w:bottom w:val="none" w:sz="0" w:space="0" w:color="auto"/>
            <w:right w:val="none" w:sz="0" w:space="0" w:color="auto"/>
          </w:divBdr>
        </w:div>
        <w:div w:id="1401364823">
          <w:marLeft w:val="0"/>
          <w:marRight w:val="0"/>
          <w:marTop w:val="0"/>
          <w:marBottom w:val="40"/>
          <w:divBdr>
            <w:top w:val="none" w:sz="0" w:space="0" w:color="auto"/>
            <w:left w:val="none" w:sz="0" w:space="0" w:color="auto"/>
            <w:bottom w:val="none" w:sz="0" w:space="0" w:color="auto"/>
            <w:right w:val="none" w:sz="0" w:space="0" w:color="auto"/>
          </w:divBdr>
        </w:div>
        <w:div w:id="467211471">
          <w:marLeft w:val="0"/>
          <w:marRight w:val="0"/>
          <w:marTop w:val="0"/>
          <w:marBottom w:val="80"/>
          <w:divBdr>
            <w:top w:val="none" w:sz="0" w:space="0" w:color="auto"/>
            <w:left w:val="none" w:sz="0" w:space="0" w:color="auto"/>
            <w:bottom w:val="none" w:sz="0" w:space="0" w:color="auto"/>
            <w:right w:val="none" w:sz="0" w:space="0" w:color="auto"/>
          </w:divBdr>
        </w:div>
        <w:div w:id="1174564631">
          <w:marLeft w:val="0"/>
          <w:marRight w:val="0"/>
          <w:marTop w:val="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5DBFF-52DC-49F6-AA47-6CD508966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1585</Words>
  <Characters>8723</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12</cp:revision>
  <cp:lastPrinted>2018-12-11T18:26:00Z</cp:lastPrinted>
  <dcterms:created xsi:type="dcterms:W3CDTF">2018-11-21T22:02:00Z</dcterms:created>
  <dcterms:modified xsi:type="dcterms:W3CDTF">2019-02-05T16:10:00Z</dcterms:modified>
</cp:coreProperties>
</file>