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9C9" w:rsidRPr="007B0581" w:rsidRDefault="002E79C9" w:rsidP="002E79C9">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2E79C9" w:rsidRPr="007B0581" w:rsidRDefault="002E79C9" w:rsidP="002E79C9">
      <w:pPr>
        <w:pStyle w:val="corte4fondo"/>
        <w:spacing w:line="276" w:lineRule="auto"/>
        <w:ind w:left="3544" w:right="-521" w:firstLine="0"/>
        <w:rPr>
          <w:rFonts w:cs="Arial"/>
          <w:b/>
          <w:sz w:val="24"/>
          <w:szCs w:val="24"/>
        </w:rPr>
      </w:pPr>
    </w:p>
    <w:p w:rsidR="002E79C9" w:rsidRPr="007B0581" w:rsidRDefault="002E79C9" w:rsidP="002E79C9">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008</w:t>
      </w:r>
      <w:r w:rsidRPr="007B0581">
        <w:rPr>
          <w:rFonts w:cs="Arial"/>
          <w:b/>
          <w:bCs/>
          <w:sz w:val="24"/>
          <w:szCs w:val="24"/>
        </w:rPr>
        <w:t>/20</w:t>
      </w:r>
      <w:r>
        <w:rPr>
          <w:rFonts w:cs="Arial"/>
          <w:b/>
          <w:bCs/>
          <w:sz w:val="24"/>
          <w:szCs w:val="24"/>
        </w:rPr>
        <w:t>20</w:t>
      </w:r>
      <w:r w:rsidRPr="007B0581">
        <w:rPr>
          <w:rFonts w:cs="Arial"/>
          <w:sz w:val="24"/>
          <w:szCs w:val="24"/>
        </w:rPr>
        <w:t xml:space="preserve">. </w:t>
      </w:r>
    </w:p>
    <w:p w:rsidR="002E79C9" w:rsidRPr="007B0581" w:rsidRDefault="002E79C9" w:rsidP="002E79C9">
      <w:pPr>
        <w:pStyle w:val="corte4fondo"/>
        <w:spacing w:line="276" w:lineRule="auto"/>
        <w:ind w:left="3544" w:right="-521" w:firstLine="0"/>
        <w:rPr>
          <w:rFonts w:cs="Arial"/>
          <w:sz w:val="24"/>
          <w:szCs w:val="24"/>
        </w:rPr>
      </w:pPr>
    </w:p>
    <w:p w:rsidR="002E79C9" w:rsidRPr="007B0581" w:rsidRDefault="002E79C9" w:rsidP="002E79C9">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w:t>
      </w:r>
    </w:p>
    <w:p w:rsidR="002E79C9" w:rsidRPr="007B0581" w:rsidRDefault="002E79C9" w:rsidP="002E79C9">
      <w:pPr>
        <w:pStyle w:val="corte4fondo"/>
        <w:spacing w:line="276" w:lineRule="auto"/>
        <w:ind w:left="3544" w:right="-521" w:firstLine="0"/>
        <w:rPr>
          <w:rFonts w:cs="Arial"/>
          <w:b/>
          <w:i/>
          <w:sz w:val="24"/>
          <w:szCs w:val="24"/>
        </w:rPr>
      </w:pPr>
      <w:r w:rsidRPr="007B0581">
        <w:rPr>
          <w:rFonts w:cs="Arial"/>
          <w:b/>
          <w:i/>
          <w:sz w:val="24"/>
          <w:szCs w:val="24"/>
        </w:rPr>
        <w:t xml:space="preserve"> </w:t>
      </w:r>
    </w:p>
    <w:p w:rsidR="002E79C9" w:rsidRPr="007B0581" w:rsidRDefault="002E79C9" w:rsidP="002E79C9">
      <w:pPr>
        <w:pStyle w:val="corte4fondo"/>
        <w:spacing w:line="276" w:lineRule="auto"/>
        <w:ind w:left="3544" w:right="51" w:firstLine="0"/>
        <w:rPr>
          <w:rFonts w:cs="Arial"/>
          <w:bCs/>
          <w:sz w:val="24"/>
          <w:szCs w:val="24"/>
        </w:rPr>
      </w:pPr>
      <w:r w:rsidRPr="007B0581">
        <w:rPr>
          <w:rFonts w:cs="Arial"/>
          <w:b/>
          <w:sz w:val="24"/>
          <w:szCs w:val="24"/>
        </w:rPr>
        <w:t>AUTORIDAD DEMANDAD</w:t>
      </w:r>
      <w:r>
        <w:rPr>
          <w:rFonts w:cs="Arial"/>
          <w:b/>
          <w:sz w:val="24"/>
          <w:szCs w:val="24"/>
        </w:rPr>
        <w:t>A</w:t>
      </w:r>
      <w:r w:rsidRPr="007B0581">
        <w:rPr>
          <w:rFonts w:cs="Arial"/>
          <w:b/>
          <w:sz w:val="24"/>
          <w:szCs w:val="24"/>
        </w:rPr>
        <w:t>:</w:t>
      </w:r>
      <w:r>
        <w:rPr>
          <w:rFonts w:cs="Arial"/>
          <w:b/>
          <w:sz w:val="24"/>
          <w:szCs w:val="24"/>
        </w:rPr>
        <w:t xml:space="preserve"> JEFE DE LA UNIDAD JURÍDICA DEL INSTITUTO CATASTRAL DEL ESTADO DE OAXACA.</w:t>
      </w:r>
    </w:p>
    <w:p w:rsidR="002E79C9" w:rsidRPr="007B0581" w:rsidRDefault="002E79C9" w:rsidP="002E79C9">
      <w:pPr>
        <w:pStyle w:val="corte4fondo"/>
        <w:spacing w:line="276" w:lineRule="auto"/>
        <w:ind w:left="3544" w:right="51" w:firstLine="0"/>
        <w:rPr>
          <w:rFonts w:cs="Arial"/>
          <w:bCs/>
          <w:sz w:val="24"/>
          <w:szCs w:val="24"/>
        </w:rPr>
      </w:pPr>
    </w:p>
    <w:p w:rsidR="002E79C9" w:rsidRPr="007B0581" w:rsidRDefault="002E79C9" w:rsidP="002E79C9">
      <w:pPr>
        <w:pStyle w:val="corte4fondo"/>
        <w:spacing w:line="276" w:lineRule="auto"/>
        <w:ind w:left="3544" w:right="51" w:firstLine="0"/>
        <w:rPr>
          <w:rFonts w:cs="Arial"/>
          <w:bCs/>
          <w:sz w:val="24"/>
          <w:szCs w:val="24"/>
        </w:rPr>
      </w:pPr>
    </w:p>
    <w:p w:rsidR="002E79C9" w:rsidRDefault="002E79C9" w:rsidP="002E79C9">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VEINTICUATRO DE MARZO</w:t>
      </w:r>
      <w:r w:rsidRPr="007B0581">
        <w:rPr>
          <w:rFonts w:ascii="Arial" w:hAnsi="Arial" w:cs="Arial"/>
          <w:b/>
          <w:sz w:val="24"/>
          <w:szCs w:val="24"/>
        </w:rPr>
        <w:t xml:space="preserve"> DE DOS MIL </w:t>
      </w:r>
      <w:r>
        <w:rPr>
          <w:rFonts w:ascii="Arial" w:hAnsi="Arial" w:cs="Arial"/>
          <w:b/>
          <w:sz w:val="24"/>
          <w:szCs w:val="24"/>
        </w:rPr>
        <w:t>VEINTITRÉS</w:t>
      </w:r>
      <w:r w:rsidRPr="007B0581">
        <w:rPr>
          <w:rFonts w:ascii="Arial" w:hAnsi="Arial" w:cs="Arial"/>
          <w:b/>
          <w:sz w:val="24"/>
          <w:szCs w:val="24"/>
        </w:rPr>
        <w:t xml:space="preserve">.  </w:t>
      </w:r>
    </w:p>
    <w:p w:rsidR="002E79C9" w:rsidRDefault="002E79C9" w:rsidP="002E79C9">
      <w:pPr>
        <w:spacing w:line="360" w:lineRule="auto"/>
        <w:jc w:val="both"/>
        <w:rPr>
          <w:rFonts w:ascii="Arial" w:hAnsi="Arial" w:cs="Arial"/>
          <w:b/>
          <w:sz w:val="24"/>
          <w:szCs w:val="24"/>
        </w:rPr>
      </w:pPr>
    </w:p>
    <w:p w:rsidR="002E79C9" w:rsidRDefault="002E79C9" w:rsidP="002E79C9">
      <w:pPr>
        <w:spacing w:line="360" w:lineRule="auto"/>
        <w:jc w:val="both"/>
        <w:rPr>
          <w:rFonts w:ascii="Arial" w:hAnsi="Arial" w:cs="Arial"/>
          <w:b/>
          <w:sz w:val="24"/>
          <w:szCs w:val="24"/>
        </w:rPr>
      </w:pPr>
    </w:p>
    <w:p w:rsidR="002E79C9" w:rsidRDefault="002E79C9" w:rsidP="002E79C9">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008</w:t>
      </w:r>
      <w:r w:rsidRPr="001A7D4E">
        <w:rPr>
          <w:rFonts w:ascii="Arial" w:hAnsi="Arial" w:cs="Arial"/>
          <w:b/>
          <w:bCs/>
          <w:sz w:val="24"/>
          <w:szCs w:val="24"/>
        </w:rPr>
        <w:t>/20</w:t>
      </w:r>
      <w:r>
        <w:rPr>
          <w:rFonts w:ascii="Arial" w:hAnsi="Arial" w:cs="Arial"/>
          <w:b/>
          <w:bCs/>
          <w:sz w:val="24"/>
          <w:szCs w:val="24"/>
        </w:rPr>
        <w:t>20</w:t>
      </w:r>
      <w:r w:rsidRPr="007B0581">
        <w:rPr>
          <w:rFonts w:ascii="Arial" w:hAnsi="Arial" w:cs="Arial"/>
          <w:sz w:val="24"/>
          <w:szCs w:val="24"/>
        </w:rPr>
        <w:t xml:space="preserve">, promovido por </w:t>
      </w:r>
      <w:r>
        <w:rPr>
          <w:rFonts w:cs="Arial"/>
          <w:b/>
          <w:sz w:val="24"/>
          <w:szCs w:val="24"/>
        </w:rPr>
        <w:t>**********</w:t>
      </w:r>
      <w:r w:rsidRPr="00221CFA">
        <w:rPr>
          <w:rFonts w:ascii="Arial" w:hAnsi="Arial" w:cs="Arial"/>
          <w:bCs/>
          <w:sz w:val="24"/>
          <w:szCs w:val="24"/>
        </w:rPr>
        <w:t>,</w:t>
      </w:r>
      <w:r w:rsidRPr="00D737F7">
        <w:rPr>
          <w:rFonts w:ascii="Arial" w:hAnsi="Arial" w:cs="Arial"/>
          <w:b/>
          <w:sz w:val="24"/>
          <w:szCs w:val="24"/>
        </w:rPr>
        <w:t xml:space="preserve"> </w:t>
      </w:r>
      <w:r w:rsidRPr="007B0581">
        <w:rPr>
          <w:rFonts w:ascii="Arial" w:hAnsi="Arial" w:cs="Arial"/>
          <w:sz w:val="24"/>
          <w:szCs w:val="24"/>
        </w:rPr>
        <w:t>en contra de</w:t>
      </w:r>
      <w:r>
        <w:rPr>
          <w:rFonts w:ascii="Arial" w:hAnsi="Arial" w:cs="Arial"/>
          <w:sz w:val="24"/>
          <w:szCs w:val="24"/>
        </w:rPr>
        <w:t xml:space="preserv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veinte de diciembre de dos mil diecinueve, </w:t>
      </w:r>
      <w:bookmarkStart w:id="0" w:name="_Hlk83640314"/>
      <w:bookmarkStart w:id="1" w:name="_Hlk84505151"/>
      <w:r>
        <w:rPr>
          <w:rFonts w:ascii="Arial" w:hAnsi="Arial" w:cs="Arial"/>
          <w:sz w:val="24"/>
          <w:szCs w:val="24"/>
        </w:rPr>
        <w:t xml:space="preserve">emitida por </w:t>
      </w:r>
      <w:bookmarkEnd w:id="0"/>
      <w:r>
        <w:rPr>
          <w:rFonts w:ascii="Arial" w:hAnsi="Arial" w:cs="Arial"/>
          <w:sz w:val="24"/>
          <w:szCs w:val="24"/>
        </w:rPr>
        <w:t xml:space="preserve">el Jefe de la Unidad Jurídica del Instituto Catastral del Estado de Oaxaca, mediante el cual se resolvió el Recurso de Revisión </w:t>
      </w:r>
      <w:r>
        <w:rPr>
          <w:rFonts w:cs="Arial"/>
          <w:b/>
          <w:sz w:val="24"/>
          <w:szCs w:val="24"/>
        </w:rPr>
        <w:t>**********</w:t>
      </w:r>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p w:rsidR="002E79C9" w:rsidRPr="007B0581" w:rsidRDefault="002E79C9" w:rsidP="002E79C9">
      <w:pPr>
        <w:spacing w:line="360" w:lineRule="auto"/>
        <w:jc w:val="both"/>
        <w:rPr>
          <w:rFonts w:ascii="Arial" w:hAnsi="Arial" w:cs="Arial"/>
          <w:b/>
          <w:bCs/>
          <w:sz w:val="24"/>
          <w:szCs w:val="24"/>
        </w:rPr>
      </w:pPr>
    </w:p>
    <w:bookmarkEnd w:id="1"/>
    <w:p w:rsidR="002E79C9" w:rsidRDefault="002E79C9" w:rsidP="002E79C9">
      <w:pPr>
        <w:contextualSpacing/>
        <w:jc w:val="both"/>
        <w:rPr>
          <w:rFonts w:ascii="Arial" w:hAnsi="Arial" w:cs="Arial"/>
          <w:sz w:val="24"/>
          <w:szCs w:val="24"/>
        </w:rPr>
      </w:pPr>
    </w:p>
    <w:p w:rsidR="002E79C9" w:rsidRDefault="002E79C9" w:rsidP="002E79C9">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2E79C9" w:rsidRPr="007B0581" w:rsidRDefault="002E79C9" w:rsidP="002E79C9">
      <w:pPr>
        <w:spacing w:line="360" w:lineRule="auto"/>
        <w:ind w:firstLine="708"/>
        <w:jc w:val="center"/>
        <w:rPr>
          <w:rFonts w:ascii="Arial" w:hAnsi="Arial" w:cs="Arial"/>
          <w:b/>
          <w:spacing w:val="-3"/>
          <w:sz w:val="24"/>
          <w:szCs w:val="24"/>
          <w:lang w:val="es-ES_tradnl"/>
        </w:rPr>
      </w:pPr>
    </w:p>
    <w:p w:rsidR="002E79C9" w:rsidRPr="007B0581" w:rsidRDefault="002E79C9" w:rsidP="002E79C9">
      <w:pPr>
        <w:contextualSpacing/>
        <w:jc w:val="both"/>
        <w:rPr>
          <w:rFonts w:ascii="Arial" w:hAnsi="Arial" w:cs="Arial"/>
          <w:b/>
          <w:spacing w:val="-3"/>
          <w:sz w:val="24"/>
          <w:szCs w:val="24"/>
          <w:lang w:val="es-ES_tradnl"/>
        </w:rPr>
      </w:pPr>
    </w:p>
    <w:p w:rsidR="002E79C9" w:rsidRPr="007B0581" w:rsidRDefault="002E79C9" w:rsidP="002E79C9">
      <w:pPr>
        <w:spacing w:line="360" w:lineRule="auto"/>
        <w:ind w:firstLine="567"/>
        <w:jc w:val="both"/>
        <w:rPr>
          <w:rFonts w:ascii="Arial" w:hAnsi="Arial" w:cs="Arial"/>
          <w:sz w:val="24"/>
          <w:szCs w:val="24"/>
        </w:rPr>
      </w:pPr>
      <w:r w:rsidRPr="007B0581">
        <w:rPr>
          <w:rFonts w:ascii="Arial" w:hAnsi="Arial" w:cs="Arial"/>
          <w:b/>
          <w:spacing w:val="-3"/>
          <w:sz w:val="24"/>
          <w:szCs w:val="24"/>
          <w:lang w:val="es-ES_tradnl"/>
        </w:rPr>
        <w:t>PRIMERO. -</w:t>
      </w:r>
      <w:r w:rsidRPr="007B0581">
        <w:rPr>
          <w:rFonts w:ascii="Arial" w:hAnsi="Arial" w:cs="Arial"/>
          <w:sz w:val="24"/>
          <w:szCs w:val="24"/>
        </w:rPr>
        <w:t xml:space="preserve"> Mediante escrito recibido el </w:t>
      </w:r>
      <w:r>
        <w:rPr>
          <w:rFonts w:ascii="Arial" w:hAnsi="Arial" w:cs="Arial"/>
          <w:sz w:val="24"/>
          <w:szCs w:val="24"/>
        </w:rPr>
        <w:t>catorce de enero de dos mil veinte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w:t>
      </w:r>
      <w:r>
        <w:rPr>
          <w:rFonts w:ascii="Arial" w:hAnsi="Arial" w:cs="Arial"/>
          <w:sz w:val="24"/>
          <w:szCs w:val="24"/>
        </w:rPr>
        <w:t xml:space="preserve"> </w:t>
      </w:r>
      <w:bookmarkStart w:id="2" w:name="_Hlk83725409"/>
      <w:r w:rsidRPr="007B0581">
        <w:rPr>
          <w:rFonts w:ascii="Arial" w:hAnsi="Arial" w:cs="Arial"/>
          <w:sz w:val="24"/>
          <w:szCs w:val="24"/>
        </w:rPr>
        <w:t>de</w:t>
      </w:r>
      <w:r>
        <w:rPr>
          <w:rFonts w:ascii="Arial" w:hAnsi="Arial" w:cs="Arial"/>
          <w:sz w:val="24"/>
          <w:szCs w:val="24"/>
        </w:rPr>
        <w:t xml:space="preserv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veinte de diciembre de dos mil diecinueve, emitida por el Jefe de la Unidad Jurídica del Instituto Catastral del Estado de Oaxaca, mediante el cual se resolvió el Recurso de Revisión </w:t>
      </w:r>
      <w:r>
        <w:rPr>
          <w:rFonts w:cs="Arial"/>
          <w:b/>
          <w:sz w:val="24"/>
          <w:szCs w:val="24"/>
        </w:rPr>
        <w:t>**********</w:t>
      </w:r>
      <w:r w:rsidRPr="007B0581">
        <w:rPr>
          <w:rFonts w:ascii="Arial" w:hAnsi="Arial" w:cs="Arial"/>
          <w:sz w:val="24"/>
          <w:szCs w:val="24"/>
        </w:rPr>
        <w:t xml:space="preserve">. </w:t>
      </w:r>
    </w:p>
    <w:bookmarkEnd w:id="2"/>
    <w:p w:rsidR="002E79C9" w:rsidRPr="007B0581" w:rsidRDefault="002E79C9" w:rsidP="002E79C9">
      <w:pPr>
        <w:contextualSpacing/>
        <w:jc w:val="both"/>
        <w:rPr>
          <w:rFonts w:ascii="Arial" w:hAnsi="Arial" w:cs="Arial"/>
          <w:sz w:val="24"/>
          <w:szCs w:val="24"/>
        </w:rPr>
      </w:pPr>
    </w:p>
    <w:p w:rsidR="002E79C9" w:rsidRDefault="002E79C9" w:rsidP="002E79C9">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Por acuerdo de quince de enero de dos mil veinte, se</w:t>
      </w:r>
      <w:r w:rsidRPr="007B0581">
        <w:rPr>
          <w:rFonts w:ascii="Arial" w:hAnsi="Arial" w:cs="Arial"/>
          <w:sz w:val="24"/>
          <w:szCs w:val="24"/>
        </w:rPr>
        <w:t xml:space="preserve"> admitió a trámite la demanda, ordenándose notificar, emplazar y correr traslado a la autoridad demandada</w:t>
      </w:r>
      <w:r>
        <w:rPr>
          <w:rFonts w:ascii="Arial" w:hAnsi="Arial" w:cs="Arial"/>
          <w:sz w:val="24"/>
          <w:szCs w:val="24"/>
        </w:rPr>
        <w:t xml:space="preserve">, </w:t>
      </w:r>
      <w:r w:rsidRPr="007B0581">
        <w:rPr>
          <w:rFonts w:ascii="Arial" w:hAnsi="Arial" w:cs="Arial"/>
          <w:sz w:val="24"/>
          <w:szCs w:val="24"/>
        </w:rPr>
        <w:t>para que produjera su contestación en los términos de ley.</w:t>
      </w:r>
      <w:r>
        <w:rPr>
          <w:rFonts w:ascii="Arial" w:hAnsi="Arial" w:cs="Arial"/>
          <w:sz w:val="24"/>
          <w:szCs w:val="24"/>
        </w:rPr>
        <w:t xml:space="preserve"> Asimismo, se requirió a la actora para que en el plazo de tres días hábiles exhibiera la prueba que ofreció consistente en la copia certificada de la diligencia de apeo y deslinde que llevó a cabo el Alcalde Único Constitucional de Oaxaca de Juárez, en razón que no la acompañó a su demanda, apercibida que de no hacerlo, no se admitiría su probanza.</w:t>
      </w:r>
    </w:p>
    <w:p w:rsidR="002E79C9" w:rsidRDefault="002E79C9" w:rsidP="002E79C9">
      <w:pPr>
        <w:spacing w:line="360" w:lineRule="auto"/>
        <w:ind w:firstLine="567"/>
        <w:jc w:val="both"/>
        <w:rPr>
          <w:rFonts w:ascii="Arial" w:hAnsi="Arial" w:cs="Arial"/>
          <w:sz w:val="24"/>
          <w:szCs w:val="24"/>
        </w:rPr>
      </w:pPr>
    </w:p>
    <w:p w:rsidR="002E79C9" w:rsidRDefault="002E79C9" w:rsidP="002E79C9">
      <w:pPr>
        <w:spacing w:line="360" w:lineRule="auto"/>
        <w:ind w:firstLine="567"/>
        <w:jc w:val="both"/>
        <w:rPr>
          <w:rFonts w:ascii="Arial" w:hAnsi="Arial" w:cs="Arial"/>
          <w:sz w:val="24"/>
          <w:szCs w:val="24"/>
        </w:rPr>
      </w:pPr>
      <w:r w:rsidRPr="00D21DD8">
        <w:rPr>
          <w:rFonts w:ascii="Arial" w:hAnsi="Arial" w:cs="Arial"/>
          <w:b/>
          <w:bCs/>
          <w:sz w:val="24"/>
          <w:szCs w:val="24"/>
        </w:rPr>
        <w:lastRenderedPageBreak/>
        <w:t>TERCERO. -</w:t>
      </w:r>
      <w:r>
        <w:rPr>
          <w:rFonts w:ascii="Arial" w:hAnsi="Arial" w:cs="Arial"/>
          <w:sz w:val="24"/>
          <w:szCs w:val="24"/>
        </w:rPr>
        <w:t xml:space="preserve"> </w:t>
      </w:r>
      <w:r w:rsidRPr="007B0581">
        <w:rPr>
          <w:rFonts w:ascii="Arial" w:hAnsi="Arial" w:cs="Arial"/>
          <w:sz w:val="24"/>
          <w:szCs w:val="24"/>
        </w:rPr>
        <w:t>Por a</w:t>
      </w:r>
      <w:r>
        <w:rPr>
          <w:rFonts w:ascii="Arial" w:hAnsi="Arial" w:cs="Arial"/>
          <w:sz w:val="24"/>
          <w:szCs w:val="24"/>
        </w:rPr>
        <w:t>uto</w:t>
      </w:r>
      <w:r w:rsidRPr="007B0581">
        <w:rPr>
          <w:rFonts w:ascii="Arial" w:hAnsi="Arial" w:cs="Arial"/>
          <w:sz w:val="24"/>
          <w:szCs w:val="24"/>
        </w:rPr>
        <w:t xml:space="preserve"> de </w:t>
      </w:r>
      <w:r>
        <w:rPr>
          <w:rFonts w:ascii="Arial" w:hAnsi="Arial" w:cs="Arial"/>
          <w:sz w:val="24"/>
          <w:szCs w:val="24"/>
        </w:rPr>
        <w:t>diecisiete de marzo de dos mil veinte</w:t>
      </w:r>
      <w:r w:rsidRPr="007B0581">
        <w:rPr>
          <w:rFonts w:ascii="Arial" w:hAnsi="Arial" w:cs="Arial"/>
          <w:sz w:val="24"/>
          <w:szCs w:val="24"/>
        </w:rPr>
        <w:t>, se</w:t>
      </w:r>
      <w:r>
        <w:rPr>
          <w:rFonts w:ascii="Arial" w:hAnsi="Arial" w:cs="Arial"/>
          <w:sz w:val="24"/>
          <w:szCs w:val="24"/>
        </w:rPr>
        <w:t xml:space="preserve"> tuvo a la autoridad demandada </w:t>
      </w:r>
      <w:r w:rsidRPr="00AE490A">
        <w:rPr>
          <w:rFonts w:ascii="Arial" w:hAnsi="Arial" w:cs="Arial"/>
          <w:sz w:val="24"/>
          <w:szCs w:val="24"/>
        </w:rPr>
        <w:t xml:space="preserve">dando contestación a la demanda en tiempo y forma, por acreditada la personalidad con la que compareció a juicio, haciendo valer sus excepciones y defensas, ordenándose correr traslado a la parte actora para </w:t>
      </w:r>
      <w:r>
        <w:rPr>
          <w:rFonts w:ascii="Arial" w:hAnsi="Arial" w:cs="Arial"/>
          <w:sz w:val="24"/>
          <w:szCs w:val="24"/>
        </w:rPr>
        <w:t>los efectos legales correspondientes. Asimismo, la actora dio cumplimiento al requerimiento efectuando mediante proveído de quince de enero de dos mil veinte y por admitida la prueba documental descrita en el resultando próximo anterior; así también, se señalaron las doce horas del día diecinueve de mayo de dos mil veinte, para la celebración de la audiencia final.</w:t>
      </w:r>
    </w:p>
    <w:p w:rsidR="002E79C9" w:rsidRPr="00AE490A" w:rsidRDefault="002E79C9" w:rsidP="002E79C9">
      <w:pPr>
        <w:spacing w:line="360" w:lineRule="auto"/>
        <w:ind w:firstLine="567"/>
        <w:jc w:val="both"/>
        <w:rPr>
          <w:rFonts w:ascii="Arial" w:hAnsi="Arial" w:cs="Arial"/>
          <w:sz w:val="24"/>
          <w:szCs w:val="24"/>
        </w:rPr>
      </w:pPr>
    </w:p>
    <w:p w:rsidR="002E79C9" w:rsidRDefault="002E79C9" w:rsidP="002E79C9">
      <w:pPr>
        <w:pStyle w:val="corte4fondo"/>
        <w:ind w:right="51" w:firstLine="567"/>
        <w:rPr>
          <w:rFonts w:cs="Arial"/>
          <w:sz w:val="24"/>
          <w:szCs w:val="24"/>
        </w:rPr>
      </w:pPr>
      <w:r>
        <w:rPr>
          <w:rFonts w:cs="Arial"/>
          <w:b/>
          <w:bCs/>
          <w:sz w:val="24"/>
          <w:szCs w:val="24"/>
        </w:rPr>
        <w:t>CUARTO</w:t>
      </w:r>
      <w:r w:rsidRPr="00B30CC5">
        <w:rPr>
          <w:rFonts w:cs="Arial"/>
          <w:b/>
          <w:sz w:val="24"/>
          <w:szCs w:val="24"/>
        </w:rPr>
        <w:t>. -</w:t>
      </w:r>
      <w:r w:rsidRPr="007B0581">
        <w:rPr>
          <w:rFonts w:cs="Arial"/>
          <w:bCs/>
          <w:sz w:val="24"/>
          <w:szCs w:val="24"/>
        </w:rPr>
        <w:t xml:space="preserve"> </w:t>
      </w:r>
      <w:r w:rsidRPr="00AD192C">
        <w:rPr>
          <w:rFonts w:cs="Arial"/>
          <w:bCs/>
          <w:sz w:val="24"/>
          <w:szCs w:val="24"/>
        </w:rPr>
        <w:t xml:space="preserve">Por </w:t>
      </w:r>
      <w:r>
        <w:rPr>
          <w:rFonts w:cs="Arial"/>
          <w:bCs/>
          <w:sz w:val="24"/>
          <w:szCs w:val="24"/>
        </w:rPr>
        <w:t>proveído de uno de marzo de dos mil veintidós</w:t>
      </w:r>
      <w:r w:rsidRPr="00AD192C">
        <w:rPr>
          <w:rFonts w:cs="Arial"/>
          <w:bCs/>
          <w:sz w:val="24"/>
          <w:szCs w:val="24"/>
        </w:rPr>
        <w:t>,</w:t>
      </w:r>
      <w:r>
        <w:rPr>
          <w:rFonts w:cs="Arial"/>
          <w:bCs/>
          <w:sz w:val="24"/>
          <w:szCs w:val="24"/>
        </w:rPr>
        <w:t xml:space="preserve"> se hizo del conocimiento de las partes que no fue posible celebrar la audiencia final en la fecha y hora señalada en el resultando próximo anterior, en virtud que fueron suspendidas las actividades de este órgano jurisdiccional, como medida sanitaria necesaria para limitar la propagación y contagio del virus SARS-COV2. Asimismo, se señalaron las ONCE HORAS del día SEIS DE ABRIL DE DOS MIL VEINTIDÓS, para la celebración de la audiencia final. Así también, se hizo del conocimiento de las partes la incorporación y adscripción de la Magistrada VIRGINIA HERNÁNDEZ </w:t>
      </w:r>
      <w:proofErr w:type="spellStart"/>
      <w:r>
        <w:rPr>
          <w:rFonts w:cs="Arial"/>
          <w:bCs/>
          <w:sz w:val="24"/>
          <w:szCs w:val="24"/>
        </w:rPr>
        <w:t>HERNÁNDEZ</w:t>
      </w:r>
      <w:proofErr w:type="spellEnd"/>
      <w:r>
        <w:rPr>
          <w:rFonts w:cs="Arial"/>
          <w:bCs/>
          <w:sz w:val="24"/>
          <w:szCs w:val="24"/>
        </w:rPr>
        <w:t xml:space="preserve">, </w:t>
      </w:r>
      <w:r w:rsidRPr="006F1BF0">
        <w:rPr>
          <w:rFonts w:cs="Arial"/>
          <w:sz w:val="24"/>
          <w:szCs w:val="24"/>
        </w:rPr>
        <w:t>como titular de esta Quinta Sala</w:t>
      </w:r>
      <w:r>
        <w:rPr>
          <w:rFonts w:cs="Arial"/>
          <w:sz w:val="24"/>
          <w:szCs w:val="24"/>
        </w:rPr>
        <w:t xml:space="preserve"> Unitaria de Primera Instancia de este órgano jurisdiccional, para que en el plazo de tres días hábiles manifestaran lo que a su derecho conviniera.</w:t>
      </w:r>
    </w:p>
    <w:p w:rsidR="002E79C9" w:rsidRDefault="002E79C9" w:rsidP="002E79C9">
      <w:pPr>
        <w:pStyle w:val="corte4fondo"/>
        <w:ind w:right="51" w:firstLine="567"/>
        <w:rPr>
          <w:rFonts w:cs="Arial"/>
          <w:bCs/>
          <w:sz w:val="24"/>
          <w:szCs w:val="24"/>
        </w:rPr>
      </w:pPr>
    </w:p>
    <w:p w:rsidR="002E79C9" w:rsidRDefault="002E79C9" w:rsidP="002E79C9">
      <w:pPr>
        <w:pStyle w:val="corte4fondo"/>
        <w:ind w:right="51" w:firstLine="567"/>
        <w:rPr>
          <w:rFonts w:cs="Arial"/>
          <w:b/>
          <w:bCs/>
          <w:sz w:val="24"/>
          <w:szCs w:val="24"/>
        </w:rPr>
      </w:pPr>
      <w:r w:rsidRPr="00317B19">
        <w:rPr>
          <w:rFonts w:cs="Arial"/>
          <w:b/>
          <w:bCs/>
          <w:sz w:val="24"/>
          <w:szCs w:val="24"/>
        </w:rPr>
        <w:t>QUI</w:t>
      </w:r>
      <w:r>
        <w:rPr>
          <w:rFonts w:cs="Arial"/>
          <w:b/>
          <w:bCs/>
          <w:sz w:val="24"/>
          <w:szCs w:val="24"/>
        </w:rPr>
        <w:t>NTO</w:t>
      </w:r>
      <w:r w:rsidRPr="007B0581">
        <w:rPr>
          <w:rFonts w:cs="Arial"/>
          <w:b/>
          <w:bCs/>
          <w:sz w:val="24"/>
          <w:szCs w:val="24"/>
        </w:rPr>
        <w:t xml:space="preserve">. </w:t>
      </w:r>
      <w:r>
        <w:rPr>
          <w:rFonts w:cs="Arial"/>
          <w:b/>
          <w:bCs/>
          <w:sz w:val="24"/>
          <w:szCs w:val="24"/>
        </w:rPr>
        <w:t>-</w:t>
      </w:r>
      <w:r w:rsidRPr="007B0581">
        <w:rPr>
          <w:rFonts w:cs="Arial"/>
          <w:b/>
          <w:bCs/>
          <w:sz w:val="24"/>
          <w:szCs w:val="24"/>
        </w:rPr>
        <w:t xml:space="preserve"> </w:t>
      </w:r>
      <w:r>
        <w:rPr>
          <w:rFonts w:cs="Arial"/>
          <w:sz w:val="24"/>
          <w:szCs w:val="24"/>
        </w:rPr>
        <w:t>E</w:t>
      </w:r>
      <w:r>
        <w:rPr>
          <w:rFonts w:cs="Arial"/>
          <w:sz w:val="24"/>
          <w:szCs w:val="24"/>
          <w:lang w:val="es-ES"/>
        </w:rPr>
        <w:t>l seis de abril de dos mil veintidós</w:t>
      </w:r>
      <w:r w:rsidRPr="007B0581">
        <w:rPr>
          <w:rFonts w:cs="Arial"/>
          <w:bCs/>
          <w:sz w:val="24"/>
          <w:szCs w:val="24"/>
          <w:lang w:val="es-ES"/>
        </w:rPr>
        <w:t xml:space="preserve">, </w:t>
      </w:r>
      <w:r w:rsidRPr="006A1793">
        <w:rPr>
          <w:rFonts w:cs="Arial"/>
          <w:sz w:val="24"/>
          <w:szCs w:val="24"/>
        </w:rPr>
        <w:t>se llevó a cabo la Audiencia Final, sin la asistencia de las partes, ni persona alguna que legalmente las representara, asentando la</w:t>
      </w:r>
      <w:r w:rsidRPr="006C7760">
        <w:rPr>
          <w:rFonts w:cs="Arial"/>
          <w:sz w:val="24"/>
          <w:szCs w:val="24"/>
        </w:rPr>
        <w:t xml:space="preserve"> Secretaria de Acuerdos de esta Sala Unitaria, que las partes no formularon alegatos; por lo que se ordenó citar a las partes a oír sentencia dentro del término de ley, misma que ahora se pronuncia, y;</w:t>
      </w:r>
    </w:p>
    <w:p w:rsidR="002E79C9" w:rsidRDefault="002E79C9" w:rsidP="002E79C9">
      <w:pPr>
        <w:pStyle w:val="corte4fondo"/>
        <w:ind w:right="51" w:firstLine="567"/>
        <w:rPr>
          <w:rFonts w:cs="Arial"/>
          <w:b/>
          <w:spacing w:val="-3"/>
          <w:sz w:val="24"/>
          <w:szCs w:val="24"/>
        </w:rPr>
      </w:pPr>
    </w:p>
    <w:p w:rsidR="002E79C9" w:rsidRPr="007B0581" w:rsidRDefault="002E79C9" w:rsidP="002E79C9">
      <w:pPr>
        <w:pStyle w:val="corte4fondo"/>
        <w:ind w:right="51" w:firstLine="567"/>
        <w:rPr>
          <w:rFonts w:cs="Arial"/>
          <w:b/>
          <w:spacing w:val="-3"/>
          <w:sz w:val="24"/>
          <w:szCs w:val="24"/>
        </w:rPr>
      </w:pPr>
    </w:p>
    <w:p w:rsidR="002E79C9" w:rsidRDefault="002E79C9" w:rsidP="002E79C9">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2E79C9" w:rsidRPr="007B0581" w:rsidRDefault="002E79C9" w:rsidP="002E79C9">
      <w:pPr>
        <w:pStyle w:val="corte4fondo"/>
        <w:ind w:right="51" w:firstLine="567"/>
        <w:jc w:val="center"/>
        <w:rPr>
          <w:rFonts w:cs="Arial"/>
          <w:b/>
          <w:spacing w:val="-3"/>
          <w:sz w:val="24"/>
          <w:szCs w:val="24"/>
        </w:rPr>
      </w:pPr>
    </w:p>
    <w:p w:rsidR="002E79C9" w:rsidRDefault="002E79C9" w:rsidP="002E79C9">
      <w:pPr>
        <w:pStyle w:val="corte4fondo"/>
        <w:spacing w:line="240" w:lineRule="auto"/>
        <w:ind w:right="51" w:firstLine="567"/>
        <w:contextualSpacing/>
        <w:rPr>
          <w:rFonts w:cs="Arial"/>
          <w:bCs/>
          <w:sz w:val="24"/>
          <w:szCs w:val="24"/>
        </w:rPr>
      </w:pPr>
    </w:p>
    <w:p w:rsidR="002E79C9" w:rsidRPr="007B0581" w:rsidRDefault="002E79C9" w:rsidP="002E79C9">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w:t>
      </w:r>
      <w:r>
        <w:rPr>
          <w:rFonts w:ascii="Arial" w:hAnsi="Arial" w:cs="Arial"/>
          <w:sz w:val="24"/>
          <w:szCs w:val="24"/>
        </w:rPr>
        <w:t>,</w:t>
      </w:r>
      <w:r w:rsidRPr="007B0581">
        <w:rPr>
          <w:rFonts w:ascii="Arial" w:hAnsi="Arial" w:cs="Arial"/>
          <w:sz w:val="24"/>
          <w:szCs w:val="24"/>
        </w:rPr>
        <w:t xml:space="preserve"> con fundamento en el artículo 114 QUATER, párrafo primero, inciso B, fracción </w:t>
      </w:r>
      <w:r w:rsidRPr="00B40DFD">
        <w:rPr>
          <w:rFonts w:ascii="Arial" w:hAnsi="Arial" w:cs="Arial"/>
          <w:sz w:val="24"/>
          <w:szCs w:val="24"/>
        </w:rPr>
        <w:t>VI</w:t>
      </w:r>
      <w:r w:rsidRPr="007B0581">
        <w:rPr>
          <w:rFonts w:ascii="Arial" w:hAnsi="Arial" w:cs="Arial"/>
          <w:sz w:val="24"/>
          <w:szCs w:val="24"/>
        </w:rPr>
        <w:t xml:space="preserve"> de la Constitución Política del Estado Libre y Soberano de Oaxaca; </w:t>
      </w:r>
      <w:r w:rsidRPr="004D0685">
        <w:rPr>
          <w:rFonts w:ascii="Arial" w:hAnsi="Arial" w:cs="Arial"/>
          <w:sz w:val="24"/>
          <w:szCs w:val="24"/>
        </w:rPr>
        <w:t>120, fracción I, 132 fracciones I y II, 133 fracción I</w:t>
      </w:r>
      <w:r w:rsidRPr="007B0581">
        <w:rPr>
          <w:rFonts w:ascii="Arial" w:hAnsi="Arial" w:cs="Arial"/>
          <w:sz w:val="24"/>
          <w:szCs w:val="24"/>
        </w:rPr>
        <w:t xml:space="preserve">, 146 y 147 de la Ley de Procedimiento y Justicia Administrativa para el Estado de Oaxaca. </w:t>
      </w:r>
    </w:p>
    <w:p w:rsidR="002E79C9" w:rsidRDefault="002E79C9" w:rsidP="002E79C9">
      <w:pPr>
        <w:spacing w:line="360" w:lineRule="auto"/>
        <w:jc w:val="both"/>
        <w:rPr>
          <w:rFonts w:ascii="Arial" w:hAnsi="Arial" w:cs="Arial"/>
          <w:sz w:val="24"/>
          <w:szCs w:val="24"/>
        </w:rPr>
      </w:pPr>
      <w:r w:rsidRPr="007B0581">
        <w:rPr>
          <w:rFonts w:ascii="Arial" w:hAnsi="Arial" w:cs="Arial"/>
          <w:sz w:val="24"/>
          <w:szCs w:val="24"/>
        </w:rPr>
        <w:lastRenderedPageBreak/>
        <w:t xml:space="preserve"> </w:t>
      </w:r>
      <w:r>
        <w:rPr>
          <w:rFonts w:ascii="Arial" w:hAnsi="Arial" w:cs="Arial"/>
          <w:sz w:val="24"/>
          <w:szCs w:val="24"/>
        </w:rPr>
        <w:tab/>
      </w:r>
      <w:r w:rsidRPr="007B0581">
        <w:rPr>
          <w:rFonts w:ascii="Arial" w:hAnsi="Arial" w:cs="Arial"/>
          <w:b/>
          <w:snapToGrid w:val="0"/>
          <w:sz w:val="24"/>
          <w:szCs w:val="24"/>
        </w:rPr>
        <w:t xml:space="preserve">SEGUNDO. - </w:t>
      </w:r>
      <w:r w:rsidRPr="007B0581">
        <w:rPr>
          <w:rFonts w:ascii="Arial" w:hAnsi="Arial" w:cs="Arial"/>
          <w:sz w:val="24"/>
          <w:szCs w:val="24"/>
        </w:rPr>
        <w:t>La personalidad jurídica de las partes quedó acreditada en autos, en virtud que</w:t>
      </w:r>
      <w:r>
        <w:rPr>
          <w:rFonts w:ascii="Arial" w:hAnsi="Arial" w:cs="Arial"/>
          <w:sz w:val="24"/>
          <w:szCs w:val="24"/>
        </w:rPr>
        <w:t xml:space="preserve"> la actora</w:t>
      </w:r>
      <w:r w:rsidRPr="007B0581">
        <w:rPr>
          <w:rFonts w:ascii="Arial" w:hAnsi="Arial" w:cs="Arial"/>
          <w:sz w:val="24"/>
          <w:szCs w:val="24"/>
        </w:rPr>
        <w:t xml:space="preserve"> </w:t>
      </w:r>
      <w:r>
        <w:rPr>
          <w:rFonts w:ascii="Arial" w:hAnsi="Arial" w:cs="Arial"/>
          <w:sz w:val="24"/>
          <w:szCs w:val="24"/>
        </w:rPr>
        <w:t xml:space="preserve">promueve por su propio derecho </w:t>
      </w:r>
      <w:r w:rsidRPr="007B0581">
        <w:rPr>
          <w:rFonts w:ascii="Arial" w:hAnsi="Arial" w:cs="Arial"/>
          <w:sz w:val="24"/>
          <w:szCs w:val="24"/>
        </w:rPr>
        <w:t>y la</w:t>
      </w:r>
      <w:r>
        <w:rPr>
          <w:rFonts w:ascii="Arial" w:hAnsi="Arial" w:cs="Arial"/>
          <w:sz w:val="24"/>
          <w:szCs w:val="24"/>
        </w:rPr>
        <w:t xml:space="preserve"> de la</w:t>
      </w:r>
      <w:r w:rsidRPr="007B0581">
        <w:rPr>
          <w:rFonts w:ascii="Arial" w:hAnsi="Arial" w:cs="Arial"/>
          <w:sz w:val="24"/>
          <w:szCs w:val="24"/>
        </w:rPr>
        <w:t xml:space="preserve"> autoridad demandada,</w:t>
      </w:r>
      <w:r>
        <w:rPr>
          <w:rFonts w:ascii="Arial" w:hAnsi="Arial" w:cs="Arial"/>
          <w:sz w:val="24"/>
          <w:szCs w:val="24"/>
        </w:rPr>
        <w:t xml:space="preserve"> en términos de</w:t>
      </w:r>
      <w:r w:rsidRPr="007B0581">
        <w:rPr>
          <w:rFonts w:ascii="Arial" w:hAnsi="Arial" w:cs="Arial"/>
          <w:sz w:val="24"/>
          <w:szCs w:val="24"/>
        </w:rPr>
        <w:t xml:space="preserve"> los artículos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2E79C9" w:rsidRPr="007B0581" w:rsidRDefault="002E79C9" w:rsidP="002E79C9">
      <w:pPr>
        <w:spacing w:line="360" w:lineRule="auto"/>
        <w:ind w:right="51" w:firstLine="709"/>
        <w:jc w:val="both"/>
        <w:rPr>
          <w:rFonts w:ascii="Arial" w:hAnsi="Arial" w:cs="Arial"/>
          <w:sz w:val="24"/>
          <w:szCs w:val="24"/>
        </w:rPr>
      </w:pPr>
    </w:p>
    <w:p w:rsidR="002E79C9" w:rsidRDefault="002E79C9" w:rsidP="002E79C9">
      <w:pPr>
        <w:pStyle w:val="corte4fondo"/>
        <w:ind w:right="51" w:firstLine="567"/>
        <w:rPr>
          <w:rFonts w:cs="Arial"/>
          <w:bCs/>
          <w:sz w:val="24"/>
          <w:szCs w:val="24"/>
        </w:rPr>
      </w:pPr>
      <w:r w:rsidRPr="00C533ED">
        <w:rPr>
          <w:rFonts w:cs="Arial"/>
          <w:b/>
          <w:sz w:val="24"/>
          <w:szCs w:val="24"/>
        </w:rPr>
        <w:t>TERCERO</w:t>
      </w:r>
      <w:r w:rsidRPr="00DD419E">
        <w:rPr>
          <w:rFonts w:cs="Arial"/>
          <w:b/>
          <w:sz w:val="24"/>
          <w:szCs w:val="24"/>
        </w:rPr>
        <w:t>.</w:t>
      </w:r>
      <w:r>
        <w:rPr>
          <w:rFonts w:cs="Arial"/>
          <w:b/>
          <w:sz w:val="24"/>
          <w:szCs w:val="24"/>
        </w:rPr>
        <w:t xml:space="preserve"> -</w:t>
      </w:r>
      <w:r w:rsidRPr="007B0581">
        <w:rPr>
          <w:rFonts w:cs="Arial"/>
          <w:sz w:val="24"/>
          <w:szCs w:val="24"/>
        </w:rPr>
        <w:t xml:space="preserve"> </w:t>
      </w:r>
      <w:r w:rsidRPr="00D4142D">
        <w:rPr>
          <w:rFonts w:cs="Arial"/>
          <w:sz w:val="24"/>
          <w:szCs w:val="24"/>
        </w:rPr>
        <w:t xml:space="preserve">Esta Sala </w:t>
      </w:r>
      <w:r w:rsidRPr="00D4142D">
        <w:rPr>
          <w:rFonts w:cs="Arial"/>
          <w:bCs/>
          <w:sz w:val="24"/>
          <w:szCs w:val="24"/>
        </w:rPr>
        <w:t>previo al estudio de fondo del asunto procede analizar,</w:t>
      </w:r>
      <w:r>
        <w:rPr>
          <w:rFonts w:cs="Arial"/>
          <w:bCs/>
          <w:sz w:val="24"/>
          <w:szCs w:val="24"/>
        </w:rPr>
        <w:t xml:space="preserve"> las causales de improcedencia invocadas por la autoridad demandada señaladas en los artículos 161, fracción II, y 162, fracción II, de la Ley de Procedimiento y Justicia Administrativa para el Estado de Oaxaca, que establecen:</w:t>
      </w:r>
    </w:p>
    <w:p w:rsidR="002E79C9" w:rsidRDefault="002E79C9" w:rsidP="002E79C9">
      <w:pPr>
        <w:pStyle w:val="corte4fondo"/>
        <w:ind w:right="51" w:firstLine="567"/>
        <w:rPr>
          <w:rFonts w:cs="Arial"/>
          <w:bCs/>
          <w:sz w:val="24"/>
          <w:szCs w:val="24"/>
        </w:rPr>
      </w:pPr>
    </w:p>
    <w:p w:rsidR="002E79C9" w:rsidRDefault="002E79C9" w:rsidP="002E79C9">
      <w:pPr>
        <w:pStyle w:val="corte4fondo"/>
        <w:ind w:right="51" w:firstLine="567"/>
        <w:rPr>
          <w:rFonts w:cs="Arial"/>
          <w:bCs/>
          <w:sz w:val="24"/>
          <w:szCs w:val="24"/>
        </w:rPr>
      </w:pPr>
      <w:r w:rsidRPr="000E555E">
        <w:rPr>
          <w:rFonts w:cs="Arial"/>
          <w:bCs/>
          <w:sz w:val="24"/>
          <w:szCs w:val="24"/>
        </w:rPr>
        <w:t>ARTÍCULO 161.- Es improcedente el juicio ante el Tribunal contra actos:</w:t>
      </w:r>
    </w:p>
    <w:p w:rsidR="002E79C9" w:rsidRDefault="002E79C9" w:rsidP="002E79C9">
      <w:pPr>
        <w:pStyle w:val="corte4fondo"/>
        <w:ind w:right="51" w:firstLine="567"/>
        <w:rPr>
          <w:rFonts w:cs="Arial"/>
          <w:bCs/>
          <w:sz w:val="24"/>
          <w:szCs w:val="24"/>
        </w:rPr>
      </w:pPr>
    </w:p>
    <w:p w:rsidR="002E79C9" w:rsidRDefault="002E79C9" w:rsidP="002E79C9">
      <w:pPr>
        <w:pStyle w:val="corte4fondo"/>
        <w:ind w:right="51" w:firstLine="567"/>
        <w:rPr>
          <w:rFonts w:cs="Arial"/>
          <w:bCs/>
          <w:sz w:val="24"/>
          <w:szCs w:val="24"/>
        </w:rPr>
      </w:pPr>
      <w:r w:rsidRPr="0063736E">
        <w:rPr>
          <w:rFonts w:cs="Arial"/>
          <w:bCs/>
          <w:sz w:val="24"/>
          <w:szCs w:val="24"/>
        </w:rPr>
        <w:t>II. Que no afecten los intereses jurídicos o legítimos del actor;</w:t>
      </w:r>
    </w:p>
    <w:p w:rsidR="002E79C9" w:rsidRDefault="002E79C9" w:rsidP="002E79C9">
      <w:pPr>
        <w:pStyle w:val="corte4fondo"/>
        <w:ind w:right="51" w:firstLine="567"/>
        <w:rPr>
          <w:rFonts w:cs="Arial"/>
          <w:bCs/>
          <w:sz w:val="24"/>
          <w:szCs w:val="24"/>
        </w:rPr>
      </w:pPr>
    </w:p>
    <w:p w:rsidR="002E79C9" w:rsidRDefault="002E79C9" w:rsidP="002E79C9">
      <w:pPr>
        <w:pStyle w:val="corte4fondo"/>
        <w:ind w:right="51" w:firstLine="567"/>
        <w:rPr>
          <w:rFonts w:cs="Arial"/>
          <w:bCs/>
          <w:sz w:val="24"/>
          <w:szCs w:val="24"/>
        </w:rPr>
      </w:pPr>
      <w:r w:rsidRPr="0063736E">
        <w:rPr>
          <w:rFonts w:cs="Arial"/>
          <w:bCs/>
          <w:sz w:val="24"/>
          <w:szCs w:val="24"/>
        </w:rPr>
        <w:t>ARTÍCULO 16</w:t>
      </w:r>
      <w:r>
        <w:rPr>
          <w:rFonts w:cs="Arial"/>
          <w:bCs/>
          <w:sz w:val="24"/>
          <w:szCs w:val="24"/>
        </w:rPr>
        <w:t>2</w:t>
      </w:r>
      <w:r w:rsidRPr="0063736E">
        <w:rPr>
          <w:rFonts w:cs="Arial"/>
          <w:bCs/>
          <w:sz w:val="24"/>
          <w:szCs w:val="24"/>
        </w:rPr>
        <w:t xml:space="preserve">.- </w:t>
      </w:r>
      <w:r w:rsidRPr="004D4386">
        <w:rPr>
          <w:rFonts w:cs="Arial"/>
          <w:bCs/>
          <w:sz w:val="24"/>
          <w:szCs w:val="24"/>
        </w:rPr>
        <w:t>Procede el sobreseimiento del juicio:</w:t>
      </w:r>
    </w:p>
    <w:p w:rsidR="002E79C9" w:rsidRDefault="002E79C9" w:rsidP="002E79C9">
      <w:pPr>
        <w:pStyle w:val="corte4fondo"/>
        <w:ind w:right="51" w:firstLine="567"/>
        <w:rPr>
          <w:rFonts w:cs="Arial"/>
          <w:bCs/>
          <w:sz w:val="24"/>
          <w:szCs w:val="24"/>
        </w:rPr>
      </w:pPr>
    </w:p>
    <w:p w:rsidR="002E79C9" w:rsidRDefault="002E79C9" w:rsidP="002E79C9">
      <w:pPr>
        <w:pStyle w:val="corte4fondo"/>
        <w:ind w:right="51" w:firstLine="567"/>
        <w:rPr>
          <w:rFonts w:cs="Arial"/>
          <w:bCs/>
          <w:sz w:val="24"/>
          <w:szCs w:val="24"/>
        </w:rPr>
      </w:pPr>
      <w:r w:rsidRPr="004D4386">
        <w:rPr>
          <w:rFonts w:cs="Arial"/>
          <w:bCs/>
          <w:sz w:val="24"/>
          <w:szCs w:val="24"/>
        </w:rPr>
        <w:t>II. Cuando durante la tramitación del procedimiento sobreviniere alguna de las causas</w:t>
      </w:r>
      <w:r>
        <w:rPr>
          <w:rFonts w:cs="Arial"/>
          <w:bCs/>
          <w:sz w:val="24"/>
          <w:szCs w:val="24"/>
        </w:rPr>
        <w:t xml:space="preserve"> </w:t>
      </w:r>
      <w:r w:rsidRPr="004D4386">
        <w:rPr>
          <w:rFonts w:cs="Arial"/>
          <w:bCs/>
          <w:sz w:val="24"/>
          <w:szCs w:val="24"/>
        </w:rPr>
        <w:t>de improcedencia a que se refiere el artículo anterior;</w:t>
      </w:r>
    </w:p>
    <w:p w:rsidR="002E79C9" w:rsidRDefault="002E79C9" w:rsidP="002E79C9">
      <w:pPr>
        <w:pStyle w:val="corte4fondo"/>
        <w:ind w:right="51" w:firstLine="567"/>
        <w:rPr>
          <w:rFonts w:cs="Arial"/>
          <w:sz w:val="24"/>
          <w:szCs w:val="24"/>
        </w:rPr>
      </w:pPr>
    </w:p>
    <w:p w:rsidR="002E79C9" w:rsidRDefault="002E79C9" w:rsidP="002E79C9">
      <w:pPr>
        <w:pStyle w:val="corte4fondo"/>
        <w:ind w:right="51" w:firstLine="567"/>
        <w:rPr>
          <w:rFonts w:cs="Arial"/>
          <w:sz w:val="24"/>
          <w:szCs w:val="24"/>
        </w:rPr>
      </w:pPr>
      <w:r w:rsidRPr="00C533ED">
        <w:rPr>
          <w:rFonts w:cs="Arial"/>
          <w:sz w:val="24"/>
          <w:szCs w:val="24"/>
        </w:rPr>
        <w:t>Por</w:t>
      </w:r>
      <w:r>
        <w:rPr>
          <w:rFonts w:cs="Arial"/>
          <w:sz w:val="24"/>
          <w:szCs w:val="24"/>
        </w:rPr>
        <w:t xml:space="preserve"> cuanto hace a la manifestación de la autoridad demandada, en cuanto a la</w:t>
      </w:r>
      <w:r>
        <w:rPr>
          <w:rFonts w:cs="Arial"/>
          <w:bCs/>
          <w:sz w:val="24"/>
          <w:szCs w:val="24"/>
        </w:rPr>
        <w:t xml:space="preserve"> falta de interés  jurídico o legítimo de la actora, en atención a lo anterior, la administrada acreditó su interés jurídico o legítimo mediante la resolución </w:t>
      </w:r>
      <w:r>
        <w:rPr>
          <w:rFonts w:cs="Arial"/>
          <w:sz w:val="24"/>
          <w:szCs w:val="24"/>
        </w:rPr>
        <w:t xml:space="preserve">contenida en el oficio </w:t>
      </w:r>
      <w:r>
        <w:rPr>
          <w:rFonts w:cs="Arial"/>
          <w:b/>
          <w:sz w:val="24"/>
          <w:szCs w:val="24"/>
        </w:rPr>
        <w:t>**********</w:t>
      </w:r>
      <w:r>
        <w:rPr>
          <w:rFonts w:cs="Arial"/>
          <w:b/>
          <w:sz w:val="24"/>
          <w:szCs w:val="24"/>
        </w:rPr>
        <w:t xml:space="preserve"> </w:t>
      </w:r>
      <w:r>
        <w:rPr>
          <w:rFonts w:cs="Arial"/>
          <w:sz w:val="24"/>
          <w:szCs w:val="24"/>
        </w:rPr>
        <w:t xml:space="preserve">de veinte de diciembre de dos mil diecinueve, emitida por el Jefe de la Unidad Jurídica del Instituto Catastral del Estado de Oaxaca, mediante el cual se resolvió el Recurso de Revisión </w:t>
      </w:r>
      <w:r>
        <w:rPr>
          <w:rFonts w:cs="Arial"/>
          <w:b/>
          <w:sz w:val="24"/>
          <w:szCs w:val="24"/>
        </w:rPr>
        <w:t>**********</w:t>
      </w:r>
      <w:r>
        <w:rPr>
          <w:rFonts w:cs="Arial"/>
          <w:sz w:val="24"/>
          <w:szCs w:val="24"/>
        </w:rPr>
        <w:t>, en la que se declaró improcedente el trámite catastral intentado por la administrada, lo que generó que le fueran afectados sus derechos, resolución que es materia de estudio en el presente juicio de nulidad</w:t>
      </w:r>
      <w:r>
        <w:rPr>
          <w:rFonts w:cs="Arial"/>
          <w:bCs/>
          <w:sz w:val="24"/>
          <w:szCs w:val="24"/>
        </w:rPr>
        <w:t xml:space="preserve">, por lo tanto, la actora sí acredito su interés jurídico en el presente asunto al ser vulnerado sus derechos, asimismo, no se actualizó ninguna causal de improcedencia; </w:t>
      </w:r>
      <w:r>
        <w:rPr>
          <w:rFonts w:cs="Arial"/>
          <w:sz w:val="24"/>
          <w:szCs w:val="24"/>
        </w:rPr>
        <w:t>por las consideraciones antes vertidas,</w:t>
      </w:r>
      <w:r w:rsidRPr="007B0581">
        <w:rPr>
          <w:rFonts w:cs="Arial"/>
          <w:sz w:val="24"/>
          <w:szCs w:val="24"/>
        </w:rPr>
        <w:t xml:space="preserve"> no se configura causal alguna de improcedencia. En consecuencia, </w:t>
      </w:r>
      <w:r w:rsidRPr="007B0581">
        <w:rPr>
          <w:rFonts w:cs="Arial"/>
          <w:b/>
          <w:bCs/>
          <w:sz w:val="24"/>
          <w:szCs w:val="24"/>
        </w:rPr>
        <w:t xml:space="preserve">NO SE SOBRESEE </w:t>
      </w:r>
      <w:r w:rsidRPr="007B0581">
        <w:rPr>
          <w:rFonts w:cs="Arial"/>
          <w:sz w:val="24"/>
          <w:szCs w:val="24"/>
        </w:rPr>
        <w:t>el presente juicio.</w:t>
      </w:r>
    </w:p>
    <w:p w:rsidR="002E79C9" w:rsidRDefault="002E79C9" w:rsidP="002E79C9">
      <w:pPr>
        <w:spacing w:line="360" w:lineRule="auto"/>
        <w:ind w:right="51" w:firstLine="708"/>
        <w:jc w:val="both"/>
        <w:rPr>
          <w:rFonts w:ascii="Arial" w:hAnsi="Arial" w:cs="Arial"/>
          <w:sz w:val="24"/>
          <w:szCs w:val="24"/>
        </w:rPr>
      </w:pPr>
    </w:p>
    <w:p w:rsidR="002E79C9" w:rsidRDefault="002E79C9" w:rsidP="002E79C9">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2E79C9" w:rsidRPr="007B0581" w:rsidRDefault="002E79C9" w:rsidP="002E79C9">
      <w:pPr>
        <w:spacing w:line="360" w:lineRule="auto"/>
        <w:ind w:firstLine="708"/>
        <w:jc w:val="both"/>
        <w:rPr>
          <w:rFonts w:ascii="Arial" w:hAnsi="Arial" w:cs="Arial"/>
          <w:sz w:val="24"/>
          <w:szCs w:val="24"/>
        </w:rPr>
      </w:pPr>
    </w:p>
    <w:p w:rsidR="002E79C9" w:rsidRDefault="002E79C9" w:rsidP="002E79C9">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2E79C9" w:rsidRPr="007B0581" w:rsidRDefault="002E79C9" w:rsidP="002E79C9">
      <w:pPr>
        <w:pStyle w:val="Textonotapie"/>
        <w:widowControl w:val="0"/>
        <w:spacing w:line="360" w:lineRule="auto"/>
        <w:ind w:firstLine="708"/>
        <w:jc w:val="both"/>
        <w:rPr>
          <w:rFonts w:ascii="Arial" w:hAnsi="Arial" w:cs="Arial"/>
          <w:sz w:val="24"/>
          <w:szCs w:val="24"/>
          <w:lang w:eastAsia="es-MX"/>
        </w:rPr>
      </w:pPr>
    </w:p>
    <w:p w:rsidR="002E79C9" w:rsidRDefault="002E79C9" w:rsidP="002E79C9">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2E79C9" w:rsidRDefault="002E79C9" w:rsidP="002E79C9">
      <w:pPr>
        <w:pStyle w:val="Textonotapie"/>
        <w:widowControl w:val="0"/>
        <w:spacing w:line="360" w:lineRule="auto"/>
        <w:ind w:left="1701" w:right="1469"/>
        <w:jc w:val="both"/>
        <w:rPr>
          <w:rFonts w:ascii="Arial" w:hAnsi="Arial" w:cs="Arial"/>
          <w:b/>
          <w:sz w:val="24"/>
          <w:szCs w:val="24"/>
          <w:lang w:eastAsia="es-MX"/>
        </w:rPr>
      </w:pPr>
    </w:p>
    <w:p w:rsidR="002E79C9" w:rsidRDefault="002E79C9" w:rsidP="002E79C9">
      <w:pPr>
        <w:spacing w:line="360" w:lineRule="auto"/>
        <w:ind w:firstLine="709"/>
        <w:contextualSpacing/>
        <w:jc w:val="both"/>
        <w:rPr>
          <w:rFonts w:ascii="Arial" w:hAnsi="Arial" w:cs="Arial"/>
          <w:sz w:val="24"/>
          <w:szCs w:val="24"/>
        </w:rPr>
      </w:pPr>
      <w:r>
        <w:rPr>
          <w:rFonts w:ascii="Arial" w:hAnsi="Arial" w:cs="Arial"/>
          <w:bCs/>
          <w:sz w:val="24"/>
          <w:szCs w:val="24"/>
          <w:lang w:val="es-MX"/>
        </w:rPr>
        <w:t>La</w:t>
      </w:r>
      <w:r w:rsidRPr="00013C7C">
        <w:rPr>
          <w:rFonts w:ascii="Arial" w:hAnsi="Arial" w:cs="Arial"/>
          <w:bCs/>
          <w:sz w:val="24"/>
          <w:szCs w:val="24"/>
          <w:lang w:val="es-MX"/>
        </w:rPr>
        <w:t xml:space="preserve"> actor</w:t>
      </w:r>
      <w:r>
        <w:rPr>
          <w:rFonts w:ascii="Arial" w:hAnsi="Arial" w:cs="Arial"/>
          <w:bCs/>
          <w:sz w:val="24"/>
          <w:szCs w:val="24"/>
          <w:lang w:val="es-MX"/>
        </w:rPr>
        <w:t>a</w:t>
      </w:r>
      <w:r w:rsidRPr="00850D23">
        <w:rPr>
          <w:rFonts w:ascii="Arial" w:hAnsi="Arial" w:cs="Arial"/>
          <w:bCs/>
          <w:sz w:val="24"/>
          <w:szCs w:val="24"/>
          <w:lang w:val="es-MX"/>
        </w:rPr>
        <w:t xml:space="preserve"> </w:t>
      </w:r>
      <w:r>
        <w:rPr>
          <w:rFonts w:cs="Arial"/>
          <w:b/>
          <w:sz w:val="24"/>
          <w:szCs w:val="24"/>
        </w:rPr>
        <w:t>**********</w:t>
      </w:r>
      <w:r w:rsidRPr="00221CFA">
        <w:rPr>
          <w:rFonts w:ascii="Arial" w:hAnsi="Arial" w:cs="Arial"/>
          <w:bCs/>
          <w:sz w:val="24"/>
          <w:szCs w:val="24"/>
        </w:rPr>
        <w:t>,</w:t>
      </w:r>
      <w:r w:rsidRPr="00D737F7">
        <w:rPr>
          <w:rFonts w:ascii="Arial" w:hAnsi="Arial" w:cs="Arial"/>
          <w:b/>
          <w:sz w:val="24"/>
          <w:szCs w:val="24"/>
        </w:rPr>
        <w:t xml:space="preserve"> </w:t>
      </w:r>
      <w:bookmarkStart w:id="3" w:name="_Hlk90293366"/>
      <w:r w:rsidRPr="00850D23">
        <w:rPr>
          <w:rFonts w:ascii="Arial" w:hAnsi="Arial" w:cs="Arial"/>
          <w:sz w:val="24"/>
          <w:szCs w:val="24"/>
        </w:rPr>
        <w:t xml:space="preserve">demandó la nulidad </w:t>
      </w:r>
      <w:r>
        <w:rPr>
          <w:rFonts w:ascii="Arial" w:hAnsi="Arial" w:cs="Arial"/>
          <w:sz w:val="24"/>
          <w:szCs w:val="24"/>
        </w:rPr>
        <w:t xml:space="preserve">en contra de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veinte de diciembre de dos mil diecinueve, emitida por el Jefe de la Unidad Jurídica del Instituto Catastral del Estado de Oaxaca, mediante el cual se resolvió el Recurso de Revisión </w:t>
      </w:r>
      <w:r>
        <w:rPr>
          <w:rFonts w:cs="Arial"/>
          <w:b/>
          <w:sz w:val="24"/>
          <w:szCs w:val="24"/>
        </w:rPr>
        <w:t>**********</w:t>
      </w:r>
      <w:r>
        <w:rPr>
          <w:rFonts w:ascii="Arial" w:hAnsi="Arial" w:cs="Arial"/>
          <w:sz w:val="24"/>
          <w:szCs w:val="24"/>
        </w:rPr>
        <w:t xml:space="preserve">, por considerar </w:t>
      </w:r>
      <w:r w:rsidRPr="003E7AE8">
        <w:rPr>
          <w:rFonts w:ascii="Arial" w:hAnsi="Arial" w:cs="Arial"/>
          <w:sz w:val="24"/>
          <w:szCs w:val="24"/>
        </w:rPr>
        <w:t>que</w:t>
      </w:r>
      <w:r>
        <w:rPr>
          <w:rFonts w:ascii="Arial" w:hAnsi="Arial" w:cs="Arial"/>
          <w:sz w:val="24"/>
          <w:szCs w:val="24"/>
        </w:rPr>
        <w:t xml:space="preserve"> no se encuentra debidamente fundada ni motivada en virtud que no cumple con los elementos y requisitos de validez estipulados en las fracciones III, V, y VII del artículo 17 de la Ley de Procedimiento y Justicia Administrativa para el Estado de Oaxaca.</w:t>
      </w:r>
    </w:p>
    <w:p w:rsidR="002E79C9" w:rsidRDefault="002E79C9" w:rsidP="002E79C9">
      <w:pPr>
        <w:spacing w:line="360" w:lineRule="auto"/>
        <w:ind w:firstLine="709"/>
        <w:contextualSpacing/>
        <w:jc w:val="both"/>
        <w:rPr>
          <w:rFonts w:ascii="Arial" w:hAnsi="Arial" w:cs="Arial"/>
          <w:sz w:val="24"/>
          <w:szCs w:val="24"/>
        </w:rPr>
      </w:pPr>
    </w:p>
    <w:p w:rsidR="002E79C9" w:rsidRDefault="002E79C9" w:rsidP="002E79C9">
      <w:pPr>
        <w:spacing w:line="360" w:lineRule="auto"/>
        <w:ind w:firstLine="709"/>
        <w:contextualSpacing/>
        <w:jc w:val="both"/>
        <w:rPr>
          <w:rFonts w:ascii="Arial" w:hAnsi="Arial" w:cs="Arial"/>
          <w:sz w:val="24"/>
          <w:szCs w:val="24"/>
        </w:rPr>
      </w:pPr>
      <w:r w:rsidRPr="003E7AE8">
        <w:rPr>
          <w:rFonts w:ascii="Arial" w:hAnsi="Arial" w:cs="Arial"/>
          <w:sz w:val="24"/>
          <w:szCs w:val="24"/>
        </w:rPr>
        <w:t>Por su parte</w:t>
      </w:r>
      <w:r w:rsidRPr="00013C7C">
        <w:rPr>
          <w:rFonts w:ascii="Arial" w:hAnsi="Arial" w:cs="Arial"/>
          <w:sz w:val="24"/>
          <w:szCs w:val="24"/>
        </w:rPr>
        <w:t>,</w:t>
      </w:r>
      <w:r>
        <w:rPr>
          <w:rFonts w:ascii="Arial" w:hAnsi="Arial" w:cs="Arial"/>
          <w:sz w:val="24"/>
          <w:szCs w:val="24"/>
        </w:rPr>
        <w:t xml:space="preserve"> la autoridad demandada, indicó</w:t>
      </w:r>
      <w:r w:rsidRPr="00726A71">
        <w:rPr>
          <w:rFonts w:ascii="Arial" w:hAnsi="Arial" w:cs="Arial"/>
          <w:sz w:val="24"/>
          <w:szCs w:val="24"/>
        </w:rPr>
        <w:t xml:space="preserve"> que</w:t>
      </w:r>
      <w:r>
        <w:rPr>
          <w:rFonts w:ascii="Arial" w:hAnsi="Arial" w:cs="Arial"/>
          <w:sz w:val="24"/>
          <w:szCs w:val="24"/>
        </w:rPr>
        <w:t xml:space="preserve"> el acto impugnado se encuentra debidamente fundado y motivado, en razón que se expresaron con precisión los preceptos legales aplicables al caso, asimismo se señalaron con precisión las circunstancias especiales, razones particulares o causas inmediatas que se tuvieron en consideración para la emisión del acto. </w:t>
      </w:r>
    </w:p>
    <w:p w:rsidR="002E79C9" w:rsidRDefault="002E79C9" w:rsidP="002E79C9">
      <w:pPr>
        <w:spacing w:line="360" w:lineRule="auto"/>
        <w:ind w:firstLine="709"/>
        <w:contextualSpacing/>
        <w:jc w:val="both"/>
        <w:rPr>
          <w:rFonts w:ascii="Arial" w:hAnsi="Arial" w:cs="Arial"/>
          <w:sz w:val="24"/>
          <w:szCs w:val="24"/>
        </w:rPr>
      </w:pPr>
    </w:p>
    <w:bookmarkEnd w:id="3"/>
    <w:p w:rsidR="002E79C9" w:rsidRDefault="002E79C9" w:rsidP="002E79C9">
      <w:pPr>
        <w:spacing w:line="360" w:lineRule="auto"/>
        <w:ind w:firstLine="708"/>
        <w:jc w:val="both"/>
        <w:rPr>
          <w:rFonts w:ascii="Arial" w:hAnsi="Arial" w:cs="Arial"/>
          <w:sz w:val="24"/>
          <w:szCs w:val="24"/>
        </w:rPr>
      </w:pPr>
      <w:r w:rsidRPr="00A626D2">
        <w:rPr>
          <w:rFonts w:ascii="Arial" w:hAnsi="Arial" w:cs="Arial"/>
          <w:sz w:val="24"/>
          <w:szCs w:val="24"/>
        </w:rPr>
        <w:t>Ahora bien</w:t>
      </w:r>
      <w:r w:rsidRPr="007B0581">
        <w:rPr>
          <w:rFonts w:ascii="Arial" w:hAnsi="Arial" w:cs="Arial"/>
          <w:sz w:val="24"/>
          <w:szCs w:val="24"/>
        </w:rPr>
        <w:t>,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 </w:t>
      </w:r>
      <w:r>
        <w:rPr>
          <w:rFonts w:ascii="Arial" w:hAnsi="Arial" w:cs="Arial"/>
          <w:sz w:val="24"/>
          <w:szCs w:val="24"/>
        </w:rPr>
        <w:t xml:space="preserve">la resolución contenida en el oficio </w:t>
      </w:r>
      <w:r>
        <w:rPr>
          <w:rFonts w:cs="Arial"/>
          <w:b/>
          <w:sz w:val="24"/>
          <w:szCs w:val="24"/>
        </w:rPr>
        <w:t>**********</w:t>
      </w:r>
      <w:r>
        <w:rPr>
          <w:rFonts w:ascii="Arial" w:hAnsi="Arial" w:cs="Arial"/>
          <w:sz w:val="24"/>
          <w:szCs w:val="24"/>
        </w:rPr>
        <w:t xml:space="preserve"> de veinte de diciembre de dos mil diecinueve, emitida por el Jefe de la Unidad Jurídica del Instituto Catastral del Estado de Oaxaca, mediante el cual se resolvió el Recurso de Revisión </w:t>
      </w:r>
      <w:r>
        <w:rPr>
          <w:rFonts w:cs="Arial"/>
          <w:b/>
          <w:sz w:val="24"/>
          <w:szCs w:val="24"/>
        </w:rPr>
        <w:t>**********</w:t>
      </w:r>
      <w:r>
        <w:rPr>
          <w:rFonts w:ascii="Arial" w:hAnsi="Arial" w:cs="Arial"/>
          <w:sz w:val="24"/>
          <w:szCs w:val="24"/>
        </w:rPr>
        <w:t>,</w:t>
      </w:r>
      <w:r w:rsidRPr="00812150">
        <w:rPr>
          <w:rFonts w:ascii="Arial" w:hAnsi="Arial" w:cs="Arial"/>
          <w:sz w:val="24"/>
          <w:szCs w:val="24"/>
        </w:rPr>
        <w:t xml:space="preserve"> </w:t>
      </w:r>
      <w:r w:rsidRPr="00A8308C">
        <w:rPr>
          <w:rFonts w:ascii="Arial" w:hAnsi="Arial" w:cs="Arial"/>
          <w:sz w:val="24"/>
          <w:szCs w:val="24"/>
        </w:rPr>
        <w:t>advierte que</w:t>
      </w:r>
      <w:r>
        <w:rPr>
          <w:rFonts w:ascii="Arial" w:hAnsi="Arial" w:cs="Arial"/>
          <w:sz w:val="24"/>
          <w:szCs w:val="24"/>
        </w:rPr>
        <w:t xml:space="preserve">, </w:t>
      </w:r>
      <w:r w:rsidRPr="00761CFF">
        <w:rPr>
          <w:rFonts w:ascii="Arial" w:hAnsi="Arial" w:cs="Arial"/>
          <w:sz w:val="24"/>
          <w:szCs w:val="24"/>
        </w:rPr>
        <w:t xml:space="preserve">son </w:t>
      </w:r>
      <w:r w:rsidRPr="00761CFF">
        <w:rPr>
          <w:rFonts w:ascii="Arial" w:hAnsi="Arial" w:cs="Arial"/>
          <w:b/>
          <w:sz w:val="24"/>
          <w:szCs w:val="24"/>
        </w:rPr>
        <w:t>fundados</w:t>
      </w:r>
      <w:r w:rsidRPr="00761CFF">
        <w:rPr>
          <w:rFonts w:ascii="Arial" w:hAnsi="Arial" w:cs="Arial"/>
          <w:sz w:val="24"/>
          <w:szCs w:val="24"/>
        </w:rPr>
        <w:t xml:space="preserve"> los conceptos de impugnación segundo y cuarto hechos valer por la actora</w:t>
      </w:r>
      <w:r>
        <w:rPr>
          <w:rFonts w:ascii="Arial" w:hAnsi="Arial" w:cs="Arial"/>
          <w:sz w:val="24"/>
          <w:szCs w:val="24"/>
        </w:rPr>
        <w:t xml:space="preserve"> en su escrito de demanda</w:t>
      </w:r>
      <w:r w:rsidRPr="00761CFF">
        <w:rPr>
          <w:rFonts w:ascii="Arial" w:hAnsi="Arial" w:cs="Arial"/>
          <w:sz w:val="24"/>
          <w:szCs w:val="24"/>
        </w:rPr>
        <w:t>, en el sentido que no se encuentra debidamente fundado ni motivado. Se dice lo anterior, en virtud que</w:t>
      </w:r>
      <w:r>
        <w:rPr>
          <w:rFonts w:ascii="Arial" w:hAnsi="Arial" w:cs="Arial"/>
          <w:sz w:val="24"/>
          <w:szCs w:val="24"/>
        </w:rPr>
        <w:t xml:space="preserve">, la autoridad demandada refirió lo siguiente: </w:t>
      </w:r>
      <w:r w:rsidRPr="00791D4E">
        <w:rPr>
          <w:rFonts w:ascii="Arial" w:hAnsi="Arial" w:cs="Arial"/>
          <w:i/>
          <w:iCs/>
          <w:sz w:val="24"/>
          <w:szCs w:val="24"/>
        </w:rPr>
        <w:t xml:space="preserve">“Por otra parte, contrario a lo manifestado por la recurrente </w:t>
      </w:r>
      <w:r>
        <w:rPr>
          <w:rFonts w:cs="Arial"/>
          <w:b/>
          <w:sz w:val="24"/>
          <w:szCs w:val="24"/>
        </w:rPr>
        <w:t>**********</w:t>
      </w:r>
      <w:r w:rsidRPr="00791D4E">
        <w:rPr>
          <w:rFonts w:ascii="Arial" w:hAnsi="Arial" w:cs="Arial"/>
          <w:i/>
          <w:iCs/>
          <w:sz w:val="24"/>
          <w:szCs w:val="24"/>
        </w:rPr>
        <w:t xml:space="preserve">, no acredita ser propietaria del bien inmueble que señala como excedente </w:t>
      </w:r>
      <w:r w:rsidRPr="0073535B">
        <w:rPr>
          <w:rFonts w:ascii="Arial" w:hAnsi="Arial" w:cs="Arial"/>
          <w:i/>
          <w:iCs/>
          <w:sz w:val="24"/>
          <w:szCs w:val="24"/>
        </w:rPr>
        <w:t>que se refiere</w:t>
      </w:r>
      <w:r w:rsidRPr="00791D4E">
        <w:rPr>
          <w:rFonts w:ascii="Arial" w:hAnsi="Arial" w:cs="Arial"/>
          <w:i/>
          <w:iCs/>
          <w:sz w:val="24"/>
          <w:szCs w:val="24"/>
        </w:rPr>
        <w:t xml:space="preserve"> al registro de la cuenta predial </w:t>
      </w:r>
      <w:r>
        <w:rPr>
          <w:rFonts w:cs="Arial"/>
          <w:b/>
          <w:sz w:val="24"/>
          <w:szCs w:val="24"/>
        </w:rPr>
        <w:t>**********</w:t>
      </w:r>
      <w:r w:rsidRPr="00791D4E">
        <w:rPr>
          <w:rFonts w:ascii="Arial" w:hAnsi="Arial" w:cs="Arial"/>
          <w:i/>
          <w:iCs/>
          <w:sz w:val="24"/>
          <w:szCs w:val="24"/>
        </w:rPr>
        <w:t xml:space="preserve">, pues el contrato de compraventa tratándose de bienes inmuebles, para su validez requiere de las formalidades especiales que establece del (sic) </w:t>
      </w:r>
      <w:r w:rsidRPr="00791D4E">
        <w:rPr>
          <w:rFonts w:ascii="Arial" w:hAnsi="Arial" w:cs="Arial"/>
          <w:i/>
          <w:iCs/>
          <w:sz w:val="24"/>
          <w:szCs w:val="24"/>
        </w:rPr>
        <w:lastRenderedPageBreak/>
        <w:t>Código Civil vigente en el Estado, por lo que al no tener antecedentes registrales de propiedad en el Registro Público de la Propiedad, no tiene derecho de propiedad, tampoco demuestra la inconforme ser poseedora del bien inmueble que señala como excedente, en razón de que la única forma de acreditar la posesión de un bien inmueble del régimen de propiedad es por medio del procedimiento que establece el Código de Procedimientos Civiles vigente en el Estado…”</w:t>
      </w:r>
      <w:r>
        <w:rPr>
          <w:rFonts w:ascii="Arial" w:hAnsi="Arial" w:cs="Arial"/>
          <w:sz w:val="24"/>
          <w:szCs w:val="24"/>
        </w:rPr>
        <w:t xml:space="preserve">, en atención a la anterior transcripción, si bien, la autoridad demandada puntualizó que la actora no acreditó la propiedad del bien inmueble que señala como excedente, referente al registro de la cuenta predial número </w:t>
      </w:r>
      <w:r>
        <w:rPr>
          <w:rFonts w:cs="Arial"/>
          <w:b/>
          <w:sz w:val="24"/>
          <w:szCs w:val="24"/>
        </w:rPr>
        <w:t>**********</w:t>
      </w:r>
      <w:r>
        <w:rPr>
          <w:rFonts w:ascii="Arial" w:hAnsi="Arial" w:cs="Arial"/>
          <w:sz w:val="24"/>
          <w:szCs w:val="24"/>
        </w:rPr>
        <w:t xml:space="preserve">, lo cierto es que, la demandada no fundó ni motivó su actuar. Se dice lo anterior en virtud que no detalló o especificó las razones o motivos que tuvo en consideración para concluir que la superficie excedente que pretende rectificar la administrada debe estar previamente registrada en el entonces Registro Público de la Propiedad y del Comercio, para poder realizar la rectificación de medidas de un bien inmueble que ya se encuentra registrado en el Instituto Catastral del Estado de Oaxaca, aunado a que, el bien inmueble que pretende rectificar la administrada se encuentra registrado en el entonces Registro Público de la Propiedad y del Comercio del Estado de Oaxaca con el número de registro </w:t>
      </w:r>
      <w:r>
        <w:rPr>
          <w:rFonts w:cs="Arial"/>
          <w:b/>
          <w:sz w:val="24"/>
          <w:szCs w:val="24"/>
        </w:rPr>
        <w:t>**********</w:t>
      </w:r>
      <w:bookmarkStart w:id="4" w:name="_GoBack"/>
      <w:bookmarkEnd w:id="4"/>
      <w:r>
        <w:rPr>
          <w:rFonts w:ascii="Arial" w:hAnsi="Arial" w:cs="Arial"/>
          <w:sz w:val="24"/>
          <w:szCs w:val="24"/>
        </w:rPr>
        <w:t xml:space="preserve">, desde el doce de junio de dos mil catorce como se advierte de la copia certificada de la Constancia de Registro emitida por el Registrador del Distrito Judicial del Centro, documental que obra agregada a los presentes autos a foja 19, probanza que la demandada no refutó y a la cual se le otorga pleno valor probatorio de conformidad con el artículo </w:t>
      </w:r>
      <w:r w:rsidRPr="007B0C0A">
        <w:rPr>
          <w:rFonts w:ascii="Arial" w:hAnsi="Arial" w:cs="Arial"/>
          <w:sz w:val="24"/>
          <w:szCs w:val="24"/>
        </w:rPr>
        <w:t>203,</w:t>
      </w:r>
      <w:r>
        <w:rPr>
          <w:rFonts w:ascii="Arial" w:hAnsi="Arial" w:cs="Arial"/>
          <w:sz w:val="24"/>
          <w:szCs w:val="24"/>
        </w:rPr>
        <w:t xml:space="preserve"> fracción I de la Ley de Procedimiento y Justicia Administrativa para el Estado de Oaxaca, asimismo, la autoridad demandada no plasmó el ordenamiento legal que le impida realizar la multicitada rectificación. </w:t>
      </w:r>
    </w:p>
    <w:p w:rsidR="002E79C9" w:rsidRDefault="002E79C9" w:rsidP="002E79C9">
      <w:pPr>
        <w:spacing w:line="360" w:lineRule="auto"/>
        <w:jc w:val="both"/>
        <w:rPr>
          <w:rFonts w:ascii="Arial" w:hAnsi="Arial" w:cs="Arial"/>
          <w:sz w:val="24"/>
          <w:szCs w:val="24"/>
        </w:rPr>
      </w:pPr>
    </w:p>
    <w:p w:rsidR="002E79C9" w:rsidRDefault="002E79C9" w:rsidP="002E79C9">
      <w:pPr>
        <w:spacing w:line="360" w:lineRule="auto"/>
        <w:ind w:firstLine="708"/>
        <w:jc w:val="both"/>
        <w:rPr>
          <w:rFonts w:ascii="Arial" w:hAnsi="Arial" w:cs="Arial"/>
          <w:sz w:val="24"/>
          <w:szCs w:val="24"/>
        </w:rPr>
      </w:pPr>
      <w:r>
        <w:rPr>
          <w:rFonts w:ascii="Arial" w:hAnsi="Arial" w:cs="Arial"/>
          <w:sz w:val="24"/>
          <w:szCs w:val="24"/>
        </w:rPr>
        <w:t xml:space="preserve">Aunado a lo anterior, la autoridad demandada, refirió que la superficie excedente rebasa el 20% que el artículo 40, último párrafo, del Reglamento de la Ley de Catastro para el Estado de Oaxaca, fija como límite para que proceda el trámite de rectificación de datos, esta manifestación deviene de infundada en virtud que la demandada no hace una correcta interpretación del citado numeral, en razón que, éste establece que la superficie excedente de la inscrita en los registros catastrales al 20%, este excedente se considerará como superficie </w:t>
      </w:r>
      <w:r w:rsidRPr="009F5F04">
        <w:rPr>
          <w:rFonts w:ascii="Arial" w:hAnsi="Arial" w:cs="Arial"/>
          <w:sz w:val="24"/>
          <w:szCs w:val="24"/>
        </w:rPr>
        <w:t>oculta</w:t>
      </w:r>
      <w:r>
        <w:rPr>
          <w:rFonts w:ascii="Arial" w:hAnsi="Arial" w:cs="Arial"/>
          <w:sz w:val="24"/>
          <w:szCs w:val="24"/>
        </w:rPr>
        <w:t xml:space="preserve"> a la acción fiscal y como consecuencia, sujeta a las anotaciones que establezcan las leyes en la materia, esto es, no establece que debe desecharse el trámite catastral de rectificación de medidas del bien inmueble por exceder la superficie a rectificar del 20%, sino que, ese excedente lo considera como superficie oculta a la acción fiscal el cual se podrá rectificar sujetándose a las anotaciones que establezcan las leyes de la materia, dejando así de estar oculta al fisco, máxime que la inscripción de un inmueble en el padrón catastral no genera ningún derecho de propiedad o posesión </w:t>
      </w:r>
      <w:r>
        <w:rPr>
          <w:rFonts w:ascii="Arial" w:hAnsi="Arial" w:cs="Arial"/>
          <w:sz w:val="24"/>
          <w:szCs w:val="24"/>
        </w:rPr>
        <w:lastRenderedPageBreak/>
        <w:t xml:space="preserve">del mismo en favor de la persona a cuyo nombre aparezca inscrito, de conformidad con el artículo 59 de la Ley de Catastro para el Estado de Oaxaca, y tener el Instituto Catastral del Estado de Oaxaca, por finalidad la identificación, descripción, delimitación, localización, mensura de los bienes inmuebles, así como su inscripción en los registros catastrales, su valuación y la integración de la información relativa a sus características y elementos físicos.  </w:t>
      </w:r>
    </w:p>
    <w:p w:rsidR="002E79C9" w:rsidRDefault="002E79C9" w:rsidP="002E79C9">
      <w:pPr>
        <w:spacing w:line="360" w:lineRule="auto"/>
        <w:ind w:firstLine="708"/>
        <w:jc w:val="both"/>
        <w:rPr>
          <w:rFonts w:ascii="Arial" w:hAnsi="Arial" w:cs="Arial"/>
          <w:sz w:val="24"/>
          <w:szCs w:val="24"/>
        </w:rPr>
      </w:pPr>
    </w:p>
    <w:p w:rsidR="002E79C9" w:rsidRDefault="002E79C9" w:rsidP="002E79C9">
      <w:pPr>
        <w:spacing w:line="360" w:lineRule="auto"/>
        <w:ind w:firstLine="709"/>
        <w:contextualSpacing/>
        <w:jc w:val="both"/>
        <w:rPr>
          <w:rFonts w:ascii="Arial" w:hAnsi="Arial" w:cs="Arial"/>
          <w:i/>
          <w:sz w:val="24"/>
          <w:szCs w:val="24"/>
        </w:rPr>
      </w:pPr>
      <w:r>
        <w:rPr>
          <w:rFonts w:ascii="Arial" w:hAnsi="Arial" w:cs="Arial"/>
          <w:bCs/>
          <w:sz w:val="24"/>
          <w:szCs w:val="24"/>
        </w:rPr>
        <w:t xml:space="preserve">Por todo lo anteriormente expuesto, la autoridad demandada dejó en estado de indefensión a la administrada al interpretar indebidamente el artículo 40, último párrafo del Reglamento de la Ley de Catastro para el Estado de Oaxaca y negarle la rectificación de medidas de la cuenta catastral número 24870 que reclama, de conformidad con lo dispuesto en el artículo 17, fracción V, de la Ley de Procedimiento y Justicia Administrativa para el Estado de Oaxaca. </w:t>
      </w:r>
      <w:r w:rsidRPr="006B3008">
        <w:rPr>
          <w:rFonts w:ascii="Arial" w:hAnsi="Arial" w:cs="Arial"/>
          <w:sz w:val="24"/>
          <w:szCs w:val="24"/>
        </w:rPr>
        <w:t>Sirve</w:t>
      </w:r>
      <w:r w:rsidRPr="000B6BF7">
        <w:rPr>
          <w:rFonts w:ascii="Arial" w:hAnsi="Arial" w:cs="Arial"/>
          <w:sz w:val="24"/>
          <w:szCs w:val="24"/>
        </w:rPr>
        <w:t xml:space="preserve"> de sustento la siguiente Jurisprudencia VI. 2o. J/248v, de la Octava Época, emitida por los Tribunales Colegiados de Circuito, publicada en la Gaceta del Semanario Judicial de la Federación, número 64, abril de 1993, página 43,</w:t>
      </w:r>
      <w:r>
        <w:rPr>
          <w:rFonts w:ascii="Arial" w:hAnsi="Arial" w:cs="Arial"/>
          <w:sz w:val="24"/>
          <w:szCs w:val="24"/>
        </w:rPr>
        <w:t xml:space="preserve"> con número de registro 216534,</w:t>
      </w:r>
      <w:r w:rsidRPr="000B6BF7">
        <w:rPr>
          <w:rFonts w:ascii="Arial" w:hAnsi="Arial" w:cs="Arial"/>
          <w:sz w:val="24"/>
          <w:szCs w:val="24"/>
        </w:rPr>
        <w:t xml:space="preserve"> que al rubro dice: </w:t>
      </w:r>
      <w:r>
        <w:rPr>
          <w:rFonts w:ascii="Arial" w:hAnsi="Arial" w:cs="Arial"/>
          <w:sz w:val="24"/>
          <w:szCs w:val="24"/>
        </w:rPr>
        <w:t>“</w:t>
      </w:r>
      <w:r w:rsidRPr="000B6BF7">
        <w:rPr>
          <w:rFonts w:ascii="Arial" w:hAnsi="Arial" w:cs="Arial"/>
          <w:i/>
          <w:sz w:val="24"/>
          <w:szCs w:val="24"/>
        </w:rPr>
        <w:t>FUNDAMENTACION Y MOTIVACION DE LOS ACTOS ADMINISTRATIVOS.</w:t>
      </w:r>
      <w:r>
        <w:rPr>
          <w:rFonts w:ascii="Arial" w:hAnsi="Arial" w:cs="Arial"/>
          <w:i/>
          <w:sz w:val="24"/>
          <w:szCs w:val="24"/>
        </w:rPr>
        <w:t xml:space="preserve">” </w:t>
      </w:r>
    </w:p>
    <w:p w:rsidR="002E79C9" w:rsidRDefault="002E79C9" w:rsidP="002E79C9">
      <w:pPr>
        <w:spacing w:line="360" w:lineRule="auto"/>
        <w:ind w:firstLine="709"/>
        <w:contextualSpacing/>
        <w:jc w:val="both"/>
        <w:rPr>
          <w:rFonts w:ascii="Arial" w:hAnsi="Arial" w:cs="Arial"/>
          <w:i/>
          <w:sz w:val="24"/>
          <w:szCs w:val="24"/>
        </w:rPr>
      </w:pPr>
    </w:p>
    <w:p w:rsidR="002E79C9" w:rsidRPr="00FB3B46" w:rsidRDefault="002E79C9" w:rsidP="002E79C9">
      <w:pPr>
        <w:spacing w:line="360" w:lineRule="auto"/>
        <w:ind w:firstLine="709"/>
        <w:contextualSpacing/>
        <w:jc w:val="both"/>
        <w:rPr>
          <w:rFonts w:ascii="Arial" w:hAnsi="Arial" w:cs="Arial"/>
          <w:color w:val="212529"/>
          <w:sz w:val="24"/>
          <w:szCs w:val="24"/>
        </w:rPr>
      </w:pPr>
      <w:r w:rsidRPr="00FB3B46">
        <w:rPr>
          <w:rFonts w:ascii="Arial" w:hAnsi="Arial" w:cs="Arial"/>
          <w:sz w:val="24"/>
          <w:szCs w:val="24"/>
        </w:rPr>
        <w:t>Sin que le sea legalmente posible a la</w:t>
      </w:r>
      <w:r>
        <w:rPr>
          <w:rFonts w:ascii="Arial" w:hAnsi="Arial" w:cs="Arial"/>
          <w:sz w:val="24"/>
          <w:szCs w:val="24"/>
        </w:rPr>
        <w:t xml:space="preserve"> </w:t>
      </w:r>
      <w:r w:rsidRPr="00FB3B46">
        <w:rPr>
          <w:rFonts w:ascii="Arial" w:hAnsi="Arial" w:cs="Arial"/>
          <w:sz w:val="24"/>
          <w:szCs w:val="24"/>
        </w:rPr>
        <w:t>demandada mejorar la fundamentación y motivación del acto impugnado en su escrito de contestación de demanda</w:t>
      </w:r>
      <w:r>
        <w:rPr>
          <w:rFonts w:ascii="Arial" w:hAnsi="Arial" w:cs="Arial"/>
          <w:sz w:val="24"/>
          <w:szCs w:val="24"/>
        </w:rPr>
        <w:t>,</w:t>
      </w:r>
      <w:r w:rsidRPr="00FB3B46">
        <w:rPr>
          <w:rFonts w:ascii="Arial" w:hAnsi="Arial" w:cs="Arial"/>
          <w:sz w:val="24"/>
          <w:szCs w:val="24"/>
        </w:rPr>
        <w:t xml:space="preserve"> </w:t>
      </w:r>
      <w:r>
        <w:rPr>
          <w:rFonts w:ascii="Arial" w:hAnsi="Arial" w:cs="Arial"/>
          <w:sz w:val="24"/>
          <w:szCs w:val="24"/>
        </w:rPr>
        <w:t>en virtud que</w:t>
      </w:r>
      <w:r w:rsidRPr="00FB3B46">
        <w:rPr>
          <w:rFonts w:ascii="Arial" w:hAnsi="Arial" w:cs="Arial"/>
          <w:sz w:val="24"/>
          <w:szCs w:val="24"/>
        </w:rPr>
        <w:t xml:space="preserve"> es obligación de la autoridad </w:t>
      </w:r>
      <w:r w:rsidRPr="00FB3B46">
        <w:rPr>
          <w:rFonts w:ascii="Arial" w:hAnsi="Arial" w:cs="Arial"/>
          <w:color w:val="212529"/>
          <w:sz w:val="24"/>
          <w:szCs w:val="24"/>
        </w:rPr>
        <w:t>plasmar en el documento que contiene el acto impugnado la fundamentación y motivación y no en documento distinto</w:t>
      </w:r>
      <w:r>
        <w:rPr>
          <w:rFonts w:ascii="Arial" w:hAnsi="Arial" w:cs="Arial"/>
          <w:color w:val="212529"/>
          <w:sz w:val="24"/>
          <w:szCs w:val="24"/>
        </w:rPr>
        <w:t>.</w:t>
      </w:r>
      <w:r w:rsidRPr="00FB3B46">
        <w:rPr>
          <w:rFonts w:ascii="Arial" w:hAnsi="Arial" w:cs="Arial"/>
          <w:sz w:val="24"/>
          <w:szCs w:val="24"/>
        </w:rPr>
        <w:t xml:space="preserve"> </w:t>
      </w:r>
      <w:r>
        <w:rPr>
          <w:rFonts w:ascii="Arial" w:hAnsi="Arial" w:cs="Arial"/>
          <w:sz w:val="24"/>
          <w:szCs w:val="24"/>
        </w:rPr>
        <w:t>S</w:t>
      </w:r>
      <w:r w:rsidRPr="00FB3B46">
        <w:rPr>
          <w:rFonts w:ascii="Arial" w:hAnsi="Arial" w:cs="Arial"/>
          <w:sz w:val="24"/>
          <w:szCs w:val="24"/>
        </w:rPr>
        <w:t>irva de apoyo</w:t>
      </w:r>
      <w:r>
        <w:rPr>
          <w:rFonts w:ascii="Arial" w:hAnsi="Arial" w:cs="Arial"/>
          <w:sz w:val="24"/>
          <w:szCs w:val="24"/>
        </w:rPr>
        <w:t xml:space="preserve"> al criterio antes sustentado,</w:t>
      </w:r>
      <w:r w:rsidRPr="00FB3B46">
        <w:rPr>
          <w:rFonts w:ascii="Arial" w:hAnsi="Arial" w:cs="Arial"/>
          <w:sz w:val="24"/>
          <w:szCs w:val="24"/>
        </w:rPr>
        <w:t xml:space="preserve"> la jurisprudencia con número de registro 917740, Séptima Época, de la Segunda Sala de la Suprema Corte de Justicia de la Nación, Tomo VI, página 168, de rubro y texto siguiente: </w:t>
      </w:r>
      <w:r w:rsidRPr="00FB3B46">
        <w:rPr>
          <w:rFonts w:ascii="Arial" w:hAnsi="Arial" w:cs="Arial"/>
          <w:i/>
          <w:iCs/>
          <w:sz w:val="24"/>
          <w:szCs w:val="24"/>
        </w:rPr>
        <w:t>“FUNDAMENTACIÓN</w:t>
      </w:r>
      <w:r w:rsidRPr="00FB3B46">
        <w:rPr>
          <w:rFonts w:ascii="Arial" w:hAnsi="Arial" w:cs="Arial"/>
          <w:i/>
          <w:iCs/>
          <w:color w:val="212529"/>
          <w:sz w:val="24"/>
          <w:szCs w:val="24"/>
        </w:rPr>
        <w:t xml:space="preserve"> Y MOTIVACIÓN. DEBEN CONSTAR EN EL CUERPO DE LA RESOLUCIÓN Y NO EN DOCUMENTO DISTINTO. -</w:t>
      </w:r>
      <w:r w:rsidRPr="00FB3B46">
        <w:rPr>
          <w:rFonts w:ascii="Arial" w:hAnsi="Arial" w:cs="Arial"/>
          <w:b/>
          <w:bCs/>
          <w:i/>
          <w:iCs/>
          <w:color w:val="212529"/>
          <w:sz w:val="24"/>
          <w:szCs w:val="24"/>
        </w:rPr>
        <w:t xml:space="preserve"> </w:t>
      </w:r>
      <w:r w:rsidRPr="00FB3B46">
        <w:rPr>
          <w:rFonts w:ascii="Arial" w:hAnsi="Arial" w:cs="Arial"/>
          <w:i/>
          <w:iCs/>
          <w:color w:val="212529"/>
          <w:sz w:val="24"/>
          <w:szCs w:val="24"/>
        </w:rPr>
        <w:t>Las autoridades responsables no cumplen con la obligación constitucional de fundar y motivar debidamente las resoluciones que pronuncian, expresando las razones de hecho y las consideraciones legales en que se apoyan, cuando éstas aparecen en documento distinto.”</w:t>
      </w:r>
    </w:p>
    <w:p w:rsidR="002E79C9" w:rsidRDefault="002E79C9" w:rsidP="002E79C9">
      <w:pPr>
        <w:spacing w:line="360" w:lineRule="auto"/>
        <w:ind w:firstLine="709"/>
        <w:contextualSpacing/>
        <w:jc w:val="both"/>
        <w:rPr>
          <w:rFonts w:ascii="Arial" w:hAnsi="Arial" w:cs="Arial"/>
          <w:i/>
          <w:sz w:val="24"/>
          <w:szCs w:val="24"/>
        </w:rPr>
      </w:pPr>
    </w:p>
    <w:p w:rsidR="002E79C9" w:rsidRDefault="002E79C9" w:rsidP="002E79C9">
      <w:pPr>
        <w:spacing w:line="360" w:lineRule="auto"/>
        <w:ind w:firstLine="709"/>
        <w:contextualSpacing/>
        <w:jc w:val="both"/>
        <w:rPr>
          <w:rFonts w:ascii="Arial" w:hAnsi="Arial" w:cs="Arial"/>
          <w:sz w:val="24"/>
          <w:szCs w:val="24"/>
        </w:rPr>
      </w:pPr>
      <w:r w:rsidRPr="009761C8">
        <w:rPr>
          <w:rFonts w:ascii="Arial" w:hAnsi="Arial" w:cs="Arial"/>
          <w:bCs/>
          <w:color w:val="000000"/>
          <w:sz w:val="24"/>
          <w:szCs w:val="24"/>
        </w:rPr>
        <w:t xml:space="preserve">Cabe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 xml:space="preserve">el análisis de los demás planteamientos formulados por </w:t>
      </w:r>
      <w:r>
        <w:rPr>
          <w:rFonts w:ascii="Arial" w:hAnsi="Arial" w:cs="Arial"/>
          <w:bCs/>
          <w:color w:val="000000"/>
          <w:sz w:val="24"/>
          <w:szCs w:val="24"/>
        </w:rPr>
        <w:t>la</w:t>
      </w:r>
      <w:r w:rsidRPr="009761C8">
        <w:rPr>
          <w:rFonts w:ascii="Arial" w:hAnsi="Arial" w:cs="Arial"/>
          <w:bCs/>
          <w:color w:val="000000"/>
          <w:sz w:val="24"/>
          <w:szCs w:val="24"/>
        </w:rPr>
        <w:t xml:space="preserve"> actor</w:t>
      </w:r>
      <w:r>
        <w:rPr>
          <w:rFonts w:ascii="Arial" w:hAnsi="Arial" w:cs="Arial"/>
          <w:bCs/>
          <w:color w:val="000000"/>
          <w:sz w:val="24"/>
          <w:szCs w:val="24"/>
        </w:rPr>
        <w:t>a</w:t>
      </w:r>
      <w:r w:rsidRPr="009761C8">
        <w:rPr>
          <w:rFonts w:ascii="Arial" w:hAnsi="Arial" w:cs="Arial"/>
          <w:bCs/>
          <w:color w:val="000000"/>
          <w:sz w:val="24"/>
          <w:szCs w:val="24"/>
        </w:rPr>
        <w:t>,</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 xml:space="preserve">lo analizado fue suficiente para declarar la </w:t>
      </w:r>
      <w:r w:rsidRPr="0078027A">
        <w:rPr>
          <w:rFonts w:ascii="Arial" w:hAnsi="Arial" w:cs="Arial"/>
          <w:bCs/>
          <w:color w:val="000000"/>
          <w:sz w:val="24"/>
          <w:szCs w:val="24"/>
        </w:rPr>
        <w:t>nulidad</w:t>
      </w:r>
      <w:r w:rsidRPr="009761C8">
        <w:rPr>
          <w:rFonts w:ascii="Arial" w:hAnsi="Arial" w:cs="Arial"/>
          <w:bCs/>
          <w:color w:val="000000"/>
          <w:sz w:val="24"/>
          <w:szCs w:val="24"/>
        </w:rPr>
        <w:t xml:space="preserve"> del mismo, pretensión principal de</w:t>
      </w:r>
      <w:r>
        <w:rPr>
          <w:rFonts w:ascii="Arial" w:hAnsi="Arial" w:cs="Arial"/>
          <w:bCs/>
          <w:color w:val="000000"/>
          <w:sz w:val="24"/>
          <w:szCs w:val="24"/>
        </w:rPr>
        <w:t xml:space="preserve"> </w:t>
      </w:r>
      <w:r w:rsidRPr="009761C8">
        <w:rPr>
          <w:rFonts w:ascii="Arial" w:hAnsi="Arial" w:cs="Arial"/>
          <w:bCs/>
          <w:color w:val="000000"/>
          <w:sz w:val="24"/>
          <w:szCs w:val="24"/>
        </w:rPr>
        <w:t>l</w:t>
      </w:r>
      <w:r>
        <w:rPr>
          <w:rFonts w:ascii="Arial" w:hAnsi="Arial" w:cs="Arial"/>
          <w:bCs/>
          <w:color w:val="000000"/>
          <w:sz w:val="24"/>
          <w:szCs w:val="24"/>
        </w:rPr>
        <w:t>a</w:t>
      </w:r>
      <w:r w:rsidRPr="009761C8">
        <w:rPr>
          <w:rFonts w:ascii="Arial" w:hAnsi="Arial" w:cs="Arial"/>
          <w:bCs/>
          <w:color w:val="000000"/>
          <w:sz w:val="24"/>
          <w:szCs w:val="24"/>
        </w:rPr>
        <w:t xml:space="preserve"> actor</w:t>
      </w:r>
      <w:r>
        <w:rPr>
          <w:rFonts w:ascii="Arial" w:hAnsi="Arial" w:cs="Arial"/>
          <w:bCs/>
          <w:color w:val="000000"/>
          <w:sz w:val="24"/>
          <w:szCs w:val="24"/>
        </w:rPr>
        <w:t>a</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xml:space="preserve">, sustentada por el Cuarto Tribunal Colegiado en materia </w:t>
      </w:r>
      <w:r w:rsidRPr="009761C8">
        <w:rPr>
          <w:rFonts w:ascii="Arial" w:hAnsi="Arial" w:cs="Arial"/>
          <w:bCs/>
          <w:sz w:val="24"/>
          <w:szCs w:val="24"/>
        </w:rPr>
        <w:lastRenderedPageBreak/>
        <w:t>Administrativa del Primer Circuito, publicada en el Semanario Judicial de la 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w:t>
      </w:r>
      <w:r>
        <w:rPr>
          <w:rFonts w:ascii="Arial" w:hAnsi="Arial" w:cs="Arial"/>
          <w:b/>
          <w:bCs/>
          <w:sz w:val="24"/>
          <w:szCs w:val="24"/>
        </w:rPr>
        <w:t>“</w:t>
      </w:r>
      <w:r w:rsidRPr="001520FE">
        <w:rPr>
          <w:rFonts w:ascii="Arial" w:hAnsi="Arial" w:cs="Arial"/>
          <w:i/>
          <w:iCs/>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r>
        <w:rPr>
          <w:rFonts w:ascii="Arial" w:hAnsi="Arial" w:cs="Arial"/>
          <w:i/>
          <w:iCs/>
          <w:sz w:val="24"/>
          <w:szCs w:val="24"/>
        </w:rPr>
        <w:t>”</w:t>
      </w:r>
      <w:r w:rsidRPr="001520FE">
        <w:rPr>
          <w:rFonts w:ascii="Arial" w:hAnsi="Arial" w:cs="Arial"/>
          <w:i/>
          <w:iCs/>
          <w:sz w:val="24"/>
          <w:szCs w:val="24"/>
        </w:rPr>
        <w:t>.</w:t>
      </w:r>
    </w:p>
    <w:p w:rsidR="002E79C9" w:rsidRDefault="002E79C9" w:rsidP="002E79C9">
      <w:pPr>
        <w:spacing w:line="360" w:lineRule="auto"/>
        <w:ind w:firstLine="709"/>
        <w:contextualSpacing/>
        <w:jc w:val="both"/>
        <w:rPr>
          <w:rFonts w:ascii="Arial" w:hAnsi="Arial" w:cs="Arial"/>
          <w:sz w:val="24"/>
          <w:szCs w:val="24"/>
        </w:rPr>
      </w:pPr>
      <w:r>
        <w:rPr>
          <w:rFonts w:ascii="Arial" w:hAnsi="Arial" w:cs="Arial"/>
          <w:sz w:val="24"/>
          <w:szCs w:val="24"/>
        </w:rPr>
        <w:t xml:space="preserve"> </w:t>
      </w:r>
    </w:p>
    <w:p w:rsidR="002E79C9" w:rsidRDefault="002E79C9" w:rsidP="002E79C9">
      <w:pPr>
        <w:spacing w:line="360" w:lineRule="auto"/>
        <w:ind w:firstLine="709"/>
        <w:contextualSpacing/>
        <w:jc w:val="both"/>
        <w:rPr>
          <w:rFonts w:ascii="Arial" w:hAnsi="Arial" w:cs="Arial"/>
          <w:sz w:val="24"/>
          <w:szCs w:val="24"/>
        </w:rPr>
      </w:pPr>
      <w:r w:rsidRPr="007B0581">
        <w:rPr>
          <w:rFonts w:ascii="Arial" w:hAnsi="Arial" w:cs="Arial"/>
          <w:sz w:val="24"/>
          <w:szCs w:val="24"/>
        </w:rPr>
        <w:t>De lo antes expuesto, al</w:t>
      </w:r>
      <w:r>
        <w:rPr>
          <w:rFonts w:ascii="Arial" w:hAnsi="Arial" w:cs="Arial"/>
          <w:sz w:val="24"/>
          <w:szCs w:val="24"/>
        </w:rPr>
        <w:t xml:space="preserve"> no encontrarse debidamente fundada ni motivada la determinación de</w:t>
      </w:r>
      <w:r w:rsidRPr="007B0581">
        <w:rPr>
          <w:rFonts w:ascii="Arial" w:hAnsi="Arial" w:cs="Arial"/>
          <w:sz w:val="24"/>
          <w:szCs w:val="24"/>
        </w:rPr>
        <w:t xml:space="preserve"> la autoridad demandada</w:t>
      </w:r>
      <w:r>
        <w:rPr>
          <w:rFonts w:ascii="Arial" w:hAnsi="Arial" w:cs="Arial"/>
          <w:sz w:val="24"/>
          <w:szCs w:val="24"/>
        </w:rPr>
        <w:t xml:space="preserve">, </w:t>
      </w:r>
      <w:r w:rsidRPr="007B0581">
        <w:rPr>
          <w:rFonts w:ascii="Arial" w:hAnsi="Arial" w:cs="Arial"/>
          <w:sz w:val="24"/>
          <w:szCs w:val="24"/>
        </w:rPr>
        <w:t xml:space="preserve">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de</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 xml:space="preserve">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veinte de diciembre de dos mil diecinueve, emitida por el Jefe de la Unidad Jurídica del Instituto Catastral del Estado de Oaxaca, mediante el cual se resolvió el Recurso de Revisión </w:t>
      </w:r>
      <w:r>
        <w:rPr>
          <w:rFonts w:cs="Arial"/>
          <w:b/>
          <w:sz w:val="24"/>
          <w:szCs w:val="24"/>
        </w:rPr>
        <w:t>**********</w:t>
      </w:r>
      <w:r w:rsidRPr="007B0581">
        <w:rPr>
          <w:rFonts w:ascii="Arial" w:hAnsi="Arial" w:cs="Arial"/>
          <w:sz w:val="24"/>
          <w:szCs w:val="24"/>
        </w:rPr>
        <w:t xml:space="preserve">, </w:t>
      </w:r>
      <w:r w:rsidRPr="007B0581">
        <w:rPr>
          <w:rFonts w:ascii="Arial" w:hAnsi="Arial" w:cs="Arial"/>
          <w:b/>
          <w:bCs/>
          <w:sz w:val="24"/>
          <w:szCs w:val="24"/>
        </w:rPr>
        <w:t xml:space="preserve">PARA EL EFECTO </w:t>
      </w:r>
      <w:r>
        <w:rPr>
          <w:rFonts w:ascii="Arial" w:hAnsi="Arial" w:cs="Arial"/>
          <w:sz w:val="24"/>
          <w:szCs w:val="24"/>
        </w:rPr>
        <w:t xml:space="preserve">de </w:t>
      </w:r>
      <w:r w:rsidRPr="007B0581">
        <w:rPr>
          <w:rFonts w:ascii="Arial" w:hAnsi="Arial" w:cs="Arial"/>
          <w:sz w:val="24"/>
          <w:szCs w:val="24"/>
        </w:rPr>
        <w:t xml:space="preserve">que una vez que cause estado la presente resolución, </w:t>
      </w:r>
      <w:r>
        <w:rPr>
          <w:rFonts w:ascii="Arial" w:hAnsi="Arial" w:cs="Arial"/>
          <w:sz w:val="24"/>
          <w:szCs w:val="24"/>
        </w:rPr>
        <w:t>el Jefe de la Unidad Jurídica del Instituto Catastral del Estado de Oaxaca, dicte otra donde realice la rectificación de la superficie e</w:t>
      </w:r>
      <w:r w:rsidRPr="0088389B">
        <w:rPr>
          <w:rFonts w:ascii="Arial" w:hAnsi="Arial" w:cs="Arial"/>
          <w:sz w:val="24"/>
          <w:szCs w:val="24"/>
        </w:rPr>
        <w:t>xcedente</w:t>
      </w:r>
      <w:r>
        <w:rPr>
          <w:rFonts w:ascii="Arial" w:hAnsi="Arial" w:cs="Arial"/>
          <w:sz w:val="24"/>
          <w:szCs w:val="24"/>
        </w:rPr>
        <w:t xml:space="preserve"> de la cuenta predial número </w:t>
      </w:r>
      <w:r>
        <w:rPr>
          <w:rFonts w:cs="Arial"/>
          <w:b/>
          <w:sz w:val="24"/>
          <w:szCs w:val="24"/>
        </w:rPr>
        <w:t>**********</w:t>
      </w:r>
      <w:r>
        <w:rPr>
          <w:rFonts w:ascii="Arial" w:hAnsi="Arial" w:cs="Arial"/>
          <w:sz w:val="24"/>
          <w:szCs w:val="24"/>
        </w:rPr>
        <w:t xml:space="preserve"> que reclama la actora, haciéndose las anotaciones respectivas; fundando y motivando la misma acorde a lo establecido en la fracción V del artículo 17, de la Ley de Procedimiento y Justicia Administrativa para el Estado de Oaxaca.</w:t>
      </w:r>
    </w:p>
    <w:p w:rsidR="002E79C9" w:rsidRDefault="002E79C9" w:rsidP="002E79C9">
      <w:pPr>
        <w:spacing w:line="360" w:lineRule="auto"/>
        <w:ind w:firstLine="709"/>
        <w:contextualSpacing/>
        <w:jc w:val="both"/>
        <w:rPr>
          <w:rFonts w:ascii="Arial" w:hAnsi="Arial" w:cs="Arial"/>
          <w:sz w:val="24"/>
          <w:szCs w:val="24"/>
        </w:rPr>
      </w:pPr>
    </w:p>
    <w:p w:rsidR="002E79C9" w:rsidRPr="007B0581" w:rsidRDefault="002E79C9" w:rsidP="002E79C9">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2E79C9" w:rsidRDefault="002E79C9" w:rsidP="002E79C9">
      <w:pPr>
        <w:spacing w:line="360" w:lineRule="auto"/>
        <w:ind w:firstLine="708"/>
        <w:jc w:val="both"/>
        <w:rPr>
          <w:rFonts w:ascii="Arial" w:eastAsia="Calibri" w:hAnsi="Arial" w:cs="Arial"/>
          <w:color w:val="000000"/>
          <w:sz w:val="24"/>
          <w:szCs w:val="24"/>
          <w:lang w:val="es-MX" w:eastAsia="en-US"/>
        </w:rPr>
      </w:pPr>
    </w:p>
    <w:p w:rsidR="002E79C9" w:rsidRDefault="002E79C9" w:rsidP="002E79C9">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w:t>
      </w:r>
      <w:r w:rsidRPr="004D0685">
        <w:rPr>
          <w:rFonts w:ascii="Arial" w:eastAsia="Calibri" w:hAnsi="Arial" w:cs="Arial"/>
          <w:color w:val="000000"/>
          <w:sz w:val="24"/>
          <w:szCs w:val="24"/>
          <w:lang w:val="es-MX" w:eastAsia="en-US"/>
        </w:rPr>
        <w:t>207,</w:t>
      </w:r>
      <w:r>
        <w:rPr>
          <w:rFonts w:ascii="Arial" w:eastAsia="Calibri" w:hAnsi="Arial" w:cs="Arial"/>
          <w:color w:val="000000"/>
          <w:sz w:val="24"/>
          <w:szCs w:val="24"/>
          <w:lang w:val="es-MX" w:eastAsia="en-US"/>
        </w:rPr>
        <w:t xml:space="preserve"> 208, fracciones II y VI</w:t>
      </w:r>
      <w:r w:rsidRPr="004D0685">
        <w:rPr>
          <w:rFonts w:ascii="Arial" w:eastAsia="Calibri" w:hAnsi="Arial" w:cs="Arial"/>
          <w:color w:val="000000"/>
          <w:sz w:val="24"/>
          <w:szCs w:val="24"/>
          <w:lang w:val="es-MX" w:eastAsia="en-US"/>
        </w:rPr>
        <w:t xml:space="preserve"> y 209,</w:t>
      </w:r>
      <w:r w:rsidRPr="007B0581">
        <w:rPr>
          <w:rFonts w:ascii="Arial" w:eastAsia="Calibri" w:hAnsi="Arial" w:cs="Arial"/>
          <w:color w:val="000000"/>
          <w:sz w:val="24"/>
          <w:szCs w:val="24"/>
          <w:lang w:val="es-MX" w:eastAsia="en-US"/>
        </w:rPr>
        <w:t xml:space="preserve"> de la Ley de Procedimiento y Justicia Administrativa para el Estado de Oaxaca, se;</w:t>
      </w:r>
    </w:p>
    <w:p w:rsidR="002E79C9" w:rsidRDefault="002E79C9" w:rsidP="002E79C9">
      <w:pPr>
        <w:spacing w:line="360" w:lineRule="auto"/>
        <w:ind w:firstLine="708"/>
        <w:jc w:val="both"/>
        <w:rPr>
          <w:rFonts w:ascii="Arial" w:eastAsia="Calibri" w:hAnsi="Arial" w:cs="Arial"/>
          <w:color w:val="000000"/>
          <w:sz w:val="24"/>
          <w:szCs w:val="24"/>
          <w:lang w:val="es-MX" w:eastAsia="en-US"/>
        </w:rPr>
      </w:pPr>
    </w:p>
    <w:p w:rsidR="002E79C9" w:rsidRDefault="002E79C9" w:rsidP="002E79C9">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2E79C9" w:rsidRDefault="002E79C9" w:rsidP="002E79C9">
      <w:pPr>
        <w:tabs>
          <w:tab w:val="left" w:pos="3786"/>
        </w:tabs>
        <w:spacing w:line="360" w:lineRule="auto"/>
        <w:ind w:firstLine="708"/>
        <w:jc w:val="both"/>
        <w:rPr>
          <w:rFonts w:ascii="Arial" w:hAnsi="Arial" w:cs="Arial"/>
          <w:b/>
          <w:sz w:val="24"/>
          <w:szCs w:val="24"/>
        </w:rPr>
      </w:pPr>
    </w:p>
    <w:p w:rsidR="002E79C9" w:rsidRDefault="002E79C9" w:rsidP="002E79C9">
      <w:pPr>
        <w:tabs>
          <w:tab w:val="left" w:pos="3932"/>
        </w:tabs>
        <w:jc w:val="both"/>
        <w:rPr>
          <w:rFonts w:ascii="Arial" w:hAnsi="Arial" w:cs="Arial"/>
          <w:b/>
          <w:sz w:val="24"/>
          <w:szCs w:val="24"/>
        </w:rPr>
      </w:pPr>
      <w:r w:rsidRPr="007B0581">
        <w:rPr>
          <w:rFonts w:ascii="Arial" w:hAnsi="Arial" w:cs="Arial"/>
          <w:b/>
          <w:sz w:val="24"/>
          <w:szCs w:val="24"/>
        </w:rPr>
        <w:tab/>
      </w:r>
    </w:p>
    <w:p w:rsidR="002E79C9" w:rsidRPr="007B0581" w:rsidRDefault="002E79C9" w:rsidP="002E79C9">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lastRenderedPageBreak/>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2E79C9" w:rsidRPr="007B0581" w:rsidRDefault="002E79C9" w:rsidP="002E79C9">
      <w:pPr>
        <w:pStyle w:val="Textoindependiente"/>
        <w:ind w:firstLine="709"/>
        <w:contextualSpacing/>
        <w:jc w:val="both"/>
        <w:rPr>
          <w:rFonts w:ascii="Arial" w:hAnsi="Arial" w:cs="Arial"/>
          <w:b/>
          <w:sz w:val="24"/>
          <w:szCs w:val="24"/>
        </w:rPr>
      </w:pPr>
    </w:p>
    <w:p w:rsidR="002E79C9" w:rsidRDefault="002E79C9" w:rsidP="002E79C9">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2E79C9" w:rsidRPr="007B0581" w:rsidRDefault="002E79C9" w:rsidP="002E79C9">
      <w:pPr>
        <w:pStyle w:val="Textoindependiente"/>
        <w:spacing w:line="360" w:lineRule="auto"/>
        <w:ind w:firstLine="708"/>
        <w:jc w:val="both"/>
        <w:rPr>
          <w:rFonts w:ascii="Arial" w:eastAsia="Arial Unicode MS" w:hAnsi="Arial" w:cs="Arial"/>
          <w:kern w:val="1"/>
          <w:sz w:val="24"/>
          <w:szCs w:val="24"/>
          <w:lang w:val="es-MX" w:eastAsia="ar-SA"/>
        </w:rPr>
      </w:pPr>
    </w:p>
    <w:p w:rsidR="002E79C9" w:rsidRDefault="002E79C9" w:rsidP="002E79C9">
      <w:pPr>
        <w:spacing w:line="360" w:lineRule="auto"/>
        <w:ind w:right="51" w:firstLine="567"/>
        <w:contextualSpacing/>
        <w:jc w:val="both"/>
        <w:rPr>
          <w:rFonts w:ascii="Arial" w:eastAsia="Calibri" w:hAnsi="Arial" w:cs="Arial"/>
          <w:color w:val="000000"/>
          <w:sz w:val="24"/>
          <w:szCs w:val="24"/>
          <w:lang w:val="es-MX" w:eastAsia="en-US"/>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2E79C9" w:rsidRDefault="002E79C9" w:rsidP="002E79C9">
      <w:pPr>
        <w:spacing w:line="360" w:lineRule="auto"/>
        <w:ind w:right="51" w:firstLine="567"/>
        <w:contextualSpacing/>
        <w:jc w:val="both"/>
        <w:rPr>
          <w:rFonts w:ascii="Arial" w:hAnsi="Arial" w:cs="Arial"/>
          <w:b/>
          <w:bCs/>
          <w:sz w:val="24"/>
          <w:szCs w:val="24"/>
        </w:rPr>
      </w:pPr>
    </w:p>
    <w:p w:rsidR="002E79C9" w:rsidRPr="007B0581" w:rsidRDefault="002E79C9" w:rsidP="002E79C9">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BB5812">
        <w:rPr>
          <w:rFonts w:ascii="Arial" w:hAnsi="Arial" w:cs="Arial"/>
          <w:b/>
          <w:sz w:val="24"/>
          <w:szCs w:val="24"/>
        </w:rPr>
        <w:t xml:space="preserve"> </w:t>
      </w:r>
      <w:r w:rsidRPr="00A84B6D">
        <w:rPr>
          <w:rFonts w:ascii="Arial" w:hAnsi="Arial" w:cs="Arial"/>
          <w:sz w:val="24"/>
          <w:szCs w:val="24"/>
        </w:rPr>
        <w:t>d</w:t>
      </w:r>
      <w:r>
        <w:rPr>
          <w:rFonts w:ascii="Arial" w:hAnsi="Arial" w:cs="Arial"/>
          <w:sz w:val="24"/>
          <w:szCs w:val="24"/>
        </w:rPr>
        <w:t xml:space="preserve">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veinte de diciembre de dos mil diecinueve, emitida por el Jefe de la Unidad Jurídica del Instituto Catastral del Estado de Oaxaca, mediante el cual se resolvió el Recurso de Revisión </w:t>
      </w:r>
      <w:r>
        <w:rPr>
          <w:rFonts w:cs="Arial"/>
          <w:b/>
          <w:sz w:val="24"/>
          <w:szCs w:val="24"/>
        </w:rPr>
        <w:t>**********</w:t>
      </w:r>
      <w:r>
        <w:rPr>
          <w:rFonts w:ascii="Arial" w:hAnsi="Arial" w:cs="Arial"/>
          <w:bCs/>
          <w:sz w:val="24"/>
          <w:szCs w:val="24"/>
        </w:rPr>
        <w:t>,</w:t>
      </w:r>
      <w:r w:rsidRPr="00BB5812">
        <w:rPr>
          <w:rFonts w:ascii="Arial" w:hAnsi="Arial" w:cs="Arial"/>
          <w:bCs/>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de que dicte otr</w:t>
      </w:r>
      <w:r>
        <w:rPr>
          <w:rFonts w:ascii="Arial" w:hAnsi="Arial" w:cs="Arial"/>
          <w:sz w:val="24"/>
          <w:szCs w:val="24"/>
        </w:rPr>
        <w:t>a</w:t>
      </w:r>
      <w:r w:rsidRPr="007B0581">
        <w:rPr>
          <w:rFonts w:ascii="Arial" w:hAnsi="Arial" w:cs="Arial"/>
          <w:sz w:val="24"/>
          <w:szCs w:val="24"/>
        </w:rPr>
        <w:t xml:space="preserve"> en los términos indicados</w:t>
      </w:r>
      <w:r>
        <w:rPr>
          <w:rFonts w:ascii="Arial" w:hAnsi="Arial" w:cs="Arial"/>
          <w:sz w:val="24"/>
          <w:szCs w:val="24"/>
        </w:rPr>
        <w:t xml:space="preserve"> en la parte final del considerando</w:t>
      </w:r>
      <w:r w:rsidRPr="007B0581">
        <w:rPr>
          <w:rFonts w:ascii="Arial" w:hAnsi="Arial" w:cs="Arial"/>
          <w:sz w:val="24"/>
          <w:szCs w:val="24"/>
        </w:rPr>
        <w:t xml:space="preserve"> CUARTO de la presente sentencia</w:t>
      </w:r>
      <w:r>
        <w:rPr>
          <w:rFonts w:ascii="Arial" w:hAnsi="Arial" w:cs="Arial"/>
          <w:bCs/>
          <w:sz w:val="24"/>
          <w:szCs w:val="24"/>
        </w:rPr>
        <w:t>.</w:t>
      </w:r>
    </w:p>
    <w:p w:rsidR="002E79C9" w:rsidRPr="00781224" w:rsidRDefault="002E79C9" w:rsidP="002E79C9">
      <w:pPr>
        <w:spacing w:line="360" w:lineRule="auto"/>
        <w:ind w:right="51" w:firstLine="567"/>
        <w:jc w:val="both"/>
        <w:rPr>
          <w:rFonts w:ascii="Arial" w:hAnsi="Arial" w:cs="Arial"/>
          <w:sz w:val="24"/>
          <w:szCs w:val="24"/>
          <w:lang w:val="es-MX"/>
        </w:rPr>
      </w:pPr>
    </w:p>
    <w:p w:rsidR="002E79C9" w:rsidRDefault="002E79C9" w:rsidP="002E79C9">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w:t>
      </w:r>
      <w:r w:rsidRPr="007B0581">
        <w:rPr>
          <w:rFonts w:ascii="Arial" w:eastAsia="Calibri" w:hAnsi="Arial" w:cs="Arial"/>
          <w:b/>
          <w:color w:val="000000"/>
          <w:sz w:val="24"/>
          <w:szCs w:val="24"/>
          <w:lang w:val="es-MX" w:eastAsia="en-US"/>
        </w:rPr>
        <w:t>CÚMPLASE.</w:t>
      </w:r>
    </w:p>
    <w:p w:rsidR="002E79C9" w:rsidRDefault="002E79C9" w:rsidP="002E79C9">
      <w:pPr>
        <w:spacing w:line="360" w:lineRule="auto"/>
        <w:ind w:right="51" w:firstLine="567"/>
        <w:jc w:val="both"/>
        <w:rPr>
          <w:rFonts w:ascii="Arial" w:eastAsia="Calibri" w:hAnsi="Arial" w:cs="Arial"/>
          <w:b/>
          <w:color w:val="000000"/>
          <w:sz w:val="24"/>
          <w:szCs w:val="24"/>
          <w:lang w:val="es-MX" w:eastAsia="en-US"/>
        </w:rPr>
      </w:pPr>
    </w:p>
    <w:p w:rsidR="002E79C9" w:rsidRDefault="002E79C9" w:rsidP="002E79C9">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79C9" w:rsidRDefault="002E79C9" w:rsidP="002E79C9">
      <w:r>
        <w:separator/>
      </w:r>
    </w:p>
  </w:endnote>
  <w:endnote w:type="continuationSeparator" w:id="0">
    <w:p w:rsidR="002E79C9" w:rsidRDefault="002E79C9" w:rsidP="002E7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2E79C9">
        <w:pPr>
          <w:pStyle w:val="Piedepgina"/>
          <w:jc w:val="center"/>
        </w:pPr>
        <w:r>
          <w:fldChar w:fldCharType="begin"/>
        </w:r>
        <w:r>
          <w:instrText>PAGE   \* MERGEFORMAT</w:instrText>
        </w:r>
        <w:r>
          <w:fldChar w:fldCharType="separate"/>
        </w:r>
        <w:r>
          <w:rPr>
            <w:noProof/>
          </w:rPr>
          <w:t>8</w:t>
        </w:r>
        <w:r>
          <w:fldChar w:fldCharType="end"/>
        </w:r>
      </w:p>
    </w:sdtContent>
  </w:sdt>
  <w:p w:rsidR="009525A3" w:rsidRDefault="002E79C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79C9" w:rsidRDefault="002E79C9" w:rsidP="002E79C9">
      <w:r>
        <w:separator/>
      </w:r>
    </w:p>
  </w:footnote>
  <w:footnote w:type="continuationSeparator" w:id="0">
    <w:p w:rsidR="002E79C9" w:rsidRDefault="002E79C9" w:rsidP="002E7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2E79C9"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2F99825B" wp14:editId="2F2A970E">
              <wp:simplePos x="0" y="0"/>
              <wp:positionH relativeFrom="leftMargin">
                <wp:posOffset>282712</wp:posOffset>
              </wp:positionH>
              <wp:positionV relativeFrom="paragraph">
                <wp:posOffset>4119374</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2E79C9" w:rsidRDefault="002E79C9" w:rsidP="002E79C9">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99825B" id="_x0000_t202" coordsize="21600,21600" o:spt="202" path="m,l,21600r21600,l21600,xe">
              <v:stroke joinstyle="miter"/>
              <v:path gradientshapeok="t" o:connecttype="rect"/>
            </v:shapetype>
            <v:shape id="Cuadro de texto 4" o:spid="_x0000_s1026" type="#_x0000_t202" style="position:absolute;left:0;text-align:left;margin-left:22.25pt;margin-top:324.3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Xy5gDuAAAAAKAQAADwAAAGRycy9k&#10;b3ducmV2LnhtbEyPwU7DMAxA70j8Q2QkLmhL2bq2K00nhARiN9gQXLPGaysSpyRZV/6ecIKj5afn&#10;52ozGc1GdL63JOB2ngBDaqzqqRXwtn+cFcB8kKSktoQCvtHDpr68qGSp7JlecdyFlkUJ+VIK6EIY&#10;Ss5906GRfm4HpLg7WmdkiKNruXLyHOVG80WSZNzInuKFTg740GHzuTsZAUX6PH747fLlvcmOeh1u&#10;8vHpywlxfTXd3wELOIU/GH7zYzrUselgT6Q80wLSdBVJAVla5MAisEjWS2CHaC9WOfC64v9fqH8A&#10;AAD//wMAUEsBAi0AFAAGAAgAAAAhALaDOJL+AAAA4QEAABMAAAAAAAAAAAAAAAAAAAAAAFtDb250&#10;ZW50X1R5cGVzXS54bWxQSwECLQAUAAYACAAAACEAOP0h/9YAAACUAQAACwAAAAAAAAAAAAAAAAAv&#10;AQAAX3JlbHMvLnJlbHNQSwECLQAUAAYACAAAACEAri0waDACAABfBAAADgAAAAAAAAAAAAAAAAAu&#10;AgAAZHJzL2Uyb0RvYy54bWxQSwECLQAUAAYACAAAACEAXy5gDuAAAAAKAQAADwAAAAAAAAAAAAAA&#10;AACKBAAAZHJzL2Rvd25yZXYueG1sUEsFBgAAAAAEAAQA8wAAAJcFAAAAAA==&#10;">
              <v:textbox>
                <w:txbxContent>
                  <w:p w:rsidR="002E79C9" w:rsidRDefault="002E79C9" w:rsidP="002E79C9">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0152401F" wp14:editId="4B728508">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0</w:t>
    </w:r>
    <w:r>
      <w:rPr>
        <w:rFonts w:ascii="Arial" w:hAnsi="Arial" w:cs="Arial"/>
      </w:rPr>
      <w:t>8</w:t>
    </w:r>
    <w:r w:rsidRPr="00A73AD7">
      <w:rPr>
        <w:rFonts w:ascii="Arial" w:hAnsi="Arial" w:cs="Arial"/>
      </w:rPr>
      <w:t>/20</w:t>
    </w:r>
    <w:r>
      <w:rPr>
        <w:rFonts w:ascii="Arial" w:hAnsi="Arial" w:cs="Arial"/>
      </w:rPr>
      <w:t>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2E79C9">
    <w:pPr>
      <w:pStyle w:val="Encabezado"/>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6D9410AF" wp14:editId="645108F3">
              <wp:simplePos x="0" y="0"/>
              <wp:positionH relativeFrom="leftMargin">
                <wp:posOffset>178540</wp:posOffset>
              </wp:positionH>
              <wp:positionV relativeFrom="paragraph">
                <wp:posOffset>5172670</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2E79C9" w:rsidRDefault="002E79C9" w:rsidP="002E79C9">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9410AF" id="_x0000_t202" coordsize="21600,21600" o:spt="202" path="m,l,21600r21600,l21600,xe">
              <v:stroke joinstyle="miter"/>
              <v:path gradientshapeok="t" o:connecttype="rect"/>
            </v:shapetype>
            <v:shape id="Cuadro de texto 5" o:spid="_x0000_s1027" type="#_x0000_t202" style="position:absolute;margin-left:14.05pt;margin-top:407.3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AZnfdt4QAAAAsBAAAPAAAAZHJzL2Rv&#10;d25yZXYueG1sTI/BTsMwDIbvSLxDZCQuiKUto7Sl6YSQQHCDbYJr1mRtReKUJOvK2+Od4GbLvz5/&#10;f72arWGT9mFwKCBdJMA0tk4N2AnYbp6uC2AhSlTSONQCfnSAVXN+VstKuSO+62kdO0YQDJUU0Mc4&#10;VpyHttdWhoUbNdJt77yVkVbfceXlkeDW8CxJcm7lgPShl6N+7HX7tT5YAcXyZfoMrzdvH22+N2W8&#10;upuev70Qlxfzwz2wqOf4F4aTPqlDQ047d0AVmBGQFSkliZUuc2CnQJmVwHY0JLdpDryp+f8OzS8A&#10;AAD//wMAUEsBAi0AFAAGAAgAAAAhALaDOJL+AAAA4QEAABMAAAAAAAAAAAAAAAAAAAAAAFtDb250&#10;ZW50X1R5cGVzXS54bWxQSwECLQAUAAYACAAAACEAOP0h/9YAAACUAQAACwAAAAAAAAAAAAAAAAAv&#10;AQAAX3JlbHMvLnJlbHNQSwECLQAUAAYACAAAACEAvbLecy8CAABYBAAADgAAAAAAAAAAAAAAAAAu&#10;AgAAZHJzL2Uyb0RvYy54bWxQSwECLQAUAAYACAAAACEAGZ33beEAAAALAQAADwAAAAAAAAAAAAAA&#10;AACJBAAAZHJzL2Rvd25yZXYueG1sUEsFBgAAAAAEAAQA8wAAAJcFAAAAAA==&#10;">
              <v:textbox>
                <w:txbxContent>
                  <w:p w:rsidR="002E79C9" w:rsidRDefault="002E79C9" w:rsidP="002E79C9">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0F7638A5" wp14:editId="4567C81D">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3974E6E3" wp14:editId="54CA70F3">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9C9"/>
    <w:rsid w:val="00294EC6"/>
    <w:rsid w:val="002E79C9"/>
    <w:rsid w:val="004B1DB0"/>
    <w:rsid w:val="005223BF"/>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AE137626-3944-45D9-B0AE-D47D79A33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79C9"/>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2E79C9"/>
    <w:pPr>
      <w:spacing w:after="120"/>
    </w:pPr>
    <w:rPr>
      <w:lang w:val="x-none"/>
    </w:rPr>
  </w:style>
  <w:style w:type="character" w:customStyle="1" w:styleId="TextoindependienteCar">
    <w:name w:val="Texto independiente Car"/>
    <w:basedOn w:val="Fuentedeprrafopredeter"/>
    <w:link w:val="Textoindependiente"/>
    <w:uiPriority w:val="99"/>
    <w:rsid w:val="002E79C9"/>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2E79C9"/>
    <w:pPr>
      <w:autoSpaceDE w:val="0"/>
      <w:autoSpaceDN w:val="0"/>
    </w:pPr>
    <w:rPr>
      <w:lang w:eastAsia="es-ES"/>
    </w:rPr>
  </w:style>
  <w:style w:type="character" w:customStyle="1" w:styleId="TextonotapieCar">
    <w:name w:val="Texto nota pie Car"/>
    <w:basedOn w:val="Fuentedeprrafopredeter"/>
    <w:link w:val="Textonotapie"/>
    <w:uiPriority w:val="99"/>
    <w:rsid w:val="002E79C9"/>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2E79C9"/>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2E79C9"/>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2E79C9"/>
    <w:pPr>
      <w:tabs>
        <w:tab w:val="center" w:pos="4419"/>
        <w:tab w:val="right" w:pos="8838"/>
      </w:tabs>
    </w:pPr>
  </w:style>
  <w:style w:type="character" w:customStyle="1" w:styleId="EncabezadoCar">
    <w:name w:val="Encabezado Car"/>
    <w:basedOn w:val="Fuentedeprrafopredeter"/>
    <w:link w:val="Encabezado"/>
    <w:uiPriority w:val="99"/>
    <w:rsid w:val="002E79C9"/>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2E79C9"/>
    <w:pPr>
      <w:tabs>
        <w:tab w:val="center" w:pos="4419"/>
        <w:tab w:val="right" w:pos="8838"/>
      </w:tabs>
    </w:pPr>
  </w:style>
  <w:style w:type="character" w:customStyle="1" w:styleId="PiedepginaCar">
    <w:name w:val="Pie de página Car"/>
    <w:basedOn w:val="Fuentedeprrafopredeter"/>
    <w:link w:val="Piedepgina"/>
    <w:uiPriority w:val="99"/>
    <w:rsid w:val="002E79C9"/>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7D3"/>
    <w:rsid w:val="00AD57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30CBA1285A6C4CB2BADE776F2230397C">
    <w:name w:val="30CBA1285A6C4CB2BADE776F2230397C"/>
    <w:rsid w:val="00AD57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2785</Words>
  <Characters>15321</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2023-07-12T19:41:00Z</dcterms:created>
  <dcterms:modified xsi:type="dcterms:W3CDTF">2023-07-12T19:50:00Z</dcterms:modified>
</cp:coreProperties>
</file>