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142" w:type="dxa"/>
        <w:tblInd w:w="-781" w:type="dxa"/>
        <w:tblLayout w:type="fixed"/>
        <w:tblCellMar>
          <w:left w:w="70" w:type="dxa"/>
          <w:right w:w="70" w:type="dxa"/>
        </w:tblCellMar>
        <w:tblLook w:val="0000" w:firstRow="0" w:lastRow="0" w:firstColumn="0" w:lastColumn="0" w:noHBand="0" w:noVBand="0"/>
      </w:tblPr>
      <w:tblGrid>
        <w:gridCol w:w="2202"/>
        <w:gridCol w:w="6940"/>
      </w:tblGrid>
      <w:tr w:rsidR="00F353B7" w:rsidRPr="0088685C" w:rsidTr="00771F6E">
        <w:trPr>
          <w:trHeight w:val="3812"/>
        </w:trPr>
        <w:tc>
          <w:tcPr>
            <w:tcW w:w="2202" w:type="dxa"/>
          </w:tcPr>
          <w:p w:rsidR="00F353B7" w:rsidRPr="0088685C" w:rsidRDefault="00F353B7" w:rsidP="001F2CB8">
            <w:pPr>
              <w:spacing w:after="0" w:line="240" w:lineRule="auto"/>
              <w:rPr>
                <w:rFonts w:ascii="Arial" w:hAnsi="Arial" w:cs="Arial"/>
                <w:b/>
                <w:sz w:val="26"/>
                <w:szCs w:val="26"/>
              </w:rPr>
            </w:pPr>
            <w:bookmarkStart w:id="0" w:name="_GoBack"/>
            <w:bookmarkEnd w:id="0"/>
            <w:r w:rsidRPr="0088685C">
              <w:rPr>
                <w:rFonts w:ascii="Arial" w:hAnsi="Arial" w:cs="Arial"/>
                <w:b/>
                <w:sz w:val="26"/>
                <w:szCs w:val="26"/>
              </w:rPr>
              <w:t xml:space="preserve">     </w:t>
            </w:r>
          </w:p>
        </w:tc>
        <w:tc>
          <w:tcPr>
            <w:tcW w:w="6940" w:type="dxa"/>
          </w:tcPr>
          <w:p w:rsidR="00F353B7" w:rsidRPr="0088685C" w:rsidRDefault="00F353B7" w:rsidP="001F2CB8">
            <w:pPr>
              <w:tabs>
                <w:tab w:val="left" w:pos="3103"/>
              </w:tabs>
              <w:spacing w:after="0" w:line="240" w:lineRule="auto"/>
              <w:ind w:left="2394"/>
              <w:jc w:val="both"/>
              <w:rPr>
                <w:rFonts w:ascii="Arial" w:hAnsi="Arial" w:cs="Arial"/>
                <w:b/>
                <w:i/>
                <w:iCs/>
                <w:caps/>
                <w:sz w:val="26"/>
                <w:szCs w:val="26"/>
              </w:rPr>
            </w:pPr>
            <w:r w:rsidRPr="0088685C">
              <w:rPr>
                <w:rFonts w:ascii="Arial" w:hAnsi="Arial" w:cs="Arial"/>
                <w:b/>
                <w:i/>
                <w:iCs/>
                <w:caps/>
                <w:sz w:val="26"/>
                <w:szCs w:val="26"/>
              </w:rPr>
              <w:t xml:space="preserve">                       </w:t>
            </w:r>
          </w:p>
          <w:p w:rsidR="00F353B7" w:rsidRPr="0088685C" w:rsidRDefault="00F353B7" w:rsidP="00771F6E">
            <w:pPr>
              <w:tabs>
                <w:tab w:val="left" w:pos="3103"/>
              </w:tabs>
              <w:spacing w:after="0" w:line="240" w:lineRule="auto"/>
              <w:ind w:left="1840"/>
              <w:jc w:val="both"/>
              <w:rPr>
                <w:rFonts w:ascii="Arial" w:hAnsi="Arial" w:cs="Arial"/>
                <w:b/>
                <w:iCs/>
                <w:caps/>
                <w:sz w:val="26"/>
                <w:szCs w:val="26"/>
              </w:rPr>
            </w:pPr>
            <w:r w:rsidRPr="0088685C">
              <w:rPr>
                <w:rFonts w:ascii="Arial" w:hAnsi="Arial" w:cs="Arial"/>
                <w:b/>
                <w:iCs/>
                <w:caps/>
                <w:sz w:val="26"/>
                <w:szCs w:val="26"/>
              </w:rPr>
              <w:t>SALA SUPERIOR DEL TRIBUNAL DE JUSTICIA ADMINISTRATIVA DEL ESTADO DE OAXACA.</w:t>
            </w:r>
          </w:p>
          <w:p w:rsidR="00F353B7" w:rsidRPr="0088685C" w:rsidRDefault="00F353B7" w:rsidP="00771F6E">
            <w:pPr>
              <w:pStyle w:val="Encabezado"/>
              <w:tabs>
                <w:tab w:val="clear" w:pos="4252"/>
              </w:tabs>
              <w:ind w:left="1840" w:right="51"/>
              <w:jc w:val="both"/>
              <w:rPr>
                <w:rFonts w:ascii="Arial" w:hAnsi="Arial" w:cs="Arial"/>
                <w:b/>
                <w:iCs/>
                <w:caps/>
                <w:sz w:val="26"/>
                <w:szCs w:val="26"/>
                <w:lang w:val="es-PE"/>
              </w:rPr>
            </w:pPr>
            <w:r w:rsidRPr="0088685C">
              <w:rPr>
                <w:rFonts w:ascii="Arial" w:hAnsi="Arial" w:cs="Arial"/>
                <w:b/>
                <w:iCs/>
                <w:caps/>
                <w:sz w:val="26"/>
                <w:szCs w:val="26"/>
                <w:lang w:val="es-PE"/>
              </w:rPr>
              <w:t xml:space="preserve">               </w:t>
            </w:r>
          </w:p>
          <w:p w:rsidR="00F353B7" w:rsidRPr="0088685C" w:rsidRDefault="00F353B7" w:rsidP="00771F6E">
            <w:pPr>
              <w:pStyle w:val="Encabezado"/>
              <w:tabs>
                <w:tab w:val="clear" w:pos="4252"/>
              </w:tabs>
              <w:ind w:left="1840" w:right="51"/>
              <w:jc w:val="both"/>
              <w:rPr>
                <w:rFonts w:ascii="Arial" w:hAnsi="Arial" w:cs="Arial"/>
                <w:b/>
                <w:iCs/>
                <w:caps/>
                <w:sz w:val="26"/>
                <w:szCs w:val="26"/>
                <w:lang w:val="es-PE"/>
              </w:rPr>
            </w:pPr>
            <w:r w:rsidRPr="0088685C">
              <w:rPr>
                <w:rFonts w:ascii="Arial" w:hAnsi="Arial" w:cs="Arial"/>
                <w:b/>
                <w:iCs/>
                <w:caps/>
                <w:sz w:val="26"/>
                <w:szCs w:val="26"/>
                <w:lang w:val="es-PE"/>
              </w:rPr>
              <w:t>RECURSO DE REVISIÓN:   0</w:t>
            </w:r>
            <w:r w:rsidR="0054697A" w:rsidRPr="0088685C">
              <w:rPr>
                <w:rFonts w:ascii="Arial" w:hAnsi="Arial" w:cs="Arial"/>
                <w:b/>
                <w:iCs/>
                <w:caps/>
                <w:sz w:val="26"/>
                <w:szCs w:val="26"/>
                <w:lang w:val="es-PE"/>
              </w:rPr>
              <w:t>09</w:t>
            </w:r>
            <w:r w:rsidRPr="0088685C">
              <w:rPr>
                <w:rFonts w:ascii="Arial" w:hAnsi="Arial" w:cs="Arial"/>
                <w:b/>
                <w:iCs/>
                <w:caps/>
                <w:sz w:val="26"/>
                <w:szCs w:val="26"/>
                <w:lang w:val="es-PE"/>
              </w:rPr>
              <w:t>/2018</w:t>
            </w:r>
          </w:p>
          <w:p w:rsidR="00F353B7" w:rsidRPr="0088685C" w:rsidRDefault="00F353B7" w:rsidP="00771F6E">
            <w:pPr>
              <w:pStyle w:val="Encabezado"/>
              <w:tabs>
                <w:tab w:val="clear" w:pos="4252"/>
              </w:tabs>
              <w:ind w:left="1840" w:right="51"/>
              <w:jc w:val="both"/>
              <w:rPr>
                <w:rFonts w:ascii="Arial" w:hAnsi="Arial" w:cs="Arial"/>
                <w:b/>
                <w:iCs/>
                <w:caps/>
                <w:sz w:val="26"/>
                <w:szCs w:val="26"/>
                <w:lang w:val="es-PE"/>
              </w:rPr>
            </w:pPr>
          </w:p>
          <w:p w:rsidR="00F353B7" w:rsidRPr="0088685C" w:rsidRDefault="00C065D7" w:rsidP="00771F6E">
            <w:pPr>
              <w:pStyle w:val="Encabezado"/>
              <w:tabs>
                <w:tab w:val="clear" w:pos="4252"/>
              </w:tabs>
              <w:ind w:left="1840" w:right="51"/>
              <w:jc w:val="both"/>
              <w:rPr>
                <w:rFonts w:ascii="Arial" w:hAnsi="Arial" w:cs="Arial"/>
                <w:b/>
                <w:iCs/>
                <w:caps/>
                <w:sz w:val="26"/>
                <w:szCs w:val="26"/>
                <w:lang w:val="es-PE"/>
              </w:rPr>
            </w:pPr>
            <w:r w:rsidRPr="0088685C">
              <w:rPr>
                <w:rFonts w:ascii="Arial" w:hAnsi="Arial" w:cs="Arial"/>
                <w:b/>
                <w:iCs/>
                <w:caps/>
                <w:sz w:val="26"/>
                <w:szCs w:val="26"/>
                <w:lang w:val="es-PE"/>
              </w:rPr>
              <w:t>CUADERNO DE SUSPENSI</w:t>
            </w:r>
            <w:r w:rsidR="0054697A" w:rsidRPr="0088685C">
              <w:rPr>
                <w:rFonts w:ascii="Arial" w:hAnsi="Arial" w:cs="Arial"/>
                <w:b/>
                <w:iCs/>
                <w:caps/>
                <w:sz w:val="26"/>
                <w:szCs w:val="26"/>
                <w:lang w:val="es-PE"/>
              </w:rPr>
              <w:t xml:space="preserve">ÓN RELATIVO AL </w:t>
            </w:r>
            <w:r w:rsidR="00F353B7" w:rsidRPr="0088685C">
              <w:rPr>
                <w:rFonts w:ascii="Arial" w:hAnsi="Arial" w:cs="Arial"/>
                <w:b/>
                <w:iCs/>
                <w:caps/>
                <w:sz w:val="26"/>
                <w:szCs w:val="26"/>
                <w:lang w:val="es-PE"/>
              </w:rPr>
              <w:t>EXPEDIENTE: 0</w:t>
            </w:r>
            <w:r w:rsidR="0054697A" w:rsidRPr="0088685C">
              <w:rPr>
                <w:rFonts w:ascii="Arial" w:hAnsi="Arial" w:cs="Arial"/>
                <w:b/>
                <w:iCs/>
                <w:caps/>
                <w:sz w:val="26"/>
                <w:szCs w:val="26"/>
                <w:lang w:val="es-PE"/>
              </w:rPr>
              <w:t>122/2017</w:t>
            </w:r>
            <w:r w:rsidR="00F353B7" w:rsidRPr="0088685C">
              <w:rPr>
                <w:rFonts w:ascii="Arial" w:hAnsi="Arial" w:cs="Arial"/>
                <w:b/>
                <w:iCs/>
                <w:caps/>
                <w:sz w:val="26"/>
                <w:szCs w:val="26"/>
                <w:lang w:val="es-PE"/>
              </w:rPr>
              <w:t xml:space="preserve"> DE LA </w:t>
            </w:r>
            <w:r w:rsidR="0054697A" w:rsidRPr="0088685C">
              <w:rPr>
                <w:rFonts w:ascii="Arial" w:hAnsi="Arial" w:cs="Arial"/>
                <w:b/>
                <w:iCs/>
                <w:caps/>
                <w:sz w:val="26"/>
                <w:szCs w:val="26"/>
                <w:lang w:val="es-PE"/>
              </w:rPr>
              <w:t>SEXTA</w:t>
            </w:r>
            <w:r w:rsidR="00F353B7" w:rsidRPr="0088685C">
              <w:rPr>
                <w:rFonts w:ascii="Arial" w:hAnsi="Arial" w:cs="Arial"/>
                <w:b/>
                <w:iCs/>
                <w:caps/>
                <w:sz w:val="26"/>
                <w:szCs w:val="26"/>
                <w:lang w:val="es-PE"/>
              </w:rPr>
              <w:t xml:space="preserve"> SALA UNITARIA DE PRIMERA INSTANCIA</w:t>
            </w:r>
          </w:p>
          <w:p w:rsidR="00F353B7" w:rsidRPr="0088685C" w:rsidRDefault="00F353B7" w:rsidP="00771F6E">
            <w:pPr>
              <w:pStyle w:val="Encabezado"/>
              <w:tabs>
                <w:tab w:val="clear" w:pos="4252"/>
              </w:tabs>
              <w:ind w:left="1840" w:right="51"/>
              <w:jc w:val="both"/>
              <w:rPr>
                <w:rFonts w:ascii="Arial" w:hAnsi="Arial" w:cs="Arial"/>
                <w:b/>
                <w:iCs/>
                <w:caps/>
                <w:sz w:val="26"/>
                <w:szCs w:val="26"/>
                <w:lang w:val="es-PE"/>
              </w:rPr>
            </w:pPr>
            <w:r w:rsidRPr="0088685C">
              <w:rPr>
                <w:rFonts w:ascii="Arial" w:hAnsi="Arial" w:cs="Arial"/>
                <w:b/>
                <w:iCs/>
                <w:caps/>
                <w:sz w:val="26"/>
                <w:szCs w:val="26"/>
                <w:lang w:val="es-PE"/>
              </w:rPr>
              <w:t xml:space="preserve">       </w:t>
            </w:r>
          </w:p>
          <w:p w:rsidR="00F353B7" w:rsidRPr="0088685C" w:rsidRDefault="00F353B7" w:rsidP="00771F6E">
            <w:pPr>
              <w:pStyle w:val="Encabezado"/>
              <w:tabs>
                <w:tab w:val="clear" w:pos="4252"/>
              </w:tabs>
              <w:ind w:left="1840" w:right="51"/>
              <w:jc w:val="both"/>
              <w:rPr>
                <w:rFonts w:ascii="Arial" w:hAnsi="Arial" w:cs="Arial"/>
                <w:b/>
                <w:iCs/>
                <w:caps/>
                <w:sz w:val="26"/>
                <w:szCs w:val="26"/>
                <w:lang w:val="es-PE"/>
              </w:rPr>
            </w:pPr>
            <w:r w:rsidRPr="0088685C">
              <w:rPr>
                <w:rFonts w:ascii="Arial" w:hAnsi="Arial" w:cs="Arial"/>
                <w:b/>
                <w:iCs/>
                <w:caps/>
                <w:sz w:val="26"/>
                <w:szCs w:val="26"/>
                <w:lang w:val="es-PE"/>
              </w:rPr>
              <w:t xml:space="preserve">ponente: </w:t>
            </w:r>
            <w:r w:rsidR="00771F6E" w:rsidRPr="0088685C">
              <w:rPr>
                <w:rFonts w:ascii="Arial" w:hAnsi="Arial" w:cs="Arial"/>
                <w:b/>
                <w:iCs/>
                <w:caps/>
                <w:sz w:val="26"/>
                <w:szCs w:val="26"/>
                <w:lang w:val="es-PE"/>
              </w:rPr>
              <w:t xml:space="preserve">magistrado </w:t>
            </w:r>
            <w:r w:rsidRPr="0088685C">
              <w:rPr>
                <w:rFonts w:ascii="Arial" w:hAnsi="Arial" w:cs="Arial"/>
                <w:b/>
                <w:iCs/>
                <w:caps/>
                <w:sz w:val="26"/>
                <w:szCs w:val="26"/>
                <w:lang w:val="es-PE"/>
              </w:rPr>
              <w:t>HUGO VILLEGAS AQUINO</w:t>
            </w:r>
          </w:p>
        </w:tc>
      </w:tr>
      <w:tr w:rsidR="00F353B7" w:rsidRPr="0088685C" w:rsidTr="00771F6E">
        <w:trPr>
          <w:trHeight w:val="268"/>
        </w:trPr>
        <w:tc>
          <w:tcPr>
            <w:tcW w:w="2202" w:type="dxa"/>
          </w:tcPr>
          <w:p w:rsidR="00F353B7" w:rsidRPr="0088685C" w:rsidRDefault="00F353B7" w:rsidP="001F2CB8">
            <w:pPr>
              <w:spacing w:after="0" w:line="240" w:lineRule="auto"/>
              <w:rPr>
                <w:rFonts w:ascii="Arial" w:hAnsi="Arial" w:cs="Arial"/>
                <w:b/>
                <w:sz w:val="26"/>
                <w:szCs w:val="26"/>
              </w:rPr>
            </w:pPr>
          </w:p>
        </w:tc>
        <w:tc>
          <w:tcPr>
            <w:tcW w:w="6940" w:type="dxa"/>
          </w:tcPr>
          <w:p w:rsidR="00F353B7" w:rsidRPr="0088685C" w:rsidRDefault="00F353B7" w:rsidP="001F2CB8">
            <w:pPr>
              <w:tabs>
                <w:tab w:val="left" w:pos="3103"/>
              </w:tabs>
              <w:spacing w:after="0" w:line="240" w:lineRule="auto"/>
              <w:ind w:left="2678" w:hanging="2961"/>
              <w:jc w:val="both"/>
              <w:rPr>
                <w:rFonts w:ascii="Arial" w:hAnsi="Arial" w:cs="Arial"/>
                <w:b/>
                <w:iCs/>
                <w:caps/>
                <w:sz w:val="26"/>
                <w:szCs w:val="26"/>
              </w:rPr>
            </w:pPr>
            <w:r w:rsidRPr="0088685C">
              <w:rPr>
                <w:rFonts w:ascii="Arial" w:hAnsi="Arial" w:cs="Arial"/>
                <w:b/>
                <w:i/>
                <w:iCs/>
                <w:caps/>
                <w:sz w:val="26"/>
                <w:szCs w:val="26"/>
              </w:rPr>
              <w:t xml:space="preserve">                                          </w:t>
            </w:r>
          </w:p>
        </w:tc>
      </w:tr>
      <w:tr w:rsidR="00F353B7" w:rsidRPr="0088685C" w:rsidTr="00771F6E">
        <w:trPr>
          <w:trHeight w:val="268"/>
        </w:trPr>
        <w:tc>
          <w:tcPr>
            <w:tcW w:w="2202" w:type="dxa"/>
          </w:tcPr>
          <w:p w:rsidR="00F353B7" w:rsidRPr="0088685C" w:rsidRDefault="00F353B7" w:rsidP="001F2CB8">
            <w:pPr>
              <w:spacing w:after="0" w:line="240" w:lineRule="auto"/>
              <w:rPr>
                <w:rFonts w:ascii="Arial" w:hAnsi="Arial" w:cs="Arial"/>
                <w:b/>
                <w:sz w:val="26"/>
                <w:szCs w:val="26"/>
              </w:rPr>
            </w:pPr>
          </w:p>
        </w:tc>
        <w:tc>
          <w:tcPr>
            <w:tcW w:w="6940" w:type="dxa"/>
          </w:tcPr>
          <w:p w:rsidR="00F353B7" w:rsidRPr="0088685C" w:rsidRDefault="00F353B7" w:rsidP="001F2CB8">
            <w:pPr>
              <w:tabs>
                <w:tab w:val="left" w:pos="3103"/>
              </w:tabs>
              <w:spacing w:after="0" w:line="240" w:lineRule="auto"/>
              <w:ind w:left="2961" w:hanging="2961"/>
              <w:jc w:val="both"/>
              <w:rPr>
                <w:rFonts w:ascii="Arial" w:hAnsi="Arial" w:cs="Arial"/>
                <w:b/>
                <w:i/>
                <w:iCs/>
                <w:caps/>
                <w:sz w:val="26"/>
                <w:szCs w:val="26"/>
              </w:rPr>
            </w:pPr>
          </w:p>
        </w:tc>
      </w:tr>
    </w:tbl>
    <w:p w:rsidR="00771F6E" w:rsidRPr="0088685C" w:rsidRDefault="00F353B7" w:rsidP="0088685C">
      <w:pPr>
        <w:spacing w:after="0" w:line="360" w:lineRule="auto"/>
        <w:jc w:val="both"/>
        <w:rPr>
          <w:rFonts w:ascii="Arial" w:hAnsi="Arial" w:cs="Arial"/>
          <w:b/>
          <w:sz w:val="26"/>
          <w:szCs w:val="26"/>
          <w:lang w:val="es-MX"/>
        </w:rPr>
      </w:pPr>
      <w:r w:rsidRPr="0088685C">
        <w:rPr>
          <w:rFonts w:ascii="Arial" w:hAnsi="Arial" w:cs="Arial"/>
          <w:b/>
          <w:sz w:val="26"/>
          <w:szCs w:val="26"/>
          <w:lang w:val="es-MX"/>
        </w:rPr>
        <w:t xml:space="preserve">OAXACA DE JUÁREZ, OAXACA, </w:t>
      </w:r>
      <w:r w:rsidR="00771F6E" w:rsidRPr="0088685C">
        <w:rPr>
          <w:rFonts w:ascii="Arial" w:hAnsi="Arial" w:cs="Arial"/>
          <w:b/>
          <w:sz w:val="26"/>
          <w:szCs w:val="26"/>
          <w:lang w:val="es-MX"/>
        </w:rPr>
        <w:t xml:space="preserve">VEINTISIETE </w:t>
      </w:r>
      <w:r w:rsidRPr="0088685C">
        <w:rPr>
          <w:rFonts w:ascii="Arial" w:hAnsi="Arial" w:cs="Arial"/>
          <w:b/>
          <w:sz w:val="26"/>
          <w:szCs w:val="26"/>
          <w:lang w:val="es-MX"/>
        </w:rPr>
        <w:t xml:space="preserve">DE SEPTIEMBRE DE DOS MIL DIECIOCHO. </w:t>
      </w:r>
    </w:p>
    <w:p w:rsidR="00F353B7" w:rsidRPr="0088685C" w:rsidRDefault="00F353B7" w:rsidP="0088685C">
      <w:pPr>
        <w:spacing w:after="0" w:line="360" w:lineRule="auto"/>
        <w:ind w:firstLine="708"/>
        <w:jc w:val="both"/>
        <w:rPr>
          <w:rFonts w:ascii="Arial" w:hAnsi="Arial" w:cs="Arial"/>
          <w:sz w:val="26"/>
          <w:szCs w:val="26"/>
          <w:lang w:val="es-MX"/>
        </w:rPr>
      </w:pPr>
      <w:r w:rsidRPr="0088685C">
        <w:rPr>
          <w:rFonts w:ascii="Arial" w:hAnsi="Arial" w:cs="Arial"/>
          <w:sz w:val="26"/>
          <w:szCs w:val="26"/>
          <w:lang w:val="es-MX"/>
        </w:rPr>
        <w:t xml:space="preserve">Por recibido el </w:t>
      </w:r>
      <w:r w:rsidR="006E31BB" w:rsidRPr="0088685C">
        <w:rPr>
          <w:rFonts w:ascii="Arial" w:hAnsi="Arial" w:cs="Arial"/>
          <w:sz w:val="26"/>
          <w:szCs w:val="26"/>
          <w:lang w:val="es-MX"/>
        </w:rPr>
        <w:t xml:space="preserve">Cuaderno de Revisión </w:t>
      </w:r>
      <w:r w:rsidR="0054697A" w:rsidRPr="0088685C">
        <w:rPr>
          <w:rFonts w:ascii="Arial" w:hAnsi="Arial" w:cs="Arial"/>
          <w:b/>
          <w:sz w:val="26"/>
          <w:szCs w:val="26"/>
          <w:lang w:val="es-MX"/>
        </w:rPr>
        <w:t>009/2018</w:t>
      </w:r>
      <w:r w:rsidRPr="0088685C">
        <w:rPr>
          <w:rFonts w:ascii="Arial" w:hAnsi="Arial" w:cs="Arial"/>
          <w:sz w:val="26"/>
          <w:szCs w:val="26"/>
          <w:lang w:val="es-MX"/>
        </w:rPr>
        <w:t xml:space="preserve">, que remite la Secretaría General de Acuerdos, con motivo del recurso de revisión interpuesto por </w:t>
      </w:r>
      <w:r w:rsidR="00E21AA6">
        <w:rPr>
          <w:rFonts w:ascii="Arial" w:hAnsi="Arial" w:cs="Arial"/>
          <w:b/>
          <w:sz w:val="26"/>
          <w:szCs w:val="26"/>
        </w:rPr>
        <w:t xml:space="preserve">********** </w:t>
      </w:r>
      <w:r w:rsidR="0054697A" w:rsidRPr="0088685C">
        <w:rPr>
          <w:rFonts w:ascii="Arial" w:hAnsi="Arial" w:cs="Arial"/>
          <w:sz w:val="26"/>
          <w:szCs w:val="26"/>
          <w:lang w:val="es-MX"/>
        </w:rPr>
        <w:t>como representante legal de la parte actora</w:t>
      </w:r>
      <w:r w:rsidRPr="0088685C">
        <w:rPr>
          <w:rFonts w:ascii="Arial" w:hAnsi="Arial" w:cs="Arial"/>
          <w:b/>
          <w:sz w:val="26"/>
          <w:szCs w:val="26"/>
          <w:lang w:val="es-MX"/>
        </w:rPr>
        <w:t xml:space="preserve"> </w:t>
      </w:r>
      <w:r w:rsidR="0054697A" w:rsidRPr="0088685C">
        <w:rPr>
          <w:rFonts w:ascii="Arial" w:hAnsi="Arial" w:cs="Arial"/>
          <w:sz w:val="26"/>
          <w:szCs w:val="26"/>
          <w:lang w:val="es-MX"/>
        </w:rPr>
        <w:t>en el juicio natural, en contra de la resolución de  siete de diciembre de dos mil diecisiete</w:t>
      </w:r>
      <w:r w:rsidR="00771F6E" w:rsidRPr="0088685C">
        <w:rPr>
          <w:rFonts w:ascii="Arial" w:hAnsi="Arial" w:cs="Arial"/>
          <w:sz w:val="26"/>
          <w:szCs w:val="26"/>
          <w:lang w:val="es-MX"/>
        </w:rPr>
        <w:t>,</w:t>
      </w:r>
      <w:r w:rsidR="0054697A" w:rsidRPr="0088685C">
        <w:rPr>
          <w:rFonts w:ascii="Arial" w:hAnsi="Arial" w:cs="Arial"/>
          <w:sz w:val="26"/>
          <w:szCs w:val="26"/>
          <w:lang w:val="es-MX"/>
        </w:rPr>
        <w:t xml:space="preserve"> dictada por la Sexta</w:t>
      </w:r>
      <w:r w:rsidRPr="0088685C">
        <w:rPr>
          <w:rFonts w:ascii="Arial" w:hAnsi="Arial" w:cs="Arial"/>
          <w:sz w:val="26"/>
          <w:szCs w:val="26"/>
          <w:lang w:val="es-MX"/>
        </w:rPr>
        <w:t xml:space="preserve"> Sala Unitaria del </w:t>
      </w:r>
      <w:r w:rsidR="00771F6E" w:rsidRPr="0088685C">
        <w:rPr>
          <w:rFonts w:ascii="Arial" w:hAnsi="Arial" w:cs="Arial"/>
          <w:sz w:val="26"/>
          <w:szCs w:val="26"/>
          <w:lang w:val="es-MX"/>
        </w:rPr>
        <w:t xml:space="preserve">otrora </w:t>
      </w:r>
      <w:r w:rsidRPr="0088685C">
        <w:rPr>
          <w:rFonts w:ascii="Arial" w:hAnsi="Arial" w:cs="Arial"/>
          <w:sz w:val="26"/>
          <w:szCs w:val="26"/>
          <w:lang w:val="es-MX"/>
        </w:rPr>
        <w:t>Tribunal de</w:t>
      </w:r>
      <w:r w:rsidR="0054697A" w:rsidRPr="0088685C">
        <w:rPr>
          <w:rFonts w:ascii="Arial" w:hAnsi="Arial" w:cs="Arial"/>
          <w:sz w:val="26"/>
          <w:szCs w:val="26"/>
          <w:lang w:val="es-MX"/>
        </w:rPr>
        <w:t xml:space="preserve"> lo Contencioso Administrativo y de Cuentas del Poder Judicial del Estado</w:t>
      </w:r>
      <w:r w:rsidR="00771F6E" w:rsidRPr="0088685C">
        <w:rPr>
          <w:rFonts w:ascii="Arial" w:hAnsi="Arial" w:cs="Arial"/>
          <w:sz w:val="26"/>
          <w:szCs w:val="26"/>
          <w:lang w:val="es-MX"/>
        </w:rPr>
        <w:t>,</w:t>
      </w:r>
      <w:r w:rsidR="0054697A" w:rsidRPr="0088685C">
        <w:rPr>
          <w:rFonts w:ascii="Arial" w:hAnsi="Arial" w:cs="Arial"/>
          <w:sz w:val="26"/>
          <w:szCs w:val="26"/>
          <w:lang w:val="es-MX"/>
        </w:rPr>
        <w:t xml:space="preserve"> dentro del cuaderno de suspensión formado con motivo del juicio </w:t>
      </w:r>
      <w:r w:rsidR="0054697A" w:rsidRPr="0088685C">
        <w:rPr>
          <w:rFonts w:ascii="Arial" w:hAnsi="Arial" w:cs="Arial"/>
          <w:b/>
          <w:sz w:val="26"/>
          <w:szCs w:val="26"/>
          <w:lang w:val="es-MX"/>
        </w:rPr>
        <w:t xml:space="preserve">122/2017, </w:t>
      </w:r>
      <w:r w:rsidR="0054697A" w:rsidRPr="0088685C">
        <w:rPr>
          <w:rFonts w:ascii="Arial" w:hAnsi="Arial" w:cs="Arial"/>
          <w:sz w:val="26"/>
          <w:szCs w:val="26"/>
          <w:lang w:val="es-MX"/>
        </w:rPr>
        <w:t xml:space="preserve">relativo al juicio de nulidad promovido por el </w:t>
      </w:r>
      <w:r w:rsidR="0054697A" w:rsidRPr="0088685C">
        <w:rPr>
          <w:rFonts w:ascii="Arial" w:hAnsi="Arial" w:cs="Arial"/>
          <w:b/>
          <w:sz w:val="26"/>
          <w:szCs w:val="26"/>
          <w:lang w:val="es-MX"/>
        </w:rPr>
        <w:t xml:space="preserve">RECURRENTE </w:t>
      </w:r>
      <w:r w:rsidR="0054697A" w:rsidRPr="0088685C">
        <w:rPr>
          <w:rFonts w:ascii="Arial" w:hAnsi="Arial" w:cs="Arial"/>
          <w:sz w:val="26"/>
          <w:szCs w:val="26"/>
          <w:lang w:val="es-MX"/>
        </w:rPr>
        <w:t xml:space="preserve">en contra de la </w:t>
      </w:r>
      <w:r w:rsidR="0054697A" w:rsidRPr="0088685C">
        <w:rPr>
          <w:rFonts w:ascii="Arial" w:hAnsi="Arial" w:cs="Arial"/>
          <w:b/>
          <w:sz w:val="26"/>
          <w:szCs w:val="26"/>
          <w:lang w:val="es-MX"/>
        </w:rPr>
        <w:t>DIRECTORA DE INGRESOS Y RECAUDACIÓN DE LA SUBSECRETARÍA DE INGRESOS DE LA SECRETARÍA DE FINANZAS DEL PODER EJECUTIVO DEL GOBIERNO DEL ESTADO DE OAXACA</w:t>
      </w:r>
      <w:r w:rsidRPr="0088685C">
        <w:rPr>
          <w:rFonts w:ascii="Arial" w:hAnsi="Arial" w:cs="Arial"/>
          <w:b/>
          <w:sz w:val="26"/>
          <w:szCs w:val="26"/>
          <w:lang w:val="es-MX"/>
        </w:rPr>
        <w:t xml:space="preserve">; </w:t>
      </w:r>
      <w:r w:rsidRPr="0088685C">
        <w:rPr>
          <w:rFonts w:ascii="Arial" w:hAnsi="Arial" w:cs="Arial"/>
          <w:sz w:val="26"/>
          <w:szCs w:val="26"/>
          <w:lang w:val="es-MX"/>
        </w:rPr>
        <w:t xml:space="preserve">por lo que con fundamento en los artículos </w:t>
      </w:r>
      <w:r w:rsidR="00512D10" w:rsidRPr="0088685C">
        <w:rPr>
          <w:rFonts w:ascii="Arial" w:hAnsi="Arial" w:cs="Arial"/>
          <w:sz w:val="26"/>
          <w:szCs w:val="26"/>
          <w:lang w:val="es-MX"/>
        </w:rPr>
        <w:t>236 y 237 de la Ley de Procedimiento y</w:t>
      </w:r>
      <w:r w:rsidR="0054697A" w:rsidRPr="0088685C">
        <w:rPr>
          <w:rFonts w:ascii="Arial" w:hAnsi="Arial" w:cs="Arial"/>
          <w:sz w:val="26"/>
          <w:szCs w:val="26"/>
          <w:lang w:val="es-MX"/>
        </w:rPr>
        <w:t xml:space="preserve"> Justicia</w:t>
      </w:r>
      <w:r w:rsidRPr="0088685C">
        <w:rPr>
          <w:rFonts w:ascii="Arial" w:hAnsi="Arial" w:cs="Arial"/>
          <w:sz w:val="26"/>
          <w:szCs w:val="26"/>
          <w:lang w:val="es-MX"/>
        </w:rPr>
        <w:t xml:space="preserve"> Administrativa para el Estado de Oaxaca, se admite.  En consecuencia, se procede a dictar resolución en los siguientes términos:</w:t>
      </w:r>
    </w:p>
    <w:p w:rsidR="00F353B7" w:rsidRPr="0088685C" w:rsidRDefault="00F353B7" w:rsidP="0088685C">
      <w:pPr>
        <w:spacing w:after="0" w:line="360" w:lineRule="auto"/>
        <w:jc w:val="center"/>
        <w:rPr>
          <w:rFonts w:ascii="Arial" w:hAnsi="Arial" w:cs="Arial"/>
          <w:b/>
          <w:bCs/>
          <w:sz w:val="26"/>
          <w:szCs w:val="26"/>
          <w:lang w:val="es-MX"/>
        </w:rPr>
      </w:pPr>
      <w:r w:rsidRPr="0088685C">
        <w:rPr>
          <w:rFonts w:ascii="Arial" w:hAnsi="Arial" w:cs="Arial"/>
          <w:b/>
          <w:bCs/>
          <w:sz w:val="26"/>
          <w:szCs w:val="26"/>
          <w:lang w:val="es-MX"/>
        </w:rPr>
        <w:t>R E S U L T A N D O</w:t>
      </w:r>
    </w:p>
    <w:p w:rsidR="0088685C" w:rsidRPr="0088685C" w:rsidRDefault="00F353B7" w:rsidP="0088685C">
      <w:pPr>
        <w:spacing w:after="0" w:line="360" w:lineRule="auto"/>
        <w:ind w:firstLine="709"/>
        <w:jc w:val="both"/>
        <w:rPr>
          <w:rFonts w:ascii="Arial" w:hAnsi="Arial" w:cs="Arial"/>
          <w:sz w:val="26"/>
          <w:szCs w:val="26"/>
          <w:lang w:val="es-MX"/>
        </w:rPr>
      </w:pPr>
      <w:r w:rsidRPr="0088685C">
        <w:rPr>
          <w:rFonts w:ascii="Arial" w:hAnsi="Arial" w:cs="Arial"/>
          <w:b/>
          <w:bCs/>
          <w:sz w:val="26"/>
          <w:szCs w:val="26"/>
          <w:lang w:val="es-MX"/>
        </w:rPr>
        <w:t xml:space="preserve">PRIMERO. </w:t>
      </w:r>
      <w:r w:rsidRPr="0088685C">
        <w:rPr>
          <w:rFonts w:ascii="Arial" w:hAnsi="Arial" w:cs="Arial"/>
          <w:sz w:val="26"/>
          <w:szCs w:val="26"/>
          <w:lang w:val="es-MX"/>
        </w:rPr>
        <w:t xml:space="preserve">Inconforme con la </w:t>
      </w:r>
      <w:r w:rsidR="0054697A" w:rsidRPr="0088685C">
        <w:rPr>
          <w:rFonts w:ascii="Arial" w:hAnsi="Arial" w:cs="Arial"/>
          <w:sz w:val="26"/>
          <w:szCs w:val="26"/>
          <w:lang w:val="es-MX"/>
        </w:rPr>
        <w:t xml:space="preserve">resolución de siete de diciembre de dos mil diecisiete dictada por la </w:t>
      </w:r>
      <w:r w:rsidR="00D0016C" w:rsidRPr="0088685C">
        <w:rPr>
          <w:rFonts w:ascii="Arial" w:hAnsi="Arial" w:cs="Arial"/>
          <w:sz w:val="26"/>
          <w:szCs w:val="26"/>
          <w:lang w:val="es-MX"/>
        </w:rPr>
        <w:t>Sexta</w:t>
      </w:r>
      <w:r w:rsidRPr="0088685C">
        <w:rPr>
          <w:rFonts w:ascii="Arial" w:hAnsi="Arial" w:cs="Arial"/>
          <w:sz w:val="26"/>
          <w:szCs w:val="26"/>
          <w:lang w:val="es-MX"/>
        </w:rPr>
        <w:t xml:space="preserve"> Sala Unitaria de Primera Instancia, </w:t>
      </w:r>
      <w:r w:rsidR="00E21AA6">
        <w:rPr>
          <w:rFonts w:ascii="Arial" w:hAnsi="Arial" w:cs="Arial"/>
          <w:b/>
          <w:sz w:val="26"/>
          <w:szCs w:val="26"/>
        </w:rPr>
        <w:t xml:space="preserve">********** </w:t>
      </w:r>
      <w:r w:rsidR="0054697A" w:rsidRPr="0088685C">
        <w:rPr>
          <w:rFonts w:ascii="Arial" w:hAnsi="Arial" w:cs="Arial"/>
          <w:sz w:val="26"/>
          <w:szCs w:val="26"/>
          <w:lang w:val="es-MX"/>
        </w:rPr>
        <w:t xml:space="preserve">como representante legal de la parte actora, </w:t>
      </w:r>
      <w:r w:rsidRPr="0088685C">
        <w:rPr>
          <w:rFonts w:ascii="Arial" w:hAnsi="Arial" w:cs="Arial"/>
          <w:sz w:val="26"/>
          <w:szCs w:val="26"/>
          <w:lang w:val="es-MX"/>
        </w:rPr>
        <w:t xml:space="preserve">interpone en su contra recurso de revisión. </w:t>
      </w:r>
    </w:p>
    <w:p w:rsidR="00F353B7" w:rsidRPr="0088685C" w:rsidRDefault="00F353B7" w:rsidP="0088685C">
      <w:pPr>
        <w:spacing w:after="0" w:line="360" w:lineRule="auto"/>
        <w:jc w:val="both"/>
        <w:rPr>
          <w:rFonts w:ascii="Arial" w:eastAsia="Calibri" w:hAnsi="Arial" w:cs="Arial"/>
          <w:sz w:val="26"/>
          <w:szCs w:val="26"/>
        </w:rPr>
      </w:pPr>
      <w:r w:rsidRPr="0088685C">
        <w:rPr>
          <w:rFonts w:ascii="Arial" w:hAnsi="Arial" w:cs="Arial"/>
          <w:b/>
          <w:bCs/>
          <w:sz w:val="26"/>
          <w:szCs w:val="26"/>
          <w:lang w:val="es-MX"/>
        </w:rPr>
        <w:tab/>
        <w:t xml:space="preserve">SEGUNDO.- </w:t>
      </w:r>
      <w:r w:rsidRPr="0088685C">
        <w:rPr>
          <w:rFonts w:ascii="Arial" w:eastAsia="Calibri" w:hAnsi="Arial" w:cs="Arial"/>
          <w:sz w:val="26"/>
          <w:szCs w:val="26"/>
        </w:rPr>
        <w:t>L</w:t>
      </w:r>
      <w:r w:rsidR="0054697A" w:rsidRPr="0088685C">
        <w:rPr>
          <w:rFonts w:ascii="Arial" w:eastAsia="Calibri" w:hAnsi="Arial" w:cs="Arial"/>
          <w:sz w:val="26"/>
          <w:szCs w:val="26"/>
        </w:rPr>
        <w:t>a parte relativa de la resolución recurrida es como sigue:</w:t>
      </w:r>
    </w:p>
    <w:p w:rsidR="0054697A" w:rsidRDefault="00F353B7" w:rsidP="0054697A">
      <w:pPr>
        <w:spacing w:after="0" w:line="360" w:lineRule="auto"/>
        <w:ind w:left="1134" w:right="902"/>
        <w:jc w:val="both"/>
        <w:rPr>
          <w:rFonts w:ascii="Arial" w:hAnsi="Arial" w:cs="Arial"/>
          <w:b/>
          <w:bCs/>
          <w:i/>
          <w:iCs/>
        </w:rPr>
      </w:pPr>
      <w:r w:rsidRPr="00195BF9">
        <w:rPr>
          <w:rFonts w:ascii="Arial" w:hAnsi="Arial" w:cs="Arial"/>
          <w:b/>
          <w:bCs/>
          <w:i/>
          <w:iCs/>
        </w:rPr>
        <w:t>“</w:t>
      </w:r>
    </w:p>
    <w:p w:rsidR="00F353B7" w:rsidRDefault="0054697A" w:rsidP="0054697A">
      <w:pPr>
        <w:spacing w:after="0" w:line="360" w:lineRule="auto"/>
        <w:ind w:left="1134" w:right="902"/>
        <w:jc w:val="both"/>
        <w:rPr>
          <w:rFonts w:ascii="Arial" w:hAnsi="Arial" w:cs="Arial"/>
          <w:b/>
          <w:bCs/>
          <w:i/>
          <w:iCs/>
        </w:rPr>
      </w:pPr>
      <w:r w:rsidRPr="00512D10">
        <w:rPr>
          <w:rFonts w:ascii="Arial" w:hAnsi="Arial" w:cs="Arial"/>
          <w:bCs/>
          <w:i/>
          <w:iCs/>
        </w:rPr>
        <w:t>Con fundamento en los artículos 215 fracción I (contrario sensu) y 218 fracción IV de la Ley de Procedimiento y Justicia Administrativa para el Estado de Oaxaca</w:t>
      </w:r>
      <w:r>
        <w:rPr>
          <w:rFonts w:ascii="Arial" w:hAnsi="Arial" w:cs="Arial"/>
          <w:b/>
          <w:bCs/>
          <w:i/>
          <w:iCs/>
        </w:rPr>
        <w:t xml:space="preserve">, </w:t>
      </w:r>
      <w:r>
        <w:rPr>
          <w:rFonts w:ascii="Arial" w:hAnsi="Arial" w:cs="Arial"/>
          <w:b/>
          <w:bCs/>
          <w:i/>
          <w:iCs/>
          <w:u w:val="single"/>
        </w:rPr>
        <w:t xml:space="preserve">se niega la </w:t>
      </w:r>
      <w:r>
        <w:rPr>
          <w:rFonts w:ascii="Arial" w:hAnsi="Arial" w:cs="Arial"/>
          <w:b/>
          <w:bCs/>
          <w:i/>
          <w:iCs/>
          <w:u w:val="single"/>
        </w:rPr>
        <w:lastRenderedPageBreak/>
        <w:t xml:space="preserve">suspensión provisional a la parte actora, </w:t>
      </w:r>
      <w:r>
        <w:rPr>
          <w:rFonts w:ascii="Arial" w:hAnsi="Arial" w:cs="Arial"/>
          <w:b/>
          <w:bCs/>
          <w:i/>
          <w:iCs/>
        </w:rPr>
        <w:t xml:space="preserve"> </w:t>
      </w:r>
      <w:r>
        <w:rPr>
          <w:rFonts w:ascii="Arial" w:hAnsi="Arial" w:cs="Arial"/>
          <w:bCs/>
          <w:i/>
          <w:iCs/>
        </w:rPr>
        <w:t>se toma esta determinación porque su solicitud es par efecto de que se suspendan los actos que impugna en su demanda, consistentes en la Multa por Infracción establecida en el Código Fiscal para el Estado de Oaxaca emitido por la Directora de Ingresos y Recaudación de la Secretaría de Finanzas del Estado; ya que es precisamente la ilegalidad de los mismos materia del fondo del asunto que deberá resolverse en la sentencia definitiva, por lo que la concesión de la suspensión provisional dejaría sin materia el juicio.</w:t>
      </w:r>
    </w:p>
    <w:p w:rsidR="00F353B7" w:rsidRPr="0072015D" w:rsidRDefault="00F353B7" w:rsidP="00F353B7">
      <w:pPr>
        <w:spacing w:after="0" w:line="360" w:lineRule="auto"/>
        <w:ind w:left="1134" w:right="902"/>
        <w:jc w:val="both"/>
        <w:rPr>
          <w:rFonts w:ascii="Arial" w:hAnsi="Arial" w:cs="Arial"/>
          <w:bCs/>
          <w:i/>
          <w:iCs/>
        </w:rPr>
      </w:pPr>
      <w:r w:rsidRPr="00195BF9">
        <w:rPr>
          <w:rFonts w:ascii="Arial" w:hAnsi="Arial" w:cs="Arial"/>
          <w:b/>
          <w:bCs/>
          <w:i/>
          <w:iCs/>
        </w:rPr>
        <w:t>…</w:t>
      </w:r>
      <w:r w:rsidRPr="00195BF9">
        <w:rPr>
          <w:rFonts w:ascii="Arial" w:hAnsi="Arial" w:cs="Arial"/>
          <w:bCs/>
          <w:i/>
          <w:iCs/>
        </w:rPr>
        <w:t>”</w:t>
      </w:r>
    </w:p>
    <w:p w:rsidR="00F353B7" w:rsidRPr="0088685C" w:rsidRDefault="00F353B7" w:rsidP="00F353B7">
      <w:pPr>
        <w:spacing w:before="240" w:line="360" w:lineRule="auto"/>
        <w:jc w:val="center"/>
        <w:rPr>
          <w:rFonts w:ascii="Arial" w:hAnsi="Arial" w:cs="Arial"/>
          <w:b/>
          <w:bCs/>
          <w:sz w:val="26"/>
          <w:szCs w:val="26"/>
          <w:lang w:val="es-MX"/>
        </w:rPr>
      </w:pPr>
      <w:r w:rsidRPr="0088685C">
        <w:rPr>
          <w:rFonts w:ascii="Arial" w:hAnsi="Arial" w:cs="Arial"/>
          <w:b/>
          <w:bCs/>
          <w:sz w:val="26"/>
          <w:szCs w:val="26"/>
          <w:lang w:val="es-MX"/>
        </w:rPr>
        <w:t>C O N S I D E R A N D O</w:t>
      </w:r>
    </w:p>
    <w:p w:rsidR="00F353B7" w:rsidRPr="0088685C" w:rsidRDefault="00F353B7" w:rsidP="00F353B7">
      <w:pPr>
        <w:widowControl w:val="0"/>
        <w:tabs>
          <w:tab w:val="left" w:pos="7938"/>
        </w:tabs>
        <w:spacing w:before="240" w:line="360" w:lineRule="auto"/>
        <w:ind w:right="18" w:firstLine="709"/>
        <w:jc w:val="both"/>
        <w:rPr>
          <w:rFonts w:ascii="Arial" w:hAnsi="Arial" w:cs="Arial"/>
          <w:b/>
          <w:bCs/>
          <w:iCs/>
          <w:sz w:val="26"/>
          <w:szCs w:val="26"/>
          <w:lang w:eastAsia="es-ES"/>
        </w:rPr>
      </w:pPr>
      <w:r w:rsidRPr="0088685C">
        <w:rPr>
          <w:rFonts w:ascii="Arial" w:hAnsi="Arial" w:cs="Arial"/>
          <w:b/>
          <w:bCs/>
          <w:iCs/>
          <w:sz w:val="26"/>
          <w:szCs w:val="26"/>
        </w:rPr>
        <w:t xml:space="preserve">PRIMERO. </w:t>
      </w:r>
      <w:r w:rsidR="00771F6E" w:rsidRPr="0088685C">
        <w:rPr>
          <w:rFonts w:ascii="Arial" w:hAnsi="Arial" w:cs="Arial"/>
          <w:bCs/>
          <w:iCs/>
          <w:sz w:val="26"/>
          <w:szCs w:val="26"/>
        </w:rPr>
        <w:t xml:space="preserve">Esta Sala Superior es competente para conocer del presente asunto, de conformidad con lo dispuesto por los artículos 114 </w:t>
      </w:r>
      <w:proofErr w:type="spellStart"/>
      <w:r w:rsidR="00771F6E" w:rsidRPr="0088685C">
        <w:rPr>
          <w:rFonts w:ascii="Arial" w:hAnsi="Arial" w:cs="Arial"/>
          <w:bCs/>
          <w:iCs/>
          <w:sz w:val="26"/>
          <w:szCs w:val="26"/>
        </w:rPr>
        <w:t>Quáter</w:t>
      </w:r>
      <w:proofErr w:type="spellEnd"/>
      <w:r w:rsidR="00771F6E" w:rsidRPr="0088685C">
        <w:rPr>
          <w:rFonts w:ascii="Arial" w:hAnsi="Arial" w:cs="Arial"/>
          <w:bCs/>
          <w:iCs/>
          <w:sz w:val="26"/>
          <w:szCs w:val="26"/>
        </w:rPr>
        <w:t xml:space="preserve"> de la Constitución Política del Estado Libre y Soberano de Oaxaca;</w:t>
      </w:r>
      <w:r w:rsidR="00771F6E" w:rsidRPr="0088685C">
        <w:rPr>
          <w:rFonts w:ascii="Arial" w:hAnsi="Arial" w:cs="Arial"/>
          <w:bCs/>
          <w:iCs/>
          <w:sz w:val="26"/>
          <w:szCs w:val="26"/>
          <w:lang w:eastAsia="es-ES"/>
        </w:rPr>
        <w:t xml:space="preserve"> 125</w:t>
      </w:r>
      <w:r w:rsidR="00771F6E" w:rsidRPr="0088685C">
        <w:rPr>
          <w:rFonts w:ascii="Arial" w:hAnsi="Arial" w:cs="Arial"/>
          <w:bCs/>
          <w:iCs/>
          <w:sz w:val="26"/>
          <w:szCs w:val="26"/>
        </w:rPr>
        <w:t>, 127, 129, 130, fracción I, 131, 231, 236 y 238 de la Ley de Procedimiento y Justicia Administrativa para el Estado de Oaxaca</w:t>
      </w:r>
      <w:r w:rsidR="00771F6E" w:rsidRPr="0088685C">
        <w:rPr>
          <w:rFonts w:ascii="Arial" w:hAnsi="Arial" w:cs="Arial"/>
          <w:bCs/>
          <w:iCs/>
          <w:sz w:val="26"/>
          <w:szCs w:val="26"/>
          <w:lang w:eastAsia="es-ES"/>
        </w:rPr>
        <w:t xml:space="preserve">, </w:t>
      </w:r>
      <w:r w:rsidR="00B83FCE" w:rsidRPr="0088685C">
        <w:rPr>
          <w:rFonts w:ascii="Arial" w:hAnsi="Arial" w:cs="Arial"/>
          <w:bCs/>
          <w:iCs/>
          <w:sz w:val="26"/>
          <w:szCs w:val="26"/>
          <w:lang w:eastAsia="es-ES"/>
        </w:rPr>
        <w:t xml:space="preserve"> </w:t>
      </w:r>
      <w:r w:rsidRPr="0088685C">
        <w:rPr>
          <w:rFonts w:ascii="Arial" w:hAnsi="Arial" w:cs="Arial"/>
          <w:bCs/>
          <w:iCs/>
          <w:sz w:val="26"/>
          <w:szCs w:val="26"/>
          <w:lang w:eastAsia="es-ES"/>
        </w:rPr>
        <w:t xml:space="preserve">dado que se trata de un Recurso de Revisión interpuesto en contra de la </w:t>
      </w:r>
      <w:r w:rsidR="00512D10" w:rsidRPr="0088685C">
        <w:rPr>
          <w:rFonts w:ascii="Arial" w:hAnsi="Arial" w:cs="Arial"/>
          <w:bCs/>
          <w:iCs/>
          <w:sz w:val="26"/>
          <w:szCs w:val="26"/>
          <w:lang w:eastAsia="es-ES"/>
        </w:rPr>
        <w:t>resolución de siete de diciembre de dos mil diecisiete</w:t>
      </w:r>
      <w:r w:rsidRPr="0088685C">
        <w:rPr>
          <w:rFonts w:ascii="Arial" w:hAnsi="Arial" w:cs="Arial"/>
          <w:bCs/>
          <w:iCs/>
          <w:sz w:val="26"/>
          <w:szCs w:val="26"/>
          <w:lang w:eastAsia="es-ES"/>
        </w:rPr>
        <w:t xml:space="preserve">, dictada por la </w:t>
      </w:r>
      <w:r w:rsidR="00E56F8F" w:rsidRPr="0088685C">
        <w:rPr>
          <w:rFonts w:ascii="Arial" w:hAnsi="Arial" w:cs="Arial"/>
          <w:bCs/>
          <w:iCs/>
          <w:sz w:val="26"/>
          <w:szCs w:val="26"/>
          <w:lang w:eastAsia="es-ES"/>
        </w:rPr>
        <w:t>Sexta</w:t>
      </w:r>
      <w:r w:rsidRPr="0088685C">
        <w:rPr>
          <w:rFonts w:ascii="Arial" w:hAnsi="Arial" w:cs="Arial"/>
          <w:bCs/>
          <w:iCs/>
          <w:sz w:val="26"/>
          <w:szCs w:val="26"/>
          <w:lang w:eastAsia="es-ES"/>
        </w:rPr>
        <w:t xml:space="preserve"> Sala Unitaria de Primera Instancia en el </w:t>
      </w:r>
      <w:r w:rsidR="00512D10" w:rsidRPr="0088685C">
        <w:rPr>
          <w:rFonts w:ascii="Arial" w:hAnsi="Arial" w:cs="Arial"/>
          <w:bCs/>
          <w:iCs/>
          <w:sz w:val="26"/>
          <w:szCs w:val="26"/>
          <w:lang w:eastAsia="es-ES"/>
        </w:rPr>
        <w:t xml:space="preserve">cuaderno de suspensión formado con motivo del </w:t>
      </w:r>
      <w:r w:rsidRPr="0088685C">
        <w:rPr>
          <w:rFonts w:ascii="Arial" w:hAnsi="Arial" w:cs="Arial"/>
          <w:bCs/>
          <w:iCs/>
          <w:sz w:val="26"/>
          <w:szCs w:val="26"/>
          <w:lang w:eastAsia="es-ES"/>
        </w:rPr>
        <w:t xml:space="preserve">juicio </w:t>
      </w:r>
      <w:r w:rsidRPr="0088685C">
        <w:rPr>
          <w:rFonts w:ascii="Arial" w:hAnsi="Arial" w:cs="Arial"/>
          <w:b/>
          <w:bCs/>
          <w:iCs/>
          <w:sz w:val="26"/>
          <w:szCs w:val="26"/>
          <w:lang w:eastAsia="es-ES"/>
        </w:rPr>
        <w:t>0</w:t>
      </w:r>
      <w:r w:rsidR="00512D10" w:rsidRPr="0088685C">
        <w:rPr>
          <w:rFonts w:ascii="Arial" w:hAnsi="Arial" w:cs="Arial"/>
          <w:b/>
          <w:bCs/>
          <w:iCs/>
          <w:sz w:val="26"/>
          <w:szCs w:val="26"/>
          <w:lang w:eastAsia="es-ES"/>
        </w:rPr>
        <w:t>122/2017</w:t>
      </w:r>
      <w:r w:rsidRPr="0088685C">
        <w:rPr>
          <w:rFonts w:ascii="Arial" w:hAnsi="Arial" w:cs="Arial"/>
          <w:b/>
          <w:bCs/>
          <w:iCs/>
          <w:sz w:val="26"/>
          <w:szCs w:val="26"/>
          <w:lang w:eastAsia="es-ES"/>
        </w:rPr>
        <w:t>.</w:t>
      </w:r>
    </w:p>
    <w:p w:rsidR="00F353B7" w:rsidRPr="0088685C" w:rsidRDefault="00F353B7" w:rsidP="00F353B7">
      <w:pPr>
        <w:widowControl w:val="0"/>
        <w:tabs>
          <w:tab w:val="left" w:pos="7938"/>
        </w:tabs>
        <w:spacing w:before="240" w:line="360" w:lineRule="auto"/>
        <w:ind w:right="18" w:firstLine="709"/>
        <w:jc w:val="both"/>
        <w:rPr>
          <w:rFonts w:ascii="Arial" w:hAnsi="Arial" w:cs="Arial"/>
          <w:bCs/>
          <w:sz w:val="26"/>
          <w:szCs w:val="26"/>
        </w:rPr>
      </w:pPr>
      <w:r w:rsidRPr="0088685C">
        <w:rPr>
          <w:rFonts w:ascii="Arial" w:hAnsi="Arial" w:cs="Arial"/>
          <w:b/>
          <w:bCs/>
          <w:sz w:val="26"/>
          <w:szCs w:val="26"/>
          <w:lang w:val="es-MX"/>
        </w:rPr>
        <w:t>SEGUNDO.</w:t>
      </w:r>
      <w:r w:rsidRPr="0088685C">
        <w:rPr>
          <w:rFonts w:ascii="Arial" w:hAnsi="Arial" w:cs="Arial"/>
          <w:bCs/>
          <w:sz w:val="26"/>
          <w:szCs w:val="26"/>
          <w:lang w:val="es-MX"/>
        </w:rPr>
        <w:t xml:space="preserve"> </w:t>
      </w:r>
      <w:r w:rsidRPr="0088685C">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Pr="0088685C">
        <w:rPr>
          <w:rFonts w:ascii="Arial" w:hAnsi="Arial" w:cs="Arial"/>
          <w:sz w:val="26"/>
          <w:szCs w:val="26"/>
        </w:rPr>
        <w:t>.</w:t>
      </w:r>
    </w:p>
    <w:p w:rsidR="00F40CDA" w:rsidRPr="0088685C" w:rsidRDefault="00266FA1" w:rsidP="00512D10">
      <w:pPr>
        <w:spacing w:line="360" w:lineRule="auto"/>
        <w:ind w:firstLine="709"/>
        <w:jc w:val="both"/>
        <w:rPr>
          <w:rFonts w:ascii="Arial" w:hAnsi="Arial" w:cs="Arial"/>
          <w:bCs/>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773EE96C" wp14:editId="438DDB8E">
                <wp:simplePos x="0" y="0"/>
                <wp:positionH relativeFrom="column">
                  <wp:posOffset>5612765</wp:posOffset>
                </wp:positionH>
                <wp:positionV relativeFrom="paragraph">
                  <wp:posOffset>443230</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66FA1" w:rsidRDefault="00266FA1" w:rsidP="00266FA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41.95pt;margin-top:34.9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">
                <v:textbox>
                  <w:txbxContent>
                    <w:p w:rsidR="00266FA1" w:rsidRDefault="00266FA1" w:rsidP="00266FA1">
                      <w:pPr>
                        <w:rPr>
                          <w:sz w:val="16"/>
                          <w:szCs w:val="16"/>
                        </w:rPr>
                      </w:pPr>
                      <w:r>
                        <w:rPr>
                          <w:sz w:val="16"/>
                          <w:szCs w:val="16"/>
                        </w:rPr>
                        <w:t>Datos personales protegidos por el Art. 116 de la LGTAIP y el Art. 56 de la LTAIPEO</w:t>
                      </w:r>
                    </w:p>
                  </w:txbxContent>
                </v:textbox>
              </v:shape>
            </w:pict>
          </mc:Fallback>
        </mc:AlternateContent>
      </w:r>
      <w:r w:rsidR="00F353B7" w:rsidRPr="0088685C">
        <w:rPr>
          <w:rFonts w:ascii="Arial" w:hAnsi="Arial" w:cs="Arial"/>
          <w:b/>
          <w:bCs/>
          <w:sz w:val="26"/>
          <w:szCs w:val="26"/>
          <w:lang w:val="es-MX"/>
        </w:rPr>
        <w:t xml:space="preserve">TERCERO. </w:t>
      </w:r>
      <w:r w:rsidR="00512D10" w:rsidRPr="0088685C">
        <w:rPr>
          <w:rFonts w:ascii="Arial" w:hAnsi="Arial" w:cs="Arial"/>
          <w:bCs/>
          <w:sz w:val="26"/>
          <w:szCs w:val="26"/>
          <w:lang w:val="es-MX"/>
        </w:rPr>
        <w:t>De las constancias de autos que fueron remitidas para la solución del presente asunto y que tienen pleno valor probatorio en términos del artículo</w:t>
      </w:r>
      <w:r w:rsidR="00771F6E" w:rsidRPr="0088685C">
        <w:rPr>
          <w:rFonts w:ascii="Arial" w:hAnsi="Arial" w:cs="Arial"/>
          <w:bCs/>
          <w:sz w:val="26"/>
          <w:szCs w:val="26"/>
          <w:lang w:val="es-MX"/>
        </w:rPr>
        <w:t xml:space="preserve"> </w:t>
      </w:r>
      <w:r w:rsidR="00512D10" w:rsidRPr="0088685C">
        <w:rPr>
          <w:rFonts w:ascii="Arial" w:hAnsi="Arial" w:cs="Arial"/>
          <w:bCs/>
          <w:sz w:val="26"/>
          <w:szCs w:val="26"/>
          <w:lang w:val="es-MX"/>
        </w:rPr>
        <w:t>203 fracción I de la Ley de Procedimiento y Justicia Administrativa para el Estado de Oaxaca</w:t>
      </w:r>
      <w:r w:rsidR="00771F6E" w:rsidRPr="0088685C">
        <w:rPr>
          <w:rFonts w:ascii="Arial" w:hAnsi="Arial" w:cs="Arial"/>
          <w:bCs/>
          <w:sz w:val="26"/>
          <w:szCs w:val="26"/>
          <w:lang w:val="es-MX"/>
        </w:rPr>
        <w:t>,</w:t>
      </w:r>
      <w:r w:rsidR="00512D10" w:rsidRPr="0088685C">
        <w:rPr>
          <w:rFonts w:ascii="Arial" w:hAnsi="Arial" w:cs="Arial"/>
          <w:bCs/>
          <w:sz w:val="26"/>
          <w:szCs w:val="26"/>
          <w:lang w:val="es-MX"/>
        </w:rPr>
        <w:t xml:space="preserve"> por tratarse de actuaciones judiciales se obtiene lo siguiente:</w:t>
      </w:r>
    </w:p>
    <w:p w:rsidR="00512D10" w:rsidRPr="0088685C" w:rsidRDefault="00771F6E" w:rsidP="007B4D23">
      <w:pPr>
        <w:pStyle w:val="Prrafodelista"/>
        <w:numPr>
          <w:ilvl w:val="0"/>
          <w:numId w:val="1"/>
        </w:numPr>
        <w:spacing w:line="360" w:lineRule="auto"/>
        <w:jc w:val="both"/>
        <w:rPr>
          <w:rFonts w:ascii="Arial" w:hAnsi="Arial" w:cs="Arial"/>
          <w:sz w:val="26"/>
          <w:szCs w:val="26"/>
        </w:rPr>
      </w:pPr>
      <w:r w:rsidRPr="0088685C">
        <w:rPr>
          <w:rFonts w:ascii="Arial" w:hAnsi="Arial" w:cs="Arial"/>
          <w:sz w:val="26"/>
          <w:szCs w:val="26"/>
        </w:rPr>
        <w:t>El</w:t>
      </w:r>
      <w:r w:rsidR="00512D10" w:rsidRPr="0088685C">
        <w:rPr>
          <w:rFonts w:ascii="Arial" w:hAnsi="Arial" w:cs="Arial"/>
          <w:sz w:val="26"/>
          <w:szCs w:val="26"/>
        </w:rPr>
        <w:t xml:space="preserve"> siete de diciembre de dos mil diecisiete se dictó en el cuaderno de suspensión relativo al juicio de nulidad 122/2017 la resolución en la que se ordenó formar el cuaderno de suspensión respectivo y se negó la suspensión provisional pues la sala de origen estimó que de concederse la medida cautelar se estaría pronunciando sobre la legalidad de los actos impugnados (multa impuesta por la Directora de </w:t>
      </w:r>
      <w:r w:rsidR="00512D10" w:rsidRPr="0088685C">
        <w:rPr>
          <w:rFonts w:ascii="Arial" w:hAnsi="Arial" w:cs="Arial"/>
          <w:sz w:val="26"/>
          <w:szCs w:val="26"/>
        </w:rPr>
        <w:lastRenderedPageBreak/>
        <w:t xml:space="preserve">Ingresos  y </w:t>
      </w:r>
      <w:r w:rsidR="00512D10" w:rsidRPr="0088685C">
        <w:rPr>
          <w:rFonts w:ascii="Arial" w:hAnsi="Arial" w:cs="Arial"/>
          <w:bCs/>
          <w:iCs/>
          <w:sz w:val="26"/>
          <w:szCs w:val="26"/>
        </w:rPr>
        <w:t>Recaudación de la Secretaría de Finanzas del Estado) y con ello se estaría dejando sin material el juicio;</w:t>
      </w:r>
    </w:p>
    <w:p w:rsidR="00512D10" w:rsidRPr="0088685C" w:rsidRDefault="00512D10" w:rsidP="007B4D23">
      <w:pPr>
        <w:pStyle w:val="Prrafodelista"/>
        <w:numPr>
          <w:ilvl w:val="0"/>
          <w:numId w:val="1"/>
        </w:numPr>
        <w:spacing w:line="360" w:lineRule="auto"/>
        <w:jc w:val="both"/>
        <w:rPr>
          <w:rFonts w:ascii="Arial" w:hAnsi="Arial" w:cs="Arial"/>
          <w:sz w:val="26"/>
          <w:szCs w:val="26"/>
        </w:rPr>
      </w:pPr>
      <w:r w:rsidRPr="0088685C">
        <w:rPr>
          <w:rFonts w:ascii="Arial" w:hAnsi="Arial" w:cs="Arial"/>
          <w:bCs/>
          <w:iCs/>
          <w:sz w:val="26"/>
          <w:szCs w:val="26"/>
        </w:rPr>
        <w:t>Con el oficio S.F./P.F./D.C./J.R./110/2018 signado por la Directora de lo Contencioso de la Secretaría de Finanzas, se rindió el informe requerido para la solución de la suspensión definitiva;</w:t>
      </w:r>
    </w:p>
    <w:p w:rsidR="00512D10" w:rsidRPr="0088685C" w:rsidRDefault="00512D10" w:rsidP="007B4D23">
      <w:pPr>
        <w:pStyle w:val="Prrafodelista"/>
        <w:numPr>
          <w:ilvl w:val="0"/>
          <w:numId w:val="1"/>
        </w:numPr>
        <w:spacing w:line="360" w:lineRule="auto"/>
        <w:jc w:val="both"/>
        <w:rPr>
          <w:rFonts w:ascii="Arial" w:hAnsi="Arial" w:cs="Arial"/>
          <w:sz w:val="26"/>
          <w:szCs w:val="26"/>
        </w:rPr>
      </w:pPr>
      <w:r w:rsidRPr="0088685C">
        <w:rPr>
          <w:rFonts w:ascii="Arial" w:hAnsi="Arial" w:cs="Arial"/>
          <w:bCs/>
          <w:iCs/>
          <w:sz w:val="26"/>
          <w:szCs w:val="26"/>
        </w:rPr>
        <w:t xml:space="preserve">En proveído de 15 quince de enero de 2018 dos mil dieciocho la sala de origen tuvo por recibido el informe de la enjuiciada y ordenó el dictado de la resolución definitiva de suspensión, </w:t>
      </w:r>
      <w:r w:rsidRPr="0088685C">
        <w:rPr>
          <w:rFonts w:ascii="Arial" w:hAnsi="Arial" w:cs="Arial"/>
          <w:b/>
          <w:bCs/>
          <w:iCs/>
          <w:sz w:val="26"/>
          <w:szCs w:val="26"/>
        </w:rPr>
        <w:t>y</w:t>
      </w:r>
    </w:p>
    <w:p w:rsidR="00521E5B" w:rsidRPr="0088685C" w:rsidRDefault="00512D10" w:rsidP="00771F6E">
      <w:pPr>
        <w:pStyle w:val="Prrafodelista"/>
        <w:numPr>
          <w:ilvl w:val="0"/>
          <w:numId w:val="1"/>
        </w:numPr>
        <w:spacing w:line="360" w:lineRule="auto"/>
        <w:jc w:val="both"/>
        <w:rPr>
          <w:rFonts w:ascii="Arial" w:hAnsi="Arial" w:cs="Arial"/>
          <w:sz w:val="26"/>
          <w:szCs w:val="26"/>
        </w:rPr>
      </w:pPr>
      <w:r w:rsidRPr="0088685C">
        <w:rPr>
          <w:rFonts w:ascii="Arial" w:hAnsi="Arial" w:cs="Arial"/>
          <w:bCs/>
          <w:iCs/>
          <w:sz w:val="26"/>
          <w:szCs w:val="26"/>
        </w:rPr>
        <w:t xml:space="preserve">El 16 dieciséis de enero de 2018 dos mil dieciocho la sala de origen emitió la resolución relativa a la suspensión definitiva. </w:t>
      </w:r>
    </w:p>
    <w:p w:rsidR="00521E5B" w:rsidRPr="0088685C" w:rsidRDefault="00521E5B" w:rsidP="00521E5B">
      <w:pPr>
        <w:spacing w:line="360" w:lineRule="auto"/>
        <w:ind w:firstLine="709"/>
        <w:jc w:val="both"/>
        <w:rPr>
          <w:rFonts w:ascii="Arial" w:hAnsi="Arial" w:cs="Arial"/>
          <w:sz w:val="26"/>
          <w:szCs w:val="26"/>
        </w:rPr>
      </w:pPr>
      <w:r w:rsidRPr="0088685C">
        <w:rPr>
          <w:rFonts w:ascii="Arial" w:hAnsi="Arial" w:cs="Arial"/>
          <w:b/>
          <w:bCs/>
          <w:color w:val="000000"/>
          <w:sz w:val="26"/>
          <w:szCs w:val="26"/>
        </w:rPr>
        <w:t xml:space="preserve">Ahora, </w:t>
      </w:r>
      <w:r w:rsidRPr="0088685C">
        <w:rPr>
          <w:rFonts w:ascii="Arial" w:hAnsi="Arial" w:cs="Arial"/>
          <w:bCs/>
          <w:color w:val="000000"/>
          <w:sz w:val="26"/>
          <w:szCs w:val="26"/>
        </w:rPr>
        <w:t xml:space="preserve">la suspensión constituye una medida cautelar procesal por la que se persigue que los efectos del acto demandado se paralicen </w:t>
      </w:r>
      <w:r w:rsidRPr="0088685C">
        <w:rPr>
          <w:rFonts w:ascii="Arial" w:hAnsi="Arial" w:cs="Arial"/>
          <w:bCs/>
          <w:i/>
          <w:color w:val="000000"/>
          <w:sz w:val="26"/>
          <w:szCs w:val="26"/>
        </w:rPr>
        <w:t xml:space="preserve">temporalmente </w:t>
      </w:r>
      <w:r w:rsidRPr="0088685C">
        <w:rPr>
          <w:rFonts w:ascii="Arial" w:hAnsi="Arial" w:cs="Arial"/>
          <w:bCs/>
          <w:color w:val="000000"/>
          <w:sz w:val="26"/>
          <w:szCs w:val="26"/>
        </w:rPr>
        <w:t xml:space="preserve"> hasta en tanto se resuelva el fondo de la cuestión planteada al juzgador, con el objeto de evitar que la materia de la controversia quede sin materia y también para evitar daños irreparables o de difícil reparación al afectado. </w:t>
      </w:r>
    </w:p>
    <w:p w:rsidR="00521E5B" w:rsidRPr="0088685C" w:rsidRDefault="00521E5B" w:rsidP="00521E5B">
      <w:pPr>
        <w:widowControl w:val="0"/>
        <w:spacing w:before="240" w:after="0" w:line="360" w:lineRule="auto"/>
        <w:ind w:right="18"/>
        <w:jc w:val="both"/>
        <w:rPr>
          <w:rFonts w:ascii="Arial" w:hAnsi="Arial" w:cs="Arial"/>
          <w:bCs/>
          <w:color w:val="000000"/>
          <w:sz w:val="26"/>
          <w:szCs w:val="26"/>
        </w:rPr>
      </w:pPr>
      <w:r w:rsidRPr="0088685C">
        <w:rPr>
          <w:rFonts w:ascii="Arial" w:hAnsi="Arial" w:cs="Arial"/>
          <w:bCs/>
          <w:color w:val="000000"/>
          <w:sz w:val="26"/>
          <w:szCs w:val="26"/>
        </w:rPr>
        <w:tab/>
        <w:t xml:space="preserve">En este sentido, si la primera instancia ya dictó la determinación que resuelve el fondo del asunto sometido a su jurisdicción (el 16 dieciséis de enero de 2018 dos mil dieciocho) entonces los efectos  temporales de la medida cautelar </w:t>
      </w:r>
      <w:r w:rsidRPr="0088685C">
        <w:rPr>
          <w:rFonts w:ascii="Arial" w:hAnsi="Arial" w:cs="Arial"/>
          <w:bCs/>
          <w:i/>
          <w:color w:val="000000"/>
          <w:sz w:val="26"/>
          <w:szCs w:val="26"/>
        </w:rPr>
        <w:t>suspensión provisional</w:t>
      </w:r>
      <w:r w:rsidRPr="0088685C">
        <w:rPr>
          <w:rFonts w:ascii="Arial" w:hAnsi="Arial" w:cs="Arial"/>
          <w:bCs/>
          <w:color w:val="000000"/>
          <w:sz w:val="26"/>
          <w:szCs w:val="26"/>
        </w:rPr>
        <w:t xml:space="preserve"> resultan infructuosos en esta instancia de la secuela procesal, al haberse emitido la sentencia que resuelve el fondo de la </w:t>
      </w:r>
      <w:proofErr w:type="spellStart"/>
      <w:r w:rsidRPr="0088685C">
        <w:rPr>
          <w:rFonts w:ascii="Arial" w:hAnsi="Arial" w:cs="Arial"/>
          <w:bCs/>
          <w:color w:val="000000"/>
          <w:sz w:val="26"/>
          <w:szCs w:val="26"/>
        </w:rPr>
        <w:t>litis</w:t>
      </w:r>
      <w:proofErr w:type="spellEnd"/>
      <w:r w:rsidRPr="0088685C">
        <w:rPr>
          <w:rFonts w:ascii="Arial" w:hAnsi="Arial" w:cs="Arial"/>
          <w:bCs/>
          <w:color w:val="000000"/>
          <w:sz w:val="26"/>
          <w:szCs w:val="26"/>
        </w:rPr>
        <w:t xml:space="preserve"> establecida. </w:t>
      </w:r>
    </w:p>
    <w:p w:rsidR="00521E5B" w:rsidRPr="0088685C" w:rsidRDefault="00521E5B" w:rsidP="00521E5B">
      <w:pPr>
        <w:widowControl w:val="0"/>
        <w:spacing w:before="240" w:after="0" w:line="360" w:lineRule="auto"/>
        <w:ind w:right="18"/>
        <w:jc w:val="both"/>
        <w:rPr>
          <w:rFonts w:ascii="Arial" w:hAnsi="Arial" w:cs="Arial"/>
          <w:bCs/>
          <w:sz w:val="26"/>
          <w:szCs w:val="26"/>
        </w:rPr>
      </w:pPr>
      <w:r w:rsidRPr="0088685C">
        <w:rPr>
          <w:rFonts w:ascii="Arial" w:hAnsi="Arial" w:cs="Arial"/>
          <w:bCs/>
          <w:color w:val="000000"/>
          <w:sz w:val="26"/>
          <w:szCs w:val="26"/>
        </w:rPr>
        <w:tab/>
        <w:t xml:space="preserve">Se está entonces, ante lo que se ha denominado cambio de situación jurídica pues las condiciones jurídicas que existían a la presentación de la demanda y la correspondiente solicitud de suspensión han cambiado y con ello, la presunta ilegalidad aducida en contra de la medida </w:t>
      </w:r>
      <w:proofErr w:type="spellStart"/>
      <w:r w:rsidRPr="0088685C">
        <w:rPr>
          <w:rFonts w:ascii="Arial" w:hAnsi="Arial" w:cs="Arial"/>
          <w:bCs/>
          <w:color w:val="000000"/>
          <w:sz w:val="26"/>
          <w:szCs w:val="26"/>
        </w:rPr>
        <w:t>suspensional</w:t>
      </w:r>
      <w:proofErr w:type="spellEnd"/>
      <w:r w:rsidRPr="0088685C">
        <w:rPr>
          <w:rFonts w:ascii="Arial" w:hAnsi="Arial" w:cs="Arial"/>
          <w:bCs/>
          <w:color w:val="000000"/>
          <w:sz w:val="26"/>
          <w:szCs w:val="26"/>
        </w:rPr>
        <w:t xml:space="preserve"> controvertida no surtirá sus efectos ni producirá algún perjuicio en la esfera jurídica del administrado. </w:t>
      </w:r>
    </w:p>
    <w:p w:rsidR="00521E5B" w:rsidRPr="0088685C" w:rsidRDefault="00521E5B" w:rsidP="00521E5B">
      <w:pPr>
        <w:spacing w:before="240" w:after="0" w:line="360" w:lineRule="auto"/>
        <w:ind w:firstLine="709"/>
        <w:jc w:val="both"/>
        <w:rPr>
          <w:rFonts w:ascii="Arial" w:hAnsi="Arial" w:cs="Arial"/>
          <w:bCs/>
          <w:sz w:val="26"/>
          <w:szCs w:val="26"/>
        </w:rPr>
      </w:pPr>
      <w:r w:rsidRPr="0088685C">
        <w:rPr>
          <w:rFonts w:ascii="Arial" w:hAnsi="Arial" w:cs="Arial"/>
          <w:bCs/>
          <w:sz w:val="26"/>
          <w:szCs w:val="26"/>
        </w:rPr>
        <w:t>Al respecto, resulta orientador el criterio contenido en la tesis CXI/96, de la Segunda Sala de la Suprema Corte de Justicia de la Nación, visible a página 219, del Semanario Judicial de la Federación y su Gaceta, Tomo IV, Diciembre de 1996, de la Novena Época, de rubro y texto siguientes:</w:t>
      </w:r>
    </w:p>
    <w:p w:rsidR="00521E5B" w:rsidRPr="00521E5B" w:rsidRDefault="00521E5B" w:rsidP="00521E5B">
      <w:pPr>
        <w:spacing w:before="240" w:after="0" w:line="360" w:lineRule="auto"/>
        <w:ind w:left="851" w:right="709"/>
        <w:jc w:val="both"/>
        <w:rPr>
          <w:rFonts w:ascii="Arial" w:hAnsi="Arial" w:cs="Arial"/>
          <w:b/>
          <w:bCs/>
        </w:rPr>
      </w:pPr>
      <w:r w:rsidRPr="00521E5B">
        <w:rPr>
          <w:rFonts w:ascii="Arial" w:hAnsi="Arial" w:cs="Arial"/>
          <w:b/>
          <w:bCs/>
          <w:i/>
        </w:rPr>
        <w:t xml:space="preserve">“CAMBIO DE SITUACIÓN JURÍDICA. REGLA GENERAL. </w:t>
      </w:r>
      <w:r w:rsidRPr="00521E5B">
        <w:rPr>
          <w:rFonts w:ascii="Arial" w:hAnsi="Arial" w:cs="Arial"/>
          <w:bCs/>
          <w:i/>
        </w:rPr>
        <w:t xml:space="preserve">De conformidad con lo dispuesto por el artículo 73, fracción X, de la Ley </w:t>
      </w:r>
      <w:r w:rsidRPr="00521E5B">
        <w:rPr>
          <w:rFonts w:ascii="Arial" w:hAnsi="Arial" w:cs="Arial"/>
          <w:bCs/>
          <w:i/>
        </w:rPr>
        <w:lastRenderedPageBreak/>
        <w:t>de Amparo, el cambio de situación jurídica, por regla general, se produce cuando concurren los supuestos siguientes: a).- Que el acto reclamado en el juicio de amparo emane de un procedimiento judicial, o de un administrativo seguido en forma de juicio; b).- Que con posterioridad a la presentación de la demanda de amparo se pronuncie una resolución que cambie la situación jurídica en que se encontraba el quejoso por virtud del acto que reclamó en el amparo; c).- Que no pueda decidirse sobre la constitucionalidad del acto reclamado sin afectar la nueva situación jurídica, y por ende, que deban considerarse consumadas irreparablemente las violaciones reclamadas en el juicio de amparo; d).- Que haya autonomía o independencia entre el acto que se reclamó en el juicio de garantías, y la nueva resolución dictada en el procedimiento relativo, de modo que esta última pueda subsistir, con independencia de que el acto materia del amparo resulte o no inconstitucional.”</w:t>
      </w:r>
    </w:p>
    <w:p w:rsidR="00521E5B" w:rsidRPr="0088685C" w:rsidRDefault="00521E5B" w:rsidP="0088685C">
      <w:pPr>
        <w:pStyle w:val="Prrafodelista"/>
        <w:spacing w:before="240" w:after="0" w:line="360" w:lineRule="auto"/>
        <w:ind w:left="142" w:firstLine="567"/>
        <w:jc w:val="both"/>
        <w:rPr>
          <w:rFonts w:ascii="Arial" w:hAnsi="Arial" w:cs="Arial"/>
          <w:bCs/>
          <w:sz w:val="26"/>
          <w:szCs w:val="26"/>
        </w:rPr>
      </w:pPr>
      <w:r w:rsidRPr="0088685C">
        <w:rPr>
          <w:rFonts w:ascii="Arial" w:hAnsi="Arial" w:cs="Arial"/>
          <w:b/>
          <w:bCs/>
          <w:sz w:val="26"/>
          <w:szCs w:val="26"/>
        </w:rPr>
        <w:t xml:space="preserve">Por estas razones, </w:t>
      </w:r>
      <w:r w:rsidRPr="0088685C">
        <w:rPr>
          <w:rFonts w:ascii="Arial" w:hAnsi="Arial" w:cs="Arial"/>
          <w:bCs/>
          <w:sz w:val="26"/>
          <w:szCs w:val="26"/>
        </w:rPr>
        <w:t xml:space="preserve">como se apuntó en líneas precedentes, al haberse pronunciado la suspensión definitiva debe decretarse sin materia el presente medio de defensa, virtud que la paralización o continuación de sus efectos del acto impugnado ya no depende de la medida </w:t>
      </w:r>
      <w:proofErr w:type="spellStart"/>
      <w:r w:rsidRPr="0088685C">
        <w:rPr>
          <w:rFonts w:ascii="Arial" w:hAnsi="Arial" w:cs="Arial"/>
          <w:bCs/>
          <w:sz w:val="26"/>
          <w:szCs w:val="26"/>
        </w:rPr>
        <w:t>suspensional</w:t>
      </w:r>
      <w:proofErr w:type="spellEnd"/>
      <w:r w:rsidRPr="0088685C">
        <w:rPr>
          <w:rFonts w:ascii="Arial" w:hAnsi="Arial" w:cs="Arial"/>
          <w:bCs/>
          <w:sz w:val="26"/>
          <w:szCs w:val="26"/>
        </w:rPr>
        <w:t xml:space="preserve"> solicitada sino de la resolución definitiva que no es materia del presente medio de defensa, por lo que no puede afectarse al resolverse este recurso. Esta consideración encuentra sustento por identidad en el tema en la jurisprudencia IX.1o. J/12 del Primer Tribunal Colegiado del Noveno Distrito, dictada en la novena época, misma que ha sido publicada en el Semanario Judicial de la Federación y su Gaceta en el tomo XVIII, de diciembre de 2003, y que es consultable a página 1312, con el título y texto del tenor literal siguiente: </w:t>
      </w:r>
    </w:p>
    <w:p w:rsidR="00521E5B" w:rsidRPr="00521E5B" w:rsidRDefault="00266FA1" w:rsidP="00521E5B">
      <w:pPr>
        <w:pStyle w:val="Prrafodelista"/>
        <w:spacing w:before="240" w:after="0" w:line="360" w:lineRule="auto"/>
        <w:ind w:left="1069" w:right="899"/>
        <w:jc w:val="both"/>
        <w:rPr>
          <w:rFonts w:ascii="Arial" w:hAnsi="Arial" w:cs="Arial"/>
          <w:bCs/>
          <w:i/>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6DD86F50" wp14:editId="23333B10">
                <wp:simplePos x="0" y="0"/>
                <wp:positionH relativeFrom="column">
                  <wp:posOffset>5546090</wp:posOffset>
                </wp:positionH>
                <wp:positionV relativeFrom="paragraph">
                  <wp:posOffset>177165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66FA1" w:rsidRDefault="00266FA1" w:rsidP="00266FA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7" type="#_x0000_t202" style="position:absolute;left:0;text-align:left;margin-left:436.7pt;margin-top:13.9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G5dLQIAAF4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">
                <v:textbox>
                  <w:txbxContent>
                    <w:p w:rsidR="00266FA1" w:rsidRDefault="00266FA1" w:rsidP="00266FA1">
                      <w:pPr>
                        <w:rPr>
                          <w:sz w:val="16"/>
                          <w:szCs w:val="16"/>
                        </w:rPr>
                      </w:pPr>
                      <w:r>
                        <w:rPr>
                          <w:sz w:val="16"/>
                          <w:szCs w:val="16"/>
                        </w:rPr>
                        <w:t>Datos personales protegidos por el Art. 116 de la LGTAIP y el Art. 56 de la LTAIPEO</w:t>
                      </w:r>
                    </w:p>
                  </w:txbxContent>
                </v:textbox>
              </v:shape>
            </w:pict>
          </mc:Fallback>
        </mc:AlternateContent>
      </w:r>
      <w:r w:rsidR="00521E5B" w:rsidRPr="00521E5B">
        <w:rPr>
          <w:rFonts w:ascii="Arial" w:hAnsi="Arial" w:cs="Arial"/>
          <w:bCs/>
          <w:i/>
        </w:rPr>
        <w:t>“</w:t>
      </w:r>
      <w:r w:rsidR="00521E5B" w:rsidRPr="00521E5B">
        <w:rPr>
          <w:rFonts w:ascii="Arial" w:hAnsi="Arial" w:cs="Arial"/>
          <w:b/>
          <w:bCs/>
          <w:i/>
        </w:rPr>
        <w:t>QUEJA SIN MATERIA</w:t>
      </w:r>
      <w:r w:rsidR="00521E5B" w:rsidRPr="00521E5B">
        <w:rPr>
          <w:rFonts w:ascii="Arial" w:hAnsi="Arial" w:cs="Arial"/>
          <w:bCs/>
          <w:i/>
        </w:rPr>
        <w:t xml:space="preserve">. El recurso de queja previsto en el artículo 95, fracción XI, de la Ley de Amparo procede en contra de las resoluciones pronunciadas por los Jueces de Distrito, mediante las cuales concedan o nieguen la suspensión provisional y la concesión o negativa de tal beneficio surte efectos hasta en tanto se resuelve sobre la suspensión definitiva. Por consiguiente, si obra en autos la constancia correspondiente, con la cual se acredita que el Juez de Distrito ya dictó la interlocutoria sobre suspensión definitiva, procede declarar sin materia la queja, toda vez que el otorgamiento o denegación del beneficio </w:t>
      </w:r>
      <w:proofErr w:type="spellStart"/>
      <w:r w:rsidR="00521E5B" w:rsidRPr="00521E5B">
        <w:rPr>
          <w:rFonts w:ascii="Arial" w:hAnsi="Arial" w:cs="Arial"/>
          <w:bCs/>
          <w:i/>
        </w:rPr>
        <w:t>suspensional</w:t>
      </w:r>
      <w:proofErr w:type="spellEnd"/>
      <w:r w:rsidR="00521E5B" w:rsidRPr="00521E5B">
        <w:rPr>
          <w:rFonts w:ascii="Arial" w:hAnsi="Arial" w:cs="Arial"/>
          <w:bCs/>
          <w:i/>
        </w:rPr>
        <w:t xml:space="preserve"> ya no depende del auto de suspensión provisional, sino de la citada interlocutoria y ésta no es materia del recurso de queja, por lo cual no puede afectarse al resolver el mismo.”</w:t>
      </w:r>
    </w:p>
    <w:p w:rsidR="00521E5B" w:rsidRDefault="00521E5B" w:rsidP="00521E5B">
      <w:pPr>
        <w:pStyle w:val="Prrafodelista"/>
        <w:spacing w:before="240" w:after="0" w:line="360" w:lineRule="auto"/>
        <w:ind w:left="1069" w:right="709"/>
        <w:jc w:val="both"/>
        <w:rPr>
          <w:rFonts w:ascii="Arial" w:hAnsi="Arial" w:cs="Arial"/>
          <w:bCs/>
          <w:sz w:val="24"/>
          <w:szCs w:val="24"/>
        </w:rPr>
      </w:pPr>
    </w:p>
    <w:p w:rsidR="00521E5B" w:rsidRPr="0088685C" w:rsidRDefault="00521E5B" w:rsidP="00771F6E">
      <w:pPr>
        <w:pStyle w:val="Prrafodelista"/>
        <w:tabs>
          <w:tab w:val="left" w:pos="8222"/>
        </w:tabs>
        <w:spacing w:before="240" w:after="0" w:line="360" w:lineRule="auto"/>
        <w:ind w:left="142" w:right="49" w:firstLine="567"/>
        <w:jc w:val="both"/>
        <w:rPr>
          <w:rFonts w:ascii="Arial" w:hAnsi="Arial" w:cs="Arial"/>
          <w:bCs/>
          <w:sz w:val="26"/>
          <w:szCs w:val="26"/>
        </w:rPr>
      </w:pPr>
      <w:r w:rsidRPr="0088685C">
        <w:rPr>
          <w:rFonts w:ascii="Arial" w:hAnsi="Arial" w:cs="Arial"/>
          <w:bCs/>
          <w:sz w:val="26"/>
          <w:szCs w:val="26"/>
        </w:rPr>
        <w:t>De esta manera, la nueva situación jurídica bajo la cual se rigen ahora las partes, constituye un obstáculo respecto al análisis de la legalidad o ilegalidad de la determinación que negó la suspensión provisional.</w:t>
      </w:r>
    </w:p>
    <w:p w:rsidR="00521E5B" w:rsidRPr="0088685C" w:rsidRDefault="00521E5B" w:rsidP="00521E5B">
      <w:pPr>
        <w:pStyle w:val="Prrafodelista"/>
        <w:spacing w:before="240" w:after="0" w:line="360" w:lineRule="auto"/>
        <w:ind w:left="142"/>
        <w:jc w:val="both"/>
        <w:rPr>
          <w:rFonts w:ascii="Arial" w:hAnsi="Arial" w:cs="Arial"/>
          <w:bCs/>
          <w:sz w:val="26"/>
          <w:szCs w:val="26"/>
        </w:rPr>
      </w:pPr>
    </w:p>
    <w:p w:rsidR="00521E5B" w:rsidRPr="0088685C" w:rsidRDefault="00521E5B" w:rsidP="00521E5B">
      <w:pPr>
        <w:pStyle w:val="Prrafodelista"/>
        <w:spacing w:before="240" w:after="0" w:line="360" w:lineRule="auto"/>
        <w:ind w:left="142" w:firstLine="567"/>
        <w:jc w:val="both"/>
        <w:rPr>
          <w:rFonts w:ascii="Arial" w:hAnsi="Arial" w:cs="Arial"/>
          <w:bCs/>
          <w:sz w:val="26"/>
          <w:szCs w:val="26"/>
        </w:rPr>
      </w:pPr>
      <w:r w:rsidRPr="0088685C">
        <w:rPr>
          <w:rFonts w:ascii="Arial" w:hAnsi="Arial" w:cs="Arial"/>
          <w:bCs/>
          <w:sz w:val="26"/>
          <w:szCs w:val="26"/>
        </w:rPr>
        <w:t>Por tanto, no sería factible, ni jurídica ni materialmente, restituir o negar al recurrente, los derechos violentados por tal determinación, aun siéndole favorable la resolución que en el presente recurso llegare a dictarse, pues no podría retrotraerse en sus efectos sin modificar la nueva situación que rige el trámite de la medida cautelar; pues la suspensión, se reitera, tiene el carácter de temporal hasta en tanto se dicte la sentencia que decida el fondo del asunto.</w:t>
      </w:r>
    </w:p>
    <w:p w:rsidR="00521E5B" w:rsidRPr="0088685C" w:rsidRDefault="00521E5B" w:rsidP="00521E5B">
      <w:pPr>
        <w:pStyle w:val="Prrafodelista"/>
        <w:spacing w:before="240" w:after="0" w:line="360" w:lineRule="auto"/>
        <w:ind w:left="1069"/>
        <w:jc w:val="both"/>
        <w:rPr>
          <w:rFonts w:ascii="Arial" w:hAnsi="Arial" w:cs="Arial"/>
          <w:bCs/>
          <w:sz w:val="26"/>
          <w:szCs w:val="26"/>
        </w:rPr>
      </w:pPr>
    </w:p>
    <w:p w:rsidR="00521E5B" w:rsidRPr="0088685C" w:rsidRDefault="00521E5B" w:rsidP="00521E5B">
      <w:pPr>
        <w:pStyle w:val="Prrafodelista"/>
        <w:spacing w:before="240" w:after="0" w:line="360" w:lineRule="auto"/>
        <w:ind w:left="142" w:firstLine="567"/>
        <w:jc w:val="both"/>
        <w:rPr>
          <w:rFonts w:ascii="Arial" w:hAnsi="Arial" w:cs="Arial"/>
          <w:sz w:val="26"/>
          <w:szCs w:val="26"/>
        </w:rPr>
      </w:pPr>
      <w:r w:rsidRPr="0088685C">
        <w:rPr>
          <w:rFonts w:ascii="Arial" w:hAnsi="Arial" w:cs="Arial"/>
          <w:bCs/>
          <w:sz w:val="26"/>
          <w:szCs w:val="26"/>
        </w:rPr>
        <w:t xml:space="preserve">En consecuencia, se </w:t>
      </w:r>
      <w:r w:rsidRPr="0088685C">
        <w:rPr>
          <w:rFonts w:ascii="Arial" w:hAnsi="Arial" w:cs="Arial"/>
          <w:b/>
          <w:bCs/>
          <w:sz w:val="26"/>
          <w:szCs w:val="26"/>
        </w:rPr>
        <w:t xml:space="preserve">DEJA SIN MATERIA </w:t>
      </w:r>
      <w:r w:rsidRPr="0088685C">
        <w:rPr>
          <w:rFonts w:ascii="Arial" w:hAnsi="Arial" w:cs="Arial"/>
          <w:bCs/>
          <w:sz w:val="26"/>
          <w:szCs w:val="26"/>
        </w:rPr>
        <w:t>el presente recurso de revisión y</w:t>
      </w:r>
      <w:r w:rsidRPr="0088685C">
        <w:rPr>
          <w:rFonts w:ascii="Arial" w:eastAsia="Calibri" w:hAnsi="Arial" w:cs="Arial"/>
          <w:bCs/>
          <w:sz w:val="26"/>
          <w:szCs w:val="26"/>
        </w:rPr>
        <w:t xml:space="preserve"> </w:t>
      </w:r>
      <w:r w:rsidRPr="0088685C">
        <w:rPr>
          <w:rFonts w:ascii="Arial" w:hAnsi="Arial" w:cs="Arial"/>
          <w:sz w:val="26"/>
          <w:szCs w:val="26"/>
        </w:rPr>
        <w:t>con fundamento en los artículos 237 y 238 de la Ley de Procedimiento y Justicia Administrativa para el Estado, se:</w:t>
      </w:r>
    </w:p>
    <w:p w:rsidR="00F353B7" w:rsidRPr="0088685C" w:rsidRDefault="00F353B7" w:rsidP="00F353B7">
      <w:pPr>
        <w:tabs>
          <w:tab w:val="left" w:pos="1134"/>
        </w:tabs>
        <w:spacing w:before="240" w:line="360" w:lineRule="auto"/>
        <w:jc w:val="center"/>
        <w:rPr>
          <w:rFonts w:ascii="Arial" w:eastAsia="Calibri" w:hAnsi="Arial" w:cs="Arial"/>
          <w:b/>
          <w:sz w:val="26"/>
          <w:szCs w:val="26"/>
        </w:rPr>
      </w:pPr>
      <w:r w:rsidRPr="0088685C">
        <w:rPr>
          <w:rFonts w:ascii="Arial" w:eastAsia="Calibri" w:hAnsi="Arial" w:cs="Arial"/>
          <w:b/>
          <w:sz w:val="26"/>
          <w:szCs w:val="26"/>
        </w:rPr>
        <w:t>R E S U E L V E</w:t>
      </w:r>
    </w:p>
    <w:p w:rsidR="00F353B7" w:rsidRPr="0088685C" w:rsidRDefault="00F353B7" w:rsidP="00771F6E">
      <w:pPr>
        <w:spacing w:before="240" w:line="360" w:lineRule="auto"/>
        <w:ind w:firstLine="708"/>
        <w:jc w:val="both"/>
        <w:rPr>
          <w:rFonts w:ascii="Arial" w:eastAsia="Calibri" w:hAnsi="Arial" w:cs="Arial"/>
          <w:sz w:val="26"/>
          <w:szCs w:val="26"/>
        </w:rPr>
      </w:pPr>
      <w:r w:rsidRPr="0088685C">
        <w:rPr>
          <w:rFonts w:ascii="Arial" w:eastAsia="Calibri" w:hAnsi="Arial" w:cs="Arial"/>
          <w:b/>
          <w:sz w:val="26"/>
          <w:szCs w:val="26"/>
        </w:rPr>
        <w:t>PRIMERO</w:t>
      </w:r>
      <w:r w:rsidRPr="0088685C">
        <w:rPr>
          <w:rFonts w:ascii="Arial" w:eastAsia="Calibri" w:hAnsi="Arial" w:cs="Arial"/>
          <w:sz w:val="26"/>
          <w:szCs w:val="26"/>
        </w:rPr>
        <w:t xml:space="preserve">. Se </w:t>
      </w:r>
      <w:r w:rsidR="00521E5B" w:rsidRPr="0088685C">
        <w:rPr>
          <w:rFonts w:ascii="Arial" w:eastAsia="Calibri" w:hAnsi="Arial" w:cs="Arial"/>
          <w:b/>
          <w:sz w:val="26"/>
          <w:szCs w:val="26"/>
        </w:rPr>
        <w:t xml:space="preserve">DEJA SIN MATERIA </w:t>
      </w:r>
      <w:r w:rsidR="00521E5B" w:rsidRPr="0088685C">
        <w:rPr>
          <w:rFonts w:ascii="Arial" w:eastAsia="Calibri" w:hAnsi="Arial" w:cs="Arial"/>
          <w:sz w:val="26"/>
          <w:szCs w:val="26"/>
        </w:rPr>
        <w:t>el actual medio de defensa</w:t>
      </w:r>
      <w:r w:rsidRPr="0088685C">
        <w:rPr>
          <w:rFonts w:ascii="Arial" w:eastAsia="Calibri" w:hAnsi="Arial" w:cs="Arial"/>
          <w:sz w:val="26"/>
          <w:szCs w:val="26"/>
        </w:rPr>
        <w:t xml:space="preserve">, </w:t>
      </w:r>
      <w:r w:rsidRPr="0088685C">
        <w:rPr>
          <w:rFonts w:ascii="Arial" w:eastAsia="Calibri" w:hAnsi="Arial" w:cs="Arial"/>
          <w:sz w:val="26"/>
          <w:szCs w:val="26"/>
          <w:lang w:eastAsia="es-ES"/>
        </w:rPr>
        <w:t>por las razones expuestas en el considerando que antecede</w:t>
      </w:r>
      <w:r w:rsidRPr="0088685C">
        <w:rPr>
          <w:rFonts w:ascii="Arial" w:eastAsia="Calibri" w:hAnsi="Arial" w:cs="Arial"/>
          <w:sz w:val="26"/>
          <w:szCs w:val="26"/>
        </w:rPr>
        <w:t xml:space="preserve">. </w:t>
      </w:r>
    </w:p>
    <w:p w:rsidR="00771F6E" w:rsidRPr="0088685C" w:rsidRDefault="00F353B7" w:rsidP="00F40CDA">
      <w:pPr>
        <w:spacing w:before="240" w:line="360" w:lineRule="auto"/>
        <w:ind w:firstLine="708"/>
        <w:jc w:val="both"/>
        <w:rPr>
          <w:rFonts w:ascii="Arial" w:eastAsia="Calibri" w:hAnsi="Arial" w:cs="Arial"/>
          <w:sz w:val="26"/>
          <w:szCs w:val="26"/>
        </w:rPr>
      </w:pPr>
      <w:r w:rsidRPr="0088685C">
        <w:rPr>
          <w:rFonts w:ascii="Arial" w:hAnsi="Arial" w:cs="Arial"/>
          <w:b/>
          <w:sz w:val="26"/>
          <w:szCs w:val="26"/>
        </w:rPr>
        <w:t>SEGUNDO.</w:t>
      </w:r>
      <w:r w:rsidR="00F40CDA" w:rsidRPr="0088685C">
        <w:rPr>
          <w:rFonts w:ascii="Arial" w:hAnsi="Arial" w:cs="Arial"/>
          <w:b/>
          <w:sz w:val="26"/>
          <w:szCs w:val="26"/>
        </w:rPr>
        <w:t xml:space="preserve"> </w:t>
      </w:r>
      <w:r w:rsidR="00771F6E" w:rsidRPr="0088685C">
        <w:rPr>
          <w:rFonts w:ascii="Arial" w:hAnsi="Arial" w:cs="Arial"/>
          <w:b/>
          <w:sz w:val="26"/>
          <w:szCs w:val="26"/>
        </w:rPr>
        <w:t>NOTIFÍQUESE Y CÚ</w:t>
      </w:r>
      <w:r w:rsidRPr="0088685C">
        <w:rPr>
          <w:rFonts w:ascii="Arial" w:hAnsi="Arial" w:cs="Arial"/>
          <w:b/>
          <w:sz w:val="26"/>
          <w:szCs w:val="26"/>
        </w:rPr>
        <w:t>MPLASE,</w:t>
      </w:r>
      <w:r w:rsidRPr="0088685C">
        <w:rPr>
          <w:rFonts w:ascii="Arial" w:hAnsi="Arial" w:cs="Arial"/>
          <w:sz w:val="26"/>
          <w:szCs w:val="26"/>
        </w:rPr>
        <w:t xml:space="preserve"> con copia certificada de la presente resolución, vuelvan las constancias remitidas a la </w:t>
      </w:r>
      <w:r w:rsidR="00F40CDA" w:rsidRPr="0088685C">
        <w:rPr>
          <w:rFonts w:ascii="Arial" w:hAnsi="Arial" w:cs="Arial"/>
          <w:sz w:val="26"/>
          <w:szCs w:val="26"/>
        </w:rPr>
        <w:t>Sexta</w:t>
      </w:r>
      <w:r w:rsidRPr="0088685C">
        <w:rPr>
          <w:rFonts w:ascii="Arial" w:hAnsi="Arial" w:cs="Arial"/>
          <w:sz w:val="26"/>
          <w:szCs w:val="26"/>
        </w:rPr>
        <w:t xml:space="preserve"> Sala Unitaria de Primera Instancia, </w:t>
      </w:r>
      <w:r w:rsidRPr="0088685C">
        <w:rPr>
          <w:rFonts w:ascii="Arial" w:eastAsia="Calibri" w:hAnsi="Arial" w:cs="Arial"/>
          <w:sz w:val="26"/>
          <w:szCs w:val="26"/>
        </w:rPr>
        <w:t>y en su oportunidad archívese el cuader</w:t>
      </w:r>
      <w:r w:rsidR="00771F6E" w:rsidRPr="0088685C">
        <w:rPr>
          <w:rFonts w:ascii="Arial" w:eastAsia="Calibri" w:hAnsi="Arial" w:cs="Arial"/>
          <w:sz w:val="26"/>
          <w:szCs w:val="26"/>
        </w:rPr>
        <w:t>no de revisión como concluido.</w:t>
      </w:r>
    </w:p>
    <w:p w:rsidR="00771F6E" w:rsidRPr="0088685C" w:rsidRDefault="00771F6E" w:rsidP="00771F6E">
      <w:pPr>
        <w:tabs>
          <w:tab w:val="left" w:pos="1985"/>
        </w:tabs>
        <w:spacing w:before="240" w:line="360" w:lineRule="auto"/>
        <w:ind w:firstLine="708"/>
        <w:jc w:val="both"/>
        <w:rPr>
          <w:rFonts w:ascii="Arial" w:hAnsi="Arial" w:cs="Arial"/>
          <w:bCs/>
          <w:sz w:val="26"/>
          <w:szCs w:val="26"/>
        </w:rPr>
      </w:pPr>
      <w:r w:rsidRPr="0088685C">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88685C" w:rsidRDefault="0088685C" w:rsidP="00771F6E">
      <w:pPr>
        <w:spacing w:line="360" w:lineRule="auto"/>
        <w:rPr>
          <w:rFonts w:ascii="Arial" w:hAnsi="Arial" w:cs="Arial"/>
          <w:sz w:val="26"/>
          <w:szCs w:val="26"/>
        </w:rPr>
      </w:pPr>
    </w:p>
    <w:p w:rsidR="00771F6E" w:rsidRPr="008E57C1" w:rsidRDefault="00771F6E" w:rsidP="00771F6E">
      <w:pPr>
        <w:spacing w:line="360" w:lineRule="auto"/>
        <w:rPr>
          <w:rFonts w:ascii="Arial" w:hAnsi="Arial" w:cs="Arial"/>
          <w:sz w:val="26"/>
          <w:szCs w:val="26"/>
        </w:rPr>
      </w:pPr>
    </w:p>
    <w:p w:rsidR="00771F6E" w:rsidRPr="008E57C1" w:rsidRDefault="00771F6E" w:rsidP="00771F6E">
      <w:pPr>
        <w:spacing w:after="0"/>
        <w:jc w:val="center"/>
        <w:rPr>
          <w:rFonts w:ascii="Arial" w:hAnsi="Arial" w:cs="Arial"/>
          <w:sz w:val="26"/>
          <w:szCs w:val="26"/>
        </w:rPr>
      </w:pPr>
      <w:r w:rsidRPr="008E57C1">
        <w:rPr>
          <w:rFonts w:ascii="Arial" w:hAnsi="Arial" w:cs="Arial"/>
          <w:sz w:val="26"/>
          <w:szCs w:val="26"/>
        </w:rPr>
        <w:t>MAGISTRADO ADRIÁN QUIROGA AVENDAÑO.</w:t>
      </w:r>
    </w:p>
    <w:p w:rsidR="00771F6E" w:rsidRPr="008E57C1" w:rsidRDefault="00771F6E" w:rsidP="00771F6E">
      <w:pPr>
        <w:spacing w:after="0"/>
        <w:jc w:val="center"/>
        <w:rPr>
          <w:rFonts w:ascii="Arial" w:hAnsi="Arial" w:cs="Arial"/>
          <w:sz w:val="26"/>
          <w:szCs w:val="26"/>
        </w:rPr>
      </w:pPr>
      <w:r w:rsidRPr="008E57C1">
        <w:rPr>
          <w:rFonts w:ascii="Arial" w:hAnsi="Arial" w:cs="Arial"/>
          <w:sz w:val="26"/>
          <w:szCs w:val="26"/>
        </w:rPr>
        <w:t>PRESIDENTE</w:t>
      </w:r>
    </w:p>
    <w:p w:rsidR="00771F6E" w:rsidRDefault="00771F6E" w:rsidP="00771F6E">
      <w:pPr>
        <w:spacing w:line="360" w:lineRule="auto"/>
        <w:rPr>
          <w:rFonts w:ascii="Arial" w:hAnsi="Arial" w:cs="Arial"/>
          <w:sz w:val="26"/>
          <w:szCs w:val="26"/>
        </w:rPr>
      </w:pPr>
    </w:p>
    <w:p w:rsidR="0088685C" w:rsidRPr="008E57C1" w:rsidRDefault="0088685C" w:rsidP="0088685C">
      <w:pPr>
        <w:spacing w:line="360" w:lineRule="auto"/>
        <w:jc w:val="center"/>
        <w:rPr>
          <w:rFonts w:ascii="Arial" w:hAnsi="Arial" w:cs="Arial"/>
          <w:b/>
          <w:sz w:val="14"/>
          <w:szCs w:val="26"/>
        </w:rPr>
      </w:pPr>
      <w:r w:rsidRPr="008E57C1">
        <w:rPr>
          <w:rFonts w:ascii="Arial" w:hAnsi="Arial" w:cs="Arial"/>
          <w:b/>
          <w:sz w:val="14"/>
          <w:szCs w:val="26"/>
        </w:rPr>
        <w:t>LAS PRESENTES FIRMAS CORRESP</w:t>
      </w:r>
      <w:r>
        <w:rPr>
          <w:rFonts w:ascii="Arial" w:hAnsi="Arial" w:cs="Arial"/>
          <w:b/>
          <w:sz w:val="14"/>
          <w:szCs w:val="26"/>
        </w:rPr>
        <w:t>ONDEN AL RECURSO DE REVISIÓN 009</w:t>
      </w:r>
      <w:r w:rsidRPr="008E57C1">
        <w:rPr>
          <w:rFonts w:ascii="Arial" w:hAnsi="Arial" w:cs="Arial"/>
          <w:b/>
          <w:sz w:val="14"/>
          <w:szCs w:val="26"/>
        </w:rPr>
        <w:t>/2018</w:t>
      </w:r>
    </w:p>
    <w:p w:rsidR="00771F6E" w:rsidRDefault="00771F6E" w:rsidP="00771F6E">
      <w:pPr>
        <w:spacing w:line="360" w:lineRule="auto"/>
        <w:rPr>
          <w:rFonts w:ascii="Arial" w:hAnsi="Arial" w:cs="Arial"/>
          <w:sz w:val="26"/>
          <w:szCs w:val="26"/>
        </w:rPr>
      </w:pPr>
    </w:p>
    <w:p w:rsidR="0088685C" w:rsidRPr="008E57C1" w:rsidRDefault="0088685C" w:rsidP="00771F6E">
      <w:pPr>
        <w:spacing w:line="360" w:lineRule="auto"/>
        <w:rPr>
          <w:rFonts w:ascii="Arial" w:hAnsi="Arial" w:cs="Arial"/>
          <w:sz w:val="26"/>
          <w:szCs w:val="26"/>
        </w:rPr>
      </w:pPr>
    </w:p>
    <w:p w:rsidR="00771F6E" w:rsidRPr="008E57C1" w:rsidRDefault="00771F6E" w:rsidP="00771F6E">
      <w:pPr>
        <w:spacing w:line="360" w:lineRule="auto"/>
        <w:rPr>
          <w:rFonts w:ascii="Arial" w:hAnsi="Arial" w:cs="Arial"/>
          <w:sz w:val="26"/>
          <w:szCs w:val="26"/>
        </w:rPr>
      </w:pPr>
    </w:p>
    <w:p w:rsidR="00771F6E" w:rsidRPr="008E57C1" w:rsidRDefault="00771F6E" w:rsidP="00771F6E">
      <w:pPr>
        <w:spacing w:line="360" w:lineRule="auto"/>
        <w:jc w:val="center"/>
        <w:rPr>
          <w:rFonts w:ascii="Arial" w:hAnsi="Arial" w:cs="Arial"/>
          <w:sz w:val="26"/>
          <w:szCs w:val="26"/>
        </w:rPr>
      </w:pPr>
      <w:r w:rsidRPr="008E57C1">
        <w:rPr>
          <w:rFonts w:ascii="Arial" w:hAnsi="Arial" w:cs="Arial"/>
          <w:sz w:val="26"/>
          <w:szCs w:val="26"/>
        </w:rPr>
        <w:t>MAGISTRADO HUGO VILLEGAS AQUINO.</w:t>
      </w:r>
    </w:p>
    <w:p w:rsidR="00771F6E" w:rsidRPr="008E57C1" w:rsidRDefault="00771F6E" w:rsidP="00771F6E">
      <w:pPr>
        <w:spacing w:line="360" w:lineRule="auto"/>
        <w:jc w:val="center"/>
        <w:rPr>
          <w:rFonts w:ascii="Arial" w:hAnsi="Arial" w:cs="Arial"/>
          <w:sz w:val="26"/>
          <w:szCs w:val="26"/>
        </w:rPr>
      </w:pPr>
    </w:p>
    <w:p w:rsidR="00771F6E" w:rsidRDefault="00771F6E" w:rsidP="00771F6E">
      <w:pPr>
        <w:spacing w:line="360" w:lineRule="auto"/>
        <w:rPr>
          <w:rFonts w:ascii="Arial" w:hAnsi="Arial" w:cs="Arial"/>
          <w:sz w:val="26"/>
          <w:szCs w:val="26"/>
        </w:rPr>
      </w:pPr>
    </w:p>
    <w:p w:rsidR="00771F6E" w:rsidRPr="008E57C1" w:rsidRDefault="00771F6E" w:rsidP="00771F6E">
      <w:pPr>
        <w:spacing w:line="360" w:lineRule="auto"/>
        <w:rPr>
          <w:rFonts w:ascii="Arial" w:hAnsi="Arial" w:cs="Arial"/>
          <w:sz w:val="26"/>
          <w:szCs w:val="26"/>
        </w:rPr>
      </w:pPr>
    </w:p>
    <w:p w:rsidR="00771F6E" w:rsidRPr="008E57C1" w:rsidRDefault="00771F6E" w:rsidP="00771F6E">
      <w:pPr>
        <w:spacing w:line="360" w:lineRule="auto"/>
        <w:jc w:val="center"/>
        <w:rPr>
          <w:rFonts w:ascii="Arial" w:hAnsi="Arial" w:cs="Arial"/>
          <w:sz w:val="26"/>
          <w:szCs w:val="26"/>
        </w:rPr>
      </w:pPr>
      <w:r w:rsidRPr="008E57C1">
        <w:rPr>
          <w:rFonts w:ascii="Arial" w:hAnsi="Arial" w:cs="Arial"/>
          <w:sz w:val="26"/>
          <w:szCs w:val="26"/>
        </w:rPr>
        <w:t>MAGISTRADO ENRIQUE PACHECO MARTÍNEZ.</w:t>
      </w:r>
    </w:p>
    <w:p w:rsidR="00771F6E" w:rsidRPr="008E57C1" w:rsidRDefault="00771F6E" w:rsidP="00771F6E">
      <w:pPr>
        <w:spacing w:line="360" w:lineRule="auto"/>
        <w:rPr>
          <w:rFonts w:ascii="Arial" w:hAnsi="Arial" w:cs="Arial"/>
          <w:sz w:val="26"/>
          <w:szCs w:val="26"/>
        </w:rPr>
      </w:pPr>
    </w:p>
    <w:p w:rsidR="00771F6E" w:rsidRDefault="00771F6E" w:rsidP="00771F6E">
      <w:pPr>
        <w:spacing w:line="360" w:lineRule="auto"/>
        <w:rPr>
          <w:rFonts w:ascii="Arial" w:hAnsi="Arial" w:cs="Arial"/>
          <w:sz w:val="26"/>
          <w:szCs w:val="26"/>
        </w:rPr>
      </w:pPr>
    </w:p>
    <w:p w:rsidR="00771F6E" w:rsidRPr="008E57C1" w:rsidRDefault="00771F6E" w:rsidP="00771F6E">
      <w:pPr>
        <w:spacing w:line="360" w:lineRule="auto"/>
        <w:rPr>
          <w:rFonts w:ascii="Arial" w:hAnsi="Arial" w:cs="Arial"/>
          <w:sz w:val="26"/>
          <w:szCs w:val="26"/>
        </w:rPr>
      </w:pPr>
    </w:p>
    <w:p w:rsidR="00771F6E" w:rsidRPr="008E57C1" w:rsidRDefault="00771F6E" w:rsidP="00771F6E">
      <w:pPr>
        <w:spacing w:line="360" w:lineRule="auto"/>
        <w:jc w:val="center"/>
        <w:rPr>
          <w:rFonts w:ascii="Arial" w:hAnsi="Arial" w:cs="Arial"/>
          <w:sz w:val="26"/>
          <w:szCs w:val="26"/>
        </w:rPr>
      </w:pPr>
      <w:r w:rsidRPr="008E57C1">
        <w:rPr>
          <w:rFonts w:ascii="Arial" w:hAnsi="Arial" w:cs="Arial"/>
          <w:sz w:val="26"/>
          <w:szCs w:val="26"/>
        </w:rPr>
        <w:t>MAGISTRADA MARÍA ELENA VILLA DE JARQUÍN</w:t>
      </w:r>
    </w:p>
    <w:p w:rsidR="00771F6E" w:rsidRPr="008E57C1" w:rsidRDefault="00771F6E" w:rsidP="00771F6E">
      <w:pPr>
        <w:jc w:val="center"/>
        <w:rPr>
          <w:rFonts w:ascii="Arial" w:eastAsiaTheme="minorEastAsia" w:hAnsi="Arial" w:cs="Arial"/>
          <w:sz w:val="26"/>
          <w:szCs w:val="26"/>
          <w:lang w:eastAsia="es-MX"/>
        </w:rPr>
      </w:pPr>
    </w:p>
    <w:p w:rsidR="00771F6E" w:rsidRPr="008E57C1" w:rsidRDefault="00771F6E" w:rsidP="00771F6E">
      <w:pPr>
        <w:jc w:val="center"/>
        <w:rPr>
          <w:rFonts w:ascii="Arial" w:eastAsiaTheme="minorEastAsia" w:hAnsi="Arial" w:cs="Arial"/>
          <w:sz w:val="26"/>
          <w:szCs w:val="26"/>
          <w:lang w:eastAsia="es-MX"/>
        </w:rPr>
      </w:pPr>
    </w:p>
    <w:p w:rsidR="00771F6E" w:rsidRPr="008E57C1" w:rsidRDefault="00771F6E" w:rsidP="00771F6E">
      <w:pPr>
        <w:jc w:val="center"/>
        <w:rPr>
          <w:rFonts w:ascii="Arial" w:eastAsiaTheme="minorEastAsia" w:hAnsi="Arial" w:cs="Arial"/>
          <w:sz w:val="26"/>
          <w:szCs w:val="26"/>
          <w:lang w:eastAsia="es-MX"/>
        </w:rPr>
      </w:pPr>
    </w:p>
    <w:p w:rsidR="00771F6E" w:rsidRPr="008E57C1" w:rsidRDefault="00771F6E" w:rsidP="00771F6E">
      <w:pPr>
        <w:jc w:val="center"/>
        <w:rPr>
          <w:rFonts w:ascii="Arial" w:hAnsi="Arial" w:cs="Arial"/>
          <w:sz w:val="26"/>
          <w:szCs w:val="26"/>
        </w:rPr>
      </w:pPr>
      <w:r w:rsidRPr="008E57C1">
        <w:rPr>
          <w:rFonts w:ascii="Arial" w:eastAsiaTheme="minorEastAsia" w:hAnsi="Arial" w:cs="Arial"/>
          <w:sz w:val="26"/>
          <w:szCs w:val="26"/>
          <w:lang w:eastAsia="es-MX"/>
        </w:rPr>
        <w:t>MAGISTRADO MANUEL VELASCO ALCÁNTARA</w:t>
      </w:r>
    </w:p>
    <w:p w:rsidR="00771F6E" w:rsidRPr="008E57C1" w:rsidRDefault="00771F6E" w:rsidP="00771F6E">
      <w:pPr>
        <w:rPr>
          <w:rFonts w:ascii="Arial" w:hAnsi="Arial" w:cs="Arial"/>
          <w:sz w:val="26"/>
          <w:szCs w:val="26"/>
        </w:rPr>
      </w:pPr>
    </w:p>
    <w:p w:rsidR="00771F6E" w:rsidRPr="008E57C1" w:rsidRDefault="00771F6E" w:rsidP="00771F6E">
      <w:pPr>
        <w:rPr>
          <w:rFonts w:ascii="Arial" w:hAnsi="Arial" w:cs="Arial"/>
          <w:sz w:val="26"/>
          <w:szCs w:val="26"/>
        </w:rPr>
      </w:pPr>
    </w:p>
    <w:p w:rsidR="00771F6E" w:rsidRPr="008E57C1" w:rsidRDefault="00771F6E" w:rsidP="00771F6E">
      <w:pPr>
        <w:rPr>
          <w:rFonts w:ascii="Arial" w:hAnsi="Arial" w:cs="Arial"/>
          <w:sz w:val="26"/>
          <w:szCs w:val="26"/>
        </w:rPr>
      </w:pPr>
    </w:p>
    <w:p w:rsidR="00771F6E" w:rsidRPr="008E57C1" w:rsidRDefault="00771F6E" w:rsidP="00771F6E">
      <w:pPr>
        <w:spacing w:after="0"/>
        <w:jc w:val="center"/>
        <w:rPr>
          <w:rFonts w:ascii="Arial" w:hAnsi="Arial" w:cs="Arial"/>
          <w:sz w:val="26"/>
          <w:szCs w:val="26"/>
        </w:rPr>
      </w:pPr>
      <w:r w:rsidRPr="008E57C1">
        <w:rPr>
          <w:rFonts w:ascii="Arial" w:hAnsi="Arial" w:cs="Arial"/>
          <w:sz w:val="26"/>
          <w:szCs w:val="26"/>
        </w:rPr>
        <w:t>LICENCIADA SANDRA PÉREZ CRUZ.</w:t>
      </w:r>
    </w:p>
    <w:p w:rsidR="00771F6E" w:rsidRPr="008E57C1" w:rsidRDefault="00771F6E" w:rsidP="00771F6E">
      <w:pPr>
        <w:spacing w:after="0"/>
        <w:jc w:val="center"/>
        <w:rPr>
          <w:rFonts w:ascii="Arial" w:hAnsi="Arial" w:cs="Arial"/>
          <w:sz w:val="26"/>
          <w:szCs w:val="26"/>
        </w:rPr>
      </w:pPr>
      <w:r w:rsidRPr="008E57C1">
        <w:rPr>
          <w:rFonts w:ascii="Arial" w:hAnsi="Arial" w:cs="Arial"/>
          <w:sz w:val="26"/>
          <w:szCs w:val="26"/>
        </w:rPr>
        <w:t>SECRETARIA GENERAL DE ACUERDOS.</w:t>
      </w:r>
    </w:p>
    <w:p w:rsidR="00771F6E" w:rsidRPr="008E57C1" w:rsidRDefault="00266FA1" w:rsidP="00771F6E">
      <w:pPr>
        <w:autoSpaceDE w:val="0"/>
        <w:autoSpaceDN w:val="0"/>
        <w:adjustRightInd w:val="0"/>
        <w:spacing w:after="120" w:line="360" w:lineRule="auto"/>
        <w:ind w:firstLine="708"/>
        <w:jc w:val="both"/>
        <w:rPr>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50340800" wp14:editId="7723C894">
                <wp:simplePos x="0" y="0"/>
                <wp:positionH relativeFrom="column">
                  <wp:posOffset>5669915</wp:posOffset>
                </wp:positionH>
                <wp:positionV relativeFrom="paragraph">
                  <wp:posOffset>262890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66FA1" w:rsidRDefault="00266FA1" w:rsidP="00266FA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8" type="#_x0000_t202" style="position:absolute;left:0;text-align:left;margin-left:446.45pt;margin-top:20.7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VjE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">
                <v:textbox>
                  <w:txbxContent>
                    <w:p w:rsidR="00266FA1" w:rsidRDefault="00266FA1" w:rsidP="00266FA1">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771F6E" w:rsidRPr="008E57C1" w:rsidRDefault="00771F6E" w:rsidP="00771F6E">
      <w:pPr>
        <w:spacing w:before="240" w:line="360" w:lineRule="auto"/>
        <w:ind w:left="142" w:firstLine="708"/>
        <w:jc w:val="both"/>
        <w:rPr>
          <w:sz w:val="26"/>
          <w:szCs w:val="26"/>
        </w:rPr>
      </w:pPr>
    </w:p>
    <w:p w:rsidR="00771F6E" w:rsidRPr="00630BA5" w:rsidRDefault="00771F6E" w:rsidP="00771F6E">
      <w:pPr>
        <w:spacing w:before="240" w:line="360" w:lineRule="auto"/>
        <w:ind w:left="142" w:firstLine="708"/>
        <w:jc w:val="both"/>
        <w:rPr>
          <w:rFonts w:ascii="Arial" w:eastAsia="Calibri" w:hAnsi="Arial" w:cs="Arial"/>
          <w:sz w:val="26"/>
          <w:szCs w:val="26"/>
        </w:rPr>
      </w:pPr>
    </w:p>
    <w:p w:rsidR="00771F6E" w:rsidRDefault="00771F6E" w:rsidP="00771F6E">
      <w:pPr>
        <w:spacing w:before="240" w:line="360" w:lineRule="auto"/>
        <w:ind w:left="142" w:firstLine="708"/>
        <w:jc w:val="both"/>
      </w:pPr>
    </w:p>
    <w:p w:rsidR="00BA554F" w:rsidRDefault="00BA554F" w:rsidP="00771F6E">
      <w:pPr>
        <w:spacing w:before="240" w:line="360" w:lineRule="auto"/>
        <w:ind w:left="142" w:firstLine="708"/>
        <w:jc w:val="both"/>
      </w:pPr>
    </w:p>
    <w:sectPr w:rsidR="00BA554F" w:rsidSect="00771F6E">
      <w:headerReference w:type="even" r:id="rId8"/>
      <w:headerReference w:type="default" r:id="rId9"/>
      <w:footerReference w:type="default" r:id="rId10"/>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60D" w:rsidRDefault="00C2160D" w:rsidP="00F353B7">
      <w:pPr>
        <w:spacing w:after="0" w:line="240" w:lineRule="auto"/>
      </w:pPr>
      <w:r>
        <w:separator/>
      </w:r>
    </w:p>
  </w:endnote>
  <w:endnote w:type="continuationSeparator" w:id="0">
    <w:p w:rsidR="00C2160D" w:rsidRDefault="00C2160D" w:rsidP="00F353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6FA1" w:rsidRDefault="00266FA1">
    <w:pPr>
      <w:pStyle w:val="Piedepgina"/>
    </w:pPr>
    <w:r>
      <w:rPr>
        <w:noProof/>
        <w:lang w:val="es-MX" w:eastAsia="es-MX"/>
      </w:rPr>
      <mc:AlternateContent>
        <mc:Choice Requires="wps">
          <w:drawing>
            <wp:anchor distT="0" distB="0" distL="114300" distR="114300" simplePos="0" relativeHeight="251659264" behindDoc="0" locked="0" layoutInCell="1" allowOverlap="1" wp14:anchorId="7C559FC5" wp14:editId="7BDF5042">
              <wp:simplePos x="0" y="0"/>
              <wp:positionH relativeFrom="column">
                <wp:posOffset>-1725295</wp:posOffset>
              </wp:positionH>
              <wp:positionV relativeFrom="paragraph">
                <wp:posOffset>-3482340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66FA1" w:rsidRDefault="00266FA1" w:rsidP="00266FA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9" type="#_x0000_t202" style="position:absolute;margin-left:-135.85pt;margin-top:-274.2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">
              <v:textbox>
                <w:txbxContent>
                  <w:p w:rsidR="00266FA1" w:rsidRDefault="00266FA1" w:rsidP="00266FA1">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60D" w:rsidRDefault="00C2160D" w:rsidP="00F353B7">
      <w:pPr>
        <w:spacing w:after="0" w:line="240" w:lineRule="auto"/>
      </w:pPr>
      <w:r>
        <w:separator/>
      </w:r>
    </w:p>
  </w:footnote>
  <w:footnote w:type="continuationSeparator" w:id="0">
    <w:p w:rsidR="00C2160D" w:rsidRDefault="00C2160D" w:rsidP="00F353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D2291D" w:rsidRDefault="00576BB8">
        <w:pPr>
          <w:pStyle w:val="Encabezado"/>
          <w:jc w:val="center"/>
        </w:pPr>
        <w:r>
          <w:fldChar w:fldCharType="begin"/>
        </w:r>
        <w:r>
          <w:instrText>PAGE   \* MERGEFORMAT</w:instrText>
        </w:r>
        <w:r>
          <w:fldChar w:fldCharType="separate"/>
        </w:r>
        <w:r>
          <w:rPr>
            <w:noProof/>
          </w:rPr>
          <w:t>14</w:t>
        </w:r>
        <w:r>
          <w:fldChar w:fldCharType="end"/>
        </w:r>
      </w:p>
    </w:sdtContent>
  </w:sdt>
  <w:p w:rsidR="00D2291D" w:rsidRDefault="00B57CFE">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D2291D" w:rsidRDefault="00576BB8" w:rsidP="00D2291D">
        <w:pPr>
          <w:pStyle w:val="Encabezado"/>
          <w:jc w:val="center"/>
          <w:rPr>
            <w:noProof/>
          </w:rPr>
        </w:pPr>
        <w:r>
          <w:fldChar w:fldCharType="begin"/>
        </w:r>
        <w:r>
          <w:instrText xml:space="preserve"> PAGE   \* MERGEFORMAT </w:instrText>
        </w:r>
        <w:r>
          <w:fldChar w:fldCharType="separate"/>
        </w:r>
        <w:r w:rsidR="00B57CFE">
          <w:rPr>
            <w:noProof/>
          </w:rPr>
          <w:t>1</w:t>
        </w:r>
        <w:r>
          <w:rPr>
            <w:noProof/>
          </w:rPr>
          <w:fldChar w:fldCharType="end"/>
        </w:r>
      </w:p>
      <w:p w:rsidR="00D2291D" w:rsidRDefault="00B57CFE" w:rsidP="00D2291D">
        <w:pPr>
          <w:pStyle w:val="Encabezado"/>
          <w:jc w:val="center"/>
        </w:pPr>
      </w:p>
    </w:sdtContent>
  </w:sdt>
  <w:p w:rsidR="00D2291D" w:rsidRDefault="00B57CFE" w:rsidP="00D2291D">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4E6B01"/>
    <w:multiLevelType w:val="hybridMultilevel"/>
    <w:tmpl w:val="0D8AD11E"/>
    <w:lvl w:ilvl="0" w:tplc="4F4A51A8">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9"/>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3B7"/>
    <w:rsid w:val="001F0ADA"/>
    <w:rsid w:val="00266FA1"/>
    <w:rsid w:val="00273518"/>
    <w:rsid w:val="00344B49"/>
    <w:rsid w:val="00352CB5"/>
    <w:rsid w:val="00512D10"/>
    <w:rsid w:val="00521E5B"/>
    <w:rsid w:val="0054697A"/>
    <w:rsid w:val="00576BB8"/>
    <w:rsid w:val="0061149E"/>
    <w:rsid w:val="00666355"/>
    <w:rsid w:val="006B6E5E"/>
    <w:rsid w:val="006E31BB"/>
    <w:rsid w:val="00771F6E"/>
    <w:rsid w:val="0088685C"/>
    <w:rsid w:val="008C6179"/>
    <w:rsid w:val="009634D0"/>
    <w:rsid w:val="00A177EC"/>
    <w:rsid w:val="00AC4653"/>
    <w:rsid w:val="00B278E0"/>
    <w:rsid w:val="00B57CFE"/>
    <w:rsid w:val="00B83FCE"/>
    <w:rsid w:val="00BA554F"/>
    <w:rsid w:val="00BC3DBE"/>
    <w:rsid w:val="00BF1160"/>
    <w:rsid w:val="00C065D7"/>
    <w:rsid w:val="00C2160D"/>
    <w:rsid w:val="00C64FB6"/>
    <w:rsid w:val="00D0016C"/>
    <w:rsid w:val="00D941CD"/>
    <w:rsid w:val="00DA573B"/>
    <w:rsid w:val="00E21AA6"/>
    <w:rsid w:val="00E56F8F"/>
    <w:rsid w:val="00F353B7"/>
    <w:rsid w:val="00F40CD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3B7"/>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F353B7"/>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353B7"/>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semiHidden/>
    <w:unhideWhenUsed/>
    <w:rsid w:val="00F353B7"/>
    <w:pPr>
      <w:spacing w:after="0" w:line="240" w:lineRule="auto"/>
    </w:pPr>
    <w:rPr>
      <w:sz w:val="20"/>
      <w:szCs w:val="20"/>
      <w:lang w:val="es-MX"/>
    </w:rPr>
  </w:style>
  <w:style w:type="character" w:customStyle="1" w:styleId="TextonotapieCar">
    <w:name w:val="Texto nota pie Car"/>
    <w:basedOn w:val="Fuentedeprrafopredeter"/>
    <w:link w:val="Textonotapie"/>
    <w:uiPriority w:val="99"/>
    <w:semiHidden/>
    <w:rsid w:val="00F353B7"/>
    <w:rPr>
      <w:sz w:val="20"/>
      <w:szCs w:val="20"/>
      <w:lang w:val="es-MX"/>
    </w:rPr>
  </w:style>
  <w:style w:type="character" w:styleId="Refdenotaalpie">
    <w:name w:val="footnote reference"/>
    <w:basedOn w:val="Fuentedeprrafopredeter"/>
    <w:uiPriority w:val="99"/>
    <w:semiHidden/>
    <w:unhideWhenUsed/>
    <w:rsid w:val="00F353B7"/>
    <w:rPr>
      <w:vertAlign w:val="superscript"/>
    </w:rPr>
  </w:style>
  <w:style w:type="paragraph" w:styleId="Prrafodelista">
    <w:name w:val="List Paragraph"/>
    <w:basedOn w:val="Normal"/>
    <w:uiPriority w:val="34"/>
    <w:qFormat/>
    <w:rsid w:val="00512D10"/>
    <w:pPr>
      <w:ind w:left="720"/>
      <w:contextualSpacing/>
    </w:pPr>
  </w:style>
  <w:style w:type="paragraph" w:styleId="Piedepgina">
    <w:name w:val="footer"/>
    <w:basedOn w:val="Normal"/>
    <w:link w:val="PiedepginaCar"/>
    <w:uiPriority w:val="99"/>
    <w:unhideWhenUsed/>
    <w:rsid w:val="00771F6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71F6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3B7"/>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F353B7"/>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353B7"/>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semiHidden/>
    <w:unhideWhenUsed/>
    <w:rsid w:val="00F353B7"/>
    <w:pPr>
      <w:spacing w:after="0" w:line="240" w:lineRule="auto"/>
    </w:pPr>
    <w:rPr>
      <w:sz w:val="20"/>
      <w:szCs w:val="20"/>
      <w:lang w:val="es-MX"/>
    </w:rPr>
  </w:style>
  <w:style w:type="character" w:customStyle="1" w:styleId="TextonotapieCar">
    <w:name w:val="Texto nota pie Car"/>
    <w:basedOn w:val="Fuentedeprrafopredeter"/>
    <w:link w:val="Textonotapie"/>
    <w:uiPriority w:val="99"/>
    <w:semiHidden/>
    <w:rsid w:val="00F353B7"/>
    <w:rPr>
      <w:sz w:val="20"/>
      <w:szCs w:val="20"/>
      <w:lang w:val="es-MX"/>
    </w:rPr>
  </w:style>
  <w:style w:type="character" w:styleId="Refdenotaalpie">
    <w:name w:val="footnote reference"/>
    <w:basedOn w:val="Fuentedeprrafopredeter"/>
    <w:uiPriority w:val="99"/>
    <w:semiHidden/>
    <w:unhideWhenUsed/>
    <w:rsid w:val="00F353B7"/>
    <w:rPr>
      <w:vertAlign w:val="superscript"/>
    </w:rPr>
  </w:style>
  <w:style w:type="paragraph" w:styleId="Prrafodelista">
    <w:name w:val="List Paragraph"/>
    <w:basedOn w:val="Normal"/>
    <w:uiPriority w:val="34"/>
    <w:qFormat/>
    <w:rsid w:val="00512D10"/>
    <w:pPr>
      <w:ind w:left="720"/>
      <w:contextualSpacing/>
    </w:pPr>
  </w:style>
  <w:style w:type="paragraph" w:styleId="Piedepgina">
    <w:name w:val="footer"/>
    <w:basedOn w:val="Normal"/>
    <w:link w:val="PiedepginaCar"/>
    <w:uiPriority w:val="99"/>
    <w:unhideWhenUsed/>
    <w:rsid w:val="00771F6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71F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6</Pages>
  <Words>1648</Words>
  <Characters>9069</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12</cp:revision>
  <cp:lastPrinted>2018-12-12T18:51:00Z</cp:lastPrinted>
  <dcterms:created xsi:type="dcterms:W3CDTF">2018-09-10T15:57:00Z</dcterms:created>
  <dcterms:modified xsi:type="dcterms:W3CDTF">2018-12-12T18:52:00Z</dcterms:modified>
</cp:coreProperties>
</file>