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39E4F902"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60731">
        <w:rPr>
          <w:rFonts w:ascii="Arial" w:hAnsi="Arial" w:cs="Arial"/>
          <w:b/>
          <w:sz w:val="26"/>
          <w:szCs w:val="26"/>
        </w:rPr>
        <w:t>09</w:t>
      </w:r>
      <w:r w:rsidR="00FF518D">
        <w:rPr>
          <w:rFonts w:ascii="Arial" w:hAnsi="Arial" w:cs="Arial"/>
          <w:b/>
          <w:sz w:val="26"/>
          <w:szCs w:val="26"/>
        </w:rPr>
        <w:t>/20</w:t>
      </w:r>
      <w:r w:rsidR="00EE4B2A">
        <w:rPr>
          <w:rFonts w:ascii="Arial" w:hAnsi="Arial" w:cs="Arial"/>
          <w:b/>
          <w:sz w:val="26"/>
          <w:szCs w:val="26"/>
        </w:rPr>
        <w:t>20</w:t>
      </w:r>
    </w:p>
    <w:p w14:paraId="0E20F414" w14:textId="1CB10702"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65C64">
        <w:rPr>
          <w:rFonts w:ascii="Arial" w:hAnsi="Arial" w:cs="Arial"/>
          <w:b/>
          <w:sz w:val="26"/>
          <w:szCs w:val="26"/>
        </w:rPr>
        <w:t>0</w:t>
      </w:r>
      <w:r w:rsidR="00D60731">
        <w:rPr>
          <w:rFonts w:ascii="Arial" w:hAnsi="Arial" w:cs="Arial"/>
          <w:b/>
          <w:sz w:val="26"/>
          <w:szCs w:val="26"/>
        </w:rPr>
        <w:t>90</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D60731">
        <w:rPr>
          <w:rFonts w:ascii="Arial" w:hAnsi="Arial" w:cs="Arial"/>
          <w:b/>
          <w:sz w:val="26"/>
          <w:szCs w:val="26"/>
        </w:rPr>
        <w:t xml:space="preserve">PRIMERA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5EEACC2D"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02CC5">
        <w:rPr>
          <w:rFonts w:ascii="Arial" w:hAnsi="Arial" w:cs="Arial"/>
          <w:b/>
          <w:sz w:val="26"/>
          <w:szCs w:val="26"/>
        </w:rPr>
        <w:t>O ABRAHAM SANTIAGO SORIANO.</w:t>
      </w:r>
    </w:p>
    <w:p w14:paraId="70A7C258" w14:textId="77777777" w:rsidR="00402CC5" w:rsidRDefault="00402CC5" w:rsidP="00C06661">
      <w:pPr>
        <w:spacing w:line="240" w:lineRule="auto"/>
        <w:ind w:left="2124"/>
        <w:jc w:val="both"/>
        <w:rPr>
          <w:rFonts w:ascii="Arial" w:hAnsi="Arial" w:cs="Arial"/>
          <w:b/>
          <w:sz w:val="26"/>
          <w:szCs w:val="26"/>
        </w:rPr>
      </w:pPr>
    </w:p>
    <w:p w14:paraId="72E48555" w14:textId="6624B9C7"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402CC5">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402CC5">
        <w:rPr>
          <w:rFonts w:ascii="Arial" w:hAnsi="Arial" w:cs="Arial"/>
          <w:b/>
          <w:sz w:val="26"/>
          <w:szCs w:val="26"/>
        </w:rPr>
        <w:t xml:space="preserve"> - - - - - - - - - - - - - - - - - - - - - - - - - - - - - - - - - - - - - - - - - - </w:t>
      </w:r>
    </w:p>
    <w:p w14:paraId="43DBF73A" w14:textId="28A0C4E3"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60731">
        <w:rPr>
          <w:rFonts w:ascii="Arial" w:hAnsi="Arial" w:cs="Arial"/>
          <w:b/>
          <w:sz w:val="26"/>
          <w:szCs w:val="26"/>
        </w:rPr>
        <w:t>09</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E72540">
        <w:rPr>
          <w:rFonts w:ascii="Arial" w:hAnsi="Arial" w:cs="Arial"/>
          <w:sz w:val="26"/>
          <w:szCs w:val="26"/>
        </w:rPr>
        <w:t>la</w:t>
      </w:r>
      <w:r w:rsidR="00665C64">
        <w:rPr>
          <w:rFonts w:ascii="Arial" w:hAnsi="Arial" w:cs="Arial"/>
          <w:sz w:val="26"/>
          <w:szCs w:val="26"/>
        </w:rPr>
        <w:t xml:space="preserve"> </w:t>
      </w:r>
      <w:r w:rsidR="00E72540">
        <w:rPr>
          <w:rFonts w:ascii="Arial" w:hAnsi="Arial" w:cs="Arial"/>
          <w:b/>
          <w:bCs/>
          <w:sz w:val="26"/>
          <w:szCs w:val="26"/>
        </w:rPr>
        <w:t>POLICÍA VIAL CON NÚMERO ESTADÍSTICO 2</w:t>
      </w:r>
      <w:r w:rsidR="00D60731">
        <w:rPr>
          <w:rFonts w:ascii="Arial" w:hAnsi="Arial" w:cs="Arial"/>
          <w:b/>
          <w:bCs/>
          <w:sz w:val="26"/>
          <w:szCs w:val="26"/>
        </w:rPr>
        <w:t>50</w:t>
      </w:r>
      <w:r w:rsidR="00E72540">
        <w:rPr>
          <w:rFonts w:ascii="Arial" w:hAnsi="Arial" w:cs="Arial"/>
          <w:b/>
          <w:bCs/>
          <w:sz w:val="26"/>
          <w:szCs w:val="26"/>
        </w:rPr>
        <w:t xml:space="preserve"> ADSCRITA A LA </w:t>
      </w:r>
      <w:r w:rsidR="00E72540" w:rsidRPr="00665C64">
        <w:rPr>
          <w:rFonts w:ascii="Arial" w:hAnsi="Arial" w:cs="Arial"/>
          <w:b/>
          <w:bCs/>
          <w:sz w:val="26"/>
          <w:szCs w:val="26"/>
        </w:rPr>
        <w:t>SUBDIRECCIÓN DE TRÁNSITO Y MOVILIDAD, DEL MUNICIPIO DE OAXACA DE JUÁREZ, OAXACA</w:t>
      </w:r>
      <w:r w:rsidR="009207FE">
        <w:rPr>
          <w:rFonts w:ascii="Arial" w:hAnsi="Arial" w:cs="Arial"/>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w:t>
      </w:r>
      <w:r w:rsidR="00D60731">
        <w:rPr>
          <w:rFonts w:ascii="Arial" w:hAnsi="Arial" w:cs="Arial"/>
          <w:sz w:val="26"/>
          <w:szCs w:val="26"/>
        </w:rPr>
        <w:t xml:space="preserve">seis de diciembre </w:t>
      </w:r>
      <w:r w:rsidR="00665C64">
        <w:rPr>
          <w:rFonts w:ascii="Arial" w:hAnsi="Arial" w:cs="Arial"/>
          <w:sz w:val="26"/>
          <w:szCs w:val="26"/>
        </w:rPr>
        <w:t>de dos mil</w:t>
      </w:r>
      <w:r w:rsidR="00D60731">
        <w:rPr>
          <w:rFonts w:ascii="Arial" w:hAnsi="Arial" w:cs="Arial"/>
          <w:sz w:val="26"/>
          <w:szCs w:val="26"/>
        </w:rPr>
        <w:t xml:space="preserve"> diecinueve</w:t>
      </w:r>
      <w:r>
        <w:rPr>
          <w:rFonts w:ascii="Arial" w:hAnsi="Arial" w:cs="Arial"/>
          <w:sz w:val="26"/>
          <w:szCs w:val="26"/>
        </w:rPr>
        <w:t>, dictada</w:t>
      </w:r>
      <w:r w:rsidRPr="00CB6405">
        <w:rPr>
          <w:rFonts w:ascii="Arial" w:hAnsi="Arial" w:cs="Arial"/>
          <w:sz w:val="26"/>
          <w:szCs w:val="26"/>
        </w:rPr>
        <w:t xml:space="preserve"> en el expediente </w:t>
      </w:r>
      <w:r w:rsidR="006B7AEC">
        <w:rPr>
          <w:rFonts w:ascii="Arial" w:hAnsi="Arial" w:cs="Arial"/>
          <w:b/>
          <w:sz w:val="26"/>
          <w:szCs w:val="26"/>
        </w:rPr>
        <w:t>0</w:t>
      </w:r>
      <w:r w:rsidR="00D60731">
        <w:rPr>
          <w:rFonts w:ascii="Arial" w:hAnsi="Arial" w:cs="Arial"/>
          <w:b/>
          <w:sz w:val="26"/>
          <w:szCs w:val="26"/>
        </w:rPr>
        <w:t>9</w:t>
      </w:r>
      <w:r w:rsidR="00665C64">
        <w:rPr>
          <w:rFonts w:ascii="Arial" w:hAnsi="Arial" w:cs="Arial"/>
          <w:b/>
          <w:sz w:val="26"/>
          <w:szCs w:val="26"/>
        </w:rPr>
        <w:t>0</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xml:space="preserve"> de la </w:t>
      </w:r>
      <w:r w:rsidR="00D60731">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8E076A">
        <w:rPr>
          <w:rFonts w:ascii="Arial" w:hAnsi="Arial" w:cs="Arial"/>
          <w:color w:val="000000"/>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E155CD">
        <w:rPr>
          <w:rFonts w:ascii="Arial" w:hAnsi="Arial" w:cs="Arial"/>
          <w:sz w:val="26"/>
          <w:szCs w:val="26"/>
        </w:rPr>
        <w:t xml:space="preserve"> </w:t>
      </w:r>
      <w:r w:rsidRPr="00CB6405">
        <w:rPr>
          <w:rFonts w:ascii="Arial" w:hAnsi="Arial" w:cs="Arial"/>
          <w:sz w:val="26"/>
          <w:szCs w:val="26"/>
        </w:rPr>
        <w:t>l</w:t>
      </w:r>
      <w:r w:rsidR="00E155CD">
        <w:rPr>
          <w:rFonts w:ascii="Arial" w:hAnsi="Arial" w:cs="Arial"/>
          <w:sz w:val="26"/>
          <w:szCs w:val="26"/>
        </w:rPr>
        <w:t>a</w:t>
      </w:r>
      <w:r w:rsidRPr="00CB6405">
        <w:rPr>
          <w:rFonts w:ascii="Arial" w:hAnsi="Arial" w:cs="Arial"/>
          <w:sz w:val="26"/>
          <w:szCs w:val="26"/>
        </w:rPr>
        <w:t xml:space="preserve"> </w:t>
      </w:r>
      <w:r w:rsidR="00E155CD">
        <w:rPr>
          <w:rFonts w:ascii="Arial" w:hAnsi="Arial" w:cs="Arial"/>
          <w:b/>
          <w:bCs/>
          <w:sz w:val="26"/>
          <w:szCs w:val="26"/>
        </w:rPr>
        <w:t>POLICÍA VIAL CON NÚMERO ESTADÍSTICO</w:t>
      </w:r>
      <w:r w:rsidR="00E72540">
        <w:rPr>
          <w:rFonts w:ascii="Arial" w:hAnsi="Arial" w:cs="Arial"/>
          <w:b/>
          <w:bCs/>
          <w:sz w:val="26"/>
          <w:szCs w:val="26"/>
        </w:rPr>
        <w:t xml:space="preserve"> </w:t>
      </w:r>
      <w:r w:rsidR="008E076A">
        <w:rPr>
          <w:rFonts w:ascii="Arial" w:hAnsi="Arial" w:cs="Arial"/>
          <w:color w:val="000000"/>
          <w:sz w:val="26"/>
          <w:szCs w:val="26"/>
        </w:rPr>
        <w:t xml:space="preserve">*********** </w:t>
      </w:r>
      <w:r w:rsidR="00E155CD">
        <w:rPr>
          <w:rFonts w:ascii="Arial" w:hAnsi="Arial" w:cs="Arial"/>
          <w:b/>
          <w:bCs/>
          <w:sz w:val="26"/>
          <w:szCs w:val="26"/>
        </w:rPr>
        <w:t xml:space="preserve"> ADSCRITA A LA </w:t>
      </w:r>
      <w:r w:rsidR="00665C64" w:rsidRPr="00665C64">
        <w:rPr>
          <w:rFonts w:ascii="Arial" w:hAnsi="Arial" w:cs="Arial"/>
          <w:b/>
          <w:bCs/>
          <w:sz w:val="26"/>
          <w:szCs w:val="26"/>
        </w:rPr>
        <w:t xml:space="preserve">SUBDIRECCIÓN DE TRÁNSITO Y MOVILIDAD, </w:t>
      </w:r>
      <w:r w:rsidR="00E155CD" w:rsidRPr="00665C64">
        <w:rPr>
          <w:rFonts w:ascii="Arial" w:hAnsi="Arial" w:cs="Arial"/>
          <w:b/>
          <w:bCs/>
          <w:sz w:val="26"/>
          <w:szCs w:val="26"/>
        </w:rPr>
        <w:t xml:space="preserve">DEL </w:t>
      </w:r>
      <w:r w:rsidR="00665C64" w:rsidRPr="00665C64">
        <w:rPr>
          <w:rFonts w:ascii="Arial" w:hAnsi="Arial" w:cs="Arial"/>
          <w:b/>
          <w:bCs/>
          <w:sz w:val="26"/>
          <w:szCs w:val="26"/>
        </w:rPr>
        <w:t>MUNICIPIO DE OAXACA DE JUÁREZ,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7D6589B9"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D60731">
        <w:rPr>
          <w:rFonts w:ascii="Arial" w:hAnsi="Arial" w:cs="Arial"/>
          <w:sz w:val="26"/>
          <w:szCs w:val="26"/>
        </w:rPr>
        <w:t>seis de diciembre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D60731">
        <w:rPr>
          <w:rFonts w:ascii="Arial" w:hAnsi="Arial" w:cs="Arial"/>
          <w:sz w:val="26"/>
          <w:szCs w:val="26"/>
        </w:rPr>
        <w:t xml:space="preserve">Primera </w:t>
      </w:r>
      <w:r w:rsidRPr="00CB6405">
        <w:rPr>
          <w:rFonts w:ascii="Arial" w:hAnsi="Arial" w:cs="Arial"/>
          <w:sz w:val="26"/>
          <w:szCs w:val="26"/>
        </w:rPr>
        <w:t xml:space="preserve">Sala Unitaria de Primera Instancia, </w:t>
      </w:r>
      <w:r w:rsidR="009207FE">
        <w:rPr>
          <w:rFonts w:ascii="Arial" w:hAnsi="Arial" w:cs="Arial"/>
          <w:sz w:val="26"/>
          <w:szCs w:val="26"/>
        </w:rPr>
        <w:t xml:space="preserve">la </w:t>
      </w:r>
      <w:r w:rsidR="009207FE">
        <w:rPr>
          <w:rFonts w:ascii="Arial" w:hAnsi="Arial" w:cs="Arial"/>
          <w:b/>
          <w:bCs/>
          <w:sz w:val="26"/>
          <w:szCs w:val="26"/>
        </w:rPr>
        <w:t xml:space="preserve">POLICÍA VIAL CON NÚMERO ESTADÍSTICO </w:t>
      </w:r>
      <w:r w:rsidR="008E076A">
        <w:rPr>
          <w:rFonts w:ascii="Arial" w:hAnsi="Arial" w:cs="Arial"/>
          <w:color w:val="000000"/>
          <w:sz w:val="26"/>
          <w:szCs w:val="26"/>
        </w:rPr>
        <w:t xml:space="preserve">*********** </w:t>
      </w:r>
      <w:bookmarkStart w:id="0" w:name="_GoBack"/>
      <w:bookmarkEnd w:id="0"/>
      <w:r w:rsidR="009207FE">
        <w:rPr>
          <w:rFonts w:ascii="Arial" w:hAnsi="Arial" w:cs="Arial"/>
          <w:b/>
          <w:bCs/>
          <w:sz w:val="26"/>
          <w:szCs w:val="26"/>
        </w:rPr>
        <w:t xml:space="preserve"> ADSCRITA A LA </w:t>
      </w:r>
      <w:r w:rsidR="009207FE" w:rsidRPr="00665C64">
        <w:rPr>
          <w:rFonts w:ascii="Arial" w:hAnsi="Arial" w:cs="Arial"/>
          <w:b/>
          <w:bCs/>
          <w:sz w:val="26"/>
          <w:szCs w:val="26"/>
        </w:rPr>
        <w:t>SUBDIRECCIÓN DE TRÁNSITO Y MOVILIDAD, DEL MUNICIPIO DE OAXACA DE JUÁREZ, OAXACA</w:t>
      </w:r>
      <w:r w:rsidRPr="00CB6405">
        <w:rPr>
          <w:rFonts w:ascii="Arial" w:hAnsi="Arial" w:cs="Arial"/>
          <w:sz w:val="26"/>
          <w:szCs w:val="26"/>
        </w:rPr>
        <w:t>, interpuso en su contra recurso de revisión.</w:t>
      </w:r>
    </w:p>
    <w:p w14:paraId="1A6A2FF3" w14:textId="77777777"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76BE49B4" w14:textId="11854D45" w:rsidR="00B525A6" w:rsidRPr="00C06661" w:rsidRDefault="00B525A6" w:rsidP="0084256F">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BF161E">
        <w:rPr>
          <w:rFonts w:ascii="Arial" w:eastAsia="Times New Roman" w:hAnsi="Arial" w:cs="Arial"/>
          <w:bCs/>
          <w:i/>
          <w:iCs/>
          <w:sz w:val="24"/>
          <w:szCs w:val="24"/>
          <w:lang w:eastAsia="es-ES"/>
        </w:rPr>
        <w:t xml:space="preserve">Primera Sala </w:t>
      </w:r>
      <w:r w:rsidR="00E155CD">
        <w:rPr>
          <w:rFonts w:ascii="Arial" w:eastAsia="Times New Roman" w:hAnsi="Arial" w:cs="Arial"/>
          <w:bCs/>
          <w:i/>
          <w:iCs/>
          <w:sz w:val="24"/>
          <w:szCs w:val="24"/>
          <w:lang w:eastAsia="es-ES"/>
        </w:rPr>
        <w:t xml:space="preserve">Unitaria </w:t>
      </w:r>
      <w:r w:rsidR="00665C64">
        <w:rPr>
          <w:rFonts w:ascii="Arial" w:eastAsia="Times New Roman" w:hAnsi="Arial" w:cs="Arial"/>
          <w:bCs/>
          <w:i/>
          <w:iCs/>
          <w:sz w:val="24"/>
          <w:szCs w:val="24"/>
          <w:lang w:eastAsia="es-ES"/>
        </w:rPr>
        <w:t>de</w:t>
      </w:r>
      <w:r w:rsidR="00E155CD">
        <w:rPr>
          <w:rFonts w:ascii="Arial" w:eastAsia="Times New Roman" w:hAnsi="Arial" w:cs="Arial"/>
          <w:bCs/>
          <w:i/>
          <w:iCs/>
          <w:sz w:val="24"/>
          <w:szCs w:val="24"/>
          <w:lang w:eastAsia="es-ES"/>
        </w:rPr>
        <w:t xml:space="preserve">l Tribunal de Justicia Administrativa del Estado de Oaxaca, es competente </w:t>
      </w:r>
      <w:r w:rsidR="00E155CD">
        <w:rPr>
          <w:rFonts w:ascii="Arial" w:eastAsia="Times New Roman" w:hAnsi="Arial" w:cs="Arial"/>
          <w:bCs/>
          <w:i/>
          <w:iCs/>
          <w:sz w:val="24"/>
          <w:szCs w:val="24"/>
          <w:lang w:eastAsia="es-ES"/>
        </w:rPr>
        <w:lastRenderedPageBreak/>
        <w:t>para conocer y resolver el presente juicio</w:t>
      </w:r>
      <w:r w:rsidRPr="00C06661">
        <w:rPr>
          <w:rFonts w:ascii="Arial" w:eastAsia="Times New Roman" w:hAnsi="Arial" w:cs="Arial"/>
          <w:bCs/>
          <w:i/>
          <w:iCs/>
          <w:sz w:val="24"/>
          <w:szCs w:val="24"/>
          <w:lang w:eastAsia="es-ES"/>
        </w:rPr>
        <w:t>.</w:t>
      </w:r>
      <w:r w:rsidR="000114B9">
        <w:rPr>
          <w:rFonts w:ascii="Arial" w:eastAsia="Times New Roman" w:hAnsi="Arial" w:cs="Arial"/>
          <w:bCs/>
          <w:i/>
          <w:iCs/>
          <w:sz w:val="24"/>
          <w:szCs w:val="24"/>
          <w:lang w:eastAsia="es-ES"/>
        </w:rPr>
        <w:t xml:space="preserve">- - </w:t>
      </w:r>
      <w:r w:rsidR="006B7AEC">
        <w:rPr>
          <w:rFonts w:ascii="Arial" w:eastAsia="Times New Roman" w:hAnsi="Arial" w:cs="Arial"/>
          <w:bCs/>
          <w:i/>
          <w:iCs/>
          <w:sz w:val="24"/>
          <w:szCs w:val="24"/>
          <w:lang w:eastAsia="es-ES"/>
        </w:rPr>
        <w:t xml:space="preserve">- </w:t>
      </w:r>
      <w:r w:rsidR="00E155CD">
        <w:rPr>
          <w:rFonts w:ascii="Arial" w:eastAsia="Times New Roman" w:hAnsi="Arial" w:cs="Arial"/>
          <w:bCs/>
          <w:i/>
          <w:iCs/>
          <w:sz w:val="24"/>
          <w:szCs w:val="24"/>
          <w:lang w:eastAsia="es-ES"/>
        </w:rPr>
        <w:t>- - - - - - - - - -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La personalidad de la</w:t>
      </w:r>
      <w:r w:rsidR="00E155CD">
        <w:rPr>
          <w:rFonts w:ascii="Arial" w:eastAsia="Times New Roman" w:hAnsi="Arial" w:cs="Arial"/>
          <w:bCs/>
          <w:i/>
          <w:iCs/>
          <w:sz w:val="24"/>
          <w:szCs w:val="24"/>
          <w:lang w:eastAsia="es-ES"/>
        </w:rPr>
        <w:t xml:space="preserve">s </w:t>
      </w:r>
      <w:r w:rsidR="00E96B8B">
        <w:rPr>
          <w:rFonts w:ascii="Arial" w:eastAsia="Times New Roman" w:hAnsi="Arial" w:cs="Arial"/>
          <w:bCs/>
          <w:i/>
          <w:iCs/>
          <w:sz w:val="24"/>
          <w:szCs w:val="24"/>
          <w:lang w:eastAsia="es-ES"/>
        </w:rPr>
        <w:t>parte</w:t>
      </w:r>
      <w:r w:rsidR="00665C64">
        <w:rPr>
          <w:rFonts w:ascii="Arial" w:eastAsia="Times New Roman" w:hAnsi="Arial" w:cs="Arial"/>
          <w:bCs/>
          <w:i/>
          <w:iCs/>
          <w:sz w:val="24"/>
          <w:szCs w:val="24"/>
          <w:lang w:eastAsia="es-ES"/>
        </w:rPr>
        <w:t>s</w:t>
      </w:r>
      <w:r w:rsidR="006B7AEC">
        <w:rPr>
          <w:rFonts w:ascii="Arial" w:eastAsia="Times New Roman" w:hAnsi="Arial" w:cs="Arial"/>
          <w:bCs/>
          <w:i/>
          <w:iCs/>
          <w:sz w:val="24"/>
          <w:szCs w:val="24"/>
          <w:lang w:eastAsia="es-ES"/>
        </w:rPr>
        <w:t xml:space="preserve"> </w:t>
      </w:r>
      <w:r w:rsidR="00665C64">
        <w:rPr>
          <w:rFonts w:ascii="Arial" w:eastAsia="Times New Roman" w:hAnsi="Arial" w:cs="Arial"/>
          <w:bCs/>
          <w:i/>
          <w:iCs/>
          <w:sz w:val="24"/>
          <w:szCs w:val="24"/>
          <w:lang w:eastAsia="es-ES"/>
        </w:rPr>
        <w:t xml:space="preserve">quedó </w:t>
      </w:r>
      <w:r w:rsidR="00E155CD">
        <w:rPr>
          <w:rFonts w:ascii="Arial" w:eastAsia="Times New Roman" w:hAnsi="Arial" w:cs="Arial"/>
          <w:bCs/>
          <w:i/>
          <w:iCs/>
          <w:sz w:val="24"/>
          <w:szCs w:val="24"/>
          <w:lang w:eastAsia="es-ES"/>
        </w:rPr>
        <w:t xml:space="preserve">acreditada </w:t>
      </w:r>
      <w:r w:rsidR="00BF161E">
        <w:rPr>
          <w:rFonts w:ascii="Arial" w:eastAsia="Times New Roman" w:hAnsi="Arial" w:cs="Arial"/>
          <w:bCs/>
          <w:i/>
          <w:iCs/>
          <w:sz w:val="24"/>
          <w:szCs w:val="24"/>
          <w:lang w:eastAsia="es-ES"/>
        </w:rPr>
        <w:t xml:space="preserve">dentro </w:t>
      </w:r>
      <w:r w:rsidR="00E155CD">
        <w:rPr>
          <w:rFonts w:ascii="Arial" w:eastAsia="Times New Roman" w:hAnsi="Arial" w:cs="Arial"/>
          <w:bCs/>
          <w:i/>
          <w:iCs/>
          <w:sz w:val="24"/>
          <w:szCs w:val="24"/>
          <w:lang w:eastAsia="es-ES"/>
        </w:rPr>
        <w:t xml:space="preserve">del considerando </w:t>
      </w:r>
      <w:r w:rsidR="0084256F">
        <w:rPr>
          <w:rFonts w:ascii="Arial" w:eastAsia="Times New Roman" w:hAnsi="Arial" w:cs="Arial"/>
          <w:bCs/>
          <w:i/>
          <w:iCs/>
          <w:sz w:val="24"/>
          <w:szCs w:val="24"/>
          <w:lang w:eastAsia="es-ES"/>
        </w:rPr>
        <w:t>SEGUNDO de esta sentencia</w:t>
      </w:r>
      <w:r w:rsidR="00F448E0">
        <w:rPr>
          <w:rFonts w:ascii="Arial" w:eastAsia="Times New Roman" w:hAnsi="Arial" w:cs="Arial"/>
          <w:bCs/>
          <w:i/>
          <w:iCs/>
          <w:sz w:val="24"/>
          <w:szCs w:val="24"/>
          <w:lang w:eastAsia="es-ES"/>
        </w:rPr>
        <w:t xml:space="preserve">.- - - - </w:t>
      </w:r>
      <w:r w:rsidR="00F448E0">
        <w:rPr>
          <w:rFonts w:ascii="Arial" w:eastAsia="Times New Roman" w:hAnsi="Arial" w:cs="Arial"/>
          <w:b/>
          <w:bCs/>
          <w:i/>
          <w:iCs/>
          <w:sz w:val="24"/>
          <w:szCs w:val="24"/>
          <w:lang w:eastAsia="es-ES"/>
        </w:rPr>
        <w:t xml:space="preserve">TERCERO. </w:t>
      </w:r>
      <w:r w:rsidR="00E155CD">
        <w:rPr>
          <w:rFonts w:ascii="Arial" w:eastAsia="Times New Roman" w:hAnsi="Arial" w:cs="Arial"/>
          <w:i/>
          <w:iCs/>
          <w:sz w:val="24"/>
          <w:szCs w:val="24"/>
          <w:lang w:eastAsia="es-ES"/>
        </w:rPr>
        <w:t>Est</w:t>
      </w:r>
      <w:r w:rsidR="0084256F">
        <w:rPr>
          <w:rFonts w:ascii="Arial" w:eastAsia="Times New Roman" w:hAnsi="Arial" w:cs="Arial"/>
          <w:i/>
          <w:iCs/>
          <w:sz w:val="24"/>
          <w:szCs w:val="24"/>
          <w:lang w:eastAsia="es-ES"/>
        </w:rPr>
        <w:t xml:space="preserve">a Sala advierte que, en el presente juicio no se configura alguna causal de improcedencia o sobreseimiento expuesto dentro del considerando TERCERO, por lo tanto, </w:t>
      </w:r>
      <w:r w:rsidR="00E155CD" w:rsidRPr="00E155CD">
        <w:rPr>
          <w:rFonts w:ascii="Arial" w:eastAsia="Times New Roman" w:hAnsi="Arial" w:cs="Arial"/>
          <w:b/>
          <w:i/>
          <w:iCs/>
          <w:sz w:val="24"/>
          <w:szCs w:val="24"/>
          <w:lang w:eastAsia="es-ES"/>
        </w:rPr>
        <w:t>NO</w:t>
      </w:r>
      <w:r w:rsidR="00E155CD">
        <w:rPr>
          <w:rFonts w:ascii="Arial" w:eastAsia="Times New Roman" w:hAnsi="Arial" w:cs="Arial"/>
          <w:b/>
          <w:i/>
          <w:iCs/>
          <w:sz w:val="24"/>
          <w:szCs w:val="24"/>
          <w:lang w:eastAsia="es-ES"/>
        </w:rPr>
        <w:t xml:space="preserve"> </w:t>
      </w:r>
      <w:r w:rsidR="0084256F">
        <w:rPr>
          <w:rFonts w:ascii="Arial" w:eastAsia="Times New Roman" w:hAnsi="Arial" w:cs="Arial"/>
          <w:b/>
          <w:i/>
          <w:iCs/>
          <w:sz w:val="24"/>
          <w:szCs w:val="24"/>
          <w:lang w:eastAsia="es-ES"/>
        </w:rPr>
        <w:t xml:space="preserve">SE </w:t>
      </w:r>
      <w:r w:rsidR="00665C64">
        <w:rPr>
          <w:rFonts w:ascii="Arial" w:eastAsia="Times New Roman" w:hAnsi="Arial" w:cs="Arial"/>
          <w:b/>
          <w:i/>
          <w:iCs/>
          <w:sz w:val="24"/>
          <w:szCs w:val="24"/>
          <w:lang w:eastAsia="es-ES"/>
        </w:rPr>
        <w:t>SOBRESEE</w:t>
      </w:r>
      <w:r w:rsidR="00665C64">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sidR="007D61EC" w:rsidRPr="006B485E">
        <w:rPr>
          <w:rFonts w:ascii="Arial" w:eastAsia="Times New Roman" w:hAnsi="Arial" w:cs="Arial"/>
          <w:i/>
          <w:iCs/>
          <w:sz w:val="24"/>
          <w:szCs w:val="24"/>
          <w:lang w:eastAsia="es-ES"/>
        </w:rPr>
        <w:t>S</w:t>
      </w:r>
      <w:r w:rsidR="006B485E">
        <w:rPr>
          <w:rFonts w:ascii="Arial" w:eastAsia="Times New Roman" w:hAnsi="Arial" w:cs="Arial"/>
          <w:i/>
          <w:iCs/>
          <w:sz w:val="24"/>
          <w:szCs w:val="24"/>
          <w:lang w:eastAsia="es-ES"/>
        </w:rPr>
        <w:t xml:space="preserve">e declara la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006B485E">
        <w:rPr>
          <w:rFonts w:ascii="Arial" w:eastAsia="Times New Roman" w:hAnsi="Arial" w:cs="Arial"/>
          <w:i/>
          <w:iCs/>
          <w:sz w:val="24"/>
          <w:szCs w:val="24"/>
          <w:lang w:eastAsia="es-ES"/>
        </w:rPr>
        <w:t>del</w:t>
      </w:r>
      <w:r w:rsidR="00E155CD">
        <w:rPr>
          <w:rFonts w:ascii="Arial" w:eastAsia="Times New Roman" w:hAnsi="Arial" w:cs="Arial"/>
          <w:i/>
          <w:iCs/>
          <w:sz w:val="24"/>
          <w:szCs w:val="24"/>
          <w:lang w:eastAsia="es-ES"/>
        </w:rPr>
        <w:t xml:space="preserve"> acta de infracción con número de folio </w:t>
      </w:r>
      <w:r w:rsidR="008E076A">
        <w:rPr>
          <w:rFonts w:ascii="Arial" w:hAnsi="Arial" w:cs="Arial"/>
          <w:color w:val="000000"/>
          <w:sz w:val="26"/>
          <w:szCs w:val="26"/>
        </w:rPr>
        <w:t xml:space="preserve">*********** </w:t>
      </w:r>
      <w:r w:rsidR="00E155CD">
        <w:rPr>
          <w:rFonts w:ascii="Arial" w:eastAsia="Times New Roman" w:hAnsi="Arial" w:cs="Arial"/>
          <w:b/>
          <w:bCs/>
          <w:i/>
          <w:iCs/>
          <w:sz w:val="24"/>
          <w:szCs w:val="24"/>
          <w:lang w:eastAsia="es-ES"/>
        </w:rPr>
        <w:t xml:space="preserve">de fecha </w:t>
      </w:r>
      <w:r w:rsidR="0084256F">
        <w:rPr>
          <w:rFonts w:ascii="Arial" w:eastAsia="Times New Roman" w:hAnsi="Arial" w:cs="Arial"/>
          <w:b/>
          <w:bCs/>
          <w:i/>
          <w:iCs/>
          <w:sz w:val="24"/>
          <w:szCs w:val="24"/>
          <w:lang w:eastAsia="es-ES"/>
        </w:rPr>
        <w:t xml:space="preserve">diez de agosto </w:t>
      </w:r>
      <w:r w:rsidR="00E155CD">
        <w:rPr>
          <w:rFonts w:ascii="Arial" w:eastAsia="Times New Roman" w:hAnsi="Arial" w:cs="Arial"/>
          <w:b/>
          <w:bCs/>
          <w:i/>
          <w:iCs/>
          <w:sz w:val="24"/>
          <w:szCs w:val="24"/>
          <w:lang w:eastAsia="es-ES"/>
        </w:rPr>
        <w:t xml:space="preserve">de dos mil diecinueve, </w:t>
      </w:r>
      <w:r w:rsidR="00E155CD">
        <w:rPr>
          <w:rFonts w:ascii="Arial" w:eastAsia="Times New Roman" w:hAnsi="Arial" w:cs="Arial"/>
          <w:i/>
          <w:iCs/>
          <w:sz w:val="24"/>
          <w:szCs w:val="24"/>
          <w:lang w:eastAsia="es-ES"/>
        </w:rPr>
        <w:t xml:space="preserve">emitida por </w:t>
      </w:r>
      <w:r w:rsidR="0084256F">
        <w:rPr>
          <w:rFonts w:ascii="Arial" w:eastAsia="Times New Roman" w:hAnsi="Arial" w:cs="Arial"/>
          <w:i/>
          <w:iCs/>
          <w:sz w:val="24"/>
          <w:szCs w:val="24"/>
          <w:lang w:eastAsia="es-ES"/>
        </w:rPr>
        <w:t xml:space="preserve">la C. </w:t>
      </w:r>
      <w:r w:rsidR="008E076A">
        <w:rPr>
          <w:rFonts w:ascii="Arial" w:hAnsi="Arial" w:cs="Arial"/>
          <w:color w:val="000000"/>
          <w:sz w:val="26"/>
          <w:szCs w:val="26"/>
        </w:rPr>
        <w:t xml:space="preserve">*********** </w:t>
      </w:r>
      <w:r w:rsidR="0084256F">
        <w:rPr>
          <w:rFonts w:ascii="Arial" w:eastAsia="Times New Roman" w:hAnsi="Arial" w:cs="Arial"/>
          <w:i/>
          <w:iCs/>
          <w:sz w:val="24"/>
          <w:szCs w:val="24"/>
          <w:lang w:eastAsia="es-ES"/>
        </w:rPr>
        <w:t xml:space="preserve">Policía Vial con número estadístico </w:t>
      </w:r>
      <w:r w:rsidR="008E076A">
        <w:rPr>
          <w:rFonts w:ascii="Arial" w:hAnsi="Arial" w:cs="Arial"/>
          <w:color w:val="000000"/>
          <w:sz w:val="26"/>
          <w:szCs w:val="26"/>
        </w:rPr>
        <w:t>***********</w:t>
      </w:r>
      <w:r w:rsidR="0084256F">
        <w:rPr>
          <w:rFonts w:ascii="Arial" w:eastAsia="Times New Roman" w:hAnsi="Arial" w:cs="Arial"/>
          <w:i/>
          <w:iCs/>
          <w:sz w:val="24"/>
          <w:szCs w:val="24"/>
          <w:lang w:eastAsia="es-ES"/>
        </w:rPr>
        <w:t xml:space="preserve">, adscrita a la Comisión de Seguridad Pública, Vialidad y Protección Civil del Municipio de Oaxaca de Juárez, Oaxaca, </w:t>
      </w:r>
      <w:r w:rsidR="0084256F" w:rsidRPr="0084256F">
        <w:rPr>
          <w:rFonts w:ascii="Arial" w:eastAsia="Times New Roman" w:hAnsi="Arial" w:cs="Arial"/>
          <w:i/>
          <w:iCs/>
          <w:sz w:val="24"/>
          <w:szCs w:val="24"/>
          <w:u w:val="single"/>
          <w:lang w:eastAsia="es-ES"/>
        </w:rPr>
        <w:t>se orden</w:t>
      </w:r>
      <w:r w:rsidR="0084256F">
        <w:rPr>
          <w:rFonts w:ascii="Arial" w:eastAsia="Times New Roman" w:hAnsi="Arial" w:cs="Arial"/>
          <w:i/>
          <w:iCs/>
          <w:sz w:val="24"/>
          <w:szCs w:val="24"/>
          <w:u w:val="single"/>
          <w:lang w:eastAsia="es-ES"/>
        </w:rPr>
        <w:t>a</w:t>
      </w:r>
      <w:r w:rsidR="0084256F" w:rsidRPr="0084256F">
        <w:rPr>
          <w:rFonts w:ascii="Arial" w:eastAsia="Times New Roman" w:hAnsi="Arial" w:cs="Arial"/>
          <w:i/>
          <w:iCs/>
          <w:sz w:val="24"/>
          <w:szCs w:val="24"/>
          <w:u w:val="single"/>
          <w:lang w:eastAsia="es-ES"/>
        </w:rPr>
        <w:t xml:space="preserve"> dar de baja el acta de infracción del sistema electrónico y/o documental que para tal efecto tenga esa autoridad, y como lo accesorio sigue la suerte de lo principal, también se ordena a esa autoridad demandada para que a través de si misma o de la autoridad legalmente competente realice la devolución de la placa delantera número </w:t>
      </w:r>
      <w:r w:rsidR="008E076A">
        <w:rPr>
          <w:rFonts w:ascii="Arial" w:hAnsi="Arial" w:cs="Arial"/>
          <w:color w:val="000000"/>
          <w:sz w:val="26"/>
          <w:szCs w:val="26"/>
        </w:rPr>
        <w:t xml:space="preserve">*********** </w:t>
      </w:r>
      <w:r w:rsidR="0084256F" w:rsidRPr="0084256F">
        <w:rPr>
          <w:rFonts w:ascii="Arial" w:eastAsia="Times New Roman" w:hAnsi="Arial" w:cs="Arial"/>
          <w:i/>
          <w:iCs/>
          <w:sz w:val="24"/>
          <w:szCs w:val="24"/>
          <w:u w:val="single"/>
          <w:lang w:eastAsia="es-ES"/>
        </w:rPr>
        <w:t xml:space="preserve"> del Estado de México, relacionada con el vehículo marca </w:t>
      </w:r>
      <w:r w:rsidR="008E076A">
        <w:rPr>
          <w:rFonts w:ascii="Arial" w:hAnsi="Arial" w:cs="Arial"/>
          <w:color w:val="000000"/>
          <w:sz w:val="26"/>
          <w:szCs w:val="26"/>
        </w:rPr>
        <w:t xml:space="preserve">*********** </w:t>
      </w:r>
      <w:r w:rsidR="0084256F" w:rsidRPr="0084256F">
        <w:rPr>
          <w:rFonts w:ascii="Arial" w:eastAsia="Times New Roman" w:hAnsi="Arial" w:cs="Arial"/>
          <w:i/>
          <w:iCs/>
          <w:sz w:val="24"/>
          <w:szCs w:val="24"/>
          <w:u w:val="single"/>
          <w:lang w:eastAsia="es-ES"/>
        </w:rPr>
        <w:t xml:space="preserve">tipo </w:t>
      </w:r>
      <w:r w:rsidR="008E076A">
        <w:rPr>
          <w:rFonts w:ascii="Arial" w:hAnsi="Arial" w:cs="Arial"/>
          <w:color w:val="000000"/>
          <w:sz w:val="26"/>
          <w:szCs w:val="26"/>
        </w:rPr>
        <w:t>***********</w:t>
      </w:r>
      <w:r w:rsidR="0084256F" w:rsidRPr="0084256F">
        <w:rPr>
          <w:rFonts w:ascii="Arial" w:eastAsia="Times New Roman" w:hAnsi="Arial" w:cs="Arial"/>
          <w:i/>
          <w:iCs/>
          <w:sz w:val="24"/>
          <w:szCs w:val="24"/>
          <w:u w:val="single"/>
          <w:lang w:eastAsia="es-ES"/>
        </w:rPr>
        <w:t xml:space="preserve">, color </w:t>
      </w:r>
      <w:r w:rsidR="008E076A">
        <w:rPr>
          <w:rFonts w:ascii="Arial" w:hAnsi="Arial" w:cs="Arial"/>
          <w:color w:val="000000"/>
          <w:sz w:val="26"/>
          <w:szCs w:val="26"/>
        </w:rPr>
        <w:t>***********</w:t>
      </w:r>
      <w:r w:rsidR="0084256F" w:rsidRPr="0084256F">
        <w:rPr>
          <w:rFonts w:ascii="Arial" w:eastAsia="Times New Roman" w:hAnsi="Arial" w:cs="Arial"/>
          <w:i/>
          <w:iCs/>
          <w:sz w:val="24"/>
          <w:szCs w:val="24"/>
          <w:u w:val="single"/>
          <w:lang w:eastAsia="es-ES"/>
        </w:rPr>
        <w:t>, por ser fruto de un acto viciado</w:t>
      </w:r>
      <w:r w:rsidR="0084256F">
        <w:rPr>
          <w:rFonts w:ascii="Arial" w:eastAsia="Times New Roman" w:hAnsi="Arial" w:cs="Arial"/>
          <w:i/>
          <w:iCs/>
          <w:sz w:val="24"/>
          <w:szCs w:val="24"/>
          <w:lang w:eastAsia="es-ES"/>
        </w:rPr>
        <w:t>, por las razones ya expuestas en el considerando CUARTO de esta sentencia</w:t>
      </w:r>
      <w:r w:rsidR="006B485E">
        <w:rPr>
          <w:rFonts w:ascii="Arial" w:eastAsia="Times New Roman" w:hAnsi="Arial" w:cs="Arial"/>
          <w:i/>
          <w:iCs/>
          <w:sz w:val="24"/>
          <w:szCs w:val="24"/>
          <w:lang w:eastAsia="es-ES"/>
        </w:rPr>
        <w:t>.</w:t>
      </w:r>
      <w:r w:rsidR="007D61EC">
        <w:rPr>
          <w:rFonts w:ascii="Arial" w:eastAsia="Times New Roman" w:hAnsi="Arial" w:cs="Arial"/>
          <w:bCs/>
          <w:i/>
          <w:iCs/>
          <w:sz w:val="24"/>
          <w:szCs w:val="24"/>
          <w:lang w:eastAsia="es-ES"/>
        </w:rPr>
        <w:t xml:space="preserve">- </w:t>
      </w:r>
      <w:r w:rsidR="0084256F">
        <w:rPr>
          <w:rFonts w:ascii="Arial" w:eastAsia="Times New Roman" w:hAnsi="Arial" w:cs="Arial"/>
          <w:bCs/>
          <w:i/>
          <w:iCs/>
          <w:sz w:val="24"/>
          <w:szCs w:val="24"/>
          <w:lang w:eastAsia="es-ES"/>
        </w:rPr>
        <w:t>- - - - - - - - - - - - - - - - - - - - - - - - - - - - - - - - - - - -</w:t>
      </w:r>
      <w:r w:rsidR="00D82AEB">
        <w:rPr>
          <w:rFonts w:ascii="Arial" w:eastAsia="Times New Roman" w:hAnsi="Arial" w:cs="Arial"/>
          <w:b/>
          <w:bCs/>
          <w:i/>
          <w:iCs/>
          <w:sz w:val="24"/>
          <w:szCs w:val="24"/>
          <w:lang w:eastAsia="es-ES"/>
        </w:rPr>
        <w:t xml:space="preserve">QUINTO.-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 xml:space="preserve">y 173 </w:t>
      </w:r>
      <w:r w:rsidR="007D61EC">
        <w:rPr>
          <w:rFonts w:ascii="Arial" w:eastAsia="Times New Roman" w:hAnsi="Arial" w:cs="Arial"/>
          <w:bCs/>
          <w:i/>
          <w:iCs/>
          <w:sz w:val="24"/>
          <w:szCs w:val="24"/>
          <w:lang w:eastAsia="es-ES"/>
        </w:rPr>
        <w:t xml:space="preserve">de la Ley de Procedimiento y Justicia Administrativa para el Estado de Oaxaca, </w:t>
      </w:r>
      <w:r w:rsidRPr="006B485E">
        <w:rPr>
          <w:rFonts w:ascii="Arial" w:eastAsia="Times New Roman" w:hAnsi="Arial" w:cs="Arial"/>
          <w:b/>
          <w:i/>
          <w:iCs/>
          <w:sz w:val="24"/>
          <w:szCs w:val="24"/>
          <w:lang w:eastAsia="es-ES"/>
        </w:rPr>
        <w:t>NOTIFÍQUESE</w:t>
      </w:r>
      <w:r w:rsidRPr="00C06661">
        <w:rPr>
          <w:rFonts w:ascii="Arial" w:eastAsia="Times New Roman" w:hAnsi="Arial" w:cs="Arial"/>
          <w:b/>
          <w:bCs/>
          <w:i/>
          <w:iCs/>
          <w:sz w:val="24"/>
          <w:szCs w:val="24"/>
          <w:lang w:eastAsia="es-ES"/>
        </w:rPr>
        <w:t xml:space="preserve"> </w:t>
      </w:r>
      <w:r w:rsidR="0084256F" w:rsidRPr="0084256F">
        <w:rPr>
          <w:rFonts w:ascii="Arial" w:eastAsia="Times New Roman" w:hAnsi="Arial" w:cs="Arial"/>
          <w:i/>
          <w:iCs/>
          <w:sz w:val="24"/>
          <w:szCs w:val="24"/>
          <w:lang w:eastAsia="es-ES"/>
        </w:rPr>
        <w:t>y</w:t>
      </w:r>
      <w:r w:rsidR="00E72540">
        <w:rPr>
          <w:rFonts w:ascii="Arial" w:eastAsia="Times New Roman" w:hAnsi="Arial" w:cs="Arial"/>
          <w:i/>
          <w:iCs/>
          <w:sz w:val="24"/>
          <w:szCs w:val="24"/>
          <w:lang w:eastAsia="es-ES"/>
        </w:rPr>
        <w:t xml:space="preserve"> </w:t>
      </w:r>
      <w:r w:rsidR="005C3D13">
        <w:rPr>
          <w:rFonts w:ascii="Arial" w:eastAsia="Times New Roman" w:hAnsi="Arial" w:cs="Arial"/>
          <w:b/>
          <w:bCs/>
          <w:i/>
          <w:iCs/>
          <w:sz w:val="24"/>
          <w:szCs w:val="24"/>
          <w:lang w:eastAsia="es-ES"/>
        </w:rPr>
        <w:t>CÚMPLASE</w:t>
      </w:r>
      <w:r w:rsidR="005C3D13" w:rsidRPr="005C3D13">
        <w:rPr>
          <w:rFonts w:ascii="Arial" w:eastAsia="Times New Roman" w:hAnsi="Arial" w:cs="Arial"/>
          <w:bCs/>
          <w:i/>
          <w:iCs/>
          <w:sz w:val="24"/>
          <w:szCs w:val="24"/>
          <w:lang w:eastAsia="es-ES"/>
        </w:rPr>
        <w:t>.</w:t>
      </w:r>
      <w:r w:rsidR="00470924">
        <w:rPr>
          <w:rFonts w:ascii="Arial" w:eastAsia="Times New Roman" w:hAnsi="Arial" w:cs="Arial"/>
          <w:bCs/>
          <w:i/>
          <w:iCs/>
          <w:sz w:val="24"/>
          <w:szCs w:val="24"/>
          <w:lang w:eastAsia="es-ES"/>
        </w:rPr>
        <w:t>- -</w:t>
      </w:r>
      <w:r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58C98D78"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84256F">
        <w:rPr>
          <w:rFonts w:ascii="Arial" w:hAnsi="Arial" w:cs="Arial"/>
          <w:bCs/>
          <w:iCs/>
          <w:sz w:val="26"/>
          <w:szCs w:val="26"/>
        </w:rPr>
        <w:t>seis de diciembre de dos mil diecinueve</w:t>
      </w:r>
      <w:r>
        <w:rPr>
          <w:rFonts w:ascii="Arial" w:hAnsi="Arial" w:cs="Arial"/>
          <w:bCs/>
          <w:iCs/>
          <w:sz w:val="26"/>
          <w:szCs w:val="26"/>
        </w:rPr>
        <w:t xml:space="preserve">, dictado </w:t>
      </w:r>
      <w:r w:rsidRPr="00CB6405">
        <w:rPr>
          <w:rFonts w:ascii="Arial" w:hAnsi="Arial" w:cs="Arial"/>
          <w:bCs/>
          <w:iCs/>
          <w:sz w:val="26"/>
          <w:szCs w:val="26"/>
        </w:rPr>
        <w:t xml:space="preserve">por la </w:t>
      </w:r>
      <w:r w:rsidR="0084256F">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w:t>
      </w:r>
      <w:r w:rsidR="0084256F">
        <w:rPr>
          <w:rFonts w:ascii="Arial" w:hAnsi="Arial" w:cs="Arial"/>
          <w:b/>
          <w:bCs/>
          <w:iCs/>
          <w:sz w:val="26"/>
          <w:szCs w:val="26"/>
        </w:rPr>
        <w:t>90</w:t>
      </w:r>
      <w:r>
        <w:rPr>
          <w:rFonts w:ascii="Arial" w:hAnsi="Arial" w:cs="Arial"/>
          <w:b/>
          <w:bCs/>
          <w:iCs/>
          <w:sz w:val="26"/>
          <w:szCs w:val="26"/>
        </w:rPr>
        <w:t>/2019</w:t>
      </w:r>
      <w:r w:rsidRPr="00CB6405">
        <w:rPr>
          <w:rFonts w:ascii="Arial" w:hAnsi="Arial" w:cs="Arial"/>
          <w:sz w:val="26"/>
          <w:szCs w:val="26"/>
        </w:rPr>
        <w:t>.</w:t>
      </w:r>
    </w:p>
    <w:p w14:paraId="43552AD6" w14:textId="416C914C" w:rsidR="00822141" w:rsidRDefault="00822141" w:rsidP="00822141">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sidR="0084256F">
        <w:rPr>
          <w:rFonts w:ascii="Arial" w:hAnsi="Arial" w:cs="Arial"/>
          <w:sz w:val="26"/>
          <w:szCs w:val="26"/>
        </w:rPr>
        <w:t xml:space="preserve"> </w:t>
      </w:r>
      <w:r>
        <w:rPr>
          <w:rFonts w:ascii="Arial" w:hAnsi="Arial" w:cs="Arial"/>
          <w:sz w:val="26"/>
          <w:szCs w:val="26"/>
        </w:rPr>
        <w:t>l</w:t>
      </w:r>
      <w:r w:rsidR="0084256F">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355932E7" w14:textId="77777777" w:rsidR="00822141" w:rsidRDefault="00822141" w:rsidP="00822141">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680656F5" w14:textId="5F71474D" w:rsidR="004F1E03" w:rsidRDefault="00B525A6" w:rsidP="00822141">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9207FE">
        <w:rPr>
          <w:rFonts w:ascii="Arial" w:eastAsia="Calibri" w:hAnsi="Arial" w:cs="Arial"/>
          <w:bCs/>
          <w:sz w:val="26"/>
          <w:szCs w:val="26"/>
        </w:rPr>
        <w:t>Inicia sus alegaciones la recurrente</w:t>
      </w:r>
      <w:r w:rsidR="00BD7209">
        <w:rPr>
          <w:rFonts w:ascii="Arial" w:eastAsia="Calibri" w:hAnsi="Arial" w:cs="Arial"/>
          <w:bCs/>
          <w:sz w:val="26"/>
          <w:szCs w:val="26"/>
        </w:rPr>
        <w:t xml:space="preserve">, </w:t>
      </w:r>
      <w:r w:rsidR="009207FE">
        <w:rPr>
          <w:rFonts w:ascii="Arial" w:eastAsia="Calibri" w:hAnsi="Arial" w:cs="Arial"/>
          <w:bCs/>
          <w:sz w:val="26"/>
          <w:szCs w:val="26"/>
        </w:rPr>
        <w:t xml:space="preserve">señalando que la sentencia alzada no </w:t>
      </w:r>
      <w:r w:rsidR="00036496">
        <w:rPr>
          <w:rFonts w:ascii="Arial" w:eastAsia="Calibri" w:hAnsi="Arial" w:cs="Arial"/>
          <w:bCs/>
          <w:sz w:val="26"/>
          <w:szCs w:val="26"/>
        </w:rPr>
        <w:t>se encuentra</w:t>
      </w:r>
      <w:r w:rsidR="009509E2">
        <w:rPr>
          <w:rFonts w:ascii="Arial" w:eastAsia="Calibri" w:hAnsi="Arial" w:cs="Arial"/>
          <w:bCs/>
          <w:sz w:val="26"/>
          <w:szCs w:val="26"/>
        </w:rPr>
        <w:t xml:space="preserve"> debidamente fundada y motivada conforme lo prevé el artículo 16 de la Constitución Política de los Estados Unidos Mexicanos; ello porque el juicio que es de naturaleza administrativa no admite la suplencia de la queja, porque resolver de manera distinta a lo permitido por el margen de la Ley, contravendría disposiciones de orden público, interés social y observancia general, conforme lo dispuesto por el artículo 2 de la Constitución Política del Estado Libre y Soberano de Oaxaca, del que se desprende que la autoridad sólo puede hacer lo que la Ley le permite y que de la Ley de la materia, no se desprende que la autoridad jurisdiccional tenga facultades para declarar insubsistente lo actuado por ella misma y ordenar la </w:t>
      </w:r>
      <w:r w:rsidR="009207FE">
        <w:rPr>
          <w:rFonts w:ascii="Arial" w:eastAsia="Calibri" w:hAnsi="Arial" w:cs="Arial"/>
          <w:bCs/>
          <w:sz w:val="26"/>
          <w:szCs w:val="26"/>
        </w:rPr>
        <w:t>reposición del procedimiento</w:t>
      </w:r>
      <w:r w:rsidR="009509E2">
        <w:rPr>
          <w:rFonts w:ascii="Arial" w:eastAsia="Calibri" w:hAnsi="Arial" w:cs="Arial"/>
          <w:bCs/>
          <w:sz w:val="26"/>
          <w:szCs w:val="26"/>
        </w:rPr>
        <w:t xml:space="preserve">, </w:t>
      </w:r>
      <w:r w:rsidR="009207FE">
        <w:rPr>
          <w:rFonts w:ascii="Arial" w:eastAsia="Calibri" w:hAnsi="Arial" w:cs="Arial"/>
          <w:bCs/>
          <w:sz w:val="26"/>
          <w:szCs w:val="26"/>
        </w:rPr>
        <w:t xml:space="preserve">pues </w:t>
      </w:r>
      <w:r w:rsidR="009509E2">
        <w:rPr>
          <w:rFonts w:ascii="Arial" w:eastAsia="Calibri" w:hAnsi="Arial" w:cs="Arial"/>
          <w:bCs/>
          <w:sz w:val="26"/>
          <w:szCs w:val="26"/>
        </w:rPr>
        <w:t>de existir violaciones procesales son las partes quienes deben pronunciarse al respecto y no el órgano jurisdiccional de oficio</w:t>
      </w:r>
      <w:r w:rsidR="004F1E03">
        <w:rPr>
          <w:rFonts w:ascii="Arial" w:eastAsia="Calibri" w:hAnsi="Arial" w:cs="Arial"/>
          <w:bCs/>
          <w:sz w:val="26"/>
          <w:szCs w:val="26"/>
        </w:rPr>
        <w:t>.</w:t>
      </w:r>
    </w:p>
    <w:p w14:paraId="6B0CF490" w14:textId="485B331C" w:rsidR="004F1E03" w:rsidRDefault="004F1E03" w:rsidP="004F1E03">
      <w:pPr>
        <w:spacing w:before="240" w:line="360" w:lineRule="auto"/>
        <w:ind w:firstLine="708"/>
        <w:jc w:val="both"/>
        <w:rPr>
          <w:rFonts w:ascii="Arial" w:eastAsia="Calibri" w:hAnsi="Arial" w:cs="Arial"/>
          <w:bCs/>
          <w:sz w:val="26"/>
          <w:szCs w:val="26"/>
        </w:rPr>
      </w:pPr>
      <w:bookmarkStart w:id="1" w:name="_Hlk39776426"/>
      <w:r>
        <w:rPr>
          <w:rFonts w:ascii="Arial" w:eastAsia="Calibri" w:hAnsi="Arial" w:cs="Arial"/>
          <w:bCs/>
          <w:sz w:val="26"/>
          <w:szCs w:val="26"/>
        </w:rPr>
        <w:lastRenderedPageBreak/>
        <w:t xml:space="preserve">Todas estas alegaciones son </w:t>
      </w:r>
      <w:r w:rsidRPr="004F1E03">
        <w:rPr>
          <w:rFonts w:ascii="Arial" w:eastAsia="Calibri" w:hAnsi="Arial" w:cs="Arial"/>
          <w:b/>
          <w:sz w:val="26"/>
          <w:szCs w:val="26"/>
        </w:rPr>
        <w:t>in</w:t>
      </w:r>
      <w:r>
        <w:rPr>
          <w:rFonts w:ascii="Arial" w:eastAsia="Calibri" w:hAnsi="Arial" w:cs="Arial"/>
          <w:b/>
          <w:sz w:val="26"/>
          <w:szCs w:val="26"/>
        </w:rPr>
        <w:t xml:space="preserve">fundadas; </w:t>
      </w:r>
      <w:r w:rsidRPr="004F1E03">
        <w:rPr>
          <w:rFonts w:ascii="Arial" w:eastAsia="Calibri" w:hAnsi="Arial" w:cs="Arial"/>
          <w:bCs/>
          <w:sz w:val="26"/>
          <w:szCs w:val="26"/>
          <w:u w:val="single"/>
        </w:rPr>
        <w:t>primero</w:t>
      </w:r>
      <w:r w:rsidRPr="004F1E03">
        <w:rPr>
          <w:rFonts w:ascii="Arial" w:eastAsia="Calibri" w:hAnsi="Arial" w:cs="Arial"/>
          <w:bCs/>
          <w:sz w:val="26"/>
          <w:szCs w:val="26"/>
        </w:rPr>
        <w:t>,</w:t>
      </w:r>
      <w:r>
        <w:rPr>
          <w:rFonts w:ascii="Arial" w:eastAsia="Calibri" w:hAnsi="Arial" w:cs="Arial"/>
          <w:b/>
          <w:sz w:val="26"/>
          <w:szCs w:val="26"/>
        </w:rPr>
        <w:t xml:space="preserve"> </w:t>
      </w:r>
      <w:r>
        <w:rPr>
          <w:rFonts w:ascii="Arial" w:eastAsia="Calibri" w:hAnsi="Arial" w:cs="Arial"/>
          <w:bCs/>
          <w:sz w:val="26"/>
          <w:szCs w:val="26"/>
        </w:rPr>
        <w:t xml:space="preserve">porque </w:t>
      </w:r>
      <w:r w:rsidR="005274F2">
        <w:rPr>
          <w:rFonts w:ascii="Arial" w:eastAsia="Calibri" w:hAnsi="Arial" w:cs="Arial"/>
          <w:bCs/>
          <w:sz w:val="26"/>
          <w:szCs w:val="26"/>
        </w:rPr>
        <w:t xml:space="preserve">de constancias que integran el expediente de Primera Instancia, a las que por tratarse de actuaciones judiciales </w:t>
      </w:r>
      <w:r w:rsidR="005274F2">
        <w:rPr>
          <w:rFonts w:ascii="Arial" w:hAnsi="Arial" w:cs="Arial"/>
          <w:color w:val="000000"/>
          <w:sz w:val="26"/>
          <w:szCs w:val="26"/>
        </w:rPr>
        <w:t>se les otorga pleno valor probatorio conforme lo establece el artículo 203 fracción I</w:t>
      </w:r>
      <w:r w:rsidR="005274F2">
        <w:rPr>
          <w:rStyle w:val="Refdenotaalpie"/>
          <w:rFonts w:ascii="Arial" w:hAnsi="Arial" w:cs="Arial"/>
          <w:color w:val="000000"/>
          <w:sz w:val="26"/>
          <w:szCs w:val="26"/>
        </w:rPr>
        <w:footnoteReference w:id="1"/>
      </w:r>
      <w:r w:rsidR="005274F2">
        <w:rPr>
          <w:rFonts w:ascii="Arial" w:hAnsi="Arial" w:cs="Arial"/>
          <w:color w:val="000000"/>
          <w:sz w:val="26"/>
          <w:szCs w:val="26"/>
        </w:rPr>
        <w:t xml:space="preserve"> de la Ley de Procedimientos y Justicia Administrativa para el Estado de Oaxaca, en especial de la lectura integral sentencia alzada, </w:t>
      </w:r>
      <w:r>
        <w:rPr>
          <w:rFonts w:ascii="Arial" w:eastAsia="Calibri" w:hAnsi="Arial" w:cs="Arial"/>
          <w:bCs/>
          <w:sz w:val="26"/>
          <w:szCs w:val="26"/>
        </w:rPr>
        <w:t xml:space="preserve">contrario a </w:t>
      </w:r>
      <w:r w:rsidR="005274F2">
        <w:rPr>
          <w:rFonts w:ascii="Arial" w:eastAsia="Calibri" w:hAnsi="Arial" w:cs="Arial"/>
          <w:bCs/>
          <w:sz w:val="26"/>
          <w:szCs w:val="26"/>
        </w:rPr>
        <w:t>la a</w:t>
      </w:r>
      <w:r>
        <w:rPr>
          <w:rFonts w:ascii="Arial" w:eastAsia="Calibri" w:hAnsi="Arial" w:cs="Arial"/>
          <w:bCs/>
          <w:sz w:val="26"/>
          <w:szCs w:val="26"/>
        </w:rPr>
        <w:t xml:space="preserve">severación </w:t>
      </w:r>
      <w:r w:rsidR="005274F2">
        <w:rPr>
          <w:rFonts w:ascii="Arial" w:eastAsia="Calibri" w:hAnsi="Arial" w:cs="Arial"/>
          <w:bCs/>
          <w:sz w:val="26"/>
          <w:szCs w:val="26"/>
        </w:rPr>
        <w:t xml:space="preserve">del recurrente, </w:t>
      </w:r>
      <w:r>
        <w:rPr>
          <w:rFonts w:ascii="Arial" w:eastAsia="Calibri" w:hAnsi="Arial" w:cs="Arial"/>
          <w:bCs/>
          <w:sz w:val="26"/>
          <w:szCs w:val="26"/>
        </w:rPr>
        <w:t xml:space="preserve">se puede advertir </w:t>
      </w:r>
      <w:bookmarkEnd w:id="1"/>
      <w:r>
        <w:rPr>
          <w:rFonts w:ascii="Arial" w:eastAsia="Calibri" w:hAnsi="Arial" w:cs="Arial"/>
          <w:bCs/>
          <w:sz w:val="26"/>
          <w:szCs w:val="26"/>
        </w:rPr>
        <w:t xml:space="preserve">que la resolutora sí fundó y motivó su determinación, cuando señaló las razones por las que consideró que </w:t>
      </w:r>
      <w:r w:rsidR="009207FE">
        <w:rPr>
          <w:rFonts w:ascii="Arial" w:eastAsia="Calibri" w:hAnsi="Arial" w:cs="Arial"/>
          <w:bCs/>
          <w:sz w:val="26"/>
          <w:szCs w:val="26"/>
        </w:rPr>
        <w:t xml:space="preserve">el acta de infracción impugnada carece de </w:t>
      </w:r>
      <w:r w:rsidR="00BF698D">
        <w:rPr>
          <w:rFonts w:ascii="Arial" w:eastAsia="Calibri" w:hAnsi="Arial" w:cs="Arial"/>
          <w:bCs/>
          <w:sz w:val="26"/>
          <w:szCs w:val="26"/>
        </w:rPr>
        <w:t xml:space="preserve">la debida fundamentación y </w:t>
      </w:r>
      <w:r w:rsidR="009207FE">
        <w:rPr>
          <w:rFonts w:ascii="Arial" w:eastAsia="Calibri" w:hAnsi="Arial" w:cs="Arial"/>
          <w:bCs/>
          <w:sz w:val="26"/>
          <w:szCs w:val="26"/>
        </w:rPr>
        <w:t xml:space="preserve">motivación, citando los preceptos legales y </w:t>
      </w:r>
      <w:r>
        <w:rPr>
          <w:rFonts w:ascii="Arial" w:eastAsia="Calibri" w:hAnsi="Arial" w:cs="Arial"/>
          <w:bCs/>
          <w:sz w:val="26"/>
          <w:szCs w:val="26"/>
        </w:rPr>
        <w:t>criterios que consideró sustentaban sus consideraciones, como a continuación se ve:</w:t>
      </w:r>
    </w:p>
    <w:p w14:paraId="7E051AA4" w14:textId="77777777" w:rsidR="00716A80" w:rsidRDefault="004F1E03" w:rsidP="004F1E03">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00BF698D">
        <w:rPr>
          <w:rFonts w:ascii="Arial" w:eastAsia="Calibri" w:hAnsi="Arial" w:cs="Arial"/>
          <w:bCs/>
          <w:i/>
          <w:iCs/>
          <w:sz w:val="24"/>
          <w:szCs w:val="24"/>
        </w:rPr>
        <w:t xml:space="preserve">Ahora bien, en términos del artículo 206 de la Ley de Procedimiento y Justicia Administrativa para el Estado de Oaxaca, se advierte que resultan </w:t>
      </w:r>
      <w:r w:rsidR="00BF698D" w:rsidRPr="00BF698D">
        <w:rPr>
          <w:rFonts w:ascii="Arial" w:eastAsia="Calibri" w:hAnsi="Arial" w:cs="Arial"/>
          <w:bCs/>
          <w:i/>
          <w:iCs/>
          <w:sz w:val="24"/>
          <w:szCs w:val="24"/>
          <w:u w:val="single"/>
        </w:rPr>
        <w:t>FUNDADOS</w:t>
      </w:r>
      <w:r w:rsidR="00BF698D">
        <w:rPr>
          <w:rFonts w:ascii="Arial" w:eastAsia="Calibri" w:hAnsi="Arial" w:cs="Arial"/>
          <w:bCs/>
          <w:i/>
          <w:iCs/>
          <w:sz w:val="24"/>
          <w:szCs w:val="24"/>
        </w:rPr>
        <w:t xml:space="preserve"> los conceptos de impugnación hecho valer por el actor, </w:t>
      </w:r>
      <w:r w:rsidR="000F5004">
        <w:rPr>
          <w:rFonts w:ascii="Arial" w:eastAsia="Calibri" w:hAnsi="Arial" w:cs="Arial"/>
          <w:bCs/>
          <w:i/>
          <w:iCs/>
          <w:sz w:val="24"/>
          <w:szCs w:val="24"/>
        </w:rPr>
        <w:t>en el sentido de que el acta de infracción impugnada no satisface el requisito de fundamentación y motivación exigible en la fracción V, del artículo 17 de la Ley de Procedimiento y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que forma la autoridad demandada arribó a la determinación de que el actor, se encontraba estacionado en doble fila, mismo que vendría a ser el hecho generador de la infracción para resultar ser sujeto obligado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w:t>
      </w:r>
      <w:r w:rsidR="00D73282">
        <w:rPr>
          <w:rFonts w:ascii="Arial" w:eastAsia="Calibri" w:hAnsi="Arial" w:cs="Arial"/>
          <w:bCs/>
          <w:i/>
          <w:iCs/>
          <w:sz w:val="24"/>
          <w:szCs w:val="24"/>
        </w:rPr>
        <w:t xml:space="preserve"> de indefensión al incumplir la obligación de fundar y motivar que </w:t>
      </w:r>
      <w:r w:rsidR="00D73282">
        <w:rPr>
          <w:rFonts w:ascii="Arial" w:eastAsia="Calibri" w:hAnsi="Arial" w:cs="Arial"/>
          <w:bCs/>
          <w:i/>
          <w:iCs/>
          <w:sz w:val="24"/>
          <w:szCs w:val="24"/>
        </w:rPr>
        <w:lastRenderedPageBreak/>
        <w:t xml:space="preserve">le impone el artículo 17, fracción V, de la Ley de Procedimiento y Justicia Administrativa para el Estado de Oaxaca.- - - - - - - - - - - - - - - - - - - - - - - - - - - - - - - - - - - - - - Tan es así, que del acta de infracción se advierte que la autoridad demandada en al parte relativa a </w:t>
      </w:r>
      <w:r w:rsidR="00D73282">
        <w:rPr>
          <w:rFonts w:ascii="Arial" w:eastAsia="Calibri" w:hAnsi="Arial" w:cs="Arial"/>
          <w:b/>
          <w:i/>
          <w:iCs/>
          <w:sz w:val="24"/>
          <w:szCs w:val="24"/>
        </w:rPr>
        <w:t xml:space="preserve">MOTIVACIÓN </w:t>
      </w:r>
      <w:r w:rsidR="00D73282">
        <w:rPr>
          <w:rFonts w:ascii="Arial" w:eastAsia="Calibri" w:hAnsi="Arial" w:cs="Arial"/>
          <w:bCs/>
          <w:i/>
          <w:iCs/>
          <w:sz w:val="24"/>
          <w:szCs w:val="24"/>
        </w:rPr>
        <w:t xml:space="preserve">describió: ´NEGO DOCUMENTOS, </w:t>
      </w:r>
      <w:r w:rsidR="000E329B">
        <w:rPr>
          <w:rFonts w:ascii="Arial" w:eastAsia="Calibri" w:hAnsi="Arial" w:cs="Arial"/>
          <w:bCs/>
          <w:i/>
          <w:iCs/>
          <w:sz w:val="24"/>
          <w:szCs w:val="24"/>
        </w:rPr>
        <w:t xml:space="preserve">CONDUCTOR A BORDO DE SU UNIDAD EN DOBLE FILA CON MOTOR APAGADO, NEGANDOSE A ENTREGAR DOCUMENTOS´, en cuanto a </w:t>
      </w:r>
      <w:r w:rsidR="000E329B">
        <w:rPr>
          <w:rFonts w:ascii="Arial" w:eastAsia="Calibri" w:hAnsi="Arial" w:cs="Arial"/>
          <w:b/>
          <w:i/>
          <w:iCs/>
          <w:sz w:val="24"/>
          <w:szCs w:val="24"/>
        </w:rPr>
        <w:t xml:space="preserve">FUNDAMENTACIÓN: </w:t>
      </w:r>
      <w:r w:rsidR="000E329B">
        <w:rPr>
          <w:rFonts w:ascii="Arial" w:eastAsia="Calibri" w:hAnsi="Arial" w:cs="Arial"/>
          <w:bCs/>
          <w:i/>
          <w:iCs/>
          <w:sz w:val="24"/>
          <w:szCs w:val="24"/>
        </w:rPr>
        <w:t xml:space="preserve">´ARTÍCULO 86 FRACCIÓN IX ARTÍCULO 59 FRACCIÓN X´. Dentro de las </w:t>
      </w:r>
      <w:r w:rsidR="000E329B">
        <w:rPr>
          <w:rFonts w:ascii="Arial" w:eastAsia="Calibri" w:hAnsi="Arial" w:cs="Arial"/>
          <w:b/>
          <w:i/>
          <w:iCs/>
          <w:sz w:val="24"/>
          <w:szCs w:val="24"/>
        </w:rPr>
        <w:t xml:space="preserve">OBSERVACIONES: </w:t>
      </w:r>
      <w:r w:rsidR="000E329B">
        <w:rPr>
          <w:rFonts w:ascii="Arial" w:eastAsia="Calibri" w:hAnsi="Arial" w:cs="Arial"/>
          <w:bCs/>
          <w:i/>
          <w:iCs/>
          <w:sz w:val="24"/>
          <w:szCs w:val="24"/>
        </w:rPr>
        <w:t>No plasmó texto alguno, quedando de manifiesto que el acta de infracción carece de debida motivación y fundamentación para que el administrado este en aptitud de poder hacer valer recurso alguno p</w:t>
      </w:r>
      <w:r w:rsidR="00C606BD">
        <w:rPr>
          <w:rFonts w:ascii="Arial" w:eastAsia="Calibri" w:hAnsi="Arial" w:cs="Arial"/>
          <w:bCs/>
          <w:i/>
          <w:iCs/>
          <w:sz w:val="24"/>
          <w:szCs w:val="24"/>
        </w:rPr>
        <w:t>a</w:t>
      </w:r>
      <w:r w:rsidR="000E329B">
        <w:rPr>
          <w:rFonts w:ascii="Arial" w:eastAsia="Calibri" w:hAnsi="Arial" w:cs="Arial"/>
          <w:bCs/>
          <w:i/>
          <w:iCs/>
          <w:sz w:val="24"/>
          <w:szCs w:val="24"/>
        </w:rPr>
        <w:t>ra la defensa de sus derechos, ya que el razonamiento</w:t>
      </w:r>
      <w:r w:rsidR="00DB7EB1">
        <w:rPr>
          <w:rFonts w:ascii="Arial" w:eastAsia="Calibri" w:hAnsi="Arial" w:cs="Arial"/>
          <w:bCs/>
          <w:i/>
          <w:iCs/>
          <w:sz w:val="24"/>
          <w:szCs w:val="24"/>
        </w:rPr>
        <w:t xml:space="preserve"> hecho por la autoridad emisora deber ser claro, preciso, y detallando de forma comprensible del porqué está interfiriendo en su esfera jurídica del infractor, que sería la conducta antijurídica realizada por éste y que norma (sic) resulta aplicable lo que en el presente</w:t>
      </w:r>
      <w:r w:rsidR="007449ED">
        <w:rPr>
          <w:rFonts w:ascii="Arial" w:eastAsia="Calibri" w:hAnsi="Arial" w:cs="Arial"/>
          <w:bCs/>
          <w:i/>
          <w:iCs/>
          <w:sz w:val="24"/>
          <w:szCs w:val="24"/>
        </w:rPr>
        <w:t xml:space="preserve"> caso no acontece, ya que dentro del apartado de motivación nuevamente citó la conducta infractora, misma que ya había sido individualizada dentro del apartado de ´FALTAS ADMINISTRATIVAS EN RELACIÓN AL REGLAMENTO DE VIALIDAD PARA EL MUNICIPIO DE OAXACA DE JUÁREZ´, por lo que resultaba ocioso nuevamente colocar la conducta infractora,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una adecuada motivación y fundamentación</w:t>
      </w:r>
      <w:r w:rsidR="00EF738E">
        <w:rPr>
          <w:rFonts w:ascii="Arial" w:eastAsia="Calibri" w:hAnsi="Arial" w:cs="Arial"/>
          <w:bCs/>
          <w:i/>
          <w:iCs/>
          <w:sz w:val="24"/>
          <w:szCs w:val="24"/>
        </w:rPr>
        <w:t xml:space="preserve">,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w:t>
      </w:r>
      <w:r w:rsidR="00EF738E">
        <w:rPr>
          <w:rFonts w:ascii="Arial" w:eastAsia="Calibri" w:hAnsi="Arial" w:cs="Arial"/>
          <w:bCs/>
          <w:i/>
          <w:iCs/>
          <w:sz w:val="24"/>
          <w:szCs w:val="24"/>
        </w:rPr>
        <w:lastRenderedPageBreak/>
        <w:t xml:space="preserve">del Semanario Judicial de la Federación Tomo 64, Abril de 1993, Octava Época, Materia Administrativa bajo los rubros y textos siguientes:- - - - - - - - - - - - - - - - - - - - - - - - - - - - - - - - </w:t>
      </w:r>
      <w:r w:rsidR="00EF738E">
        <w:rPr>
          <w:rFonts w:ascii="Arial" w:eastAsia="Calibri" w:hAnsi="Arial" w:cs="Arial"/>
          <w:b/>
          <w:i/>
          <w:iCs/>
          <w:sz w:val="24"/>
          <w:szCs w:val="24"/>
        </w:rPr>
        <w:t>FUNDAMENTACIÓN Y MOTIVACIÓN, CONCEPTO DE</w:t>
      </w:r>
      <w:r w:rsidR="00EF738E" w:rsidRPr="00EF738E">
        <w:rPr>
          <w:rFonts w:ascii="Arial" w:eastAsia="Calibri" w:hAnsi="Arial" w:cs="Arial"/>
          <w:bCs/>
          <w:i/>
          <w:iCs/>
          <w:sz w:val="24"/>
          <w:szCs w:val="24"/>
        </w:rPr>
        <w:t>…</w:t>
      </w:r>
    </w:p>
    <w:p w14:paraId="176591D9" w14:textId="5C4C6697" w:rsidR="00985FF1" w:rsidRDefault="00EF738E" w:rsidP="00B70A9C">
      <w:pPr>
        <w:spacing w:before="240" w:line="360" w:lineRule="auto"/>
        <w:ind w:left="1134" w:right="616"/>
        <w:jc w:val="both"/>
        <w:rPr>
          <w:rFonts w:ascii="Arial" w:eastAsia="Calibri" w:hAnsi="Arial" w:cs="Arial"/>
          <w:bCs/>
          <w:i/>
          <w:iCs/>
          <w:sz w:val="24"/>
          <w:szCs w:val="24"/>
        </w:rPr>
      </w:pPr>
      <w:r>
        <w:rPr>
          <w:rFonts w:ascii="Arial" w:eastAsia="Calibri" w:hAnsi="Arial" w:cs="Arial"/>
          <w:b/>
          <w:i/>
          <w:iCs/>
          <w:sz w:val="24"/>
          <w:szCs w:val="24"/>
        </w:rPr>
        <w:t>FUNDAMENTACIÓN Y MOTIVACIÓN DE LOS ACTOS ADMINISTRATIVOS</w:t>
      </w:r>
      <w:r w:rsidR="00716A80" w:rsidRPr="00716A80">
        <w:rPr>
          <w:rFonts w:ascii="Arial" w:eastAsia="Calibri" w:hAnsi="Arial" w:cs="Arial"/>
          <w:bCs/>
          <w:i/>
          <w:iCs/>
          <w:sz w:val="24"/>
          <w:szCs w:val="24"/>
        </w:rPr>
        <w:t>…</w:t>
      </w:r>
      <w:r w:rsidR="003606C9">
        <w:rPr>
          <w:rFonts w:ascii="Arial" w:eastAsia="Calibri" w:hAnsi="Arial" w:cs="Arial"/>
          <w:bCs/>
          <w:sz w:val="26"/>
          <w:szCs w:val="26"/>
        </w:rPr>
        <w:t>”</w:t>
      </w:r>
    </w:p>
    <w:p w14:paraId="2B2B3EDF" w14:textId="25187863" w:rsidR="00A24358" w:rsidRDefault="003606C9" w:rsidP="00A24358">
      <w:pPr>
        <w:spacing w:before="240" w:line="360" w:lineRule="auto"/>
        <w:ind w:firstLine="708"/>
        <w:jc w:val="both"/>
        <w:rPr>
          <w:rFonts w:ascii="Arial" w:eastAsia="Calibri" w:hAnsi="Arial" w:cs="Arial"/>
          <w:bCs/>
          <w:sz w:val="26"/>
          <w:szCs w:val="26"/>
        </w:rPr>
      </w:pPr>
      <w:r w:rsidRPr="003606C9">
        <w:rPr>
          <w:rFonts w:ascii="Arial" w:eastAsia="Calibri" w:hAnsi="Arial" w:cs="Arial"/>
          <w:bCs/>
          <w:sz w:val="26"/>
          <w:szCs w:val="26"/>
          <w:u w:val="single"/>
        </w:rPr>
        <w:t>Segundo</w:t>
      </w:r>
      <w:r>
        <w:rPr>
          <w:rFonts w:ascii="Arial" w:eastAsia="Calibri" w:hAnsi="Arial" w:cs="Arial"/>
          <w:bCs/>
          <w:sz w:val="26"/>
          <w:szCs w:val="26"/>
        </w:rPr>
        <w:t xml:space="preserve">, porque la Primera Instancia no realizó suplencia de la queja </w:t>
      </w:r>
      <w:r w:rsidR="007B3F61">
        <w:rPr>
          <w:rFonts w:ascii="Arial" w:eastAsia="Calibri" w:hAnsi="Arial" w:cs="Arial"/>
          <w:bCs/>
          <w:sz w:val="26"/>
          <w:szCs w:val="26"/>
        </w:rPr>
        <w:t>al</w:t>
      </w:r>
      <w:r w:rsidR="00BE5382">
        <w:rPr>
          <w:rFonts w:ascii="Arial" w:eastAsia="Calibri" w:hAnsi="Arial" w:cs="Arial"/>
          <w:bCs/>
          <w:sz w:val="26"/>
          <w:szCs w:val="26"/>
        </w:rPr>
        <w:t>g</w:t>
      </w:r>
      <w:r w:rsidR="007B3F61">
        <w:rPr>
          <w:rFonts w:ascii="Arial" w:eastAsia="Calibri" w:hAnsi="Arial" w:cs="Arial"/>
          <w:bCs/>
          <w:sz w:val="26"/>
          <w:szCs w:val="26"/>
        </w:rPr>
        <w:t xml:space="preserve">una, </w:t>
      </w:r>
      <w:r>
        <w:rPr>
          <w:rFonts w:ascii="Arial" w:eastAsia="Calibri" w:hAnsi="Arial" w:cs="Arial"/>
          <w:bCs/>
          <w:sz w:val="26"/>
          <w:szCs w:val="26"/>
        </w:rPr>
        <w:t xml:space="preserve">ni resolvió de manera </w:t>
      </w:r>
      <w:r w:rsidR="004F1E03">
        <w:rPr>
          <w:rFonts w:ascii="Arial" w:eastAsia="Calibri" w:hAnsi="Arial" w:cs="Arial"/>
          <w:bCs/>
          <w:sz w:val="26"/>
          <w:szCs w:val="26"/>
        </w:rPr>
        <w:t>distinta a lo permitido por la Ley</w:t>
      </w:r>
      <w:r w:rsidR="00BE5382">
        <w:rPr>
          <w:rFonts w:ascii="Arial" w:eastAsia="Calibri" w:hAnsi="Arial" w:cs="Arial"/>
          <w:bCs/>
          <w:sz w:val="26"/>
          <w:szCs w:val="26"/>
        </w:rPr>
        <w:t xml:space="preserve"> como lo indica el recurrente</w:t>
      </w:r>
      <w:r w:rsidR="00A24358">
        <w:rPr>
          <w:rFonts w:ascii="Arial" w:eastAsia="Calibri" w:hAnsi="Arial" w:cs="Arial"/>
          <w:bCs/>
          <w:sz w:val="26"/>
          <w:szCs w:val="26"/>
        </w:rPr>
        <w:t>; sino que fue precisamente de lo planteado por las partes y el análisis que realizó del acto</w:t>
      </w:r>
      <w:r w:rsidR="00B70A9C">
        <w:rPr>
          <w:rFonts w:ascii="Arial" w:eastAsia="Calibri" w:hAnsi="Arial" w:cs="Arial"/>
          <w:bCs/>
          <w:sz w:val="26"/>
          <w:szCs w:val="26"/>
        </w:rPr>
        <w:t xml:space="preserve"> </w:t>
      </w:r>
      <w:r w:rsidR="00A24358">
        <w:rPr>
          <w:rFonts w:ascii="Arial" w:eastAsia="Calibri" w:hAnsi="Arial" w:cs="Arial"/>
          <w:bCs/>
          <w:sz w:val="26"/>
          <w:szCs w:val="26"/>
        </w:rPr>
        <w:t xml:space="preserve">impugnado, que concluyó en su ilegalidad; y, </w:t>
      </w:r>
      <w:r w:rsidR="00A24358" w:rsidRPr="00A24358">
        <w:rPr>
          <w:rFonts w:ascii="Arial" w:eastAsia="Calibri" w:hAnsi="Arial" w:cs="Arial"/>
          <w:bCs/>
          <w:sz w:val="26"/>
          <w:szCs w:val="26"/>
          <w:u w:val="single"/>
        </w:rPr>
        <w:t>tercero</w:t>
      </w:r>
      <w:r w:rsidR="00A24358">
        <w:rPr>
          <w:rFonts w:ascii="Arial" w:eastAsia="Calibri" w:hAnsi="Arial" w:cs="Arial"/>
          <w:bCs/>
          <w:sz w:val="26"/>
          <w:szCs w:val="26"/>
        </w:rPr>
        <w:t xml:space="preserve">, porque de la sentencia alzada, en ninguna parte se advierte que la A quo, haya declarado </w:t>
      </w:r>
      <w:r w:rsidR="004F1E03">
        <w:rPr>
          <w:rFonts w:ascii="Arial" w:eastAsia="Calibri" w:hAnsi="Arial" w:cs="Arial"/>
          <w:bCs/>
          <w:sz w:val="26"/>
          <w:szCs w:val="26"/>
        </w:rPr>
        <w:t>insubsistente lo actuado por ella misma</w:t>
      </w:r>
      <w:r w:rsidR="00B70A9C">
        <w:rPr>
          <w:rFonts w:ascii="Arial" w:eastAsia="Calibri" w:hAnsi="Arial" w:cs="Arial"/>
          <w:bCs/>
          <w:sz w:val="26"/>
          <w:szCs w:val="26"/>
        </w:rPr>
        <w:t xml:space="preserve"> y ordenado la reposición del procedimiento</w:t>
      </w:r>
      <w:r w:rsidR="00A24358">
        <w:rPr>
          <w:rFonts w:ascii="Arial" w:eastAsia="Calibri" w:hAnsi="Arial" w:cs="Arial"/>
          <w:bCs/>
          <w:sz w:val="26"/>
          <w:szCs w:val="26"/>
        </w:rPr>
        <w:t>.</w:t>
      </w:r>
    </w:p>
    <w:p w14:paraId="7F9D3A08" w14:textId="7F153CBC" w:rsidR="006621D0" w:rsidRDefault="009928D1" w:rsidP="00A24358">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Continúa sus alegaciones </w:t>
      </w:r>
      <w:r>
        <w:rPr>
          <w:rFonts w:ascii="Arial" w:eastAsia="Calibri" w:hAnsi="Arial" w:cs="Arial"/>
          <w:bCs/>
          <w:sz w:val="26"/>
          <w:szCs w:val="26"/>
        </w:rPr>
        <w:t xml:space="preserve">señalando que en el acta </w:t>
      </w:r>
      <w:r w:rsidR="006621D0">
        <w:rPr>
          <w:rFonts w:ascii="Arial" w:eastAsia="Calibri" w:hAnsi="Arial" w:cs="Arial"/>
          <w:bCs/>
          <w:sz w:val="26"/>
          <w:szCs w:val="26"/>
        </w:rPr>
        <w:t xml:space="preserve">de infracción </w:t>
      </w:r>
      <w:r>
        <w:rPr>
          <w:rFonts w:ascii="Arial" w:eastAsia="Calibri" w:hAnsi="Arial" w:cs="Arial"/>
          <w:bCs/>
          <w:sz w:val="26"/>
          <w:szCs w:val="26"/>
        </w:rPr>
        <w:t>folio 0</w:t>
      </w:r>
      <w:r w:rsidR="006621D0">
        <w:rPr>
          <w:rFonts w:ascii="Arial" w:eastAsia="Calibri" w:hAnsi="Arial" w:cs="Arial"/>
          <w:bCs/>
          <w:sz w:val="26"/>
          <w:szCs w:val="26"/>
        </w:rPr>
        <w:t>6</w:t>
      </w:r>
      <w:r w:rsidR="00716A80">
        <w:rPr>
          <w:rFonts w:ascii="Arial" w:eastAsia="Calibri" w:hAnsi="Arial" w:cs="Arial"/>
          <w:bCs/>
          <w:sz w:val="26"/>
          <w:szCs w:val="26"/>
        </w:rPr>
        <w:t>150</w:t>
      </w:r>
      <w:r>
        <w:rPr>
          <w:rFonts w:ascii="Arial" w:eastAsia="Calibri" w:hAnsi="Arial" w:cs="Arial"/>
          <w:bCs/>
          <w:sz w:val="26"/>
          <w:szCs w:val="26"/>
        </w:rPr>
        <w:t xml:space="preserve"> </w:t>
      </w:r>
      <w:r w:rsidR="006621D0">
        <w:rPr>
          <w:rFonts w:ascii="Arial" w:eastAsia="Calibri" w:hAnsi="Arial" w:cs="Arial"/>
          <w:bCs/>
          <w:sz w:val="26"/>
          <w:szCs w:val="26"/>
        </w:rPr>
        <w:t>de die</w:t>
      </w:r>
      <w:r w:rsidR="00716A80">
        <w:rPr>
          <w:rFonts w:ascii="Arial" w:eastAsia="Calibri" w:hAnsi="Arial" w:cs="Arial"/>
          <w:bCs/>
          <w:sz w:val="26"/>
          <w:szCs w:val="26"/>
        </w:rPr>
        <w:t xml:space="preserve">z de agosto </w:t>
      </w:r>
      <w:r w:rsidR="006621D0">
        <w:rPr>
          <w:rFonts w:ascii="Arial" w:eastAsia="Calibri" w:hAnsi="Arial" w:cs="Arial"/>
          <w:bCs/>
          <w:sz w:val="26"/>
          <w:szCs w:val="26"/>
        </w:rPr>
        <w:t xml:space="preserve">de dos mil diecinueve, </w:t>
      </w:r>
      <w:r>
        <w:rPr>
          <w:rFonts w:ascii="Arial" w:eastAsia="Calibri" w:hAnsi="Arial" w:cs="Arial"/>
          <w:bCs/>
          <w:sz w:val="26"/>
          <w:szCs w:val="26"/>
        </w:rPr>
        <w:t>plasmó las razones, motivos y circunstancias que la llevaron a efectuar el acto</w:t>
      </w:r>
      <w:r w:rsidR="006621D0">
        <w:rPr>
          <w:rFonts w:ascii="Arial" w:eastAsia="Calibri" w:hAnsi="Arial" w:cs="Arial"/>
          <w:bCs/>
          <w:sz w:val="26"/>
          <w:szCs w:val="26"/>
        </w:rPr>
        <w:t xml:space="preserve">; además de que citó circunstancias de modo, tiempo y lugar, cumpliendo así con el requisito de fundamentación que exige la fracción V, del artículo 7 de la Ley de Justicia Administrativa para el Estado de Oaxaca; </w:t>
      </w:r>
      <w:r w:rsidR="00BD7209">
        <w:rPr>
          <w:rFonts w:ascii="Arial" w:eastAsia="Calibri" w:hAnsi="Arial" w:cs="Arial"/>
          <w:bCs/>
          <w:sz w:val="26"/>
          <w:szCs w:val="26"/>
        </w:rPr>
        <w:t xml:space="preserve">y por ello </w:t>
      </w:r>
      <w:r w:rsidR="006621D0">
        <w:rPr>
          <w:rFonts w:ascii="Arial" w:eastAsia="Calibri" w:hAnsi="Arial" w:cs="Arial"/>
          <w:bCs/>
          <w:sz w:val="26"/>
          <w:szCs w:val="26"/>
        </w:rPr>
        <w:t>el acto</w:t>
      </w:r>
      <w:r w:rsidR="00BD7209">
        <w:rPr>
          <w:rFonts w:ascii="Arial" w:eastAsia="Calibri" w:hAnsi="Arial" w:cs="Arial"/>
          <w:bCs/>
          <w:sz w:val="26"/>
          <w:szCs w:val="26"/>
        </w:rPr>
        <w:t>r</w:t>
      </w:r>
      <w:r w:rsidR="006621D0">
        <w:rPr>
          <w:rFonts w:ascii="Arial" w:eastAsia="Calibri" w:hAnsi="Arial" w:cs="Arial"/>
          <w:bCs/>
          <w:sz w:val="26"/>
          <w:szCs w:val="26"/>
        </w:rPr>
        <w:t xml:space="preserve"> tuvo </w:t>
      </w:r>
      <w:r w:rsidR="006621D0" w:rsidRPr="00BD7209">
        <w:rPr>
          <w:rFonts w:ascii="Arial" w:eastAsia="Calibri" w:hAnsi="Arial" w:cs="Arial"/>
          <w:bCs/>
          <w:sz w:val="24"/>
          <w:szCs w:val="24"/>
        </w:rPr>
        <w:t>conocimiento</w:t>
      </w:r>
      <w:r w:rsidR="006621D0">
        <w:rPr>
          <w:rFonts w:ascii="Arial" w:eastAsia="Calibri" w:hAnsi="Arial" w:cs="Arial"/>
          <w:bCs/>
          <w:sz w:val="26"/>
          <w:szCs w:val="26"/>
        </w:rPr>
        <w:t xml:space="preserve"> de la causa por la que se hizo acreedor de una infracción, </w:t>
      </w:r>
      <w:r w:rsidR="00BD7209">
        <w:rPr>
          <w:rFonts w:ascii="Arial" w:eastAsia="Calibri" w:hAnsi="Arial" w:cs="Arial"/>
          <w:bCs/>
          <w:sz w:val="26"/>
          <w:szCs w:val="26"/>
        </w:rPr>
        <w:t xml:space="preserve">sin que se le haya dejado en </w:t>
      </w:r>
      <w:r w:rsidR="006621D0">
        <w:rPr>
          <w:rFonts w:ascii="Arial" w:eastAsia="Calibri" w:hAnsi="Arial" w:cs="Arial"/>
          <w:bCs/>
          <w:sz w:val="26"/>
          <w:szCs w:val="26"/>
        </w:rPr>
        <w:t xml:space="preserve">ningún momento en estado de indefensión </w:t>
      </w:r>
      <w:r w:rsidR="00BD7209">
        <w:rPr>
          <w:rFonts w:ascii="Arial" w:eastAsia="Calibri" w:hAnsi="Arial" w:cs="Arial"/>
          <w:bCs/>
          <w:sz w:val="26"/>
          <w:szCs w:val="26"/>
        </w:rPr>
        <w:t>al referido actor; precisando el recurrente, que lo anterior hace evidente que la Primera Instancia no hizo una valoración correcta de las pruebas “</w:t>
      </w:r>
      <w:r w:rsidR="00BD7209" w:rsidRPr="00BD7209">
        <w:rPr>
          <w:rFonts w:ascii="Arial" w:eastAsia="Calibri" w:hAnsi="Arial" w:cs="Arial"/>
          <w:bCs/>
          <w:i/>
          <w:iCs/>
          <w:sz w:val="26"/>
          <w:szCs w:val="26"/>
        </w:rPr>
        <w:t>(acta de infracción)</w:t>
      </w:r>
      <w:r w:rsidR="00BD7209">
        <w:rPr>
          <w:rFonts w:ascii="Arial" w:eastAsia="Calibri" w:hAnsi="Arial" w:cs="Arial"/>
          <w:bCs/>
          <w:sz w:val="26"/>
          <w:szCs w:val="26"/>
        </w:rPr>
        <w:t>”, porque de hacerlo hubiera concluido que cumple con los requisitos del artículo 7 de la Ley de Justicia Administrativa. Cita el criterio de rubro: “</w:t>
      </w:r>
      <w:r w:rsidR="00BD7209" w:rsidRPr="00BD7209">
        <w:rPr>
          <w:rFonts w:ascii="Arial" w:eastAsia="Calibri" w:hAnsi="Arial" w:cs="Arial"/>
          <w:bCs/>
          <w:i/>
          <w:iCs/>
        </w:rPr>
        <w:t>FUNDAMENTACIÓN Y MOTIVACIÓN. VIOLACIÓN FORMAL Y MATERIAL</w:t>
      </w:r>
      <w:r w:rsidR="00BD7209">
        <w:rPr>
          <w:rFonts w:ascii="Arial" w:eastAsia="Calibri" w:hAnsi="Arial" w:cs="Arial"/>
          <w:bCs/>
          <w:sz w:val="26"/>
          <w:szCs w:val="26"/>
        </w:rPr>
        <w:t>”</w:t>
      </w:r>
      <w:r w:rsidR="006621D0">
        <w:rPr>
          <w:rFonts w:ascii="Arial" w:eastAsia="Calibri" w:hAnsi="Arial" w:cs="Arial"/>
          <w:bCs/>
          <w:sz w:val="26"/>
          <w:szCs w:val="26"/>
        </w:rPr>
        <w:t>.</w:t>
      </w:r>
    </w:p>
    <w:p w14:paraId="331C8EC1" w14:textId="7BBFFBB0" w:rsidR="00716A80" w:rsidRDefault="00BD7209" w:rsidP="00A2435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parte de</w:t>
      </w:r>
      <w:r w:rsidR="00460B31">
        <w:rPr>
          <w:rFonts w:ascii="Arial" w:eastAsia="Calibri" w:hAnsi="Arial" w:cs="Arial"/>
          <w:bCs/>
          <w:sz w:val="26"/>
          <w:szCs w:val="26"/>
        </w:rPr>
        <w:t xml:space="preserve"> las alegaciones de la recurrente</w:t>
      </w:r>
      <w:r>
        <w:rPr>
          <w:rFonts w:ascii="Arial" w:eastAsia="Calibri" w:hAnsi="Arial" w:cs="Arial"/>
          <w:bCs/>
          <w:sz w:val="26"/>
          <w:szCs w:val="26"/>
        </w:rPr>
        <w:t xml:space="preserve"> son </w:t>
      </w:r>
      <w:r w:rsidRPr="003362D5">
        <w:rPr>
          <w:rFonts w:ascii="Arial" w:eastAsia="Calibri" w:hAnsi="Arial" w:cs="Arial"/>
          <w:b/>
          <w:sz w:val="26"/>
          <w:szCs w:val="26"/>
        </w:rPr>
        <w:t>in</w:t>
      </w:r>
      <w:r w:rsidR="00716A80">
        <w:rPr>
          <w:rFonts w:ascii="Arial" w:eastAsia="Calibri" w:hAnsi="Arial" w:cs="Arial"/>
          <w:b/>
          <w:sz w:val="26"/>
          <w:szCs w:val="26"/>
        </w:rPr>
        <w:t>suficientes</w:t>
      </w:r>
      <w:r>
        <w:rPr>
          <w:rFonts w:ascii="Arial" w:eastAsia="Calibri" w:hAnsi="Arial" w:cs="Arial"/>
          <w:bCs/>
          <w:sz w:val="26"/>
          <w:szCs w:val="26"/>
        </w:rPr>
        <w:t xml:space="preserve">, por que </w:t>
      </w:r>
      <w:r w:rsidR="00716A80">
        <w:rPr>
          <w:rFonts w:ascii="Arial" w:eastAsia="Calibri" w:hAnsi="Arial" w:cs="Arial"/>
          <w:bCs/>
          <w:sz w:val="26"/>
          <w:szCs w:val="26"/>
        </w:rPr>
        <w:t xml:space="preserve">únicamente se concreta a señalar que plasmó las razones, motivos y circunstancias que la llevaron a efectuar el acta de infracción; pero </w:t>
      </w:r>
      <w:r w:rsidR="00460B31">
        <w:rPr>
          <w:rFonts w:ascii="Arial" w:eastAsia="Calibri" w:hAnsi="Arial" w:cs="Arial"/>
          <w:bCs/>
          <w:sz w:val="26"/>
          <w:szCs w:val="26"/>
        </w:rPr>
        <w:t xml:space="preserve">omite </w:t>
      </w:r>
      <w:r w:rsidR="00716A80">
        <w:rPr>
          <w:rFonts w:ascii="Arial" w:eastAsia="Calibri" w:hAnsi="Arial" w:cs="Arial"/>
          <w:bCs/>
          <w:sz w:val="26"/>
          <w:szCs w:val="26"/>
        </w:rPr>
        <w:t xml:space="preserve">exponer de manera concreta cuáles fueron esas razones, motivos y circunstancias, lo que era necesario para que su agravio cumpliera con la finalidad de contradecir la consideración plasmada por la Primera Instancia, </w:t>
      </w:r>
      <w:r w:rsidR="00046F11">
        <w:rPr>
          <w:rFonts w:ascii="Arial" w:eastAsia="Calibri" w:hAnsi="Arial" w:cs="Arial"/>
          <w:bCs/>
          <w:sz w:val="26"/>
          <w:szCs w:val="26"/>
        </w:rPr>
        <w:t>en la que determinó que la demandada no pla</w:t>
      </w:r>
      <w:r w:rsidR="00460B31">
        <w:rPr>
          <w:rFonts w:ascii="Arial" w:eastAsia="Calibri" w:hAnsi="Arial" w:cs="Arial"/>
          <w:bCs/>
          <w:sz w:val="26"/>
          <w:szCs w:val="26"/>
        </w:rPr>
        <w:t>s</w:t>
      </w:r>
      <w:r w:rsidR="00046F11">
        <w:rPr>
          <w:rFonts w:ascii="Arial" w:eastAsia="Calibri" w:hAnsi="Arial" w:cs="Arial"/>
          <w:bCs/>
          <w:sz w:val="26"/>
          <w:szCs w:val="26"/>
        </w:rPr>
        <w:t>mó</w:t>
      </w:r>
      <w:r w:rsidR="00460B31">
        <w:rPr>
          <w:rFonts w:ascii="Arial" w:eastAsia="Calibri" w:hAnsi="Arial" w:cs="Arial"/>
          <w:bCs/>
          <w:sz w:val="26"/>
          <w:szCs w:val="26"/>
        </w:rPr>
        <w:t xml:space="preserve"> “</w:t>
      </w:r>
      <w:bookmarkStart w:id="2" w:name="_Hlk39917882"/>
      <w:r w:rsidR="00460B31">
        <w:rPr>
          <w:rFonts w:ascii="Arial" w:eastAsia="Calibri" w:hAnsi="Arial" w:cs="Arial"/>
          <w:bCs/>
          <w:i/>
          <w:iCs/>
          <w:sz w:val="24"/>
          <w:szCs w:val="24"/>
        </w:rPr>
        <w:t>los argumentos lógico-jurídicos y las circunstancias de modo, tiempo y lugar aplicables que generen certidumbre de la forma en que el policía vial pudo apreciar a través de sus sentidos la comisión de dicha falta</w:t>
      </w:r>
      <w:r w:rsidR="00460B31">
        <w:rPr>
          <w:rFonts w:ascii="Arial" w:eastAsia="Calibri" w:hAnsi="Arial" w:cs="Arial"/>
          <w:bCs/>
          <w:sz w:val="26"/>
          <w:szCs w:val="26"/>
        </w:rPr>
        <w:t>”</w:t>
      </w:r>
      <w:r w:rsidR="002639E6">
        <w:rPr>
          <w:rFonts w:ascii="Arial" w:eastAsia="Calibri" w:hAnsi="Arial" w:cs="Arial"/>
          <w:bCs/>
          <w:sz w:val="26"/>
          <w:szCs w:val="26"/>
        </w:rPr>
        <w:t>.</w:t>
      </w:r>
    </w:p>
    <w:bookmarkEnd w:id="2"/>
    <w:p w14:paraId="0197C43B" w14:textId="5D360372" w:rsidR="00B70A9C" w:rsidRPr="00E74393" w:rsidRDefault="00E74393" w:rsidP="00E7439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En cuanto a la afirmación del inconforme de que la Primera Instancia no hizo una valoración correcta de las pruebas precisando “</w:t>
      </w:r>
      <w:r w:rsidRPr="00E74393">
        <w:rPr>
          <w:rFonts w:ascii="Arial" w:eastAsia="Calibri" w:hAnsi="Arial" w:cs="Arial"/>
          <w:bCs/>
          <w:i/>
          <w:iCs/>
          <w:sz w:val="24"/>
          <w:szCs w:val="24"/>
        </w:rPr>
        <w:t>(acta de infracción)</w:t>
      </w:r>
      <w:r>
        <w:rPr>
          <w:rFonts w:ascii="Arial" w:eastAsia="Calibri" w:hAnsi="Arial" w:cs="Arial"/>
          <w:bCs/>
          <w:sz w:val="26"/>
          <w:szCs w:val="26"/>
        </w:rPr>
        <w:t>”, es equivocada, porque la determinación del A quo, se basó precisamente del análisis y valoración que realizó del acta de infracción que impugnó el actor, como así se ve del siguiente texto: “</w:t>
      </w:r>
      <w:r w:rsidR="00174CF4">
        <w:rPr>
          <w:rFonts w:ascii="Arial" w:eastAsia="Calibri" w:hAnsi="Arial" w:cs="Arial"/>
          <w:bCs/>
          <w:i/>
          <w:iCs/>
          <w:sz w:val="24"/>
          <w:szCs w:val="24"/>
        </w:rPr>
        <w:t xml:space="preserve">Ahora bien, esta Primera Sala Unitaria de Primera Instancia del Tribunal de Justicia Administrativa para el Estado de Oaxaca, procede al estudio de los conceptos de impugnación hechos valer por la parte actora y al análisis del acta de infracción impugnada número </w:t>
      </w:r>
      <w:r w:rsidR="008E076A">
        <w:rPr>
          <w:rFonts w:ascii="Arial" w:hAnsi="Arial" w:cs="Arial"/>
          <w:color w:val="000000"/>
          <w:sz w:val="26"/>
          <w:szCs w:val="26"/>
        </w:rPr>
        <w:t xml:space="preserve">*********** </w:t>
      </w:r>
      <w:r w:rsidR="00174CF4">
        <w:rPr>
          <w:rFonts w:ascii="Arial" w:eastAsia="Calibri" w:hAnsi="Arial" w:cs="Arial"/>
          <w:b/>
          <w:i/>
          <w:iCs/>
          <w:sz w:val="24"/>
          <w:szCs w:val="24"/>
        </w:rPr>
        <w:t xml:space="preserve">de fecha diez de agosto de dos mil diecinueve, </w:t>
      </w:r>
      <w:r w:rsidR="00174CF4">
        <w:rPr>
          <w:rFonts w:ascii="Arial" w:eastAsia="Calibri" w:hAnsi="Arial" w:cs="Arial"/>
          <w:bCs/>
          <w:i/>
          <w:iCs/>
          <w:sz w:val="24"/>
          <w:szCs w:val="24"/>
        </w:rPr>
        <w:t>visible en la foja 08 del sumario, a la cual se le confiere pleno valor probatorio al haber sido expedida por funcionario público en ejerc</w:t>
      </w:r>
      <w:r w:rsidR="004C4A02">
        <w:rPr>
          <w:rFonts w:ascii="Arial" w:eastAsia="Calibri" w:hAnsi="Arial" w:cs="Arial"/>
          <w:bCs/>
          <w:i/>
          <w:iCs/>
          <w:sz w:val="24"/>
          <w:szCs w:val="24"/>
        </w:rPr>
        <w:t>i</w:t>
      </w:r>
      <w:r w:rsidR="00174CF4">
        <w:rPr>
          <w:rFonts w:ascii="Arial" w:eastAsia="Calibri" w:hAnsi="Arial" w:cs="Arial"/>
          <w:bCs/>
          <w:i/>
          <w:iCs/>
          <w:sz w:val="24"/>
          <w:szCs w:val="24"/>
        </w:rPr>
        <w:t xml:space="preserve">cio de sus funciones, en términos del artículo </w:t>
      </w:r>
      <w:r w:rsidR="004C4A02">
        <w:rPr>
          <w:rFonts w:ascii="Arial" w:eastAsia="Calibri" w:hAnsi="Arial" w:cs="Arial"/>
          <w:bCs/>
          <w:i/>
          <w:iCs/>
          <w:sz w:val="24"/>
          <w:szCs w:val="24"/>
        </w:rPr>
        <w:t>203 fracción I, de la Ley que rige a este Tribuna</w:t>
      </w:r>
      <w:r>
        <w:rPr>
          <w:rFonts w:ascii="Arial" w:eastAsia="Calibri" w:hAnsi="Arial" w:cs="Arial"/>
          <w:bCs/>
          <w:sz w:val="26"/>
          <w:szCs w:val="26"/>
        </w:rPr>
        <w:t>”</w:t>
      </w:r>
    </w:p>
    <w:p w14:paraId="1D2F47EE" w14:textId="2BC260A1" w:rsidR="004C4A02" w:rsidRDefault="00706C96" w:rsidP="00A24358">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Por otra parte </w:t>
      </w:r>
      <w:r w:rsidR="0062084F">
        <w:rPr>
          <w:rFonts w:ascii="Arial" w:eastAsia="Calibri" w:hAnsi="Arial" w:cs="Arial"/>
          <w:bCs/>
          <w:sz w:val="26"/>
          <w:szCs w:val="26"/>
        </w:rPr>
        <w:t>alega, que la cons</w:t>
      </w:r>
      <w:r w:rsidR="00FE7A9A">
        <w:rPr>
          <w:rFonts w:ascii="Arial" w:eastAsia="Calibri" w:hAnsi="Arial" w:cs="Arial"/>
          <w:bCs/>
          <w:sz w:val="26"/>
          <w:szCs w:val="26"/>
        </w:rPr>
        <w:t>ideración de que el acto impugnado carece de motivación</w:t>
      </w:r>
      <w:r w:rsidR="00374D85">
        <w:rPr>
          <w:rFonts w:ascii="Arial" w:eastAsia="Calibri" w:hAnsi="Arial" w:cs="Arial"/>
          <w:bCs/>
          <w:sz w:val="26"/>
          <w:szCs w:val="26"/>
        </w:rPr>
        <w:t>, trae como consecuencia la nulidad para efecto y no lisa y llana</w:t>
      </w:r>
      <w:r w:rsidR="0062084F">
        <w:rPr>
          <w:rFonts w:ascii="Arial" w:eastAsia="Calibri" w:hAnsi="Arial" w:cs="Arial"/>
          <w:bCs/>
          <w:sz w:val="26"/>
          <w:szCs w:val="26"/>
        </w:rPr>
        <w:t xml:space="preserve">, porque la fundamentación que se llevó a cabo en el acto de infracción folio </w:t>
      </w:r>
      <w:r w:rsidR="008E076A">
        <w:rPr>
          <w:rFonts w:ascii="Arial" w:hAnsi="Arial" w:cs="Arial"/>
          <w:color w:val="000000"/>
          <w:sz w:val="26"/>
          <w:szCs w:val="26"/>
        </w:rPr>
        <w:t>***********</w:t>
      </w:r>
      <w:r w:rsidR="0062084F">
        <w:rPr>
          <w:rFonts w:ascii="Arial" w:eastAsia="Calibri" w:hAnsi="Arial" w:cs="Arial"/>
          <w:bCs/>
          <w:sz w:val="26"/>
          <w:szCs w:val="26"/>
        </w:rPr>
        <w:t>, fue la correcta, sin que se dejara en estado de indefensión al administrado, pues el hecho que motivo la infracción se dio en la vía pública y en situación de flagrancia</w:t>
      </w:r>
      <w:r w:rsidR="004C4A02">
        <w:rPr>
          <w:rFonts w:ascii="Arial" w:eastAsia="Calibri" w:hAnsi="Arial" w:cs="Arial"/>
          <w:bCs/>
          <w:sz w:val="26"/>
          <w:szCs w:val="26"/>
        </w:rPr>
        <w:t>.</w:t>
      </w:r>
    </w:p>
    <w:p w14:paraId="4C1F79EE" w14:textId="081F0189" w:rsidR="00A03990" w:rsidRDefault="00A03990" w:rsidP="00A0399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A03990">
        <w:rPr>
          <w:rFonts w:ascii="Arial" w:eastAsia="Calibri" w:hAnsi="Arial" w:cs="Arial"/>
          <w:b/>
          <w:sz w:val="26"/>
          <w:szCs w:val="26"/>
        </w:rPr>
        <w:t>in</w:t>
      </w:r>
      <w:r>
        <w:rPr>
          <w:rFonts w:ascii="Arial" w:eastAsia="Calibri" w:hAnsi="Arial" w:cs="Arial"/>
          <w:b/>
          <w:sz w:val="26"/>
          <w:szCs w:val="26"/>
        </w:rPr>
        <w:t xml:space="preserve">suficientes </w:t>
      </w:r>
      <w:r>
        <w:rPr>
          <w:rFonts w:ascii="Arial" w:eastAsia="Calibri" w:hAnsi="Arial" w:cs="Arial"/>
          <w:bCs/>
          <w:sz w:val="26"/>
          <w:szCs w:val="26"/>
        </w:rPr>
        <w:t xml:space="preserve">para debatir la determinación sustancial de la Primera Instancia, que tuvo en consideración para concluir en la nulidad lisa y llana del acta de infracción materia del juicio de nulidad, consistente en que la demandada fue omisa en </w:t>
      </w:r>
      <w:r w:rsidR="004C4A02">
        <w:rPr>
          <w:rFonts w:ascii="Arial" w:eastAsia="Calibri" w:hAnsi="Arial" w:cs="Arial"/>
          <w:bCs/>
          <w:sz w:val="26"/>
          <w:szCs w:val="26"/>
        </w:rPr>
        <w:t xml:space="preserve">plasmar </w:t>
      </w:r>
      <w:r w:rsidR="004C4A02" w:rsidRPr="004C4A02">
        <w:rPr>
          <w:rFonts w:ascii="Arial" w:eastAsia="Calibri" w:hAnsi="Arial" w:cs="Arial"/>
          <w:bCs/>
          <w:sz w:val="26"/>
          <w:szCs w:val="26"/>
        </w:rPr>
        <w:t>los argumentos lógico-jurídicos y las circunstancias de modo, tiempo y lugar aplicables que gener</w:t>
      </w:r>
      <w:r w:rsidR="004C4A02">
        <w:rPr>
          <w:rFonts w:ascii="Arial" w:eastAsia="Calibri" w:hAnsi="Arial" w:cs="Arial"/>
          <w:bCs/>
          <w:sz w:val="26"/>
          <w:szCs w:val="26"/>
        </w:rPr>
        <w:t xml:space="preserve">aran </w:t>
      </w:r>
      <w:r w:rsidR="004C4A02" w:rsidRPr="004C4A02">
        <w:rPr>
          <w:rFonts w:ascii="Arial" w:eastAsia="Calibri" w:hAnsi="Arial" w:cs="Arial"/>
          <w:bCs/>
          <w:sz w:val="26"/>
          <w:szCs w:val="26"/>
        </w:rPr>
        <w:t xml:space="preserve">certidumbre de la forma en que el policía vial pudo apreciar a través de sus sentidos la comisión de </w:t>
      </w:r>
      <w:r w:rsidR="004C4A02">
        <w:rPr>
          <w:rFonts w:ascii="Arial" w:eastAsia="Calibri" w:hAnsi="Arial" w:cs="Arial"/>
          <w:bCs/>
          <w:sz w:val="26"/>
          <w:szCs w:val="26"/>
        </w:rPr>
        <w:t>la</w:t>
      </w:r>
      <w:r w:rsidR="004C4A02" w:rsidRPr="004C4A02">
        <w:rPr>
          <w:rFonts w:ascii="Arial" w:eastAsia="Calibri" w:hAnsi="Arial" w:cs="Arial"/>
          <w:bCs/>
          <w:sz w:val="26"/>
          <w:szCs w:val="26"/>
        </w:rPr>
        <w:t xml:space="preserve"> falta</w:t>
      </w:r>
      <w:r>
        <w:rPr>
          <w:rFonts w:ascii="Arial" w:eastAsia="Calibri" w:hAnsi="Arial" w:cs="Arial"/>
          <w:bCs/>
          <w:sz w:val="26"/>
          <w:szCs w:val="26"/>
        </w:rPr>
        <w:t xml:space="preserve">; pues en sus alegaciones el recurrente únicamente se concreta en esencia a decir que la nulidad debió ser para efecto, porque la </w:t>
      </w:r>
      <w:r w:rsidR="004C4A02">
        <w:rPr>
          <w:rFonts w:ascii="Arial" w:eastAsia="Calibri" w:hAnsi="Arial" w:cs="Arial"/>
          <w:bCs/>
          <w:sz w:val="26"/>
          <w:szCs w:val="26"/>
        </w:rPr>
        <w:t>fundamentación que se llevó a cabo fue la correcta</w:t>
      </w:r>
      <w:r>
        <w:rPr>
          <w:rFonts w:ascii="Arial" w:eastAsia="Calibri" w:hAnsi="Arial" w:cs="Arial"/>
          <w:bCs/>
          <w:sz w:val="26"/>
          <w:szCs w:val="26"/>
        </w:rPr>
        <w:t>; pero sin exponer de manera detallada y con sustentos legales las razones de su afirmación.</w:t>
      </w:r>
    </w:p>
    <w:p w14:paraId="3308B7E0" w14:textId="77777777" w:rsidR="000410EE" w:rsidRPr="002B506D" w:rsidRDefault="000410EE" w:rsidP="000410E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14:paraId="7082DC05" w14:textId="77777777" w:rsidR="000410EE" w:rsidRPr="004A2FA8" w:rsidRDefault="000410EE" w:rsidP="002203C5">
      <w:pPr>
        <w:spacing w:after="0"/>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lastRenderedPageBreak/>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955605D" w14:textId="51658D3C" w:rsidR="00047409" w:rsidRDefault="00047409" w:rsidP="00B72F47">
      <w:pPr>
        <w:spacing w:before="240" w:line="360" w:lineRule="auto"/>
        <w:ind w:firstLine="708"/>
        <w:jc w:val="both"/>
        <w:rPr>
          <w:rFonts w:ascii="Arial" w:eastAsia="Calibri" w:hAnsi="Arial" w:cs="Arial"/>
          <w:bCs/>
          <w:sz w:val="26"/>
          <w:szCs w:val="26"/>
        </w:rPr>
      </w:pPr>
      <w:r w:rsidRPr="00047409">
        <w:rPr>
          <w:rFonts w:ascii="Arial" w:eastAsia="Calibri" w:hAnsi="Arial" w:cs="Arial"/>
          <w:b/>
          <w:sz w:val="26"/>
          <w:szCs w:val="26"/>
        </w:rPr>
        <w:t>Por último</w:t>
      </w:r>
      <w:r>
        <w:rPr>
          <w:rFonts w:ascii="Arial" w:eastAsia="Calibri" w:hAnsi="Arial" w:cs="Arial"/>
          <w:bCs/>
          <w:sz w:val="26"/>
          <w:szCs w:val="26"/>
        </w:rPr>
        <w:t xml:space="preserve">, indica el recurrente </w:t>
      </w:r>
      <w:r w:rsidR="00B72F47">
        <w:rPr>
          <w:rFonts w:ascii="Arial" w:eastAsia="Calibri" w:hAnsi="Arial" w:cs="Arial"/>
          <w:bCs/>
          <w:sz w:val="26"/>
          <w:szCs w:val="26"/>
        </w:rPr>
        <w:t xml:space="preserve">que la Primera Instancia fundó su actuar en la última parte del artículo 179 de la Ley de la materia; precepto legal del que no se desprende, que la sentencia deba tener el sentido en que la autoridad la emana, y sí se desprende que la autoridad está obligada en el ámbito de su competencia a regir su actuación por el margen que la propia ley le permite, sin que pueda extralimitarse, con la finalidad no vulneran las garantías otorgadas a la demandada y que prevé el artículo 14 de la Constitución Política de los Estados Unidos Mexicanos; </w:t>
      </w:r>
      <w:r>
        <w:rPr>
          <w:rFonts w:ascii="Arial" w:eastAsia="Calibri" w:hAnsi="Arial" w:cs="Arial"/>
          <w:bCs/>
          <w:sz w:val="26"/>
          <w:szCs w:val="26"/>
        </w:rPr>
        <w:t>cita el criterio “</w:t>
      </w:r>
      <w:r>
        <w:rPr>
          <w:rFonts w:ascii="Arial" w:eastAsia="Calibri" w:hAnsi="Arial" w:cs="Arial"/>
          <w:bCs/>
          <w:i/>
          <w:iCs/>
        </w:rPr>
        <w:t>FUNDAMENTACIÓN Y MOTIVACIÓN. LA DIFERENCIA ENTRE LA FALTA Y LA INDEBIDA SATISFACCIÓN DE AMBOS REQUISITOS CONSTITUCIONALES TRASCIENDEN AL ORDEN EN QUE DEBEN ESTUDIARSE LOS CONCEPTOS DE VIOLACIÓN Y A LOS EFECTOS DEL FALLO PROTECTOR.</w:t>
      </w:r>
      <w:r>
        <w:rPr>
          <w:rFonts w:ascii="Arial" w:eastAsia="Calibri" w:hAnsi="Arial" w:cs="Arial"/>
          <w:bCs/>
          <w:sz w:val="26"/>
          <w:szCs w:val="26"/>
        </w:rPr>
        <w:t>”</w:t>
      </w:r>
    </w:p>
    <w:p w14:paraId="475B7718" w14:textId="08798A73" w:rsidR="00B72F47" w:rsidRPr="00B72F47" w:rsidRDefault="00B72F47" w:rsidP="00B525A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Estos alegatos son </w:t>
      </w:r>
      <w:r>
        <w:rPr>
          <w:rFonts w:ascii="Arial" w:eastAsia="Calibri" w:hAnsi="Arial" w:cs="Arial"/>
          <w:b/>
          <w:sz w:val="26"/>
          <w:szCs w:val="26"/>
        </w:rPr>
        <w:t xml:space="preserve">infundados, </w:t>
      </w:r>
      <w:r>
        <w:rPr>
          <w:rFonts w:ascii="Arial" w:eastAsia="Calibri" w:hAnsi="Arial" w:cs="Arial"/>
          <w:bCs/>
          <w:sz w:val="26"/>
          <w:szCs w:val="26"/>
        </w:rPr>
        <w:t>porque contrario a su aserción la Primera Instancia no fundó su determinación en lo dispuesto por el artículo 179 de la Ley que rige el juicio contencioso administrativo, sino en l</w:t>
      </w:r>
      <w:r w:rsidR="004C4A02">
        <w:rPr>
          <w:rFonts w:ascii="Arial" w:eastAsia="Calibri" w:hAnsi="Arial" w:cs="Arial"/>
          <w:bCs/>
          <w:sz w:val="26"/>
          <w:szCs w:val="26"/>
        </w:rPr>
        <w:t>os</w:t>
      </w:r>
      <w:r>
        <w:rPr>
          <w:rFonts w:ascii="Arial" w:eastAsia="Calibri" w:hAnsi="Arial" w:cs="Arial"/>
          <w:bCs/>
          <w:sz w:val="26"/>
          <w:szCs w:val="26"/>
        </w:rPr>
        <w:t xml:space="preserve"> diverso</w:t>
      </w:r>
      <w:r w:rsidR="004C4A02">
        <w:rPr>
          <w:rFonts w:ascii="Arial" w:eastAsia="Calibri" w:hAnsi="Arial" w:cs="Arial"/>
          <w:bCs/>
          <w:sz w:val="26"/>
          <w:szCs w:val="26"/>
        </w:rPr>
        <w:t>s</w:t>
      </w:r>
      <w:r>
        <w:rPr>
          <w:rFonts w:ascii="Arial" w:eastAsia="Calibri" w:hAnsi="Arial" w:cs="Arial"/>
          <w:bCs/>
          <w:sz w:val="26"/>
          <w:szCs w:val="26"/>
        </w:rPr>
        <w:t xml:space="preserve"> artículo</w:t>
      </w:r>
      <w:r w:rsidR="004C4A02">
        <w:rPr>
          <w:rFonts w:ascii="Arial" w:eastAsia="Calibri" w:hAnsi="Arial" w:cs="Arial"/>
          <w:bCs/>
          <w:sz w:val="26"/>
          <w:szCs w:val="26"/>
        </w:rPr>
        <w:t>s</w:t>
      </w:r>
      <w:r>
        <w:rPr>
          <w:rFonts w:ascii="Arial" w:eastAsia="Calibri" w:hAnsi="Arial" w:cs="Arial"/>
          <w:bCs/>
          <w:sz w:val="26"/>
          <w:szCs w:val="26"/>
        </w:rPr>
        <w:t xml:space="preserve"> </w:t>
      </w:r>
      <w:r w:rsidR="004C4A02">
        <w:rPr>
          <w:rFonts w:ascii="Arial" w:eastAsia="Calibri" w:hAnsi="Arial" w:cs="Arial"/>
          <w:bCs/>
          <w:sz w:val="26"/>
          <w:szCs w:val="26"/>
        </w:rPr>
        <w:t xml:space="preserve">17 fracción V, 207, </w:t>
      </w:r>
      <w:r>
        <w:rPr>
          <w:rFonts w:ascii="Arial" w:eastAsia="Calibri" w:hAnsi="Arial" w:cs="Arial"/>
          <w:bCs/>
          <w:sz w:val="26"/>
          <w:szCs w:val="26"/>
        </w:rPr>
        <w:t xml:space="preserve">208 fracción </w:t>
      </w:r>
      <w:r w:rsidR="004C4A02">
        <w:rPr>
          <w:rFonts w:ascii="Arial" w:eastAsia="Calibri" w:hAnsi="Arial" w:cs="Arial"/>
          <w:bCs/>
          <w:sz w:val="26"/>
          <w:szCs w:val="26"/>
        </w:rPr>
        <w:t xml:space="preserve">II y </w:t>
      </w:r>
      <w:r>
        <w:rPr>
          <w:rFonts w:ascii="Arial" w:eastAsia="Calibri" w:hAnsi="Arial" w:cs="Arial"/>
          <w:bCs/>
          <w:sz w:val="26"/>
          <w:szCs w:val="26"/>
        </w:rPr>
        <w:t xml:space="preserve">VI </w:t>
      </w:r>
      <w:r w:rsidR="004C4A02">
        <w:rPr>
          <w:rFonts w:ascii="Arial" w:eastAsia="Calibri" w:hAnsi="Arial" w:cs="Arial"/>
          <w:bCs/>
          <w:sz w:val="26"/>
          <w:szCs w:val="26"/>
        </w:rPr>
        <w:t xml:space="preserve">y 209 </w:t>
      </w:r>
      <w:r>
        <w:rPr>
          <w:rFonts w:ascii="Arial" w:eastAsia="Calibri" w:hAnsi="Arial" w:cs="Arial"/>
          <w:bCs/>
          <w:sz w:val="26"/>
          <w:szCs w:val="26"/>
        </w:rPr>
        <w:t>de la Ley de Procedimiento y Justicia Administrativa para el Estado de Oaxaca</w:t>
      </w:r>
      <w:r w:rsidR="00B235F3">
        <w:rPr>
          <w:rFonts w:ascii="Arial" w:eastAsia="Calibri" w:hAnsi="Arial" w:cs="Arial"/>
          <w:bCs/>
          <w:sz w:val="26"/>
          <w:szCs w:val="26"/>
        </w:rPr>
        <w:t>. “</w:t>
      </w:r>
      <w:r w:rsidR="004C4A02">
        <w:rPr>
          <w:rFonts w:ascii="Arial" w:eastAsia="Calibri" w:hAnsi="Arial" w:cs="Arial"/>
          <w:bCs/>
          <w:i/>
          <w:iCs/>
          <w:sz w:val="24"/>
          <w:szCs w:val="24"/>
        </w:rPr>
        <w:t>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Por lo expuesto, funda</w:t>
      </w:r>
      <w:r w:rsidR="00B65FA9">
        <w:rPr>
          <w:rFonts w:ascii="Arial" w:eastAsia="Calibri" w:hAnsi="Arial" w:cs="Arial"/>
          <w:bCs/>
          <w:i/>
          <w:iCs/>
          <w:sz w:val="24"/>
          <w:szCs w:val="24"/>
        </w:rPr>
        <w:t>d</w:t>
      </w:r>
      <w:r w:rsidR="004C4A02">
        <w:rPr>
          <w:rFonts w:ascii="Arial" w:eastAsia="Calibri" w:hAnsi="Arial" w:cs="Arial"/>
          <w:bCs/>
          <w:i/>
          <w:iCs/>
          <w:sz w:val="24"/>
          <w:szCs w:val="24"/>
        </w:rPr>
        <w:t>o y motivado, en términos de los artículos 207</w:t>
      </w:r>
      <w:r w:rsidR="00B65FA9">
        <w:rPr>
          <w:rFonts w:ascii="Arial" w:eastAsia="Calibri" w:hAnsi="Arial" w:cs="Arial"/>
          <w:bCs/>
          <w:i/>
          <w:iCs/>
          <w:sz w:val="24"/>
          <w:szCs w:val="24"/>
        </w:rPr>
        <w:t>, 208 fracción II,</w:t>
      </w:r>
      <w:r w:rsidR="00B235F3" w:rsidRPr="00B235F3">
        <w:rPr>
          <w:rFonts w:ascii="Arial" w:eastAsia="Calibri" w:hAnsi="Arial" w:cs="Arial"/>
          <w:bCs/>
          <w:i/>
          <w:iCs/>
          <w:sz w:val="24"/>
          <w:szCs w:val="24"/>
        </w:rPr>
        <w:t xml:space="preserve"> VI,</w:t>
      </w:r>
      <w:r w:rsidR="00B65FA9">
        <w:rPr>
          <w:rFonts w:ascii="Arial" w:eastAsia="Calibri" w:hAnsi="Arial" w:cs="Arial"/>
          <w:bCs/>
          <w:i/>
          <w:iCs/>
          <w:sz w:val="24"/>
          <w:szCs w:val="24"/>
        </w:rPr>
        <w:t xml:space="preserve"> y 209 de la </w:t>
      </w:r>
      <w:r w:rsidR="00B235F3" w:rsidRPr="00B235F3">
        <w:rPr>
          <w:rFonts w:ascii="Arial" w:eastAsia="Calibri" w:hAnsi="Arial" w:cs="Arial"/>
          <w:bCs/>
          <w:i/>
          <w:iCs/>
          <w:sz w:val="24"/>
          <w:szCs w:val="24"/>
        </w:rPr>
        <w:t>Ley de Procedimiento y Justicia Administrativa para el Estado de Oaxaca</w:t>
      </w:r>
      <w:r w:rsidR="00B65FA9">
        <w:rPr>
          <w:rFonts w:ascii="Arial" w:eastAsia="Calibri" w:hAnsi="Arial" w:cs="Arial"/>
          <w:bCs/>
          <w:i/>
          <w:iCs/>
          <w:sz w:val="24"/>
          <w:szCs w:val="24"/>
        </w:rPr>
        <w:t>…</w:t>
      </w:r>
      <w:r w:rsidR="00B235F3">
        <w:rPr>
          <w:rFonts w:ascii="Arial" w:eastAsia="Calibri" w:hAnsi="Arial" w:cs="Arial"/>
          <w:bCs/>
          <w:sz w:val="26"/>
          <w:szCs w:val="26"/>
        </w:rPr>
        <w:t>”</w:t>
      </w:r>
      <w:r w:rsidR="00B65FA9">
        <w:rPr>
          <w:rFonts w:ascii="Arial" w:eastAsia="Calibri" w:hAnsi="Arial" w:cs="Arial"/>
          <w:bCs/>
          <w:sz w:val="26"/>
          <w:szCs w:val="26"/>
        </w:rPr>
        <w:t>.</w:t>
      </w:r>
    </w:p>
    <w:p w14:paraId="6D6B8EE9" w14:textId="1246F616" w:rsidR="00B525A6" w:rsidRDefault="000410EE" w:rsidP="002203C5">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r>
      <w:r w:rsidR="00B525A6">
        <w:rPr>
          <w:rFonts w:ascii="Arial" w:eastAsia="Calibri" w:hAnsi="Arial" w:cs="Arial"/>
          <w:bCs/>
          <w:sz w:val="26"/>
          <w:szCs w:val="26"/>
        </w:rPr>
        <w:t xml:space="preserve">En consecuencia, ante lo </w:t>
      </w:r>
      <w:r w:rsidR="00B525A6">
        <w:rPr>
          <w:rFonts w:ascii="Arial" w:eastAsia="Calibri" w:hAnsi="Arial" w:cs="Arial"/>
          <w:b/>
          <w:bCs/>
          <w:sz w:val="26"/>
          <w:szCs w:val="26"/>
        </w:rPr>
        <w:t>in</w:t>
      </w:r>
      <w:r w:rsidR="002C0BE0">
        <w:rPr>
          <w:rFonts w:ascii="Arial" w:eastAsia="Calibri" w:hAnsi="Arial" w:cs="Arial"/>
          <w:b/>
          <w:bCs/>
          <w:sz w:val="26"/>
          <w:szCs w:val="26"/>
        </w:rPr>
        <w:t xml:space="preserve">fundado e inoperante </w:t>
      </w:r>
      <w:r w:rsidR="00B525A6">
        <w:rPr>
          <w:rFonts w:ascii="Arial" w:eastAsia="Calibri" w:hAnsi="Arial" w:cs="Arial"/>
          <w:bCs/>
          <w:sz w:val="26"/>
          <w:szCs w:val="26"/>
        </w:rPr>
        <w:t xml:space="preserve">de los agravios planteados, lo procedente es </w:t>
      </w:r>
      <w:r w:rsidR="00B525A6">
        <w:rPr>
          <w:rFonts w:ascii="Arial" w:eastAsia="Calibri" w:hAnsi="Arial" w:cs="Arial"/>
          <w:b/>
          <w:bCs/>
          <w:sz w:val="26"/>
          <w:szCs w:val="26"/>
        </w:rPr>
        <w:t xml:space="preserve">CONFIRMAR </w:t>
      </w:r>
      <w:r w:rsidR="00B525A6">
        <w:rPr>
          <w:rFonts w:ascii="Arial" w:eastAsia="Calibri" w:hAnsi="Arial" w:cs="Arial"/>
          <w:bCs/>
          <w:sz w:val="26"/>
          <w:szCs w:val="26"/>
        </w:rPr>
        <w:t>la sentencia alzada</w:t>
      </w:r>
      <w:r w:rsidR="004325E2">
        <w:rPr>
          <w:rFonts w:ascii="Arial" w:eastAsia="Calibri" w:hAnsi="Arial" w:cs="Arial"/>
          <w:bCs/>
          <w:sz w:val="26"/>
          <w:szCs w:val="26"/>
        </w:rPr>
        <w:t xml:space="preserve">; y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2203C5">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14:paraId="5B1B5C45" w14:textId="39A444F1"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lastRenderedPageBreak/>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w:t>
      </w:r>
      <w:r w:rsidR="002203C5">
        <w:rPr>
          <w:rFonts w:ascii="Arial" w:hAnsi="Arial" w:cs="Arial"/>
          <w:color w:val="000000"/>
          <w:sz w:val="26"/>
          <w:szCs w:val="26"/>
          <w:lang w:val="es-MX"/>
        </w:rPr>
        <w:t xml:space="preserve">antecede. </w:t>
      </w:r>
    </w:p>
    <w:p w14:paraId="43AF98EF" w14:textId="05DC6012"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65FA9">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r w:rsidR="00B235F3">
        <w:rPr>
          <w:rFonts w:ascii="Arial" w:hAnsi="Arial" w:cs="Arial"/>
          <w:sz w:val="26"/>
          <w:szCs w:val="26"/>
        </w:rPr>
        <w:t xml:space="preserve"> </w:t>
      </w:r>
    </w:p>
    <w:p w14:paraId="200B3971" w14:textId="77777777" w:rsidR="00402CC5" w:rsidRDefault="00402CC5" w:rsidP="00402CC5">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69A76217" w14:textId="77777777" w:rsidR="00402CC5" w:rsidRDefault="00402CC5" w:rsidP="00402CC5">
      <w:pPr>
        <w:tabs>
          <w:tab w:val="left" w:pos="1680"/>
          <w:tab w:val="center" w:pos="4277"/>
        </w:tabs>
        <w:rPr>
          <w:rFonts w:ascii="Arial" w:hAnsi="Arial" w:cs="Arial"/>
          <w:sz w:val="26"/>
          <w:szCs w:val="26"/>
        </w:rPr>
      </w:pPr>
    </w:p>
    <w:p w14:paraId="556AF57B" w14:textId="77777777" w:rsidR="00402CC5" w:rsidRDefault="00402CC5" w:rsidP="00402CC5">
      <w:pPr>
        <w:tabs>
          <w:tab w:val="left" w:pos="1680"/>
          <w:tab w:val="center" w:pos="4277"/>
        </w:tabs>
        <w:spacing w:line="240" w:lineRule="auto"/>
        <w:rPr>
          <w:rFonts w:ascii="Arial" w:hAnsi="Arial" w:cs="Arial"/>
          <w:sz w:val="26"/>
          <w:szCs w:val="26"/>
        </w:rPr>
      </w:pPr>
    </w:p>
    <w:p w14:paraId="03584375" w14:textId="77777777" w:rsidR="00402CC5" w:rsidRDefault="00402CC5" w:rsidP="00402CC5">
      <w:pPr>
        <w:tabs>
          <w:tab w:val="left" w:pos="1680"/>
          <w:tab w:val="center" w:pos="4277"/>
        </w:tabs>
        <w:spacing w:line="240" w:lineRule="auto"/>
        <w:jc w:val="center"/>
        <w:rPr>
          <w:rFonts w:ascii="Arial" w:hAnsi="Arial" w:cs="Arial"/>
          <w:sz w:val="26"/>
          <w:szCs w:val="26"/>
        </w:rPr>
      </w:pPr>
    </w:p>
    <w:p w14:paraId="6C2095D3" w14:textId="77777777" w:rsidR="00402CC5" w:rsidRDefault="00402CC5" w:rsidP="00402CC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3920B3F1" w14:textId="77777777" w:rsidR="00402CC5" w:rsidRDefault="00402CC5" w:rsidP="00402CC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6A3FACB" w14:textId="77777777" w:rsidR="00402CC5" w:rsidRDefault="00402CC5" w:rsidP="00402CC5">
      <w:pPr>
        <w:spacing w:after="0" w:line="360" w:lineRule="auto"/>
        <w:jc w:val="center"/>
        <w:rPr>
          <w:rFonts w:ascii="Arial" w:hAnsi="Arial" w:cs="Arial"/>
          <w:sz w:val="26"/>
          <w:szCs w:val="26"/>
        </w:rPr>
      </w:pPr>
    </w:p>
    <w:p w14:paraId="4BD91A35" w14:textId="77777777" w:rsidR="00402CC5" w:rsidRDefault="00402CC5" w:rsidP="00402CC5">
      <w:pPr>
        <w:spacing w:after="0" w:line="360" w:lineRule="auto"/>
        <w:rPr>
          <w:rFonts w:ascii="Arial" w:hAnsi="Arial" w:cs="Arial"/>
          <w:sz w:val="26"/>
          <w:szCs w:val="26"/>
        </w:rPr>
      </w:pPr>
    </w:p>
    <w:p w14:paraId="62CF42A3" w14:textId="77777777" w:rsidR="00402CC5" w:rsidRDefault="00402CC5" w:rsidP="00402CC5">
      <w:pPr>
        <w:spacing w:after="0" w:line="360" w:lineRule="auto"/>
        <w:jc w:val="center"/>
        <w:rPr>
          <w:rFonts w:ascii="Arial" w:hAnsi="Arial" w:cs="Arial"/>
          <w:sz w:val="26"/>
          <w:szCs w:val="26"/>
        </w:rPr>
      </w:pPr>
    </w:p>
    <w:p w14:paraId="443C49D2" w14:textId="77777777" w:rsidR="00402CC5" w:rsidRDefault="00402CC5" w:rsidP="00402CC5">
      <w:pPr>
        <w:spacing w:after="0" w:line="360" w:lineRule="auto"/>
        <w:rPr>
          <w:rFonts w:ascii="Arial" w:hAnsi="Arial" w:cs="Arial"/>
          <w:sz w:val="26"/>
          <w:szCs w:val="26"/>
        </w:rPr>
      </w:pPr>
    </w:p>
    <w:p w14:paraId="57E8D8A0" w14:textId="77777777" w:rsidR="00402CC5" w:rsidRDefault="00402CC5" w:rsidP="00402CC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1ACB5C14" w14:textId="77777777" w:rsidR="00402CC5" w:rsidRDefault="00402CC5" w:rsidP="00402CC5">
      <w:pPr>
        <w:tabs>
          <w:tab w:val="center" w:pos="4135"/>
          <w:tab w:val="left" w:pos="7515"/>
        </w:tabs>
        <w:spacing w:after="0" w:line="360" w:lineRule="auto"/>
        <w:rPr>
          <w:rFonts w:ascii="Arial" w:hAnsi="Arial" w:cs="Arial"/>
          <w:sz w:val="26"/>
          <w:szCs w:val="26"/>
        </w:rPr>
      </w:pPr>
    </w:p>
    <w:p w14:paraId="0698189A" w14:textId="77777777" w:rsidR="00402CC5" w:rsidRDefault="00402CC5" w:rsidP="00402CC5">
      <w:pPr>
        <w:tabs>
          <w:tab w:val="center" w:pos="4135"/>
          <w:tab w:val="left" w:pos="7515"/>
        </w:tabs>
        <w:spacing w:after="0" w:line="360" w:lineRule="auto"/>
        <w:jc w:val="center"/>
        <w:rPr>
          <w:rFonts w:ascii="Arial" w:hAnsi="Arial" w:cs="Arial"/>
          <w:sz w:val="26"/>
          <w:szCs w:val="26"/>
        </w:rPr>
      </w:pPr>
    </w:p>
    <w:p w14:paraId="13F47B4E" w14:textId="77777777" w:rsidR="00402CC5" w:rsidRDefault="00402CC5" w:rsidP="00402CC5">
      <w:pPr>
        <w:tabs>
          <w:tab w:val="center" w:pos="4135"/>
          <w:tab w:val="left" w:pos="7515"/>
        </w:tabs>
        <w:spacing w:after="0" w:line="360" w:lineRule="auto"/>
        <w:jc w:val="center"/>
        <w:rPr>
          <w:rFonts w:ascii="Arial" w:hAnsi="Arial" w:cs="Arial"/>
          <w:sz w:val="26"/>
          <w:szCs w:val="26"/>
        </w:rPr>
      </w:pPr>
    </w:p>
    <w:p w14:paraId="252B0B05" w14:textId="77777777" w:rsidR="00402CC5" w:rsidRDefault="00402CC5" w:rsidP="00402CC5">
      <w:pPr>
        <w:tabs>
          <w:tab w:val="center" w:pos="4135"/>
          <w:tab w:val="left" w:pos="7515"/>
        </w:tabs>
        <w:spacing w:after="0" w:line="360" w:lineRule="auto"/>
        <w:jc w:val="center"/>
        <w:rPr>
          <w:rFonts w:ascii="Arial" w:hAnsi="Arial" w:cs="Arial"/>
          <w:sz w:val="26"/>
          <w:szCs w:val="26"/>
        </w:rPr>
      </w:pPr>
    </w:p>
    <w:p w14:paraId="7F5294AE" w14:textId="77777777" w:rsidR="00402CC5" w:rsidRDefault="00402CC5" w:rsidP="00402CC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E1EDD8F" w14:textId="77777777" w:rsidR="00402CC5" w:rsidRDefault="00402CC5" w:rsidP="00402CC5">
      <w:pPr>
        <w:tabs>
          <w:tab w:val="center" w:pos="4135"/>
          <w:tab w:val="left" w:pos="7515"/>
        </w:tabs>
        <w:spacing w:after="0" w:line="360" w:lineRule="auto"/>
        <w:rPr>
          <w:rFonts w:ascii="Arial" w:hAnsi="Arial" w:cs="Arial"/>
          <w:sz w:val="26"/>
          <w:szCs w:val="26"/>
        </w:rPr>
      </w:pPr>
    </w:p>
    <w:p w14:paraId="212684A7" w14:textId="725E4F9A" w:rsidR="00402CC5" w:rsidRDefault="00402CC5" w:rsidP="00402CC5">
      <w:pPr>
        <w:tabs>
          <w:tab w:val="center" w:pos="4135"/>
          <w:tab w:val="left" w:pos="7515"/>
        </w:tabs>
        <w:spacing w:line="360" w:lineRule="auto"/>
        <w:jc w:val="center"/>
        <w:rPr>
          <w:rFonts w:ascii="Arial" w:hAnsi="Arial" w:cs="Arial"/>
          <w:sz w:val="26"/>
          <w:szCs w:val="26"/>
        </w:rPr>
      </w:pPr>
    </w:p>
    <w:p w14:paraId="2720C893" w14:textId="77777777" w:rsidR="002203C5" w:rsidRDefault="002203C5" w:rsidP="00402CC5">
      <w:pPr>
        <w:tabs>
          <w:tab w:val="center" w:pos="4135"/>
          <w:tab w:val="left" w:pos="7515"/>
        </w:tabs>
        <w:spacing w:line="360" w:lineRule="auto"/>
        <w:jc w:val="center"/>
        <w:rPr>
          <w:rFonts w:ascii="Arial" w:hAnsi="Arial" w:cs="Arial"/>
          <w:sz w:val="26"/>
          <w:szCs w:val="26"/>
        </w:rPr>
      </w:pPr>
    </w:p>
    <w:p w14:paraId="5DBBBC01" w14:textId="77777777" w:rsidR="00402CC5" w:rsidRDefault="00402CC5" w:rsidP="00402CC5">
      <w:pPr>
        <w:tabs>
          <w:tab w:val="center" w:pos="4135"/>
          <w:tab w:val="left" w:pos="7515"/>
        </w:tabs>
        <w:spacing w:after="0" w:line="360" w:lineRule="auto"/>
        <w:rPr>
          <w:rFonts w:ascii="Arial" w:hAnsi="Arial" w:cs="Arial"/>
          <w:sz w:val="26"/>
          <w:szCs w:val="26"/>
        </w:rPr>
      </w:pPr>
    </w:p>
    <w:p w14:paraId="06285B31" w14:textId="77777777" w:rsidR="00402CC5" w:rsidRDefault="00402CC5" w:rsidP="00402CC5">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53F1EB2" w14:textId="77777777" w:rsidR="00402CC5" w:rsidRPr="003B7173" w:rsidRDefault="00402CC5" w:rsidP="00402CC5">
      <w:pPr>
        <w:jc w:val="center"/>
        <w:rPr>
          <w:rFonts w:eastAsiaTheme="minorEastAsia"/>
          <w:sz w:val="26"/>
          <w:szCs w:val="26"/>
        </w:rPr>
      </w:pPr>
      <w:r>
        <w:rPr>
          <w:rFonts w:ascii="Arial" w:hAnsi="Arial" w:cs="Arial"/>
          <w:sz w:val="26"/>
          <w:szCs w:val="26"/>
        </w:rPr>
        <w:t>SECRETARIO GENERAL DE ACUERDOS</w:t>
      </w:r>
    </w:p>
    <w:p w14:paraId="5C9B1390" w14:textId="5766DBCD" w:rsidR="002E1762" w:rsidRDefault="002E1762" w:rsidP="00402CC5">
      <w:pPr>
        <w:spacing w:before="240" w:line="360" w:lineRule="auto"/>
        <w:ind w:firstLine="708"/>
        <w:jc w:val="both"/>
        <w:rPr>
          <w:sz w:val="26"/>
          <w:szCs w:val="26"/>
        </w:rPr>
      </w:pPr>
    </w:p>
    <w:sectPr w:rsidR="002E1762" w:rsidSect="00402CC5">
      <w:headerReference w:type="even" r:id="rId8"/>
      <w:headerReference w:type="default" r:id="rId9"/>
      <w:headerReference w:type="firs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84F42" w14:textId="77777777" w:rsidR="00A819C6" w:rsidRDefault="00A819C6">
      <w:pPr>
        <w:spacing w:after="0" w:line="240" w:lineRule="auto"/>
      </w:pPr>
      <w:r>
        <w:separator/>
      </w:r>
    </w:p>
  </w:endnote>
  <w:endnote w:type="continuationSeparator" w:id="0">
    <w:p w14:paraId="13FB7CA3" w14:textId="77777777" w:rsidR="00A819C6" w:rsidRDefault="00A81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34E19" w14:textId="77777777" w:rsidR="00A819C6" w:rsidRDefault="00A819C6">
      <w:pPr>
        <w:spacing w:after="0" w:line="240" w:lineRule="auto"/>
      </w:pPr>
      <w:r>
        <w:separator/>
      </w:r>
    </w:p>
  </w:footnote>
  <w:footnote w:type="continuationSeparator" w:id="0">
    <w:p w14:paraId="6409B832" w14:textId="77777777" w:rsidR="00A819C6" w:rsidRDefault="00A819C6">
      <w:pPr>
        <w:spacing w:after="0" w:line="240" w:lineRule="auto"/>
      </w:pPr>
      <w:r>
        <w:continuationSeparator/>
      </w:r>
    </w:p>
  </w:footnote>
  <w:footnote w:id="1">
    <w:p w14:paraId="2DFD4307" w14:textId="77777777" w:rsidR="005274F2" w:rsidRDefault="005274F2" w:rsidP="005274F2">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680134FD" w14:textId="62BB4B48" w:rsidR="005274F2" w:rsidRDefault="005274F2" w:rsidP="005274F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14:paraId="115AB8C3" w14:textId="77777777" w:rsidR="005274F2" w:rsidRPr="002E365A" w:rsidRDefault="005274F2" w:rsidP="005274F2">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4B51D0CB" w:rsidR="00534AC4" w:rsidRDefault="00A819C6" w:rsidP="00D25099">
        <w:pPr>
          <w:pStyle w:val="Encabezado"/>
          <w:jc w:val="center"/>
        </w:pPr>
        <w:r>
          <w:rPr>
            <w:noProof/>
          </w:rPr>
          <w:pict w14:anchorId="1CC3C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76188" o:spid="_x0000_s206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PAGE   \* MERGEFORMAT</w:instrText>
        </w:r>
        <w:r w:rsidR="00C158D5">
          <w:fldChar w:fldCharType="separate"/>
        </w:r>
        <w:r w:rsidR="008E076A">
          <w:rPr>
            <w:noProof/>
          </w:rPr>
          <w:t>6</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8B85B" w14:textId="2D58C23E" w:rsidR="008E076A" w:rsidRDefault="008E076A" w:rsidP="00206B99">
    <w:pPr>
      <w:pStyle w:val="Encabezado"/>
      <w:jc w:val="center"/>
    </w:pPr>
  </w:p>
  <w:sdt>
    <w:sdtPr>
      <w:id w:val="-1748483066"/>
      <w:docPartObj>
        <w:docPartGallery w:val="Page Numbers (Top of Page)"/>
        <w:docPartUnique/>
      </w:docPartObj>
    </w:sdtPr>
    <w:sdtEndPr/>
    <w:sdtContent>
      <w:p w14:paraId="297359AB" w14:textId="43A59398" w:rsidR="00534AC4" w:rsidRDefault="00C158D5" w:rsidP="00206B99">
        <w:pPr>
          <w:pStyle w:val="Encabezado"/>
          <w:jc w:val="center"/>
          <w:rPr>
            <w:noProof/>
          </w:rPr>
        </w:pPr>
        <w:r>
          <w:fldChar w:fldCharType="begin"/>
        </w:r>
        <w:r>
          <w:instrText xml:space="preserve"> PAGE   \* MERGEFORMAT </w:instrText>
        </w:r>
        <w:r>
          <w:fldChar w:fldCharType="separate"/>
        </w:r>
        <w:r w:rsidR="008E076A">
          <w:rPr>
            <w:noProof/>
          </w:rPr>
          <w:t>1</w:t>
        </w:r>
        <w:r>
          <w:rPr>
            <w:noProof/>
          </w:rPr>
          <w:fldChar w:fldCharType="end"/>
        </w:r>
      </w:p>
      <w:p w14:paraId="4943CA9D" w14:textId="1B788454" w:rsidR="00534AC4" w:rsidRDefault="00A819C6" w:rsidP="008C74CA">
        <w:pPr>
          <w:pStyle w:val="Encabezado"/>
          <w:jc w:val="center"/>
        </w:pPr>
      </w:p>
    </w:sdtContent>
  </w:sdt>
  <w:p w14:paraId="48C0CC8A" w14:textId="18766EFF" w:rsidR="00534AC4" w:rsidRDefault="008E076A" w:rsidP="008E076A">
    <w:pPr>
      <w:pStyle w:val="Encabezado"/>
      <w:tabs>
        <w:tab w:val="clear" w:pos="8504"/>
        <w:tab w:val="left" w:pos="4956"/>
      </w:tabs>
    </w:pPr>
    <w:r>
      <w:tab/>
    </w:r>
    <w:r>
      <w:tab/>
    </w:r>
    <w:r>
      <w:tab/>
    </w:r>
  </w:p>
  <w:p w14:paraId="2773AC5E" w14:textId="421BFA7F" w:rsidR="00534AC4" w:rsidRDefault="008E076A" w:rsidP="00256B01">
    <w:pPr>
      <w:pStyle w:val="Encabezado"/>
      <w:jc w:val="center"/>
    </w:pPr>
    <w:r>
      <w:rPr>
        <w:noProof/>
      </w:rPr>
      <w:pict w14:anchorId="61C02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76189" o:spid="_x0000_s2067" type="#_x0000_t75" style="position:absolute;left:0;text-align:left;margin-left:-18.2pt;margin-top:276.1pt;width:413.5pt;height:349.8pt;z-index:-251654144;mso-position-horizontal-relative:margin;mso-position-vertical-relative:margin" o:allowincell="f">
          <v:imagedata r:id="rId1" o:title="imagen" gain="19661f" blacklevel="22938f"/>
          <w10:wrap anchorx="margin" anchory="margin"/>
        </v:shape>
      </w:pict>
    </w:r>
    <w:r>
      <w:rPr>
        <w:noProof/>
      </w:rPr>
      <w:pict w14:anchorId="01542364">
        <v:shapetype id="_x0000_t202" coordsize="21600,21600" o:spt="202" path="m,l,21600r21600,l21600,xe">
          <v:stroke joinstyle="miter"/>
          <v:path gradientshapeok="t" o:connecttype="rect"/>
        </v:shapetype>
        <v:shape id="Cuadro de texto 2" o:spid="_x0000_s2068" type="#_x0000_t202" style="position:absolute;left:0;text-align:left;margin-left:-116.3pt;margin-top:407.45pt;width:92.15pt;height:52.65pt;z-index:25166438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9hKwIAAE4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">
          <v:textbox style="mso-next-textbox:#Cuadro de texto 2">
            <w:txbxContent>
              <w:p w14:paraId="63D9AB26" w14:textId="6D847700" w:rsidR="008E076A" w:rsidRPr="008E076A" w:rsidRDefault="008E076A">
                <w:pPr>
                  <w:rPr>
                    <w:sz w:val="16"/>
                  </w:rPr>
                </w:pPr>
                <w:r w:rsidRPr="008E076A">
                  <w:rPr>
                    <w:sz w:val="16"/>
                  </w:rPr>
                  <w:t xml:space="preserve">Los datos personales están protegidos por el art.116 de la LGTAIP y el art.56 de la LTAIPEO. </w:t>
                </w:r>
              </w:p>
            </w:txbxContent>
          </v:textbox>
          <w10:wrap type="square"/>
        </v:shape>
      </w:pict>
    </w:r>
    <w:r w:rsidR="00A819C6">
      <w:rPr>
        <w:noProof/>
      </w:rPr>
      <w:pict w14:anchorId="29044E89">
        <v:group id="Grupo 3" o:spid="_x0000_s2049" style="position:absolute;left:0;text-align:left;margin-left:-114.15pt;margin-top:407.7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">
          <v:group id="Group 4" o:spid="_x0000_s2050"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2051"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2052"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2053"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2055"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56"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7"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205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5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2061"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2062"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63"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2064"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B7630" w14:textId="2DBE1623" w:rsidR="00402CC5" w:rsidRDefault="00A819C6">
    <w:pPr>
      <w:pStyle w:val="Encabezado"/>
    </w:pPr>
    <w:r>
      <w:rPr>
        <w:noProof/>
      </w:rPr>
      <w:pict w14:anchorId="70641A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76187" o:spid="_x0000_s2065"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329B"/>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3C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2CC5"/>
    <w:rsid w:val="00403C9F"/>
    <w:rsid w:val="0040457E"/>
    <w:rsid w:val="00404D0E"/>
    <w:rsid w:val="00407B2F"/>
    <w:rsid w:val="00411707"/>
    <w:rsid w:val="00412972"/>
    <w:rsid w:val="0041349D"/>
    <w:rsid w:val="004138D3"/>
    <w:rsid w:val="0041760B"/>
    <w:rsid w:val="00423A9D"/>
    <w:rsid w:val="00424229"/>
    <w:rsid w:val="00427081"/>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02D5"/>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697F"/>
    <w:rsid w:val="00716A80"/>
    <w:rsid w:val="0071716F"/>
    <w:rsid w:val="0072215B"/>
    <w:rsid w:val="0072271C"/>
    <w:rsid w:val="00723286"/>
    <w:rsid w:val="00724F1A"/>
    <w:rsid w:val="00727C09"/>
    <w:rsid w:val="0073386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22141"/>
    <w:rsid w:val="0083002A"/>
    <w:rsid w:val="00830884"/>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076A"/>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19C6"/>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73E2"/>
    <w:rsid w:val="00B177F2"/>
    <w:rsid w:val="00B216FE"/>
    <w:rsid w:val="00B2186A"/>
    <w:rsid w:val="00B235F3"/>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6B8B"/>
    <w:rsid w:val="00EA0F7F"/>
    <w:rsid w:val="00EA2590"/>
    <w:rsid w:val="00EA2C19"/>
    <w:rsid w:val="00EA2D35"/>
    <w:rsid w:val="00EA379C"/>
    <w:rsid w:val="00EA37E1"/>
    <w:rsid w:val="00EA4780"/>
    <w:rsid w:val="00EA4997"/>
    <w:rsid w:val="00EA4DC3"/>
    <w:rsid w:val="00EA4F63"/>
    <w:rsid w:val="00EA5167"/>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21E1"/>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E7A9A"/>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BF6A8-A107-4B6D-8902-55CE6E285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3641</TotalTime>
  <Pages>1</Pages>
  <Words>2924</Words>
  <Characters>16088</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270</cp:revision>
  <cp:lastPrinted>2018-11-28T17:50:00Z</cp:lastPrinted>
  <dcterms:created xsi:type="dcterms:W3CDTF">2017-09-05T18:57:00Z</dcterms:created>
  <dcterms:modified xsi:type="dcterms:W3CDTF">2021-01-21T18:06:00Z</dcterms:modified>
</cp:coreProperties>
</file>