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614A0FFC"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4259B2" w:rsidRPr="007B0581">
        <w:rPr>
          <w:rFonts w:cs="Arial"/>
          <w:b/>
          <w:bCs/>
          <w:sz w:val="24"/>
          <w:szCs w:val="24"/>
        </w:rPr>
        <w:t>0</w:t>
      </w:r>
      <w:r w:rsidR="00EF7054">
        <w:rPr>
          <w:rFonts w:cs="Arial"/>
          <w:b/>
          <w:bCs/>
          <w:sz w:val="24"/>
          <w:szCs w:val="24"/>
        </w:rPr>
        <w:t>9</w:t>
      </w:r>
      <w:r w:rsidRPr="007B0581">
        <w:rPr>
          <w:rFonts w:cs="Arial"/>
          <w:b/>
          <w:bCs/>
          <w:sz w:val="24"/>
          <w:szCs w:val="24"/>
        </w:rPr>
        <w:t>/20</w:t>
      </w:r>
      <w:r w:rsidR="00165D83" w:rsidRPr="007B0581">
        <w:rPr>
          <w:rFonts w:cs="Arial"/>
          <w:b/>
          <w:bCs/>
          <w:sz w:val="24"/>
          <w:szCs w:val="24"/>
        </w:rPr>
        <w:t>2</w:t>
      </w:r>
      <w:r w:rsidR="00EF7054">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60F76877"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E90FB2">
        <w:rPr>
          <w:rFonts w:cs="Arial"/>
          <w:b/>
          <w:sz w:val="22"/>
          <w:szCs w:val="22"/>
        </w:rPr>
        <w:t>**********</w:t>
      </w:r>
      <w:r w:rsidR="00E90FB2">
        <w:rPr>
          <w:rFonts w:cs="Arial"/>
          <w:b/>
          <w:sz w:val="22"/>
          <w:szCs w:val="22"/>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770F5297"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3F17A8BB" w14:textId="5EC25855" w:rsidR="006E2C00" w:rsidRPr="007B0581" w:rsidRDefault="72562377" w:rsidP="72562377">
      <w:pPr>
        <w:spacing w:line="360" w:lineRule="auto"/>
        <w:jc w:val="both"/>
        <w:rPr>
          <w:rFonts w:ascii="Arial" w:hAnsi="Arial" w:cs="Arial"/>
          <w:b/>
          <w:bCs/>
          <w:sz w:val="24"/>
          <w:szCs w:val="24"/>
        </w:rPr>
      </w:pPr>
      <w:r w:rsidRPr="72562377">
        <w:rPr>
          <w:rFonts w:ascii="Arial" w:hAnsi="Arial" w:cs="Arial"/>
          <w:b/>
          <w:bCs/>
          <w:sz w:val="24"/>
          <w:szCs w:val="24"/>
        </w:rPr>
        <w:t>OAXACA DE JUAREZ, OAXACA A VEINTISIETE DE OCTUBRE DE</w:t>
      </w:r>
      <w:r w:rsidR="00E90FB2">
        <w:rPr>
          <w:rFonts w:ascii="Arial" w:hAnsi="Arial" w:cs="Arial"/>
          <w:b/>
          <w:bCs/>
          <w:sz w:val="24"/>
          <w:szCs w:val="24"/>
        </w:rPr>
        <w:t xml:space="preserve"> DOS MIL VEINTIUNO (27/10/2021)</w:t>
      </w:r>
      <w:r w:rsidRPr="72562377">
        <w:rPr>
          <w:rFonts w:ascii="Arial" w:hAnsi="Arial" w:cs="Arial"/>
          <w:b/>
          <w:bCs/>
          <w:sz w:val="24"/>
          <w:szCs w:val="24"/>
        </w:rPr>
        <w:t xml:space="preserve">.- - - - - - - - - - - - - - - - - - - - - - - - - - - - - - - - - - - - - - - - - </w:t>
      </w:r>
    </w:p>
    <w:p w14:paraId="09B0ED05" w14:textId="77777777" w:rsidR="006E2C00" w:rsidRPr="007B0581" w:rsidRDefault="006E2C00" w:rsidP="00AB36AE">
      <w:pPr>
        <w:contextualSpacing/>
        <w:jc w:val="both"/>
        <w:rPr>
          <w:rFonts w:ascii="Arial" w:hAnsi="Arial" w:cs="Arial"/>
          <w:b/>
          <w:sz w:val="24"/>
          <w:szCs w:val="24"/>
        </w:rPr>
      </w:pPr>
    </w:p>
    <w:p w14:paraId="37DCC537" w14:textId="60C3A040"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de número </w:t>
      </w:r>
      <w:r w:rsidR="00802DB3" w:rsidRPr="007B0581">
        <w:rPr>
          <w:rFonts w:ascii="Arial" w:hAnsi="Arial" w:cs="Arial"/>
          <w:sz w:val="24"/>
          <w:szCs w:val="24"/>
        </w:rPr>
        <w:t>0</w:t>
      </w:r>
      <w:r w:rsidR="0083112B" w:rsidRPr="007B0581">
        <w:rPr>
          <w:rFonts w:ascii="Arial" w:hAnsi="Arial" w:cs="Arial"/>
          <w:sz w:val="24"/>
          <w:szCs w:val="24"/>
        </w:rPr>
        <w:t>0</w:t>
      </w:r>
      <w:r w:rsidR="00EF7054">
        <w:rPr>
          <w:rFonts w:ascii="Arial" w:hAnsi="Arial" w:cs="Arial"/>
          <w:sz w:val="24"/>
          <w:szCs w:val="24"/>
        </w:rPr>
        <w:t>9</w:t>
      </w:r>
      <w:r w:rsidR="006E2C00" w:rsidRPr="007B0581">
        <w:rPr>
          <w:rFonts w:ascii="Arial" w:hAnsi="Arial" w:cs="Arial"/>
          <w:sz w:val="24"/>
          <w:szCs w:val="24"/>
        </w:rPr>
        <w:t>/20</w:t>
      </w:r>
      <w:r w:rsidR="00802DB3" w:rsidRPr="007B0581">
        <w:rPr>
          <w:rFonts w:ascii="Arial" w:hAnsi="Arial" w:cs="Arial"/>
          <w:sz w:val="24"/>
          <w:szCs w:val="24"/>
        </w:rPr>
        <w:t>2</w:t>
      </w:r>
      <w:r w:rsidR="00EF7054">
        <w:rPr>
          <w:rFonts w:ascii="Arial" w:hAnsi="Arial" w:cs="Arial"/>
          <w:sz w:val="24"/>
          <w:szCs w:val="24"/>
        </w:rPr>
        <w:t>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E90FB2">
        <w:rPr>
          <w:rFonts w:ascii="Arial" w:hAnsi="Arial" w:cs="Arial"/>
          <w:b/>
          <w:sz w:val="22"/>
          <w:szCs w:val="22"/>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número </w:t>
      </w:r>
      <w:bookmarkStart w:id="0" w:name="_Hlk83640314"/>
      <w:r w:rsidR="00E90FB2">
        <w:rPr>
          <w:rFonts w:ascii="Arial" w:hAnsi="Arial" w:cs="Arial"/>
          <w:b/>
          <w:sz w:val="22"/>
          <w:szCs w:val="22"/>
        </w:rPr>
        <w:t>**********</w:t>
      </w:r>
      <w:r w:rsidR="00E90FB2">
        <w:rPr>
          <w:rFonts w:ascii="Arial" w:hAnsi="Arial" w:cs="Arial"/>
          <w:b/>
          <w:sz w:val="22"/>
          <w:szCs w:val="22"/>
        </w:rPr>
        <w:t xml:space="preserve"> </w:t>
      </w:r>
      <w:r w:rsidR="00AF2E69" w:rsidRPr="007B0581">
        <w:rPr>
          <w:rFonts w:ascii="Arial" w:hAnsi="Arial" w:cs="Arial"/>
          <w:sz w:val="24"/>
          <w:szCs w:val="24"/>
        </w:rPr>
        <w:t xml:space="preserve">de </w:t>
      </w:r>
      <w:r w:rsidR="0083112B" w:rsidRPr="007B0581">
        <w:rPr>
          <w:rFonts w:ascii="Arial" w:hAnsi="Arial" w:cs="Arial"/>
          <w:sz w:val="24"/>
          <w:szCs w:val="24"/>
        </w:rPr>
        <w:t>diez</w:t>
      </w:r>
      <w:r w:rsidR="00163861" w:rsidRPr="007B0581">
        <w:rPr>
          <w:rFonts w:ascii="Arial" w:hAnsi="Arial" w:cs="Arial"/>
          <w:sz w:val="24"/>
          <w:szCs w:val="24"/>
        </w:rPr>
        <w:t xml:space="preserve"> </w:t>
      </w:r>
      <w:r w:rsidR="000C6227" w:rsidRPr="007B0581">
        <w:rPr>
          <w:rFonts w:ascii="Arial" w:hAnsi="Arial" w:cs="Arial"/>
          <w:sz w:val="24"/>
          <w:szCs w:val="24"/>
        </w:rPr>
        <w:t xml:space="preserve">de </w:t>
      </w:r>
      <w:r w:rsidR="0083112B" w:rsidRPr="007B0581">
        <w:rPr>
          <w:rFonts w:ascii="Arial" w:hAnsi="Arial" w:cs="Arial"/>
          <w:sz w:val="24"/>
          <w:szCs w:val="24"/>
        </w:rPr>
        <w:t>julio</w:t>
      </w:r>
      <w:r w:rsidR="000C6227" w:rsidRPr="007B0581">
        <w:rPr>
          <w:rFonts w:ascii="Arial" w:hAnsi="Arial" w:cs="Arial"/>
          <w:sz w:val="24"/>
          <w:szCs w:val="24"/>
        </w:rPr>
        <w:t xml:space="preserve"> </w:t>
      </w:r>
      <w:r w:rsidR="00AF2E69" w:rsidRPr="007B0581">
        <w:rPr>
          <w:rFonts w:ascii="Arial" w:hAnsi="Arial" w:cs="Arial"/>
          <w:sz w:val="24"/>
          <w:szCs w:val="24"/>
        </w:rPr>
        <w:t xml:space="preserve">de dos mil </w:t>
      </w:r>
      <w:r w:rsidR="0083112B" w:rsidRPr="007B0581">
        <w:rPr>
          <w:rFonts w:ascii="Arial" w:hAnsi="Arial" w:cs="Arial"/>
          <w:sz w:val="24"/>
          <w:szCs w:val="24"/>
        </w:rPr>
        <w:t>diecinueve</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signado por el Director</w:t>
      </w:r>
      <w:r w:rsidR="005534A7">
        <w:rPr>
          <w:rFonts w:ascii="Arial" w:hAnsi="Arial" w:cs="Arial"/>
          <w:sz w:val="24"/>
          <w:szCs w:val="24"/>
        </w:rPr>
        <w:t xml:space="preserve"> </w:t>
      </w:r>
      <w:r w:rsidR="00150F4B" w:rsidRPr="007B0581">
        <w:rPr>
          <w:rFonts w:ascii="Arial" w:hAnsi="Arial" w:cs="Arial"/>
          <w:sz w:val="24"/>
          <w:szCs w:val="24"/>
        </w:rPr>
        <w:t>General de la Oficina de Pensiones,</w:t>
      </w:r>
      <w:r w:rsidR="000C6227" w:rsidRPr="007B0581">
        <w:rPr>
          <w:rFonts w:ascii="Arial" w:hAnsi="Arial" w:cs="Arial"/>
          <w:sz w:val="24"/>
          <w:szCs w:val="24"/>
        </w:rPr>
        <w:t xml:space="preserve"> </w:t>
      </w:r>
      <w:r w:rsidR="00150F4B" w:rsidRPr="007B0581">
        <w:rPr>
          <w:rFonts w:ascii="Arial" w:hAnsi="Arial" w:cs="Arial"/>
          <w:sz w:val="24"/>
          <w:szCs w:val="24"/>
        </w:rPr>
        <w:t>que contiene el Dictamen de pensión por jubilación aprobado por el</w:t>
      </w:r>
      <w:r w:rsidR="00150F4B" w:rsidRPr="007B0581">
        <w:rPr>
          <w:rFonts w:ascii="Arial" w:hAnsi="Arial" w:cs="Arial"/>
          <w:b/>
          <w:bCs/>
          <w:sz w:val="24"/>
          <w:szCs w:val="24"/>
        </w:rPr>
        <w:t xml:space="preserve"> CONSEJO DIRECTIVO DE PENSIONES DEL ESTADO DE OAXACA</w:t>
      </w:r>
      <w:bookmarkEnd w:id="0"/>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1359BA95"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D92CD7">
        <w:rPr>
          <w:rFonts w:ascii="Arial" w:hAnsi="Arial" w:cs="Arial"/>
          <w:sz w:val="24"/>
          <w:szCs w:val="24"/>
        </w:rPr>
        <w:t>quince de enero</w:t>
      </w:r>
      <w:r w:rsidR="00C254ED" w:rsidRPr="007B0581">
        <w:rPr>
          <w:rFonts w:ascii="Arial" w:hAnsi="Arial" w:cs="Arial"/>
          <w:sz w:val="24"/>
          <w:szCs w:val="24"/>
        </w:rPr>
        <w:t xml:space="preserve"> de </w:t>
      </w:r>
      <w:r w:rsidR="00CA5BAC" w:rsidRPr="007B0581">
        <w:rPr>
          <w:rFonts w:ascii="Arial" w:hAnsi="Arial" w:cs="Arial"/>
          <w:sz w:val="24"/>
          <w:szCs w:val="24"/>
        </w:rPr>
        <w:t xml:space="preserve">dos mil </w:t>
      </w:r>
      <w:r w:rsidR="00D92CD7">
        <w:rPr>
          <w:rFonts w:ascii="Arial" w:hAnsi="Arial" w:cs="Arial"/>
          <w:sz w:val="24"/>
          <w:szCs w:val="24"/>
        </w:rPr>
        <w:t>veinte</w:t>
      </w:r>
      <w:r w:rsidR="00473175" w:rsidRPr="007B0581">
        <w:rPr>
          <w:rFonts w:ascii="Arial" w:hAnsi="Arial" w:cs="Arial"/>
          <w:sz w:val="24"/>
          <w:szCs w:val="24"/>
        </w:rPr>
        <w:t xml:space="preserve">, </w:t>
      </w:r>
      <w:r w:rsidR="00E90FB2">
        <w:rPr>
          <w:rFonts w:ascii="Arial" w:hAnsi="Arial" w:cs="Arial"/>
          <w:b/>
          <w:sz w:val="22"/>
          <w:szCs w:val="22"/>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contenida en </w:t>
      </w:r>
      <w:r w:rsidR="00163861" w:rsidRPr="007B0581">
        <w:rPr>
          <w:rFonts w:ascii="Arial" w:hAnsi="Arial" w:cs="Arial"/>
          <w:sz w:val="24"/>
          <w:szCs w:val="24"/>
        </w:rPr>
        <w:t xml:space="preserve">el </w:t>
      </w:r>
      <w:bookmarkStart w:id="2" w:name="_Hlk83725409"/>
      <w:r w:rsidR="00163861" w:rsidRPr="007B0581">
        <w:rPr>
          <w:rFonts w:ascii="Arial" w:hAnsi="Arial" w:cs="Arial"/>
          <w:sz w:val="24"/>
          <w:szCs w:val="24"/>
        </w:rPr>
        <w:t xml:space="preserve">oficio número </w:t>
      </w:r>
      <w:r w:rsidR="00E90FB2">
        <w:rPr>
          <w:rFonts w:ascii="Arial" w:hAnsi="Arial" w:cs="Arial"/>
          <w:b/>
          <w:sz w:val="22"/>
          <w:szCs w:val="22"/>
        </w:rPr>
        <w:t>**********</w:t>
      </w:r>
      <w:r w:rsidR="00E90FB2">
        <w:rPr>
          <w:rFonts w:ascii="Arial" w:hAnsi="Arial" w:cs="Arial"/>
          <w:b/>
          <w:sz w:val="22"/>
          <w:szCs w:val="22"/>
        </w:rPr>
        <w:t xml:space="preserve"> </w:t>
      </w:r>
      <w:r w:rsidR="00A15B34" w:rsidRPr="007B0581">
        <w:rPr>
          <w:rFonts w:ascii="Arial" w:hAnsi="Arial" w:cs="Arial"/>
          <w:sz w:val="24"/>
          <w:szCs w:val="24"/>
        </w:rPr>
        <w:t xml:space="preserve">de diez de julio de dos mil diecinueve, signado por </w:t>
      </w:r>
      <w:r w:rsidR="00917EDB" w:rsidRPr="007B0581">
        <w:rPr>
          <w:rFonts w:ascii="Arial" w:hAnsi="Arial" w:cs="Arial"/>
          <w:sz w:val="24"/>
          <w:szCs w:val="24"/>
        </w:rPr>
        <w:t>el</w:t>
      </w:r>
      <w:r w:rsidR="009D19E2" w:rsidRPr="007B0581">
        <w:rPr>
          <w:rFonts w:ascii="Arial" w:hAnsi="Arial" w:cs="Arial"/>
          <w:sz w:val="24"/>
          <w:szCs w:val="24"/>
        </w:rPr>
        <w:t xml:space="preserve"> </w:t>
      </w:r>
      <w:r w:rsidR="006A0E35" w:rsidRPr="007B0581">
        <w:rPr>
          <w:rFonts w:ascii="Arial" w:hAnsi="Arial" w:cs="Arial"/>
          <w:sz w:val="24"/>
          <w:szCs w:val="24"/>
        </w:rPr>
        <w:t>Director General de la Oficina de Pensiones del Estado de Oaxaca</w:t>
      </w:r>
      <w:r w:rsidR="00E95FD9" w:rsidRPr="007B0581">
        <w:rPr>
          <w:rFonts w:ascii="Arial" w:hAnsi="Arial" w:cs="Arial"/>
          <w:sz w:val="24"/>
          <w:szCs w:val="24"/>
        </w:rPr>
        <w:t xml:space="preserve">, </w:t>
      </w:r>
      <w:r w:rsidR="00150F4B" w:rsidRPr="007B0581">
        <w:rPr>
          <w:rFonts w:ascii="Arial" w:hAnsi="Arial" w:cs="Arial"/>
          <w:sz w:val="24"/>
          <w:szCs w:val="24"/>
        </w:rPr>
        <w:t>el cual</w:t>
      </w:r>
      <w:r w:rsidR="00E95FD9" w:rsidRPr="007B0581">
        <w:rPr>
          <w:rFonts w:ascii="Arial" w:hAnsi="Arial" w:cs="Arial"/>
          <w:sz w:val="24"/>
          <w:szCs w:val="24"/>
        </w:rPr>
        <w:t xml:space="preserve"> contiene el Dictamen de pensión por jubilación aprobado por el</w:t>
      </w:r>
      <w:r w:rsidR="00E95FD9" w:rsidRPr="007B0581">
        <w:rPr>
          <w:rFonts w:ascii="Arial" w:hAnsi="Arial" w:cs="Arial"/>
          <w:b/>
          <w:bCs/>
          <w:sz w:val="24"/>
          <w:szCs w:val="24"/>
        </w:rPr>
        <w:t xml:space="preserve"> </w:t>
      </w:r>
      <w:bookmarkStart w:id="3" w:name="_Hlk83818750"/>
      <w:r w:rsidR="00E95FD9" w:rsidRPr="007B0581">
        <w:rPr>
          <w:rFonts w:ascii="Arial" w:hAnsi="Arial" w:cs="Arial"/>
          <w:sz w:val="24"/>
          <w:szCs w:val="24"/>
        </w:rPr>
        <w:t>Consejo Directivo de Pensiones del Estado de Oaxaca</w:t>
      </w:r>
      <w:bookmarkEnd w:id="3"/>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6527B5AC"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D92CD7">
        <w:rPr>
          <w:rFonts w:ascii="Arial" w:hAnsi="Arial" w:cs="Arial"/>
          <w:sz w:val="24"/>
          <w:szCs w:val="24"/>
        </w:rPr>
        <w:t>dieciséis de enero</w:t>
      </w:r>
      <w:r w:rsidR="00E25C17" w:rsidRPr="007B0581">
        <w:rPr>
          <w:rFonts w:ascii="Arial" w:hAnsi="Arial" w:cs="Arial"/>
          <w:sz w:val="24"/>
          <w:szCs w:val="24"/>
        </w:rPr>
        <w:t xml:space="preserve"> </w:t>
      </w:r>
      <w:r w:rsidR="00802DB3" w:rsidRPr="007B0581">
        <w:rPr>
          <w:rFonts w:ascii="Arial" w:hAnsi="Arial" w:cs="Arial"/>
          <w:sz w:val="24"/>
          <w:szCs w:val="24"/>
        </w:rPr>
        <w:t xml:space="preserve">de </w:t>
      </w:r>
      <w:r w:rsidR="00D92CD7">
        <w:rPr>
          <w:rFonts w:ascii="Arial" w:hAnsi="Arial" w:cs="Arial"/>
          <w:sz w:val="24"/>
          <w:szCs w:val="24"/>
        </w:rPr>
        <w:t>dos mil veinte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6118EA50"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D92CD7">
        <w:rPr>
          <w:rFonts w:cs="Arial"/>
          <w:bCs/>
          <w:sz w:val="24"/>
          <w:szCs w:val="24"/>
        </w:rPr>
        <w:t>diecisiete de marzo</w:t>
      </w:r>
      <w:r w:rsidR="00F616B6" w:rsidRPr="007B0581">
        <w:rPr>
          <w:rFonts w:cs="Arial"/>
          <w:bCs/>
          <w:sz w:val="24"/>
          <w:szCs w:val="24"/>
        </w:rPr>
        <w:t xml:space="preserve"> </w:t>
      </w:r>
      <w:r w:rsidR="005D64AF" w:rsidRPr="007B0581">
        <w:rPr>
          <w:rFonts w:cs="Arial"/>
          <w:bCs/>
          <w:sz w:val="24"/>
          <w:szCs w:val="24"/>
        </w:rPr>
        <w:t xml:space="preserve">de dos mil </w:t>
      </w:r>
      <w:r w:rsidR="007E3CFF" w:rsidRPr="007B0581">
        <w:rPr>
          <w:rFonts w:cs="Arial"/>
          <w:bCs/>
          <w:sz w:val="24"/>
          <w:szCs w:val="24"/>
        </w:rPr>
        <w:t>vein</w:t>
      </w:r>
      <w:r w:rsidR="00D92CD7">
        <w:rPr>
          <w:rFonts w:cs="Arial"/>
          <w:bCs/>
          <w:sz w:val="24"/>
          <w:szCs w:val="24"/>
        </w:rPr>
        <w:t>te</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poderado Legal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5534A7">
        <w:rPr>
          <w:rFonts w:cs="Arial"/>
          <w:sz w:val="24"/>
          <w:szCs w:val="24"/>
        </w:rPr>
        <w:t>ió a juicio</w:t>
      </w:r>
      <w:r w:rsidRPr="007B0581">
        <w:rPr>
          <w:rFonts w:cs="Arial"/>
          <w:sz w:val="24"/>
          <w:szCs w:val="24"/>
        </w:rPr>
        <w:t>, haciendo</w:t>
      </w:r>
      <w:r w:rsidR="006E2C00" w:rsidRPr="007B0581">
        <w:rPr>
          <w:rFonts w:cs="Arial"/>
          <w:sz w:val="24"/>
          <w:szCs w:val="24"/>
        </w:rPr>
        <w:t xml:space="preserve"> valer sus excepciones y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al actor </w:t>
      </w:r>
      <w:r w:rsidR="0079658F" w:rsidRPr="007B0581">
        <w:rPr>
          <w:rFonts w:cs="Arial"/>
          <w:sz w:val="24"/>
          <w:szCs w:val="24"/>
        </w:rPr>
        <w:t xml:space="preserve">para los efectos correspondientes.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43034CC6" w14:textId="0980E8AA" w:rsidR="00D5464C" w:rsidRDefault="00232678" w:rsidP="009B52E2">
      <w:pPr>
        <w:pStyle w:val="corte4fondo"/>
        <w:ind w:right="51" w:firstLine="567"/>
        <w:rPr>
          <w:rFonts w:cs="Arial"/>
          <w:sz w:val="24"/>
          <w:szCs w:val="24"/>
        </w:rPr>
      </w:pPr>
      <w:r w:rsidRPr="007B0581">
        <w:rPr>
          <w:rFonts w:cs="Arial"/>
          <w:b/>
          <w:bCs/>
          <w:sz w:val="24"/>
          <w:szCs w:val="24"/>
        </w:rPr>
        <w:lastRenderedPageBreak/>
        <w:t>CUARTO. -</w:t>
      </w:r>
      <w:r w:rsidR="00201D27" w:rsidRPr="007B0581">
        <w:rPr>
          <w:rFonts w:cs="Arial"/>
          <w:b/>
          <w:bCs/>
          <w:sz w:val="24"/>
          <w:szCs w:val="24"/>
        </w:rPr>
        <w:t xml:space="preserve">  </w:t>
      </w:r>
      <w:r w:rsidR="00D5464C">
        <w:rPr>
          <w:rFonts w:cs="Arial"/>
          <w:sz w:val="24"/>
          <w:szCs w:val="24"/>
        </w:rPr>
        <w:t xml:space="preserve">Mediante proveído de quince de junio de dos mil veintiuno, se señalaron las once horas del día ocho de julio de dos mil veintiuno, para que se llevara a cabo la audiencia final, y </w:t>
      </w:r>
      <w:bookmarkStart w:id="4" w:name="_Hlk86403866"/>
      <w:r w:rsidR="00D5464C">
        <w:rPr>
          <w:rFonts w:cs="Arial"/>
          <w:sz w:val="24"/>
          <w:szCs w:val="24"/>
        </w:rPr>
        <w:t>se hizo del conocimiento de las partes, la designación de esta juzgadora como Titular de esta Quinta Sala Unitaria de Primera Instancia, para que dentro del plazo de tres días hábiles, manifestaran lo que a su derecho conviniera.</w:t>
      </w:r>
    </w:p>
    <w:bookmarkEnd w:id="4"/>
    <w:p w14:paraId="42C7E0EA" w14:textId="77777777" w:rsidR="00D5464C" w:rsidRDefault="00D5464C" w:rsidP="009B52E2">
      <w:pPr>
        <w:pStyle w:val="corte4fondo"/>
        <w:ind w:right="51" w:firstLine="567"/>
        <w:rPr>
          <w:rFonts w:cs="Arial"/>
          <w:sz w:val="24"/>
          <w:szCs w:val="24"/>
        </w:rPr>
      </w:pPr>
    </w:p>
    <w:p w14:paraId="11761674" w14:textId="2EBAF34A" w:rsidR="00772264" w:rsidRPr="007B0581" w:rsidRDefault="00D5464C" w:rsidP="009B52E2">
      <w:pPr>
        <w:pStyle w:val="corte4fondo"/>
        <w:ind w:right="51" w:firstLine="567"/>
        <w:rPr>
          <w:rFonts w:cs="Arial"/>
          <w:b/>
          <w:bCs/>
          <w:sz w:val="24"/>
          <w:szCs w:val="24"/>
        </w:rPr>
      </w:pPr>
      <w:r>
        <w:rPr>
          <w:rFonts w:cs="Arial"/>
          <w:b/>
          <w:bCs/>
          <w:sz w:val="24"/>
          <w:szCs w:val="24"/>
          <w:lang w:val="es-ES"/>
        </w:rPr>
        <w:t xml:space="preserve">QUINTO.- </w:t>
      </w:r>
      <w:r w:rsidR="00772264" w:rsidRPr="007B0581">
        <w:rPr>
          <w:rFonts w:cs="Arial"/>
          <w:sz w:val="24"/>
          <w:szCs w:val="24"/>
          <w:lang w:val="es-ES"/>
        </w:rPr>
        <w:t xml:space="preserve">El </w:t>
      </w:r>
      <w:r w:rsidR="00BB718F">
        <w:rPr>
          <w:rFonts w:cs="Arial"/>
          <w:sz w:val="24"/>
          <w:szCs w:val="24"/>
          <w:lang w:val="es-ES"/>
        </w:rPr>
        <w:t>ocho de julio</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772264" w:rsidRPr="007B0581">
        <w:rPr>
          <w:rFonts w:cs="Arial"/>
          <w:bCs/>
          <w:sz w:val="24"/>
          <w:szCs w:val="24"/>
        </w:rPr>
        <w:t>asentándose que</w:t>
      </w:r>
      <w:r>
        <w:rPr>
          <w:rFonts w:cs="Arial"/>
          <w:bCs/>
          <w:sz w:val="24"/>
          <w:szCs w:val="24"/>
        </w:rPr>
        <w:t xml:space="preserve"> únicamente</w:t>
      </w:r>
      <w:r w:rsidR="00772264" w:rsidRPr="007B0581">
        <w:rPr>
          <w:rFonts w:cs="Arial"/>
          <w:bCs/>
          <w:sz w:val="24"/>
          <w:szCs w:val="24"/>
        </w:rPr>
        <w:t xml:space="preserve"> el actor formuló alegatos de manera escrita, los cuales </w:t>
      </w:r>
      <w:r w:rsidR="00772264" w:rsidRPr="007B0581">
        <w:rPr>
          <w:rFonts w:cs="Arial"/>
          <w:sz w:val="24"/>
          <w:szCs w:val="24"/>
        </w:rPr>
        <w:t>se toman en consideración para el dictado de la presente sentencia,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6EB5F941"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l Consejo Directivo de la Oficina de Pensiones del Estado de Oaxaca</w:t>
      </w:r>
      <w:r w:rsidR="00502E44" w:rsidRPr="007B0581">
        <w:rPr>
          <w:rFonts w:ascii="Arial" w:hAnsi="Arial" w:cs="Arial"/>
          <w:sz w:val="24"/>
          <w:szCs w:val="24"/>
        </w:rPr>
        <w:t>, con fundamento en el artículo 114 QUATER, párrafo primero, inciso B, fracción VI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54BA93C2" w:rsidR="00F80AE6" w:rsidRPr="007B0581" w:rsidRDefault="00232678" w:rsidP="009B52E2">
      <w:pPr>
        <w:spacing w:line="360" w:lineRule="auto"/>
        <w:ind w:right="51" w:firstLine="709"/>
        <w:jc w:val="both"/>
        <w:rPr>
          <w:rFonts w:ascii="Arial" w:hAnsi="Arial" w:cs="Arial"/>
          <w:sz w:val="24"/>
          <w:szCs w:val="24"/>
        </w:rPr>
      </w:pPr>
      <w:r w:rsidRPr="1FE0319C">
        <w:rPr>
          <w:rFonts w:ascii="Arial" w:hAnsi="Arial" w:cs="Arial"/>
          <w:b/>
          <w:bCs/>
          <w:snapToGrid w:val="0"/>
          <w:sz w:val="24"/>
          <w:szCs w:val="24"/>
        </w:rPr>
        <w:t>SEGUNDO. -</w:t>
      </w:r>
      <w:r w:rsidR="00F80AE6" w:rsidRPr="1FE0319C">
        <w:rPr>
          <w:rFonts w:ascii="Arial" w:hAnsi="Arial" w:cs="Arial"/>
          <w:b/>
          <w:bCs/>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de las partes quedó acreditada en autos,</w:t>
      </w:r>
      <w:r w:rsidR="00D5464C">
        <w:rPr>
          <w:rFonts w:ascii="Arial" w:hAnsi="Arial" w:cs="Arial"/>
          <w:sz w:val="24"/>
          <w:szCs w:val="24"/>
        </w:rPr>
        <w:t xml:space="preserve"> en términos de lo establecido en </w:t>
      </w:r>
      <w:r w:rsidR="00D5464C" w:rsidRPr="007B0581">
        <w:rPr>
          <w:rFonts w:ascii="Arial" w:hAnsi="Arial" w:cs="Arial"/>
          <w:sz w:val="24"/>
          <w:szCs w:val="24"/>
        </w:rPr>
        <w:t xml:space="preserve">los artículos 148, párrafo cuarto y 150 y 151 </w:t>
      </w:r>
      <w:r w:rsidR="00D5464C" w:rsidRPr="007B0581">
        <w:rPr>
          <w:rFonts w:ascii="Arial" w:hAnsi="Arial" w:cs="Arial"/>
          <w:snapToGrid w:val="0"/>
          <w:sz w:val="24"/>
          <w:szCs w:val="24"/>
        </w:rPr>
        <w:t>de la Ley de Procedimiento y Justicia Administrativa para el Estado de Oaxaca</w:t>
      </w:r>
      <w:r w:rsidR="00D5464C">
        <w:rPr>
          <w:rFonts w:ascii="Arial" w:hAnsi="Arial" w:cs="Arial"/>
          <w:snapToGrid w:val="0"/>
          <w:sz w:val="24"/>
          <w:szCs w:val="24"/>
        </w:rPr>
        <w:t xml:space="preserve">, en razón </w:t>
      </w:r>
      <w:r w:rsidR="00F80AE6" w:rsidRPr="007B0581">
        <w:rPr>
          <w:rFonts w:ascii="Arial" w:hAnsi="Arial" w:cs="Arial"/>
          <w:sz w:val="24"/>
          <w:szCs w:val="24"/>
        </w:rPr>
        <w:t xml:space="preserve">que </w:t>
      </w:r>
      <w:r w:rsidR="00150F4B" w:rsidRPr="007B0581">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 y la autoridad demandada</w:t>
      </w:r>
      <w:r w:rsidR="0001538D" w:rsidRPr="007B0581">
        <w:rPr>
          <w:rFonts w:ascii="Arial" w:hAnsi="Arial" w:cs="Arial"/>
          <w:sz w:val="24"/>
          <w:szCs w:val="24"/>
        </w:rPr>
        <w:t xml:space="preserve">, </w:t>
      </w:r>
      <w:r w:rsidR="005E5BA2">
        <w:rPr>
          <w:rFonts w:ascii="Arial" w:hAnsi="Arial" w:cs="Arial"/>
          <w:sz w:val="24"/>
          <w:szCs w:val="24"/>
        </w:rPr>
        <w:t>por conducto de su apoderado legal</w:t>
      </w:r>
      <w:r w:rsidR="00FE4828">
        <w:rPr>
          <w:rFonts w:ascii="Arial" w:hAnsi="Arial" w:cs="Arial"/>
          <w:sz w:val="24"/>
          <w:szCs w:val="24"/>
        </w:rPr>
        <w:t xml:space="preserve">, como consta en la </w:t>
      </w:r>
      <w:r w:rsidR="0001538D" w:rsidRPr="007B0581">
        <w:rPr>
          <w:rFonts w:ascii="Arial" w:hAnsi="Arial" w:cs="Arial"/>
          <w:sz w:val="24"/>
          <w:szCs w:val="24"/>
        </w:rPr>
        <w:t xml:space="preserve">copia certificada del Instrumento Notarial número 2437, Volumen 58, de seis de marzo de dos mil diecisiete, </w:t>
      </w:r>
      <w:r w:rsidR="00D5464C">
        <w:rPr>
          <w:rFonts w:ascii="Arial" w:hAnsi="Arial" w:cs="Arial"/>
          <w:sz w:val="24"/>
          <w:szCs w:val="24"/>
        </w:rPr>
        <w:t xml:space="preserve">pasado por </w:t>
      </w:r>
      <w:r w:rsidR="0001538D" w:rsidRPr="007B0581">
        <w:rPr>
          <w:rFonts w:ascii="Arial" w:hAnsi="Arial" w:cs="Arial"/>
          <w:sz w:val="24"/>
          <w:szCs w:val="24"/>
        </w:rPr>
        <w:t>ante la Fe del Notario Público número Noventa del Estado de Oaxaca, Licenciado Octavio Eduardo Manzano Trovamala</w:t>
      </w:r>
      <w:r w:rsidR="00D5464C">
        <w:rPr>
          <w:rFonts w:ascii="Arial" w:hAnsi="Arial" w:cs="Arial"/>
          <w:sz w:val="24"/>
          <w:szCs w:val="24"/>
        </w:rPr>
        <w:t>.</w:t>
      </w:r>
      <w:r w:rsidR="0001538D"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1CBDCB0"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w:t>
      </w:r>
      <w:r w:rsidR="009E65F7" w:rsidRPr="007B0581">
        <w:rPr>
          <w:rFonts w:cs="Arial"/>
          <w:sz w:val="24"/>
          <w:szCs w:val="24"/>
        </w:rPr>
        <w:lastRenderedPageBreak/>
        <w:t>integral de la demanda y a lo argüido por la autoridad demandada, se advierte que no se configura causal alguna de improcedencia</w:t>
      </w:r>
      <w:r w:rsidR="00CB7593">
        <w:rPr>
          <w:rFonts w:cs="Arial"/>
          <w:sz w:val="24"/>
          <w:szCs w:val="24"/>
        </w:rPr>
        <w:t xml:space="preserve">; por lo que,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0D7A303C"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E572F6">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16EF95E8" w14:textId="3C27208D" w:rsidR="004E0294" w:rsidRPr="007B0581" w:rsidRDefault="001E1A6A" w:rsidP="00FA2A46">
      <w:pPr>
        <w:spacing w:line="360" w:lineRule="auto"/>
        <w:jc w:val="both"/>
        <w:rPr>
          <w:rFonts w:ascii="Arial" w:hAnsi="Arial" w:cs="Arial"/>
          <w:color w:val="FF0000"/>
          <w:sz w:val="24"/>
          <w:szCs w:val="24"/>
        </w:rPr>
      </w:pPr>
      <w:r w:rsidRPr="007B0581">
        <w:rPr>
          <w:rFonts w:ascii="Arial" w:hAnsi="Arial" w:cs="Arial"/>
          <w:sz w:val="24"/>
          <w:szCs w:val="24"/>
        </w:rPr>
        <w:t>El</w:t>
      </w:r>
      <w:r w:rsidR="0069601F" w:rsidRPr="007B0581">
        <w:rPr>
          <w:rFonts w:ascii="Arial" w:hAnsi="Arial" w:cs="Arial"/>
          <w:sz w:val="24"/>
          <w:szCs w:val="24"/>
        </w:rPr>
        <w:t xml:space="preserve"> actor</w:t>
      </w:r>
      <w:r w:rsidRPr="007B0581">
        <w:rPr>
          <w:rFonts w:ascii="Arial" w:hAnsi="Arial" w:cs="Arial"/>
          <w:sz w:val="24"/>
          <w:szCs w:val="24"/>
        </w:rPr>
        <w:t xml:space="preserve"> </w:t>
      </w:r>
      <w:r w:rsidR="004B47E6">
        <w:rPr>
          <w:rFonts w:ascii="Arial" w:hAnsi="Arial" w:cs="Arial"/>
          <w:b/>
          <w:sz w:val="22"/>
          <w:szCs w:val="22"/>
        </w:rPr>
        <w:t>**********</w:t>
      </w:r>
      <w:r w:rsidR="004B47E6">
        <w:rPr>
          <w:rFonts w:ascii="Arial" w:hAnsi="Arial" w:cs="Arial"/>
          <w:b/>
          <w:sz w:val="22"/>
          <w:szCs w:val="22"/>
        </w:rPr>
        <w:t xml:space="preserve"> </w:t>
      </w:r>
      <w:r w:rsidR="00836E04" w:rsidRPr="007B0581">
        <w:rPr>
          <w:rFonts w:ascii="Arial" w:hAnsi="Arial" w:cs="Arial"/>
          <w:sz w:val="24"/>
          <w:szCs w:val="24"/>
        </w:rPr>
        <w:t xml:space="preserve">demandó la nulidad del </w:t>
      </w:r>
      <w:bookmarkStart w:id="5" w:name="_GoBack"/>
      <w:r w:rsidR="000D6698" w:rsidRPr="007B0581">
        <w:rPr>
          <w:rFonts w:ascii="Arial" w:hAnsi="Arial" w:cs="Arial"/>
          <w:sz w:val="24"/>
          <w:szCs w:val="24"/>
        </w:rPr>
        <w:t>oficio</w:t>
      </w:r>
      <w:bookmarkEnd w:id="5"/>
      <w:r w:rsidR="000D6698" w:rsidRPr="007B0581">
        <w:rPr>
          <w:rFonts w:ascii="Arial" w:hAnsi="Arial" w:cs="Arial"/>
          <w:sz w:val="24"/>
          <w:szCs w:val="24"/>
        </w:rPr>
        <w:t xml:space="preserve"> </w:t>
      </w:r>
      <w:r w:rsidR="004B47E6">
        <w:rPr>
          <w:rFonts w:ascii="Arial" w:hAnsi="Arial" w:cs="Arial"/>
          <w:b/>
          <w:sz w:val="22"/>
          <w:szCs w:val="22"/>
        </w:rPr>
        <w:t>**********</w:t>
      </w:r>
      <w:r w:rsidR="004B47E6">
        <w:rPr>
          <w:rFonts w:ascii="Arial" w:hAnsi="Arial" w:cs="Arial"/>
          <w:b/>
          <w:sz w:val="22"/>
          <w:szCs w:val="22"/>
        </w:rPr>
        <w:t xml:space="preserve"> </w:t>
      </w:r>
      <w:r w:rsidR="00322EDF" w:rsidRPr="007B0581">
        <w:rPr>
          <w:rFonts w:ascii="Arial" w:hAnsi="Arial" w:cs="Arial"/>
          <w:sz w:val="24"/>
          <w:szCs w:val="24"/>
        </w:rPr>
        <w:t>de diez de julio de dos mil diecinueve</w:t>
      </w:r>
      <w:r w:rsidR="000D6698" w:rsidRPr="007B0581">
        <w:rPr>
          <w:rFonts w:ascii="Arial" w:hAnsi="Arial" w:cs="Arial"/>
          <w:sz w:val="24"/>
          <w:szCs w:val="24"/>
        </w:rPr>
        <w:t>,</w:t>
      </w:r>
      <w:r w:rsidR="006A0E35" w:rsidRPr="007B0581">
        <w:rPr>
          <w:rFonts w:ascii="Arial" w:hAnsi="Arial" w:cs="Arial"/>
          <w:sz w:val="24"/>
          <w:szCs w:val="24"/>
        </w:rPr>
        <w:t xml:space="preserve"> signado por el Director General de la Oficina de Pensiones del Estado de Oaxaca, </w:t>
      </w:r>
      <w:r w:rsidR="008317C8" w:rsidRPr="007B0581">
        <w:rPr>
          <w:rFonts w:ascii="Arial" w:hAnsi="Arial" w:cs="Arial"/>
          <w:sz w:val="24"/>
          <w:szCs w:val="24"/>
        </w:rPr>
        <w:t>mismo</w:t>
      </w:r>
      <w:r w:rsidR="006A0E35" w:rsidRPr="007B0581">
        <w:rPr>
          <w:rFonts w:ascii="Arial" w:hAnsi="Arial" w:cs="Arial"/>
          <w:sz w:val="24"/>
          <w:szCs w:val="24"/>
        </w:rPr>
        <w:t xml:space="preserve"> que contiene el Dictamen de pensión por jubilación aprobado por el</w:t>
      </w:r>
      <w:r w:rsidR="006A0E35" w:rsidRPr="007B0581">
        <w:rPr>
          <w:rFonts w:ascii="Arial" w:hAnsi="Arial" w:cs="Arial"/>
          <w:b/>
          <w:bCs/>
          <w:sz w:val="24"/>
          <w:szCs w:val="24"/>
        </w:rPr>
        <w:t xml:space="preserve"> </w:t>
      </w:r>
      <w:r w:rsidR="006A0E35" w:rsidRPr="007B0581">
        <w:rPr>
          <w:rFonts w:ascii="Arial" w:hAnsi="Arial" w:cs="Arial"/>
          <w:sz w:val="24"/>
          <w:szCs w:val="24"/>
        </w:rPr>
        <w:t>Consejo Directivo de Pensiones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6A0E35" w:rsidRPr="007B0581">
        <w:rPr>
          <w:rFonts w:ascii="Arial" w:hAnsi="Arial" w:cs="Arial"/>
          <w:sz w:val="24"/>
          <w:szCs w:val="24"/>
        </w:rPr>
        <w:t xml:space="preserve">una indebida </w:t>
      </w:r>
      <w:r w:rsidR="00852131" w:rsidRPr="007B0581">
        <w:rPr>
          <w:rFonts w:ascii="Arial" w:hAnsi="Arial" w:cs="Arial"/>
          <w:sz w:val="24"/>
          <w:szCs w:val="24"/>
        </w:rPr>
        <w:t xml:space="preserve">fundamentación y </w:t>
      </w:r>
      <w:r w:rsidR="00521874" w:rsidRPr="007B0581">
        <w:rPr>
          <w:rFonts w:ascii="Arial" w:hAnsi="Arial" w:cs="Arial"/>
          <w:sz w:val="24"/>
          <w:szCs w:val="24"/>
        </w:rPr>
        <w:t>motivación, así como un trato discriminatorio</w:t>
      </w:r>
      <w:r w:rsidR="008317C8" w:rsidRPr="007B0581">
        <w:rPr>
          <w:rFonts w:ascii="Arial" w:hAnsi="Arial" w:cs="Arial"/>
          <w:sz w:val="24"/>
          <w:szCs w:val="24"/>
        </w:rPr>
        <w:t>, pues</w:t>
      </w:r>
      <w:r w:rsidR="00516BCC">
        <w:rPr>
          <w:rFonts w:ascii="Arial" w:hAnsi="Arial" w:cs="Arial"/>
          <w:sz w:val="24"/>
          <w:szCs w:val="24"/>
        </w:rPr>
        <w:t xml:space="preserve"> estima que</w:t>
      </w:r>
      <w:r w:rsidR="008317C8" w:rsidRPr="007B0581">
        <w:rPr>
          <w:rFonts w:ascii="Arial" w:hAnsi="Arial" w:cs="Arial"/>
          <w:sz w:val="24"/>
          <w:szCs w:val="24"/>
        </w:rPr>
        <w:t xml:space="preserve"> debieron haberse incluido </w:t>
      </w:r>
      <w:r w:rsidR="000F2109" w:rsidRPr="007B0581">
        <w:rPr>
          <w:rFonts w:ascii="Arial" w:hAnsi="Arial" w:cs="Arial"/>
          <w:sz w:val="24"/>
          <w:szCs w:val="24"/>
        </w:rPr>
        <w:t xml:space="preserve">el pago de </w:t>
      </w:r>
      <w:r w:rsidR="006A0E35" w:rsidRPr="007B0581">
        <w:rPr>
          <w:rFonts w:ascii="Arial" w:hAnsi="Arial" w:cs="Arial"/>
          <w:sz w:val="24"/>
          <w:szCs w:val="24"/>
        </w:rPr>
        <w:t>las demás prestaciones</w:t>
      </w:r>
      <w:r w:rsidR="000F2109" w:rsidRPr="007B0581">
        <w:rPr>
          <w:rFonts w:ascii="Arial" w:hAnsi="Arial" w:cs="Arial"/>
          <w:sz w:val="24"/>
          <w:szCs w:val="24"/>
        </w:rPr>
        <w:t xml:space="preserve"> a las que t</w:t>
      </w:r>
      <w:r w:rsidR="0047510F" w:rsidRPr="007B0581">
        <w:rPr>
          <w:rFonts w:ascii="Arial" w:hAnsi="Arial" w:cs="Arial"/>
          <w:sz w:val="24"/>
          <w:szCs w:val="24"/>
        </w:rPr>
        <w:t>iene</w:t>
      </w:r>
      <w:r w:rsidR="000F2109" w:rsidRPr="007B0581">
        <w:rPr>
          <w:rFonts w:ascii="Arial" w:hAnsi="Arial" w:cs="Arial"/>
          <w:sz w:val="24"/>
          <w:szCs w:val="24"/>
        </w:rPr>
        <w:t xml:space="preserve"> derecho como trabajador, </w:t>
      </w:r>
      <w:r w:rsidR="004E0294" w:rsidRPr="007B0581">
        <w:rPr>
          <w:rFonts w:ascii="Arial" w:hAnsi="Arial" w:cs="Arial"/>
          <w:sz w:val="24"/>
          <w:szCs w:val="24"/>
        </w:rPr>
        <w:t xml:space="preserve">como </w:t>
      </w:r>
      <w:r w:rsidR="005D550E">
        <w:rPr>
          <w:rFonts w:ascii="Arial" w:hAnsi="Arial" w:cs="Arial"/>
          <w:sz w:val="24"/>
          <w:szCs w:val="24"/>
        </w:rPr>
        <w:t xml:space="preserve">lo </w:t>
      </w:r>
      <w:r w:rsidR="004E0294" w:rsidRPr="007B0581">
        <w:rPr>
          <w:rFonts w:ascii="Arial" w:hAnsi="Arial" w:cs="Arial"/>
          <w:sz w:val="24"/>
          <w:szCs w:val="24"/>
        </w:rPr>
        <w:t xml:space="preserve">son </w:t>
      </w:r>
      <w:r w:rsidR="005D550E">
        <w:rPr>
          <w:rFonts w:ascii="Arial" w:hAnsi="Arial" w:cs="Arial"/>
          <w:sz w:val="24"/>
          <w:szCs w:val="24"/>
        </w:rPr>
        <w:t xml:space="preserve">la </w:t>
      </w:r>
      <w:bookmarkStart w:id="6" w:name="_Hlk84253218"/>
      <w:r w:rsidR="0082213D" w:rsidRPr="007B0581">
        <w:rPr>
          <w:rFonts w:ascii="Arial" w:hAnsi="Arial" w:cs="Arial"/>
          <w:sz w:val="24"/>
          <w:szCs w:val="24"/>
        </w:rPr>
        <w:t xml:space="preserve">previsión social </w:t>
      </w:r>
      <w:r w:rsidR="00777CF5" w:rsidRPr="007B0581">
        <w:rPr>
          <w:rFonts w:ascii="Arial" w:hAnsi="Arial" w:cs="Arial"/>
          <w:sz w:val="24"/>
          <w:szCs w:val="24"/>
        </w:rPr>
        <w:t>múltiple</w:t>
      </w:r>
      <w:r w:rsidR="0082213D" w:rsidRPr="007B0581">
        <w:rPr>
          <w:rFonts w:ascii="Arial" w:hAnsi="Arial" w:cs="Arial"/>
          <w:sz w:val="24"/>
          <w:szCs w:val="24"/>
        </w:rPr>
        <w:t>, despensa, vida cara, quinquenios, aguinaldo, est</w:t>
      </w:r>
      <w:r w:rsidR="008317C8" w:rsidRPr="007B0581">
        <w:rPr>
          <w:rFonts w:ascii="Arial" w:hAnsi="Arial" w:cs="Arial"/>
          <w:sz w:val="24"/>
          <w:szCs w:val="24"/>
        </w:rPr>
        <w:t>í</w:t>
      </w:r>
      <w:r w:rsidR="0082213D" w:rsidRPr="007B0581">
        <w:rPr>
          <w:rFonts w:ascii="Arial" w:hAnsi="Arial" w:cs="Arial"/>
          <w:sz w:val="24"/>
          <w:szCs w:val="24"/>
        </w:rPr>
        <w:t>mulo del día del jubilado</w:t>
      </w:r>
      <w:r w:rsidR="008317C8" w:rsidRPr="007B0581">
        <w:rPr>
          <w:rFonts w:ascii="Arial" w:hAnsi="Arial" w:cs="Arial"/>
          <w:sz w:val="24"/>
          <w:szCs w:val="24"/>
        </w:rPr>
        <w:t xml:space="preserve">, </w:t>
      </w:r>
      <w:r w:rsidR="0082213D" w:rsidRPr="007B0581">
        <w:rPr>
          <w:rFonts w:ascii="Arial" w:hAnsi="Arial" w:cs="Arial"/>
          <w:sz w:val="24"/>
          <w:szCs w:val="24"/>
        </w:rPr>
        <w:t>y canasta navideña</w:t>
      </w:r>
      <w:bookmarkEnd w:id="6"/>
      <w:r w:rsidR="00777CF5" w:rsidRPr="007B0581">
        <w:rPr>
          <w:rFonts w:ascii="Arial" w:hAnsi="Arial" w:cs="Arial"/>
          <w:sz w:val="24"/>
          <w:szCs w:val="24"/>
        </w:rPr>
        <w:t>,</w:t>
      </w:r>
      <w:r w:rsidR="008317C8" w:rsidRPr="007B0581">
        <w:rPr>
          <w:rFonts w:ascii="Arial" w:hAnsi="Arial" w:cs="Arial"/>
          <w:sz w:val="24"/>
          <w:szCs w:val="24"/>
        </w:rPr>
        <w:t xml:space="preserve"> transgrediendo con ello </w:t>
      </w:r>
      <w:r w:rsidR="002943AA" w:rsidRPr="007B0581">
        <w:rPr>
          <w:rFonts w:ascii="Arial" w:hAnsi="Arial" w:cs="Arial"/>
          <w:sz w:val="24"/>
          <w:szCs w:val="24"/>
        </w:rPr>
        <w:t>el</w:t>
      </w:r>
      <w:r w:rsidR="0013609B" w:rsidRPr="007B0581">
        <w:rPr>
          <w:rFonts w:ascii="Arial" w:hAnsi="Arial" w:cs="Arial"/>
          <w:sz w:val="24"/>
          <w:szCs w:val="24"/>
        </w:rPr>
        <w:t xml:space="preserve"> derecho humano contenido en el </w:t>
      </w:r>
      <w:r w:rsidR="0013609B" w:rsidRPr="00B5109F">
        <w:rPr>
          <w:rFonts w:ascii="Arial" w:hAnsi="Arial" w:cs="Arial"/>
          <w:sz w:val="24"/>
          <w:szCs w:val="24"/>
        </w:rPr>
        <w:t>artículo 1</w:t>
      </w:r>
      <w:r w:rsidR="008A389C">
        <w:rPr>
          <w:rFonts w:ascii="Arial" w:hAnsi="Arial" w:cs="Arial"/>
          <w:sz w:val="24"/>
          <w:szCs w:val="24"/>
        </w:rPr>
        <w:t>º</w:t>
      </w:r>
      <w:r w:rsidR="0013609B" w:rsidRPr="007B0581">
        <w:rPr>
          <w:rFonts w:ascii="Arial" w:hAnsi="Arial" w:cs="Arial"/>
          <w:sz w:val="24"/>
          <w:szCs w:val="24"/>
        </w:rPr>
        <w:t xml:space="preserve"> de la Constitución Política de los Estados Unidos Mexicanos y diversos </w:t>
      </w:r>
      <w:r w:rsidR="00B5109F">
        <w:rPr>
          <w:rFonts w:ascii="Arial" w:hAnsi="Arial" w:cs="Arial"/>
          <w:sz w:val="24"/>
          <w:szCs w:val="24"/>
        </w:rPr>
        <w:t>tratados</w:t>
      </w:r>
      <w:r w:rsidR="0013609B" w:rsidRPr="007B0581">
        <w:rPr>
          <w:rFonts w:ascii="Arial" w:hAnsi="Arial" w:cs="Arial"/>
          <w:sz w:val="24"/>
          <w:szCs w:val="24"/>
        </w:rPr>
        <w:t xml:space="preserve"> internacionales</w:t>
      </w:r>
      <w:r w:rsidR="00EE3FA4" w:rsidRPr="007B0581">
        <w:rPr>
          <w:rFonts w:ascii="Arial" w:hAnsi="Arial" w:cs="Arial"/>
          <w:sz w:val="24"/>
          <w:szCs w:val="24"/>
        </w:rPr>
        <w:t>. As</w:t>
      </w:r>
      <w:r w:rsidR="00E908B6">
        <w:rPr>
          <w:rFonts w:ascii="Arial" w:hAnsi="Arial" w:cs="Arial"/>
          <w:sz w:val="24"/>
          <w:szCs w:val="24"/>
        </w:rPr>
        <w:t>i</w:t>
      </w:r>
      <w:r w:rsidR="00EE3FA4" w:rsidRPr="007B0581">
        <w:rPr>
          <w:rFonts w:ascii="Arial" w:hAnsi="Arial" w:cs="Arial"/>
          <w:sz w:val="24"/>
          <w:szCs w:val="24"/>
        </w:rPr>
        <w:t>mismo, argument</w:t>
      </w:r>
      <w:r w:rsidR="005D550E">
        <w:rPr>
          <w:rFonts w:ascii="Arial" w:hAnsi="Arial" w:cs="Arial"/>
          <w:sz w:val="24"/>
          <w:szCs w:val="24"/>
        </w:rPr>
        <w:t>a</w:t>
      </w:r>
      <w:r w:rsidR="00EE3FA4" w:rsidRPr="007B0581">
        <w:rPr>
          <w:rFonts w:ascii="Arial" w:hAnsi="Arial" w:cs="Arial"/>
          <w:sz w:val="24"/>
          <w:szCs w:val="24"/>
        </w:rPr>
        <w:t xml:space="preserve"> que la autoridad demandada, aplicó de manera retroactiva la ley en su perjuicio, al ordenar retenérsele el 9% por concepto de cuota al Fondo de Pensiones, </w:t>
      </w:r>
      <w:r w:rsidR="002943AA" w:rsidRPr="007B0581">
        <w:rPr>
          <w:rFonts w:ascii="Arial" w:hAnsi="Arial" w:cs="Arial"/>
          <w:sz w:val="24"/>
          <w:szCs w:val="24"/>
        </w:rPr>
        <w:t>sin considerar</w:t>
      </w:r>
      <w:r w:rsidR="00CF4E5C" w:rsidRPr="007B0581">
        <w:rPr>
          <w:rFonts w:ascii="Arial" w:hAnsi="Arial" w:cs="Arial"/>
          <w:sz w:val="24"/>
          <w:szCs w:val="24"/>
        </w:rPr>
        <w:t xml:space="preserve"> que la retroactividad constituye una excepción a la regla general</w:t>
      </w:r>
      <w:r w:rsidR="00EE3FA4" w:rsidRPr="007B0581">
        <w:rPr>
          <w:rFonts w:ascii="Arial" w:hAnsi="Arial" w:cs="Arial"/>
          <w:sz w:val="24"/>
          <w:szCs w:val="24"/>
        </w:rPr>
        <w:t>,</w:t>
      </w:r>
      <w:r w:rsidR="00CF4E5C" w:rsidRPr="007B0581">
        <w:rPr>
          <w:rFonts w:ascii="Arial" w:hAnsi="Arial" w:cs="Arial"/>
          <w:sz w:val="24"/>
          <w:szCs w:val="24"/>
        </w:rPr>
        <w:t xml:space="preserve"> ya que la finalidad de la norma es evitar un daño o menoscabo en los derechos de los particulares, </w:t>
      </w:r>
      <w:r w:rsidR="00EE3FA4" w:rsidRPr="007B0581">
        <w:rPr>
          <w:rFonts w:ascii="Arial" w:hAnsi="Arial" w:cs="Arial"/>
          <w:sz w:val="24"/>
          <w:szCs w:val="24"/>
        </w:rPr>
        <w:t xml:space="preserve">debiendo la autoridad demandada </w:t>
      </w:r>
      <w:r w:rsidR="00CF4E5C" w:rsidRPr="007B0581">
        <w:rPr>
          <w:rFonts w:ascii="Arial" w:hAnsi="Arial" w:cs="Arial"/>
          <w:sz w:val="24"/>
          <w:szCs w:val="24"/>
        </w:rPr>
        <w:t>tutelar sus derechos fundamentales y aplicar la interpretación conforme el principio pro homine, en su beneficio.</w:t>
      </w:r>
    </w:p>
    <w:p w14:paraId="37760D29" w14:textId="77777777" w:rsidR="004E0294" w:rsidRPr="007B0581" w:rsidRDefault="004E0294" w:rsidP="009B52E2">
      <w:pPr>
        <w:spacing w:line="360" w:lineRule="auto"/>
        <w:ind w:firstLine="708"/>
        <w:jc w:val="both"/>
        <w:rPr>
          <w:rFonts w:ascii="Arial" w:hAnsi="Arial" w:cs="Arial"/>
          <w:color w:val="FF0000"/>
          <w:sz w:val="24"/>
          <w:szCs w:val="24"/>
        </w:rPr>
      </w:pPr>
    </w:p>
    <w:p w14:paraId="446C33FB" w14:textId="2FE62060" w:rsidR="00AC3D37" w:rsidRPr="00743240" w:rsidRDefault="00DF3097" w:rsidP="00AC3D37">
      <w:pPr>
        <w:spacing w:line="360" w:lineRule="auto"/>
        <w:ind w:firstLine="708"/>
        <w:jc w:val="both"/>
        <w:rPr>
          <w:rFonts w:ascii="Arial" w:hAnsi="Arial" w:cs="Arial"/>
          <w:color w:val="FF0000"/>
          <w:sz w:val="24"/>
          <w:szCs w:val="24"/>
        </w:rPr>
      </w:pPr>
      <w:r w:rsidRPr="007B0581">
        <w:rPr>
          <w:rFonts w:ascii="Arial" w:hAnsi="Arial" w:cs="Arial"/>
          <w:sz w:val="24"/>
          <w:szCs w:val="24"/>
        </w:rPr>
        <w:t>Por su parte, la autoridad demandada</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 por conducto de su Apoderado Legal</w:t>
      </w:r>
      <w:r w:rsidR="00E85373" w:rsidRPr="007B0581">
        <w:rPr>
          <w:rFonts w:ascii="Arial" w:hAnsi="Arial" w:cs="Arial"/>
          <w:sz w:val="24"/>
          <w:szCs w:val="24"/>
        </w:rPr>
        <w:t>, afirm</w:t>
      </w:r>
      <w:r w:rsidR="0043120A" w:rsidRPr="007B0581">
        <w:rPr>
          <w:rFonts w:ascii="Arial" w:hAnsi="Arial" w:cs="Arial"/>
          <w:sz w:val="24"/>
          <w:szCs w:val="24"/>
        </w:rPr>
        <w:t xml:space="preserve">ó </w:t>
      </w:r>
      <w:r w:rsidR="00E85373" w:rsidRPr="007B0581">
        <w:rPr>
          <w:rFonts w:ascii="Arial" w:hAnsi="Arial" w:cs="Arial"/>
          <w:sz w:val="24"/>
          <w:szCs w:val="24"/>
        </w:rPr>
        <w:t xml:space="preserve">que </w:t>
      </w:r>
      <w:r w:rsidR="0043120A" w:rsidRPr="007B0581">
        <w:rPr>
          <w:rFonts w:ascii="Arial" w:hAnsi="Arial" w:cs="Arial"/>
          <w:sz w:val="24"/>
          <w:szCs w:val="24"/>
        </w:rPr>
        <w:t>e</w:t>
      </w:r>
      <w:r w:rsidR="00E85373" w:rsidRPr="007B0581">
        <w:rPr>
          <w:rFonts w:ascii="Arial" w:hAnsi="Arial" w:cs="Arial"/>
          <w:sz w:val="24"/>
          <w:szCs w:val="24"/>
        </w:rPr>
        <w:t xml:space="preserve">l acto </w:t>
      </w:r>
      <w:r w:rsidR="0043120A" w:rsidRPr="007B0581">
        <w:rPr>
          <w:rFonts w:ascii="Arial" w:hAnsi="Arial" w:cs="Arial"/>
          <w:sz w:val="24"/>
          <w:szCs w:val="24"/>
        </w:rPr>
        <w:t xml:space="preserve">impugnado </w:t>
      </w:r>
      <w:r w:rsidR="00172955" w:rsidRPr="007B0581">
        <w:rPr>
          <w:rFonts w:ascii="Arial" w:hAnsi="Arial" w:cs="Arial"/>
          <w:sz w:val="24"/>
          <w:szCs w:val="24"/>
        </w:rPr>
        <w:t xml:space="preserve">cumple con los elementos y requisitos que la ley prevé, de conformidad con lo dispuesto en </w:t>
      </w:r>
      <w:r w:rsidR="00641D8B" w:rsidRPr="007B0581">
        <w:rPr>
          <w:rFonts w:ascii="Arial" w:hAnsi="Arial" w:cs="Arial"/>
          <w:sz w:val="24"/>
          <w:szCs w:val="24"/>
        </w:rPr>
        <w:t xml:space="preserve">el artículo </w:t>
      </w:r>
      <w:r w:rsidR="00E85373" w:rsidRPr="007B0581">
        <w:rPr>
          <w:rFonts w:ascii="Arial" w:hAnsi="Arial" w:cs="Arial"/>
          <w:sz w:val="24"/>
          <w:szCs w:val="24"/>
        </w:rPr>
        <w:t>17 de la Ley de Procedimiento y Justicia Administrativa para el Estado de Oaxaca, pues se</w:t>
      </w:r>
      <w:r w:rsidR="00172955" w:rsidRPr="007B0581">
        <w:rPr>
          <w:rFonts w:ascii="Arial" w:hAnsi="Arial" w:cs="Arial"/>
          <w:sz w:val="24"/>
          <w:szCs w:val="24"/>
        </w:rPr>
        <w:t xml:space="preserve"> citaron con precisión los artículos de los cuales deriva</w:t>
      </w:r>
      <w:r w:rsidR="0023606C" w:rsidRPr="007B0581">
        <w:rPr>
          <w:rFonts w:ascii="Arial" w:hAnsi="Arial" w:cs="Arial"/>
          <w:sz w:val="24"/>
          <w:szCs w:val="24"/>
        </w:rPr>
        <w:t>, los motivos y consideraciones de hecho y derecho que lo justifican,</w:t>
      </w:r>
      <w:r w:rsidR="00EE3FA4" w:rsidRPr="007B0581">
        <w:rPr>
          <w:rFonts w:ascii="Arial" w:hAnsi="Arial" w:cs="Arial"/>
          <w:sz w:val="24"/>
          <w:szCs w:val="24"/>
        </w:rPr>
        <w:t xml:space="preserve"> </w:t>
      </w:r>
      <w:r w:rsidR="0024583D" w:rsidRPr="007B0581">
        <w:rPr>
          <w:rFonts w:ascii="Arial" w:hAnsi="Arial" w:cs="Arial"/>
          <w:sz w:val="24"/>
          <w:szCs w:val="24"/>
        </w:rPr>
        <w:t>y</w:t>
      </w:r>
      <w:r w:rsidR="000C6C60">
        <w:rPr>
          <w:rFonts w:ascii="Arial" w:hAnsi="Arial" w:cs="Arial"/>
          <w:sz w:val="24"/>
          <w:szCs w:val="24"/>
        </w:rPr>
        <w:t xml:space="preserve"> que</w:t>
      </w:r>
      <w:r w:rsidR="0024583D" w:rsidRPr="007B0581">
        <w:rPr>
          <w:rFonts w:ascii="Arial" w:hAnsi="Arial" w:cs="Arial"/>
          <w:sz w:val="24"/>
          <w:szCs w:val="24"/>
        </w:rPr>
        <w:t xml:space="preserve"> sólo se conceden al personal de base, no así al de confianza, r</w:t>
      </w:r>
      <w:r w:rsidR="00A419EA" w:rsidRPr="007B0581">
        <w:rPr>
          <w:rFonts w:ascii="Arial" w:hAnsi="Arial" w:cs="Arial"/>
          <w:sz w:val="24"/>
          <w:szCs w:val="24"/>
        </w:rPr>
        <w:t>esulta</w:t>
      </w:r>
      <w:r w:rsidR="0024583D" w:rsidRPr="007B0581">
        <w:rPr>
          <w:rFonts w:ascii="Arial" w:hAnsi="Arial" w:cs="Arial"/>
          <w:sz w:val="24"/>
          <w:szCs w:val="24"/>
        </w:rPr>
        <w:t>ndo</w:t>
      </w:r>
      <w:r w:rsidR="00A419EA" w:rsidRPr="007B0581">
        <w:rPr>
          <w:rFonts w:ascii="Arial" w:hAnsi="Arial" w:cs="Arial"/>
          <w:sz w:val="24"/>
          <w:szCs w:val="24"/>
        </w:rPr>
        <w:t xml:space="preserve"> improcedente que el actor reclame la inaplicación de los artículos 6 fracción III, 18 párrafo segundo y octavo transitorio de la Ley de Pensiones para los Trabajadores del Gobierno del Estado</w:t>
      </w:r>
      <w:r w:rsidR="0024583D" w:rsidRPr="007B0581">
        <w:rPr>
          <w:rFonts w:ascii="Arial" w:hAnsi="Arial" w:cs="Arial"/>
          <w:sz w:val="24"/>
          <w:szCs w:val="24"/>
        </w:rPr>
        <w:t xml:space="preserve">. </w:t>
      </w:r>
    </w:p>
    <w:p w14:paraId="1DAAF0F7" w14:textId="0612F0EA" w:rsidR="0089778E" w:rsidRPr="007B0581" w:rsidRDefault="0089778E" w:rsidP="00A441E2">
      <w:pPr>
        <w:ind w:firstLine="709"/>
        <w:contextualSpacing/>
        <w:jc w:val="both"/>
        <w:rPr>
          <w:rFonts w:ascii="Arial" w:hAnsi="Arial" w:cs="Arial"/>
          <w:color w:val="FF0000"/>
          <w:sz w:val="24"/>
          <w:szCs w:val="24"/>
        </w:rPr>
      </w:pPr>
    </w:p>
    <w:p w14:paraId="71CD8FFB" w14:textId="1313A13E" w:rsidR="00933BF1" w:rsidRPr="007B0581" w:rsidRDefault="00140569" w:rsidP="00E9182C">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0646C0">
        <w:rPr>
          <w:rFonts w:ascii="Arial" w:hAnsi="Arial" w:cs="Arial"/>
          <w:b/>
          <w:sz w:val="22"/>
          <w:szCs w:val="22"/>
        </w:rPr>
        <w:t>**********</w:t>
      </w:r>
      <w:r w:rsidR="000646C0">
        <w:rPr>
          <w:rFonts w:ascii="Arial" w:hAnsi="Arial" w:cs="Arial"/>
          <w:b/>
          <w:sz w:val="22"/>
          <w:szCs w:val="22"/>
        </w:rPr>
        <w:t xml:space="preserve"> </w:t>
      </w:r>
      <w:r w:rsidR="00DB0149" w:rsidRPr="007B0581">
        <w:rPr>
          <w:rFonts w:ascii="Arial" w:hAnsi="Arial" w:cs="Arial"/>
          <w:sz w:val="24"/>
          <w:szCs w:val="24"/>
        </w:rPr>
        <w:t xml:space="preserve"> de diez de julio de dos mil diecinueve, signado por el Director General de la Oficina de Pensiones del Estado de Oaxaca,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Dictamen de </w:t>
      </w:r>
      <w:r w:rsidR="00D05077" w:rsidRPr="007B0581">
        <w:rPr>
          <w:rFonts w:ascii="Arial" w:hAnsi="Arial" w:cs="Arial"/>
          <w:sz w:val="24"/>
          <w:szCs w:val="24"/>
        </w:rPr>
        <w:t>P</w:t>
      </w:r>
      <w:r w:rsidR="00DB0149" w:rsidRPr="007B0581">
        <w:rPr>
          <w:rFonts w:ascii="Arial" w:hAnsi="Arial" w:cs="Arial"/>
          <w:sz w:val="24"/>
          <w:szCs w:val="24"/>
        </w:rPr>
        <w:t>ensión por jubilación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120C20" w:rsidRPr="007B0581">
        <w:rPr>
          <w:rFonts w:ascii="Arial" w:hAnsi="Arial" w:cs="Arial"/>
          <w:b/>
          <w:bCs/>
          <w:sz w:val="24"/>
          <w:szCs w:val="24"/>
        </w:rPr>
        <w:t xml:space="preserve">, </w:t>
      </w:r>
      <w:r w:rsidR="00CC7362" w:rsidRPr="00CC7362">
        <w:rPr>
          <w:rFonts w:ascii="Arial" w:hAnsi="Arial" w:cs="Arial"/>
          <w:sz w:val="24"/>
          <w:szCs w:val="24"/>
        </w:rPr>
        <w:t>se</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DB0149" w:rsidRPr="007B0581">
        <w:rPr>
          <w:rFonts w:ascii="Arial" w:hAnsi="Arial" w:cs="Arial"/>
          <w:sz w:val="24"/>
          <w:szCs w:val="24"/>
        </w:rPr>
        <w:t xml:space="preserve">el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carece de una adecuada fundamentación y motivación </w:t>
      </w:r>
      <w:r w:rsidR="00BC2EBC" w:rsidRPr="007B0581">
        <w:rPr>
          <w:rFonts w:ascii="Arial" w:hAnsi="Arial" w:cs="Arial"/>
          <w:sz w:val="24"/>
          <w:szCs w:val="24"/>
        </w:rPr>
        <w:t>al haberle negado y e</w:t>
      </w:r>
      <w:r w:rsidR="00BC2EBC" w:rsidRPr="006C29A8">
        <w:rPr>
          <w:rFonts w:ascii="Arial" w:hAnsi="Arial" w:cs="Arial"/>
          <w:sz w:val="24"/>
          <w:szCs w:val="24"/>
        </w:rPr>
        <w:t>xc</w:t>
      </w:r>
      <w:r w:rsidR="00BC2EBC" w:rsidRPr="007B0581">
        <w:rPr>
          <w:rFonts w:ascii="Arial" w:hAnsi="Arial" w:cs="Arial"/>
          <w:sz w:val="24"/>
          <w:szCs w:val="24"/>
        </w:rPr>
        <w:t>lui</w:t>
      </w:r>
      <w:r w:rsidR="003F738C">
        <w:rPr>
          <w:rFonts w:ascii="Arial" w:hAnsi="Arial" w:cs="Arial"/>
          <w:sz w:val="24"/>
          <w:szCs w:val="24"/>
        </w:rPr>
        <w:t>do</w:t>
      </w:r>
      <w:r w:rsidR="00BC2EBC" w:rsidRPr="007B0581">
        <w:rPr>
          <w:rFonts w:ascii="Arial" w:hAnsi="Arial" w:cs="Arial"/>
          <w:sz w:val="24"/>
          <w:szCs w:val="24"/>
        </w:rPr>
        <w:t xml:space="preserve"> </w:t>
      </w:r>
      <w:r w:rsidR="001E16C9" w:rsidRPr="007B0581">
        <w:rPr>
          <w:rFonts w:ascii="Arial" w:hAnsi="Arial" w:cs="Arial"/>
          <w:sz w:val="24"/>
          <w:szCs w:val="24"/>
        </w:rPr>
        <w:t xml:space="preserve">lo determinado en la fracción I del artículo </w:t>
      </w:r>
      <w:r w:rsidR="008C7879" w:rsidRPr="007B0581">
        <w:rPr>
          <w:rFonts w:ascii="Arial" w:hAnsi="Arial" w:cs="Arial"/>
          <w:sz w:val="24"/>
          <w:szCs w:val="24"/>
        </w:rPr>
        <w:t>5</w:t>
      </w:r>
      <w:r w:rsidR="001E16C9" w:rsidRPr="007B0581">
        <w:rPr>
          <w:rFonts w:ascii="Arial" w:hAnsi="Arial" w:cs="Arial"/>
          <w:sz w:val="24"/>
          <w:szCs w:val="24"/>
        </w:rPr>
        <w:t xml:space="preserve">4 de la </w:t>
      </w:r>
      <w:r w:rsidR="007C0CFD" w:rsidRPr="007B0581">
        <w:rPr>
          <w:rFonts w:ascii="Arial" w:hAnsi="Arial" w:cs="Arial"/>
          <w:sz w:val="24"/>
          <w:szCs w:val="24"/>
        </w:rPr>
        <w:t>L</w:t>
      </w:r>
      <w:r w:rsidR="001E16C9" w:rsidRPr="007B0581">
        <w:rPr>
          <w:rFonts w:ascii="Arial" w:hAnsi="Arial" w:cs="Arial"/>
          <w:sz w:val="24"/>
          <w:szCs w:val="24"/>
        </w:rPr>
        <w:t xml:space="preserve">ey </w:t>
      </w:r>
      <w:r w:rsidR="006E291F" w:rsidRPr="007B0581">
        <w:rPr>
          <w:rFonts w:ascii="Arial" w:hAnsi="Arial" w:cs="Arial"/>
          <w:sz w:val="24"/>
          <w:szCs w:val="24"/>
        </w:rPr>
        <w:t>de Pensiones para los Trabajadores del Gobierno del Estado de Oaxaca</w:t>
      </w:r>
      <w:r w:rsidR="001E16C9" w:rsidRPr="007B0581">
        <w:rPr>
          <w:rFonts w:ascii="Arial" w:hAnsi="Arial" w:cs="Arial"/>
          <w:sz w:val="24"/>
          <w:szCs w:val="24"/>
        </w:rPr>
        <w:t xml:space="preserve">, </w:t>
      </w:r>
      <w:r w:rsidR="006E291F" w:rsidRPr="007B0581">
        <w:rPr>
          <w:rFonts w:ascii="Arial" w:hAnsi="Arial" w:cs="Arial"/>
          <w:sz w:val="24"/>
          <w:szCs w:val="24"/>
        </w:rPr>
        <w:t xml:space="preserve">advirtiéndose </w:t>
      </w:r>
      <w:r w:rsidR="001E16C9" w:rsidRPr="007B0581">
        <w:rPr>
          <w:rFonts w:ascii="Arial" w:hAnsi="Arial" w:cs="Arial"/>
          <w:sz w:val="24"/>
          <w:szCs w:val="24"/>
        </w:rPr>
        <w:t>un trato discriminatorio por parte de</w:t>
      </w:r>
      <w:r w:rsidR="00F8105D" w:rsidRPr="007B0581">
        <w:rPr>
          <w:rFonts w:ascii="Arial" w:hAnsi="Arial" w:cs="Arial"/>
          <w:sz w:val="24"/>
          <w:szCs w:val="24"/>
        </w:rPr>
        <w:t xml:space="preserve"> </w:t>
      </w:r>
      <w:r w:rsidR="001E16C9" w:rsidRPr="007B0581">
        <w:rPr>
          <w:rFonts w:ascii="Arial" w:hAnsi="Arial" w:cs="Arial"/>
          <w:sz w:val="24"/>
          <w:szCs w:val="24"/>
        </w:rPr>
        <w:t>l</w:t>
      </w:r>
      <w:r w:rsidR="00F8105D" w:rsidRPr="007B0581">
        <w:rPr>
          <w:rFonts w:ascii="Arial" w:hAnsi="Arial" w:cs="Arial"/>
          <w:sz w:val="24"/>
          <w:szCs w:val="24"/>
        </w:rPr>
        <w:t>a autoridad demandada</w:t>
      </w:r>
      <w:r w:rsidR="00933BF1" w:rsidRPr="007B0581">
        <w:rPr>
          <w:rFonts w:ascii="Arial" w:hAnsi="Arial" w:cs="Arial"/>
          <w:sz w:val="24"/>
          <w:szCs w:val="24"/>
        </w:rPr>
        <w:t xml:space="preserve">, </w:t>
      </w:r>
      <w:r w:rsidR="00F05D33" w:rsidRPr="007B0581">
        <w:rPr>
          <w:rFonts w:ascii="Arial" w:hAnsi="Arial" w:cs="Arial"/>
          <w:sz w:val="24"/>
          <w:szCs w:val="24"/>
        </w:rPr>
        <w:t xml:space="preserve">al no </w:t>
      </w:r>
      <w:r w:rsidR="00933BF1" w:rsidRPr="007B0581">
        <w:rPr>
          <w:rFonts w:ascii="Arial" w:hAnsi="Arial" w:cs="Arial"/>
          <w:sz w:val="24"/>
          <w:szCs w:val="24"/>
        </w:rPr>
        <w:t xml:space="preserve">haber realizado una interpretación más favorable para </w:t>
      </w:r>
      <w:r w:rsidR="008C7879" w:rsidRPr="007B0581">
        <w:rPr>
          <w:rFonts w:ascii="Arial" w:hAnsi="Arial" w:cs="Arial"/>
          <w:sz w:val="24"/>
          <w:szCs w:val="24"/>
        </w:rPr>
        <w:t>el</w:t>
      </w:r>
      <w:r w:rsidR="00933BF1" w:rsidRPr="007B0581">
        <w:rPr>
          <w:rFonts w:ascii="Arial" w:hAnsi="Arial" w:cs="Arial"/>
          <w:sz w:val="24"/>
          <w:szCs w:val="24"/>
        </w:rPr>
        <w:t xml:space="preserve"> </w:t>
      </w:r>
      <w:r w:rsidR="001968FD" w:rsidRPr="007B0581">
        <w:rPr>
          <w:rFonts w:ascii="Arial" w:hAnsi="Arial" w:cs="Arial"/>
          <w:sz w:val="24"/>
          <w:szCs w:val="24"/>
        </w:rPr>
        <w:t>administrad</w:t>
      </w:r>
      <w:r w:rsidR="008C7879" w:rsidRPr="007B0581">
        <w:rPr>
          <w:rFonts w:ascii="Arial" w:hAnsi="Arial" w:cs="Arial"/>
          <w:sz w:val="24"/>
          <w:szCs w:val="24"/>
        </w:rPr>
        <w:t>o</w:t>
      </w:r>
      <w:r w:rsidR="00933BF1" w:rsidRPr="007B0581">
        <w:rPr>
          <w:rFonts w:ascii="Arial" w:hAnsi="Arial" w:cs="Arial"/>
          <w:sz w:val="24"/>
          <w:szCs w:val="24"/>
        </w:rPr>
        <w:t>, reconociendo el menoscabo de los derechos protegidos</w:t>
      </w:r>
      <w:r w:rsidR="00A441E2">
        <w:rPr>
          <w:rFonts w:ascii="Arial" w:hAnsi="Arial" w:cs="Arial"/>
          <w:sz w:val="24"/>
          <w:szCs w:val="24"/>
        </w:rPr>
        <w:t xml:space="preserve">, debiendo </w:t>
      </w:r>
      <w:r w:rsidR="00933BF1" w:rsidRPr="007B0581">
        <w:rPr>
          <w:rFonts w:ascii="Arial" w:hAnsi="Arial" w:cs="Arial"/>
          <w:sz w:val="24"/>
          <w:szCs w:val="24"/>
        </w:rPr>
        <w:t>actuar a favor de ést</w:t>
      </w:r>
      <w:r w:rsidR="008C7879" w:rsidRPr="007B0581">
        <w:rPr>
          <w:rFonts w:ascii="Arial" w:hAnsi="Arial" w:cs="Arial"/>
          <w:sz w:val="24"/>
          <w:szCs w:val="24"/>
        </w:rPr>
        <w:t>e</w:t>
      </w:r>
      <w:r w:rsidR="00933BF1" w:rsidRPr="007B0581">
        <w:rPr>
          <w:rFonts w:ascii="Arial" w:hAnsi="Arial" w:cs="Arial"/>
          <w:sz w:val="24"/>
          <w:szCs w:val="24"/>
        </w:rPr>
        <w:t>; por lo que</w:t>
      </w:r>
      <w:r w:rsidR="00933BF1" w:rsidRPr="007B0581">
        <w:rPr>
          <w:rFonts w:ascii="Arial" w:hAnsi="Arial" w:cs="Arial"/>
          <w:color w:val="FF0000"/>
          <w:sz w:val="24"/>
          <w:szCs w:val="24"/>
        </w:rPr>
        <w:t xml:space="preserve">, </w:t>
      </w:r>
      <w:r w:rsidR="00F8105D" w:rsidRPr="007B0581">
        <w:rPr>
          <w:rFonts w:ascii="Arial" w:hAnsi="Arial" w:cs="Arial"/>
          <w:sz w:val="24"/>
          <w:szCs w:val="24"/>
        </w:rPr>
        <w:t xml:space="preserve">al concedérsele la jubilación únicamente por el sueldo base sin incluir el pago de las demás prestaciones a las que tenía derecho como trabajador, como son previsión social múltiple, despensa, vida cara, quinquenios, aguinaldo, estimulo del día del jubilado y canasta navideña, aun cuando no encuadre en el supuesto de trabajador de base, </w:t>
      </w:r>
      <w:r w:rsidR="00F05D33" w:rsidRPr="007B0581">
        <w:rPr>
          <w:rFonts w:ascii="Arial" w:hAnsi="Arial" w:cs="Arial"/>
          <w:sz w:val="24"/>
          <w:szCs w:val="24"/>
        </w:rPr>
        <w:t>resulta ser discriminatorio</w:t>
      </w:r>
      <w:r w:rsidR="00A92A66" w:rsidRPr="007B0581">
        <w:rPr>
          <w:rFonts w:ascii="Arial" w:hAnsi="Arial" w:cs="Arial"/>
          <w:sz w:val="24"/>
          <w:szCs w:val="24"/>
        </w:rPr>
        <w:t>.</w:t>
      </w:r>
      <w:r w:rsidR="00F05D33" w:rsidRPr="007B0581">
        <w:rPr>
          <w:rFonts w:ascii="Arial" w:hAnsi="Arial" w:cs="Arial"/>
          <w:sz w:val="24"/>
          <w:szCs w:val="24"/>
        </w:rPr>
        <w:t xml:space="preserve"> </w:t>
      </w:r>
    </w:p>
    <w:p w14:paraId="4CB6C3DE" w14:textId="77777777" w:rsidR="00933BF1" w:rsidRPr="007B0581" w:rsidRDefault="00933BF1" w:rsidP="0069672E">
      <w:pPr>
        <w:ind w:firstLine="709"/>
        <w:contextualSpacing/>
        <w:jc w:val="both"/>
        <w:rPr>
          <w:rFonts w:ascii="Arial" w:hAnsi="Arial" w:cs="Arial"/>
          <w:sz w:val="24"/>
          <w:szCs w:val="24"/>
        </w:rPr>
      </w:pPr>
    </w:p>
    <w:p w14:paraId="717B47AC" w14:textId="51A357CC" w:rsidR="009F28D2" w:rsidRPr="007B0581" w:rsidRDefault="00963117" w:rsidP="009F28D2">
      <w:pPr>
        <w:spacing w:line="360" w:lineRule="auto"/>
        <w:ind w:right="-93" w:firstLine="708"/>
        <w:jc w:val="both"/>
        <w:rPr>
          <w:rFonts w:ascii="Arial" w:hAnsi="Arial" w:cs="Arial"/>
          <w:i/>
          <w:sz w:val="24"/>
          <w:szCs w:val="24"/>
        </w:rPr>
      </w:pPr>
      <w:bookmarkStart w:id="7" w:name="_Hlk84507605"/>
      <w:r>
        <w:rPr>
          <w:rFonts w:ascii="Arial" w:hAnsi="Arial" w:cs="Arial"/>
          <w:sz w:val="24"/>
          <w:szCs w:val="24"/>
        </w:rPr>
        <w:t>Lo</w:t>
      </w:r>
      <w:r w:rsidR="009F28D2" w:rsidRPr="007B0581">
        <w:rPr>
          <w:rFonts w:ascii="Arial" w:hAnsi="Arial" w:cs="Arial"/>
          <w:sz w:val="24"/>
          <w:szCs w:val="24"/>
        </w:rPr>
        <w:t xml:space="preserve"> anterior en razón que la citada disposición, al efectuar tal distinción entre personal de base y de confianza,  contraviene el principio de igualdad que tiene un carácter fundamentalmente adjetivo y por tanto debe ser observado acorde a lo establecido </w:t>
      </w:r>
      <w:r w:rsidR="00FC3FED">
        <w:rPr>
          <w:rFonts w:ascii="Arial" w:hAnsi="Arial" w:cs="Arial"/>
          <w:sz w:val="24"/>
          <w:szCs w:val="24"/>
        </w:rPr>
        <w:t>por</w:t>
      </w:r>
      <w:r w:rsidR="009F28D2" w:rsidRPr="007B0581">
        <w:rPr>
          <w:rFonts w:ascii="Arial" w:hAnsi="Arial" w:cs="Arial"/>
          <w:sz w:val="24"/>
          <w:szCs w:val="24"/>
        </w:rPr>
        <w:t xml:space="preserve"> el artículo 1</w:t>
      </w:r>
      <w:r w:rsidR="0037665E">
        <w:rPr>
          <w:rFonts w:ascii="Arial" w:hAnsi="Arial" w:cs="Arial"/>
          <w:sz w:val="24"/>
          <w:szCs w:val="24"/>
        </w:rPr>
        <w:t>º</w:t>
      </w:r>
      <w:r w:rsidR="009F28D2" w:rsidRPr="007B0581">
        <w:rPr>
          <w:rFonts w:ascii="Arial" w:hAnsi="Arial" w:cs="Arial"/>
          <w:sz w:val="24"/>
          <w:szCs w:val="24"/>
        </w:rPr>
        <w:t xml:space="preserve"> de la Constitución Federal, pues dicha disposición no contiene ningún motivo o razón que la sustente, ya que el actor cumplió con todos los requisitos establecidos </w:t>
      </w:r>
      <w:r w:rsidR="00313AD5">
        <w:rPr>
          <w:rFonts w:ascii="Arial" w:hAnsi="Arial" w:cs="Arial"/>
          <w:sz w:val="24"/>
          <w:szCs w:val="24"/>
        </w:rPr>
        <w:t>por la</w:t>
      </w:r>
      <w:r w:rsidR="009F28D2" w:rsidRPr="007B0581">
        <w:rPr>
          <w:rFonts w:ascii="Arial" w:hAnsi="Arial" w:cs="Arial"/>
          <w:sz w:val="24"/>
          <w:szCs w:val="24"/>
        </w:rPr>
        <w:t xml:space="preserve"> ley (edad, años de servicio y aportaciones correspondientes) para obtener los mismos beneficios que un trabajador de base, ya que considerar lo contrario, genera un trato discriminatorio a la relación laboral; debiendo el Consejo Directivo de la Oficina de Pensiones del Estado de Oaxaca, realizar una interpretación más favorable para el actor, reconociendo el menoscabo </w:t>
      </w:r>
      <w:r w:rsidR="009F28D2" w:rsidRPr="007B0581">
        <w:rPr>
          <w:rFonts w:ascii="Arial" w:hAnsi="Arial" w:cs="Arial"/>
          <w:sz w:val="24"/>
          <w:szCs w:val="24"/>
        </w:rPr>
        <w:lastRenderedPageBreak/>
        <w:t>de los derechos protegidos y actuar a favor de éste,</w:t>
      </w:r>
      <w:r w:rsidR="00DB0CAF">
        <w:rPr>
          <w:rFonts w:ascii="Arial" w:hAnsi="Arial" w:cs="Arial"/>
          <w:sz w:val="24"/>
          <w:szCs w:val="24"/>
        </w:rPr>
        <w:t xml:space="preserve"> </w:t>
      </w:r>
      <w:r w:rsidR="00505CED" w:rsidRPr="007B0581">
        <w:rPr>
          <w:rFonts w:ascii="Arial" w:hAnsi="Arial" w:cs="Arial"/>
          <w:sz w:val="24"/>
          <w:szCs w:val="24"/>
        </w:rPr>
        <w:t>otorgá</w:t>
      </w:r>
      <w:r w:rsidR="00505CED">
        <w:rPr>
          <w:rFonts w:ascii="Arial" w:hAnsi="Arial" w:cs="Arial"/>
          <w:sz w:val="24"/>
          <w:szCs w:val="24"/>
        </w:rPr>
        <w:t>ndo</w:t>
      </w:r>
      <w:r w:rsidR="00505CED" w:rsidRPr="007B0581">
        <w:rPr>
          <w:rFonts w:ascii="Arial" w:hAnsi="Arial" w:cs="Arial"/>
          <w:sz w:val="24"/>
          <w:szCs w:val="24"/>
        </w:rPr>
        <w:t>le</w:t>
      </w:r>
      <w:r w:rsidR="009F28D2" w:rsidRPr="007B0581">
        <w:rPr>
          <w:rFonts w:ascii="Arial" w:hAnsi="Arial" w:cs="Arial"/>
          <w:sz w:val="24"/>
          <w:szCs w:val="24"/>
        </w:rPr>
        <w:t xml:space="preserve"> </w:t>
      </w:r>
      <w:r w:rsidR="00DB0CAF">
        <w:rPr>
          <w:rFonts w:ascii="Arial" w:hAnsi="Arial" w:cs="Arial"/>
          <w:sz w:val="24"/>
          <w:szCs w:val="24"/>
        </w:rPr>
        <w:t>una</w:t>
      </w:r>
      <w:r w:rsidR="009F28D2" w:rsidRPr="007B0581">
        <w:rPr>
          <w:rFonts w:ascii="Arial" w:hAnsi="Arial" w:cs="Arial"/>
          <w:sz w:val="24"/>
          <w:szCs w:val="24"/>
        </w:rPr>
        <w:t xml:space="preserve"> pensión,</w:t>
      </w:r>
      <w:r w:rsidR="00DB0CAF">
        <w:rPr>
          <w:rFonts w:ascii="Arial" w:hAnsi="Arial" w:cs="Arial"/>
          <w:sz w:val="24"/>
          <w:szCs w:val="24"/>
        </w:rPr>
        <w:t xml:space="preserve"> con</w:t>
      </w:r>
      <w:r w:rsidR="009F28D2" w:rsidRPr="007B0581">
        <w:rPr>
          <w:rFonts w:ascii="Arial" w:hAnsi="Arial" w:cs="Arial"/>
          <w:sz w:val="24"/>
          <w:szCs w:val="24"/>
        </w:rPr>
        <w:t xml:space="preserve"> las prestaciones que establece la fracción I del artículo 54 de la Ley de Pensiones en cita, tales como previsión social múltiple, despensa, vida cara, quinquenios, aguinaldo, estímulo del día del jubilado y canasta navideña. Sirv</w:t>
      </w:r>
      <w:r w:rsidR="003A640E">
        <w:rPr>
          <w:rFonts w:ascii="Arial" w:hAnsi="Arial" w:cs="Arial"/>
          <w:sz w:val="24"/>
          <w:szCs w:val="24"/>
        </w:rPr>
        <w:t>e</w:t>
      </w:r>
      <w:r w:rsidR="009F28D2" w:rsidRPr="007B0581">
        <w:rPr>
          <w:rFonts w:ascii="Arial" w:hAnsi="Arial" w:cs="Arial"/>
          <w:sz w:val="24"/>
          <w:szCs w:val="24"/>
        </w:rPr>
        <w:t xml:space="preserve"> de apoyo a lo antes vertido la Jurisprudencia en materia Constitucional y Laboral, Novena Época, registro electrónico 170892 de rubro: </w:t>
      </w:r>
      <w:r w:rsidR="009F28D2"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14:paraId="015F7D0F" w14:textId="77777777" w:rsidR="007C0CFD" w:rsidRPr="007B0581" w:rsidRDefault="007C0CFD" w:rsidP="004D530A">
      <w:pPr>
        <w:ind w:right="-91" w:firstLine="709"/>
        <w:contextualSpacing/>
        <w:jc w:val="both"/>
        <w:rPr>
          <w:rFonts w:ascii="Arial" w:hAnsi="Arial" w:cs="Arial"/>
          <w:sz w:val="24"/>
          <w:szCs w:val="24"/>
        </w:rPr>
      </w:pPr>
    </w:p>
    <w:p w14:paraId="5356B3BA" w14:textId="77777777" w:rsidR="005172E3" w:rsidRDefault="009F28D2" w:rsidP="009F28D2">
      <w:pPr>
        <w:spacing w:line="360" w:lineRule="auto"/>
        <w:ind w:firstLine="708"/>
        <w:jc w:val="both"/>
        <w:rPr>
          <w:rFonts w:ascii="Arial" w:hAnsi="Arial" w:cs="Arial"/>
          <w:sz w:val="24"/>
          <w:szCs w:val="24"/>
        </w:rPr>
      </w:pPr>
      <w:r w:rsidRPr="007B0581">
        <w:rPr>
          <w:rFonts w:ascii="Arial" w:hAnsi="Arial" w:cs="Arial"/>
          <w:sz w:val="24"/>
          <w:szCs w:val="24"/>
        </w:rPr>
        <w:t>El derecho a la No Discriminación reconocido en el artículo 1</w:t>
      </w:r>
      <w:r w:rsidR="00505CED">
        <w:rPr>
          <w:rFonts w:ascii="Arial" w:hAnsi="Arial" w:cs="Arial"/>
          <w:sz w:val="24"/>
          <w:szCs w:val="24"/>
        </w:rPr>
        <w:t>º</w:t>
      </w:r>
      <w:r w:rsidRPr="007B0581">
        <w:rPr>
          <w:rFonts w:ascii="Arial" w:hAnsi="Arial" w:cs="Arial"/>
          <w:sz w:val="24"/>
          <w:szCs w:val="24"/>
        </w:rPr>
        <w:t xml:space="preserve"> de la Constitución Política de los Estados Unidos Mexicanos, </w:t>
      </w:r>
      <w:r w:rsidR="00F34C0A">
        <w:rPr>
          <w:rFonts w:ascii="Arial" w:hAnsi="Arial" w:cs="Arial"/>
          <w:sz w:val="24"/>
          <w:szCs w:val="24"/>
        </w:rPr>
        <w:t>prohíbe</w:t>
      </w:r>
      <w:r w:rsidRPr="007B0581">
        <w:rPr>
          <w:rFonts w:ascii="Arial" w:hAnsi="Arial" w:cs="Arial"/>
          <w:sz w:val="24"/>
          <w:szCs w:val="24"/>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w:t>
      </w:r>
      <w:r w:rsidR="005172E3">
        <w:rPr>
          <w:rFonts w:ascii="Arial" w:hAnsi="Arial" w:cs="Arial"/>
          <w:sz w:val="24"/>
          <w:szCs w:val="24"/>
        </w:rPr>
        <w:t>,</w:t>
      </w:r>
      <w:r w:rsidRPr="007B0581">
        <w:rPr>
          <w:rFonts w:ascii="Arial" w:hAnsi="Arial" w:cs="Arial"/>
          <w:sz w:val="24"/>
          <w:szCs w:val="24"/>
        </w:rPr>
        <w:t xml:space="preserve"> que los requisitos para que se les otorgue la pensión y determinar su cálculo no deben ser distintas, porque aun cuando el artículo </w:t>
      </w:r>
      <w:r w:rsidRPr="00E64C56">
        <w:rPr>
          <w:rFonts w:ascii="Arial" w:hAnsi="Arial" w:cs="Arial"/>
          <w:sz w:val="24"/>
          <w:szCs w:val="24"/>
        </w:rPr>
        <w:t>12</w:t>
      </w:r>
      <w:r w:rsidRPr="007B0581">
        <w:rPr>
          <w:rFonts w:ascii="Arial" w:hAnsi="Arial" w:cs="Arial"/>
          <w:sz w:val="24"/>
          <w:szCs w:val="24"/>
        </w:rPr>
        <w:t xml:space="preserve">3 Constitucional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w:t>
      </w:r>
      <w:r w:rsidR="005172E3">
        <w:rPr>
          <w:rFonts w:ascii="Arial" w:hAnsi="Arial" w:cs="Arial"/>
          <w:sz w:val="24"/>
          <w:szCs w:val="24"/>
        </w:rPr>
        <w:t>asunto</w:t>
      </w:r>
      <w:r w:rsidR="00A95AF1">
        <w:rPr>
          <w:rFonts w:ascii="Arial" w:hAnsi="Arial" w:cs="Arial"/>
          <w:sz w:val="24"/>
          <w:szCs w:val="24"/>
        </w:rPr>
        <w:t>,</w:t>
      </w:r>
      <w:r w:rsidR="00D70C8E">
        <w:rPr>
          <w:rFonts w:ascii="Arial" w:hAnsi="Arial" w:cs="Arial"/>
          <w:sz w:val="24"/>
          <w:szCs w:val="24"/>
        </w:rPr>
        <w:t xml:space="preserve"> </w:t>
      </w:r>
      <w:r w:rsidRPr="007B0581">
        <w:rPr>
          <w:rFonts w:ascii="Arial" w:hAnsi="Arial" w:cs="Arial"/>
          <w:sz w:val="24"/>
          <w:szCs w:val="24"/>
        </w:rPr>
        <w:t>pues se redujeron los beneficios a que tiene derecho el hoy actor</w:t>
      </w:r>
      <w:r w:rsidR="005172E3">
        <w:rPr>
          <w:rFonts w:ascii="Arial" w:hAnsi="Arial" w:cs="Arial"/>
          <w:sz w:val="24"/>
          <w:szCs w:val="24"/>
        </w:rPr>
        <w:t>.</w:t>
      </w:r>
      <w:r w:rsidR="00D70C8E">
        <w:rPr>
          <w:rFonts w:ascii="Arial" w:hAnsi="Arial" w:cs="Arial"/>
          <w:sz w:val="24"/>
          <w:szCs w:val="24"/>
        </w:rPr>
        <w:t xml:space="preserve">  </w:t>
      </w:r>
    </w:p>
    <w:p w14:paraId="04AB15E5" w14:textId="77777777" w:rsidR="005172E3" w:rsidRDefault="005172E3" w:rsidP="009F28D2">
      <w:pPr>
        <w:spacing w:line="360" w:lineRule="auto"/>
        <w:ind w:firstLine="708"/>
        <w:jc w:val="both"/>
        <w:rPr>
          <w:rFonts w:ascii="Arial" w:hAnsi="Arial" w:cs="Arial"/>
          <w:sz w:val="24"/>
          <w:szCs w:val="24"/>
        </w:rPr>
      </w:pPr>
    </w:p>
    <w:p w14:paraId="1A111194" w14:textId="3D74A661" w:rsidR="009F28D2" w:rsidRPr="007B0581" w:rsidRDefault="005172E3" w:rsidP="009F28D2">
      <w:pPr>
        <w:spacing w:line="360" w:lineRule="auto"/>
        <w:ind w:firstLine="708"/>
        <w:jc w:val="both"/>
        <w:rPr>
          <w:rFonts w:ascii="Arial" w:hAnsi="Arial" w:cs="Arial"/>
          <w:sz w:val="24"/>
          <w:szCs w:val="24"/>
        </w:rPr>
      </w:pPr>
      <w:r>
        <w:rPr>
          <w:rFonts w:ascii="Arial" w:hAnsi="Arial" w:cs="Arial"/>
          <w:sz w:val="24"/>
          <w:szCs w:val="24"/>
        </w:rPr>
        <w:t xml:space="preserve">Así mismo,  </w:t>
      </w:r>
      <w:r w:rsidR="00D70C8E">
        <w:rPr>
          <w:rFonts w:ascii="Arial" w:hAnsi="Arial" w:cs="Arial"/>
          <w:sz w:val="24"/>
          <w:szCs w:val="24"/>
        </w:rPr>
        <w:t xml:space="preserve">se </w:t>
      </w:r>
      <w:r>
        <w:rPr>
          <w:rFonts w:ascii="Arial" w:hAnsi="Arial" w:cs="Arial"/>
          <w:sz w:val="24"/>
          <w:szCs w:val="24"/>
        </w:rPr>
        <w:t xml:space="preserve">advierte que la autoridad demandada, dejó </w:t>
      </w:r>
      <w:r w:rsidR="00D70C8E">
        <w:rPr>
          <w:rFonts w:ascii="Arial" w:hAnsi="Arial" w:cs="Arial"/>
          <w:sz w:val="24"/>
          <w:szCs w:val="24"/>
        </w:rPr>
        <w:t>de observar que las autoridades del estado mexicano</w:t>
      </w:r>
      <w:r>
        <w:rPr>
          <w:rFonts w:ascii="Arial" w:hAnsi="Arial" w:cs="Arial"/>
          <w:sz w:val="24"/>
          <w:szCs w:val="24"/>
        </w:rPr>
        <w:t>,</w:t>
      </w:r>
      <w:r w:rsidR="00D70C8E">
        <w:rPr>
          <w:rFonts w:ascii="Arial" w:hAnsi="Arial" w:cs="Arial"/>
          <w:sz w:val="24"/>
          <w:szCs w:val="24"/>
        </w:rPr>
        <w:t xml:space="preserve"> en el ámbito de sus competencias</w:t>
      </w:r>
      <w:r>
        <w:rPr>
          <w:rFonts w:ascii="Arial" w:hAnsi="Arial" w:cs="Arial"/>
          <w:sz w:val="24"/>
          <w:szCs w:val="24"/>
        </w:rPr>
        <w:t>,</w:t>
      </w:r>
      <w:r w:rsidR="00D70C8E">
        <w:rPr>
          <w:rFonts w:ascii="Arial" w:hAnsi="Arial" w:cs="Arial"/>
          <w:sz w:val="24"/>
          <w:szCs w:val="24"/>
        </w:rPr>
        <w:t xml:space="preserve"> deben garantizar el respeto, </w:t>
      </w:r>
      <w:r>
        <w:rPr>
          <w:rFonts w:ascii="Arial" w:hAnsi="Arial" w:cs="Arial"/>
          <w:sz w:val="24"/>
          <w:szCs w:val="24"/>
        </w:rPr>
        <w:t xml:space="preserve">la </w:t>
      </w:r>
      <w:r w:rsidR="00D70C8E">
        <w:rPr>
          <w:rFonts w:ascii="Arial" w:hAnsi="Arial" w:cs="Arial"/>
          <w:sz w:val="24"/>
          <w:szCs w:val="24"/>
        </w:rPr>
        <w:t xml:space="preserve">protección y </w:t>
      </w:r>
      <w:r>
        <w:rPr>
          <w:rFonts w:ascii="Arial" w:hAnsi="Arial" w:cs="Arial"/>
          <w:sz w:val="24"/>
          <w:szCs w:val="24"/>
        </w:rPr>
        <w:t>los</w:t>
      </w:r>
      <w:r w:rsidR="00D70C8E">
        <w:rPr>
          <w:rFonts w:ascii="Arial" w:hAnsi="Arial" w:cs="Arial"/>
          <w:sz w:val="24"/>
          <w:szCs w:val="24"/>
        </w:rPr>
        <w:t xml:space="preserve"> derechos</w:t>
      </w:r>
      <w:r>
        <w:rPr>
          <w:rFonts w:ascii="Arial" w:hAnsi="Arial" w:cs="Arial"/>
          <w:sz w:val="24"/>
          <w:szCs w:val="24"/>
        </w:rPr>
        <w:t xml:space="preserve"> de los gobernados, </w:t>
      </w:r>
      <w:r w:rsidR="009F28D2" w:rsidRPr="007B0581">
        <w:rPr>
          <w:rFonts w:ascii="Arial" w:hAnsi="Arial" w:cs="Arial"/>
          <w:sz w:val="24"/>
          <w:szCs w:val="24"/>
        </w:rPr>
        <w:t>resultando evidente la inconvencionalidad de la no aplicación de lo establecido en el artículo 54, fracción I de la Ley de Pensiones para los Trabajadores del Gobierno del Estado de Oaxaca, al violentar el Principio de Igualdad jurídica contenido en el artículo 1</w:t>
      </w:r>
      <w:r w:rsidR="00E64C56">
        <w:rPr>
          <w:rFonts w:ascii="Arial" w:hAnsi="Arial" w:cs="Arial"/>
          <w:sz w:val="24"/>
          <w:szCs w:val="24"/>
        </w:rPr>
        <w:t>º</w:t>
      </w:r>
      <w:r w:rsidR="009F28D2" w:rsidRPr="007B0581">
        <w:rPr>
          <w:rFonts w:ascii="Arial" w:hAnsi="Arial" w:cs="Arial"/>
          <w:sz w:val="24"/>
          <w:szCs w:val="24"/>
        </w:rPr>
        <w:t xml:space="preserve"> de nuestra Carga Magna, pues establece un trato desigual al otorgar la pensión</w:t>
      </w:r>
      <w:r w:rsidR="00313AD5">
        <w:rPr>
          <w:rFonts w:ascii="Arial" w:hAnsi="Arial" w:cs="Arial"/>
          <w:sz w:val="24"/>
          <w:szCs w:val="24"/>
        </w:rPr>
        <w:t xml:space="preserve"> con todas sus prestaciones</w:t>
      </w:r>
      <w:r w:rsidR="009F28D2" w:rsidRPr="007B0581">
        <w:rPr>
          <w:rFonts w:ascii="Arial" w:hAnsi="Arial" w:cs="Arial"/>
          <w:sz w:val="24"/>
          <w:szCs w:val="24"/>
        </w:rPr>
        <w:t xml:space="preserve"> a un trabajador de base</w:t>
      </w:r>
      <w:r w:rsidR="00E64C56">
        <w:rPr>
          <w:rFonts w:ascii="Arial" w:hAnsi="Arial" w:cs="Arial"/>
          <w:sz w:val="24"/>
          <w:szCs w:val="24"/>
        </w:rPr>
        <w:t>,</w:t>
      </w:r>
      <w:r w:rsidR="009F28D2" w:rsidRPr="007B0581">
        <w:rPr>
          <w:rFonts w:ascii="Arial" w:hAnsi="Arial" w:cs="Arial"/>
          <w:sz w:val="24"/>
          <w:szCs w:val="24"/>
        </w:rPr>
        <w:t xml:space="preserve"> </w:t>
      </w:r>
      <w:r w:rsidR="00E64C56">
        <w:rPr>
          <w:rFonts w:ascii="Arial" w:hAnsi="Arial" w:cs="Arial"/>
          <w:sz w:val="24"/>
          <w:szCs w:val="24"/>
        </w:rPr>
        <w:t>no así a</w:t>
      </w:r>
      <w:r w:rsidR="009F28D2" w:rsidRPr="007B0581">
        <w:rPr>
          <w:rFonts w:ascii="Arial" w:hAnsi="Arial" w:cs="Arial"/>
          <w:sz w:val="24"/>
          <w:szCs w:val="24"/>
        </w:rPr>
        <w:t xml:space="preserve"> uno de confianza, desconociendo la igualdad de todas las personas.</w:t>
      </w:r>
    </w:p>
    <w:p w14:paraId="1BDC1596" w14:textId="77777777" w:rsidR="009F28D2" w:rsidRPr="007B0581" w:rsidRDefault="009F28D2" w:rsidP="009F28D2">
      <w:pPr>
        <w:ind w:firstLine="709"/>
        <w:contextualSpacing/>
        <w:jc w:val="both"/>
        <w:rPr>
          <w:rFonts w:ascii="Arial" w:hAnsi="Arial" w:cs="Arial"/>
          <w:sz w:val="24"/>
          <w:szCs w:val="24"/>
        </w:rPr>
      </w:pPr>
    </w:p>
    <w:p w14:paraId="1C0A5B71" w14:textId="3AE5024E" w:rsidR="009F28D2" w:rsidRPr="007B0581" w:rsidRDefault="001F71A7" w:rsidP="009F28D2">
      <w:pPr>
        <w:spacing w:line="360" w:lineRule="auto"/>
        <w:ind w:firstLine="708"/>
        <w:jc w:val="both"/>
        <w:rPr>
          <w:rFonts w:ascii="Arial" w:hAnsi="Arial" w:cs="Arial"/>
          <w:sz w:val="24"/>
          <w:szCs w:val="24"/>
        </w:rPr>
      </w:pPr>
      <w:bookmarkStart w:id="8" w:name="_Hlk84507799"/>
      <w:bookmarkEnd w:id="7"/>
      <w:r>
        <w:rPr>
          <w:rFonts w:ascii="Arial" w:hAnsi="Arial" w:cs="Arial"/>
          <w:sz w:val="24"/>
          <w:szCs w:val="24"/>
        </w:rPr>
        <w:t>En lo que se</w:t>
      </w:r>
      <w:r w:rsidR="009F28D2" w:rsidRPr="007B0581">
        <w:rPr>
          <w:rFonts w:ascii="Arial" w:hAnsi="Arial" w:cs="Arial"/>
          <w:sz w:val="24"/>
          <w:szCs w:val="24"/>
        </w:rPr>
        <w:t xml:space="preserve"> refiere al segundo concepto de impugnación hecho valer por el actor, consistente en la reducción del 9% de su pensión, como aportación al Fondo de Pensiones, resulta </w:t>
      </w:r>
      <w:r w:rsidR="009F28D2" w:rsidRPr="007B0581">
        <w:rPr>
          <w:rFonts w:ascii="Arial" w:hAnsi="Arial" w:cs="Arial"/>
          <w:b/>
          <w:bCs/>
          <w:sz w:val="24"/>
          <w:szCs w:val="24"/>
        </w:rPr>
        <w:t>fundado</w:t>
      </w:r>
      <w:r w:rsidR="009F28D2" w:rsidRPr="007B0581">
        <w:rPr>
          <w:rFonts w:ascii="Arial" w:hAnsi="Arial" w:cs="Arial"/>
          <w:sz w:val="24"/>
          <w:szCs w:val="24"/>
        </w:rPr>
        <w:t xml:space="preserve"> en cuanto a su inconstitucionalidad, en razón que el aludido descuento fue sustentado en los artículos 6, fracción III, 18, párrafo segundo y Octavo Transitorio de la Ley de Pensiones para los Trabajadores del Gobierno del Estado de Oaxaca, artículos que </w:t>
      </w:r>
      <w:r w:rsidR="0079269A">
        <w:rPr>
          <w:rFonts w:ascii="Arial" w:hAnsi="Arial" w:cs="Arial"/>
          <w:sz w:val="24"/>
          <w:szCs w:val="24"/>
        </w:rPr>
        <w:t>son</w:t>
      </w:r>
      <w:r w:rsidR="009F28D2" w:rsidRPr="007B0581">
        <w:rPr>
          <w:rFonts w:ascii="Arial" w:hAnsi="Arial" w:cs="Arial"/>
          <w:sz w:val="24"/>
          <w:szCs w:val="24"/>
        </w:rPr>
        <w:t xml:space="preserve"> considerados violatorios del derecho humano </w:t>
      </w:r>
      <w:r w:rsidR="009F28D2" w:rsidRPr="007B0581">
        <w:rPr>
          <w:rFonts w:ascii="Arial" w:hAnsi="Arial" w:cs="Arial"/>
          <w:sz w:val="24"/>
          <w:szCs w:val="24"/>
        </w:rPr>
        <w:lastRenderedPageBreak/>
        <w:t>a la seguridad social</w:t>
      </w:r>
      <w:r w:rsidR="00275CCE" w:rsidRPr="00275CCE">
        <w:rPr>
          <w:rFonts w:ascii="Arial" w:hAnsi="Arial" w:cs="Arial"/>
          <w:sz w:val="24"/>
          <w:szCs w:val="24"/>
        </w:rPr>
        <w:t xml:space="preserve"> </w:t>
      </w:r>
      <w:r w:rsidR="00275CCE" w:rsidRPr="007B0581">
        <w:rPr>
          <w:rFonts w:ascii="Arial" w:hAnsi="Arial" w:cs="Arial"/>
          <w:sz w:val="24"/>
          <w:szCs w:val="24"/>
        </w:rPr>
        <w:t xml:space="preserve">por </w:t>
      </w:r>
      <w:r w:rsidR="00D71778">
        <w:rPr>
          <w:rFonts w:ascii="Arial" w:hAnsi="Arial" w:cs="Arial"/>
          <w:sz w:val="24"/>
          <w:szCs w:val="24"/>
        </w:rPr>
        <w:t>la Suprema corte de Justicia de la Nación</w:t>
      </w:r>
      <w:r w:rsidR="00275CCE" w:rsidRPr="007B0581">
        <w:rPr>
          <w:rFonts w:ascii="Arial" w:hAnsi="Arial" w:cs="Arial"/>
          <w:sz w:val="24"/>
          <w:szCs w:val="24"/>
        </w:rPr>
        <w:t>, quien consideró que la aportación regulada por el legislador local, no encuadra en ninguna de las hipótesis permitidas, ya que se traduce en un descuento indebido del monto de la pensión jubilatoria, encaminado a constituir el fondo monetario con el que se cubriría la misma.</w:t>
      </w:r>
    </w:p>
    <w:p w14:paraId="5462ACF4" w14:textId="77777777" w:rsidR="009F28D2" w:rsidRPr="007B0581" w:rsidRDefault="009F28D2" w:rsidP="009F28D2">
      <w:pPr>
        <w:ind w:firstLine="709"/>
        <w:contextualSpacing/>
        <w:jc w:val="both"/>
        <w:rPr>
          <w:rFonts w:ascii="Arial" w:hAnsi="Arial" w:cs="Arial"/>
          <w:sz w:val="24"/>
          <w:szCs w:val="24"/>
        </w:rPr>
      </w:pPr>
    </w:p>
    <w:p w14:paraId="6892019A" w14:textId="6837685A" w:rsidR="009F28D2" w:rsidRPr="007B0581" w:rsidRDefault="009F28D2" w:rsidP="009F28D2">
      <w:pPr>
        <w:spacing w:line="360" w:lineRule="auto"/>
        <w:ind w:firstLine="708"/>
        <w:jc w:val="both"/>
        <w:rPr>
          <w:rFonts w:ascii="Arial" w:hAnsi="Arial" w:cs="Arial"/>
          <w:b/>
          <w:bCs/>
          <w:i/>
          <w:iCs/>
          <w:sz w:val="24"/>
          <w:szCs w:val="24"/>
        </w:rPr>
      </w:pPr>
      <w:r w:rsidRPr="007B0581">
        <w:rPr>
          <w:rFonts w:ascii="Arial" w:hAnsi="Arial" w:cs="Arial"/>
          <w:sz w:val="24"/>
          <w:szCs w:val="24"/>
        </w:rPr>
        <w:t>As</w:t>
      </w:r>
      <w:r w:rsidR="009228A3">
        <w:rPr>
          <w:rFonts w:ascii="Arial" w:hAnsi="Arial" w:cs="Arial"/>
          <w:sz w:val="24"/>
          <w:szCs w:val="24"/>
        </w:rPr>
        <w:t>i</w:t>
      </w:r>
      <w:r w:rsidRPr="007B0581">
        <w:rPr>
          <w:rFonts w:ascii="Arial" w:hAnsi="Arial" w:cs="Arial"/>
          <w:sz w:val="24"/>
          <w:szCs w:val="24"/>
        </w:rPr>
        <w:t xml:space="preserve">mismo, los artículos señalados en el párrafo próximo anterior violan el Principio de Igualdad al ubicar a los trabajadores jubilados y pensionados en hipótesis diferentes, y </w:t>
      </w:r>
      <w:r w:rsidR="00516A40" w:rsidRPr="007B0581">
        <w:rPr>
          <w:rFonts w:ascii="Arial" w:hAnsi="Arial" w:cs="Arial"/>
          <w:sz w:val="24"/>
          <w:szCs w:val="24"/>
        </w:rPr>
        <w:t>aun</w:t>
      </w:r>
      <w:r w:rsidRPr="007B0581">
        <w:rPr>
          <w:rFonts w:ascii="Arial" w:hAnsi="Arial" w:cs="Arial"/>
          <w:sz w:val="24"/>
          <w:szCs w:val="24"/>
        </w:rPr>
        <w:t xml:space="preserve"> así les impone el pago de la cuota del 9% de su sueldo base, no obstante las diferencias esenciales existentes entre trabajadores activos, jubilados y pensionados; por lo que,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se supone que ya realizó la aportación correspondiente durante su vida laboral en activo, resultando el actuar del Consejo Directivo de la Oficina de Pensiones violatorio del artículo 1</w:t>
      </w:r>
      <w:r w:rsidR="00A80309">
        <w:rPr>
          <w:rFonts w:ascii="Arial" w:hAnsi="Arial" w:cs="Arial"/>
          <w:sz w:val="24"/>
          <w:szCs w:val="24"/>
        </w:rPr>
        <w:t>º</w:t>
      </w:r>
      <w:r w:rsidRPr="007B0581">
        <w:rPr>
          <w:rFonts w:ascii="Arial" w:hAnsi="Arial" w:cs="Arial"/>
          <w:sz w:val="24"/>
          <w:szCs w:val="24"/>
        </w:rPr>
        <w:t xml:space="preserve"> Constitucional, en perjuicio del actor, que contempla el Derecho a la Igualdad y a la No Discriminación, y por ende la ilegalidad del descuento del 9% que impuso a la pensión obsequiada. Sirva de apoyo a lo antes vertido las Jurisprudencias en Materia Constitucional, Décima Época, registros electrónicos 2019325 y 2007629 de rubros siguientes: </w:t>
      </w:r>
      <w:r w:rsidRPr="007B0581">
        <w:rPr>
          <w:rFonts w:ascii="Arial" w:hAnsi="Arial" w:cs="Arial"/>
          <w:i/>
          <w:iCs/>
          <w:sz w:val="24"/>
          <w:szCs w:val="24"/>
        </w:rPr>
        <w:t>“</w:t>
      </w:r>
      <w:r w:rsidRPr="007B0581">
        <w:rPr>
          <w:rFonts w:ascii="Arial" w:hAnsi="Arial" w:cs="Arial"/>
          <w:b/>
          <w:bCs/>
          <w:i/>
          <w:iCs/>
          <w:sz w:val="24"/>
          <w:szCs w:val="24"/>
        </w:rPr>
        <w:t xml:space="preserve">PRINCIPIO DE PROGRESIVIDAD DE LOS DERECHOS HUMANOS. SU NATURAELZA Y FUNCIÓN DEL ESTADO MEXICANO” </w:t>
      </w:r>
      <w:r w:rsidRPr="007B0581">
        <w:rPr>
          <w:rFonts w:ascii="Arial" w:hAnsi="Arial" w:cs="Arial"/>
          <w:i/>
          <w:iCs/>
          <w:sz w:val="24"/>
          <w:szCs w:val="24"/>
        </w:rPr>
        <w:t xml:space="preserve">y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bookmarkEnd w:id="8"/>
    <w:p w14:paraId="277D81D8" w14:textId="77777777" w:rsidR="009F28D2" w:rsidRPr="007B0581" w:rsidRDefault="009F28D2" w:rsidP="005172E3">
      <w:pPr>
        <w:ind w:right="-91" w:firstLine="709"/>
        <w:contextualSpacing/>
        <w:jc w:val="both"/>
        <w:rPr>
          <w:rFonts w:ascii="Arial" w:hAnsi="Arial" w:cs="Arial"/>
          <w:sz w:val="24"/>
          <w:szCs w:val="24"/>
        </w:rPr>
      </w:pPr>
    </w:p>
    <w:p w14:paraId="3A6B85A4" w14:textId="056B3D01" w:rsidR="00A5533C" w:rsidRPr="007B0581" w:rsidRDefault="1FE0319C" w:rsidP="007B0581">
      <w:pPr>
        <w:spacing w:line="360" w:lineRule="auto"/>
        <w:ind w:firstLine="708"/>
        <w:jc w:val="both"/>
        <w:rPr>
          <w:rFonts w:ascii="Arial" w:hAnsi="Arial" w:cs="Arial"/>
          <w:color w:val="FF0000"/>
          <w:sz w:val="24"/>
          <w:szCs w:val="24"/>
        </w:rPr>
      </w:pPr>
      <w:r w:rsidRPr="1FE0319C">
        <w:rPr>
          <w:rFonts w:ascii="Arial" w:hAnsi="Arial" w:cs="Arial"/>
          <w:sz w:val="24"/>
          <w:szCs w:val="24"/>
        </w:rPr>
        <w:t xml:space="preserve">De lo antes expuesto, al aplicar la autoridad demandada un criterio discriminatorio entre los trabajadores de base y los de confianza, llegando al absurdo que sólo el primero de ellos, tiene derecho a que se le tomen en cuenta para el otorgamiento de su pensión la previsión social múltiple, despensa, vida cara, quinquenios, aguinaldo, estimulo del día del jubilado y canasta navideña, vulnerando con ello el derecho de igualdad del actor, lo conducente es declarar la </w:t>
      </w:r>
      <w:r w:rsidRPr="1FE0319C">
        <w:rPr>
          <w:rFonts w:ascii="Arial" w:hAnsi="Arial" w:cs="Arial"/>
          <w:b/>
          <w:bCs/>
          <w:sz w:val="24"/>
          <w:szCs w:val="24"/>
        </w:rPr>
        <w:lastRenderedPageBreak/>
        <w:t xml:space="preserve">NULIDAD </w:t>
      </w:r>
      <w:r w:rsidRPr="1FE0319C">
        <w:rPr>
          <w:rFonts w:ascii="Arial" w:hAnsi="Arial" w:cs="Arial"/>
          <w:sz w:val="24"/>
          <w:szCs w:val="24"/>
        </w:rPr>
        <w:t xml:space="preserve">del oficio </w:t>
      </w:r>
      <w:r w:rsidR="000646C0">
        <w:rPr>
          <w:rFonts w:ascii="Arial" w:hAnsi="Arial" w:cs="Arial"/>
          <w:b/>
          <w:sz w:val="22"/>
          <w:szCs w:val="22"/>
        </w:rPr>
        <w:t>**********</w:t>
      </w:r>
      <w:r w:rsidR="000646C0">
        <w:rPr>
          <w:rFonts w:ascii="Arial" w:hAnsi="Arial" w:cs="Arial"/>
          <w:b/>
          <w:sz w:val="22"/>
          <w:szCs w:val="22"/>
        </w:rPr>
        <w:t xml:space="preserve"> </w:t>
      </w:r>
      <w:r w:rsidRPr="1FE0319C">
        <w:rPr>
          <w:rFonts w:ascii="Arial" w:hAnsi="Arial" w:cs="Arial"/>
          <w:sz w:val="24"/>
          <w:szCs w:val="24"/>
        </w:rPr>
        <w:t xml:space="preserve">de diez de julio de dos mil diecinueve, signado por el Director General de la Oficina de Pensiones del Estado de Oaxaca, </w:t>
      </w:r>
      <w:r w:rsidR="005172E3">
        <w:rPr>
          <w:rFonts w:ascii="Arial" w:hAnsi="Arial" w:cs="Arial"/>
          <w:sz w:val="24"/>
          <w:szCs w:val="24"/>
        </w:rPr>
        <w:t xml:space="preserve">el cual </w:t>
      </w:r>
      <w:r w:rsidRPr="1FE0319C">
        <w:rPr>
          <w:rFonts w:ascii="Arial" w:hAnsi="Arial" w:cs="Arial"/>
          <w:sz w:val="24"/>
          <w:szCs w:val="24"/>
        </w:rPr>
        <w:t>contiene el Dictamen de pensión por jubilación aprobado por el</w:t>
      </w:r>
      <w:r w:rsidRPr="1FE0319C">
        <w:rPr>
          <w:rFonts w:ascii="Arial" w:hAnsi="Arial" w:cs="Arial"/>
          <w:b/>
          <w:bCs/>
          <w:sz w:val="24"/>
          <w:szCs w:val="24"/>
        </w:rPr>
        <w:t xml:space="preserve"> </w:t>
      </w:r>
      <w:r w:rsidRPr="1FE0319C">
        <w:rPr>
          <w:rFonts w:ascii="Arial" w:hAnsi="Arial" w:cs="Arial"/>
          <w:sz w:val="24"/>
          <w:szCs w:val="24"/>
        </w:rPr>
        <w:t xml:space="preserve">Consejo Directivo de Pensiones del Estado de Oaxaca, </w:t>
      </w:r>
      <w:r w:rsidRPr="1FE0319C">
        <w:rPr>
          <w:rFonts w:ascii="Arial" w:hAnsi="Arial" w:cs="Arial"/>
          <w:b/>
          <w:bCs/>
          <w:sz w:val="24"/>
          <w:szCs w:val="24"/>
        </w:rPr>
        <w:t xml:space="preserve">PARA EL EFECTO </w:t>
      </w:r>
      <w:bookmarkStart w:id="9" w:name="_Hlk84507859"/>
      <w:r w:rsidRPr="1FE0319C">
        <w:rPr>
          <w:rFonts w:ascii="Arial" w:hAnsi="Arial" w:cs="Arial"/>
          <w:sz w:val="24"/>
          <w:szCs w:val="24"/>
        </w:rPr>
        <w:t>de que una vez que cause estado la presente resolución, el Consejo  Directivo de la Oficina de Pensiones del Estado, dicte otra en la que</w:t>
      </w:r>
      <w:r w:rsidR="005172E3">
        <w:rPr>
          <w:rFonts w:ascii="Arial" w:hAnsi="Arial" w:cs="Arial"/>
          <w:sz w:val="24"/>
          <w:szCs w:val="24"/>
        </w:rPr>
        <w:t>,</w:t>
      </w:r>
      <w:r w:rsidRPr="1FE0319C">
        <w:rPr>
          <w:rFonts w:ascii="Arial" w:hAnsi="Arial" w:cs="Arial"/>
          <w:sz w:val="24"/>
          <w:szCs w:val="24"/>
        </w:rPr>
        <w:t xml:space="preserve"> aunado a la pensión por jubilación concedida al actor, incorpore a la misma las prestaciones establecidas en la fracción I del artículo 54 de la Ley de Pensiones, tales como Previsión Social Múltiple, despensa, vida cara, quinquenios, aguinaldo, estímulo del día del jubilado y canasta navideña a que tiene derecho el actor; pensión que deberá ser otorgada de manera retroactiva, esto es, a </w:t>
      </w:r>
      <w:r w:rsidRPr="005172E3">
        <w:rPr>
          <w:rFonts w:ascii="Arial" w:hAnsi="Arial" w:cs="Arial"/>
          <w:sz w:val="24"/>
          <w:szCs w:val="24"/>
        </w:rPr>
        <w:t>partir de</w:t>
      </w:r>
      <w:r w:rsidR="005172E3" w:rsidRPr="005172E3">
        <w:rPr>
          <w:rFonts w:ascii="Arial" w:hAnsi="Arial" w:cs="Arial"/>
          <w:sz w:val="24"/>
          <w:szCs w:val="24"/>
        </w:rPr>
        <w:t xml:space="preserve"> que le fue concedida</w:t>
      </w:r>
      <w:r w:rsidRPr="005172E3">
        <w:rPr>
          <w:rFonts w:ascii="Arial" w:hAnsi="Arial" w:cs="Arial"/>
          <w:sz w:val="24"/>
          <w:szCs w:val="24"/>
        </w:rPr>
        <w:t xml:space="preserve"> su</w:t>
      </w:r>
      <w:r w:rsidR="005172E3" w:rsidRPr="005172E3">
        <w:rPr>
          <w:rFonts w:ascii="Arial" w:hAnsi="Arial" w:cs="Arial"/>
          <w:sz w:val="24"/>
          <w:szCs w:val="24"/>
        </w:rPr>
        <w:t xml:space="preserve"> pensión por</w:t>
      </w:r>
      <w:r w:rsidRPr="005172E3">
        <w:rPr>
          <w:rFonts w:ascii="Arial" w:hAnsi="Arial" w:cs="Arial"/>
          <w:sz w:val="24"/>
          <w:szCs w:val="24"/>
        </w:rPr>
        <w:t xml:space="preserve"> jubilacion</w:t>
      </w:r>
      <w:r w:rsidRPr="1FE0319C">
        <w:rPr>
          <w:rFonts w:ascii="Arial" w:hAnsi="Arial" w:cs="Arial"/>
          <w:sz w:val="24"/>
          <w:szCs w:val="24"/>
        </w:rPr>
        <w:t xml:space="preserve"> y elimine el descuento del 9% sobre el monto de su pensión, en el entendido que, para tener por cumplida la sentencia emitida en el presente juicio, deberá reintegrar los descuentos del 9% ya realizados a la fecha de cumplimiento, así como el pago de las prestaciones que se declararon procedentes en el presente fallo. </w:t>
      </w:r>
    </w:p>
    <w:bookmarkEnd w:id="9"/>
    <w:p w14:paraId="4353F2F5" w14:textId="77777777" w:rsidR="00CC26EF" w:rsidRPr="007B0581"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0931A6C9"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0646C0">
        <w:rPr>
          <w:rFonts w:ascii="Arial" w:hAnsi="Arial" w:cs="Arial"/>
          <w:b/>
          <w:sz w:val="22"/>
          <w:szCs w:val="22"/>
        </w:rPr>
        <w:t>**********</w:t>
      </w:r>
      <w:r w:rsidR="000646C0">
        <w:rPr>
          <w:rFonts w:ascii="Arial" w:hAnsi="Arial" w:cs="Arial"/>
          <w:b/>
          <w:sz w:val="22"/>
          <w:szCs w:val="22"/>
        </w:rPr>
        <w:t xml:space="preserve"> </w:t>
      </w:r>
      <w:r w:rsidR="00CC26EF" w:rsidRPr="007B0581">
        <w:rPr>
          <w:rFonts w:ascii="Arial" w:hAnsi="Arial" w:cs="Arial"/>
          <w:sz w:val="24"/>
          <w:szCs w:val="24"/>
        </w:rPr>
        <w:t xml:space="preserve">de diez de julio de dos mil diecinueve, signado por el </w:t>
      </w:r>
      <w:r w:rsidR="005172E3">
        <w:rPr>
          <w:rFonts w:ascii="Arial" w:hAnsi="Arial" w:cs="Arial"/>
          <w:sz w:val="24"/>
          <w:szCs w:val="24"/>
        </w:rPr>
        <w:t>D</w:t>
      </w:r>
      <w:r w:rsidR="009C131A" w:rsidRPr="007B0581">
        <w:rPr>
          <w:rFonts w:ascii="Arial" w:hAnsi="Arial" w:cs="Arial"/>
          <w:sz w:val="24"/>
          <w:szCs w:val="24"/>
        </w:rPr>
        <w:t>irector general</w:t>
      </w:r>
      <w:r w:rsidR="00CC26EF" w:rsidRPr="007B0581">
        <w:rPr>
          <w:rFonts w:ascii="Arial" w:hAnsi="Arial" w:cs="Arial"/>
          <w:sz w:val="24"/>
          <w:szCs w:val="24"/>
        </w:rPr>
        <w:t xml:space="preserve"> de la Oficina de Pensiones del Estado de Oaxaca, </w:t>
      </w:r>
      <w:r w:rsidR="005172E3">
        <w:rPr>
          <w:rFonts w:ascii="Arial" w:hAnsi="Arial" w:cs="Arial"/>
          <w:sz w:val="24"/>
          <w:szCs w:val="24"/>
        </w:rPr>
        <w:t xml:space="preserve">el cual </w:t>
      </w:r>
      <w:r w:rsidR="00CC26EF" w:rsidRPr="007B0581">
        <w:rPr>
          <w:rFonts w:ascii="Arial" w:hAnsi="Arial" w:cs="Arial"/>
          <w:sz w:val="24"/>
          <w:szCs w:val="24"/>
        </w:rPr>
        <w:t xml:space="preserve">contiene el </w:t>
      </w:r>
      <w:r w:rsidR="009C131A">
        <w:rPr>
          <w:rFonts w:ascii="Arial" w:hAnsi="Arial" w:cs="Arial"/>
          <w:sz w:val="24"/>
          <w:szCs w:val="24"/>
        </w:rPr>
        <w:t>d</w:t>
      </w:r>
      <w:r w:rsidR="00CC26EF" w:rsidRPr="007B0581">
        <w:rPr>
          <w:rFonts w:ascii="Arial" w:hAnsi="Arial" w:cs="Arial"/>
          <w:sz w:val="24"/>
          <w:szCs w:val="24"/>
        </w:rPr>
        <w:t xml:space="preserve">ictamen de </w:t>
      </w:r>
      <w:r w:rsidR="009C131A">
        <w:rPr>
          <w:rFonts w:ascii="Arial" w:hAnsi="Arial" w:cs="Arial"/>
          <w:sz w:val="24"/>
          <w:szCs w:val="24"/>
        </w:rPr>
        <w:t>p</w:t>
      </w:r>
      <w:r w:rsidR="00CC26EF" w:rsidRPr="007B0581">
        <w:rPr>
          <w:rFonts w:ascii="Arial" w:hAnsi="Arial" w:cs="Arial"/>
          <w:sz w:val="24"/>
          <w:szCs w:val="24"/>
        </w:rPr>
        <w:t xml:space="preserve">ensión por </w:t>
      </w:r>
      <w:r w:rsidR="009C131A">
        <w:rPr>
          <w:rFonts w:ascii="Arial" w:hAnsi="Arial" w:cs="Arial"/>
          <w:sz w:val="24"/>
          <w:szCs w:val="24"/>
        </w:rPr>
        <w:t>j</w:t>
      </w:r>
      <w:r w:rsidR="00CC26EF" w:rsidRPr="007B0581">
        <w:rPr>
          <w:rFonts w:ascii="Arial" w:hAnsi="Arial" w:cs="Arial"/>
          <w:sz w:val="24"/>
          <w:szCs w:val="24"/>
        </w:rPr>
        <w:t>ubilación aprobado por el</w:t>
      </w:r>
      <w:r w:rsidR="00CC26EF" w:rsidRPr="007B0581">
        <w:rPr>
          <w:rFonts w:ascii="Arial" w:hAnsi="Arial" w:cs="Arial"/>
          <w:b/>
          <w:bCs/>
          <w:sz w:val="24"/>
          <w:szCs w:val="24"/>
        </w:rPr>
        <w:t xml:space="preserve"> </w:t>
      </w:r>
      <w:r w:rsidR="00CC26EF" w:rsidRPr="007B0581">
        <w:rPr>
          <w:rFonts w:ascii="Arial" w:hAnsi="Arial" w:cs="Arial"/>
          <w:sz w:val="24"/>
          <w:szCs w:val="24"/>
        </w:rPr>
        <w:t xml:space="preserve">Consejo Directivo de Pensiones del Estado de Oaxaca,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22DA793B"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 - - - - - - - - - - - - - - - - - - - </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E90FB2">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BA384" w14:textId="77777777" w:rsidR="004D78B4" w:rsidRDefault="004D78B4" w:rsidP="00C22D0D">
      <w:r>
        <w:separator/>
      </w:r>
    </w:p>
  </w:endnote>
  <w:endnote w:type="continuationSeparator" w:id="0">
    <w:p w14:paraId="6425D246" w14:textId="77777777" w:rsidR="004D78B4" w:rsidRDefault="004D78B4"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AE64F7">
          <w:rPr>
            <w:noProof/>
          </w:rPr>
          <w:t>4</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7F663" w14:textId="77777777" w:rsidR="004D78B4" w:rsidRDefault="004D78B4" w:rsidP="00C22D0D">
      <w:r>
        <w:separator/>
      </w:r>
    </w:p>
  </w:footnote>
  <w:footnote w:type="continuationSeparator" w:id="0">
    <w:p w14:paraId="220D3B07" w14:textId="77777777" w:rsidR="004D78B4" w:rsidRDefault="004D78B4"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2D12E655" w:rsidR="00C22D0D" w:rsidRPr="00A73AD7" w:rsidRDefault="00E90FB2" w:rsidP="00A73AD7">
    <w:pPr>
      <w:pStyle w:val="Encabezado"/>
      <w:jc w:val="right"/>
      <w:rPr>
        <w:rFonts w:ascii="Arial" w:hAnsi="Arial" w:cs="Arial"/>
      </w:rPr>
    </w:pPr>
    <w:r w:rsidRPr="00C81C70">
      <w:rPr>
        <w:rFonts w:eastAsia="Calibri"/>
        <w:noProof/>
      </w:rPr>
      <mc:AlternateContent>
        <mc:Choice Requires="wps">
          <w:drawing>
            <wp:anchor distT="45720" distB="45720" distL="114300" distR="114300" simplePos="0" relativeHeight="251667456" behindDoc="1" locked="0" layoutInCell="1" allowOverlap="1" wp14:anchorId="491B0326" wp14:editId="602C91AE">
              <wp:simplePos x="0" y="0"/>
              <wp:positionH relativeFrom="leftMargin">
                <wp:posOffset>253405</wp:posOffset>
              </wp:positionH>
              <wp:positionV relativeFrom="paragraph">
                <wp:posOffset>3537315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5E13BF9" w14:textId="77777777" w:rsidR="00E90FB2" w:rsidRDefault="00E90FB2" w:rsidP="00E90FB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1B0326" id="_x0000_t202" coordsize="21600,21600" o:spt="202" path="m,l,21600r21600,l21600,xe">
              <v:stroke joinstyle="miter"/>
              <v:path gradientshapeok="t" o:connecttype="rect"/>
            </v:shapetype>
            <v:shape id="Cuadro de texto 5" o:spid="_x0000_s1026" type="#_x0000_t202" style="position:absolute;left:0;text-align:left;margin-left:19.95pt;margin-top:278.5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">
              <v:textbox>
                <w:txbxContent>
                  <w:p w14:paraId="55E13BF9" w14:textId="77777777" w:rsidR="00E90FB2" w:rsidRDefault="00E90FB2" w:rsidP="00E90FB2">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DC1">
      <w:rPr>
        <w:rFonts w:ascii="Arial" w:hAnsi="Arial" w:cs="Arial"/>
      </w:rPr>
      <w:t>0</w:t>
    </w:r>
    <w:r w:rsidR="00373626">
      <w:rPr>
        <w:rFonts w:ascii="Arial" w:hAnsi="Arial" w:cs="Arial"/>
      </w:rPr>
      <w:t>09</w:t>
    </w:r>
    <w:r w:rsidR="00A73AD7" w:rsidRPr="00A73AD7">
      <w:rPr>
        <w:rFonts w:ascii="Arial" w:hAnsi="Arial" w:cs="Arial"/>
      </w:rPr>
      <w:t>/20</w:t>
    </w:r>
    <w:r w:rsidR="00360DC1">
      <w:rPr>
        <w:rFonts w:ascii="Arial" w:hAnsi="Arial" w:cs="Arial"/>
      </w:rPr>
      <w:t>2</w:t>
    </w:r>
    <w:r w:rsidR="00373626">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5C0C0552" w:rsidR="00065664" w:rsidRDefault="00E90FB2">
    <w:pPr>
      <w:pStyle w:val="Encabezado"/>
    </w:pPr>
    <w:r w:rsidRPr="00C81C70">
      <w:rPr>
        <w:rFonts w:eastAsia="Calibri"/>
        <w:noProof/>
      </w:rPr>
      <mc:AlternateContent>
        <mc:Choice Requires="wps">
          <w:drawing>
            <wp:anchor distT="45720" distB="45720" distL="114300" distR="114300" simplePos="0" relativeHeight="251665408" behindDoc="1" locked="0" layoutInCell="1" allowOverlap="1" wp14:anchorId="7B4EB254" wp14:editId="5C719689">
              <wp:simplePos x="0" y="0"/>
              <wp:positionH relativeFrom="leftMargin">
                <wp:posOffset>263133</wp:posOffset>
              </wp:positionH>
              <wp:positionV relativeFrom="paragraph">
                <wp:posOffset>5619034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A429571" w14:textId="77777777" w:rsidR="00E90FB2" w:rsidRDefault="00E90FB2" w:rsidP="00E90FB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4EB254" id="_x0000_t202" coordsize="21600,21600" o:spt="202" path="m,l,21600r21600,l21600,xe">
              <v:stroke joinstyle="miter"/>
              <v:path gradientshapeok="t" o:connecttype="rect"/>
            </v:shapetype>
            <v:shape id="Cuadro de texto 4" o:spid="_x0000_s1027" type="#_x0000_t202" style="position:absolute;margin-left:20.7pt;margin-top:442.4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">
              <v:textbox>
                <w:txbxContent>
                  <w:p w14:paraId="2A429571" w14:textId="77777777" w:rsidR="00E90FB2" w:rsidRDefault="00E90FB2" w:rsidP="00E90FB2">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2AAB7E9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E15"/>
    <w:rsid w:val="00026CF5"/>
    <w:rsid w:val="00027543"/>
    <w:rsid w:val="00030AD1"/>
    <w:rsid w:val="000334C2"/>
    <w:rsid w:val="00033A07"/>
    <w:rsid w:val="00035972"/>
    <w:rsid w:val="0003697E"/>
    <w:rsid w:val="000558E9"/>
    <w:rsid w:val="00056002"/>
    <w:rsid w:val="000635B0"/>
    <w:rsid w:val="000646C0"/>
    <w:rsid w:val="00065664"/>
    <w:rsid w:val="00066864"/>
    <w:rsid w:val="000668F8"/>
    <w:rsid w:val="000674E2"/>
    <w:rsid w:val="00073204"/>
    <w:rsid w:val="00076E94"/>
    <w:rsid w:val="0008061F"/>
    <w:rsid w:val="000851D6"/>
    <w:rsid w:val="00090C4D"/>
    <w:rsid w:val="0009471C"/>
    <w:rsid w:val="000953BE"/>
    <w:rsid w:val="000956C2"/>
    <w:rsid w:val="000A3BB8"/>
    <w:rsid w:val="000A7A44"/>
    <w:rsid w:val="000B0104"/>
    <w:rsid w:val="000B49F5"/>
    <w:rsid w:val="000C1565"/>
    <w:rsid w:val="000C2C1E"/>
    <w:rsid w:val="000C4E31"/>
    <w:rsid w:val="000C6227"/>
    <w:rsid w:val="000C6C60"/>
    <w:rsid w:val="000C70E9"/>
    <w:rsid w:val="000D6698"/>
    <w:rsid w:val="000E6AD5"/>
    <w:rsid w:val="000E6E1A"/>
    <w:rsid w:val="000F0020"/>
    <w:rsid w:val="000F2109"/>
    <w:rsid w:val="000F4F36"/>
    <w:rsid w:val="000F783C"/>
    <w:rsid w:val="000F7B39"/>
    <w:rsid w:val="00102FFD"/>
    <w:rsid w:val="001033A1"/>
    <w:rsid w:val="001056AB"/>
    <w:rsid w:val="00106927"/>
    <w:rsid w:val="001139C7"/>
    <w:rsid w:val="001202E5"/>
    <w:rsid w:val="00120C20"/>
    <w:rsid w:val="0012261E"/>
    <w:rsid w:val="00125E72"/>
    <w:rsid w:val="00132CE4"/>
    <w:rsid w:val="001341D3"/>
    <w:rsid w:val="00135D86"/>
    <w:rsid w:val="0013609B"/>
    <w:rsid w:val="001368CA"/>
    <w:rsid w:val="00140569"/>
    <w:rsid w:val="0014397E"/>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9376B"/>
    <w:rsid w:val="00194DD8"/>
    <w:rsid w:val="001968FD"/>
    <w:rsid w:val="00196F6D"/>
    <w:rsid w:val="001A4D53"/>
    <w:rsid w:val="001B0398"/>
    <w:rsid w:val="001B0B86"/>
    <w:rsid w:val="001B1AB4"/>
    <w:rsid w:val="001B3349"/>
    <w:rsid w:val="001B3B32"/>
    <w:rsid w:val="001B64DB"/>
    <w:rsid w:val="001C2DF2"/>
    <w:rsid w:val="001D09AA"/>
    <w:rsid w:val="001D150B"/>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606C"/>
    <w:rsid w:val="0024583D"/>
    <w:rsid w:val="00246A0A"/>
    <w:rsid w:val="00252336"/>
    <w:rsid w:val="00255783"/>
    <w:rsid w:val="00275CCE"/>
    <w:rsid w:val="00286489"/>
    <w:rsid w:val="00286593"/>
    <w:rsid w:val="002943AA"/>
    <w:rsid w:val="00294A96"/>
    <w:rsid w:val="00295DBB"/>
    <w:rsid w:val="00296F18"/>
    <w:rsid w:val="00296F93"/>
    <w:rsid w:val="002970D0"/>
    <w:rsid w:val="002A0A1A"/>
    <w:rsid w:val="002A3E0F"/>
    <w:rsid w:val="002A6617"/>
    <w:rsid w:val="002A7A14"/>
    <w:rsid w:val="002B20A0"/>
    <w:rsid w:val="002B36E5"/>
    <w:rsid w:val="002C25CA"/>
    <w:rsid w:val="002C692C"/>
    <w:rsid w:val="002E3177"/>
    <w:rsid w:val="002E6B26"/>
    <w:rsid w:val="002F397A"/>
    <w:rsid w:val="002F5F0B"/>
    <w:rsid w:val="002F6F1F"/>
    <w:rsid w:val="00307BA1"/>
    <w:rsid w:val="0031136B"/>
    <w:rsid w:val="003117AB"/>
    <w:rsid w:val="00313AD5"/>
    <w:rsid w:val="00316A30"/>
    <w:rsid w:val="00322EDF"/>
    <w:rsid w:val="003230BE"/>
    <w:rsid w:val="00324E9C"/>
    <w:rsid w:val="00326E0E"/>
    <w:rsid w:val="00333C75"/>
    <w:rsid w:val="003378EF"/>
    <w:rsid w:val="00343435"/>
    <w:rsid w:val="003453BE"/>
    <w:rsid w:val="00345D40"/>
    <w:rsid w:val="0035069C"/>
    <w:rsid w:val="0035736B"/>
    <w:rsid w:val="00357684"/>
    <w:rsid w:val="00357A28"/>
    <w:rsid w:val="00360DC1"/>
    <w:rsid w:val="003636E1"/>
    <w:rsid w:val="00363F3A"/>
    <w:rsid w:val="00364B36"/>
    <w:rsid w:val="003654F6"/>
    <w:rsid w:val="00367EA3"/>
    <w:rsid w:val="00370340"/>
    <w:rsid w:val="0037279C"/>
    <w:rsid w:val="00373626"/>
    <w:rsid w:val="003745F5"/>
    <w:rsid w:val="00375E60"/>
    <w:rsid w:val="0037665E"/>
    <w:rsid w:val="0039061D"/>
    <w:rsid w:val="00390807"/>
    <w:rsid w:val="003949C6"/>
    <w:rsid w:val="00395E43"/>
    <w:rsid w:val="00397620"/>
    <w:rsid w:val="00397EDB"/>
    <w:rsid w:val="003A2CC7"/>
    <w:rsid w:val="003A640E"/>
    <w:rsid w:val="003B06F3"/>
    <w:rsid w:val="003B07FD"/>
    <w:rsid w:val="003B517B"/>
    <w:rsid w:val="003B6272"/>
    <w:rsid w:val="003B6A4B"/>
    <w:rsid w:val="003C12CB"/>
    <w:rsid w:val="003C2799"/>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259B2"/>
    <w:rsid w:val="0043120A"/>
    <w:rsid w:val="00431B90"/>
    <w:rsid w:val="00435513"/>
    <w:rsid w:val="004402CE"/>
    <w:rsid w:val="00450F12"/>
    <w:rsid w:val="004558A9"/>
    <w:rsid w:val="0045685C"/>
    <w:rsid w:val="0046046B"/>
    <w:rsid w:val="00466AD6"/>
    <w:rsid w:val="00467C41"/>
    <w:rsid w:val="00470B16"/>
    <w:rsid w:val="00471C70"/>
    <w:rsid w:val="004726AC"/>
    <w:rsid w:val="0047304E"/>
    <w:rsid w:val="00473175"/>
    <w:rsid w:val="00473225"/>
    <w:rsid w:val="0047510F"/>
    <w:rsid w:val="00476EE3"/>
    <w:rsid w:val="00481687"/>
    <w:rsid w:val="00483AFA"/>
    <w:rsid w:val="0049063F"/>
    <w:rsid w:val="004A35A5"/>
    <w:rsid w:val="004B3214"/>
    <w:rsid w:val="004B47E6"/>
    <w:rsid w:val="004D530A"/>
    <w:rsid w:val="004D69CC"/>
    <w:rsid w:val="004D78B4"/>
    <w:rsid w:val="004E0294"/>
    <w:rsid w:val="004E167A"/>
    <w:rsid w:val="004F0EAF"/>
    <w:rsid w:val="004F16BA"/>
    <w:rsid w:val="004F3DEB"/>
    <w:rsid w:val="004F4B01"/>
    <w:rsid w:val="00502E44"/>
    <w:rsid w:val="00505CED"/>
    <w:rsid w:val="00510C5E"/>
    <w:rsid w:val="00516A40"/>
    <w:rsid w:val="00516BCC"/>
    <w:rsid w:val="005172E3"/>
    <w:rsid w:val="00521874"/>
    <w:rsid w:val="00523DE6"/>
    <w:rsid w:val="00533A7B"/>
    <w:rsid w:val="00543886"/>
    <w:rsid w:val="00547243"/>
    <w:rsid w:val="005534A7"/>
    <w:rsid w:val="0055625B"/>
    <w:rsid w:val="00556A8F"/>
    <w:rsid w:val="00562F3E"/>
    <w:rsid w:val="00572C01"/>
    <w:rsid w:val="005851DE"/>
    <w:rsid w:val="00585FAB"/>
    <w:rsid w:val="0058668B"/>
    <w:rsid w:val="005950E6"/>
    <w:rsid w:val="005A0770"/>
    <w:rsid w:val="005A7F05"/>
    <w:rsid w:val="005C4932"/>
    <w:rsid w:val="005C6524"/>
    <w:rsid w:val="005C791C"/>
    <w:rsid w:val="005D3DE8"/>
    <w:rsid w:val="005D550E"/>
    <w:rsid w:val="005D64AF"/>
    <w:rsid w:val="005E1CD9"/>
    <w:rsid w:val="005E2BD1"/>
    <w:rsid w:val="005E5BA2"/>
    <w:rsid w:val="005F15EE"/>
    <w:rsid w:val="00606520"/>
    <w:rsid w:val="006245BA"/>
    <w:rsid w:val="006307CC"/>
    <w:rsid w:val="00634B92"/>
    <w:rsid w:val="006408C9"/>
    <w:rsid w:val="00641D8B"/>
    <w:rsid w:val="00646ED9"/>
    <w:rsid w:val="006546DE"/>
    <w:rsid w:val="00654BBE"/>
    <w:rsid w:val="00663C0B"/>
    <w:rsid w:val="00664199"/>
    <w:rsid w:val="006668D9"/>
    <w:rsid w:val="00666B0E"/>
    <w:rsid w:val="00672CBA"/>
    <w:rsid w:val="00676136"/>
    <w:rsid w:val="00677978"/>
    <w:rsid w:val="00680D49"/>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B617F"/>
    <w:rsid w:val="006C0CA3"/>
    <w:rsid w:val="006C29A8"/>
    <w:rsid w:val="006C31C0"/>
    <w:rsid w:val="006C3A19"/>
    <w:rsid w:val="006C540A"/>
    <w:rsid w:val="006C6B91"/>
    <w:rsid w:val="006D147C"/>
    <w:rsid w:val="006D1B65"/>
    <w:rsid w:val="006D3714"/>
    <w:rsid w:val="006D5A41"/>
    <w:rsid w:val="006D7462"/>
    <w:rsid w:val="006E0CC7"/>
    <w:rsid w:val="006E291F"/>
    <w:rsid w:val="006E2C00"/>
    <w:rsid w:val="006E7E0A"/>
    <w:rsid w:val="006F2C29"/>
    <w:rsid w:val="00700E21"/>
    <w:rsid w:val="00707B9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E0C"/>
    <w:rsid w:val="00764C7B"/>
    <w:rsid w:val="00765194"/>
    <w:rsid w:val="00766415"/>
    <w:rsid w:val="00772264"/>
    <w:rsid w:val="00772750"/>
    <w:rsid w:val="00777CF5"/>
    <w:rsid w:val="00780427"/>
    <w:rsid w:val="00783D7B"/>
    <w:rsid w:val="00783EDE"/>
    <w:rsid w:val="0079269A"/>
    <w:rsid w:val="0079658F"/>
    <w:rsid w:val="007A1E52"/>
    <w:rsid w:val="007A2570"/>
    <w:rsid w:val="007A5988"/>
    <w:rsid w:val="007B0581"/>
    <w:rsid w:val="007B2BAB"/>
    <w:rsid w:val="007C0CFD"/>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4E92"/>
    <w:rsid w:val="00825E6B"/>
    <w:rsid w:val="0083112B"/>
    <w:rsid w:val="008317C8"/>
    <w:rsid w:val="00831D8E"/>
    <w:rsid w:val="00836E04"/>
    <w:rsid w:val="0084463F"/>
    <w:rsid w:val="00852131"/>
    <w:rsid w:val="008574E0"/>
    <w:rsid w:val="00864B46"/>
    <w:rsid w:val="00867DE5"/>
    <w:rsid w:val="00870DB0"/>
    <w:rsid w:val="00872609"/>
    <w:rsid w:val="00874121"/>
    <w:rsid w:val="00875CB4"/>
    <w:rsid w:val="00876A9D"/>
    <w:rsid w:val="00876CB5"/>
    <w:rsid w:val="0089778E"/>
    <w:rsid w:val="008A389C"/>
    <w:rsid w:val="008A6ACD"/>
    <w:rsid w:val="008B62E6"/>
    <w:rsid w:val="008B6B0C"/>
    <w:rsid w:val="008B7CE7"/>
    <w:rsid w:val="008C07DF"/>
    <w:rsid w:val="008C7879"/>
    <w:rsid w:val="008D343F"/>
    <w:rsid w:val="008D50B0"/>
    <w:rsid w:val="008D615A"/>
    <w:rsid w:val="008D758E"/>
    <w:rsid w:val="008E2B12"/>
    <w:rsid w:val="008E3073"/>
    <w:rsid w:val="008E42B1"/>
    <w:rsid w:val="008E5DDE"/>
    <w:rsid w:val="008F1594"/>
    <w:rsid w:val="008F4ABF"/>
    <w:rsid w:val="00906C4C"/>
    <w:rsid w:val="00910EFC"/>
    <w:rsid w:val="00917498"/>
    <w:rsid w:val="00917EDB"/>
    <w:rsid w:val="00920526"/>
    <w:rsid w:val="00922080"/>
    <w:rsid w:val="009228A3"/>
    <w:rsid w:val="00924687"/>
    <w:rsid w:val="00924C3A"/>
    <w:rsid w:val="00933BF1"/>
    <w:rsid w:val="0093469B"/>
    <w:rsid w:val="0093506B"/>
    <w:rsid w:val="00943D26"/>
    <w:rsid w:val="00944924"/>
    <w:rsid w:val="009525A3"/>
    <w:rsid w:val="0095484F"/>
    <w:rsid w:val="0095726D"/>
    <w:rsid w:val="00957EC6"/>
    <w:rsid w:val="00963117"/>
    <w:rsid w:val="00963BD1"/>
    <w:rsid w:val="00964538"/>
    <w:rsid w:val="00966BE0"/>
    <w:rsid w:val="00972D02"/>
    <w:rsid w:val="009749F2"/>
    <w:rsid w:val="00992F9A"/>
    <w:rsid w:val="00997234"/>
    <w:rsid w:val="009A3B93"/>
    <w:rsid w:val="009B3100"/>
    <w:rsid w:val="009B3687"/>
    <w:rsid w:val="009B4B80"/>
    <w:rsid w:val="009B52E2"/>
    <w:rsid w:val="009C131A"/>
    <w:rsid w:val="009C2486"/>
    <w:rsid w:val="009C2A9F"/>
    <w:rsid w:val="009C2EA9"/>
    <w:rsid w:val="009C37DB"/>
    <w:rsid w:val="009C48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5378"/>
    <w:rsid w:val="00A36520"/>
    <w:rsid w:val="00A419EA"/>
    <w:rsid w:val="00A441E2"/>
    <w:rsid w:val="00A470EF"/>
    <w:rsid w:val="00A5533C"/>
    <w:rsid w:val="00A55D14"/>
    <w:rsid w:val="00A611ED"/>
    <w:rsid w:val="00A62428"/>
    <w:rsid w:val="00A647A3"/>
    <w:rsid w:val="00A72E4B"/>
    <w:rsid w:val="00A73AD7"/>
    <w:rsid w:val="00A7531C"/>
    <w:rsid w:val="00A76BA8"/>
    <w:rsid w:val="00A775FB"/>
    <w:rsid w:val="00A80309"/>
    <w:rsid w:val="00A80F3D"/>
    <w:rsid w:val="00A823DA"/>
    <w:rsid w:val="00A82615"/>
    <w:rsid w:val="00A92A66"/>
    <w:rsid w:val="00A95AF1"/>
    <w:rsid w:val="00AA57CF"/>
    <w:rsid w:val="00AB0D65"/>
    <w:rsid w:val="00AB1533"/>
    <w:rsid w:val="00AB2FF0"/>
    <w:rsid w:val="00AB36AE"/>
    <w:rsid w:val="00AB3F67"/>
    <w:rsid w:val="00AB4089"/>
    <w:rsid w:val="00AB4A09"/>
    <w:rsid w:val="00AB4C90"/>
    <w:rsid w:val="00AB712E"/>
    <w:rsid w:val="00AC033D"/>
    <w:rsid w:val="00AC3D37"/>
    <w:rsid w:val="00AC47B9"/>
    <w:rsid w:val="00AD1222"/>
    <w:rsid w:val="00AD3FDF"/>
    <w:rsid w:val="00AE1985"/>
    <w:rsid w:val="00AE2CEF"/>
    <w:rsid w:val="00AE5951"/>
    <w:rsid w:val="00AE64F7"/>
    <w:rsid w:val="00AE670D"/>
    <w:rsid w:val="00AF2E69"/>
    <w:rsid w:val="00AF6BF9"/>
    <w:rsid w:val="00B04D8F"/>
    <w:rsid w:val="00B10165"/>
    <w:rsid w:val="00B10462"/>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4E4"/>
    <w:rsid w:val="00B8199E"/>
    <w:rsid w:val="00B84C7D"/>
    <w:rsid w:val="00B93B2F"/>
    <w:rsid w:val="00B95AC5"/>
    <w:rsid w:val="00B95E64"/>
    <w:rsid w:val="00BB2EC0"/>
    <w:rsid w:val="00BB718F"/>
    <w:rsid w:val="00BC2EBC"/>
    <w:rsid w:val="00BC4105"/>
    <w:rsid w:val="00BC47C0"/>
    <w:rsid w:val="00BD1E0E"/>
    <w:rsid w:val="00BE5BAF"/>
    <w:rsid w:val="00BE6C2B"/>
    <w:rsid w:val="00BF25F9"/>
    <w:rsid w:val="00BF484A"/>
    <w:rsid w:val="00C10FCF"/>
    <w:rsid w:val="00C21430"/>
    <w:rsid w:val="00C22D0D"/>
    <w:rsid w:val="00C254ED"/>
    <w:rsid w:val="00C33DD1"/>
    <w:rsid w:val="00C42A60"/>
    <w:rsid w:val="00C42B27"/>
    <w:rsid w:val="00C47F9D"/>
    <w:rsid w:val="00C544A0"/>
    <w:rsid w:val="00C60B8D"/>
    <w:rsid w:val="00C60E00"/>
    <w:rsid w:val="00C6391B"/>
    <w:rsid w:val="00C64FD4"/>
    <w:rsid w:val="00C707C2"/>
    <w:rsid w:val="00C72565"/>
    <w:rsid w:val="00C7326C"/>
    <w:rsid w:val="00C75628"/>
    <w:rsid w:val="00C77E51"/>
    <w:rsid w:val="00C80831"/>
    <w:rsid w:val="00C80C36"/>
    <w:rsid w:val="00C82AF3"/>
    <w:rsid w:val="00C84DF3"/>
    <w:rsid w:val="00C864BA"/>
    <w:rsid w:val="00C87683"/>
    <w:rsid w:val="00C90395"/>
    <w:rsid w:val="00C92C19"/>
    <w:rsid w:val="00C93942"/>
    <w:rsid w:val="00CA494A"/>
    <w:rsid w:val="00CA5BAC"/>
    <w:rsid w:val="00CB3964"/>
    <w:rsid w:val="00CB4190"/>
    <w:rsid w:val="00CB5FB1"/>
    <w:rsid w:val="00CB7593"/>
    <w:rsid w:val="00CC26EF"/>
    <w:rsid w:val="00CC7362"/>
    <w:rsid w:val="00CD1DDA"/>
    <w:rsid w:val="00CD35E0"/>
    <w:rsid w:val="00CD4529"/>
    <w:rsid w:val="00CD5E22"/>
    <w:rsid w:val="00CD6D1C"/>
    <w:rsid w:val="00CE54F5"/>
    <w:rsid w:val="00CF2D22"/>
    <w:rsid w:val="00CF4E5C"/>
    <w:rsid w:val="00CF6047"/>
    <w:rsid w:val="00CF60CA"/>
    <w:rsid w:val="00CF73BB"/>
    <w:rsid w:val="00D020CC"/>
    <w:rsid w:val="00D05077"/>
    <w:rsid w:val="00D058DA"/>
    <w:rsid w:val="00D07A2B"/>
    <w:rsid w:val="00D07D24"/>
    <w:rsid w:val="00D12806"/>
    <w:rsid w:val="00D149EE"/>
    <w:rsid w:val="00D2439D"/>
    <w:rsid w:val="00D2553B"/>
    <w:rsid w:val="00D27A49"/>
    <w:rsid w:val="00D31ED3"/>
    <w:rsid w:val="00D4417A"/>
    <w:rsid w:val="00D46053"/>
    <w:rsid w:val="00D467E1"/>
    <w:rsid w:val="00D5464C"/>
    <w:rsid w:val="00D61CE9"/>
    <w:rsid w:val="00D64E43"/>
    <w:rsid w:val="00D7020F"/>
    <w:rsid w:val="00D70C8E"/>
    <w:rsid w:val="00D70F4B"/>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6621"/>
    <w:rsid w:val="00DB0149"/>
    <w:rsid w:val="00DB0CAF"/>
    <w:rsid w:val="00DB3D87"/>
    <w:rsid w:val="00DB568D"/>
    <w:rsid w:val="00DC0E30"/>
    <w:rsid w:val="00DC1B90"/>
    <w:rsid w:val="00DC6A93"/>
    <w:rsid w:val="00DD52D8"/>
    <w:rsid w:val="00DD69B3"/>
    <w:rsid w:val="00DD7728"/>
    <w:rsid w:val="00DE22C2"/>
    <w:rsid w:val="00DE56EC"/>
    <w:rsid w:val="00DE5CEF"/>
    <w:rsid w:val="00DE6248"/>
    <w:rsid w:val="00DE6686"/>
    <w:rsid w:val="00DE6826"/>
    <w:rsid w:val="00DE6D44"/>
    <w:rsid w:val="00DE7D18"/>
    <w:rsid w:val="00DF3097"/>
    <w:rsid w:val="00DF467C"/>
    <w:rsid w:val="00E04057"/>
    <w:rsid w:val="00E0550C"/>
    <w:rsid w:val="00E05B31"/>
    <w:rsid w:val="00E2534F"/>
    <w:rsid w:val="00E25C17"/>
    <w:rsid w:val="00E306D2"/>
    <w:rsid w:val="00E30CD2"/>
    <w:rsid w:val="00E41559"/>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0FB2"/>
    <w:rsid w:val="00E9182C"/>
    <w:rsid w:val="00E93DF8"/>
    <w:rsid w:val="00E954B1"/>
    <w:rsid w:val="00E95FD9"/>
    <w:rsid w:val="00E975E9"/>
    <w:rsid w:val="00E9769F"/>
    <w:rsid w:val="00EA120D"/>
    <w:rsid w:val="00EA2E4A"/>
    <w:rsid w:val="00EA47A2"/>
    <w:rsid w:val="00EA6A84"/>
    <w:rsid w:val="00EB1FF8"/>
    <w:rsid w:val="00EB4115"/>
    <w:rsid w:val="00EC72F7"/>
    <w:rsid w:val="00ED091C"/>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2650A"/>
    <w:rsid w:val="00F34C0A"/>
    <w:rsid w:val="00F36864"/>
    <w:rsid w:val="00F36CA6"/>
    <w:rsid w:val="00F36FCB"/>
    <w:rsid w:val="00F53625"/>
    <w:rsid w:val="00F57098"/>
    <w:rsid w:val="00F60672"/>
    <w:rsid w:val="00F616B6"/>
    <w:rsid w:val="00F665E7"/>
    <w:rsid w:val="00F674DC"/>
    <w:rsid w:val="00F70904"/>
    <w:rsid w:val="00F7156D"/>
    <w:rsid w:val="00F7401E"/>
    <w:rsid w:val="00F77BBF"/>
    <w:rsid w:val="00F80AE6"/>
    <w:rsid w:val="00F8105D"/>
    <w:rsid w:val="00F83E66"/>
    <w:rsid w:val="00F87AD7"/>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39A1"/>
    <w:rsid w:val="00FF592F"/>
    <w:rsid w:val="16D6BFEA"/>
    <w:rsid w:val="1FE0319C"/>
    <w:rsid w:val="725623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6BFEA"/>
  <w15:chartTrackingRefBased/>
  <w15:docId w15:val="{B2A9940C-9637-426F-97D0-8466ECF28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2882</Words>
  <Characters>15856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Hern�ndez Hern�ndez</dc:creator>
  <cp:keywords/>
  <dc:description/>
  <cp:lastModifiedBy>TCAC-Personal</cp:lastModifiedBy>
  <cp:revision>2</cp:revision>
  <cp:lastPrinted>2021-10-07T18:53:00Z</cp:lastPrinted>
  <dcterms:created xsi:type="dcterms:W3CDTF">2022-02-22T17:06:00Z</dcterms:created>
  <dcterms:modified xsi:type="dcterms:W3CDTF">2022-02-22T17:06:00Z</dcterms:modified>
</cp:coreProperties>
</file>