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C05" w:rsidRPr="009B59DB" w:rsidRDefault="004F4FE6" w:rsidP="00B907F9">
      <w:pPr>
        <w:pStyle w:val="Encabezado"/>
        <w:ind w:left="4248" w:hanging="4248"/>
        <w:jc w:val="both"/>
        <w:rPr>
          <w:rFonts w:ascii="Arial" w:hAnsi="Arial" w:cs="Arial"/>
          <w:b/>
          <w:sz w:val="26"/>
          <w:szCs w:val="26"/>
        </w:rPr>
      </w:pPr>
      <w:r>
        <w:rPr>
          <w:noProof/>
          <w:lang w:eastAsia="es-MX"/>
        </w:rPr>
        <mc:AlternateContent>
          <mc:Choice Requires="wps">
            <w:drawing>
              <wp:anchor distT="0" distB="0" distL="114300" distR="114300" simplePos="0" relativeHeight="251659264" behindDoc="0" locked="0" layoutInCell="1" allowOverlap="1" wp14:anchorId="2B354B81" wp14:editId="369E61B7">
                <wp:simplePos x="0" y="0"/>
                <wp:positionH relativeFrom="column">
                  <wp:posOffset>-1104900</wp:posOffset>
                </wp:positionH>
                <wp:positionV relativeFrom="paragraph">
                  <wp:posOffset>361950</wp:posOffset>
                </wp:positionV>
                <wp:extent cx="1104900" cy="949960"/>
                <wp:effectExtent l="0" t="0" r="19050" b="2159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4F4FE6" w:rsidRPr="00035E13" w:rsidRDefault="004F4FE6" w:rsidP="004F4FE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354B81" id="_x0000_t202" coordsize="21600,21600" o:spt="202" path="m,l,21600r21600,l21600,xe">
                <v:stroke joinstyle="miter"/>
                <v:path gradientshapeok="t" o:connecttype="rect"/>
              </v:shapetype>
              <v:shape id="Cuadro de texto 2" o:spid="_x0000_s1026" type="#_x0000_t202" style="position:absolute;left:0;text-align:left;margin-left:-87pt;margin-top:28.5pt;width:87pt;height:7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" fillcolor="window" strokeweight=".5pt">
                <v:path arrowok="t"/>
                <v:textbox>
                  <w:txbxContent>
                    <w:p w:rsidR="004F4FE6" w:rsidRPr="00035E13" w:rsidRDefault="004F4FE6" w:rsidP="004F4FE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50C05">
        <w:rPr>
          <w:rFonts w:ascii="Arial" w:hAnsi="Arial" w:cs="Arial"/>
          <w:b/>
          <w:sz w:val="26"/>
          <w:szCs w:val="26"/>
        </w:rPr>
        <w:tab/>
      </w:r>
      <w:r w:rsidR="00550C05" w:rsidRPr="009B59DB">
        <w:rPr>
          <w:rFonts w:ascii="Arial" w:hAnsi="Arial" w:cs="Arial"/>
          <w:b/>
          <w:sz w:val="26"/>
          <w:szCs w:val="26"/>
        </w:rPr>
        <w:t>SEXTA SALA UNITARIA DE PRIMERA INSTANCIA DEL TRIBUNAL DE JUSTICIA ADMINISTRATIVA DEL ESTADO DE OAXACA.</w:t>
      </w:r>
    </w:p>
    <w:p w:rsidR="00550C05" w:rsidRPr="009B59DB" w:rsidRDefault="00550C05" w:rsidP="00B907F9">
      <w:pPr>
        <w:pStyle w:val="Encabezado"/>
        <w:ind w:left="4248"/>
        <w:jc w:val="both"/>
        <w:rPr>
          <w:rFonts w:ascii="Arial" w:hAnsi="Arial" w:cs="Arial"/>
          <w:b/>
          <w:sz w:val="26"/>
          <w:szCs w:val="26"/>
        </w:rPr>
      </w:pPr>
    </w:p>
    <w:p w:rsidR="00550C05" w:rsidRPr="009B59DB" w:rsidRDefault="00550C05" w:rsidP="00B907F9">
      <w:pPr>
        <w:pStyle w:val="Encabezado"/>
        <w:ind w:left="4248"/>
        <w:jc w:val="both"/>
        <w:rPr>
          <w:rFonts w:ascii="Arial" w:hAnsi="Arial" w:cs="Arial"/>
          <w:b/>
          <w:sz w:val="26"/>
          <w:szCs w:val="26"/>
        </w:rPr>
      </w:pPr>
      <w:r w:rsidRPr="009B59DB">
        <w:rPr>
          <w:rFonts w:ascii="Arial" w:hAnsi="Arial" w:cs="Arial"/>
          <w:b/>
          <w:sz w:val="26"/>
          <w:szCs w:val="26"/>
        </w:rPr>
        <w:t xml:space="preserve">EXPEDIENTE: </w:t>
      </w:r>
      <w:r w:rsidR="007A5346">
        <w:rPr>
          <w:rFonts w:ascii="Arial" w:hAnsi="Arial" w:cs="Arial"/>
          <w:b/>
          <w:sz w:val="26"/>
          <w:szCs w:val="26"/>
        </w:rPr>
        <w:t>9</w:t>
      </w:r>
      <w:r w:rsidR="00284D2B">
        <w:rPr>
          <w:rFonts w:ascii="Arial" w:hAnsi="Arial" w:cs="Arial"/>
          <w:b/>
          <w:sz w:val="26"/>
          <w:szCs w:val="26"/>
        </w:rPr>
        <w:t>5</w:t>
      </w:r>
      <w:r w:rsidRPr="009B59DB">
        <w:rPr>
          <w:rFonts w:ascii="Arial" w:hAnsi="Arial" w:cs="Arial"/>
          <w:b/>
          <w:sz w:val="26"/>
          <w:szCs w:val="26"/>
        </w:rPr>
        <w:t>/201</w:t>
      </w:r>
      <w:r w:rsidR="009175F8">
        <w:rPr>
          <w:rFonts w:ascii="Arial" w:hAnsi="Arial" w:cs="Arial"/>
          <w:b/>
          <w:sz w:val="26"/>
          <w:szCs w:val="26"/>
        </w:rPr>
        <w:t>9</w:t>
      </w:r>
    </w:p>
    <w:p w:rsidR="00550C05" w:rsidRPr="009B59DB" w:rsidRDefault="00550C05" w:rsidP="00B907F9">
      <w:pPr>
        <w:pStyle w:val="Encabezado"/>
        <w:tabs>
          <w:tab w:val="clear" w:pos="4419"/>
          <w:tab w:val="center" w:pos="8931"/>
        </w:tabs>
        <w:jc w:val="both"/>
        <w:rPr>
          <w:rFonts w:ascii="Arial" w:hAnsi="Arial" w:cs="Arial"/>
          <w:b/>
          <w:sz w:val="26"/>
          <w:szCs w:val="26"/>
        </w:rPr>
      </w:pPr>
    </w:p>
    <w:p w:rsidR="00550C05" w:rsidRPr="009B59DB" w:rsidRDefault="00550C05" w:rsidP="00B907F9">
      <w:pPr>
        <w:pStyle w:val="Encabezado"/>
        <w:ind w:left="4248"/>
        <w:jc w:val="both"/>
        <w:rPr>
          <w:rFonts w:ascii="Arial" w:hAnsi="Arial" w:cs="Arial"/>
          <w:b/>
          <w:sz w:val="26"/>
          <w:szCs w:val="26"/>
        </w:rPr>
      </w:pPr>
      <w:r w:rsidRPr="009B59DB">
        <w:rPr>
          <w:rFonts w:ascii="Arial" w:hAnsi="Arial" w:cs="Arial"/>
          <w:b/>
          <w:sz w:val="26"/>
          <w:szCs w:val="26"/>
        </w:rPr>
        <w:t xml:space="preserve">ACTOR: </w:t>
      </w:r>
      <w:r w:rsidR="007A5346">
        <w:rPr>
          <w:rFonts w:ascii="Arial" w:hAnsi="Arial" w:cs="Arial"/>
          <w:b/>
          <w:sz w:val="26"/>
          <w:szCs w:val="26"/>
        </w:rPr>
        <w:t xml:space="preserve">SÍNDICA PROCURADORA DEL AYUNTAMIENTO CONSTITUCIONAL DEL MUNICIPIO DE </w:t>
      </w:r>
      <w:bookmarkStart w:id="0" w:name="_GoBack"/>
      <w:bookmarkEnd w:id="0"/>
      <w:r w:rsidR="007A5346">
        <w:rPr>
          <w:rFonts w:ascii="Arial" w:hAnsi="Arial" w:cs="Arial"/>
          <w:b/>
          <w:sz w:val="26"/>
          <w:szCs w:val="26"/>
        </w:rPr>
        <w:t>SANTA CRUZ XOXOCOTLÁN, OAXACA</w:t>
      </w:r>
      <w:r w:rsidRPr="009B59DB">
        <w:rPr>
          <w:rFonts w:ascii="Arial" w:hAnsi="Arial" w:cs="Arial"/>
          <w:b/>
          <w:sz w:val="26"/>
          <w:szCs w:val="26"/>
        </w:rPr>
        <w:t>.</w:t>
      </w:r>
    </w:p>
    <w:p w:rsidR="00550C05" w:rsidRPr="009B59DB" w:rsidRDefault="00550C05" w:rsidP="00B907F9">
      <w:pPr>
        <w:pStyle w:val="Encabezado"/>
        <w:ind w:left="4248"/>
        <w:jc w:val="both"/>
        <w:rPr>
          <w:rFonts w:ascii="Arial" w:hAnsi="Arial" w:cs="Arial"/>
          <w:b/>
          <w:sz w:val="26"/>
          <w:szCs w:val="26"/>
        </w:rPr>
      </w:pPr>
    </w:p>
    <w:p w:rsidR="00550C05" w:rsidRPr="009B59DB" w:rsidRDefault="00550C05" w:rsidP="00B907F9">
      <w:pPr>
        <w:pStyle w:val="Encabezado"/>
        <w:ind w:left="4248"/>
        <w:jc w:val="both"/>
        <w:rPr>
          <w:rFonts w:ascii="Arial" w:hAnsi="Arial" w:cs="Arial"/>
          <w:b/>
          <w:sz w:val="26"/>
          <w:szCs w:val="26"/>
        </w:rPr>
      </w:pPr>
      <w:r w:rsidRPr="009B59DB">
        <w:rPr>
          <w:rFonts w:ascii="Arial" w:hAnsi="Arial" w:cs="Arial"/>
          <w:b/>
          <w:sz w:val="26"/>
          <w:szCs w:val="26"/>
        </w:rPr>
        <w:t>DEMANDADO</w:t>
      </w:r>
      <w:r>
        <w:rPr>
          <w:rFonts w:ascii="Arial" w:hAnsi="Arial" w:cs="Arial"/>
          <w:b/>
          <w:sz w:val="26"/>
          <w:szCs w:val="26"/>
        </w:rPr>
        <w:t>S</w:t>
      </w:r>
      <w:r w:rsidRPr="009B59DB">
        <w:rPr>
          <w:rFonts w:ascii="Arial" w:hAnsi="Arial" w:cs="Arial"/>
          <w:b/>
          <w:sz w:val="26"/>
          <w:szCs w:val="26"/>
        </w:rPr>
        <w:t xml:space="preserve">: </w:t>
      </w:r>
      <w:r w:rsidR="007A5346">
        <w:rPr>
          <w:rFonts w:ascii="Arial" w:hAnsi="Arial" w:cs="Arial"/>
          <w:b/>
          <w:sz w:val="26"/>
          <w:szCs w:val="26"/>
        </w:rPr>
        <w:t>COORDINADORA DE COBRO COACTIVO, DEPENDIENTE DE LA DIRECCIÓN DE INGRESOS Y RECAUDACIÓN DE LA SECRETARÍA DE FINANZAS DEL GOBINERO DEL ESTADO DE OAXACA Y OTRO</w:t>
      </w:r>
      <w:r w:rsidRPr="009B59DB">
        <w:rPr>
          <w:rFonts w:ascii="Arial" w:hAnsi="Arial" w:cs="Arial"/>
          <w:b/>
          <w:sz w:val="26"/>
          <w:szCs w:val="26"/>
        </w:rPr>
        <w:t>.</w:t>
      </w:r>
    </w:p>
    <w:p w:rsidR="00550C05" w:rsidRPr="009B59DB" w:rsidRDefault="00550C05" w:rsidP="00550C05">
      <w:pPr>
        <w:spacing w:before="240" w:after="0" w:line="360" w:lineRule="auto"/>
        <w:jc w:val="both"/>
        <w:rPr>
          <w:rFonts w:ascii="Arial" w:hAnsi="Arial" w:cs="Arial"/>
          <w:b/>
          <w:sz w:val="26"/>
          <w:szCs w:val="26"/>
        </w:rPr>
      </w:pPr>
      <w:r w:rsidRPr="00A319C5">
        <w:rPr>
          <w:rFonts w:ascii="Arial" w:hAnsi="Arial" w:cs="Arial"/>
          <w:sz w:val="26"/>
          <w:szCs w:val="26"/>
        </w:rPr>
        <w:t>OAXACA DE JUÁREZ, OAXACA A</w:t>
      </w:r>
      <w:r w:rsidRPr="009B59DB">
        <w:rPr>
          <w:rFonts w:ascii="Arial" w:hAnsi="Arial" w:cs="Arial"/>
          <w:b/>
          <w:sz w:val="26"/>
          <w:szCs w:val="26"/>
        </w:rPr>
        <w:t xml:space="preserve">  </w:t>
      </w:r>
      <w:r w:rsidR="00A319C5">
        <w:rPr>
          <w:rFonts w:ascii="Arial" w:hAnsi="Arial" w:cs="Arial"/>
          <w:b/>
          <w:sz w:val="26"/>
          <w:szCs w:val="26"/>
        </w:rPr>
        <w:t xml:space="preserve">VEINTITRÉS </w:t>
      </w:r>
      <w:r w:rsidRPr="009B59DB">
        <w:rPr>
          <w:rFonts w:ascii="Arial" w:hAnsi="Arial" w:cs="Arial"/>
          <w:b/>
          <w:sz w:val="26"/>
          <w:szCs w:val="26"/>
        </w:rPr>
        <w:t xml:space="preserve">DE </w:t>
      </w:r>
      <w:r w:rsidR="007A5346">
        <w:rPr>
          <w:rFonts w:ascii="Arial" w:hAnsi="Arial" w:cs="Arial"/>
          <w:b/>
          <w:sz w:val="26"/>
          <w:szCs w:val="26"/>
        </w:rPr>
        <w:t xml:space="preserve">ENERO </w:t>
      </w:r>
      <w:r>
        <w:rPr>
          <w:rFonts w:ascii="Arial" w:hAnsi="Arial" w:cs="Arial"/>
          <w:b/>
          <w:sz w:val="26"/>
          <w:szCs w:val="26"/>
        </w:rPr>
        <w:t>D</w:t>
      </w:r>
      <w:r w:rsidRPr="009B59DB">
        <w:rPr>
          <w:rFonts w:ascii="Arial" w:hAnsi="Arial" w:cs="Arial"/>
          <w:b/>
          <w:sz w:val="26"/>
          <w:szCs w:val="26"/>
        </w:rPr>
        <w:t xml:space="preserve">E DOS MIL </w:t>
      </w:r>
      <w:r w:rsidR="007A5346">
        <w:rPr>
          <w:rFonts w:ascii="Arial" w:hAnsi="Arial" w:cs="Arial"/>
          <w:b/>
          <w:sz w:val="26"/>
          <w:szCs w:val="26"/>
        </w:rPr>
        <w:t>VEINTE</w:t>
      </w:r>
      <w:r w:rsidRPr="009B59DB">
        <w:rPr>
          <w:rFonts w:ascii="Arial" w:hAnsi="Arial" w:cs="Arial"/>
          <w:b/>
          <w:sz w:val="26"/>
          <w:szCs w:val="26"/>
        </w:rPr>
        <w:t xml:space="preserve">.- - - - - - - - - - - - - - - - - - - - - - - - - - - - - - - - - - - - - - - - - - - - - </w:t>
      </w:r>
      <w:r w:rsidR="00A319C5">
        <w:rPr>
          <w:rFonts w:ascii="Arial" w:hAnsi="Arial" w:cs="Arial"/>
          <w:b/>
          <w:sz w:val="26"/>
          <w:szCs w:val="26"/>
        </w:rPr>
        <w:t>- - - - -</w:t>
      </w:r>
    </w:p>
    <w:p w:rsidR="00550C05" w:rsidRPr="009B59DB" w:rsidRDefault="00550C05" w:rsidP="00550C05">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7A5346">
        <w:rPr>
          <w:rFonts w:ascii="Arial" w:hAnsi="Arial" w:cs="Arial"/>
          <w:b/>
          <w:sz w:val="26"/>
          <w:szCs w:val="26"/>
        </w:rPr>
        <w:t>9</w:t>
      </w:r>
      <w:r w:rsidR="00284D2B">
        <w:rPr>
          <w:rFonts w:ascii="Arial" w:hAnsi="Arial" w:cs="Arial"/>
          <w:b/>
          <w:sz w:val="26"/>
          <w:szCs w:val="26"/>
        </w:rPr>
        <w:t>5</w:t>
      </w:r>
      <w:r w:rsidRPr="009B59DB">
        <w:rPr>
          <w:rFonts w:ascii="Arial" w:hAnsi="Arial" w:cs="Arial"/>
          <w:b/>
          <w:sz w:val="26"/>
          <w:szCs w:val="26"/>
        </w:rPr>
        <w:t>/201</w:t>
      </w:r>
      <w:r w:rsidR="009175F8">
        <w:rPr>
          <w:rFonts w:ascii="Arial" w:hAnsi="Arial" w:cs="Arial"/>
          <w:b/>
          <w:sz w:val="26"/>
          <w:szCs w:val="26"/>
        </w:rPr>
        <w:t>9</w:t>
      </w:r>
      <w:r w:rsidRPr="009B59DB">
        <w:rPr>
          <w:rFonts w:ascii="Arial" w:hAnsi="Arial" w:cs="Arial"/>
          <w:sz w:val="26"/>
          <w:szCs w:val="26"/>
        </w:rPr>
        <w:t xml:space="preserve">, promovido por </w:t>
      </w:r>
      <w:r w:rsidR="007A5346">
        <w:rPr>
          <w:rFonts w:ascii="Arial" w:hAnsi="Arial" w:cs="Arial"/>
          <w:sz w:val="26"/>
          <w:szCs w:val="26"/>
        </w:rPr>
        <w:t xml:space="preserve">la </w:t>
      </w:r>
      <w:r w:rsidR="007A5346">
        <w:rPr>
          <w:rFonts w:ascii="Arial" w:hAnsi="Arial" w:cs="Arial"/>
          <w:b/>
          <w:sz w:val="26"/>
          <w:szCs w:val="26"/>
        </w:rPr>
        <w:t>SÍNDICA PROCURADORA DEL AYUNTAMIENTO CONSTITUCIONAL DEL MUNICIPIO DE SANTA CRUZ XOXOCOTLÁN, OAXACA</w:t>
      </w:r>
      <w:r>
        <w:rPr>
          <w:rFonts w:ascii="Arial" w:hAnsi="Arial" w:cs="Arial"/>
          <w:b/>
          <w:sz w:val="26"/>
          <w:szCs w:val="26"/>
        </w:rPr>
        <w:t xml:space="preserve">, </w:t>
      </w:r>
      <w:r w:rsidRPr="009B59DB">
        <w:rPr>
          <w:rFonts w:ascii="Arial" w:hAnsi="Arial" w:cs="Arial"/>
          <w:sz w:val="26"/>
          <w:szCs w:val="26"/>
        </w:rPr>
        <w:t>en contra de</w:t>
      </w:r>
      <w:r w:rsidR="007A5346">
        <w:rPr>
          <w:rFonts w:ascii="Arial" w:hAnsi="Arial" w:cs="Arial"/>
          <w:sz w:val="26"/>
          <w:szCs w:val="26"/>
        </w:rPr>
        <w:t xml:space="preserve"> </w:t>
      </w:r>
      <w:r>
        <w:rPr>
          <w:rFonts w:ascii="Arial" w:hAnsi="Arial" w:cs="Arial"/>
          <w:sz w:val="26"/>
          <w:szCs w:val="26"/>
        </w:rPr>
        <w:t>l</w:t>
      </w:r>
      <w:r w:rsidR="007A5346">
        <w:rPr>
          <w:rFonts w:ascii="Arial" w:hAnsi="Arial" w:cs="Arial"/>
          <w:sz w:val="26"/>
          <w:szCs w:val="26"/>
        </w:rPr>
        <w:t>a</w:t>
      </w:r>
      <w:r>
        <w:rPr>
          <w:rFonts w:ascii="Arial" w:hAnsi="Arial" w:cs="Arial"/>
          <w:sz w:val="26"/>
          <w:szCs w:val="26"/>
        </w:rPr>
        <w:t xml:space="preserve"> </w:t>
      </w:r>
      <w:r w:rsidR="007A5346">
        <w:rPr>
          <w:rFonts w:ascii="Arial" w:hAnsi="Arial" w:cs="Arial"/>
          <w:b/>
          <w:sz w:val="26"/>
          <w:szCs w:val="26"/>
        </w:rPr>
        <w:t>COORDINADORA DE COBRO COACTIVO y EJECUTORA ADSCRITA A LA COORDINACIÓN DE COBRO COACTIVO, ambas dependientes de la DIRECCIÓN DE INGRESOS Y RECAUDACIÓN DE LA SECRETARÍA DE FINANZAS DEL GOBI</w:t>
      </w:r>
      <w:r w:rsidR="00A319C5">
        <w:rPr>
          <w:rFonts w:ascii="Arial" w:hAnsi="Arial" w:cs="Arial"/>
          <w:b/>
          <w:sz w:val="26"/>
          <w:szCs w:val="26"/>
        </w:rPr>
        <w:t>ERNO</w:t>
      </w:r>
      <w:r w:rsidR="007A5346">
        <w:rPr>
          <w:rFonts w:ascii="Arial" w:hAnsi="Arial" w:cs="Arial"/>
          <w:b/>
          <w:sz w:val="26"/>
          <w:szCs w:val="26"/>
        </w:rPr>
        <w:t xml:space="preserve"> DEL ESTADO DE OAXACA</w:t>
      </w:r>
      <w:r w:rsidRPr="009B59DB">
        <w:rPr>
          <w:rFonts w:ascii="Arial" w:hAnsi="Arial" w:cs="Arial"/>
          <w:b/>
          <w:sz w:val="26"/>
          <w:szCs w:val="26"/>
        </w:rPr>
        <w:t xml:space="preserve">.- - - - - - - - - - - </w:t>
      </w:r>
      <w:r w:rsidR="007A5346">
        <w:rPr>
          <w:rFonts w:ascii="Arial" w:hAnsi="Arial" w:cs="Arial"/>
          <w:b/>
          <w:sz w:val="26"/>
          <w:szCs w:val="26"/>
        </w:rPr>
        <w:t>- - - - - - - - - - - -</w:t>
      </w:r>
      <w:r w:rsidR="00A319C5">
        <w:rPr>
          <w:rFonts w:ascii="Arial" w:hAnsi="Arial" w:cs="Arial"/>
          <w:b/>
          <w:sz w:val="26"/>
          <w:szCs w:val="26"/>
        </w:rPr>
        <w:t xml:space="preserve"> - - - - - - - - - - - - - - - - - - - - - - - - - -</w:t>
      </w:r>
    </w:p>
    <w:p w:rsidR="00550C05" w:rsidRPr="009B59DB" w:rsidRDefault="00550C05" w:rsidP="00550C05">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175F8" w:rsidRPr="009B59DB" w:rsidRDefault="00550C05" w:rsidP="009175F8">
      <w:pPr>
        <w:spacing w:before="240" w:after="0" w:line="360" w:lineRule="auto"/>
        <w:ind w:firstLine="567"/>
        <w:jc w:val="both"/>
        <w:rPr>
          <w:rFonts w:ascii="Arial" w:hAnsi="Arial" w:cs="Arial"/>
          <w:sz w:val="26"/>
          <w:szCs w:val="26"/>
        </w:rPr>
      </w:pPr>
      <w:r>
        <w:rPr>
          <w:rFonts w:ascii="Arial" w:hAnsi="Arial" w:cs="Arial"/>
          <w:b/>
          <w:sz w:val="26"/>
          <w:szCs w:val="26"/>
        </w:rPr>
        <w:t>1</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7A5346">
        <w:rPr>
          <w:rFonts w:ascii="Arial" w:hAnsi="Arial" w:cs="Arial"/>
          <w:sz w:val="26"/>
          <w:szCs w:val="26"/>
        </w:rPr>
        <w:t xml:space="preserve">once de septiembre de </w:t>
      </w:r>
      <w:r>
        <w:rPr>
          <w:rFonts w:ascii="Arial" w:hAnsi="Arial" w:cs="Arial"/>
          <w:sz w:val="26"/>
          <w:szCs w:val="26"/>
        </w:rPr>
        <w:t xml:space="preserve">dos mil </w:t>
      </w:r>
      <w:r w:rsidR="009175F8">
        <w:rPr>
          <w:rFonts w:ascii="Arial" w:hAnsi="Arial" w:cs="Arial"/>
          <w:sz w:val="26"/>
          <w:szCs w:val="26"/>
        </w:rPr>
        <w:t>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7A5346">
        <w:rPr>
          <w:rFonts w:ascii="Arial" w:hAnsi="Arial" w:cs="Arial"/>
          <w:sz w:val="26"/>
          <w:szCs w:val="26"/>
        </w:rPr>
        <w:t xml:space="preserve">la </w:t>
      </w:r>
      <w:r w:rsidR="007A5346" w:rsidRPr="007A5346">
        <w:rPr>
          <w:rFonts w:ascii="Arial" w:hAnsi="Arial" w:cs="Arial"/>
          <w:sz w:val="26"/>
          <w:szCs w:val="26"/>
        </w:rPr>
        <w:t xml:space="preserve">Síndica Procuradora </w:t>
      </w:r>
      <w:r w:rsidR="007A5346">
        <w:rPr>
          <w:rFonts w:ascii="Arial" w:hAnsi="Arial" w:cs="Arial"/>
          <w:sz w:val="26"/>
          <w:szCs w:val="26"/>
        </w:rPr>
        <w:t>d</w:t>
      </w:r>
      <w:r w:rsidR="007A5346" w:rsidRPr="007A5346">
        <w:rPr>
          <w:rFonts w:ascii="Arial" w:hAnsi="Arial" w:cs="Arial"/>
          <w:sz w:val="26"/>
          <w:szCs w:val="26"/>
        </w:rPr>
        <w:t xml:space="preserve">el Ayuntamiento Constitucional </w:t>
      </w:r>
      <w:r w:rsidR="007A5346">
        <w:rPr>
          <w:rFonts w:ascii="Arial" w:hAnsi="Arial" w:cs="Arial"/>
          <w:sz w:val="26"/>
          <w:szCs w:val="26"/>
        </w:rPr>
        <w:t>d</w:t>
      </w:r>
      <w:r w:rsidR="007A5346" w:rsidRPr="007A5346">
        <w:rPr>
          <w:rFonts w:ascii="Arial" w:hAnsi="Arial" w:cs="Arial"/>
          <w:sz w:val="26"/>
          <w:szCs w:val="26"/>
        </w:rPr>
        <w:t xml:space="preserve">el Municipio </w:t>
      </w:r>
      <w:r w:rsidR="007A5346">
        <w:rPr>
          <w:rFonts w:ascii="Arial" w:hAnsi="Arial" w:cs="Arial"/>
          <w:sz w:val="26"/>
          <w:szCs w:val="26"/>
        </w:rPr>
        <w:t>d</w:t>
      </w:r>
      <w:r w:rsidR="007A5346" w:rsidRPr="007A5346">
        <w:rPr>
          <w:rFonts w:ascii="Arial" w:hAnsi="Arial" w:cs="Arial"/>
          <w:sz w:val="26"/>
          <w:szCs w:val="26"/>
        </w:rPr>
        <w:t>e Santa Cruz Xoxocotlán, Oaxaca,</w:t>
      </w:r>
      <w:r w:rsidR="007A5346">
        <w:rPr>
          <w:rFonts w:ascii="Arial" w:hAnsi="Arial" w:cs="Arial"/>
          <w:sz w:val="26"/>
          <w:szCs w:val="26"/>
        </w:rPr>
        <w:t xml:space="preserve"> </w:t>
      </w:r>
      <w:r w:rsidRPr="009B59DB">
        <w:rPr>
          <w:rFonts w:ascii="Arial" w:hAnsi="Arial" w:cs="Arial"/>
          <w:sz w:val="26"/>
          <w:szCs w:val="26"/>
        </w:rPr>
        <w:t>demandó la nulidad lisa y llana de</w:t>
      </w:r>
      <w:r w:rsidR="009175F8">
        <w:rPr>
          <w:rFonts w:ascii="Arial" w:hAnsi="Arial" w:cs="Arial"/>
          <w:sz w:val="26"/>
          <w:szCs w:val="26"/>
        </w:rPr>
        <w:t xml:space="preserve">l acuerdo </w:t>
      </w:r>
      <w:r w:rsidR="007A5346">
        <w:rPr>
          <w:rFonts w:ascii="Arial" w:hAnsi="Arial" w:cs="Arial"/>
          <w:sz w:val="26"/>
          <w:szCs w:val="26"/>
        </w:rPr>
        <w:t xml:space="preserve">de ampliación de embargo número </w:t>
      </w:r>
      <w:r w:rsidR="009175F8">
        <w:rPr>
          <w:rFonts w:ascii="Arial" w:hAnsi="Arial" w:cs="Arial"/>
          <w:sz w:val="26"/>
          <w:szCs w:val="26"/>
        </w:rPr>
        <w:t xml:space="preserve">de </w:t>
      </w:r>
      <w:r w:rsidR="00284D2B">
        <w:rPr>
          <w:rFonts w:ascii="Arial" w:hAnsi="Arial" w:cs="Arial"/>
          <w:sz w:val="26"/>
          <w:szCs w:val="26"/>
        </w:rPr>
        <w:t>dos</w:t>
      </w:r>
      <w:r w:rsidR="007A5346">
        <w:rPr>
          <w:rFonts w:ascii="Arial" w:hAnsi="Arial" w:cs="Arial"/>
          <w:sz w:val="26"/>
          <w:szCs w:val="26"/>
        </w:rPr>
        <w:t xml:space="preserve"> de julio </w:t>
      </w:r>
      <w:r w:rsidR="009175F8">
        <w:rPr>
          <w:rFonts w:ascii="Arial" w:hAnsi="Arial" w:cs="Arial"/>
          <w:sz w:val="26"/>
          <w:szCs w:val="26"/>
        </w:rPr>
        <w:t xml:space="preserve">de dos mil diecinueve, emitido por </w:t>
      </w:r>
      <w:r w:rsidR="007A5346">
        <w:rPr>
          <w:rFonts w:ascii="Arial" w:hAnsi="Arial" w:cs="Arial"/>
          <w:sz w:val="26"/>
          <w:szCs w:val="26"/>
        </w:rPr>
        <w:t xml:space="preserve">la Dirección de Ingresos y Recaudación de la Secretaría de Finanzas del Estado de Oaxaca; así como del acta de ampliación de embargo número de </w:t>
      </w:r>
      <w:r w:rsidR="00284D2B">
        <w:rPr>
          <w:rFonts w:ascii="Arial" w:hAnsi="Arial" w:cs="Arial"/>
          <w:sz w:val="26"/>
          <w:szCs w:val="26"/>
        </w:rPr>
        <w:t>doce</w:t>
      </w:r>
      <w:r w:rsidR="007A5346">
        <w:rPr>
          <w:rFonts w:ascii="Arial" w:hAnsi="Arial" w:cs="Arial"/>
          <w:sz w:val="26"/>
          <w:szCs w:val="26"/>
        </w:rPr>
        <w:t xml:space="preserve"> de julio de dos mil diecinueve</w:t>
      </w:r>
      <w:r w:rsidR="00FC283F">
        <w:rPr>
          <w:rFonts w:ascii="Arial" w:hAnsi="Arial" w:cs="Arial"/>
          <w:sz w:val="26"/>
          <w:szCs w:val="26"/>
        </w:rPr>
        <w:t>, emitido por la Ejecutora de Coordinación de Cobro Coactivo, dependiente de la Dirección de Ingresos y Recaudación de la Secretaría de Finanzas del Poder Ejecutivo del Estado</w:t>
      </w:r>
      <w:r w:rsidR="009175F8">
        <w:rPr>
          <w:rFonts w:ascii="Arial" w:hAnsi="Arial" w:cs="Arial"/>
          <w:sz w:val="26"/>
          <w:szCs w:val="26"/>
        </w:rPr>
        <w:t>.</w:t>
      </w:r>
      <w:r w:rsidR="009175F8" w:rsidRPr="009B59DB">
        <w:rPr>
          <w:rFonts w:ascii="Arial" w:hAnsi="Arial" w:cs="Arial"/>
          <w:sz w:val="26"/>
          <w:szCs w:val="26"/>
        </w:rPr>
        <w:t xml:space="preserve">- - - - - - - - - - - - - - - </w:t>
      </w:r>
      <w:r w:rsidR="00A319C5">
        <w:rPr>
          <w:rFonts w:ascii="Arial" w:hAnsi="Arial" w:cs="Arial"/>
          <w:sz w:val="26"/>
          <w:szCs w:val="26"/>
        </w:rPr>
        <w:t xml:space="preserve">- - - - - - - - - - - - - - - - - - - - - - - - - - - - - - - - - - - - </w:t>
      </w:r>
    </w:p>
    <w:p w:rsidR="00550C05" w:rsidRDefault="003D75A0" w:rsidP="00550C05">
      <w:pPr>
        <w:spacing w:before="240" w:after="0" w:line="360" w:lineRule="auto"/>
        <w:ind w:firstLine="567"/>
        <w:jc w:val="both"/>
        <w:rPr>
          <w:rFonts w:ascii="Arial" w:hAnsi="Arial" w:cs="Arial"/>
          <w:sz w:val="26"/>
          <w:szCs w:val="26"/>
        </w:rPr>
      </w:pPr>
      <w:r>
        <w:rPr>
          <w:noProof/>
          <w:lang w:eastAsia="es-MX"/>
        </w:rPr>
        <w:lastRenderedPageBreak/>
        <mc:AlternateContent>
          <mc:Choice Requires="wps">
            <w:drawing>
              <wp:anchor distT="0" distB="0" distL="114300" distR="114300" simplePos="0" relativeHeight="251661312" behindDoc="0" locked="0" layoutInCell="1" allowOverlap="1" wp14:anchorId="52743FF6" wp14:editId="50C69782">
                <wp:simplePos x="0" y="0"/>
                <wp:positionH relativeFrom="column">
                  <wp:posOffset>-854817</wp:posOffset>
                </wp:positionH>
                <wp:positionV relativeFrom="paragraph">
                  <wp:posOffset>-831694</wp:posOffset>
                </wp:positionV>
                <wp:extent cx="1104900" cy="949960"/>
                <wp:effectExtent l="0" t="0" r="19050" b="2159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3D75A0" w:rsidRPr="00035E13" w:rsidRDefault="003D75A0" w:rsidP="003D75A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43FF6" id="Cuadro de texto 1" o:spid="_x0000_s1027" type="#_x0000_t202" style="position:absolute;left:0;text-align:left;margin-left:-67.3pt;margin-top:-65.5pt;width:87pt;height:7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" fillcolor="window" strokeweight=".5pt">
                <v:path arrowok="t"/>
                <v:textbox>
                  <w:txbxContent>
                    <w:p w:rsidR="003D75A0" w:rsidRPr="00035E13" w:rsidRDefault="003D75A0" w:rsidP="003D75A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50C05">
        <w:rPr>
          <w:rFonts w:ascii="Arial" w:hAnsi="Arial" w:cs="Arial"/>
          <w:b/>
          <w:sz w:val="26"/>
          <w:szCs w:val="26"/>
        </w:rPr>
        <w:t xml:space="preserve">2. </w:t>
      </w:r>
      <w:r w:rsidR="00550C05" w:rsidRPr="009B59DB">
        <w:rPr>
          <w:rFonts w:ascii="Arial" w:hAnsi="Arial" w:cs="Arial"/>
          <w:sz w:val="26"/>
          <w:szCs w:val="26"/>
        </w:rPr>
        <w:t xml:space="preserve">Por acuerdo de </w:t>
      </w:r>
      <w:r w:rsidR="00FC283F">
        <w:rPr>
          <w:rFonts w:ascii="Arial" w:hAnsi="Arial" w:cs="Arial"/>
          <w:sz w:val="26"/>
          <w:szCs w:val="26"/>
        </w:rPr>
        <w:t xml:space="preserve">veintisiete de septiembre </w:t>
      </w:r>
      <w:r w:rsidR="009175F8">
        <w:rPr>
          <w:rFonts w:ascii="Arial" w:hAnsi="Arial" w:cs="Arial"/>
          <w:sz w:val="26"/>
          <w:szCs w:val="26"/>
        </w:rPr>
        <w:t xml:space="preserve">de dos mil diecinueve, se </w:t>
      </w:r>
      <w:r w:rsidR="00D34B85">
        <w:rPr>
          <w:rFonts w:ascii="Arial" w:hAnsi="Arial" w:cs="Arial"/>
          <w:sz w:val="26"/>
          <w:szCs w:val="26"/>
        </w:rPr>
        <w:t xml:space="preserve">admitió a trámite </w:t>
      </w:r>
      <w:r w:rsidR="00FC283F">
        <w:rPr>
          <w:rFonts w:ascii="Arial" w:hAnsi="Arial" w:cs="Arial"/>
          <w:sz w:val="26"/>
          <w:szCs w:val="26"/>
        </w:rPr>
        <w:t>la</w:t>
      </w:r>
      <w:r w:rsidR="00D34B85">
        <w:rPr>
          <w:rFonts w:ascii="Arial" w:hAnsi="Arial" w:cs="Arial"/>
          <w:sz w:val="26"/>
          <w:szCs w:val="26"/>
        </w:rPr>
        <w:t xml:space="preserve"> demanda; se le tuvo por ofrecidas y admitidas sus pruebas;</w:t>
      </w:r>
      <w:r w:rsidR="00FC283F">
        <w:rPr>
          <w:rFonts w:ascii="Arial" w:hAnsi="Arial" w:cs="Arial"/>
          <w:sz w:val="26"/>
          <w:szCs w:val="26"/>
        </w:rPr>
        <w:t xml:space="preserve"> se requirió a la Junta de Arbitraje de los Empleados a los Servicios de los Poderes del Estado de Oaxaca, para que dentro del plazo de tres días, remitiera copias certificadas; </w:t>
      </w:r>
      <w:r w:rsidR="00D34B85">
        <w:rPr>
          <w:rFonts w:ascii="Arial" w:hAnsi="Arial" w:cs="Arial"/>
          <w:sz w:val="26"/>
          <w:szCs w:val="26"/>
        </w:rPr>
        <w:t>se ordenó notificar, emplazar y correr traslado a la demandada, para que produjera su contestación</w:t>
      </w:r>
      <w:r w:rsidR="004D1D42">
        <w:rPr>
          <w:rFonts w:ascii="Arial" w:hAnsi="Arial" w:cs="Arial"/>
          <w:sz w:val="26"/>
          <w:szCs w:val="26"/>
        </w:rPr>
        <w:t xml:space="preserve">. </w:t>
      </w:r>
      <w:r w:rsidR="00A319C5">
        <w:rPr>
          <w:rFonts w:ascii="Arial" w:hAnsi="Arial" w:cs="Arial"/>
          <w:sz w:val="26"/>
          <w:szCs w:val="26"/>
        </w:rPr>
        <w:t xml:space="preserve">- - - - - - - - - - - - - - - - - - - </w:t>
      </w:r>
    </w:p>
    <w:p w:rsidR="00550C05" w:rsidRDefault="00111F2A" w:rsidP="00550C05">
      <w:pPr>
        <w:spacing w:before="240" w:after="0" w:line="360" w:lineRule="auto"/>
        <w:ind w:firstLine="567"/>
        <w:jc w:val="both"/>
        <w:rPr>
          <w:rFonts w:ascii="Arial" w:hAnsi="Arial" w:cs="Arial"/>
          <w:sz w:val="26"/>
          <w:szCs w:val="26"/>
        </w:rPr>
      </w:pPr>
      <w:r>
        <w:rPr>
          <w:rFonts w:ascii="Arial" w:hAnsi="Arial" w:cs="Arial"/>
          <w:b/>
          <w:sz w:val="26"/>
          <w:szCs w:val="26"/>
        </w:rPr>
        <w:t>3</w:t>
      </w:r>
      <w:r w:rsidR="00550C05">
        <w:rPr>
          <w:rFonts w:ascii="Arial" w:hAnsi="Arial" w:cs="Arial"/>
          <w:b/>
          <w:sz w:val="26"/>
          <w:szCs w:val="26"/>
        </w:rPr>
        <w:t xml:space="preserve">. </w:t>
      </w:r>
      <w:r w:rsidR="00550C05" w:rsidRPr="007D4216">
        <w:rPr>
          <w:rFonts w:ascii="Arial" w:hAnsi="Arial" w:cs="Arial"/>
          <w:sz w:val="26"/>
          <w:szCs w:val="26"/>
        </w:rPr>
        <w:t xml:space="preserve">Por </w:t>
      </w:r>
      <w:r w:rsidR="00D34B85">
        <w:rPr>
          <w:rFonts w:ascii="Arial" w:hAnsi="Arial" w:cs="Arial"/>
          <w:sz w:val="26"/>
          <w:szCs w:val="26"/>
        </w:rPr>
        <w:t xml:space="preserve">auto de </w:t>
      </w:r>
      <w:r w:rsidR="00284D2B">
        <w:rPr>
          <w:rFonts w:ascii="Arial" w:hAnsi="Arial" w:cs="Arial"/>
          <w:sz w:val="26"/>
          <w:szCs w:val="26"/>
        </w:rPr>
        <w:t xml:space="preserve">veintidós </w:t>
      </w:r>
      <w:r w:rsidR="00FC283F">
        <w:rPr>
          <w:rFonts w:ascii="Arial" w:hAnsi="Arial" w:cs="Arial"/>
          <w:sz w:val="26"/>
          <w:szCs w:val="26"/>
        </w:rPr>
        <w:t>de noviembre</w:t>
      </w:r>
      <w:r w:rsidR="00D34B85">
        <w:rPr>
          <w:rFonts w:ascii="Arial" w:hAnsi="Arial" w:cs="Arial"/>
          <w:sz w:val="26"/>
          <w:szCs w:val="26"/>
        </w:rPr>
        <w:t xml:space="preserve"> de dos mil diecinueve, se tuvo a la demandada dando contestación a la demanda, por expresadas su excepciones y defensas y por ofrecidas y admitidas sus pruebas;</w:t>
      </w:r>
      <w:r w:rsidR="00FC283F">
        <w:rPr>
          <w:rFonts w:ascii="Arial" w:hAnsi="Arial" w:cs="Arial"/>
          <w:sz w:val="26"/>
          <w:szCs w:val="26"/>
        </w:rPr>
        <w:t xml:space="preserve"> se señaló fecha y hora para la celebración de la audiencia de Ley</w:t>
      </w:r>
      <w:r w:rsidR="00EE52B7">
        <w:rPr>
          <w:rFonts w:ascii="Arial" w:hAnsi="Arial" w:cs="Arial"/>
          <w:sz w:val="26"/>
          <w:szCs w:val="26"/>
        </w:rPr>
        <w:t>.</w:t>
      </w:r>
      <w:r w:rsidR="00D34B85">
        <w:rPr>
          <w:rFonts w:ascii="Arial" w:hAnsi="Arial" w:cs="Arial"/>
          <w:sz w:val="26"/>
          <w:szCs w:val="26"/>
        </w:rPr>
        <w:t xml:space="preserve">- </w:t>
      </w:r>
      <w:r w:rsidR="00FC283F">
        <w:rPr>
          <w:rFonts w:ascii="Arial" w:hAnsi="Arial" w:cs="Arial"/>
          <w:sz w:val="26"/>
          <w:szCs w:val="26"/>
        </w:rPr>
        <w:t xml:space="preserve">- - - - - - - - - - - - </w:t>
      </w:r>
      <w:r w:rsidR="00A319C5">
        <w:rPr>
          <w:rFonts w:ascii="Arial" w:hAnsi="Arial" w:cs="Arial"/>
          <w:sz w:val="26"/>
          <w:szCs w:val="26"/>
        </w:rPr>
        <w:t>- - - - - - - - - - - - -</w:t>
      </w:r>
    </w:p>
    <w:p w:rsidR="00550C05" w:rsidRPr="009B59DB" w:rsidRDefault="00111F2A" w:rsidP="00D34B85">
      <w:pPr>
        <w:spacing w:before="240" w:after="0" w:line="360" w:lineRule="auto"/>
        <w:ind w:firstLine="567"/>
        <w:jc w:val="both"/>
        <w:rPr>
          <w:rFonts w:ascii="Arial" w:hAnsi="Arial" w:cs="Arial"/>
          <w:sz w:val="26"/>
          <w:szCs w:val="26"/>
        </w:rPr>
      </w:pPr>
      <w:r>
        <w:rPr>
          <w:rFonts w:ascii="Arial" w:hAnsi="Arial" w:cs="Arial"/>
          <w:b/>
          <w:sz w:val="26"/>
          <w:szCs w:val="26"/>
        </w:rPr>
        <w:t>4</w:t>
      </w:r>
      <w:r w:rsidR="00550C05">
        <w:rPr>
          <w:rFonts w:ascii="Arial" w:hAnsi="Arial" w:cs="Arial"/>
          <w:b/>
          <w:sz w:val="26"/>
          <w:szCs w:val="26"/>
        </w:rPr>
        <w:t xml:space="preserve">. </w:t>
      </w:r>
      <w:r w:rsidR="00550C05" w:rsidRPr="009B59DB">
        <w:rPr>
          <w:rFonts w:ascii="Arial" w:hAnsi="Arial" w:cs="Arial"/>
          <w:sz w:val="26"/>
          <w:szCs w:val="26"/>
        </w:rPr>
        <w:t xml:space="preserve">Finalmente, el </w:t>
      </w:r>
      <w:r w:rsidR="00284D2B">
        <w:rPr>
          <w:rFonts w:ascii="Arial" w:hAnsi="Arial" w:cs="Arial"/>
          <w:sz w:val="26"/>
          <w:szCs w:val="26"/>
        </w:rPr>
        <w:t xml:space="preserve">diez </w:t>
      </w:r>
      <w:r w:rsidR="00FC283F">
        <w:rPr>
          <w:rFonts w:ascii="Arial" w:hAnsi="Arial" w:cs="Arial"/>
          <w:sz w:val="26"/>
          <w:szCs w:val="26"/>
        </w:rPr>
        <w:t>de diciembre de dos mil diecinueve</w:t>
      </w:r>
      <w:r w:rsidR="00550C05">
        <w:rPr>
          <w:rFonts w:ascii="Arial" w:hAnsi="Arial" w:cs="Arial"/>
          <w:sz w:val="26"/>
          <w:szCs w:val="26"/>
        </w:rPr>
        <w:t xml:space="preserve">, </w:t>
      </w:r>
      <w:r w:rsidR="00550C05" w:rsidRPr="009B59DB">
        <w:rPr>
          <w:rFonts w:ascii="Arial" w:hAnsi="Arial" w:cs="Arial"/>
          <w:sz w:val="26"/>
          <w:szCs w:val="26"/>
        </w:rPr>
        <w:t xml:space="preserve">se llevó a cabo la audiencia final, sin comparecencia de las partes ni persona alguna que legalmente las representara; se </w:t>
      </w:r>
      <w:r w:rsidR="00550C05">
        <w:rPr>
          <w:rFonts w:ascii="Arial" w:hAnsi="Arial" w:cs="Arial"/>
          <w:sz w:val="26"/>
          <w:szCs w:val="26"/>
        </w:rPr>
        <w:t>desahogaron las pruebas de las par</w:t>
      </w:r>
      <w:r w:rsidR="00A5042D">
        <w:rPr>
          <w:rFonts w:ascii="Arial" w:hAnsi="Arial" w:cs="Arial"/>
          <w:sz w:val="26"/>
          <w:szCs w:val="26"/>
        </w:rPr>
        <w:t>t</w:t>
      </w:r>
      <w:r w:rsidR="00550C05">
        <w:rPr>
          <w:rFonts w:ascii="Arial" w:hAnsi="Arial" w:cs="Arial"/>
          <w:sz w:val="26"/>
          <w:szCs w:val="26"/>
        </w:rPr>
        <w:t>es, s</w:t>
      </w:r>
      <w:r w:rsidR="00FC283F">
        <w:rPr>
          <w:rFonts w:ascii="Arial" w:hAnsi="Arial" w:cs="Arial"/>
          <w:sz w:val="26"/>
          <w:szCs w:val="26"/>
        </w:rPr>
        <w:t>e abrió el periodo de alegatos</w:t>
      </w:r>
      <w:r w:rsidR="00A5042D">
        <w:rPr>
          <w:rFonts w:ascii="Arial" w:hAnsi="Arial" w:cs="Arial"/>
          <w:sz w:val="26"/>
          <w:szCs w:val="26"/>
        </w:rPr>
        <w:t xml:space="preserve">; se dio por concluido y cerrada la etapa procesal; </w:t>
      </w:r>
      <w:r w:rsidR="00550C05" w:rsidRPr="009B59DB">
        <w:rPr>
          <w:rFonts w:ascii="Arial" w:hAnsi="Arial" w:cs="Arial"/>
          <w:sz w:val="26"/>
          <w:szCs w:val="26"/>
        </w:rPr>
        <w:t xml:space="preserve">y, por último se citó a las partes para oír sentencia.- - - - - - - - - - - </w:t>
      </w:r>
      <w:r w:rsidR="00A319C5">
        <w:rPr>
          <w:rFonts w:ascii="Arial" w:hAnsi="Arial" w:cs="Arial"/>
          <w:sz w:val="26"/>
          <w:szCs w:val="26"/>
        </w:rPr>
        <w:t>- - - - - - - - -</w:t>
      </w:r>
    </w:p>
    <w:p w:rsidR="00550C05" w:rsidRPr="009B59DB" w:rsidRDefault="00550C05" w:rsidP="00550C05">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550C05" w:rsidRPr="009B59DB" w:rsidRDefault="00550C05" w:rsidP="00550C05">
      <w:pPr>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PRIMERO.- </w:t>
      </w:r>
      <w:r>
        <w:rPr>
          <w:rFonts w:ascii="Arial" w:hAnsi="Arial" w:cs="Arial"/>
          <w:sz w:val="26"/>
          <w:szCs w:val="26"/>
        </w:rPr>
        <w:t xml:space="preserve">Esta Sexta Sala Unitaria </w:t>
      </w:r>
      <w:r w:rsidRPr="009B59DB">
        <w:rPr>
          <w:rFonts w:ascii="Arial" w:hAnsi="Arial" w:cs="Arial"/>
          <w:sz w:val="26"/>
          <w:szCs w:val="26"/>
        </w:rPr>
        <w:t>del Tribunal de Justicia Admi</w:t>
      </w:r>
      <w:r>
        <w:rPr>
          <w:rFonts w:ascii="Arial" w:hAnsi="Arial" w:cs="Arial"/>
          <w:sz w:val="26"/>
          <w:szCs w:val="26"/>
        </w:rPr>
        <w:t>nistrativa del Estado de Oaxaca,</w:t>
      </w:r>
      <w:r w:rsidRPr="00A5042D">
        <w:rPr>
          <w:rFonts w:ascii="Arial" w:hAnsi="Arial" w:cs="Arial"/>
          <w:sz w:val="26"/>
          <w:szCs w:val="26"/>
        </w:rPr>
        <w:t xml:space="preserve"> es competente para conocer del presente asunto en términos de lo dispuesto por </w:t>
      </w:r>
      <w:r w:rsidR="00A5042D" w:rsidRPr="00A5042D">
        <w:rPr>
          <w:rFonts w:ascii="Arial" w:hAnsi="Arial" w:cs="Arial"/>
          <w:color w:val="000000"/>
          <w:sz w:val="26"/>
          <w:szCs w:val="26"/>
        </w:rPr>
        <w:t xml:space="preserve">los artículos 114 QUÁTER de la Constitución Política del Estado Libre y Soberano de Oaxaca; 1 párrafo segundo, 2 párrafos primero y cuarto, 4 fracción VIII, </w:t>
      </w:r>
      <w:r w:rsidR="009F2D5F">
        <w:rPr>
          <w:rFonts w:ascii="Arial" w:hAnsi="Arial" w:cs="Arial"/>
          <w:color w:val="000000"/>
          <w:sz w:val="26"/>
          <w:szCs w:val="26"/>
        </w:rPr>
        <w:t>3</w:t>
      </w:r>
      <w:r w:rsidR="00A5042D" w:rsidRPr="00A5042D">
        <w:rPr>
          <w:rFonts w:ascii="Arial" w:hAnsi="Arial" w:cs="Arial"/>
          <w:color w:val="000000"/>
          <w:sz w:val="26"/>
          <w:szCs w:val="26"/>
        </w:rPr>
        <w:t xml:space="preserve">3, </w:t>
      </w:r>
      <w:r w:rsidR="009F2D5F">
        <w:rPr>
          <w:rFonts w:ascii="Arial" w:hAnsi="Arial" w:cs="Arial"/>
          <w:color w:val="000000"/>
          <w:sz w:val="26"/>
          <w:szCs w:val="26"/>
        </w:rPr>
        <w:t>35</w:t>
      </w:r>
      <w:r w:rsidR="00A5042D" w:rsidRPr="00A5042D">
        <w:rPr>
          <w:rFonts w:ascii="Arial" w:hAnsi="Arial" w:cs="Arial"/>
          <w:color w:val="000000"/>
          <w:sz w:val="26"/>
          <w:szCs w:val="26"/>
        </w:rPr>
        <w:t xml:space="preserve"> fracción I</w:t>
      </w:r>
      <w:r w:rsidR="009F2D5F">
        <w:rPr>
          <w:rFonts w:ascii="Arial" w:hAnsi="Arial" w:cs="Arial"/>
          <w:color w:val="000000"/>
          <w:sz w:val="26"/>
          <w:szCs w:val="26"/>
        </w:rPr>
        <w:t xml:space="preserve"> y</w:t>
      </w:r>
      <w:r w:rsidR="00A5042D" w:rsidRPr="00A5042D">
        <w:rPr>
          <w:rFonts w:ascii="Arial" w:hAnsi="Arial" w:cs="Arial"/>
          <w:color w:val="000000"/>
          <w:sz w:val="26"/>
          <w:szCs w:val="26"/>
        </w:rPr>
        <w:t xml:space="preserve"> </w:t>
      </w:r>
      <w:r w:rsidR="009F2D5F">
        <w:rPr>
          <w:rFonts w:ascii="Arial" w:hAnsi="Arial" w:cs="Arial"/>
          <w:color w:val="000000"/>
          <w:sz w:val="26"/>
          <w:szCs w:val="26"/>
        </w:rPr>
        <w:t>36</w:t>
      </w:r>
      <w:r w:rsidR="00A5042D" w:rsidRPr="00A5042D">
        <w:rPr>
          <w:rFonts w:ascii="Arial" w:hAnsi="Arial" w:cs="Arial"/>
          <w:color w:val="000000"/>
          <w:sz w:val="26"/>
          <w:szCs w:val="26"/>
        </w:rPr>
        <w:t xml:space="preserve"> fracción I de la Ley Orgánica del Tribunal de Justicia Administrativa del Estado de Oaxaca, publicada en el Periódico Oficial del Estado de Oaxaca, el siete de noviembre de dos mil diecinueve; así como los diversos </w:t>
      </w:r>
      <w:r w:rsidRPr="00411830">
        <w:rPr>
          <w:rFonts w:ascii="Arial" w:hAnsi="Arial" w:cs="Arial"/>
          <w:color w:val="000000"/>
          <w:sz w:val="26"/>
          <w:szCs w:val="26"/>
        </w:rPr>
        <w:t>118, 119,</w:t>
      </w:r>
      <w:r>
        <w:rPr>
          <w:rFonts w:ascii="Arial" w:hAnsi="Arial" w:cs="Arial"/>
          <w:color w:val="000000"/>
          <w:sz w:val="26"/>
          <w:szCs w:val="26"/>
        </w:rPr>
        <w:t xml:space="preserve"> </w:t>
      </w:r>
      <w:r w:rsidR="00220810">
        <w:rPr>
          <w:rFonts w:ascii="Arial" w:hAnsi="Arial" w:cs="Arial"/>
          <w:color w:val="000000"/>
          <w:sz w:val="26"/>
          <w:szCs w:val="26"/>
        </w:rPr>
        <w:t>120 fracción I y 133</w:t>
      </w:r>
      <w:r w:rsidRPr="00411830">
        <w:rPr>
          <w:rFonts w:ascii="Arial" w:hAnsi="Arial" w:cs="Arial"/>
          <w:color w:val="000000"/>
          <w:sz w:val="26"/>
          <w:szCs w:val="26"/>
        </w:rPr>
        <w:t xml:space="preserve"> </w:t>
      </w:r>
      <w:r w:rsidR="00220810">
        <w:rPr>
          <w:rFonts w:ascii="Arial" w:hAnsi="Arial" w:cs="Arial"/>
          <w:color w:val="000000"/>
          <w:sz w:val="26"/>
          <w:szCs w:val="26"/>
        </w:rPr>
        <w:t xml:space="preserve">fracción </w:t>
      </w:r>
      <w:r w:rsidR="001F710A">
        <w:rPr>
          <w:rFonts w:ascii="Arial" w:hAnsi="Arial" w:cs="Arial"/>
          <w:color w:val="000000"/>
          <w:sz w:val="26"/>
          <w:szCs w:val="26"/>
        </w:rPr>
        <w:t>I</w:t>
      </w:r>
      <w:r w:rsidR="00220810">
        <w:rPr>
          <w:rFonts w:ascii="Arial" w:hAnsi="Arial" w:cs="Arial"/>
          <w:color w:val="000000"/>
          <w:sz w:val="26"/>
          <w:szCs w:val="26"/>
        </w:rPr>
        <w:t xml:space="preserve">I </w:t>
      </w:r>
      <w:r w:rsidRPr="00411830">
        <w:rPr>
          <w:rFonts w:ascii="Arial" w:hAnsi="Arial" w:cs="Arial"/>
          <w:color w:val="000000"/>
          <w:sz w:val="26"/>
          <w:szCs w:val="26"/>
        </w:rPr>
        <w:t>de la Ley de Procedimiento y Justicia Administrativa para el Estado de Oaxaca</w:t>
      </w:r>
      <w:r w:rsidRPr="00411830">
        <w:rPr>
          <w:rFonts w:ascii="Arial" w:hAnsi="Arial" w:cs="Arial"/>
          <w:sz w:val="26"/>
          <w:szCs w:val="26"/>
        </w:rPr>
        <w:t>,</w:t>
      </w:r>
      <w:r w:rsidRPr="009B59DB">
        <w:rPr>
          <w:rFonts w:ascii="Arial" w:hAnsi="Arial" w:cs="Arial"/>
          <w:sz w:val="26"/>
          <w:szCs w:val="26"/>
        </w:rPr>
        <w:t xml:space="preserve"> por tratarse de un juicio de nulidad promovido en contra de una autoridad administrativa de carácter estatal.- - - </w:t>
      </w:r>
      <w:r w:rsidR="00A5042D">
        <w:rPr>
          <w:rFonts w:ascii="Arial" w:hAnsi="Arial" w:cs="Arial"/>
          <w:sz w:val="26"/>
          <w:szCs w:val="26"/>
        </w:rPr>
        <w:t xml:space="preserve">- </w:t>
      </w:r>
      <w:r w:rsidR="00A319C5">
        <w:rPr>
          <w:rFonts w:ascii="Arial" w:hAnsi="Arial" w:cs="Arial"/>
          <w:sz w:val="26"/>
          <w:szCs w:val="26"/>
        </w:rPr>
        <w:t xml:space="preserve">- - - - - - - - - - - - - - - - - - </w:t>
      </w:r>
    </w:p>
    <w:p w:rsidR="00550C05" w:rsidRPr="009B59DB" w:rsidRDefault="00550C05" w:rsidP="00550C05">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de Procedimiento y Justicia Administr</w:t>
      </w:r>
      <w:r w:rsidR="00230553">
        <w:rPr>
          <w:rFonts w:ascii="Arial" w:hAnsi="Arial" w:cs="Arial"/>
          <w:sz w:val="26"/>
          <w:szCs w:val="26"/>
        </w:rPr>
        <w:t>ativa para el Estado de Oaxaca</w:t>
      </w:r>
      <w:r w:rsidRPr="009B59DB">
        <w:rPr>
          <w:rFonts w:ascii="Arial" w:hAnsi="Arial" w:cs="Arial"/>
          <w:sz w:val="26"/>
          <w:szCs w:val="26"/>
        </w:rPr>
        <w:t xml:space="preserve">.- - - </w:t>
      </w:r>
      <w:r>
        <w:rPr>
          <w:rFonts w:ascii="Arial" w:hAnsi="Arial" w:cs="Arial"/>
          <w:sz w:val="26"/>
          <w:szCs w:val="26"/>
        </w:rPr>
        <w:t xml:space="preserve">- - - - - - - - - - - - - - - - - - - - - - - </w:t>
      </w:r>
      <w:r w:rsidR="00A319C5">
        <w:rPr>
          <w:rFonts w:ascii="Arial" w:hAnsi="Arial" w:cs="Arial"/>
          <w:sz w:val="26"/>
          <w:szCs w:val="26"/>
        </w:rPr>
        <w:t>- - - - - - - - - - - - - - - - - -</w:t>
      </w:r>
    </w:p>
    <w:p w:rsidR="00230553" w:rsidRDefault="00550C05" w:rsidP="00230553">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 xml:space="preserve">tículo </w:t>
      </w:r>
      <w:r w:rsidR="003D75A0">
        <w:rPr>
          <w:noProof/>
          <w:lang w:eastAsia="es-MX"/>
        </w:rPr>
        <mc:AlternateContent>
          <mc:Choice Requires="wps">
            <w:drawing>
              <wp:anchor distT="0" distB="0" distL="114300" distR="114300" simplePos="0" relativeHeight="251663360" behindDoc="0" locked="0" layoutInCell="1" allowOverlap="1" wp14:anchorId="1C16BAFA" wp14:editId="2F0FD938">
                <wp:simplePos x="0" y="0"/>
                <wp:positionH relativeFrom="column">
                  <wp:posOffset>-1095498</wp:posOffset>
                </wp:positionH>
                <wp:positionV relativeFrom="paragraph">
                  <wp:posOffset>-772423</wp:posOffset>
                </wp:positionV>
                <wp:extent cx="1104900" cy="949960"/>
                <wp:effectExtent l="0" t="0" r="19050" b="2159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3D75A0" w:rsidRPr="00035E13" w:rsidRDefault="003D75A0" w:rsidP="003D75A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6BAFA" id="Cuadro de texto 3" o:spid="_x0000_s1028" type="#_x0000_t202" style="position:absolute;left:0;text-align:left;margin-left:-86.25pt;margin-top:-60.8pt;width:87pt;height:7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" fillcolor="window" strokeweight=".5pt">
                <v:path arrowok="t"/>
                <v:textbox>
                  <w:txbxContent>
                    <w:p w:rsidR="003D75A0" w:rsidRPr="00035E13" w:rsidRDefault="003D75A0" w:rsidP="003D75A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sidR="00230553" w:rsidRPr="009B59DB">
        <w:rPr>
          <w:rFonts w:ascii="Arial" w:hAnsi="Arial" w:cs="Arial"/>
          <w:sz w:val="26"/>
          <w:szCs w:val="26"/>
        </w:rPr>
        <w:t xml:space="preserve">esta Sala advierte que en el presente caso concreto no se actualiza causal de improcedencia ni sobreseimiento, consecuentemente, </w:t>
      </w:r>
      <w:r w:rsidR="00230553" w:rsidRPr="00411830">
        <w:rPr>
          <w:rFonts w:ascii="Arial" w:hAnsi="Arial" w:cs="Arial"/>
          <w:b/>
          <w:sz w:val="26"/>
          <w:szCs w:val="26"/>
        </w:rPr>
        <w:t>no se sobresee</w:t>
      </w:r>
      <w:r w:rsidR="00230553" w:rsidRPr="009B59DB">
        <w:rPr>
          <w:rFonts w:ascii="Arial" w:hAnsi="Arial" w:cs="Arial"/>
          <w:sz w:val="26"/>
          <w:szCs w:val="26"/>
        </w:rPr>
        <w:t xml:space="preserve"> el juicio. - - - - - - - - - - - - - - - - - - - - - - - - - - - - - - - - - - - - - </w:t>
      </w:r>
      <w:r w:rsidR="00A319C5">
        <w:rPr>
          <w:rFonts w:ascii="Arial" w:hAnsi="Arial" w:cs="Arial"/>
          <w:sz w:val="26"/>
          <w:szCs w:val="26"/>
        </w:rPr>
        <w:t xml:space="preserve">- - - - - - - - - - - - - - - </w:t>
      </w:r>
    </w:p>
    <w:p w:rsidR="00550C05" w:rsidRPr="00C13B00" w:rsidRDefault="00550C05" w:rsidP="00230553">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0A3DCB" w:rsidRDefault="00550C05" w:rsidP="00911747">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DB085A">
        <w:rPr>
          <w:rFonts w:ascii="Arial" w:hAnsi="Arial" w:cs="Arial"/>
          <w:sz w:val="26"/>
          <w:szCs w:val="26"/>
        </w:rPr>
        <w:t xml:space="preserve">La actora </w:t>
      </w:r>
      <w:r w:rsidR="00911747" w:rsidRPr="00911747">
        <w:rPr>
          <w:rFonts w:ascii="Arial" w:hAnsi="Arial" w:cs="Arial"/>
          <w:sz w:val="26"/>
          <w:szCs w:val="26"/>
        </w:rPr>
        <w:t xml:space="preserve">Síndica Procuradora </w:t>
      </w:r>
      <w:r w:rsidR="00911747">
        <w:rPr>
          <w:rFonts w:ascii="Arial" w:hAnsi="Arial" w:cs="Arial"/>
          <w:sz w:val="26"/>
          <w:szCs w:val="26"/>
        </w:rPr>
        <w:t>d</w:t>
      </w:r>
      <w:r w:rsidR="00911747" w:rsidRPr="00911747">
        <w:rPr>
          <w:rFonts w:ascii="Arial" w:hAnsi="Arial" w:cs="Arial"/>
          <w:sz w:val="26"/>
          <w:szCs w:val="26"/>
        </w:rPr>
        <w:t xml:space="preserve">el Ayuntamiento Constitucional </w:t>
      </w:r>
      <w:r w:rsidR="00911747">
        <w:rPr>
          <w:rFonts w:ascii="Arial" w:hAnsi="Arial" w:cs="Arial"/>
          <w:sz w:val="26"/>
          <w:szCs w:val="26"/>
        </w:rPr>
        <w:t>d</w:t>
      </w:r>
      <w:r w:rsidR="00911747" w:rsidRPr="00911747">
        <w:rPr>
          <w:rFonts w:ascii="Arial" w:hAnsi="Arial" w:cs="Arial"/>
          <w:sz w:val="26"/>
          <w:szCs w:val="26"/>
        </w:rPr>
        <w:t xml:space="preserve">el Municipio </w:t>
      </w:r>
      <w:r w:rsidR="00911747">
        <w:rPr>
          <w:rFonts w:ascii="Arial" w:hAnsi="Arial" w:cs="Arial"/>
          <w:sz w:val="26"/>
          <w:szCs w:val="26"/>
        </w:rPr>
        <w:t>d</w:t>
      </w:r>
      <w:r w:rsidR="00911747" w:rsidRPr="00911747">
        <w:rPr>
          <w:rFonts w:ascii="Arial" w:hAnsi="Arial" w:cs="Arial"/>
          <w:sz w:val="26"/>
          <w:szCs w:val="26"/>
        </w:rPr>
        <w:t>e Santa Cruz Xoxocotlán, Oaxaca,</w:t>
      </w:r>
      <w:r w:rsidR="00911747">
        <w:rPr>
          <w:rFonts w:ascii="Arial" w:hAnsi="Arial" w:cs="Arial"/>
          <w:b/>
          <w:sz w:val="26"/>
          <w:szCs w:val="26"/>
        </w:rPr>
        <w:t xml:space="preserve"> </w:t>
      </w:r>
      <w:r>
        <w:rPr>
          <w:rFonts w:ascii="Arial" w:hAnsi="Arial" w:cs="Arial"/>
          <w:sz w:val="26"/>
          <w:szCs w:val="26"/>
        </w:rPr>
        <w:t xml:space="preserve">demandó la nulidad </w:t>
      </w:r>
      <w:r w:rsidR="00911747" w:rsidRPr="009B59DB">
        <w:rPr>
          <w:rFonts w:ascii="Arial" w:hAnsi="Arial" w:cs="Arial"/>
          <w:sz w:val="26"/>
          <w:szCs w:val="26"/>
        </w:rPr>
        <w:t>de</w:t>
      </w:r>
      <w:r w:rsidR="00911747">
        <w:rPr>
          <w:rFonts w:ascii="Arial" w:hAnsi="Arial" w:cs="Arial"/>
          <w:sz w:val="26"/>
          <w:szCs w:val="26"/>
        </w:rPr>
        <w:t xml:space="preserve">l acuerdo de ampliación de embargo número de </w:t>
      </w:r>
      <w:r w:rsidR="00284D2B">
        <w:rPr>
          <w:rFonts w:ascii="Arial" w:hAnsi="Arial" w:cs="Arial"/>
          <w:sz w:val="26"/>
          <w:szCs w:val="26"/>
        </w:rPr>
        <w:t>dos</w:t>
      </w:r>
      <w:r w:rsidR="00911747">
        <w:rPr>
          <w:rFonts w:ascii="Arial" w:hAnsi="Arial" w:cs="Arial"/>
          <w:sz w:val="26"/>
          <w:szCs w:val="26"/>
        </w:rPr>
        <w:t xml:space="preserve"> de julio de dos mil diecinueve, así como del acta de ampliación de embargo número de </w:t>
      </w:r>
      <w:r w:rsidR="00284D2B">
        <w:rPr>
          <w:rFonts w:ascii="Arial" w:hAnsi="Arial" w:cs="Arial"/>
          <w:sz w:val="26"/>
          <w:szCs w:val="26"/>
        </w:rPr>
        <w:t>doce</w:t>
      </w:r>
      <w:r w:rsidR="00911747">
        <w:rPr>
          <w:rFonts w:ascii="Arial" w:hAnsi="Arial" w:cs="Arial"/>
          <w:sz w:val="26"/>
          <w:szCs w:val="26"/>
        </w:rPr>
        <w:t xml:space="preserve"> de julio de dos mil diecinueve, emitidos por emitido por la Dirección de Ingresos y Recaudación y la Ejecutora de Coordinación de Cobro Coactivo, dependiente de la Dirección de Ingresos y Recaudación ambas de la Secretaría de Finanzas del Poder Ejecutivo del Estado</w:t>
      </w:r>
      <w:r w:rsidR="000A3DCB">
        <w:rPr>
          <w:rFonts w:ascii="Arial" w:hAnsi="Arial" w:cs="Arial"/>
          <w:sz w:val="26"/>
          <w:szCs w:val="26"/>
        </w:rPr>
        <w:t>.</w:t>
      </w:r>
    </w:p>
    <w:p w:rsidR="00911747" w:rsidRDefault="00911747"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Alegando al respecto de dichos actos que si bien la Junta de Arbitraje para los Empleados del Servicio de los Poderes del Estado, en uso de sus facultades le impuso a su representada multa por no haber acatado una orden </w:t>
      </w:r>
      <w:r w:rsidR="003D75A0">
        <w:rPr>
          <w:noProof/>
          <w:lang w:eastAsia="es-MX"/>
        </w:rPr>
        <mc:AlternateContent>
          <mc:Choice Requires="wps">
            <w:drawing>
              <wp:anchor distT="0" distB="0" distL="114300" distR="114300" simplePos="0" relativeHeight="251665408" behindDoc="0" locked="0" layoutInCell="1" allowOverlap="1" wp14:anchorId="09FDB243" wp14:editId="64AC668A">
                <wp:simplePos x="0" y="0"/>
                <wp:positionH relativeFrom="column">
                  <wp:posOffset>5726875</wp:posOffset>
                </wp:positionH>
                <wp:positionV relativeFrom="paragraph">
                  <wp:posOffset>-548054</wp:posOffset>
                </wp:positionV>
                <wp:extent cx="1104900" cy="949960"/>
                <wp:effectExtent l="0" t="0" r="19050" b="2159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3D75A0" w:rsidRPr="00035E13" w:rsidRDefault="003D75A0" w:rsidP="003D75A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DB243" id="Cuadro de texto 4" o:spid="_x0000_s1029" type="#_x0000_t202" style="position:absolute;left:0;text-align:left;margin-left:450.95pt;margin-top:-43.15pt;width:87pt;height:7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" fillcolor="window" strokeweight=".5pt">
                <v:path arrowok="t"/>
                <v:textbox>
                  <w:txbxContent>
                    <w:p w:rsidR="003D75A0" w:rsidRPr="00035E13" w:rsidRDefault="003D75A0" w:rsidP="003D75A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judicial, consistente en el pago de un laudo condenatorio, que culminó con la intervención de un órgano estatal encargado para realizar el cobro coactivo de dicha multa, que generó el crédito fiscal 35</w:t>
      </w:r>
      <w:r w:rsidR="00284D2B">
        <w:rPr>
          <w:rFonts w:ascii="Arial" w:hAnsi="Arial" w:cs="Arial"/>
          <w:sz w:val="26"/>
          <w:szCs w:val="26"/>
        </w:rPr>
        <w:t>222</w:t>
      </w:r>
      <w:r>
        <w:rPr>
          <w:rFonts w:ascii="Arial" w:hAnsi="Arial" w:cs="Arial"/>
          <w:sz w:val="26"/>
          <w:szCs w:val="26"/>
        </w:rPr>
        <w:t>; también es verdad que su representada en el año dos mil diecisiete, ya cumplió con su obligación de pago del laudo, por lo que a la fecha se cumplido con el mandato judicial; pero las demandadas persisten en realizar el cobro del crédito, emitiendo un acuerdo de ampliación de embargo</w:t>
      </w:r>
      <w:r w:rsidR="00165BE6">
        <w:rPr>
          <w:rFonts w:ascii="Arial" w:hAnsi="Arial" w:cs="Arial"/>
          <w:sz w:val="26"/>
          <w:szCs w:val="26"/>
        </w:rPr>
        <w:t>, levantando así el acta de ampliación de embargo, en la que no sólo cobran la multa original, sino también gastos de ejecución y actualización de multa; situación que evidencia la falta de fundamentación y motivación.</w:t>
      </w:r>
    </w:p>
    <w:p w:rsidR="009D7CFC" w:rsidRDefault="00165BE6" w:rsidP="00165BE6">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al acuerdo de ampliación de embargo </w:t>
      </w:r>
      <w:r w:rsidR="00284D2B">
        <w:rPr>
          <w:rFonts w:ascii="Arial" w:hAnsi="Arial" w:cs="Arial"/>
          <w:sz w:val="26"/>
          <w:szCs w:val="26"/>
        </w:rPr>
        <w:t>360102071905638</w:t>
      </w:r>
      <w:r>
        <w:rPr>
          <w:rFonts w:ascii="Arial" w:hAnsi="Arial" w:cs="Arial"/>
          <w:sz w:val="26"/>
          <w:szCs w:val="26"/>
        </w:rPr>
        <w:t xml:space="preserve">, de </w:t>
      </w:r>
      <w:r w:rsidR="00284D2B">
        <w:rPr>
          <w:rFonts w:ascii="Arial" w:hAnsi="Arial" w:cs="Arial"/>
          <w:sz w:val="26"/>
          <w:szCs w:val="26"/>
        </w:rPr>
        <w:t xml:space="preserve">dos </w:t>
      </w:r>
      <w:r>
        <w:rPr>
          <w:rFonts w:ascii="Arial" w:hAnsi="Arial" w:cs="Arial"/>
          <w:sz w:val="26"/>
          <w:szCs w:val="26"/>
        </w:rPr>
        <w:t>de julio de dos mil diecinueve, agregado a folio (</w:t>
      </w:r>
      <w:r w:rsidR="00284D2B">
        <w:rPr>
          <w:rFonts w:ascii="Arial" w:hAnsi="Arial" w:cs="Arial"/>
          <w:sz w:val="26"/>
          <w:szCs w:val="26"/>
        </w:rPr>
        <w:t>14</w:t>
      </w:r>
      <w:r>
        <w:rPr>
          <w:rFonts w:ascii="Arial" w:hAnsi="Arial" w:cs="Arial"/>
          <w:sz w:val="26"/>
          <w:szCs w:val="26"/>
        </w:rPr>
        <w:t xml:space="preserve"> a </w:t>
      </w:r>
      <w:r w:rsidR="00284D2B">
        <w:rPr>
          <w:rFonts w:ascii="Arial" w:hAnsi="Arial" w:cs="Arial"/>
          <w:sz w:val="26"/>
          <w:szCs w:val="26"/>
        </w:rPr>
        <w:t>19</w:t>
      </w:r>
      <w:r>
        <w:rPr>
          <w:rFonts w:ascii="Arial" w:hAnsi="Arial" w:cs="Arial"/>
          <w:sz w:val="26"/>
          <w:szCs w:val="26"/>
        </w:rPr>
        <w:t xml:space="preserve"> del expediente) la que tiene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público en el uso de sus facultades; documental de la que se advierte</w:t>
      </w:r>
      <w:r w:rsidR="0012545F">
        <w:rPr>
          <w:rFonts w:ascii="Arial" w:hAnsi="Arial" w:cs="Arial"/>
          <w:sz w:val="26"/>
          <w:szCs w:val="26"/>
        </w:rPr>
        <w:t xml:space="preserve"> que este se emitió en atención a que por acuerdo de </w:t>
      </w:r>
      <w:r w:rsidR="00284D2B">
        <w:rPr>
          <w:rFonts w:ascii="Arial" w:hAnsi="Arial" w:cs="Arial"/>
          <w:sz w:val="26"/>
          <w:szCs w:val="26"/>
        </w:rPr>
        <w:t xml:space="preserve">trece </w:t>
      </w:r>
      <w:r w:rsidR="0012545F">
        <w:rPr>
          <w:rFonts w:ascii="Arial" w:hAnsi="Arial" w:cs="Arial"/>
          <w:sz w:val="26"/>
          <w:szCs w:val="26"/>
        </w:rPr>
        <w:t xml:space="preserve">de </w:t>
      </w:r>
      <w:r w:rsidR="00284D2B">
        <w:rPr>
          <w:rFonts w:ascii="Arial" w:hAnsi="Arial" w:cs="Arial"/>
          <w:sz w:val="26"/>
          <w:szCs w:val="26"/>
        </w:rPr>
        <w:t xml:space="preserve">febrero </w:t>
      </w:r>
      <w:r w:rsidR="0012545F">
        <w:rPr>
          <w:rFonts w:ascii="Arial" w:hAnsi="Arial" w:cs="Arial"/>
          <w:sz w:val="26"/>
          <w:szCs w:val="26"/>
        </w:rPr>
        <w:t>de dos mil catorce, la Junta de Arbitraje para los Empleados al Servicio de los Poderes del Estado de Oaxaca, impuso al Ayuntamiento de Santa Cruz Xoxocotlán, Oaxaca, multa por la cantidad $100.00</w:t>
      </w:r>
      <w:r w:rsidR="00A319C5">
        <w:rPr>
          <w:rFonts w:ascii="Arial" w:hAnsi="Arial" w:cs="Arial"/>
          <w:sz w:val="26"/>
          <w:szCs w:val="26"/>
        </w:rPr>
        <w:t xml:space="preserve"> (cien pesos 00/100 M.N.)</w:t>
      </w:r>
      <w:r w:rsidR="0012545F">
        <w:rPr>
          <w:rFonts w:ascii="Arial" w:hAnsi="Arial" w:cs="Arial"/>
          <w:sz w:val="26"/>
          <w:szCs w:val="26"/>
        </w:rPr>
        <w:t xml:space="preserve">, por haber incumplido con el requerimiento que le fue realizado por acuerdo de </w:t>
      </w:r>
      <w:r w:rsidR="00284D2B">
        <w:rPr>
          <w:rFonts w:ascii="Arial" w:hAnsi="Arial" w:cs="Arial"/>
          <w:sz w:val="26"/>
          <w:szCs w:val="26"/>
        </w:rPr>
        <w:t xml:space="preserve">veintinueve de enero </w:t>
      </w:r>
      <w:r w:rsidR="0012545F">
        <w:rPr>
          <w:rFonts w:ascii="Arial" w:hAnsi="Arial" w:cs="Arial"/>
          <w:sz w:val="26"/>
          <w:szCs w:val="26"/>
        </w:rPr>
        <w:t xml:space="preserve">de dos mil catorce, para que diera cumplimiento </w:t>
      </w:r>
      <w:r w:rsidR="009D7CFC">
        <w:rPr>
          <w:rFonts w:ascii="Arial" w:hAnsi="Arial" w:cs="Arial"/>
          <w:sz w:val="26"/>
          <w:szCs w:val="26"/>
        </w:rPr>
        <w:t>a lo determinado mediante laudo de catorce de julio de dos mil cuatro, con el apercibimiento que de no cumplir se le impondría nuevamente multa por la cantidad de $100.00</w:t>
      </w:r>
      <w:r w:rsidR="00A319C5">
        <w:rPr>
          <w:rFonts w:ascii="Arial" w:hAnsi="Arial" w:cs="Arial"/>
          <w:sz w:val="26"/>
          <w:szCs w:val="26"/>
        </w:rPr>
        <w:t xml:space="preserve"> (cien pesos 00/100 M.N.)</w:t>
      </w:r>
      <w:r w:rsidR="009D7CFC">
        <w:rPr>
          <w:rFonts w:ascii="Arial" w:hAnsi="Arial" w:cs="Arial"/>
          <w:sz w:val="26"/>
          <w:szCs w:val="26"/>
        </w:rPr>
        <w:t>.</w:t>
      </w:r>
    </w:p>
    <w:p w:rsidR="009D7CFC" w:rsidRDefault="009D7CFC" w:rsidP="009D7CFC">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la lectura integral a las alegaciones que realizada en su demanda como conceptos de impugnación en contra de los actos que impugna, se advierte que ninguno de ellos </w:t>
      </w:r>
      <w:r w:rsidR="001C4ECE">
        <w:rPr>
          <w:rFonts w:ascii="Arial" w:hAnsi="Arial" w:cs="Arial"/>
          <w:sz w:val="26"/>
          <w:szCs w:val="26"/>
        </w:rPr>
        <w:t xml:space="preserve">se dirigen a </w:t>
      </w:r>
      <w:r>
        <w:rPr>
          <w:rFonts w:ascii="Arial" w:hAnsi="Arial" w:cs="Arial"/>
          <w:sz w:val="26"/>
          <w:szCs w:val="26"/>
        </w:rPr>
        <w:t>combat</w:t>
      </w:r>
      <w:r w:rsidR="001C4ECE">
        <w:rPr>
          <w:rFonts w:ascii="Arial" w:hAnsi="Arial" w:cs="Arial"/>
          <w:sz w:val="26"/>
          <w:szCs w:val="26"/>
        </w:rPr>
        <w:t xml:space="preserve">ir </w:t>
      </w:r>
      <w:r>
        <w:rPr>
          <w:rFonts w:ascii="Arial" w:hAnsi="Arial" w:cs="Arial"/>
          <w:sz w:val="26"/>
          <w:szCs w:val="26"/>
        </w:rPr>
        <w:t xml:space="preserve">en forma la legalidad del acuerdo de ampliación de embargo y acta levantada al respecto, porque se concreta a señalar que su representada en el año dos mil diecisiete, ya cumplió con el laudado indicado; sin embargo, esta afirmación no es suficiente para debatir la legalidad del acuerdo que ordeno la ampliación de embargo; toda vez que, aun cuando en efecto ya haya dado cumplimiento en la actualidad al laudo que origino el requerimiento que le fue efectuado el </w:t>
      </w:r>
      <w:r w:rsidR="00284D2B">
        <w:rPr>
          <w:rFonts w:ascii="Arial" w:hAnsi="Arial" w:cs="Arial"/>
          <w:sz w:val="26"/>
          <w:szCs w:val="26"/>
        </w:rPr>
        <w:t xml:space="preserve">veintinueve de enero </w:t>
      </w:r>
      <w:r w:rsidR="003D75A0">
        <w:rPr>
          <w:noProof/>
          <w:lang w:eastAsia="es-MX"/>
        </w:rPr>
        <mc:AlternateContent>
          <mc:Choice Requires="wps">
            <w:drawing>
              <wp:anchor distT="0" distB="0" distL="114300" distR="114300" simplePos="0" relativeHeight="251667456" behindDoc="0" locked="0" layoutInCell="1" allowOverlap="1" wp14:anchorId="351A67D6" wp14:editId="510E3C48">
                <wp:simplePos x="0" y="0"/>
                <wp:positionH relativeFrom="column">
                  <wp:posOffset>-1132032</wp:posOffset>
                </wp:positionH>
                <wp:positionV relativeFrom="paragraph">
                  <wp:posOffset>-712726</wp:posOffset>
                </wp:positionV>
                <wp:extent cx="1104900" cy="949960"/>
                <wp:effectExtent l="0" t="0" r="19050" b="2159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3D75A0" w:rsidRPr="00035E13" w:rsidRDefault="003D75A0" w:rsidP="003D75A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A67D6" id="Cuadro de texto 5" o:spid="_x0000_s1030" type="#_x0000_t202" style="position:absolute;left:0;text-align:left;margin-left:-89.15pt;margin-top:-56.1pt;width:87pt;height:7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m7ybQ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" fillcolor="window" strokeweight=".5pt">
                <v:path arrowok="t"/>
                <v:textbox>
                  <w:txbxContent>
                    <w:p w:rsidR="003D75A0" w:rsidRPr="00035E13" w:rsidRDefault="003D75A0" w:rsidP="003D75A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 xml:space="preserve">de dos mil catorce y por el que al no haberse cumplido por diverso acuerdo de </w:t>
      </w:r>
      <w:r w:rsidR="00284D2B">
        <w:rPr>
          <w:rFonts w:ascii="Arial" w:hAnsi="Arial" w:cs="Arial"/>
          <w:sz w:val="26"/>
          <w:szCs w:val="26"/>
        </w:rPr>
        <w:t xml:space="preserve">trece de febrero </w:t>
      </w:r>
      <w:r>
        <w:rPr>
          <w:rFonts w:ascii="Arial" w:hAnsi="Arial" w:cs="Arial"/>
          <w:sz w:val="26"/>
          <w:szCs w:val="26"/>
        </w:rPr>
        <w:t>del mismo año</w:t>
      </w:r>
      <w:r w:rsidR="001C4ECE">
        <w:rPr>
          <w:rFonts w:ascii="Arial" w:hAnsi="Arial" w:cs="Arial"/>
          <w:sz w:val="26"/>
          <w:szCs w:val="26"/>
        </w:rPr>
        <w:t xml:space="preserve">, </w:t>
      </w:r>
      <w:r>
        <w:rPr>
          <w:rFonts w:ascii="Arial" w:hAnsi="Arial" w:cs="Arial"/>
          <w:sz w:val="26"/>
          <w:szCs w:val="26"/>
        </w:rPr>
        <w:t>se ordenó imponerle multa, tal situación del cumplimiento del laudo, no lo exime de que en su momento se le haya impuesto multa ante incumplimiento, y que esta multa debía cumplirla, sin que exhiba prueba alguna, ni haga manifestación alguna respecto de que ya dio cumplimiento a esa multa, para que en su caso y como lo alega sea ilegal que se emita el acuerdo de ampliación de embargo.</w:t>
      </w:r>
    </w:p>
    <w:p w:rsidR="001C4ECE" w:rsidRDefault="009D7CFC" w:rsidP="009D7CFC">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esto, </w:t>
      </w:r>
      <w:r w:rsidR="001C4ECE">
        <w:rPr>
          <w:rFonts w:ascii="Arial" w:hAnsi="Arial" w:cs="Arial"/>
          <w:sz w:val="26"/>
          <w:szCs w:val="26"/>
        </w:rPr>
        <w:t xml:space="preserve">debe señalarse que contrario a su afirmación el acuerdo de ampliación de embargo, se encuentra debidamente fundado y motivado, porque su emisora, expuso las razones del porque emitía el referido acuerdo y citó los fundamento legales que se adecuaron a los motivos que dio, sin que sea justificable que careciera de fundamentación y motivación, como lo alega el actor, porque su representada ya cumplió con el Laudo, porque como ya se precisó en líneas que anteceden, lo que debía demostrar es que cumplió en su momento con la multa que le fue impuesta mediante acuerdo de </w:t>
      </w:r>
      <w:r w:rsidR="00284D2B">
        <w:rPr>
          <w:rFonts w:ascii="Arial" w:hAnsi="Arial" w:cs="Arial"/>
          <w:sz w:val="26"/>
          <w:szCs w:val="26"/>
        </w:rPr>
        <w:t xml:space="preserve">trece de febrero </w:t>
      </w:r>
      <w:r w:rsidR="001C4ECE">
        <w:rPr>
          <w:rFonts w:ascii="Arial" w:hAnsi="Arial" w:cs="Arial"/>
          <w:sz w:val="26"/>
          <w:szCs w:val="26"/>
        </w:rPr>
        <w:t>de dos mil catorce.</w:t>
      </w:r>
    </w:p>
    <w:p w:rsidR="001C4ECE" w:rsidRDefault="001C4ECE" w:rsidP="001C4ECE">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ante la falta de pruebas que acrediten que el Ayuntamiento de Santa Cruz Xoxocotlán, Oaxaca, dio cumplimiento a la multa que le fue impuesta por acuerdo de </w:t>
      </w:r>
      <w:r w:rsidR="00284D2B">
        <w:rPr>
          <w:rFonts w:ascii="Arial" w:hAnsi="Arial" w:cs="Arial"/>
          <w:sz w:val="26"/>
          <w:szCs w:val="26"/>
        </w:rPr>
        <w:t xml:space="preserve">trece de febrero </w:t>
      </w:r>
      <w:r>
        <w:rPr>
          <w:rFonts w:ascii="Arial" w:hAnsi="Arial" w:cs="Arial"/>
          <w:sz w:val="26"/>
          <w:szCs w:val="26"/>
        </w:rPr>
        <w:t xml:space="preserve">de dos mil catorce, la determinación contenida en el acuerdo de </w:t>
      </w:r>
      <w:r w:rsidR="00284D2B">
        <w:rPr>
          <w:rFonts w:ascii="Arial" w:hAnsi="Arial" w:cs="Arial"/>
          <w:sz w:val="26"/>
          <w:szCs w:val="26"/>
        </w:rPr>
        <w:t xml:space="preserve">dos </w:t>
      </w:r>
      <w:r>
        <w:rPr>
          <w:rFonts w:ascii="Arial" w:hAnsi="Arial" w:cs="Arial"/>
          <w:sz w:val="26"/>
          <w:szCs w:val="26"/>
        </w:rPr>
        <w:t xml:space="preserve">de julio de dos mil diecinueve, impugnado, resulta legal y fundado; siguiendo la misma suerte el acta de ampliación de embargo levantada en cumplimiento a dicho acuerdo; por lo que se declara la </w:t>
      </w:r>
      <w:r>
        <w:rPr>
          <w:rFonts w:ascii="Arial" w:hAnsi="Arial" w:cs="Arial"/>
          <w:b/>
          <w:sz w:val="26"/>
          <w:szCs w:val="26"/>
        </w:rPr>
        <w:t xml:space="preserve">VALIDEZ </w:t>
      </w:r>
      <w:r>
        <w:rPr>
          <w:rFonts w:ascii="Arial" w:hAnsi="Arial" w:cs="Arial"/>
          <w:sz w:val="26"/>
          <w:szCs w:val="26"/>
        </w:rPr>
        <w:t xml:space="preserve">de </w:t>
      </w:r>
      <w:r w:rsidRPr="009B59DB">
        <w:rPr>
          <w:rFonts w:ascii="Arial" w:hAnsi="Arial" w:cs="Arial"/>
          <w:sz w:val="26"/>
          <w:szCs w:val="26"/>
        </w:rPr>
        <w:t>de</w:t>
      </w:r>
      <w:r>
        <w:rPr>
          <w:rFonts w:ascii="Arial" w:hAnsi="Arial" w:cs="Arial"/>
          <w:sz w:val="26"/>
          <w:szCs w:val="26"/>
        </w:rPr>
        <w:t xml:space="preserve">l acuerdo de ampliación de embargo número de </w:t>
      </w:r>
      <w:r w:rsidR="00284D2B">
        <w:rPr>
          <w:rFonts w:ascii="Arial" w:hAnsi="Arial" w:cs="Arial"/>
          <w:sz w:val="26"/>
          <w:szCs w:val="26"/>
        </w:rPr>
        <w:t xml:space="preserve">dos </w:t>
      </w:r>
      <w:r>
        <w:rPr>
          <w:rFonts w:ascii="Arial" w:hAnsi="Arial" w:cs="Arial"/>
          <w:sz w:val="26"/>
          <w:szCs w:val="26"/>
        </w:rPr>
        <w:t xml:space="preserve">de julio de dos mil diecinueve, emitido por la Dirección de Ingresos y Recaudación de la Secretaría de Finanzas del Estado de Oaxaca; así como del acta de ampliación de embargo número de </w:t>
      </w:r>
      <w:r w:rsidR="00284D2B">
        <w:rPr>
          <w:rFonts w:ascii="Arial" w:hAnsi="Arial" w:cs="Arial"/>
          <w:sz w:val="26"/>
          <w:szCs w:val="26"/>
        </w:rPr>
        <w:t xml:space="preserve">doce </w:t>
      </w:r>
      <w:r>
        <w:rPr>
          <w:rFonts w:ascii="Arial" w:hAnsi="Arial" w:cs="Arial"/>
          <w:sz w:val="26"/>
          <w:szCs w:val="26"/>
        </w:rPr>
        <w:t xml:space="preserve">de julio de dos mil diecinueve, emitido por la Ejecutora de Coordinación de Cobro Coactivo, dependiente de la Dirección de Ingresos y Recaudación de la Secretaría de Finanzas del Poder Ejecutivo del Estado.- - - - - - - - - - - - - - - - - - - - - - - - - - - - - - - - - - - </w:t>
      </w:r>
      <w:r w:rsidR="00A319C5">
        <w:rPr>
          <w:rFonts w:ascii="Arial" w:hAnsi="Arial" w:cs="Arial"/>
          <w:sz w:val="26"/>
          <w:szCs w:val="26"/>
        </w:rPr>
        <w:t xml:space="preserve">- - - - - - - - - - - - - - - - </w:t>
      </w:r>
    </w:p>
    <w:p w:rsidR="00550C05" w:rsidRPr="009B59DB" w:rsidRDefault="00550C05" w:rsidP="00550C05">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w:t>
      </w:r>
      <w:r w:rsidR="00A319C5">
        <w:rPr>
          <w:rFonts w:ascii="Arial" w:hAnsi="Arial" w:cs="Arial"/>
          <w:sz w:val="26"/>
          <w:szCs w:val="26"/>
        </w:rPr>
        <w:t xml:space="preserve">- - - </w:t>
      </w:r>
    </w:p>
    <w:p w:rsidR="00550C05" w:rsidRPr="009B59DB" w:rsidRDefault="00550C05" w:rsidP="00550C05">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550C05" w:rsidRPr="009B59DB" w:rsidRDefault="00550C05" w:rsidP="00550C05">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Sexta 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r w:rsidR="00A319C5">
        <w:rPr>
          <w:rFonts w:ascii="Arial" w:hAnsi="Arial" w:cs="Arial"/>
          <w:sz w:val="26"/>
          <w:szCs w:val="26"/>
        </w:rPr>
        <w:t>-</w:t>
      </w:r>
    </w:p>
    <w:p w:rsidR="00550C05" w:rsidRPr="009B59DB" w:rsidRDefault="003D75A0" w:rsidP="00550C05">
      <w:pPr>
        <w:spacing w:before="240" w:after="0" w:line="360" w:lineRule="auto"/>
        <w:ind w:right="49" w:firstLine="567"/>
        <w:jc w:val="both"/>
        <w:rPr>
          <w:rFonts w:ascii="Arial" w:hAnsi="Arial" w:cs="Arial"/>
          <w:sz w:val="26"/>
          <w:szCs w:val="26"/>
        </w:rPr>
      </w:pPr>
      <w:r>
        <w:rPr>
          <w:noProof/>
          <w:lang w:eastAsia="es-MX"/>
        </w:rPr>
        <mc:AlternateContent>
          <mc:Choice Requires="wps">
            <w:drawing>
              <wp:anchor distT="0" distB="0" distL="114300" distR="114300" simplePos="0" relativeHeight="251669504" behindDoc="0" locked="0" layoutInCell="1" allowOverlap="1" wp14:anchorId="465E73C6" wp14:editId="308C3CCF">
                <wp:simplePos x="0" y="0"/>
                <wp:positionH relativeFrom="column">
                  <wp:posOffset>-819397</wp:posOffset>
                </wp:positionH>
                <wp:positionV relativeFrom="paragraph">
                  <wp:posOffset>-784827</wp:posOffset>
                </wp:positionV>
                <wp:extent cx="1104900" cy="949960"/>
                <wp:effectExtent l="0" t="0" r="19050" b="2159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3D75A0" w:rsidRPr="00035E13" w:rsidRDefault="003D75A0" w:rsidP="003D75A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E73C6" id="Cuadro de texto 6" o:spid="_x0000_s1031" type="#_x0000_t202" style="position:absolute;left:0;text-align:left;margin-left:-64.5pt;margin-top:-61.8pt;width:87pt;height:7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" fillcolor="window" strokeweight=".5pt">
                <v:path arrowok="t"/>
                <v:textbox>
                  <w:txbxContent>
                    <w:p w:rsidR="003D75A0" w:rsidRPr="00035E13" w:rsidRDefault="003D75A0" w:rsidP="003D75A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50C05" w:rsidRPr="009B59DB">
        <w:rPr>
          <w:rFonts w:ascii="Arial" w:hAnsi="Arial" w:cs="Arial"/>
          <w:b/>
          <w:sz w:val="26"/>
          <w:szCs w:val="26"/>
        </w:rPr>
        <w:t>SEGUNDO.-</w:t>
      </w:r>
      <w:r w:rsidR="00550C05" w:rsidRPr="009B59DB">
        <w:rPr>
          <w:rFonts w:ascii="Arial" w:hAnsi="Arial" w:cs="Arial"/>
          <w:sz w:val="26"/>
          <w:szCs w:val="26"/>
        </w:rPr>
        <w:t xml:space="preserve"> La personalidad </w:t>
      </w:r>
      <w:r w:rsidR="00550C05">
        <w:rPr>
          <w:rFonts w:ascii="Arial" w:hAnsi="Arial" w:cs="Arial"/>
          <w:sz w:val="26"/>
          <w:szCs w:val="26"/>
        </w:rPr>
        <w:t>y personería de las partes qu</w:t>
      </w:r>
      <w:r w:rsidR="00550C05" w:rsidRPr="009B59DB">
        <w:rPr>
          <w:rFonts w:ascii="Arial" w:hAnsi="Arial" w:cs="Arial"/>
          <w:sz w:val="26"/>
          <w:szCs w:val="26"/>
        </w:rPr>
        <w:t>edó acreditada</w:t>
      </w:r>
      <w:r w:rsidR="00550C05">
        <w:rPr>
          <w:rFonts w:ascii="Arial" w:hAnsi="Arial" w:cs="Arial"/>
          <w:sz w:val="26"/>
          <w:szCs w:val="26"/>
        </w:rPr>
        <w:t xml:space="preserve"> en autos</w:t>
      </w:r>
      <w:r w:rsidR="00550C05" w:rsidRPr="009B59DB">
        <w:rPr>
          <w:rFonts w:ascii="Arial" w:hAnsi="Arial" w:cs="Arial"/>
          <w:sz w:val="26"/>
          <w:szCs w:val="26"/>
        </w:rPr>
        <w:t xml:space="preserve">.- - - - - - - - - - - - - - - - - - - - - - - - - - - - - - - - </w:t>
      </w:r>
      <w:r w:rsidR="00A319C5">
        <w:rPr>
          <w:rFonts w:ascii="Arial" w:hAnsi="Arial" w:cs="Arial"/>
          <w:sz w:val="26"/>
          <w:szCs w:val="26"/>
        </w:rPr>
        <w:t xml:space="preserve">- - - - - - - - - - </w:t>
      </w:r>
    </w:p>
    <w:p w:rsidR="00550C05" w:rsidRPr="009B59DB" w:rsidRDefault="00550C05" w:rsidP="00550C05">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no se sobresee el juicio. - </w:t>
      </w:r>
    </w:p>
    <w:p w:rsidR="00550C05" w:rsidRPr="009B59DB" w:rsidRDefault="00550C05" w:rsidP="008B1416">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001C4ECE">
        <w:rPr>
          <w:rFonts w:ascii="Arial" w:hAnsi="Arial" w:cs="Arial"/>
          <w:b/>
          <w:sz w:val="26"/>
          <w:szCs w:val="26"/>
        </w:rPr>
        <w:t xml:space="preserve">VALIDEZ </w:t>
      </w:r>
      <w:r w:rsidR="0065580B">
        <w:rPr>
          <w:rFonts w:ascii="Arial" w:hAnsi="Arial" w:cs="Arial"/>
          <w:sz w:val="26"/>
          <w:szCs w:val="26"/>
        </w:rPr>
        <w:t>d</w:t>
      </w:r>
      <w:r w:rsidR="001C4ECE" w:rsidRPr="009B59DB">
        <w:rPr>
          <w:rFonts w:ascii="Arial" w:hAnsi="Arial" w:cs="Arial"/>
          <w:sz w:val="26"/>
          <w:szCs w:val="26"/>
        </w:rPr>
        <w:t>e</w:t>
      </w:r>
      <w:r w:rsidR="001C4ECE">
        <w:rPr>
          <w:rFonts w:ascii="Arial" w:hAnsi="Arial" w:cs="Arial"/>
          <w:sz w:val="26"/>
          <w:szCs w:val="26"/>
        </w:rPr>
        <w:t xml:space="preserve">l acuerdo de ampliación de embargo número  de </w:t>
      </w:r>
      <w:r w:rsidR="00284D2B">
        <w:rPr>
          <w:rFonts w:ascii="Arial" w:hAnsi="Arial" w:cs="Arial"/>
          <w:sz w:val="26"/>
          <w:szCs w:val="26"/>
        </w:rPr>
        <w:t xml:space="preserve">dos </w:t>
      </w:r>
      <w:r w:rsidR="001C4ECE">
        <w:rPr>
          <w:rFonts w:ascii="Arial" w:hAnsi="Arial" w:cs="Arial"/>
          <w:sz w:val="26"/>
          <w:szCs w:val="26"/>
        </w:rPr>
        <w:t xml:space="preserve">de julio de dos mil diecinueve, emitido por la Dirección de Ingresos y Recaudación de la Secretaría de Finanzas del Estado de Oaxaca; así como del acta de ampliación de embargo número de </w:t>
      </w:r>
      <w:r w:rsidR="00284D2B">
        <w:rPr>
          <w:rFonts w:ascii="Arial" w:hAnsi="Arial" w:cs="Arial"/>
          <w:sz w:val="26"/>
          <w:szCs w:val="26"/>
        </w:rPr>
        <w:t xml:space="preserve">doce </w:t>
      </w:r>
      <w:r w:rsidR="001C4ECE">
        <w:rPr>
          <w:rFonts w:ascii="Arial" w:hAnsi="Arial" w:cs="Arial"/>
          <w:sz w:val="26"/>
          <w:szCs w:val="26"/>
        </w:rPr>
        <w:t>de julio de dos mil diecinueve, emitido por la Ejecutora de Coordinación de Cobro Coactivo, dependiente de la Dirección de Ingresos y Recaudación de la Secretaría de Finanzas del Poder Ejecutivo del Estado.</w:t>
      </w:r>
      <w:r w:rsidR="001C4ECE" w:rsidRPr="009B59DB">
        <w:rPr>
          <w:rFonts w:ascii="Arial" w:hAnsi="Arial" w:cs="Arial"/>
          <w:sz w:val="26"/>
          <w:szCs w:val="26"/>
        </w:rPr>
        <w:t>- - -</w:t>
      </w:r>
      <w:r w:rsidR="008D4631">
        <w:rPr>
          <w:rFonts w:ascii="Arial" w:hAnsi="Arial" w:cs="Arial"/>
          <w:sz w:val="26"/>
          <w:szCs w:val="26"/>
        </w:rPr>
        <w:t>.</w:t>
      </w:r>
      <w:r w:rsidRPr="00041FAC">
        <w:rPr>
          <w:rFonts w:ascii="Arial" w:hAnsi="Arial" w:cs="Arial"/>
          <w:sz w:val="26"/>
          <w:szCs w:val="26"/>
        </w:rPr>
        <w:t>.</w:t>
      </w:r>
      <w:r w:rsidRPr="009B59DB">
        <w:rPr>
          <w:rFonts w:ascii="Arial" w:hAnsi="Arial" w:cs="Arial"/>
          <w:sz w:val="26"/>
          <w:szCs w:val="26"/>
        </w:rPr>
        <w:t xml:space="preserve">- - - - - - - </w:t>
      </w:r>
      <w:r w:rsidR="0065580B">
        <w:rPr>
          <w:rFonts w:ascii="Arial" w:hAnsi="Arial" w:cs="Arial"/>
          <w:sz w:val="26"/>
          <w:szCs w:val="26"/>
        </w:rPr>
        <w:t xml:space="preserve">- - - - - - - - - - - - - - - </w:t>
      </w:r>
      <w:r w:rsidR="00284D2B">
        <w:rPr>
          <w:rFonts w:ascii="Arial" w:hAnsi="Arial" w:cs="Arial"/>
          <w:sz w:val="26"/>
          <w:szCs w:val="26"/>
        </w:rPr>
        <w:t xml:space="preserve">- - - - - - </w:t>
      </w:r>
      <w:r w:rsidR="00A319C5">
        <w:rPr>
          <w:rFonts w:ascii="Arial" w:hAnsi="Arial" w:cs="Arial"/>
          <w:sz w:val="26"/>
          <w:szCs w:val="26"/>
        </w:rPr>
        <w:t xml:space="preserve">- - - - - - - - - - - - - - - - - </w:t>
      </w:r>
    </w:p>
    <w:p w:rsidR="00550C05" w:rsidRPr="009B59DB" w:rsidRDefault="00550C05" w:rsidP="00550C05">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8B1416">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 - - - - - - - - - - - - - - - - - - - - -</w:t>
      </w:r>
      <w:r w:rsidR="00A319C5">
        <w:rPr>
          <w:rFonts w:ascii="Arial" w:hAnsi="Arial" w:cs="Arial"/>
          <w:sz w:val="26"/>
          <w:szCs w:val="26"/>
        </w:rPr>
        <w:t xml:space="preserve"> - - - - - - - -</w:t>
      </w:r>
    </w:p>
    <w:p w:rsidR="00550C05" w:rsidRPr="009B59DB" w:rsidRDefault="00550C05" w:rsidP="00550C05">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Sexta Sala Unitaria de Primera Instancia  del Tribunal de Justicia Administrativa del Estado de Oaxaca, Magistrado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la </w:t>
      </w:r>
      <w:r w:rsidRPr="009B59DB">
        <w:rPr>
          <w:rFonts w:ascii="Arial" w:hAnsi="Arial" w:cs="Arial"/>
          <w:sz w:val="26"/>
          <w:szCs w:val="26"/>
        </w:rPr>
        <w:t>Licenciad</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Amparo Arias Rivas</w:t>
      </w:r>
      <w:r w:rsidRPr="009B59DB">
        <w:rPr>
          <w:rFonts w:ascii="Arial" w:hAnsi="Arial" w:cs="Arial"/>
          <w:sz w:val="26"/>
          <w:szCs w:val="26"/>
        </w:rPr>
        <w:t>, Secretari</w:t>
      </w:r>
      <w:r>
        <w:rPr>
          <w:rFonts w:ascii="Arial" w:hAnsi="Arial" w:cs="Arial"/>
          <w:sz w:val="26"/>
          <w:szCs w:val="26"/>
        </w:rPr>
        <w:t>a</w:t>
      </w:r>
      <w:r w:rsidRPr="009B59DB">
        <w:rPr>
          <w:rFonts w:ascii="Arial" w:hAnsi="Arial" w:cs="Arial"/>
          <w:sz w:val="26"/>
          <w:szCs w:val="26"/>
        </w:rPr>
        <w:t xml:space="preserve"> de Acuerdos, que autoriza y da fe.- - - - - - - </w:t>
      </w:r>
      <w:r w:rsidR="00A319C5">
        <w:rPr>
          <w:rFonts w:ascii="Arial" w:hAnsi="Arial" w:cs="Arial"/>
          <w:sz w:val="26"/>
          <w:szCs w:val="26"/>
        </w:rPr>
        <w:t xml:space="preserve">- - - - - - - </w:t>
      </w:r>
    </w:p>
    <w:sectPr w:rsidR="00550C05" w:rsidRPr="009B59DB" w:rsidSect="00A319C5">
      <w:headerReference w:type="default" r:id="rId8"/>
      <w:pgSz w:w="12240" w:h="20160" w:code="5"/>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B10" w:rsidRDefault="00E11B10" w:rsidP="009D4B0E">
      <w:pPr>
        <w:spacing w:after="0" w:line="240" w:lineRule="auto"/>
      </w:pPr>
      <w:r>
        <w:separator/>
      </w:r>
    </w:p>
  </w:endnote>
  <w:endnote w:type="continuationSeparator" w:id="0">
    <w:p w:rsidR="00E11B10" w:rsidRDefault="00E11B10"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B10" w:rsidRDefault="00E11B10" w:rsidP="009D4B0E">
      <w:pPr>
        <w:spacing w:after="0" w:line="240" w:lineRule="auto"/>
      </w:pPr>
      <w:r>
        <w:separator/>
      </w:r>
    </w:p>
  </w:footnote>
  <w:footnote w:type="continuationSeparator" w:id="0">
    <w:p w:rsidR="00E11B10" w:rsidRDefault="00E11B10" w:rsidP="009D4B0E">
      <w:pPr>
        <w:spacing w:after="0" w:line="240" w:lineRule="auto"/>
      </w:pPr>
      <w:r>
        <w:continuationSeparator/>
      </w:r>
    </w:p>
  </w:footnote>
  <w:footnote w:id="1">
    <w:p w:rsidR="00911747" w:rsidRPr="00271AF8" w:rsidRDefault="00911747" w:rsidP="00550C05">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911747" w:rsidRDefault="00911747" w:rsidP="00550C05">
      <w:pPr>
        <w:pStyle w:val="Textonotapie"/>
      </w:pPr>
      <w:r>
        <w:rPr>
          <w:rStyle w:val="Refdenotaalpie"/>
        </w:rPr>
        <w:footnoteRef/>
      </w:r>
      <w:r>
        <w:t xml:space="preserve"> “</w:t>
      </w:r>
      <w:r>
        <w:rPr>
          <w:b/>
        </w:rPr>
        <w:t xml:space="preserve">ARTÍCULO 161.- </w:t>
      </w:r>
      <w:r>
        <w:t>…</w:t>
      </w:r>
    </w:p>
    <w:p w:rsidR="00911747" w:rsidRDefault="00911747" w:rsidP="00550C05">
      <w:pPr>
        <w:pStyle w:val="Textonotapie"/>
      </w:pPr>
      <w:r>
        <w:t xml:space="preserve">   …</w:t>
      </w:r>
    </w:p>
    <w:p w:rsidR="00911747" w:rsidRPr="00271AF8" w:rsidRDefault="00911747" w:rsidP="00550C05">
      <w:pPr>
        <w:pStyle w:val="Textonotapie"/>
      </w:pPr>
      <w:r>
        <w:t xml:space="preserve">   Las causales de improcedencia deben ser examinadas de oficio.”</w:t>
      </w:r>
    </w:p>
  </w:footnote>
  <w:footnote w:id="3">
    <w:p w:rsidR="00165BE6" w:rsidRDefault="00165BE6" w:rsidP="00165BE6">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165BE6" w:rsidRDefault="00165BE6" w:rsidP="00165BE6">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165BE6" w:rsidRPr="002C650C" w:rsidRDefault="00165BE6" w:rsidP="00165BE6">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911747" w:rsidRDefault="00D47F08">
        <w:pPr>
          <w:pStyle w:val="Encabezado"/>
          <w:jc w:val="center"/>
        </w:pPr>
        <w:r>
          <w:fldChar w:fldCharType="begin"/>
        </w:r>
        <w:r w:rsidR="00911747">
          <w:instrText>PAGE   \* MERGEFORMAT</w:instrText>
        </w:r>
        <w:r>
          <w:fldChar w:fldCharType="separate"/>
        </w:r>
        <w:r w:rsidR="00E11B10" w:rsidRPr="00E11B10">
          <w:rPr>
            <w:noProof/>
            <w:lang w:val="es-ES"/>
          </w:rPr>
          <w:t>1</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5045"/>
    <w:rsid w:val="00024773"/>
    <w:rsid w:val="000262FA"/>
    <w:rsid w:val="00026984"/>
    <w:rsid w:val="00027DC0"/>
    <w:rsid w:val="00030698"/>
    <w:rsid w:val="000339B0"/>
    <w:rsid w:val="00036A0F"/>
    <w:rsid w:val="00044972"/>
    <w:rsid w:val="00047315"/>
    <w:rsid w:val="0005024B"/>
    <w:rsid w:val="00052DBE"/>
    <w:rsid w:val="0005750A"/>
    <w:rsid w:val="00061C4E"/>
    <w:rsid w:val="00061DAD"/>
    <w:rsid w:val="00062984"/>
    <w:rsid w:val="0006351F"/>
    <w:rsid w:val="00064AF0"/>
    <w:rsid w:val="00064B5D"/>
    <w:rsid w:val="000700CE"/>
    <w:rsid w:val="00087676"/>
    <w:rsid w:val="00096226"/>
    <w:rsid w:val="000964AB"/>
    <w:rsid w:val="00097503"/>
    <w:rsid w:val="000A1682"/>
    <w:rsid w:val="000A3DCB"/>
    <w:rsid w:val="000B4BE2"/>
    <w:rsid w:val="000B682A"/>
    <w:rsid w:val="000B7BA5"/>
    <w:rsid w:val="000C46FE"/>
    <w:rsid w:val="000D3E0C"/>
    <w:rsid w:val="000D5F62"/>
    <w:rsid w:val="000D6059"/>
    <w:rsid w:val="000D7D92"/>
    <w:rsid w:val="000E2532"/>
    <w:rsid w:val="000E2640"/>
    <w:rsid w:val="000E35F6"/>
    <w:rsid w:val="000E66B5"/>
    <w:rsid w:val="000F01C7"/>
    <w:rsid w:val="000F2B3A"/>
    <w:rsid w:val="000F39AB"/>
    <w:rsid w:val="00103B4B"/>
    <w:rsid w:val="00107D46"/>
    <w:rsid w:val="00110EA2"/>
    <w:rsid w:val="00110FBB"/>
    <w:rsid w:val="00111C19"/>
    <w:rsid w:val="00111F2A"/>
    <w:rsid w:val="00114142"/>
    <w:rsid w:val="00122987"/>
    <w:rsid w:val="00124387"/>
    <w:rsid w:val="0012545F"/>
    <w:rsid w:val="00126983"/>
    <w:rsid w:val="001343EF"/>
    <w:rsid w:val="00134422"/>
    <w:rsid w:val="0013514C"/>
    <w:rsid w:val="00136799"/>
    <w:rsid w:val="001377BF"/>
    <w:rsid w:val="001428C4"/>
    <w:rsid w:val="001430DF"/>
    <w:rsid w:val="00143BCC"/>
    <w:rsid w:val="00143CFF"/>
    <w:rsid w:val="00144516"/>
    <w:rsid w:val="00147B61"/>
    <w:rsid w:val="00151521"/>
    <w:rsid w:val="001532E0"/>
    <w:rsid w:val="0015733A"/>
    <w:rsid w:val="001578E7"/>
    <w:rsid w:val="0016164C"/>
    <w:rsid w:val="00165BE6"/>
    <w:rsid w:val="00166349"/>
    <w:rsid w:val="00166B4B"/>
    <w:rsid w:val="001704DA"/>
    <w:rsid w:val="001707DA"/>
    <w:rsid w:val="00174553"/>
    <w:rsid w:val="00181A80"/>
    <w:rsid w:val="00185009"/>
    <w:rsid w:val="00185C40"/>
    <w:rsid w:val="00191BAF"/>
    <w:rsid w:val="00191BEA"/>
    <w:rsid w:val="00193417"/>
    <w:rsid w:val="00193F7A"/>
    <w:rsid w:val="00194437"/>
    <w:rsid w:val="001A1354"/>
    <w:rsid w:val="001A1A96"/>
    <w:rsid w:val="001A3799"/>
    <w:rsid w:val="001A3E9C"/>
    <w:rsid w:val="001A4B85"/>
    <w:rsid w:val="001A51FC"/>
    <w:rsid w:val="001B3D76"/>
    <w:rsid w:val="001B4354"/>
    <w:rsid w:val="001B45AD"/>
    <w:rsid w:val="001C3149"/>
    <w:rsid w:val="001C3B72"/>
    <w:rsid w:val="001C40C5"/>
    <w:rsid w:val="001C4ECE"/>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710A"/>
    <w:rsid w:val="00204D7B"/>
    <w:rsid w:val="0020615D"/>
    <w:rsid w:val="00206F4D"/>
    <w:rsid w:val="002070CD"/>
    <w:rsid w:val="00210EDA"/>
    <w:rsid w:val="00212E2A"/>
    <w:rsid w:val="002140CB"/>
    <w:rsid w:val="002147C1"/>
    <w:rsid w:val="00214C97"/>
    <w:rsid w:val="00216382"/>
    <w:rsid w:val="00220810"/>
    <w:rsid w:val="002304C7"/>
    <w:rsid w:val="00230553"/>
    <w:rsid w:val="00232394"/>
    <w:rsid w:val="00234324"/>
    <w:rsid w:val="002354D4"/>
    <w:rsid w:val="002401D9"/>
    <w:rsid w:val="00245873"/>
    <w:rsid w:val="00251F85"/>
    <w:rsid w:val="00255F2C"/>
    <w:rsid w:val="002573AE"/>
    <w:rsid w:val="002631E2"/>
    <w:rsid w:val="0026513F"/>
    <w:rsid w:val="00265CF4"/>
    <w:rsid w:val="00267073"/>
    <w:rsid w:val="00271368"/>
    <w:rsid w:val="00271A3C"/>
    <w:rsid w:val="002758B3"/>
    <w:rsid w:val="00277A5F"/>
    <w:rsid w:val="002807A7"/>
    <w:rsid w:val="00283D9B"/>
    <w:rsid w:val="00284930"/>
    <w:rsid w:val="00284D2B"/>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F47"/>
    <w:rsid w:val="002E7D49"/>
    <w:rsid w:val="003007D2"/>
    <w:rsid w:val="003026EA"/>
    <w:rsid w:val="003027B0"/>
    <w:rsid w:val="00305A9F"/>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D75A0"/>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06D23"/>
    <w:rsid w:val="00411994"/>
    <w:rsid w:val="00414FE8"/>
    <w:rsid w:val="00417099"/>
    <w:rsid w:val="00417216"/>
    <w:rsid w:val="004225BA"/>
    <w:rsid w:val="004228C2"/>
    <w:rsid w:val="00427B3D"/>
    <w:rsid w:val="00433109"/>
    <w:rsid w:val="00433E39"/>
    <w:rsid w:val="00436355"/>
    <w:rsid w:val="00436EAA"/>
    <w:rsid w:val="00437EDE"/>
    <w:rsid w:val="0044384A"/>
    <w:rsid w:val="004464FC"/>
    <w:rsid w:val="004526A2"/>
    <w:rsid w:val="004535DC"/>
    <w:rsid w:val="004540FE"/>
    <w:rsid w:val="00461158"/>
    <w:rsid w:val="004626BD"/>
    <w:rsid w:val="00466D12"/>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4FE6"/>
    <w:rsid w:val="004F7A70"/>
    <w:rsid w:val="005042C6"/>
    <w:rsid w:val="005044D6"/>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3D96"/>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F13BA"/>
    <w:rsid w:val="005F1B07"/>
    <w:rsid w:val="005F35EB"/>
    <w:rsid w:val="005F3A71"/>
    <w:rsid w:val="005F58E9"/>
    <w:rsid w:val="00600893"/>
    <w:rsid w:val="00605B14"/>
    <w:rsid w:val="0060692D"/>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B1623"/>
    <w:rsid w:val="006B19FE"/>
    <w:rsid w:val="006B3DFD"/>
    <w:rsid w:val="006B3F7F"/>
    <w:rsid w:val="006B49FD"/>
    <w:rsid w:val="006C050F"/>
    <w:rsid w:val="006C2B12"/>
    <w:rsid w:val="006C5A90"/>
    <w:rsid w:val="006C7A08"/>
    <w:rsid w:val="006D09D3"/>
    <w:rsid w:val="006D1822"/>
    <w:rsid w:val="006D3EA0"/>
    <w:rsid w:val="006D4BDA"/>
    <w:rsid w:val="006E44CA"/>
    <w:rsid w:val="006E48A7"/>
    <w:rsid w:val="006F0E22"/>
    <w:rsid w:val="006F3B56"/>
    <w:rsid w:val="006F6728"/>
    <w:rsid w:val="007029F9"/>
    <w:rsid w:val="00703232"/>
    <w:rsid w:val="00710DAF"/>
    <w:rsid w:val="00712856"/>
    <w:rsid w:val="00712A5E"/>
    <w:rsid w:val="007150B9"/>
    <w:rsid w:val="00721510"/>
    <w:rsid w:val="007226EC"/>
    <w:rsid w:val="00722E96"/>
    <w:rsid w:val="007314F8"/>
    <w:rsid w:val="00733282"/>
    <w:rsid w:val="00733C70"/>
    <w:rsid w:val="00734AC3"/>
    <w:rsid w:val="007373C0"/>
    <w:rsid w:val="00744320"/>
    <w:rsid w:val="007456A2"/>
    <w:rsid w:val="00747B22"/>
    <w:rsid w:val="007513DC"/>
    <w:rsid w:val="00752CB1"/>
    <w:rsid w:val="00754656"/>
    <w:rsid w:val="007568C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A5346"/>
    <w:rsid w:val="007B04A2"/>
    <w:rsid w:val="007B1499"/>
    <w:rsid w:val="007B59FF"/>
    <w:rsid w:val="007B6A86"/>
    <w:rsid w:val="007B6BE8"/>
    <w:rsid w:val="007B6FB1"/>
    <w:rsid w:val="007C5A8B"/>
    <w:rsid w:val="007D303F"/>
    <w:rsid w:val="007D655C"/>
    <w:rsid w:val="007E2D47"/>
    <w:rsid w:val="007E60C0"/>
    <w:rsid w:val="007E634C"/>
    <w:rsid w:val="007F3B53"/>
    <w:rsid w:val="007F60D9"/>
    <w:rsid w:val="007F6A13"/>
    <w:rsid w:val="007F701F"/>
    <w:rsid w:val="00800A89"/>
    <w:rsid w:val="0080321F"/>
    <w:rsid w:val="00806BF3"/>
    <w:rsid w:val="0080789C"/>
    <w:rsid w:val="00810D87"/>
    <w:rsid w:val="00812179"/>
    <w:rsid w:val="0081340C"/>
    <w:rsid w:val="0081363C"/>
    <w:rsid w:val="00814042"/>
    <w:rsid w:val="00816164"/>
    <w:rsid w:val="00817BF8"/>
    <w:rsid w:val="008200A5"/>
    <w:rsid w:val="00820EF9"/>
    <w:rsid w:val="00822DBE"/>
    <w:rsid w:val="008262F6"/>
    <w:rsid w:val="0082681E"/>
    <w:rsid w:val="008309D2"/>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91"/>
    <w:rsid w:val="008D06A5"/>
    <w:rsid w:val="008D11CD"/>
    <w:rsid w:val="008D321F"/>
    <w:rsid w:val="008D3609"/>
    <w:rsid w:val="008D4631"/>
    <w:rsid w:val="008D5F8C"/>
    <w:rsid w:val="008E2050"/>
    <w:rsid w:val="008E5651"/>
    <w:rsid w:val="008E5C1B"/>
    <w:rsid w:val="008F557D"/>
    <w:rsid w:val="0090155E"/>
    <w:rsid w:val="009056A5"/>
    <w:rsid w:val="00907E14"/>
    <w:rsid w:val="009101AC"/>
    <w:rsid w:val="00910CAD"/>
    <w:rsid w:val="00910CEF"/>
    <w:rsid w:val="00911747"/>
    <w:rsid w:val="00911768"/>
    <w:rsid w:val="00916123"/>
    <w:rsid w:val="009175F8"/>
    <w:rsid w:val="00921A40"/>
    <w:rsid w:val="00922BEA"/>
    <w:rsid w:val="00923B42"/>
    <w:rsid w:val="0092547F"/>
    <w:rsid w:val="009271E6"/>
    <w:rsid w:val="00930456"/>
    <w:rsid w:val="009311A6"/>
    <w:rsid w:val="009322B6"/>
    <w:rsid w:val="00932418"/>
    <w:rsid w:val="00934BA2"/>
    <w:rsid w:val="0093690E"/>
    <w:rsid w:val="009409E7"/>
    <w:rsid w:val="0094243C"/>
    <w:rsid w:val="0094465F"/>
    <w:rsid w:val="00944722"/>
    <w:rsid w:val="00945D5D"/>
    <w:rsid w:val="00946E26"/>
    <w:rsid w:val="00947CB1"/>
    <w:rsid w:val="00951B16"/>
    <w:rsid w:val="00952C5B"/>
    <w:rsid w:val="00961B3F"/>
    <w:rsid w:val="00961FCC"/>
    <w:rsid w:val="00962106"/>
    <w:rsid w:val="009623DE"/>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40A"/>
    <w:rsid w:val="009C46C6"/>
    <w:rsid w:val="009C6AE4"/>
    <w:rsid w:val="009C7245"/>
    <w:rsid w:val="009D04F0"/>
    <w:rsid w:val="009D4B0E"/>
    <w:rsid w:val="009D6A8E"/>
    <w:rsid w:val="009D7CFC"/>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C47"/>
    <w:rsid w:val="00A16B87"/>
    <w:rsid w:val="00A2158E"/>
    <w:rsid w:val="00A2173D"/>
    <w:rsid w:val="00A2237A"/>
    <w:rsid w:val="00A3000F"/>
    <w:rsid w:val="00A319C5"/>
    <w:rsid w:val="00A32EB9"/>
    <w:rsid w:val="00A368EF"/>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A45CA"/>
    <w:rsid w:val="00AB10E3"/>
    <w:rsid w:val="00AB35AD"/>
    <w:rsid w:val="00AB3B54"/>
    <w:rsid w:val="00AB4EC9"/>
    <w:rsid w:val="00AB5D2E"/>
    <w:rsid w:val="00AB6DC5"/>
    <w:rsid w:val="00AB7AC6"/>
    <w:rsid w:val="00AC1994"/>
    <w:rsid w:val="00AD552F"/>
    <w:rsid w:val="00AD5BA2"/>
    <w:rsid w:val="00AD67FF"/>
    <w:rsid w:val="00AE3427"/>
    <w:rsid w:val="00AE3F6C"/>
    <w:rsid w:val="00AE7CD3"/>
    <w:rsid w:val="00AF08B1"/>
    <w:rsid w:val="00AF0B0F"/>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07F9"/>
    <w:rsid w:val="00B91928"/>
    <w:rsid w:val="00B928C5"/>
    <w:rsid w:val="00B97883"/>
    <w:rsid w:val="00BA0111"/>
    <w:rsid w:val="00BA2437"/>
    <w:rsid w:val="00BA7E97"/>
    <w:rsid w:val="00BB0B4E"/>
    <w:rsid w:val="00BB2537"/>
    <w:rsid w:val="00BB7DE7"/>
    <w:rsid w:val="00BC1E6D"/>
    <w:rsid w:val="00BC2FAE"/>
    <w:rsid w:val="00BC4636"/>
    <w:rsid w:val="00BC56A4"/>
    <w:rsid w:val="00BD38D0"/>
    <w:rsid w:val="00BE2AAB"/>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3591"/>
    <w:rsid w:val="00C21723"/>
    <w:rsid w:val="00C24443"/>
    <w:rsid w:val="00C24F63"/>
    <w:rsid w:val="00C25EDB"/>
    <w:rsid w:val="00C300F3"/>
    <w:rsid w:val="00C31F56"/>
    <w:rsid w:val="00C367F8"/>
    <w:rsid w:val="00C4250E"/>
    <w:rsid w:val="00C462B1"/>
    <w:rsid w:val="00C519C2"/>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8AB"/>
    <w:rsid w:val="00CA59BD"/>
    <w:rsid w:val="00CB17FB"/>
    <w:rsid w:val="00CB6136"/>
    <w:rsid w:val="00CB6C07"/>
    <w:rsid w:val="00CC06E9"/>
    <w:rsid w:val="00CC3468"/>
    <w:rsid w:val="00CC3E12"/>
    <w:rsid w:val="00CC5CE1"/>
    <w:rsid w:val="00CD0522"/>
    <w:rsid w:val="00CD3C41"/>
    <w:rsid w:val="00CD57E2"/>
    <w:rsid w:val="00CD7C7B"/>
    <w:rsid w:val="00CE2FBD"/>
    <w:rsid w:val="00CE7229"/>
    <w:rsid w:val="00CF0815"/>
    <w:rsid w:val="00CF1EED"/>
    <w:rsid w:val="00CF3BD3"/>
    <w:rsid w:val="00CF3D45"/>
    <w:rsid w:val="00CF4E62"/>
    <w:rsid w:val="00CF6653"/>
    <w:rsid w:val="00D04D0E"/>
    <w:rsid w:val="00D061F1"/>
    <w:rsid w:val="00D07735"/>
    <w:rsid w:val="00D12011"/>
    <w:rsid w:val="00D14398"/>
    <w:rsid w:val="00D14FAB"/>
    <w:rsid w:val="00D15AF8"/>
    <w:rsid w:val="00D15CC4"/>
    <w:rsid w:val="00D21BDF"/>
    <w:rsid w:val="00D2250C"/>
    <w:rsid w:val="00D22754"/>
    <w:rsid w:val="00D26138"/>
    <w:rsid w:val="00D2662A"/>
    <w:rsid w:val="00D33D4F"/>
    <w:rsid w:val="00D34B85"/>
    <w:rsid w:val="00D34D91"/>
    <w:rsid w:val="00D41FED"/>
    <w:rsid w:val="00D42FA5"/>
    <w:rsid w:val="00D453F9"/>
    <w:rsid w:val="00D471FA"/>
    <w:rsid w:val="00D47F08"/>
    <w:rsid w:val="00D52C7B"/>
    <w:rsid w:val="00D52F4A"/>
    <w:rsid w:val="00D5536C"/>
    <w:rsid w:val="00D55D2F"/>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85A"/>
    <w:rsid w:val="00DB0970"/>
    <w:rsid w:val="00DB12F9"/>
    <w:rsid w:val="00DC0F1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1B10"/>
    <w:rsid w:val="00E169C4"/>
    <w:rsid w:val="00E209D2"/>
    <w:rsid w:val="00E261B9"/>
    <w:rsid w:val="00E27108"/>
    <w:rsid w:val="00E2784A"/>
    <w:rsid w:val="00E32451"/>
    <w:rsid w:val="00E334AA"/>
    <w:rsid w:val="00E40854"/>
    <w:rsid w:val="00E459A5"/>
    <w:rsid w:val="00E466B3"/>
    <w:rsid w:val="00E504B0"/>
    <w:rsid w:val="00E50CBC"/>
    <w:rsid w:val="00E51445"/>
    <w:rsid w:val="00E527EA"/>
    <w:rsid w:val="00E565EA"/>
    <w:rsid w:val="00E6154E"/>
    <w:rsid w:val="00E64155"/>
    <w:rsid w:val="00E67416"/>
    <w:rsid w:val="00E7079F"/>
    <w:rsid w:val="00E709B8"/>
    <w:rsid w:val="00E7549D"/>
    <w:rsid w:val="00E76AE9"/>
    <w:rsid w:val="00E81F98"/>
    <w:rsid w:val="00E83904"/>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DD5"/>
    <w:rsid w:val="00F40EBC"/>
    <w:rsid w:val="00F42C86"/>
    <w:rsid w:val="00F61FD5"/>
    <w:rsid w:val="00F73C4D"/>
    <w:rsid w:val="00F809E9"/>
    <w:rsid w:val="00F82943"/>
    <w:rsid w:val="00F84766"/>
    <w:rsid w:val="00F879AE"/>
    <w:rsid w:val="00F95524"/>
    <w:rsid w:val="00F9636E"/>
    <w:rsid w:val="00FA3BB3"/>
    <w:rsid w:val="00FA482F"/>
    <w:rsid w:val="00FA61CB"/>
    <w:rsid w:val="00FA6AEE"/>
    <w:rsid w:val="00FA7286"/>
    <w:rsid w:val="00FB1244"/>
    <w:rsid w:val="00FB19C5"/>
    <w:rsid w:val="00FB5622"/>
    <w:rsid w:val="00FB5D7C"/>
    <w:rsid w:val="00FC283F"/>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9C4E28-FE82-4835-871F-C963CF9D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0F4AF-E870-4666-9CBC-F133E30D0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2035</Words>
  <Characters>11195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4</cp:revision>
  <cp:lastPrinted>2020-01-23T20:57:00Z</cp:lastPrinted>
  <dcterms:created xsi:type="dcterms:W3CDTF">2020-10-14T19:24:00Z</dcterms:created>
  <dcterms:modified xsi:type="dcterms:W3CDTF">2020-10-15T15:44:00Z</dcterms:modified>
</cp:coreProperties>
</file>