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37A" w:rsidRPr="007B0581" w:rsidRDefault="006B237A" w:rsidP="006B237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B237A" w:rsidRPr="007B0581" w:rsidRDefault="006B237A" w:rsidP="006B237A">
      <w:pPr>
        <w:pStyle w:val="corte4fondo"/>
        <w:spacing w:line="276" w:lineRule="auto"/>
        <w:ind w:left="3544" w:right="-521" w:firstLine="0"/>
        <w:rPr>
          <w:rFonts w:cs="Arial"/>
          <w:b/>
          <w:sz w:val="24"/>
          <w:szCs w:val="24"/>
        </w:rPr>
      </w:pPr>
    </w:p>
    <w:p w:rsidR="006B237A" w:rsidRPr="007B0581" w:rsidRDefault="006B237A" w:rsidP="006B237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100</w:t>
      </w:r>
      <w:r w:rsidRPr="007B0581">
        <w:rPr>
          <w:rFonts w:cs="Arial"/>
          <w:b/>
          <w:bCs/>
          <w:sz w:val="24"/>
          <w:szCs w:val="24"/>
        </w:rPr>
        <w:t>/20</w:t>
      </w:r>
      <w:r>
        <w:rPr>
          <w:rFonts w:cs="Arial"/>
          <w:b/>
          <w:bCs/>
          <w:sz w:val="24"/>
          <w:szCs w:val="24"/>
        </w:rPr>
        <w:t>19</w:t>
      </w:r>
      <w:r w:rsidRPr="007B0581">
        <w:rPr>
          <w:rFonts w:cs="Arial"/>
          <w:sz w:val="24"/>
          <w:szCs w:val="24"/>
        </w:rPr>
        <w:t xml:space="preserve">. </w:t>
      </w:r>
    </w:p>
    <w:p w:rsidR="006B237A" w:rsidRPr="007B0581" w:rsidRDefault="006B237A" w:rsidP="006B237A">
      <w:pPr>
        <w:pStyle w:val="corte4fondo"/>
        <w:spacing w:line="276" w:lineRule="auto"/>
        <w:ind w:left="3544" w:right="-521" w:firstLine="0"/>
        <w:rPr>
          <w:rFonts w:cs="Arial"/>
          <w:sz w:val="24"/>
          <w:szCs w:val="24"/>
        </w:rPr>
      </w:pPr>
    </w:p>
    <w:p w:rsidR="006B237A" w:rsidRPr="007B0581" w:rsidRDefault="006B237A" w:rsidP="006B237A">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6B237A" w:rsidRPr="007B0581" w:rsidRDefault="006B237A" w:rsidP="006B237A">
      <w:pPr>
        <w:pStyle w:val="corte4fondo"/>
        <w:spacing w:line="276" w:lineRule="auto"/>
        <w:ind w:left="3544" w:right="-521" w:firstLine="0"/>
        <w:rPr>
          <w:rFonts w:cs="Arial"/>
          <w:b/>
          <w:i/>
          <w:sz w:val="24"/>
          <w:szCs w:val="24"/>
        </w:rPr>
      </w:pPr>
      <w:r w:rsidRPr="007B0581">
        <w:rPr>
          <w:rFonts w:cs="Arial"/>
          <w:b/>
          <w:i/>
          <w:sz w:val="24"/>
          <w:szCs w:val="24"/>
        </w:rPr>
        <w:t xml:space="preserve"> </w:t>
      </w:r>
      <w:bookmarkStart w:id="0" w:name="_GoBack"/>
      <w:bookmarkEnd w:id="0"/>
    </w:p>
    <w:p w:rsidR="006B237A" w:rsidRPr="007B0581" w:rsidRDefault="006B237A" w:rsidP="006B237A">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 GENERAL DE LA OFICINA </w:t>
      </w:r>
      <w:r w:rsidRPr="007B0581">
        <w:rPr>
          <w:rFonts w:cs="Arial"/>
          <w:b/>
          <w:sz w:val="24"/>
          <w:szCs w:val="24"/>
        </w:rPr>
        <w:t>DE PENSIONES DEL ESTADO DE OAXACA</w:t>
      </w:r>
      <w:r w:rsidRPr="007B0581">
        <w:rPr>
          <w:rFonts w:cs="Arial"/>
          <w:bCs/>
          <w:sz w:val="24"/>
          <w:szCs w:val="24"/>
        </w:rPr>
        <w:t>.</w:t>
      </w:r>
    </w:p>
    <w:p w:rsidR="006B237A" w:rsidRPr="007B0581" w:rsidRDefault="006B237A" w:rsidP="006B237A">
      <w:pPr>
        <w:pStyle w:val="corte4fondo"/>
        <w:spacing w:line="276" w:lineRule="auto"/>
        <w:ind w:left="3544" w:right="51" w:firstLine="0"/>
        <w:rPr>
          <w:rFonts w:cs="Arial"/>
          <w:bCs/>
          <w:sz w:val="24"/>
          <w:szCs w:val="24"/>
        </w:rPr>
      </w:pPr>
    </w:p>
    <w:p w:rsidR="006B237A" w:rsidRPr="007B0581" w:rsidRDefault="006B237A" w:rsidP="006B237A">
      <w:pPr>
        <w:pStyle w:val="corte4fondo"/>
        <w:spacing w:line="276" w:lineRule="auto"/>
        <w:ind w:left="3544" w:right="51" w:firstLine="0"/>
        <w:rPr>
          <w:rFonts w:cs="Arial"/>
          <w:bCs/>
          <w:sz w:val="24"/>
          <w:szCs w:val="24"/>
        </w:rPr>
      </w:pPr>
    </w:p>
    <w:p w:rsidR="006B237A" w:rsidRDefault="006B237A" w:rsidP="006B237A">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VEINTIDÓS DE FEBRERO DE DOS MIL VEINTIDÓS</w:t>
      </w:r>
      <w:r w:rsidRPr="007B0581">
        <w:rPr>
          <w:rFonts w:ascii="Arial" w:hAnsi="Arial" w:cs="Arial"/>
          <w:b/>
          <w:sz w:val="24"/>
          <w:szCs w:val="24"/>
        </w:rPr>
        <w:t xml:space="preserve">. </w:t>
      </w:r>
    </w:p>
    <w:p w:rsidR="006B237A" w:rsidRDefault="006B237A" w:rsidP="006B237A">
      <w:pPr>
        <w:spacing w:line="360" w:lineRule="auto"/>
        <w:jc w:val="both"/>
        <w:rPr>
          <w:rFonts w:ascii="Arial" w:hAnsi="Arial" w:cs="Arial"/>
          <w:b/>
          <w:sz w:val="24"/>
          <w:szCs w:val="24"/>
        </w:rPr>
      </w:pPr>
      <w:r w:rsidRPr="007B0581">
        <w:rPr>
          <w:rFonts w:ascii="Arial" w:hAnsi="Arial" w:cs="Arial"/>
          <w:b/>
          <w:sz w:val="24"/>
          <w:szCs w:val="24"/>
        </w:rPr>
        <w:t xml:space="preserve"> </w:t>
      </w:r>
    </w:p>
    <w:p w:rsidR="006B237A" w:rsidRPr="007B0581" w:rsidRDefault="006B237A" w:rsidP="006B237A">
      <w:pPr>
        <w:contextualSpacing/>
        <w:jc w:val="both"/>
        <w:rPr>
          <w:rFonts w:ascii="Arial" w:hAnsi="Arial" w:cs="Arial"/>
          <w:b/>
          <w:sz w:val="24"/>
          <w:szCs w:val="24"/>
        </w:rPr>
      </w:pPr>
    </w:p>
    <w:p w:rsidR="006B237A" w:rsidRPr="007B0581" w:rsidRDefault="006B237A" w:rsidP="006B237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sidRPr="00397C76">
        <w:rPr>
          <w:rFonts w:ascii="Arial" w:hAnsi="Arial" w:cs="Arial"/>
          <w:b/>
          <w:bCs/>
          <w:sz w:val="24"/>
          <w:szCs w:val="24"/>
        </w:rPr>
        <w:t>0</w:t>
      </w:r>
      <w:r w:rsidRPr="001A7D4E">
        <w:rPr>
          <w:rFonts w:ascii="Arial" w:hAnsi="Arial" w:cs="Arial"/>
          <w:b/>
          <w:bCs/>
          <w:sz w:val="24"/>
          <w:szCs w:val="24"/>
        </w:rPr>
        <w:t>1</w:t>
      </w:r>
      <w:r>
        <w:rPr>
          <w:rFonts w:ascii="Arial" w:hAnsi="Arial" w:cs="Arial"/>
          <w:b/>
          <w:bCs/>
          <w:sz w:val="24"/>
          <w:szCs w:val="24"/>
        </w:rPr>
        <w:t>00</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xml:space="preserve">, en contra de la resolución contenida en el oficio </w:t>
      </w:r>
      <w:bookmarkStart w:id="1"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diecinueve de agosto de dos mil diecinueve</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que contiene </w:t>
      </w:r>
      <w:bookmarkEnd w:id="1"/>
      <w:r>
        <w:rPr>
          <w:rFonts w:ascii="Arial" w:hAnsi="Arial" w:cs="Arial"/>
          <w:sz w:val="24"/>
          <w:szCs w:val="24"/>
        </w:rPr>
        <w:t>la negativa de devolución del descuento por concepto de seguro de vida, realizado a la pensión por jubilación</w:t>
      </w:r>
      <w:r w:rsidRPr="007B0581">
        <w:rPr>
          <w:rFonts w:ascii="Arial" w:hAnsi="Arial" w:cs="Arial"/>
          <w:sz w:val="24"/>
          <w:szCs w:val="24"/>
        </w:rPr>
        <w:t>, y;</w:t>
      </w:r>
      <w:r w:rsidRPr="007B0581">
        <w:rPr>
          <w:rFonts w:ascii="Arial" w:hAnsi="Arial" w:cs="Arial"/>
          <w:b/>
          <w:bCs/>
          <w:sz w:val="24"/>
          <w:szCs w:val="24"/>
        </w:rPr>
        <w:t xml:space="preserve"> </w:t>
      </w:r>
    </w:p>
    <w:bookmarkEnd w:id="2"/>
    <w:p w:rsidR="006B237A" w:rsidRPr="007B0581" w:rsidRDefault="006B237A" w:rsidP="006B237A">
      <w:pPr>
        <w:contextualSpacing/>
        <w:jc w:val="both"/>
        <w:rPr>
          <w:rFonts w:ascii="Arial" w:hAnsi="Arial" w:cs="Arial"/>
          <w:sz w:val="24"/>
          <w:szCs w:val="24"/>
        </w:rPr>
      </w:pPr>
    </w:p>
    <w:p w:rsidR="006B237A" w:rsidRPr="007B0581" w:rsidRDefault="006B237A" w:rsidP="006B237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B237A" w:rsidRPr="007B0581" w:rsidRDefault="006B237A" w:rsidP="006B237A">
      <w:pPr>
        <w:contextualSpacing/>
        <w:jc w:val="both"/>
        <w:rPr>
          <w:rFonts w:ascii="Arial" w:hAnsi="Arial" w:cs="Arial"/>
          <w:b/>
          <w:spacing w:val="-3"/>
          <w:sz w:val="24"/>
          <w:szCs w:val="24"/>
          <w:lang w:val="es-ES_tradnl"/>
        </w:rPr>
      </w:pPr>
    </w:p>
    <w:p w:rsidR="006B237A" w:rsidRPr="007B0581" w:rsidRDefault="006B237A" w:rsidP="006B237A">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diecinueve de septiembre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contenida en el </w:t>
      </w:r>
      <w:bookmarkStart w:id="3" w:name="_Hlk83725409"/>
      <w:r w:rsidRPr="007B0581">
        <w:rPr>
          <w:rFonts w:ascii="Arial" w:hAnsi="Arial" w:cs="Arial"/>
          <w:sz w:val="24"/>
          <w:szCs w:val="24"/>
        </w:rPr>
        <w:t xml:space="preserve">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diecinueve de agosto de dos mil 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el cual contiene </w:t>
      </w:r>
      <w:r>
        <w:rPr>
          <w:rFonts w:ascii="Arial" w:hAnsi="Arial" w:cs="Arial"/>
          <w:sz w:val="24"/>
          <w:szCs w:val="24"/>
        </w:rPr>
        <w:t>la negativa de devolución del descuento por concepto de seguro de vida, realizado a la pensión por jubilación</w:t>
      </w:r>
      <w:r w:rsidRPr="007B0581">
        <w:rPr>
          <w:rFonts w:ascii="Arial" w:hAnsi="Arial" w:cs="Arial"/>
          <w:sz w:val="24"/>
          <w:szCs w:val="24"/>
        </w:rPr>
        <w:t xml:space="preserve">. </w:t>
      </w:r>
    </w:p>
    <w:bookmarkEnd w:id="3"/>
    <w:p w:rsidR="006B237A" w:rsidRPr="007B0581" w:rsidRDefault="006B237A" w:rsidP="006B237A">
      <w:pPr>
        <w:contextualSpacing/>
        <w:jc w:val="both"/>
        <w:rPr>
          <w:rFonts w:ascii="Arial" w:hAnsi="Arial" w:cs="Arial"/>
          <w:sz w:val="24"/>
          <w:szCs w:val="24"/>
        </w:rPr>
      </w:pPr>
    </w:p>
    <w:p w:rsidR="006B237A" w:rsidRPr="007B0581" w:rsidRDefault="006B237A" w:rsidP="006B237A">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diecinueve de septiembre de dos mil diecinueve</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6B237A" w:rsidRPr="007B0581" w:rsidRDefault="006B237A" w:rsidP="006B237A">
      <w:pPr>
        <w:pStyle w:val="corte4fondo"/>
        <w:spacing w:line="240" w:lineRule="auto"/>
        <w:ind w:right="51" w:firstLine="567"/>
        <w:contextualSpacing/>
        <w:rPr>
          <w:rFonts w:cs="Arial"/>
          <w:bCs/>
          <w:sz w:val="24"/>
          <w:szCs w:val="24"/>
        </w:rPr>
      </w:pPr>
      <w:r w:rsidRPr="007B0581">
        <w:rPr>
          <w:rFonts w:cs="Arial"/>
          <w:bCs/>
          <w:sz w:val="24"/>
          <w:szCs w:val="24"/>
        </w:rPr>
        <w:tab/>
      </w:r>
    </w:p>
    <w:p w:rsidR="006B237A" w:rsidRPr="007B0581" w:rsidRDefault="006B237A" w:rsidP="006B237A">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trece de noviembre de dos mil diecinueve</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sz w:val="24"/>
          <w:szCs w:val="24"/>
        </w:rPr>
        <w:t>Director General de la Oficina</w:t>
      </w:r>
      <w:r w:rsidRPr="007B0581">
        <w:rPr>
          <w:rFonts w:cs="Arial"/>
          <w:sz w:val="24"/>
          <w:szCs w:val="24"/>
        </w:rPr>
        <w:t xml:space="preserve"> de Pensiones</w:t>
      </w:r>
      <w:r>
        <w:rPr>
          <w:rFonts w:cs="Arial"/>
          <w:sz w:val="24"/>
          <w:szCs w:val="24"/>
        </w:rPr>
        <w:t xml:space="preserve"> del Gobierno</w:t>
      </w:r>
      <w:r w:rsidRPr="007B0581">
        <w:rPr>
          <w:rFonts w:cs="Arial"/>
          <w:sz w:val="24"/>
          <w:szCs w:val="24"/>
        </w:rPr>
        <w:t xml:space="preserve"> del Estado de Oaxaca</w:t>
      </w:r>
      <w:r w:rsidRPr="007B0581">
        <w:rPr>
          <w:rFonts w:cs="Arial"/>
          <w:bCs/>
          <w:sz w:val="24"/>
          <w:szCs w:val="24"/>
        </w:rPr>
        <w:t>,</w:t>
      </w:r>
      <w:r>
        <w:rPr>
          <w:rFonts w:cs="Arial"/>
          <w:bCs/>
          <w:sz w:val="24"/>
          <w:szCs w:val="24"/>
        </w:rPr>
        <w:t xml:space="preserve"> por acreditada la personalidad con la que compareció a juicio, y por precluído su derecho al contestar la demanda de manera </w:t>
      </w:r>
      <w:r>
        <w:rPr>
          <w:rFonts w:cs="Arial"/>
          <w:bCs/>
          <w:sz w:val="24"/>
          <w:szCs w:val="24"/>
        </w:rPr>
        <w:lastRenderedPageBreak/>
        <w:t>extemporánea</w:t>
      </w:r>
      <w:r w:rsidRPr="007B0581">
        <w:rPr>
          <w:rFonts w:cs="Arial"/>
          <w:sz w:val="24"/>
          <w:szCs w:val="24"/>
        </w:rPr>
        <w:t>,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doce horas  del día catorce de enero de dos mil veinte para la celebración de la Audiencia Final</w:t>
      </w:r>
      <w:r w:rsidRPr="007B0581">
        <w:rPr>
          <w:rFonts w:cs="Arial"/>
          <w:sz w:val="24"/>
          <w:szCs w:val="24"/>
        </w:rPr>
        <w:t xml:space="preserve">. </w:t>
      </w:r>
    </w:p>
    <w:p w:rsidR="006B237A" w:rsidRPr="007B0581" w:rsidRDefault="006B237A" w:rsidP="006B237A">
      <w:pPr>
        <w:pStyle w:val="corte4fondo"/>
        <w:spacing w:line="240" w:lineRule="auto"/>
        <w:ind w:right="51" w:firstLine="567"/>
        <w:contextualSpacing/>
        <w:rPr>
          <w:rFonts w:cs="Arial"/>
          <w:b/>
          <w:bCs/>
          <w:sz w:val="24"/>
          <w:szCs w:val="24"/>
        </w:rPr>
      </w:pPr>
    </w:p>
    <w:p w:rsidR="006B237A" w:rsidRDefault="006B237A" w:rsidP="006B237A">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w:t>
      </w:r>
      <w:r w:rsidRPr="007B0581">
        <w:rPr>
          <w:rFonts w:cs="Arial"/>
          <w:b/>
          <w:bCs/>
          <w:sz w:val="24"/>
          <w:szCs w:val="24"/>
        </w:rPr>
        <w:t xml:space="preserve"> </w:t>
      </w:r>
      <w:r>
        <w:rPr>
          <w:rFonts w:cs="Arial"/>
          <w:sz w:val="24"/>
          <w:szCs w:val="24"/>
        </w:rPr>
        <w:t>E</w:t>
      </w:r>
      <w:r>
        <w:rPr>
          <w:rFonts w:cs="Arial"/>
          <w:sz w:val="24"/>
          <w:szCs w:val="24"/>
          <w:lang w:val="es-ES"/>
        </w:rPr>
        <w:t>l</w:t>
      </w:r>
      <w:r w:rsidRPr="007B0581">
        <w:rPr>
          <w:rFonts w:cs="Arial"/>
          <w:sz w:val="24"/>
          <w:szCs w:val="24"/>
          <w:lang w:val="es-ES"/>
        </w:rPr>
        <w:t xml:space="preserve"> </w:t>
      </w:r>
      <w:r>
        <w:rPr>
          <w:rFonts w:cs="Arial"/>
          <w:sz w:val="24"/>
          <w:szCs w:val="24"/>
          <w:lang w:val="es-ES"/>
        </w:rPr>
        <w:t>catorce de enero de dos mil veinte</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w:t>
      </w:r>
      <w:r w:rsidRPr="00402863">
        <w:rPr>
          <w:rFonts w:cs="Arial"/>
          <w:sz w:val="24"/>
          <w:szCs w:val="24"/>
        </w:rPr>
        <w:t xml:space="preserve"> </w:t>
      </w:r>
      <w:r>
        <w:rPr>
          <w:rFonts w:cs="Arial"/>
          <w:sz w:val="24"/>
          <w:szCs w:val="24"/>
        </w:rPr>
        <w:t>no formularon alegatos.</w:t>
      </w:r>
    </w:p>
    <w:p w:rsidR="006B237A" w:rsidRDefault="006B237A" w:rsidP="006B237A">
      <w:pPr>
        <w:pStyle w:val="corte4fondo"/>
        <w:ind w:right="51" w:firstLine="567"/>
        <w:rPr>
          <w:rFonts w:cs="Arial"/>
          <w:b/>
          <w:bCs/>
          <w:sz w:val="24"/>
          <w:szCs w:val="24"/>
        </w:rPr>
      </w:pPr>
    </w:p>
    <w:p w:rsidR="006B237A" w:rsidRPr="007B0581" w:rsidRDefault="006B237A" w:rsidP="006B237A">
      <w:pPr>
        <w:pStyle w:val="corte4fondo"/>
        <w:ind w:right="51" w:firstLine="567"/>
        <w:rPr>
          <w:rFonts w:cs="Arial"/>
          <w:b/>
          <w:bCs/>
          <w:sz w:val="24"/>
          <w:szCs w:val="24"/>
        </w:rPr>
      </w:pPr>
      <w:r w:rsidRPr="007B0581">
        <w:rPr>
          <w:rFonts w:cs="Arial"/>
          <w:b/>
          <w:bCs/>
          <w:sz w:val="24"/>
          <w:szCs w:val="24"/>
        </w:rPr>
        <w:t xml:space="preserve"> </w:t>
      </w:r>
      <w:r>
        <w:rPr>
          <w:rFonts w:cs="Arial"/>
          <w:b/>
          <w:bCs/>
          <w:sz w:val="24"/>
          <w:szCs w:val="24"/>
        </w:rPr>
        <w:t xml:space="preserve">QUINTO. - </w:t>
      </w:r>
      <w:r w:rsidRPr="00AB31DB">
        <w:rPr>
          <w:rFonts w:cs="Arial"/>
          <w:sz w:val="24"/>
          <w:szCs w:val="24"/>
        </w:rPr>
        <w:t>El veintiséis</w:t>
      </w:r>
      <w:r>
        <w:rPr>
          <w:rFonts w:cs="Arial"/>
          <w:b/>
          <w:bCs/>
          <w:sz w:val="24"/>
          <w:szCs w:val="24"/>
        </w:rPr>
        <w:t xml:space="preserve"> </w:t>
      </w:r>
      <w:r w:rsidRPr="00AB31DB">
        <w:rPr>
          <w:rFonts w:cs="Arial"/>
          <w:sz w:val="24"/>
          <w:szCs w:val="24"/>
        </w:rPr>
        <w:t>de</w:t>
      </w:r>
      <w:r>
        <w:rPr>
          <w:rFonts w:cs="Arial"/>
          <w:b/>
          <w:bCs/>
          <w:sz w:val="24"/>
          <w:szCs w:val="24"/>
        </w:rPr>
        <w:t xml:space="preserve"> </w:t>
      </w:r>
      <w:r w:rsidRPr="00AB31DB">
        <w:rPr>
          <w:rFonts w:cs="Arial"/>
          <w:sz w:val="24"/>
          <w:szCs w:val="24"/>
        </w:rPr>
        <w:t>marzo de dos mil veintiuno</w:t>
      </w:r>
      <w:r>
        <w:rPr>
          <w:rFonts w:cs="Arial"/>
          <w:sz w:val="24"/>
          <w:szCs w:val="24"/>
        </w:rPr>
        <w:t>,</w:t>
      </w:r>
      <w:r>
        <w:rPr>
          <w:rFonts w:cs="Arial"/>
          <w:b/>
          <w:bCs/>
          <w:sz w:val="24"/>
          <w:szCs w:val="24"/>
        </w:rPr>
        <w:t xml:space="preserve"> </w:t>
      </w:r>
      <w:r w:rsidRPr="005C0D15">
        <w:rPr>
          <w:rFonts w:cs="Arial"/>
          <w:sz w:val="24"/>
          <w:szCs w:val="24"/>
        </w:rPr>
        <w:t>se</w:t>
      </w:r>
      <w:r>
        <w:rPr>
          <w:rFonts w:cs="Arial"/>
          <w:b/>
          <w:bCs/>
          <w:sz w:val="24"/>
          <w:szCs w:val="24"/>
        </w:rPr>
        <w:t xml:space="preserve"> </w:t>
      </w:r>
      <w:r w:rsidRPr="005C0D15">
        <w:rPr>
          <w:rFonts w:cs="Arial"/>
          <w:sz w:val="24"/>
          <w:szCs w:val="24"/>
        </w:rPr>
        <w:t>hizo</w:t>
      </w:r>
      <w:r>
        <w:rPr>
          <w:rFonts w:cs="Arial"/>
          <w:b/>
          <w:bCs/>
          <w:sz w:val="24"/>
          <w:szCs w:val="24"/>
        </w:rPr>
        <w:t xml:space="preserve"> </w:t>
      </w:r>
      <w:r w:rsidRPr="005C0D15">
        <w:rPr>
          <w:rFonts w:cs="Arial"/>
          <w:sz w:val="24"/>
          <w:szCs w:val="24"/>
        </w:rPr>
        <w:t>del conocimiento de las</w:t>
      </w:r>
      <w:r>
        <w:rPr>
          <w:rFonts w:cs="Arial"/>
          <w:sz w:val="24"/>
          <w:szCs w:val="24"/>
        </w:rPr>
        <w:t xml:space="preserve"> </w:t>
      </w:r>
      <w:r w:rsidRPr="005C0D15">
        <w:rPr>
          <w:rFonts w:cs="Arial"/>
          <w:sz w:val="24"/>
          <w:szCs w:val="24"/>
        </w:rPr>
        <w:t>partes</w:t>
      </w:r>
      <w:r>
        <w:rPr>
          <w:rFonts w:cs="Arial"/>
          <w:sz w:val="24"/>
          <w:szCs w:val="24"/>
        </w:rPr>
        <w:t xml:space="preserve"> la incorporación y adscripción de la Magistrada VIRGINIA HERNÁNDEZ </w:t>
      </w:r>
      <w:proofErr w:type="spellStart"/>
      <w:r>
        <w:rPr>
          <w:rFonts w:cs="Arial"/>
          <w:sz w:val="24"/>
          <w:szCs w:val="24"/>
        </w:rPr>
        <w:t>HERNÁNDEZ</w:t>
      </w:r>
      <w:proofErr w:type="spellEnd"/>
      <w:r>
        <w:rPr>
          <w:rFonts w:cs="Arial"/>
          <w:sz w:val="24"/>
          <w:szCs w:val="24"/>
        </w:rPr>
        <w:t>, como titular de esta Quinta Sala de Primera Instancia de este órgano jurisdiccional, para que en el plazo de tres días hábiles manifestaran lo que a su derecho conviniera. Asimismo, en atención al</w:t>
      </w:r>
      <w:r w:rsidRPr="00402863">
        <w:rPr>
          <w:rFonts w:cs="Arial"/>
          <w:sz w:val="24"/>
          <w:szCs w:val="24"/>
        </w:rPr>
        <w:t xml:space="preserve"> </w:t>
      </w:r>
      <w:r>
        <w:rPr>
          <w:rFonts w:cs="Arial"/>
          <w:sz w:val="24"/>
          <w:szCs w:val="24"/>
        </w:rPr>
        <w:t xml:space="preserve">acuerdo de catorce de enero de dos mil veinte, se ordenó </w:t>
      </w:r>
      <w:r w:rsidRPr="00402863">
        <w:rPr>
          <w:rFonts w:cs="Arial"/>
          <w:sz w:val="24"/>
          <w:szCs w:val="24"/>
        </w:rPr>
        <w:t>citar a las partes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6B237A" w:rsidRPr="007B0581" w:rsidRDefault="006B237A" w:rsidP="006B237A">
      <w:pPr>
        <w:pStyle w:val="corte4fondo"/>
        <w:ind w:right="51" w:firstLine="567"/>
        <w:rPr>
          <w:rFonts w:cs="Arial"/>
          <w:b/>
          <w:spacing w:val="-3"/>
          <w:sz w:val="24"/>
          <w:szCs w:val="24"/>
        </w:rPr>
      </w:pPr>
    </w:p>
    <w:p w:rsidR="006B237A" w:rsidRPr="007B0581" w:rsidRDefault="006B237A" w:rsidP="006B237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B237A" w:rsidRPr="007B0581" w:rsidRDefault="006B237A" w:rsidP="006B237A">
      <w:pPr>
        <w:pStyle w:val="corte4fondo"/>
        <w:spacing w:line="240" w:lineRule="auto"/>
        <w:ind w:right="51" w:firstLine="567"/>
        <w:contextualSpacing/>
        <w:rPr>
          <w:rFonts w:cs="Arial"/>
          <w:bCs/>
          <w:sz w:val="24"/>
          <w:szCs w:val="24"/>
        </w:rPr>
      </w:pPr>
    </w:p>
    <w:p w:rsidR="006B237A" w:rsidRPr="007B0581" w:rsidRDefault="006B237A" w:rsidP="006B237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Director General de la Oficina de Pensiones del Estado de Oaxaca</w:t>
      </w:r>
      <w:r w:rsidRPr="007B0581">
        <w:rPr>
          <w:rFonts w:ascii="Arial" w:hAnsi="Arial" w:cs="Arial"/>
          <w:sz w:val="24"/>
          <w:szCs w:val="24"/>
        </w:rPr>
        <w:t>, con fundamento en el artículo 114 QUATER, párrafo primero, inciso B, fracción 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fracción I, 132 fracciones I y II, 133 fracción I, 146 y 147 de la Ley de Procedimiento y Justicia Administrativa para el Estado de Oaxaca. </w:t>
      </w:r>
    </w:p>
    <w:p w:rsidR="006B237A" w:rsidRPr="007B0581" w:rsidRDefault="006B237A" w:rsidP="006B237A">
      <w:pPr>
        <w:spacing w:line="360" w:lineRule="auto"/>
        <w:jc w:val="both"/>
        <w:rPr>
          <w:rFonts w:ascii="Arial" w:hAnsi="Arial" w:cs="Arial"/>
          <w:sz w:val="24"/>
          <w:szCs w:val="24"/>
        </w:rPr>
      </w:pPr>
      <w:r w:rsidRPr="007B0581">
        <w:rPr>
          <w:rFonts w:ascii="Arial" w:hAnsi="Arial" w:cs="Arial"/>
          <w:sz w:val="24"/>
          <w:szCs w:val="24"/>
        </w:rPr>
        <w:t xml:space="preserve"> </w:t>
      </w:r>
    </w:p>
    <w:p w:rsidR="006B237A" w:rsidRPr="007B0581" w:rsidRDefault="006B237A" w:rsidP="006B237A">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el Director General de la Oficina de Pensiones del Gobierno del Estado de Oaxaca,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6B237A" w:rsidRPr="007B0581" w:rsidRDefault="006B237A" w:rsidP="006B237A">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B237A" w:rsidRPr="007B0581" w:rsidRDefault="006B237A" w:rsidP="006B237A">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w:t>
      </w:r>
      <w:r w:rsidRPr="007B0581">
        <w:rPr>
          <w:rFonts w:cs="Arial"/>
          <w:sz w:val="24"/>
          <w:szCs w:val="24"/>
        </w:rPr>
        <w:lastRenderedPageBreak/>
        <w:t xml:space="preserve">Procedimiento y Justicia Administrativa para el Estado de Oaxaca; del estudio integral de la demanda y a lo argüido por la autoridad demandada, se advierte que 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6B237A" w:rsidRPr="007B0581" w:rsidRDefault="006B237A" w:rsidP="006B237A">
      <w:pPr>
        <w:pStyle w:val="corte4fondo"/>
        <w:ind w:right="51" w:firstLine="708"/>
        <w:rPr>
          <w:rFonts w:cs="Arial"/>
          <w:sz w:val="24"/>
          <w:szCs w:val="24"/>
        </w:rPr>
      </w:pPr>
    </w:p>
    <w:p w:rsidR="006B237A" w:rsidRPr="007B0581" w:rsidRDefault="006B237A" w:rsidP="006B237A">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Pr>
          <w:rFonts w:ascii="Arial" w:hAnsi="Arial" w:cs="Arial"/>
          <w:bCs/>
          <w:sz w:val="24"/>
          <w:szCs w:val="24"/>
        </w:rPr>
        <w:t>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6B237A" w:rsidRDefault="006B237A" w:rsidP="006B237A">
      <w:pPr>
        <w:spacing w:line="360" w:lineRule="auto"/>
        <w:jc w:val="both"/>
        <w:rPr>
          <w:rFonts w:ascii="Arial" w:hAnsi="Arial" w:cs="Arial"/>
          <w:sz w:val="24"/>
          <w:szCs w:val="24"/>
        </w:rPr>
      </w:pPr>
    </w:p>
    <w:p w:rsidR="006B237A" w:rsidRPr="007B0581" w:rsidRDefault="006B237A" w:rsidP="006B237A">
      <w:pPr>
        <w:spacing w:line="360" w:lineRule="auto"/>
        <w:jc w:val="both"/>
        <w:rPr>
          <w:rFonts w:ascii="Arial" w:hAnsi="Arial" w:cs="Arial"/>
          <w:sz w:val="24"/>
          <w:szCs w:val="24"/>
        </w:rPr>
      </w:pPr>
    </w:p>
    <w:p w:rsidR="006B237A" w:rsidRPr="007B0581" w:rsidRDefault="006B237A" w:rsidP="006B237A">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B237A" w:rsidRPr="007B0581" w:rsidRDefault="006B237A" w:rsidP="006B237A">
      <w:pPr>
        <w:pStyle w:val="Textonotapie"/>
        <w:widowControl w:val="0"/>
        <w:spacing w:line="360" w:lineRule="auto"/>
        <w:jc w:val="both"/>
        <w:rPr>
          <w:rFonts w:ascii="Arial" w:hAnsi="Arial" w:cs="Arial"/>
          <w:sz w:val="24"/>
          <w:szCs w:val="24"/>
          <w:lang w:eastAsia="es-MX"/>
        </w:rPr>
      </w:pPr>
    </w:p>
    <w:p w:rsidR="006B237A" w:rsidRPr="007B0581" w:rsidRDefault="006B237A" w:rsidP="006B237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B237A" w:rsidRPr="007B0581" w:rsidRDefault="006B237A" w:rsidP="006B237A">
      <w:pPr>
        <w:pStyle w:val="Textonotapie"/>
        <w:widowControl w:val="0"/>
        <w:spacing w:line="360" w:lineRule="auto"/>
        <w:ind w:left="1701" w:right="1469"/>
        <w:jc w:val="both"/>
        <w:rPr>
          <w:rFonts w:ascii="Arial" w:hAnsi="Arial" w:cs="Arial"/>
          <w:b/>
          <w:sz w:val="24"/>
          <w:szCs w:val="24"/>
          <w:lang w:eastAsia="es-MX"/>
        </w:rPr>
      </w:pPr>
    </w:p>
    <w:p w:rsidR="006B237A" w:rsidRDefault="006B237A" w:rsidP="006B237A">
      <w:pPr>
        <w:pStyle w:val="Textonotapie"/>
        <w:widowControl w:val="0"/>
        <w:spacing w:line="360" w:lineRule="auto"/>
        <w:ind w:right="49" w:firstLine="708"/>
        <w:jc w:val="both"/>
        <w:rPr>
          <w:rFonts w:ascii="Arial" w:hAnsi="Arial" w:cs="Arial"/>
          <w:sz w:val="24"/>
          <w:szCs w:val="24"/>
        </w:rPr>
      </w:pPr>
      <w:r w:rsidRPr="00B4589E">
        <w:rPr>
          <w:rFonts w:ascii="Arial" w:hAnsi="Arial" w:cs="Arial"/>
          <w:sz w:val="24"/>
          <w:szCs w:val="24"/>
        </w:rPr>
        <w:t xml:space="preserve">La actora </w:t>
      </w:r>
      <w:r>
        <w:rPr>
          <w:rFonts w:cs="Arial"/>
          <w:b/>
          <w:sz w:val="24"/>
          <w:szCs w:val="24"/>
        </w:rPr>
        <w:t>**********</w:t>
      </w:r>
      <w:r>
        <w:rPr>
          <w:rFonts w:cs="Arial"/>
          <w:b/>
          <w:sz w:val="24"/>
          <w:szCs w:val="24"/>
        </w:rPr>
        <w:t xml:space="preserve"> </w:t>
      </w:r>
      <w:r w:rsidRPr="007B0581">
        <w:rPr>
          <w:rFonts w:ascii="Arial" w:hAnsi="Arial" w:cs="Arial"/>
          <w:sz w:val="24"/>
          <w:szCs w:val="24"/>
        </w:rPr>
        <w:t xml:space="preserve">, demandó la nulidad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diecinueve de agosto de dos mil 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el cual contiene </w:t>
      </w:r>
      <w:bookmarkStart w:id="4" w:name="_Hlk86830739"/>
      <w:r>
        <w:rPr>
          <w:rFonts w:ascii="Arial" w:hAnsi="Arial" w:cs="Arial"/>
          <w:sz w:val="24"/>
          <w:szCs w:val="24"/>
        </w:rPr>
        <w:t xml:space="preserve">la </w:t>
      </w:r>
      <w:bookmarkEnd w:id="4"/>
      <w:r>
        <w:rPr>
          <w:rFonts w:ascii="Arial" w:hAnsi="Arial" w:cs="Arial"/>
          <w:sz w:val="24"/>
          <w:szCs w:val="24"/>
        </w:rPr>
        <w:t>negativa de devolución del descuento por concepto de seguro de vida realizado a su pensión por jubilación</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éste contiene </w:t>
      </w:r>
      <w:r w:rsidRPr="00DD2F40">
        <w:rPr>
          <w:rFonts w:ascii="Arial" w:hAnsi="Arial" w:cs="Arial"/>
          <w:sz w:val="24"/>
          <w:szCs w:val="24"/>
        </w:rPr>
        <w:t>u</w:t>
      </w:r>
      <w:r w:rsidRPr="007B0581">
        <w:rPr>
          <w:rFonts w:ascii="Arial" w:hAnsi="Arial" w:cs="Arial"/>
          <w:sz w:val="24"/>
          <w:szCs w:val="24"/>
        </w:rPr>
        <w:t>na indebida fundamentación y motivación</w:t>
      </w:r>
      <w:r>
        <w:rPr>
          <w:rFonts w:ascii="Arial" w:hAnsi="Arial" w:cs="Arial"/>
          <w:sz w:val="24"/>
          <w:szCs w:val="24"/>
        </w:rPr>
        <w:t>, toda vez que los conceptos legales citados en el texto del acto impugnado resultan inaplicables a las negativas de devolución del descuento por concepto de “seguro de vida” y a los subsecuentes descuentos.</w:t>
      </w:r>
    </w:p>
    <w:p w:rsidR="006B237A" w:rsidRPr="00AD53E2" w:rsidRDefault="006B237A" w:rsidP="006B237A">
      <w:pPr>
        <w:pStyle w:val="Textonotapie"/>
        <w:widowControl w:val="0"/>
        <w:spacing w:line="360" w:lineRule="auto"/>
        <w:ind w:right="49" w:firstLine="708"/>
        <w:jc w:val="both"/>
        <w:rPr>
          <w:rFonts w:ascii="Arial" w:hAnsi="Arial" w:cs="Arial"/>
          <w:sz w:val="24"/>
          <w:szCs w:val="24"/>
        </w:rPr>
      </w:pPr>
    </w:p>
    <w:p w:rsidR="006B237A" w:rsidRPr="00743240" w:rsidRDefault="006B237A" w:rsidP="006B237A">
      <w:pPr>
        <w:spacing w:line="360" w:lineRule="auto"/>
        <w:ind w:firstLine="708"/>
        <w:jc w:val="both"/>
        <w:rPr>
          <w:rFonts w:ascii="Arial" w:hAnsi="Arial" w:cs="Arial"/>
          <w:color w:val="FF0000"/>
          <w:sz w:val="24"/>
          <w:szCs w:val="24"/>
        </w:rPr>
      </w:pPr>
      <w:r w:rsidRPr="00C056DB">
        <w:rPr>
          <w:rFonts w:ascii="Arial" w:hAnsi="Arial" w:cs="Arial"/>
          <w:sz w:val="24"/>
          <w:szCs w:val="24"/>
        </w:rPr>
        <w:t>P</w:t>
      </w:r>
      <w:r w:rsidRPr="007B0581">
        <w:rPr>
          <w:rFonts w:ascii="Arial" w:hAnsi="Arial" w:cs="Arial"/>
          <w:sz w:val="24"/>
          <w:szCs w:val="24"/>
        </w:rPr>
        <w:t xml:space="preserve">or su parte, la autoridad demandada </w:t>
      </w:r>
      <w:r>
        <w:rPr>
          <w:rFonts w:ascii="Arial" w:hAnsi="Arial" w:cs="Arial"/>
          <w:sz w:val="24"/>
          <w:szCs w:val="24"/>
        </w:rPr>
        <w:t>Director General de la Oficina</w:t>
      </w:r>
      <w:r w:rsidRPr="007B0581">
        <w:rPr>
          <w:rFonts w:ascii="Arial" w:hAnsi="Arial" w:cs="Arial"/>
          <w:sz w:val="24"/>
          <w:szCs w:val="24"/>
        </w:rPr>
        <w:t xml:space="preserve"> de Pensiones del Estado de Oaxaca,</w:t>
      </w:r>
      <w:r>
        <w:rPr>
          <w:rFonts w:ascii="Arial" w:hAnsi="Arial" w:cs="Arial"/>
          <w:sz w:val="24"/>
          <w:szCs w:val="24"/>
        </w:rPr>
        <w:t xml:space="preserve"> </w:t>
      </w:r>
      <w:r w:rsidRPr="007B0581">
        <w:rPr>
          <w:rFonts w:ascii="Arial" w:hAnsi="Arial" w:cs="Arial"/>
          <w:sz w:val="24"/>
          <w:szCs w:val="24"/>
        </w:rPr>
        <w:t>afirmó que</w:t>
      </w:r>
      <w:r>
        <w:rPr>
          <w:rFonts w:ascii="Arial" w:hAnsi="Arial" w:cs="Arial"/>
          <w:sz w:val="24"/>
          <w:szCs w:val="24"/>
        </w:rPr>
        <w:t xml:space="preserve"> no le asiste la razón a la administrada para reclamar la nulidad lisa y llana del oficio </w:t>
      </w:r>
      <w:r>
        <w:rPr>
          <w:rFonts w:cs="Arial"/>
          <w:b/>
          <w:sz w:val="24"/>
          <w:szCs w:val="24"/>
        </w:rPr>
        <w:t>**********</w:t>
      </w:r>
      <w:r>
        <w:rPr>
          <w:rFonts w:cs="Arial"/>
          <w:b/>
          <w:sz w:val="24"/>
          <w:szCs w:val="24"/>
        </w:rPr>
        <w:t xml:space="preserve"> </w:t>
      </w:r>
      <w:r>
        <w:rPr>
          <w:rFonts w:ascii="Arial" w:hAnsi="Arial" w:cs="Arial"/>
          <w:sz w:val="24"/>
          <w:szCs w:val="24"/>
        </w:rPr>
        <w:t>de fecha diecinueve de agosto del año dos mil diecinueve emitido, pues</w:t>
      </w:r>
      <w:r w:rsidRPr="007B0581">
        <w:rPr>
          <w:rFonts w:ascii="Arial" w:hAnsi="Arial" w:cs="Arial"/>
          <w:sz w:val="24"/>
          <w:szCs w:val="24"/>
        </w:rPr>
        <w:t xml:space="preserve"> el acto impugnado cumple</w:t>
      </w:r>
      <w:r>
        <w:rPr>
          <w:rFonts w:ascii="Arial" w:hAnsi="Arial" w:cs="Arial"/>
          <w:sz w:val="24"/>
          <w:szCs w:val="24"/>
        </w:rPr>
        <w:t xml:space="preserve"> cabalmente</w:t>
      </w:r>
      <w:r w:rsidRPr="007B0581">
        <w:rPr>
          <w:rFonts w:ascii="Arial" w:hAnsi="Arial" w:cs="Arial"/>
          <w:sz w:val="24"/>
          <w:szCs w:val="24"/>
        </w:rPr>
        <w:t xml:space="preserve"> con los elementos y requisitos </w:t>
      </w:r>
      <w:r>
        <w:rPr>
          <w:rFonts w:ascii="Arial" w:hAnsi="Arial" w:cs="Arial"/>
          <w:sz w:val="24"/>
          <w:szCs w:val="24"/>
        </w:rPr>
        <w:t>establecidos</w:t>
      </w:r>
      <w:r w:rsidRPr="007B0581">
        <w:rPr>
          <w:rFonts w:ascii="Arial" w:hAnsi="Arial" w:cs="Arial"/>
          <w:sz w:val="24"/>
          <w:szCs w:val="24"/>
        </w:rPr>
        <w:t xml:space="preserve"> en el artículo 17 de la Ley de Procedimiento y Justicia Administrativa para el Estado de Oaxaca, pues</w:t>
      </w:r>
      <w:r>
        <w:rPr>
          <w:rFonts w:ascii="Arial" w:hAnsi="Arial" w:cs="Arial"/>
          <w:sz w:val="24"/>
          <w:szCs w:val="24"/>
        </w:rPr>
        <w:t xml:space="preserve"> el </w:t>
      </w:r>
      <w:r>
        <w:rPr>
          <w:rFonts w:ascii="Arial" w:hAnsi="Arial" w:cs="Arial"/>
          <w:sz w:val="24"/>
          <w:szCs w:val="24"/>
        </w:rPr>
        <w:lastRenderedPageBreak/>
        <w:t>sentido en el que se resolvió la petición de la actora, se sustentó en argumentos que soportan la legalidad de su existencia, generando con dicho proceder que él mismo sea jurídicamente válido.</w:t>
      </w:r>
    </w:p>
    <w:p w:rsidR="006B237A" w:rsidRDefault="006B237A" w:rsidP="006B237A">
      <w:pPr>
        <w:spacing w:line="360" w:lineRule="auto"/>
        <w:ind w:firstLine="709"/>
        <w:contextualSpacing/>
        <w:jc w:val="both"/>
        <w:rPr>
          <w:rFonts w:ascii="Arial" w:hAnsi="Arial" w:cs="Arial"/>
          <w:color w:val="FF0000"/>
          <w:sz w:val="24"/>
          <w:szCs w:val="24"/>
        </w:rPr>
      </w:pPr>
    </w:p>
    <w:p w:rsidR="006B237A" w:rsidRDefault="006B237A" w:rsidP="006B237A">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Pr="009165EA">
        <w:rPr>
          <w:rFonts w:ascii="Arial" w:hAnsi="Arial" w:cs="Arial"/>
          <w:sz w:val="24"/>
          <w:szCs w:val="24"/>
        </w:rPr>
        <w:t>Ahora</w:t>
      </w:r>
      <w:r w:rsidRPr="007B0581">
        <w:rPr>
          <w:rFonts w:ascii="Arial" w:hAnsi="Arial" w:cs="Arial"/>
          <w:sz w:val="24"/>
          <w:szCs w:val="24"/>
        </w:rPr>
        <w:t xml:space="preserve"> bien, esta juzgadora después de haber realizado </w:t>
      </w:r>
      <w:r>
        <w:rPr>
          <w:rFonts w:ascii="Arial" w:hAnsi="Arial" w:cs="Arial"/>
          <w:sz w:val="24"/>
          <w:szCs w:val="24"/>
        </w:rPr>
        <w:t>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Pr>
          <w:rFonts w:ascii="Arial" w:hAnsi="Arial" w:cs="Arial"/>
          <w:sz w:val="24"/>
          <w:szCs w:val="24"/>
        </w:rPr>
        <w:t>de diecinueve de agosto de dos mil 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xml:space="preserve"> </w:t>
      </w:r>
      <w:r w:rsidRPr="007B0581">
        <w:rPr>
          <w:rFonts w:ascii="Arial" w:hAnsi="Arial" w:cs="Arial"/>
          <w:sz w:val="24"/>
          <w:szCs w:val="24"/>
        </w:rPr>
        <w:t xml:space="preserve">mismo que contiene </w:t>
      </w:r>
      <w:r>
        <w:rPr>
          <w:rFonts w:ascii="Arial" w:hAnsi="Arial" w:cs="Arial"/>
          <w:sz w:val="24"/>
          <w:szCs w:val="24"/>
        </w:rPr>
        <w:t>la negativa de devolución de los descuentos realizados por concepto de seguro de vida, realizados a la pensión por jubilación de la administrada</w:t>
      </w:r>
      <w:r w:rsidRPr="007B0581">
        <w:rPr>
          <w:rFonts w:ascii="Arial" w:hAnsi="Arial" w:cs="Arial"/>
          <w:b/>
          <w:bCs/>
          <w:sz w:val="24"/>
          <w:szCs w:val="24"/>
        </w:rPr>
        <w:t xml:space="preserve">, </w:t>
      </w:r>
      <w:r w:rsidRPr="007B0581">
        <w:rPr>
          <w:rFonts w:ascii="Arial" w:hAnsi="Arial" w:cs="Arial"/>
          <w:sz w:val="24"/>
          <w:szCs w:val="24"/>
        </w:rPr>
        <w:t>advierte</w:t>
      </w:r>
      <w:r>
        <w:rPr>
          <w:rFonts w:ascii="Arial" w:hAnsi="Arial" w:cs="Arial"/>
          <w:sz w:val="24"/>
          <w:szCs w:val="24"/>
        </w:rPr>
        <w:t xml:space="preserve"> que,</w:t>
      </w:r>
      <w:r w:rsidRPr="007B0581">
        <w:rPr>
          <w:rFonts w:ascii="Arial" w:hAnsi="Arial" w:cs="Arial"/>
          <w:sz w:val="24"/>
          <w:szCs w:val="24"/>
        </w:rPr>
        <w:t xml:space="preserve"> </w:t>
      </w:r>
      <w:r>
        <w:rPr>
          <w:rFonts w:ascii="Arial" w:hAnsi="Arial" w:cs="Arial"/>
          <w:sz w:val="24"/>
          <w:szCs w:val="24"/>
        </w:rPr>
        <w:t>éste no es competente para conocer y resolver la petición de la actora, dado que fue el Consejo Directivo de la Oficina de Pensiones del Estado de Oaxaca, quien determinó el descuento a la pensión por jubilación de la actora por concepto de seguro de vida, emanado del acuerdo segundo del punto ocho del orden del día, derivado de la sesión ordinaria de trabajo llevada a cabo el doce de marzo de dos mil diecinueve, por tanto,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carece de facultades y atribuciones para resolver de procedente o no la petición de la actora, pues como bien lo indica la demandada en la resolución combatida, sus facultades solo se limitan a ejecutar, cumplir y hacer cumplir los acuerdos del Consejo Directivo de la Oficina de Pensiones del Estado de Oaxaca; siendo dicho Consejo el competente para conocer y resolver la petición de la administrada, por lo que,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xml:space="preserve">, debió remitir dicha petición al Consejo Directivo para que resolviera lo conducente. </w:t>
      </w:r>
    </w:p>
    <w:p w:rsidR="006B237A" w:rsidRDefault="006B237A" w:rsidP="006B237A">
      <w:pPr>
        <w:spacing w:line="360" w:lineRule="auto"/>
        <w:ind w:firstLine="709"/>
        <w:contextualSpacing/>
        <w:jc w:val="both"/>
        <w:rPr>
          <w:rFonts w:ascii="Arial" w:hAnsi="Arial" w:cs="Arial"/>
          <w:sz w:val="24"/>
          <w:szCs w:val="24"/>
        </w:rPr>
      </w:pPr>
      <w:r w:rsidRPr="007B0581">
        <w:rPr>
          <w:rFonts w:ascii="Arial" w:hAnsi="Arial" w:cs="Arial"/>
          <w:sz w:val="24"/>
          <w:szCs w:val="24"/>
        </w:rPr>
        <w:t xml:space="preserve"> </w:t>
      </w:r>
    </w:p>
    <w:p w:rsidR="006B237A" w:rsidRDefault="006B237A" w:rsidP="006B237A">
      <w:pPr>
        <w:spacing w:line="360" w:lineRule="auto"/>
        <w:ind w:firstLine="708"/>
        <w:jc w:val="both"/>
        <w:rPr>
          <w:rFonts w:ascii="Arial" w:hAnsi="Arial" w:cs="Arial"/>
          <w:sz w:val="24"/>
          <w:szCs w:val="24"/>
        </w:rPr>
      </w:pPr>
      <w:r w:rsidRPr="00C0515C">
        <w:rPr>
          <w:rFonts w:ascii="Arial" w:hAnsi="Arial" w:cs="Arial"/>
          <w:sz w:val="24"/>
          <w:szCs w:val="24"/>
        </w:rPr>
        <w:t>De lo antes</w:t>
      </w:r>
      <w:r w:rsidRPr="007B0581">
        <w:rPr>
          <w:rFonts w:ascii="Arial" w:hAnsi="Arial" w:cs="Arial"/>
          <w:sz w:val="24"/>
          <w:szCs w:val="24"/>
        </w:rPr>
        <w:t xml:space="preserve"> expuesto,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diecinueve de agosto de dos mil 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que contiene </w:t>
      </w:r>
      <w:r>
        <w:rPr>
          <w:rFonts w:ascii="Arial" w:hAnsi="Arial" w:cs="Arial"/>
          <w:sz w:val="24"/>
          <w:szCs w:val="24"/>
        </w:rPr>
        <w:t>la negativa de devolución de descuento por concepto de seguro de vida, realizado a la pensión por jubilación de la administrada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el </w:t>
      </w:r>
      <w:r>
        <w:rPr>
          <w:rFonts w:ascii="Arial" w:hAnsi="Arial" w:cs="Arial"/>
          <w:sz w:val="24"/>
          <w:szCs w:val="24"/>
        </w:rPr>
        <w:t>Director General de la Oficina de Pensiones del Estado de Oaxaca, dicte otro en el</w:t>
      </w:r>
      <w:r w:rsidRPr="007B0581">
        <w:rPr>
          <w:rFonts w:ascii="Arial" w:hAnsi="Arial" w:cs="Arial"/>
          <w:sz w:val="24"/>
          <w:szCs w:val="24"/>
        </w:rPr>
        <w:t xml:space="preserve"> </w:t>
      </w:r>
      <w:r>
        <w:rPr>
          <w:rFonts w:ascii="Arial" w:hAnsi="Arial" w:cs="Arial"/>
          <w:sz w:val="24"/>
          <w:szCs w:val="24"/>
        </w:rPr>
        <w:t>que remita la solicitud planteada por la actora en su escrito de fecha siete de agosto de dos mil diecinueve, al Consejo Directivo de la Oficina de Pensiones del Estado de Oaxaca, para que sea éste quien resuelva lo conducente.</w:t>
      </w:r>
    </w:p>
    <w:p w:rsidR="006B237A" w:rsidRDefault="006B237A" w:rsidP="006B237A">
      <w:pPr>
        <w:spacing w:line="360" w:lineRule="auto"/>
        <w:ind w:firstLine="708"/>
        <w:jc w:val="both"/>
        <w:rPr>
          <w:rFonts w:ascii="Arial" w:hAnsi="Arial" w:cs="Arial"/>
          <w:sz w:val="24"/>
          <w:szCs w:val="24"/>
        </w:rPr>
      </w:pPr>
    </w:p>
    <w:p w:rsidR="006B237A" w:rsidRPr="007B0581" w:rsidRDefault="006B237A" w:rsidP="006B237A">
      <w:pPr>
        <w:spacing w:line="360" w:lineRule="auto"/>
        <w:ind w:firstLine="708"/>
        <w:jc w:val="both"/>
        <w:rPr>
          <w:rFonts w:ascii="Arial" w:hAnsi="Arial" w:cs="Arial"/>
          <w:color w:val="FF0000"/>
          <w:sz w:val="24"/>
          <w:szCs w:val="24"/>
        </w:rPr>
      </w:pPr>
      <w:r>
        <w:rPr>
          <w:rFonts w:ascii="Arial" w:hAnsi="Arial" w:cs="Arial"/>
          <w:sz w:val="24"/>
          <w:szCs w:val="24"/>
        </w:rPr>
        <w:t xml:space="preserve">En el entendido que esta sentencia se tendrá por cumplida, hasta en tanto la autoridad demandada remita constancia de lo antes vertido.     </w:t>
      </w:r>
      <w:r w:rsidRPr="007B0581">
        <w:rPr>
          <w:rFonts w:ascii="Arial" w:hAnsi="Arial" w:cs="Arial"/>
          <w:sz w:val="24"/>
          <w:szCs w:val="24"/>
        </w:rPr>
        <w:t xml:space="preserve"> </w:t>
      </w:r>
    </w:p>
    <w:bookmarkEnd w:id="5"/>
    <w:p w:rsidR="006B237A" w:rsidRDefault="006B237A" w:rsidP="006B237A">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6B237A" w:rsidRPr="007B0581" w:rsidRDefault="006B237A" w:rsidP="006B237A">
      <w:pPr>
        <w:spacing w:line="360" w:lineRule="auto"/>
        <w:ind w:right="-93" w:firstLine="708"/>
        <w:jc w:val="both"/>
        <w:rPr>
          <w:rFonts w:ascii="Arial" w:hAnsi="Arial" w:cs="Arial"/>
          <w:sz w:val="24"/>
          <w:szCs w:val="24"/>
        </w:rPr>
      </w:pPr>
      <w:r w:rsidRPr="00516A40">
        <w:rPr>
          <w:rFonts w:ascii="Arial" w:hAnsi="Arial" w:cs="Arial"/>
          <w:b/>
          <w:sz w:val="24"/>
          <w:szCs w:val="24"/>
        </w:rPr>
        <w:lastRenderedPageBreak/>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6B237A" w:rsidRPr="007B0581" w:rsidRDefault="006B237A" w:rsidP="006B237A">
      <w:pPr>
        <w:spacing w:line="360" w:lineRule="auto"/>
        <w:ind w:right="-93" w:firstLine="708"/>
        <w:jc w:val="both"/>
        <w:rPr>
          <w:rFonts w:ascii="Arial" w:eastAsia="Calibri" w:hAnsi="Arial" w:cs="Arial"/>
          <w:color w:val="000000"/>
          <w:sz w:val="24"/>
          <w:szCs w:val="24"/>
          <w:lang w:val="es-MX" w:eastAsia="en-US"/>
        </w:rPr>
      </w:pPr>
    </w:p>
    <w:p w:rsidR="006B237A" w:rsidRPr="007B0581" w:rsidRDefault="006B237A" w:rsidP="006B237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6B237A" w:rsidRPr="007B0581" w:rsidRDefault="006B237A" w:rsidP="006B237A">
      <w:pPr>
        <w:spacing w:line="360" w:lineRule="auto"/>
        <w:ind w:firstLine="708"/>
        <w:jc w:val="both"/>
        <w:rPr>
          <w:rFonts w:ascii="Arial" w:eastAsia="Calibri" w:hAnsi="Arial" w:cs="Arial"/>
          <w:color w:val="000000"/>
          <w:sz w:val="24"/>
          <w:szCs w:val="24"/>
          <w:lang w:val="es-MX" w:eastAsia="en-US"/>
        </w:rPr>
      </w:pPr>
    </w:p>
    <w:p w:rsidR="006B237A" w:rsidRPr="007B0581" w:rsidRDefault="006B237A" w:rsidP="006B237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B237A" w:rsidRPr="007B0581" w:rsidRDefault="006B237A" w:rsidP="006B237A">
      <w:pPr>
        <w:tabs>
          <w:tab w:val="left" w:pos="3932"/>
        </w:tabs>
        <w:jc w:val="both"/>
        <w:rPr>
          <w:rFonts w:ascii="Arial" w:hAnsi="Arial" w:cs="Arial"/>
          <w:b/>
          <w:sz w:val="24"/>
          <w:szCs w:val="24"/>
        </w:rPr>
      </w:pPr>
      <w:r w:rsidRPr="007B0581">
        <w:rPr>
          <w:rFonts w:ascii="Arial" w:hAnsi="Arial" w:cs="Arial"/>
          <w:b/>
          <w:sz w:val="24"/>
          <w:szCs w:val="24"/>
        </w:rPr>
        <w:tab/>
      </w:r>
    </w:p>
    <w:p w:rsidR="006B237A" w:rsidRPr="007B0581" w:rsidRDefault="006B237A" w:rsidP="006B237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B237A" w:rsidRPr="007B0581" w:rsidRDefault="006B237A" w:rsidP="006B237A">
      <w:pPr>
        <w:pStyle w:val="Textoindependiente"/>
        <w:ind w:firstLine="709"/>
        <w:contextualSpacing/>
        <w:jc w:val="both"/>
        <w:rPr>
          <w:rFonts w:ascii="Arial" w:hAnsi="Arial" w:cs="Arial"/>
          <w:b/>
          <w:sz w:val="24"/>
          <w:szCs w:val="24"/>
        </w:rPr>
      </w:pPr>
    </w:p>
    <w:p w:rsidR="006B237A" w:rsidRPr="007B0581" w:rsidRDefault="006B237A" w:rsidP="006B237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B237A" w:rsidRPr="007B0581" w:rsidRDefault="006B237A" w:rsidP="006B237A">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6B237A" w:rsidRPr="007B0581" w:rsidRDefault="006B237A" w:rsidP="006B237A">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6B237A" w:rsidRPr="007B0581" w:rsidRDefault="006B237A" w:rsidP="006B237A">
      <w:pPr>
        <w:ind w:right="51"/>
        <w:contextualSpacing/>
        <w:jc w:val="both"/>
        <w:rPr>
          <w:rFonts w:ascii="Arial" w:hAnsi="Arial" w:cs="Arial"/>
          <w:sz w:val="24"/>
          <w:szCs w:val="24"/>
          <w:lang w:val="es-MX"/>
        </w:rPr>
      </w:pPr>
    </w:p>
    <w:p w:rsidR="006B237A" w:rsidRPr="007B0581" w:rsidRDefault="006B237A" w:rsidP="006B237A">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diecinueve de agosto de dos mil 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sentencia. </w:t>
      </w:r>
    </w:p>
    <w:p w:rsidR="006B237A" w:rsidRPr="007B0581" w:rsidRDefault="006B237A" w:rsidP="006B237A">
      <w:pPr>
        <w:ind w:right="51" w:firstLine="567"/>
        <w:contextualSpacing/>
        <w:jc w:val="both"/>
        <w:rPr>
          <w:rFonts w:ascii="Arial" w:hAnsi="Arial" w:cs="Arial"/>
          <w:sz w:val="24"/>
          <w:szCs w:val="24"/>
        </w:rPr>
      </w:pPr>
    </w:p>
    <w:p w:rsidR="006B237A" w:rsidRPr="007B0581" w:rsidRDefault="006B237A" w:rsidP="006B237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6B237A" w:rsidRPr="007B0581" w:rsidRDefault="006B237A" w:rsidP="006B237A">
      <w:pPr>
        <w:contextualSpacing/>
        <w:jc w:val="both"/>
        <w:rPr>
          <w:rFonts w:ascii="Arial" w:eastAsia="Calibri" w:hAnsi="Arial" w:cs="Arial"/>
          <w:color w:val="000000"/>
          <w:sz w:val="24"/>
          <w:szCs w:val="24"/>
          <w:lang w:val="es-MX" w:eastAsia="en-US"/>
        </w:rPr>
      </w:pPr>
    </w:p>
    <w:p w:rsidR="006B237A" w:rsidRPr="007B0581" w:rsidRDefault="006B237A" w:rsidP="006B237A">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37A" w:rsidRDefault="006B237A" w:rsidP="006B237A">
      <w:r>
        <w:separator/>
      </w:r>
    </w:p>
  </w:endnote>
  <w:endnote w:type="continuationSeparator" w:id="0">
    <w:p w:rsidR="006B237A" w:rsidRDefault="006B237A" w:rsidP="006B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E24313" w:rsidRDefault="006B237A">
        <w:pPr>
          <w:pStyle w:val="Piedepgina"/>
          <w:jc w:val="center"/>
        </w:pPr>
        <w:r>
          <w:fldChar w:fldCharType="begin"/>
        </w:r>
        <w:r>
          <w:instrText>PAGE   \* MER</w:instrText>
        </w:r>
        <w:r>
          <w:instrText>GEFORMAT</w:instrText>
        </w:r>
        <w:r>
          <w:fldChar w:fldCharType="separate"/>
        </w:r>
        <w:r>
          <w:rPr>
            <w:noProof/>
          </w:rPr>
          <w:t>5</w:t>
        </w:r>
        <w:r>
          <w:fldChar w:fldCharType="end"/>
        </w:r>
      </w:p>
    </w:sdtContent>
  </w:sdt>
  <w:p w:rsidR="00E24313" w:rsidRDefault="006B23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37A" w:rsidRDefault="006B237A" w:rsidP="006B237A">
      <w:r>
        <w:separator/>
      </w:r>
    </w:p>
  </w:footnote>
  <w:footnote w:type="continuationSeparator" w:id="0">
    <w:p w:rsidR="006B237A" w:rsidRDefault="006B237A" w:rsidP="006B23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313" w:rsidRPr="00A73AD7" w:rsidRDefault="006B237A"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006F0231" wp14:editId="3DB3BF95">
              <wp:simplePos x="0" y="0"/>
              <wp:positionH relativeFrom="leftMargin">
                <wp:posOffset>195274</wp:posOffset>
              </wp:positionH>
              <wp:positionV relativeFrom="paragraph">
                <wp:posOffset>4639119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B237A" w:rsidRDefault="006B237A" w:rsidP="006B237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F0231" id="_x0000_t202" coordsize="21600,21600" o:spt="202" path="m,l,21600r21600,l21600,xe">
              <v:stroke joinstyle="miter"/>
              <v:path gradientshapeok="t" o:connecttype="rect"/>
            </v:shapetype>
            <v:shape id="Cuadro de texto 4" o:spid="_x0000_s1026" type="#_x0000_t202" style="position:absolute;left:0;text-align:left;margin-left:15.4pt;margin-top:365.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">
              <v:textbox>
                <w:txbxContent>
                  <w:p w:rsidR="006B237A" w:rsidRDefault="006B237A" w:rsidP="006B237A">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4E42EDFD" wp14:editId="78B0F4A6">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0100</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313" w:rsidRDefault="006B237A">
    <w:pPr>
      <w:pStyle w:val="Encabezado"/>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2902EED0" wp14:editId="70906E36">
              <wp:simplePos x="0" y="0"/>
              <wp:positionH relativeFrom="leftMargin">
                <wp:posOffset>294426</wp:posOffset>
              </wp:positionH>
              <wp:positionV relativeFrom="paragraph">
                <wp:posOffset>5542502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B237A" w:rsidRDefault="006B237A" w:rsidP="006B237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2EED0" id="_x0000_t202" coordsize="21600,21600" o:spt="202" path="m,l,21600r21600,l21600,xe">
              <v:stroke joinstyle="miter"/>
              <v:path gradientshapeok="t" o:connecttype="rect"/>
            </v:shapetype>
            <v:shape id="Cuadro de texto 5" o:spid="_x0000_s1027" type="#_x0000_t202" style="position:absolute;margin-left:23.2pt;margin-top:436.4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">
              <v:textbox>
                <w:txbxContent>
                  <w:p w:rsidR="006B237A" w:rsidRDefault="006B237A" w:rsidP="006B237A">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7D11C81" wp14:editId="1C3F52B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453EAE7" wp14:editId="626765E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37A"/>
    <w:rsid w:val="00294EC6"/>
    <w:rsid w:val="004B1DB0"/>
    <w:rsid w:val="005223BF"/>
    <w:rsid w:val="00685BC3"/>
    <w:rsid w:val="006B237A"/>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F6997C1-134F-46B4-83D6-E9B10B83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37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B237A"/>
    <w:pPr>
      <w:spacing w:after="120"/>
    </w:pPr>
    <w:rPr>
      <w:lang w:val="x-none"/>
    </w:rPr>
  </w:style>
  <w:style w:type="character" w:customStyle="1" w:styleId="TextoindependienteCar">
    <w:name w:val="Texto independiente Car"/>
    <w:basedOn w:val="Fuentedeprrafopredeter"/>
    <w:link w:val="Textoindependiente"/>
    <w:uiPriority w:val="99"/>
    <w:rsid w:val="006B237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B237A"/>
    <w:pPr>
      <w:autoSpaceDE w:val="0"/>
      <w:autoSpaceDN w:val="0"/>
    </w:pPr>
    <w:rPr>
      <w:lang w:eastAsia="es-ES"/>
    </w:rPr>
  </w:style>
  <w:style w:type="character" w:customStyle="1" w:styleId="TextonotapieCar">
    <w:name w:val="Texto nota pie Car"/>
    <w:basedOn w:val="Fuentedeprrafopredeter"/>
    <w:link w:val="Textonotapie"/>
    <w:uiPriority w:val="99"/>
    <w:rsid w:val="006B237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B237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B237A"/>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6B237A"/>
    <w:pPr>
      <w:tabs>
        <w:tab w:val="center" w:pos="4419"/>
        <w:tab w:val="right" w:pos="8838"/>
      </w:tabs>
    </w:pPr>
  </w:style>
  <w:style w:type="character" w:customStyle="1" w:styleId="EncabezadoCar">
    <w:name w:val="Encabezado Car"/>
    <w:basedOn w:val="Fuentedeprrafopredeter"/>
    <w:link w:val="Encabezado"/>
    <w:uiPriority w:val="99"/>
    <w:rsid w:val="006B237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B237A"/>
    <w:pPr>
      <w:tabs>
        <w:tab w:val="center" w:pos="4419"/>
        <w:tab w:val="right" w:pos="8838"/>
      </w:tabs>
    </w:pPr>
  </w:style>
  <w:style w:type="character" w:customStyle="1" w:styleId="PiedepginaCar">
    <w:name w:val="Pie de página Car"/>
    <w:basedOn w:val="Fuentedeprrafopredeter"/>
    <w:link w:val="Piedepgina"/>
    <w:uiPriority w:val="99"/>
    <w:rsid w:val="006B237A"/>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ED4"/>
    <w:rsid w:val="00793E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7AE06773C514653B37C606F42963C9D">
    <w:name w:val="67AE06773C514653B37C606F42963C9D"/>
    <w:rsid w:val="00793E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1706</Words>
  <Characters>9388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2023-04-14T16:45:00Z</dcterms:created>
  <dcterms:modified xsi:type="dcterms:W3CDTF">2023-04-14T16:53:00Z</dcterms:modified>
</cp:coreProperties>
</file>