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8D9" w:rsidRPr="007B0581" w:rsidRDefault="00A758D9" w:rsidP="00A758D9">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A758D9" w:rsidRPr="007B0581" w:rsidRDefault="00A758D9" w:rsidP="00A758D9">
      <w:pPr>
        <w:pStyle w:val="corte4fondo"/>
        <w:spacing w:line="276" w:lineRule="auto"/>
        <w:ind w:left="3544" w:right="-521" w:firstLine="0"/>
        <w:rPr>
          <w:rFonts w:cs="Arial"/>
          <w:b/>
          <w:sz w:val="24"/>
          <w:szCs w:val="24"/>
        </w:rPr>
      </w:pPr>
    </w:p>
    <w:p w:rsidR="00A758D9" w:rsidRPr="007B0581" w:rsidRDefault="00A758D9" w:rsidP="00A758D9">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100</w:t>
      </w:r>
      <w:r w:rsidRPr="007B0581">
        <w:rPr>
          <w:rFonts w:cs="Arial"/>
          <w:b/>
          <w:bCs/>
          <w:sz w:val="24"/>
          <w:szCs w:val="24"/>
        </w:rPr>
        <w:t>/202</w:t>
      </w:r>
      <w:r>
        <w:rPr>
          <w:rFonts w:cs="Arial"/>
          <w:b/>
          <w:bCs/>
          <w:sz w:val="24"/>
          <w:szCs w:val="24"/>
        </w:rPr>
        <w:t>1</w:t>
      </w:r>
      <w:r w:rsidRPr="007B0581">
        <w:rPr>
          <w:rFonts w:cs="Arial"/>
          <w:sz w:val="24"/>
          <w:szCs w:val="24"/>
        </w:rPr>
        <w:t xml:space="preserve">. </w:t>
      </w:r>
    </w:p>
    <w:p w:rsidR="00A758D9" w:rsidRPr="007B0581" w:rsidRDefault="00A758D9" w:rsidP="00A758D9">
      <w:pPr>
        <w:pStyle w:val="corte4fondo"/>
        <w:spacing w:line="276" w:lineRule="auto"/>
        <w:ind w:left="3544" w:right="-521" w:firstLine="0"/>
        <w:rPr>
          <w:rFonts w:cs="Arial"/>
          <w:sz w:val="24"/>
          <w:szCs w:val="24"/>
        </w:rPr>
      </w:pPr>
    </w:p>
    <w:p w:rsidR="00A758D9" w:rsidRPr="007B0581" w:rsidRDefault="00A758D9" w:rsidP="00A758D9">
      <w:pPr>
        <w:pStyle w:val="corte4fondo"/>
        <w:spacing w:line="276" w:lineRule="auto"/>
        <w:ind w:left="3544" w:right="51" w:firstLine="0"/>
        <w:rPr>
          <w:rFonts w:cs="Arial"/>
          <w:sz w:val="24"/>
          <w:szCs w:val="24"/>
        </w:rPr>
      </w:pPr>
      <w:bookmarkStart w:id="0" w:name="_GoBack"/>
      <w:r w:rsidRPr="007B0581">
        <w:rPr>
          <w:rFonts w:cs="Arial"/>
          <w:b/>
          <w:sz w:val="24"/>
          <w:szCs w:val="24"/>
        </w:rPr>
        <w:t>ACTOR</w:t>
      </w:r>
      <w:bookmarkEnd w:id="0"/>
      <w:r w:rsidRPr="007B0581">
        <w:rPr>
          <w:rFonts w:cs="Arial"/>
          <w:b/>
          <w:sz w:val="24"/>
          <w:szCs w:val="24"/>
        </w:rPr>
        <w:t xml:space="preserve">: </w:t>
      </w:r>
      <w:r>
        <w:rPr>
          <w:rFonts w:cs="Arial"/>
          <w:b/>
          <w:sz w:val="24"/>
          <w:szCs w:val="24"/>
        </w:rPr>
        <w:t>**********.</w:t>
      </w:r>
    </w:p>
    <w:p w:rsidR="00A758D9" w:rsidRPr="007B0581" w:rsidRDefault="00A758D9" w:rsidP="00A758D9">
      <w:pPr>
        <w:pStyle w:val="corte4fondo"/>
        <w:spacing w:line="276" w:lineRule="auto"/>
        <w:ind w:left="3544" w:right="-521" w:firstLine="0"/>
        <w:rPr>
          <w:rFonts w:cs="Arial"/>
          <w:b/>
          <w:i/>
          <w:sz w:val="24"/>
          <w:szCs w:val="24"/>
        </w:rPr>
      </w:pPr>
      <w:r w:rsidRPr="007B0581">
        <w:rPr>
          <w:rFonts w:cs="Arial"/>
          <w:b/>
          <w:i/>
          <w:sz w:val="24"/>
          <w:szCs w:val="24"/>
        </w:rPr>
        <w:t xml:space="preserve"> </w:t>
      </w:r>
    </w:p>
    <w:p w:rsidR="00A758D9" w:rsidRPr="007B0581" w:rsidRDefault="00A758D9" w:rsidP="00A758D9">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 CONSEJO DIRECTIVO DE PENSIONES DEL ESTADO DE OAXACA</w:t>
      </w:r>
      <w:r>
        <w:rPr>
          <w:rFonts w:cs="Arial"/>
          <w:b/>
          <w:sz w:val="24"/>
          <w:szCs w:val="24"/>
        </w:rPr>
        <w:t xml:space="preserve"> Y DIRECTOR GENERAL DE LA OFICINA DE PENSIONES DEL ESTADO DE OAXACA</w:t>
      </w:r>
      <w:r w:rsidRPr="007B0581">
        <w:rPr>
          <w:rFonts w:cs="Arial"/>
          <w:bCs/>
          <w:sz w:val="24"/>
          <w:szCs w:val="24"/>
        </w:rPr>
        <w:t>.</w:t>
      </w:r>
    </w:p>
    <w:p w:rsidR="00A758D9" w:rsidRPr="007B0581" w:rsidRDefault="00A758D9" w:rsidP="00A758D9">
      <w:pPr>
        <w:pStyle w:val="corte4fondo"/>
        <w:spacing w:line="276" w:lineRule="auto"/>
        <w:ind w:left="3544" w:right="51" w:firstLine="0"/>
        <w:rPr>
          <w:rFonts w:cs="Arial"/>
          <w:bCs/>
          <w:sz w:val="24"/>
          <w:szCs w:val="24"/>
        </w:rPr>
      </w:pPr>
    </w:p>
    <w:p w:rsidR="00A758D9" w:rsidRPr="007B0581" w:rsidRDefault="00A758D9" w:rsidP="00A758D9">
      <w:pPr>
        <w:pStyle w:val="corte4fondo"/>
        <w:spacing w:line="276" w:lineRule="auto"/>
        <w:ind w:left="3544" w:right="51" w:firstLine="0"/>
        <w:rPr>
          <w:rFonts w:cs="Arial"/>
          <w:bCs/>
          <w:sz w:val="24"/>
          <w:szCs w:val="24"/>
        </w:rPr>
      </w:pPr>
    </w:p>
    <w:p w:rsidR="00A758D9" w:rsidRDefault="00A758D9" w:rsidP="00A758D9">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NUEVE DE JUNIO</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A758D9" w:rsidRDefault="00A758D9" w:rsidP="00A758D9">
      <w:pPr>
        <w:spacing w:line="360" w:lineRule="auto"/>
        <w:jc w:val="both"/>
        <w:rPr>
          <w:rFonts w:ascii="Arial" w:hAnsi="Arial" w:cs="Arial"/>
          <w:b/>
          <w:sz w:val="24"/>
          <w:szCs w:val="24"/>
        </w:rPr>
      </w:pPr>
      <w:r w:rsidRPr="007B0581">
        <w:rPr>
          <w:rFonts w:ascii="Arial" w:hAnsi="Arial" w:cs="Arial"/>
          <w:b/>
          <w:sz w:val="24"/>
          <w:szCs w:val="24"/>
        </w:rPr>
        <w:t xml:space="preserve"> </w:t>
      </w:r>
    </w:p>
    <w:p w:rsidR="00A758D9" w:rsidRPr="007B0581" w:rsidRDefault="00A758D9" w:rsidP="00A758D9">
      <w:pPr>
        <w:contextualSpacing/>
        <w:jc w:val="both"/>
        <w:rPr>
          <w:rFonts w:ascii="Arial" w:hAnsi="Arial" w:cs="Arial"/>
          <w:b/>
          <w:sz w:val="24"/>
          <w:szCs w:val="24"/>
        </w:rPr>
      </w:pPr>
    </w:p>
    <w:p w:rsidR="00A758D9" w:rsidRPr="007B0581" w:rsidRDefault="00A758D9" w:rsidP="00A758D9">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de número 0</w:t>
      </w:r>
      <w:r>
        <w:rPr>
          <w:rFonts w:ascii="Arial" w:hAnsi="Arial" w:cs="Arial"/>
          <w:sz w:val="24"/>
          <w:szCs w:val="24"/>
        </w:rPr>
        <w:t>100</w:t>
      </w:r>
      <w:r w:rsidRPr="007B0581">
        <w:rPr>
          <w:rFonts w:ascii="Arial" w:hAnsi="Arial" w:cs="Arial"/>
          <w:sz w:val="24"/>
          <w:szCs w:val="24"/>
        </w:rPr>
        <w:t>/202</w:t>
      </w:r>
      <w:r>
        <w:rPr>
          <w:rFonts w:ascii="Arial" w:hAnsi="Arial" w:cs="Arial"/>
          <w:sz w:val="24"/>
          <w:szCs w:val="24"/>
        </w:rPr>
        <w:t>1</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 la resolución</w:t>
      </w:r>
      <w:r>
        <w:rPr>
          <w:rFonts w:ascii="Arial" w:hAnsi="Arial" w:cs="Arial"/>
          <w:sz w:val="24"/>
          <w:szCs w:val="24"/>
        </w:rPr>
        <w:t xml:space="preserve"> emitida por el Consejo Directivo de Pensiones del Estado de Oaxaca,</w:t>
      </w:r>
      <w:r w:rsidRPr="007B0581">
        <w:rPr>
          <w:rFonts w:ascii="Arial" w:hAnsi="Arial" w:cs="Arial"/>
          <w:sz w:val="24"/>
          <w:szCs w:val="24"/>
        </w:rPr>
        <w:t xml:space="preserve"> contenida en el oficio </w:t>
      </w:r>
      <w:bookmarkStart w:id="1" w:name="_Hlk83640314"/>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uno de julio</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xml:space="preserve">, </w:t>
      </w:r>
      <w:bookmarkStart w:id="2" w:name="_Hlk84505151"/>
      <w:r w:rsidRPr="007B0581">
        <w:rPr>
          <w:rFonts w:ascii="Arial" w:hAnsi="Arial" w:cs="Arial"/>
          <w:sz w:val="24"/>
          <w:szCs w:val="24"/>
        </w:rPr>
        <w:t xml:space="preserve">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bookmarkEnd w:id="1"/>
      <w:r w:rsidRPr="007B0581">
        <w:rPr>
          <w:rFonts w:ascii="Arial" w:hAnsi="Arial" w:cs="Arial"/>
          <w:sz w:val="24"/>
          <w:szCs w:val="24"/>
        </w:rPr>
        <w:t>y;</w:t>
      </w:r>
      <w:r w:rsidRPr="007B0581">
        <w:rPr>
          <w:rFonts w:ascii="Arial" w:hAnsi="Arial" w:cs="Arial"/>
          <w:b/>
          <w:bCs/>
          <w:sz w:val="24"/>
          <w:szCs w:val="24"/>
        </w:rPr>
        <w:t xml:space="preserve"> </w:t>
      </w:r>
    </w:p>
    <w:bookmarkEnd w:id="2"/>
    <w:p w:rsidR="00A758D9" w:rsidRPr="007B0581" w:rsidRDefault="00A758D9" w:rsidP="00A758D9">
      <w:pPr>
        <w:contextualSpacing/>
        <w:jc w:val="both"/>
        <w:rPr>
          <w:rFonts w:ascii="Arial" w:hAnsi="Arial" w:cs="Arial"/>
          <w:sz w:val="24"/>
          <w:szCs w:val="24"/>
        </w:rPr>
      </w:pPr>
    </w:p>
    <w:p w:rsidR="00A758D9" w:rsidRDefault="00A758D9" w:rsidP="00A758D9">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A758D9" w:rsidRPr="007B0581" w:rsidRDefault="00A758D9" w:rsidP="00A758D9">
      <w:pPr>
        <w:spacing w:line="360" w:lineRule="auto"/>
        <w:ind w:firstLine="708"/>
        <w:jc w:val="center"/>
        <w:rPr>
          <w:rFonts w:ascii="Arial" w:hAnsi="Arial" w:cs="Arial"/>
          <w:b/>
          <w:spacing w:val="-3"/>
          <w:sz w:val="24"/>
          <w:szCs w:val="24"/>
          <w:lang w:val="es-ES_tradnl"/>
        </w:rPr>
      </w:pPr>
    </w:p>
    <w:p w:rsidR="00A758D9" w:rsidRPr="007B0581" w:rsidRDefault="00A758D9" w:rsidP="00A758D9">
      <w:pPr>
        <w:contextualSpacing/>
        <w:jc w:val="both"/>
        <w:rPr>
          <w:rFonts w:ascii="Arial" w:hAnsi="Arial" w:cs="Arial"/>
          <w:b/>
          <w:spacing w:val="-3"/>
          <w:sz w:val="24"/>
          <w:szCs w:val="24"/>
          <w:lang w:val="es-ES_tradnl"/>
        </w:rPr>
      </w:pPr>
    </w:p>
    <w:p w:rsidR="00A758D9" w:rsidRPr="007B0581" w:rsidRDefault="00A758D9" w:rsidP="00A758D9">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siete de diciembre de dos mil veintiuno</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 xml:space="preserve">demandó la nulidad de la resolución </w:t>
      </w:r>
      <w:bookmarkStart w:id="3" w:name="_Hlk83725409"/>
      <w:r>
        <w:rPr>
          <w:rFonts w:ascii="Arial" w:hAnsi="Arial" w:cs="Arial"/>
          <w:sz w:val="24"/>
          <w:szCs w:val="24"/>
        </w:rPr>
        <w:t>emitida por el Consejo Directivo de Pensiones del Estado de Oaxaca,</w:t>
      </w:r>
      <w:r w:rsidRPr="007B0581">
        <w:rPr>
          <w:rFonts w:ascii="Arial" w:hAnsi="Arial" w:cs="Arial"/>
          <w:sz w:val="24"/>
          <w:szCs w:val="24"/>
        </w:rPr>
        <w:t xml:space="preserve"> contenida en el oficio </w:t>
      </w:r>
      <w:r>
        <w:rPr>
          <w:rFonts w:cs="Arial"/>
          <w:b/>
          <w:sz w:val="24"/>
          <w:szCs w:val="24"/>
        </w:rPr>
        <w:t>**********</w:t>
      </w:r>
      <w:r w:rsidRPr="007B0581">
        <w:rPr>
          <w:rFonts w:ascii="Arial" w:hAnsi="Arial" w:cs="Arial"/>
          <w:sz w:val="24"/>
          <w:szCs w:val="24"/>
        </w:rPr>
        <w:t xml:space="preserve">de </w:t>
      </w:r>
      <w:r>
        <w:rPr>
          <w:rFonts w:ascii="Arial" w:hAnsi="Arial" w:cs="Arial"/>
          <w:sz w:val="24"/>
          <w:szCs w:val="24"/>
        </w:rPr>
        <w:t>uno de julio</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p>
    <w:bookmarkEnd w:id="3"/>
    <w:p w:rsidR="00A758D9" w:rsidRPr="007B0581" w:rsidRDefault="00A758D9" w:rsidP="00A758D9">
      <w:pPr>
        <w:contextualSpacing/>
        <w:jc w:val="both"/>
        <w:rPr>
          <w:rFonts w:ascii="Arial" w:hAnsi="Arial" w:cs="Arial"/>
          <w:sz w:val="24"/>
          <w:szCs w:val="24"/>
        </w:rPr>
      </w:pPr>
    </w:p>
    <w:p w:rsidR="00A758D9" w:rsidRPr="007B0581" w:rsidRDefault="00A758D9" w:rsidP="00A758D9">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ocho de diciembre de dos mil veintiuno</w:t>
      </w:r>
      <w:r w:rsidRPr="007B0581">
        <w:rPr>
          <w:rFonts w:ascii="Arial" w:hAnsi="Arial" w:cs="Arial"/>
          <w:sz w:val="24"/>
          <w:szCs w:val="24"/>
        </w:rPr>
        <w:t>, se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w:t>
      </w:r>
      <w:r>
        <w:rPr>
          <w:rFonts w:ascii="Arial" w:hAnsi="Arial" w:cs="Arial"/>
          <w:sz w:val="24"/>
          <w:szCs w:val="24"/>
        </w:rPr>
        <w:t xml:space="preserve"> Asimismo, se ordenó formar por cuerda separada cuaderno de suspensión.</w:t>
      </w:r>
      <w:r w:rsidRPr="007B0581">
        <w:rPr>
          <w:rFonts w:ascii="Arial" w:hAnsi="Arial" w:cs="Arial"/>
          <w:sz w:val="24"/>
          <w:szCs w:val="24"/>
        </w:rPr>
        <w:t xml:space="preserve"> </w:t>
      </w:r>
    </w:p>
    <w:p w:rsidR="00A758D9" w:rsidRPr="007B0581" w:rsidRDefault="00A758D9" w:rsidP="00A758D9">
      <w:pPr>
        <w:pStyle w:val="corte4fondo"/>
        <w:spacing w:line="240" w:lineRule="auto"/>
        <w:ind w:right="51" w:firstLine="567"/>
        <w:contextualSpacing/>
        <w:rPr>
          <w:rFonts w:cs="Arial"/>
          <w:bCs/>
          <w:sz w:val="24"/>
          <w:szCs w:val="24"/>
        </w:rPr>
      </w:pPr>
      <w:r w:rsidRPr="007B0581">
        <w:rPr>
          <w:rFonts w:cs="Arial"/>
          <w:bCs/>
          <w:sz w:val="24"/>
          <w:szCs w:val="24"/>
        </w:rPr>
        <w:tab/>
      </w:r>
    </w:p>
    <w:p w:rsidR="00A758D9" w:rsidRPr="007B0581" w:rsidRDefault="00A758D9" w:rsidP="00A758D9">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dos de marzo de dos mil veintidós</w:t>
      </w:r>
      <w:r w:rsidRPr="007B0581">
        <w:rPr>
          <w:rFonts w:cs="Arial"/>
          <w:bCs/>
          <w:sz w:val="24"/>
          <w:szCs w:val="24"/>
        </w:rPr>
        <w:t>, se tuvo a</w:t>
      </w:r>
      <w:r w:rsidRPr="007B0581">
        <w:rPr>
          <w:rFonts w:cs="Arial"/>
          <w:sz w:val="24"/>
          <w:szCs w:val="24"/>
        </w:rPr>
        <w:t xml:space="preserve">l apoderado </w:t>
      </w:r>
      <w:r>
        <w:rPr>
          <w:rFonts w:cs="Arial"/>
          <w:sz w:val="24"/>
          <w:szCs w:val="24"/>
        </w:rPr>
        <w:t>l</w:t>
      </w:r>
      <w:r w:rsidRPr="007B0581">
        <w:rPr>
          <w:rFonts w:cs="Arial"/>
          <w:sz w:val="24"/>
          <w:szCs w:val="24"/>
        </w:rPr>
        <w:t>egal del Consejo Directivo de la Oficina de Pensiones del Estado de Oaxaca</w:t>
      </w:r>
      <w:r>
        <w:rPr>
          <w:rFonts w:cs="Arial"/>
          <w:sz w:val="24"/>
          <w:szCs w:val="24"/>
        </w:rPr>
        <w:t>, por sí y en representación legal del Consejo Directivo</w:t>
      </w:r>
      <w:r w:rsidRPr="007B0581">
        <w:rPr>
          <w:rFonts w:cs="Arial"/>
          <w:bCs/>
          <w:sz w:val="24"/>
          <w:szCs w:val="24"/>
        </w:rPr>
        <w:t xml:space="preserve">, </w:t>
      </w:r>
      <w:r w:rsidRPr="007B0581">
        <w:rPr>
          <w:rFonts w:cs="Arial"/>
          <w:sz w:val="24"/>
          <w:szCs w:val="24"/>
        </w:rPr>
        <w:t xml:space="preserve">dando contestación </w:t>
      </w:r>
      <w:r w:rsidRPr="007B0581">
        <w:rPr>
          <w:rFonts w:cs="Arial"/>
          <w:sz w:val="24"/>
          <w:szCs w:val="24"/>
        </w:rPr>
        <w:lastRenderedPageBreak/>
        <w:t>a la demanda en tiempo y forma</w:t>
      </w:r>
      <w:r>
        <w:rPr>
          <w:rFonts w:cs="Arial"/>
          <w:sz w:val="24"/>
          <w:szCs w:val="24"/>
        </w:rPr>
        <w:t>, objetando las pruebas del actor</w:t>
      </w:r>
      <w:r w:rsidRPr="007B0581">
        <w:rPr>
          <w:rFonts w:cs="Arial"/>
          <w:sz w:val="24"/>
          <w:szCs w:val="24"/>
        </w:rPr>
        <w:t>,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y por admitidas las 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asimismo se señalaron las ONCE HORAS del día DIECIOCHO DE MAYO DE DOS MIL VEINTIDÓS, para la celebración de la audiencia final</w:t>
      </w:r>
      <w:r w:rsidRPr="007B0581">
        <w:rPr>
          <w:rFonts w:cs="Arial"/>
          <w:sz w:val="24"/>
          <w:szCs w:val="24"/>
        </w:rPr>
        <w:t xml:space="preserve">. </w:t>
      </w:r>
    </w:p>
    <w:p w:rsidR="00A758D9" w:rsidRPr="007B0581" w:rsidRDefault="00A758D9" w:rsidP="00A758D9">
      <w:pPr>
        <w:pStyle w:val="corte4fondo"/>
        <w:spacing w:line="240" w:lineRule="auto"/>
        <w:ind w:right="51" w:firstLine="567"/>
        <w:contextualSpacing/>
        <w:rPr>
          <w:rFonts w:cs="Arial"/>
          <w:b/>
          <w:bCs/>
          <w:sz w:val="24"/>
          <w:szCs w:val="24"/>
        </w:rPr>
      </w:pPr>
    </w:p>
    <w:p w:rsidR="00A758D9" w:rsidRPr="007B0581" w:rsidRDefault="00A758D9" w:rsidP="00A758D9">
      <w:pPr>
        <w:pStyle w:val="corte4fondo"/>
        <w:ind w:right="51" w:firstLine="567"/>
        <w:rPr>
          <w:rFonts w:cs="Arial"/>
          <w:b/>
          <w:bCs/>
          <w:sz w:val="24"/>
          <w:szCs w:val="24"/>
        </w:rPr>
      </w:pPr>
      <w:r w:rsidRPr="007B0581">
        <w:rPr>
          <w:rFonts w:cs="Arial"/>
          <w:b/>
          <w:bCs/>
          <w:sz w:val="24"/>
          <w:szCs w:val="24"/>
        </w:rPr>
        <w:t>C</w:t>
      </w:r>
      <w:r w:rsidRPr="00466BDA">
        <w:rPr>
          <w:rFonts w:cs="Arial"/>
          <w:b/>
          <w:bCs/>
          <w:sz w:val="24"/>
          <w:szCs w:val="24"/>
        </w:rPr>
        <w:t>UART</w:t>
      </w:r>
      <w:r w:rsidRPr="007B0581">
        <w:rPr>
          <w:rFonts w:cs="Arial"/>
          <w:b/>
          <w:bCs/>
          <w:sz w:val="24"/>
          <w:szCs w:val="24"/>
        </w:rPr>
        <w:t xml:space="preserve">O. -  </w:t>
      </w:r>
      <w:r w:rsidRPr="007B0581">
        <w:rPr>
          <w:rFonts w:cs="Arial"/>
          <w:sz w:val="24"/>
          <w:szCs w:val="24"/>
          <w:lang w:val="es-ES"/>
        </w:rPr>
        <w:t xml:space="preserve">El </w:t>
      </w:r>
      <w:r>
        <w:rPr>
          <w:rFonts w:cs="Arial"/>
          <w:sz w:val="24"/>
          <w:szCs w:val="24"/>
          <w:lang w:val="es-ES"/>
        </w:rPr>
        <w:t>dieciocho de mayo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w:t>
      </w:r>
      <w:r>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el actor formuló alegatos por escrito</w:t>
      </w:r>
      <w:r w:rsidRPr="00402863">
        <w:rPr>
          <w:rFonts w:cs="Arial"/>
          <w:sz w:val="24"/>
          <w:szCs w:val="24"/>
        </w:rPr>
        <w:t xml:space="preserve">, por lo que </w:t>
      </w:r>
      <w:r w:rsidRPr="00466BDA">
        <w:rPr>
          <w:rFonts w:cs="Arial"/>
          <w:sz w:val="24"/>
          <w:szCs w:val="24"/>
        </w:rPr>
        <w:t>se ordenó</w:t>
      </w:r>
      <w:r w:rsidRPr="00402863">
        <w:rPr>
          <w:rFonts w:cs="Arial"/>
          <w:sz w:val="24"/>
          <w:szCs w:val="24"/>
        </w:rPr>
        <w:t xml:space="preserve"> citar a las partes a oír sentencia dentro del término de ley</w:t>
      </w:r>
      <w:r>
        <w:rPr>
          <w:rFonts w:cs="Arial"/>
          <w:sz w:val="24"/>
          <w:szCs w:val="24"/>
        </w:rPr>
        <w:t>, misma que ahora se pronuncia</w:t>
      </w:r>
      <w:r w:rsidRPr="007B0581">
        <w:rPr>
          <w:rFonts w:cs="Arial"/>
          <w:sz w:val="24"/>
          <w:szCs w:val="24"/>
        </w:rPr>
        <w:t>, y;</w:t>
      </w:r>
      <w:r w:rsidRPr="007B0581">
        <w:rPr>
          <w:rFonts w:cs="Arial"/>
          <w:bCs/>
          <w:sz w:val="24"/>
          <w:szCs w:val="24"/>
          <w:lang w:val="es-ES"/>
        </w:rPr>
        <w:t xml:space="preserve"> </w:t>
      </w:r>
    </w:p>
    <w:p w:rsidR="00A758D9" w:rsidRPr="007B0581" w:rsidRDefault="00A758D9" w:rsidP="00A758D9">
      <w:pPr>
        <w:pStyle w:val="corte4fondo"/>
        <w:ind w:right="51" w:firstLine="567"/>
        <w:rPr>
          <w:rFonts w:cs="Arial"/>
          <w:b/>
          <w:spacing w:val="-3"/>
          <w:sz w:val="24"/>
          <w:szCs w:val="24"/>
        </w:rPr>
      </w:pPr>
    </w:p>
    <w:p w:rsidR="00A758D9" w:rsidRDefault="00A758D9" w:rsidP="00A758D9">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A758D9" w:rsidRPr="007B0581" w:rsidRDefault="00A758D9" w:rsidP="00A758D9">
      <w:pPr>
        <w:pStyle w:val="corte4fondo"/>
        <w:ind w:right="51" w:firstLine="567"/>
        <w:jc w:val="center"/>
        <w:rPr>
          <w:rFonts w:cs="Arial"/>
          <w:b/>
          <w:spacing w:val="-3"/>
          <w:sz w:val="24"/>
          <w:szCs w:val="24"/>
        </w:rPr>
      </w:pPr>
    </w:p>
    <w:p w:rsidR="00A758D9" w:rsidRPr="007B0581" w:rsidRDefault="00A758D9" w:rsidP="00A758D9">
      <w:pPr>
        <w:pStyle w:val="corte4fondo"/>
        <w:spacing w:line="240" w:lineRule="auto"/>
        <w:ind w:right="51" w:firstLine="567"/>
        <w:contextualSpacing/>
        <w:rPr>
          <w:rFonts w:cs="Arial"/>
          <w:bCs/>
          <w:sz w:val="24"/>
          <w:szCs w:val="24"/>
        </w:rPr>
      </w:pPr>
    </w:p>
    <w:p w:rsidR="00A758D9" w:rsidRPr="007B0581" w:rsidRDefault="00A758D9" w:rsidP="00A758D9">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 xml:space="preserve">l </w:t>
      </w:r>
      <w:r w:rsidRPr="00D31F5F">
        <w:rPr>
          <w:rFonts w:ascii="Arial" w:hAnsi="Arial" w:cs="Arial"/>
          <w:sz w:val="24"/>
          <w:szCs w:val="24"/>
        </w:rPr>
        <w:t>Consejo Directivo</w:t>
      </w:r>
      <w:r>
        <w:rPr>
          <w:rFonts w:ascii="Arial" w:hAnsi="Arial" w:cs="Arial"/>
          <w:sz w:val="24"/>
          <w:szCs w:val="24"/>
        </w:rPr>
        <w:t xml:space="preserve"> de la Oficina de Pensiones del Estado de Oaxaca</w:t>
      </w:r>
      <w:r w:rsidRPr="007B0581">
        <w:rPr>
          <w:rFonts w:ascii="Arial" w:hAnsi="Arial" w:cs="Arial"/>
          <w:sz w:val="24"/>
          <w:szCs w:val="24"/>
        </w:rPr>
        <w:t xml:space="preserve">, con fundamento en el artículo 114 QUATER, párrafo primero, inciso B, </w:t>
      </w:r>
      <w:r w:rsidRPr="00FB0F8B">
        <w:rPr>
          <w:rFonts w:ascii="Arial" w:hAnsi="Arial" w:cs="Arial"/>
          <w:sz w:val="24"/>
          <w:szCs w:val="24"/>
        </w:rPr>
        <w:t xml:space="preserve">fracción </w:t>
      </w:r>
      <w:r w:rsidRPr="00D31F5F">
        <w:rPr>
          <w:rFonts w:ascii="Arial" w:hAnsi="Arial" w:cs="Arial"/>
          <w:sz w:val="24"/>
          <w:szCs w:val="24"/>
        </w:rPr>
        <w:t>VI</w:t>
      </w:r>
      <w:r w:rsidRPr="007B0581">
        <w:rPr>
          <w:rFonts w:ascii="Arial" w:hAnsi="Arial" w:cs="Arial"/>
          <w:sz w:val="24"/>
          <w:szCs w:val="24"/>
        </w:rPr>
        <w:t xml:space="preserve"> de la Constitución Política del Estado Libre y Soberano de Oaxaca; 120, fracción I, 132 fracciones I y II, 133 fracción </w:t>
      </w:r>
      <w:r w:rsidRPr="00D31F5F">
        <w:rPr>
          <w:rFonts w:ascii="Arial" w:hAnsi="Arial" w:cs="Arial"/>
          <w:sz w:val="24"/>
          <w:szCs w:val="24"/>
        </w:rPr>
        <w:t>I,</w:t>
      </w:r>
      <w:r w:rsidRPr="007B0581">
        <w:rPr>
          <w:rFonts w:ascii="Arial" w:hAnsi="Arial" w:cs="Arial"/>
          <w:sz w:val="24"/>
          <w:szCs w:val="24"/>
        </w:rPr>
        <w:t xml:space="preserve"> 146 y 147 de la Ley de Procedimiento y Justicia Administrativa para el Estado de Oaxaca. </w:t>
      </w:r>
    </w:p>
    <w:p w:rsidR="00A758D9" w:rsidRPr="007B0581" w:rsidRDefault="00A758D9" w:rsidP="00A758D9">
      <w:pPr>
        <w:spacing w:line="360" w:lineRule="auto"/>
        <w:jc w:val="both"/>
        <w:rPr>
          <w:rFonts w:ascii="Arial" w:hAnsi="Arial" w:cs="Arial"/>
          <w:sz w:val="24"/>
          <w:szCs w:val="24"/>
        </w:rPr>
      </w:pPr>
      <w:r w:rsidRPr="007B0581">
        <w:rPr>
          <w:rFonts w:ascii="Arial" w:hAnsi="Arial" w:cs="Arial"/>
          <w:sz w:val="24"/>
          <w:szCs w:val="24"/>
        </w:rPr>
        <w:t xml:space="preserve"> </w:t>
      </w:r>
    </w:p>
    <w:p w:rsidR="00A758D9" w:rsidRPr="007B0581" w:rsidRDefault="00A758D9" w:rsidP="00A758D9">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el actor promueve por su propio derecho </w:t>
      </w:r>
      <w:r w:rsidRPr="00455261">
        <w:rPr>
          <w:rFonts w:ascii="Arial" w:hAnsi="Arial" w:cs="Arial"/>
          <w:sz w:val="24"/>
          <w:szCs w:val="24"/>
        </w:rPr>
        <w:t>y la de las autoridades demandadas,</w:t>
      </w:r>
      <w:r>
        <w:rPr>
          <w:rFonts w:ascii="Arial" w:hAnsi="Arial" w:cs="Arial"/>
          <w:sz w:val="24"/>
          <w:szCs w:val="24"/>
        </w:rPr>
        <w:t xml:space="preserve"> de conformidad con el instrumento notarial 2437, volumen 58, pasado ante la FE del notario público número 90 en el Estado y</w:t>
      </w:r>
      <w:r w:rsidRPr="007B0581">
        <w:rPr>
          <w:rFonts w:ascii="Arial" w:hAnsi="Arial" w:cs="Arial"/>
          <w:sz w:val="24"/>
          <w:szCs w:val="24"/>
        </w:rPr>
        <w:t xml:space="preserve"> </w:t>
      </w:r>
      <w:r>
        <w:rPr>
          <w:rFonts w:ascii="Arial" w:hAnsi="Arial" w:cs="Arial"/>
          <w:sz w:val="24"/>
          <w:szCs w:val="24"/>
        </w:rPr>
        <w:t>en términos de los artículos 148</w:t>
      </w:r>
      <w:r w:rsidRPr="007B0581">
        <w:rPr>
          <w:rFonts w:ascii="Arial" w:hAnsi="Arial" w:cs="Arial"/>
          <w:sz w:val="24"/>
          <w:szCs w:val="24"/>
        </w:rPr>
        <w:t xml:space="preserve"> </w:t>
      </w:r>
      <w:r>
        <w:rPr>
          <w:rFonts w:ascii="Arial" w:hAnsi="Arial" w:cs="Arial"/>
          <w:sz w:val="24"/>
          <w:szCs w:val="24"/>
        </w:rPr>
        <w:t>y 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A758D9" w:rsidRPr="007B0581" w:rsidRDefault="00A758D9" w:rsidP="00A758D9">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A758D9" w:rsidRDefault="00A758D9" w:rsidP="00A758D9">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lo cual conlleve a decretar el s</w:t>
      </w:r>
      <w:r w:rsidRPr="0070264F">
        <w:rPr>
          <w:rFonts w:cs="Arial"/>
          <w:sz w:val="24"/>
          <w:szCs w:val="24"/>
        </w:rPr>
        <w:t>obreseimiento</w:t>
      </w:r>
      <w:r w:rsidRPr="007B0581">
        <w:rPr>
          <w:rFonts w:cs="Arial"/>
          <w:sz w:val="24"/>
          <w:szCs w:val="24"/>
        </w:rPr>
        <w:t xml:space="preserve"> del mismo, de conformidad con lo establecido en los artículos 161 y 162 de la Ley de Procedimiento y Justicia Administrativa para el Estado de Oaxaca;</w:t>
      </w:r>
      <w:r>
        <w:rPr>
          <w:rFonts w:cs="Arial"/>
          <w:sz w:val="24"/>
          <w:szCs w:val="24"/>
        </w:rPr>
        <w:t xml:space="preserve"> la autoridad demandada refiere que se actualizan las causales de sobreseimiento establecidas </w:t>
      </w:r>
      <w:r>
        <w:rPr>
          <w:rFonts w:cs="Arial"/>
          <w:sz w:val="24"/>
          <w:szCs w:val="24"/>
        </w:rPr>
        <w:lastRenderedPageBreak/>
        <w:t>en los artículos 161, fracciones VI y IX, y 162, fracción II, de la Ley de Procedimiento y Justicia Administrativa para el Estado de Oaxaca que establecen lo siguiente:</w:t>
      </w:r>
    </w:p>
    <w:p w:rsidR="00A758D9" w:rsidRDefault="00A758D9" w:rsidP="00A758D9">
      <w:pPr>
        <w:pStyle w:val="corte4fondo"/>
        <w:ind w:right="51" w:firstLine="567"/>
        <w:rPr>
          <w:rFonts w:cs="Arial"/>
          <w:sz w:val="24"/>
          <w:szCs w:val="24"/>
        </w:rPr>
      </w:pPr>
    </w:p>
    <w:p w:rsidR="00A758D9" w:rsidRPr="00804C86" w:rsidRDefault="00A758D9" w:rsidP="00A758D9">
      <w:pPr>
        <w:pStyle w:val="corte4fondo"/>
        <w:ind w:right="51" w:firstLine="567"/>
        <w:rPr>
          <w:rFonts w:cs="Arial"/>
          <w:i/>
          <w:iCs/>
          <w:sz w:val="24"/>
          <w:szCs w:val="24"/>
        </w:rPr>
      </w:pPr>
      <w:r w:rsidRPr="00804C86">
        <w:rPr>
          <w:rFonts w:cs="Arial"/>
          <w:i/>
          <w:iCs/>
          <w:sz w:val="24"/>
          <w:szCs w:val="24"/>
        </w:rPr>
        <w:t>“ARTÍCULO 161.- Es improcedente el juicio ante el Tribunal contra actos:</w:t>
      </w:r>
    </w:p>
    <w:p w:rsidR="00A758D9" w:rsidRPr="00804C86" w:rsidRDefault="00A758D9" w:rsidP="00A758D9">
      <w:pPr>
        <w:spacing w:line="360" w:lineRule="auto"/>
        <w:ind w:firstLine="567"/>
        <w:rPr>
          <w:rFonts w:ascii="Arial" w:hAnsi="Arial" w:cs="Arial"/>
          <w:i/>
          <w:iCs/>
          <w:sz w:val="24"/>
          <w:szCs w:val="24"/>
          <w:lang w:val="es-ES_tradnl" w:eastAsia="es-ES"/>
        </w:rPr>
      </w:pPr>
      <w:r w:rsidRPr="00804C86">
        <w:rPr>
          <w:rFonts w:ascii="Arial" w:hAnsi="Arial" w:cs="Arial"/>
          <w:i/>
          <w:iCs/>
          <w:sz w:val="24"/>
          <w:szCs w:val="24"/>
          <w:lang w:val="es-ES_tradnl" w:eastAsia="es-ES"/>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A758D9" w:rsidRPr="00804C86" w:rsidRDefault="00A758D9" w:rsidP="00A758D9">
      <w:pPr>
        <w:pStyle w:val="corte4fondo"/>
        <w:ind w:right="51" w:firstLine="567"/>
        <w:rPr>
          <w:rFonts w:cs="Arial"/>
          <w:i/>
          <w:iCs/>
          <w:sz w:val="24"/>
          <w:szCs w:val="24"/>
        </w:rPr>
      </w:pPr>
      <w:r w:rsidRPr="00804C86">
        <w:rPr>
          <w:rFonts w:cs="Arial"/>
          <w:i/>
          <w:iCs/>
          <w:sz w:val="24"/>
          <w:szCs w:val="24"/>
        </w:rPr>
        <w:t>IX. Cuando de las constancias de autos apareciere claramente que no existe el acto reclamado o cuando no se probare su existencia; y</w:t>
      </w:r>
    </w:p>
    <w:p w:rsidR="00A758D9" w:rsidRPr="00804C86" w:rsidRDefault="00A758D9" w:rsidP="00A758D9">
      <w:pPr>
        <w:pStyle w:val="corte4fondo"/>
        <w:ind w:right="51" w:firstLine="567"/>
        <w:rPr>
          <w:rFonts w:cs="Arial"/>
          <w:i/>
          <w:iCs/>
          <w:sz w:val="24"/>
          <w:szCs w:val="24"/>
        </w:rPr>
      </w:pPr>
      <w:r w:rsidRPr="00804C86">
        <w:rPr>
          <w:rFonts w:cs="Arial"/>
          <w:i/>
          <w:iCs/>
          <w:sz w:val="24"/>
          <w:szCs w:val="24"/>
        </w:rPr>
        <w:t>ARTÍCULO 162.- Procede el sobreseimiento del juicio:</w:t>
      </w:r>
    </w:p>
    <w:p w:rsidR="00A758D9" w:rsidRPr="00804C86" w:rsidRDefault="00A758D9" w:rsidP="00A758D9">
      <w:pPr>
        <w:pStyle w:val="corte4fondo"/>
        <w:ind w:right="51" w:firstLine="567"/>
        <w:rPr>
          <w:rFonts w:cs="Arial"/>
          <w:i/>
          <w:iCs/>
          <w:sz w:val="24"/>
          <w:szCs w:val="24"/>
        </w:rPr>
      </w:pPr>
      <w:r w:rsidRPr="00804C86">
        <w:rPr>
          <w:rFonts w:cs="Arial"/>
          <w:i/>
          <w:iCs/>
          <w:sz w:val="24"/>
          <w:szCs w:val="24"/>
        </w:rPr>
        <w:t>II. Cuando durante la tramitación del procedimiento sobreviniere alguna de las causas de improcedencia a que se refiere el artículo anterior;”</w:t>
      </w:r>
    </w:p>
    <w:p w:rsidR="00A758D9" w:rsidRDefault="00A758D9" w:rsidP="00A758D9">
      <w:pPr>
        <w:pStyle w:val="corte4fondo"/>
        <w:ind w:right="51" w:firstLine="567"/>
        <w:rPr>
          <w:rFonts w:cs="Arial"/>
          <w:sz w:val="24"/>
          <w:szCs w:val="24"/>
        </w:rPr>
      </w:pPr>
    </w:p>
    <w:p w:rsidR="00A758D9" w:rsidRPr="007B0581" w:rsidRDefault="00A758D9" w:rsidP="00A758D9">
      <w:pPr>
        <w:pStyle w:val="corte4fondo"/>
        <w:ind w:right="51" w:firstLine="567"/>
        <w:rPr>
          <w:rFonts w:cs="Arial"/>
          <w:sz w:val="24"/>
          <w:szCs w:val="24"/>
        </w:rPr>
      </w:pPr>
      <w:r>
        <w:rPr>
          <w:rFonts w:cs="Arial"/>
          <w:sz w:val="24"/>
          <w:szCs w:val="24"/>
        </w:rPr>
        <w:t xml:space="preserve">De los numerales antes transcritos se advierte que es incorrecta la apreciación de la demandada dado que el actor promovió juicio de nulidad </w:t>
      </w:r>
      <w:r w:rsidRPr="007B0581">
        <w:rPr>
          <w:rFonts w:cs="Arial"/>
          <w:sz w:val="24"/>
          <w:szCs w:val="24"/>
        </w:rPr>
        <w:t>en contra de la resolución</w:t>
      </w:r>
      <w:r>
        <w:rPr>
          <w:rFonts w:cs="Arial"/>
          <w:sz w:val="24"/>
          <w:szCs w:val="24"/>
        </w:rPr>
        <w:t xml:space="preserve"> emitida por el Consejo Directivo de Pensiones del Estado de Oaxaca,</w:t>
      </w:r>
      <w:r w:rsidRPr="007B0581">
        <w:rPr>
          <w:rFonts w:cs="Arial"/>
          <w:sz w:val="24"/>
          <w:szCs w:val="24"/>
        </w:rPr>
        <w:t xml:space="preserve"> contenida en el oficio </w:t>
      </w:r>
      <w:r>
        <w:rPr>
          <w:rFonts w:cs="Arial"/>
          <w:b/>
          <w:sz w:val="24"/>
          <w:szCs w:val="24"/>
        </w:rPr>
        <w:t>**********</w:t>
      </w:r>
      <w:r>
        <w:rPr>
          <w:rFonts w:cs="Arial"/>
          <w:b/>
          <w:sz w:val="24"/>
          <w:szCs w:val="24"/>
        </w:rPr>
        <w:t xml:space="preserve"> </w:t>
      </w:r>
      <w:r w:rsidRPr="007B0581">
        <w:rPr>
          <w:rFonts w:cs="Arial"/>
          <w:sz w:val="24"/>
          <w:szCs w:val="24"/>
        </w:rPr>
        <w:t xml:space="preserve">de </w:t>
      </w:r>
      <w:r>
        <w:rPr>
          <w:rFonts w:cs="Arial"/>
          <w:sz w:val="24"/>
          <w:szCs w:val="24"/>
        </w:rPr>
        <w:t>uno de julio</w:t>
      </w:r>
      <w:r w:rsidRPr="007B0581">
        <w:rPr>
          <w:rFonts w:cs="Arial"/>
          <w:sz w:val="24"/>
          <w:szCs w:val="24"/>
        </w:rPr>
        <w:t xml:space="preserve"> de dos mil </w:t>
      </w:r>
      <w:r>
        <w:rPr>
          <w:rFonts w:cs="Arial"/>
          <w:sz w:val="24"/>
          <w:szCs w:val="24"/>
        </w:rPr>
        <w:t>veintiuno</w:t>
      </w:r>
      <w:r w:rsidRPr="007B0581">
        <w:rPr>
          <w:rFonts w:cs="Arial"/>
          <w:sz w:val="24"/>
          <w:szCs w:val="24"/>
        </w:rPr>
        <w:t xml:space="preserve">, signado por el </w:t>
      </w:r>
      <w:r>
        <w:rPr>
          <w:rFonts w:cs="Arial"/>
          <w:sz w:val="24"/>
          <w:szCs w:val="24"/>
        </w:rPr>
        <w:t>D</w:t>
      </w:r>
      <w:r w:rsidRPr="007B0581">
        <w:rPr>
          <w:rFonts w:cs="Arial"/>
          <w:sz w:val="24"/>
          <w:szCs w:val="24"/>
        </w:rPr>
        <w:t xml:space="preserve">irector </w:t>
      </w:r>
      <w:r>
        <w:rPr>
          <w:rFonts w:cs="Arial"/>
          <w:sz w:val="24"/>
          <w:szCs w:val="24"/>
        </w:rPr>
        <w:t>G</w:t>
      </w:r>
      <w:r w:rsidRPr="007B0581">
        <w:rPr>
          <w:rFonts w:cs="Arial"/>
          <w:sz w:val="24"/>
          <w:szCs w:val="24"/>
        </w:rPr>
        <w:t>eneral de la Oficina de Pensiones</w:t>
      </w:r>
      <w:r>
        <w:rPr>
          <w:rFonts w:cs="Arial"/>
          <w:sz w:val="24"/>
          <w:szCs w:val="24"/>
        </w:rPr>
        <w:t xml:space="preserve"> del Estado de Oaxaca, dentro del plazo con el que contaba para ello de conformidad con el artículo 166, primer párrafo de la Ley de la Materia, éste transcurrió del veintiséis de noviembre de dos mil veintiuno y feneció el veinticinco de enero actual, descontándose los sábados y domingos, tres y del dieciséis de diciembre del año próximo pasado al dos de enero de dos mil veintidós, por ser inhábiles de conformidad con el artículo 165 de la Ley de Procedimiento y Justicia Administrativa para el Estado de Oaxaca y los Acuerdos Generales números AG/TJAO/02/2021 y AG/TJAO/010/2021 aprobados por el Pleno de este órgano jurisdiccional y fue recibido en la Oficialía de Partes Común de este Tribunal el siete de diciembre de dos mil veintiuno</w:t>
      </w:r>
      <w:r w:rsidRPr="007B0581">
        <w:rPr>
          <w:rFonts w:cs="Arial"/>
          <w:sz w:val="24"/>
          <w:szCs w:val="24"/>
        </w:rPr>
        <w:t xml:space="preserve">. En consecuencia, </w:t>
      </w:r>
      <w:r w:rsidRPr="007B0581">
        <w:rPr>
          <w:rFonts w:cs="Arial"/>
          <w:b/>
          <w:bCs/>
          <w:sz w:val="24"/>
          <w:szCs w:val="24"/>
        </w:rPr>
        <w:t xml:space="preserve">NO SE SOBRESEE </w:t>
      </w:r>
      <w:r w:rsidRPr="007B0581">
        <w:rPr>
          <w:rFonts w:cs="Arial"/>
          <w:sz w:val="24"/>
          <w:szCs w:val="24"/>
        </w:rPr>
        <w:t xml:space="preserve">el presente juicio. </w:t>
      </w:r>
    </w:p>
    <w:p w:rsidR="00A758D9" w:rsidRPr="007B0581" w:rsidRDefault="00A758D9" w:rsidP="00A758D9">
      <w:pPr>
        <w:pStyle w:val="corte4fondo"/>
        <w:ind w:right="51" w:firstLine="708"/>
        <w:rPr>
          <w:rFonts w:cs="Arial"/>
          <w:sz w:val="24"/>
          <w:szCs w:val="24"/>
        </w:rPr>
      </w:pPr>
    </w:p>
    <w:p w:rsidR="00A758D9" w:rsidRPr="007B0581" w:rsidRDefault="00A758D9" w:rsidP="00A758D9">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A758D9" w:rsidRPr="007B0581" w:rsidRDefault="00A758D9" w:rsidP="00A758D9">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 xml:space="preserve">Semanario Judicial de la Federación y su </w:t>
      </w:r>
      <w:r w:rsidRPr="007B0581">
        <w:rPr>
          <w:rFonts w:ascii="Arial" w:hAnsi="Arial" w:cs="Arial"/>
          <w:i/>
          <w:sz w:val="24"/>
          <w:szCs w:val="24"/>
          <w:lang w:eastAsia="es-MX"/>
        </w:rPr>
        <w:lastRenderedPageBreak/>
        <w:t>Gaceta</w:t>
      </w:r>
      <w:r w:rsidRPr="007B0581">
        <w:rPr>
          <w:rFonts w:ascii="Arial" w:hAnsi="Arial" w:cs="Arial"/>
          <w:sz w:val="24"/>
          <w:szCs w:val="24"/>
          <w:lang w:eastAsia="es-MX"/>
        </w:rPr>
        <w:t>, Tomo XXXI, mayo de 2010, página 830, de rubro:</w:t>
      </w:r>
    </w:p>
    <w:p w:rsidR="00A758D9" w:rsidRPr="007B0581" w:rsidRDefault="00A758D9" w:rsidP="00A758D9">
      <w:pPr>
        <w:pStyle w:val="Textonotapie"/>
        <w:widowControl w:val="0"/>
        <w:spacing w:line="360" w:lineRule="auto"/>
        <w:jc w:val="both"/>
        <w:rPr>
          <w:rFonts w:ascii="Arial" w:hAnsi="Arial" w:cs="Arial"/>
          <w:sz w:val="24"/>
          <w:szCs w:val="24"/>
          <w:lang w:eastAsia="es-MX"/>
        </w:rPr>
      </w:pPr>
    </w:p>
    <w:p w:rsidR="00A758D9" w:rsidRPr="007B0581" w:rsidRDefault="00A758D9" w:rsidP="00A758D9">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A758D9" w:rsidRPr="007B0581" w:rsidRDefault="00A758D9" w:rsidP="00A758D9">
      <w:pPr>
        <w:pStyle w:val="Textonotapie"/>
        <w:widowControl w:val="0"/>
        <w:spacing w:line="360" w:lineRule="auto"/>
        <w:ind w:left="1701" w:right="1469"/>
        <w:jc w:val="both"/>
        <w:rPr>
          <w:rFonts w:ascii="Arial" w:hAnsi="Arial" w:cs="Arial"/>
          <w:b/>
          <w:sz w:val="24"/>
          <w:szCs w:val="24"/>
          <w:lang w:eastAsia="es-MX"/>
        </w:rPr>
      </w:pPr>
    </w:p>
    <w:p w:rsidR="00A758D9" w:rsidRDefault="00A758D9" w:rsidP="00A758D9">
      <w:pPr>
        <w:spacing w:line="360" w:lineRule="auto"/>
        <w:ind w:firstLine="708"/>
        <w:jc w:val="both"/>
        <w:rPr>
          <w:rFonts w:ascii="Arial" w:hAnsi="Arial" w:cs="Arial"/>
          <w:sz w:val="24"/>
          <w:szCs w:val="24"/>
        </w:rPr>
      </w:pPr>
      <w:r>
        <w:rPr>
          <w:rFonts w:ascii="Arial" w:hAnsi="Arial" w:cs="Arial"/>
          <w:sz w:val="24"/>
          <w:szCs w:val="24"/>
        </w:rPr>
        <w:t>El</w:t>
      </w:r>
      <w:r w:rsidRPr="007B0581">
        <w:rPr>
          <w:rFonts w:ascii="Arial" w:hAnsi="Arial" w:cs="Arial"/>
          <w:sz w:val="24"/>
          <w:szCs w:val="24"/>
        </w:rPr>
        <w:t xml:space="preserve"> actor </w:t>
      </w:r>
      <w:r>
        <w:rPr>
          <w:rFonts w:cs="Arial"/>
          <w:b/>
          <w:sz w:val="24"/>
          <w:szCs w:val="24"/>
        </w:rPr>
        <w:t>**********</w:t>
      </w:r>
      <w:r w:rsidRPr="007B0581">
        <w:rPr>
          <w:rFonts w:ascii="Arial" w:hAnsi="Arial" w:cs="Arial"/>
          <w:sz w:val="24"/>
          <w:szCs w:val="24"/>
        </w:rPr>
        <w:t xml:space="preserve">, demandó la nulidad de la resolución </w:t>
      </w:r>
      <w:r>
        <w:rPr>
          <w:rFonts w:ascii="Arial" w:hAnsi="Arial" w:cs="Arial"/>
          <w:sz w:val="24"/>
          <w:szCs w:val="24"/>
        </w:rPr>
        <w:t>emitida por el Consejo Directivo de Pensiones del Estado de Oaxaca,</w:t>
      </w:r>
      <w:r w:rsidRPr="007B0581">
        <w:rPr>
          <w:rFonts w:ascii="Arial" w:hAnsi="Arial" w:cs="Arial"/>
          <w:sz w:val="24"/>
          <w:szCs w:val="24"/>
        </w:rPr>
        <w:t xml:space="preserve"> contenida en el oficio </w:t>
      </w:r>
      <w:r>
        <w:rPr>
          <w:rFonts w:cs="Arial"/>
          <w:b/>
          <w:sz w:val="24"/>
          <w:szCs w:val="24"/>
        </w:rPr>
        <w:t>**********</w:t>
      </w:r>
      <w:r w:rsidRPr="007B0581">
        <w:rPr>
          <w:rFonts w:ascii="Arial" w:hAnsi="Arial" w:cs="Arial"/>
          <w:sz w:val="24"/>
          <w:szCs w:val="24"/>
        </w:rPr>
        <w:t xml:space="preserve"> de </w:t>
      </w:r>
      <w:r>
        <w:rPr>
          <w:rFonts w:ascii="Arial" w:hAnsi="Arial" w:cs="Arial"/>
          <w:sz w:val="24"/>
          <w:szCs w:val="24"/>
        </w:rPr>
        <w:t>uno de julio</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b/>
          <w:bCs/>
          <w:sz w:val="24"/>
          <w:szCs w:val="24"/>
        </w:rPr>
        <w:t xml:space="preserve">, </w:t>
      </w:r>
      <w:r w:rsidRPr="005F6FB4">
        <w:rPr>
          <w:rFonts w:ascii="Arial" w:hAnsi="Arial" w:cs="Arial"/>
          <w:sz w:val="24"/>
          <w:szCs w:val="24"/>
        </w:rPr>
        <w:t>por considerar que</w:t>
      </w:r>
      <w:r>
        <w:rPr>
          <w:rFonts w:ascii="Arial" w:hAnsi="Arial" w:cs="Arial"/>
          <w:sz w:val="24"/>
          <w:szCs w:val="24"/>
        </w:rPr>
        <w:t xml:space="preserve"> viola en su perjuicio lo dispuesto por los artículos 1º y 123, apartado B, fracciones XI y XIV, y 127 de la Constitución Política de los Estados Unidos Mexicanos, que consagran los derechos humanos de igualdad y no discriminación, así como el derecho a disfrutar de una pensión y el derecho a la protección al salario.</w:t>
      </w:r>
    </w:p>
    <w:p w:rsidR="00A758D9" w:rsidRPr="007B0581" w:rsidRDefault="00A758D9" w:rsidP="00A758D9">
      <w:pPr>
        <w:spacing w:line="360" w:lineRule="auto"/>
        <w:jc w:val="both"/>
        <w:rPr>
          <w:rFonts w:ascii="Arial" w:hAnsi="Arial" w:cs="Arial"/>
          <w:color w:val="FF0000"/>
          <w:sz w:val="24"/>
          <w:szCs w:val="24"/>
        </w:rPr>
      </w:pPr>
      <w:r w:rsidRPr="007B0581">
        <w:rPr>
          <w:rFonts w:ascii="Arial" w:hAnsi="Arial" w:cs="Arial"/>
          <w:sz w:val="24"/>
          <w:szCs w:val="24"/>
        </w:rPr>
        <w:t xml:space="preserve"> </w:t>
      </w:r>
    </w:p>
    <w:p w:rsidR="00A758D9" w:rsidRDefault="00A758D9" w:rsidP="00A758D9">
      <w:pPr>
        <w:spacing w:line="360" w:lineRule="auto"/>
        <w:ind w:firstLine="708"/>
        <w:jc w:val="both"/>
        <w:rPr>
          <w:rFonts w:ascii="Arial" w:hAnsi="Arial" w:cs="Arial"/>
          <w:sz w:val="24"/>
          <w:szCs w:val="24"/>
        </w:rPr>
      </w:pPr>
      <w:r w:rsidRPr="007B0581">
        <w:rPr>
          <w:rFonts w:ascii="Arial" w:hAnsi="Arial" w:cs="Arial"/>
          <w:sz w:val="24"/>
          <w:szCs w:val="24"/>
        </w:rPr>
        <w:t>Por su parte,</w:t>
      </w:r>
      <w:r>
        <w:rPr>
          <w:rFonts w:ascii="Arial" w:hAnsi="Arial" w:cs="Arial"/>
          <w:sz w:val="24"/>
          <w:szCs w:val="24"/>
        </w:rPr>
        <w:t xml:space="preserve"> el Apoderado Legal del</w:t>
      </w:r>
      <w:r w:rsidRPr="007B0581">
        <w:rPr>
          <w:rFonts w:ascii="Arial" w:hAnsi="Arial" w:cs="Arial"/>
          <w:sz w:val="24"/>
          <w:szCs w:val="24"/>
        </w:rPr>
        <w:t xml:space="preserve"> Consejo Directivo de Pensiones del Estado de Oaxaca, por</w:t>
      </w:r>
      <w:r>
        <w:rPr>
          <w:rFonts w:ascii="Arial" w:hAnsi="Arial" w:cs="Arial"/>
          <w:sz w:val="24"/>
          <w:szCs w:val="24"/>
        </w:rPr>
        <w:t xml:space="preserve"> sí en representación legal del Consejo Directivo</w:t>
      </w:r>
      <w:r w:rsidRPr="007B0581">
        <w:rPr>
          <w:rFonts w:ascii="Arial" w:hAnsi="Arial" w:cs="Arial"/>
          <w:sz w:val="24"/>
          <w:szCs w:val="24"/>
        </w:rPr>
        <w:t xml:space="preserve">, </w:t>
      </w:r>
      <w:r>
        <w:rPr>
          <w:rFonts w:ascii="Arial" w:hAnsi="Arial" w:cs="Arial"/>
          <w:sz w:val="24"/>
          <w:szCs w:val="24"/>
        </w:rPr>
        <w:t>r</w:t>
      </w:r>
      <w:r w:rsidRPr="005F6FB4">
        <w:rPr>
          <w:rFonts w:ascii="Arial" w:hAnsi="Arial" w:cs="Arial"/>
          <w:sz w:val="24"/>
          <w:szCs w:val="24"/>
        </w:rPr>
        <w:t>efiere</w:t>
      </w:r>
      <w:r>
        <w:rPr>
          <w:rFonts w:ascii="Arial" w:hAnsi="Arial" w:cs="Arial"/>
          <w:sz w:val="24"/>
          <w:szCs w:val="24"/>
        </w:rPr>
        <w:t xml:space="preserve"> que el acto administrativo es legalmente válido, en razón que cumple cabalmente con los elementos y requisitos que la ley prevé de conformidad con lo dispuesto con el artículo 17 de la Ley de Procedimiento y Justicia Administrativa para el Estado de Oaxaca, es decir el acto administrativo se sustenta en los preceptos legales de los cuales deriva, las razones, los motivos y consideraciones de hecho y de derecho que lo justifican.</w:t>
      </w:r>
    </w:p>
    <w:p w:rsidR="00A758D9" w:rsidRPr="007B0581" w:rsidRDefault="00A758D9" w:rsidP="00A758D9">
      <w:pPr>
        <w:spacing w:line="360" w:lineRule="auto"/>
        <w:ind w:firstLine="708"/>
        <w:jc w:val="both"/>
        <w:rPr>
          <w:rFonts w:ascii="Arial" w:hAnsi="Arial" w:cs="Arial"/>
          <w:color w:val="FF0000"/>
          <w:sz w:val="24"/>
          <w:szCs w:val="24"/>
        </w:rPr>
      </w:pPr>
    </w:p>
    <w:p w:rsidR="00A758D9" w:rsidRDefault="00A758D9" w:rsidP="00A758D9">
      <w:pPr>
        <w:spacing w:line="360" w:lineRule="auto"/>
        <w:ind w:firstLine="709"/>
        <w:contextualSpacing/>
        <w:jc w:val="both"/>
        <w:rPr>
          <w:rFonts w:ascii="Arial" w:hAnsi="Arial" w:cs="Arial"/>
          <w:sz w:val="24"/>
          <w:szCs w:val="24"/>
        </w:rPr>
      </w:pPr>
      <w:r w:rsidRPr="007B0581">
        <w:rPr>
          <w:rFonts w:ascii="Arial" w:hAnsi="Arial" w:cs="Arial"/>
          <w:color w:val="FF0000"/>
          <w:sz w:val="24"/>
          <w:szCs w:val="24"/>
        </w:rPr>
        <w:t xml:space="preserve"> </w:t>
      </w:r>
      <w:r w:rsidRPr="00455261">
        <w:rPr>
          <w:rFonts w:ascii="Arial" w:hAnsi="Arial" w:cs="Arial"/>
          <w:sz w:val="24"/>
          <w:szCs w:val="24"/>
        </w:rPr>
        <w:t>Ahora</w:t>
      </w:r>
      <w:r w:rsidRPr="007B0581">
        <w:rPr>
          <w:rFonts w:ascii="Arial" w:hAnsi="Arial" w:cs="Arial"/>
          <w:sz w:val="24"/>
          <w:szCs w:val="24"/>
        </w:rPr>
        <w:t xml:space="preserve"> bien, esta juzgadora </w:t>
      </w:r>
      <w:r>
        <w:rPr>
          <w:rFonts w:ascii="Arial" w:hAnsi="Arial" w:cs="Arial"/>
          <w:sz w:val="24"/>
          <w:szCs w:val="24"/>
        </w:rPr>
        <w:t>después de haber realizado el estudio</w:t>
      </w:r>
      <w:r w:rsidRPr="007B0581">
        <w:rPr>
          <w:rFonts w:ascii="Arial" w:hAnsi="Arial" w:cs="Arial"/>
          <w:sz w:val="24"/>
          <w:szCs w:val="24"/>
        </w:rPr>
        <w:t xml:space="preserve"> al contenido del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uno de julio</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mismo que contiene el </w:t>
      </w:r>
      <w:r>
        <w:rPr>
          <w:rFonts w:ascii="Arial" w:hAnsi="Arial" w:cs="Arial"/>
          <w:sz w:val="24"/>
          <w:szCs w:val="24"/>
        </w:rPr>
        <w:t>d</w:t>
      </w:r>
      <w:r w:rsidRPr="007B0581">
        <w:rPr>
          <w:rFonts w:ascii="Arial" w:hAnsi="Arial" w:cs="Arial"/>
          <w:sz w:val="24"/>
          <w:szCs w:val="24"/>
        </w:rPr>
        <w:t xml:space="preserve">ictamen de </w:t>
      </w:r>
      <w:r>
        <w:rPr>
          <w:rFonts w:ascii="Arial" w:hAnsi="Arial" w:cs="Arial"/>
          <w:sz w:val="24"/>
          <w:szCs w:val="24"/>
        </w:rPr>
        <w:t>p</w:t>
      </w:r>
      <w:r w:rsidRPr="007B0581">
        <w:rPr>
          <w:rFonts w:ascii="Arial" w:hAnsi="Arial" w:cs="Arial"/>
          <w:sz w:val="24"/>
          <w:szCs w:val="24"/>
        </w:rPr>
        <w:t>ensión</w:t>
      </w:r>
      <w:r>
        <w:rPr>
          <w:rFonts w:ascii="Arial" w:hAnsi="Arial" w:cs="Arial"/>
          <w:sz w:val="24"/>
          <w:szCs w:val="24"/>
        </w:rPr>
        <w:t xml:space="preserve"> por jubilación</w:t>
      </w:r>
      <w:r w:rsidRPr="007B0581">
        <w:rPr>
          <w:rFonts w:ascii="Arial" w:hAnsi="Arial" w:cs="Arial"/>
          <w:sz w:val="24"/>
          <w:szCs w:val="24"/>
        </w:rPr>
        <w:t xml:space="preserve"> aprobado por el</w:t>
      </w:r>
      <w:r w:rsidRPr="007B0581">
        <w:rPr>
          <w:rFonts w:ascii="Arial" w:hAnsi="Arial" w:cs="Arial"/>
          <w:b/>
          <w:bCs/>
          <w:sz w:val="24"/>
          <w:szCs w:val="24"/>
        </w:rPr>
        <w:t xml:space="preserve"> </w:t>
      </w:r>
      <w:r w:rsidRPr="007B0581">
        <w:rPr>
          <w:rFonts w:ascii="Arial" w:hAnsi="Arial" w:cs="Arial"/>
          <w:sz w:val="24"/>
          <w:szCs w:val="24"/>
        </w:rPr>
        <w:t>Consejo Directivo de Pensiones del Estado de Oaxaca</w:t>
      </w:r>
      <w:r>
        <w:rPr>
          <w:rFonts w:ascii="Arial" w:hAnsi="Arial" w:cs="Arial"/>
          <w:b/>
          <w:bCs/>
          <w:sz w:val="24"/>
          <w:szCs w:val="24"/>
        </w:rPr>
        <w:t xml:space="preserve">, </w:t>
      </w:r>
      <w:r w:rsidRPr="007B0581">
        <w:rPr>
          <w:rFonts w:ascii="Arial" w:hAnsi="Arial" w:cs="Arial"/>
          <w:sz w:val="24"/>
          <w:szCs w:val="24"/>
        </w:rPr>
        <w:t>advierte que</w:t>
      </w:r>
      <w:r>
        <w:rPr>
          <w:rFonts w:ascii="Arial" w:hAnsi="Arial" w:cs="Arial"/>
          <w:sz w:val="24"/>
          <w:szCs w:val="24"/>
        </w:rPr>
        <w:t xml:space="preserve"> </w:t>
      </w:r>
      <w:r w:rsidRPr="007B0581">
        <w:rPr>
          <w:rFonts w:ascii="Arial" w:hAnsi="Arial" w:cs="Arial"/>
          <w:sz w:val="24"/>
          <w:szCs w:val="24"/>
        </w:rPr>
        <w:t>son</w:t>
      </w:r>
      <w:r>
        <w:rPr>
          <w:rFonts w:ascii="Arial" w:hAnsi="Arial" w:cs="Arial"/>
          <w:sz w:val="24"/>
          <w:szCs w:val="24"/>
        </w:rPr>
        <w:t xml:space="preserve"> </w:t>
      </w:r>
      <w:r w:rsidRPr="008867E7">
        <w:rPr>
          <w:rFonts w:ascii="Arial" w:hAnsi="Arial" w:cs="Arial"/>
          <w:b/>
          <w:bCs/>
          <w:sz w:val="24"/>
          <w:szCs w:val="24"/>
        </w:rPr>
        <w:t>parcialment</w:t>
      </w:r>
      <w:r w:rsidRPr="00E003D8">
        <w:rPr>
          <w:rFonts w:ascii="Arial" w:hAnsi="Arial" w:cs="Arial"/>
          <w:b/>
          <w:bCs/>
          <w:sz w:val="24"/>
          <w:szCs w:val="24"/>
        </w:rPr>
        <w:t>e</w:t>
      </w:r>
      <w:r w:rsidRPr="007B0581">
        <w:rPr>
          <w:rFonts w:ascii="Arial" w:hAnsi="Arial" w:cs="Arial"/>
          <w:sz w:val="24"/>
          <w:szCs w:val="24"/>
        </w:rPr>
        <w:t xml:space="preserve"> </w:t>
      </w:r>
      <w:bookmarkStart w:id="4" w:name="_Hlk84507799"/>
      <w:r w:rsidRPr="003F738C">
        <w:rPr>
          <w:rFonts w:ascii="Arial" w:hAnsi="Arial" w:cs="Arial"/>
          <w:b/>
          <w:bCs/>
          <w:sz w:val="24"/>
          <w:szCs w:val="24"/>
        </w:rPr>
        <w:t>fundados</w:t>
      </w:r>
      <w:r w:rsidRPr="007B0581">
        <w:rPr>
          <w:rFonts w:ascii="Arial" w:hAnsi="Arial" w:cs="Arial"/>
          <w:sz w:val="24"/>
          <w:szCs w:val="24"/>
        </w:rPr>
        <w:t xml:space="preserve"> los conceptos de impugnación </w:t>
      </w:r>
      <w:r>
        <w:rPr>
          <w:rFonts w:ascii="Arial" w:hAnsi="Arial" w:cs="Arial"/>
          <w:sz w:val="24"/>
          <w:szCs w:val="24"/>
        </w:rPr>
        <w:t>hechos valer</w:t>
      </w:r>
      <w:r w:rsidRPr="007B0581">
        <w:rPr>
          <w:rFonts w:ascii="Arial" w:hAnsi="Arial" w:cs="Arial"/>
          <w:sz w:val="24"/>
          <w:szCs w:val="24"/>
        </w:rPr>
        <w:t xml:space="preserve"> por </w:t>
      </w:r>
      <w:r>
        <w:rPr>
          <w:rFonts w:ascii="Arial" w:hAnsi="Arial" w:cs="Arial"/>
          <w:sz w:val="24"/>
          <w:szCs w:val="24"/>
        </w:rPr>
        <w:t>el</w:t>
      </w:r>
      <w:r w:rsidRPr="007B0581">
        <w:rPr>
          <w:rFonts w:ascii="Arial" w:hAnsi="Arial" w:cs="Arial"/>
          <w:sz w:val="24"/>
          <w:szCs w:val="24"/>
        </w:rPr>
        <w:t xml:space="preserve"> actor</w:t>
      </w:r>
      <w:r>
        <w:rPr>
          <w:rFonts w:ascii="Arial" w:hAnsi="Arial" w:cs="Arial"/>
          <w:sz w:val="24"/>
          <w:szCs w:val="24"/>
        </w:rPr>
        <w:t>,</w:t>
      </w:r>
      <w:r w:rsidRPr="007B0581">
        <w:rPr>
          <w:rFonts w:ascii="Arial" w:hAnsi="Arial" w:cs="Arial"/>
          <w:sz w:val="24"/>
          <w:szCs w:val="24"/>
        </w:rPr>
        <w:t xml:space="preserve"> </w:t>
      </w:r>
      <w:r>
        <w:rPr>
          <w:rFonts w:ascii="Arial" w:hAnsi="Arial" w:cs="Arial"/>
          <w:sz w:val="24"/>
          <w:szCs w:val="24"/>
        </w:rPr>
        <w:t xml:space="preserve">se dice lo anterior en razón que, el actor aduce que la autoridad demandada al concederle su pensión por jubilación no le integró las percepciones que percibía consistentes en Días de Ajuste, Canasta Básica, P.S.M., PBS, SBS, Estímulo, Quinquenios, Aguinaldo, Prima Vacacional, A.S.R.S.P.J. y A.S.R.S.P.J., resulta </w:t>
      </w:r>
      <w:r w:rsidRPr="00723C1D">
        <w:rPr>
          <w:rFonts w:ascii="Arial" w:hAnsi="Arial" w:cs="Arial"/>
          <w:b/>
          <w:bCs/>
          <w:sz w:val="24"/>
          <w:szCs w:val="24"/>
        </w:rPr>
        <w:t>infundado</w:t>
      </w:r>
      <w:r>
        <w:rPr>
          <w:rFonts w:ascii="Arial" w:hAnsi="Arial" w:cs="Arial"/>
          <w:sz w:val="24"/>
          <w:szCs w:val="24"/>
        </w:rPr>
        <w:t xml:space="preserve"> este concepto de impugnación hecho valer por el actor, se dice lo anterior en virtud que las citadas percepciones no forman parte del sueldo presupuestal del actor, pues </w:t>
      </w:r>
      <w:r>
        <w:rPr>
          <w:rFonts w:ascii="Arial" w:hAnsi="Arial" w:cs="Arial"/>
          <w:sz w:val="24"/>
          <w:szCs w:val="24"/>
        </w:rPr>
        <w:lastRenderedPageBreak/>
        <w:t>éstas son prestaciones convencionales cuyo fin es proporcionar al trabajador cierta cantidad en dinero como estímulo para cubrir sus gastos, es decir, son prestaciones que no forman parte del sueldo base y que solo se perciben cuando se es personal en activo, aunado a que la Ley de Pensiones para los Trabajadores del Gobierno del Estado de Oaxaca en su artículo 54, fracción I, regula las prestaciones que deben ser integradas a las pensiones.</w:t>
      </w:r>
    </w:p>
    <w:p w:rsidR="00A758D9" w:rsidRDefault="00A758D9" w:rsidP="00A758D9">
      <w:pPr>
        <w:spacing w:line="360" w:lineRule="auto"/>
        <w:ind w:firstLine="709"/>
        <w:contextualSpacing/>
        <w:jc w:val="both"/>
        <w:rPr>
          <w:rFonts w:ascii="Arial" w:hAnsi="Arial" w:cs="Arial"/>
          <w:sz w:val="24"/>
          <w:szCs w:val="24"/>
        </w:rPr>
      </w:pPr>
      <w:r>
        <w:rPr>
          <w:rFonts w:ascii="Arial" w:hAnsi="Arial" w:cs="Arial"/>
          <w:sz w:val="24"/>
          <w:szCs w:val="24"/>
        </w:rPr>
        <w:t xml:space="preserve"> </w:t>
      </w:r>
    </w:p>
    <w:p w:rsidR="00A758D9" w:rsidRDefault="00A758D9" w:rsidP="00A758D9">
      <w:pPr>
        <w:spacing w:line="360" w:lineRule="auto"/>
        <w:ind w:firstLine="709"/>
        <w:contextualSpacing/>
        <w:jc w:val="both"/>
        <w:rPr>
          <w:rFonts w:ascii="Arial" w:hAnsi="Arial" w:cs="Arial"/>
          <w:i/>
          <w:sz w:val="24"/>
          <w:szCs w:val="24"/>
        </w:rPr>
      </w:pPr>
      <w:r>
        <w:rPr>
          <w:rFonts w:ascii="Arial" w:hAnsi="Arial" w:cs="Arial"/>
          <w:sz w:val="24"/>
          <w:szCs w:val="24"/>
        </w:rPr>
        <w:t xml:space="preserve">Por cuanto hace al primer concepto de impugnación hecho valer por el actor consistente en que, se le excluyó a su pensión por jubilación las prestaciones establecidas en el artículo 54, fracción I, de la Ley de Pensiones para los Trabajadores del Gobierno del Estado de Oaxaca, </w:t>
      </w:r>
      <w:r w:rsidRPr="00047FB5">
        <w:rPr>
          <w:rFonts w:ascii="Arial" w:hAnsi="Arial" w:cs="Arial"/>
          <w:sz w:val="24"/>
          <w:szCs w:val="24"/>
        </w:rPr>
        <w:t>consistentes e</w:t>
      </w:r>
      <w:r>
        <w:rPr>
          <w:rFonts w:ascii="Arial" w:hAnsi="Arial" w:cs="Arial"/>
          <w:sz w:val="24"/>
          <w:szCs w:val="24"/>
        </w:rPr>
        <w:t xml:space="preserve">n Previsión Social Múltiple, despensa, vida cara, quinquenios, aguinaldo, estimulo del día del jubilado y canasta navideña, es </w:t>
      </w:r>
      <w:r w:rsidRPr="00723C1D">
        <w:rPr>
          <w:rFonts w:ascii="Arial" w:hAnsi="Arial" w:cs="Arial"/>
          <w:b/>
          <w:bCs/>
          <w:sz w:val="24"/>
          <w:szCs w:val="24"/>
        </w:rPr>
        <w:t>fun</w:t>
      </w:r>
      <w:r w:rsidRPr="00455261">
        <w:rPr>
          <w:rFonts w:ascii="Arial" w:hAnsi="Arial" w:cs="Arial"/>
          <w:b/>
          <w:bCs/>
          <w:sz w:val="24"/>
          <w:szCs w:val="24"/>
        </w:rPr>
        <w:t>dado</w:t>
      </w:r>
      <w:r>
        <w:rPr>
          <w:rFonts w:ascii="Arial" w:hAnsi="Arial" w:cs="Arial"/>
          <w:sz w:val="24"/>
          <w:szCs w:val="24"/>
        </w:rPr>
        <w:t xml:space="preserve"> su agravio, se dice lo anterior, en razón que si bien es cierto el citado numeral contempla que las citadas prestaciones se integrarán a j</w:t>
      </w:r>
      <w:r w:rsidRPr="00395B83">
        <w:rPr>
          <w:rFonts w:ascii="Arial" w:hAnsi="Arial" w:cs="Arial"/>
          <w:sz w:val="24"/>
          <w:szCs w:val="24"/>
        </w:rPr>
        <w:t>ubilados tratándose solo de aquéllos que fueron trabajadores de base</w:t>
      </w:r>
      <w:r>
        <w:rPr>
          <w:rFonts w:ascii="Arial" w:hAnsi="Arial" w:cs="Arial"/>
          <w:sz w:val="24"/>
          <w:szCs w:val="24"/>
        </w:rPr>
        <w:t>, también lo es que se advierte un trato discriminatorio por parte de la autoridad demandada, pues al no haberle</w:t>
      </w:r>
      <w:r w:rsidRPr="007B0581">
        <w:rPr>
          <w:rFonts w:ascii="Arial" w:hAnsi="Arial" w:cs="Arial"/>
          <w:sz w:val="24"/>
          <w:szCs w:val="24"/>
        </w:rPr>
        <w:t xml:space="preserve"> </w:t>
      </w:r>
      <w:r>
        <w:rPr>
          <w:rFonts w:ascii="Arial" w:hAnsi="Arial" w:cs="Arial"/>
          <w:sz w:val="24"/>
          <w:szCs w:val="24"/>
        </w:rPr>
        <w:t>in</w:t>
      </w:r>
      <w:r w:rsidRPr="006C29A8">
        <w:rPr>
          <w:rFonts w:ascii="Arial" w:hAnsi="Arial" w:cs="Arial"/>
          <w:sz w:val="24"/>
          <w:szCs w:val="24"/>
        </w:rPr>
        <w:t>c</w:t>
      </w:r>
      <w:r w:rsidRPr="007B0581">
        <w:rPr>
          <w:rFonts w:ascii="Arial" w:hAnsi="Arial" w:cs="Arial"/>
          <w:sz w:val="24"/>
          <w:szCs w:val="24"/>
        </w:rPr>
        <w:t>lui</w:t>
      </w:r>
      <w:r>
        <w:rPr>
          <w:rFonts w:ascii="Arial" w:hAnsi="Arial" w:cs="Arial"/>
          <w:sz w:val="24"/>
          <w:szCs w:val="24"/>
        </w:rPr>
        <w:t xml:space="preserve">do a la pensión por jubilación del actor las citadas prestaciones, </w:t>
      </w:r>
      <w:r w:rsidRPr="00A2628E">
        <w:rPr>
          <w:rFonts w:ascii="Arial" w:hAnsi="Arial" w:cs="Arial"/>
          <w:sz w:val="24"/>
          <w:szCs w:val="24"/>
        </w:rPr>
        <w:t>y</w:t>
      </w:r>
      <w:r>
        <w:rPr>
          <w:rFonts w:ascii="Arial" w:hAnsi="Arial" w:cs="Arial"/>
          <w:sz w:val="24"/>
          <w:szCs w:val="24"/>
        </w:rPr>
        <w:t xml:space="preserve"> con ello efectuar la demandada de </w:t>
      </w:r>
      <w:r w:rsidRPr="00021A32">
        <w:rPr>
          <w:rFonts w:ascii="Arial" w:hAnsi="Arial" w:cs="Arial"/>
          <w:sz w:val="24"/>
          <w:szCs w:val="24"/>
        </w:rPr>
        <w:t>manera</w:t>
      </w:r>
      <w:r>
        <w:rPr>
          <w:rFonts w:ascii="Arial" w:hAnsi="Arial" w:cs="Arial"/>
          <w:sz w:val="24"/>
          <w:szCs w:val="24"/>
        </w:rPr>
        <w:t xml:space="preserve"> tácita tal distinción entre personal de base y de confianza, contraviene el principio de igualdad que tiene un carácter fundamental adjetivo o procedimental y por lo tanto debe ser observado acorde a lo establecido con el artículo 1 de la Constitución Política de los Estados Unidos Mexicanos, pues dicha disposición no contiene ningún motivo o razón que la sustente, ya que el actor cumplió con todos los requisitos establecidos en la ley como son edad, años de servicio y las aportaciones correspondientes para obtener los mismos beneficios que un trabajador de base, ya que considerar lo contrario, establece un trato discriminatorio a la relación laboral; debiendo el Consejo Directivo de la Oficina de Pensiones del Estado de Oaxaca, realizar una interpretación más favorable para el actor </w:t>
      </w:r>
      <w:r w:rsidRPr="007B0581">
        <w:rPr>
          <w:rFonts w:ascii="Arial" w:hAnsi="Arial" w:cs="Arial"/>
          <w:sz w:val="24"/>
          <w:szCs w:val="24"/>
        </w:rPr>
        <w:t>reconociendo el menoscabo de los derechos pr</w:t>
      </w:r>
      <w:r>
        <w:rPr>
          <w:rFonts w:ascii="Arial" w:hAnsi="Arial" w:cs="Arial"/>
          <w:sz w:val="24"/>
          <w:szCs w:val="24"/>
        </w:rPr>
        <w:t>otegidos y actuar a favor de éste, concediéndole al otorgarle la pensión las mismas prestaciones que establece la fracción I del artículo 54 de la Ley de pensiones para los Trabajadores del Gobierno del Estado de Oaxaca</w:t>
      </w:r>
      <w:r w:rsidRPr="00295219">
        <w:rPr>
          <w:rFonts w:ascii="Arial" w:hAnsi="Arial" w:cs="Arial"/>
          <w:sz w:val="24"/>
          <w:szCs w:val="24"/>
        </w:rPr>
        <w:t>,</w:t>
      </w:r>
      <w:r>
        <w:rPr>
          <w:rFonts w:ascii="Arial" w:hAnsi="Arial" w:cs="Arial"/>
          <w:sz w:val="24"/>
          <w:szCs w:val="24"/>
        </w:rPr>
        <w:t xml:space="preserve"> tales como</w:t>
      </w:r>
      <w:r w:rsidRPr="007B0581">
        <w:rPr>
          <w:rFonts w:ascii="Arial" w:hAnsi="Arial" w:cs="Arial"/>
          <w:sz w:val="24"/>
          <w:szCs w:val="24"/>
        </w:rPr>
        <w:t xml:space="preserve"> previsión social múltiple, despensa, vida cara, quinquenios, aguinaldo, estimulo del día del jubi</w:t>
      </w:r>
      <w:r>
        <w:rPr>
          <w:rFonts w:ascii="Arial" w:hAnsi="Arial" w:cs="Arial"/>
          <w:sz w:val="24"/>
          <w:szCs w:val="24"/>
        </w:rPr>
        <w:t>lado y canasta navideña</w:t>
      </w:r>
      <w:r w:rsidRPr="007B0581">
        <w:rPr>
          <w:rFonts w:ascii="Arial" w:hAnsi="Arial" w:cs="Arial"/>
          <w:sz w:val="24"/>
          <w:szCs w:val="24"/>
        </w:rPr>
        <w:t>. Sirv</w:t>
      </w:r>
      <w:r>
        <w:rPr>
          <w:rFonts w:ascii="Arial" w:hAnsi="Arial" w:cs="Arial"/>
          <w:sz w:val="24"/>
          <w:szCs w:val="24"/>
        </w:rPr>
        <w:t>e</w:t>
      </w:r>
      <w:r w:rsidRPr="007B0581">
        <w:rPr>
          <w:rFonts w:ascii="Arial" w:hAnsi="Arial" w:cs="Arial"/>
          <w:sz w:val="24"/>
          <w:szCs w:val="24"/>
        </w:rPr>
        <w:t xml:space="preserve"> de apoyo a lo antes vertido la Jurisprudencia en materia Constitucional y Laboral, Novena Época, registro electrónico 170892 de rubro: </w:t>
      </w:r>
      <w:r w:rsidRPr="007B0581">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r>
        <w:rPr>
          <w:rFonts w:ascii="Arial" w:hAnsi="Arial" w:cs="Arial"/>
          <w:i/>
          <w:sz w:val="24"/>
          <w:szCs w:val="24"/>
        </w:rPr>
        <w:t>.</w:t>
      </w:r>
    </w:p>
    <w:p w:rsidR="00A758D9" w:rsidRPr="007B0581" w:rsidRDefault="00A758D9" w:rsidP="00A758D9">
      <w:pPr>
        <w:spacing w:line="360" w:lineRule="auto"/>
        <w:ind w:firstLine="709"/>
        <w:contextualSpacing/>
        <w:jc w:val="both"/>
        <w:rPr>
          <w:rFonts w:ascii="Arial" w:hAnsi="Arial" w:cs="Arial"/>
          <w:sz w:val="24"/>
          <w:szCs w:val="24"/>
        </w:rPr>
      </w:pPr>
    </w:p>
    <w:p w:rsidR="00A758D9" w:rsidRDefault="00A758D9" w:rsidP="00A758D9">
      <w:pPr>
        <w:spacing w:line="360" w:lineRule="auto"/>
        <w:ind w:firstLine="708"/>
        <w:jc w:val="both"/>
        <w:rPr>
          <w:rFonts w:ascii="Arial" w:hAnsi="Arial" w:cs="Arial"/>
          <w:sz w:val="24"/>
          <w:szCs w:val="24"/>
        </w:rPr>
      </w:pPr>
      <w:bookmarkStart w:id="5" w:name="_Hlk84507605"/>
      <w:r w:rsidRPr="007B0581">
        <w:rPr>
          <w:rFonts w:ascii="Arial" w:hAnsi="Arial" w:cs="Arial"/>
          <w:sz w:val="24"/>
          <w:szCs w:val="24"/>
        </w:rPr>
        <w:t>El derecho a la No Discriminación reconocido en el artículo 1</w:t>
      </w:r>
      <w:r>
        <w:rPr>
          <w:rFonts w:ascii="Arial" w:hAnsi="Arial" w:cs="Arial"/>
          <w:sz w:val="24"/>
          <w:szCs w:val="24"/>
        </w:rPr>
        <w:t>º</w:t>
      </w:r>
      <w:r w:rsidRPr="007B0581">
        <w:rPr>
          <w:rFonts w:ascii="Arial" w:hAnsi="Arial" w:cs="Arial"/>
          <w:sz w:val="24"/>
          <w:szCs w:val="24"/>
        </w:rPr>
        <w:t xml:space="preserve"> de la Constitución Política de los Estados Unidos Mexicanos, </w:t>
      </w:r>
      <w:r>
        <w:rPr>
          <w:rFonts w:ascii="Arial" w:hAnsi="Arial" w:cs="Arial"/>
          <w:sz w:val="24"/>
          <w:szCs w:val="24"/>
        </w:rPr>
        <w:t>prohíbe</w:t>
      </w:r>
      <w:r w:rsidRPr="007B0581">
        <w:rPr>
          <w:rFonts w:ascii="Arial" w:hAnsi="Arial" w:cs="Arial"/>
          <w:sz w:val="24"/>
          <w:szCs w:val="24"/>
        </w:rPr>
        <w:t xml:space="preserv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 que los requisitos para que se les otorgue la pensión y determinar su cálculo no deben ser distintas, porque aun cuando el artículo </w:t>
      </w:r>
      <w:r w:rsidRPr="008867E7">
        <w:rPr>
          <w:rFonts w:ascii="Arial" w:hAnsi="Arial" w:cs="Arial"/>
          <w:sz w:val="24"/>
          <w:szCs w:val="24"/>
        </w:rPr>
        <w:t>123 Constitucional</w:t>
      </w:r>
      <w:r w:rsidRPr="007B0581">
        <w:rPr>
          <w:rFonts w:ascii="Arial" w:hAnsi="Arial" w:cs="Arial"/>
          <w:sz w:val="24"/>
          <w:szCs w:val="24"/>
        </w:rPr>
        <w:t xml:space="preserve">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w:t>
      </w:r>
      <w:r w:rsidRPr="00270EE2">
        <w:rPr>
          <w:rFonts w:ascii="Arial" w:hAnsi="Arial" w:cs="Arial"/>
          <w:sz w:val="24"/>
          <w:szCs w:val="24"/>
        </w:rPr>
        <w:t>o</w:t>
      </w:r>
      <w:r>
        <w:rPr>
          <w:rFonts w:ascii="Arial" w:hAnsi="Arial" w:cs="Arial"/>
          <w:sz w:val="24"/>
          <w:szCs w:val="24"/>
        </w:rPr>
        <w:t xml:space="preserve">, </w:t>
      </w:r>
      <w:r w:rsidRPr="007B0581">
        <w:rPr>
          <w:rFonts w:ascii="Arial" w:hAnsi="Arial" w:cs="Arial"/>
          <w:sz w:val="24"/>
          <w:szCs w:val="24"/>
        </w:rPr>
        <w:t xml:space="preserve">pues se redujeron los beneficios a que tiene derecho </w:t>
      </w:r>
      <w:r>
        <w:rPr>
          <w:rFonts w:ascii="Arial" w:hAnsi="Arial" w:cs="Arial"/>
          <w:sz w:val="24"/>
          <w:szCs w:val="24"/>
        </w:rPr>
        <w:t>el</w:t>
      </w:r>
      <w:r w:rsidRPr="007B0581">
        <w:rPr>
          <w:rFonts w:ascii="Arial" w:hAnsi="Arial" w:cs="Arial"/>
          <w:sz w:val="24"/>
          <w:szCs w:val="24"/>
        </w:rPr>
        <w:t xml:space="preserve"> actor</w:t>
      </w:r>
      <w:r>
        <w:rPr>
          <w:rFonts w:ascii="Arial" w:hAnsi="Arial" w:cs="Arial"/>
          <w:sz w:val="24"/>
          <w:szCs w:val="24"/>
        </w:rPr>
        <w:t>,  asimismo se deja de observar que las autoridades del estado mexicano en el ámbito de sus competencias deben garantizar el respeto, protección y garantizar sus derechos</w:t>
      </w:r>
      <w:r w:rsidRPr="007B0581">
        <w:rPr>
          <w:rFonts w:ascii="Arial" w:hAnsi="Arial" w:cs="Arial"/>
          <w:sz w:val="24"/>
          <w:szCs w:val="24"/>
        </w:rPr>
        <w:t xml:space="preserve">; resultando evidente la </w:t>
      </w:r>
      <w:proofErr w:type="spellStart"/>
      <w:r w:rsidRPr="007B0581">
        <w:rPr>
          <w:rFonts w:ascii="Arial" w:hAnsi="Arial" w:cs="Arial"/>
          <w:sz w:val="24"/>
          <w:szCs w:val="24"/>
        </w:rPr>
        <w:t>inconvencionalidad</w:t>
      </w:r>
      <w:proofErr w:type="spellEnd"/>
      <w:r w:rsidRPr="007B0581">
        <w:rPr>
          <w:rFonts w:ascii="Arial" w:hAnsi="Arial" w:cs="Arial"/>
          <w:sz w:val="24"/>
          <w:szCs w:val="24"/>
        </w:rPr>
        <w:t xml:space="preserve"> de la no aplicación de lo establecido en el artículo 54, fracción I de la Ley de Pensiones para los Trabajadores del Gobierno del Estado de Oaxaca, al violentar el Principio de Igualdad jurídica contenido en el artículo 1</w:t>
      </w:r>
      <w:r>
        <w:rPr>
          <w:rFonts w:ascii="Arial" w:hAnsi="Arial" w:cs="Arial"/>
          <w:sz w:val="24"/>
          <w:szCs w:val="24"/>
        </w:rPr>
        <w:t>º</w:t>
      </w:r>
      <w:r w:rsidRPr="007B0581">
        <w:rPr>
          <w:rFonts w:ascii="Arial" w:hAnsi="Arial" w:cs="Arial"/>
          <w:sz w:val="24"/>
          <w:szCs w:val="24"/>
        </w:rPr>
        <w:t xml:space="preserve"> de nuestra Carga Magna, pues establece un trato desigual al otorgar la pensión</w:t>
      </w:r>
      <w:r>
        <w:rPr>
          <w:rFonts w:ascii="Arial" w:hAnsi="Arial" w:cs="Arial"/>
          <w:sz w:val="24"/>
          <w:szCs w:val="24"/>
        </w:rPr>
        <w:t xml:space="preserve"> con todas sus prestaciones</w:t>
      </w:r>
      <w:r w:rsidRPr="007B0581">
        <w:rPr>
          <w:rFonts w:ascii="Arial" w:hAnsi="Arial" w:cs="Arial"/>
          <w:sz w:val="24"/>
          <w:szCs w:val="24"/>
        </w:rPr>
        <w:t xml:space="preserve"> a un trabajador de base</w:t>
      </w:r>
      <w:r>
        <w:rPr>
          <w:rFonts w:ascii="Arial" w:hAnsi="Arial" w:cs="Arial"/>
          <w:sz w:val="24"/>
          <w:szCs w:val="24"/>
        </w:rPr>
        <w:t>,</w:t>
      </w:r>
      <w:r w:rsidRPr="007B0581">
        <w:rPr>
          <w:rFonts w:ascii="Arial" w:hAnsi="Arial" w:cs="Arial"/>
          <w:sz w:val="24"/>
          <w:szCs w:val="24"/>
        </w:rPr>
        <w:t xml:space="preserve"> </w:t>
      </w:r>
      <w:r>
        <w:rPr>
          <w:rFonts w:ascii="Arial" w:hAnsi="Arial" w:cs="Arial"/>
          <w:sz w:val="24"/>
          <w:szCs w:val="24"/>
        </w:rPr>
        <w:t>no así a</w:t>
      </w:r>
      <w:r w:rsidRPr="007B0581">
        <w:rPr>
          <w:rFonts w:ascii="Arial" w:hAnsi="Arial" w:cs="Arial"/>
          <w:sz w:val="24"/>
          <w:szCs w:val="24"/>
        </w:rPr>
        <w:t xml:space="preserve"> uno de confianza, desconociendo la igualdad de</w:t>
      </w:r>
      <w:r>
        <w:rPr>
          <w:rFonts w:ascii="Arial" w:hAnsi="Arial" w:cs="Arial"/>
          <w:sz w:val="24"/>
          <w:szCs w:val="24"/>
        </w:rPr>
        <w:t xml:space="preserve"> derechos de</w:t>
      </w:r>
      <w:r w:rsidRPr="007B0581">
        <w:rPr>
          <w:rFonts w:ascii="Arial" w:hAnsi="Arial" w:cs="Arial"/>
          <w:sz w:val="24"/>
          <w:szCs w:val="24"/>
        </w:rPr>
        <w:t xml:space="preserve"> todas las personas</w:t>
      </w:r>
      <w:r>
        <w:rPr>
          <w:rFonts w:ascii="Arial" w:hAnsi="Arial" w:cs="Arial"/>
          <w:sz w:val="24"/>
          <w:szCs w:val="24"/>
        </w:rPr>
        <w:t>, resultando inaplicables los criterios adoptados por la demandada en su contestación de demanda</w:t>
      </w:r>
      <w:r w:rsidRPr="007B0581">
        <w:rPr>
          <w:rFonts w:ascii="Arial" w:hAnsi="Arial" w:cs="Arial"/>
          <w:sz w:val="24"/>
          <w:szCs w:val="24"/>
        </w:rPr>
        <w:t>.</w:t>
      </w:r>
    </w:p>
    <w:p w:rsidR="00A758D9" w:rsidRPr="007B0581" w:rsidRDefault="00A758D9" w:rsidP="00A758D9">
      <w:pPr>
        <w:spacing w:line="360" w:lineRule="auto"/>
        <w:ind w:firstLine="708"/>
        <w:jc w:val="both"/>
        <w:rPr>
          <w:rFonts w:ascii="Arial" w:hAnsi="Arial" w:cs="Arial"/>
          <w:sz w:val="24"/>
          <w:szCs w:val="24"/>
        </w:rPr>
      </w:pPr>
    </w:p>
    <w:bookmarkEnd w:id="5"/>
    <w:p w:rsidR="00A758D9" w:rsidRPr="007B0581" w:rsidRDefault="00A758D9" w:rsidP="00A758D9">
      <w:pPr>
        <w:spacing w:line="360" w:lineRule="auto"/>
        <w:ind w:firstLine="708"/>
        <w:jc w:val="both"/>
        <w:rPr>
          <w:rFonts w:ascii="Arial" w:hAnsi="Arial" w:cs="Arial"/>
          <w:sz w:val="24"/>
          <w:szCs w:val="24"/>
        </w:rPr>
      </w:pPr>
      <w:r>
        <w:rPr>
          <w:rFonts w:ascii="Arial" w:hAnsi="Arial" w:cs="Arial"/>
          <w:sz w:val="24"/>
          <w:szCs w:val="24"/>
        </w:rPr>
        <w:t>En lo que se</w:t>
      </w:r>
      <w:r w:rsidRPr="007B0581">
        <w:rPr>
          <w:rFonts w:ascii="Arial" w:hAnsi="Arial" w:cs="Arial"/>
          <w:sz w:val="24"/>
          <w:szCs w:val="24"/>
        </w:rPr>
        <w:t xml:space="preserve"> refiere al segundo concepto de impugnación hecho valer por </w:t>
      </w:r>
      <w:r>
        <w:rPr>
          <w:rFonts w:ascii="Arial" w:hAnsi="Arial" w:cs="Arial"/>
          <w:sz w:val="24"/>
          <w:szCs w:val="24"/>
        </w:rPr>
        <w:t>el</w:t>
      </w:r>
      <w:r w:rsidRPr="007B0581">
        <w:rPr>
          <w:rFonts w:ascii="Arial" w:hAnsi="Arial" w:cs="Arial"/>
          <w:sz w:val="24"/>
          <w:szCs w:val="24"/>
        </w:rPr>
        <w:t xml:space="preserve"> actor, consiste</w:t>
      </w:r>
      <w:r>
        <w:rPr>
          <w:rFonts w:ascii="Arial" w:hAnsi="Arial" w:cs="Arial"/>
          <w:sz w:val="24"/>
          <w:szCs w:val="24"/>
        </w:rPr>
        <w:t>nte en la reducción del 9% de la</w:t>
      </w:r>
      <w:r w:rsidRPr="007B0581">
        <w:rPr>
          <w:rFonts w:ascii="Arial" w:hAnsi="Arial" w:cs="Arial"/>
          <w:sz w:val="24"/>
          <w:szCs w:val="24"/>
        </w:rPr>
        <w:t xml:space="preserve"> pensión</w:t>
      </w:r>
      <w:r>
        <w:rPr>
          <w:rFonts w:ascii="Arial" w:hAnsi="Arial" w:cs="Arial"/>
          <w:sz w:val="24"/>
          <w:szCs w:val="24"/>
        </w:rPr>
        <w:t xml:space="preserve"> otorgada</w:t>
      </w:r>
      <w:r w:rsidRPr="007B0581">
        <w:rPr>
          <w:rFonts w:ascii="Arial" w:hAnsi="Arial" w:cs="Arial"/>
          <w:sz w:val="24"/>
          <w:szCs w:val="24"/>
        </w:rPr>
        <w:t>,</w:t>
      </w:r>
      <w:r>
        <w:rPr>
          <w:rFonts w:ascii="Arial" w:hAnsi="Arial" w:cs="Arial"/>
          <w:sz w:val="24"/>
          <w:szCs w:val="24"/>
        </w:rPr>
        <w:t xml:space="preserve"> se concede la razón al actor, en cuanto</w:t>
      </w:r>
      <w:r w:rsidRPr="007B0581">
        <w:rPr>
          <w:rFonts w:ascii="Arial" w:hAnsi="Arial" w:cs="Arial"/>
          <w:sz w:val="24"/>
          <w:szCs w:val="24"/>
        </w:rPr>
        <w:t xml:space="preserve"> a su inconstitucionalidad, en razón que el aludido descuento fue sustentado en los artículos 6, fracción III, 18, párrafo segundo y Octavo Transitorio</w:t>
      </w:r>
      <w:r>
        <w:rPr>
          <w:rFonts w:ascii="Arial" w:hAnsi="Arial" w:cs="Arial"/>
          <w:sz w:val="24"/>
          <w:szCs w:val="24"/>
        </w:rPr>
        <w:t>, todos</w:t>
      </w:r>
      <w:r w:rsidRPr="007B0581">
        <w:rPr>
          <w:rFonts w:ascii="Arial" w:hAnsi="Arial" w:cs="Arial"/>
          <w:sz w:val="24"/>
          <w:szCs w:val="24"/>
        </w:rPr>
        <w:t xml:space="preserve"> de la Ley de Pensiones para los Trabajadores del Gobierno del Estado de Oaxaca, artículos que </w:t>
      </w:r>
      <w:r>
        <w:rPr>
          <w:rFonts w:ascii="Arial" w:hAnsi="Arial" w:cs="Arial"/>
          <w:sz w:val="24"/>
          <w:szCs w:val="24"/>
        </w:rPr>
        <w:t>fueron</w:t>
      </w:r>
      <w:r w:rsidRPr="007B0581">
        <w:rPr>
          <w:rFonts w:ascii="Arial" w:hAnsi="Arial" w:cs="Arial"/>
          <w:sz w:val="24"/>
          <w:szCs w:val="24"/>
        </w:rPr>
        <w:t xml:space="preserve"> considerados violatorios del derecho humano a la seguridad social</w:t>
      </w:r>
      <w:r w:rsidRPr="00275CCE">
        <w:rPr>
          <w:rFonts w:ascii="Arial" w:hAnsi="Arial" w:cs="Arial"/>
          <w:sz w:val="24"/>
          <w:szCs w:val="24"/>
        </w:rPr>
        <w:t xml:space="preserve"> </w:t>
      </w:r>
      <w:r w:rsidRPr="007B0581">
        <w:rPr>
          <w:rFonts w:ascii="Arial" w:hAnsi="Arial" w:cs="Arial"/>
          <w:sz w:val="24"/>
          <w:szCs w:val="24"/>
        </w:rPr>
        <w:t xml:space="preserve">por </w:t>
      </w:r>
      <w:r>
        <w:rPr>
          <w:rFonts w:ascii="Arial" w:hAnsi="Arial" w:cs="Arial"/>
          <w:sz w:val="24"/>
          <w:szCs w:val="24"/>
        </w:rPr>
        <w:t>la Suprema corte de Justicia de la Nación</w:t>
      </w:r>
      <w:r w:rsidRPr="007B0581">
        <w:rPr>
          <w:rFonts w:ascii="Arial" w:hAnsi="Arial" w:cs="Arial"/>
          <w:sz w:val="24"/>
          <w:szCs w:val="24"/>
        </w:rPr>
        <w:t>, quien consideró que la aportación regulada por el legislador local</w:t>
      </w:r>
      <w:r>
        <w:rPr>
          <w:rFonts w:ascii="Arial" w:hAnsi="Arial" w:cs="Arial"/>
          <w:sz w:val="24"/>
          <w:szCs w:val="24"/>
        </w:rPr>
        <w:t xml:space="preserve"> (9% a la pensión)</w:t>
      </w:r>
      <w:r w:rsidRPr="007B0581">
        <w:rPr>
          <w:rFonts w:ascii="Arial" w:hAnsi="Arial" w:cs="Arial"/>
          <w:sz w:val="24"/>
          <w:szCs w:val="24"/>
        </w:rPr>
        <w:t>, no encuadra en ninguna de las hipótesis permitidas, ya que se traduce en un descuento indebido del monto de la pensión jubilatoria, encaminado a constituir el fondo monetario con el que se cubriría la misma.</w:t>
      </w:r>
    </w:p>
    <w:p w:rsidR="00A758D9" w:rsidRDefault="00A758D9" w:rsidP="00A758D9">
      <w:pPr>
        <w:spacing w:line="360" w:lineRule="auto"/>
        <w:ind w:firstLine="708"/>
        <w:jc w:val="both"/>
        <w:rPr>
          <w:rFonts w:ascii="Arial" w:hAnsi="Arial" w:cs="Arial"/>
          <w:b/>
          <w:bCs/>
          <w:i/>
          <w:iCs/>
          <w:sz w:val="24"/>
          <w:szCs w:val="24"/>
        </w:rPr>
      </w:pPr>
      <w:r w:rsidRPr="007B0581">
        <w:rPr>
          <w:rFonts w:ascii="Arial" w:hAnsi="Arial" w:cs="Arial"/>
          <w:sz w:val="24"/>
          <w:szCs w:val="24"/>
        </w:rPr>
        <w:t>As</w:t>
      </w:r>
      <w:r>
        <w:rPr>
          <w:rFonts w:ascii="Arial" w:hAnsi="Arial" w:cs="Arial"/>
          <w:sz w:val="24"/>
          <w:szCs w:val="24"/>
        </w:rPr>
        <w:t>i</w:t>
      </w:r>
      <w:r w:rsidRPr="007B0581">
        <w:rPr>
          <w:rFonts w:ascii="Arial" w:hAnsi="Arial" w:cs="Arial"/>
          <w:sz w:val="24"/>
          <w:szCs w:val="24"/>
        </w:rPr>
        <w:t>mismo, los artículos señalados en el párrafo próximo anterior violan el Principio de Igualdad al ubicar a los trabajadores jubilados y pensionados en hipótesis diferentes, y aun así les impone</w:t>
      </w:r>
      <w:r>
        <w:rPr>
          <w:rFonts w:ascii="Arial" w:hAnsi="Arial" w:cs="Arial"/>
          <w:sz w:val="24"/>
          <w:szCs w:val="24"/>
        </w:rPr>
        <w:t xml:space="preserve"> el descuento del</w:t>
      </w:r>
      <w:r w:rsidRPr="007B0581">
        <w:rPr>
          <w:rFonts w:ascii="Arial" w:hAnsi="Arial" w:cs="Arial"/>
          <w:sz w:val="24"/>
          <w:szCs w:val="24"/>
        </w:rPr>
        <w:t xml:space="preserve"> 9%</w:t>
      </w:r>
      <w:r>
        <w:rPr>
          <w:rFonts w:ascii="Arial" w:hAnsi="Arial" w:cs="Arial"/>
          <w:sz w:val="24"/>
          <w:szCs w:val="24"/>
        </w:rPr>
        <w:t xml:space="preserve"> para el fondo de pensiones</w:t>
      </w:r>
      <w:r w:rsidRPr="007B0581">
        <w:rPr>
          <w:rFonts w:ascii="Arial" w:hAnsi="Arial" w:cs="Arial"/>
          <w:sz w:val="24"/>
          <w:szCs w:val="24"/>
        </w:rPr>
        <w:t xml:space="preserve"> de su sueldo base, no obstante las diferencias esenciales existentes </w:t>
      </w:r>
      <w:r w:rsidRPr="007B0581">
        <w:rPr>
          <w:rFonts w:ascii="Arial" w:hAnsi="Arial" w:cs="Arial"/>
          <w:sz w:val="24"/>
          <w:szCs w:val="24"/>
        </w:rPr>
        <w:lastRenderedPageBreak/>
        <w:t>entre trabajadores activos, jubi</w:t>
      </w:r>
      <w:r>
        <w:rPr>
          <w:rFonts w:ascii="Arial" w:hAnsi="Arial" w:cs="Arial"/>
          <w:sz w:val="24"/>
          <w:szCs w:val="24"/>
        </w:rPr>
        <w:t>lados y pensionados; por lo que,</w:t>
      </w:r>
      <w:r w:rsidRPr="007B0581">
        <w:rPr>
          <w:rFonts w:ascii="Arial" w:hAnsi="Arial" w:cs="Arial"/>
          <w:sz w:val="24"/>
          <w:szCs w:val="24"/>
        </w:rPr>
        <w:t xml:space="preserve"> la Suprema Corte de Justicia de la Nación consideró  que el legislador local no debe ubicarlos en la misma posición, esto es, con las mismas cargas que los trabajadores en activo, pues resultaría excesivo, ya que una vez que se obtiene el beneficio de la jubilación, no debe imponerse a los jubilados y pensionados la carga de contribuir al Fondo de Pensiones, puesto que ya realizó la aportación correspondiente durante su vida laboral en activo, resultando el actuar del Consejo Directivo de la Oficina de Pensiones violatorio del artículo 1</w:t>
      </w:r>
      <w:r>
        <w:rPr>
          <w:rFonts w:ascii="Arial" w:hAnsi="Arial" w:cs="Arial"/>
          <w:sz w:val="24"/>
          <w:szCs w:val="24"/>
        </w:rPr>
        <w:t>º</w:t>
      </w:r>
      <w:r w:rsidRPr="007B0581">
        <w:rPr>
          <w:rFonts w:ascii="Arial" w:hAnsi="Arial" w:cs="Arial"/>
          <w:sz w:val="24"/>
          <w:szCs w:val="24"/>
        </w:rPr>
        <w:t xml:space="preserve"> Constitucional, en perjuicio de</w:t>
      </w:r>
      <w:r>
        <w:rPr>
          <w:rFonts w:ascii="Arial" w:hAnsi="Arial" w:cs="Arial"/>
          <w:sz w:val="24"/>
          <w:szCs w:val="24"/>
        </w:rPr>
        <w:t>l</w:t>
      </w:r>
      <w:r w:rsidRPr="007B0581">
        <w:rPr>
          <w:rFonts w:ascii="Arial" w:hAnsi="Arial" w:cs="Arial"/>
          <w:sz w:val="24"/>
          <w:szCs w:val="24"/>
        </w:rPr>
        <w:t xml:space="preserve"> actor, que contempla el Derecho a la Igualdad y a la No Discriminación, y por ende la ilegalidad del descuento del 9% que impuso a la pensión obsequiada. Sirva</w:t>
      </w:r>
      <w:r>
        <w:rPr>
          <w:rFonts w:ascii="Arial" w:hAnsi="Arial" w:cs="Arial"/>
          <w:sz w:val="24"/>
          <w:szCs w:val="24"/>
        </w:rPr>
        <w:t xml:space="preserve"> de apoyo a lo antes vertido la</w:t>
      </w:r>
      <w:r w:rsidRPr="007B0581">
        <w:rPr>
          <w:rFonts w:ascii="Arial" w:hAnsi="Arial" w:cs="Arial"/>
          <w:sz w:val="24"/>
          <w:szCs w:val="24"/>
        </w:rPr>
        <w:t xml:space="preserve"> </w:t>
      </w:r>
      <w:r>
        <w:rPr>
          <w:rFonts w:ascii="Arial" w:hAnsi="Arial" w:cs="Arial"/>
          <w:sz w:val="24"/>
          <w:szCs w:val="24"/>
        </w:rPr>
        <w:t>Jurisprudencia</w:t>
      </w:r>
      <w:r w:rsidRPr="007B0581">
        <w:rPr>
          <w:rFonts w:ascii="Arial" w:hAnsi="Arial" w:cs="Arial"/>
          <w:sz w:val="24"/>
          <w:szCs w:val="24"/>
        </w:rPr>
        <w:t xml:space="preserve"> en Materia Constitucional, Décima Época, registro electrónico </w:t>
      </w:r>
      <w:r>
        <w:rPr>
          <w:rFonts w:ascii="Arial" w:hAnsi="Arial" w:cs="Arial"/>
          <w:sz w:val="24"/>
          <w:szCs w:val="24"/>
        </w:rPr>
        <w:t>2007629 de rubro siguiente</w:t>
      </w:r>
      <w:r w:rsidRPr="007B0581">
        <w:rPr>
          <w:rFonts w:ascii="Arial" w:hAnsi="Arial" w:cs="Arial"/>
          <w:sz w:val="24"/>
          <w:szCs w:val="24"/>
        </w:rPr>
        <w:t xml:space="preserve">: </w:t>
      </w:r>
      <w:r w:rsidRPr="007B0581">
        <w:rPr>
          <w:rFonts w:ascii="Arial" w:hAnsi="Arial" w:cs="Arial"/>
          <w:b/>
          <w:bCs/>
          <w:i/>
          <w:iCs/>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INCONVECIONALES E INCONSTITUCIONALES, AL DESATENDER LOS ARTÍCULOS 26, NUMERAL 3 y 67, INCISO B), DEL CONVENIO NÚMERO 102 DE LA ORGANIZACIÓN INTERNACIONAL DEL TRABAJO Y VIOLAR EL DERECHO HUMANO A LA IGUALDAD”</w:t>
      </w:r>
    </w:p>
    <w:p w:rsidR="00A758D9" w:rsidRDefault="00A758D9" w:rsidP="00A758D9">
      <w:pPr>
        <w:spacing w:line="360" w:lineRule="auto"/>
        <w:ind w:firstLine="708"/>
        <w:jc w:val="both"/>
        <w:rPr>
          <w:rFonts w:ascii="Arial" w:hAnsi="Arial" w:cs="Arial"/>
          <w:b/>
          <w:bCs/>
          <w:i/>
          <w:iCs/>
          <w:sz w:val="24"/>
          <w:szCs w:val="24"/>
        </w:rPr>
      </w:pPr>
    </w:p>
    <w:bookmarkEnd w:id="4"/>
    <w:p w:rsidR="00A758D9" w:rsidRDefault="00A758D9" w:rsidP="00A758D9">
      <w:pPr>
        <w:spacing w:line="360" w:lineRule="auto"/>
        <w:ind w:right="-93" w:firstLine="708"/>
        <w:jc w:val="both"/>
        <w:rPr>
          <w:rFonts w:cs="Arial"/>
          <w:sz w:val="24"/>
          <w:szCs w:val="24"/>
        </w:rPr>
      </w:pPr>
      <w:r w:rsidRPr="00B96111">
        <w:rPr>
          <w:rFonts w:ascii="Arial" w:hAnsi="Arial" w:cs="Arial"/>
          <w:sz w:val="24"/>
          <w:szCs w:val="24"/>
        </w:rPr>
        <w:t xml:space="preserve">Por lo </w:t>
      </w:r>
      <w:r w:rsidRPr="002712DB">
        <w:rPr>
          <w:rFonts w:ascii="Arial" w:hAnsi="Arial" w:cs="Arial"/>
          <w:sz w:val="24"/>
          <w:szCs w:val="24"/>
        </w:rPr>
        <w:t>que concierne a las pruebas objetadas por la autoridad demandada, descritas en proveído de ocho de diciembre de dos mil veintiuno</w:t>
      </w:r>
      <w:r w:rsidRPr="00B96111">
        <w:rPr>
          <w:rFonts w:ascii="Arial" w:hAnsi="Arial" w:cs="Arial"/>
          <w:sz w:val="24"/>
          <w:szCs w:val="24"/>
        </w:rPr>
        <w:t>, no ha lugar</w:t>
      </w:r>
      <w:r>
        <w:rPr>
          <w:rFonts w:ascii="Arial" w:hAnsi="Arial" w:cs="Arial"/>
          <w:sz w:val="24"/>
          <w:szCs w:val="24"/>
        </w:rPr>
        <w:t xml:space="preserve"> a</w:t>
      </w:r>
      <w:r w:rsidRPr="00B96111">
        <w:rPr>
          <w:rFonts w:ascii="Arial" w:hAnsi="Arial" w:cs="Arial"/>
          <w:sz w:val="24"/>
          <w:szCs w:val="24"/>
        </w:rPr>
        <w:t xml:space="preserve"> su petición, en virtud que la </w:t>
      </w:r>
      <w:r>
        <w:rPr>
          <w:rFonts w:ascii="Arial" w:hAnsi="Arial" w:cs="Arial"/>
          <w:sz w:val="24"/>
          <w:szCs w:val="24"/>
        </w:rPr>
        <w:t>demandada</w:t>
      </w:r>
      <w:r w:rsidRPr="00B96111">
        <w:rPr>
          <w:rFonts w:ascii="Arial" w:hAnsi="Arial" w:cs="Arial"/>
          <w:sz w:val="24"/>
          <w:szCs w:val="24"/>
        </w:rPr>
        <w:t xml:space="preserve"> solo hace referencia a objetar la</w:t>
      </w:r>
      <w:r>
        <w:rPr>
          <w:rFonts w:ascii="Arial" w:hAnsi="Arial" w:cs="Arial"/>
          <w:sz w:val="24"/>
          <w:szCs w:val="24"/>
        </w:rPr>
        <w:t>s</w:t>
      </w:r>
      <w:r w:rsidRPr="00B96111">
        <w:rPr>
          <w:rFonts w:ascii="Arial" w:hAnsi="Arial" w:cs="Arial"/>
          <w:sz w:val="24"/>
          <w:szCs w:val="24"/>
        </w:rPr>
        <w:t xml:space="preserve"> documental</w:t>
      </w:r>
      <w:r>
        <w:rPr>
          <w:rFonts w:ascii="Arial" w:hAnsi="Arial" w:cs="Arial"/>
          <w:sz w:val="24"/>
          <w:szCs w:val="24"/>
        </w:rPr>
        <w:t>es</w:t>
      </w:r>
      <w:r w:rsidRPr="00B96111">
        <w:rPr>
          <w:rFonts w:ascii="Arial" w:hAnsi="Arial" w:cs="Arial"/>
          <w:sz w:val="24"/>
          <w:szCs w:val="24"/>
        </w:rPr>
        <w:t xml:space="preserve"> exhibida</w:t>
      </w:r>
      <w:r>
        <w:rPr>
          <w:rFonts w:ascii="Arial" w:hAnsi="Arial" w:cs="Arial"/>
          <w:sz w:val="24"/>
          <w:szCs w:val="24"/>
        </w:rPr>
        <w:t>s</w:t>
      </w:r>
      <w:r w:rsidRPr="00B96111">
        <w:rPr>
          <w:rFonts w:ascii="Arial" w:hAnsi="Arial" w:cs="Arial"/>
          <w:sz w:val="24"/>
          <w:szCs w:val="24"/>
        </w:rPr>
        <w:t xml:space="preserve"> por </w:t>
      </w:r>
      <w:r>
        <w:rPr>
          <w:rFonts w:ascii="Arial" w:hAnsi="Arial" w:cs="Arial"/>
          <w:sz w:val="24"/>
          <w:szCs w:val="24"/>
        </w:rPr>
        <w:t>el</w:t>
      </w:r>
      <w:r w:rsidRPr="00B96111">
        <w:rPr>
          <w:rFonts w:ascii="Arial" w:hAnsi="Arial" w:cs="Arial"/>
          <w:sz w:val="24"/>
          <w:szCs w:val="24"/>
        </w:rPr>
        <w:t xml:space="preserve"> </w:t>
      </w:r>
      <w:r>
        <w:rPr>
          <w:rFonts w:ascii="Arial" w:hAnsi="Arial" w:cs="Arial"/>
          <w:sz w:val="24"/>
          <w:szCs w:val="24"/>
        </w:rPr>
        <w:t>acto</w:t>
      </w:r>
      <w:r w:rsidRPr="002712DB">
        <w:rPr>
          <w:rFonts w:ascii="Arial" w:hAnsi="Arial" w:cs="Arial"/>
          <w:sz w:val="24"/>
          <w:szCs w:val="24"/>
        </w:rPr>
        <w:t>r</w:t>
      </w:r>
      <w:r w:rsidRPr="00B96111">
        <w:rPr>
          <w:rFonts w:ascii="Arial" w:hAnsi="Arial" w:cs="Arial"/>
          <w:sz w:val="24"/>
          <w:szCs w:val="24"/>
        </w:rPr>
        <w:t xml:space="preserve"> y, en el presente asunto no se advierte prueba alguna fehaciente para desvirtuar el contenido </w:t>
      </w:r>
      <w:r>
        <w:rPr>
          <w:rFonts w:ascii="Arial" w:hAnsi="Arial" w:cs="Arial"/>
          <w:sz w:val="24"/>
          <w:szCs w:val="24"/>
        </w:rPr>
        <w:t>de</w:t>
      </w:r>
      <w:r w:rsidRPr="00B96111">
        <w:rPr>
          <w:rFonts w:ascii="Arial" w:hAnsi="Arial" w:cs="Arial"/>
          <w:sz w:val="24"/>
          <w:szCs w:val="24"/>
        </w:rPr>
        <w:t xml:space="preserve"> dich</w:t>
      </w:r>
      <w:r>
        <w:rPr>
          <w:rFonts w:ascii="Arial" w:hAnsi="Arial" w:cs="Arial"/>
          <w:sz w:val="24"/>
          <w:szCs w:val="24"/>
        </w:rPr>
        <w:t>as</w:t>
      </w:r>
      <w:r w:rsidRPr="00B96111">
        <w:rPr>
          <w:rFonts w:ascii="Arial" w:hAnsi="Arial" w:cs="Arial"/>
          <w:sz w:val="24"/>
          <w:szCs w:val="24"/>
        </w:rPr>
        <w:t xml:space="preserve"> document</w:t>
      </w:r>
      <w:r>
        <w:rPr>
          <w:rFonts w:ascii="Arial" w:hAnsi="Arial" w:cs="Arial"/>
          <w:sz w:val="24"/>
          <w:szCs w:val="24"/>
        </w:rPr>
        <w:t>ales</w:t>
      </w:r>
      <w:r w:rsidRPr="00D65151">
        <w:rPr>
          <w:rFonts w:cs="Arial"/>
          <w:sz w:val="24"/>
          <w:szCs w:val="24"/>
        </w:rPr>
        <w:t>.</w:t>
      </w:r>
    </w:p>
    <w:p w:rsidR="00A758D9" w:rsidRPr="007B0581" w:rsidRDefault="00A758D9" w:rsidP="00A758D9">
      <w:pPr>
        <w:spacing w:line="360" w:lineRule="auto"/>
        <w:ind w:right="-93" w:firstLine="708"/>
        <w:jc w:val="both"/>
        <w:rPr>
          <w:rFonts w:ascii="Arial" w:hAnsi="Arial" w:cs="Arial"/>
          <w:sz w:val="24"/>
          <w:szCs w:val="24"/>
        </w:rPr>
      </w:pPr>
    </w:p>
    <w:p w:rsidR="00A758D9" w:rsidRDefault="00A758D9" w:rsidP="00A758D9">
      <w:pPr>
        <w:spacing w:line="360" w:lineRule="auto"/>
        <w:ind w:firstLine="708"/>
        <w:jc w:val="both"/>
        <w:rPr>
          <w:rFonts w:ascii="Arial" w:hAnsi="Arial" w:cs="Arial"/>
          <w:sz w:val="24"/>
          <w:szCs w:val="24"/>
        </w:rPr>
      </w:pPr>
      <w:r w:rsidRPr="007B0581">
        <w:rPr>
          <w:rFonts w:ascii="Arial" w:hAnsi="Arial" w:cs="Arial"/>
          <w:sz w:val="24"/>
          <w:szCs w:val="24"/>
        </w:rPr>
        <w:t>De lo antes expuesto, al</w:t>
      </w:r>
      <w:r>
        <w:rPr>
          <w:rFonts w:ascii="Arial" w:hAnsi="Arial" w:cs="Arial"/>
          <w:sz w:val="24"/>
          <w:szCs w:val="24"/>
        </w:rPr>
        <w:t xml:space="preserve"> no encontrarse debidamente fundada y motivada la resolución combatida y</w:t>
      </w:r>
      <w:r w:rsidRPr="007B0581">
        <w:rPr>
          <w:rFonts w:ascii="Arial" w:hAnsi="Arial" w:cs="Arial"/>
          <w:sz w:val="24"/>
          <w:szCs w:val="24"/>
        </w:rPr>
        <w:t xml:space="preserve"> aplica</w:t>
      </w:r>
      <w:r>
        <w:rPr>
          <w:rFonts w:ascii="Arial" w:hAnsi="Arial" w:cs="Arial"/>
          <w:sz w:val="24"/>
          <w:szCs w:val="24"/>
        </w:rPr>
        <w:t>r</w:t>
      </w:r>
      <w:r w:rsidRPr="007B0581">
        <w:rPr>
          <w:rFonts w:ascii="Arial" w:hAnsi="Arial" w:cs="Arial"/>
          <w:sz w:val="24"/>
          <w:szCs w:val="24"/>
        </w:rPr>
        <w:t xml:space="preserve"> la autoridad demandada</w:t>
      </w:r>
      <w:r>
        <w:rPr>
          <w:rFonts w:ascii="Arial" w:hAnsi="Arial" w:cs="Arial"/>
          <w:sz w:val="24"/>
          <w:szCs w:val="24"/>
        </w:rPr>
        <w:t xml:space="preserve"> de manera tácita</w:t>
      </w:r>
      <w:r w:rsidRPr="007B0581">
        <w:rPr>
          <w:rFonts w:ascii="Arial" w:hAnsi="Arial" w:cs="Arial"/>
          <w:sz w:val="24"/>
          <w:szCs w:val="24"/>
        </w:rPr>
        <w:t xml:space="preserve"> un criterio discriminatorio entre los trabajadores de base y los de confianza,</w:t>
      </w:r>
      <w:r>
        <w:rPr>
          <w:rFonts w:ascii="Arial" w:hAnsi="Arial" w:cs="Arial"/>
          <w:sz w:val="24"/>
          <w:szCs w:val="24"/>
        </w:rPr>
        <w:t xml:space="preserve"> dado que no le otorgó a la pensión por jubilación del actor las prestaciones contempladas en la fracción I del artículo 54 de la Ley de Pensiones para los Trabajadores del Gobierno del Estado de Oaxaca consistentes en</w:t>
      </w:r>
      <w:r w:rsidRPr="007B0581">
        <w:rPr>
          <w:rFonts w:ascii="Arial" w:hAnsi="Arial" w:cs="Arial"/>
          <w:sz w:val="24"/>
          <w:szCs w:val="24"/>
        </w:rPr>
        <w:t xml:space="preserve"> la previsión social múltiple, despensa, vida cara, quinquenios, aguinaldo, estimulo del día del jubilado y canasta navideña, vulnerando con</w:t>
      </w:r>
      <w:r>
        <w:rPr>
          <w:rFonts w:ascii="Arial" w:hAnsi="Arial" w:cs="Arial"/>
          <w:sz w:val="24"/>
          <w:szCs w:val="24"/>
        </w:rPr>
        <w:t xml:space="preserve"> ello el derecho de igualdad del</w:t>
      </w:r>
      <w:r w:rsidRPr="007B0581">
        <w:rPr>
          <w:rFonts w:ascii="Arial" w:hAnsi="Arial" w:cs="Arial"/>
          <w:sz w:val="24"/>
          <w:szCs w:val="24"/>
        </w:rPr>
        <w:t xml:space="preserve"> actor,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 xml:space="preserve">del oficio </w:t>
      </w:r>
      <w:r>
        <w:rPr>
          <w:rFonts w:cs="Arial"/>
          <w:b/>
          <w:sz w:val="24"/>
          <w:szCs w:val="24"/>
        </w:rPr>
        <w:t>**********</w:t>
      </w:r>
      <w:r>
        <w:rPr>
          <w:rFonts w:cs="Arial"/>
          <w:b/>
          <w:sz w:val="24"/>
          <w:szCs w:val="24"/>
        </w:rPr>
        <w:t xml:space="preserve"> </w:t>
      </w:r>
      <w:r w:rsidRPr="007B0581">
        <w:rPr>
          <w:rFonts w:ascii="Arial" w:hAnsi="Arial" w:cs="Arial"/>
          <w:sz w:val="24"/>
          <w:szCs w:val="24"/>
        </w:rPr>
        <w:t xml:space="preserve"> de </w:t>
      </w:r>
      <w:r>
        <w:rPr>
          <w:rFonts w:ascii="Arial" w:hAnsi="Arial" w:cs="Arial"/>
          <w:sz w:val="24"/>
          <w:szCs w:val="24"/>
        </w:rPr>
        <w:t>uno de julio</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FB0F8B">
        <w:rPr>
          <w:rFonts w:ascii="Arial" w:hAnsi="Arial" w:cs="Arial"/>
          <w:sz w:val="24"/>
          <w:szCs w:val="24"/>
        </w:rPr>
        <w:t xml:space="preserve">pensión por jubilación emitido por el Consejo Directivo de </w:t>
      </w:r>
      <w:r w:rsidRPr="00FB0F8B">
        <w:rPr>
          <w:rFonts w:ascii="Arial" w:hAnsi="Arial" w:cs="Arial"/>
          <w:sz w:val="24"/>
          <w:szCs w:val="24"/>
        </w:rPr>
        <w:lastRenderedPageBreak/>
        <w:t>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6" w:name="_Hlk84507859"/>
      <w:r>
        <w:rPr>
          <w:rFonts w:ascii="Arial" w:hAnsi="Arial" w:cs="Arial"/>
          <w:sz w:val="24"/>
          <w:szCs w:val="24"/>
        </w:rPr>
        <w:t xml:space="preserve">de </w:t>
      </w:r>
      <w:r w:rsidRPr="007B0581">
        <w:rPr>
          <w:rFonts w:ascii="Arial" w:hAnsi="Arial" w:cs="Arial"/>
          <w:sz w:val="24"/>
          <w:szCs w:val="24"/>
        </w:rPr>
        <w:t>que una vez que cause estado la presente resolución, el C</w:t>
      </w:r>
      <w:r>
        <w:rPr>
          <w:rFonts w:ascii="Arial" w:hAnsi="Arial" w:cs="Arial"/>
          <w:sz w:val="24"/>
          <w:szCs w:val="24"/>
        </w:rPr>
        <w:t>onsejo</w:t>
      </w:r>
      <w:r w:rsidRPr="007B0581">
        <w:rPr>
          <w:rFonts w:ascii="Arial" w:hAnsi="Arial" w:cs="Arial"/>
          <w:sz w:val="24"/>
          <w:szCs w:val="24"/>
        </w:rPr>
        <w:t xml:space="preserve">  D</w:t>
      </w:r>
      <w:r>
        <w:rPr>
          <w:rFonts w:ascii="Arial" w:hAnsi="Arial" w:cs="Arial"/>
          <w:sz w:val="24"/>
          <w:szCs w:val="24"/>
        </w:rPr>
        <w:t>irectivo de la Oficina de Pensiones del Estado de Oaxaca dicte otro, en el</w:t>
      </w:r>
      <w:r w:rsidRPr="007B0581">
        <w:rPr>
          <w:rFonts w:ascii="Arial" w:hAnsi="Arial" w:cs="Arial"/>
          <w:sz w:val="24"/>
          <w:szCs w:val="24"/>
        </w:rPr>
        <w:t xml:space="preserve"> que aunado a la pensión concedida al actor, incorpore a la misma las prestaciones</w:t>
      </w:r>
      <w:r>
        <w:rPr>
          <w:rFonts w:ascii="Arial" w:hAnsi="Arial" w:cs="Arial"/>
          <w:sz w:val="24"/>
          <w:szCs w:val="24"/>
        </w:rPr>
        <w:t xml:space="preserve"> ya precisadas</w:t>
      </w:r>
      <w:r w:rsidRPr="007B0581">
        <w:rPr>
          <w:rFonts w:ascii="Arial" w:hAnsi="Arial" w:cs="Arial"/>
          <w:sz w:val="24"/>
          <w:szCs w:val="24"/>
        </w:rPr>
        <w:t>, y elimine el descuento del 9% sobre el monto de su pensión</w:t>
      </w:r>
      <w:r>
        <w:rPr>
          <w:rFonts w:ascii="Arial" w:hAnsi="Arial" w:cs="Arial"/>
          <w:sz w:val="24"/>
          <w:szCs w:val="24"/>
        </w:rPr>
        <w:t>.</w:t>
      </w:r>
      <w:r w:rsidRPr="007B0581">
        <w:rPr>
          <w:rFonts w:ascii="Arial" w:hAnsi="Arial" w:cs="Arial"/>
          <w:sz w:val="24"/>
          <w:szCs w:val="24"/>
        </w:rPr>
        <w:t xml:space="preserve"> </w:t>
      </w:r>
    </w:p>
    <w:p w:rsidR="00A758D9" w:rsidRDefault="00A758D9" w:rsidP="00A758D9">
      <w:pPr>
        <w:spacing w:line="360" w:lineRule="auto"/>
        <w:ind w:firstLine="708"/>
        <w:jc w:val="both"/>
        <w:rPr>
          <w:rFonts w:ascii="Arial" w:hAnsi="Arial" w:cs="Arial"/>
          <w:sz w:val="24"/>
          <w:szCs w:val="24"/>
        </w:rPr>
      </w:pPr>
    </w:p>
    <w:bookmarkEnd w:id="6"/>
    <w:p w:rsidR="00A758D9" w:rsidRPr="007B0581" w:rsidRDefault="00A758D9" w:rsidP="00A758D9">
      <w:pPr>
        <w:spacing w:line="360" w:lineRule="auto"/>
        <w:ind w:firstLine="708"/>
        <w:jc w:val="both"/>
        <w:rPr>
          <w:rFonts w:ascii="Arial" w:hAnsi="Arial" w:cs="Arial"/>
          <w:color w:val="FF0000"/>
          <w:sz w:val="24"/>
          <w:szCs w:val="24"/>
        </w:rPr>
      </w:pPr>
      <w:r>
        <w:rPr>
          <w:rFonts w:ascii="Arial" w:hAnsi="Arial" w:cs="Arial"/>
          <w:sz w:val="24"/>
          <w:szCs w:val="24"/>
        </w:rPr>
        <w:t xml:space="preserve">Lo anterior </w:t>
      </w:r>
      <w:r w:rsidRPr="007B0581">
        <w:rPr>
          <w:rFonts w:ascii="Arial" w:hAnsi="Arial" w:cs="Arial"/>
          <w:sz w:val="24"/>
          <w:szCs w:val="24"/>
        </w:rPr>
        <w:t>en el entendido que, para tener por cumplida</w:t>
      </w:r>
      <w:r>
        <w:rPr>
          <w:rFonts w:ascii="Arial" w:hAnsi="Arial" w:cs="Arial"/>
          <w:sz w:val="24"/>
          <w:szCs w:val="24"/>
        </w:rPr>
        <w:t xml:space="preserve"> en su totalidad</w:t>
      </w:r>
      <w:r w:rsidRPr="007B0581">
        <w:rPr>
          <w:rFonts w:ascii="Arial" w:hAnsi="Arial" w:cs="Arial"/>
          <w:sz w:val="24"/>
          <w:szCs w:val="24"/>
        </w:rPr>
        <w:t xml:space="preserve"> la </w:t>
      </w:r>
      <w:r>
        <w:rPr>
          <w:rFonts w:ascii="Arial" w:hAnsi="Arial" w:cs="Arial"/>
          <w:sz w:val="24"/>
          <w:szCs w:val="24"/>
        </w:rPr>
        <w:t xml:space="preserve">presente </w:t>
      </w:r>
      <w:r w:rsidRPr="007B0581">
        <w:rPr>
          <w:rFonts w:ascii="Arial" w:hAnsi="Arial" w:cs="Arial"/>
          <w:sz w:val="24"/>
          <w:szCs w:val="24"/>
        </w:rPr>
        <w:t xml:space="preserve">sentencia, deberá </w:t>
      </w:r>
      <w:r>
        <w:rPr>
          <w:rFonts w:ascii="Arial" w:hAnsi="Arial" w:cs="Arial"/>
          <w:sz w:val="24"/>
          <w:szCs w:val="24"/>
        </w:rPr>
        <w:t>realizar</w:t>
      </w:r>
      <w:r w:rsidRPr="007B0581">
        <w:rPr>
          <w:rFonts w:ascii="Arial" w:hAnsi="Arial" w:cs="Arial"/>
          <w:sz w:val="24"/>
          <w:szCs w:val="24"/>
        </w:rPr>
        <w:t xml:space="preserve"> el pago de las prestaciones</w:t>
      </w:r>
      <w:r>
        <w:rPr>
          <w:rFonts w:ascii="Arial" w:hAnsi="Arial" w:cs="Arial"/>
          <w:sz w:val="24"/>
          <w:szCs w:val="24"/>
        </w:rPr>
        <w:t xml:space="preserve"> correspondientes no otorgadas y</w:t>
      </w:r>
      <w:r w:rsidRPr="007B0581">
        <w:rPr>
          <w:rFonts w:ascii="Arial" w:hAnsi="Arial" w:cs="Arial"/>
          <w:sz w:val="24"/>
          <w:szCs w:val="24"/>
        </w:rPr>
        <w:t xml:space="preserve"> que se declararon procedentes en el presente fallo</w:t>
      </w:r>
      <w:r>
        <w:rPr>
          <w:rFonts w:ascii="Arial" w:hAnsi="Arial" w:cs="Arial"/>
          <w:sz w:val="24"/>
          <w:szCs w:val="24"/>
        </w:rPr>
        <w:t xml:space="preserve"> de conformidad con lo dispuesto en los artículos 207, 208, fracciones II y VI, y 209 de la Ley de Procedimiento y Justicia Administrativa para el Estado de Oaxaca. Dado que no se realizaron los descuentos </w:t>
      </w:r>
      <w:r w:rsidRPr="00455261">
        <w:rPr>
          <w:rFonts w:ascii="Arial" w:hAnsi="Arial" w:cs="Arial"/>
          <w:sz w:val="24"/>
          <w:szCs w:val="24"/>
        </w:rPr>
        <w:t>del 9% en virtud que se decretó la suspensión del acto impugnado, como consta en autos, no es dable devolución alguna por lo que respecta a este concepto.</w:t>
      </w:r>
      <w:r w:rsidRPr="00FA1033">
        <w:rPr>
          <w:rFonts w:ascii="Arial" w:hAnsi="Arial" w:cs="Arial"/>
          <w:sz w:val="24"/>
          <w:szCs w:val="24"/>
          <w:highlight w:val="yellow"/>
        </w:rPr>
        <w:t xml:space="preserve"> </w:t>
      </w:r>
    </w:p>
    <w:p w:rsidR="00A758D9" w:rsidRPr="007B0581" w:rsidRDefault="00A758D9" w:rsidP="00A758D9">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rsidR="00A758D9" w:rsidRDefault="00A758D9" w:rsidP="00A758D9">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A758D9" w:rsidRPr="007B0581" w:rsidRDefault="00A758D9" w:rsidP="00A758D9">
      <w:pPr>
        <w:spacing w:line="360" w:lineRule="auto"/>
        <w:ind w:right="-93" w:firstLine="708"/>
        <w:jc w:val="both"/>
        <w:rPr>
          <w:rFonts w:ascii="Arial" w:hAnsi="Arial" w:cs="Arial"/>
          <w:sz w:val="24"/>
          <w:szCs w:val="24"/>
        </w:rPr>
      </w:pPr>
    </w:p>
    <w:p w:rsidR="00A758D9" w:rsidRPr="007B0581" w:rsidRDefault="00A758D9" w:rsidP="00A758D9">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A758D9" w:rsidRDefault="00A758D9" w:rsidP="00A758D9">
      <w:pPr>
        <w:spacing w:line="360" w:lineRule="auto"/>
        <w:ind w:firstLine="708"/>
        <w:jc w:val="both"/>
        <w:rPr>
          <w:rFonts w:ascii="Arial" w:eastAsia="Calibri" w:hAnsi="Arial" w:cs="Arial"/>
          <w:color w:val="000000"/>
          <w:sz w:val="24"/>
          <w:szCs w:val="24"/>
          <w:lang w:val="es-MX" w:eastAsia="en-US"/>
        </w:rPr>
      </w:pPr>
    </w:p>
    <w:p w:rsidR="00A758D9" w:rsidRPr="007B0581" w:rsidRDefault="00A758D9" w:rsidP="00A758D9">
      <w:pPr>
        <w:spacing w:line="360" w:lineRule="auto"/>
        <w:ind w:firstLine="708"/>
        <w:jc w:val="both"/>
        <w:rPr>
          <w:rFonts w:ascii="Arial" w:eastAsia="Calibri" w:hAnsi="Arial" w:cs="Arial"/>
          <w:color w:val="000000"/>
          <w:sz w:val="24"/>
          <w:szCs w:val="24"/>
          <w:lang w:val="es-MX" w:eastAsia="en-US"/>
        </w:rPr>
      </w:pPr>
    </w:p>
    <w:p w:rsidR="00A758D9" w:rsidRDefault="00A758D9" w:rsidP="00A758D9">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A758D9" w:rsidRPr="007B0581" w:rsidRDefault="00A758D9" w:rsidP="00A758D9">
      <w:pPr>
        <w:tabs>
          <w:tab w:val="left" w:pos="3932"/>
        </w:tabs>
        <w:jc w:val="both"/>
        <w:rPr>
          <w:rFonts w:ascii="Arial" w:hAnsi="Arial" w:cs="Arial"/>
          <w:b/>
          <w:sz w:val="24"/>
          <w:szCs w:val="24"/>
        </w:rPr>
      </w:pPr>
      <w:r w:rsidRPr="007B0581">
        <w:rPr>
          <w:rFonts w:ascii="Arial" w:hAnsi="Arial" w:cs="Arial"/>
          <w:b/>
          <w:sz w:val="24"/>
          <w:szCs w:val="24"/>
        </w:rPr>
        <w:tab/>
      </w:r>
    </w:p>
    <w:p w:rsidR="00A758D9" w:rsidRPr="007B0581" w:rsidRDefault="00A758D9" w:rsidP="00A758D9">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A758D9" w:rsidRPr="007B0581" w:rsidRDefault="00A758D9" w:rsidP="00A758D9">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A758D9" w:rsidRPr="007B0581" w:rsidRDefault="00A758D9" w:rsidP="00A758D9">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A758D9" w:rsidRPr="007B0581" w:rsidRDefault="00A758D9" w:rsidP="00A758D9">
      <w:pPr>
        <w:ind w:right="51"/>
        <w:contextualSpacing/>
        <w:jc w:val="both"/>
        <w:rPr>
          <w:rFonts w:ascii="Arial" w:hAnsi="Arial" w:cs="Arial"/>
          <w:sz w:val="24"/>
          <w:szCs w:val="24"/>
          <w:lang w:val="es-MX"/>
        </w:rPr>
      </w:pPr>
    </w:p>
    <w:p w:rsidR="00A758D9" w:rsidRPr="007B0581" w:rsidRDefault="00A758D9" w:rsidP="00A758D9">
      <w:pPr>
        <w:spacing w:line="360" w:lineRule="auto"/>
        <w:ind w:right="51" w:firstLine="567"/>
        <w:jc w:val="both"/>
        <w:rPr>
          <w:rFonts w:ascii="Arial" w:hAnsi="Arial" w:cs="Arial"/>
          <w:sz w:val="24"/>
          <w:szCs w:val="24"/>
        </w:rPr>
      </w:pPr>
      <w:r w:rsidRPr="007B0581">
        <w:rPr>
          <w:rFonts w:ascii="Arial" w:hAnsi="Arial" w:cs="Arial"/>
          <w:b/>
          <w:sz w:val="24"/>
          <w:szCs w:val="24"/>
          <w:lang w:val="es-MX"/>
        </w:rPr>
        <w:lastRenderedPageBreak/>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7B0581">
        <w:rPr>
          <w:rFonts w:ascii="Arial" w:hAnsi="Arial" w:cs="Arial"/>
          <w:sz w:val="24"/>
          <w:szCs w:val="24"/>
        </w:rPr>
        <w:t xml:space="preserve"> </w:t>
      </w:r>
      <w:r>
        <w:rPr>
          <w:rFonts w:ascii="Arial" w:hAnsi="Arial" w:cs="Arial"/>
          <w:sz w:val="24"/>
          <w:szCs w:val="24"/>
        </w:rPr>
        <w:t xml:space="preserve">del </w:t>
      </w:r>
      <w:r w:rsidRPr="007B0581">
        <w:rPr>
          <w:rFonts w:ascii="Arial" w:hAnsi="Arial" w:cs="Arial"/>
          <w:sz w:val="24"/>
          <w:szCs w:val="24"/>
        </w:rPr>
        <w:t>oficio</w:t>
      </w:r>
      <w:r w:rsidRPr="007B0581">
        <w:rPr>
          <w:rFonts w:ascii="Arial" w:hAnsi="Arial" w:cs="Arial"/>
          <w:b/>
          <w:bCs/>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uno de julio</w:t>
      </w:r>
      <w:r w:rsidRPr="007B0581">
        <w:rPr>
          <w:rFonts w:ascii="Arial" w:hAnsi="Arial" w:cs="Arial"/>
          <w:sz w:val="24"/>
          <w:szCs w:val="24"/>
        </w:rPr>
        <w:t xml:space="preserve"> de dos mil </w:t>
      </w:r>
      <w:r>
        <w:rPr>
          <w:rFonts w:ascii="Arial" w:hAnsi="Arial" w:cs="Arial"/>
          <w:sz w:val="24"/>
          <w:szCs w:val="24"/>
        </w:rPr>
        <w:t>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0A17D9">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 xml:space="preserve">de que dicte otro en los términos indicados en la parte final del considerando CUARTO de la presente sentencia. </w:t>
      </w:r>
    </w:p>
    <w:p w:rsidR="00A758D9" w:rsidRPr="007B0581" w:rsidRDefault="00A758D9" w:rsidP="00A758D9">
      <w:pPr>
        <w:ind w:right="51" w:firstLine="567"/>
        <w:contextualSpacing/>
        <w:jc w:val="both"/>
        <w:rPr>
          <w:rFonts w:ascii="Arial" w:hAnsi="Arial" w:cs="Arial"/>
          <w:sz w:val="24"/>
          <w:szCs w:val="24"/>
        </w:rPr>
      </w:pPr>
    </w:p>
    <w:p w:rsidR="00A758D9" w:rsidRPr="007B0581" w:rsidRDefault="00A758D9" w:rsidP="00A758D9">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autoridad</w:t>
      </w:r>
      <w:r>
        <w:rPr>
          <w:rFonts w:ascii="Arial" w:eastAsia="Calibri" w:hAnsi="Arial" w:cs="Arial"/>
          <w:color w:val="000000"/>
          <w:sz w:val="24"/>
          <w:szCs w:val="24"/>
          <w:lang w:val="es-MX" w:eastAsia="en-US"/>
        </w:rPr>
        <w:t>es</w:t>
      </w:r>
      <w:r w:rsidRPr="007B0581">
        <w:rPr>
          <w:rFonts w:ascii="Arial" w:eastAsia="Calibri" w:hAnsi="Arial" w:cs="Arial"/>
          <w:color w:val="000000"/>
          <w:sz w:val="24"/>
          <w:szCs w:val="24"/>
          <w:lang w:val="es-MX" w:eastAsia="en-US"/>
        </w:rPr>
        <w:t xml:space="preserve"> demandada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  </w:t>
      </w:r>
      <w:r w:rsidRPr="007B0581">
        <w:rPr>
          <w:rFonts w:ascii="Arial" w:eastAsia="Calibri" w:hAnsi="Arial" w:cs="Arial"/>
          <w:b/>
          <w:color w:val="000000"/>
          <w:sz w:val="24"/>
          <w:szCs w:val="24"/>
          <w:lang w:val="es-MX" w:eastAsia="en-US"/>
        </w:rPr>
        <w:t>CÚMPLASE.</w:t>
      </w:r>
    </w:p>
    <w:p w:rsidR="00A758D9" w:rsidRPr="007B0581" w:rsidRDefault="00A758D9" w:rsidP="00A758D9">
      <w:pPr>
        <w:contextualSpacing/>
        <w:jc w:val="both"/>
        <w:rPr>
          <w:rFonts w:ascii="Arial" w:eastAsia="Calibri" w:hAnsi="Arial" w:cs="Arial"/>
          <w:color w:val="000000"/>
          <w:sz w:val="24"/>
          <w:szCs w:val="24"/>
          <w:lang w:val="es-MX" w:eastAsia="en-US"/>
        </w:rPr>
      </w:pPr>
    </w:p>
    <w:p w:rsidR="00A758D9" w:rsidRPr="007B0581" w:rsidRDefault="00A758D9" w:rsidP="00A758D9">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Pr>
          <w:rFonts w:ascii="Arial" w:hAnsi="Arial" w:cs="Arial"/>
          <w:sz w:val="24"/>
          <w:szCs w:val="24"/>
          <w:lang w:eastAsia="es-ES"/>
        </w:rPr>
        <w:t>, que autoriza y da fe.</w:t>
      </w:r>
    </w:p>
    <w:p w:rsidR="00A758D9" w:rsidRDefault="00A758D9" w:rsidP="00A758D9">
      <w:pPr>
        <w:spacing w:line="360" w:lineRule="auto"/>
        <w:ind w:right="-91"/>
        <w:contextualSpacing/>
        <w:jc w:val="both"/>
        <w:rPr>
          <w:rFonts w:ascii="Arial" w:hAnsi="Arial" w:cs="Arial"/>
          <w:sz w:val="24"/>
          <w:szCs w:val="24"/>
          <w:lang w:val="es-MX"/>
        </w:rPr>
      </w:pPr>
    </w:p>
    <w:p w:rsidR="00A758D9" w:rsidRDefault="00A758D9" w:rsidP="00A758D9">
      <w:pPr>
        <w:spacing w:line="360" w:lineRule="auto"/>
        <w:ind w:right="-91"/>
        <w:contextualSpacing/>
        <w:jc w:val="both"/>
        <w:rPr>
          <w:rFonts w:ascii="Arial" w:hAnsi="Arial" w:cs="Arial"/>
          <w:sz w:val="24"/>
          <w:szCs w:val="24"/>
          <w:lang w:val="es-MX"/>
        </w:rPr>
      </w:pPr>
    </w:p>
    <w:p w:rsidR="00A758D9" w:rsidRDefault="00A758D9" w:rsidP="00A758D9">
      <w:pPr>
        <w:spacing w:line="360" w:lineRule="auto"/>
        <w:ind w:right="-91"/>
        <w:contextualSpacing/>
        <w:jc w:val="both"/>
        <w:rPr>
          <w:rFonts w:ascii="Arial" w:hAnsi="Arial" w:cs="Arial"/>
          <w:sz w:val="24"/>
          <w:szCs w:val="24"/>
          <w:lang w:val="es-MX"/>
        </w:rPr>
      </w:pP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58D9" w:rsidRDefault="00A758D9" w:rsidP="00A758D9">
      <w:r>
        <w:separator/>
      </w:r>
    </w:p>
  </w:endnote>
  <w:endnote w:type="continuationSeparator" w:id="0">
    <w:p w:rsidR="00A758D9" w:rsidRDefault="00A758D9" w:rsidP="00A75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A758D9">
        <w:pPr>
          <w:pStyle w:val="Piedepgina"/>
          <w:jc w:val="center"/>
        </w:pPr>
        <w:r>
          <w:fldChar w:fldCharType="begin"/>
        </w:r>
        <w:r>
          <w:instrText>PAGE   \* MERGEFORMAT</w:instrText>
        </w:r>
        <w:r>
          <w:fldChar w:fldCharType="separate"/>
        </w:r>
        <w:r>
          <w:rPr>
            <w:noProof/>
          </w:rPr>
          <w:t>2</w:t>
        </w:r>
        <w:r>
          <w:fldChar w:fldCharType="end"/>
        </w:r>
      </w:p>
    </w:sdtContent>
  </w:sdt>
  <w:p w:rsidR="009525A3" w:rsidRDefault="00A758D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58D9" w:rsidRDefault="00A758D9" w:rsidP="00A758D9">
      <w:r>
        <w:separator/>
      </w:r>
    </w:p>
  </w:footnote>
  <w:footnote w:type="continuationSeparator" w:id="0">
    <w:p w:rsidR="00A758D9" w:rsidRDefault="00A758D9" w:rsidP="00A758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A758D9" w:rsidP="00A73AD7">
    <w:pPr>
      <w:pStyle w:val="Encabezado"/>
      <w:jc w:val="right"/>
      <w:rPr>
        <w:rFonts w:ascii="Arial" w:hAnsi="Arial" w:cs="Arial"/>
      </w:rPr>
    </w:pPr>
    <w:r w:rsidRPr="00DC1CEA">
      <w:rPr>
        <w:rFonts w:eastAsia="Calibri"/>
        <w:noProof/>
        <w:lang w:val="es-MX"/>
      </w:rPr>
      <mc:AlternateContent>
        <mc:Choice Requires="wps">
          <w:drawing>
            <wp:anchor distT="45720" distB="45720" distL="114300" distR="114300" simplePos="0" relativeHeight="251665408" behindDoc="1" locked="0" layoutInCell="1" allowOverlap="1" wp14:anchorId="2464C81B" wp14:editId="495D7CA3">
              <wp:simplePos x="0" y="0"/>
              <wp:positionH relativeFrom="leftMargin">
                <wp:posOffset>272392</wp:posOffset>
              </wp:positionH>
              <wp:positionV relativeFrom="paragraph">
                <wp:posOffset>3482348</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A758D9" w:rsidRDefault="00A758D9" w:rsidP="00A758D9">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64C81B" id="_x0000_t202" coordsize="21600,21600" o:spt="202" path="m,l,21600r21600,l21600,xe">
              <v:stroke joinstyle="miter"/>
              <v:path gradientshapeok="t" o:connecttype="rect"/>
            </v:shapetype>
            <v:shape id="Cuadro de texto 5" o:spid="_x0000_s1026" type="#_x0000_t202" style="position:absolute;left:0;text-align:left;margin-left:21.45pt;margin-top:274.2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">
              <v:textbox>
                <w:txbxContent>
                  <w:p w:rsidR="00A758D9" w:rsidRDefault="00A758D9" w:rsidP="00A758D9">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032A3EFD" wp14:editId="06BF14DB">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10</w:t>
    </w:r>
    <w:r>
      <w:rPr>
        <w:rFonts w:ascii="Arial" w:hAnsi="Arial" w:cs="Arial"/>
      </w:rPr>
      <w:t>0</w:t>
    </w:r>
    <w:r w:rsidRPr="00A73AD7">
      <w:rPr>
        <w:rFonts w:ascii="Arial" w:hAnsi="Arial" w:cs="Arial"/>
      </w:rPr>
      <w:t>/20</w:t>
    </w:r>
    <w:r>
      <w:rPr>
        <w:rFonts w:ascii="Arial" w:hAnsi="Arial" w:cs="Arial"/>
      </w:rPr>
      <w:t>2</w:t>
    </w:r>
    <w:r>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A758D9">
    <w:pPr>
      <w:pStyle w:val="Encabezado"/>
    </w:pPr>
    <w:r w:rsidRPr="00DC1CEA">
      <w:rPr>
        <w:rFonts w:eastAsia="Calibri"/>
        <w:noProof/>
        <w:lang w:val="es-MX"/>
      </w:rPr>
      <mc:AlternateContent>
        <mc:Choice Requires="wps">
          <w:drawing>
            <wp:anchor distT="45720" distB="45720" distL="114300" distR="114300" simplePos="0" relativeHeight="251663360" behindDoc="1" locked="0" layoutInCell="1" allowOverlap="1" wp14:anchorId="1036B0AE" wp14:editId="1D24C53A">
              <wp:simplePos x="0" y="0"/>
              <wp:positionH relativeFrom="leftMargin">
                <wp:posOffset>272393</wp:posOffset>
              </wp:positionH>
              <wp:positionV relativeFrom="paragraph">
                <wp:posOffset>5707755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A758D9" w:rsidRDefault="00A758D9" w:rsidP="00A758D9">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36B0AE" id="_x0000_t202" coordsize="21600,21600" o:spt="202" path="m,l,21600r21600,l21600,xe">
              <v:stroke joinstyle="miter"/>
              <v:path gradientshapeok="t" o:connecttype="rect"/>
            </v:shapetype>
            <v:shape id="Cuadro de texto 4" o:spid="_x0000_s1027" type="#_x0000_t202" style="position:absolute;margin-left:21.45pt;margin-top:449.4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">
              <v:textbox>
                <w:txbxContent>
                  <w:p w:rsidR="00A758D9" w:rsidRDefault="00A758D9" w:rsidP="00A758D9">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6CE69DF9" wp14:editId="66473C83">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55E94C86" wp14:editId="72298FD6">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8D9"/>
    <w:rsid w:val="00294EC6"/>
    <w:rsid w:val="004B1DB0"/>
    <w:rsid w:val="005223BF"/>
    <w:rsid w:val="00685BC3"/>
    <w:rsid w:val="00A758D9"/>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05346E92-91B7-4072-881D-B3303759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8D9"/>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A758D9"/>
    <w:pPr>
      <w:spacing w:after="120"/>
    </w:pPr>
    <w:rPr>
      <w:lang w:val="x-none"/>
    </w:rPr>
  </w:style>
  <w:style w:type="character" w:customStyle="1" w:styleId="TextoindependienteCar">
    <w:name w:val="Texto independiente Car"/>
    <w:basedOn w:val="Fuentedeprrafopredeter"/>
    <w:link w:val="Textoindependiente"/>
    <w:uiPriority w:val="99"/>
    <w:rsid w:val="00A758D9"/>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A758D9"/>
    <w:pPr>
      <w:autoSpaceDE w:val="0"/>
      <w:autoSpaceDN w:val="0"/>
    </w:pPr>
    <w:rPr>
      <w:lang w:eastAsia="es-ES"/>
    </w:rPr>
  </w:style>
  <w:style w:type="character" w:customStyle="1" w:styleId="TextonotapieCar">
    <w:name w:val="Texto nota pie Car"/>
    <w:basedOn w:val="Fuentedeprrafopredeter"/>
    <w:link w:val="Textonotapie"/>
    <w:uiPriority w:val="99"/>
    <w:rsid w:val="00A758D9"/>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58D9"/>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58D9"/>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A758D9"/>
    <w:pPr>
      <w:tabs>
        <w:tab w:val="center" w:pos="4419"/>
        <w:tab w:val="right" w:pos="8838"/>
      </w:tabs>
    </w:pPr>
  </w:style>
  <w:style w:type="character" w:customStyle="1" w:styleId="EncabezadoCar">
    <w:name w:val="Encabezado Car"/>
    <w:basedOn w:val="Fuentedeprrafopredeter"/>
    <w:link w:val="Encabezado"/>
    <w:uiPriority w:val="99"/>
    <w:rsid w:val="00A758D9"/>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A758D9"/>
    <w:pPr>
      <w:tabs>
        <w:tab w:val="center" w:pos="4419"/>
        <w:tab w:val="right" w:pos="8838"/>
      </w:tabs>
    </w:pPr>
  </w:style>
  <w:style w:type="character" w:customStyle="1" w:styleId="PiedepginaCar">
    <w:name w:val="Pie de página Car"/>
    <w:basedOn w:val="Fuentedeprrafopredeter"/>
    <w:link w:val="Piedepgina"/>
    <w:uiPriority w:val="99"/>
    <w:rsid w:val="00A758D9"/>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003"/>
    <w:rsid w:val="008870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EFF95E0716E490693CCC6B21632DC1F">
    <w:name w:val="CEFF95E0716E490693CCC6B21632DC1F"/>
    <w:rsid w:val="008870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3205</Words>
  <Characters>17632</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2023-04-14T16:35:00Z</dcterms:created>
  <dcterms:modified xsi:type="dcterms:W3CDTF">2023-04-14T16:42:00Z</dcterms:modified>
</cp:coreProperties>
</file>