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6B2626">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6B2626">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6B2626">
      <w:pPr>
        <w:spacing w:after="0"/>
        <w:ind w:left="3686" w:right="51"/>
        <w:jc w:val="both"/>
        <w:rPr>
          <w:rFonts w:ascii="Arial" w:eastAsia="Times New Roman" w:hAnsi="Arial" w:cs="Arial"/>
          <w:b/>
          <w:sz w:val="24"/>
          <w:szCs w:val="27"/>
          <w:lang w:val="es-ES_tradnl" w:eastAsia="es-ES"/>
        </w:rPr>
      </w:pPr>
    </w:p>
    <w:p w14:paraId="1E955A28" w14:textId="564FC089" w:rsidR="00140805" w:rsidRPr="009C0C09" w:rsidRDefault="00140805" w:rsidP="006B2626">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0E5FA6">
        <w:rPr>
          <w:rFonts w:ascii="Arial" w:eastAsia="Times New Roman" w:hAnsi="Arial" w:cs="Arial"/>
          <w:bCs/>
          <w:sz w:val="24"/>
          <w:szCs w:val="27"/>
          <w:lang w:val="es-ES_tradnl" w:eastAsia="es-ES"/>
        </w:rPr>
        <w:t>101/2017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6B2626">
      <w:pPr>
        <w:spacing w:after="0"/>
        <w:ind w:left="3686" w:right="51"/>
        <w:jc w:val="both"/>
        <w:rPr>
          <w:rFonts w:ascii="Arial" w:eastAsia="Times New Roman" w:hAnsi="Arial" w:cs="Arial"/>
          <w:b/>
          <w:sz w:val="24"/>
          <w:szCs w:val="27"/>
          <w:lang w:val="es-ES_tradnl" w:eastAsia="es-ES"/>
        </w:rPr>
      </w:pPr>
    </w:p>
    <w:p w14:paraId="4AE0D200" w14:textId="40D8E562" w:rsidR="003569E3" w:rsidRPr="009C0C09" w:rsidRDefault="003569E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EA735B">
        <w:rPr>
          <w:rFonts w:ascii="Arial" w:eastAsia="Times New Roman" w:hAnsi="Arial" w:cs="Arial"/>
          <w:sz w:val="24"/>
          <w:szCs w:val="27"/>
          <w:lang w:val="es-ES_tradnl" w:eastAsia="es-ES"/>
        </w:rPr>
        <w:t>*****</w:t>
      </w:r>
      <w:r w:rsidR="000E5FA6">
        <w:rPr>
          <w:rFonts w:ascii="Arial" w:eastAsia="Times New Roman" w:hAnsi="Arial" w:cs="Arial"/>
          <w:sz w:val="24"/>
          <w:szCs w:val="27"/>
          <w:lang w:val="es-ES_tradnl" w:eastAsia="es-ES"/>
        </w:rPr>
        <w:t xml:space="preserve"> </w:t>
      </w:r>
      <w:r w:rsidR="00EA735B">
        <w:rPr>
          <w:rFonts w:ascii="Arial" w:eastAsia="Times New Roman" w:hAnsi="Arial" w:cs="Arial"/>
          <w:sz w:val="24"/>
          <w:szCs w:val="27"/>
          <w:lang w:val="es-ES_tradnl" w:eastAsia="es-ES"/>
        </w:rPr>
        <w:t>*****</w:t>
      </w:r>
      <w:r w:rsidR="000E5FA6">
        <w:rPr>
          <w:rFonts w:ascii="Arial" w:eastAsia="Times New Roman" w:hAnsi="Arial" w:cs="Arial"/>
          <w:sz w:val="24"/>
          <w:szCs w:val="27"/>
          <w:lang w:val="es-ES_tradnl" w:eastAsia="es-ES"/>
        </w:rPr>
        <w:t xml:space="preserve"> </w:t>
      </w:r>
      <w:r w:rsidR="00EA735B">
        <w:rPr>
          <w:rFonts w:ascii="Arial" w:eastAsia="Times New Roman" w:hAnsi="Arial" w:cs="Arial"/>
          <w:sz w:val="24"/>
          <w:szCs w:val="27"/>
          <w:lang w:val="es-ES_tradnl" w:eastAsia="es-ES"/>
        </w:rPr>
        <w:t>*****</w:t>
      </w:r>
      <w:r w:rsidR="00CF31A1" w:rsidRPr="00C96EE7">
        <w:rPr>
          <w:rFonts w:ascii="Arial" w:eastAsia="Times New Roman" w:hAnsi="Arial" w:cs="Arial"/>
          <w:sz w:val="24"/>
          <w:szCs w:val="27"/>
          <w:lang w:val="es-ES_tradnl" w:eastAsia="es-ES"/>
        </w:rPr>
        <w:t>.</w:t>
      </w:r>
      <w:r w:rsidR="00B416AA" w:rsidRPr="00C96EE7">
        <w:rPr>
          <w:rFonts w:ascii="Arial" w:eastAsia="Times New Roman" w:hAnsi="Arial" w:cs="Arial"/>
          <w:sz w:val="24"/>
          <w:szCs w:val="27"/>
          <w:lang w:val="es-ES_tradnl" w:eastAsia="es-ES"/>
        </w:rPr>
        <w:t xml:space="preserve"> </w:t>
      </w:r>
      <w:r w:rsidR="00E9031A" w:rsidRPr="00C96EE7">
        <w:rPr>
          <w:rFonts w:ascii="Arial" w:eastAsia="Times New Roman" w:hAnsi="Arial" w:cs="Arial"/>
          <w:sz w:val="24"/>
          <w:szCs w:val="27"/>
          <w:lang w:val="es-ES_tradnl" w:eastAsia="es-ES"/>
        </w:rPr>
        <w:t xml:space="preserve"> </w:t>
      </w:r>
    </w:p>
    <w:p w14:paraId="2DE53633" w14:textId="77777777" w:rsidR="003569E3" w:rsidRPr="009C0C09" w:rsidRDefault="003569E3" w:rsidP="006B2626">
      <w:pPr>
        <w:spacing w:after="0"/>
        <w:ind w:left="3686" w:right="51"/>
        <w:jc w:val="both"/>
        <w:rPr>
          <w:rFonts w:ascii="Arial" w:eastAsia="Times New Roman" w:hAnsi="Arial" w:cs="Arial"/>
          <w:sz w:val="24"/>
          <w:szCs w:val="27"/>
          <w:lang w:val="es-ES_tradnl" w:eastAsia="es-ES"/>
        </w:rPr>
      </w:pPr>
    </w:p>
    <w:p w14:paraId="1570B435" w14:textId="1B40DAA0" w:rsidR="00C96EE7" w:rsidRDefault="00C07F53" w:rsidP="006B2626">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A730CB" w:rsidRPr="00A730CB">
        <w:rPr>
          <w:rFonts w:ascii="Arial" w:eastAsia="Times New Roman" w:hAnsi="Arial" w:cs="Arial"/>
          <w:sz w:val="24"/>
          <w:szCs w:val="27"/>
          <w:lang w:val="es-ES_tradnl" w:eastAsia="es-ES"/>
        </w:rPr>
        <w:t>DIRECTOR GENERAL DE LA OFICINA DE PENSIONES DEL ESTADO DE OAXACA</w:t>
      </w:r>
      <w:r w:rsidR="00D3679B" w:rsidRPr="00B32722">
        <w:rPr>
          <w:rFonts w:ascii="Arial" w:eastAsia="Times New Roman" w:hAnsi="Arial" w:cs="Arial"/>
          <w:sz w:val="24"/>
          <w:szCs w:val="27"/>
          <w:lang w:val="es-ES_tradnl" w:eastAsia="es-ES"/>
        </w:rPr>
        <w:t>.</w:t>
      </w:r>
      <w:r w:rsidR="00DE03B3">
        <w:rPr>
          <w:rFonts w:ascii="Arial" w:eastAsia="Times New Roman" w:hAnsi="Arial" w:cs="Arial"/>
          <w:sz w:val="24"/>
          <w:szCs w:val="27"/>
          <w:lang w:val="es-ES_tradnl" w:eastAsia="es-ES"/>
        </w:rPr>
        <w:t xml:space="preserve"> </w:t>
      </w:r>
    </w:p>
    <w:p w14:paraId="03FFC2E6" w14:textId="05186F41" w:rsidR="003569E3" w:rsidRPr="00263E2D" w:rsidRDefault="00DE03B3" w:rsidP="006B2626">
      <w:pPr>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70DB9FE9" w14:textId="13D1F4CE" w:rsidR="008C764E" w:rsidRPr="009C0C09" w:rsidRDefault="003569E3" w:rsidP="006B2626">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707CBD">
        <w:rPr>
          <w:rFonts w:ascii="Arial" w:eastAsia="Times New Roman" w:hAnsi="Arial" w:cs="Arial"/>
          <w:b/>
          <w:sz w:val="24"/>
          <w:szCs w:val="27"/>
          <w:lang w:val="es-ES" w:eastAsia="es-ES"/>
        </w:rPr>
        <w:t>CATORCE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2E9DE1F" w:rsidR="00102315" w:rsidRPr="009C0C09" w:rsidRDefault="003569E3" w:rsidP="006B2626">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7C0630">
        <w:rPr>
          <w:rFonts w:ascii="Arial" w:eastAsia="Times New Roman" w:hAnsi="Arial" w:cs="Arial"/>
          <w:b/>
          <w:bCs/>
          <w:sz w:val="24"/>
          <w:szCs w:val="27"/>
          <w:lang w:val="es-ES_tradnl" w:eastAsia="es-ES"/>
        </w:rPr>
        <w:t>101/2017</w:t>
      </w:r>
      <w:r w:rsidR="00102315" w:rsidRPr="009C0C09">
        <w:rPr>
          <w:rFonts w:ascii="Arial" w:eastAsia="Times New Roman" w:hAnsi="Arial" w:cs="Arial"/>
          <w:sz w:val="24"/>
          <w:szCs w:val="27"/>
          <w:lang w:val="es-ES_tradnl" w:eastAsia="es-ES"/>
        </w:rPr>
        <w:t xml:space="preserve">, </w:t>
      </w:r>
      <w:r w:rsidR="00C96EE7">
        <w:rPr>
          <w:rFonts w:ascii="Arial" w:eastAsia="Times New Roman" w:hAnsi="Arial" w:cs="Arial"/>
          <w:sz w:val="24"/>
          <w:szCs w:val="27"/>
          <w:lang w:val="es-ES_tradnl" w:eastAsia="es-ES"/>
        </w:rPr>
        <w:t>promovido</w:t>
      </w:r>
      <w:r w:rsidR="00102315" w:rsidRPr="009C0C09">
        <w:rPr>
          <w:rFonts w:ascii="Arial" w:eastAsia="Times New Roman" w:hAnsi="Arial" w:cs="Arial"/>
          <w:sz w:val="24"/>
          <w:szCs w:val="27"/>
          <w:lang w:val="es-ES_tradnl" w:eastAsia="es-ES"/>
        </w:rPr>
        <w:t xml:space="preserve"> por </w:t>
      </w:r>
      <w:r w:rsidR="00EA735B">
        <w:rPr>
          <w:rFonts w:ascii="Arial" w:eastAsia="Times New Roman" w:hAnsi="Arial" w:cs="Arial"/>
          <w:b/>
          <w:bCs/>
          <w:sz w:val="24"/>
          <w:szCs w:val="27"/>
          <w:lang w:val="es-ES_tradnl" w:eastAsia="es-ES"/>
        </w:rPr>
        <w:t>*****</w:t>
      </w:r>
      <w:r w:rsidR="000E5FA6">
        <w:rPr>
          <w:rFonts w:ascii="Arial" w:eastAsia="Times New Roman" w:hAnsi="Arial" w:cs="Arial"/>
          <w:b/>
          <w:bCs/>
          <w:sz w:val="24"/>
          <w:szCs w:val="27"/>
          <w:lang w:val="es-ES_tradnl" w:eastAsia="es-ES"/>
        </w:rPr>
        <w:t xml:space="preserve"> </w:t>
      </w:r>
      <w:r w:rsidR="00EA735B">
        <w:rPr>
          <w:rFonts w:ascii="Arial" w:eastAsia="Times New Roman" w:hAnsi="Arial" w:cs="Arial"/>
          <w:b/>
          <w:bCs/>
          <w:sz w:val="24"/>
          <w:szCs w:val="27"/>
          <w:lang w:val="es-ES_tradnl" w:eastAsia="es-ES"/>
        </w:rPr>
        <w:t>*****</w:t>
      </w:r>
      <w:r w:rsidR="000E5FA6">
        <w:rPr>
          <w:rFonts w:ascii="Arial" w:eastAsia="Times New Roman" w:hAnsi="Arial" w:cs="Arial"/>
          <w:b/>
          <w:bCs/>
          <w:sz w:val="24"/>
          <w:szCs w:val="27"/>
          <w:lang w:val="es-ES_tradnl" w:eastAsia="es-ES"/>
        </w:rPr>
        <w:t xml:space="preserve"> </w:t>
      </w:r>
      <w:r w:rsidR="00EA735B">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7150B1">
        <w:rPr>
          <w:rFonts w:ascii="Arial" w:eastAsia="Times New Roman" w:hAnsi="Arial" w:cs="Arial"/>
          <w:sz w:val="24"/>
          <w:szCs w:val="27"/>
          <w:lang w:val="es-ES_tradnl" w:eastAsia="es-ES"/>
        </w:rPr>
        <w:t>l</w:t>
      </w:r>
      <w:r w:rsidR="00102315" w:rsidRPr="009C0C09">
        <w:rPr>
          <w:rFonts w:ascii="Arial" w:eastAsia="Times New Roman" w:hAnsi="Arial" w:cs="Arial"/>
          <w:sz w:val="24"/>
          <w:szCs w:val="27"/>
          <w:lang w:val="es-ES_tradnl" w:eastAsia="es-ES"/>
        </w:rPr>
        <w:t xml:space="preserve"> </w:t>
      </w:r>
      <w:r w:rsidR="00A730CB" w:rsidRPr="00A730CB">
        <w:rPr>
          <w:rFonts w:ascii="Arial" w:eastAsia="Times New Roman" w:hAnsi="Arial" w:cs="Arial"/>
          <w:b/>
          <w:sz w:val="24"/>
          <w:szCs w:val="27"/>
          <w:lang w:val="es-ES_tradnl" w:eastAsia="es-ES"/>
        </w:rPr>
        <w:t>DIRECTOR GENERAL DE LA OFICINA DE PENSIONES DEL ESTADO DE OAXACA</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6B2626">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48D7389D" w:rsidR="00793DA7" w:rsidRDefault="000C1184" w:rsidP="006B2626">
      <w:pPr>
        <w:spacing w:line="360" w:lineRule="auto"/>
        <w:ind w:firstLine="567"/>
        <w:jc w:val="both"/>
        <w:rPr>
          <w:rFonts w:ascii="Arial" w:hAnsi="Arial" w:cs="Arial"/>
          <w:bCs/>
          <w:spacing w:val="-3"/>
          <w:sz w:val="24"/>
          <w:szCs w:val="27"/>
          <w:lang w:val="es-ES_tradnl"/>
        </w:rPr>
      </w:pPr>
      <w:r w:rsidRPr="009C0C09">
        <w:rPr>
          <w:rFonts w:ascii="Arial" w:hAnsi="Arial" w:cs="Arial"/>
          <w:b/>
          <w:spacing w:val="-3"/>
          <w:sz w:val="24"/>
          <w:szCs w:val="27"/>
          <w:lang w:val="es-ES_tradnl"/>
        </w:rPr>
        <w:t>PRIMERO.</w:t>
      </w:r>
      <w:r w:rsidRPr="009C0C09">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 xml:space="preserve">Con fecha </w:t>
      </w:r>
      <w:r w:rsidR="000E5FA6">
        <w:rPr>
          <w:rFonts w:ascii="Arial" w:hAnsi="Arial" w:cs="Arial"/>
          <w:bCs/>
          <w:spacing w:val="-3"/>
          <w:sz w:val="24"/>
          <w:szCs w:val="27"/>
          <w:lang w:val="es-ES_tradnl"/>
        </w:rPr>
        <w:t>diez de octubre de dos mil diecisiete</w:t>
      </w:r>
      <w:r w:rsidR="00DB4C41">
        <w:rPr>
          <w:rFonts w:ascii="Arial" w:hAnsi="Arial" w:cs="Arial"/>
          <w:bCs/>
          <w:spacing w:val="-3"/>
          <w:sz w:val="24"/>
          <w:szCs w:val="27"/>
          <w:lang w:val="es-ES_tradnl"/>
        </w:rPr>
        <w:t xml:space="preserve">, </w:t>
      </w:r>
      <w:r w:rsidR="00DB4C41" w:rsidRPr="00DB4C41">
        <w:rPr>
          <w:rFonts w:ascii="Arial" w:hAnsi="Arial" w:cs="Arial"/>
          <w:bCs/>
          <w:spacing w:val="-3"/>
          <w:sz w:val="24"/>
          <w:szCs w:val="27"/>
          <w:lang w:val="es-ES_tradnl"/>
        </w:rPr>
        <w:t>e</w:t>
      </w:r>
      <w:r w:rsidR="000E5FA6">
        <w:rPr>
          <w:rFonts w:ascii="Arial" w:hAnsi="Arial" w:cs="Arial"/>
          <w:bCs/>
          <w:spacing w:val="-3"/>
          <w:sz w:val="24"/>
          <w:szCs w:val="27"/>
          <w:lang w:val="es-ES_tradnl"/>
        </w:rPr>
        <w:t>n la Oficialía de Partes del otrora</w:t>
      </w:r>
      <w:r w:rsidR="00DB4C41" w:rsidRPr="00DB4C41">
        <w:rPr>
          <w:rFonts w:ascii="Arial" w:hAnsi="Arial" w:cs="Arial"/>
          <w:bCs/>
          <w:spacing w:val="-3"/>
          <w:sz w:val="24"/>
          <w:szCs w:val="27"/>
          <w:lang w:val="es-ES_tradnl"/>
        </w:rPr>
        <w:t xml:space="preserve"> Tribunal</w:t>
      </w:r>
      <w:r w:rsidR="000E5FA6">
        <w:rPr>
          <w:rFonts w:ascii="Arial" w:hAnsi="Arial" w:cs="Arial"/>
          <w:bCs/>
          <w:spacing w:val="-3"/>
          <w:sz w:val="24"/>
          <w:szCs w:val="27"/>
          <w:lang w:val="es-ES_tradnl"/>
        </w:rPr>
        <w:t xml:space="preserve"> de lo Contencioso Administrativo y de Cuentas del Poder Judicial del Estado de Oaxaca</w:t>
      </w:r>
      <w:r w:rsidR="00DB4C41" w:rsidRPr="00DB4C41">
        <w:rPr>
          <w:rFonts w:ascii="Arial" w:hAnsi="Arial" w:cs="Arial"/>
          <w:bCs/>
          <w:spacing w:val="-3"/>
          <w:sz w:val="24"/>
          <w:szCs w:val="27"/>
          <w:lang w:val="es-ES_tradnl"/>
        </w:rPr>
        <w:t xml:space="preserve">, se recibió el escrito de </w:t>
      </w:r>
      <w:r w:rsidR="00EA735B">
        <w:rPr>
          <w:rFonts w:ascii="Arial" w:hAnsi="Arial" w:cs="Arial"/>
          <w:bCs/>
          <w:spacing w:val="-3"/>
          <w:sz w:val="24"/>
          <w:szCs w:val="27"/>
          <w:lang w:val="es-ES_tradnl"/>
        </w:rPr>
        <w:t>*****</w:t>
      </w:r>
      <w:r w:rsidR="000E5FA6">
        <w:rPr>
          <w:rFonts w:ascii="Arial" w:hAnsi="Arial" w:cs="Arial"/>
          <w:bCs/>
          <w:spacing w:val="-3"/>
          <w:sz w:val="24"/>
          <w:szCs w:val="27"/>
          <w:lang w:val="es-ES_tradnl"/>
        </w:rPr>
        <w:t xml:space="preserve"> </w:t>
      </w:r>
      <w:r w:rsidR="00EA735B">
        <w:rPr>
          <w:rFonts w:ascii="Arial" w:hAnsi="Arial" w:cs="Arial"/>
          <w:bCs/>
          <w:spacing w:val="-3"/>
          <w:sz w:val="24"/>
          <w:szCs w:val="27"/>
          <w:lang w:val="es-ES_tradnl"/>
        </w:rPr>
        <w:t>*****</w:t>
      </w:r>
      <w:r w:rsidR="000E5FA6">
        <w:rPr>
          <w:rFonts w:ascii="Arial" w:hAnsi="Arial" w:cs="Arial"/>
          <w:bCs/>
          <w:spacing w:val="-3"/>
          <w:sz w:val="24"/>
          <w:szCs w:val="27"/>
          <w:lang w:val="es-ES_tradnl"/>
        </w:rPr>
        <w:t xml:space="preserve"> </w:t>
      </w:r>
      <w:r w:rsidR="00EA735B">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quien por su propio derecho demandó la nuli</w:t>
      </w:r>
      <w:r w:rsidR="00DB4C41">
        <w:rPr>
          <w:rFonts w:ascii="Arial" w:hAnsi="Arial" w:cs="Arial"/>
          <w:bCs/>
          <w:spacing w:val="-3"/>
          <w:sz w:val="24"/>
          <w:szCs w:val="27"/>
          <w:lang w:val="es-ES_tradnl"/>
        </w:rPr>
        <w:t xml:space="preserve">dad del oficio número </w:t>
      </w:r>
      <w:r w:rsidR="00B66F8B">
        <w:rPr>
          <w:rFonts w:ascii="Arial" w:hAnsi="Arial" w:cs="Arial"/>
          <w:bCs/>
          <w:spacing w:val="-3"/>
          <w:sz w:val="24"/>
          <w:szCs w:val="27"/>
          <w:lang w:val="es-ES_tradnl"/>
        </w:rPr>
        <w:t>OP/DG/</w:t>
      </w:r>
      <w:r w:rsidR="00EA735B">
        <w:rPr>
          <w:rFonts w:ascii="Arial" w:hAnsi="Arial" w:cs="Arial"/>
          <w:bCs/>
          <w:spacing w:val="-3"/>
          <w:sz w:val="24"/>
          <w:szCs w:val="27"/>
          <w:lang w:val="es-ES_tradnl"/>
        </w:rPr>
        <w:t>*****</w:t>
      </w:r>
      <w:r w:rsidR="00B66F8B">
        <w:rPr>
          <w:rFonts w:ascii="Arial" w:hAnsi="Arial" w:cs="Arial"/>
          <w:bCs/>
          <w:spacing w:val="-3"/>
          <w:sz w:val="24"/>
          <w:szCs w:val="27"/>
          <w:lang w:val="es-ES_tradnl"/>
        </w:rPr>
        <w:t>/</w:t>
      </w:r>
      <w:r w:rsidR="00EA735B">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fecha </w:t>
      </w:r>
      <w:r w:rsidR="00C655A5">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w:t>
      </w:r>
      <w:r w:rsidR="00C655A5">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dos mil </w:t>
      </w:r>
      <w:r w:rsidR="00C655A5">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emitido por el Director General de la Oficina de Pensiones del Estado de Oaxaca, por lo que mediante acuerdo de fecha </w:t>
      </w:r>
      <w:r w:rsidR="00B66F8B">
        <w:rPr>
          <w:rFonts w:ascii="Arial" w:hAnsi="Arial" w:cs="Arial"/>
          <w:bCs/>
          <w:spacing w:val="-3"/>
          <w:sz w:val="24"/>
          <w:szCs w:val="27"/>
          <w:lang w:val="es-ES_tradnl"/>
        </w:rPr>
        <w:t>quince de noviembre de dos mil diecisiete</w:t>
      </w:r>
      <w:r w:rsidR="00387B37">
        <w:rPr>
          <w:rFonts w:ascii="Arial" w:hAnsi="Arial" w:cs="Arial"/>
          <w:bCs/>
          <w:spacing w:val="-3"/>
          <w:sz w:val="24"/>
          <w:szCs w:val="27"/>
          <w:lang w:val="es-ES_tradnl"/>
        </w:rPr>
        <w:t>,</w:t>
      </w:r>
      <w:r w:rsidR="00DB4C41" w:rsidRPr="00DB4C41">
        <w:rPr>
          <w:rFonts w:ascii="Arial" w:hAnsi="Arial" w:cs="Arial"/>
          <w:bCs/>
          <w:spacing w:val="-3"/>
          <w:sz w:val="24"/>
          <w:szCs w:val="27"/>
          <w:lang w:val="es-ES_tradnl"/>
        </w:rPr>
        <w:t xml:space="preserve"> se </w:t>
      </w:r>
      <w:r w:rsidR="000861BC">
        <w:rPr>
          <w:rFonts w:ascii="Arial" w:hAnsi="Arial" w:cs="Arial"/>
          <w:bCs/>
          <w:spacing w:val="-3"/>
          <w:sz w:val="24"/>
          <w:szCs w:val="27"/>
          <w:lang w:val="es-ES_tradnl"/>
        </w:rPr>
        <w:t xml:space="preserve">desechó la demanda interpuesta por considerarse que se actualizaba la </w:t>
      </w:r>
      <w:r w:rsidR="00707CDB">
        <w:rPr>
          <w:rFonts w:ascii="Arial" w:hAnsi="Arial" w:cs="Arial"/>
          <w:bCs/>
          <w:spacing w:val="-3"/>
          <w:sz w:val="24"/>
          <w:szCs w:val="27"/>
          <w:lang w:val="es-ES_tradnl"/>
        </w:rPr>
        <w:t>causal de improcedencia por ser</w:t>
      </w:r>
      <w:r w:rsidR="000861BC">
        <w:rPr>
          <w:rFonts w:ascii="Arial" w:hAnsi="Arial" w:cs="Arial"/>
          <w:bCs/>
          <w:spacing w:val="-3"/>
          <w:sz w:val="24"/>
          <w:szCs w:val="27"/>
          <w:lang w:val="es-ES_tradnl"/>
        </w:rPr>
        <w:t xml:space="preserve"> ya una cosa juzgada, puesto que el acto era en cumplimiento a un juicio diverso seguido ante la Quinta Sala Unitaria de Primera Instancia del entonces </w:t>
      </w:r>
      <w:r w:rsidR="000861BC" w:rsidRPr="00DB4C41">
        <w:rPr>
          <w:rFonts w:ascii="Arial" w:hAnsi="Arial" w:cs="Arial"/>
          <w:bCs/>
          <w:spacing w:val="-3"/>
          <w:sz w:val="24"/>
          <w:szCs w:val="27"/>
          <w:lang w:val="es-ES_tradnl"/>
        </w:rPr>
        <w:t>Tribunal</w:t>
      </w:r>
      <w:r w:rsidR="000861BC">
        <w:rPr>
          <w:rFonts w:ascii="Arial" w:hAnsi="Arial" w:cs="Arial"/>
          <w:bCs/>
          <w:spacing w:val="-3"/>
          <w:sz w:val="24"/>
          <w:szCs w:val="27"/>
          <w:lang w:val="es-ES_tradnl"/>
        </w:rPr>
        <w:t xml:space="preserve"> de lo Contencioso Administrativo y de Cuentas del Poder Judicial del Estado de Oaxaca</w:t>
      </w:r>
      <w:r w:rsidR="00F13EE3">
        <w:rPr>
          <w:rFonts w:ascii="Arial" w:hAnsi="Arial" w:cs="Arial"/>
          <w:bCs/>
          <w:spacing w:val="-3"/>
          <w:sz w:val="24"/>
          <w:szCs w:val="27"/>
          <w:lang w:val="es-ES_tradnl"/>
        </w:rPr>
        <w:t>.</w:t>
      </w:r>
    </w:p>
    <w:p w14:paraId="74A09056" w14:textId="18414213" w:rsidR="000861BC" w:rsidRDefault="00793DA7" w:rsidP="006B2626">
      <w:pPr>
        <w:spacing w:line="360" w:lineRule="auto"/>
        <w:ind w:firstLine="567"/>
        <w:jc w:val="both"/>
        <w:rPr>
          <w:rFonts w:ascii="Arial" w:hAnsi="Arial" w:cs="Arial"/>
          <w:bCs/>
          <w:spacing w:val="-3"/>
          <w:sz w:val="24"/>
          <w:szCs w:val="27"/>
          <w:lang w:val="es-ES_tradnl"/>
        </w:rPr>
      </w:pPr>
      <w:r w:rsidRPr="001A2788">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295A03" w:rsidRPr="00295A03">
        <w:rPr>
          <w:rFonts w:ascii="Arial" w:hAnsi="Arial" w:cs="Arial"/>
          <w:bCs/>
          <w:spacing w:val="-3"/>
          <w:sz w:val="24"/>
          <w:szCs w:val="27"/>
          <w:lang w:val="es-ES_tradnl"/>
        </w:rPr>
        <w:t xml:space="preserve">Por auto de </w:t>
      </w:r>
      <w:r w:rsidR="0023189F">
        <w:rPr>
          <w:rFonts w:ascii="Arial" w:hAnsi="Arial" w:cs="Arial"/>
          <w:bCs/>
          <w:spacing w:val="-3"/>
          <w:sz w:val="24"/>
          <w:szCs w:val="27"/>
          <w:lang w:val="es-ES_tradnl"/>
        </w:rPr>
        <w:t xml:space="preserve">fecha </w:t>
      </w:r>
      <w:r w:rsidR="000861BC">
        <w:rPr>
          <w:rFonts w:ascii="Arial" w:hAnsi="Arial" w:cs="Arial"/>
          <w:bCs/>
          <w:spacing w:val="-3"/>
          <w:sz w:val="24"/>
          <w:szCs w:val="27"/>
          <w:lang w:val="es-ES_tradnl"/>
        </w:rPr>
        <w:t>doce de diciembre de dos mil diecisiete, se tuvo a la actora interponiendo recurso de revisión en contra del acuerdo de fecha quince de noviembre de dos mil diecisiete, por lo que se ordenó formar cuaderno por separado para su trámite respectivo.</w:t>
      </w:r>
    </w:p>
    <w:p w14:paraId="0E70CBA5" w14:textId="782890F8" w:rsidR="000861BC" w:rsidRDefault="000861BC" w:rsidP="006B2626">
      <w:pPr>
        <w:spacing w:line="360" w:lineRule="auto"/>
        <w:ind w:firstLine="567"/>
        <w:jc w:val="both"/>
        <w:rPr>
          <w:rFonts w:ascii="Arial" w:hAnsi="Arial" w:cs="Arial"/>
          <w:bCs/>
          <w:spacing w:val="-3"/>
          <w:sz w:val="24"/>
          <w:szCs w:val="27"/>
          <w:lang w:val="es-ES_tradnl"/>
        </w:rPr>
      </w:pPr>
      <w:r w:rsidRPr="000861BC">
        <w:rPr>
          <w:rFonts w:ascii="Arial" w:hAnsi="Arial" w:cs="Arial"/>
          <w:b/>
          <w:bCs/>
          <w:spacing w:val="-3"/>
          <w:sz w:val="24"/>
          <w:szCs w:val="27"/>
          <w:lang w:val="es-ES_tradnl"/>
        </w:rPr>
        <w:t>TERCERO.</w:t>
      </w:r>
      <w:r>
        <w:rPr>
          <w:rFonts w:ascii="Arial" w:hAnsi="Arial" w:cs="Arial"/>
          <w:bCs/>
          <w:spacing w:val="-3"/>
          <w:sz w:val="24"/>
          <w:szCs w:val="27"/>
          <w:lang w:val="es-ES_tradnl"/>
        </w:rPr>
        <w:t xml:space="preserve"> Mediante proveído de fecha ocho de junio de dos mil dieciocho, se tuvo por recibido el oficio TJAO/</w:t>
      </w:r>
      <w:r w:rsidR="004535F4">
        <w:rPr>
          <w:rFonts w:ascii="Arial" w:hAnsi="Arial" w:cs="Arial"/>
          <w:bCs/>
          <w:spacing w:val="-3"/>
          <w:sz w:val="24"/>
          <w:szCs w:val="27"/>
          <w:lang w:val="es-ES_tradnl"/>
        </w:rPr>
        <w:t>*****</w:t>
      </w:r>
      <w:r>
        <w:rPr>
          <w:rFonts w:ascii="Arial" w:hAnsi="Arial" w:cs="Arial"/>
          <w:bCs/>
          <w:spacing w:val="-3"/>
          <w:sz w:val="24"/>
          <w:szCs w:val="27"/>
          <w:lang w:val="es-ES_tradnl"/>
        </w:rPr>
        <w:t>/</w:t>
      </w:r>
      <w:r w:rsidR="004535F4">
        <w:rPr>
          <w:rFonts w:ascii="Arial" w:hAnsi="Arial" w:cs="Arial"/>
          <w:bCs/>
          <w:spacing w:val="-3"/>
          <w:sz w:val="24"/>
          <w:szCs w:val="27"/>
          <w:lang w:val="es-ES_tradnl"/>
        </w:rPr>
        <w:t>*****</w:t>
      </w:r>
      <w:r>
        <w:rPr>
          <w:rFonts w:ascii="Arial" w:hAnsi="Arial" w:cs="Arial"/>
          <w:bCs/>
          <w:spacing w:val="-3"/>
          <w:sz w:val="24"/>
          <w:szCs w:val="27"/>
          <w:lang w:val="es-ES_tradnl"/>
        </w:rPr>
        <w:t>, signado por la Secretaria General de Acuerdos de la Sala Superior de este Tribunal, con el cual remit</w:t>
      </w:r>
      <w:r w:rsidR="0075198C">
        <w:rPr>
          <w:rFonts w:ascii="Arial" w:hAnsi="Arial" w:cs="Arial"/>
          <w:bCs/>
          <w:spacing w:val="-3"/>
          <w:sz w:val="24"/>
          <w:szCs w:val="27"/>
          <w:lang w:val="es-ES_tradnl"/>
        </w:rPr>
        <w:t>ía copia certificada de</w:t>
      </w:r>
      <w:r>
        <w:rPr>
          <w:rFonts w:ascii="Arial" w:hAnsi="Arial" w:cs="Arial"/>
          <w:bCs/>
          <w:spacing w:val="-3"/>
          <w:sz w:val="24"/>
          <w:szCs w:val="27"/>
          <w:lang w:val="es-ES_tradnl"/>
        </w:rPr>
        <w:t xml:space="preserve"> la resolución dictada en el Recurso de Revisión </w:t>
      </w:r>
      <w:r w:rsidR="0075198C">
        <w:rPr>
          <w:rFonts w:ascii="Arial" w:hAnsi="Arial" w:cs="Arial"/>
          <w:bCs/>
          <w:spacing w:val="-3"/>
          <w:sz w:val="24"/>
          <w:szCs w:val="27"/>
          <w:lang w:val="es-ES_tradnl"/>
        </w:rPr>
        <w:t xml:space="preserve">número </w:t>
      </w:r>
      <w:r w:rsidR="007F5213">
        <w:rPr>
          <w:rFonts w:ascii="Arial" w:hAnsi="Arial" w:cs="Arial"/>
          <w:bCs/>
          <w:spacing w:val="-3"/>
          <w:sz w:val="24"/>
          <w:szCs w:val="27"/>
          <w:lang w:val="es-ES_tradnl"/>
        </w:rPr>
        <w:t>******</w:t>
      </w:r>
      <w:r w:rsidR="0075198C">
        <w:rPr>
          <w:rFonts w:ascii="Arial" w:hAnsi="Arial" w:cs="Arial"/>
          <w:bCs/>
          <w:spacing w:val="-3"/>
          <w:sz w:val="24"/>
          <w:szCs w:val="27"/>
          <w:lang w:val="es-ES_tradnl"/>
        </w:rPr>
        <w:t xml:space="preserve">, en el cual se revocó el auto recurrido. </w:t>
      </w:r>
    </w:p>
    <w:p w14:paraId="4E801137" w14:textId="66F100D9" w:rsidR="0075198C" w:rsidRDefault="0075198C" w:rsidP="006B262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En atención a lo ordenado por la Sala Superior, se admitió a trámite la demanda interpuesta, por lo que se ordenó notificar, emplazar y correr traslado a la autoridad demandada, para que realizara la contestación a la misma. </w:t>
      </w:r>
    </w:p>
    <w:p w14:paraId="15C64184" w14:textId="19878968" w:rsidR="005610E3" w:rsidRDefault="0075198C" w:rsidP="006B2626">
      <w:pPr>
        <w:spacing w:line="360" w:lineRule="auto"/>
        <w:ind w:firstLine="567"/>
        <w:jc w:val="both"/>
        <w:rPr>
          <w:rFonts w:ascii="Arial" w:hAnsi="Arial" w:cs="Arial"/>
          <w:bCs/>
          <w:spacing w:val="-3"/>
          <w:sz w:val="24"/>
          <w:szCs w:val="27"/>
          <w:lang w:val="es-ES_tradnl"/>
        </w:rPr>
      </w:pPr>
      <w:r w:rsidRPr="0075198C">
        <w:rPr>
          <w:rFonts w:ascii="Arial" w:hAnsi="Arial" w:cs="Arial"/>
          <w:b/>
          <w:bCs/>
          <w:spacing w:val="-3"/>
          <w:sz w:val="24"/>
          <w:szCs w:val="27"/>
          <w:lang w:val="es-ES_tradnl"/>
        </w:rPr>
        <w:t>CUARTO.</w:t>
      </w:r>
      <w:r>
        <w:rPr>
          <w:rFonts w:ascii="Arial" w:hAnsi="Arial" w:cs="Arial"/>
          <w:bCs/>
          <w:spacing w:val="-3"/>
          <w:sz w:val="24"/>
          <w:szCs w:val="27"/>
          <w:lang w:val="es-ES_tradnl"/>
        </w:rPr>
        <w:t xml:space="preserve"> En auto de fecha doce de septiembre de dos mil dieciocho</w:t>
      </w:r>
      <w:r w:rsidR="00295A03" w:rsidRPr="00295A03">
        <w:rPr>
          <w:rFonts w:ascii="Arial" w:hAnsi="Arial" w:cs="Arial"/>
          <w:bCs/>
          <w:spacing w:val="-3"/>
          <w:sz w:val="24"/>
          <w:szCs w:val="27"/>
          <w:lang w:val="es-ES_tradnl"/>
        </w:rPr>
        <w:t>, se tuvo al Director General de la Oficina de Pensiones del Estado y Apoderado Legal de Consejo Directivo de la Oficina de Pensiones, contestando en tiempo y forma la demanda y por admitidas las pruebas ofrecidas</w:t>
      </w:r>
      <w:r w:rsidR="005610E3">
        <w:rPr>
          <w:rFonts w:ascii="Arial" w:hAnsi="Arial" w:cs="Arial"/>
          <w:bCs/>
          <w:spacing w:val="-3"/>
          <w:sz w:val="24"/>
          <w:szCs w:val="27"/>
          <w:lang w:val="es-ES_tradnl"/>
        </w:rPr>
        <w:t>.</w:t>
      </w:r>
      <w:r>
        <w:rPr>
          <w:rFonts w:ascii="Arial" w:hAnsi="Arial" w:cs="Arial"/>
          <w:bCs/>
          <w:spacing w:val="-3"/>
          <w:sz w:val="24"/>
          <w:szCs w:val="27"/>
          <w:lang w:val="es-ES_tradnl"/>
        </w:rPr>
        <w:t xml:space="preserve"> Finalmente se señaló fecha y hora para la celebración de la audiencia final.</w:t>
      </w:r>
    </w:p>
    <w:p w14:paraId="16C0DB4C" w14:textId="3B132568" w:rsidR="00AC3C34" w:rsidRDefault="0075198C" w:rsidP="006B2626">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2653F1">
        <w:rPr>
          <w:rFonts w:ascii="Arial" w:hAnsi="Arial" w:cs="Arial"/>
          <w:bCs/>
          <w:spacing w:val="-3"/>
          <w:sz w:val="24"/>
          <w:szCs w:val="27"/>
          <w:lang w:val="es-ES_tradnl"/>
        </w:rPr>
        <w:t xml:space="preserve"> </w:t>
      </w:r>
      <w:r w:rsidR="00C9565B" w:rsidRPr="00C9565B">
        <w:rPr>
          <w:rFonts w:ascii="Arial" w:hAnsi="Arial" w:cs="Arial"/>
          <w:bCs/>
          <w:spacing w:val="-3"/>
          <w:sz w:val="24"/>
          <w:szCs w:val="27"/>
          <w:lang w:val="es-ES_tradnl"/>
        </w:rPr>
        <w:t xml:space="preserve">El </w:t>
      </w:r>
      <w:r>
        <w:rPr>
          <w:rFonts w:ascii="Arial" w:hAnsi="Arial" w:cs="Arial"/>
          <w:bCs/>
          <w:spacing w:val="-3"/>
          <w:sz w:val="24"/>
          <w:szCs w:val="27"/>
          <w:lang w:val="es-ES_tradnl"/>
        </w:rPr>
        <w:t>nueve de octubre de dos mil dieciocho</w:t>
      </w:r>
      <w:r w:rsidR="00C9565B" w:rsidRPr="00C9565B">
        <w:rPr>
          <w:rFonts w:ascii="Arial" w:hAnsi="Arial" w:cs="Arial"/>
          <w:bCs/>
          <w:spacing w:val="-3"/>
          <w:sz w:val="24"/>
          <w:szCs w:val="27"/>
          <w:lang w:val="es-ES_tradnl"/>
        </w:rPr>
        <w:t>, se celebró la audiencia final sin comparecencia de las partes ni de persona alguna que legalmente les representara; en el periodo de pruebas se tuvieron por desahogadas por su propia y especial naturaleza las pruebas ofrecidas por las partes</w:t>
      </w:r>
      <w:r w:rsidR="006F4908">
        <w:rPr>
          <w:rFonts w:ascii="Arial" w:hAnsi="Arial" w:cs="Arial"/>
          <w:bCs/>
          <w:spacing w:val="-3"/>
          <w:sz w:val="24"/>
          <w:szCs w:val="27"/>
          <w:lang w:val="es-ES_tradnl"/>
        </w:rPr>
        <w:t xml:space="preserve">, asentando el Secretario que </w:t>
      </w:r>
      <w:r>
        <w:rPr>
          <w:rFonts w:ascii="Arial" w:hAnsi="Arial" w:cs="Arial"/>
          <w:bCs/>
          <w:spacing w:val="-3"/>
          <w:sz w:val="24"/>
          <w:szCs w:val="27"/>
          <w:lang w:val="es-ES_tradnl"/>
        </w:rPr>
        <w:t>ninguna de las partes</w:t>
      </w:r>
      <w:r w:rsidR="006F4908">
        <w:rPr>
          <w:rFonts w:ascii="Arial" w:hAnsi="Arial" w:cs="Arial"/>
          <w:bCs/>
          <w:spacing w:val="-3"/>
          <w:sz w:val="24"/>
          <w:szCs w:val="27"/>
          <w:lang w:val="es-ES_tradnl"/>
        </w:rPr>
        <w:t>, por lo que se citó a las partes para oír sentencia</w:t>
      </w:r>
      <w:r w:rsidR="00130B07">
        <w:rPr>
          <w:rFonts w:ascii="Arial" w:hAnsi="Arial" w:cs="Arial"/>
          <w:bCs/>
          <w:spacing w:val="-3"/>
          <w:sz w:val="24"/>
          <w:szCs w:val="27"/>
          <w:lang w:val="es-ES_tradnl"/>
        </w:rPr>
        <w:t>, y;</w:t>
      </w:r>
    </w:p>
    <w:p w14:paraId="258CE6C0" w14:textId="2E308EDD" w:rsidR="00102315" w:rsidRPr="009C0C09" w:rsidRDefault="00102315" w:rsidP="006F4908">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4311529C" w:rsidR="008C1AC1" w:rsidRPr="009C0C09" w:rsidRDefault="00102315" w:rsidP="006B2626">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1E3C59" w:rsidRPr="001E3C59">
        <w:rPr>
          <w:rFonts w:ascii="Arial" w:hAnsi="Arial" w:cs="Arial"/>
          <w:sz w:val="24"/>
          <w:szCs w:val="24"/>
        </w:rPr>
        <w:t>Esta Segunda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29C0AB97" w:rsidR="0043159F" w:rsidRPr="00F12439" w:rsidRDefault="00102315" w:rsidP="006B2626">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2779CB" w:rsidRPr="002779CB">
        <w:rPr>
          <w:rFonts w:ascii="Arial" w:hAnsi="Arial" w:cs="Arial"/>
          <w:bCs/>
          <w:snapToGrid w:val="0"/>
          <w:sz w:val="24"/>
          <w:szCs w:val="24"/>
        </w:rPr>
        <w:t xml:space="preserve">La personalidad </w:t>
      </w:r>
      <w:r w:rsidR="002779CB">
        <w:rPr>
          <w:rFonts w:ascii="Arial" w:hAnsi="Arial" w:cs="Arial"/>
          <w:bCs/>
          <w:snapToGrid w:val="0"/>
          <w:sz w:val="24"/>
          <w:szCs w:val="24"/>
        </w:rPr>
        <w:t xml:space="preserve">de las partes </w:t>
      </w:r>
      <w:r w:rsidR="00975BD3">
        <w:rPr>
          <w:rFonts w:ascii="Arial" w:hAnsi="Arial" w:cs="Arial"/>
          <w:bCs/>
          <w:snapToGrid w:val="0"/>
          <w:sz w:val="24"/>
          <w:szCs w:val="24"/>
        </w:rPr>
        <w:t xml:space="preserve">quedó acreditada </w:t>
      </w:r>
      <w:r w:rsidR="009930D8">
        <w:rPr>
          <w:rFonts w:ascii="Arial" w:hAnsi="Arial" w:cs="Arial"/>
          <w:bCs/>
          <w:snapToGrid w:val="0"/>
          <w:sz w:val="24"/>
          <w:szCs w:val="24"/>
        </w:rPr>
        <w:t xml:space="preserve">en autos, </w:t>
      </w:r>
      <w:r w:rsidR="00975BD3">
        <w:rPr>
          <w:rFonts w:ascii="Arial" w:hAnsi="Arial" w:cs="Arial"/>
          <w:bCs/>
          <w:snapToGrid w:val="0"/>
          <w:sz w:val="24"/>
          <w:szCs w:val="24"/>
        </w:rPr>
        <w:t>en términos de</w:t>
      </w:r>
      <w:r w:rsidR="00F30404" w:rsidRPr="00F30404">
        <w:rPr>
          <w:rFonts w:ascii="Arial" w:hAnsi="Arial" w:cs="Arial"/>
          <w:bCs/>
          <w:snapToGrid w:val="0"/>
          <w:sz w:val="24"/>
          <w:szCs w:val="24"/>
        </w:rPr>
        <w:t xml:space="preserve"> los artículos 1</w:t>
      </w:r>
      <w:r w:rsidR="001E3C59">
        <w:rPr>
          <w:rFonts w:ascii="Arial" w:hAnsi="Arial" w:cs="Arial"/>
          <w:bCs/>
          <w:snapToGrid w:val="0"/>
          <w:sz w:val="24"/>
          <w:szCs w:val="24"/>
        </w:rPr>
        <w:t xml:space="preserve">17 y 120 de </w:t>
      </w:r>
      <w:r w:rsidR="001E3C59" w:rsidRPr="001E3C59">
        <w:rPr>
          <w:rFonts w:ascii="Arial" w:hAnsi="Arial" w:cs="Arial"/>
          <w:bCs/>
          <w:snapToGrid w:val="0"/>
          <w:sz w:val="24"/>
          <w:szCs w:val="24"/>
        </w:rPr>
        <w:t>la Ley de Justicia Administrativa para el Estado de Oaxaca</w:t>
      </w:r>
      <w:r w:rsidR="00455FD5">
        <w:rPr>
          <w:rFonts w:ascii="Arial" w:hAnsi="Arial" w:cs="Arial"/>
          <w:bCs/>
          <w:snapToGrid w:val="0"/>
          <w:sz w:val="24"/>
          <w:szCs w:val="24"/>
        </w:rPr>
        <w:t>.</w:t>
      </w:r>
    </w:p>
    <w:p w14:paraId="433ACE31" w14:textId="61DECA2B" w:rsidR="00A14FB8" w:rsidRPr="00F46B9B" w:rsidRDefault="003E0CBC" w:rsidP="006B2626">
      <w:pPr>
        <w:spacing w:line="360" w:lineRule="auto"/>
        <w:ind w:firstLine="567"/>
        <w:jc w:val="both"/>
        <w:rPr>
          <w:rFonts w:ascii="Arial" w:hAnsi="Arial" w:cs="Arial"/>
          <w:sz w:val="24"/>
          <w:szCs w:val="24"/>
        </w:rPr>
      </w:pPr>
      <w:r>
        <w:rPr>
          <w:rFonts w:ascii="Arial" w:hAnsi="Arial" w:cs="Arial"/>
          <w:b/>
          <w:snapToGrid w:val="0"/>
          <w:sz w:val="24"/>
          <w:szCs w:val="27"/>
        </w:rPr>
        <w:t>TERCERO</w:t>
      </w:r>
      <w:r w:rsidR="00FD0735">
        <w:rPr>
          <w:rFonts w:ascii="Arial" w:hAnsi="Arial" w:cs="Arial"/>
          <w:b/>
          <w:sz w:val="24"/>
          <w:szCs w:val="24"/>
        </w:rPr>
        <w:t>.</w:t>
      </w:r>
      <w:r w:rsidR="00FD0735" w:rsidRPr="00A9241D">
        <w:rPr>
          <w:rFonts w:ascii="Arial" w:hAnsi="Arial" w:cs="Arial"/>
          <w:b/>
          <w:sz w:val="24"/>
          <w:szCs w:val="24"/>
        </w:rPr>
        <w:t xml:space="preserve"> </w:t>
      </w:r>
      <w:r w:rsidR="008D693D" w:rsidRPr="008D693D">
        <w:rPr>
          <w:rFonts w:ascii="Arial" w:hAnsi="Arial" w:cs="Arial"/>
          <w:bCs/>
          <w:sz w:val="24"/>
          <w:szCs w:val="24"/>
        </w:rPr>
        <w:t>Previo al estudio de fondo del asunto, y por cuestión de método y técnica judicial, esta Sala procede a analizar, si en la especie se actualiza alguna causal de improcedencia del juicio de nulidad que se advierta oficiosamente y que impida la resolución del fondo del asunto y que debiera declararse su sobreseimiento,</w:t>
      </w:r>
      <w:r w:rsidR="00F5528D">
        <w:rPr>
          <w:rFonts w:ascii="Arial" w:hAnsi="Arial" w:cs="Arial"/>
          <w:bCs/>
          <w:sz w:val="24"/>
          <w:szCs w:val="24"/>
        </w:rPr>
        <w:t xml:space="preserve"> en términos de los artículos 131 y 13</w:t>
      </w:r>
      <w:r w:rsidR="008D693D" w:rsidRPr="008D693D">
        <w:rPr>
          <w:rFonts w:ascii="Arial" w:hAnsi="Arial" w:cs="Arial"/>
          <w:bCs/>
          <w:sz w:val="24"/>
          <w:szCs w:val="24"/>
        </w:rPr>
        <w:t xml:space="preserve">2 de la Ley de Justicia Administrativa para el Estado de Oaxaca, por lo que posteriormente al estudio integral de la demanda y a los artículos de referencia, esta </w:t>
      </w:r>
      <w:r w:rsidR="0003743F">
        <w:rPr>
          <w:rFonts w:ascii="Arial" w:hAnsi="Arial" w:cs="Arial"/>
          <w:bCs/>
          <w:sz w:val="24"/>
          <w:szCs w:val="24"/>
        </w:rPr>
        <w:t>Segunda</w:t>
      </w:r>
      <w:r w:rsidR="008D693D" w:rsidRPr="008D693D">
        <w:rPr>
          <w:rFonts w:ascii="Arial" w:hAnsi="Arial" w:cs="Arial"/>
          <w:bCs/>
          <w:sz w:val="24"/>
          <w:szCs w:val="24"/>
        </w:rPr>
        <w:t xml:space="preserve"> Sala Unitaria de Primera Instancia del Tribunal de Justicia Administrativa para el Estado de </w:t>
      </w:r>
      <w:r w:rsidR="008D693D" w:rsidRPr="008D693D">
        <w:rPr>
          <w:rFonts w:ascii="Arial" w:hAnsi="Arial" w:cs="Arial"/>
          <w:bCs/>
          <w:sz w:val="24"/>
          <w:szCs w:val="24"/>
        </w:rPr>
        <w:lastRenderedPageBreak/>
        <w:t xml:space="preserve">Oaxaca, advierte que no se configura alguna causal de improcedencia o sobreseimiento por lo tanto, </w:t>
      </w:r>
      <w:r w:rsidR="008D693D" w:rsidRPr="008D693D">
        <w:rPr>
          <w:rFonts w:ascii="Arial" w:hAnsi="Arial" w:cs="Arial"/>
          <w:b/>
          <w:bCs/>
          <w:sz w:val="24"/>
          <w:szCs w:val="24"/>
        </w:rPr>
        <w:t>NO SE SOBRESEE EL PRESENTE JUICIO</w:t>
      </w:r>
      <w:r w:rsidR="00B6737F" w:rsidRPr="00F46B9B">
        <w:rPr>
          <w:rFonts w:ascii="Arial" w:hAnsi="Arial" w:cs="Arial"/>
          <w:sz w:val="24"/>
          <w:szCs w:val="24"/>
        </w:rPr>
        <w:t>.</w:t>
      </w:r>
    </w:p>
    <w:p w14:paraId="2BFC07D4" w14:textId="4120E339" w:rsidR="00BD4FC7" w:rsidRPr="00BD4FC7" w:rsidRDefault="00A14FB8" w:rsidP="006B2626">
      <w:pPr>
        <w:spacing w:line="360" w:lineRule="auto"/>
        <w:ind w:firstLine="567"/>
        <w:jc w:val="both"/>
        <w:rPr>
          <w:rFonts w:ascii="Arial" w:hAnsi="Arial" w:cs="Arial"/>
          <w:sz w:val="24"/>
          <w:szCs w:val="24"/>
        </w:rPr>
      </w:pPr>
      <w:r w:rsidRPr="0019467E">
        <w:rPr>
          <w:rFonts w:ascii="Arial" w:hAnsi="Arial" w:cs="Arial"/>
          <w:b/>
          <w:sz w:val="24"/>
          <w:szCs w:val="24"/>
        </w:rPr>
        <w:t>CUARTO.</w:t>
      </w:r>
      <w:r w:rsidRPr="00A14FB8">
        <w:rPr>
          <w:rFonts w:ascii="Arial" w:hAnsi="Arial" w:cs="Arial"/>
          <w:sz w:val="24"/>
          <w:szCs w:val="24"/>
        </w:rPr>
        <w:t xml:space="preserve">  </w:t>
      </w:r>
      <w:r w:rsidR="00BD4FC7" w:rsidRPr="00BD4FC7">
        <w:rPr>
          <w:rFonts w:ascii="Arial" w:hAnsi="Arial" w:cs="Arial"/>
          <w:sz w:val="24"/>
          <w:szCs w:val="24"/>
        </w:rPr>
        <w:t xml:space="preserve">Esta Sala después de haber realizado un estudio minucioso y pormenorizado del oficio número </w:t>
      </w:r>
      <w:r w:rsidR="00B66F8B">
        <w:rPr>
          <w:rFonts w:ascii="Arial" w:hAnsi="Arial" w:cs="Arial"/>
          <w:bCs/>
          <w:spacing w:val="-3"/>
          <w:sz w:val="24"/>
          <w:szCs w:val="27"/>
          <w:lang w:val="es-ES_tradnl"/>
        </w:rPr>
        <w:t>OP/DG/</w:t>
      </w:r>
      <w:r w:rsidR="009E642D">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/2017 de fecha </w:t>
      </w:r>
      <w:r w:rsidR="0099531D">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w:t>
      </w:r>
      <w:r w:rsidR="0099531D">
        <w:rPr>
          <w:rFonts w:ascii="Arial" w:hAnsi="Arial" w:cs="Arial"/>
          <w:bCs/>
          <w:spacing w:val="-3"/>
          <w:sz w:val="24"/>
          <w:szCs w:val="27"/>
          <w:lang w:val="es-ES_tradnl"/>
        </w:rPr>
        <w:t>*****</w:t>
      </w:r>
      <w:r w:rsidR="00B66F8B">
        <w:rPr>
          <w:rFonts w:ascii="Arial" w:hAnsi="Arial" w:cs="Arial"/>
          <w:bCs/>
          <w:spacing w:val="-3"/>
          <w:sz w:val="24"/>
          <w:szCs w:val="27"/>
          <w:lang w:val="es-ES_tradnl"/>
        </w:rPr>
        <w:t xml:space="preserve"> de dos mil</w:t>
      </w:r>
      <w:r w:rsidR="0099531D">
        <w:rPr>
          <w:rFonts w:ascii="Arial" w:hAnsi="Arial" w:cs="Arial"/>
          <w:bCs/>
          <w:spacing w:val="-3"/>
          <w:sz w:val="24"/>
          <w:szCs w:val="27"/>
          <w:lang w:val="es-ES_tradnl"/>
        </w:rPr>
        <w:t xml:space="preserve"> *****</w:t>
      </w:r>
      <w:r w:rsidR="00BD4FC7" w:rsidRPr="00BD4FC7">
        <w:rPr>
          <w:rFonts w:ascii="Arial" w:hAnsi="Arial" w:cs="Arial"/>
          <w:sz w:val="24"/>
          <w:szCs w:val="24"/>
        </w:rPr>
        <w:t>, emitido por el Contador Público JESÚS PARADA PARADA</w:t>
      </w:r>
      <w:r w:rsidR="00E44E01">
        <w:rPr>
          <w:rFonts w:ascii="Arial" w:hAnsi="Arial" w:cs="Arial"/>
          <w:sz w:val="24"/>
          <w:szCs w:val="24"/>
        </w:rPr>
        <w:t>,</w:t>
      </w:r>
      <w:r w:rsidR="00BD4FC7" w:rsidRPr="00BD4FC7">
        <w:rPr>
          <w:rFonts w:ascii="Arial" w:hAnsi="Arial" w:cs="Arial"/>
          <w:sz w:val="24"/>
          <w:szCs w:val="24"/>
        </w:rPr>
        <w:t xml:space="preserve"> Director General de la Oficina de Pensiones del Estado </w:t>
      </w:r>
      <w:r w:rsidR="00F5528D">
        <w:rPr>
          <w:rFonts w:ascii="Arial" w:hAnsi="Arial" w:cs="Arial"/>
          <w:sz w:val="24"/>
          <w:szCs w:val="24"/>
        </w:rPr>
        <w:t>de Oaxaca, visible en la foja 2</w:t>
      </w:r>
      <w:r w:rsidR="006F4908">
        <w:rPr>
          <w:rFonts w:ascii="Arial" w:hAnsi="Arial" w:cs="Arial"/>
          <w:sz w:val="24"/>
          <w:szCs w:val="24"/>
        </w:rPr>
        <w:t>1</w:t>
      </w:r>
      <w:r w:rsidR="00BD4FC7" w:rsidRPr="00BD4FC7">
        <w:rPr>
          <w:rFonts w:ascii="Arial" w:hAnsi="Arial" w:cs="Arial"/>
          <w:sz w:val="24"/>
          <w:szCs w:val="24"/>
        </w:rPr>
        <w:t xml:space="preserve"> del sumar</w:t>
      </w:r>
      <w:r w:rsidR="00F5528D">
        <w:rPr>
          <w:rFonts w:ascii="Arial" w:hAnsi="Arial" w:cs="Arial"/>
          <w:sz w:val="24"/>
          <w:szCs w:val="24"/>
        </w:rPr>
        <w:t>io y en términos del artículo 17</w:t>
      </w:r>
      <w:r w:rsidR="00BD4FC7" w:rsidRPr="00BD4FC7">
        <w:rPr>
          <w:rFonts w:ascii="Arial" w:hAnsi="Arial" w:cs="Arial"/>
          <w:sz w:val="24"/>
          <w:szCs w:val="24"/>
        </w:rPr>
        <w:t>3 fracción I de la Ley de Justicia Administrativa para el Estado de Oaxaca, adquiere valor probatorio pleno al ser un documento público, ya que fue expedido por funcionario público en ejercici</w:t>
      </w:r>
      <w:r w:rsidR="006F4908">
        <w:rPr>
          <w:rFonts w:ascii="Arial" w:hAnsi="Arial" w:cs="Arial"/>
          <w:sz w:val="24"/>
          <w:szCs w:val="24"/>
        </w:rPr>
        <w:t>o de sus funciones, y que obra en</w:t>
      </w:r>
      <w:r w:rsidR="00BD4FC7" w:rsidRPr="00BD4FC7">
        <w:rPr>
          <w:rFonts w:ascii="Arial" w:hAnsi="Arial" w:cs="Arial"/>
          <w:sz w:val="24"/>
          <w:szCs w:val="24"/>
        </w:rPr>
        <w:t xml:space="preserve"> fue reconocido como verdadero por las partes dentro del presente juicio. </w:t>
      </w:r>
    </w:p>
    <w:p w14:paraId="39D9F90B" w14:textId="4FF9CA86" w:rsidR="00F5528D" w:rsidRDefault="00F5528D" w:rsidP="00F5528D">
      <w:pPr>
        <w:spacing w:line="360" w:lineRule="auto"/>
        <w:ind w:firstLine="567"/>
        <w:jc w:val="both"/>
        <w:rPr>
          <w:rFonts w:ascii="Arial" w:hAnsi="Arial" w:cs="Arial"/>
          <w:bCs/>
          <w:spacing w:val="-3"/>
          <w:sz w:val="24"/>
          <w:szCs w:val="27"/>
          <w:lang w:val="es-ES_tradnl"/>
        </w:rPr>
      </w:pPr>
      <w:r w:rsidRPr="00BD4FC7">
        <w:rPr>
          <w:rFonts w:ascii="Arial" w:hAnsi="Arial" w:cs="Arial"/>
          <w:sz w:val="24"/>
          <w:szCs w:val="24"/>
        </w:rPr>
        <w:t>En ese orden tenemos, que</w:t>
      </w:r>
      <w:r>
        <w:rPr>
          <w:rFonts w:ascii="Arial" w:hAnsi="Arial" w:cs="Arial"/>
          <w:sz w:val="24"/>
          <w:szCs w:val="24"/>
        </w:rPr>
        <w:t xml:space="preserve"> la autoridad demandada, emitió dicho acuerdo en cumplimiento a la sentencia de fecha</w:t>
      </w:r>
      <w:r w:rsidR="00320CB4">
        <w:rPr>
          <w:rFonts w:ascii="Arial" w:hAnsi="Arial" w:cs="Arial"/>
          <w:sz w:val="24"/>
          <w:szCs w:val="24"/>
        </w:rPr>
        <w:t xml:space="preserve"> </w:t>
      </w:r>
      <w:r w:rsidR="00026031">
        <w:rPr>
          <w:rFonts w:ascii="Arial" w:hAnsi="Arial" w:cs="Arial"/>
          <w:sz w:val="24"/>
          <w:szCs w:val="24"/>
        </w:rPr>
        <w:t>*****</w:t>
      </w:r>
      <w:r w:rsidR="00320CB4">
        <w:rPr>
          <w:rFonts w:ascii="Arial" w:hAnsi="Arial" w:cs="Arial"/>
          <w:sz w:val="24"/>
          <w:szCs w:val="24"/>
        </w:rPr>
        <w:t xml:space="preserve"> de </w:t>
      </w:r>
      <w:r w:rsidR="00026031">
        <w:rPr>
          <w:rFonts w:ascii="Arial" w:hAnsi="Arial" w:cs="Arial"/>
          <w:sz w:val="24"/>
          <w:szCs w:val="24"/>
        </w:rPr>
        <w:t>*****</w:t>
      </w:r>
      <w:r w:rsidR="00320CB4">
        <w:rPr>
          <w:rFonts w:ascii="Arial" w:hAnsi="Arial" w:cs="Arial"/>
          <w:sz w:val="24"/>
          <w:szCs w:val="24"/>
        </w:rPr>
        <w:t xml:space="preserve"> de dos mil </w:t>
      </w:r>
      <w:r w:rsidR="00026031">
        <w:rPr>
          <w:rFonts w:ascii="Arial" w:hAnsi="Arial" w:cs="Arial"/>
          <w:sz w:val="24"/>
          <w:szCs w:val="24"/>
        </w:rPr>
        <w:t>*****</w:t>
      </w:r>
      <w:r w:rsidR="00320CB4">
        <w:rPr>
          <w:rFonts w:ascii="Arial" w:hAnsi="Arial" w:cs="Arial"/>
          <w:sz w:val="24"/>
          <w:szCs w:val="24"/>
        </w:rPr>
        <w:t xml:space="preserve"> del índice de la Quinta Sala Unitaria de Primera Instancia del otrora </w:t>
      </w:r>
      <w:r w:rsidR="00320CB4" w:rsidRPr="00DB4C41">
        <w:rPr>
          <w:rFonts w:ascii="Arial" w:hAnsi="Arial" w:cs="Arial"/>
          <w:bCs/>
          <w:spacing w:val="-3"/>
          <w:sz w:val="24"/>
          <w:szCs w:val="27"/>
          <w:lang w:val="es-ES_tradnl"/>
        </w:rPr>
        <w:t>Tribunal</w:t>
      </w:r>
      <w:r w:rsidR="00320CB4">
        <w:rPr>
          <w:rFonts w:ascii="Arial" w:hAnsi="Arial" w:cs="Arial"/>
          <w:bCs/>
          <w:spacing w:val="-3"/>
          <w:sz w:val="24"/>
          <w:szCs w:val="27"/>
          <w:lang w:val="es-ES_tradnl"/>
        </w:rPr>
        <w:t xml:space="preserve"> de lo Contencioso Administrativo y de Cuentas del Poder Judicial del Estado de Oaxaca (fojas 14 a 20) documental que adquiere valor probatorio pleno en términos del artículo 173 fracción II de la Ley de Justicia Administrativa para el Estado de Oaxaca, en el que en su parte medular condenó a lo siguiente:</w:t>
      </w:r>
    </w:p>
    <w:p w14:paraId="549F6803" w14:textId="5631D7E4" w:rsidR="00320CB4" w:rsidRPr="00320CB4" w:rsidRDefault="00320CB4" w:rsidP="00320CB4">
      <w:pPr>
        <w:ind w:left="567"/>
        <w:jc w:val="both"/>
        <w:rPr>
          <w:rFonts w:ascii="Arial" w:hAnsi="Arial" w:cs="Arial"/>
          <w:bCs/>
          <w:i/>
          <w:spacing w:val="-3"/>
          <w:sz w:val="24"/>
          <w:szCs w:val="27"/>
          <w:lang w:val="es-ES_tradnl"/>
        </w:rPr>
      </w:pPr>
      <w:r w:rsidRPr="00320CB4">
        <w:rPr>
          <w:rFonts w:ascii="Arial" w:hAnsi="Arial" w:cs="Arial"/>
          <w:bCs/>
          <w:i/>
          <w:spacing w:val="-3"/>
          <w:sz w:val="24"/>
          <w:szCs w:val="27"/>
          <w:lang w:val="es-ES_tradnl"/>
        </w:rPr>
        <w:t xml:space="preserve">“Por todo lo anteriormente expuesto, se concluye que el acto impugnado fue emitido de manera ilegal y tomando en consideración, que el acto impugnado deriva de una petición en sede administrativa, en la que no puede dejarse sin respuesta al administrado, lo procedente es declarar la </w:t>
      </w:r>
      <w:r w:rsidRPr="00320CB4">
        <w:rPr>
          <w:rFonts w:ascii="Arial" w:hAnsi="Arial" w:cs="Arial"/>
          <w:b/>
          <w:bCs/>
          <w:i/>
          <w:spacing w:val="-3"/>
          <w:sz w:val="24"/>
          <w:szCs w:val="27"/>
          <w:lang w:val="es-ES_tradnl"/>
        </w:rPr>
        <w:t>NULIDAD</w:t>
      </w:r>
      <w:r w:rsidRPr="00320CB4">
        <w:rPr>
          <w:rFonts w:ascii="Arial" w:hAnsi="Arial" w:cs="Arial"/>
          <w:bCs/>
          <w:i/>
          <w:spacing w:val="-3"/>
          <w:sz w:val="24"/>
          <w:szCs w:val="27"/>
          <w:lang w:val="es-ES_tradnl"/>
        </w:rPr>
        <w:t xml:space="preserve"> del oficio número OP/DG/</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 xml:space="preserve"> de fecha </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 xml:space="preserve"> de </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 xml:space="preserve"> de dos mil </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 xml:space="preserve"> (</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w:t>
      </w:r>
      <w:r w:rsidR="00026031">
        <w:rPr>
          <w:rFonts w:ascii="Arial" w:hAnsi="Arial" w:cs="Arial"/>
          <w:bCs/>
          <w:i/>
          <w:spacing w:val="-3"/>
          <w:sz w:val="24"/>
          <w:szCs w:val="27"/>
          <w:lang w:val="es-ES_tradnl"/>
        </w:rPr>
        <w:t>****</w:t>
      </w:r>
      <w:r w:rsidRPr="00320CB4">
        <w:rPr>
          <w:rFonts w:ascii="Arial" w:hAnsi="Arial" w:cs="Arial"/>
          <w:bCs/>
          <w:i/>
          <w:spacing w:val="-3"/>
          <w:sz w:val="24"/>
          <w:szCs w:val="27"/>
          <w:lang w:val="es-ES_tradnl"/>
        </w:rPr>
        <w:t xml:space="preserve">), </w:t>
      </w:r>
      <w:r w:rsidRPr="00320CB4">
        <w:rPr>
          <w:rFonts w:ascii="Arial" w:hAnsi="Arial" w:cs="Arial"/>
          <w:b/>
          <w:bCs/>
          <w:i/>
          <w:spacing w:val="-3"/>
          <w:sz w:val="24"/>
          <w:szCs w:val="27"/>
          <w:lang w:val="es-ES_tradnl"/>
        </w:rPr>
        <w:t>PARA EFECTO</w:t>
      </w:r>
      <w:r w:rsidRPr="00320CB4">
        <w:rPr>
          <w:rFonts w:ascii="Arial" w:hAnsi="Arial" w:cs="Arial"/>
          <w:bCs/>
          <w:i/>
          <w:spacing w:val="-3"/>
          <w:sz w:val="24"/>
          <w:szCs w:val="27"/>
          <w:lang w:val="es-ES_tradnl"/>
        </w:rPr>
        <w:t xml:space="preserve"> de que el Consejo Directivo de Pensiones del Gobierno del Estado, dicte otro en donde se pronuncie conforme a derecho sobre las prestaciones que reclama el actor sin violentar los derechos consagrados en la Constitución, así como sin la aplicación del descuento del 9% a dicha pensión, cumpliendo con la fracción V, del artículo 7, de la Ley de Justicia Administrativa para el Estado de Oaxaca.”</w:t>
      </w:r>
    </w:p>
    <w:p w14:paraId="75C46013" w14:textId="11C69DD2" w:rsidR="00F5528D" w:rsidRPr="00BD4FC7" w:rsidRDefault="00320CB4" w:rsidP="00320CB4">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Ahora, procediendo al análisis del oficio impugnado ante esta autoridad jurisdiccional, se advierte que </w:t>
      </w:r>
      <w:r w:rsidR="00F5528D" w:rsidRPr="00BD4FC7">
        <w:rPr>
          <w:rFonts w:ascii="Arial" w:hAnsi="Arial" w:cs="Arial"/>
          <w:sz w:val="24"/>
          <w:szCs w:val="24"/>
        </w:rPr>
        <w:t>el demandado se pronunció que</w:t>
      </w:r>
      <w:r>
        <w:rPr>
          <w:rFonts w:ascii="Arial" w:hAnsi="Arial" w:cs="Arial"/>
          <w:sz w:val="24"/>
          <w:szCs w:val="24"/>
        </w:rPr>
        <w:t xml:space="preserve"> la aquí administrada</w:t>
      </w:r>
      <w:r w:rsidR="00F5528D">
        <w:rPr>
          <w:rFonts w:ascii="Arial" w:hAnsi="Arial" w:cs="Arial"/>
          <w:sz w:val="24"/>
          <w:szCs w:val="24"/>
        </w:rPr>
        <w:t xml:space="preserve">, </w:t>
      </w:r>
      <w:r>
        <w:rPr>
          <w:rFonts w:ascii="Arial" w:hAnsi="Arial" w:cs="Arial"/>
          <w:sz w:val="24"/>
          <w:szCs w:val="24"/>
        </w:rPr>
        <w:t>únicamente</w:t>
      </w:r>
      <w:r w:rsidR="00F5528D">
        <w:rPr>
          <w:rFonts w:ascii="Arial" w:hAnsi="Arial" w:cs="Arial"/>
          <w:sz w:val="24"/>
          <w:szCs w:val="24"/>
        </w:rPr>
        <w:t xml:space="preserve"> </w:t>
      </w:r>
      <w:r w:rsidR="00F5528D" w:rsidRPr="00BD4FC7">
        <w:rPr>
          <w:rFonts w:ascii="Arial" w:hAnsi="Arial" w:cs="Arial"/>
          <w:sz w:val="24"/>
          <w:szCs w:val="24"/>
        </w:rPr>
        <w:t xml:space="preserve">se le concedía el 100% del sueldo base que percibía consistente en la cantidad de </w:t>
      </w:r>
      <w:r w:rsidR="00026031">
        <w:rPr>
          <w:rFonts w:ascii="Arial" w:hAnsi="Arial" w:cs="Arial"/>
          <w:sz w:val="24"/>
          <w:szCs w:val="24"/>
        </w:rPr>
        <w:t>*****</w:t>
      </w:r>
      <w:r w:rsidR="00001378">
        <w:rPr>
          <w:rFonts w:ascii="Arial" w:hAnsi="Arial" w:cs="Arial"/>
          <w:sz w:val="24"/>
          <w:szCs w:val="24"/>
        </w:rPr>
        <w:t xml:space="preserve"> (</w:t>
      </w:r>
      <w:r w:rsidR="00026031">
        <w:rPr>
          <w:rFonts w:ascii="Arial" w:hAnsi="Arial" w:cs="Arial"/>
          <w:sz w:val="24"/>
          <w:szCs w:val="24"/>
        </w:rPr>
        <w:t>*****</w:t>
      </w:r>
      <w:r w:rsidR="00001378">
        <w:rPr>
          <w:rFonts w:ascii="Arial" w:hAnsi="Arial" w:cs="Arial"/>
          <w:sz w:val="24"/>
          <w:szCs w:val="24"/>
        </w:rPr>
        <w:t xml:space="preserve"> mil </w:t>
      </w:r>
      <w:r w:rsidR="00026031">
        <w:rPr>
          <w:rFonts w:ascii="Arial" w:hAnsi="Arial" w:cs="Arial"/>
          <w:sz w:val="24"/>
          <w:szCs w:val="24"/>
        </w:rPr>
        <w:t>******</w:t>
      </w:r>
      <w:r w:rsidR="00001378">
        <w:rPr>
          <w:rFonts w:ascii="Arial" w:hAnsi="Arial" w:cs="Arial"/>
          <w:sz w:val="24"/>
          <w:szCs w:val="24"/>
        </w:rPr>
        <w:t xml:space="preserve"> </w:t>
      </w:r>
      <w:r w:rsidR="00026031">
        <w:rPr>
          <w:rFonts w:ascii="Arial" w:hAnsi="Arial" w:cs="Arial"/>
          <w:sz w:val="24"/>
          <w:szCs w:val="24"/>
        </w:rPr>
        <w:t>*****</w:t>
      </w:r>
      <w:r w:rsidR="00001378">
        <w:rPr>
          <w:rFonts w:ascii="Arial" w:hAnsi="Arial" w:cs="Arial"/>
          <w:sz w:val="24"/>
          <w:szCs w:val="24"/>
        </w:rPr>
        <w:t xml:space="preserve"> y </w:t>
      </w:r>
      <w:r w:rsidR="00026031">
        <w:rPr>
          <w:rFonts w:ascii="Arial" w:hAnsi="Arial" w:cs="Arial"/>
          <w:sz w:val="24"/>
          <w:szCs w:val="24"/>
        </w:rPr>
        <w:t>*****</w:t>
      </w:r>
      <w:r w:rsidR="00001378">
        <w:rPr>
          <w:rFonts w:ascii="Arial" w:hAnsi="Arial" w:cs="Arial"/>
          <w:sz w:val="24"/>
          <w:szCs w:val="24"/>
        </w:rPr>
        <w:t xml:space="preserve"> pesos 00/100 moneda nacional)</w:t>
      </w:r>
      <w:r w:rsidR="00F5528D" w:rsidRPr="00BD4FC7">
        <w:rPr>
          <w:rFonts w:ascii="Arial" w:hAnsi="Arial" w:cs="Arial"/>
          <w:sz w:val="24"/>
          <w:szCs w:val="24"/>
        </w:rPr>
        <w:t xml:space="preserve">, </w:t>
      </w:r>
      <w:r w:rsidR="00001378">
        <w:rPr>
          <w:rFonts w:ascii="Arial" w:hAnsi="Arial" w:cs="Arial"/>
          <w:sz w:val="24"/>
          <w:szCs w:val="24"/>
        </w:rPr>
        <w:t>sin que se pronunciara respecto de la inaplicación</w:t>
      </w:r>
      <w:r w:rsidR="00F5528D" w:rsidRPr="00BD4FC7">
        <w:rPr>
          <w:rFonts w:ascii="Arial" w:hAnsi="Arial" w:cs="Arial"/>
          <w:sz w:val="24"/>
          <w:szCs w:val="24"/>
        </w:rPr>
        <w:t xml:space="preserve"> </w:t>
      </w:r>
      <w:r w:rsidR="00001378">
        <w:rPr>
          <w:rFonts w:ascii="Arial" w:hAnsi="Arial" w:cs="Arial"/>
          <w:sz w:val="24"/>
          <w:szCs w:val="24"/>
        </w:rPr>
        <w:t>d</w:t>
      </w:r>
      <w:r w:rsidR="00F5528D" w:rsidRPr="00BD4FC7">
        <w:rPr>
          <w:rFonts w:ascii="Arial" w:hAnsi="Arial" w:cs="Arial"/>
          <w:sz w:val="24"/>
          <w:szCs w:val="24"/>
        </w:rPr>
        <w:t>el 9% por concepto de cuota al fondo de pensiones, por haber quedado probado que el hoy accionante fue incorporado a trabajar antes de la vigencia de la Ley de Pensiones para los Trabajadores del Gobierno del Estado de Oaxaca; ahora, es pertinente decirle a la aquí autoridad demandada que efe</w:t>
      </w:r>
      <w:r w:rsidR="00F5528D">
        <w:rPr>
          <w:rFonts w:ascii="Arial" w:hAnsi="Arial" w:cs="Arial"/>
          <w:sz w:val="24"/>
          <w:szCs w:val="24"/>
        </w:rPr>
        <w:t>ctivamente como lo hace valer el</w:t>
      </w:r>
      <w:r w:rsidR="00F5528D" w:rsidRPr="00BD4FC7">
        <w:rPr>
          <w:rFonts w:ascii="Arial" w:hAnsi="Arial" w:cs="Arial"/>
          <w:sz w:val="24"/>
          <w:szCs w:val="24"/>
        </w:rPr>
        <w:t xml:space="preserve"> accionante, dicho acto impugnado no cumple con el requisito de validez del acto administrativo previsto </w:t>
      </w:r>
      <w:r w:rsidR="00001378">
        <w:rPr>
          <w:rFonts w:ascii="Arial" w:hAnsi="Arial" w:cs="Arial"/>
          <w:sz w:val="24"/>
          <w:szCs w:val="24"/>
        </w:rPr>
        <w:t xml:space="preserve">en la fracción V, del artículo </w:t>
      </w:r>
      <w:r w:rsidR="00F5528D" w:rsidRPr="00BD4FC7">
        <w:rPr>
          <w:rFonts w:ascii="Arial" w:hAnsi="Arial" w:cs="Arial"/>
          <w:sz w:val="24"/>
          <w:szCs w:val="24"/>
        </w:rPr>
        <w:t>7</w:t>
      </w:r>
      <w:r w:rsidR="00033F72">
        <w:rPr>
          <w:rFonts w:ascii="Arial" w:hAnsi="Arial" w:cs="Arial"/>
          <w:sz w:val="24"/>
          <w:szCs w:val="24"/>
        </w:rPr>
        <w:t>, en relación con el artículo 17</w:t>
      </w:r>
      <w:r w:rsidR="00F5528D" w:rsidRPr="00BD4FC7">
        <w:rPr>
          <w:rFonts w:ascii="Arial" w:hAnsi="Arial" w:cs="Arial"/>
          <w:sz w:val="24"/>
          <w:szCs w:val="24"/>
        </w:rPr>
        <w:t xml:space="preserve">8, fracciones II y VI de la Ley de Justicia Administrativa para el Estado de Oaxaca, vulnerándose </w:t>
      </w:r>
      <w:r w:rsidR="00F5528D" w:rsidRPr="00BD4FC7">
        <w:rPr>
          <w:rFonts w:ascii="Arial" w:hAnsi="Arial" w:cs="Arial"/>
          <w:sz w:val="24"/>
          <w:szCs w:val="24"/>
        </w:rPr>
        <w:lastRenderedPageBreak/>
        <w:t>con ello el derecho a la igualdad de</w:t>
      </w:r>
      <w:r w:rsidR="00033F72">
        <w:rPr>
          <w:rFonts w:ascii="Arial" w:hAnsi="Arial" w:cs="Arial"/>
          <w:sz w:val="24"/>
          <w:szCs w:val="24"/>
        </w:rPr>
        <w:t xml:space="preserve"> </w:t>
      </w:r>
      <w:r w:rsidR="00F5528D" w:rsidRPr="00BD4FC7">
        <w:rPr>
          <w:rFonts w:ascii="Arial" w:hAnsi="Arial" w:cs="Arial"/>
          <w:sz w:val="24"/>
          <w:szCs w:val="24"/>
        </w:rPr>
        <w:t>l</w:t>
      </w:r>
      <w:r w:rsidR="00033F72">
        <w:rPr>
          <w:rFonts w:ascii="Arial" w:hAnsi="Arial" w:cs="Arial"/>
          <w:sz w:val="24"/>
          <w:szCs w:val="24"/>
        </w:rPr>
        <w:t>a</w:t>
      </w:r>
      <w:r w:rsidR="00F5528D" w:rsidRPr="00BD4FC7">
        <w:rPr>
          <w:rFonts w:ascii="Arial" w:hAnsi="Arial" w:cs="Arial"/>
          <w:sz w:val="24"/>
          <w:szCs w:val="24"/>
        </w:rPr>
        <w:t xml:space="preserve"> actor</w:t>
      </w:r>
      <w:r w:rsidR="00033F72">
        <w:rPr>
          <w:rFonts w:ascii="Arial" w:hAnsi="Arial" w:cs="Arial"/>
          <w:sz w:val="24"/>
          <w:szCs w:val="24"/>
        </w:rPr>
        <w:t>a</w:t>
      </w:r>
      <w:r w:rsidR="00F5528D" w:rsidRPr="00BD4FC7">
        <w:rPr>
          <w:rFonts w:ascii="Arial" w:hAnsi="Arial" w:cs="Arial"/>
          <w:sz w:val="24"/>
          <w:szCs w:val="24"/>
        </w:rPr>
        <w:t>, así como sus derechos adquiridos, puesto que la autoridad demandada erróneamente asevera en su escrito de c</w:t>
      </w:r>
      <w:r w:rsidR="00033F72">
        <w:rPr>
          <w:rFonts w:ascii="Arial" w:hAnsi="Arial" w:cs="Arial"/>
          <w:sz w:val="24"/>
          <w:szCs w:val="24"/>
        </w:rPr>
        <w:t>ontestación de demanda (fojas 37 a 43</w:t>
      </w:r>
      <w:r w:rsidR="00F5528D" w:rsidRPr="00BD4FC7">
        <w:rPr>
          <w:rFonts w:ascii="Arial" w:hAnsi="Arial" w:cs="Arial"/>
          <w:sz w:val="24"/>
          <w:szCs w:val="24"/>
        </w:rPr>
        <w:t>)</w:t>
      </w:r>
      <w:r w:rsidR="00033F72">
        <w:rPr>
          <w:rFonts w:ascii="Arial" w:hAnsi="Arial" w:cs="Arial"/>
          <w:sz w:val="24"/>
          <w:szCs w:val="24"/>
        </w:rPr>
        <w:t xml:space="preserve"> así como en propio acto impugnado</w:t>
      </w:r>
      <w:r w:rsidR="00F5528D" w:rsidRPr="00BD4FC7">
        <w:rPr>
          <w:rFonts w:ascii="Arial" w:hAnsi="Arial" w:cs="Arial"/>
          <w:sz w:val="24"/>
          <w:szCs w:val="24"/>
        </w:rPr>
        <w:t xml:space="preserve"> que por tratarse de un trabajador de confianza y no de base, no se coloca en el supuesto que contempla el artículo 54 fracción I de la Ley de Pensiones para los trabajadores del Gobierno del Estado de Oaxaca, el cual se transc</w:t>
      </w:r>
      <w:r w:rsidR="00F5528D">
        <w:rPr>
          <w:rFonts w:ascii="Arial" w:hAnsi="Arial" w:cs="Arial"/>
          <w:sz w:val="24"/>
          <w:szCs w:val="24"/>
        </w:rPr>
        <w:t>ribe para su mayor compresión:</w:t>
      </w:r>
    </w:p>
    <w:p w14:paraId="09A6BC8E" w14:textId="77777777" w:rsidR="00F5528D" w:rsidRPr="00D435FD" w:rsidRDefault="00F5528D" w:rsidP="00F5528D">
      <w:pPr>
        <w:ind w:left="567"/>
        <w:jc w:val="both"/>
        <w:rPr>
          <w:rFonts w:ascii="Arial" w:hAnsi="Arial" w:cs="Arial"/>
          <w:i/>
          <w:sz w:val="24"/>
          <w:szCs w:val="24"/>
        </w:rPr>
      </w:pPr>
      <w:r>
        <w:rPr>
          <w:rFonts w:ascii="Arial" w:hAnsi="Arial" w:cs="Arial"/>
          <w:b/>
          <w:i/>
          <w:sz w:val="24"/>
          <w:szCs w:val="24"/>
        </w:rPr>
        <w:t>“</w:t>
      </w:r>
      <w:r w:rsidRPr="00D435FD">
        <w:rPr>
          <w:rFonts w:ascii="Arial" w:hAnsi="Arial" w:cs="Arial"/>
          <w:b/>
          <w:i/>
          <w:sz w:val="24"/>
          <w:szCs w:val="24"/>
        </w:rPr>
        <w:t>Artículo 54.-</w:t>
      </w:r>
      <w:r w:rsidRPr="00D435FD">
        <w:rPr>
          <w:rFonts w:ascii="Arial" w:hAnsi="Arial" w:cs="Arial"/>
          <w:i/>
          <w:sz w:val="24"/>
          <w:szCs w:val="24"/>
        </w:rPr>
        <w:t xml:space="preserve"> Al monto resultante de la pensión señaladas en el artículo anterior, se integrarán las prestaciones siguientes:</w:t>
      </w:r>
    </w:p>
    <w:p w14:paraId="5C9C4C9B" w14:textId="77777777" w:rsidR="00F5528D" w:rsidRPr="00D435FD" w:rsidRDefault="00F5528D" w:rsidP="00F5528D">
      <w:pPr>
        <w:ind w:left="567"/>
        <w:jc w:val="both"/>
        <w:rPr>
          <w:rFonts w:ascii="Arial" w:hAnsi="Arial" w:cs="Arial"/>
          <w:i/>
          <w:sz w:val="24"/>
          <w:szCs w:val="24"/>
        </w:rPr>
      </w:pPr>
      <w:r w:rsidRPr="00D435FD">
        <w:rPr>
          <w:rFonts w:ascii="Arial" w:hAnsi="Arial" w:cs="Arial"/>
          <w:i/>
          <w:sz w:val="24"/>
          <w:szCs w:val="24"/>
        </w:rPr>
        <w:t>I. Jubilados: tratándose solo aquellos que fueron trabajadores de base se integrarán la previsión social múltiple, despensa, vida cara, quinquenios, aguinaldo, estímulo del jubilado, día de las madres y canasta navideña.</w:t>
      </w:r>
      <w:r>
        <w:rPr>
          <w:rFonts w:ascii="Arial" w:hAnsi="Arial" w:cs="Arial"/>
          <w:i/>
          <w:sz w:val="24"/>
          <w:szCs w:val="24"/>
        </w:rPr>
        <w:t>”</w:t>
      </w:r>
    </w:p>
    <w:p w14:paraId="7333B8E9"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ese sentido, si bien es cierto del citado artículo, se advierte que solo los jubilados de base, gozarán de la previsión social múltiple, así como de los demás conceptos a los que menciona dicha fracción, pero también es cierto que dicho precepto es violatorio a lo dispuesto por los artículos 1° y 123, apartado B, fracción XIV en relación con la fracción XI de la Constitución Política de los Estado Unidos Mexicanos, toda vez que el artículo 1 dispone la no distinción motivada por razones de género, edad, condición social, religión u otra razón análoga que atente contra la dignidad humana y tenga por objeto anular o menoscabar los derechos y libertades de las personas. En cuanto al segundo numeral, este establece las base mínimas de seguridad social para los trabajadores al servicio del Estado, abarcando de igual forma a los trabajadores de confianza, los cuales gozarán de las medidas de protección al salario y gozaran de los beneficios de la seguridad social, tal y como reza el principio de prevención social, el cual obliga a establecer un sistema integro con el cual le 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percepción de una pensión, garantía que tiene rango constitucional y que podrá amp</w:t>
      </w:r>
      <w:r>
        <w:rPr>
          <w:rFonts w:ascii="Arial" w:hAnsi="Arial" w:cs="Arial"/>
          <w:sz w:val="24"/>
          <w:szCs w:val="24"/>
        </w:rPr>
        <w:t>liarse más nunca restringirse.</w:t>
      </w:r>
    </w:p>
    <w:p w14:paraId="2249C459"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ese tenor, podemos decir que la protección al salario, se encuentra dirigida a todos y cada uno de los trabajadores al servicio del Estado sin exclusión alguna, ya que no solamente abarca a los trabajadores de base, sino que contempla a los de confianza, sirve de sustento la jurisprudencia 2ª./J.204/2007 emitida por la Segunda Sala de la Suprema Corte de Justicia de la Nación, ba</w:t>
      </w:r>
      <w:r>
        <w:rPr>
          <w:rFonts w:ascii="Arial" w:hAnsi="Arial" w:cs="Arial"/>
          <w:sz w:val="24"/>
          <w:szCs w:val="24"/>
        </w:rPr>
        <w:t>jo el rubro y texto siguiente:</w:t>
      </w:r>
    </w:p>
    <w:p w14:paraId="02FE4DFF" w14:textId="77777777" w:rsidR="00F5528D" w:rsidRPr="007F5AFB" w:rsidRDefault="00F5528D" w:rsidP="00F5528D">
      <w:pPr>
        <w:ind w:left="567"/>
        <w:jc w:val="both"/>
        <w:rPr>
          <w:rFonts w:ascii="Arial" w:hAnsi="Arial" w:cs="Arial"/>
          <w:i/>
          <w:sz w:val="24"/>
          <w:szCs w:val="24"/>
        </w:rPr>
      </w:pPr>
      <w:r>
        <w:rPr>
          <w:rFonts w:ascii="Arial" w:hAnsi="Arial" w:cs="Arial"/>
          <w:b/>
          <w:i/>
          <w:sz w:val="24"/>
          <w:szCs w:val="24"/>
        </w:rPr>
        <w:lastRenderedPageBreak/>
        <w:t>“</w:t>
      </w:r>
      <w:r w:rsidRPr="007F5AFB">
        <w:rPr>
          <w:rFonts w:ascii="Arial" w:hAnsi="Arial" w:cs="Arial"/>
          <w:b/>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7F5AFB">
        <w:rPr>
          <w:rFonts w:ascii="Arial" w:hAnsi="Arial" w:cs="Arial"/>
          <w:i/>
          <w:sz w:val="24"/>
          <w:szCs w:val="24"/>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r>
        <w:rPr>
          <w:rFonts w:ascii="Arial" w:hAnsi="Arial" w:cs="Arial"/>
          <w:i/>
          <w:sz w:val="24"/>
          <w:szCs w:val="24"/>
        </w:rPr>
        <w:t>”</w:t>
      </w:r>
    </w:p>
    <w:p w14:paraId="7102E3EF" w14:textId="381F6049"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Derivado de lo anterior, resulta inconstitucional y, por ende violatorio de derechos humanos, que únicamente se pretenda otorgar al hoy accionante, el porcentaje de pensión basado sobre el salario base, sin considerar para nada el resto de los conceptos que integran el salario integrado,</w:t>
      </w:r>
      <w:r w:rsidR="004A718A">
        <w:rPr>
          <w:rFonts w:ascii="Arial" w:hAnsi="Arial" w:cs="Arial"/>
          <w:sz w:val="24"/>
          <w:szCs w:val="24"/>
        </w:rPr>
        <w:t xml:space="preserve"> como lo son los conceptos comprendidos </w:t>
      </w:r>
      <w:r w:rsidR="0010765A">
        <w:rPr>
          <w:rFonts w:ascii="Arial" w:hAnsi="Arial" w:cs="Arial"/>
          <w:sz w:val="24"/>
          <w:szCs w:val="24"/>
        </w:rPr>
        <w:t>en los artículos 50 fracción I, 52, 53 y 54 fracción I de la Ley de</w:t>
      </w:r>
      <w:r w:rsidR="0010765A" w:rsidRPr="00BD4FC7">
        <w:rPr>
          <w:rFonts w:ascii="Arial" w:hAnsi="Arial" w:cs="Arial"/>
          <w:sz w:val="24"/>
          <w:szCs w:val="24"/>
        </w:rPr>
        <w:t xml:space="preserve"> Pensiones para los Trabajadores del Gobierno del Estado de Oaxaca</w:t>
      </w:r>
      <w:r w:rsidR="0010765A">
        <w:rPr>
          <w:rFonts w:ascii="Arial" w:hAnsi="Arial" w:cs="Arial"/>
          <w:sz w:val="24"/>
          <w:szCs w:val="24"/>
        </w:rPr>
        <w:t xml:space="preserve">, en el que en el último de los numerales invocados, se advierte que además del salario base, se puede llegar a percibir otros conceptos como lo son: previsión social múltiple, despensa, vida cara, quinquenios, aguinaldo, estímulo del día del jubilado, día de las madres y canasta navideña, mismos que pudo haber percibido de forma mensual cuando era trabajadora en activo, </w:t>
      </w:r>
      <w:r w:rsidRPr="00BD4FC7">
        <w:rPr>
          <w:rFonts w:ascii="Arial" w:hAnsi="Arial" w:cs="Arial"/>
          <w:sz w:val="24"/>
          <w:szCs w:val="24"/>
        </w:rPr>
        <w:t>con excepción de las prestaciones</w:t>
      </w:r>
      <w:r w:rsidR="008E6954">
        <w:rPr>
          <w:rFonts w:ascii="Arial" w:hAnsi="Arial" w:cs="Arial"/>
          <w:sz w:val="24"/>
          <w:szCs w:val="24"/>
        </w:rPr>
        <w:t xml:space="preserve"> que se otorgan de manera anual o en determinada fecha de pago,</w:t>
      </w:r>
      <w:r w:rsidRPr="00BD4FC7">
        <w:rPr>
          <w:rFonts w:ascii="Arial" w:hAnsi="Arial" w:cs="Arial"/>
          <w:sz w:val="24"/>
          <w:szCs w:val="24"/>
        </w:rPr>
        <w:t xml:space="preserve"> hasta el día que prestó sus servicios como </w:t>
      </w:r>
      <w:r w:rsidR="00FA2D90">
        <w:rPr>
          <w:rFonts w:ascii="Arial" w:hAnsi="Arial" w:cs="Arial"/>
          <w:sz w:val="24"/>
          <w:szCs w:val="24"/>
        </w:rPr>
        <w:t>*****</w:t>
      </w:r>
      <w:r w:rsidR="008E6954">
        <w:rPr>
          <w:rFonts w:ascii="Arial" w:hAnsi="Arial" w:cs="Arial"/>
          <w:sz w:val="24"/>
          <w:szCs w:val="24"/>
        </w:rPr>
        <w:t xml:space="preserve"> de </w:t>
      </w:r>
      <w:r w:rsidR="00FA2D90">
        <w:rPr>
          <w:rFonts w:ascii="Arial" w:hAnsi="Arial" w:cs="Arial"/>
          <w:sz w:val="24"/>
          <w:szCs w:val="24"/>
        </w:rPr>
        <w:t>*****</w:t>
      </w:r>
      <w:r>
        <w:rPr>
          <w:rFonts w:ascii="Arial" w:hAnsi="Arial" w:cs="Arial"/>
          <w:sz w:val="24"/>
          <w:szCs w:val="24"/>
        </w:rPr>
        <w:t>,</w:t>
      </w:r>
      <w:r w:rsidRPr="00BD4FC7">
        <w:rPr>
          <w:rFonts w:ascii="Arial" w:hAnsi="Arial" w:cs="Arial"/>
          <w:sz w:val="24"/>
          <w:szCs w:val="24"/>
        </w:rPr>
        <w:t xml:space="preserve"> percepciones recibidas de manera periódica con motivo de su trabajo, configurándose con ello el concepto de salario integrado al que hace referencia el artículo 84 de la Ley Federal de</w:t>
      </w:r>
      <w:r>
        <w:rPr>
          <w:rFonts w:ascii="Arial" w:hAnsi="Arial" w:cs="Arial"/>
          <w:sz w:val="24"/>
          <w:szCs w:val="24"/>
        </w:rPr>
        <w:t>l Trabajo que a la letra dice:</w:t>
      </w:r>
      <w:r w:rsidR="00156BE5">
        <w:rPr>
          <w:rFonts w:ascii="Arial" w:hAnsi="Arial" w:cs="Arial"/>
          <w:sz w:val="24"/>
          <w:szCs w:val="24"/>
        </w:rPr>
        <w:t xml:space="preserve"> </w:t>
      </w:r>
    </w:p>
    <w:p w14:paraId="16EF3FCA" w14:textId="77777777" w:rsidR="00F5528D" w:rsidRPr="00A422B8" w:rsidRDefault="00F5528D" w:rsidP="00F5528D">
      <w:pPr>
        <w:ind w:left="567"/>
        <w:jc w:val="both"/>
        <w:rPr>
          <w:rFonts w:ascii="Arial" w:hAnsi="Arial" w:cs="Arial"/>
          <w:i/>
          <w:sz w:val="24"/>
          <w:szCs w:val="24"/>
        </w:rPr>
      </w:pPr>
      <w:r>
        <w:rPr>
          <w:rFonts w:ascii="Arial" w:hAnsi="Arial" w:cs="Arial"/>
          <w:b/>
          <w:i/>
          <w:sz w:val="24"/>
          <w:szCs w:val="24"/>
        </w:rPr>
        <w:t>“</w:t>
      </w:r>
      <w:r w:rsidRPr="00A422B8">
        <w:rPr>
          <w:rFonts w:ascii="Arial" w:hAnsi="Arial" w:cs="Arial"/>
          <w:b/>
          <w:i/>
          <w:sz w:val="24"/>
          <w:szCs w:val="24"/>
        </w:rPr>
        <w:t>Artículo 84.-</w:t>
      </w:r>
      <w:r w:rsidRPr="00A422B8">
        <w:rPr>
          <w:rFonts w:ascii="Arial" w:hAnsi="Arial" w:cs="Arial"/>
          <w:i/>
          <w:sz w:val="24"/>
          <w:szCs w:val="24"/>
        </w:rPr>
        <w:t xml:space="preserve"> El salario se integra con los pagos hechos en efectivo por cuota diaria, gratificaciones, percepciones, habitación, primas, comisiones, prestaciones en especie y cualquiera otra cantidad o prestación que se entregue al trabajador por su trabajo.</w:t>
      </w:r>
      <w:r>
        <w:rPr>
          <w:rFonts w:ascii="Arial" w:hAnsi="Arial" w:cs="Arial"/>
          <w:i/>
          <w:sz w:val="24"/>
          <w:szCs w:val="24"/>
        </w:rPr>
        <w:t>”</w:t>
      </w:r>
    </w:p>
    <w:p w14:paraId="736EEB71"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De igual forma sirve de sustento la tesis número II.T.298 L, con número de registro 173176, por Tribunales Colegiados de Circuito en el Semanario Judicial de la Federación y su Gaceta, Tomo XXV, Página 1889, Novena Época, Febrero de 2007 b</w:t>
      </w:r>
      <w:r>
        <w:rPr>
          <w:rFonts w:ascii="Arial" w:hAnsi="Arial" w:cs="Arial"/>
          <w:sz w:val="24"/>
          <w:szCs w:val="24"/>
        </w:rPr>
        <w:t>ajo el rubro y texto siguiente:</w:t>
      </w:r>
    </w:p>
    <w:p w14:paraId="014B3DB3" w14:textId="77777777" w:rsidR="00F5528D" w:rsidRPr="00662EB6" w:rsidRDefault="00F5528D" w:rsidP="00F5528D">
      <w:pPr>
        <w:ind w:left="567"/>
        <w:jc w:val="both"/>
        <w:rPr>
          <w:rFonts w:ascii="Arial" w:hAnsi="Arial" w:cs="Arial"/>
          <w:i/>
          <w:sz w:val="24"/>
          <w:szCs w:val="24"/>
        </w:rPr>
      </w:pPr>
      <w:r>
        <w:rPr>
          <w:rFonts w:ascii="Arial" w:hAnsi="Arial" w:cs="Arial"/>
          <w:b/>
          <w:i/>
          <w:sz w:val="24"/>
          <w:szCs w:val="24"/>
        </w:rPr>
        <w:t>“</w:t>
      </w:r>
      <w:r w:rsidRPr="00662EB6">
        <w:rPr>
          <w:rFonts w:ascii="Arial" w:hAnsi="Arial" w:cs="Arial"/>
          <w:b/>
          <w:i/>
          <w:sz w:val="24"/>
          <w:szCs w:val="24"/>
        </w:rPr>
        <w:t>SALARIO INTEGRADO. CARACTERÍSTICAS QUE DEBEN REUNIR SUS COMPONENTES PARA QUE FORMEN PARTE DE AQUÉL.</w:t>
      </w:r>
      <w:r w:rsidRPr="00662EB6">
        <w:rPr>
          <w:rFonts w:ascii="Arial" w:hAnsi="Arial" w:cs="Arial"/>
          <w:i/>
          <w:sz w:val="24"/>
          <w:szCs w:val="24"/>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r>
        <w:rPr>
          <w:rFonts w:ascii="Arial" w:hAnsi="Arial" w:cs="Arial"/>
          <w:i/>
          <w:sz w:val="24"/>
          <w:szCs w:val="24"/>
        </w:rPr>
        <w:t>”</w:t>
      </w:r>
    </w:p>
    <w:p w14:paraId="3E8AA20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por analogía sustancial la tesis número IV.2o.T.101 L. con número de registro 178046 por los Tribunales Colegiados de Circuito en el Semanario Judicial de la Federación y su Gaceta Tomo XXII, Julio de 2005, Página 1389, Novena Época, ba</w:t>
      </w:r>
      <w:r>
        <w:rPr>
          <w:rFonts w:ascii="Arial" w:hAnsi="Arial" w:cs="Arial"/>
          <w:sz w:val="24"/>
          <w:szCs w:val="24"/>
        </w:rPr>
        <w:t>jo el rubro y texto siguiente:</w:t>
      </w:r>
    </w:p>
    <w:p w14:paraId="677650D0" w14:textId="77777777" w:rsidR="00F5528D" w:rsidRPr="00E40096" w:rsidRDefault="00F5528D" w:rsidP="00F5528D">
      <w:pPr>
        <w:ind w:left="567"/>
        <w:jc w:val="both"/>
        <w:rPr>
          <w:rFonts w:ascii="Arial" w:hAnsi="Arial" w:cs="Arial"/>
          <w:i/>
          <w:sz w:val="24"/>
          <w:szCs w:val="24"/>
        </w:rPr>
      </w:pPr>
      <w:r w:rsidRPr="00E40096">
        <w:rPr>
          <w:rFonts w:ascii="Arial" w:hAnsi="Arial" w:cs="Arial"/>
          <w:b/>
          <w:i/>
          <w:sz w:val="24"/>
          <w:szCs w:val="24"/>
        </w:rPr>
        <w:t>“BONOS O VALES DE DESPENSA. CUANDO SE ENTREGAN AL TRABAJADOR DE MANERA ORDINARIA Y PERMANENTE FORMAN PARTE DEL SALARIO CONFORME AL ARTÍCULO 84 DE LA LEY FEDERAL DEL TRABAJO.</w:t>
      </w:r>
      <w:r w:rsidRPr="00E40096">
        <w:rPr>
          <w:rFonts w:ascii="Arial" w:hAnsi="Arial" w:cs="Arial"/>
          <w:i/>
          <w:sz w:val="24"/>
          <w:szCs w:val="24"/>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w:t>
      </w:r>
      <w:r w:rsidRPr="00E40096">
        <w:rPr>
          <w:rFonts w:ascii="Arial" w:hAnsi="Arial" w:cs="Arial"/>
          <w:i/>
          <w:sz w:val="24"/>
          <w:szCs w:val="24"/>
        </w:rPr>
        <w:lastRenderedPageBreak/>
        <w:t>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r>
        <w:rPr>
          <w:rFonts w:ascii="Arial" w:hAnsi="Arial" w:cs="Arial"/>
          <w:i/>
          <w:sz w:val="24"/>
          <w:szCs w:val="24"/>
        </w:rPr>
        <w:t>”</w:t>
      </w:r>
    </w:p>
    <w:p w14:paraId="41072D4E"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Derivado de lo anterior y protegiendo la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Social, es prudente concluir que lo única diferencia de existe entre los trabajadores de confianza y de base, es la estabilidad laboral y probablemente la percepción de otras remuneraciones dentro de su salario integrado, pero que en el ámbito material de desempeño de labores, son idénticas, siendo aplicable el aforismo jurídico: </w:t>
      </w:r>
      <w:r w:rsidRPr="00065160">
        <w:rPr>
          <w:rFonts w:ascii="Arial" w:hAnsi="Arial" w:cs="Arial"/>
          <w:i/>
          <w:sz w:val="24"/>
          <w:szCs w:val="24"/>
        </w:rPr>
        <w:t>“a trabajo igual, salario igual”</w:t>
      </w:r>
      <w:r w:rsidRPr="00BD4FC7">
        <w:rPr>
          <w:rFonts w:ascii="Arial" w:hAnsi="Arial" w:cs="Arial"/>
          <w:sz w:val="24"/>
          <w:szCs w:val="24"/>
        </w:rPr>
        <w:t>. Sirve de apoyo a lo anterior por analogía sustancial la tesis número III.4o.T.33 L (10a.), con número de registro 2015338, por los Tribunales Colegiados de Circuito en el Semanario Judicial de la Federación, Libro 47, Octubre de 2017, Tomo IV, página 2418, Décima Época, ba</w:t>
      </w:r>
      <w:r>
        <w:rPr>
          <w:rFonts w:ascii="Arial" w:hAnsi="Arial" w:cs="Arial"/>
          <w:sz w:val="24"/>
          <w:szCs w:val="24"/>
        </w:rPr>
        <w:t>jo el rubro y texto siguiente:</w:t>
      </w:r>
    </w:p>
    <w:p w14:paraId="4B61D8D6" w14:textId="77777777" w:rsidR="00F5528D" w:rsidRPr="00065160" w:rsidRDefault="00F5528D" w:rsidP="00F5528D">
      <w:pPr>
        <w:ind w:left="567"/>
        <w:jc w:val="both"/>
        <w:rPr>
          <w:rFonts w:ascii="Arial" w:hAnsi="Arial" w:cs="Arial"/>
          <w:i/>
          <w:sz w:val="24"/>
          <w:szCs w:val="24"/>
        </w:rPr>
      </w:pPr>
      <w:r w:rsidRPr="00065160">
        <w:rPr>
          <w:rFonts w:ascii="Arial" w:hAnsi="Arial" w:cs="Arial"/>
          <w:b/>
          <w:i/>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065160">
        <w:rPr>
          <w:rFonts w:ascii="Arial" w:hAnsi="Arial" w:cs="Arial"/>
          <w:i/>
          <w:sz w:val="24"/>
          <w:szCs w:val="24"/>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w:t>
      </w:r>
      <w:r w:rsidRPr="00065160">
        <w:rPr>
          <w:rFonts w:ascii="Arial" w:hAnsi="Arial" w:cs="Arial"/>
          <w:i/>
          <w:sz w:val="24"/>
          <w:szCs w:val="24"/>
        </w:rPr>
        <w:lastRenderedPageBreak/>
        <w:t>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r>
        <w:rPr>
          <w:rFonts w:ascii="Arial" w:hAnsi="Arial" w:cs="Arial"/>
          <w:i/>
          <w:sz w:val="24"/>
          <w:szCs w:val="24"/>
        </w:rPr>
        <w:t>”</w:t>
      </w:r>
    </w:p>
    <w:p w14:paraId="03C858DF" w14:textId="62BEE4BA"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Por ello, al momento de jubilarse, el monto que recibirá la persona jubilada no será un salario, </w:t>
      </w:r>
      <w:r w:rsidR="00B025B6" w:rsidRPr="00BD4FC7">
        <w:rPr>
          <w:rFonts w:ascii="Arial" w:hAnsi="Arial" w:cs="Arial"/>
          <w:sz w:val="24"/>
          <w:szCs w:val="24"/>
        </w:rPr>
        <w:t>sino</w:t>
      </w:r>
      <w:r w:rsidRPr="00BD4FC7">
        <w:rPr>
          <w:rFonts w:ascii="Arial" w:hAnsi="Arial" w:cs="Arial"/>
          <w:sz w:val="24"/>
          <w:szCs w:val="24"/>
        </w:rPr>
        <w:t xml:space="preserve"> una cantidad pecuniaria producto de los años de servicio prestados a un patrón y que cotizó determinada cantidad según la Ley de Pensiones previamente establecida, en este caso, la relación laboral derivó de la relación laboral entre la hoy accionante y el servicio al Poder Judicial del Estado de Oaxaca, en ese tenor, el fin que persigue la jubilación es disfrutar de una vejez o bien de una etapa de vida posterior a la vida laboral con la seguridad de tener una cantidad pecuniaria segura para solventar gastos y necesidades derivadas del júbilo de ya haber dedicado gran parte de la vida humana al trabajo prestado, tal y como lo deduce la etimología de la palabra jubilación, misma que proviene del latín </w:t>
      </w:r>
      <w:r w:rsidRPr="00B51159">
        <w:rPr>
          <w:rFonts w:ascii="Arial" w:hAnsi="Arial" w:cs="Arial"/>
          <w:i/>
          <w:sz w:val="24"/>
          <w:szCs w:val="24"/>
        </w:rPr>
        <w:t>“iubilare”</w:t>
      </w:r>
      <w:r w:rsidRPr="00BD4FC7">
        <w:rPr>
          <w:rFonts w:ascii="Arial" w:hAnsi="Arial" w:cs="Arial"/>
          <w:sz w:val="24"/>
          <w:szCs w:val="24"/>
        </w:rPr>
        <w:t xml:space="preserve"> que significa </w:t>
      </w:r>
      <w:r w:rsidRPr="00B51159">
        <w:rPr>
          <w:rFonts w:ascii="Arial" w:hAnsi="Arial" w:cs="Arial"/>
          <w:i/>
          <w:sz w:val="24"/>
          <w:szCs w:val="24"/>
        </w:rPr>
        <w:t>“gritar de alegría”</w:t>
      </w:r>
      <w:r w:rsidRPr="00BD4FC7">
        <w:rPr>
          <w:rFonts w:ascii="Arial" w:hAnsi="Arial" w:cs="Arial"/>
          <w:sz w:val="24"/>
          <w:szCs w:val="24"/>
        </w:rPr>
        <w:t xml:space="preserve"> o </w:t>
      </w:r>
      <w:r w:rsidRPr="00B51159">
        <w:rPr>
          <w:rFonts w:ascii="Arial" w:hAnsi="Arial" w:cs="Arial"/>
          <w:i/>
          <w:sz w:val="24"/>
          <w:szCs w:val="24"/>
        </w:rPr>
        <w:t>“iubilatio”</w:t>
      </w:r>
      <w:r w:rsidRPr="00BD4FC7">
        <w:rPr>
          <w:rFonts w:ascii="Arial" w:hAnsi="Arial" w:cs="Arial"/>
          <w:sz w:val="24"/>
          <w:szCs w:val="24"/>
        </w:rPr>
        <w:t xml:space="preserve"> que significa </w:t>
      </w:r>
      <w:r w:rsidRPr="00B51159">
        <w:rPr>
          <w:rFonts w:ascii="Arial" w:hAnsi="Arial" w:cs="Arial"/>
          <w:i/>
          <w:sz w:val="24"/>
          <w:szCs w:val="24"/>
        </w:rPr>
        <w:t>“júbilo”</w:t>
      </w:r>
      <w:r w:rsidRPr="00BD4FC7">
        <w:rPr>
          <w:rFonts w:ascii="Arial" w:hAnsi="Arial" w:cs="Arial"/>
          <w:sz w:val="24"/>
          <w:szCs w:val="24"/>
        </w:rPr>
        <w:t>, en consecuencia, para que una persona dignamente pueda tener ese júbilo o alegría una vez concluida la etapa que dedicó a laborar, esta tiene derecho a recibir una pensi</w:t>
      </w:r>
      <w:r>
        <w:rPr>
          <w:rFonts w:ascii="Arial" w:hAnsi="Arial" w:cs="Arial"/>
          <w:sz w:val="24"/>
          <w:szCs w:val="24"/>
        </w:rPr>
        <w:t>ón para una jubilación exitosa.</w:t>
      </w:r>
    </w:p>
    <w:p w14:paraId="38060F4C" w14:textId="52C955E3"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Derivado de lo anterior, esta Sala concluye que efectivamente el s</w:t>
      </w:r>
      <w:r>
        <w:rPr>
          <w:rFonts w:ascii="Arial" w:hAnsi="Arial" w:cs="Arial"/>
          <w:sz w:val="24"/>
          <w:szCs w:val="24"/>
        </w:rPr>
        <w:t>ueldo integ</w:t>
      </w:r>
      <w:r w:rsidR="00156BE5">
        <w:rPr>
          <w:rFonts w:ascii="Arial" w:hAnsi="Arial" w:cs="Arial"/>
          <w:sz w:val="24"/>
          <w:szCs w:val="24"/>
        </w:rPr>
        <w:t>rado percibido por la</w:t>
      </w:r>
      <w:r w:rsidRPr="00BD4FC7">
        <w:rPr>
          <w:rFonts w:ascii="Arial" w:hAnsi="Arial" w:cs="Arial"/>
          <w:sz w:val="24"/>
          <w:szCs w:val="24"/>
        </w:rPr>
        <w:t xml:space="preserve"> C. </w:t>
      </w:r>
      <w:r w:rsidR="00EF3174">
        <w:rPr>
          <w:rFonts w:ascii="Arial" w:hAnsi="Arial" w:cs="Arial"/>
          <w:bCs/>
          <w:spacing w:val="-3"/>
          <w:sz w:val="24"/>
          <w:szCs w:val="27"/>
          <w:lang w:val="es-ES_tradnl"/>
        </w:rPr>
        <w:t>*****</w:t>
      </w:r>
      <w:r w:rsidR="00156BE5">
        <w:rPr>
          <w:rFonts w:ascii="Arial" w:hAnsi="Arial" w:cs="Arial"/>
          <w:bCs/>
          <w:spacing w:val="-3"/>
          <w:sz w:val="24"/>
          <w:szCs w:val="27"/>
          <w:lang w:val="es-ES_tradnl"/>
        </w:rPr>
        <w:t xml:space="preserve"> </w:t>
      </w:r>
      <w:r w:rsidR="00EF3174">
        <w:rPr>
          <w:rFonts w:ascii="Arial" w:hAnsi="Arial" w:cs="Arial"/>
          <w:bCs/>
          <w:spacing w:val="-3"/>
          <w:sz w:val="24"/>
          <w:szCs w:val="27"/>
          <w:lang w:val="es-ES_tradnl"/>
        </w:rPr>
        <w:t>***** ****</w:t>
      </w:r>
      <w:r w:rsidRPr="00BD4FC7">
        <w:rPr>
          <w:rFonts w:ascii="Arial" w:hAnsi="Arial" w:cs="Arial"/>
          <w:sz w:val="24"/>
          <w:szCs w:val="24"/>
        </w:rPr>
        <w:t xml:space="preserve"> </w:t>
      </w:r>
      <w:r w:rsidR="00156BE5">
        <w:rPr>
          <w:rFonts w:ascii="Arial" w:hAnsi="Arial" w:cs="Arial"/>
          <w:sz w:val="24"/>
          <w:szCs w:val="24"/>
        </w:rPr>
        <w:t xml:space="preserve">además de su salario base, esta percibía otros conceptos que eran pagados con motivo de su trabajo, </w:t>
      </w:r>
      <w:r w:rsidRPr="00BD4FC7">
        <w:rPr>
          <w:rFonts w:ascii="Arial" w:hAnsi="Arial" w:cs="Arial"/>
          <w:sz w:val="24"/>
          <w:szCs w:val="24"/>
        </w:rPr>
        <w:t xml:space="preserve">mismos que serán considerados como parte integral de su salario para la cuantificación de la pensión y el cual debe ser otorgado aun cuando como efectivamente manifiesta la autoridad demandada está basada con una ley anterior a la vigencia de la Ley de Pensiones para los Trabajadores del Gobierno del Estado de Oaxaca, sin embargo,  como lo indica el artículo 14 primer párrafo Constitucional, respecto del principio de la irretroactividad de la ley en la cual ninguna disposición legal ocupada de forma </w:t>
      </w:r>
      <w:r w:rsidRPr="00BD4FC7">
        <w:rPr>
          <w:rFonts w:ascii="Arial" w:hAnsi="Arial" w:cs="Arial"/>
          <w:sz w:val="24"/>
          <w:szCs w:val="24"/>
        </w:rPr>
        <w:lastRenderedPageBreak/>
        <w:t xml:space="preserve">retroactiva en perjuicio de un gobernado,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 debe otorgar el mayor beneficio y, en el presente caso, debe considerarse el salario integrado que abarca todas y cada una de las prestaciones </w:t>
      </w:r>
      <w:r w:rsidR="00156BE5">
        <w:rPr>
          <w:rFonts w:ascii="Arial" w:hAnsi="Arial" w:cs="Arial"/>
          <w:sz w:val="24"/>
          <w:szCs w:val="24"/>
        </w:rPr>
        <w:t>que contempla el artículo 54 fracción I de la Ley de Pensiones para los Trabajadores del Gobierno del Estado de Oaxaca</w:t>
      </w:r>
      <w:r w:rsidR="00EC5863">
        <w:rPr>
          <w:rFonts w:ascii="Arial" w:hAnsi="Arial" w:cs="Arial"/>
          <w:sz w:val="24"/>
          <w:szCs w:val="24"/>
        </w:rPr>
        <w:t xml:space="preserve"> más el salario base a favor de </w:t>
      </w:r>
      <w:r w:rsidR="00EF3174">
        <w:rPr>
          <w:rFonts w:ascii="Arial" w:hAnsi="Arial" w:cs="Arial"/>
          <w:sz w:val="24"/>
          <w:szCs w:val="24"/>
        </w:rPr>
        <w:t>*****</w:t>
      </w:r>
      <w:r w:rsidR="00156BE5">
        <w:rPr>
          <w:rFonts w:ascii="Arial" w:hAnsi="Arial" w:cs="Arial"/>
          <w:bCs/>
          <w:spacing w:val="-3"/>
          <w:sz w:val="24"/>
          <w:szCs w:val="27"/>
          <w:lang w:val="es-ES_tradnl"/>
        </w:rPr>
        <w:t xml:space="preserve"> </w:t>
      </w:r>
      <w:r w:rsidR="00EF3174">
        <w:rPr>
          <w:rFonts w:ascii="Arial" w:hAnsi="Arial" w:cs="Arial"/>
          <w:bCs/>
          <w:spacing w:val="-3"/>
          <w:sz w:val="24"/>
          <w:szCs w:val="27"/>
          <w:lang w:val="es-ES_tradnl"/>
        </w:rPr>
        <w:t>*****</w:t>
      </w:r>
      <w:r w:rsidR="00156BE5">
        <w:rPr>
          <w:rFonts w:ascii="Arial" w:hAnsi="Arial" w:cs="Arial"/>
          <w:bCs/>
          <w:spacing w:val="-3"/>
          <w:sz w:val="24"/>
          <w:szCs w:val="27"/>
          <w:lang w:val="es-ES_tradnl"/>
        </w:rPr>
        <w:t xml:space="preserve"> </w:t>
      </w:r>
      <w:r w:rsidR="00EF3174">
        <w:rPr>
          <w:rFonts w:ascii="Arial" w:hAnsi="Arial" w:cs="Arial"/>
          <w:bCs/>
          <w:spacing w:val="-3"/>
          <w:sz w:val="24"/>
          <w:szCs w:val="27"/>
          <w:lang w:val="es-ES_tradnl"/>
        </w:rPr>
        <w:t>*****</w:t>
      </w:r>
      <w:r w:rsidRPr="00BD4FC7">
        <w:rPr>
          <w:rFonts w:ascii="Arial" w:hAnsi="Arial" w:cs="Arial"/>
          <w:sz w:val="24"/>
          <w:szCs w:val="24"/>
        </w:rPr>
        <w:t xml:space="preserve">, </w:t>
      </w:r>
      <w:r w:rsidR="00A0793F">
        <w:rPr>
          <w:rFonts w:ascii="Arial" w:hAnsi="Arial" w:cs="Arial"/>
          <w:sz w:val="24"/>
          <w:szCs w:val="24"/>
        </w:rPr>
        <w:t xml:space="preserve">por ello, lo correcto es calcular la pensión </w:t>
      </w:r>
      <w:r w:rsidRPr="00BD4FC7">
        <w:rPr>
          <w:rFonts w:ascii="Arial" w:hAnsi="Arial" w:cs="Arial"/>
          <w:sz w:val="24"/>
          <w:szCs w:val="24"/>
        </w:rPr>
        <w:t xml:space="preserve">con base al salario integrado mencionado anteriormente y </w:t>
      </w:r>
      <w:r w:rsidR="00A0793F">
        <w:rPr>
          <w:rFonts w:ascii="Arial" w:hAnsi="Arial" w:cs="Arial"/>
          <w:sz w:val="24"/>
          <w:szCs w:val="24"/>
        </w:rPr>
        <w:t>no únicamente con el</w:t>
      </w:r>
      <w:r w:rsidRPr="00BD4FC7">
        <w:rPr>
          <w:rFonts w:ascii="Arial" w:hAnsi="Arial" w:cs="Arial"/>
          <w:sz w:val="24"/>
          <w:szCs w:val="24"/>
        </w:rPr>
        <w:t xml:space="preserve"> salario base</w:t>
      </w:r>
      <w:r w:rsidR="00E71076">
        <w:rPr>
          <w:rFonts w:ascii="Arial" w:hAnsi="Arial" w:cs="Arial"/>
          <w:sz w:val="24"/>
          <w:szCs w:val="24"/>
        </w:rPr>
        <w:t>,</w:t>
      </w:r>
      <w:r w:rsidRPr="00BD4FC7">
        <w:rPr>
          <w:rFonts w:ascii="Arial" w:hAnsi="Arial" w:cs="Arial"/>
          <w:sz w:val="24"/>
          <w:szCs w:val="24"/>
        </w:rPr>
        <w:t xml:space="preserve"> como erróneamente lo consideró la autoridad demandada</w:t>
      </w:r>
      <w:r w:rsidR="00E71076">
        <w:rPr>
          <w:rFonts w:ascii="Arial" w:hAnsi="Arial" w:cs="Arial"/>
          <w:sz w:val="24"/>
          <w:szCs w:val="24"/>
        </w:rPr>
        <w:t>; ahora</w:t>
      </w:r>
      <w:r w:rsidR="00EC5863">
        <w:rPr>
          <w:rFonts w:ascii="Arial" w:hAnsi="Arial" w:cs="Arial"/>
          <w:sz w:val="24"/>
          <w:szCs w:val="24"/>
        </w:rPr>
        <w:t>,</w:t>
      </w:r>
      <w:r w:rsidR="00E71076">
        <w:rPr>
          <w:rFonts w:ascii="Arial" w:hAnsi="Arial" w:cs="Arial"/>
          <w:sz w:val="24"/>
          <w:szCs w:val="24"/>
        </w:rPr>
        <w:t xml:space="preserve"> si bien es cierto que de la lectura a la resolución de fecha </w:t>
      </w:r>
      <w:r w:rsidR="00EF3174">
        <w:rPr>
          <w:rFonts w:ascii="Arial" w:hAnsi="Arial" w:cs="Arial"/>
          <w:sz w:val="24"/>
          <w:szCs w:val="24"/>
        </w:rPr>
        <w:t>*****</w:t>
      </w:r>
      <w:r w:rsidR="00E71076">
        <w:rPr>
          <w:rFonts w:ascii="Arial" w:hAnsi="Arial" w:cs="Arial"/>
          <w:sz w:val="24"/>
          <w:szCs w:val="24"/>
        </w:rPr>
        <w:t xml:space="preserve"> de </w:t>
      </w:r>
      <w:r w:rsidR="00EF3174">
        <w:rPr>
          <w:rFonts w:ascii="Arial" w:hAnsi="Arial" w:cs="Arial"/>
          <w:sz w:val="24"/>
          <w:szCs w:val="24"/>
        </w:rPr>
        <w:t>*****</w:t>
      </w:r>
      <w:r w:rsidR="00E71076">
        <w:rPr>
          <w:rFonts w:ascii="Arial" w:hAnsi="Arial" w:cs="Arial"/>
          <w:sz w:val="24"/>
          <w:szCs w:val="24"/>
        </w:rPr>
        <w:t xml:space="preserve"> de dos mil </w:t>
      </w:r>
      <w:r w:rsidR="00EF3174">
        <w:rPr>
          <w:rFonts w:ascii="Arial" w:hAnsi="Arial" w:cs="Arial"/>
          <w:sz w:val="24"/>
          <w:szCs w:val="24"/>
        </w:rPr>
        <w:t>*****</w:t>
      </w:r>
      <w:r w:rsidR="00E71076">
        <w:rPr>
          <w:rFonts w:ascii="Arial" w:hAnsi="Arial" w:cs="Arial"/>
          <w:sz w:val="24"/>
          <w:szCs w:val="24"/>
        </w:rPr>
        <w:t xml:space="preserve"> dictada por la Quinta Sala Unitaria de Primera Instancia del entonces Tribunal de lo Contencioso Administrativo y de Cuentas del Poder Judicial del Estado de Oaxaca, </w:t>
      </w:r>
      <w:r w:rsidR="00EC5863">
        <w:rPr>
          <w:rFonts w:ascii="Arial" w:hAnsi="Arial" w:cs="Arial"/>
          <w:sz w:val="24"/>
          <w:szCs w:val="24"/>
        </w:rPr>
        <w:t xml:space="preserve">así como de las constancias que obran en autos, la hoy accionante no corrobora mediante la exhibición de un talón de pago cuando era trabajadora en activo donde se pueda apreciar cuales eran las prestaciones que se le pagaban además </w:t>
      </w:r>
      <w:r w:rsidR="00C74048">
        <w:rPr>
          <w:rFonts w:ascii="Arial" w:hAnsi="Arial" w:cs="Arial"/>
          <w:sz w:val="24"/>
          <w:szCs w:val="24"/>
        </w:rPr>
        <w:t xml:space="preserve">de su salario base, bajo el principio </w:t>
      </w:r>
      <w:r w:rsidR="00C74048">
        <w:rPr>
          <w:rFonts w:ascii="Arial" w:hAnsi="Arial" w:cs="Arial"/>
          <w:i/>
          <w:sz w:val="24"/>
          <w:szCs w:val="24"/>
        </w:rPr>
        <w:t>pro persona</w:t>
      </w:r>
      <w:r w:rsidR="00C74048">
        <w:rPr>
          <w:rFonts w:ascii="Arial" w:hAnsi="Arial" w:cs="Arial"/>
          <w:sz w:val="24"/>
          <w:szCs w:val="24"/>
        </w:rPr>
        <w:t xml:space="preserve">, no es impedimento para que </w:t>
      </w:r>
      <w:r w:rsidR="00D61CFF">
        <w:rPr>
          <w:rFonts w:ascii="Arial" w:hAnsi="Arial" w:cs="Arial"/>
          <w:sz w:val="24"/>
          <w:szCs w:val="24"/>
        </w:rPr>
        <w:t>no le sean pagadas dichas prestaciones en su salario integrado.</w:t>
      </w:r>
      <w:r w:rsidRPr="00BD4FC7">
        <w:rPr>
          <w:rFonts w:ascii="Arial" w:hAnsi="Arial" w:cs="Arial"/>
          <w:sz w:val="24"/>
          <w:szCs w:val="24"/>
        </w:rPr>
        <w:t xml:space="preserve"> </w:t>
      </w:r>
    </w:p>
    <w:p w14:paraId="5B85977F" w14:textId="19516E07" w:rsidR="00F5528D" w:rsidRPr="00BD4FC7" w:rsidRDefault="00F5528D" w:rsidP="00F5528D">
      <w:pPr>
        <w:spacing w:line="360" w:lineRule="auto"/>
        <w:ind w:firstLine="567"/>
        <w:jc w:val="both"/>
        <w:rPr>
          <w:rFonts w:ascii="Arial" w:hAnsi="Arial" w:cs="Arial"/>
          <w:sz w:val="24"/>
          <w:szCs w:val="24"/>
        </w:rPr>
      </w:pPr>
      <w:r>
        <w:rPr>
          <w:rFonts w:ascii="Arial" w:hAnsi="Arial" w:cs="Arial"/>
          <w:sz w:val="24"/>
          <w:szCs w:val="24"/>
        </w:rPr>
        <w:t>Por otra parte</w:t>
      </w:r>
      <w:r w:rsidRPr="00BD4FC7">
        <w:rPr>
          <w:rFonts w:ascii="Arial" w:hAnsi="Arial" w:cs="Arial"/>
          <w:sz w:val="24"/>
          <w:szCs w:val="24"/>
        </w:rPr>
        <w:t xml:space="preserve">, por lo que respecta al descuento del 9% hecha a la pensión otorgada, </w:t>
      </w:r>
      <w:r w:rsidR="00D61CFF">
        <w:rPr>
          <w:rFonts w:ascii="Arial" w:hAnsi="Arial" w:cs="Arial"/>
          <w:sz w:val="24"/>
          <w:szCs w:val="24"/>
        </w:rPr>
        <w:t xml:space="preserve">si bien es cierto que mediante resolución de fecha </w:t>
      </w:r>
      <w:r w:rsidR="00EF3174">
        <w:rPr>
          <w:rFonts w:ascii="Arial" w:hAnsi="Arial" w:cs="Arial"/>
          <w:sz w:val="24"/>
          <w:szCs w:val="24"/>
        </w:rPr>
        <w:t>*****</w:t>
      </w:r>
      <w:r w:rsidR="00D61CFF">
        <w:rPr>
          <w:rFonts w:ascii="Arial" w:hAnsi="Arial" w:cs="Arial"/>
          <w:sz w:val="24"/>
          <w:szCs w:val="24"/>
        </w:rPr>
        <w:t xml:space="preserve"> de </w:t>
      </w:r>
      <w:r w:rsidR="00EF3174">
        <w:rPr>
          <w:rFonts w:ascii="Arial" w:hAnsi="Arial" w:cs="Arial"/>
          <w:sz w:val="24"/>
          <w:szCs w:val="24"/>
        </w:rPr>
        <w:t>*****</w:t>
      </w:r>
      <w:r w:rsidR="00D61CFF">
        <w:rPr>
          <w:rFonts w:ascii="Arial" w:hAnsi="Arial" w:cs="Arial"/>
          <w:sz w:val="24"/>
          <w:szCs w:val="24"/>
        </w:rPr>
        <w:t xml:space="preserve"> de dos mil </w:t>
      </w:r>
      <w:r w:rsidR="00EF3174">
        <w:rPr>
          <w:rFonts w:ascii="Arial" w:hAnsi="Arial" w:cs="Arial"/>
          <w:sz w:val="24"/>
          <w:szCs w:val="24"/>
        </w:rPr>
        <w:t>*****</w:t>
      </w:r>
      <w:r w:rsidR="00D61CFF">
        <w:rPr>
          <w:rFonts w:ascii="Arial" w:hAnsi="Arial" w:cs="Arial"/>
          <w:sz w:val="24"/>
          <w:szCs w:val="24"/>
        </w:rPr>
        <w:t xml:space="preserve"> dictada por la Quinta Sala Unitaria de Primera Instancia del entonces Tribunal de lo Contencioso Administrativo y de Cuentas del Poder Judicial del Estado de Oaxaca (fojas 14 a 20) documental que adquiere valor probatorio pleno en términos del artículo 173 fracción I de la Ley de Justicia Administrativa para el Estado de Oaxaca, dicha Sala ordenó que se emitiera un nuevo dictamen sin que se hiciera dicho descuento, sin embargo, mediante la lectura y análisis hecho al oficio reclamado, se advierte que en ningún momento, la autoridad demandada se pronunció respecto a la no aplicación del descuento en cita, por ello, </w:t>
      </w:r>
      <w:r w:rsidRPr="00BD4FC7">
        <w:rPr>
          <w:rFonts w:ascii="Arial" w:hAnsi="Arial" w:cs="Arial"/>
          <w:sz w:val="24"/>
          <w:szCs w:val="24"/>
        </w:rPr>
        <w:t xml:space="preserve">debe decirse que la autoridad demandada soslayó el derecho de igualdad y </w:t>
      </w:r>
      <w:r w:rsidR="00D61CFF">
        <w:rPr>
          <w:rFonts w:ascii="Arial" w:hAnsi="Arial" w:cs="Arial"/>
          <w:i/>
          <w:sz w:val="24"/>
          <w:szCs w:val="24"/>
        </w:rPr>
        <w:t>pro persona</w:t>
      </w:r>
      <w:r w:rsidRPr="00BD4FC7">
        <w:rPr>
          <w:rFonts w:ascii="Arial" w:hAnsi="Arial" w:cs="Arial"/>
          <w:sz w:val="24"/>
          <w:szCs w:val="24"/>
        </w:rPr>
        <w:t xml:space="preserve"> de la hoy 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por ello, la autoridad demandada al no haberlos aplicado, irrogó agravios a la administrada, </w:t>
      </w:r>
      <w:r w:rsidRPr="00BD4FC7">
        <w:rPr>
          <w:rFonts w:ascii="Arial" w:hAnsi="Arial" w:cs="Arial"/>
          <w:sz w:val="24"/>
          <w:szCs w:val="24"/>
        </w:rPr>
        <w:lastRenderedPageBreak/>
        <w:t>máxime que existen criterios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w:t>
      </w:r>
      <w:r>
        <w:rPr>
          <w:rFonts w:ascii="Arial" w:hAnsi="Arial" w:cs="Arial"/>
          <w:sz w:val="24"/>
          <w:szCs w:val="24"/>
        </w:rPr>
        <w:t>ada tuvo efectos retroactivos.</w:t>
      </w:r>
    </w:p>
    <w:p w14:paraId="2F11C88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w:t>
      </w:r>
      <w:r>
        <w:rPr>
          <w:rFonts w:ascii="Arial" w:hAnsi="Arial" w:cs="Arial"/>
          <w:sz w:val="24"/>
          <w:szCs w:val="24"/>
        </w:rPr>
        <w:t>:</w:t>
      </w:r>
      <w:r w:rsidRPr="00BD4FC7">
        <w:rPr>
          <w:rFonts w:ascii="Arial" w:hAnsi="Arial" w:cs="Arial"/>
          <w:sz w:val="24"/>
          <w:szCs w:val="24"/>
        </w:rPr>
        <w:t xml:space="preserve"> </w:t>
      </w:r>
    </w:p>
    <w:p w14:paraId="58464093" w14:textId="77777777" w:rsidR="00F5528D" w:rsidRPr="008B505B" w:rsidRDefault="00F5528D" w:rsidP="00F5528D">
      <w:pPr>
        <w:ind w:left="567"/>
        <w:jc w:val="both"/>
        <w:rPr>
          <w:rFonts w:ascii="Arial" w:hAnsi="Arial" w:cs="Arial"/>
          <w:i/>
          <w:sz w:val="24"/>
          <w:szCs w:val="24"/>
        </w:rPr>
      </w:pPr>
      <w:r w:rsidRPr="008B505B">
        <w:rPr>
          <w:rFonts w:ascii="Arial" w:hAnsi="Arial" w:cs="Arial"/>
          <w:b/>
          <w:i/>
          <w:sz w:val="24"/>
          <w:szCs w:val="24"/>
        </w:rPr>
        <w:t>“RETROACTIVIDAD. TEORÍAS SOBRE LA.</w:t>
      </w:r>
      <w:r w:rsidRPr="008B505B">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w:t>
      </w:r>
    </w:p>
    <w:p w14:paraId="1A283254"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De igual forma el principio de retroactividad de la ley, se encuentra previsto en el artículo 14 primer párrafo de la Constitución Política de los Estados Unidos Mexica</w:t>
      </w:r>
      <w:r>
        <w:rPr>
          <w:rFonts w:ascii="Arial" w:hAnsi="Arial" w:cs="Arial"/>
          <w:sz w:val="24"/>
          <w:szCs w:val="24"/>
        </w:rPr>
        <w:t>nos, que a la letra establece:</w:t>
      </w:r>
    </w:p>
    <w:p w14:paraId="131F7BB6" w14:textId="77777777" w:rsidR="00F5528D" w:rsidRPr="00630DBB" w:rsidRDefault="00F5528D" w:rsidP="00F5528D">
      <w:pPr>
        <w:ind w:left="567"/>
        <w:jc w:val="both"/>
        <w:rPr>
          <w:rFonts w:ascii="Arial" w:hAnsi="Arial" w:cs="Arial"/>
          <w:i/>
          <w:sz w:val="24"/>
          <w:szCs w:val="24"/>
        </w:rPr>
      </w:pPr>
      <w:r w:rsidRPr="00630DBB">
        <w:rPr>
          <w:rFonts w:ascii="Arial" w:hAnsi="Arial" w:cs="Arial"/>
          <w:b/>
          <w:i/>
          <w:sz w:val="24"/>
          <w:szCs w:val="24"/>
        </w:rPr>
        <w:lastRenderedPageBreak/>
        <w:t>“Artículo 14.</w:t>
      </w:r>
      <w:r w:rsidRPr="00630DBB">
        <w:rPr>
          <w:rFonts w:ascii="Arial" w:hAnsi="Arial" w:cs="Arial"/>
          <w:i/>
          <w:sz w:val="24"/>
          <w:szCs w:val="24"/>
        </w:rPr>
        <w:t xml:space="preserve"> A ninguna ley se dará efecto retroactivo en perjuicio de persona alguna.”</w:t>
      </w:r>
    </w:p>
    <w:p w14:paraId="39D9BBA0"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Derivado de lo anterior, es loable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lo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w:t>
      </w:r>
      <w:r>
        <w:rPr>
          <w:rFonts w:ascii="Arial" w:hAnsi="Arial" w:cs="Arial"/>
          <w:sz w:val="24"/>
          <w:szCs w:val="24"/>
        </w:rPr>
        <w:t>de rubros y textos siguientes:</w:t>
      </w:r>
    </w:p>
    <w:p w14:paraId="70FFC00A"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BA3772">
        <w:rPr>
          <w:rFonts w:ascii="Arial" w:hAnsi="Arial" w:cs="Arial"/>
          <w:i/>
          <w:sz w:val="24"/>
          <w:szCs w:val="24"/>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14:paraId="1E773473" w14:textId="77777777" w:rsidR="00F5528D" w:rsidRPr="00BA3772" w:rsidRDefault="00F5528D" w:rsidP="00F5528D">
      <w:pPr>
        <w:ind w:left="567"/>
        <w:jc w:val="both"/>
        <w:rPr>
          <w:rFonts w:ascii="Arial" w:hAnsi="Arial" w:cs="Arial"/>
          <w:i/>
          <w:sz w:val="24"/>
          <w:szCs w:val="24"/>
        </w:rPr>
      </w:pPr>
      <w:r w:rsidRPr="00BA3772">
        <w:rPr>
          <w:rFonts w:ascii="Arial" w:hAnsi="Arial" w:cs="Arial"/>
          <w:b/>
          <w:i/>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w:t>
      </w:r>
      <w:r w:rsidRPr="00BA3772">
        <w:rPr>
          <w:rFonts w:ascii="Arial" w:hAnsi="Arial" w:cs="Arial"/>
          <w:b/>
          <w:i/>
          <w:sz w:val="24"/>
          <w:szCs w:val="24"/>
        </w:rPr>
        <w:lastRenderedPageBreak/>
        <w:t>INCONSTITUCIONALES, AL DESATENDER LOS ARTÍCULOS 26, NUMERAL 3 Y 67, INCISO B), DEL CONVENIO NÚMERO 102 DE LA ORGANIZACIÓN INTERNACIONAL DEL TRABAJO Y VIOLAR EL DERECHO HUMANO A LA IGUALDAD.</w:t>
      </w:r>
      <w:r w:rsidRPr="00BA3772">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5E23DA25" w14:textId="77777777"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 xml:space="preserve">Con lo anterior, queda en evidencia que el acto impugnado tuvo sustento en actos anteriores que fueron realizados conforme a las normas declaradas inconstitucionales causándole un perjuicio a la hoy actora. Por lo que esta Sala atenta al principio </w:t>
      </w:r>
      <w:r w:rsidRPr="00BA244C">
        <w:rPr>
          <w:rFonts w:ascii="Arial" w:hAnsi="Arial" w:cs="Arial"/>
          <w:i/>
          <w:sz w:val="24"/>
          <w:szCs w:val="24"/>
        </w:rPr>
        <w:t>pro personae</w:t>
      </w:r>
      <w:r w:rsidRPr="00BD4FC7">
        <w:rPr>
          <w:rFonts w:ascii="Arial" w:hAnsi="Arial" w:cs="Arial"/>
          <w:sz w:val="24"/>
          <w:szCs w:val="24"/>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contrario sensu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w:t>
      </w:r>
      <w:r w:rsidRPr="00BD4FC7">
        <w:rPr>
          <w:rFonts w:ascii="Arial" w:hAnsi="Arial" w:cs="Arial"/>
          <w:sz w:val="24"/>
          <w:szCs w:val="24"/>
        </w:rPr>
        <w:lastRenderedPageBreak/>
        <w:t>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w:t>
      </w:r>
      <w:r>
        <w:rPr>
          <w:rFonts w:ascii="Arial" w:hAnsi="Arial" w:cs="Arial"/>
          <w:sz w:val="24"/>
          <w:szCs w:val="24"/>
        </w:rPr>
        <w:t>o el texto y rubro siguientes:</w:t>
      </w:r>
    </w:p>
    <w:p w14:paraId="2074AA64"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“CONTROL DE CONSTITUCIONALIDAD Y CONVENCIONALIDAD EX OFFICIO. NO ES UNA CUESTIÓN DE SUBSIDIARIEDAD, POR LO QUE DEBE LLEVARSE A CABO AUN CUANDO EL DERECHO HUMANO DE QUE SE TRATE ESTÉ CONTENIDO EN LA CONSTITUCIÓN FEDERAL.</w:t>
      </w:r>
      <w:r w:rsidRPr="00BA244C">
        <w:rPr>
          <w:rFonts w:ascii="Arial" w:hAnsi="Arial" w:cs="Arial"/>
          <w:i/>
          <w:sz w:val="24"/>
          <w:szCs w:val="24"/>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14:paraId="36B975DA" w14:textId="77777777" w:rsidR="00F5528D" w:rsidRPr="00BA244C" w:rsidRDefault="00F5528D" w:rsidP="00F5528D">
      <w:pPr>
        <w:ind w:left="567"/>
        <w:jc w:val="both"/>
        <w:rPr>
          <w:rFonts w:ascii="Arial" w:hAnsi="Arial" w:cs="Arial"/>
          <w:i/>
          <w:sz w:val="24"/>
          <w:szCs w:val="24"/>
        </w:rPr>
      </w:pPr>
      <w:r w:rsidRPr="00BA244C">
        <w:rPr>
          <w:rFonts w:ascii="Arial" w:hAnsi="Arial" w:cs="Arial"/>
          <w:b/>
          <w:i/>
          <w:sz w:val="24"/>
          <w:szCs w:val="24"/>
        </w:rPr>
        <w:t>“PRINCIPIO DE PROGRESIVIDAD DE LOS DERECHOS HUMANOS. SU NATURALEZA Y FUNCIÓN EN EL ESTADO MEXICANO.</w:t>
      </w:r>
      <w:r w:rsidRPr="00BA244C">
        <w:rPr>
          <w:rFonts w:ascii="Arial" w:hAnsi="Arial" w:cs="Arial"/>
          <w:i/>
          <w:sz w:val="24"/>
          <w:szCs w:val="24"/>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14:paraId="03EAF687" w14:textId="50CB160D"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lastRenderedPageBreak/>
        <w:t xml:space="preserve">Por todo lo anteriormente expuesto, se concluye que el acto impugnado fue emitido de manera ilegal, al no cumplir con el requisito de validez del acto administrativo previsto </w:t>
      </w:r>
      <w:r w:rsidR="00D61CFF">
        <w:rPr>
          <w:rFonts w:ascii="Arial" w:hAnsi="Arial" w:cs="Arial"/>
          <w:sz w:val="24"/>
          <w:szCs w:val="24"/>
        </w:rPr>
        <w:t xml:space="preserve">en la fracción V, del artículo </w:t>
      </w:r>
      <w:r w:rsidRPr="00BD4FC7">
        <w:rPr>
          <w:rFonts w:ascii="Arial" w:hAnsi="Arial" w:cs="Arial"/>
          <w:sz w:val="24"/>
          <w:szCs w:val="24"/>
        </w:rPr>
        <w:t>7</w:t>
      </w:r>
      <w:r w:rsidR="00D61CFF">
        <w:rPr>
          <w:rFonts w:ascii="Arial" w:hAnsi="Arial" w:cs="Arial"/>
          <w:sz w:val="24"/>
          <w:szCs w:val="24"/>
        </w:rPr>
        <w:t>, en relación con el artículo 17</w:t>
      </w:r>
      <w:r w:rsidRPr="00BD4FC7">
        <w:rPr>
          <w:rFonts w:ascii="Arial" w:hAnsi="Arial" w:cs="Arial"/>
          <w:sz w:val="24"/>
          <w:szCs w:val="24"/>
        </w:rPr>
        <w:t xml:space="preserve">8, fracciones II y VI de la Ley de Justicia Administrativa para el Estado de Oaxaca, vulnerando con ello el derecho de igualdad de la aquí administrada, ya que no se pronunció respecto de las demás prestaciones a la que tenía derecho; así también respecto de su actuar al descontar el 9% a la pensión otorgada, mismo que se encuentra someramente fundado basado en preceptos declarados inconstitucionales, por ende lo procedente es declarar la </w:t>
      </w:r>
      <w:r w:rsidRPr="00BA244C">
        <w:rPr>
          <w:rFonts w:ascii="Arial" w:hAnsi="Arial" w:cs="Arial"/>
          <w:b/>
          <w:sz w:val="24"/>
          <w:szCs w:val="24"/>
        </w:rPr>
        <w:t>NULIDAD</w:t>
      </w:r>
      <w:r w:rsidRPr="00BD4FC7">
        <w:rPr>
          <w:rFonts w:ascii="Arial" w:hAnsi="Arial" w:cs="Arial"/>
          <w:sz w:val="24"/>
          <w:szCs w:val="24"/>
        </w:rPr>
        <w:t xml:space="preserve"> del oficio número </w:t>
      </w:r>
      <w:r w:rsidR="00220D6F">
        <w:rPr>
          <w:rFonts w:ascii="Arial" w:hAnsi="Arial" w:cs="Arial"/>
          <w:bCs/>
          <w:spacing w:val="-3"/>
          <w:sz w:val="24"/>
          <w:szCs w:val="27"/>
          <w:lang w:val="es-ES_tradnl"/>
        </w:rPr>
        <w:t>OP/DG/</w:t>
      </w:r>
      <w:r w:rsidR="00BF008E">
        <w:rPr>
          <w:rFonts w:ascii="Arial" w:hAnsi="Arial" w:cs="Arial"/>
          <w:bCs/>
          <w:spacing w:val="-3"/>
          <w:sz w:val="24"/>
          <w:szCs w:val="27"/>
          <w:lang w:val="es-ES_tradnl"/>
        </w:rPr>
        <w:t>****</w:t>
      </w:r>
      <w:r w:rsidR="00220D6F">
        <w:rPr>
          <w:rFonts w:ascii="Arial" w:hAnsi="Arial" w:cs="Arial"/>
          <w:bCs/>
          <w:spacing w:val="-3"/>
          <w:sz w:val="24"/>
          <w:szCs w:val="27"/>
          <w:lang w:val="es-ES_tradnl"/>
        </w:rPr>
        <w:t>/</w:t>
      </w:r>
      <w:r w:rsidR="00BF008E">
        <w:rPr>
          <w:rFonts w:ascii="Arial" w:hAnsi="Arial" w:cs="Arial"/>
          <w:bCs/>
          <w:spacing w:val="-3"/>
          <w:sz w:val="24"/>
          <w:szCs w:val="27"/>
          <w:lang w:val="es-ES_tradnl"/>
        </w:rPr>
        <w:t>*****</w:t>
      </w:r>
      <w:r w:rsidR="00220D6F">
        <w:rPr>
          <w:rFonts w:ascii="Arial" w:hAnsi="Arial" w:cs="Arial"/>
          <w:bCs/>
          <w:spacing w:val="-3"/>
          <w:sz w:val="24"/>
          <w:szCs w:val="27"/>
          <w:lang w:val="es-ES_tradnl"/>
        </w:rPr>
        <w:t xml:space="preserve"> de fecha </w:t>
      </w:r>
      <w:r w:rsidR="00BF008E">
        <w:rPr>
          <w:rFonts w:ascii="Arial" w:hAnsi="Arial" w:cs="Arial"/>
          <w:bCs/>
          <w:spacing w:val="-3"/>
          <w:sz w:val="24"/>
          <w:szCs w:val="27"/>
          <w:lang w:val="es-ES_tradnl"/>
        </w:rPr>
        <w:t>*****</w:t>
      </w:r>
      <w:r w:rsidR="00220D6F">
        <w:rPr>
          <w:rFonts w:ascii="Arial" w:hAnsi="Arial" w:cs="Arial"/>
          <w:bCs/>
          <w:spacing w:val="-3"/>
          <w:sz w:val="24"/>
          <w:szCs w:val="27"/>
          <w:lang w:val="es-ES_tradnl"/>
        </w:rPr>
        <w:t xml:space="preserve"> de </w:t>
      </w:r>
      <w:r w:rsidR="00BF008E">
        <w:rPr>
          <w:rFonts w:ascii="Arial" w:hAnsi="Arial" w:cs="Arial"/>
          <w:bCs/>
          <w:spacing w:val="-3"/>
          <w:sz w:val="24"/>
          <w:szCs w:val="27"/>
          <w:lang w:val="es-ES_tradnl"/>
        </w:rPr>
        <w:t>*****</w:t>
      </w:r>
      <w:r w:rsidR="00220D6F">
        <w:rPr>
          <w:rFonts w:ascii="Arial" w:hAnsi="Arial" w:cs="Arial"/>
          <w:bCs/>
          <w:spacing w:val="-3"/>
          <w:sz w:val="24"/>
          <w:szCs w:val="27"/>
          <w:lang w:val="es-ES_tradnl"/>
        </w:rPr>
        <w:t xml:space="preserve"> de dos mil </w:t>
      </w:r>
      <w:r w:rsidR="00BF008E">
        <w:rPr>
          <w:rFonts w:ascii="Arial" w:hAnsi="Arial" w:cs="Arial"/>
          <w:bCs/>
          <w:spacing w:val="-3"/>
          <w:sz w:val="24"/>
          <w:szCs w:val="27"/>
          <w:lang w:val="es-ES_tradnl"/>
        </w:rPr>
        <w:t>*****</w:t>
      </w:r>
      <w:r w:rsidRPr="00BD4FC7">
        <w:rPr>
          <w:rFonts w:ascii="Arial" w:hAnsi="Arial" w:cs="Arial"/>
          <w:sz w:val="24"/>
          <w:szCs w:val="24"/>
        </w:rPr>
        <w:t xml:space="preserve">, emitido por el Director General de la Oficina de Pensiones del Estado de Oaxaca, </w:t>
      </w:r>
      <w:r w:rsidRPr="00DD3FBD">
        <w:rPr>
          <w:rFonts w:ascii="Arial" w:hAnsi="Arial" w:cs="Arial"/>
          <w:b/>
          <w:sz w:val="24"/>
          <w:szCs w:val="24"/>
        </w:rPr>
        <w:t>PARA EL EFECTO</w:t>
      </w:r>
      <w:r w:rsidRPr="00BD4FC7">
        <w:rPr>
          <w:rFonts w:ascii="Arial" w:hAnsi="Arial" w:cs="Arial"/>
          <w:sz w:val="24"/>
          <w:szCs w:val="24"/>
        </w:rPr>
        <w:t xml:space="preserve"> de que la autoridad demandada deje sin efectos el oficio controvertido y funde y motive en un nuevo acto y se pronuncie en los términos de la presente resolución, para la emisión de un </w:t>
      </w:r>
      <w:r>
        <w:rPr>
          <w:rFonts w:ascii="Arial" w:hAnsi="Arial" w:cs="Arial"/>
          <w:sz w:val="24"/>
          <w:szCs w:val="24"/>
        </w:rPr>
        <w:t xml:space="preserve">nuevo oficio donde haga el reajuste </w:t>
      </w:r>
      <w:r w:rsidRPr="00BD4FC7">
        <w:rPr>
          <w:rFonts w:ascii="Arial" w:hAnsi="Arial" w:cs="Arial"/>
          <w:sz w:val="24"/>
          <w:szCs w:val="24"/>
        </w:rPr>
        <w:t xml:space="preserve">de pensión considerando el salario integrado para el efecto de pensión reclamado, integrado por los conceptos respectivos que percibía en forma mensual como </w:t>
      </w:r>
      <w:r w:rsidR="00891746">
        <w:rPr>
          <w:rFonts w:ascii="Arial" w:hAnsi="Arial" w:cs="Arial"/>
          <w:sz w:val="24"/>
          <w:szCs w:val="24"/>
        </w:rPr>
        <w:t>*****</w:t>
      </w:r>
      <w:r w:rsidR="00220D6F">
        <w:rPr>
          <w:rFonts w:ascii="Arial" w:hAnsi="Arial" w:cs="Arial"/>
          <w:sz w:val="24"/>
          <w:szCs w:val="24"/>
        </w:rPr>
        <w:t xml:space="preserve"> de</w:t>
      </w:r>
      <w:r w:rsidR="00891746">
        <w:rPr>
          <w:rFonts w:ascii="Arial" w:hAnsi="Arial" w:cs="Arial"/>
          <w:sz w:val="24"/>
          <w:szCs w:val="24"/>
        </w:rPr>
        <w:t xml:space="preserve"> *****</w:t>
      </w:r>
      <w:r w:rsidRPr="00BD4FC7">
        <w:rPr>
          <w:rFonts w:ascii="Arial" w:hAnsi="Arial" w:cs="Arial"/>
          <w:sz w:val="24"/>
          <w:szCs w:val="24"/>
        </w:rPr>
        <w:t>, a los cuales se les integrará</w:t>
      </w:r>
      <w:r w:rsidR="00220D6F">
        <w:rPr>
          <w:rFonts w:ascii="Arial" w:hAnsi="Arial" w:cs="Arial"/>
          <w:sz w:val="24"/>
          <w:szCs w:val="24"/>
        </w:rPr>
        <w:t xml:space="preserve">n los conceptos que se le pagaban de forma mensual </w:t>
      </w:r>
      <w:r w:rsidR="008E2D64" w:rsidRPr="00BD4FC7">
        <w:rPr>
          <w:rFonts w:ascii="Arial" w:hAnsi="Arial" w:cs="Arial"/>
          <w:sz w:val="24"/>
          <w:szCs w:val="24"/>
        </w:rPr>
        <w:t>(con excepción de aquellas prestaciones otorgadas de forma anual,</w:t>
      </w:r>
      <w:r w:rsidR="008E2D64">
        <w:rPr>
          <w:rFonts w:ascii="Arial" w:hAnsi="Arial" w:cs="Arial"/>
          <w:sz w:val="24"/>
          <w:szCs w:val="24"/>
        </w:rPr>
        <w:t xml:space="preserve"> periódica o con motivo de ajuste de salario) </w:t>
      </w:r>
      <w:r w:rsidR="00220D6F">
        <w:rPr>
          <w:rFonts w:ascii="Arial" w:hAnsi="Arial" w:cs="Arial"/>
          <w:sz w:val="24"/>
          <w:szCs w:val="24"/>
        </w:rPr>
        <w:t>cuando era trabajadora en activo</w:t>
      </w:r>
      <w:r w:rsidR="008E2D64">
        <w:rPr>
          <w:rFonts w:ascii="Arial" w:hAnsi="Arial" w:cs="Arial"/>
          <w:sz w:val="24"/>
          <w:szCs w:val="24"/>
        </w:rPr>
        <w:t>,</w:t>
      </w:r>
      <w:r w:rsidR="00220D6F">
        <w:rPr>
          <w:rFonts w:ascii="Arial" w:hAnsi="Arial" w:cs="Arial"/>
          <w:sz w:val="24"/>
          <w:szCs w:val="24"/>
        </w:rPr>
        <w:t xml:space="preserve"> con base al </w:t>
      </w:r>
      <w:r w:rsidR="008E2D64">
        <w:rPr>
          <w:rFonts w:ascii="Arial" w:hAnsi="Arial" w:cs="Arial"/>
          <w:sz w:val="24"/>
          <w:szCs w:val="24"/>
        </w:rPr>
        <w:t>artículo</w:t>
      </w:r>
      <w:r w:rsidR="00220D6F">
        <w:rPr>
          <w:rFonts w:ascii="Arial" w:hAnsi="Arial" w:cs="Arial"/>
          <w:sz w:val="24"/>
          <w:szCs w:val="24"/>
        </w:rPr>
        <w:t xml:space="preserve"> 54 fracción I de la Ley de Pensiones</w:t>
      </w:r>
      <w:r w:rsidR="008E2D64">
        <w:rPr>
          <w:rFonts w:ascii="Arial" w:hAnsi="Arial" w:cs="Arial"/>
          <w:sz w:val="24"/>
          <w:szCs w:val="24"/>
        </w:rPr>
        <w:t xml:space="preserve"> para los Trabajadores del Gobierno del Estado de Oaxaca</w:t>
      </w:r>
      <w:r w:rsidRPr="00BD4FC7">
        <w:rPr>
          <w:rFonts w:ascii="Arial" w:hAnsi="Arial" w:cs="Arial"/>
          <w:sz w:val="24"/>
          <w:szCs w:val="24"/>
        </w:rPr>
        <w:t xml:space="preserve"> más el salario base</w:t>
      </w:r>
      <w:r>
        <w:rPr>
          <w:rFonts w:ascii="Arial" w:hAnsi="Arial" w:cs="Arial"/>
          <w:sz w:val="24"/>
          <w:szCs w:val="24"/>
        </w:rPr>
        <w:t>,</w:t>
      </w:r>
      <w:r w:rsidRPr="00BD4FC7">
        <w:rPr>
          <w:rFonts w:ascii="Arial" w:hAnsi="Arial" w:cs="Arial"/>
          <w:sz w:val="24"/>
          <w:szCs w:val="24"/>
        </w:rPr>
        <w:t xml:space="preserve"> </w:t>
      </w:r>
      <w:r w:rsidRPr="004D4D80">
        <w:rPr>
          <w:rFonts w:ascii="Arial" w:hAnsi="Arial" w:cs="Arial"/>
          <w:sz w:val="24"/>
          <w:szCs w:val="24"/>
        </w:rPr>
        <w:t xml:space="preserve">mismas que igual deberán ser integradas al momento en </w:t>
      </w:r>
      <w:r w:rsidR="008E2D64">
        <w:rPr>
          <w:rFonts w:ascii="Arial" w:hAnsi="Arial" w:cs="Arial"/>
          <w:sz w:val="24"/>
          <w:szCs w:val="24"/>
        </w:rPr>
        <w:t xml:space="preserve">que </w:t>
      </w:r>
      <w:r w:rsidRPr="004D4D80">
        <w:rPr>
          <w:rFonts w:ascii="Arial" w:hAnsi="Arial" w:cs="Arial"/>
          <w:sz w:val="24"/>
          <w:szCs w:val="24"/>
        </w:rPr>
        <w:t xml:space="preserve">por ley deban de ser pagadas, </w:t>
      </w:r>
      <w:r w:rsidRPr="00BD4FC7">
        <w:rPr>
          <w:rFonts w:ascii="Arial" w:hAnsi="Arial" w:cs="Arial"/>
          <w:sz w:val="24"/>
          <w:szCs w:val="24"/>
        </w:rPr>
        <w:t>también será importante que no opere el descuento del 9% por concepto de cuota al Fondo de Pensiones por haber sido ya declarado inconstitucional, por ello el dictamen deberá estar debidamente fundado y motivado</w:t>
      </w:r>
      <w:r w:rsidR="00212E1F">
        <w:rPr>
          <w:rFonts w:ascii="Arial" w:hAnsi="Arial" w:cs="Arial"/>
          <w:sz w:val="24"/>
          <w:szCs w:val="24"/>
        </w:rPr>
        <w:t>,</w:t>
      </w:r>
      <w:r w:rsidRPr="00BD4FC7">
        <w:rPr>
          <w:rFonts w:ascii="Arial" w:hAnsi="Arial" w:cs="Arial"/>
          <w:sz w:val="24"/>
          <w:szCs w:val="24"/>
        </w:rPr>
        <w:t xml:space="preserve"> cumpliendo los requisitos y elementos de validez del acto administrativo a los q</w:t>
      </w:r>
      <w:r w:rsidR="008E2D64">
        <w:rPr>
          <w:rFonts w:ascii="Arial" w:hAnsi="Arial" w:cs="Arial"/>
          <w:sz w:val="24"/>
          <w:szCs w:val="24"/>
        </w:rPr>
        <w:t xml:space="preserve">ue hace referencia el artículo </w:t>
      </w:r>
      <w:r w:rsidRPr="00BD4FC7">
        <w:rPr>
          <w:rFonts w:ascii="Arial" w:hAnsi="Arial" w:cs="Arial"/>
          <w:sz w:val="24"/>
          <w:szCs w:val="24"/>
        </w:rPr>
        <w:t>7 de la Ley de Justicia Administr</w:t>
      </w:r>
      <w:r>
        <w:rPr>
          <w:rFonts w:ascii="Arial" w:hAnsi="Arial" w:cs="Arial"/>
          <w:sz w:val="24"/>
          <w:szCs w:val="24"/>
        </w:rPr>
        <w:t>ativa para el Estado de Oaxaca.</w:t>
      </w:r>
      <w:r w:rsidRPr="00BD4FC7">
        <w:rPr>
          <w:rFonts w:ascii="Arial" w:hAnsi="Arial" w:cs="Arial"/>
          <w:sz w:val="24"/>
          <w:szCs w:val="24"/>
        </w:rPr>
        <w:t xml:space="preserve"> </w:t>
      </w:r>
    </w:p>
    <w:p w14:paraId="680053B6" w14:textId="61D7A9B2" w:rsidR="00F5528D" w:rsidRPr="00BD4FC7" w:rsidRDefault="00F5528D" w:rsidP="00F5528D">
      <w:pPr>
        <w:spacing w:line="360" w:lineRule="auto"/>
        <w:ind w:firstLine="567"/>
        <w:jc w:val="both"/>
        <w:rPr>
          <w:rFonts w:ascii="Arial" w:hAnsi="Arial" w:cs="Arial"/>
          <w:sz w:val="24"/>
          <w:szCs w:val="24"/>
        </w:rPr>
      </w:pPr>
      <w:r w:rsidRPr="00BD4FC7">
        <w:rPr>
          <w:rFonts w:ascii="Arial" w:hAnsi="Arial" w:cs="Arial"/>
          <w:sz w:val="24"/>
          <w:szCs w:val="24"/>
        </w:rPr>
        <w:t>Sirve de apoyo</w:t>
      </w:r>
      <w:r w:rsidR="008E2D64">
        <w:rPr>
          <w:rFonts w:ascii="Arial" w:hAnsi="Arial" w:cs="Arial"/>
          <w:sz w:val="24"/>
          <w:szCs w:val="24"/>
        </w:rPr>
        <w:t xml:space="preserve"> a lo anterior la tesis número I.</w:t>
      </w:r>
      <w:r w:rsidRPr="00BD4FC7">
        <w:rPr>
          <w:rFonts w:ascii="Arial" w:hAnsi="Arial" w:cs="Arial"/>
          <w:sz w:val="24"/>
          <w:szCs w:val="24"/>
        </w:rPr>
        <w:t>6oA.3</w:t>
      </w:r>
      <w:r w:rsidR="008E2D64">
        <w:rPr>
          <w:rFonts w:ascii="Arial" w:hAnsi="Arial" w:cs="Arial"/>
          <w:sz w:val="24"/>
          <w:szCs w:val="24"/>
        </w:rPr>
        <w:t>3 A, con número de registro 187</w:t>
      </w:r>
      <w:r w:rsidRPr="00BD4FC7">
        <w:rPr>
          <w:rFonts w:ascii="Arial" w:hAnsi="Arial" w:cs="Arial"/>
          <w:sz w:val="24"/>
          <w:szCs w:val="24"/>
        </w:rPr>
        <w:t>531 por los Tribunales Colegiados de Circuito, en el Semanario Judicial de la Federación y su Gaceta, página 1350, correspondiente Época al mes de Marzo de 2002, Novena Época, ba</w:t>
      </w:r>
      <w:r>
        <w:rPr>
          <w:rFonts w:ascii="Arial" w:hAnsi="Arial" w:cs="Arial"/>
          <w:sz w:val="24"/>
          <w:szCs w:val="24"/>
        </w:rPr>
        <w:t>jo el texto y rubro siguiente:</w:t>
      </w:r>
    </w:p>
    <w:p w14:paraId="6F984F92" w14:textId="77777777" w:rsidR="00F5528D" w:rsidRPr="00371D3E" w:rsidRDefault="00F5528D" w:rsidP="00F5528D">
      <w:pPr>
        <w:ind w:left="567"/>
        <w:jc w:val="both"/>
        <w:rPr>
          <w:rFonts w:ascii="Arial" w:hAnsi="Arial" w:cs="Arial"/>
          <w:i/>
          <w:sz w:val="24"/>
          <w:szCs w:val="24"/>
        </w:rPr>
      </w:pPr>
      <w:r w:rsidRPr="00371D3E">
        <w:rPr>
          <w:rFonts w:ascii="Arial" w:hAnsi="Arial" w:cs="Arial"/>
          <w:b/>
          <w:i/>
          <w:sz w:val="24"/>
          <w:szCs w:val="24"/>
        </w:rPr>
        <w:t>“FUNDAMENTACIÓN Y MOTIVACIÓN, FALTA O INDEBIDA. EN CUANTO SON DISTINTAS, UNAS GENERAN NULIDAD LISA Y LLANA Y OTRAS PARA EFECTOS.</w:t>
      </w:r>
      <w:r w:rsidRPr="00371D3E">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w:t>
      </w:r>
      <w:r w:rsidRPr="00371D3E">
        <w:rPr>
          <w:rFonts w:ascii="Arial" w:hAnsi="Arial" w:cs="Arial"/>
          <w:i/>
          <w:sz w:val="24"/>
          <w:szCs w:val="24"/>
        </w:rPr>
        <w:lastRenderedPageBreak/>
        <w:t>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3781664C" w14:textId="4921156A" w:rsidR="003E0CBC" w:rsidRPr="009C0C09" w:rsidRDefault="00212E1F" w:rsidP="006B2626">
      <w:pPr>
        <w:spacing w:line="360" w:lineRule="auto"/>
        <w:ind w:firstLine="567"/>
        <w:jc w:val="both"/>
        <w:rPr>
          <w:rFonts w:ascii="Arial" w:hAnsi="Arial" w:cs="Arial"/>
          <w:bCs/>
          <w:snapToGrid w:val="0"/>
          <w:sz w:val="24"/>
          <w:szCs w:val="27"/>
        </w:rPr>
      </w:pPr>
      <w:r w:rsidRPr="00212E1F">
        <w:rPr>
          <w:rFonts w:ascii="Arial" w:hAnsi="Arial" w:cs="Arial"/>
          <w:sz w:val="24"/>
          <w:szCs w:val="24"/>
        </w:rPr>
        <w:t>Por lo anteriormente expuesto, fundado y motivado, en términos de los artículos 177, 178 fracciones I, II, III y VI y 179 de la Ley de Justicia Administrativa para el Estado de Oaxaca, se</w:t>
      </w:r>
      <w:r w:rsidR="003E0CBC">
        <w:rPr>
          <w:rFonts w:ascii="Arial" w:hAnsi="Arial" w:cs="Arial"/>
          <w:bCs/>
          <w:snapToGrid w:val="0"/>
          <w:sz w:val="24"/>
          <w:szCs w:val="27"/>
        </w:rPr>
        <w:t>;</w:t>
      </w:r>
    </w:p>
    <w:p w14:paraId="7A3E508A" w14:textId="77777777" w:rsidR="003E0CBC" w:rsidRPr="009C0C09" w:rsidRDefault="003E0CBC" w:rsidP="006B2626">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74E79DFE" w:rsidR="003E0CBC" w:rsidRPr="009C0C09" w:rsidRDefault="003E0CBC" w:rsidP="006B2626">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758B405" w:rsidR="003E0CBC" w:rsidRPr="009C0C09"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w:t>
      </w:r>
      <w:r w:rsidR="008F2E3D">
        <w:rPr>
          <w:rFonts w:cs="Arial"/>
          <w:b w:val="0"/>
          <w:bCs/>
          <w:i w:val="0"/>
          <w:szCs w:val="27"/>
        </w:rPr>
        <w:t>acreditada</w:t>
      </w:r>
      <w:r w:rsidRPr="009C0C09">
        <w:rPr>
          <w:rFonts w:cs="Arial"/>
          <w:b w:val="0"/>
          <w:bCs/>
          <w:i w:val="0"/>
          <w:szCs w:val="27"/>
        </w:rPr>
        <w:t xml:space="preserve"> en autos</w:t>
      </w:r>
      <w:r w:rsidR="008F2E3D">
        <w:rPr>
          <w:rFonts w:cs="Arial"/>
          <w:b w:val="0"/>
          <w:bCs/>
          <w:i w:val="0"/>
          <w:szCs w:val="27"/>
        </w:rPr>
        <w:t>.</w:t>
      </w:r>
      <w:r w:rsidRPr="009C0C09">
        <w:rPr>
          <w:sz w:val="22"/>
        </w:rPr>
        <w:t xml:space="preserve"> </w:t>
      </w:r>
    </w:p>
    <w:p w14:paraId="586A9A60" w14:textId="1B969268" w:rsidR="003E0CBC" w:rsidRPr="00540DC8"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w:t>
      </w:r>
      <w:r w:rsidR="006A5209" w:rsidRPr="006A5209">
        <w:rPr>
          <w:rFonts w:cs="Arial"/>
          <w:b w:val="0"/>
          <w:bCs/>
          <w:i w:val="0"/>
          <w:szCs w:val="27"/>
        </w:rPr>
        <w:t xml:space="preserve">Este Sala advierte que, en el presente juicio no se configura alguna causal de improcedencia o sobreseimiento expuesta en el considerando TERCERO, por lo tanto, </w:t>
      </w:r>
      <w:r w:rsidR="006A5209" w:rsidRPr="006A5209">
        <w:rPr>
          <w:rFonts w:cs="Arial"/>
          <w:bCs/>
          <w:i w:val="0"/>
          <w:szCs w:val="27"/>
        </w:rPr>
        <w:t>NO SE SOBRESEE</w:t>
      </w:r>
      <w:r w:rsidR="00540DC8">
        <w:rPr>
          <w:rFonts w:cs="Arial"/>
          <w:b w:val="0"/>
          <w:i w:val="0"/>
          <w:szCs w:val="27"/>
        </w:rPr>
        <w:t>.</w:t>
      </w:r>
    </w:p>
    <w:p w14:paraId="37BD033A" w14:textId="7B3EEC16" w:rsidR="006F0975" w:rsidRDefault="003E0CBC" w:rsidP="006B2626">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B43ACA">
        <w:rPr>
          <w:rFonts w:cs="Arial"/>
          <w:b w:val="0"/>
          <w:bCs/>
          <w:i w:val="0"/>
          <w:szCs w:val="27"/>
        </w:rPr>
        <w:t xml:space="preserve">Se declara </w:t>
      </w:r>
      <w:r w:rsidR="00B43ACA" w:rsidRPr="00B43ACA">
        <w:rPr>
          <w:rFonts w:cs="Arial"/>
          <w:b w:val="0"/>
          <w:bCs/>
          <w:i w:val="0"/>
          <w:szCs w:val="27"/>
        </w:rPr>
        <w:t xml:space="preserve">la </w:t>
      </w:r>
      <w:r w:rsidR="00B43ACA" w:rsidRPr="00B43ACA">
        <w:rPr>
          <w:rFonts w:cs="Arial"/>
          <w:bCs/>
          <w:i w:val="0"/>
          <w:szCs w:val="27"/>
        </w:rPr>
        <w:t>NULIDAD</w:t>
      </w:r>
      <w:r w:rsidR="00B43ACA" w:rsidRPr="00B43ACA">
        <w:rPr>
          <w:rFonts w:cs="Arial"/>
          <w:b w:val="0"/>
          <w:bCs/>
          <w:i w:val="0"/>
          <w:szCs w:val="27"/>
        </w:rPr>
        <w:t xml:space="preserve"> del oficio número </w:t>
      </w:r>
      <w:r w:rsidR="00212E1F" w:rsidRPr="00212E1F">
        <w:rPr>
          <w:rFonts w:cs="Arial"/>
          <w:b w:val="0"/>
          <w:bCs/>
          <w:i w:val="0"/>
          <w:szCs w:val="27"/>
        </w:rPr>
        <w:t>OP/DG/</w:t>
      </w:r>
      <w:r w:rsidR="00891746">
        <w:rPr>
          <w:rFonts w:cs="Arial"/>
          <w:b w:val="0"/>
          <w:bCs/>
          <w:i w:val="0"/>
          <w:szCs w:val="27"/>
        </w:rPr>
        <w:t>*****</w:t>
      </w:r>
      <w:r w:rsidR="00212E1F" w:rsidRPr="00212E1F">
        <w:rPr>
          <w:rFonts w:cs="Arial"/>
          <w:b w:val="0"/>
          <w:bCs/>
          <w:i w:val="0"/>
          <w:szCs w:val="27"/>
        </w:rPr>
        <w:t>/</w:t>
      </w:r>
      <w:r w:rsidR="00891746">
        <w:rPr>
          <w:rFonts w:cs="Arial"/>
          <w:b w:val="0"/>
          <w:bCs/>
          <w:i w:val="0"/>
          <w:szCs w:val="27"/>
        </w:rPr>
        <w:t>*****</w:t>
      </w:r>
      <w:r w:rsidR="00212E1F" w:rsidRPr="00212E1F">
        <w:rPr>
          <w:rFonts w:cs="Arial"/>
          <w:b w:val="0"/>
          <w:bCs/>
          <w:i w:val="0"/>
          <w:szCs w:val="27"/>
        </w:rPr>
        <w:t xml:space="preserve"> de </w:t>
      </w:r>
      <w:r w:rsidR="00891746">
        <w:rPr>
          <w:rFonts w:cs="Arial"/>
          <w:b w:val="0"/>
          <w:bCs/>
          <w:i w:val="0"/>
          <w:szCs w:val="27"/>
        </w:rPr>
        <w:t>*****</w:t>
      </w:r>
      <w:r w:rsidR="00212E1F" w:rsidRPr="00212E1F">
        <w:rPr>
          <w:rFonts w:cs="Arial"/>
          <w:b w:val="0"/>
          <w:bCs/>
          <w:i w:val="0"/>
          <w:szCs w:val="27"/>
        </w:rPr>
        <w:t xml:space="preserve"> </w:t>
      </w:r>
      <w:r w:rsidR="00891746">
        <w:rPr>
          <w:rFonts w:cs="Arial"/>
          <w:b w:val="0"/>
          <w:bCs/>
          <w:i w:val="0"/>
          <w:szCs w:val="27"/>
        </w:rPr>
        <w:t>******</w:t>
      </w:r>
      <w:r w:rsidR="00212E1F" w:rsidRPr="00212E1F">
        <w:rPr>
          <w:rFonts w:cs="Arial"/>
          <w:b w:val="0"/>
          <w:bCs/>
          <w:i w:val="0"/>
          <w:szCs w:val="27"/>
        </w:rPr>
        <w:t xml:space="preserve"> de </w:t>
      </w:r>
      <w:r w:rsidR="00891746">
        <w:rPr>
          <w:rFonts w:cs="Arial"/>
          <w:b w:val="0"/>
          <w:bCs/>
          <w:i w:val="0"/>
          <w:szCs w:val="27"/>
        </w:rPr>
        <w:t>*****</w:t>
      </w:r>
      <w:r w:rsidR="00212E1F" w:rsidRPr="00212E1F">
        <w:rPr>
          <w:rFonts w:cs="Arial"/>
          <w:b w:val="0"/>
          <w:bCs/>
          <w:i w:val="0"/>
          <w:szCs w:val="27"/>
        </w:rPr>
        <w:t xml:space="preserve"> de dos mil </w:t>
      </w:r>
      <w:r w:rsidR="00891746">
        <w:rPr>
          <w:rFonts w:cs="Arial"/>
          <w:b w:val="0"/>
          <w:bCs/>
          <w:i w:val="0"/>
          <w:szCs w:val="27"/>
        </w:rPr>
        <w:t>*****</w:t>
      </w:r>
      <w:r w:rsidR="00212E1F" w:rsidRPr="00212E1F">
        <w:rPr>
          <w:rFonts w:cs="Arial"/>
          <w:b w:val="0"/>
          <w:bCs/>
          <w:i w:val="0"/>
          <w:szCs w:val="27"/>
        </w:rPr>
        <w:t xml:space="preserve">, emitido por el Director General de la Oficina de Pensiones del Estado de Oaxaca, </w:t>
      </w:r>
      <w:r w:rsidR="00212E1F" w:rsidRPr="00A02B13">
        <w:rPr>
          <w:rFonts w:cs="Arial"/>
          <w:bCs/>
          <w:i w:val="0"/>
          <w:szCs w:val="27"/>
        </w:rPr>
        <w:t>PARA EL EFECTO</w:t>
      </w:r>
      <w:r w:rsidR="00212E1F" w:rsidRPr="00212E1F">
        <w:rPr>
          <w:rFonts w:cs="Arial"/>
          <w:b w:val="0"/>
          <w:bCs/>
          <w:i w:val="0"/>
          <w:szCs w:val="27"/>
        </w:rPr>
        <w:t xml:space="preserve"> de que la autoridad demandada deje sin efectos el oficio controvertido y funde y motive en un nuevo acto y se pronuncie en los términos de la presente resolución, para la emisión de </w:t>
      </w:r>
      <w:r w:rsidR="00212E1F" w:rsidRPr="00212E1F">
        <w:rPr>
          <w:rFonts w:cs="Arial"/>
          <w:b w:val="0"/>
          <w:bCs/>
          <w:i w:val="0"/>
          <w:szCs w:val="27"/>
        </w:rPr>
        <w:lastRenderedPageBreak/>
        <w:t>un nuevo oficio donde haga el reajuste de pensión considerando el salario integrado para el efecto de pensión reclamado, integrado por los conceptos respectivos que percibía en forma mensual como</w:t>
      </w:r>
      <w:r w:rsidR="00891746">
        <w:rPr>
          <w:rFonts w:cs="Arial"/>
          <w:b w:val="0"/>
          <w:bCs/>
          <w:i w:val="0"/>
          <w:szCs w:val="27"/>
        </w:rPr>
        <w:t xml:space="preserve"> *****</w:t>
      </w:r>
      <w:r w:rsidR="00212E1F" w:rsidRPr="00212E1F">
        <w:rPr>
          <w:rFonts w:cs="Arial"/>
          <w:b w:val="0"/>
          <w:bCs/>
          <w:i w:val="0"/>
          <w:szCs w:val="27"/>
        </w:rPr>
        <w:t xml:space="preserve"> de </w:t>
      </w:r>
      <w:r w:rsidR="00891746">
        <w:rPr>
          <w:rFonts w:cs="Arial"/>
          <w:b w:val="0"/>
          <w:bCs/>
          <w:i w:val="0"/>
          <w:szCs w:val="27"/>
        </w:rPr>
        <w:t>*****</w:t>
      </w:r>
      <w:r w:rsidR="00212E1F" w:rsidRPr="00212E1F">
        <w:rPr>
          <w:rFonts w:cs="Arial"/>
          <w:b w:val="0"/>
          <w:bCs/>
          <w:i w:val="0"/>
          <w:szCs w:val="27"/>
        </w:rPr>
        <w:t>, a los cuales se les integrarán los conceptos que se le pagaban de forma mensual (con excepción de aquellas prestaciones otorgadas de forma anual, periódica o con motivo de ajuste de salario) cuando era trabajadora en activo, con base al artículo 54 fracción I de la Ley de Pensiones para los Trabajadores del Gobierno del Estado de Oaxaca más el salario base, mismas que igual deberán ser integradas al momento en que por ley deban de ser pagadas, también será importante que no opere el descuento del 9% por concepto de cuota al Fondo de Pensiones por haber sido ya declarado inconstitucional, por ello el dictamen deberá estar debidamente fundado y motivado</w:t>
      </w:r>
      <w:r w:rsidR="00212E1F">
        <w:rPr>
          <w:rFonts w:cs="Arial"/>
          <w:b w:val="0"/>
          <w:bCs/>
          <w:i w:val="0"/>
          <w:szCs w:val="27"/>
        </w:rPr>
        <w:t>,</w:t>
      </w:r>
      <w:r w:rsidR="00212E1F" w:rsidRPr="00212E1F">
        <w:rPr>
          <w:rFonts w:cs="Arial"/>
          <w:b w:val="0"/>
          <w:bCs/>
          <w:i w:val="0"/>
          <w:szCs w:val="27"/>
        </w:rPr>
        <w:t xml:space="preserve"> cumpliendo los requisitos y elementos de validez del acto administrativo a los que hace referencia el artículo 7 de la Ley de Justicia Administrativa para el Estado de Oaxaca</w:t>
      </w:r>
      <w:r w:rsidR="00204FE3">
        <w:rPr>
          <w:rFonts w:cs="Arial"/>
          <w:b w:val="0"/>
          <w:bCs/>
          <w:i w:val="0"/>
          <w:szCs w:val="27"/>
        </w:rPr>
        <w:t>,</w:t>
      </w:r>
      <w:r w:rsidR="00540DC8" w:rsidRPr="006F0975">
        <w:rPr>
          <w:rFonts w:cs="Arial"/>
          <w:b w:val="0"/>
          <w:bCs/>
          <w:i w:val="0"/>
          <w:szCs w:val="27"/>
        </w:rPr>
        <w:t xml:space="preserve"> por las razones </w:t>
      </w:r>
      <w:r w:rsidR="006F0975">
        <w:rPr>
          <w:rFonts w:cs="Arial"/>
          <w:b w:val="0"/>
          <w:bCs/>
          <w:i w:val="0"/>
          <w:szCs w:val="27"/>
        </w:rPr>
        <w:t>expuestas en el</w:t>
      </w:r>
      <w:r w:rsidR="00540DC8" w:rsidRPr="006F0975">
        <w:rPr>
          <w:rFonts w:cs="Arial"/>
          <w:b w:val="0"/>
          <w:bCs/>
          <w:i w:val="0"/>
          <w:szCs w:val="27"/>
        </w:rPr>
        <w:t xml:space="preserve"> considerando CUARTO de la presente sentencia.</w:t>
      </w:r>
      <w:r w:rsidR="006F0975" w:rsidRPr="006F0975">
        <w:rPr>
          <w:rFonts w:cs="Arial"/>
          <w:b w:val="0"/>
          <w:bCs/>
          <w:i w:val="0"/>
          <w:szCs w:val="27"/>
        </w:rPr>
        <w:t xml:space="preserve"> </w:t>
      </w:r>
    </w:p>
    <w:p w14:paraId="46708F1F" w14:textId="3CBC75BD" w:rsidR="00204FE3" w:rsidRPr="009C0C09" w:rsidRDefault="003E0CBC" w:rsidP="006B2626">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006F0975">
        <w:rPr>
          <w:rFonts w:cs="Arial"/>
          <w:bCs/>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5074B261" w:rsidR="004B22DE" w:rsidRDefault="004B22DE" w:rsidP="006B2626">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del Tribunal de Justicia Administrativa del Estado de Oaxaca, quien actúa con el Secretario de Acuerdos, que autoriza y da fe.</w:t>
      </w:r>
    </w:p>
    <w:p w14:paraId="052CCE48"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7EC1386" w:rsidR="004B22DE"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26B5BED1" w14:textId="77777777" w:rsidR="006F0975" w:rsidRPr="00604752" w:rsidRDefault="006F0975" w:rsidP="006B2626">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6B2626">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B2626">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333709">
      <w:headerReference w:type="default" r:id="rId8"/>
      <w:footerReference w:type="even" r:id="rId9"/>
      <w:footerReference w:type="default" r:id="rId10"/>
      <w:headerReference w:type="first" r:id="rId11"/>
      <w:pgSz w:w="12240" w:h="20160" w:code="5"/>
      <w:pgMar w:top="1607"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3DB18" w14:textId="77777777" w:rsidR="00974202" w:rsidRDefault="00974202" w:rsidP="00604752">
      <w:pPr>
        <w:spacing w:after="0" w:line="240" w:lineRule="auto"/>
      </w:pPr>
      <w:r>
        <w:separator/>
      </w:r>
    </w:p>
  </w:endnote>
  <w:endnote w:type="continuationSeparator" w:id="0">
    <w:p w14:paraId="0583FE1B" w14:textId="77777777" w:rsidR="00974202" w:rsidRDefault="00974202"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E904" w14:textId="5C571950" w:rsidR="00EA735B" w:rsidRDefault="00EA735B">
    <w:pPr>
      <w:pStyle w:val="Piedepgina"/>
    </w:pPr>
    <w:r w:rsidRPr="00EA735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473047B" wp14:editId="2017404B">
              <wp:simplePos x="0" y="0"/>
              <wp:positionH relativeFrom="page">
                <wp:align>right</wp:align>
              </wp:positionH>
              <wp:positionV relativeFrom="paragraph">
                <wp:posOffset>-5707380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45F8704" w14:textId="77777777" w:rsidR="00EA735B" w:rsidRDefault="00EA735B" w:rsidP="00EA735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73047B" id="_x0000_t202" coordsize="21600,21600" o:spt="202" path="m,l,21600r21600,l21600,xe">
              <v:stroke joinstyle="miter"/>
              <v:path gradientshapeok="t" o:connecttype="rect"/>
            </v:shapetype>
            <v:shape id="_x0000_s1027" type="#_x0000_t202" style="position:absolute;margin-left:41.8pt;margin-top:-449.4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">
              <v:textbox>
                <w:txbxContent>
                  <w:p w14:paraId="445F8704" w14:textId="77777777" w:rsidR="00EA735B" w:rsidRDefault="00EA735B" w:rsidP="00EA735B">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4B6749D0"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025B6" w:rsidRPr="00B025B6">
          <w:rPr>
            <w:rFonts w:ascii="Arial" w:hAnsi="Arial" w:cs="Arial"/>
            <w:noProof/>
            <w:sz w:val="24"/>
            <w:szCs w:val="24"/>
            <w:lang w:val="es-ES"/>
          </w:rPr>
          <w:t>16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90B47" w14:textId="77777777" w:rsidR="00974202" w:rsidRDefault="00974202" w:rsidP="00604752">
      <w:pPr>
        <w:spacing w:after="0" w:line="240" w:lineRule="auto"/>
      </w:pPr>
      <w:r>
        <w:separator/>
      </w:r>
    </w:p>
  </w:footnote>
  <w:footnote w:type="continuationSeparator" w:id="0">
    <w:p w14:paraId="4C8D8D22" w14:textId="77777777" w:rsidR="00974202" w:rsidRDefault="00974202"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7082CC9" w:rsidR="0076338B" w:rsidRDefault="00EA735B">
    <w:pPr>
      <w:pStyle w:val="Encabezado"/>
    </w:pPr>
    <w:r w:rsidRPr="00EA735B">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6FAAFBF9" wp14:editId="2ED938EE">
              <wp:simplePos x="0" y="0"/>
              <wp:positionH relativeFrom="leftMargin">
                <wp:posOffset>50800</wp:posOffset>
              </wp:positionH>
              <wp:positionV relativeFrom="paragraph">
                <wp:posOffset>4464685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2E54D54" w14:textId="77777777" w:rsidR="00EA735B" w:rsidRDefault="00EA735B" w:rsidP="00EA735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AAFBF9" id="_x0000_t202" coordsize="21600,21600" o:spt="202" path="m,l,21600r21600,l21600,xe">
              <v:stroke joinstyle="miter"/>
              <v:path gradientshapeok="t" o:connecttype="rect"/>
            </v:shapetype>
            <v:shape id="Cuadro de texto 1" o:spid="_x0000_s1026" type="#_x0000_t202" style="position:absolute;margin-left:4pt;margin-top:351.55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">
              <v:textbox>
                <w:txbxContent>
                  <w:p w14:paraId="22E54D54" w14:textId="77777777" w:rsidR="00EA735B" w:rsidRDefault="00EA735B" w:rsidP="00EA735B">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1ED9EDF9">
          <wp:simplePos x="0" y="0"/>
          <wp:positionH relativeFrom="page">
            <wp:align>right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729A5721"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1320FFC0">
          <wp:simplePos x="0" y="0"/>
          <wp:positionH relativeFrom="margin">
            <wp:posOffset>-1184910</wp:posOffset>
          </wp:positionH>
          <wp:positionV relativeFrom="paragraph">
            <wp:posOffset>4152265</wp:posOffset>
          </wp:positionV>
          <wp:extent cx="7711312" cy="2869325"/>
          <wp:effectExtent l="0" t="0" r="4445" b="762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3F672244">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05429556">
    <w:abstractNumId w:val="2"/>
  </w:num>
  <w:num w:numId="2" w16cid:durableId="1238513635">
    <w:abstractNumId w:val="3"/>
  </w:num>
  <w:num w:numId="3" w16cid:durableId="1750888788">
    <w:abstractNumId w:val="6"/>
  </w:num>
  <w:num w:numId="4" w16cid:durableId="1384216603">
    <w:abstractNumId w:val="0"/>
  </w:num>
  <w:num w:numId="5" w16cid:durableId="362176452">
    <w:abstractNumId w:val="4"/>
  </w:num>
  <w:num w:numId="6" w16cid:durableId="2065639426">
    <w:abstractNumId w:val="1"/>
  </w:num>
  <w:num w:numId="7" w16cid:durableId="13358404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378"/>
    <w:rsid w:val="0000564B"/>
    <w:rsid w:val="00012F54"/>
    <w:rsid w:val="00013BAD"/>
    <w:rsid w:val="000203B2"/>
    <w:rsid w:val="00021165"/>
    <w:rsid w:val="000212A8"/>
    <w:rsid w:val="00023E0F"/>
    <w:rsid w:val="00024B83"/>
    <w:rsid w:val="0002521A"/>
    <w:rsid w:val="00026031"/>
    <w:rsid w:val="00026BB2"/>
    <w:rsid w:val="00030491"/>
    <w:rsid w:val="0003281E"/>
    <w:rsid w:val="00032827"/>
    <w:rsid w:val="000337D1"/>
    <w:rsid w:val="00033F72"/>
    <w:rsid w:val="00035E01"/>
    <w:rsid w:val="000363E1"/>
    <w:rsid w:val="00036A0C"/>
    <w:rsid w:val="0003743F"/>
    <w:rsid w:val="00043748"/>
    <w:rsid w:val="00045E11"/>
    <w:rsid w:val="00051177"/>
    <w:rsid w:val="000530A9"/>
    <w:rsid w:val="0005415A"/>
    <w:rsid w:val="00064B6B"/>
    <w:rsid w:val="00065160"/>
    <w:rsid w:val="000662B7"/>
    <w:rsid w:val="00081134"/>
    <w:rsid w:val="000861BC"/>
    <w:rsid w:val="00090CB5"/>
    <w:rsid w:val="00092E1F"/>
    <w:rsid w:val="00094E83"/>
    <w:rsid w:val="000951F5"/>
    <w:rsid w:val="000968FD"/>
    <w:rsid w:val="000A0C4C"/>
    <w:rsid w:val="000A25F3"/>
    <w:rsid w:val="000A2814"/>
    <w:rsid w:val="000A2A86"/>
    <w:rsid w:val="000A3369"/>
    <w:rsid w:val="000A4C89"/>
    <w:rsid w:val="000A5644"/>
    <w:rsid w:val="000A5C47"/>
    <w:rsid w:val="000B1C0B"/>
    <w:rsid w:val="000B426C"/>
    <w:rsid w:val="000B48CB"/>
    <w:rsid w:val="000C1184"/>
    <w:rsid w:val="000C35D8"/>
    <w:rsid w:val="000C361C"/>
    <w:rsid w:val="000C4E6B"/>
    <w:rsid w:val="000C599F"/>
    <w:rsid w:val="000C6172"/>
    <w:rsid w:val="000C6FAD"/>
    <w:rsid w:val="000C7260"/>
    <w:rsid w:val="000D23FD"/>
    <w:rsid w:val="000D5ADC"/>
    <w:rsid w:val="000E1601"/>
    <w:rsid w:val="000E2FD3"/>
    <w:rsid w:val="000E5FA6"/>
    <w:rsid w:val="000E728E"/>
    <w:rsid w:val="000F3A4E"/>
    <w:rsid w:val="000F77BF"/>
    <w:rsid w:val="001009AB"/>
    <w:rsid w:val="00102315"/>
    <w:rsid w:val="0010375C"/>
    <w:rsid w:val="0010765A"/>
    <w:rsid w:val="00115274"/>
    <w:rsid w:val="00125DC6"/>
    <w:rsid w:val="001275B8"/>
    <w:rsid w:val="00127F63"/>
    <w:rsid w:val="00130B07"/>
    <w:rsid w:val="00131EDE"/>
    <w:rsid w:val="00132658"/>
    <w:rsid w:val="001350AA"/>
    <w:rsid w:val="001352D8"/>
    <w:rsid w:val="0013532F"/>
    <w:rsid w:val="00140805"/>
    <w:rsid w:val="00144196"/>
    <w:rsid w:val="00150C5F"/>
    <w:rsid w:val="00151127"/>
    <w:rsid w:val="001514E4"/>
    <w:rsid w:val="00152D38"/>
    <w:rsid w:val="00156BE5"/>
    <w:rsid w:val="0015763C"/>
    <w:rsid w:val="001628B3"/>
    <w:rsid w:val="001658D6"/>
    <w:rsid w:val="0016783D"/>
    <w:rsid w:val="00174085"/>
    <w:rsid w:val="00180B18"/>
    <w:rsid w:val="00181533"/>
    <w:rsid w:val="00193422"/>
    <w:rsid w:val="0019467E"/>
    <w:rsid w:val="00196279"/>
    <w:rsid w:val="001A1FE9"/>
    <w:rsid w:val="001A2788"/>
    <w:rsid w:val="001A6E66"/>
    <w:rsid w:val="001B0663"/>
    <w:rsid w:val="001B5DC7"/>
    <w:rsid w:val="001B6A00"/>
    <w:rsid w:val="001B77BA"/>
    <w:rsid w:val="001C0F76"/>
    <w:rsid w:val="001C6514"/>
    <w:rsid w:val="001D267C"/>
    <w:rsid w:val="001D5414"/>
    <w:rsid w:val="001E1A1B"/>
    <w:rsid w:val="001E3C59"/>
    <w:rsid w:val="001E49C1"/>
    <w:rsid w:val="001E4A0B"/>
    <w:rsid w:val="001F2FF9"/>
    <w:rsid w:val="0020358E"/>
    <w:rsid w:val="00203B91"/>
    <w:rsid w:val="00204FE3"/>
    <w:rsid w:val="00205FF5"/>
    <w:rsid w:val="00212E1F"/>
    <w:rsid w:val="00220D6F"/>
    <w:rsid w:val="00224120"/>
    <w:rsid w:val="002257D3"/>
    <w:rsid w:val="00226128"/>
    <w:rsid w:val="00230E4C"/>
    <w:rsid w:val="0023189F"/>
    <w:rsid w:val="002318D5"/>
    <w:rsid w:val="002419CF"/>
    <w:rsid w:val="00244A8E"/>
    <w:rsid w:val="00245075"/>
    <w:rsid w:val="00251577"/>
    <w:rsid w:val="002524BD"/>
    <w:rsid w:val="00252E0F"/>
    <w:rsid w:val="002549C3"/>
    <w:rsid w:val="00263E2D"/>
    <w:rsid w:val="002649F6"/>
    <w:rsid w:val="002649F9"/>
    <w:rsid w:val="002653F1"/>
    <w:rsid w:val="00265704"/>
    <w:rsid w:val="00266F67"/>
    <w:rsid w:val="00267C69"/>
    <w:rsid w:val="0027164D"/>
    <w:rsid w:val="00274498"/>
    <w:rsid w:val="002747AF"/>
    <w:rsid w:val="0027572E"/>
    <w:rsid w:val="0027767F"/>
    <w:rsid w:val="002779CB"/>
    <w:rsid w:val="0028475A"/>
    <w:rsid w:val="00287DE5"/>
    <w:rsid w:val="002914F2"/>
    <w:rsid w:val="00292144"/>
    <w:rsid w:val="00295133"/>
    <w:rsid w:val="00295A03"/>
    <w:rsid w:val="00296D02"/>
    <w:rsid w:val="002A6281"/>
    <w:rsid w:val="002A7FE6"/>
    <w:rsid w:val="002B198B"/>
    <w:rsid w:val="002B245A"/>
    <w:rsid w:val="002B2C0E"/>
    <w:rsid w:val="002B4619"/>
    <w:rsid w:val="002B52BC"/>
    <w:rsid w:val="002C0FD7"/>
    <w:rsid w:val="002C7465"/>
    <w:rsid w:val="002D696F"/>
    <w:rsid w:val="002E0F64"/>
    <w:rsid w:val="002F08AA"/>
    <w:rsid w:val="002F2F88"/>
    <w:rsid w:val="002F71C8"/>
    <w:rsid w:val="00301470"/>
    <w:rsid w:val="003039BE"/>
    <w:rsid w:val="00304F2A"/>
    <w:rsid w:val="003057ED"/>
    <w:rsid w:val="003063A5"/>
    <w:rsid w:val="003119B9"/>
    <w:rsid w:val="00314C35"/>
    <w:rsid w:val="003173F3"/>
    <w:rsid w:val="003176C4"/>
    <w:rsid w:val="00320CB4"/>
    <w:rsid w:val="003213D8"/>
    <w:rsid w:val="00327322"/>
    <w:rsid w:val="00327ABE"/>
    <w:rsid w:val="00330516"/>
    <w:rsid w:val="00331255"/>
    <w:rsid w:val="00333268"/>
    <w:rsid w:val="00333709"/>
    <w:rsid w:val="003337E5"/>
    <w:rsid w:val="003355C2"/>
    <w:rsid w:val="003418BF"/>
    <w:rsid w:val="00344216"/>
    <w:rsid w:val="00345A4E"/>
    <w:rsid w:val="00346EA0"/>
    <w:rsid w:val="00350413"/>
    <w:rsid w:val="00351A21"/>
    <w:rsid w:val="00351DE2"/>
    <w:rsid w:val="00351DE3"/>
    <w:rsid w:val="00351EF2"/>
    <w:rsid w:val="00352A96"/>
    <w:rsid w:val="0035374B"/>
    <w:rsid w:val="00354B88"/>
    <w:rsid w:val="003569E3"/>
    <w:rsid w:val="00363EFF"/>
    <w:rsid w:val="00364572"/>
    <w:rsid w:val="003667A1"/>
    <w:rsid w:val="00370E42"/>
    <w:rsid w:val="00371394"/>
    <w:rsid w:val="00371D3E"/>
    <w:rsid w:val="00375C9A"/>
    <w:rsid w:val="00383693"/>
    <w:rsid w:val="00387165"/>
    <w:rsid w:val="00387930"/>
    <w:rsid w:val="00387B37"/>
    <w:rsid w:val="00387B42"/>
    <w:rsid w:val="003905EF"/>
    <w:rsid w:val="003A5C6A"/>
    <w:rsid w:val="003C1032"/>
    <w:rsid w:val="003C37D1"/>
    <w:rsid w:val="003C3CAD"/>
    <w:rsid w:val="003C7C99"/>
    <w:rsid w:val="003D2EAC"/>
    <w:rsid w:val="003D6C41"/>
    <w:rsid w:val="003E0CBC"/>
    <w:rsid w:val="003E3AB9"/>
    <w:rsid w:val="003E3CFA"/>
    <w:rsid w:val="003E604C"/>
    <w:rsid w:val="003E65D9"/>
    <w:rsid w:val="003E727C"/>
    <w:rsid w:val="003F2E0D"/>
    <w:rsid w:val="004018A4"/>
    <w:rsid w:val="00402772"/>
    <w:rsid w:val="004107AC"/>
    <w:rsid w:val="00410B01"/>
    <w:rsid w:val="0041104C"/>
    <w:rsid w:val="00413551"/>
    <w:rsid w:val="00417ED6"/>
    <w:rsid w:val="00421E9B"/>
    <w:rsid w:val="00423C8C"/>
    <w:rsid w:val="00425036"/>
    <w:rsid w:val="00427278"/>
    <w:rsid w:val="00430B1C"/>
    <w:rsid w:val="0043159F"/>
    <w:rsid w:val="00432832"/>
    <w:rsid w:val="00434BDC"/>
    <w:rsid w:val="00435BA2"/>
    <w:rsid w:val="00440813"/>
    <w:rsid w:val="00443701"/>
    <w:rsid w:val="004466E9"/>
    <w:rsid w:val="00446F3E"/>
    <w:rsid w:val="004471F8"/>
    <w:rsid w:val="00450E23"/>
    <w:rsid w:val="00451D96"/>
    <w:rsid w:val="004535F4"/>
    <w:rsid w:val="00455FD5"/>
    <w:rsid w:val="00456EB9"/>
    <w:rsid w:val="00460CAD"/>
    <w:rsid w:val="00464066"/>
    <w:rsid w:val="004660BC"/>
    <w:rsid w:val="00471718"/>
    <w:rsid w:val="00471CEB"/>
    <w:rsid w:val="004723BF"/>
    <w:rsid w:val="00477558"/>
    <w:rsid w:val="00481380"/>
    <w:rsid w:val="0048308A"/>
    <w:rsid w:val="00485E2A"/>
    <w:rsid w:val="00492C2F"/>
    <w:rsid w:val="004A0097"/>
    <w:rsid w:val="004A0EDA"/>
    <w:rsid w:val="004A23FF"/>
    <w:rsid w:val="004A3D3D"/>
    <w:rsid w:val="004A718A"/>
    <w:rsid w:val="004B030F"/>
    <w:rsid w:val="004B0D7E"/>
    <w:rsid w:val="004B22DE"/>
    <w:rsid w:val="004B4F62"/>
    <w:rsid w:val="004B7523"/>
    <w:rsid w:val="004C0019"/>
    <w:rsid w:val="004C1DE4"/>
    <w:rsid w:val="004C414A"/>
    <w:rsid w:val="004C582E"/>
    <w:rsid w:val="004D2B6D"/>
    <w:rsid w:val="004D40B5"/>
    <w:rsid w:val="004D4D80"/>
    <w:rsid w:val="004E4AAE"/>
    <w:rsid w:val="004E6EA5"/>
    <w:rsid w:val="004F202C"/>
    <w:rsid w:val="004F47A1"/>
    <w:rsid w:val="004F5EA4"/>
    <w:rsid w:val="00504B18"/>
    <w:rsid w:val="00504C8D"/>
    <w:rsid w:val="00504CD6"/>
    <w:rsid w:val="005117EA"/>
    <w:rsid w:val="00511877"/>
    <w:rsid w:val="00522225"/>
    <w:rsid w:val="005231EC"/>
    <w:rsid w:val="00524C59"/>
    <w:rsid w:val="005277D3"/>
    <w:rsid w:val="00533365"/>
    <w:rsid w:val="0053425C"/>
    <w:rsid w:val="005357CD"/>
    <w:rsid w:val="005359BA"/>
    <w:rsid w:val="00540DC8"/>
    <w:rsid w:val="005428ED"/>
    <w:rsid w:val="00542DAE"/>
    <w:rsid w:val="00551613"/>
    <w:rsid w:val="00551C92"/>
    <w:rsid w:val="00554D73"/>
    <w:rsid w:val="00555D1C"/>
    <w:rsid w:val="0055660F"/>
    <w:rsid w:val="005579FF"/>
    <w:rsid w:val="00560A7D"/>
    <w:rsid w:val="005610E3"/>
    <w:rsid w:val="00564CE2"/>
    <w:rsid w:val="00566787"/>
    <w:rsid w:val="00571FEB"/>
    <w:rsid w:val="00573D74"/>
    <w:rsid w:val="00575B7F"/>
    <w:rsid w:val="00580814"/>
    <w:rsid w:val="005814E3"/>
    <w:rsid w:val="00581667"/>
    <w:rsid w:val="00583B55"/>
    <w:rsid w:val="00583E3A"/>
    <w:rsid w:val="005851EF"/>
    <w:rsid w:val="00586E29"/>
    <w:rsid w:val="00591480"/>
    <w:rsid w:val="00591D82"/>
    <w:rsid w:val="005945AD"/>
    <w:rsid w:val="005953CC"/>
    <w:rsid w:val="00597332"/>
    <w:rsid w:val="005A3AE0"/>
    <w:rsid w:val="005A4A79"/>
    <w:rsid w:val="005B18A3"/>
    <w:rsid w:val="005B2116"/>
    <w:rsid w:val="005B4290"/>
    <w:rsid w:val="005B5E0B"/>
    <w:rsid w:val="005B650F"/>
    <w:rsid w:val="005C2325"/>
    <w:rsid w:val="005C3216"/>
    <w:rsid w:val="005C329C"/>
    <w:rsid w:val="005C3D00"/>
    <w:rsid w:val="005C3D34"/>
    <w:rsid w:val="005C444C"/>
    <w:rsid w:val="005D28D8"/>
    <w:rsid w:val="005D3B58"/>
    <w:rsid w:val="005D495B"/>
    <w:rsid w:val="005E4182"/>
    <w:rsid w:val="005F2117"/>
    <w:rsid w:val="005F5334"/>
    <w:rsid w:val="005F6C33"/>
    <w:rsid w:val="006016B9"/>
    <w:rsid w:val="00604752"/>
    <w:rsid w:val="006073E9"/>
    <w:rsid w:val="00613F31"/>
    <w:rsid w:val="006170B7"/>
    <w:rsid w:val="00620928"/>
    <w:rsid w:val="00620938"/>
    <w:rsid w:val="0062129B"/>
    <w:rsid w:val="00625D3A"/>
    <w:rsid w:val="00625ECE"/>
    <w:rsid w:val="00630DBB"/>
    <w:rsid w:val="00633E37"/>
    <w:rsid w:val="0063728C"/>
    <w:rsid w:val="006408AE"/>
    <w:rsid w:val="00641215"/>
    <w:rsid w:val="00641CD0"/>
    <w:rsid w:val="00642D22"/>
    <w:rsid w:val="00642DF7"/>
    <w:rsid w:val="006445C9"/>
    <w:rsid w:val="00645246"/>
    <w:rsid w:val="00652091"/>
    <w:rsid w:val="00653CF6"/>
    <w:rsid w:val="00655705"/>
    <w:rsid w:val="0066005E"/>
    <w:rsid w:val="00661409"/>
    <w:rsid w:val="00662EB6"/>
    <w:rsid w:val="00666DF0"/>
    <w:rsid w:val="00670A60"/>
    <w:rsid w:val="00674274"/>
    <w:rsid w:val="0067528E"/>
    <w:rsid w:val="00685823"/>
    <w:rsid w:val="00687A9E"/>
    <w:rsid w:val="0069002D"/>
    <w:rsid w:val="006908BC"/>
    <w:rsid w:val="00694F98"/>
    <w:rsid w:val="00696743"/>
    <w:rsid w:val="006A5209"/>
    <w:rsid w:val="006A54B9"/>
    <w:rsid w:val="006B091C"/>
    <w:rsid w:val="006B2272"/>
    <w:rsid w:val="006B2626"/>
    <w:rsid w:val="006B6EE7"/>
    <w:rsid w:val="006B7E96"/>
    <w:rsid w:val="006C63F7"/>
    <w:rsid w:val="006C66B7"/>
    <w:rsid w:val="006D026D"/>
    <w:rsid w:val="006D29F5"/>
    <w:rsid w:val="006D5469"/>
    <w:rsid w:val="006E71B3"/>
    <w:rsid w:val="006F0975"/>
    <w:rsid w:val="006F3B8D"/>
    <w:rsid w:val="006F3FD9"/>
    <w:rsid w:val="006F4908"/>
    <w:rsid w:val="00700A6E"/>
    <w:rsid w:val="00701933"/>
    <w:rsid w:val="00705168"/>
    <w:rsid w:val="00707CBD"/>
    <w:rsid w:val="00707CDB"/>
    <w:rsid w:val="00711DCC"/>
    <w:rsid w:val="00712201"/>
    <w:rsid w:val="0071481E"/>
    <w:rsid w:val="00714C95"/>
    <w:rsid w:val="00714DB4"/>
    <w:rsid w:val="007150B1"/>
    <w:rsid w:val="0071655A"/>
    <w:rsid w:val="00720051"/>
    <w:rsid w:val="0072112F"/>
    <w:rsid w:val="007212E3"/>
    <w:rsid w:val="0072624D"/>
    <w:rsid w:val="0073025A"/>
    <w:rsid w:val="00731A17"/>
    <w:rsid w:val="00732F50"/>
    <w:rsid w:val="00734A25"/>
    <w:rsid w:val="00736BE9"/>
    <w:rsid w:val="00742B73"/>
    <w:rsid w:val="00742C49"/>
    <w:rsid w:val="007457DC"/>
    <w:rsid w:val="00747EB3"/>
    <w:rsid w:val="00750212"/>
    <w:rsid w:val="00750B8A"/>
    <w:rsid w:val="0075198C"/>
    <w:rsid w:val="00754B12"/>
    <w:rsid w:val="0076004E"/>
    <w:rsid w:val="0076119B"/>
    <w:rsid w:val="0076338B"/>
    <w:rsid w:val="00765C49"/>
    <w:rsid w:val="00775EA3"/>
    <w:rsid w:val="00776924"/>
    <w:rsid w:val="00777359"/>
    <w:rsid w:val="00783959"/>
    <w:rsid w:val="007840CE"/>
    <w:rsid w:val="00785B67"/>
    <w:rsid w:val="007866EA"/>
    <w:rsid w:val="00787341"/>
    <w:rsid w:val="007917DD"/>
    <w:rsid w:val="00793DA7"/>
    <w:rsid w:val="007960F5"/>
    <w:rsid w:val="007A14F2"/>
    <w:rsid w:val="007B2C4C"/>
    <w:rsid w:val="007B432D"/>
    <w:rsid w:val="007B5995"/>
    <w:rsid w:val="007C0630"/>
    <w:rsid w:val="007C0ED9"/>
    <w:rsid w:val="007C4592"/>
    <w:rsid w:val="007C4EBB"/>
    <w:rsid w:val="007C7071"/>
    <w:rsid w:val="007C7931"/>
    <w:rsid w:val="007D0F26"/>
    <w:rsid w:val="007D33DA"/>
    <w:rsid w:val="007D5781"/>
    <w:rsid w:val="007D64EC"/>
    <w:rsid w:val="007D64ED"/>
    <w:rsid w:val="007E112A"/>
    <w:rsid w:val="007F03CD"/>
    <w:rsid w:val="007F5213"/>
    <w:rsid w:val="007F54D9"/>
    <w:rsid w:val="007F5AFB"/>
    <w:rsid w:val="00800787"/>
    <w:rsid w:val="00801C91"/>
    <w:rsid w:val="00804B71"/>
    <w:rsid w:val="00805997"/>
    <w:rsid w:val="008067B1"/>
    <w:rsid w:val="00806EAC"/>
    <w:rsid w:val="008072E7"/>
    <w:rsid w:val="00807E34"/>
    <w:rsid w:val="0081484A"/>
    <w:rsid w:val="00817A5C"/>
    <w:rsid w:val="00820DC4"/>
    <w:rsid w:val="0082290F"/>
    <w:rsid w:val="00826681"/>
    <w:rsid w:val="00830200"/>
    <w:rsid w:val="0083186B"/>
    <w:rsid w:val="00831F26"/>
    <w:rsid w:val="00832B4F"/>
    <w:rsid w:val="00835131"/>
    <w:rsid w:val="008450FE"/>
    <w:rsid w:val="00855326"/>
    <w:rsid w:val="00856627"/>
    <w:rsid w:val="00856D6D"/>
    <w:rsid w:val="00875B7C"/>
    <w:rsid w:val="00877292"/>
    <w:rsid w:val="0088558F"/>
    <w:rsid w:val="00885E7B"/>
    <w:rsid w:val="00891558"/>
    <w:rsid w:val="00891746"/>
    <w:rsid w:val="00895758"/>
    <w:rsid w:val="008A2064"/>
    <w:rsid w:val="008A2FD4"/>
    <w:rsid w:val="008A3A19"/>
    <w:rsid w:val="008A4435"/>
    <w:rsid w:val="008B0405"/>
    <w:rsid w:val="008B0DBF"/>
    <w:rsid w:val="008B505B"/>
    <w:rsid w:val="008B54EA"/>
    <w:rsid w:val="008B7C4F"/>
    <w:rsid w:val="008C0D59"/>
    <w:rsid w:val="008C0EF0"/>
    <w:rsid w:val="008C1725"/>
    <w:rsid w:val="008C1AC1"/>
    <w:rsid w:val="008C25FD"/>
    <w:rsid w:val="008C6A3C"/>
    <w:rsid w:val="008C764E"/>
    <w:rsid w:val="008D1A6D"/>
    <w:rsid w:val="008D2ED8"/>
    <w:rsid w:val="008D4B0C"/>
    <w:rsid w:val="008D693D"/>
    <w:rsid w:val="008D71C0"/>
    <w:rsid w:val="008D748B"/>
    <w:rsid w:val="008E2D64"/>
    <w:rsid w:val="008E453F"/>
    <w:rsid w:val="008E45D0"/>
    <w:rsid w:val="008E6954"/>
    <w:rsid w:val="008E7EB0"/>
    <w:rsid w:val="008F0098"/>
    <w:rsid w:val="008F0BE4"/>
    <w:rsid w:val="008F2E3D"/>
    <w:rsid w:val="008F5029"/>
    <w:rsid w:val="008F531B"/>
    <w:rsid w:val="00900713"/>
    <w:rsid w:val="00903B51"/>
    <w:rsid w:val="00910E7B"/>
    <w:rsid w:val="0091257C"/>
    <w:rsid w:val="00920C87"/>
    <w:rsid w:val="009210BB"/>
    <w:rsid w:val="0092257E"/>
    <w:rsid w:val="0093055C"/>
    <w:rsid w:val="00931BBE"/>
    <w:rsid w:val="00932ACC"/>
    <w:rsid w:val="00942F68"/>
    <w:rsid w:val="009441FE"/>
    <w:rsid w:val="00944977"/>
    <w:rsid w:val="00945DEA"/>
    <w:rsid w:val="00947D05"/>
    <w:rsid w:val="009518EB"/>
    <w:rsid w:val="00953FA6"/>
    <w:rsid w:val="009544F4"/>
    <w:rsid w:val="00954F8F"/>
    <w:rsid w:val="00960A43"/>
    <w:rsid w:val="0096662B"/>
    <w:rsid w:val="00966F53"/>
    <w:rsid w:val="00974202"/>
    <w:rsid w:val="00975BD3"/>
    <w:rsid w:val="00975C4C"/>
    <w:rsid w:val="009814FC"/>
    <w:rsid w:val="00982481"/>
    <w:rsid w:val="009930D8"/>
    <w:rsid w:val="0099531D"/>
    <w:rsid w:val="009A26A3"/>
    <w:rsid w:val="009A3A46"/>
    <w:rsid w:val="009A4EB1"/>
    <w:rsid w:val="009A5429"/>
    <w:rsid w:val="009A7918"/>
    <w:rsid w:val="009B34F0"/>
    <w:rsid w:val="009B575C"/>
    <w:rsid w:val="009B70EA"/>
    <w:rsid w:val="009B727A"/>
    <w:rsid w:val="009C0C09"/>
    <w:rsid w:val="009C3AB3"/>
    <w:rsid w:val="009C68FE"/>
    <w:rsid w:val="009D3AE7"/>
    <w:rsid w:val="009E3666"/>
    <w:rsid w:val="009E5B18"/>
    <w:rsid w:val="009E642D"/>
    <w:rsid w:val="009E6F49"/>
    <w:rsid w:val="009F3E45"/>
    <w:rsid w:val="00A02773"/>
    <w:rsid w:val="00A02B13"/>
    <w:rsid w:val="00A04B22"/>
    <w:rsid w:val="00A061F4"/>
    <w:rsid w:val="00A0793F"/>
    <w:rsid w:val="00A118E3"/>
    <w:rsid w:val="00A127E8"/>
    <w:rsid w:val="00A12CD4"/>
    <w:rsid w:val="00A14FB8"/>
    <w:rsid w:val="00A155F9"/>
    <w:rsid w:val="00A17D80"/>
    <w:rsid w:val="00A2171C"/>
    <w:rsid w:val="00A25FB6"/>
    <w:rsid w:val="00A40006"/>
    <w:rsid w:val="00A4179A"/>
    <w:rsid w:val="00A422B8"/>
    <w:rsid w:val="00A43413"/>
    <w:rsid w:val="00A51CC9"/>
    <w:rsid w:val="00A56DBD"/>
    <w:rsid w:val="00A62AED"/>
    <w:rsid w:val="00A646F1"/>
    <w:rsid w:val="00A66CB3"/>
    <w:rsid w:val="00A730CB"/>
    <w:rsid w:val="00A74764"/>
    <w:rsid w:val="00A74BD5"/>
    <w:rsid w:val="00A75BA6"/>
    <w:rsid w:val="00A76F90"/>
    <w:rsid w:val="00A775C0"/>
    <w:rsid w:val="00A77769"/>
    <w:rsid w:val="00A8083D"/>
    <w:rsid w:val="00A82E30"/>
    <w:rsid w:val="00A834E0"/>
    <w:rsid w:val="00A853A8"/>
    <w:rsid w:val="00A86463"/>
    <w:rsid w:val="00A86917"/>
    <w:rsid w:val="00A87F32"/>
    <w:rsid w:val="00A9124C"/>
    <w:rsid w:val="00A92EC1"/>
    <w:rsid w:val="00A937C4"/>
    <w:rsid w:val="00A94B98"/>
    <w:rsid w:val="00A9514B"/>
    <w:rsid w:val="00A95C95"/>
    <w:rsid w:val="00AA5876"/>
    <w:rsid w:val="00AA68B4"/>
    <w:rsid w:val="00AB34AE"/>
    <w:rsid w:val="00AC3190"/>
    <w:rsid w:val="00AC3C34"/>
    <w:rsid w:val="00AC7A12"/>
    <w:rsid w:val="00AD2DBD"/>
    <w:rsid w:val="00AD4F5A"/>
    <w:rsid w:val="00AE1A6F"/>
    <w:rsid w:val="00AE51B3"/>
    <w:rsid w:val="00AF4B3A"/>
    <w:rsid w:val="00AF69FC"/>
    <w:rsid w:val="00B025B6"/>
    <w:rsid w:val="00B027D1"/>
    <w:rsid w:val="00B058FC"/>
    <w:rsid w:val="00B10C7A"/>
    <w:rsid w:val="00B12B90"/>
    <w:rsid w:val="00B1512A"/>
    <w:rsid w:val="00B15B86"/>
    <w:rsid w:val="00B17526"/>
    <w:rsid w:val="00B20292"/>
    <w:rsid w:val="00B20491"/>
    <w:rsid w:val="00B24F16"/>
    <w:rsid w:val="00B26E5F"/>
    <w:rsid w:val="00B32722"/>
    <w:rsid w:val="00B416AA"/>
    <w:rsid w:val="00B41B7D"/>
    <w:rsid w:val="00B41EDC"/>
    <w:rsid w:val="00B43ACA"/>
    <w:rsid w:val="00B443A5"/>
    <w:rsid w:val="00B47B63"/>
    <w:rsid w:val="00B51159"/>
    <w:rsid w:val="00B54D39"/>
    <w:rsid w:val="00B5518F"/>
    <w:rsid w:val="00B557AA"/>
    <w:rsid w:val="00B55A5E"/>
    <w:rsid w:val="00B605A5"/>
    <w:rsid w:val="00B6175C"/>
    <w:rsid w:val="00B66F8B"/>
    <w:rsid w:val="00B6737F"/>
    <w:rsid w:val="00B71AE2"/>
    <w:rsid w:val="00B7211E"/>
    <w:rsid w:val="00B7672E"/>
    <w:rsid w:val="00B8023E"/>
    <w:rsid w:val="00B82C06"/>
    <w:rsid w:val="00B84660"/>
    <w:rsid w:val="00B8697C"/>
    <w:rsid w:val="00B96063"/>
    <w:rsid w:val="00B96496"/>
    <w:rsid w:val="00BA097E"/>
    <w:rsid w:val="00BA244C"/>
    <w:rsid w:val="00BA3772"/>
    <w:rsid w:val="00BA466B"/>
    <w:rsid w:val="00BA64C1"/>
    <w:rsid w:val="00BA6B2D"/>
    <w:rsid w:val="00BA763A"/>
    <w:rsid w:val="00BB485D"/>
    <w:rsid w:val="00BB5FCE"/>
    <w:rsid w:val="00BD0277"/>
    <w:rsid w:val="00BD4FC7"/>
    <w:rsid w:val="00BD5D6A"/>
    <w:rsid w:val="00BD70D1"/>
    <w:rsid w:val="00BD71E4"/>
    <w:rsid w:val="00BD7643"/>
    <w:rsid w:val="00BE5B63"/>
    <w:rsid w:val="00BE617D"/>
    <w:rsid w:val="00BF008E"/>
    <w:rsid w:val="00BF034F"/>
    <w:rsid w:val="00BF1D3E"/>
    <w:rsid w:val="00BF686B"/>
    <w:rsid w:val="00C03766"/>
    <w:rsid w:val="00C047E1"/>
    <w:rsid w:val="00C061E4"/>
    <w:rsid w:val="00C07985"/>
    <w:rsid w:val="00C07DAF"/>
    <w:rsid w:val="00C07F53"/>
    <w:rsid w:val="00C10B93"/>
    <w:rsid w:val="00C21B1E"/>
    <w:rsid w:val="00C2235D"/>
    <w:rsid w:val="00C22BD2"/>
    <w:rsid w:val="00C26A2D"/>
    <w:rsid w:val="00C3147A"/>
    <w:rsid w:val="00C33E0E"/>
    <w:rsid w:val="00C35AD9"/>
    <w:rsid w:val="00C3660B"/>
    <w:rsid w:val="00C36E94"/>
    <w:rsid w:val="00C372A6"/>
    <w:rsid w:val="00C372AB"/>
    <w:rsid w:val="00C40A6E"/>
    <w:rsid w:val="00C40F67"/>
    <w:rsid w:val="00C44636"/>
    <w:rsid w:val="00C51CBE"/>
    <w:rsid w:val="00C53AEE"/>
    <w:rsid w:val="00C572E0"/>
    <w:rsid w:val="00C57303"/>
    <w:rsid w:val="00C57648"/>
    <w:rsid w:val="00C61D30"/>
    <w:rsid w:val="00C6331F"/>
    <w:rsid w:val="00C655A5"/>
    <w:rsid w:val="00C659D1"/>
    <w:rsid w:val="00C65EF6"/>
    <w:rsid w:val="00C7360C"/>
    <w:rsid w:val="00C74048"/>
    <w:rsid w:val="00C86257"/>
    <w:rsid w:val="00C908F5"/>
    <w:rsid w:val="00C934CE"/>
    <w:rsid w:val="00C9497C"/>
    <w:rsid w:val="00C9565B"/>
    <w:rsid w:val="00C96EE7"/>
    <w:rsid w:val="00CA0FC8"/>
    <w:rsid w:val="00CA18A3"/>
    <w:rsid w:val="00CA236E"/>
    <w:rsid w:val="00CB2342"/>
    <w:rsid w:val="00CB43BB"/>
    <w:rsid w:val="00CB512D"/>
    <w:rsid w:val="00CB5F39"/>
    <w:rsid w:val="00CC01DB"/>
    <w:rsid w:val="00CC10B7"/>
    <w:rsid w:val="00CC2844"/>
    <w:rsid w:val="00CC2AB5"/>
    <w:rsid w:val="00CC360A"/>
    <w:rsid w:val="00CC3A04"/>
    <w:rsid w:val="00CD643E"/>
    <w:rsid w:val="00CD6AA0"/>
    <w:rsid w:val="00CE19F5"/>
    <w:rsid w:val="00CE2657"/>
    <w:rsid w:val="00CE43E4"/>
    <w:rsid w:val="00CF31A1"/>
    <w:rsid w:val="00CF466A"/>
    <w:rsid w:val="00D03C91"/>
    <w:rsid w:val="00D06B45"/>
    <w:rsid w:val="00D07184"/>
    <w:rsid w:val="00D07EB1"/>
    <w:rsid w:val="00D11693"/>
    <w:rsid w:val="00D20C3A"/>
    <w:rsid w:val="00D352E5"/>
    <w:rsid w:val="00D3679B"/>
    <w:rsid w:val="00D36828"/>
    <w:rsid w:val="00D40CCA"/>
    <w:rsid w:val="00D419D5"/>
    <w:rsid w:val="00D435FD"/>
    <w:rsid w:val="00D4373E"/>
    <w:rsid w:val="00D4585C"/>
    <w:rsid w:val="00D45AE2"/>
    <w:rsid w:val="00D46647"/>
    <w:rsid w:val="00D46C7D"/>
    <w:rsid w:val="00D52F55"/>
    <w:rsid w:val="00D568A9"/>
    <w:rsid w:val="00D604D6"/>
    <w:rsid w:val="00D61CFF"/>
    <w:rsid w:val="00D63CB2"/>
    <w:rsid w:val="00D70BA7"/>
    <w:rsid w:val="00D7533E"/>
    <w:rsid w:val="00D75A2B"/>
    <w:rsid w:val="00D75BF4"/>
    <w:rsid w:val="00D80AB3"/>
    <w:rsid w:val="00D81DB4"/>
    <w:rsid w:val="00D829B2"/>
    <w:rsid w:val="00D83D36"/>
    <w:rsid w:val="00D87004"/>
    <w:rsid w:val="00D870CD"/>
    <w:rsid w:val="00D912EF"/>
    <w:rsid w:val="00D93CA4"/>
    <w:rsid w:val="00D96D29"/>
    <w:rsid w:val="00D96FCD"/>
    <w:rsid w:val="00DA364E"/>
    <w:rsid w:val="00DA6A9E"/>
    <w:rsid w:val="00DA7969"/>
    <w:rsid w:val="00DB0414"/>
    <w:rsid w:val="00DB1601"/>
    <w:rsid w:val="00DB2E20"/>
    <w:rsid w:val="00DB3BD6"/>
    <w:rsid w:val="00DB3CA1"/>
    <w:rsid w:val="00DB4C41"/>
    <w:rsid w:val="00DC2B07"/>
    <w:rsid w:val="00DC47AE"/>
    <w:rsid w:val="00DC7145"/>
    <w:rsid w:val="00DD3FBD"/>
    <w:rsid w:val="00DD6510"/>
    <w:rsid w:val="00DD658D"/>
    <w:rsid w:val="00DD6947"/>
    <w:rsid w:val="00DE03B3"/>
    <w:rsid w:val="00DE37D8"/>
    <w:rsid w:val="00DE59D1"/>
    <w:rsid w:val="00DF1F3C"/>
    <w:rsid w:val="00DF473B"/>
    <w:rsid w:val="00DF63A3"/>
    <w:rsid w:val="00E0267B"/>
    <w:rsid w:val="00E03B6E"/>
    <w:rsid w:val="00E06C2E"/>
    <w:rsid w:val="00E12343"/>
    <w:rsid w:val="00E12823"/>
    <w:rsid w:val="00E1283B"/>
    <w:rsid w:val="00E24A0B"/>
    <w:rsid w:val="00E25135"/>
    <w:rsid w:val="00E255D6"/>
    <w:rsid w:val="00E25915"/>
    <w:rsid w:val="00E309E5"/>
    <w:rsid w:val="00E30A39"/>
    <w:rsid w:val="00E32BB5"/>
    <w:rsid w:val="00E40096"/>
    <w:rsid w:val="00E4118C"/>
    <w:rsid w:val="00E4191B"/>
    <w:rsid w:val="00E423E9"/>
    <w:rsid w:val="00E4400C"/>
    <w:rsid w:val="00E44E01"/>
    <w:rsid w:val="00E4538B"/>
    <w:rsid w:val="00E45AD1"/>
    <w:rsid w:val="00E46293"/>
    <w:rsid w:val="00E46E9B"/>
    <w:rsid w:val="00E47755"/>
    <w:rsid w:val="00E518DF"/>
    <w:rsid w:val="00E573B4"/>
    <w:rsid w:val="00E61252"/>
    <w:rsid w:val="00E70102"/>
    <w:rsid w:val="00E70E1C"/>
    <w:rsid w:val="00E71076"/>
    <w:rsid w:val="00E7242C"/>
    <w:rsid w:val="00E7377C"/>
    <w:rsid w:val="00E75B34"/>
    <w:rsid w:val="00E75B62"/>
    <w:rsid w:val="00E81231"/>
    <w:rsid w:val="00E81450"/>
    <w:rsid w:val="00E823FD"/>
    <w:rsid w:val="00E9031A"/>
    <w:rsid w:val="00E93845"/>
    <w:rsid w:val="00E93CFD"/>
    <w:rsid w:val="00E94133"/>
    <w:rsid w:val="00EA166D"/>
    <w:rsid w:val="00EA6EDA"/>
    <w:rsid w:val="00EA735B"/>
    <w:rsid w:val="00EB0CEB"/>
    <w:rsid w:val="00EB2DF0"/>
    <w:rsid w:val="00EB758B"/>
    <w:rsid w:val="00EC0581"/>
    <w:rsid w:val="00EC1F3D"/>
    <w:rsid w:val="00EC3012"/>
    <w:rsid w:val="00EC4690"/>
    <w:rsid w:val="00EC5863"/>
    <w:rsid w:val="00ED4497"/>
    <w:rsid w:val="00EE044B"/>
    <w:rsid w:val="00EE3E15"/>
    <w:rsid w:val="00EF3174"/>
    <w:rsid w:val="00EF689F"/>
    <w:rsid w:val="00F00523"/>
    <w:rsid w:val="00F11637"/>
    <w:rsid w:val="00F12439"/>
    <w:rsid w:val="00F13EE3"/>
    <w:rsid w:val="00F14F93"/>
    <w:rsid w:val="00F16C8B"/>
    <w:rsid w:val="00F2067E"/>
    <w:rsid w:val="00F23495"/>
    <w:rsid w:val="00F255DA"/>
    <w:rsid w:val="00F27766"/>
    <w:rsid w:val="00F30404"/>
    <w:rsid w:val="00F30CB0"/>
    <w:rsid w:val="00F3684C"/>
    <w:rsid w:val="00F40571"/>
    <w:rsid w:val="00F41707"/>
    <w:rsid w:val="00F43AB9"/>
    <w:rsid w:val="00F4400B"/>
    <w:rsid w:val="00F444B9"/>
    <w:rsid w:val="00F446A8"/>
    <w:rsid w:val="00F45547"/>
    <w:rsid w:val="00F4604B"/>
    <w:rsid w:val="00F46B9B"/>
    <w:rsid w:val="00F47011"/>
    <w:rsid w:val="00F50014"/>
    <w:rsid w:val="00F55045"/>
    <w:rsid w:val="00F5528D"/>
    <w:rsid w:val="00F56497"/>
    <w:rsid w:val="00F571F9"/>
    <w:rsid w:val="00F60CB0"/>
    <w:rsid w:val="00F63D64"/>
    <w:rsid w:val="00F75388"/>
    <w:rsid w:val="00F80253"/>
    <w:rsid w:val="00F82D58"/>
    <w:rsid w:val="00F834A8"/>
    <w:rsid w:val="00F86678"/>
    <w:rsid w:val="00F92915"/>
    <w:rsid w:val="00F97BD9"/>
    <w:rsid w:val="00FA2D90"/>
    <w:rsid w:val="00FA3926"/>
    <w:rsid w:val="00FA3E8A"/>
    <w:rsid w:val="00FA4336"/>
    <w:rsid w:val="00FA46E9"/>
    <w:rsid w:val="00FB1D3A"/>
    <w:rsid w:val="00FB3950"/>
    <w:rsid w:val="00FB3D11"/>
    <w:rsid w:val="00FB6589"/>
    <w:rsid w:val="00FC14CA"/>
    <w:rsid w:val="00FC2772"/>
    <w:rsid w:val="00FC3B2A"/>
    <w:rsid w:val="00FC7155"/>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7169191">
      <w:bodyDiv w:val="1"/>
      <w:marLeft w:val="0"/>
      <w:marRight w:val="0"/>
      <w:marTop w:val="0"/>
      <w:marBottom w:val="0"/>
      <w:divBdr>
        <w:top w:val="none" w:sz="0" w:space="0" w:color="auto"/>
        <w:left w:val="none" w:sz="0" w:space="0" w:color="auto"/>
        <w:bottom w:val="none" w:sz="0" w:space="0" w:color="auto"/>
        <w:right w:val="none" w:sz="0" w:space="0" w:color="auto"/>
      </w:divBdr>
      <w:divsChild>
        <w:div w:id="116611577">
          <w:marLeft w:val="0"/>
          <w:marRight w:val="0"/>
          <w:marTop w:val="0"/>
          <w:marBottom w:val="0"/>
          <w:divBdr>
            <w:top w:val="none" w:sz="0" w:space="0" w:color="auto"/>
            <w:left w:val="none" w:sz="0" w:space="0" w:color="auto"/>
            <w:bottom w:val="none" w:sz="0" w:space="0" w:color="auto"/>
            <w:right w:val="none" w:sz="0" w:space="0" w:color="auto"/>
          </w:divBdr>
        </w:div>
      </w:divsChild>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91755569">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ECD78-10AA-46AE-A5A4-A5274F74B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16</Pages>
  <Words>7275</Words>
  <Characters>40014</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92</cp:revision>
  <cp:lastPrinted>2019-12-09T18:09:00Z</cp:lastPrinted>
  <dcterms:created xsi:type="dcterms:W3CDTF">2020-10-01T21:05:00Z</dcterms:created>
  <dcterms:modified xsi:type="dcterms:W3CDTF">2023-01-25T17:13:00Z</dcterms:modified>
</cp:coreProperties>
</file>