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D3C" w:rsidRDefault="006B0D3C" w:rsidP="006B0D3C"/>
    <w:p w:rsidR="006B0D3C" w:rsidRDefault="006B0D3C" w:rsidP="006B0D3C"/>
    <w:p w:rsidR="004E4BBF" w:rsidRPr="00B9339C" w:rsidRDefault="004E4BBF" w:rsidP="004E4BBF">
      <w:pPr>
        <w:pStyle w:val="Encabezado"/>
        <w:spacing w:line="360" w:lineRule="auto"/>
        <w:ind w:left="4248"/>
        <w:jc w:val="both"/>
        <w:rPr>
          <w:rFonts w:ascii="Arial" w:hAnsi="Arial" w:cs="Arial"/>
          <w:b/>
        </w:rPr>
      </w:pPr>
      <w:r w:rsidRPr="00B9339C">
        <w:rPr>
          <w:rFonts w:ascii="Arial" w:hAnsi="Arial" w:cs="Arial"/>
          <w:b/>
        </w:rPr>
        <w:t>SEXTA SALA UNITARIA DE PRIMERA INSTANCIA DEL TRIBUNAL DE JUSTICIA ADMINISTRATIVA DEL   ESTADO    DE OAXACA.</w:t>
      </w:r>
    </w:p>
    <w:p w:rsidR="004E4BBF" w:rsidRPr="00B9339C" w:rsidRDefault="004E4BBF" w:rsidP="004E4BBF">
      <w:pPr>
        <w:pStyle w:val="Encabezado"/>
        <w:spacing w:line="360" w:lineRule="auto"/>
        <w:ind w:left="4248"/>
        <w:jc w:val="both"/>
        <w:rPr>
          <w:rFonts w:ascii="Arial" w:hAnsi="Arial" w:cs="Arial"/>
          <w:b/>
        </w:rPr>
      </w:pPr>
    </w:p>
    <w:p w:rsidR="004E4BBF" w:rsidRPr="00B9339C" w:rsidRDefault="004E4BBF" w:rsidP="004E4BBF">
      <w:pPr>
        <w:pStyle w:val="Encabezado"/>
        <w:spacing w:line="360" w:lineRule="auto"/>
        <w:ind w:left="4248"/>
        <w:jc w:val="both"/>
        <w:rPr>
          <w:rFonts w:ascii="Arial" w:hAnsi="Arial" w:cs="Arial"/>
          <w:b/>
        </w:rPr>
      </w:pPr>
      <w:r w:rsidRPr="00B9339C">
        <w:rPr>
          <w:rFonts w:ascii="Arial" w:hAnsi="Arial" w:cs="Arial"/>
          <w:b/>
        </w:rPr>
        <w:t>EXPEDIENTE: 101/2018</w:t>
      </w:r>
    </w:p>
    <w:p w:rsidR="004E4BBF" w:rsidRPr="00B9339C" w:rsidRDefault="004E4BBF" w:rsidP="004E4BBF">
      <w:pPr>
        <w:pStyle w:val="Encabezado"/>
        <w:tabs>
          <w:tab w:val="clear" w:pos="4419"/>
          <w:tab w:val="center" w:pos="8931"/>
        </w:tabs>
        <w:spacing w:line="360" w:lineRule="auto"/>
        <w:jc w:val="both"/>
        <w:rPr>
          <w:rFonts w:ascii="Arial" w:hAnsi="Arial" w:cs="Arial"/>
          <w:b/>
        </w:rPr>
      </w:pPr>
    </w:p>
    <w:p w:rsidR="004E4BBF" w:rsidRPr="00B9339C" w:rsidRDefault="004E4BBF" w:rsidP="004E4BBF">
      <w:pPr>
        <w:pStyle w:val="Encabezado"/>
        <w:spacing w:line="360" w:lineRule="auto"/>
        <w:ind w:left="4248"/>
        <w:rPr>
          <w:rFonts w:ascii="Arial" w:hAnsi="Arial" w:cs="Arial"/>
          <w:b/>
        </w:rPr>
      </w:pPr>
      <w:r w:rsidRPr="00B9339C">
        <w:rPr>
          <w:rFonts w:ascii="Arial" w:hAnsi="Arial" w:cs="Arial"/>
          <w:b/>
        </w:rPr>
        <w:t xml:space="preserve">ACTOR: </w:t>
      </w:r>
      <w:r>
        <w:rPr>
          <w:rFonts w:ascii="Arial" w:hAnsi="Arial" w:cs="Arial"/>
          <w:b/>
        </w:rPr>
        <w:t>***** ***** *****.</w:t>
      </w:r>
    </w:p>
    <w:p w:rsidR="004E4BBF" w:rsidRPr="00B9339C" w:rsidRDefault="004E4BBF" w:rsidP="004E4BBF">
      <w:pPr>
        <w:pStyle w:val="Encabezado"/>
        <w:spacing w:line="360" w:lineRule="auto"/>
        <w:ind w:left="4248"/>
        <w:jc w:val="both"/>
        <w:rPr>
          <w:rFonts w:ascii="Arial" w:hAnsi="Arial" w:cs="Arial"/>
          <w:b/>
        </w:rPr>
      </w:pPr>
    </w:p>
    <w:p w:rsidR="004E4BBF" w:rsidRPr="00B9339C" w:rsidRDefault="004E4BBF" w:rsidP="004E4BBF">
      <w:pPr>
        <w:pStyle w:val="Encabezado"/>
        <w:spacing w:line="360" w:lineRule="auto"/>
        <w:ind w:left="4248"/>
        <w:jc w:val="both"/>
        <w:rPr>
          <w:rFonts w:ascii="Arial" w:hAnsi="Arial" w:cs="Arial"/>
          <w:b/>
        </w:rPr>
      </w:pPr>
      <w:r w:rsidRPr="00B9339C">
        <w:rPr>
          <w:rFonts w:ascii="Arial" w:hAnsi="Arial" w:cs="Arial"/>
          <w:b/>
        </w:rPr>
        <w:t>DEMANDADO: DIRECTORA DE INGRESOS Y RECAUDACIÓN DE LA SECRETARÍA DE FINANZAS DEL GOBIERNO DEL ESTADO DE OAXACA</w:t>
      </w:r>
    </w:p>
    <w:p w:rsidR="004E4BBF" w:rsidRPr="00B9339C" w:rsidRDefault="004E4BBF" w:rsidP="004E4BBF">
      <w:pPr>
        <w:pStyle w:val="Encabezado"/>
        <w:spacing w:line="360" w:lineRule="auto"/>
        <w:ind w:left="4248"/>
        <w:jc w:val="both"/>
        <w:rPr>
          <w:rFonts w:ascii="Arial" w:hAnsi="Arial" w:cs="Arial"/>
          <w:b/>
        </w:rPr>
      </w:pPr>
    </w:p>
    <w:p w:rsidR="004E4BBF" w:rsidRPr="00B9339C" w:rsidRDefault="004E4BBF" w:rsidP="004E4BBF">
      <w:pPr>
        <w:spacing w:after="0" w:line="360" w:lineRule="auto"/>
        <w:ind w:firstLine="567"/>
        <w:jc w:val="both"/>
        <w:rPr>
          <w:rFonts w:ascii="Arial" w:hAnsi="Arial" w:cs="Arial"/>
          <w:b/>
        </w:rPr>
      </w:pPr>
      <w:r w:rsidRPr="00B9339C">
        <w:rPr>
          <w:rFonts w:ascii="Arial" w:hAnsi="Arial" w:cs="Arial"/>
          <w:b/>
        </w:rPr>
        <w:t xml:space="preserve">OAXACA DE JUÁREZ, OAXACA A  NUEVE  DE MAYO DE  DOS MIL DIECINUEVE. - - - - - - - - - - - - - - - - - - - - - - - - - - - - - - - - - - - - - - - - - - - - - - - - - - - - - - -  </w:t>
      </w:r>
    </w:p>
    <w:p w:rsidR="004E4BBF" w:rsidRPr="00B9339C" w:rsidRDefault="004E4BBF" w:rsidP="004E4BBF">
      <w:pPr>
        <w:spacing w:after="0" w:line="360" w:lineRule="auto"/>
        <w:jc w:val="both"/>
        <w:rPr>
          <w:rFonts w:ascii="Arial" w:hAnsi="Arial" w:cs="Arial"/>
          <w:b/>
        </w:rPr>
      </w:pPr>
    </w:p>
    <w:p w:rsidR="004E4BBF" w:rsidRPr="00B9339C" w:rsidRDefault="004E4BBF" w:rsidP="004E4BBF">
      <w:pPr>
        <w:spacing w:after="0" w:line="360" w:lineRule="auto"/>
        <w:ind w:firstLine="567"/>
        <w:jc w:val="both"/>
        <w:rPr>
          <w:rFonts w:ascii="Arial" w:hAnsi="Arial" w:cs="Arial"/>
          <w:b/>
        </w:rPr>
      </w:pPr>
      <w:r w:rsidRPr="00B9339C">
        <w:rPr>
          <w:rFonts w:ascii="Arial" w:hAnsi="Arial" w:cs="Arial"/>
          <w:b/>
        </w:rPr>
        <w:t xml:space="preserve">VISTOS, </w:t>
      </w:r>
      <w:r w:rsidRPr="00B9339C">
        <w:rPr>
          <w:rFonts w:ascii="Arial" w:hAnsi="Arial" w:cs="Arial"/>
        </w:rPr>
        <w:t xml:space="preserve">para resolver los autos del juicio de nulidad de número 101/2018, promovido por </w:t>
      </w:r>
      <w:r>
        <w:rPr>
          <w:rFonts w:ascii="Arial" w:hAnsi="Arial" w:cs="Arial"/>
          <w:b/>
        </w:rPr>
        <w:t xml:space="preserve">***** ***** ***** </w:t>
      </w:r>
      <w:r w:rsidRPr="00B9339C">
        <w:rPr>
          <w:rFonts w:ascii="Arial" w:hAnsi="Arial" w:cs="Arial"/>
        </w:rPr>
        <w:t>en contra de la</w:t>
      </w:r>
      <w:r w:rsidRPr="00B9339C">
        <w:rPr>
          <w:rFonts w:ascii="Arial" w:hAnsi="Arial" w:cs="Arial"/>
          <w:b/>
        </w:rPr>
        <w:t xml:space="preserve"> DIRECTORA DE INGRESOS Y RECAUDACIÓN DE LA SECRETARÍA DE FINANZAS DEL GOBIERNO DEL ESTADO - - - - - - - - - - - - - - - - - - - - - - - - - - - - - - - - - - - - - - - - - - - - - - - - - - - - - - -  </w:t>
      </w:r>
    </w:p>
    <w:p w:rsidR="004E4BBF" w:rsidRDefault="004E4BBF" w:rsidP="004E4BBF">
      <w:pPr>
        <w:spacing w:after="0" w:line="360" w:lineRule="auto"/>
        <w:jc w:val="center"/>
        <w:rPr>
          <w:rFonts w:ascii="Arial" w:hAnsi="Arial" w:cs="Arial"/>
          <w:b/>
        </w:rPr>
      </w:pPr>
    </w:p>
    <w:p w:rsidR="004E4BBF" w:rsidRPr="00B9339C" w:rsidRDefault="004E4BBF" w:rsidP="004E4BBF">
      <w:pPr>
        <w:spacing w:after="0" w:line="360" w:lineRule="auto"/>
        <w:jc w:val="center"/>
        <w:rPr>
          <w:rFonts w:ascii="Arial" w:hAnsi="Arial" w:cs="Arial"/>
          <w:b/>
        </w:rPr>
      </w:pPr>
      <w:r w:rsidRPr="00B9339C">
        <w:rPr>
          <w:rFonts w:ascii="Arial" w:hAnsi="Arial" w:cs="Arial"/>
          <w:b/>
        </w:rPr>
        <w:t>R E S U L T A N D O:</w:t>
      </w:r>
    </w:p>
    <w:p w:rsidR="004E4BBF" w:rsidRPr="00B9339C" w:rsidRDefault="004E4BBF" w:rsidP="004E4BBF">
      <w:pPr>
        <w:spacing w:after="0" w:line="360" w:lineRule="auto"/>
        <w:rPr>
          <w:rFonts w:ascii="Arial" w:hAnsi="Arial" w:cs="Arial"/>
          <w:b/>
        </w:rPr>
      </w:pPr>
    </w:p>
    <w:p w:rsidR="004E4BBF" w:rsidRPr="00B9339C" w:rsidRDefault="004E4BBF" w:rsidP="004E4BBF">
      <w:pPr>
        <w:spacing w:after="0" w:line="360" w:lineRule="auto"/>
        <w:jc w:val="both"/>
        <w:rPr>
          <w:rFonts w:ascii="Arial" w:hAnsi="Arial" w:cs="Arial"/>
        </w:rPr>
      </w:pPr>
      <w:r w:rsidRPr="00B9339C">
        <w:rPr>
          <w:rFonts w:ascii="Arial" w:hAnsi="Arial" w:cs="Arial"/>
          <w:b/>
        </w:rPr>
        <w:tab/>
        <w:t xml:space="preserve">1°. </w:t>
      </w:r>
      <w:r w:rsidRPr="00B9339C">
        <w:rPr>
          <w:rFonts w:ascii="Arial" w:hAnsi="Arial" w:cs="Arial"/>
        </w:rPr>
        <w:t>Por escrito recibido el dieciséis de octubre</w:t>
      </w:r>
      <w:r>
        <w:rPr>
          <w:rFonts w:ascii="Arial" w:hAnsi="Arial" w:cs="Arial"/>
        </w:rPr>
        <w:t xml:space="preserve"> del </w:t>
      </w:r>
      <w:r w:rsidRPr="00B9339C">
        <w:rPr>
          <w:rFonts w:ascii="Arial" w:hAnsi="Arial" w:cs="Arial"/>
        </w:rPr>
        <w:t xml:space="preserve">dos mil dieciocho, en Oficialía de Partes Común del Tribunal de Justicia Administrativa para el Estado de Oaxaca, </w:t>
      </w:r>
      <w:r w:rsidR="00C24392">
        <w:rPr>
          <w:rFonts w:ascii="Arial" w:hAnsi="Arial" w:cs="Arial"/>
        </w:rPr>
        <w:t>***** ***** *****</w:t>
      </w:r>
      <w:bookmarkStart w:id="0" w:name="_GoBack"/>
      <w:bookmarkEnd w:id="0"/>
      <w:r w:rsidRPr="00B9339C">
        <w:rPr>
          <w:rFonts w:ascii="Arial" w:hAnsi="Arial" w:cs="Arial"/>
        </w:rPr>
        <w:t xml:space="preserve">, demandó la nulidad lisa y llana de la resolución contenida en el oficio con número de control </w:t>
      </w:r>
      <w:r>
        <w:rPr>
          <w:rFonts w:ascii="Arial" w:hAnsi="Arial" w:cs="Arial"/>
          <w:b/>
        </w:rPr>
        <w:t>***** *****</w:t>
      </w:r>
      <w:r w:rsidRPr="00B9339C">
        <w:rPr>
          <w:rFonts w:ascii="Arial" w:hAnsi="Arial" w:cs="Arial"/>
        </w:rPr>
        <w:t xml:space="preserve"> de fecha veintisiete de julio del dos mil dieciocho emitida por la Directora de Ingresos y Recaudación de la Secretaría de Finanzas del Poder Ejecutivo del Estado de Oaxaca. </w:t>
      </w:r>
      <w:r w:rsidRPr="00B9339C">
        <w:rPr>
          <w:rFonts w:ascii="Arial" w:hAnsi="Arial" w:cs="Arial"/>
          <w:b/>
        </w:rPr>
        <w:t>Por acuerdo de diecisiete de octubre del dos mil dieciocho, se admitió a trámite la demanda</w:t>
      </w:r>
      <w:r w:rsidRPr="00B9339C">
        <w:rPr>
          <w:rFonts w:ascii="Arial" w:hAnsi="Arial" w:cs="Arial"/>
        </w:rPr>
        <w:t xml:space="preserve"> en contra de la Directora de Ingresos y Recaudación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Y exhibiera copias para el traslado a su contraparte. Se admitieron a la actora las pruebas ofrecidas que consisten en: </w:t>
      </w:r>
      <w:r w:rsidRPr="00B9339C">
        <w:rPr>
          <w:rFonts w:ascii="Arial" w:hAnsi="Arial" w:cs="Arial"/>
          <w:b/>
        </w:rPr>
        <w:t>1</w:t>
      </w:r>
      <w:r w:rsidRPr="00B9339C">
        <w:rPr>
          <w:rFonts w:ascii="Arial" w:hAnsi="Arial" w:cs="Arial"/>
        </w:rPr>
        <w:t xml:space="preserve">. Original de la resolución impugnada de fecha veintisiete de julio del dos mil dieciocho, identificada con el número de control </w:t>
      </w:r>
      <w:r>
        <w:rPr>
          <w:rFonts w:ascii="Arial" w:hAnsi="Arial" w:cs="Arial"/>
          <w:b/>
        </w:rPr>
        <w:t xml:space="preserve">***** ***** </w:t>
      </w:r>
      <w:r w:rsidRPr="00B9339C">
        <w:rPr>
          <w:rFonts w:ascii="Arial" w:hAnsi="Arial" w:cs="Arial"/>
        </w:rPr>
        <w:t xml:space="preserve">, emitida por la Directora de Ingresos y Recaudación de la Secretaría de Finanzas del Gobierno del Estado de Oaxaca, manifestando bajo protesta de decir verdad que no recibió citatorio ni notificación; </w:t>
      </w:r>
      <w:r w:rsidRPr="00B9339C">
        <w:rPr>
          <w:rFonts w:ascii="Arial" w:hAnsi="Arial" w:cs="Arial"/>
          <w:b/>
        </w:rPr>
        <w:t>2.</w:t>
      </w:r>
      <w:r w:rsidRPr="00B9339C">
        <w:rPr>
          <w:rFonts w:ascii="Arial" w:hAnsi="Arial" w:cs="Arial"/>
        </w:rPr>
        <w:t xml:space="preserve"> La ins</w:t>
      </w:r>
      <w:r>
        <w:rPr>
          <w:rFonts w:ascii="Arial" w:hAnsi="Arial" w:cs="Arial"/>
        </w:rPr>
        <w:t xml:space="preserve">trumental de actuaciones, </w:t>
      </w:r>
      <w:r>
        <w:rPr>
          <w:rFonts w:ascii="Arial" w:hAnsi="Arial" w:cs="Arial"/>
        </w:rPr>
        <w:lastRenderedPageBreak/>
        <w:t>consi</w:t>
      </w:r>
      <w:r w:rsidRPr="00B9339C">
        <w:rPr>
          <w:rFonts w:ascii="Arial" w:hAnsi="Arial" w:cs="Arial"/>
        </w:rPr>
        <w:t xml:space="preserve">stente en todo lo que favorezca a sus intereses; </w:t>
      </w:r>
      <w:r w:rsidRPr="00B9339C">
        <w:rPr>
          <w:rFonts w:ascii="Arial" w:hAnsi="Arial" w:cs="Arial"/>
          <w:b/>
        </w:rPr>
        <w:t>3.</w:t>
      </w:r>
      <w:r w:rsidRPr="00B9339C">
        <w:rPr>
          <w:rFonts w:ascii="Arial" w:hAnsi="Arial" w:cs="Arial"/>
        </w:rPr>
        <w:t xml:space="preserve"> La presuncional legal y humana. Probanzas admitidas de conformidad con los artículos 188 y 189 de la Ley de Procedimiento y Justicia Administrativa del Estado de Oaxaca. - - - - - - - - - - - - - - - - - - - - - - - - - - - - - - - - - - - - - - </w:t>
      </w:r>
    </w:p>
    <w:p w:rsidR="004E4BBF" w:rsidRPr="00B9339C" w:rsidRDefault="004E4BBF" w:rsidP="004E4BBF">
      <w:pPr>
        <w:spacing w:after="0" w:line="360" w:lineRule="auto"/>
        <w:jc w:val="both"/>
        <w:rPr>
          <w:rFonts w:ascii="Arial" w:hAnsi="Arial" w:cs="Arial"/>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b/>
        </w:rPr>
        <w:t xml:space="preserve">2°. </w:t>
      </w:r>
      <w:r w:rsidRPr="00B9339C">
        <w:rPr>
          <w:rFonts w:ascii="Arial" w:hAnsi="Arial" w:cs="Arial"/>
        </w:rPr>
        <w:t xml:space="preserve">Mediante </w:t>
      </w:r>
      <w:r w:rsidRPr="00B9339C">
        <w:rPr>
          <w:rFonts w:ascii="Arial" w:hAnsi="Arial" w:cs="Arial"/>
          <w:b/>
        </w:rPr>
        <w:t>proveído de veintiocho de enero de dos mil diecinueve</w:t>
      </w:r>
      <w:r w:rsidRPr="00B9339C">
        <w:rPr>
          <w:rFonts w:ascii="Arial" w:hAnsi="Arial" w:cs="Arial"/>
        </w:rPr>
        <w:t>,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w:t>
      </w:r>
      <w:r w:rsidRPr="00B9339C">
        <w:rPr>
          <w:rFonts w:ascii="Arial" w:hAnsi="Arial" w:cs="Arial"/>
          <w:b/>
        </w:rPr>
        <w:t xml:space="preserve"> </w:t>
      </w:r>
      <w:r w:rsidRPr="00B9339C">
        <w:rPr>
          <w:rFonts w:ascii="Arial" w:hAnsi="Arial" w:cs="Arial"/>
        </w:rPr>
        <w:t xml:space="preserve">asimismo, se tuvo por recibido el oficio S.F./P.F./D.C./J.R./6743/2018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9339C">
        <w:rPr>
          <w:rFonts w:ascii="Arial" w:hAnsi="Arial" w:cs="Arial"/>
          <w:b/>
          <w:bCs/>
          <w:szCs w:val="24"/>
        </w:rPr>
        <w:t>1.</w:t>
      </w:r>
      <w:r w:rsidRPr="00B9339C">
        <w:rPr>
          <w:rFonts w:ascii="Arial" w:hAnsi="Arial" w:cs="Arial"/>
          <w:bCs/>
          <w:szCs w:val="24"/>
        </w:rPr>
        <w:t xml:space="preserve"> Copia certificada de la multa con número de control </w:t>
      </w:r>
      <w:r>
        <w:rPr>
          <w:rFonts w:ascii="Arial" w:hAnsi="Arial" w:cs="Arial"/>
          <w:b/>
        </w:rPr>
        <w:t xml:space="preserve">***** ***** </w:t>
      </w:r>
      <w:r w:rsidRPr="00B9339C">
        <w:rPr>
          <w:rFonts w:ascii="Arial" w:hAnsi="Arial" w:cs="Arial"/>
          <w:bCs/>
          <w:szCs w:val="24"/>
        </w:rPr>
        <w:t>;</w:t>
      </w:r>
      <w:r w:rsidRPr="00B9339C">
        <w:rPr>
          <w:rFonts w:ascii="Arial" w:hAnsi="Arial" w:cs="Arial"/>
          <w:b/>
          <w:bCs/>
          <w:szCs w:val="24"/>
        </w:rPr>
        <w:t xml:space="preserve"> 2.</w:t>
      </w:r>
      <w:r w:rsidRPr="00B9339C">
        <w:rPr>
          <w:rFonts w:ascii="Arial" w:hAnsi="Arial" w:cs="Arial"/>
          <w:bCs/>
          <w:szCs w:val="24"/>
        </w:rPr>
        <w:t xml:space="preserve"> La presuncional legal y humana</w:t>
      </w:r>
      <w:r w:rsidRPr="00B9339C">
        <w:rPr>
          <w:rFonts w:ascii="Arial" w:hAnsi="Arial" w:cs="Arial"/>
        </w:rPr>
        <w:t xml:space="preserve">. </w:t>
      </w:r>
      <w:r w:rsidRPr="00B9339C">
        <w:rPr>
          <w:rFonts w:ascii="Arial" w:hAnsi="Arial" w:cs="Arial"/>
          <w:b/>
        </w:rPr>
        <w:t>3.</w:t>
      </w:r>
      <w:r w:rsidRPr="00B9339C">
        <w:rPr>
          <w:rFonts w:ascii="Arial" w:hAnsi="Arial" w:cs="Arial"/>
        </w:rPr>
        <w:t xml:space="preserve"> La instrumental de actuaciones, consistente en todo lo actuado y en lo que le favorezca. Por otra parte en atención a las pruebas ofrecidas por la parte actora, esta Sala consideró procedente la ampliación de demanda y se requirió a la parte actora para que en el plazo de cinco días realizara su ampliación de demanda. - - - -</w:t>
      </w:r>
      <w:r>
        <w:rPr>
          <w:rFonts w:ascii="Arial" w:hAnsi="Arial" w:cs="Arial"/>
        </w:rPr>
        <w:t xml:space="preserve"> - - - - - - - - - - - - - - - - - - - - - - - - - - - - - - - - - - -</w:t>
      </w:r>
    </w:p>
    <w:p w:rsidR="004E4BBF" w:rsidRPr="00B9339C" w:rsidRDefault="004E4BBF" w:rsidP="004E4BBF">
      <w:pPr>
        <w:spacing w:after="0" w:line="360" w:lineRule="auto"/>
        <w:ind w:firstLine="567"/>
        <w:jc w:val="both"/>
        <w:rPr>
          <w:rFonts w:ascii="Arial" w:hAnsi="Arial" w:cs="Arial"/>
          <w:b/>
        </w:rPr>
      </w:pPr>
    </w:p>
    <w:p w:rsidR="004E4BBF" w:rsidRPr="00B9339C" w:rsidRDefault="004E4BBF" w:rsidP="004E4BBF">
      <w:pPr>
        <w:spacing w:after="0" w:line="360" w:lineRule="auto"/>
        <w:ind w:firstLine="567"/>
        <w:jc w:val="both"/>
        <w:rPr>
          <w:rFonts w:ascii="Arial" w:hAnsi="Arial" w:cs="Arial"/>
          <w:b/>
        </w:rPr>
      </w:pPr>
      <w:r w:rsidRPr="00B9339C">
        <w:rPr>
          <w:rFonts w:ascii="Arial" w:hAnsi="Arial" w:cs="Arial"/>
          <w:b/>
        </w:rPr>
        <w:t xml:space="preserve">3°. </w:t>
      </w:r>
      <w:r w:rsidRPr="00B9339C">
        <w:rPr>
          <w:rFonts w:ascii="Arial" w:hAnsi="Arial" w:cs="Arial"/>
        </w:rPr>
        <w:t xml:space="preserve">Mediante acuerdo de veintiséis de marzo del dos mil diecinueve, se advirtió que visto el computo de término realizado por el Secretario de Acuerdos de esta Sala, se constata que feneció el plazo concedido, para que la parte actora hubiere ampliado su demanda, consecuentemente se le tuvo por precluído su derecho para ampliar su demanda. Es entonces que al no haber ampliación de demanda, no existen argumentos y pruebas que refutar, por lo que no es procedente concederle a la autoridad demandada contestación de ampliación. Y por otra parte se fijó hora y fecha para la celebración de la audiencia final. - - - - - - - - - - - - - - - - - - - - - - - - - - - - - - - - - - - - - - - - - - - - - - - - - - - - - - </w:t>
      </w:r>
      <w:r>
        <w:rPr>
          <w:rFonts w:ascii="Arial" w:hAnsi="Arial" w:cs="Arial"/>
        </w:rPr>
        <w:t>- - - - - - - - - - - -</w:t>
      </w:r>
    </w:p>
    <w:p w:rsidR="004E4BBF" w:rsidRPr="00B9339C" w:rsidRDefault="004E4BBF" w:rsidP="004E4BBF">
      <w:pPr>
        <w:spacing w:after="0" w:line="360" w:lineRule="auto"/>
        <w:ind w:firstLine="567"/>
        <w:jc w:val="both"/>
        <w:rPr>
          <w:rFonts w:ascii="Arial" w:hAnsi="Arial" w:cs="Arial"/>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b/>
        </w:rPr>
        <w:t>4°.</w:t>
      </w:r>
      <w:r w:rsidRPr="00B9339C">
        <w:rPr>
          <w:rFonts w:ascii="Arial" w:hAnsi="Arial" w:cs="Arial"/>
        </w:rPr>
        <w:t xml:space="preserve"> Con fecha veinticinco de abril del dos mil diecinueve, siendo las once hora, tuvo verificativo la Audiencia Final, misma que se celebró sin comparecencia de las partes ni de persona alguna que legalmente las representara; se abrió el periodo de desahogo de pruebas donde el Titular de esta Sexta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 - - - - - -   </w:t>
      </w:r>
    </w:p>
    <w:p w:rsidR="004E4BBF" w:rsidRPr="00B9339C" w:rsidRDefault="004E4BBF" w:rsidP="004E4BBF">
      <w:pPr>
        <w:spacing w:after="0" w:line="360" w:lineRule="auto"/>
        <w:ind w:firstLine="708"/>
        <w:jc w:val="both"/>
        <w:rPr>
          <w:rFonts w:ascii="Arial" w:hAnsi="Arial" w:cs="Arial"/>
        </w:rPr>
      </w:pPr>
    </w:p>
    <w:p w:rsidR="004E4BBF" w:rsidRPr="00B9339C" w:rsidRDefault="004E4BBF" w:rsidP="004E4BBF">
      <w:pPr>
        <w:spacing w:after="0" w:line="360" w:lineRule="auto"/>
        <w:jc w:val="center"/>
        <w:rPr>
          <w:rFonts w:ascii="Arial" w:hAnsi="Arial" w:cs="Arial"/>
          <w:b/>
        </w:rPr>
      </w:pPr>
      <w:r w:rsidRPr="00B9339C">
        <w:rPr>
          <w:rFonts w:ascii="Arial" w:hAnsi="Arial" w:cs="Arial"/>
          <w:b/>
        </w:rPr>
        <w:lastRenderedPageBreak/>
        <w:t>C O N S I D E R A N D O:</w:t>
      </w:r>
    </w:p>
    <w:p w:rsidR="004E4BBF" w:rsidRPr="00B9339C" w:rsidRDefault="004E4BBF" w:rsidP="004E4BBF">
      <w:pPr>
        <w:spacing w:after="0" w:line="360" w:lineRule="auto"/>
        <w:ind w:right="-93" w:firstLine="567"/>
        <w:jc w:val="both"/>
        <w:rPr>
          <w:rFonts w:ascii="Arial" w:hAnsi="Arial" w:cs="Arial"/>
        </w:rPr>
      </w:pPr>
      <w:r w:rsidRPr="00B9339C">
        <w:rPr>
          <w:rFonts w:ascii="Arial" w:hAnsi="Arial" w:cs="Arial"/>
          <w:b/>
        </w:rPr>
        <w:t>PRIMERO.- Competencia.-</w:t>
      </w:r>
      <w:r w:rsidRPr="00B9339C">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r>
        <w:rPr>
          <w:rFonts w:ascii="Arial" w:hAnsi="Arial" w:cs="Arial"/>
        </w:rPr>
        <w:t xml:space="preserve">- - - - - - - - - - - - - - - - - - - - - - - - - - - - - - - - - - - - - </w:t>
      </w:r>
    </w:p>
    <w:p w:rsidR="004E4BBF" w:rsidRPr="00B9339C" w:rsidRDefault="004E4BBF" w:rsidP="004E4BBF">
      <w:pPr>
        <w:tabs>
          <w:tab w:val="left" w:pos="6946"/>
        </w:tabs>
        <w:spacing w:after="0" w:line="360" w:lineRule="auto"/>
        <w:ind w:right="-93" w:firstLine="567"/>
        <w:jc w:val="both"/>
        <w:rPr>
          <w:rFonts w:ascii="Arial" w:hAnsi="Arial" w:cs="Arial"/>
          <w:b/>
        </w:rPr>
      </w:pPr>
    </w:p>
    <w:p w:rsidR="004E4BBF" w:rsidRPr="00B9339C" w:rsidRDefault="004E4BBF" w:rsidP="004E4BBF">
      <w:pPr>
        <w:tabs>
          <w:tab w:val="left" w:pos="6946"/>
        </w:tabs>
        <w:spacing w:after="0" w:line="360" w:lineRule="auto"/>
        <w:ind w:right="-93" w:firstLine="567"/>
        <w:jc w:val="both"/>
        <w:rPr>
          <w:rFonts w:ascii="Arial" w:hAnsi="Arial" w:cs="Arial"/>
        </w:rPr>
      </w:pPr>
      <w:r w:rsidRPr="00B9339C">
        <w:rPr>
          <w:rFonts w:ascii="Arial" w:hAnsi="Arial" w:cs="Arial"/>
          <w:b/>
        </w:rPr>
        <w:t>SEGUNDO.- Personalidad y Personería.-</w:t>
      </w:r>
      <w:r w:rsidRPr="00B9339C">
        <w:rPr>
          <w:rFonts w:ascii="Arial" w:hAnsi="Arial" w:cs="Arial"/>
        </w:rPr>
        <w:t xml:space="preserve"> Quedó acreditada de conformidad con los artículos 148 y 150 de la Ley de Procedimiento y Justicia Administrativa para el Estado de Oaxaca, toda vez que la parte actora promueve por propio derecho y la autoridad demandada mediante nombramiento debidamente certificado. - - - - - - - - - - - - - - - - - - - - - </w:t>
      </w:r>
    </w:p>
    <w:p w:rsidR="004E4BBF" w:rsidRPr="00B9339C" w:rsidRDefault="004E4BBF" w:rsidP="004E4BBF">
      <w:pPr>
        <w:tabs>
          <w:tab w:val="left" w:pos="6946"/>
        </w:tabs>
        <w:spacing w:after="0" w:line="360" w:lineRule="auto"/>
        <w:ind w:right="-93" w:firstLine="567"/>
        <w:jc w:val="both"/>
        <w:rPr>
          <w:rFonts w:ascii="Arial" w:hAnsi="Arial" w:cs="Arial"/>
          <w:b/>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b/>
        </w:rPr>
        <w:t xml:space="preserve">TERCERO. - Fijación de la Litis. - </w:t>
      </w:r>
      <w:r w:rsidRPr="00B9339C">
        <w:rPr>
          <w:rFonts w:ascii="Arial" w:hAnsi="Arial" w:cs="Arial"/>
        </w:rPr>
        <w:t xml:space="preserve">Surge de la ilegalidad planteada por la parte actora respecto al oficio con número de control </w:t>
      </w:r>
      <w:r>
        <w:rPr>
          <w:rFonts w:ascii="Arial" w:hAnsi="Arial" w:cs="Arial"/>
          <w:b/>
        </w:rPr>
        <w:t>***** *****</w:t>
      </w:r>
      <w:r w:rsidRPr="00B9339C">
        <w:rPr>
          <w:rFonts w:ascii="Arial" w:hAnsi="Arial" w:cs="Arial"/>
        </w:rPr>
        <w:t xml:space="preserve"> de fecha 27 de julio de 2018, emitida por la Directora de Ingresos y Recaudación dependiente de la Subsecretaría de Ingresos de la Secretaría de Finanzas del Poder Ejecutivo del Estado, de donde se duele que su notificación resulta contraria a derecho; así mismo, establece que el documento en cuestión carece de firma autógrafa de la autoridad que lo emite. Continúa diciendo que existe una falta de fundamentación y motivación en cuanto la conducta desplegada por el accionante y que encuadre en el supuesto establecido en la Ley; así mismo, manifiesta que no fundó debidamente su competencia tanto material o territorial. Finalmente, establece que la autoridad emisora, omitió realizar la operación aritmética para imponer la sanción pecuniaria, por lo que la misma no puede tenerse como debidamente fundada y motivada. - - - - - - - - - - - - - - - - - - - - - - - - - - - - - - - - - - - -</w:t>
      </w:r>
      <w:r w:rsidR="00CE13DD">
        <w:rPr>
          <w:rFonts w:ascii="Arial" w:hAnsi="Arial" w:cs="Arial"/>
        </w:rPr>
        <w:t xml:space="preserve"> - - - - - - - - - - - - - - - - - - - - - - - - - - - - - -  </w:t>
      </w:r>
    </w:p>
    <w:p w:rsidR="004E4BBF" w:rsidRPr="00B9339C" w:rsidRDefault="004E4BBF" w:rsidP="004E4BBF">
      <w:pPr>
        <w:spacing w:after="0" w:line="360" w:lineRule="auto"/>
        <w:ind w:firstLine="567"/>
        <w:jc w:val="both"/>
        <w:rPr>
          <w:rFonts w:ascii="Arial" w:hAnsi="Arial" w:cs="Arial"/>
          <w:b/>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rPr>
        <w:t xml:space="preserve">Por su parte, la autoridad demandada, Directora de Ingresos y Recaudación dependiente de la Secretaría de Finanzas del Poder Ejecutiva del Estado, manifestó que la Ley faculta la notificación de actos administrativos, como el impugnado, a través del correo postal. De igual manera, sostuvo la debida fundamentación y motivación de sus actuaciones, así como la de su competencia tanto material como territorial. - - - - - - - - - - -  </w:t>
      </w:r>
    </w:p>
    <w:p w:rsidR="004E4BBF" w:rsidRPr="00B9339C" w:rsidRDefault="004E4BBF" w:rsidP="004E4BBF">
      <w:pPr>
        <w:spacing w:after="0" w:line="360" w:lineRule="auto"/>
        <w:jc w:val="both"/>
        <w:rPr>
          <w:rFonts w:ascii="Arial" w:hAnsi="Arial" w:cs="Arial"/>
        </w:rPr>
      </w:pPr>
    </w:p>
    <w:p w:rsidR="004E4BBF" w:rsidRPr="00B9339C" w:rsidRDefault="004E4BBF" w:rsidP="004E4BBF">
      <w:pPr>
        <w:spacing w:after="0" w:line="360" w:lineRule="auto"/>
        <w:jc w:val="both"/>
        <w:rPr>
          <w:rFonts w:ascii="Arial" w:hAnsi="Arial" w:cs="Arial"/>
        </w:rPr>
      </w:pPr>
      <w:r w:rsidRPr="00B9339C">
        <w:rPr>
          <w:rFonts w:ascii="Arial" w:hAnsi="Arial" w:cs="Arial"/>
        </w:rPr>
        <w:tab/>
      </w:r>
      <w:r w:rsidRPr="00B9339C">
        <w:rPr>
          <w:rFonts w:ascii="Arial" w:hAnsi="Arial" w:cs="Arial"/>
          <w:b/>
        </w:rPr>
        <w:t xml:space="preserve">CUARTO.- Acreditación del Acto Impugnado.- </w:t>
      </w:r>
      <w:r w:rsidRPr="00B9339C">
        <w:rPr>
          <w:rFonts w:ascii="Arial" w:hAnsi="Arial" w:cs="Arial"/>
          <w:b/>
        </w:rPr>
        <w:tab/>
      </w:r>
      <w:r w:rsidRPr="00B9339C">
        <w:rPr>
          <w:rFonts w:ascii="Arial" w:hAnsi="Arial" w:cs="Arial"/>
        </w:rPr>
        <w:t xml:space="preserve">El acto impugnado, lo es el oficio con número de control </w:t>
      </w:r>
      <w:r w:rsidR="00CE13DD">
        <w:rPr>
          <w:rFonts w:ascii="Arial" w:hAnsi="Arial" w:cs="Arial"/>
          <w:b/>
        </w:rPr>
        <w:t xml:space="preserve">***** ***** </w:t>
      </w:r>
      <w:r w:rsidRPr="00B9339C">
        <w:rPr>
          <w:rFonts w:ascii="Arial" w:hAnsi="Arial" w:cs="Arial"/>
        </w:rPr>
        <w:t xml:space="preserve">de fecha veintisiete de julio del dos mil dieciocho, emitido por la Directora de Ingresos y Recaudación dependiente de la Subsecretaría de Ingresos de la Secretaría de Finanzas del Poder Ejecutivo del Estado de Oaxaca que obra en su original a foja 40 del expediente, al que se le confiere pleno valor probatorio en términos del artículo 203 fracción I de la Ley de Procedimiento y Justicia Administrativa </w:t>
      </w:r>
      <w:r w:rsidRPr="00B9339C">
        <w:rPr>
          <w:rFonts w:ascii="Arial" w:hAnsi="Arial" w:cs="Arial"/>
        </w:rPr>
        <w:lastRenderedPageBreak/>
        <w:t xml:space="preserve">para el Estado de Oaxaca, máxime que la misma autoridad reconoció su emisión al contestar la demanda, por lo que es con tales medios de convicción que esta Sala tiene por acreditado el acto impugnado. - - - - - - - - - - - - - - - - - - - - - - - - - - - - - - - - - </w:t>
      </w:r>
      <w:r w:rsidR="00CE13DD">
        <w:rPr>
          <w:rFonts w:ascii="Arial" w:hAnsi="Arial" w:cs="Arial"/>
        </w:rPr>
        <w:t xml:space="preserve">- - - - - - - - - - - - - - - - - - - - - - - - </w:t>
      </w:r>
    </w:p>
    <w:p w:rsidR="004E4BBF" w:rsidRPr="00B9339C" w:rsidRDefault="004E4BBF" w:rsidP="004E4BBF">
      <w:pPr>
        <w:spacing w:after="0" w:line="360" w:lineRule="auto"/>
        <w:ind w:firstLine="567"/>
        <w:jc w:val="both"/>
        <w:rPr>
          <w:rFonts w:ascii="Arial" w:hAnsi="Arial" w:cs="Arial"/>
          <w:b/>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b/>
        </w:rPr>
        <w:t>QUINTO</w:t>
      </w:r>
      <w:r w:rsidRPr="00B9339C">
        <w:rPr>
          <w:rFonts w:ascii="Arial" w:hAnsi="Arial" w:cs="Arial"/>
        </w:rPr>
        <w:t xml:space="preserve">.- </w:t>
      </w:r>
      <w:r w:rsidRPr="00B9339C">
        <w:rPr>
          <w:rFonts w:ascii="Arial" w:hAnsi="Arial" w:cs="Arial"/>
          <w:b/>
        </w:rPr>
        <w:t>Causales de Improcedencia y Sobreseimiento</w:t>
      </w:r>
      <w:r w:rsidRPr="00B9339C">
        <w:rPr>
          <w:rFonts w:ascii="Arial" w:hAnsi="Arial" w:cs="Arial"/>
        </w:rPr>
        <w:t xml:space="preserve">. Considerando que son de orden público y de estudio preferente a cualquier otra cuestión y derivado del imperioso estudio oficioso que especifica el artículo 161 in fine de la Ley de la Materia; respecto a dichas causales, esta Sala advierte que en el presente caso concreto no se actualiza causal de improcedencia ni sobreseimiento, consecuentemente, no se sobresee el juicio. - - - - - - - - - - - - - - - - - - - - - - - - - - - - - - - - - - - - - - - - - - - - - - - - - - - - - - - - - - -  </w:t>
      </w:r>
    </w:p>
    <w:p w:rsidR="004E4BBF" w:rsidRPr="00B9339C" w:rsidRDefault="004E4BBF" w:rsidP="004E4BBF">
      <w:pPr>
        <w:spacing w:after="0" w:line="360" w:lineRule="auto"/>
        <w:ind w:firstLine="567"/>
        <w:jc w:val="both"/>
        <w:rPr>
          <w:rFonts w:ascii="Arial" w:hAnsi="Arial" w:cs="Arial"/>
          <w:b/>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b/>
        </w:rPr>
        <w:t>SEXTO</w:t>
      </w:r>
      <w:r w:rsidRPr="00B9339C">
        <w:rPr>
          <w:rFonts w:ascii="Arial" w:hAnsi="Arial" w:cs="Arial"/>
        </w:rPr>
        <w:t xml:space="preserve">.- </w:t>
      </w:r>
      <w:r w:rsidRPr="00B9339C">
        <w:rPr>
          <w:rFonts w:ascii="Arial" w:hAnsi="Arial" w:cs="Arial"/>
          <w:b/>
        </w:rPr>
        <w:t xml:space="preserve">Estudio de Fondo.- </w:t>
      </w:r>
      <w:r w:rsidRPr="00B9339C">
        <w:rPr>
          <w:rFonts w:ascii="Arial" w:hAnsi="Arial" w:cs="Arial"/>
        </w:rPr>
        <w:t xml:space="preserve">Son esencialmente </w:t>
      </w:r>
      <w:r w:rsidRPr="00B9339C">
        <w:rPr>
          <w:rFonts w:ascii="Arial" w:hAnsi="Arial" w:cs="Arial"/>
          <w:b/>
        </w:rPr>
        <w:t>fundados</w:t>
      </w:r>
      <w:r w:rsidRPr="00B9339C">
        <w:rPr>
          <w:rFonts w:ascii="Arial" w:hAnsi="Arial" w:cs="Arial"/>
        </w:rPr>
        <w:t xml:space="preserve"> los conceptos de impugnación hechos valer por el accionante para pretender la nulidad lisa y llana del oficio con número de control </w:t>
      </w:r>
      <w:r w:rsidR="00CE13DD">
        <w:rPr>
          <w:rFonts w:ascii="Arial" w:hAnsi="Arial" w:cs="Arial"/>
          <w:b/>
        </w:rPr>
        <w:t>***** *****</w:t>
      </w:r>
      <w:r w:rsidRPr="00B9339C">
        <w:rPr>
          <w:rFonts w:ascii="Arial" w:hAnsi="Arial" w:cs="Arial"/>
        </w:rPr>
        <w:t xml:space="preserve"> de fecha 27 de julio de 2018, emitido por la Directora de Ingresos y Recaudación dependiente de la Subsecretaría de Ingresos de la Secretaría de Finanzas del Poder Ejecutivo del Estado, al tenor de las siguientes consideraciones de mérito. - - - - - - - - - - - - - - - - - - - - - - - - - - - - - - - - - - - - - - - - - - - - - - </w:t>
      </w:r>
    </w:p>
    <w:p w:rsidR="004E4BBF" w:rsidRPr="00B9339C" w:rsidRDefault="004E4BBF" w:rsidP="004E4BBF">
      <w:pPr>
        <w:spacing w:after="0" w:line="360" w:lineRule="auto"/>
        <w:ind w:firstLine="567"/>
        <w:jc w:val="both"/>
        <w:rPr>
          <w:rFonts w:ascii="Arial" w:hAnsi="Arial" w:cs="Arial"/>
        </w:rPr>
      </w:pPr>
      <w:r w:rsidRPr="00B9339C">
        <w:rPr>
          <w:rFonts w:ascii="Arial" w:hAnsi="Arial" w:cs="Arial"/>
        </w:rPr>
        <w:t xml:space="preserve"> </w:t>
      </w:r>
    </w:p>
    <w:p w:rsidR="004E4BBF" w:rsidRPr="00B9339C" w:rsidRDefault="004E4BBF" w:rsidP="004E4BBF">
      <w:pPr>
        <w:spacing w:after="0" w:line="360" w:lineRule="auto"/>
        <w:ind w:firstLine="567"/>
        <w:jc w:val="both"/>
        <w:rPr>
          <w:rFonts w:ascii="Arial" w:hAnsi="Arial" w:cs="Arial"/>
        </w:rPr>
      </w:pPr>
      <w:r w:rsidRPr="00B9339C">
        <w:rPr>
          <w:rFonts w:ascii="Arial" w:hAnsi="Arial" w:cs="Arial"/>
        </w:rPr>
        <w:t xml:space="preserve">Por cuestión de método, resulta conveniente estudiar el concepto de impugnación marcado como el SÉPTIMO, atendiendo a que el mismo alega la ausencia de fundamentación respecto a la </w:t>
      </w:r>
      <w:r w:rsidRPr="00B9339C">
        <w:rPr>
          <w:rFonts w:ascii="Arial" w:hAnsi="Arial" w:cs="Arial"/>
          <w:b/>
        </w:rPr>
        <w:t xml:space="preserve">competencia territorial </w:t>
      </w:r>
      <w:r w:rsidRPr="00B9339C">
        <w:rPr>
          <w:rFonts w:ascii="Arial" w:hAnsi="Arial" w:cs="Arial"/>
        </w:rPr>
        <w:t xml:space="preserve">de la autoridad exactora. 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rsidR="004E4BBF" w:rsidRPr="00B9339C" w:rsidRDefault="004E4BBF" w:rsidP="004E4BBF">
      <w:pPr>
        <w:spacing w:after="0" w:line="360" w:lineRule="auto"/>
        <w:ind w:firstLine="567"/>
        <w:jc w:val="both"/>
        <w:rPr>
          <w:rFonts w:ascii="Arial" w:hAnsi="Arial" w:cs="Arial"/>
        </w:rPr>
      </w:pPr>
    </w:p>
    <w:p w:rsidR="004E4BBF" w:rsidRPr="009F3D36" w:rsidRDefault="004E4BBF" w:rsidP="004E4BBF">
      <w:pPr>
        <w:spacing w:after="0" w:line="360" w:lineRule="auto"/>
        <w:ind w:left="567" w:right="616"/>
        <w:jc w:val="both"/>
        <w:rPr>
          <w:rFonts w:ascii="Times New Roman" w:eastAsia="Times New Roman" w:hAnsi="Times New Roman" w:cs="Times New Roman"/>
          <w:b/>
          <w:bCs/>
          <w:color w:val="000000"/>
          <w:sz w:val="20"/>
          <w:szCs w:val="20"/>
          <w:lang w:eastAsia="es-MX"/>
        </w:rPr>
      </w:pPr>
      <w:r w:rsidRPr="009F3D36">
        <w:rPr>
          <w:rFonts w:ascii="Times New Roman" w:eastAsia="Times New Roman" w:hAnsi="Times New Roman" w:cs="Times New Roman"/>
          <w:b/>
          <w:bCs/>
          <w:color w:val="000000"/>
          <w:sz w:val="20"/>
          <w:szCs w:val="20"/>
          <w:lang w:eastAsia="es-MX"/>
        </w:rPr>
        <w:t>“COMPETENCIA. SALVO DETERMINADOS CASOS, DEBE SER ESTUDIADA DE OFICIO POR EL ORGANO REVISOR.</w:t>
      </w:r>
    </w:p>
    <w:p w:rsidR="004E4BBF" w:rsidRPr="009F3D36" w:rsidRDefault="004E4BBF" w:rsidP="004E4BBF">
      <w:pPr>
        <w:spacing w:after="0" w:line="360" w:lineRule="auto"/>
        <w:ind w:left="567" w:right="616"/>
        <w:jc w:val="both"/>
        <w:rPr>
          <w:rFonts w:ascii="Times New Roman" w:eastAsia="Times New Roman" w:hAnsi="Times New Roman" w:cs="Times New Roman"/>
          <w:color w:val="000000"/>
          <w:sz w:val="20"/>
          <w:szCs w:val="20"/>
          <w:lang w:eastAsia="es-MX"/>
        </w:rPr>
      </w:pPr>
      <w:r w:rsidRPr="009F3D36">
        <w:rPr>
          <w:rFonts w:ascii="Times New Roman" w:eastAsia="Times New Roman" w:hAnsi="Times New Roman" w:cs="Times New Roman"/>
          <w:color w:val="000000"/>
          <w:sz w:val="20"/>
          <w:szCs w:val="20"/>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w:t>
      </w:r>
      <w:r w:rsidRPr="009F3D36">
        <w:rPr>
          <w:rFonts w:ascii="Times New Roman" w:eastAsia="Times New Roman" w:hAnsi="Times New Roman" w:cs="Times New Roman"/>
          <w:color w:val="000000"/>
          <w:sz w:val="20"/>
          <w:szCs w:val="20"/>
          <w:lang w:eastAsia="es-MX"/>
        </w:rPr>
        <w:lastRenderedPageBreak/>
        <w:t xml:space="preserve">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w:t>
      </w:r>
      <w:r w:rsidRPr="009F3D36">
        <w:rPr>
          <w:rFonts w:ascii="Times New Roman" w:eastAsia="Times New Roman" w:hAnsi="Times New Roman" w:cs="Times New Roman"/>
          <w:color w:val="000000"/>
          <w:sz w:val="20"/>
          <w:szCs w:val="20"/>
          <w:lang w:eastAsia="es-MX"/>
        </w:rPr>
        <w:lastRenderedPageBreak/>
        <w:t>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p>
    <w:p w:rsidR="004E4BBF" w:rsidRPr="009F3D36" w:rsidRDefault="004E4BBF" w:rsidP="004E4BBF">
      <w:pPr>
        <w:spacing w:after="0" w:line="360" w:lineRule="auto"/>
        <w:ind w:firstLine="567"/>
        <w:jc w:val="both"/>
        <w:rPr>
          <w:rFonts w:ascii="Arial" w:hAnsi="Arial" w:cs="Arial"/>
          <w:sz w:val="20"/>
          <w:szCs w:val="20"/>
        </w:rPr>
      </w:pPr>
    </w:p>
    <w:p w:rsidR="004E4BBF" w:rsidRPr="00B9339C" w:rsidRDefault="004E4BBF" w:rsidP="004E4BBF">
      <w:pPr>
        <w:spacing w:after="0" w:line="360" w:lineRule="auto"/>
        <w:jc w:val="both"/>
        <w:rPr>
          <w:rFonts w:ascii="Arial" w:hAnsi="Arial" w:cs="Arial"/>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rPr>
        <w:t xml:space="preserve">En efecto, el artículo 16 </w:t>
      </w:r>
      <w:r>
        <w:rPr>
          <w:rFonts w:ascii="Arial" w:hAnsi="Arial" w:cs="Arial"/>
        </w:rPr>
        <w:t xml:space="preserve">de la </w:t>
      </w:r>
      <w:r w:rsidRPr="009F3D36">
        <w:rPr>
          <w:rFonts w:ascii="Arial" w:hAnsi="Arial" w:cs="Arial"/>
        </w:rPr>
        <w:t xml:space="preserve">Constitución Política de los Estados Unidos </w:t>
      </w:r>
      <w:r>
        <w:rPr>
          <w:rFonts w:ascii="Arial" w:hAnsi="Arial" w:cs="Arial"/>
        </w:rPr>
        <w:t>Mexicanos</w:t>
      </w:r>
      <w:r w:rsidRPr="00B9339C">
        <w:rPr>
          <w:rFonts w:ascii="Arial" w:hAnsi="Arial" w:cs="Arial"/>
        </w:rPr>
        <w:t xml:space="preserve">, estipula el imperativo a que están sujetos todos los actos de autoridad, el cual consiste en estar debidamente fundado en cuanto a la competencia de la autoridad emisora: </w:t>
      </w:r>
    </w:p>
    <w:p w:rsidR="004E4BBF" w:rsidRPr="00B9339C" w:rsidRDefault="004E4BBF" w:rsidP="004E4BBF">
      <w:pPr>
        <w:spacing w:after="0" w:line="360" w:lineRule="auto"/>
        <w:ind w:right="616"/>
        <w:jc w:val="both"/>
        <w:rPr>
          <w:rFonts w:ascii="Times New Roman" w:hAnsi="Times New Roman" w:cs="Times New Roman"/>
        </w:rPr>
      </w:pPr>
    </w:p>
    <w:p w:rsidR="004E4BBF" w:rsidRPr="009F3D36" w:rsidRDefault="004E4BBF" w:rsidP="004E4BBF">
      <w:pPr>
        <w:spacing w:after="0" w:line="360" w:lineRule="auto"/>
        <w:ind w:left="567" w:right="616"/>
        <w:jc w:val="both"/>
        <w:rPr>
          <w:rFonts w:ascii="Times New Roman" w:hAnsi="Times New Roman" w:cs="Times New Roman"/>
          <w:sz w:val="20"/>
          <w:szCs w:val="20"/>
        </w:rPr>
      </w:pPr>
      <w:r w:rsidRPr="009F3D36">
        <w:rPr>
          <w:rFonts w:ascii="Times New Roman" w:hAnsi="Times New Roman" w:cs="Times New Roman"/>
          <w:sz w:val="20"/>
          <w:szCs w:val="20"/>
        </w:rPr>
        <w:t>“</w:t>
      </w:r>
      <w:r w:rsidRPr="009F3D36">
        <w:rPr>
          <w:rFonts w:ascii="Times New Roman" w:hAnsi="Times New Roman" w:cs="Times New Roman"/>
          <w:b/>
          <w:sz w:val="20"/>
          <w:szCs w:val="20"/>
        </w:rPr>
        <w:t>Artículo 16.-</w:t>
      </w:r>
      <w:r w:rsidRPr="009F3D36">
        <w:rPr>
          <w:rFonts w:ascii="Times New Roman" w:hAnsi="Times New Roman" w:cs="Times New Roman"/>
          <w:sz w:val="20"/>
          <w:szCs w:val="20"/>
        </w:rPr>
        <w:t xml:space="preserve"> Nadie puede ser molestado en su persona, familia, domicilio, papeles o posesiones, sino en virtud de mandamiento escrito de </w:t>
      </w:r>
      <w:r w:rsidRPr="009F3D36">
        <w:rPr>
          <w:rFonts w:ascii="Times New Roman" w:hAnsi="Times New Roman" w:cs="Times New Roman"/>
          <w:b/>
          <w:sz w:val="20"/>
          <w:szCs w:val="20"/>
        </w:rPr>
        <w:t>autoridad competente</w:t>
      </w:r>
      <w:r w:rsidRPr="009F3D36">
        <w:rPr>
          <w:rFonts w:ascii="Times New Roman" w:hAnsi="Times New Roman" w:cs="Times New Roman"/>
          <w:sz w:val="20"/>
          <w:szCs w:val="20"/>
        </w:rPr>
        <w:t xml:space="preserve"> que funde y motive la causa legal del procedimiento.” </w:t>
      </w:r>
    </w:p>
    <w:p w:rsidR="004E4BBF" w:rsidRPr="009F3D36" w:rsidRDefault="004E4BBF" w:rsidP="004E4BBF">
      <w:pPr>
        <w:spacing w:after="0" w:line="360" w:lineRule="auto"/>
        <w:ind w:firstLine="567"/>
        <w:jc w:val="both"/>
        <w:rPr>
          <w:rFonts w:ascii="Arial" w:hAnsi="Arial" w:cs="Arial"/>
          <w:sz w:val="20"/>
          <w:szCs w:val="20"/>
        </w:rPr>
      </w:pPr>
    </w:p>
    <w:p w:rsidR="004E4BBF" w:rsidRPr="00B9339C" w:rsidRDefault="004E4BBF" w:rsidP="004E4BBF">
      <w:pPr>
        <w:spacing w:after="0" w:line="360" w:lineRule="auto"/>
        <w:ind w:firstLine="567"/>
        <w:jc w:val="both"/>
        <w:rPr>
          <w:rFonts w:ascii="Arial" w:hAnsi="Arial" w:cs="Arial"/>
        </w:rPr>
      </w:pPr>
      <w:r w:rsidRPr="00B9339C">
        <w:rPr>
          <w:rFonts w:ascii="Arial" w:hAnsi="Arial" w:cs="Arial"/>
        </w:rPr>
        <w:t xml:space="preserve">En tales consideraciones, conviene considerar que la fundamentación de la competencia, ha sido catalogada como un requisito </w:t>
      </w:r>
      <w:r w:rsidRPr="00B9339C">
        <w:rPr>
          <w:rFonts w:ascii="Arial" w:hAnsi="Arial" w:cs="Arial"/>
          <w:i/>
        </w:rPr>
        <w:t>Sine Qua Non</w:t>
      </w:r>
      <w:r w:rsidRPr="00B9339C">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rsidR="004E4BBF" w:rsidRPr="00B9339C" w:rsidRDefault="004E4BBF" w:rsidP="004E4BBF">
      <w:pPr>
        <w:spacing w:after="0" w:line="360" w:lineRule="auto"/>
        <w:ind w:firstLine="567"/>
        <w:jc w:val="both"/>
        <w:rPr>
          <w:rFonts w:ascii="Arial" w:hAnsi="Arial" w:cs="Arial"/>
        </w:rPr>
      </w:pPr>
    </w:p>
    <w:p w:rsidR="004E4BBF" w:rsidRPr="009F3D36" w:rsidRDefault="004E4BBF" w:rsidP="004E4BBF">
      <w:pPr>
        <w:spacing w:after="0" w:line="360" w:lineRule="auto"/>
        <w:ind w:left="567" w:right="616"/>
        <w:jc w:val="both"/>
        <w:rPr>
          <w:rFonts w:ascii="Times New Roman" w:eastAsia="Times New Roman" w:hAnsi="Times New Roman" w:cs="Times New Roman"/>
          <w:b/>
          <w:bCs/>
          <w:color w:val="000000"/>
          <w:sz w:val="20"/>
          <w:szCs w:val="20"/>
          <w:lang w:eastAsia="es-MX"/>
        </w:rPr>
      </w:pPr>
      <w:r w:rsidRPr="009F3D36">
        <w:rPr>
          <w:rFonts w:ascii="Times New Roman" w:eastAsia="Times New Roman" w:hAnsi="Times New Roman" w:cs="Times New Roman"/>
          <w:b/>
          <w:bCs/>
          <w:color w:val="000000"/>
          <w:sz w:val="20"/>
          <w:szCs w:val="20"/>
          <w:lang w:eastAsia="es-MX"/>
        </w:rPr>
        <w:lastRenderedPageBreak/>
        <w:t>“COMPETENCIA. SU FUNDAMENTACION ES REQUISITO ESENCIAL DEL ACTO DE AUTORIDAD.</w:t>
      </w:r>
    </w:p>
    <w:p w:rsidR="004E4BBF" w:rsidRPr="009F3D36" w:rsidRDefault="004E4BBF" w:rsidP="004E4BBF">
      <w:pPr>
        <w:spacing w:after="0" w:line="360" w:lineRule="auto"/>
        <w:ind w:left="567" w:right="616"/>
        <w:jc w:val="both"/>
        <w:rPr>
          <w:rFonts w:ascii="Times New Roman" w:eastAsia="Times New Roman" w:hAnsi="Times New Roman" w:cs="Times New Roman"/>
          <w:sz w:val="20"/>
          <w:szCs w:val="20"/>
          <w:lang w:eastAsia="es-MX"/>
        </w:rPr>
      </w:pPr>
    </w:p>
    <w:p w:rsidR="004E4BBF" w:rsidRPr="009F3D36" w:rsidRDefault="004E4BBF" w:rsidP="004E4BBF">
      <w:pPr>
        <w:spacing w:after="0" w:line="360" w:lineRule="auto"/>
        <w:ind w:left="567" w:right="616"/>
        <w:jc w:val="both"/>
        <w:rPr>
          <w:rFonts w:ascii="Times New Roman" w:eastAsia="Times New Roman" w:hAnsi="Times New Roman" w:cs="Times New Roman"/>
          <w:color w:val="000000"/>
          <w:sz w:val="20"/>
          <w:szCs w:val="20"/>
          <w:lang w:eastAsia="es-MX"/>
        </w:rPr>
      </w:pPr>
      <w:r w:rsidRPr="009F3D36">
        <w:rPr>
          <w:rFonts w:ascii="Times New Roman" w:eastAsia="Times New Roman" w:hAnsi="Times New Roman" w:cs="Times New Roman"/>
          <w:color w:val="000000"/>
          <w:sz w:val="20"/>
          <w:szCs w:val="20"/>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4E4BBF" w:rsidRPr="00B9339C" w:rsidRDefault="004E4BBF" w:rsidP="004E4BBF">
      <w:pPr>
        <w:spacing w:after="0" w:line="360" w:lineRule="auto"/>
        <w:ind w:firstLine="567"/>
        <w:jc w:val="both"/>
        <w:rPr>
          <w:rFonts w:ascii="Arial" w:hAnsi="Arial" w:cs="Arial"/>
        </w:rPr>
      </w:pPr>
    </w:p>
    <w:p w:rsidR="004E4BBF" w:rsidRPr="00B9339C" w:rsidRDefault="004E4BBF" w:rsidP="004E4BBF">
      <w:pPr>
        <w:spacing w:after="0" w:line="360" w:lineRule="auto"/>
        <w:ind w:right="49" w:firstLine="567"/>
        <w:jc w:val="both"/>
        <w:rPr>
          <w:rFonts w:ascii="Arial" w:hAnsi="Arial" w:cs="Arial"/>
        </w:rPr>
      </w:pPr>
      <w:r w:rsidRPr="00B9339C">
        <w:rPr>
          <w:rFonts w:ascii="Arial" w:hAnsi="Arial" w:cs="Arial"/>
        </w:rPr>
        <w:t xml:space="preserve">Aunado a lo anterior, cabe destacar que la competencia a nivel doctrinario, se encuentra dividida por cuestiones de grado, materia, cuantía y </w:t>
      </w:r>
      <w:r w:rsidRPr="00B9339C">
        <w:rPr>
          <w:rFonts w:ascii="Arial" w:hAnsi="Arial" w:cs="Arial"/>
          <w:b/>
        </w:rPr>
        <w:t>territorio</w:t>
      </w:r>
      <w:r w:rsidRPr="00B9339C">
        <w:rPr>
          <w:rFonts w:ascii="Arial" w:hAnsi="Arial" w:cs="Arial"/>
        </w:rPr>
        <w:t xml:space="preserve">. De ésta última, diversos criterios han establecido, que la cita de los preceptos que la otorguen debe comprender la transcripción del enunciado donde se hace referencia a la circunscripción territorial donde ejercen sus facultades, tal como queda estipulado en la Tesis III.4o.A.39 A emitida por el Cuarto Tribunal Colegiado En Materia Administrativa Del Tercer Circuito, publicada en el Semanario Judicial de la Federación y su Gaceta, Tomo XXVII, Abril de 2008, visible a página 2322, Novena Época, de rubro y texto siguientes: </w:t>
      </w:r>
    </w:p>
    <w:p w:rsidR="004E4BBF" w:rsidRPr="00B9339C" w:rsidRDefault="004E4BBF" w:rsidP="004E4BBF">
      <w:pPr>
        <w:spacing w:after="0" w:line="360" w:lineRule="auto"/>
        <w:ind w:right="49" w:firstLine="567"/>
        <w:jc w:val="both"/>
        <w:rPr>
          <w:rFonts w:ascii="Arial" w:hAnsi="Arial" w:cs="Arial"/>
        </w:rPr>
      </w:pPr>
    </w:p>
    <w:p w:rsidR="004E4BBF" w:rsidRPr="009F3D36" w:rsidRDefault="004E4BBF" w:rsidP="004E4BBF">
      <w:pPr>
        <w:spacing w:line="360" w:lineRule="auto"/>
        <w:ind w:left="567" w:right="616"/>
        <w:jc w:val="both"/>
        <w:rPr>
          <w:rFonts w:ascii="Times New Roman" w:hAnsi="Times New Roman" w:cs="Times New Roman"/>
          <w:b/>
          <w:bCs/>
          <w:color w:val="000000"/>
          <w:sz w:val="20"/>
          <w:szCs w:val="20"/>
        </w:rPr>
      </w:pPr>
      <w:r w:rsidRPr="009F3D36">
        <w:rPr>
          <w:rFonts w:ascii="Times New Roman" w:hAnsi="Times New Roman" w:cs="Times New Roman"/>
          <w:b/>
          <w:bCs/>
          <w:color w:val="000000"/>
          <w:sz w:val="20"/>
          <w:szCs w:val="20"/>
        </w:rPr>
        <w:t>“COMPETENCIA TERRITORIAL DE LAS AUTORIDADES ADMINISTRATIVAS. LA CITA CORRECTA DE SUS FUNDAMENTOS DEBE COMPRENDER LA TRANSCRIPCIÓN DEL ENUNCIADO DONDE SE HACE REFERENCIA A LA CIRCUNSCRIPCIÓN TERRITORIAL DONDE EJERCEN SUS FACULTADES Y LA CITA EXPRESA DE ESA DESCRIPCIÓN QUE DELIMITA EL ÁMBITO TERRITORIAL (Se ejemplifica el caso de la competencia de la Administración Local de Auditoría Fiscal de Guadalajara Sur).</w:t>
      </w:r>
    </w:p>
    <w:p w:rsidR="004E4BBF" w:rsidRPr="009F3D36" w:rsidRDefault="004E4BBF" w:rsidP="004E4BBF">
      <w:pPr>
        <w:spacing w:line="360" w:lineRule="auto"/>
        <w:ind w:left="567" w:right="616"/>
        <w:jc w:val="both"/>
        <w:rPr>
          <w:rFonts w:ascii="Times New Roman" w:hAnsi="Times New Roman" w:cs="Times New Roman"/>
          <w:color w:val="000000"/>
          <w:sz w:val="20"/>
          <w:szCs w:val="20"/>
        </w:rPr>
      </w:pPr>
      <w:r w:rsidRPr="009F3D36">
        <w:rPr>
          <w:rFonts w:ascii="Times New Roman" w:hAnsi="Times New Roman" w:cs="Times New Roman"/>
          <w:color w:val="000000"/>
          <w:sz w:val="20"/>
          <w:szCs w:val="20"/>
        </w:rPr>
        <w:t>La simple referencia de la autoridad administrativa al numeral respectivo del Acuerdo por el que se establece la circunscripción territorial de las unidades administrativas del Servicio de Administración Tributaria, no cumple con la exigencia de la tesis de jurisprudencia 2a./J. 115/2005 de la Segunda Sala de la Suprema Corte de Justicia de la Nación, de rubro: "</w:t>
      </w:r>
      <w:hyperlink r:id="rId6" w:tgtFrame="_popup" w:history="1">
        <w:r w:rsidRPr="009F3D36">
          <w:rPr>
            <w:rStyle w:val="Hipervnculo"/>
            <w:rFonts w:ascii="Times New Roman" w:hAnsi="Times New Roman" w:cs="Times New Roman"/>
            <w:sz w:val="20"/>
            <w:szCs w:val="20"/>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9F3D36">
        <w:rPr>
          <w:rFonts w:ascii="Times New Roman" w:hAnsi="Times New Roman" w:cs="Times New Roman"/>
          <w:color w:val="000000"/>
          <w:sz w:val="20"/>
          <w:szCs w:val="20"/>
        </w:rPr>
        <w:t xml:space="preserve">."; por ende, si se trata de fundar la competencia del Administrador Local de Auditoría Fiscal de Guadalajara Sur, es menester hacer una referencia completa y detallada del precepto relativo, verbigracia: "Artículo segundo. Las Administraciones Generales de Asistencia al Contribuyente, de Recaudación, de Auditoría Fiscal Federal, y Jurídica, tendrán su sede en la Ciudad de México, Distrito Federal y ejercerán sus facultades en todo el territorio nacional.-El nombre, sede y circunscripción </w:t>
      </w:r>
      <w:r w:rsidRPr="009F3D36">
        <w:rPr>
          <w:rFonts w:ascii="Times New Roman" w:hAnsi="Times New Roman" w:cs="Times New Roman"/>
          <w:color w:val="000000"/>
          <w:sz w:val="20"/>
          <w:szCs w:val="20"/>
        </w:rPr>
        <w:lastRenderedPageBreak/>
        <w:t>territorial en donde se ejercerán las facultades de las Administraciones Locales de Asistencia al Contribuyente, de Recaudación, de Auditoría Fiscal, y Jurídicas, serán las siguientes: ... Administración Local de Guadalajara Sur. Con sede en Guadalajara, Jalisco, cuya circunscripción territorial comprenderá los Municipios de Acatic, Arandas, Atotonilco El Alto, Ayotlán, Cañadas de Obregón, Chapala, Cuquío, Degollado, El Salto, Encarnación de Díaz, Ixtlahuacán de los Membrillos, Jalostotitlán, Jamay, Jesús María, Juanacatlán, La Barca, Lagos de Moreno, Mexticacán, Ocotlán, Ojuelos de Jalisco, Poncitlán, San Diego de Alejandría, San Juan de los Lagos, San Juanito de Escobedo, San Julián, San Miguel El Alto, Teocaltiche, Tepatitlán de Morelos, Tlaquepaque, Tonalá, Tototlán, Unión de San Antonio, Valle de Guadalupe, Villa Hidalgo, Yahualica de González Gallo, Zapotlán del Rey, Zapotlanejo, y parcial de Guadalajara, incluyendo el perímetro siguiente: Al norte: A partir de Galeana hacia el este por avenida Juárez acera sur, hasta calzada Independencia; continuando por calzada Independencia hacia el suroeste acera oeste hasta el Eje Gigantes, siguiendo por Eje Gigantes hacia el este, acera sur hasta el límite del Municipio de Guadalajara por el Sector Reforma, con el de Tonalá.-Al este: Límite del Municipio de Guadalajara por el Sector Reforma con el de Tonalá, hacia el sur y suroeste, hasta el punto donde confluyen los Municipios de Tonalá, Tlaquepaque y Guadalajara.-Al sur: A partir del punto donde confluyen los Municipios de Tonalá, Tlaquepaque y Guadalajara, hacia el sur y suroeste, hasta la Prolongación Colón, límite del Municipio de Guadalajara con el de Tlaquepaque.-Al oeste: A partir del límite del Municipio de Guadalajara con el de Tlaquepaque hacia el noreste, por las avenidas Prolongación Colón, Colón y Galeana, acera sureste, hasta avenida Juárez."; consecuentemente, es incorrecto que sólo se diga: "Artículo segundo, segundo párrafo, en el apartado correspondiente a la circunscripción territorial de la Administración Local de Auditoría Fiscal de Guadalajara Sur, el cual textualmente señala: Administración Local de Guadalajara Sur. Con sede en Guadalajara, Jalisco".</w:t>
      </w:r>
    </w:p>
    <w:p w:rsidR="004E4BBF" w:rsidRPr="00B9339C" w:rsidRDefault="004E4BBF" w:rsidP="004E4BBF">
      <w:pPr>
        <w:spacing w:after="0" w:line="360" w:lineRule="auto"/>
        <w:ind w:right="49" w:firstLine="567"/>
        <w:jc w:val="both"/>
        <w:rPr>
          <w:rFonts w:ascii="Arial" w:hAnsi="Arial" w:cs="Arial"/>
        </w:rPr>
      </w:pPr>
    </w:p>
    <w:p w:rsidR="004E4BBF" w:rsidRPr="00B9339C" w:rsidRDefault="004E4BBF" w:rsidP="004E4BBF">
      <w:pPr>
        <w:spacing w:after="0" w:line="360" w:lineRule="auto"/>
        <w:ind w:right="49" w:firstLine="567"/>
        <w:jc w:val="both"/>
        <w:rPr>
          <w:rFonts w:ascii="Arial" w:hAnsi="Arial" w:cs="Arial"/>
        </w:rPr>
      </w:pPr>
      <w:r w:rsidRPr="00B9339C">
        <w:rPr>
          <w:rFonts w:ascii="Arial" w:hAnsi="Arial" w:cs="Arial"/>
        </w:rPr>
        <w:t xml:space="preserve">Ahora bien, se dice que el oficio con número de control </w:t>
      </w:r>
      <w:r w:rsidR="00CE13DD">
        <w:rPr>
          <w:rFonts w:ascii="Arial" w:hAnsi="Arial" w:cs="Arial"/>
          <w:b/>
        </w:rPr>
        <w:t>***** *****</w:t>
      </w:r>
      <w:r w:rsidRPr="00B9339C">
        <w:rPr>
          <w:rFonts w:ascii="Arial" w:hAnsi="Arial" w:cs="Arial"/>
        </w:rPr>
        <w:t xml:space="preserve"> de fecha 27 de julio de 2018, emitido por la Directora de Ingresos y Recaudación dependiente de la Subsecretaría de Ingresos de la Secretaría de Finanzas del Poder Ejecutivo del Estado, no cumple con el requisito de fundar la competencia por razón de territorio, toda vez que la demandada se limitó a citar: </w:t>
      </w:r>
    </w:p>
    <w:p w:rsidR="004E4BBF" w:rsidRPr="00B9339C" w:rsidRDefault="004E4BBF" w:rsidP="004E4BBF">
      <w:pPr>
        <w:spacing w:after="0" w:line="360" w:lineRule="auto"/>
        <w:ind w:right="49" w:firstLine="567"/>
        <w:jc w:val="both"/>
        <w:rPr>
          <w:rFonts w:ascii="Arial" w:hAnsi="Arial" w:cs="Arial"/>
        </w:rPr>
      </w:pPr>
    </w:p>
    <w:p w:rsidR="004E4BBF" w:rsidRPr="009F3D36" w:rsidRDefault="004E4BBF" w:rsidP="004E4BBF">
      <w:pPr>
        <w:spacing w:after="0" w:line="360" w:lineRule="auto"/>
        <w:ind w:left="567" w:right="616"/>
        <w:jc w:val="both"/>
        <w:rPr>
          <w:rFonts w:ascii="Times New Roman" w:hAnsi="Times New Roman" w:cs="Times New Roman"/>
          <w:sz w:val="20"/>
          <w:szCs w:val="20"/>
        </w:rPr>
      </w:pPr>
      <w:r w:rsidRPr="009F3D36">
        <w:rPr>
          <w:rFonts w:ascii="Times New Roman" w:hAnsi="Times New Roman" w:cs="Times New Roman"/>
          <w:sz w:val="20"/>
          <w:szCs w:val="20"/>
        </w:rPr>
        <w:t xml:space="preserve">“La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 </w:t>
      </w:r>
    </w:p>
    <w:p w:rsidR="004E4BBF" w:rsidRPr="00B9339C" w:rsidRDefault="004E4BBF" w:rsidP="004E4BBF">
      <w:pPr>
        <w:spacing w:after="0" w:line="360" w:lineRule="auto"/>
        <w:ind w:right="49" w:firstLine="567"/>
        <w:jc w:val="both"/>
        <w:rPr>
          <w:rFonts w:ascii="Arial" w:hAnsi="Arial" w:cs="Arial"/>
        </w:rPr>
      </w:pPr>
    </w:p>
    <w:p w:rsidR="004E4BBF" w:rsidRPr="00B9339C" w:rsidRDefault="004E4BBF" w:rsidP="004E4BBF">
      <w:pPr>
        <w:spacing w:after="0" w:line="360" w:lineRule="auto"/>
        <w:ind w:right="49" w:firstLine="567"/>
        <w:jc w:val="both"/>
        <w:rPr>
          <w:rFonts w:ascii="Arial" w:hAnsi="Arial" w:cs="Arial"/>
          <w:b/>
        </w:rPr>
      </w:pPr>
      <w:r w:rsidRPr="00B9339C">
        <w:rPr>
          <w:rFonts w:ascii="Arial" w:hAnsi="Arial" w:cs="Arial"/>
        </w:rPr>
        <w:t xml:space="preserve">De lo anterior transcrito, se advierte que si bien la autoridad demandada cita de forma idónea su competencia </w:t>
      </w:r>
      <w:r w:rsidRPr="00B9339C">
        <w:rPr>
          <w:rFonts w:ascii="Arial" w:hAnsi="Arial" w:cs="Arial"/>
          <w:b/>
        </w:rPr>
        <w:t>material</w:t>
      </w:r>
      <w:r w:rsidRPr="00B9339C">
        <w:rPr>
          <w:rFonts w:ascii="Arial" w:hAnsi="Arial" w:cs="Arial"/>
        </w:rPr>
        <w:t xml:space="preserve"> para emitir el oficio con número de control </w:t>
      </w:r>
      <w:r w:rsidR="00CE13DD">
        <w:rPr>
          <w:rFonts w:ascii="Arial" w:hAnsi="Arial" w:cs="Arial"/>
          <w:b/>
        </w:rPr>
        <w:t>***** *****</w:t>
      </w:r>
      <w:r w:rsidRPr="00B9339C">
        <w:rPr>
          <w:rFonts w:ascii="Arial" w:hAnsi="Arial" w:cs="Arial"/>
        </w:rPr>
        <w:t xml:space="preserve"> de fecha 27 de julio de 2018, </w:t>
      </w:r>
      <w:r w:rsidRPr="00B9339C">
        <w:rPr>
          <w:rFonts w:ascii="Arial" w:hAnsi="Arial" w:cs="Arial"/>
          <w:b/>
        </w:rPr>
        <w:t>no así su competencia territorial</w:t>
      </w:r>
      <w:r w:rsidRPr="00B9339C">
        <w:rPr>
          <w:rFonts w:ascii="Arial" w:hAnsi="Arial" w:cs="Arial"/>
        </w:rPr>
        <w:t xml:space="preserve">. Ello es así, puesto </w:t>
      </w:r>
      <w:r w:rsidRPr="00B9339C">
        <w:rPr>
          <w:rFonts w:ascii="Arial" w:hAnsi="Arial" w:cs="Arial"/>
        </w:rPr>
        <w:lastRenderedPageBreak/>
        <w:t xml:space="preserve">que es de explorado derecho, que el documento jurídico que establece el ámbito de competencia en razón al territorio de la Secretaría de Finanzas del Estado, lo es el </w:t>
      </w:r>
      <w:r w:rsidRPr="00B9339C">
        <w:rPr>
          <w:rFonts w:ascii="Arial" w:hAnsi="Arial" w:cs="Arial"/>
          <w:b/>
        </w:rPr>
        <w:t xml:space="preserve">acuerdo por el que se establece la circunscripción territorial de la Secretaría de Finanzas del Poder Ejecutivo del Estado y sus Delegaciones y Subdelegaciones Fiscales en el Estado. </w:t>
      </w:r>
      <w:r w:rsidRPr="00B9339C">
        <w:rPr>
          <w:rFonts w:ascii="Arial" w:hAnsi="Arial" w:cs="Arial"/>
        </w:rPr>
        <w:t xml:space="preserve">- - - - - - - - - - - - - - - - - - - - - - - - - - - - - - - - - - - - - - - - - - - - - - - </w:t>
      </w:r>
      <w:r w:rsidR="00CE13DD">
        <w:rPr>
          <w:rFonts w:ascii="Arial" w:hAnsi="Arial" w:cs="Arial"/>
        </w:rPr>
        <w:t>- - - - - - - - - - - - - - - - - - - -</w:t>
      </w:r>
    </w:p>
    <w:p w:rsidR="004E4BBF" w:rsidRPr="00B9339C" w:rsidRDefault="004E4BBF" w:rsidP="004E4BBF">
      <w:pPr>
        <w:spacing w:after="0" w:line="360" w:lineRule="auto"/>
        <w:ind w:right="49" w:firstLine="567"/>
        <w:jc w:val="both"/>
        <w:rPr>
          <w:rFonts w:ascii="Arial" w:hAnsi="Arial" w:cs="Arial"/>
          <w:b/>
        </w:rPr>
      </w:pPr>
    </w:p>
    <w:p w:rsidR="004E4BBF" w:rsidRPr="00B9339C" w:rsidRDefault="004E4BBF" w:rsidP="004E4BBF">
      <w:pPr>
        <w:spacing w:after="0" w:line="360" w:lineRule="auto"/>
        <w:ind w:right="49" w:firstLine="567"/>
        <w:jc w:val="both"/>
        <w:rPr>
          <w:rFonts w:ascii="Arial" w:hAnsi="Arial" w:cs="Arial"/>
        </w:rPr>
      </w:pPr>
      <w:r w:rsidRPr="00B9339C">
        <w:rPr>
          <w:rFonts w:ascii="Arial" w:hAnsi="Arial" w:cs="Arial"/>
        </w:rPr>
        <w:t xml:space="preserve">Por tanto, si la Directora de Ingresos y Recaudación dependiente de la Subsecretaría de Ingresos omite citar el documento jurídico por virtud del cual la Secretaría de Finanzas del Poder Ejecutivo del Estado está facultada para actuar dentro del territorio del Estado de Oaxaca, se tiene entonces que el oficio con número de control </w:t>
      </w:r>
      <w:r w:rsidR="00CE13DD" w:rsidRPr="00CE13DD">
        <w:rPr>
          <w:rFonts w:ascii="Arial" w:hAnsi="Arial" w:cs="Arial"/>
          <w:b/>
        </w:rPr>
        <w:t>***** *****</w:t>
      </w:r>
      <w:r w:rsidR="00CE13DD">
        <w:rPr>
          <w:rFonts w:ascii="Arial" w:hAnsi="Arial" w:cs="Arial"/>
          <w:b/>
        </w:rPr>
        <w:t xml:space="preserve"> </w:t>
      </w:r>
      <w:r w:rsidRPr="00B9339C">
        <w:rPr>
          <w:rFonts w:ascii="Arial" w:hAnsi="Arial" w:cs="Arial"/>
        </w:rPr>
        <w:t xml:space="preserve">de fecha 27 de julio de 2018, adolece de una </w:t>
      </w:r>
      <w:r w:rsidRPr="00B9339C">
        <w:rPr>
          <w:rFonts w:ascii="Arial" w:hAnsi="Arial" w:cs="Arial"/>
          <w:b/>
        </w:rPr>
        <w:t>falta de fundamentación</w:t>
      </w:r>
      <w:r w:rsidRPr="00B9339C">
        <w:rPr>
          <w:rFonts w:ascii="Arial" w:hAnsi="Arial" w:cs="Arial"/>
        </w:rPr>
        <w:t xml:space="preserve"> en cuanto a la competencia territorial de la autoridad emisora. - - - - - - -</w:t>
      </w:r>
    </w:p>
    <w:p w:rsidR="004E4BBF" w:rsidRPr="00B9339C" w:rsidRDefault="004E4BBF" w:rsidP="004E4BBF">
      <w:pPr>
        <w:spacing w:after="0" w:line="360" w:lineRule="auto"/>
        <w:ind w:right="49" w:firstLine="567"/>
        <w:jc w:val="both"/>
        <w:rPr>
          <w:rFonts w:ascii="Arial" w:hAnsi="Arial" w:cs="Arial"/>
        </w:rPr>
      </w:pPr>
    </w:p>
    <w:p w:rsidR="004E4BBF" w:rsidRPr="00B9339C" w:rsidRDefault="004E4BBF" w:rsidP="004E4BBF">
      <w:pPr>
        <w:spacing w:after="0" w:line="360" w:lineRule="auto"/>
        <w:ind w:right="49" w:firstLine="567"/>
        <w:jc w:val="both"/>
        <w:rPr>
          <w:rFonts w:ascii="Arial" w:hAnsi="Arial" w:cs="Arial"/>
        </w:rPr>
      </w:pPr>
      <w:r w:rsidRPr="00B9339C">
        <w:rPr>
          <w:rFonts w:ascii="Arial" w:hAnsi="Arial" w:cs="Arial"/>
        </w:rPr>
        <w:t xml:space="preserve">Ello de conformidad con la Tesis III.4o.A.19 A, emitida por el Cuarto Tribunal Colegiado en Materia Administrativa del Tercer Circuito, publicada en el Semanario Judicial de la Federación y su Gaceta, Tomo XXV, Mayo de 2007, visible a página 2040, Novena Época, de rubro y texto siguientes: </w:t>
      </w:r>
    </w:p>
    <w:p w:rsidR="004E4BBF" w:rsidRPr="00B9339C" w:rsidRDefault="004E4BBF" w:rsidP="004E4BBF">
      <w:pPr>
        <w:spacing w:after="0" w:line="360" w:lineRule="auto"/>
        <w:ind w:right="49" w:firstLine="567"/>
        <w:jc w:val="both"/>
        <w:rPr>
          <w:rFonts w:ascii="Arial" w:hAnsi="Arial" w:cs="Arial"/>
        </w:rPr>
      </w:pPr>
    </w:p>
    <w:p w:rsidR="004E4BBF" w:rsidRPr="009F3D36" w:rsidRDefault="004E4BBF" w:rsidP="004E4BBF">
      <w:pPr>
        <w:spacing w:line="360" w:lineRule="auto"/>
        <w:ind w:left="567" w:right="616"/>
        <w:jc w:val="both"/>
        <w:rPr>
          <w:rFonts w:ascii="Times New Roman" w:hAnsi="Times New Roman" w:cs="Times New Roman"/>
          <w:b/>
          <w:bCs/>
          <w:color w:val="000000"/>
          <w:sz w:val="20"/>
          <w:szCs w:val="20"/>
        </w:rPr>
      </w:pPr>
      <w:r w:rsidRPr="009F3D36">
        <w:rPr>
          <w:rFonts w:ascii="Times New Roman" w:hAnsi="Times New Roman" w:cs="Times New Roman"/>
          <w:b/>
          <w:bCs/>
          <w:color w:val="000000"/>
          <w:sz w:val="20"/>
          <w:szCs w:val="20"/>
        </w:rPr>
        <w:t>“COMPETENCIA TERRITORIAL DE LAS AUTORIDADES ADMINISTRATIVAS. LA INSUFICIENTE FUNDAMENTACIÓN DE SUS ACTOS NO SE CONVALIDA, AUN CUANDO EN LA DEMANDA DE NULIDAD EL ACTOR TRANSCRIBA LA PARTE CONDUCENTE DEL PRECEPTO DONDE AQUÉLLA SE CONTENGA.</w:t>
      </w:r>
    </w:p>
    <w:p w:rsidR="004E4BBF" w:rsidRPr="009F3D36" w:rsidRDefault="004E4BBF" w:rsidP="004E4BBF">
      <w:pPr>
        <w:spacing w:line="360" w:lineRule="auto"/>
        <w:ind w:left="567" w:right="616"/>
        <w:jc w:val="both"/>
        <w:rPr>
          <w:rFonts w:ascii="Times New Roman" w:hAnsi="Times New Roman" w:cs="Times New Roman"/>
          <w:color w:val="000000"/>
          <w:sz w:val="20"/>
          <w:szCs w:val="20"/>
        </w:rPr>
      </w:pPr>
      <w:r w:rsidRPr="009F3D36">
        <w:rPr>
          <w:rFonts w:ascii="Times New Roman" w:hAnsi="Times New Roman" w:cs="Times New Roman"/>
          <w:color w:val="000000"/>
          <w:sz w:val="20"/>
          <w:szCs w:val="20"/>
        </w:rPr>
        <w:t>De las ejecutorias que dieron origen a las tesis de jurisprudencia 2a./J. 57/2001 y 2a./J. 115/2005, aprobadas por la Segunda Sala de la Suprema Corte de Justicia de la Nación, publicadas en el Semanario Judicial de la Federación y su Gaceta, Novena Época, Tomos XIV y XXII, noviembre de 2001 y septiembre de 2005, páginas 31 y 310, respectivamente, de rubros: "</w:t>
      </w:r>
      <w:hyperlink r:id="rId7" w:tgtFrame="_popup" w:history="1">
        <w:r w:rsidRPr="009F3D36">
          <w:rPr>
            <w:rStyle w:val="Hipervnculo"/>
            <w:rFonts w:ascii="Times New Roman" w:hAnsi="Times New Roman" w:cs="Times New Roman"/>
            <w:sz w:val="20"/>
            <w:szCs w:val="20"/>
          </w:rPr>
          <w:t>COMPETENCIA DE LAS AUTORIDADES ADMINISTRATIVAS. EN EL MANDAMIENTO ESCRITO QUE CONTIENE EL ACTO DE MOLESTIA, DEBE SEÑALARSE CON PRECISIÓN EL PRECEPTO LEGAL QUE LES OTORGUE LA ATRIBUCIÓN EJERCIDA Y, EN SU CASO, LA RESPECTIVA FRACCIÓN, INCISO Y SUBINCISO</w:t>
        </w:r>
      </w:hyperlink>
      <w:r w:rsidRPr="009F3D36">
        <w:rPr>
          <w:rFonts w:ascii="Times New Roman" w:hAnsi="Times New Roman" w:cs="Times New Roman"/>
          <w:color w:val="000000"/>
          <w:sz w:val="20"/>
          <w:szCs w:val="20"/>
        </w:rPr>
        <w:t>." y "</w:t>
      </w:r>
      <w:hyperlink r:id="rId8" w:tgtFrame="_popup" w:history="1">
        <w:r w:rsidRPr="009F3D36">
          <w:rPr>
            <w:rStyle w:val="Hipervnculo"/>
            <w:rFonts w:ascii="Times New Roman" w:hAnsi="Times New Roman" w:cs="Times New Roman"/>
            <w:sz w:val="20"/>
            <w:szCs w:val="20"/>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9F3D36">
        <w:rPr>
          <w:rFonts w:ascii="Times New Roman" w:hAnsi="Times New Roman" w:cs="Times New Roman"/>
          <w:color w:val="000000"/>
          <w:sz w:val="20"/>
          <w:szCs w:val="20"/>
        </w:rPr>
        <w:t>.", se advierte que la suficiente fundamentación de la competencia territorial de la autoridad administrativa tiene como principal objetivo proporcionar al gobernado los elementos necesarios para darle oportunidad de plantear una adecuada defensa; por tanto, cuando la citada autoridad la señala de manera parcial, ello genera el vicio de insuficiente fundamentación del acto e impide al gobernado cuestionar, de fondo, ese presupuesto, lo cual no se convalida aunque en la demanda de nulidad éste se refiera e incluso transcriba la parte conducente del precepto donde se finque la aludida competencia, si del análisis contextual de su argumento se advierte su intención de patentizar la ilegalidad del acto del órgano de gobierno y, por ende, dicho proceder transgrede el numeral </w:t>
      </w:r>
      <w:hyperlink r:id="rId9" w:history="1">
        <w:r w:rsidRPr="009F3D36">
          <w:rPr>
            <w:rStyle w:val="Hipervnculo"/>
            <w:rFonts w:ascii="Times New Roman" w:hAnsi="Times New Roman" w:cs="Times New Roman"/>
            <w:sz w:val="20"/>
            <w:szCs w:val="20"/>
          </w:rPr>
          <w:t>16 de la Carta Magna</w:t>
        </w:r>
      </w:hyperlink>
      <w:r w:rsidRPr="009F3D36">
        <w:rPr>
          <w:rFonts w:ascii="Times New Roman" w:hAnsi="Times New Roman" w:cs="Times New Roman"/>
          <w:color w:val="000000"/>
          <w:sz w:val="20"/>
          <w:szCs w:val="20"/>
        </w:rPr>
        <w:t xml:space="preserve">. Lo anterior es así, porque no basta que el fundamento de la competencia territorial de las autoridades esté en la ley, pues lo importante es que éstas, al emitir el acto de molestia lo </w:t>
      </w:r>
      <w:r w:rsidRPr="009F3D36">
        <w:rPr>
          <w:rFonts w:ascii="Times New Roman" w:hAnsi="Times New Roman" w:cs="Times New Roman"/>
          <w:color w:val="000000"/>
          <w:sz w:val="20"/>
          <w:szCs w:val="20"/>
        </w:rPr>
        <w:lastRenderedPageBreak/>
        <w:t>invoquen debidamente para que se pueda combatir en juicio; además, tener por confeso al accionante por la forma en que expuso su argumento, tendría como resultado perfeccionar la deficiencia del acto, lo que no es permisible, ya que son las autoridades las que deben fundamentar su competencia territorial y no los gobernados.”</w:t>
      </w:r>
    </w:p>
    <w:p w:rsidR="004E4BBF" w:rsidRPr="00B9339C" w:rsidRDefault="004E4BBF" w:rsidP="004E4BBF">
      <w:pPr>
        <w:spacing w:after="0" w:line="360" w:lineRule="auto"/>
        <w:ind w:right="49" w:firstLine="567"/>
        <w:jc w:val="both"/>
        <w:rPr>
          <w:rFonts w:ascii="Arial" w:hAnsi="Arial" w:cs="Arial"/>
        </w:rPr>
      </w:pPr>
      <w:r w:rsidRPr="00B9339C">
        <w:rPr>
          <w:rFonts w:ascii="Arial" w:hAnsi="Arial" w:cs="Arial"/>
        </w:rPr>
        <w:t xml:space="preserve">Consecuentemente, ante la omisión por parte de la autoridad demandada a citar el acuerdo por el que se establece la circunscripción territorial de la Secretaría de Finanzas del Poder Ejecutivo del Estado y sus Delegaciones y Subdelegaciones Fiscales en el Estado, mismo que le otorga competencia territorial para emitir el oficio con número de control </w:t>
      </w:r>
      <w:r w:rsidR="00CE13DD">
        <w:rPr>
          <w:rFonts w:ascii="Arial" w:hAnsi="Arial" w:cs="Arial"/>
          <w:b/>
        </w:rPr>
        <w:t>***** *****</w:t>
      </w:r>
      <w:r w:rsidRPr="00B9339C">
        <w:rPr>
          <w:rFonts w:ascii="Arial" w:hAnsi="Arial" w:cs="Arial"/>
        </w:rPr>
        <w:t xml:space="preserve"> de fecha 27 de julio de 2018, es que debe determinarse su Nulidad Lisa 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rsidR="004E4BBF" w:rsidRPr="00B9339C" w:rsidRDefault="004E4BBF" w:rsidP="004E4BBF">
      <w:pPr>
        <w:spacing w:after="0" w:line="360" w:lineRule="auto"/>
        <w:ind w:right="49" w:firstLine="567"/>
        <w:jc w:val="both"/>
        <w:rPr>
          <w:rFonts w:ascii="Arial" w:hAnsi="Arial" w:cs="Arial"/>
        </w:rPr>
      </w:pPr>
    </w:p>
    <w:p w:rsidR="004E4BBF" w:rsidRPr="009F3D36" w:rsidRDefault="004E4BBF" w:rsidP="004E4BBF">
      <w:pPr>
        <w:spacing w:line="360" w:lineRule="auto"/>
        <w:ind w:left="567" w:right="616"/>
        <w:jc w:val="both"/>
        <w:rPr>
          <w:rFonts w:ascii="Times New Roman" w:hAnsi="Times New Roman" w:cs="Times New Roman"/>
          <w:b/>
          <w:bCs/>
          <w:color w:val="000000"/>
          <w:sz w:val="20"/>
          <w:szCs w:val="20"/>
        </w:rPr>
      </w:pPr>
      <w:r w:rsidRPr="009F3D36">
        <w:rPr>
          <w:rFonts w:ascii="Times New Roman" w:hAnsi="Times New Roman" w:cs="Times New Roman"/>
          <w:b/>
          <w:bCs/>
          <w:color w:val="000000"/>
          <w:sz w:val="20"/>
          <w:szCs w:val="20"/>
        </w:rPr>
        <w:t>“NULIDAD. LA DECRETADA POR INSUFICIENCIA EN LA FUNDAMENTACIÓN DE LA COMPETENCIA DE LA AUTORIDAD ADMINISTRATIVA, DEBE SER LISA Y LLANA.</w:t>
      </w:r>
    </w:p>
    <w:p w:rsidR="004E4BBF" w:rsidRPr="009F3D36" w:rsidRDefault="004E4BBF" w:rsidP="004E4BBF">
      <w:pPr>
        <w:spacing w:line="360" w:lineRule="auto"/>
        <w:ind w:left="567" w:right="616"/>
        <w:jc w:val="both"/>
        <w:rPr>
          <w:rFonts w:ascii="Times New Roman" w:hAnsi="Times New Roman" w:cs="Times New Roman"/>
          <w:color w:val="000000"/>
          <w:sz w:val="20"/>
          <w:szCs w:val="20"/>
        </w:rPr>
      </w:pPr>
      <w:r w:rsidRPr="009F3D36">
        <w:rPr>
          <w:rFonts w:ascii="Times New Roman" w:hAnsi="Times New Roman" w:cs="Times New Roman"/>
          <w:color w:val="000000"/>
          <w:sz w:val="20"/>
          <w:szCs w:val="20"/>
        </w:rPr>
        <w:t>En congruencia con la jurisprudencia 2a./J. 52/2001 de esta Segunda Sala, publicada en el Semanario Judicial de la Federación y su Gaceta, Novena Época, Tomo XIV, noviembre de 2001, página 32, con el rubro: "</w:t>
      </w:r>
      <w:hyperlink r:id="rId10" w:tgtFrame="_popup" w:history="1">
        <w:r w:rsidRPr="009F3D36">
          <w:rPr>
            <w:rStyle w:val="Hipervnculo"/>
            <w:rFonts w:ascii="Times New Roman" w:hAnsi="Times New Roman" w:cs="Times New Roman"/>
            <w:sz w:val="20"/>
            <w:szCs w:val="20"/>
          </w:rPr>
          <w:t>COMPETENCIA DE LAS AUTORIDADES ADMINISTRATIVAS. LA NULIDAD DECRETADA POR NO HABERLA FUNDADO NO PUEDE SER PARA EFECTOS, EXCEPTO EN LOS CASOS EN QUE LA RESOLUCIÓN IMPUGNADA RECAIGA A UNA PETICIÓN, INSTANCIA O RECURSO</w:t>
        </w:r>
      </w:hyperlink>
      <w:r w:rsidRPr="009F3D36">
        <w:rPr>
          <w:rFonts w:ascii="Times New Roman" w:hAnsi="Times New Roman" w:cs="Times New Roman"/>
          <w:color w:val="000000"/>
          <w:sz w:val="20"/>
          <w:szCs w:val="20"/>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4E4BBF" w:rsidRPr="009F3D36" w:rsidRDefault="004E4BBF" w:rsidP="004E4BBF">
      <w:pPr>
        <w:spacing w:after="0" w:line="360" w:lineRule="auto"/>
        <w:ind w:right="49" w:firstLine="567"/>
        <w:jc w:val="both"/>
        <w:rPr>
          <w:rFonts w:ascii="Arial" w:hAnsi="Arial" w:cs="Arial"/>
          <w:sz w:val="20"/>
          <w:szCs w:val="20"/>
        </w:rPr>
      </w:pPr>
    </w:p>
    <w:p w:rsidR="004E4BBF" w:rsidRDefault="004E4BBF" w:rsidP="004E4BBF">
      <w:pPr>
        <w:spacing w:after="0" w:line="360" w:lineRule="auto"/>
        <w:ind w:right="49" w:firstLine="567"/>
        <w:jc w:val="both"/>
        <w:rPr>
          <w:rFonts w:ascii="Arial" w:hAnsi="Arial" w:cs="Arial"/>
        </w:rPr>
      </w:pPr>
      <w:r w:rsidRPr="00B9339C">
        <w:rPr>
          <w:rFonts w:ascii="Arial" w:hAnsi="Arial" w:cs="Arial"/>
        </w:rPr>
        <w:t>Finalmente, respecto al resto de los conceptos de impugnación esgrimidos por el accionante, atendiendo al principio de mayor beneficio, su procedencia no resultaría en un resolución más favorable, por lo que resulta ocioso el estudio de los mismos</w:t>
      </w:r>
      <w:r>
        <w:rPr>
          <w:rFonts w:ascii="Arial" w:hAnsi="Arial" w:cs="Arial"/>
        </w:rPr>
        <w:t>. Lo anterior tiene sustento en la tesis aislada de los Tribunales Colegiados de Circuito, con número de registro 196920, publicada en el Semanario Judicial de la Federación y su gaceta, Tomo VII, Febrero de 1998, visible a página 547, Novena Época:</w:t>
      </w:r>
    </w:p>
    <w:p w:rsidR="004E4BBF" w:rsidRDefault="004E4BBF" w:rsidP="004E4BBF">
      <w:pPr>
        <w:spacing w:after="0" w:line="360" w:lineRule="auto"/>
        <w:ind w:right="49" w:firstLine="567"/>
        <w:jc w:val="both"/>
        <w:rPr>
          <w:rFonts w:ascii="Arial" w:hAnsi="Arial" w:cs="Arial"/>
        </w:rPr>
      </w:pPr>
    </w:p>
    <w:p w:rsidR="004E4BBF" w:rsidRPr="009F3D36" w:rsidRDefault="004E4BBF" w:rsidP="004E4BBF">
      <w:pPr>
        <w:autoSpaceDE w:val="0"/>
        <w:autoSpaceDN w:val="0"/>
        <w:adjustRightInd w:val="0"/>
        <w:spacing w:after="0" w:line="240" w:lineRule="auto"/>
        <w:ind w:left="567" w:right="616"/>
        <w:jc w:val="both"/>
        <w:rPr>
          <w:rFonts w:ascii="Times New Roman" w:hAnsi="Times New Roman" w:cs="Times New Roman"/>
          <w:b/>
          <w:color w:val="000000"/>
          <w:sz w:val="20"/>
          <w:szCs w:val="20"/>
        </w:rPr>
      </w:pPr>
      <w:r w:rsidRPr="009F3D36">
        <w:rPr>
          <w:rFonts w:ascii="Times New Roman" w:hAnsi="Times New Roman" w:cs="Times New Roman"/>
          <w:b/>
          <w:color w:val="000000"/>
          <w:sz w:val="20"/>
          <w:szCs w:val="20"/>
        </w:rPr>
        <w:t>“SENTENCIA DEL TRIBUNAL FISCAL DE LA FEDERACIÓN QUE DECLARA LA NULIDADLISA Y LLANA DE LA RESOLUCIÓN IMPUGNADA. HACE INNECESARIO EL ESTUDIO DE DIVERSAS CAUSALES DE ILEGALIDAD QUE PUDIERAN PRODUCIR EL MISMO EFECTO.</w:t>
      </w:r>
    </w:p>
    <w:p w:rsidR="004E4BBF" w:rsidRPr="009F3D36" w:rsidRDefault="004E4BBF" w:rsidP="004E4BBF">
      <w:pPr>
        <w:autoSpaceDE w:val="0"/>
        <w:autoSpaceDN w:val="0"/>
        <w:adjustRightInd w:val="0"/>
        <w:spacing w:after="0" w:line="240" w:lineRule="auto"/>
        <w:ind w:left="567" w:right="616"/>
        <w:jc w:val="both"/>
        <w:rPr>
          <w:rFonts w:ascii="Times New Roman" w:hAnsi="Times New Roman" w:cs="Times New Roman"/>
          <w:color w:val="000000"/>
          <w:sz w:val="20"/>
          <w:szCs w:val="20"/>
        </w:rPr>
      </w:pPr>
    </w:p>
    <w:p w:rsidR="004E4BBF" w:rsidRPr="009F3D36" w:rsidRDefault="004E4BBF" w:rsidP="004E4BBF">
      <w:pPr>
        <w:autoSpaceDE w:val="0"/>
        <w:autoSpaceDN w:val="0"/>
        <w:adjustRightInd w:val="0"/>
        <w:spacing w:after="0" w:line="240" w:lineRule="auto"/>
        <w:ind w:left="567" w:right="616"/>
        <w:jc w:val="both"/>
        <w:rPr>
          <w:rFonts w:ascii="Times New Roman" w:hAnsi="Times New Roman" w:cs="Times New Roman"/>
          <w:sz w:val="20"/>
          <w:szCs w:val="20"/>
        </w:rPr>
      </w:pPr>
      <w:r w:rsidRPr="009F3D36">
        <w:rPr>
          <w:rFonts w:ascii="Times New Roman" w:hAnsi="Times New Roman" w:cs="Times New Roman"/>
          <w:color w:val="000000"/>
          <w:sz w:val="20"/>
          <w:szCs w:val="20"/>
        </w:rPr>
        <w:t>De la interpretación del artículo 237, primero y segundo párrafos, del Código Fiscal de la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Federación vigente, se advierte que consigna el principio de congruencia tocante a que la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lastRenderedPageBreak/>
        <w:t>responsable debe ocuparse de todos y cada uno de los puntos controvertidos; pero el principio</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sufre una excepción cuando en el caso se alegan diversas causales de ilegalidad del acto</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administrativo fiscal que ven al fondo de la cuestión planteada y no a vicios formales o de</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procedimiento, porque al declarar fundada una causal de nulidad que trajo como consecuencia la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invalidez lisa y llana del acto combatido, resulta ocioso exigir el estudio de los demás conceptos</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de anulación que atañen al fondo del negocio, pues cualquiera que fuere su análisis, no variaría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el sentido ni la consecuencia de la nulidad decretada, pues el análisis de los repetidos motivos de</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ilegalidad iría en contra de la práctica de la impartición de justicia que debe ser, en términos del</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artículo 17 constitucional, pronta, completa e imparcial. Por otra parte, el decretar la nulidad lisa y</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llana del acto fiscal combatido no produce un estado de indefensión, pues en el caso de que la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demandada interponga recurso de revisión fiscal, aunque la responsable sólo haya examinando</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una causal de ilegalidad por considerarla fundada y suficiente, una vez interpuesta la revisión</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fiscal o medio de impugnación que pueda hacer valer la autoridad demandada, el Tribunal</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Colegiado de Circuito a quien corresponda conocer del mismo, de estimar fundados los agravios</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opuestos y pronunciarse en el sentido de revocar la resolución de la Sala, lógica y jurídicamente</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tendría que ordenar a ésta que llevara a cabo el análisis de los conceptos de anulación cuyo</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estudio omitió. Además, el orden lógico del análisis de los conceptos de nulidad estriba en que,</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primero, deberán analizarse los motivos de ilegalidad que puedan llevar a declarar la nulidad lisa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y llana de la resolución y si alguna resultó fundada, es suficiente para declarar la nulidad aludida,</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sin que sea necesario estudiar los siguientes motivos de invalidez, pues por su naturaleza, en</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términos del artículo 238 del Código Fiscal de la Federación, produce la nulidad citada y excluye</w:t>
      </w:r>
      <w:r w:rsidRPr="009F3D36">
        <w:rPr>
          <w:rFonts w:ascii="Times New Roman" w:hAnsi="Times New Roman" w:cs="Times New Roman"/>
          <w:sz w:val="20"/>
          <w:szCs w:val="20"/>
        </w:rPr>
        <w:t xml:space="preserve"> </w:t>
      </w:r>
      <w:r w:rsidRPr="009F3D36">
        <w:rPr>
          <w:rFonts w:ascii="Times New Roman" w:hAnsi="Times New Roman" w:cs="Times New Roman"/>
          <w:color w:val="000000"/>
          <w:sz w:val="20"/>
          <w:szCs w:val="20"/>
        </w:rPr>
        <w:t>el estudio de las restantes.”</w:t>
      </w:r>
    </w:p>
    <w:p w:rsidR="004E4BBF" w:rsidRPr="009F3D36" w:rsidRDefault="004E4BBF" w:rsidP="004E4BBF">
      <w:pPr>
        <w:spacing w:after="0" w:line="360" w:lineRule="auto"/>
        <w:ind w:right="49" w:firstLine="567"/>
        <w:jc w:val="both"/>
        <w:rPr>
          <w:rFonts w:ascii="Times New Roman" w:hAnsi="Times New Roman" w:cs="Times New Roman"/>
          <w:sz w:val="20"/>
          <w:szCs w:val="20"/>
        </w:rPr>
      </w:pPr>
    </w:p>
    <w:p w:rsidR="004E4BBF" w:rsidRPr="00894E77" w:rsidRDefault="004E4BBF" w:rsidP="004E4BBF">
      <w:pPr>
        <w:spacing w:after="0" w:line="360" w:lineRule="auto"/>
        <w:ind w:right="49" w:firstLine="567"/>
        <w:jc w:val="both"/>
        <w:rPr>
          <w:rFonts w:ascii="Arial" w:hAnsi="Arial" w:cs="Arial"/>
        </w:rPr>
      </w:pPr>
      <w:r w:rsidRPr="00B9339C">
        <w:rPr>
          <w:rFonts w:ascii="Arial" w:hAnsi="Arial" w:cs="Arial"/>
        </w:rPr>
        <w:t>Por lo expuesto y con fundamento en los artículos 207, 208 fracciones II y III, y209 de Ley de Procedimiento y Justicia Administrativa para el Estado de Oaxaca, se;</w:t>
      </w:r>
      <w:r w:rsidRPr="00894E77">
        <w:rPr>
          <w:rFonts w:ascii="Arial" w:hAnsi="Arial" w:cs="Arial"/>
        </w:rPr>
        <w:t xml:space="preserve"> </w:t>
      </w:r>
    </w:p>
    <w:p w:rsidR="004E4BBF" w:rsidRPr="00894E77" w:rsidRDefault="004E4BBF" w:rsidP="004E4BBF">
      <w:pPr>
        <w:spacing w:after="0" w:line="360" w:lineRule="auto"/>
        <w:ind w:right="49" w:firstLine="708"/>
        <w:jc w:val="center"/>
        <w:rPr>
          <w:rFonts w:ascii="Arial" w:hAnsi="Arial" w:cs="Arial"/>
          <w:b/>
        </w:rPr>
      </w:pPr>
    </w:p>
    <w:p w:rsidR="004E4BBF" w:rsidRPr="00894E77" w:rsidRDefault="004E4BBF" w:rsidP="004E4BBF">
      <w:pPr>
        <w:spacing w:after="0" w:line="360" w:lineRule="auto"/>
        <w:ind w:right="49" w:firstLine="708"/>
        <w:jc w:val="center"/>
        <w:rPr>
          <w:rFonts w:ascii="Arial" w:hAnsi="Arial" w:cs="Arial"/>
          <w:b/>
        </w:rPr>
      </w:pPr>
      <w:r w:rsidRPr="00894E77">
        <w:rPr>
          <w:rFonts w:ascii="Arial" w:hAnsi="Arial" w:cs="Arial"/>
          <w:b/>
        </w:rPr>
        <w:t>R E S U E L V E:</w:t>
      </w:r>
    </w:p>
    <w:p w:rsidR="004E4BBF" w:rsidRPr="00894E77" w:rsidRDefault="004E4BBF" w:rsidP="004E4BBF">
      <w:pPr>
        <w:spacing w:after="0" w:line="360" w:lineRule="auto"/>
        <w:ind w:right="49" w:firstLine="708"/>
        <w:rPr>
          <w:rFonts w:ascii="Arial" w:hAnsi="Arial" w:cs="Arial"/>
          <w:b/>
        </w:rPr>
      </w:pPr>
    </w:p>
    <w:p w:rsidR="004E4BBF" w:rsidRPr="00894E77" w:rsidRDefault="004E4BBF" w:rsidP="004E4BBF">
      <w:pPr>
        <w:spacing w:after="0" w:line="360" w:lineRule="auto"/>
        <w:ind w:right="49" w:firstLine="708"/>
        <w:jc w:val="both"/>
        <w:rPr>
          <w:rFonts w:ascii="Arial" w:hAnsi="Arial" w:cs="Arial"/>
        </w:rPr>
      </w:pPr>
      <w:r w:rsidRPr="00894E77">
        <w:rPr>
          <w:rFonts w:ascii="Arial" w:hAnsi="Arial" w:cs="Arial"/>
          <w:b/>
        </w:rPr>
        <w:t>PRIMERO.-</w:t>
      </w:r>
      <w:r w:rsidRPr="00894E77">
        <w:rPr>
          <w:rFonts w:ascii="Arial" w:hAnsi="Arial" w:cs="Arial"/>
        </w:rPr>
        <w:t xml:space="preserve"> Esta Sexta Sala Unitaria fue competente para conocer y resolver del presente asunto. - - - - - - - - - - - - - - - - - - - - - - - - - - - - - - - - - - - - - - - - - - - - - - - - - - - - - </w:t>
      </w:r>
    </w:p>
    <w:p w:rsidR="004E4BBF" w:rsidRPr="00894E77" w:rsidRDefault="004E4BBF" w:rsidP="004E4BBF">
      <w:pPr>
        <w:spacing w:after="0" w:line="360" w:lineRule="auto"/>
        <w:ind w:right="49"/>
        <w:jc w:val="both"/>
        <w:rPr>
          <w:rFonts w:ascii="Arial" w:hAnsi="Arial" w:cs="Arial"/>
        </w:rPr>
      </w:pPr>
    </w:p>
    <w:p w:rsidR="004E4BBF" w:rsidRPr="00894E77" w:rsidRDefault="004E4BBF" w:rsidP="004E4BBF">
      <w:pPr>
        <w:spacing w:after="0" w:line="360" w:lineRule="auto"/>
        <w:ind w:right="49" w:firstLine="708"/>
        <w:jc w:val="both"/>
        <w:rPr>
          <w:rFonts w:ascii="Arial" w:hAnsi="Arial" w:cs="Arial"/>
        </w:rPr>
      </w:pPr>
      <w:r w:rsidRPr="00894E77">
        <w:rPr>
          <w:rFonts w:ascii="Arial" w:hAnsi="Arial" w:cs="Arial"/>
          <w:b/>
        </w:rPr>
        <w:t>SEGUNDO.-</w:t>
      </w:r>
      <w:r w:rsidRPr="00894E77">
        <w:rPr>
          <w:rFonts w:ascii="Arial" w:hAnsi="Arial" w:cs="Arial"/>
        </w:rPr>
        <w:t xml:space="preserve"> La personalidad y personería de las partes quedó acreditada en autos. - - - - - - - - - - - - - - - - - - - - - - - - - - - - - - - - - - - - - - - - - - - - - - - - - - - - - - - - - - - - </w:t>
      </w:r>
    </w:p>
    <w:p w:rsidR="004E4BBF" w:rsidRPr="00894E77" w:rsidRDefault="004E4BBF" w:rsidP="004E4BBF">
      <w:pPr>
        <w:spacing w:after="0" w:line="360" w:lineRule="auto"/>
        <w:ind w:right="49" w:firstLine="708"/>
        <w:jc w:val="both"/>
        <w:rPr>
          <w:rFonts w:ascii="Arial" w:hAnsi="Arial" w:cs="Arial"/>
          <w:b/>
        </w:rPr>
      </w:pPr>
    </w:p>
    <w:p w:rsidR="004E4BBF" w:rsidRPr="00894E77" w:rsidRDefault="004E4BBF" w:rsidP="004E4BBF">
      <w:pPr>
        <w:spacing w:after="0" w:line="360" w:lineRule="auto"/>
        <w:ind w:right="49" w:firstLine="708"/>
        <w:jc w:val="both"/>
        <w:rPr>
          <w:rFonts w:ascii="Arial" w:hAnsi="Arial" w:cs="Arial"/>
        </w:rPr>
      </w:pPr>
      <w:r w:rsidRPr="00894E77">
        <w:rPr>
          <w:rFonts w:ascii="Arial" w:hAnsi="Arial" w:cs="Arial"/>
          <w:b/>
        </w:rPr>
        <w:t>TERCERO.-</w:t>
      </w:r>
      <w:r w:rsidRPr="00894E77">
        <w:rPr>
          <w:rFonts w:ascii="Arial" w:hAnsi="Arial" w:cs="Arial"/>
        </w:rPr>
        <w:t xml:space="preserve"> No se actualizaron causales de improcedencia y sobreseimiento hechas valer por la autoridad demandada. - - - - - - - - - - - - - - - - - - - - - - - - - - - - - - - - - - </w:t>
      </w:r>
    </w:p>
    <w:p w:rsidR="004E4BBF" w:rsidRPr="00894E77" w:rsidRDefault="004E4BBF" w:rsidP="004E4BBF">
      <w:pPr>
        <w:spacing w:after="0" w:line="360" w:lineRule="auto"/>
        <w:ind w:right="49"/>
        <w:jc w:val="both"/>
        <w:rPr>
          <w:rFonts w:ascii="Arial" w:hAnsi="Arial" w:cs="Arial"/>
        </w:rPr>
      </w:pPr>
    </w:p>
    <w:p w:rsidR="004E4BBF" w:rsidRPr="00894E77" w:rsidRDefault="004E4BBF" w:rsidP="004E4BBF">
      <w:pPr>
        <w:spacing w:after="0" w:line="360" w:lineRule="auto"/>
        <w:ind w:right="49" w:firstLine="708"/>
        <w:jc w:val="both"/>
        <w:rPr>
          <w:rFonts w:ascii="Arial" w:hAnsi="Arial" w:cs="Arial"/>
        </w:rPr>
      </w:pPr>
      <w:r w:rsidRPr="00894E77">
        <w:rPr>
          <w:rFonts w:ascii="Arial" w:hAnsi="Arial" w:cs="Arial"/>
          <w:b/>
        </w:rPr>
        <w:t xml:space="preserve">CUARTO.- </w:t>
      </w:r>
      <w:r w:rsidRPr="00894E77">
        <w:rPr>
          <w:rFonts w:ascii="Arial" w:hAnsi="Arial" w:cs="Arial"/>
        </w:rPr>
        <w:t xml:space="preserve">Se declara la </w:t>
      </w:r>
      <w:r w:rsidRPr="00894E77">
        <w:rPr>
          <w:rFonts w:ascii="Arial" w:hAnsi="Arial" w:cs="Arial"/>
          <w:b/>
        </w:rPr>
        <w:t>NULIDAD LISA Y LLANA</w:t>
      </w:r>
      <w:r w:rsidRPr="00894E77">
        <w:rPr>
          <w:rFonts w:ascii="Arial" w:hAnsi="Arial" w:cs="Arial"/>
        </w:rPr>
        <w:t xml:space="preserve"> del oficio con número de control </w:t>
      </w:r>
      <w:r w:rsidR="00CE13DD">
        <w:rPr>
          <w:rFonts w:ascii="Arial" w:hAnsi="Arial" w:cs="Arial"/>
          <w:b/>
        </w:rPr>
        <w:t>***** *****</w:t>
      </w:r>
      <w:r w:rsidRPr="00894E77">
        <w:rPr>
          <w:rFonts w:ascii="Arial" w:hAnsi="Arial" w:cs="Arial"/>
        </w:rPr>
        <w:t xml:space="preserve"> fecha </w:t>
      </w:r>
      <w:r>
        <w:rPr>
          <w:rFonts w:ascii="Arial" w:hAnsi="Arial" w:cs="Arial"/>
        </w:rPr>
        <w:t>veintisiete de julio del dos mil dieciocho</w:t>
      </w:r>
      <w:r w:rsidRPr="00894E77">
        <w:rPr>
          <w:rFonts w:ascii="Arial" w:hAnsi="Arial" w:cs="Arial"/>
        </w:rPr>
        <w:t xml:space="preserve">, emitido por la Directora de Ingresos y Recaudación dependiente de la Subsecretaría de Ingresos de la Secretaría de Finanzas del Poder Ejecutivo del Estado de Oaxaca. - - - - - - - - - - - - - - - - </w:t>
      </w:r>
    </w:p>
    <w:p w:rsidR="004E4BBF" w:rsidRPr="00894E77" w:rsidRDefault="004E4BBF" w:rsidP="004E4BBF">
      <w:pPr>
        <w:spacing w:after="0" w:line="360" w:lineRule="auto"/>
        <w:ind w:right="49" w:firstLine="708"/>
        <w:jc w:val="both"/>
        <w:rPr>
          <w:rFonts w:ascii="Arial" w:hAnsi="Arial" w:cs="Arial"/>
        </w:rPr>
      </w:pPr>
    </w:p>
    <w:p w:rsidR="004E4BBF" w:rsidRPr="00894E77" w:rsidRDefault="004E4BBF" w:rsidP="004E4BBF">
      <w:pPr>
        <w:spacing w:after="0" w:line="360" w:lineRule="auto"/>
        <w:ind w:right="49" w:firstLine="708"/>
        <w:jc w:val="both"/>
        <w:rPr>
          <w:rFonts w:ascii="Arial" w:hAnsi="Arial" w:cs="Arial"/>
        </w:rPr>
      </w:pPr>
      <w:r w:rsidRPr="00894E77">
        <w:rPr>
          <w:rFonts w:ascii="Arial" w:hAnsi="Arial" w:cs="Arial"/>
          <w:b/>
        </w:rPr>
        <w:t>QUINTO.- NOTIFÍQUESE PERSONALMENTE AL ACTOR Y POR OFICIO A LA AUTORIDAD DEMANDADA</w:t>
      </w:r>
      <w:r w:rsidRPr="00894E77">
        <w:rPr>
          <w:rFonts w:ascii="Arial" w:hAnsi="Arial" w:cs="Arial"/>
        </w:rPr>
        <w:t>, con fundamento en los artículos 172 fracción I y 173 fraccione</w:t>
      </w:r>
      <w:r>
        <w:rPr>
          <w:rFonts w:ascii="Arial" w:hAnsi="Arial" w:cs="Arial"/>
        </w:rPr>
        <w:t>s I y II, de la Ley de Procedimiento y Justicia Administrativa</w:t>
      </w:r>
      <w:r w:rsidRPr="00894E77">
        <w:rPr>
          <w:rFonts w:ascii="Arial" w:hAnsi="Arial" w:cs="Arial"/>
        </w:rPr>
        <w:t xml:space="preserve"> para el Estado de Oaxaca.</w:t>
      </w:r>
      <w:r w:rsidRPr="00894E77">
        <w:rPr>
          <w:rFonts w:ascii="Arial" w:hAnsi="Arial" w:cs="Arial"/>
          <w:b/>
          <w:iCs/>
        </w:rPr>
        <w:t>- CÚMPLASE</w:t>
      </w:r>
      <w:r w:rsidRPr="00894E77">
        <w:rPr>
          <w:rFonts w:ascii="Arial" w:hAnsi="Arial" w:cs="Arial"/>
        </w:rPr>
        <w:t>. - - - - - - - - - - - - - - - - - - - - - - - - - - - - - - - - - - - - - - - -</w:t>
      </w:r>
      <w:r>
        <w:rPr>
          <w:rFonts w:ascii="Arial" w:hAnsi="Arial" w:cs="Arial"/>
        </w:rPr>
        <w:t xml:space="preserve"> - - - - - - - - </w:t>
      </w:r>
      <w:r w:rsidRPr="00894E77">
        <w:rPr>
          <w:rFonts w:ascii="Arial" w:hAnsi="Arial" w:cs="Arial"/>
        </w:rPr>
        <w:t xml:space="preserve"> </w:t>
      </w:r>
    </w:p>
    <w:p w:rsidR="004E4BBF" w:rsidRPr="00894E77" w:rsidRDefault="004E4BBF" w:rsidP="004E4BBF">
      <w:pPr>
        <w:spacing w:after="0" w:line="360" w:lineRule="auto"/>
        <w:ind w:right="49" w:firstLine="708"/>
        <w:jc w:val="both"/>
        <w:rPr>
          <w:rFonts w:ascii="Arial" w:hAnsi="Arial" w:cs="Arial"/>
        </w:rPr>
      </w:pPr>
    </w:p>
    <w:p w:rsidR="004E4BBF" w:rsidRPr="001F0AA4" w:rsidRDefault="004E4BBF" w:rsidP="004E4BBF">
      <w:pPr>
        <w:spacing w:after="0" w:line="360" w:lineRule="auto"/>
        <w:ind w:right="49" w:firstLine="708"/>
        <w:jc w:val="both"/>
        <w:rPr>
          <w:rFonts w:ascii="Arial" w:hAnsi="Arial" w:cs="Arial"/>
        </w:rPr>
      </w:pPr>
      <w:r w:rsidRPr="00894E77">
        <w:rPr>
          <w:rFonts w:ascii="Arial" w:hAnsi="Arial" w:cs="Arial"/>
        </w:rPr>
        <w:t>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 - - - - - - - - - - - - - - - - - - - - - - - - - - - - - - - - - - - - - - -</w:t>
      </w:r>
      <w:r>
        <w:rPr>
          <w:rFonts w:ascii="Arial" w:hAnsi="Arial" w:cs="Arial"/>
        </w:rPr>
        <w:t xml:space="preserve"> </w:t>
      </w:r>
      <w:r w:rsidRPr="001F0AA4">
        <w:rPr>
          <w:rFonts w:ascii="Arial" w:hAnsi="Arial" w:cs="Arial"/>
        </w:rPr>
        <w:t xml:space="preserve"> </w:t>
      </w:r>
    </w:p>
    <w:p w:rsidR="004E4BBF" w:rsidRPr="001F0AA4" w:rsidRDefault="004E4BBF" w:rsidP="004E4BBF">
      <w:pPr>
        <w:spacing w:after="0" w:line="360" w:lineRule="auto"/>
        <w:ind w:right="49" w:firstLine="708"/>
        <w:jc w:val="both"/>
        <w:rPr>
          <w:rFonts w:ascii="Arial" w:hAnsi="Arial" w:cs="Arial"/>
        </w:rPr>
      </w:pPr>
    </w:p>
    <w:p w:rsidR="004E4BBF" w:rsidRPr="001F0AA4" w:rsidRDefault="004E4BBF" w:rsidP="004E4BBF">
      <w:pPr>
        <w:spacing w:after="0" w:line="360" w:lineRule="auto"/>
        <w:ind w:right="49" w:firstLine="708"/>
        <w:jc w:val="both"/>
        <w:rPr>
          <w:rFonts w:ascii="Arial" w:hAnsi="Arial" w:cs="Arial"/>
        </w:rPr>
      </w:pPr>
    </w:p>
    <w:p w:rsidR="004E4BBF" w:rsidRPr="001D4C6D" w:rsidRDefault="004E4BBF" w:rsidP="004E4BBF"/>
    <w:p w:rsidR="004800A0" w:rsidRDefault="004800A0"/>
    <w:sectPr w:rsidR="004800A0"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C72" w:rsidRDefault="00D16C72">
      <w:pPr>
        <w:spacing w:after="0" w:line="240" w:lineRule="auto"/>
      </w:pPr>
      <w:r>
        <w:separator/>
      </w:r>
    </w:p>
  </w:endnote>
  <w:endnote w:type="continuationSeparator" w:id="0">
    <w:p w:rsidR="00D16C72" w:rsidRDefault="00D16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C72" w:rsidRDefault="00D16C72">
      <w:pPr>
        <w:spacing w:after="0" w:line="240" w:lineRule="auto"/>
      </w:pPr>
      <w:r>
        <w:separator/>
      </w:r>
    </w:p>
  </w:footnote>
  <w:footnote w:type="continuationSeparator" w:id="0">
    <w:p w:rsidR="00D16C72" w:rsidRDefault="00D16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CE13DD">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0B03417" wp14:editId="02CB118E">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Default="00C24392"/>
                            <w:p w:rsidR="007D6863" w:rsidRPr="00E7449B" w:rsidRDefault="00CE13DD">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03417"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Default="00CE13DD"/>
                      <w:p w:rsidR="007D6863" w:rsidRPr="00E7449B" w:rsidRDefault="00CE13DD">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4D63D0" w:rsidRPr="004D63D0">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D3C"/>
    <w:rsid w:val="004800A0"/>
    <w:rsid w:val="004D63D0"/>
    <w:rsid w:val="004E4BBF"/>
    <w:rsid w:val="006B0D3C"/>
    <w:rsid w:val="006F51EB"/>
    <w:rsid w:val="00C24392"/>
    <w:rsid w:val="00CE13DD"/>
    <w:rsid w:val="00D16C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D3C"/>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0D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0D3C"/>
    <w:rPr>
      <w:sz w:val="22"/>
      <w:szCs w:val="22"/>
    </w:rPr>
  </w:style>
  <w:style w:type="character" w:styleId="Hipervnculo">
    <w:name w:val="Hyperlink"/>
    <w:basedOn w:val="Fuentedeprrafopredeter"/>
    <w:uiPriority w:val="99"/>
    <w:semiHidden/>
    <w:unhideWhenUsed/>
    <w:rsid w:val="004E4B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77347&amp;Clase=DetalleTesisB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jf.scjn.gob.mx/sjfsist/paginas/DetalleGeneralV2.aspx?id=188432&amp;Clase=DetalleTesisB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jf.scjn.gob.mx/sjfsist/paginas/DetalleGeneralV2.aspx?id=177347&amp;Clase=DetalleTesisB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sjf.scjn.gob.mx/sjfsist/paginas/DetalleGeneralV2.aspx?id=188431&amp;Clase=DetalleTesisBL" TargetMode="External"/><Relationship Id="rId4" Type="http://schemas.openxmlformats.org/officeDocument/2006/relationships/footnotes" Target="footnotes.xml"/><Relationship Id="rId9" Type="http://schemas.openxmlformats.org/officeDocument/2006/relationships/hyperlink" Target="javascript:AbrirModal(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6175</Words>
  <Characters>33966</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2019-07-08T14:58:00Z</dcterms:created>
  <dcterms:modified xsi:type="dcterms:W3CDTF">2019-07-10T18:56:00Z</dcterms:modified>
</cp:coreProperties>
</file>