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7C0" w:rsidRPr="007B0581" w:rsidRDefault="000E27C0" w:rsidP="000E27C0">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0E27C0" w:rsidRPr="007B0581" w:rsidRDefault="000E27C0" w:rsidP="000E27C0">
      <w:pPr>
        <w:pStyle w:val="corte4fondo"/>
        <w:spacing w:line="276" w:lineRule="auto"/>
        <w:ind w:left="3544" w:right="-521" w:firstLine="0"/>
        <w:rPr>
          <w:rFonts w:cs="Arial"/>
          <w:b/>
          <w:sz w:val="24"/>
          <w:szCs w:val="24"/>
        </w:rPr>
      </w:pPr>
    </w:p>
    <w:p w:rsidR="000E27C0" w:rsidRPr="007B0581" w:rsidRDefault="000E27C0" w:rsidP="000E27C0">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0107</w:t>
      </w:r>
      <w:r w:rsidRPr="007B0581">
        <w:rPr>
          <w:rFonts w:cs="Arial"/>
          <w:b/>
          <w:bCs/>
          <w:sz w:val="24"/>
          <w:szCs w:val="24"/>
        </w:rPr>
        <w:t>/20</w:t>
      </w:r>
      <w:r>
        <w:rPr>
          <w:rFonts w:cs="Arial"/>
          <w:b/>
          <w:bCs/>
          <w:sz w:val="24"/>
          <w:szCs w:val="24"/>
        </w:rPr>
        <w:t>19</w:t>
      </w:r>
      <w:r w:rsidRPr="007B0581">
        <w:rPr>
          <w:rFonts w:cs="Arial"/>
          <w:sz w:val="24"/>
          <w:szCs w:val="24"/>
        </w:rPr>
        <w:t xml:space="preserve">. </w:t>
      </w:r>
    </w:p>
    <w:p w:rsidR="000E27C0" w:rsidRPr="007B0581" w:rsidRDefault="000E27C0" w:rsidP="000E27C0">
      <w:pPr>
        <w:pStyle w:val="corte4fondo"/>
        <w:spacing w:line="276" w:lineRule="auto"/>
        <w:ind w:left="3544" w:right="-521" w:firstLine="0"/>
        <w:rPr>
          <w:rFonts w:cs="Arial"/>
          <w:sz w:val="24"/>
          <w:szCs w:val="24"/>
        </w:rPr>
      </w:pPr>
    </w:p>
    <w:p w:rsidR="000E27C0" w:rsidRPr="007B0581" w:rsidRDefault="000E27C0" w:rsidP="000E27C0">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w:t>
      </w:r>
    </w:p>
    <w:p w:rsidR="000E27C0" w:rsidRPr="007B0581" w:rsidRDefault="000E27C0" w:rsidP="000E27C0">
      <w:pPr>
        <w:pStyle w:val="corte4fondo"/>
        <w:spacing w:line="276" w:lineRule="auto"/>
        <w:ind w:left="3544" w:right="-521" w:firstLine="0"/>
        <w:rPr>
          <w:rFonts w:cs="Arial"/>
          <w:b/>
          <w:i/>
          <w:sz w:val="24"/>
          <w:szCs w:val="24"/>
        </w:rPr>
      </w:pPr>
      <w:r w:rsidRPr="007B0581">
        <w:rPr>
          <w:rFonts w:cs="Arial"/>
          <w:b/>
          <w:i/>
          <w:sz w:val="24"/>
          <w:szCs w:val="24"/>
        </w:rPr>
        <w:t xml:space="preserve"> </w:t>
      </w:r>
    </w:p>
    <w:p w:rsidR="000E27C0" w:rsidRPr="007B0581" w:rsidRDefault="000E27C0" w:rsidP="000E27C0">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DIRECTORA DE LO CONTENCIOSO DE LA PROCURADURÍA FISCAL DE LA SUBSECRETARÍA DE INGRESOS Y DIRECTORA DE INGRESOS Y RECAUDACIÓN, AMBAS DEPENDIENTES DE LA SECRETARÍA DE FINANZAS DEL GOBIERNO DEL ESTADO DE OAXACA.</w:t>
      </w:r>
    </w:p>
    <w:p w:rsidR="000E27C0" w:rsidRPr="007B0581" w:rsidRDefault="000E27C0" w:rsidP="000E27C0">
      <w:pPr>
        <w:pStyle w:val="corte4fondo"/>
        <w:spacing w:line="276" w:lineRule="auto"/>
        <w:ind w:left="3544" w:right="51" w:firstLine="0"/>
        <w:rPr>
          <w:rFonts w:cs="Arial"/>
          <w:bCs/>
          <w:sz w:val="24"/>
          <w:szCs w:val="24"/>
        </w:rPr>
      </w:pPr>
    </w:p>
    <w:p w:rsidR="000E27C0" w:rsidRPr="007B0581" w:rsidRDefault="000E27C0" w:rsidP="000E27C0">
      <w:pPr>
        <w:pStyle w:val="corte4fondo"/>
        <w:spacing w:line="276" w:lineRule="auto"/>
        <w:ind w:left="3544" w:right="51" w:firstLine="0"/>
        <w:rPr>
          <w:rFonts w:cs="Arial"/>
          <w:bCs/>
          <w:sz w:val="24"/>
          <w:szCs w:val="24"/>
        </w:rPr>
      </w:pPr>
    </w:p>
    <w:p w:rsidR="000E27C0" w:rsidRDefault="000E27C0" w:rsidP="000E27C0">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VEINTITRES DE MAYO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0E27C0" w:rsidRDefault="000E27C0" w:rsidP="000E27C0">
      <w:pPr>
        <w:spacing w:line="360" w:lineRule="auto"/>
        <w:jc w:val="both"/>
        <w:rPr>
          <w:rFonts w:ascii="Arial" w:hAnsi="Arial" w:cs="Arial"/>
          <w:b/>
          <w:sz w:val="24"/>
          <w:szCs w:val="24"/>
        </w:rPr>
      </w:pPr>
      <w:r w:rsidRPr="007B0581">
        <w:rPr>
          <w:rFonts w:ascii="Arial" w:hAnsi="Arial" w:cs="Arial"/>
          <w:b/>
          <w:sz w:val="24"/>
          <w:szCs w:val="24"/>
        </w:rPr>
        <w:t xml:space="preserve"> </w:t>
      </w:r>
    </w:p>
    <w:p w:rsidR="000E27C0" w:rsidRPr="007B0581" w:rsidRDefault="000E27C0" w:rsidP="000E27C0">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0107</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r w:rsidRPr="00221CFA">
        <w:rPr>
          <w:rFonts w:ascii="Arial" w:hAnsi="Arial" w:cs="Arial"/>
          <w:bCs/>
          <w:sz w:val="24"/>
          <w:szCs w:val="24"/>
        </w:rPr>
        <w:t>por conducto de su representante legal</w:t>
      </w:r>
      <w:r w:rsidRPr="00D737F7">
        <w:rPr>
          <w:rFonts w:ascii="Arial" w:hAnsi="Arial" w:cs="Arial"/>
          <w:b/>
          <w:sz w:val="24"/>
          <w:szCs w:val="24"/>
        </w:rPr>
        <w:t xml:space="preserve">,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veintiséis de junio de dos mil diecinueve, </w:t>
      </w:r>
      <w:bookmarkStart w:id="0" w:name="_Hlk83640314"/>
      <w:bookmarkStart w:id="1" w:name="_Hlk84505151"/>
      <w:r>
        <w:rPr>
          <w:rFonts w:ascii="Arial" w:hAnsi="Arial" w:cs="Arial"/>
          <w:sz w:val="24"/>
          <w:szCs w:val="24"/>
        </w:rPr>
        <w:t xml:space="preserve">emitida por la </w:t>
      </w:r>
      <w:bookmarkEnd w:id="0"/>
      <w:r>
        <w:rPr>
          <w:rFonts w:ascii="Arial" w:hAnsi="Arial" w:cs="Arial"/>
          <w:sz w:val="24"/>
          <w:szCs w:val="24"/>
        </w:rPr>
        <w:t xml:space="preserve">Directora de lo Contencioso de la Procuraduría Fiscal de la Subsecretaría de Ingresos, así como en contra de la Directora de Ingresos y Recaudación, ambas dependientes de la Secretaría de Finanzas del Gobierno del Estado de Oaxaca, </w:t>
      </w:r>
      <w:r w:rsidRPr="007B0581">
        <w:rPr>
          <w:rFonts w:ascii="Arial" w:hAnsi="Arial" w:cs="Arial"/>
          <w:sz w:val="24"/>
          <w:szCs w:val="24"/>
        </w:rPr>
        <w:t>y;</w:t>
      </w:r>
      <w:r w:rsidRPr="007B0581">
        <w:rPr>
          <w:rFonts w:ascii="Arial" w:hAnsi="Arial" w:cs="Arial"/>
          <w:b/>
          <w:bCs/>
          <w:sz w:val="24"/>
          <w:szCs w:val="24"/>
        </w:rPr>
        <w:t xml:space="preserve"> </w:t>
      </w:r>
    </w:p>
    <w:bookmarkEnd w:id="1"/>
    <w:p w:rsidR="000E27C0" w:rsidRDefault="000E27C0" w:rsidP="000E27C0">
      <w:pPr>
        <w:contextualSpacing/>
        <w:jc w:val="both"/>
        <w:rPr>
          <w:rFonts w:ascii="Arial" w:hAnsi="Arial" w:cs="Arial"/>
          <w:sz w:val="24"/>
          <w:szCs w:val="24"/>
        </w:rPr>
      </w:pPr>
    </w:p>
    <w:p w:rsidR="000E27C0" w:rsidRPr="007B0581" w:rsidRDefault="000E27C0" w:rsidP="000E27C0">
      <w:pPr>
        <w:contextualSpacing/>
        <w:jc w:val="both"/>
        <w:rPr>
          <w:rFonts w:ascii="Arial" w:hAnsi="Arial" w:cs="Arial"/>
          <w:sz w:val="24"/>
          <w:szCs w:val="24"/>
        </w:rPr>
      </w:pPr>
    </w:p>
    <w:p w:rsidR="000E27C0" w:rsidRPr="007B0581" w:rsidRDefault="000E27C0" w:rsidP="000E27C0">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0E27C0" w:rsidRPr="007B0581" w:rsidRDefault="000E27C0" w:rsidP="000E27C0">
      <w:pPr>
        <w:contextualSpacing/>
        <w:jc w:val="both"/>
        <w:rPr>
          <w:rFonts w:ascii="Arial" w:hAnsi="Arial" w:cs="Arial"/>
          <w:b/>
          <w:spacing w:val="-3"/>
          <w:sz w:val="24"/>
          <w:szCs w:val="24"/>
          <w:lang w:val="es-ES_tradnl"/>
        </w:rPr>
      </w:pPr>
    </w:p>
    <w:p w:rsidR="000E27C0" w:rsidRPr="007B0581" w:rsidRDefault="000E27C0" w:rsidP="000E27C0">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veintiséis de septiembre de dos mil diecinueve</w:t>
      </w:r>
      <w:r w:rsidRPr="007B0581">
        <w:rPr>
          <w:rFonts w:ascii="Arial" w:hAnsi="Arial" w:cs="Arial"/>
          <w:sz w:val="24"/>
          <w:szCs w:val="24"/>
        </w:rPr>
        <w:t xml:space="preserve">, </w:t>
      </w:r>
      <w:r>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r w:rsidRPr="00221CFA">
        <w:rPr>
          <w:rFonts w:ascii="Arial" w:hAnsi="Arial" w:cs="Arial"/>
          <w:bCs/>
          <w:sz w:val="24"/>
          <w:szCs w:val="24"/>
        </w:rPr>
        <w:t>por conducto de su representante legal</w:t>
      </w:r>
      <w:r w:rsidRPr="00D737F7">
        <w:rPr>
          <w:rFonts w:ascii="Arial" w:hAnsi="Arial" w:cs="Arial"/>
          <w:b/>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w:t>
      </w:r>
      <w:bookmarkStart w:id="2" w:name="_Hlk83725409"/>
      <w:r w:rsidRPr="007B0581">
        <w:rPr>
          <w:rFonts w:ascii="Arial" w:hAnsi="Arial" w:cs="Arial"/>
          <w:sz w:val="24"/>
          <w:szCs w:val="24"/>
        </w:rPr>
        <w:t>de</w:t>
      </w:r>
      <w:r>
        <w:rPr>
          <w:rFonts w:ascii="Arial" w:hAnsi="Arial" w:cs="Arial"/>
          <w:sz w:val="24"/>
          <w:szCs w:val="24"/>
        </w:rPr>
        <w:t xml:space="preserve"> la resolución contenida en el oficio </w:t>
      </w:r>
      <w:r>
        <w:rPr>
          <w:rFonts w:cs="Arial"/>
          <w:b/>
          <w:sz w:val="24"/>
          <w:szCs w:val="24"/>
        </w:rPr>
        <w:t>**********</w:t>
      </w:r>
      <w:r>
        <w:rPr>
          <w:rFonts w:ascii="Arial" w:hAnsi="Arial" w:cs="Arial"/>
          <w:sz w:val="24"/>
          <w:szCs w:val="24"/>
        </w:rPr>
        <w:t xml:space="preserve"> de veintiséis de junio de dos mil diecinueve, emitida por la Directora de lo Contencioso de la Procuraduría Fiscal de la Subsecretaría de Ingresos dependiente de la Secretaría de Finanzas del Gobierno del Estado</w:t>
      </w:r>
      <w:r w:rsidRPr="007B0581">
        <w:rPr>
          <w:rFonts w:ascii="Arial" w:hAnsi="Arial" w:cs="Arial"/>
          <w:sz w:val="24"/>
          <w:szCs w:val="24"/>
        </w:rPr>
        <w:t xml:space="preserve">. </w:t>
      </w:r>
    </w:p>
    <w:bookmarkEnd w:id="2"/>
    <w:p w:rsidR="000E27C0" w:rsidRPr="007B0581" w:rsidRDefault="000E27C0" w:rsidP="000E27C0">
      <w:pPr>
        <w:contextualSpacing/>
        <w:jc w:val="both"/>
        <w:rPr>
          <w:rFonts w:ascii="Arial" w:hAnsi="Arial" w:cs="Arial"/>
          <w:sz w:val="24"/>
          <w:szCs w:val="24"/>
        </w:rPr>
      </w:pPr>
    </w:p>
    <w:p w:rsidR="000E27C0" w:rsidRDefault="000E27C0" w:rsidP="000E27C0">
      <w:pPr>
        <w:spacing w:line="360" w:lineRule="auto"/>
        <w:ind w:firstLine="567"/>
        <w:jc w:val="both"/>
        <w:rPr>
          <w:rFonts w:ascii="Arial" w:hAnsi="Arial" w:cs="Arial"/>
          <w:sz w:val="24"/>
          <w:szCs w:val="24"/>
        </w:rPr>
      </w:pPr>
      <w:r w:rsidRPr="007B0581">
        <w:rPr>
          <w:rFonts w:ascii="Arial" w:hAnsi="Arial" w:cs="Arial"/>
          <w:b/>
          <w:sz w:val="24"/>
          <w:szCs w:val="24"/>
        </w:rPr>
        <w:lastRenderedPageBreak/>
        <w:t xml:space="preserve">SEGUNDO.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Por acuerdo de treinta de septiembre de dos mil diecinueve, se requirió al promovente para que en el plazo de tres días hábiles exhibiera el documento que justificara su personalidad y exhibiera el traslado faltante y los documentos anexos.</w:t>
      </w:r>
    </w:p>
    <w:p w:rsidR="000E27C0" w:rsidRDefault="000E27C0" w:rsidP="000E27C0">
      <w:pPr>
        <w:spacing w:line="360" w:lineRule="auto"/>
        <w:ind w:firstLine="567"/>
        <w:jc w:val="both"/>
        <w:rPr>
          <w:rFonts w:ascii="Arial" w:hAnsi="Arial" w:cs="Arial"/>
          <w:sz w:val="24"/>
          <w:szCs w:val="24"/>
        </w:rPr>
      </w:pPr>
    </w:p>
    <w:p w:rsidR="000E27C0" w:rsidRDefault="000E27C0" w:rsidP="000E27C0">
      <w:pPr>
        <w:spacing w:line="360" w:lineRule="auto"/>
        <w:ind w:firstLine="567"/>
        <w:jc w:val="both"/>
        <w:rPr>
          <w:rFonts w:ascii="Arial" w:hAnsi="Arial" w:cs="Arial"/>
          <w:sz w:val="24"/>
          <w:szCs w:val="24"/>
        </w:rPr>
      </w:pPr>
      <w:r w:rsidRPr="00D21DD8">
        <w:rPr>
          <w:rFonts w:ascii="Arial" w:hAnsi="Arial" w:cs="Arial"/>
          <w:b/>
          <w:bCs/>
          <w:sz w:val="24"/>
          <w:szCs w:val="24"/>
        </w:rPr>
        <w:t xml:space="preserve">TERCERO. </w:t>
      </w:r>
      <w:r>
        <w:rPr>
          <w:rFonts w:ascii="Arial" w:hAnsi="Arial" w:cs="Arial"/>
          <w:b/>
          <w:bCs/>
          <w:sz w:val="24"/>
          <w:szCs w:val="24"/>
        </w:rPr>
        <w:t>-</w:t>
      </w:r>
      <w:r>
        <w:rPr>
          <w:rFonts w:ascii="Arial" w:hAnsi="Arial" w:cs="Arial"/>
          <w:sz w:val="24"/>
          <w:szCs w:val="24"/>
        </w:rPr>
        <w:t xml:space="preserve"> Por acuerdo de dos de diciembre de dos mil diecinueve, se tuvo por acreditada la personalidad jurídica del Representante Legal de la parte actora y dando cumplimiento de manera parcial al requerimiento formulado mediante proveído de treinta de septiembre de dos mil diecinueve, asimismo se requirió nuevamente al representante legal de la parte actora para que en el plazo de tres días hábiles exhibiera un traslado más para la demandada.</w:t>
      </w:r>
    </w:p>
    <w:p w:rsidR="000E27C0" w:rsidRDefault="000E27C0" w:rsidP="000E27C0">
      <w:pPr>
        <w:spacing w:line="360" w:lineRule="auto"/>
        <w:ind w:firstLine="567"/>
        <w:jc w:val="both"/>
        <w:rPr>
          <w:rFonts w:ascii="Arial" w:hAnsi="Arial" w:cs="Arial"/>
          <w:sz w:val="24"/>
          <w:szCs w:val="24"/>
        </w:rPr>
      </w:pPr>
    </w:p>
    <w:p w:rsidR="000E27C0" w:rsidRPr="007B0581" w:rsidRDefault="000E27C0" w:rsidP="000E27C0">
      <w:pPr>
        <w:spacing w:line="360" w:lineRule="auto"/>
        <w:ind w:firstLine="567"/>
        <w:jc w:val="both"/>
        <w:rPr>
          <w:rFonts w:ascii="Arial" w:hAnsi="Arial" w:cs="Arial"/>
          <w:sz w:val="24"/>
          <w:szCs w:val="24"/>
        </w:rPr>
      </w:pPr>
      <w:r w:rsidRPr="007F6ABB">
        <w:rPr>
          <w:rFonts w:ascii="Arial" w:hAnsi="Arial" w:cs="Arial"/>
          <w:b/>
          <w:bCs/>
          <w:sz w:val="24"/>
          <w:szCs w:val="24"/>
        </w:rPr>
        <w:t>CUARTO. -</w:t>
      </w:r>
      <w:r>
        <w:rPr>
          <w:rFonts w:ascii="Arial" w:hAnsi="Arial" w:cs="Arial"/>
          <w:sz w:val="24"/>
          <w:szCs w:val="24"/>
        </w:rPr>
        <w:t xml:space="preserve"> </w:t>
      </w:r>
      <w:r w:rsidRPr="007B0581">
        <w:rPr>
          <w:rFonts w:ascii="Arial" w:hAnsi="Arial" w:cs="Arial"/>
          <w:sz w:val="24"/>
          <w:szCs w:val="24"/>
        </w:rPr>
        <w:t xml:space="preserve">Por acuerdo de </w:t>
      </w:r>
      <w:r>
        <w:rPr>
          <w:rFonts w:ascii="Arial" w:hAnsi="Arial" w:cs="Arial"/>
          <w:sz w:val="24"/>
          <w:szCs w:val="24"/>
        </w:rPr>
        <w:t>veinticinco de febrero de dos mil veinte</w:t>
      </w:r>
      <w:r w:rsidRPr="007B0581">
        <w:rPr>
          <w:rFonts w:ascii="Arial" w:hAnsi="Arial" w:cs="Arial"/>
          <w:sz w:val="24"/>
          <w:szCs w:val="24"/>
        </w:rPr>
        <w:t>, se</w:t>
      </w:r>
      <w:r>
        <w:rPr>
          <w:rFonts w:ascii="Arial" w:hAnsi="Arial" w:cs="Arial"/>
          <w:sz w:val="24"/>
          <w:szCs w:val="24"/>
        </w:rPr>
        <w:t xml:space="preserve"> tuvo a la parte actora dando cumplimiento al requerimiento efectuado mediante proveído de dos de diciembre de dos mil diecinueve. Asimismo, se</w:t>
      </w:r>
      <w:r w:rsidRPr="007B0581">
        <w:rPr>
          <w:rFonts w:ascii="Arial" w:hAnsi="Arial" w:cs="Arial"/>
          <w:sz w:val="24"/>
          <w:szCs w:val="24"/>
        </w:rPr>
        <w:t xml:space="preserv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 Directora de lo Contencioso de la Procuraduría Fiscal de la Subsecretaria de Ingresos y Directora de Ingresos y Recaudación, ambas dependientes de la Secretaría de Finanzas del Gobierno del Estado</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 </w:t>
      </w:r>
    </w:p>
    <w:p w:rsidR="000E27C0" w:rsidRPr="007B0581" w:rsidRDefault="000E27C0" w:rsidP="000E27C0">
      <w:pPr>
        <w:pStyle w:val="corte4fondo"/>
        <w:spacing w:line="240" w:lineRule="auto"/>
        <w:ind w:right="51" w:firstLine="567"/>
        <w:contextualSpacing/>
        <w:rPr>
          <w:rFonts w:cs="Arial"/>
          <w:bCs/>
          <w:sz w:val="24"/>
          <w:szCs w:val="24"/>
        </w:rPr>
      </w:pPr>
      <w:r w:rsidRPr="007B0581">
        <w:rPr>
          <w:rFonts w:cs="Arial"/>
          <w:bCs/>
          <w:sz w:val="24"/>
          <w:szCs w:val="24"/>
        </w:rPr>
        <w:tab/>
      </w:r>
    </w:p>
    <w:p w:rsidR="000E27C0" w:rsidRPr="007B0581" w:rsidRDefault="000E27C0" w:rsidP="000E27C0">
      <w:pPr>
        <w:pStyle w:val="corte4fondo"/>
        <w:ind w:right="51" w:firstLine="567"/>
        <w:rPr>
          <w:rFonts w:cs="Arial"/>
          <w:sz w:val="24"/>
          <w:szCs w:val="24"/>
        </w:rPr>
      </w:pPr>
      <w:r>
        <w:rPr>
          <w:rFonts w:cs="Arial"/>
          <w:b/>
          <w:bCs/>
          <w:sz w:val="24"/>
          <w:szCs w:val="24"/>
        </w:rPr>
        <w:t>QUINTO</w:t>
      </w:r>
      <w:r w:rsidRPr="00B30CC5">
        <w:rPr>
          <w:rFonts w:cs="Arial"/>
          <w:b/>
          <w:sz w:val="24"/>
          <w:szCs w:val="24"/>
        </w:rPr>
        <w:t>. -</w:t>
      </w:r>
      <w:r w:rsidRPr="007B0581">
        <w:rPr>
          <w:rFonts w:cs="Arial"/>
          <w:bCs/>
          <w:sz w:val="24"/>
          <w:szCs w:val="24"/>
        </w:rPr>
        <w:t xml:space="preserve"> </w:t>
      </w:r>
      <w:r w:rsidRPr="00AD192C">
        <w:rPr>
          <w:rFonts w:cs="Arial"/>
          <w:bCs/>
          <w:sz w:val="24"/>
          <w:szCs w:val="24"/>
        </w:rPr>
        <w:t xml:space="preserve">Por acuerdo de </w:t>
      </w:r>
      <w:r>
        <w:rPr>
          <w:rFonts w:cs="Arial"/>
          <w:bCs/>
          <w:sz w:val="24"/>
          <w:szCs w:val="24"/>
        </w:rPr>
        <w:t>dieciocho de marzo de dos mil veinte</w:t>
      </w:r>
      <w:r w:rsidRPr="00AD192C">
        <w:rPr>
          <w:rFonts w:cs="Arial"/>
          <w:bCs/>
          <w:sz w:val="24"/>
          <w:szCs w:val="24"/>
        </w:rPr>
        <w:t>, se tuvo a</w:t>
      </w:r>
      <w:r>
        <w:rPr>
          <w:rFonts w:cs="Arial"/>
          <w:bCs/>
          <w:sz w:val="24"/>
          <w:szCs w:val="24"/>
        </w:rPr>
        <w:t xml:space="preserve">l </w:t>
      </w:r>
      <w:r>
        <w:rPr>
          <w:rFonts w:cs="Arial"/>
          <w:sz w:val="24"/>
          <w:szCs w:val="24"/>
        </w:rPr>
        <w:t>Director de lo contencioso de la Procuraduría Fiscal, dependiente de la Subsecretaría de Ingresos de la Secretaría de Finanzas del Poder Ejecutivo del Estado</w:t>
      </w:r>
      <w:r w:rsidRPr="00AD192C">
        <w:rPr>
          <w:rFonts w:cs="Arial"/>
          <w:bCs/>
          <w:sz w:val="24"/>
          <w:szCs w:val="24"/>
        </w:rPr>
        <w:t>,</w:t>
      </w:r>
      <w:r>
        <w:rPr>
          <w:rFonts w:cs="Arial"/>
          <w:bCs/>
          <w:sz w:val="24"/>
          <w:szCs w:val="24"/>
        </w:rPr>
        <w:t xml:space="preserve"> en representación legal de las autoridades demandadas,</w:t>
      </w:r>
      <w:r w:rsidRPr="00AD192C">
        <w:rPr>
          <w:rFonts w:cs="Arial"/>
          <w:bCs/>
          <w:sz w:val="24"/>
          <w:szCs w:val="24"/>
        </w:rPr>
        <w:t xml:space="preserve"> </w:t>
      </w:r>
      <w:r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 los efectos</w:t>
      </w:r>
      <w:r>
        <w:rPr>
          <w:rFonts w:cs="Arial"/>
          <w:sz w:val="24"/>
          <w:szCs w:val="24"/>
        </w:rPr>
        <w:t xml:space="preserve"> legales</w:t>
      </w:r>
      <w:r w:rsidRPr="00AD192C">
        <w:rPr>
          <w:rFonts w:cs="Arial"/>
          <w:sz w:val="24"/>
          <w:szCs w:val="24"/>
        </w:rPr>
        <w:t xml:space="preserve"> correspondientes</w:t>
      </w:r>
      <w:r>
        <w:rPr>
          <w:rFonts w:cs="Arial"/>
          <w:sz w:val="24"/>
          <w:szCs w:val="24"/>
        </w:rPr>
        <w:t>.</w:t>
      </w:r>
      <w:r w:rsidRPr="007B0581">
        <w:rPr>
          <w:rFonts w:cs="Arial"/>
          <w:sz w:val="24"/>
          <w:szCs w:val="24"/>
        </w:rPr>
        <w:t xml:space="preserve"> </w:t>
      </w:r>
    </w:p>
    <w:p w:rsidR="000E27C0" w:rsidRPr="007B0581" w:rsidRDefault="000E27C0" w:rsidP="000E27C0">
      <w:pPr>
        <w:pStyle w:val="corte4fondo"/>
        <w:spacing w:line="240" w:lineRule="auto"/>
        <w:ind w:right="51" w:firstLine="567"/>
        <w:contextualSpacing/>
        <w:rPr>
          <w:rFonts w:cs="Arial"/>
          <w:b/>
          <w:bCs/>
          <w:sz w:val="24"/>
          <w:szCs w:val="24"/>
        </w:rPr>
      </w:pPr>
    </w:p>
    <w:p w:rsidR="000E27C0" w:rsidRDefault="000E27C0" w:rsidP="000E27C0">
      <w:pPr>
        <w:pStyle w:val="corte4fondo"/>
        <w:ind w:right="51" w:firstLine="567"/>
        <w:rPr>
          <w:rFonts w:cs="Arial"/>
          <w:sz w:val="24"/>
          <w:szCs w:val="24"/>
        </w:rPr>
      </w:pPr>
      <w:r>
        <w:rPr>
          <w:rFonts w:cs="Arial"/>
          <w:b/>
          <w:bCs/>
          <w:sz w:val="24"/>
          <w:szCs w:val="24"/>
        </w:rPr>
        <w:t>SEXTO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Pr>
          <w:rFonts w:cs="Arial"/>
          <w:sz w:val="24"/>
          <w:szCs w:val="24"/>
        </w:rPr>
        <w:t xml:space="preserve">Por acuerdo de siete de junio de dos mil veintiuno, se señalaron las once horas del día catorce de septiembre de dos mil veintiuno, para la celebración de la audiencia final. Asimismo, se hizo del conocimiento de las partes </w:t>
      </w:r>
      <w:r w:rsidRPr="006F1BF0">
        <w:rPr>
          <w:rFonts w:cs="Arial"/>
          <w:sz w:val="24"/>
          <w:szCs w:val="24"/>
        </w:rPr>
        <w:t>la incorporación y adscripción, como titular de esta Quinta Sala</w:t>
      </w:r>
      <w:r>
        <w:rPr>
          <w:rFonts w:cs="Arial"/>
          <w:sz w:val="24"/>
          <w:szCs w:val="24"/>
        </w:rPr>
        <w:t xml:space="preserve"> de Primera Instancia de este órgano jurisdiccional de la Magistrada VIRGINIA HERNÁNDEZ </w:t>
      </w:r>
      <w:proofErr w:type="spellStart"/>
      <w:r>
        <w:rPr>
          <w:rFonts w:cs="Arial"/>
          <w:sz w:val="24"/>
          <w:szCs w:val="24"/>
        </w:rPr>
        <w:t>HERNÁNDEZ</w:t>
      </w:r>
      <w:proofErr w:type="spellEnd"/>
      <w:r>
        <w:rPr>
          <w:rFonts w:cs="Arial"/>
          <w:sz w:val="24"/>
          <w:szCs w:val="24"/>
        </w:rPr>
        <w:t>, para que en el plazo de tres días hábiles manifestaran lo que a su derecho conviniera.</w:t>
      </w:r>
    </w:p>
    <w:p w:rsidR="000E27C0" w:rsidRDefault="000E27C0" w:rsidP="000E27C0">
      <w:pPr>
        <w:pStyle w:val="corte4fondo"/>
        <w:ind w:right="51" w:firstLine="567"/>
        <w:rPr>
          <w:rFonts w:cs="Arial"/>
          <w:sz w:val="24"/>
          <w:szCs w:val="24"/>
        </w:rPr>
      </w:pPr>
      <w:r>
        <w:rPr>
          <w:rFonts w:cs="Arial"/>
          <w:sz w:val="24"/>
          <w:szCs w:val="24"/>
        </w:rPr>
        <w:t xml:space="preserve"> </w:t>
      </w:r>
    </w:p>
    <w:p w:rsidR="000E27C0" w:rsidRDefault="000E27C0" w:rsidP="000E27C0">
      <w:pPr>
        <w:pStyle w:val="corte4fondo"/>
        <w:ind w:right="51" w:firstLine="567"/>
        <w:rPr>
          <w:rFonts w:cs="Arial"/>
          <w:sz w:val="24"/>
          <w:szCs w:val="24"/>
        </w:rPr>
      </w:pPr>
      <w:r w:rsidRPr="00B30CC5">
        <w:rPr>
          <w:rFonts w:cs="Arial"/>
          <w:b/>
          <w:bCs/>
          <w:sz w:val="24"/>
          <w:szCs w:val="24"/>
        </w:rPr>
        <w:t>S</w:t>
      </w:r>
      <w:r>
        <w:rPr>
          <w:rFonts w:cs="Arial"/>
          <w:b/>
          <w:bCs/>
          <w:sz w:val="24"/>
          <w:szCs w:val="24"/>
        </w:rPr>
        <w:t>ÉPTIMO</w:t>
      </w:r>
      <w:r w:rsidRPr="00B30CC5">
        <w:rPr>
          <w:rFonts w:cs="Arial"/>
          <w:b/>
          <w:bCs/>
          <w:sz w:val="24"/>
          <w:szCs w:val="24"/>
        </w:rPr>
        <w:t>. -</w:t>
      </w:r>
      <w:r>
        <w:rPr>
          <w:rFonts w:cs="Arial"/>
          <w:sz w:val="24"/>
          <w:szCs w:val="24"/>
        </w:rPr>
        <w:t xml:space="preserve"> Por acuerdo de quince de diciembre de dos mil veintiuno, se hizo del conocimiento de las partes que no fue posible celebras la audiencia final </w:t>
      </w:r>
      <w:r>
        <w:rPr>
          <w:rFonts w:cs="Arial"/>
          <w:sz w:val="24"/>
          <w:szCs w:val="24"/>
        </w:rPr>
        <w:lastRenderedPageBreak/>
        <w:t>señalada para el catorce de septiembre de la anualidad antes citada, en razón que en la fecha señalada fueron suspendidas las actividades de este órgano jurisdiccional. Asimismo, se señalaron las ONCE HORAS del día DIECISIETE DE MARZO DE DOS MIL VEINTIDÓS, para la celebración de la Audiencia Final.</w:t>
      </w:r>
    </w:p>
    <w:p w:rsidR="000E27C0" w:rsidRDefault="000E27C0" w:rsidP="000E27C0">
      <w:pPr>
        <w:pStyle w:val="corte4fondo"/>
        <w:ind w:right="51" w:firstLine="567"/>
        <w:rPr>
          <w:rFonts w:cs="Arial"/>
          <w:sz w:val="24"/>
          <w:szCs w:val="24"/>
        </w:rPr>
      </w:pPr>
      <w:r>
        <w:rPr>
          <w:rFonts w:cs="Arial"/>
          <w:sz w:val="24"/>
          <w:szCs w:val="24"/>
        </w:rPr>
        <w:t xml:space="preserve"> </w:t>
      </w:r>
    </w:p>
    <w:p w:rsidR="000E27C0" w:rsidRDefault="000E27C0" w:rsidP="000E27C0">
      <w:pPr>
        <w:pStyle w:val="corte4fondo"/>
        <w:ind w:right="51" w:firstLine="567"/>
        <w:rPr>
          <w:rFonts w:cs="Arial"/>
          <w:b/>
          <w:bCs/>
          <w:sz w:val="24"/>
          <w:szCs w:val="24"/>
        </w:rPr>
      </w:pPr>
      <w:r w:rsidRPr="00643238">
        <w:rPr>
          <w:rFonts w:cs="Arial"/>
          <w:b/>
          <w:bCs/>
          <w:sz w:val="24"/>
          <w:szCs w:val="24"/>
        </w:rPr>
        <w:t>OCTAVO. -</w:t>
      </w:r>
      <w:r>
        <w:rPr>
          <w:rFonts w:cs="Arial"/>
          <w:sz w:val="24"/>
          <w:szCs w:val="24"/>
        </w:rPr>
        <w:t xml:space="preserve"> E</w:t>
      </w:r>
      <w:r>
        <w:rPr>
          <w:rFonts w:cs="Arial"/>
          <w:sz w:val="24"/>
          <w:szCs w:val="24"/>
          <w:lang w:val="es-ES"/>
        </w:rPr>
        <w:t>l diecisiete de marzo de dos mil veintidós</w:t>
      </w:r>
      <w:r w:rsidRPr="007B0581">
        <w:rPr>
          <w:rFonts w:cs="Arial"/>
          <w:bCs/>
          <w:sz w:val="24"/>
          <w:szCs w:val="24"/>
          <w:lang w:val="es-ES"/>
        </w:rPr>
        <w:t xml:space="preserve">, </w:t>
      </w:r>
      <w:r w:rsidRPr="006A1793">
        <w:rPr>
          <w:rFonts w:cs="Arial"/>
          <w:sz w:val="24"/>
          <w:szCs w:val="24"/>
        </w:rPr>
        <w:t>se llevó a cabo la Audiencia Final, sin la asistencia de las partes, ni persona alguna que legalmente las representara, asentando la</w:t>
      </w:r>
      <w:r w:rsidRPr="006C7760">
        <w:rPr>
          <w:rFonts w:cs="Arial"/>
          <w:sz w:val="24"/>
          <w:szCs w:val="24"/>
        </w:rPr>
        <w:t xml:space="preserve"> Secretaria de Acuerdos de esta Sala Unitaria, que las partes no formularon alegatos; por lo que se ordenó citar a las partes a oír sentencia dentro del término de ley, misma que ahora se pronuncia, y;</w:t>
      </w:r>
    </w:p>
    <w:p w:rsidR="000E27C0" w:rsidRDefault="000E27C0" w:rsidP="000E27C0">
      <w:pPr>
        <w:pStyle w:val="corte4fondo"/>
        <w:ind w:right="51" w:firstLine="567"/>
        <w:rPr>
          <w:rFonts w:cs="Arial"/>
          <w:b/>
          <w:bCs/>
          <w:sz w:val="24"/>
          <w:szCs w:val="24"/>
        </w:rPr>
      </w:pPr>
    </w:p>
    <w:p w:rsidR="000E27C0" w:rsidRPr="007B0581" w:rsidRDefault="000E27C0" w:rsidP="000E27C0">
      <w:pPr>
        <w:pStyle w:val="corte4fondo"/>
        <w:ind w:right="51" w:firstLine="567"/>
        <w:rPr>
          <w:rFonts w:cs="Arial"/>
          <w:b/>
          <w:spacing w:val="-3"/>
          <w:sz w:val="24"/>
          <w:szCs w:val="24"/>
        </w:rPr>
      </w:pPr>
    </w:p>
    <w:p w:rsidR="000E27C0" w:rsidRPr="007B0581" w:rsidRDefault="000E27C0" w:rsidP="000E27C0">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0E27C0" w:rsidRPr="007B0581" w:rsidRDefault="000E27C0" w:rsidP="000E27C0">
      <w:pPr>
        <w:pStyle w:val="corte4fondo"/>
        <w:spacing w:line="240" w:lineRule="auto"/>
        <w:ind w:right="51" w:firstLine="567"/>
        <w:contextualSpacing/>
        <w:rPr>
          <w:rFonts w:cs="Arial"/>
          <w:bCs/>
          <w:sz w:val="24"/>
          <w:szCs w:val="24"/>
        </w:rPr>
      </w:pPr>
    </w:p>
    <w:p w:rsidR="000E27C0" w:rsidRPr="007B0581" w:rsidRDefault="000E27C0" w:rsidP="000E27C0">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de veintiséis de junio de dos mil diecinueve, emitida por la Directora de lo Contencioso de la Procuraduría Fiscal de la Subsecretaría de Ingresos dependiente de la Secretaría de Finanzas del Gobierno del Estado de Oaxaca,</w:t>
      </w:r>
      <w:r w:rsidRPr="007B0581">
        <w:rPr>
          <w:rFonts w:ascii="Arial" w:hAnsi="Arial" w:cs="Arial"/>
          <w:sz w:val="24"/>
          <w:szCs w:val="24"/>
        </w:rPr>
        <w:t xml:space="preserve"> con fundamento en el artículo 114 QUATER, párrafo primero, inciso B, fracción </w:t>
      </w:r>
      <w:r w:rsidRPr="00AC787B">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fracción </w:t>
      </w:r>
      <w:r w:rsidRPr="00AC787B">
        <w:rPr>
          <w:rFonts w:ascii="Arial" w:hAnsi="Arial" w:cs="Arial"/>
          <w:sz w:val="24"/>
          <w:szCs w:val="24"/>
        </w:rPr>
        <w:t>II,</w:t>
      </w:r>
      <w:r w:rsidRPr="007B0581">
        <w:rPr>
          <w:rFonts w:ascii="Arial" w:hAnsi="Arial" w:cs="Arial"/>
          <w:sz w:val="24"/>
          <w:szCs w:val="24"/>
        </w:rPr>
        <w:t xml:space="preserve"> 146 y 147 de la Ley de Procedimiento y Justicia Administrativa para el Estado de Oaxaca. </w:t>
      </w:r>
    </w:p>
    <w:p w:rsidR="000E27C0" w:rsidRPr="007B0581" w:rsidRDefault="000E27C0" w:rsidP="000E27C0">
      <w:pPr>
        <w:spacing w:line="360" w:lineRule="auto"/>
        <w:jc w:val="both"/>
        <w:rPr>
          <w:rFonts w:ascii="Arial" w:hAnsi="Arial" w:cs="Arial"/>
          <w:sz w:val="24"/>
          <w:szCs w:val="24"/>
        </w:rPr>
      </w:pPr>
      <w:r w:rsidRPr="007B0581">
        <w:rPr>
          <w:rFonts w:ascii="Arial" w:hAnsi="Arial" w:cs="Arial"/>
          <w:sz w:val="24"/>
          <w:szCs w:val="24"/>
        </w:rPr>
        <w:t xml:space="preserve"> </w:t>
      </w:r>
    </w:p>
    <w:p w:rsidR="000E27C0" w:rsidRDefault="000E27C0" w:rsidP="000E27C0">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 representante legal de 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w:t>
      </w:r>
      <w:r>
        <w:rPr>
          <w:rFonts w:ascii="Arial" w:hAnsi="Arial" w:cs="Arial"/>
          <w:sz w:val="24"/>
          <w:szCs w:val="24"/>
        </w:rPr>
        <w:t xml:space="preserve"> de conformidad con la copia certificada del instrumento notarial número doce mil setecientos cinco, volumen ciento cincuenta y tres, pasado ante la fe de la notario público número ochenta y siete, con residencia en el Estado de Oaxaca, </w:t>
      </w:r>
      <w:r w:rsidRPr="007B0581">
        <w:rPr>
          <w:rFonts w:ascii="Arial" w:hAnsi="Arial" w:cs="Arial"/>
          <w:sz w:val="24"/>
          <w:szCs w:val="24"/>
        </w:rPr>
        <w:t>y la</w:t>
      </w:r>
      <w:r>
        <w:rPr>
          <w:rFonts w:ascii="Arial" w:hAnsi="Arial" w:cs="Arial"/>
          <w:sz w:val="24"/>
          <w:szCs w:val="24"/>
        </w:rPr>
        <w:t xml:space="preserve"> de la</w:t>
      </w:r>
      <w:r w:rsidRPr="007B0581">
        <w:rPr>
          <w:rFonts w:ascii="Arial" w:hAnsi="Arial" w:cs="Arial"/>
          <w:sz w:val="24"/>
          <w:szCs w:val="24"/>
        </w:rPr>
        <w:t xml:space="preserve"> autoridad,</w:t>
      </w:r>
      <w:r>
        <w:rPr>
          <w:rFonts w:ascii="Arial" w:hAnsi="Arial" w:cs="Arial"/>
          <w:sz w:val="24"/>
          <w:szCs w:val="24"/>
        </w:rPr>
        <w:t xml:space="preserve">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0E27C0" w:rsidRPr="007B0581" w:rsidRDefault="000E27C0" w:rsidP="000E27C0">
      <w:pPr>
        <w:spacing w:line="360" w:lineRule="auto"/>
        <w:ind w:right="51" w:firstLine="709"/>
        <w:jc w:val="both"/>
        <w:rPr>
          <w:rFonts w:ascii="Arial" w:hAnsi="Arial" w:cs="Arial"/>
          <w:sz w:val="24"/>
          <w:szCs w:val="24"/>
        </w:rPr>
      </w:pPr>
    </w:p>
    <w:p w:rsidR="000E27C0" w:rsidRDefault="000E27C0" w:rsidP="000E27C0">
      <w:pPr>
        <w:spacing w:line="360" w:lineRule="auto"/>
        <w:ind w:firstLine="709"/>
        <w:contextualSpacing/>
        <w:jc w:val="both"/>
        <w:rPr>
          <w:rFonts w:ascii="Arial" w:hAnsi="Arial" w:cs="Arial"/>
          <w:sz w:val="24"/>
          <w:szCs w:val="24"/>
        </w:rPr>
      </w:pPr>
      <w:r w:rsidRPr="00726A71">
        <w:rPr>
          <w:rFonts w:ascii="Arial" w:hAnsi="Arial" w:cs="Arial"/>
          <w:b/>
          <w:sz w:val="24"/>
          <w:szCs w:val="24"/>
        </w:rPr>
        <w:t>TERCER</w:t>
      </w:r>
      <w:r w:rsidRPr="00C664F9">
        <w:rPr>
          <w:rFonts w:ascii="Arial" w:hAnsi="Arial" w:cs="Arial"/>
          <w:b/>
          <w:sz w:val="24"/>
          <w:szCs w:val="24"/>
        </w:rPr>
        <w:t>O.-</w:t>
      </w:r>
      <w:r w:rsidRPr="007B0581">
        <w:rPr>
          <w:rFonts w:cs="Arial"/>
          <w:sz w:val="24"/>
          <w:szCs w:val="24"/>
        </w:rPr>
        <w:t xml:space="preserve"> </w:t>
      </w:r>
      <w:r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w:t>
      </w:r>
      <w:r w:rsidRPr="00C664F9">
        <w:rPr>
          <w:rFonts w:ascii="Arial" w:hAnsi="Arial" w:cs="Arial"/>
          <w:sz w:val="24"/>
          <w:szCs w:val="24"/>
        </w:rPr>
        <w:lastRenderedPageBreak/>
        <w:t>Procedimiento y Justicia Administrativa para el Estado de Oaxaca;</w:t>
      </w:r>
      <w:r>
        <w:rPr>
          <w:rFonts w:ascii="Arial" w:hAnsi="Arial" w:cs="Arial"/>
          <w:sz w:val="24"/>
          <w:szCs w:val="24"/>
        </w:rPr>
        <w:t xml:space="preserve"> en ese sentido, </w:t>
      </w:r>
      <w:r w:rsidRPr="00D62161">
        <w:rPr>
          <w:rFonts w:ascii="Arial" w:hAnsi="Arial" w:cs="Arial"/>
          <w:b/>
          <w:sz w:val="24"/>
          <w:szCs w:val="24"/>
        </w:rPr>
        <w:t>SE SOBRESEE</w:t>
      </w:r>
      <w:r>
        <w:rPr>
          <w:rFonts w:ascii="Arial" w:hAnsi="Arial" w:cs="Arial"/>
          <w:b/>
          <w:sz w:val="24"/>
          <w:szCs w:val="24"/>
        </w:rPr>
        <w:t xml:space="preserve"> EN</w:t>
      </w:r>
      <w:r w:rsidRPr="00D62161">
        <w:rPr>
          <w:rFonts w:ascii="Arial" w:hAnsi="Arial" w:cs="Arial"/>
          <w:b/>
          <w:sz w:val="24"/>
          <w:szCs w:val="24"/>
        </w:rPr>
        <w:t xml:space="preserve"> EL JUICIO</w:t>
      </w:r>
      <w:r>
        <w:rPr>
          <w:rFonts w:ascii="Arial" w:hAnsi="Arial" w:cs="Arial"/>
          <w:bCs/>
          <w:sz w:val="24"/>
          <w:szCs w:val="24"/>
        </w:rPr>
        <w:t xml:space="preserve"> por lo que hace únicamente a la autoridad demandada</w:t>
      </w:r>
      <w:r>
        <w:rPr>
          <w:rFonts w:ascii="Arial" w:hAnsi="Arial" w:cs="Arial"/>
          <w:sz w:val="24"/>
          <w:szCs w:val="24"/>
        </w:rPr>
        <w:t xml:space="preserve"> Directora de Ingresos y Recaudación, dependiente de la Secretaría de Finanzas del Gobierno del Estado de Oaxaca, en virtud a que no </w:t>
      </w:r>
      <w:r w:rsidRPr="000508C0">
        <w:rPr>
          <w:rFonts w:ascii="Arial" w:eastAsiaTheme="minorHAnsi" w:hAnsi="Arial" w:cs="Arial"/>
          <w:sz w:val="24"/>
          <w:szCs w:val="24"/>
          <w:lang w:val="es-MX" w:eastAsia="en-US"/>
        </w:rPr>
        <w:t>dict</w:t>
      </w:r>
      <w:r>
        <w:rPr>
          <w:rFonts w:ascii="Arial" w:eastAsiaTheme="minorHAnsi" w:hAnsi="Arial" w:cs="Arial"/>
          <w:sz w:val="24"/>
          <w:szCs w:val="24"/>
          <w:lang w:val="es-MX" w:eastAsia="en-US"/>
        </w:rPr>
        <w:t>ó</w:t>
      </w:r>
      <w:r w:rsidRPr="000508C0">
        <w:rPr>
          <w:rFonts w:ascii="Arial" w:eastAsiaTheme="minorHAnsi" w:hAnsi="Arial" w:cs="Arial"/>
          <w:sz w:val="24"/>
          <w:szCs w:val="24"/>
          <w:lang w:val="es-MX" w:eastAsia="en-US"/>
        </w:rPr>
        <w:t>, orden</w:t>
      </w:r>
      <w:r>
        <w:rPr>
          <w:rFonts w:ascii="Arial" w:eastAsiaTheme="minorHAnsi" w:hAnsi="Arial" w:cs="Arial"/>
          <w:sz w:val="24"/>
          <w:szCs w:val="24"/>
          <w:lang w:val="es-MX" w:eastAsia="en-US"/>
        </w:rPr>
        <w:t>ó</w:t>
      </w:r>
      <w:r w:rsidRPr="000508C0">
        <w:rPr>
          <w:rFonts w:ascii="Arial" w:eastAsiaTheme="minorHAnsi" w:hAnsi="Arial" w:cs="Arial"/>
          <w:sz w:val="24"/>
          <w:szCs w:val="24"/>
          <w:lang w:val="es-MX" w:eastAsia="en-US"/>
        </w:rPr>
        <w:t>, ejecut</w:t>
      </w:r>
      <w:r>
        <w:rPr>
          <w:rFonts w:ascii="Arial" w:eastAsiaTheme="minorHAnsi" w:hAnsi="Arial" w:cs="Arial"/>
          <w:sz w:val="24"/>
          <w:szCs w:val="24"/>
          <w:lang w:val="es-MX" w:eastAsia="en-US"/>
        </w:rPr>
        <w:t>ó</w:t>
      </w:r>
      <w:r w:rsidRPr="000508C0">
        <w:rPr>
          <w:rFonts w:ascii="Arial" w:eastAsiaTheme="minorHAnsi" w:hAnsi="Arial" w:cs="Arial"/>
          <w:sz w:val="24"/>
          <w:szCs w:val="24"/>
          <w:lang w:val="es-MX" w:eastAsia="en-US"/>
        </w:rPr>
        <w:t xml:space="preserve"> o trat</w:t>
      </w:r>
      <w:r>
        <w:rPr>
          <w:rFonts w:ascii="Arial" w:eastAsiaTheme="minorHAnsi" w:hAnsi="Arial" w:cs="Arial"/>
          <w:sz w:val="24"/>
          <w:szCs w:val="24"/>
          <w:lang w:val="es-MX" w:eastAsia="en-US"/>
        </w:rPr>
        <w:t>ó</w:t>
      </w:r>
      <w:r w:rsidRPr="000508C0">
        <w:rPr>
          <w:rFonts w:ascii="Arial" w:eastAsiaTheme="minorHAnsi" w:hAnsi="Arial" w:cs="Arial"/>
          <w:sz w:val="24"/>
          <w:szCs w:val="24"/>
          <w:lang w:val="es-MX" w:eastAsia="en-US"/>
        </w:rPr>
        <w:t xml:space="preserve"> de ejecutar el acto impugnado</w:t>
      </w:r>
      <w:r>
        <w:rPr>
          <w:rFonts w:ascii="Arial" w:eastAsiaTheme="minorHAnsi" w:hAnsi="Arial" w:cs="Arial"/>
          <w:sz w:val="24"/>
          <w:szCs w:val="24"/>
          <w:lang w:val="es-MX" w:eastAsia="en-US"/>
        </w:rPr>
        <w:t>, de conformidad con los artículos 163, fracción II, 161, fracciones II y IX y, 162, fracción II,</w:t>
      </w:r>
      <w:r>
        <w:rPr>
          <w:rFonts w:ascii="Arial" w:hAnsi="Arial" w:cs="Arial"/>
          <w:bCs/>
          <w:sz w:val="24"/>
          <w:szCs w:val="24"/>
        </w:rPr>
        <w:t xml:space="preserve"> de la </w:t>
      </w:r>
      <w:r w:rsidRPr="00D4142D">
        <w:rPr>
          <w:rFonts w:ascii="Arial" w:hAnsi="Arial" w:cs="Arial"/>
          <w:bCs/>
          <w:sz w:val="24"/>
          <w:szCs w:val="24"/>
        </w:rPr>
        <w:t>Ley de Procedimiento y Justicia Administrativa para el Estado de Oaxaca</w:t>
      </w:r>
      <w:r>
        <w:rPr>
          <w:rFonts w:ascii="Arial" w:hAnsi="Arial" w:cs="Arial"/>
          <w:bCs/>
          <w:sz w:val="24"/>
          <w:szCs w:val="24"/>
        </w:rPr>
        <w:t>.</w:t>
      </w:r>
      <w:r>
        <w:rPr>
          <w:rFonts w:ascii="Arial" w:hAnsi="Arial" w:cs="Arial"/>
          <w:sz w:val="24"/>
          <w:szCs w:val="24"/>
        </w:rPr>
        <w:t xml:space="preserve">   </w:t>
      </w:r>
    </w:p>
    <w:p w:rsidR="000E27C0" w:rsidRDefault="000E27C0" w:rsidP="000E27C0">
      <w:pPr>
        <w:spacing w:line="360" w:lineRule="auto"/>
        <w:ind w:right="51"/>
        <w:jc w:val="both"/>
        <w:rPr>
          <w:rFonts w:ascii="Arial" w:hAnsi="Arial" w:cs="Arial"/>
          <w:sz w:val="24"/>
          <w:szCs w:val="24"/>
        </w:rPr>
      </w:pPr>
    </w:p>
    <w:p w:rsidR="000E27C0" w:rsidRPr="007B0581" w:rsidRDefault="000E27C0" w:rsidP="000E27C0">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0E27C0" w:rsidRDefault="000E27C0" w:rsidP="000E27C0">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0E27C0" w:rsidRPr="007B0581" w:rsidRDefault="000E27C0" w:rsidP="000E27C0">
      <w:pPr>
        <w:pStyle w:val="Textonotapie"/>
        <w:widowControl w:val="0"/>
        <w:spacing w:line="360" w:lineRule="auto"/>
        <w:ind w:firstLine="708"/>
        <w:jc w:val="both"/>
        <w:rPr>
          <w:rFonts w:ascii="Arial" w:hAnsi="Arial" w:cs="Arial"/>
          <w:sz w:val="24"/>
          <w:szCs w:val="24"/>
          <w:lang w:eastAsia="es-MX"/>
        </w:rPr>
      </w:pPr>
    </w:p>
    <w:p w:rsidR="000E27C0" w:rsidRDefault="000E27C0" w:rsidP="000E27C0">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0E27C0" w:rsidRPr="007B0581" w:rsidRDefault="000E27C0" w:rsidP="000E27C0">
      <w:pPr>
        <w:pStyle w:val="Textonotapie"/>
        <w:widowControl w:val="0"/>
        <w:spacing w:line="360" w:lineRule="auto"/>
        <w:ind w:left="1701" w:right="1469"/>
        <w:jc w:val="both"/>
        <w:rPr>
          <w:rFonts w:ascii="Arial" w:hAnsi="Arial" w:cs="Arial"/>
          <w:b/>
          <w:sz w:val="24"/>
          <w:szCs w:val="24"/>
          <w:lang w:eastAsia="es-MX"/>
        </w:rPr>
      </w:pPr>
    </w:p>
    <w:p w:rsidR="000E27C0" w:rsidRDefault="000E27C0" w:rsidP="000E27C0">
      <w:pPr>
        <w:spacing w:line="360" w:lineRule="auto"/>
        <w:ind w:firstLine="709"/>
        <w:contextualSpacing/>
        <w:jc w:val="both"/>
        <w:rPr>
          <w:rFonts w:ascii="Arial" w:hAnsi="Arial" w:cs="Arial"/>
          <w:sz w:val="24"/>
          <w:szCs w:val="24"/>
        </w:rPr>
      </w:pPr>
      <w:r w:rsidRPr="009C56D2">
        <w:rPr>
          <w:rFonts w:ascii="Arial" w:hAnsi="Arial" w:cs="Arial"/>
          <w:bCs/>
          <w:sz w:val="24"/>
          <w:szCs w:val="24"/>
          <w:lang w:val="es-MX"/>
        </w:rPr>
        <w:t>La actora</w:t>
      </w:r>
      <w:r w:rsidRPr="00850D23">
        <w:rPr>
          <w:rFonts w:ascii="Arial" w:hAnsi="Arial" w:cs="Arial"/>
          <w:bCs/>
          <w:sz w:val="24"/>
          <w:szCs w:val="24"/>
          <w:lang w:val="es-MX"/>
        </w:rPr>
        <w:t xml:space="preserve"> </w:t>
      </w:r>
      <w:bookmarkStart w:id="3" w:name="_Hlk90293366"/>
      <w:r>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r w:rsidRPr="00221CFA">
        <w:rPr>
          <w:rFonts w:ascii="Arial" w:hAnsi="Arial" w:cs="Arial"/>
          <w:bCs/>
          <w:sz w:val="24"/>
          <w:szCs w:val="24"/>
        </w:rPr>
        <w:t>por conducto de su representante legal</w:t>
      </w:r>
      <w:r w:rsidRPr="00D737F7">
        <w:rPr>
          <w:rFonts w:ascii="Arial" w:hAnsi="Arial" w:cs="Arial"/>
          <w:b/>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demandó la nulidad</w:t>
      </w:r>
      <w:r w:rsidRPr="007B0581">
        <w:rPr>
          <w:rFonts w:ascii="Arial" w:hAnsi="Arial" w:cs="Arial"/>
          <w:sz w:val="24"/>
          <w:szCs w:val="24"/>
        </w:rPr>
        <w:t xml:space="preserve"> en contra 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de veintiséis de junio de dos mil diecinueve, emitida por la Directora de lo Contencioso de la Procuraduría Fiscal dependiente de la Subsecretaría de Ingresos de la Secretaría de Finanzas del Gobierno del Estado, por considerar que es ilegal por ser contrario a lo dispuesto por los artículos 14 y 16 de la Constitución Política de los Estado Unidos Mexicanos y 14 de la Constitución Local, al encontrarse indebidamente fundada y motivada, en virtud de que al resolver el recurso de revocación la autoridad se encuentra constreñida a establecer los elementos en los que se basó para determinar el importe de la multa.</w:t>
      </w:r>
    </w:p>
    <w:p w:rsidR="000E27C0" w:rsidRDefault="000E27C0" w:rsidP="000E27C0">
      <w:pPr>
        <w:spacing w:line="360" w:lineRule="auto"/>
        <w:ind w:firstLine="709"/>
        <w:contextualSpacing/>
        <w:jc w:val="both"/>
        <w:rPr>
          <w:rFonts w:ascii="Arial" w:hAnsi="Arial" w:cs="Arial"/>
          <w:sz w:val="24"/>
          <w:szCs w:val="24"/>
        </w:rPr>
      </w:pPr>
    </w:p>
    <w:p w:rsidR="000E27C0" w:rsidRDefault="000E27C0" w:rsidP="000E27C0">
      <w:pPr>
        <w:spacing w:line="360" w:lineRule="auto"/>
        <w:ind w:firstLine="709"/>
        <w:contextualSpacing/>
        <w:jc w:val="both"/>
        <w:rPr>
          <w:rFonts w:ascii="Arial" w:hAnsi="Arial" w:cs="Arial"/>
          <w:sz w:val="24"/>
          <w:szCs w:val="24"/>
        </w:rPr>
      </w:pPr>
      <w:r w:rsidRPr="009C56D2">
        <w:rPr>
          <w:rFonts w:ascii="Arial" w:hAnsi="Arial" w:cs="Arial"/>
          <w:sz w:val="24"/>
          <w:szCs w:val="24"/>
        </w:rPr>
        <w:t>Por su parte,</w:t>
      </w:r>
      <w:r>
        <w:rPr>
          <w:rFonts w:ascii="Arial" w:hAnsi="Arial" w:cs="Arial"/>
          <w:sz w:val="24"/>
          <w:szCs w:val="24"/>
        </w:rPr>
        <w:t xml:space="preserve"> el Director de lo Contencioso de la Procuraduría Fiscal dependiente de la Subsecretaría de Ingresos de la Secretaría de Finanzas del Poder </w:t>
      </w:r>
      <w:r>
        <w:rPr>
          <w:rFonts w:ascii="Arial" w:hAnsi="Arial" w:cs="Arial"/>
          <w:sz w:val="24"/>
          <w:szCs w:val="24"/>
        </w:rPr>
        <w:lastRenderedPageBreak/>
        <w:t>Ejecutivo del Estado, indic</w:t>
      </w:r>
      <w:r w:rsidRPr="00726A71">
        <w:rPr>
          <w:rFonts w:ascii="Arial" w:hAnsi="Arial" w:cs="Arial"/>
          <w:sz w:val="24"/>
          <w:szCs w:val="24"/>
        </w:rPr>
        <w:t>a que</w:t>
      </w:r>
      <w:r>
        <w:rPr>
          <w:rFonts w:ascii="Arial" w:hAnsi="Arial" w:cs="Arial"/>
          <w:sz w:val="24"/>
          <w:szCs w:val="24"/>
        </w:rPr>
        <w:t xml:space="preserve"> le fue impuesta la multa por incumplimiento de sus obligaciones fiscales, actualizándose la hipótesis prevista en el artículo 269, párrafo primero, fracción I, del Código Fiscal para el Estado de Oaxaca y la citada multa fue por el monto mínimo.</w:t>
      </w:r>
    </w:p>
    <w:p w:rsidR="000E27C0" w:rsidRDefault="000E27C0" w:rsidP="000E27C0">
      <w:pPr>
        <w:spacing w:line="360" w:lineRule="auto"/>
        <w:ind w:firstLine="709"/>
        <w:contextualSpacing/>
        <w:jc w:val="both"/>
        <w:rPr>
          <w:rFonts w:ascii="Arial" w:hAnsi="Arial" w:cs="Arial"/>
          <w:sz w:val="24"/>
          <w:szCs w:val="24"/>
        </w:rPr>
      </w:pPr>
    </w:p>
    <w:p w:rsidR="000E27C0" w:rsidRPr="00EC7B74" w:rsidRDefault="000E27C0" w:rsidP="000E27C0">
      <w:pPr>
        <w:pStyle w:val="Sangradetextonormal2"/>
        <w:tabs>
          <w:tab w:val="left" w:pos="2041"/>
        </w:tabs>
        <w:spacing w:line="360" w:lineRule="auto"/>
        <w:ind w:right="51" w:firstLine="0"/>
        <w:jc w:val="both"/>
        <w:rPr>
          <w:rFonts w:ascii="Arial" w:hAnsi="Arial" w:cs="Arial"/>
          <w:bCs/>
          <w:sz w:val="24"/>
          <w:szCs w:val="24"/>
        </w:rPr>
      </w:pPr>
      <w:r w:rsidRPr="00B13D19">
        <w:rPr>
          <w:rFonts w:ascii="Arial" w:hAnsi="Arial" w:cs="Arial"/>
          <w:bCs/>
          <w:sz w:val="24"/>
          <w:szCs w:val="24"/>
        </w:rPr>
        <w:t>E</w:t>
      </w:r>
      <w:r w:rsidRPr="00B13D19">
        <w:rPr>
          <w:rFonts w:ascii="Arial" w:hAnsi="Arial" w:cs="Arial"/>
          <w:sz w:val="24"/>
          <w:szCs w:val="24"/>
        </w:rPr>
        <w:t>sta S</w:t>
      </w:r>
      <w:r>
        <w:rPr>
          <w:rFonts w:ascii="Arial" w:hAnsi="Arial" w:cs="Arial"/>
          <w:sz w:val="24"/>
          <w:szCs w:val="24"/>
        </w:rPr>
        <w:t>ala</w:t>
      </w:r>
      <w:r w:rsidRPr="00EC7B74">
        <w:rPr>
          <w:rFonts w:ascii="Arial" w:hAnsi="Arial" w:cs="Arial"/>
          <w:sz w:val="24"/>
          <w:szCs w:val="24"/>
        </w:rPr>
        <w:t>, por cuestión de método y técnica jurídica, procede a pronunciarse  respecto a la legalidad de la resolución sujeta a debate, por lo que</w:t>
      </w:r>
      <w:r w:rsidRPr="00EC7B74">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w:t>
      </w:r>
      <w:r>
        <w:rPr>
          <w:rFonts w:ascii="Arial" w:hAnsi="Arial" w:cs="Arial"/>
          <w:bCs/>
          <w:sz w:val="24"/>
          <w:szCs w:val="24"/>
        </w:rPr>
        <w:t xml:space="preserve"> de oficio </w:t>
      </w:r>
      <w:r w:rsidRPr="00EC7B74">
        <w:rPr>
          <w:rFonts w:ascii="Arial" w:hAnsi="Arial" w:cs="Arial"/>
          <w:bCs/>
          <w:sz w:val="24"/>
          <w:szCs w:val="24"/>
        </w:rPr>
        <w:t>y de orden público, tal y como lo establece el artículo 208 último párrafo de la Ley de Procedimiento y Justicia Administrativa para el Estado de Oaxaca, as</w:t>
      </w:r>
      <w:r>
        <w:rPr>
          <w:rFonts w:ascii="Arial" w:hAnsi="Arial" w:cs="Arial"/>
          <w:bCs/>
          <w:sz w:val="24"/>
          <w:szCs w:val="24"/>
        </w:rPr>
        <w:t>i</w:t>
      </w:r>
      <w:r w:rsidRPr="00EC7B74">
        <w:rPr>
          <w:rFonts w:ascii="Arial" w:hAnsi="Arial" w:cs="Arial"/>
          <w:bCs/>
          <w:sz w:val="24"/>
          <w:szCs w:val="24"/>
        </w:rPr>
        <w:t xml:space="preserve">mismo, sirve de sustento la siguiente </w:t>
      </w:r>
      <w:r>
        <w:rPr>
          <w:rFonts w:ascii="Arial" w:hAnsi="Arial" w:cs="Arial"/>
          <w:bCs/>
          <w:sz w:val="24"/>
          <w:szCs w:val="24"/>
        </w:rPr>
        <w:t xml:space="preserve">jurisprudencia con número de registro </w:t>
      </w:r>
      <w:r w:rsidRPr="003F1FCB">
        <w:rPr>
          <w:rFonts w:ascii="Arial" w:hAnsi="Arial" w:cs="Arial"/>
          <w:color w:val="212529"/>
          <w:sz w:val="24"/>
          <w:szCs w:val="24"/>
          <w:shd w:val="clear" w:color="auto" w:fill="FFFFFF"/>
        </w:rPr>
        <w:t>172812, Novena Época</w:t>
      </w:r>
      <w:r>
        <w:rPr>
          <w:rFonts w:ascii="Arial" w:hAnsi="Arial" w:cs="Arial"/>
          <w:color w:val="212529"/>
          <w:sz w:val="24"/>
          <w:szCs w:val="24"/>
          <w:shd w:val="clear" w:color="auto" w:fill="FFFFFF"/>
        </w:rPr>
        <w:t xml:space="preserve">, Materia Administrativa, publicado en el </w:t>
      </w:r>
      <w:r w:rsidRPr="00903533">
        <w:rPr>
          <w:rFonts w:ascii="Arial" w:hAnsi="Arial" w:cs="Arial"/>
          <w:color w:val="212529"/>
          <w:sz w:val="24"/>
          <w:szCs w:val="24"/>
          <w:shd w:val="clear" w:color="auto" w:fill="FFFFFF"/>
        </w:rPr>
        <w:t xml:space="preserve">Semanario Judicial de la Federación y su Gaceta. </w:t>
      </w:r>
      <w:r w:rsidRPr="00903533">
        <w:rPr>
          <w:rFonts w:ascii="Arial" w:hAnsi="Arial" w:cs="Arial"/>
          <w:color w:val="212529"/>
          <w:sz w:val="24"/>
          <w:szCs w:val="24"/>
        </w:rPr>
        <w:br/>
      </w:r>
      <w:r w:rsidRPr="00903533">
        <w:rPr>
          <w:rStyle w:val="ng-star-inserted"/>
          <w:rFonts w:ascii="Arial" w:hAnsi="Arial" w:cs="Arial"/>
          <w:color w:val="212529"/>
          <w:sz w:val="24"/>
          <w:szCs w:val="24"/>
        </w:rPr>
        <w:t>Tomo XXV, Abril de 2007, página 1377</w:t>
      </w:r>
      <w:r>
        <w:rPr>
          <w:rStyle w:val="ng-star-inserted"/>
          <w:rFonts w:ascii="Arial" w:hAnsi="Arial" w:cs="Arial"/>
          <w:color w:val="212529"/>
          <w:sz w:val="24"/>
          <w:szCs w:val="24"/>
        </w:rPr>
        <w:t xml:space="preserve">, </w:t>
      </w:r>
      <w:r w:rsidRPr="00903533">
        <w:rPr>
          <w:rFonts w:ascii="Arial" w:hAnsi="Arial" w:cs="Arial"/>
          <w:color w:val="212529"/>
          <w:sz w:val="24"/>
          <w:szCs w:val="24"/>
          <w:shd w:val="clear" w:color="auto" w:fill="FFFFFF"/>
        </w:rPr>
        <w:t>Tribunales Colegiados de Circuito</w:t>
      </w:r>
      <w:r>
        <w:rPr>
          <w:rFonts w:ascii="Arial" w:hAnsi="Arial" w:cs="Arial"/>
          <w:bCs/>
          <w:sz w:val="24"/>
          <w:szCs w:val="24"/>
        </w:rPr>
        <w:t>,</w:t>
      </w:r>
      <w:r w:rsidRPr="00EC7B74">
        <w:rPr>
          <w:rFonts w:ascii="Arial" w:hAnsi="Arial" w:cs="Arial"/>
          <w:bCs/>
          <w:sz w:val="24"/>
          <w:szCs w:val="24"/>
        </w:rPr>
        <w:t xml:space="preserve"> bajo el siguiente rubro:</w:t>
      </w:r>
    </w:p>
    <w:p w:rsidR="000E27C0" w:rsidRDefault="000E27C0" w:rsidP="000E27C0">
      <w:pPr>
        <w:spacing w:before="240" w:line="360" w:lineRule="auto"/>
        <w:ind w:left="1134" w:right="902"/>
        <w:jc w:val="both"/>
        <w:rPr>
          <w:rFonts w:ascii="Arial" w:hAnsi="Arial" w:cs="Arial"/>
          <w:b/>
          <w:sz w:val="24"/>
          <w:szCs w:val="24"/>
        </w:rPr>
      </w:pPr>
      <w:r w:rsidRPr="00EC7B74">
        <w:rPr>
          <w:rFonts w:ascii="Arial" w:hAnsi="Arial" w:cs="Arial"/>
          <w:b/>
          <w:sz w:val="24"/>
          <w:szCs w:val="24"/>
        </w:rPr>
        <w:t>COMPETENCIA</w:t>
      </w:r>
      <w:r>
        <w:rPr>
          <w:rFonts w:ascii="Arial" w:hAnsi="Arial" w:cs="Arial"/>
          <w:b/>
          <w:sz w:val="24"/>
          <w:szCs w:val="24"/>
        </w:rPr>
        <w:t xml:space="preserve"> </w:t>
      </w:r>
      <w:r w:rsidRPr="00EC7B74">
        <w:rPr>
          <w:rFonts w:ascii="Arial" w:hAnsi="Arial" w:cs="Arial"/>
          <w:b/>
          <w:sz w:val="24"/>
          <w:szCs w:val="24"/>
        </w:rPr>
        <w:t>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rsidR="000E27C0" w:rsidRPr="00B75750" w:rsidRDefault="000E27C0" w:rsidP="000E27C0">
      <w:pPr>
        <w:spacing w:before="240" w:line="360" w:lineRule="auto"/>
        <w:ind w:left="1134" w:right="902"/>
        <w:jc w:val="both"/>
        <w:rPr>
          <w:rFonts w:ascii="Arial" w:hAnsi="Arial" w:cs="Arial"/>
          <w:b/>
          <w:sz w:val="24"/>
          <w:szCs w:val="24"/>
        </w:rPr>
      </w:pPr>
    </w:p>
    <w:p w:rsidR="000E27C0" w:rsidRDefault="000E27C0" w:rsidP="000E27C0">
      <w:pPr>
        <w:spacing w:line="360" w:lineRule="auto"/>
        <w:ind w:right="51"/>
        <w:jc w:val="both"/>
        <w:rPr>
          <w:rFonts w:ascii="Arial" w:hAnsi="Arial" w:cs="Arial"/>
          <w:sz w:val="24"/>
          <w:szCs w:val="24"/>
        </w:rPr>
      </w:pPr>
      <w:r w:rsidRPr="00EC7B74">
        <w:rPr>
          <w:rFonts w:ascii="Arial" w:hAnsi="Arial" w:cs="Arial"/>
          <w:sz w:val="24"/>
          <w:szCs w:val="24"/>
        </w:rPr>
        <w:t xml:space="preserve">        </w:t>
      </w:r>
      <w:r w:rsidRPr="00971A64">
        <w:rPr>
          <w:rFonts w:ascii="Arial" w:hAnsi="Arial" w:cs="Arial"/>
          <w:sz w:val="24"/>
          <w:szCs w:val="24"/>
        </w:rPr>
        <w:t>La Directora</w:t>
      </w:r>
      <w:r>
        <w:rPr>
          <w:rFonts w:ascii="Arial" w:hAnsi="Arial" w:cs="Arial"/>
          <w:sz w:val="24"/>
          <w:szCs w:val="24"/>
        </w:rPr>
        <w:t xml:space="preserve"> de lo Contencioso de la Procuraduría Fiscal de la Subsecretaría de Ingresos dependiente de la Secretaría de Finanzas del Gobierno del Estado de Oaxaca</w:t>
      </w:r>
      <w:r w:rsidRPr="00903533">
        <w:rPr>
          <w:rFonts w:ascii="Arial" w:hAnsi="Arial" w:cs="Arial"/>
          <w:sz w:val="24"/>
          <w:szCs w:val="24"/>
        </w:rPr>
        <w:t>,</w:t>
      </w:r>
      <w:r>
        <w:rPr>
          <w:rFonts w:ascii="Arial" w:hAnsi="Arial" w:cs="Arial"/>
          <w:b/>
          <w:bCs/>
          <w:sz w:val="24"/>
          <w:szCs w:val="24"/>
        </w:rPr>
        <w:t xml:space="preserve"> </w:t>
      </w:r>
      <w:r w:rsidRPr="00EC7B74">
        <w:rPr>
          <w:rFonts w:ascii="Arial" w:hAnsi="Arial" w:cs="Arial"/>
          <w:sz w:val="24"/>
          <w:szCs w:val="24"/>
        </w:rPr>
        <w:t xml:space="preserve">estableció su competencia en el </w:t>
      </w:r>
      <w:r>
        <w:rPr>
          <w:rFonts w:ascii="Arial" w:hAnsi="Arial" w:cs="Arial"/>
          <w:sz w:val="24"/>
          <w:szCs w:val="24"/>
        </w:rPr>
        <w:t>segundo</w:t>
      </w:r>
      <w:r w:rsidRPr="00EC7B74">
        <w:rPr>
          <w:rFonts w:ascii="Arial" w:hAnsi="Arial" w:cs="Arial"/>
          <w:sz w:val="24"/>
          <w:szCs w:val="24"/>
        </w:rPr>
        <w:t xml:space="preserve"> párrafo de la</w:t>
      </w:r>
      <w:r>
        <w:rPr>
          <w:rFonts w:ascii="Arial" w:hAnsi="Arial" w:cs="Arial"/>
          <w:sz w:val="24"/>
          <w:szCs w:val="24"/>
        </w:rPr>
        <w:t xml:space="preserve"> resolución impugnada</w:t>
      </w:r>
      <w:r w:rsidRPr="008930AE">
        <w:rPr>
          <w:rFonts w:ascii="Arial" w:hAnsi="Arial" w:cs="Arial"/>
          <w:sz w:val="24"/>
          <w:szCs w:val="24"/>
        </w:rPr>
        <w:t xml:space="preserve">, con número de </w:t>
      </w:r>
      <w:r>
        <w:rPr>
          <w:rFonts w:ascii="Arial" w:hAnsi="Arial" w:cs="Arial"/>
          <w:sz w:val="24"/>
          <w:szCs w:val="24"/>
        </w:rPr>
        <w:t>oficio</w:t>
      </w:r>
      <w:r w:rsidRPr="008930AE">
        <w:rPr>
          <w:rFonts w:ascii="Arial" w:hAnsi="Arial" w:cs="Arial"/>
          <w:sz w:val="24"/>
          <w:szCs w:val="24"/>
        </w:rPr>
        <w:t xml:space="preserve"> </w:t>
      </w:r>
      <w:r>
        <w:rPr>
          <w:rFonts w:cs="Arial"/>
          <w:b/>
          <w:sz w:val="24"/>
          <w:szCs w:val="24"/>
        </w:rPr>
        <w:t>**********</w:t>
      </w:r>
      <w:r>
        <w:rPr>
          <w:rFonts w:ascii="Arial" w:hAnsi="Arial" w:cs="Arial"/>
          <w:sz w:val="24"/>
          <w:szCs w:val="24"/>
        </w:rPr>
        <w:t xml:space="preserve"> de veintiséis de junio de dos mil diecinueve</w:t>
      </w:r>
      <w:r w:rsidRPr="008930AE">
        <w:rPr>
          <w:rFonts w:ascii="Arial" w:hAnsi="Arial" w:cs="Arial"/>
          <w:sz w:val="24"/>
          <w:szCs w:val="24"/>
        </w:rPr>
        <w:t xml:space="preserve">, </w:t>
      </w:r>
      <w:r w:rsidRPr="00EC7B74">
        <w:rPr>
          <w:rFonts w:ascii="Arial" w:hAnsi="Arial" w:cs="Arial"/>
          <w:sz w:val="24"/>
          <w:szCs w:val="24"/>
        </w:rPr>
        <w:t xml:space="preserve">que a la letra dice: </w:t>
      </w:r>
      <w:r w:rsidRPr="00EC7B74">
        <w:rPr>
          <w:rFonts w:ascii="Arial" w:hAnsi="Arial" w:cs="Arial"/>
          <w:i/>
          <w:iCs/>
          <w:sz w:val="24"/>
          <w:szCs w:val="24"/>
        </w:rPr>
        <w:t>“</w:t>
      </w:r>
      <w:r>
        <w:rPr>
          <w:rFonts w:ascii="Arial" w:hAnsi="Arial" w:cs="Arial"/>
          <w:i/>
          <w:iCs/>
          <w:sz w:val="24"/>
          <w:szCs w:val="24"/>
        </w:rPr>
        <w:t xml:space="preserve">Esta Dirección de lo Contencioso de la Procuraduría Fiscal dependiente de la Subsecretaría de Ingresos, de la Secretaría de Finanzas del Poder Ejecutivo del Estado, con fundamento en los artículos 1, 3 párrafo primero, fracción I, 6, párrafo segundo, 8,15, 16, 23, 24, 26, 27, párrafo primero, fracción XII, 29, párrafo primero y 45, párrafo primero, fracciones XIII, XXXVI, y LIX, de la Ley Orgánica del Poder Ejecutivo del Estado de Oaxaca vigente; 1, 2, 4, párrafo primero, fracciones I y III, inciso c), numeral 2, 5, 6, párrafo primero, fracción VI, 16, párrafo primero, fracciones III y XV, 30, párrafo primero, 38, párrafo primero y 40, párrafo primero, fracciones, V, VI y XXVII del Reglamento Interno de la Secretaría de Finanzas del Poder Ejecutivo del Estado de Oaxaca; artículos 1, 5, </w:t>
      </w:r>
      <w:r>
        <w:rPr>
          <w:rFonts w:ascii="Arial" w:hAnsi="Arial" w:cs="Arial"/>
          <w:i/>
          <w:iCs/>
          <w:sz w:val="24"/>
          <w:szCs w:val="24"/>
        </w:rPr>
        <w:lastRenderedPageBreak/>
        <w:t xml:space="preserve">párrafo primero, fracciones II y VIII, 7, párrafo primero, fracciones II, IV y XII, 52, 243, 244, párrafo primero, fracción I, inciso b), 246, 247, 248, 255, 256 y artículo 263, párrafo primero, del Código Fiscal para el Estado de Oaxaca </w:t>
      </w:r>
      <w:r w:rsidRPr="00B13D19">
        <w:rPr>
          <w:rFonts w:ascii="Arial" w:hAnsi="Arial" w:cs="Arial"/>
          <w:i/>
          <w:iCs/>
          <w:sz w:val="24"/>
          <w:szCs w:val="24"/>
        </w:rPr>
        <w:t>vigent</w:t>
      </w:r>
      <w:r>
        <w:rPr>
          <w:rFonts w:ascii="Arial" w:hAnsi="Arial" w:cs="Arial"/>
          <w:i/>
          <w:iCs/>
          <w:sz w:val="24"/>
          <w:szCs w:val="24"/>
        </w:rPr>
        <w:t xml:space="preserve">e </w:t>
      </w:r>
      <w:r w:rsidRPr="00EC7B74">
        <w:rPr>
          <w:rFonts w:ascii="Arial" w:hAnsi="Arial" w:cs="Arial"/>
          <w:i/>
          <w:iCs/>
          <w:sz w:val="24"/>
          <w:szCs w:val="24"/>
        </w:rPr>
        <w:t>…”</w:t>
      </w:r>
      <w:r w:rsidRPr="00EC7B74">
        <w:rPr>
          <w:rFonts w:ascii="Arial" w:hAnsi="Arial" w:cs="Arial"/>
          <w:sz w:val="24"/>
          <w:szCs w:val="24"/>
        </w:rPr>
        <w:t>,</w:t>
      </w:r>
      <w:r>
        <w:rPr>
          <w:rFonts w:ascii="Arial" w:hAnsi="Arial" w:cs="Arial"/>
          <w:sz w:val="24"/>
          <w:szCs w:val="24"/>
        </w:rPr>
        <w:t xml:space="preserve"> disposiciones de las que se advierte que la autoridad demandada sí funda su competencia, en razón de que la normatividad plasmada contempla que el ejercicio del Poder Ejecutivo, se deposita en un solo individuo denominado Gobernador del Estado; y puede para el ejercicio de sus atribuciones, y para el despacho de los asuntos en el orden administrativo, delegar sus facultades a otros funcionarios, a través de leyes o reglamentos, siendo el caso en particular a la Secretaría de Finanzas.</w:t>
      </w:r>
    </w:p>
    <w:p w:rsidR="000E27C0" w:rsidRDefault="000E27C0" w:rsidP="000E27C0">
      <w:pPr>
        <w:spacing w:line="360" w:lineRule="auto"/>
        <w:ind w:right="51"/>
        <w:jc w:val="both"/>
        <w:rPr>
          <w:rFonts w:ascii="Arial" w:hAnsi="Arial" w:cs="Arial"/>
          <w:sz w:val="24"/>
          <w:szCs w:val="24"/>
        </w:rPr>
      </w:pPr>
    </w:p>
    <w:p w:rsidR="000E27C0" w:rsidRDefault="000E27C0" w:rsidP="000E27C0">
      <w:pPr>
        <w:spacing w:line="360" w:lineRule="auto"/>
        <w:ind w:right="51"/>
        <w:jc w:val="both"/>
        <w:rPr>
          <w:rFonts w:ascii="Arial" w:hAnsi="Arial" w:cs="Arial"/>
          <w:sz w:val="24"/>
          <w:szCs w:val="24"/>
        </w:rPr>
      </w:pPr>
      <w:r>
        <w:rPr>
          <w:rFonts w:ascii="Arial" w:hAnsi="Arial" w:cs="Arial"/>
          <w:sz w:val="24"/>
          <w:szCs w:val="24"/>
        </w:rPr>
        <w:tab/>
        <w:t xml:space="preserve">Bajo ese mismo contexto, es el Reglamento Interno de la Secretaría de Finanzas, el que regula la organización y competencia de los servidores públicos que conforman dicha dependencia, atendiendo los asuntos de la competencia que le confiere la Ley Orgánica del Poder Ejecutivo del Estado de Oaxaca, disposiciones que de igual forma fueron plasmadas por la demandada en el acto que se impugna, puesto que en éste se advierte que la demandada, Directora de lo Contencioso, sí fundó su competencia al establecer las disposiciones legales que la facultan </w:t>
      </w:r>
      <w:r w:rsidRPr="00B13D19">
        <w:rPr>
          <w:rFonts w:ascii="Arial" w:hAnsi="Arial" w:cs="Arial"/>
          <w:sz w:val="24"/>
          <w:szCs w:val="24"/>
        </w:rPr>
        <w:t>para</w:t>
      </w:r>
      <w:r>
        <w:rPr>
          <w:rFonts w:ascii="Arial" w:hAnsi="Arial" w:cs="Arial"/>
          <w:sz w:val="24"/>
          <w:szCs w:val="24"/>
        </w:rPr>
        <w:t xml:space="preserve"> </w:t>
      </w:r>
      <w:r w:rsidRPr="00E90967">
        <w:rPr>
          <w:rFonts w:ascii="Arial" w:hAnsi="Arial" w:cs="Arial"/>
          <w:sz w:val="24"/>
          <w:szCs w:val="24"/>
        </w:rPr>
        <w:t>resolver los recursos administrativos que por ley o decreto le correspondan en la esfera de su competencia</w:t>
      </w:r>
      <w:r>
        <w:rPr>
          <w:rFonts w:ascii="Arial" w:hAnsi="Arial" w:cs="Arial"/>
          <w:sz w:val="24"/>
          <w:szCs w:val="24"/>
        </w:rPr>
        <w:t>, puesto que los artículos 1 y 5, del Reglamento Interno de la Secretaría de Finanzas establecen:</w:t>
      </w:r>
      <w:r w:rsidRPr="00EC7B74">
        <w:rPr>
          <w:rFonts w:ascii="Arial" w:hAnsi="Arial" w:cs="Arial"/>
          <w:sz w:val="24"/>
          <w:szCs w:val="24"/>
        </w:rPr>
        <w:t xml:space="preserve"> </w:t>
      </w:r>
    </w:p>
    <w:p w:rsidR="000E27C0" w:rsidRDefault="000E27C0" w:rsidP="000E27C0">
      <w:pPr>
        <w:spacing w:line="360" w:lineRule="auto"/>
        <w:ind w:right="51"/>
        <w:jc w:val="both"/>
        <w:rPr>
          <w:rFonts w:ascii="Arial" w:hAnsi="Arial" w:cs="Arial"/>
          <w:sz w:val="24"/>
          <w:szCs w:val="24"/>
        </w:rPr>
      </w:pPr>
    </w:p>
    <w:p w:rsidR="000E27C0" w:rsidRPr="009D1684" w:rsidRDefault="000E27C0" w:rsidP="000E27C0">
      <w:pPr>
        <w:ind w:right="51" w:firstLine="708"/>
        <w:jc w:val="both"/>
        <w:rPr>
          <w:rFonts w:ascii="Arial" w:hAnsi="Arial" w:cs="Arial"/>
          <w:i/>
          <w:iCs/>
          <w:sz w:val="24"/>
          <w:szCs w:val="24"/>
        </w:rPr>
      </w:pPr>
      <w:r w:rsidRPr="009D1684">
        <w:rPr>
          <w:rFonts w:ascii="Arial" w:hAnsi="Arial" w:cs="Arial"/>
          <w:i/>
          <w:iCs/>
          <w:sz w:val="24"/>
          <w:szCs w:val="24"/>
        </w:rPr>
        <w:t xml:space="preserve">“Artículo 1. El presente ordenamiento tiene por objeto reglamentar la organización, competencia y facultades de las y los servidores públicos de la Secretaría de Finanzas del Poder Ejecutivo del Estado. </w:t>
      </w:r>
    </w:p>
    <w:p w:rsidR="000E27C0" w:rsidRPr="009D1684" w:rsidRDefault="000E27C0" w:rsidP="000E27C0">
      <w:pPr>
        <w:ind w:right="51"/>
        <w:jc w:val="both"/>
        <w:rPr>
          <w:rFonts w:ascii="Arial" w:hAnsi="Arial" w:cs="Arial"/>
          <w:i/>
          <w:iCs/>
          <w:sz w:val="24"/>
          <w:szCs w:val="24"/>
        </w:rPr>
      </w:pPr>
      <w:r w:rsidRPr="009D1684">
        <w:rPr>
          <w:rFonts w:ascii="Arial" w:hAnsi="Arial" w:cs="Arial"/>
          <w:i/>
          <w:iCs/>
          <w:sz w:val="24"/>
          <w:szCs w:val="24"/>
        </w:rPr>
        <w:t xml:space="preserve"> </w:t>
      </w:r>
    </w:p>
    <w:p w:rsidR="000E27C0" w:rsidRPr="009D1684" w:rsidRDefault="000E27C0" w:rsidP="000E27C0">
      <w:pPr>
        <w:ind w:right="51"/>
        <w:jc w:val="both"/>
        <w:rPr>
          <w:rFonts w:ascii="Arial" w:hAnsi="Arial" w:cs="Arial"/>
          <w:i/>
          <w:iCs/>
          <w:sz w:val="24"/>
          <w:szCs w:val="24"/>
        </w:rPr>
      </w:pPr>
      <w:r w:rsidRPr="009D1684">
        <w:rPr>
          <w:rFonts w:ascii="Arial" w:hAnsi="Arial" w:cs="Arial"/>
          <w:i/>
          <w:iCs/>
          <w:sz w:val="24"/>
          <w:szCs w:val="24"/>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0E27C0" w:rsidRPr="00EC7B74" w:rsidRDefault="000E27C0" w:rsidP="000E27C0">
      <w:pPr>
        <w:spacing w:line="360" w:lineRule="auto"/>
        <w:ind w:right="51"/>
        <w:jc w:val="both"/>
        <w:rPr>
          <w:rFonts w:ascii="Arial" w:hAnsi="Arial" w:cs="Arial"/>
          <w:sz w:val="24"/>
          <w:szCs w:val="24"/>
        </w:rPr>
      </w:pPr>
    </w:p>
    <w:p w:rsidR="000E27C0" w:rsidRPr="00E76D47" w:rsidRDefault="000E27C0" w:rsidP="000E27C0">
      <w:pPr>
        <w:ind w:right="51" w:firstLine="708"/>
        <w:jc w:val="both"/>
        <w:rPr>
          <w:rFonts w:ascii="Arial" w:hAnsi="Arial" w:cs="Arial"/>
          <w:i/>
          <w:iCs/>
          <w:sz w:val="24"/>
          <w:szCs w:val="24"/>
        </w:rPr>
      </w:pPr>
      <w:r w:rsidRPr="00C44835">
        <w:rPr>
          <w:rFonts w:ascii="Arial" w:hAnsi="Arial" w:cs="Arial"/>
          <w:i/>
          <w:iCs/>
          <w:sz w:val="24"/>
          <w:szCs w:val="24"/>
        </w:rPr>
        <w:t>Artículo 5. El estudio, trámite y resolución de los asuntos que son competencia de la Secretaría, así como su representación corresponden originalmente al Secretario quien para su mejor atención y despacho, podrá delegar facultades en las y los servidores públicos subalternos sin perder por ello la posibilidad de su ejercicio directo, excepto aquéllas que por disposición de las leyes aplicables y este Reglamento deba ejercer en forma directa y exclusiva.</w:t>
      </w:r>
      <w:r w:rsidRPr="00E76D47">
        <w:rPr>
          <w:rFonts w:ascii="Arial" w:hAnsi="Arial" w:cs="Arial"/>
          <w:i/>
          <w:iCs/>
          <w:sz w:val="24"/>
          <w:szCs w:val="24"/>
        </w:rPr>
        <w:t>”</w:t>
      </w:r>
    </w:p>
    <w:p w:rsidR="000E27C0" w:rsidRPr="00EC7B74" w:rsidRDefault="000E27C0" w:rsidP="000E27C0">
      <w:pPr>
        <w:spacing w:line="360" w:lineRule="auto"/>
        <w:jc w:val="both"/>
        <w:rPr>
          <w:rFonts w:ascii="Arial" w:hAnsi="Arial" w:cs="Arial"/>
          <w:sz w:val="24"/>
          <w:szCs w:val="24"/>
        </w:rPr>
      </w:pPr>
    </w:p>
    <w:p w:rsidR="000E27C0" w:rsidRDefault="000E27C0" w:rsidP="000E27C0">
      <w:pPr>
        <w:spacing w:line="360" w:lineRule="auto"/>
        <w:ind w:firstLine="709"/>
        <w:contextualSpacing/>
        <w:jc w:val="both"/>
        <w:rPr>
          <w:rFonts w:ascii="Arial" w:hAnsi="Arial" w:cs="Arial"/>
          <w:sz w:val="24"/>
          <w:szCs w:val="24"/>
        </w:rPr>
      </w:pPr>
      <w:r w:rsidRPr="00B13D19">
        <w:rPr>
          <w:rFonts w:ascii="Arial" w:hAnsi="Arial" w:cs="Arial"/>
          <w:sz w:val="24"/>
          <w:szCs w:val="24"/>
        </w:rPr>
        <w:t>De</w:t>
      </w:r>
      <w:r>
        <w:rPr>
          <w:rFonts w:ascii="Arial" w:hAnsi="Arial" w:cs="Arial"/>
          <w:sz w:val="24"/>
          <w:szCs w:val="24"/>
        </w:rPr>
        <w:t xml:space="preserve"> </w:t>
      </w:r>
      <w:r w:rsidRPr="00B13D19">
        <w:rPr>
          <w:rFonts w:ascii="Arial" w:hAnsi="Arial" w:cs="Arial"/>
          <w:sz w:val="24"/>
          <w:szCs w:val="24"/>
        </w:rPr>
        <w:t>l</w:t>
      </w:r>
      <w:r>
        <w:rPr>
          <w:rFonts w:ascii="Arial" w:hAnsi="Arial" w:cs="Arial"/>
          <w:sz w:val="24"/>
          <w:szCs w:val="24"/>
        </w:rPr>
        <w:t>os</w:t>
      </w:r>
      <w:r w:rsidRPr="00B13D19">
        <w:rPr>
          <w:rFonts w:ascii="Arial" w:hAnsi="Arial" w:cs="Arial"/>
          <w:sz w:val="24"/>
          <w:szCs w:val="24"/>
        </w:rPr>
        <w:t xml:space="preserve"> numeral</w:t>
      </w:r>
      <w:r>
        <w:rPr>
          <w:rFonts w:ascii="Arial" w:hAnsi="Arial" w:cs="Arial"/>
          <w:sz w:val="24"/>
          <w:szCs w:val="24"/>
        </w:rPr>
        <w:t>es</w:t>
      </w:r>
      <w:r w:rsidRPr="00B13D19">
        <w:rPr>
          <w:rFonts w:ascii="Arial" w:hAnsi="Arial" w:cs="Arial"/>
          <w:sz w:val="24"/>
          <w:szCs w:val="24"/>
        </w:rPr>
        <w:t xml:space="preserve"> anteriormente</w:t>
      </w:r>
      <w:r>
        <w:rPr>
          <w:rFonts w:ascii="Arial" w:hAnsi="Arial" w:cs="Arial"/>
          <w:sz w:val="24"/>
          <w:szCs w:val="24"/>
        </w:rPr>
        <w:t xml:space="preserve"> citados se desprende que efectivamente, la demandada fundó correctamente su competencia para la emisión del acto combatido, siendo </w:t>
      </w:r>
      <w:r w:rsidRPr="00EC7B74">
        <w:rPr>
          <w:rFonts w:ascii="Arial" w:hAnsi="Arial" w:cs="Arial"/>
          <w:sz w:val="24"/>
          <w:szCs w:val="24"/>
        </w:rPr>
        <w:t xml:space="preserve">incorrecta la apreciación de la parte actora </w:t>
      </w:r>
      <w:r>
        <w:rPr>
          <w:rFonts w:ascii="Arial" w:hAnsi="Arial" w:cs="Arial"/>
          <w:sz w:val="24"/>
          <w:szCs w:val="24"/>
        </w:rPr>
        <w:t>cuando</w:t>
      </w:r>
      <w:r w:rsidRPr="00EC7B74">
        <w:rPr>
          <w:rFonts w:ascii="Arial" w:hAnsi="Arial" w:cs="Arial"/>
          <w:sz w:val="24"/>
          <w:szCs w:val="24"/>
        </w:rPr>
        <w:t xml:space="preserve"> manifiesta que la autoridad demandada no sustentó su competencia para la emisión del acto impugnado.</w:t>
      </w:r>
      <w:r>
        <w:rPr>
          <w:rFonts w:ascii="Arial" w:hAnsi="Arial" w:cs="Arial"/>
          <w:sz w:val="24"/>
          <w:szCs w:val="24"/>
        </w:rPr>
        <w:t xml:space="preserve">      </w:t>
      </w:r>
      <w:bookmarkEnd w:id="3"/>
    </w:p>
    <w:p w:rsidR="000E27C0" w:rsidRDefault="000E27C0" w:rsidP="000E27C0">
      <w:pPr>
        <w:spacing w:line="360" w:lineRule="auto"/>
        <w:ind w:firstLine="709"/>
        <w:contextualSpacing/>
        <w:jc w:val="both"/>
        <w:rPr>
          <w:rFonts w:ascii="Arial" w:hAnsi="Arial" w:cs="Arial"/>
          <w:sz w:val="24"/>
          <w:szCs w:val="24"/>
        </w:rPr>
      </w:pPr>
    </w:p>
    <w:p w:rsidR="000E27C0" w:rsidRDefault="000E27C0" w:rsidP="000E27C0">
      <w:pPr>
        <w:spacing w:line="360" w:lineRule="auto"/>
        <w:ind w:firstLine="709"/>
        <w:contextualSpacing/>
        <w:jc w:val="both"/>
        <w:rPr>
          <w:rFonts w:ascii="Arial" w:hAnsi="Arial" w:cs="Arial"/>
          <w:bCs/>
          <w:sz w:val="24"/>
          <w:szCs w:val="24"/>
        </w:rPr>
      </w:pPr>
      <w:r w:rsidRPr="00A0711D">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 </w:t>
      </w:r>
      <w:r>
        <w:rPr>
          <w:rFonts w:ascii="Arial" w:hAnsi="Arial" w:cs="Arial"/>
          <w:sz w:val="24"/>
          <w:szCs w:val="24"/>
        </w:rPr>
        <w:t xml:space="preserve">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veintiséis de junio de dos mil diecinueve, emitida por la Directora de lo Contencioso de la Procuraduría Fiscal de la Subsecretaría de Ingresos dependiente de la Secretaría de Finanzas del Gobierno del Estado, por el que se confirmó el recurso de revocación hecho valer por la parte actora, y supliendo la deficiencia de la queja a favor de la administrada, en términos del artículo 149 de la Ley de Procedimiento y Justicia Administrativa para el Estado de Oaxaca, </w:t>
      </w:r>
      <w:r w:rsidRPr="00812150">
        <w:rPr>
          <w:rFonts w:ascii="Arial" w:hAnsi="Arial" w:cs="Arial"/>
          <w:sz w:val="24"/>
          <w:szCs w:val="24"/>
        </w:rPr>
        <w:t>advierte que</w:t>
      </w:r>
      <w:r>
        <w:rPr>
          <w:rFonts w:ascii="Arial" w:hAnsi="Arial" w:cs="Arial"/>
          <w:sz w:val="24"/>
          <w:szCs w:val="24"/>
        </w:rPr>
        <w:t xml:space="preserve"> la autoridad demandada al dictar su determinación deja de brindarle el mayor beneficio a la actora, se dice lo anterior en razón de que omite señalar la indebida fundamentación y motivación de la Multa por infracción Relacionada con la Presentación de declaraciones del Impuesto Sobre Erogaciones por Remuneraciones al Trabajo Personal con número de control </w:t>
      </w:r>
      <w:r>
        <w:rPr>
          <w:rFonts w:cs="Arial"/>
          <w:b/>
          <w:sz w:val="24"/>
          <w:szCs w:val="24"/>
        </w:rPr>
        <w:t>**********</w:t>
      </w:r>
      <w:r>
        <w:rPr>
          <w:rFonts w:ascii="Arial" w:hAnsi="Arial" w:cs="Arial"/>
          <w:sz w:val="24"/>
          <w:szCs w:val="24"/>
        </w:rPr>
        <w:t xml:space="preserve"> de diecinueve de febrero de dos mil diecinu</w:t>
      </w:r>
      <w:r w:rsidRPr="00455DC4">
        <w:rPr>
          <w:rFonts w:ascii="Arial" w:hAnsi="Arial" w:cs="Arial"/>
          <w:sz w:val="24"/>
          <w:szCs w:val="24"/>
        </w:rPr>
        <w:t>eve</w:t>
      </w:r>
      <w:r>
        <w:rPr>
          <w:rFonts w:ascii="Arial" w:hAnsi="Arial" w:cs="Arial"/>
          <w:sz w:val="24"/>
          <w:szCs w:val="24"/>
        </w:rPr>
        <w:t>, emitida por la Directora de Ingresos y R</w:t>
      </w:r>
      <w:r w:rsidRPr="00455DC4">
        <w:rPr>
          <w:rFonts w:ascii="Arial" w:hAnsi="Arial" w:cs="Arial"/>
          <w:sz w:val="24"/>
          <w:szCs w:val="24"/>
        </w:rPr>
        <w:t>ecaud</w:t>
      </w:r>
      <w:r>
        <w:rPr>
          <w:rFonts w:ascii="Arial" w:hAnsi="Arial" w:cs="Arial"/>
          <w:sz w:val="24"/>
          <w:szCs w:val="24"/>
        </w:rPr>
        <w:t xml:space="preserve">ación dependiente de la Secretaría de Finanzas del Gobierno del Estado de Oaxaca, dejando en estado de indefensión a la parte actora, lo anterior en razón que, </w:t>
      </w:r>
      <w:r>
        <w:rPr>
          <w:rFonts w:ascii="Arial" w:hAnsi="Arial" w:cs="Arial"/>
          <w:bCs/>
          <w:sz w:val="24"/>
          <w:szCs w:val="24"/>
        </w:rPr>
        <w:t xml:space="preserve">si bien es cierto la autoridad primigenia plasma en su determinación los artículos 269, fracción I, del Código Fiscal para el Estado de Oaxaca y 63, 64, 65, 66 y 69 de la Ley Estatal de Hacienda, también lo es que, no existe una adecuación entre los motivos aducidos y las normas aplicables, es decir, la configuración de la hipótesis normativa, lo anterior en razón que la autoridad primigenia fue omisa en citar, en cuál de los dos supuestos del artículo 63 de la Ley Estatal de Hacienda, se encuentra ubicada la parte actora, es decir, cuál es la actividad concreta que se imputa, puesto que únicamente plasma de manera general el citado numeral, fundamentación que realizó de manera incompleta, siendo imperioso para la autoridad, fundar la fracción específica que da origen a que la </w:t>
      </w:r>
      <w:bookmarkStart w:id="4" w:name="_GoBack"/>
      <w:r>
        <w:rPr>
          <w:rFonts w:ascii="Arial" w:hAnsi="Arial" w:cs="Arial"/>
          <w:bCs/>
          <w:sz w:val="24"/>
          <w:szCs w:val="24"/>
        </w:rPr>
        <w:t>contribuyente</w:t>
      </w:r>
      <w:bookmarkEnd w:id="4"/>
      <w:r>
        <w:rPr>
          <w:rFonts w:ascii="Arial" w:hAnsi="Arial" w:cs="Arial"/>
          <w:bCs/>
          <w:sz w:val="24"/>
          <w:szCs w:val="24"/>
        </w:rPr>
        <w:t xml:space="preserve"> </w:t>
      </w:r>
      <w:r>
        <w:rPr>
          <w:rFonts w:cs="Arial"/>
          <w:b/>
          <w:sz w:val="24"/>
          <w:szCs w:val="24"/>
        </w:rPr>
        <w:t>**********</w:t>
      </w:r>
      <w:r w:rsidRPr="00221CFA">
        <w:rPr>
          <w:rFonts w:ascii="Arial" w:hAnsi="Arial" w:cs="Arial"/>
          <w:bCs/>
          <w:sz w:val="24"/>
          <w:szCs w:val="24"/>
        </w:rPr>
        <w:t>,</w:t>
      </w:r>
      <w:r>
        <w:rPr>
          <w:rFonts w:ascii="Arial" w:hAnsi="Arial" w:cs="Arial"/>
          <w:bCs/>
          <w:sz w:val="24"/>
          <w:szCs w:val="24"/>
        </w:rPr>
        <w:t xml:space="preserve"> se encuentra obligada al pago o presentación de la declaración del Impuesto Sobre Erogaciones por Remuneraciones al Trabajo Personal, supuestamente omitida por la parte </w:t>
      </w:r>
      <w:r w:rsidRPr="000526D3">
        <w:rPr>
          <w:rFonts w:ascii="Arial" w:hAnsi="Arial" w:cs="Arial"/>
          <w:bCs/>
          <w:sz w:val="24"/>
          <w:szCs w:val="24"/>
        </w:rPr>
        <w:t>actor</w:t>
      </w:r>
      <w:r>
        <w:rPr>
          <w:rFonts w:ascii="Arial" w:hAnsi="Arial" w:cs="Arial"/>
          <w:bCs/>
          <w:sz w:val="24"/>
          <w:szCs w:val="24"/>
        </w:rPr>
        <w:t>a</w:t>
      </w:r>
      <w:r w:rsidRPr="000526D3">
        <w:rPr>
          <w:rFonts w:ascii="Arial" w:hAnsi="Arial" w:cs="Arial"/>
          <w:bCs/>
          <w:sz w:val="24"/>
          <w:szCs w:val="24"/>
        </w:rPr>
        <w:t>,</w:t>
      </w:r>
      <w:r>
        <w:rPr>
          <w:rFonts w:ascii="Arial" w:hAnsi="Arial" w:cs="Arial"/>
          <w:bCs/>
          <w:sz w:val="24"/>
          <w:szCs w:val="24"/>
        </w:rPr>
        <w:t xml:space="preserve"> mismo que se transcribe para mayor ilustración:</w:t>
      </w:r>
    </w:p>
    <w:p w:rsidR="000E27C0" w:rsidRDefault="000E27C0" w:rsidP="000E27C0">
      <w:pPr>
        <w:spacing w:line="360" w:lineRule="auto"/>
        <w:ind w:firstLine="709"/>
        <w:contextualSpacing/>
        <w:jc w:val="both"/>
        <w:rPr>
          <w:rFonts w:ascii="Arial" w:hAnsi="Arial" w:cs="Arial"/>
          <w:bCs/>
          <w:sz w:val="24"/>
          <w:szCs w:val="24"/>
        </w:rPr>
      </w:pPr>
    </w:p>
    <w:p w:rsidR="000E27C0" w:rsidRPr="006A040B" w:rsidRDefault="000E27C0" w:rsidP="000E27C0">
      <w:pPr>
        <w:autoSpaceDE w:val="0"/>
        <w:autoSpaceDN w:val="0"/>
        <w:adjustRightInd w:val="0"/>
        <w:rPr>
          <w:rFonts w:ascii="Arial" w:eastAsiaTheme="minorHAnsi" w:hAnsi="Arial" w:cs="Arial"/>
          <w:i/>
          <w:iCs/>
          <w:color w:val="000000"/>
          <w:sz w:val="24"/>
          <w:szCs w:val="24"/>
          <w:lang w:val="es-MX" w:eastAsia="en-US"/>
        </w:rPr>
      </w:pPr>
      <w:r w:rsidRPr="005A6C79">
        <w:rPr>
          <w:rFonts w:ascii="Arial" w:eastAsiaTheme="minorHAnsi" w:hAnsi="Arial" w:cs="Arial"/>
          <w:i/>
          <w:iCs/>
          <w:color w:val="000000"/>
          <w:sz w:val="24"/>
          <w:szCs w:val="24"/>
          <w:lang w:val="es-MX" w:eastAsia="en-US"/>
        </w:rPr>
        <w:t>“ARTÍCULO 63</w:t>
      </w:r>
      <w:r w:rsidRPr="006A040B">
        <w:rPr>
          <w:rFonts w:ascii="Arial" w:eastAsiaTheme="minorHAnsi" w:hAnsi="Arial" w:cs="Arial"/>
          <w:i/>
          <w:iCs/>
          <w:color w:val="000000"/>
          <w:sz w:val="24"/>
          <w:szCs w:val="24"/>
          <w:lang w:val="es-MX" w:eastAsia="en-US"/>
        </w:rPr>
        <w:t>. Son objeto de este impuesto:</w:t>
      </w:r>
    </w:p>
    <w:p w:rsidR="000E27C0" w:rsidRPr="006A040B" w:rsidRDefault="000E27C0" w:rsidP="000E27C0">
      <w:pPr>
        <w:autoSpaceDE w:val="0"/>
        <w:autoSpaceDN w:val="0"/>
        <w:adjustRightInd w:val="0"/>
        <w:rPr>
          <w:rFonts w:ascii="Arial" w:eastAsiaTheme="minorHAnsi" w:hAnsi="Arial" w:cs="Arial"/>
          <w:i/>
          <w:iCs/>
          <w:color w:val="000000"/>
          <w:sz w:val="24"/>
          <w:szCs w:val="24"/>
          <w:lang w:val="es-MX" w:eastAsia="en-US"/>
        </w:rPr>
      </w:pPr>
    </w:p>
    <w:p w:rsidR="000E27C0" w:rsidRPr="006A040B" w:rsidRDefault="000E27C0" w:rsidP="000E27C0">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rsidR="000E27C0" w:rsidRPr="006A040B" w:rsidRDefault="000E27C0" w:rsidP="000E27C0">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 xml:space="preserve">II. Las erogaciones en efectivo o en especie, por concepto de remuneraciones al trabajo personal, por los servicios prestados dentro del territorio del estado, </w:t>
      </w:r>
      <w:proofErr w:type="spellStart"/>
      <w:r w:rsidRPr="006A040B">
        <w:rPr>
          <w:rFonts w:ascii="Arial" w:eastAsiaTheme="minorHAnsi" w:hAnsi="Arial" w:cs="Arial"/>
          <w:i/>
          <w:iCs/>
          <w:color w:val="000000"/>
          <w:sz w:val="22"/>
          <w:szCs w:val="22"/>
          <w:lang w:val="es-MX" w:eastAsia="en-US"/>
        </w:rPr>
        <w:t>aún</w:t>
      </w:r>
      <w:proofErr w:type="spellEnd"/>
      <w:r w:rsidRPr="006A040B">
        <w:rPr>
          <w:rFonts w:ascii="Arial" w:eastAsiaTheme="minorHAnsi" w:hAnsi="Arial" w:cs="Arial"/>
          <w:i/>
          <w:iCs/>
          <w:color w:val="000000"/>
          <w:sz w:val="22"/>
          <w:szCs w:val="22"/>
          <w:lang w:val="es-MX" w:eastAsia="en-US"/>
        </w:rPr>
        <w:t xml:space="preserve"> cuando los </w:t>
      </w:r>
      <w:r w:rsidRPr="006A040B">
        <w:rPr>
          <w:rFonts w:ascii="Arial" w:eastAsiaTheme="minorHAnsi" w:hAnsi="Arial" w:cs="Arial"/>
          <w:i/>
          <w:iCs/>
          <w:color w:val="000000"/>
          <w:sz w:val="22"/>
          <w:szCs w:val="22"/>
          <w:lang w:val="es-MX" w:eastAsia="en-US"/>
        </w:rPr>
        <w:lastRenderedPageBreak/>
        <w:t>prestadores del servicio o los beneficiarios del mismo, o ambos, tengan su domicilio fiscal fuera de éste.</w:t>
      </w:r>
    </w:p>
    <w:p w:rsidR="000E27C0" w:rsidRPr="006A040B" w:rsidRDefault="000E27C0" w:rsidP="000E27C0">
      <w:pPr>
        <w:autoSpaceDE w:val="0"/>
        <w:autoSpaceDN w:val="0"/>
        <w:adjustRightInd w:val="0"/>
        <w:spacing w:line="360" w:lineRule="auto"/>
        <w:jc w:val="both"/>
        <w:rPr>
          <w:rFonts w:ascii="Arial" w:eastAsiaTheme="minorHAnsi" w:hAnsi="Arial" w:cs="Arial"/>
          <w:i/>
          <w:iCs/>
          <w:color w:val="000000"/>
          <w:sz w:val="22"/>
          <w:szCs w:val="22"/>
          <w:lang w:val="es-MX" w:eastAsia="en-US"/>
        </w:rPr>
      </w:pPr>
    </w:p>
    <w:p w:rsidR="000E27C0" w:rsidRPr="006A040B" w:rsidRDefault="000E27C0" w:rsidP="000E27C0">
      <w:pPr>
        <w:autoSpaceDE w:val="0"/>
        <w:autoSpaceDN w:val="0"/>
        <w:adjustRightInd w:val="0"/>
        <w:spacing w:line="360" w:lineRule="auto"/>
        <w:jc w:val="both"/>
        <w:rPr>
          <w:rFonts w:ascii="Arial" w:eastAsiaTheme="minorHAnsi" w:hAnsi="Arial" w:cs="Arial"/>
          <w:color w:val="000000"/>
          <w:sz w:val="22"/>
          <w:szCs w:val="22"/>
          <w:lang w:val="es-MX" w:eastAsia="en-US"/>
        </w:rPr>
      </w:pPr>
      <w:r w:rsidRPr="006A040B">
        <w:rPr>
          <w:rFonts w:ascii="Arial" w:eastAsiaTheme="minorHAnsi" w:hAnsi="Arial" w:cs="Arial"/>
          <w:i/>
          <w:iCs/>
          <w:color w:val="000000"/>
          <w:sz w:val="22"/>
          <w:szCs w:val="22"/>
          <w:lang w:val="es-MX" w:eastAsia="en-US"/>
        </w:rPr>
        <w:t>Para los efectos de este impuesto quedan comprendidas en el concepto de</w:t>
      </w:r>
      <w:r>
        <w:rPr>
          <w:rFonts w:ascii="Arial" w:eastAsiaTheme="minorHAnsi" w:hAnsi="Arial" w:cs="Arial"/>
          <w:i/>
          <w:iCs/>
          <w:color w:val="000000"/>
          <w:sz w:val="22"/>
          <w:szCs w:val="22"/>
          <w:lang w:val="es-MX" w:eastAsia="en-US"/>
        </w:rPr>
        <w:t xml:space="preserve"> </w:t>
      </w:r>
      <w:r w:rsidRPr="006A040B">
        <w:rPr>
          <w:rFonts w:ascii="Arial" w:eastAsiaTheme="minorHAnsi" w:hAnsi="Arial" w:cs="Arial"/>
          <w:i/>
          <w:iCs/>
          <w:color w:val="000000"/>
          <w:sz w:val="22"/>
          <w:szCs w:val="22"/>
          <w:lang w:val="es-MX" w:eastAsia="en-US"/>
        </w:rPr>
        <w:t>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p>
    <w:p w:rsidR="000E27C0" w:rsidRDefault="000E27C0" w:rsidP="000E27C0">
      <w:pPr>
        <w:spacing w:line="360" w:lineRule="auto"/>
        <w:ind w:firstLine="709"/>
        <w:contextualSpacing/>
        <w:jc w:val="both"/>
        <w:rPr>
          <w:rFonts w:ascii="Arial" w:hAnsi="Arial" w:cs="Arial"/>
          <w:sz w:val="24"/>
          <w:szCs w:val="24"/>
        </w:rPr>
      </w:pPr>
      <w:r>
        <w:rPr>
          <w:rFonts w:ascii="Arial" w:hAnsi="Arial" w:cs="Arial"/>
          <w:sz w:val="24"/>
          <w:szCs w:val="24"/>
        </w:rPr>
        <w:t xml:space="preserve"> </w:t>
      </w:r>
    </w:p>
    <w:p w:rsidR="000E27C0" w:rsidRDefault="000E27C0" w:rsidP="000E27C0">
      <w:pPr>
        <w:spacing w:line="360" w:lineRule="auto"/>
        <w:ind w:firstLine="709"/>
        <w:contextualSpacing/>
        <w:jc w:val="both"/>
        <w:rPr>
          <w:rFonts w:ascii="Arial" w:hAnsi="Arial" w:cs="Arial"/>
          <w:bCs/>
          <w:sz w:val="24"/>
          <w:szCs w:val="24"/>
        </w:rPr>
      </w:pPr>
      <w:r>
        <w:rPr>
          <w:rFonts w:ascii="Arial" w:hAnsi="Arial" w:cs="Arial"/>
          <w:bCs/>
          <w:sz w:val="24"/>
          <w:szCs w:val="24"/>
        </w:rPr>
        <w:t xml:space="preserve">De lo antes transcrito se advierte que la autoridad primigenia omitió señalar en la multa con número de control </w:t>
      </w:r>
      <w:r>
        <w:rPr>
          <w:rFonts w:cs="Arial"/>
          <w:b/>
          <w:sz w:val="24"/>
          <w:szCs w:val="24"/>
        </w:rPr>
        <w:t>**********</w:t>
      </w:r>
      <w:r>
        <w:rPr>
          <w:rFonts w:ascii="Arial" w:hAnsi="Arial" w:cs="Arial"/>
          <w:bCs/>
          <w:sz w:val="24"/>
          <w:szCs w:val="24"/>
        </w:rPr>
        <w:t xml:space="preserve"> de diecinueve de febrero de dos mil diecinueve, el fundamento legal específico, así como las razones particulares, causas inmediatas y circunstancias especiales que le llevaron a determinar que la parte actora era sujeto obligado al pago del Impuesto Sobre Erogaciones por Remuneraciones al Trabajo Personal; es decir, no precisa cuáles fueron los antecedentes por los cuales consideró que la administrada se ubica en la circunstancia que la ley considera como hecho generador de la obligación fiscal; pues para tales efectos, no basta con el señalamiento de que se le ha identificado como sujeto obligado, sino que la autoridad debió fundar y motivar su actuar, al considerar que la parte actora se ubicó en la hipótesis normativa para ser considerada sujeto del citado impuesto.</w:t>
      </w:r>
    </w:p>
    <w:p w:rsidR="000E27C0" w:rsidRDefault="000E27C0" w:rsidP="000E27C0">
      <w:pPr>
        <w:spacing w:line="360" w:lineRule="auto"/>
        <w:ind w:firstLine="709"/>
        <w:contextualSpacing/>
        <w:jc w:val="both"/>
        <w:rPr>
          <w:rFonts w:ascii="Arial" w:hAnsi="Arial" w:cs="Arial"/>
          <w:bCs/>
          <w:sz w:val="24"/>
          <w:szCs w:val="24"/>
        </w:rPr>
      </w:pPr>
    </w:p>
    <w:p w:rsidR="000E27C0" w:rsidRDefault="000E27C0" w:rsidP="000E27C0">
      <w:pPr>
        <w:spacing w:line="360" w:lineRule="auto"/>
        <w:ind w:firstLine="709"/>
        <w:contextualSpacing/>
        <w:jc w:val="both"/>
        <w:rPr>
          <w:rFonts w:ascii="Arial" w:hAnsi="Arial" w:cs="Arial"/>
          <w:sz w:val="24"/>
          <w:szCs w:val="24"/>
        </w:rPr>
      </w:pPr>
      <w:r w:rsidRPr="00455DC4">
        <w:rPr>
          <w:rFonts w:ascii="Arial" w:hAnsi="Arial" w:cs="Arial"/>
          <w:sz w:val="24"/>
          <w:szCs w:val="24"/>
        </w:rPr>
        <w:t>De lo antes</w:t>
      </w:r>
      <w:r w:rsidRPr="007B0581">
        <w:rPr>
          <w:rFonts w:ascii="Arial" w:hAnsi="Arial" w:cs="Arial"/>
          <w:sz w:val="24"/>
          <w:szCs w:val="24"/>
        </w:rPr>
        <w:t xml:space="preserve"> expuesto, al</w:t>
      </w:r>
      <w:r>
        <w:rPr>
          <w:rFonts w:ascii="Arial" w:hAnsi="Arial" w:cs="Arial"/>
          <w:sz w:val="24"/>
          <w:szCs w:val="24"/>
        </w:rPr>
        <w:t xml:space="preserve"> no encontrarse debidamente fundada ni motivada la determinación de</w:t>
      </w:r>
      <w:r w:rsidRPr="007B0581">
        <w:rPr>
          <w:rFonts w:ascii="Arial" w:hAnsi="Arial" w:cs="Arial"/>
          <w:sz w:val="24"/>
          <w:szCs w:val="24"/>
        </w:rPr>
        <w:t xml:space="preserve"> la autoridad demandada</w:t>
      </w:r>
      <w:r>
        <w:rPr>
          <w:rFonts w:ascii="Arial" w:hAnsi="Arial" w:cs="Arial"/>
          <w:sz w:val="24"/>
          <w:szCs w:val="24"/>
        </w:rPr>
        <w:t xml:space="preserve">, </w:t>
      </w:r>
      <w:r w:rsidRPr="007B0581">
        <w:rPr>
          <w:rFonts w:ascii="Arial" w:hAnsi="Arial" w:cs="Arial"/>
          <w:sz w:val="24"/>
          <w:szCs w:val="24"/>
        </w:rPr>
        <w:t xml:space="preserve">lo conducente es declarar la </w:t>
      </w:r>
      <w:r w:rsidRPr="007B0581">
        <w:rPr>
          <w:rFonts w:ascii="Arial" w:hAnsi="Arial" w:cs="Arial"/>
          <w:b/>
          <w:bCs/>
          <w:sz w:val="24"/>
          <w:szCs w:val="24"/>
        </w:rPr>
        <w:t xml:space="preserve">NULIDAD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Pr>
          <w:rFonts w:ascii="Arial" w:hAnsi="Arial" w:cs="Arial"/>
          <w:sz w:val="24"/>
          <w:szCs w:val="24"/>
        </w:rPr>
        <w:t xml:space="preserve">resolución contenida en el oficio </w:t>
      </w:r>
      <w:r>
        <w:rPr>
          <w:rFonts w:cs="Arial"/>
          <w:b/>
          <w:sz w:val="24"/>
          <w:szCs w:val="24"/>
        </w:rPr>
        <w:t>**********</w:t>
      </w:r>
      <w:r>
        <w:rPr>
          <w:rFonts w:ascii="Arial" w:hAnsi="Arial" w:cs="Arial"/>
          <w:sz w:val="24"/>
          <w:szCs w:val="24"/>
        </w:rPr>
        <w:t xml:space="preserve"> de veintiséis de junio de dos mil diecinueve,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 xml:space="preserve">que una vez que cause estado la presente resolución, </w:t>
      </w:r>
      <w:r>
        <w:rPr>
          <w:rFonts w:ascii="Arial" w:hAnsi="Arial" w:cs="Arial"/>
          <w:sz w:val="24"/>
          <w:szCs w:val="24"/>
        </w:rPr>
        <w:t xml:space="preserve">la Directora de lo Contencioso de la Procuraduría Fiscal de la Subsecretaría de Ingresos dependiente de la Secretaría de Finanzas del Gobierno del Estado, dicte otra donde declare la </w:t>
      </w:r>
      <w:r w:rsidRPr="005A6C79">
        <w:rPr>
          <w:rFonts w:ascii="Arial" w:hAnsi="Arial" w:cs="Arial"/>
          <w:b/>
          <w:bCs/>
          <w:sz w:val="24"/>
          <w:szCs w:val="24"/>
        </w:rPr>
        <w:t>NULIDAD LISA Y LLANA</w:t>
      </w:r>
      <w:r>
        <w:rPr>
          <w:rFonts w:ascii="Arial" w:hAnsi="Arial" w:cs="Arial"/>
          <w:sz w:val="24"/>
          <w:szCs w:val="24"/>
        </w:rPr>
        <w:t xml:space="preserve"> de la </w:t>
      </w:r>
      <w:r w:rsidRPr="008930AE">
        <w:rPr>
          <w:rFonts w:ascii="Arial" w:hAnsi="Arial" w:cs="Arial"/>
          <w:sz w:val="24"/>
          <w:szCs w:val="24"/>
        </w:rPr>
        <w:t>Multa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 con número de control </w:t>
      </w:r>
      <w:r>
        <w:rPr>
          <w:rFonts w:cs="Arial"/>
          <w:b/>
          <w:sz w:val="24"/>
          <w:szCs w:val="24"/>
        </w:rPr>
        <w:t>**********</w:t>
      </w:r>
      <w:r w:rsidRPr="008930AE">
        <w:rPr>
          <w:rFonts w:ascii="Arial" w:hAnsi="Arial" w:cs="Arial"/>
          <w:sz w:val="24"/>
          <w:szCs w:val="24"/>
        </w:rPr>
        <w:t xml:space="preserve"> de </w:t>
      </w:r>
      <w:r>
        <w:rPr>
          <w:rFonts w:ascii="Arial" w:hAnsi="Arial" w:cs="Arial"/>
          <w:sz w:val="24"/>
          <w:szCs w:val="24"/>
        </w:rPr>
        <w:t>diecinueve de febrero de dos mil diecinueve</w:t>
      </w:r>
      <w:r w:rsidRPr="008930AE">
        <w:rPr>
          <w:rFonts w:ascii="Arial" w:hAnsi="Arial" w:cs="Arial"/>
          <w:sz w:val="24"/>
          <w:szCs w:val="24"/>
        </w:rPr>
        <w:t>, emitida por la Directora de Ingresos y Recaudación</w:t>
      </w:r>
      <w:r>
        <w:rPr>
          <w:rFonts w:ascii="Arial" w:hAnsi="Arial" w:cs="Arial"/>
          <w:sz w:val="24"/>
          <w:szCs w:val="24"/>
        </w:rPr>
        <w:t xml:space="preserve"> dependiente</w:t>
      </w:r>
      <w:r w:rsidRPr="008930AE">
        <w:rPr>
          <w:rFonts w:ascii="Arial" w:hAnsi="Arial" w:cs="Arial"/>
          <w:sz w:val="24"/>
          <w:szCs w:val="24"/>
        </w:rPr>
        <w:t xml:space="preserve"> de la Secretaria de Finanzas del </w:t>
      </w:r>
      <w:r w:rsidRPr="008930AE">
        <w:rPr>
          <w:rFonts w:ascii="Arial" w:hAnsi="Arial" w:cs="Arial"/>
          <w:sz w:val="24"/>
          <w:szCs w:val="24"/>
        </w:rPr>
        <w:lastRenderedPageBreak/>
        <w:t>Gobierno del Estado</w:t>
      </w:r>
      <w:r>
        <w:rPr>
          <w:rFonts w:ascii="Arial" w:hAnsi="Arial" w:cs="Arial"/>
          <w:sz w:val="24"/>
          <w:szCs w:val="24"/>
        </w:rPr>
        <w:t xml:space="preserve"> de Oaxaca, fundando y motivando la misma de conformidad con el artículo 17, fracciones V, de la Ley de Procedimiento y Justicia Administrativa para el Estado</w:t>
      </w:r>
      <w:bookmarkEnd w:id="5"/>
      <w:r>
        <w:rPr>
          <w:rFonts w:ascii="Arial" w:hAnsi="Arial" w:cs="Arial"/>
          <w:sz w:val="24"/>
          <w:szCs w:val="24"/>
        </w:rPr>
        <w:t xml:space="preserve"> de Oaxaca, sirve de apoyo a lo anterior la jurisprudenc</w:t>
      </w:r>
      <w:r w:rsidRPr="00190B21">
        <w:rPr>
          <w:rFonts w:ascii="Arial" w:hAnsi="Arial" w:cs="Arial"/>
          <w:sz w:val="24"/>
          <w:szCs w:val="24"/>
        </w:rPr>
        <w:t>ia</w:t>
      </w:r>
      <w:r>
        <w:rPr>
          <w:rFonts w:ascii="Arial" w:hAnsi="Arial" w:cs="Arial"/>
          <w:sz w:val="24"/>
          <w:szCs w:val="24"/>
        </w:rPr>
        <w:t xml:space="preserve"> publicada en la Décima Época, por la Segunda Sala </w:t>
      </w:r>
      <w:r w:rsidRPr="007B0581">
        <w:rPr>
          <w:rFonts w:ascii="Arial" w:hAnsi="Arial" w:cs="Arial"/>
          <w:sz w:val="24"/>
          <w:szCs w:val="24"/>
        </w:rPr>
        <w:t>de la Suprema Corte de Justicia de la Nación</w:t>
      </w:r>
      <w:r>
        <w:rPr>
          <w:rFonts w:ascii="Arial" w:hAnsi="Arial" w:cs="Arial"/>
          <w:sz w:val="24"/>
          <w:szCs w:val="24"/>
        </w:rPr>
        <w:t>, consultable en el Semanario Judicial de la Federación y su gaceta, Libro 15, Febrero de 2015, Tomo II, Página 1689, con número de Registro 2008559 de rubro siguiente</w:t>
      </w:r>
    </w:p>
    <w:p w:rsidR="000E27C0" w:rsidRDefault="000E27C0" w:rsidP="000E27C0">
      <w:pPr>
        <w:spacing w:line="360" w:lineRule="auto"/>
        <w:ind w:firstLine="709"/>
        <w:contextualSpacing/>
        <w:jc w:val="both"/>
        <w:rPr>
          <w:rFonts w:ascii="Arial" w:hAnsi="Arial" w:cs="Arial"/>
          <w:b/>
          <w:bCs/>
          <w:i/>
          <w:iCs/>
          <w:sz w:val="24"/>
          <w:szCs w:val="24"/>
        </w:rPr>
      </w:pPr>
      <w:r>
        <w:rPr>
          <w:rFonts w:ascii="Arial" w:hAnsi="Arial" w:cs="Arial"/>
          <w:b/>
          <w:bCs/>
          <w:i/>
          <w:iCs/>
          <w:sz w:val="24"/>
          <w:szCs w:val="24"/>
        </w:rPr>
        <w:t>“</w:t>
      </w:r>
      <w:r w:rsidRPr="006101DC">
        <w:rPr>
          <w:rFonts w:ascii="Arial" w:hAnsi="Arial" w:cs="Arial"/>
          <w:b/>
          <w:bCs/>
          <w:i/>
          <w:iCs/>
          <w:sz w:val="24"/>
          <w:szCs w:val="24"/>
        </w:rPr>
        <w:t>NULIDAD DE RESOLUCIONES O ACTOS DERIVADOS DEL EJERCICIO DE FACULTADES DISCRECIONALES. LA DECRETADA POR VICIOS DE FORMA DEBE SER PARA EFECTOS</w:t>
      </w:r>
      <w:r>
        <w:rPr>
          <w:rFonts w:ascii="Arial" w:hAnsi="Arial" w:cs="Arial"/>
          <w:b/>
          <w:bCs/>
          <w:i/>
          <w:iCs/>
          <w:sz w:val="24"/>
          <w:szCs w:val="24"/>
        </w:rPr>
        <w:t>”.</w:t>
      </w:r>
    </w:p>
    <w:p w:rsidR="000E27C0" w:rsidRDefault="000E27C0" w:rsidP="000E27C0">
      <w:pPr>
        <w:spacing w:line="360" w:lineRule="auto"/>
        <w:ind w:firstLine="709"/>
        <w:contextualSpacing/>
        <w:jc w:val="both"/>
        <w:rPr>
          <w:rFonts w:ascii="Arial" w:hAnsi="Arial" w:cs="Arial"/>
          <w:sz w:val="24"/>
          <w:szCs w:val="24"/>
        </w:rPr>
      </w:pPr>
      <w:r>
        <w:rPr>
          <w:rFonts w:ascii="Arial" w:hAnsi="Arial" w:cs="Arial"/>
          <w:sz w:val="24"/>
          <w:szCs w:val="24"/>
        </w:rPr>
        <w:t>Y la tesis aislada publicada en la Novena Época, por los Tribunales Colegiados de Circuito, consultable en el Semanario Judicial de la Federación y su Gaceta, con número de Registro 164701 de rubros siguientes:</w:t>
      </w:r>
    </w:p>
    <w:p w:rsidR="000E27C0" w:rsidRDefault="000E27C0" w:rsidP="000E27C0">
      <w:pPr>
        <w:spacing w:line="360" w:lineRule="auto"/>
        <w:ind w:firstLine="709"/>
        <w:contextualSpacing/>
        <w:jc w:val="both"/>
        <w:rPr>
          <w:rFonts w:ascii="Arial" w:hAnsi="Arial" w:cs="Arial"/>
          <w:b/>
          <w:bCs/>
          <w:i/>
          <w:iCs/>
          <w:sz w:val="24"/>
          <w:szCs w:val="24"/>
        </w:rPr>
      </w:pPr>
      <w:r>
        <w:rPr>
          <w:rFonts w:ascii="Arial" w:hAnsi="Arial" w:cs="Arial"/>
          <w:b/>
          <w:bCs/>
          <w:i/>
          <w:iCs/>
          <w:sz w:val="24"/>
          <w:szCs w:val="24"/>
        </w:rPr>
        <w:t>“</w:t>
      </w:r>
      <w:r w:rsidRPr="00CE6400">
        <w:rPr>
          <w:rFonts w:ascii="Arial" w:hAnsi="Arial" w:cs="Arial"/>
          <w:b/>
          <w:bCs/>
          <w:i/>
          <w:iCs/>
          <w:sz w:val="24"/>
          <w:szCs w:val="24"/>
        </w:rPr>
        <w:t>MEDIANTE EL JUICIO DE NULIDAD ANTE EL TRIBUNAL FEDERAL DE JUSTICIA FISCAL Y ADMINISTRATIVA, LA SALA A QUIEN CORRESPONDA CONOCER DE LA DEMANDA, DEBE EN PRIMER TÉRMINO VERIFICAR SI PROCEDE EL RECURSO,</w:t>
      </w:r>
      <w:r>
        <w:rPr>
          <w:rFonts w:ascii="Arial" w:hAnsi="Arial" w:cs="Arial"/>
          <w:b/>
          <w:bCs/>
          <w:i/>
          <w:iCs/>
          <w:sz w:val="24"/>
          <w:szCs w:val="24"/>
        </w:rPr>
        <w:t xml:space="preserve"> Y SI ASÍ ES Y CUENTA CON ELEMENTOS PARA ELLO, DEBE EXAMINAR LOS AGRAVIOS PLANTEADOS EN EL RECURSO,</w:t>
      </w:r>
      <w:r w:rsidRPr="00CE6400">
        <w:rPr>
          <w:rFonts w:ascii="Arial" w:hAnsi="Arial" w:cs="Arial"/>
          <w:b/>
          <w:bCs/>
          <w:i/>
          <w:iCs/>
          <w:sz w:val="24"/>
          <w:szCs w:val="24"/>
        </w:rPr>
        <w:t xml:space="preserve"> AUN CUANDO NO SE HAYAN REITERADO EN LA DEMANDA, ASÍ COMO LOS NUEVOS QUE EN ÉSTA SE PROPONGAN EN CONTRA DE LA RESOLUCIÓN OBJETO DEL PRIMERO</w:t>
      </w:r>
      <w:r>
        <w:rPr>
          <w:rFonts w:ascii="Arial" w:hAnsi="Arial" w:cs="Arial"/>
          <w:b/>
          <w:bCs/>
          <w:i/>
          <w:iCs/>
          <w:sz w:val="24"/>
          <w:szCs w:val="24"/>
        </w:rPr>
        <w:t>”</w:t>
      </w:r>
    </w:p>
    <w:p w:rsidR="000E27C0" w:rsidRDefault="000E27C0" w:rsidP="000E27C0">
      <w:pPr>
        <w:spacing w:line="360" w:lineRule="auto"/>
        <w:ind w:firstLine="709"/>
        <w:contextualSpacing/>
        <w:jc w:val="both"/>
        <w:rPr>
          <w:rFonts w:ascii="Arial" w:hAnsi="Arial" w:cs="Arial"/>
          <w:b/>
          <w:bCs/>
          <w:i/>
          <w:iCs/>
          <w:sz w:val="24"/>
          <w:szCs w:val="24"/>
        </w:rPr>
      </w:pPr>
    </w:p>
    <w:p w:rsidR="000E27C0" w:rsidRPr="007B0581" w:rsidRDefault="000E27C0" w:rsidP="000E27C0">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0E27C0" w:rsidRDefault="000E27C0" w:rsidP="000E27C0">
      <w:pPr>
        <w:spacing w:line="360" w:lineRule="auto"/>
        <w:ind w:firstLine="708"/>
        <w:jc w:val="both"/>
        <w:rPr>
          <w:rFonts w:ascii="Arial" w:eastAsia="Calibri" w:hAnsi="Arial" w:cs="Arial"/>
          <w:color w:val="000000"/>
          <w:sz w:val="24"/>
          <w:szCs w:val="24"/>
          <w:lang w:val="es-MX" w:eastAsia="en-US"/>
        </w:rPr>
      </w:pPr>
    </w:p>
    <w:p w:rsidR="000E27C0" w:rsidRPr="007B0581" w:rsidRDefault="000E27C0" w:rsidP="000E27C0">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0E27C0" w:rsidRDefault="000E27C0" w:rsidP="000E27C0">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0E27C0" w:rsidRPr="007B0581" w:rsidRDefault="000E27C0" w:rsidP="000E27C0">
      <w:pPr>
        <w:tabs>
          <w:tab w:val="left" w:pos="3932"/>
        </w:tabs>
        <w:jc w:val="both"/>
        <w:rPr>
          <w:rFonts w:ascii="Arial" w:hAnsi="Arial" w:cs="Arial"/>
          <w:b/>
          <w:sz w:val="24"/>
          <w:szCs w:val="24"/>
        </w:rPr>
      </w:pPr>
      <w:r w:rsidRPr="007B0581">
        <w:rPr>
          <w:rFonts w:ascii="Arial" w:hAnsi="Arial" w:cs="Arial"/>
          <w:b/>
          <w:sz w:val="24"/>
          <w:szCs w:val="24"/>
        </w:rPr>
        <w:tab/>
      </w:r>
    </w:p>
    <w:p w:rsidR="000E27C0" w:rsidRPr="007B0581" w:rsidRDefault="000E27C0" w:rsidP="000E27C0">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0E27C0" w:rsidRPr="007B0581" w:rsidRDefault="000E27C0" w:rsidP="000E27C0">
      <w:pPr>
        <w:pStyle w:val="Textoindependiente"/>
        <w:ind w:firstLine="709"/>
        <w:contextualSpacing/>
        <w:jc w:val="both"/>
        <w:rPr>
          <w:rFonts w:ascii="Arial" w:hAnsi="Arial" w:cs="Arial"/>
          <w:b/>
          <w:sz w:val="24"/>
          <w:szCs w:val="24"/>
        </w:rPr>
      </w:pPr>
    </w:p>
    <w:p w:rsidR="000E27C0" w:rsidRPr="007B0581" w:rsidRDefault="000E27C0" w:rsidP="000E27C0">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0E27C0" w:rsidRDefault="000E27C0" w:rsidP="000E27C0">
      <w:pPr>
        <w:spacing w:line="360" w:lineRule="auto"/>
        <w:ind w:right="51" w:firstLine="567"/>
        <w:contextualSpacing/>
        <w:jc w:val="both"/>
        <w:rPr>
          <w:rFonts w:ascii="Arial" w:hAnsi="Arial" w:cs="Arial"/>
          <w:sz w:val="24"/>
          <w:szCs w:val="24"/>
          <w:lang w:val="es-MX"/>
        </w:rPr>
      </w:pPr>
    </w:p>
    <w:p w:rsidR="000E27C0" w:rsidRDefault="000E27C0" w:rsidP="000E27C0">
      <w:pPr>
        <w:spacing w:line="360" w:lineRule="auto"/>
        <w:ind w:right="51" w:firstLine="567"/>
        <w:contextualSpacing/>
        <w:jc w:val="both"/>
        <w:rPr>
          <w:rFonts w:ascii="Arial" w:hAnsi="Arial" w:cs="Arial"/>
          <w:b/>
          <w:bCs/>
          <w:sz w:val="24"/>
          <w:szCs w:val="24"/>
        </w:rPr>
      </w:pPr>
      <w:r w:rsidRPr="007B0581">
        <w:rPr>
          <w:rFonts w:ascii="Arial" w:hAnsi="Arial" w:cs="Arial"/>
          <w:sz w:val="24"/>
          <w:szCs w:val="24"/>
          <w:lang w:val="es-MX"/>
        </w:rPr>
        <w:t xml:space="preserve"> </w:t>
      </w:r>
      <w:r w:rsidRPr="00455DC4">
        <w:rPr>
          <w:rFonts w:ascii="Arial" w:hAnsi="Arial" w:cs="Arial"/>
          <w:b/>
          <w:sz w:val="24"/>
          <w:szCs w:val="24"/>
        </w:rPr>
        <w:t>TERCERO. -</w:t>
      </w:r>
      <w:r w:rsidRPr="00455DC4">
        <w:rPr>
          <w:rFonts w:ascii="Arial" w:hAnsi="Arial" w:cs="Arial"/>
          <w:b/>
          <w:sz w:val="24"/>
          <w:szCs w:val="24"/>
          <w:lang w:val="es-MX"/>
        </w:rPr>
        <w:t xml:space="preserve"> </w:t>
      </w:r>
      <w:r w:rsidRPr="00455DC4">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w:t>
      </w:r>
      <w:r w:rsidRPr="002953D9">
        <w:rPr>
          <w:rFonts w:ascii="Arial" w:eastAsia="Calibri" w:hAnsi="Arial" w:cs="Arial"/>
          <w:color w:val="000000"/>
          <w:sz w:val="24"/>
          <w:szCs w:val="24"/>
          <w:lang w:val="es-MX" w:eastAsia="en-US"/>
        </w:rPr>
        <w:t>únicamente respecto de</w:t>
      </w:r>
      <w:r>
        <w:rPr>
          <w:rFonts w:ascii="Arial" w:eastAsia="Calibri" w:hAnsi="Arial" w:cs="Arial"/>
          <w:color w:val="000000"/>
          <w:sz w:val="24"/>
          <w:szCs w:val="24"/>
          <w:lang w:val="es-MX" w:eastAsia="en-US"/>
        </w:rPr>
        <w:t xml:space="preserve"> </w:t>
      </w:r>
      <w:r w:rsidRPr="002953D9">
        <w:rPr>
          <w:rFonts w:ascii="Arial" w:eastAsia="Calibri" w:hAnsi="Arial" w:cs="Arial"/>
          <w:color w:val="000000"/>
          <w:sz w:val="24"/>
          <w:szCs w:val="24"/>
          <w:lang w:val="es-MX" w:eastAsia="en-US"/>
        </w:rPr>
        <w:t>l</w:t>
      </w:r>
      <w:r>
        <w:rPr>
          <w:rFonts w:ascii="Arial" w:eastAsia="Calibri" w:hAnsi="Arial" w:cs="Arial"/>
          <w:color w:val="000000"/>
          <w:sz w:val="24"/>
          <w:szCs w:val="24"/>
          <w:lang w:val="es-MX" w:eastAsia="en-US"/>
        </w:rPr>
        <w:t xml:space="preserve">a autoridad demandada, </w:t>
      </w:r>
      <w:r>
        <w:rPr>
          <w:rFonts w:ascii="Arial" w:hAnsi="Arial" w:cs="Arial"/>
          <w:sz w:val="24"/>
          <w:szCs w:val="24"/>
        </w:rPr>
        <w:t>Directora de Ingresos y Recaudación, dependiente de la Secretaría de Finanzas del Gobierno del Estado de Oaxaca</w:t>
      </w:r>
      <w:r w:rsidRPr="007B0581">
        <w:rPr>
          <w:rFonts w:ascii="Arial" w:eastAsia="Calibri" w:hAnsi="Arial" w:cs="Arial"/>
          <w:color w:val="000000"/>
          <w:sz w:val="24"/>
          <w:szCs w:val="24"/>
          <w:lang w:val="es-MX" w:eastAsia="en-US"/>
        </w:rPr>
        <w:t>.</w:t>
      </w:r>
    </w:p>
    <w:p w:rsidR="000E27C0" w:rsidRDefault="000E27C0" w:rsidP="000E27C0">
      <w:pPr>
        <w:spacing w:line="360" w:lineRule="auto"/>
        <w:ind w:right="51" w:firstLine="567"/>
        <w:jc w:val="both"/>
        <w:rPr>
          <w:rFonts w:ascii="Arial" w:hAnsi="Arial" w:cs="Arial"/>
          <w:b/>
          <w:bCs/>
          <w:sz w:val="24"/>
          <w:szCs w:val="24"/>
        </w:rPr>
      </w:pPr>
    </w:p>
    <w:p w:rsidR="000E27C0" w:rsidRPr="007B0581" w:rsidRDefault="000E27C0" w:rsidP="000E27C0">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BB5812">
        <w:rPr>
          <w:rFonts w:ascii="Arial" w:hAnsi="Arial" w:cs="Arial"/>
          <w:b/>
          <w:sz w:val="24"/>
          <w:szCs w:val="24"/>
        </w:rPr>
        <w:t xml:space="preserve"> </w:t>
      </w:r>
      <w:r w:rsidRPr="00A84B6D">
        <w:rPr>
          <w:rFonts w:ascii="Arial" w:hAnsi="Arial" w:cs="Arial"/>
          <w:sz w:val="24"/>
          <w:szCs w:val="24"/>
        </w:rPr>
        <w:t>d</w:t>
      </w:r>
      <w:r>
        <w:rPr>
          <w:rFonts w:ascii="Arial" w:hAnsi="Arial" w:cs="Arial"/>
          <w:sz w:val="24"/>
          <w:szCs w:val="24"/>
        </w:rPr>
        <w:t xml:space="preserve">e la resolución contenida en el oficio </w:t>
      </w:r>
      <w:r>
        <w:rPr>
          <w:rFonts w:cs="Arial"/>
          <w:b/>
          <w:sz w:val="24"/>
          <w:szCs w:val="24"/>
        </w:rPr>
        <w:t>**********</w:t>
      </w:r>
      <w:r>
        <w:rPr>
          <w:rFonts w:cs="Arial"/>
          <w:b/>
          <w:sz w:val="24"/>
          <w:szCs w:val="24"/>
        </w:rPr>
        <w:t xml:space="preserve"> </w:t>
      </w:r>
      <w:r>
        <w:rPr>
          <w:rFonts w:ascii="Arial" w:hAnsi="Arial" w:cs="Arial"/>
          <w:sz w:val="24"/>
          <w:szCs w:val="24"/>
        </w:rPr>
        <w:t>de veintiséis de junio de dos mil diecinueve, emitida por la Directora de lo Contencioso de la Procuraduría Fiscal de la Subsecretaría de Ingresos dependiente de la Secretaría de Finanzas del Gobierno del Estado</w:t>
      </w:r>
      <w:r>
        <w:rPr>
          <w:rFonts w:ascii="Arial" w:hAnsi="Arial" w:cs="Arial"/>
          <w:bCs/>
          <w:sz w:val="24"/>
          <w:szCs w:val="24"/>
        </w:rPr>
        <w:t>,</w:t>
      </w:r>
      <w:r w:rsidRPr="00BB5812">
        <w:rPr>
          <w:rFonts w:ascii="Arial" w:hAnsi="Arial" w:cs="Arial"/>
          <w:bCs/>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de que dicte otr</w:t>
      </w:r>
      <w:r>
        <w:rPr>
          <w:rFonts w:ascii="Arial" w:hAnsi="Arial" w:cs="Arial"/>
          <w:sz w:val="24"/>
          <w:szCs w:val="24"/>
        </w:rPr>
        <w:t>a</w:t>
      </w:r>
      <w:r w:rsidRPr="007B0581">
        <w:rPr>
          <w:rFonts w:ascii="Arial" w:hAnsi="Arial" w:cs="Arial"/>
          <w:sz w:val="24"/>
          <w:szCs w:val="24"/>
        </w:rPr>
        <w:t xml:space="preserve"> en los términos indicados en</w:t>
      </w:r>
      <w:r>
        <w:rPr>
          <w:rFonts w:ascii="Arial" w:hAnsi="Arial" w:cs="Arial"/>
          <w:sz w:val="24"/>
          <w:szCs w:val="24"/>
        </w:rPr>
        <w:t xml:space="preserve"> el</w:t>
      </w:r>
      <w:r w:rsidRPr="007B0581">
        <w:rPr>
          <w:rFonts w:ascii="Arial" w:hAnsi="Arial" w:cs="Arial"/>
          <w:sz w:val="24"/>
          <w:szCs w:val="24"/>
        </w:rPr>
        <w:t xml:space="preserve"> considerando CUARTO de la presente sentencia</w:t>
      </w:r>
      <w:r>
        <w:rPr>
          <w:rFonts w:ascii="Arial" w:hAnsi="Arial" w:cs="Arial"/>
          <w:bCs/>
          <w:sz w:val="24"/>
          <w:szCs w:val="24"/>
        </w:rPr>
        <w:t>.</w:t>
      </w:r>
    </w:p>
    <w:p w:rsidR="000E27C0" w:rsidRDefault="000E27C0" w:rsidP="000E27C0">
      <w:pPr>
        <w:spacing w:line="360" w:lineRule="auto"/>
        <w:ind w:right="51" w:firstLine="567"/>
        <w:jc w:val="both"/>
        <w:rPr>
          <w:rFonts w:ascii="Arial" w:hAnsi="Arial" w:cs="Arial"/>
          <w:sz w:val="24"/>
          <w:szCs w:val="24"/>
        </w:rPr>
      </w:pPr>
    </w:p>
    <w:p w:rsidR="000E27C0" w:rsidRDefault="000E27C0" w:rsidP="000E27C0">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w:t>
      </w:r>
      <w:r w:rsidRPr="007B0581">
        <w:rPr>
          <w:rFonts w:ascii="Arial" w:eastAsia="Calibri" w:hAnsi="Arial" w:cs="Arial"/>
          <w:b/>
          <w:color w:val="000000"/>
          <w:sz w:val="24"/>
          <w:szCs w:val="24"/>
          <w:lang w:val="es-MX" w:eastAsia="en-US"/>
        </w:rPr>
        <w:t>CÚMPLASE.</w:t>
      </w:r>
    </w:p>
    <w:p w:rsidR="000E27C0" w:rsidRDefault="000E27C0" w:rsidP="000E27C0">
      <w:pPr>
        <w:spacing w:line="360" w:lineRule="auto"/>
        <w:ind w:right="51" w:firstLine="567"/>
        <w:jc w:val="both"/>
        <w:rPr>
          <w:rFonts w:ascii="Arial" w:eastAsia="Calibri" w:hAnsi="Arial" w:cs="Arial"/>
          <w:b/>
          <w:color w:val="000000"/>
          <w:sz w:val="24"/>
          <w:szCs w:val="24"/>
          <w:lang w:val="es-MX" w:eastAsia="en-US"/>
        </w:rPr>
      </w:pPr>
    </w:p>
    <w:p w:rsidR="000E27C0" w:rsidRDefault="000E27C0" w:rsidP="000E27C0">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7C0" w:rsidRDefault="000E27C0" w:rsidP="000E27C0">
      <w:r>
        <w:separator/>
      </w:r>
    </w:p>
  </w:endnote>
  <w:endnote w:type="continuationSeparator" w:id="0">
    <w:p w:rsidR="000E27C0" w:rsidRDefault="000E27C0" w:rsidP="000E2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0E27C0">
        <w:pPr>
          <w:pStyle w:val="Piedepgina"/>
          <w:jc w:val="center"/>
        </w:pPr>
        <w:r>
          <w:fldChar w:fldCharType="begin"/>
        </w:r>
        <w:r>
          <w:instrText>PAGE   \* MERGEFORMAT</w:instrText>
        </w:r>
        <w:r>
          <w:fldChar w:fldCharType="separate"/>
        </w:r>
        <w:r>
          <w:rPr>
            <w:noProof/>
          </w:rPr>
          <w:t>10</w:t>
        </w:r>
        <w:r>
          <w:fldChar w:fldCharType="end"/>
        </w:r>
      </w:p>
    </w:sdtContent>
  </w:sdt>
  <w:p w:rsidR="009525A3" w:rsidRDefault="000E27C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7C0" w:rsidRDefault="000E27C0">
    <w:pPr>
      <w:pStyle w:val="Piedepgina"/>
    </w:pPr>
    <w:r w:rsidRPr="000E27C0">
      <w:rPr>
        <w:rFonts w:eastAsia="Calibri"/>
        <w:noProof/>
        <w:lang w:val="es-MX"/>
      </w:rPr>
      <mc:AlternateContent>
        <mc:Choice Requires="wps">
          <w:drawing>
            <wp:anchor distT="45720" distB="45720" distL="114300" distR="114300" simplePos="0" relativeHeight="251663360" behindDoc="1" locked="0" layoutInCell="1" allowOverlap="1" wp14:anchorId="20BF0020" wp14:editId="5A7493C8">
              <wp:simplePos x="0" y="0"/>
              <wp:positionH relativeFrom="leftMargin">
                <wp:posOffset>228324</wp:posOffset>
              </wp:positionH>
              <wp:positionV relativeFrom="paragraph">
                <wp:posOffset>-4075239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0E27C0" w:rsidRDefault="000E27C0" w:rsidP="000E27C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BF0020" id="_x0000_t202" coordsize="21600,21600" o:spt="202" path="m,l,21600r21600,l21600,xe">
              <v:stroke joinstyle="miter"/>
              <v:path gradientshapeok="t" o:connecttype="rect"/>
            </v:shapetype>
            <v:shape id="Cuadro de texto 4" o:spid="_x0000_s1027" type="#_x0000_t202" style="position:absolute;margin-left:18pt;margin-top:-320.9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">
              <v:textbox>
                <w:txbxContent>
                  <w:p w:rsidR="000E27C0" w:rsidRDefault="000E27C0" w:rsidP="000E27C0">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7C0" w:rsidRDefault="000E27C0" w:rsidP="000E27C0">
      <w:r>
        <w:separator/>
      </w:r>
    </w:p>
  </w:footnote>
  <w:footnote w:type="continuationSeparator" w:id="0">
    <w:p w:rsidR="000E27C0" w:rsidRDefault="000E27C0" w:rsidP="000E27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0E27C0" w:rsidP="00A73AD7">
    <w:pPr>
      <w:pStyle w:val="Encabezado"/>
      <w:jc w:val="right"/>
      <w:rPr>
        <w:rFonts w:ascii="Arial" w:hAnsi="Arial" w:cs="Arial"/>
      </w:rPr>
    </w:pPr>
    <w:r w:rsidRPr="000E27C0">
      <w:rPr>
        <w:rFonts w:eastAsia="Calibri"/>
        <w:noProof/>
        <w:lang w:val="es-MX"/>
      </w:rPr>
      <mc:AlternateContent>
        <mc:Choice Requires="wps">
          <w:drawing>
            <wp:anchor distT="45720" distB="45720" distL="114300" distR="114300" simplePos="0" relativeHeight="251665408" behindDoc="1" locked="0" layoutInCell="1" allowOverlap="1" wp14:anchorId="67539889" wp14:editId="0D0FA1C7">
              <wp:simplePos x="0" y="0"/>
              <wp:positionH relativeFrom="leftMargin">
                <wp:posOffset>250358</wp:posOffset>
              </wp:positionH>
              <wp:positionV relativeFrom="paragraph">
                <wp:posOffset>5245046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0E27C0" w:rsidRDefault="000E27C0" w:rsidP="000E27C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539889" id="_x0000_t202" coordsize="21600,21600" o:spt="202" path="m,l,21600r21600,l21600,xe">
              <v:stroke joinstyle="miter"/>
              <v:path gradientshapeok="t" o:connecttype="rect"/>
            </v:shapetype>
            <v:shape id="Cuadro de texto 5" o:spid="_x0000_s1026" type="#_x0000_t202" style="position:absolute;left:0;text-align:left;margin-left:19.7pt;margin-top:41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">
              <v:textbox>
                <w:txbxContent>
                  <w:p w:rsidR="000E27C0" w:rsidRDefault="000E27C0" w:rsidP="000E27C0">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2BBE1940" wp14:editId="36DB6A71">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10</w:t>
    </w:r>
    <w:r>
      <w:rPr>
        <w:rFonts w:ascii="Arial" w:hAnsi="Arial" w:cs="Arial"/>
      </w:rPr>
      <w:t>7</w:t>
    </w:r>
    <w:r w:rsidRPr="00A73AD7">
      <w:rPr>
        <w:rFonts w:ascii="Arial" w:hAnsi="Arial" w:cs="Arial"/>
      </w:rPr>
      <w:t>/20</w:t>
    </w:r>
    <w:r>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0E27C0">
    <w:pPr>
      <w:pStyle w:val="Encabezado"/>
    </w:pPr>
    <w:r>
      <w:rPr>
        <w:noProof/>
        <w:lang w:val="es-MX"/>
      </w:rPr>
      <w:drawing>
        <wp:anchor distT="0" distB="0" distL="114300" distR="114300" simplePos="0" relativeHeight="251661312" behindDoc="1" locked="0" layoutInCell="1" allowOverlap="1" wp14:anchorId="4B6B6ED5" wp14:editId="7387C5A1">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3AB5B30A" wp14:editId="67A262B8">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7C0"/>
    <w:rsid w:val="000E27C0"/>
    <w:rsid w:val="00294EC6"/>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5242D15-5243-42EC-B52F-A87430644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27C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0E27C0"/>
    <w:pPr>
      <w:spacing w:after="120"/>
    </w:pPr>
    <w:rPr>
      <w:lang w:val="x-none"/>
    </w:rPr>
  </w:style>
  <w:style w:type="character" w:customStyle="1" w:styleId="TextoindependienteCar">
    <w:name w:val="Texto independiente Car"/>
    <w:basedOn w:val="Fuentedeprrafopredeter"/>
    <w:link w:val="Textoindependiente"/>
    <w:uiPriority w:val="99"/>
    <w:rsid w:val="000E27C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0E27C0"/>
    <w:pPr>
      <w:autoSpaceDE w:val="0"/>
      <w:autoSpaceDN w:val="0"/>
    </w:pPr>
    <w:rPr>
      <w:lang w:eastAsia="es-ES"/>
    </w:rPr>
  </w:style>
  <w:style w:type="character" w:customStyle="1" w:styleId="TextonotapieCar">
    <w:name w:val="Texto nota pie Car"/>
    <w:basedOn w:val="Fuentedeprrafopredeter"/>
    <w:link w:val="Textonotapie"/>
    <w:uiPriority w:val="99"/>
    <w:rsid w:val="000E27C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0E27C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0E27C0"/>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0E27C0"/>
    <w:pPr>
      <w:tabs>
        <w:tab w:val="center" w:pos="4419"/>
        <w:tab w:val="right" w:pos="8838"/>
      </w:tabs>
    </w:pPr>
  </w:style>
  <w:style w:type="character" w:customStyle="1" w:styleId="EncabezadoCar">
    <w:name w:val="Encabezado Car"/>
    <w:basedOn w:val="Fuentedeprrafopredeter"/>
    <w:link w:val="Encabezado"/>
    <w:uiPriority w:val="99"/>
    <w:rsid w:val="000E27C0"/>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0E27C0"/>
    <w:pPr>
      <w:tabs>
        <w:tab w:val="center" w:pos="4419"/>
        <w:tab w:val="right" w:pos="8838"/>
      </w:tabs>
    </w:pPr>
  </w:style>
  <w:style w:type="character" w:customStyle="1" w:styleId="PiedepginaCar">
    <w:name w:val="Pie de página Car"/>
    <w:basedOn w:val="Fuentedeprrafopredeter"/>
    <w:link w:val="Piedepgina"/>
    <w:uiPriority w:val="99"/>
    <w:rsid w:val="000E27C0"/>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0E27C0"/>
    <w:pPr>
      <w:widowControl w:val="0"/>
      <w:suppressAutoHyphens/>
      <w:spacing w:after="0" w:line="276" w:lineRule="auto"/>
      <w:ind w:firstLine="360"/>
    </w:pPr>
    <w:rPr>
      <w:rFonts w:ascii="Calibri" w:eastAsia="Arial Unicode MS" w:hAnsi="Calibri" w:cs="font280"/>
      <w:kern w:val="1"/>
      <w:lang w:eastAsia="ar-SA"/>
    </w:rPr>
  </w:style>
  <w:style w:type="character" w:customStyle="1" w:styleId="ng-star-inserted">
    <w:name w:val="ng-star-inserted"/>
    <w:basedOn w:val="Fuentedeprrafopredeter"/>
    <w:rsid w:val="000E2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515"/>
    <w:rsid w:val="000075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3A4B4444CFB44AAE8CD2119A8A9CA9E5">
    <w:name w:val="3A4B4444CFB44AAE8CD2119A8A9CA9E5"/>
    <w:rsid w:val="000075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3615</Words>
  <Characters>19884</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2023-04-14T17:38:00Z</dcterms:created>
  <dcterms:modified xsi:type="dcterms:W3CDTF">2023-04-14T17:48:00Z</dcterms:modified>
</cp:coreProperties>
</file>