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0E406E" w:rsidP="004A41DB">
      <w:pPr>
        <w:pStyle w:val="corte4fondo"/>
        <w:spacing w:line="240" w:lineRule="auto"/>
        <w:ind w:left="3544" w:right="-496" w:firstLine="0"/>
        <w:rPr>
          <w:rFonts w:cs="Arial"/>
          <w:b/>
          <w:i/>
          <w:sz w:val="22"/>
          <w:szCs w:val="22"/>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-1094105</wp:posOffset>
                </wp:positionH>
                <wp:positionV relativeFrom="paragraph">
                  <wp:posOffset>6905625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E406E" w:rsidRDefault="000E406E" w:rsidP="000E406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6.15pt;margin-top:543.7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">
                <v:textbox>
                  <w:txbxContent>
                    <w:p w:rsidR="000E406E" w:rsidRDefault="000E406E" w:rsidP="000E406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A41DB"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2A0256">
        <w:rPr>
          <w:rFonts w:cs="Arial"/>
          <w:b/>
          <w:i/>
          <w:sz w:val="22"/>
          <w:szCs w:val="22"/>
        </w:rPr>
        <w:t>0</w:t>
      </w:r>
      <w:r w:rsidR="001A10DB">
        <w:rPr>
          <w:rFonts w:cs="Arial"/>
          <w:b/>
          <w:i/>
          <w:sz w:val="22"/>
          <w:szCs w:val="22"/>
        </w:rPr>
        <w:t>8</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EA271D">
        <w:rPr>
          <w:rFonts w:cs="Arial"/>
          <w:b/>
          <w:i/>
          <w:sz w:val="22"/>
          <w:szCs w:val="22"/>
        </w:rPr>
        <w:t>A</w:t>
      </w:r>
      <w:r w:rsidRPr="00930A36">
        <w:rPr>
          <w:rFonts w:cs="Arial"/>
          <w:b/>
          <w:i/>
          <w:sz w:val="22"/>
          <w:szCs w:val="22"/>
        </w:rPr>
        <w:t>:</w:t>
      </w:r>
      <w:r w:rsidR="00EA271D">
        <w:rPr>
          <w:rFonts w:cs="Arial"/>
          <w:b/>
          <w:i/>
          <w:sz w:val="22"/>
          <w:szCs w:val="22"/>
        </w:rPr>
        <w:t xml:space="preserve"> </w:t>
      </w:r>
      <w:r w:rsidR="006E3701">
        <w:rPr>
          <w:rFonts w:cs="Arial"/>
          <w:sz w:val="24"/>
          <w:szCs w:val="24"/>
        </w:rPr>
        <w:t>**********</w:t>
      </w:r>
      <w:r w:rsidR="008B20C0">
        <w:rPr>
          <w:rFonts w:cs="Arial"/>
          <w:b/>
          <w:i/>
          <w:sz w:val="22"/>
          <w:szCs w:val="22"/>
        </w:rPr>
        <w:t>.</w:t>
      </w: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0476EE">
        <w:rPr>
          <w:rFonts w:ascii="Arial" w:hAnsi="Arial" w:cs="Arial"/>
          <w:b/>
          <w:sz w:val="24"/>
          <w:szCs w:val="24"/>
        </w:rPr>
        <w:t>2</w:t>
      </w:r>
      <w:r w:rsidR="00DC5918">
        <w:rPr>
          <w:rFonts w:ascii="Arial" w:hAnsi="Arial" w:cs="Arial"/>
          <w:b/>
          <w:sz w:val="24"/>
          <w:szCs w:val="24"/>
        </w:rPr>
        <w:t>2</w:t>
      </w:r>
      <w:r w:rsidR="000476EE">
        <w:rPr>
          <w:rFonts w:ascii="Arial" w:hAnsi="Arial" w:cs="Arial"/>
          <w:b/>
          <w:sz w:val="24"/>
          <w:szCs w:val="24"/>
        </w:rPr>
        <w:t xml:space="preserve"> VEINTI</w:t>
      </w:r>
      <w:r w:rsidR="00DC5918">
        <w:rPr>
          <w:rFonts w:ascii="Arial" w:hAnsi="Arial" w:cs="Arial"/>
          <w:b/>
          <w:sz w:val="24"/>
          <w:szCs w:val="24"/>
        </w:rPr>
        <w:t>DÓS</w:t>
      </w:r>
      <w:r w:rsidR="000476EE">
        <w:rPr>
          <w:rFonts w:ascii="Arial" w:hAnsi="Arial" w:cs="Arial"/>
          <w:b/>
          <w:sz w:val="24"/>
          <w:szCs w:val="24"/>
        </w:rPr>
        <w:t xml:space="preserve"> DE ENERO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0476EE">
        <w:rPr>
          <w:rFonts w:ascii="Arial" w:hAnsi="Arial" w:cs="Arial"/>
          <w:b/>
          <w:sz w:val="24"/>
          <w:szCs w:val="24"/>
          <w:lang w:val="es-MX"/>
        </w:rPr>
        <w:t>10</w:t>
      </w:r>
      <w:r w:rsidR="00EA271D">
        <w:rPr>
          <w:rFonts w:ascii="Arial" w:hAnsi="Arial" w:cs="Arial"/>
          <w:b/>
          <w:sz w:val="24"/>
          <w:szCs w:val="24"/>
          <w:lang w:val="es-MX"/>
        </w:rPr>
        <w:t>8</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6E3701">
        <w:rPr>
          <w:rFonts w:ascii="Arial" w:hAnsi="Arial" w:cs="Arial"/>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2A3B7B"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EA271D">
        <w:rPr>
          <w:rFonts w:ascii="Arial" w:hAnsi="Arial" w:cs="Arial"/>
          <w:color w:val="000000"/>
          <w:sz w:val="24"/>
          <w:szCs w:val="24"/>
        </w:rPr>
        <w:t>18 dieciocho de 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6E3701">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CB29D1">
        <w:rPr>
          <w:rFonts w:ascii="Arial" w:hAnsi="Arial" w:cs="Arial"/>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B4449">
        <w:rPr>
          <w:rFonts w:ascii="Arial" w:hAnsi="Arial" w:cs="Arial"/>
          <w:color w:val="000000"/>
          <w:sz w:val="24"/>
          <w:szCs w:val="24"/>
        </w:rPr>
        <w:t>17 diecisiete</w:t>
      </w:r>
      <w:r w:rsidR="000F2596">
        <w:rPr>
          <w:rFonts w:ascii="Arial" w:hAnsi="Arial" w:cs="Arial"/>
          <w:color w:val="000000"/>
          <w:sz w:val="24"/>
          <w:szCs w:val="24"/>
        </w:rPr>
        <w:t xml:space="preserve">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p>
    <w:p w:rsidR="00B237AA" w:rsidRDefault="002A3B7B"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Se ordenó formar cuaderno de suspensión, mismo que se resolvió con fecha 30 treinta de noviembre del 2017 dos mil diecisiete.</w:t>
      </w:r>
      <w:r w:rsidR="006A03AA">
        <w:rPr>
          <w:rFonts w:ascii="Arial" w:hAnsi="Arial" w:cs="Arial"/>
          <w:color w:val="000000"/>
          <w:sz w:val="24"/>
          <w:szCs w:val="24"/>
        </w:rPr>
        <w:t xml:space="preserve"> - - - - - - - </w:t>
      </w:r>
      <w:r w:rsidR="002A0256">
        <w:rPr>
          <w:rFonts w:ascii="Arial" w:hAnsi="Arial" w:cs="Arial"/>
          <w:color w:val="000000"/>
          <w:sz w:val="24"/>
          <w:szCs w:val="24"/>
        </w:rPr>
        <w:t xml:space="preserve">- - - - - - - - - -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A3B7B">
        <w:rPr>
          <w:rFonts w:ascii="Arial" w:hAnsi="Arial" w:cs="Arial"/>
          <w:sz w:val="24"/>
          <w:szCs w:val="24"/>
        </w:rPr>
        <w:t>14</w:t>
      </w:r>
      <w:r w:rsidR="002A0256">
        <w:rPr>
          <w:rFonts w:ascii="Arial" w:hAnsi="Arial" w:cs="Arial"/>
          <w:sz w:val="24"/>
          <w:szCs w:val="24"/>
        </w:rPr>
        <w:t xml:space="preserve"> 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en representación de la demandada,</w:t>
      </w:r>
      <w:r w:rsidR="002A0256">
        <w:rPr>
          <w:rFonts w:ascii="Arial" w:hAnsi="Arial" w:cs="Arial"/>
          <w:sz w:val="24"/>
          <w:szCs w:val="24"/>
        </w:rPr>
        <w:t xml:space="preserve">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 xml:space="preserve">120, 153 párrafo segundo, 154 fracciones I, II, III, IV, V, VI y 155 de la Ley de Justicia Administrativa para el Estado de Oaxaca,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efectos legales correspondientes. Asimismo como lo establece el artículo 157 y 174 de la citada ley, se señaló fecha y hora para la celebración de la audiencia final. - - - - - - - - - - - - - - -</w:t>
      </w:r>
      <w:r w:rsidR="000F2596">
        <w:rPr>
          <w:rFonts w:ascii="Arial" w:hAnsi="Arial" w:cs="Arial"/>
          <w:sz w:val="24"/>
          <w:szCs w:val="24"/>
        </w:rPr>
        <w:t xml:space="preserve">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lastRenderedPageBreak/>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7433FC">
        <w:rPr>
          <w:rFonts w:ascii="Arial" w:hAnsi="Arial" w:cs="Arial"/>
          <w:sz w:val="24"/>
          <w:szCs w:val="24"/>
          <w:lang w:val="es-MX"/>
        </w:rPr>
        <w:t>18 dieciocho de</w:t>
      </w:r>
      <w:r w:rsidR="000F2596">
        <w:rPr>
          <w:rFonts w:ascii="Arial" w:hAnsi="Arial" w:cs="Arial"/>
          <w:sz w:val="24"/>
          <w:szCs w:val="24"/>
          <w:lang w:val="es-MX"/>
        </w:rPr>
        <w:t xml:space="preserv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7433FC">
        <w:rPr>
          <w:rFonts w:ascii="Arial" w:hAnsi="Arial" w:cs="Arial"/>
          <w:bCs/>
          <w:sz w:val="24"/>
          <w:szCs w:val="24"/>
          <w:lang w:val="es-ES"/>
        </w:rPr>
        <w:t>ó</w:t>
      </w:r>
      <w:r w:rsidR="00BA7F97">
        <w:rPr>
          <w:rFonts w:ascii="Arial" w:hAnsi="Arial" w:cs="Arial"/>
          <w:bCs/>
          <w:sz w:val="24"/>
          <w:szCs w:val="24"/>
          <w:lang w:val="es-ES"/>
        </w:rPr>
        <w:t xml:space="preserve">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81, 82, 92,  96,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115 de la Ley de Justicia Administrativa para el Estado de Oaxaca, 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 - - - - - - - - - - - - - - - - - - - - - - </w:t>
      </w:r>
      <w:r w:rsidR="007433FC">
        <w:rPr>
          <w:rFonts w:ascii="Arial" w:hAnsi="Arial" w:cs="Arial"/>
          <w:sz w:val="24"/>
          <w:szCs w:val="24"/>
        </w:rPr>
        <w:t>-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117</w:t>
      </w:r>
      <w:r w:rsidR="00C108C5" w:rsidRPr="000C0153">
        <w:rPr>
          <w:rFonts w:ascii="Arial" w:hAnsi="Arial" w:cs="Arial"/>
          <w:sz w:val="24"/>
          <w:szCs w:val="24"/>
        </w:rPr>
        <w:t xml:space="preserve"> y 120 de la Ley de 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6E3701">
        <w:rPr>
          <w:rFonts w:ascii="Arial" w:hAnsi="Arial" w:cs="Arial"/>
          <w:sz w:val="24"/>
          <w:szCs w:val="24"/>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p>
    <w:p w:rsidR="00136097" w:rsidRDefault="00136097" w:rsidP="002B7F87">
      <w:pPr>
        <w:spacing w:line="360" w:lineRule="auto"/>
        <w:ind w:right="-518" w:firstLine="567"/>
        <w:jc w:val="both"/>
        <w:rPr>
          <w:rFonts w:ascii="Arial" w:hAnsi="Arial" w:cs="Arial"/>
          <w:sz w:val="24"/>
          <w:szCs w:val="24"/>
        </w:rPr>
      </w:pPr>
    </w:p>
    <w:p w:rsidR="006159CB"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6E3701">
        <w:rPr>
          <w:rFonts w:cs="Arial"/>
          <w:sz w:val="24"/>
          <w:szCs w:val="24"/>
        </w:rPr>
        <w:t>**********</w:t>
      </w:r>
      <w:r w:rsidR="00F66C0C" w:rsidRPr="006159CB">
        <w:rPr>
          <w:rFonts w:cs="Arial"/>
          <w:sz w:val="24"/>
          <w:szCs w:val="24"/>
        </w:rPr>
        <w:t xml:space="preserve">, </w:t>
      </w:r>
      <w:r w:rsidR="00F66C0C" w:rsidRPr="006159CB">
        <w:rPr>
          <w:rFonts w:cs="Arial"/>
          <w:b w:val="0"/>
          <w:sz w:val="24"/>
          <w:szCs w:val="24"/>
        </w:rPr>
        <w:t>demandó la nulidad de</w:t>
      </w:r>
      <w:r w:rsidR="006067C6" w:rsidRPr="006159CB">
        <w:rPr>
          <w:rFonts w:cs="Arial"/>
          <w:b w:val="0"/>
          <w:sz w:val="24"/>
          <w:szCs w:val="24"/>
        </w:rPr>
        <w:t xml:space="preserve"> </w:t>
      </w:r>
      <w:r w:rsidR="00F66C0C" w:rsidRPr="006159CB">
        <w:rPr>
          <w:rFonts w:cs="Arial"/>
          <w:b w:val="0"/>
          <w:sz w:val="24"/>
          <w:szCs w:val="24"/>
        </w:rPr>
        <w:t>l</w:t>
      </w:r>
      <w:r w:rsidR="006067C6" w:rsidRPr="006159CB">
        <w:rPr>
          <w:rFonts w:cs="Arial"/>
          <w:b w:val="0"/>
          <w:sz w:val="24"/>
          <w:szCs w:val="24"/>
        </w:rPr>
        <w:t>a resolución contenida en el oficio con n</w:t>
      </w:r>
      <w:r w:rsidR="00987DF4" w:rsidRPr="006159CB">
        <w:rPr>
          <w:rFonts w:cs="Arial"/>
          <w:b w:val="0"/>
          <w:sz w:val="24"/>
          <w:szCs w:val="24"/>
        </w:rPr>
        <w:t xml:space="preserve">úmero de control </w:t>
      </w:r>
      <w:r w:rsidR="00CB29D1">
        <w:rPr>
          <w:rFonts w:cs="Arial"/>
          <w:sz w:val="24"/>
          <w:szCs w:val="24"/>
        </w:rPr>
        <w:t>**********</w:t>
      </w:r>
      <w:r w:rsidR="006067C6" w:rsidRPr="006159CB">
        <w:rPr>
          <w:rFonts w:cs="Arial"/>
          <w:b w:val="0"/>
          <w:sz w:val="24"/>
          <w:szCs w:val="24"/>
        </w:rPr>
        <w:t xml:space="preserve"> de 17 diecisiete de agosto</w:t>
      </w:r>
      <w:r w:rsidR="00006B35" w:rsidRPr="006159CB">
        <w:rPr>
          <w:rFonts w:cs="Arial"/>
          <w:b w:val="0"/>
          <w:sz w:val="24"/>
          <w:szCs w:val="24"/>
        </w:rPr>
        <w:t xml:space="preserve"> del 2017 dos mil diecisiete</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al considerar l</w:t>
      </w:r>
      <w:r w:rsidR="00C57FB3">
        <w:rPr>
          <w:rFonts w:cs="Arial"/>
          <w:b w:val="0"/>
          <w:sz w:val="24"/>
          <w:szCs w:val="24"/>
        </w:rPr>
        <w:t>a</w:t>
      </w:r>
      <w:r w:rsidR="00006B35" w:rsidRPr="006159CB">
        <w:rPr>
          <w:rFonts w:cs="Arial"/>
          <w:b w:val="0"/>
          <w:sz w:val="24"/>
          <w:szCs w:val="24"/>
        </w:rPr>
        <w:t xml:space="preserve"> actor</w:t>
      </w:r>
      <w:r w:rsidR="00C57FB3">
        <w:rPr>
          <w:rFonts w:cs="Arial"/>
          <w:b w:val="0"/>
          <w:sz w:val="24"/>
          <w:szCs w:val="24"/>
        </w:rPr>
        <w:t>a</w:t>
      </w:r>
      <w:r w:rsidR="00006B35" w:rsidRPr="006159CB">
        <w:rPr>
          <w:rFonts w:cs="Arial"/>
          <w:b w:val="0"/>
          <w:sz w:val="24"/>
          <w:szCs w:val="24"/>
        </w:rPr>
        <w:t xml:space="preserve">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391EB6" w:rsidRPr="006159CB">
        <w:rPr>
          <w:rFonts w:cs="Arial"/>
          <w:b w:val="0"/>
          <w:sz w:val="24"/>
          <w:szCs w:val="24"/>
        </w:rPr>
        <w:t>ilegal, virtud de que</w:t>
      </w:r>
      <w:r w:rsidR="00C57FB3">
        <w:rPr>
          <w:rFonts w:cs="Arial"/>
          <w:b w:val="0"/>
          <w:sz w:val="24"/>
          <w:szCs w:val="24"/>
        </w:rPr>
        <w:t xml:space="preserve"> para adecuar una norma jurídica legal o reglamentaria al caso concreto donde vaya a operar el acto de molestia, la autoridad debe aducir los motivos que justifiquen la aplicación correspondiente, motivos que deben manifestarse a los hechos, circunstancias y modalidad objetivas de dicho caso para que éste se encuadre dentro de los supuestos abstractos previstos normativamente, ya que la mención de los motivos debe formularse precisamente en el mandamiento escrito, con el objeto de que el afectado por el acto de molestia </w:t>
      </w:r>
      <w:r w:rsidR="00C57FB3">
        <w:rPr>
          <w:rFonts w:cs="Arial"/>
          <w:b w:val="0"/>
          <w:sz w:val="24"/>
          <w:szCs w:val="24"/>
        </w:rPr>
        <w:lastRenderedPageBreak/>
        <w:t>pueda conocerlos y estar en condición de producir su defensa. Lo cual, en el caso concreto no sucedió.</w:t>
      </w:r>
    </w:p>
    <w:p w:rsidR="00C57FB3" w:rsidRDefault="00C57FB3" w:rsidP="00D7799B">
      <w:pPr>
        <w:pStyle w:val="corte3centro"/>
        <w:ind w:right="-518" w:firstLine="567"/>
        <w:jc w:val="both"/>
        <w:rPr>
          <w:rFonts w:cs="Arial"/>
          <w:b w:val="0"/>
          <w:color w:val="FF0000"/>
          <w:sz w:val="24"/>
          <w:szCs w:val="24"/>
        </w:rPr>
      </w:pP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 xml:space="preserve">en su contestación de demanda, manifestó </w:t>
      </w:r>
      <w:r w:rsidR="000A514F">
        <w:rPr>
          <w:rFonts w:cs="Arial"/>
          <w:b w:val="0"/>
          <w:bCs/>
          <w:sz w:val="24"/>
          <w:szCs w:val="24"/>
          <w:lang w:val="es-ES"/>
        </w:rPr>
        <w:t xml:space="preserve">que el acto impugnado </w:t>
      </w:r>
      <w:r w:rsidR="00B56376">
        <w:rPr>
          <w:rFonts w:cs="Arial"/>
          <w:b w:val="0"/>
          <w:bCs/>
          <w:sz w:val="24"/>
          <w:szCs w:val="24"/>
          <w:lang w:val="es-ES"/>
        </w:rPr>
        <w:t xml:space="preserve">fue fundado y motivado, ya que </w:t>
      </w:r>
      <w:r w:rsidR="003758D1">
        <w:rPr>
          <w:rFonts w:cs="Arial"/>
          <w:b w:val="0"/>
          <w:bCs/>
          <w:sz w:val="24"/>
          <w:szCs w:val="24"/>
          <w:lang w:val="es-ES"/>
        </w:rPr>
        <w:t xml:space="preserve">conforme a los </w:t>
      </w:r>
      <w:r w:rsidR="00D7799B">
        <w:rPr>
          <w:rFonts w:cs="Arial"/>
          <w:b w:val="0"/>
          <w:bCs/>
          <w:sz w:val="24"/>
          <w:szCs w:val="24"/>
          <w:lang w:val="es-ES"/>
        </w:rPr>
        <w:t>artículo</w:t>
      </w:r>
      <w:r w:rsidR="003758D1">
        <w:rPr>
          <w:rFonts w:cs="Arial"/>
          <w:b w:val="0"/>
          <w:bCs/>
          <w:sz w:val="24"/>
          <w:szCs w:val="24"/>
          <w:lang w:val="es-ES"/>
        </w:rPr>
        <w:t>s</w:t>
      </w:r>
      <w:r w:rsidR="00D7799B">
        <w:rPr>
          <w:rFonts w:cs="Arial"/>
          <w:b w:val="0"/>
          <w:bCs/>
          <w:sz w:val="24"/>
          <w:szCs w:val="24"/>
          <w:lang w:val="es-ES"/>
        </w:rPr>
        <w:t xml:space="preserve"> </w:t>
      </w:r>
      <w:r w:rsidR="003758D1">
        <w:rPr>
          <w:rFonts w:cs="Arial"/>
          <w:b w:val="0"/>
          <w:bCs/>
          <w:sz w:val="24"/>
          <w:szCs w:val="24"/>
          <w:lang w:val="es-ES"/>
        </w:rPr>
        <w:t>22, 23. 24, 25, 26, 27 y 28 de la Ley Estatal de Hacienda, que establecen el objeto, sujeto, base, tasa, época de pago y las obligaciones correspondientes al impuesto cedular a los ingresos por el otorgamiento del Uso o Goce Temporal de bienes Inmuebles, entre ellas las de enterar el importe del impuesto mediante declaración bimestral definitiva, dentro de los primeros 17 días de los meses de marzo, mayo, julio, septiembre, noviembre y enero del año siguiente.</w:t>
      </w:r>
      <w:r w:rsidR="006E2715">
        <w:rPr>
          <w:rFonts w:cs="Arial"/>
          <w:b w:val="0"/>
          <w:bCs/>
          <w:sz w:val="24"/>
          <w:szCs w:val="24"/>
          <w:lang w:val="es-ES"/>
        </w:rPr>
        <w:t xml:space="preserve"> </w:t>
      </w:r>
    </w:p>
    <w:p w:rsidR="00B56376" w:rsidRDefault="00B56376" w:rsidP="00D7799B">
      <w:pPr>
        <w:pStyle w:val="corte3centro"/>
        <w:ind w:right="-518" w:firstLine="567"/>
        <w:jc w:val="both"/>
        <w:rPr>
          <w:rFonts w:cs="Arial"/>
          <w:b w:val="0"/>
          <w:bCs/>
          <w:sz w:val="24"/>
          <w:szCs w:val="24"/>
          <w:lang w:val="es-ES"/>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Cedular a los Ingresos por el Otorgamiento del Uso o Goce Temporal de Bienes Inmuebles, </w:t>
      </w:r>
      <w:r w:rsidR="00BA0970">
        <w:rPr>
          <w:rFonts w:cs="Arial"/>
          <w:b w:val="0"/>
          <w:sz w:val="24"/>
          <w:szCs w:val="24"/>
        </w:rPr>
        <w:t xml:space="preserve">con número de control </w:t>
      </w:r>
      <w:r w:rsidR="00CB29D1">
        <w:rPr>
          <w:rFonts w:cs="Arial"/>
          <w:sz w:val="24"/>
          <w:szCs w:val="24"/>
        </w:rPr>
        <w:t>**********</w:t>
      </w:r>
      <w:r w:rsidR="000A514F">
        <w:rPr>
          <w:rFonts w:cs="Arial"/>
          <w:b w:val="0"/>
          <w:sz w:val="24"/>
          <w:szCs w:val="24"/>
        </w:rPr>
        <w:t xml:space="preserve"> de 17 diecisiete de </w:t>
      </w:r>
      <w:r w:rsidR="00BA0970">
        <w:rPr>
          <w:rFonts w:cs="Arial"/>
          <w:b w:val="0"/>
          <w:sz w:val="24"/>
          <w:szCs w:val="24"/>
        </w:rPr>
        <w:t xml:space="preserve">agosto de 2017 dos mil diecisiete </w:t>
      </w:r>
      <w:r w:rsidR="00F66C0C">
        <w:rPr>
          <w:rFonts w:cs="Arial"/>
          <w:b w:val="0"/>
          <w:sz w:val="24"/>
          <w:szCs w:val="24"/>
        </w:rPr>
        <w:t>(</w:t>
      </w:r>
      <w:r w:rsidR="000A514F">
        <w:rPr>
          <w:rFonts w:cs="Arial"/>
          <w:b w:val="0"/>
          <w:sz w:val="24"/>
          <w:szCs w:val="24"/>
        </w:rPr>
        <w:t>foja 43</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 de la fracción I del artículo 173 de la Ley de la Materia, 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Pr="00E92704" w:rsidRDefault="004B335E" w:rsidP="004B335E">
      <w:pPr>
        <w:pStyle w:val="corte3centro"/>
        <w:spacing w:line="276" w:lineRule="auto"/>
        <w:ind w:left="567" w:right="-518"/>
        <w:jc w:val="both"/>
        <w:rPr>
          <w:rFonts w:cs="Arial"/>
          <w:b w:val="0"/>
          <w:i/>
          <w:sz w:val="23"/>
          <w:szCs w:val="23"/>
        </w:rPr>
      </w:pPr>
      <w:r w:rsidRPr="00E92704">
        <w:rPr>
          <w:rFonts w:cs="Arial"/>
          <w:b w:val="0"/>
          <w:i/>
          <w:sz w:val="23"/>
          <w:szCs w:val="23"/>
        </w:rPr>
        <w:t>“</w:t>
      </w:r>
      <w:r w:rsidR="009D4902" w:rsidRPr="00E92704">
        <w:rPr>
          <w:rFonts w:cs="Arial"/>
          <w:b w:val="0"/>
          <w:i/>
          <w:sz w:val="23"/>
          <w:szCs w:val="23"/>
        </w:rPr>
        <w:t xml:space="preserve">Que en los artículos 61 párrafos primero y tercero del Código Fiscal para el </w:t>
      </w:r>
      <w:r w:rsidR="000E406E">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-941705</wp:posOffset>
                </wp:positionH>
                <wp:positionV relativeFrom="paragraph">
                  <wp:posOffset>1012190</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E406E" w:rsidRDefault="000E406E" w:rsidP="000E406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74.15pt;margin-top:79.7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">
                <v:textbox>
                  <w:txbxContent>
                    <w:p w:rsidR="000E406E" w:rsidRDefault="000E406E" w:rsidP="000E406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D4902" w:rsidRPr="00E92704">
        <w:rPr>
          <w:rFonts w:cs="Arial"/>
          <w:b w:val="0"/>
          <w:i/>
          <w:sz w:val="23"/>
          <w:szCs w:val="23"/>
        </w:rPr>
        <w:t>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E92704">
        <w:rPr>
          <w:rFonts w:cs="Arial"/>
          <w:b w:val="0"/>
          <w:i/>
          <w:sz w:val="23"/>
          <w:szCs w:val="23"/>
        </w:rPr>
        <w:t xml:space="preserve"> </w:t>
      </w:r>
    </w:p>
    <w:p w:rsidR="00C84D61" w:rsidRPr="00E92704" w:rsidRDefault="009D4902" w:rsidP="004B335E">
      <w:pPr>
        <w:pStyle w:val="corte3centro"/>
        <w:spacing w:line="276" w:lineRule="auto"/>
        <w:ind w:left="567" w:right="-518"/>
        <w:jc w:val="both"/>
        <w:rPr>
          <w:rFonts w:cs="Arial"/>
          <w:b w:val="0"/>
          <w:i/>
          <w:sz w:val="23"/>
          <w:szCs w:val="23"/>
        </w:rPr>
      </w:pPr>
      <w:r w:rsidRPr="00E92704">
        <w:rPr>
          <w:rFonts w:cs="Arial"/>
          <w:b w:val="0"/>
          <w:i/>
          <w:sz w:val="23"/>
          <w:szCs w:val="23"/>
        </w:rPr>
        <w:t>Atendiendo a lo anterior se realizó una revisión minuciosa en el Registro Estatal de Contribuyentes con que cuenta esta Secretar</w:t>
      </w:r>
      <w:r w:rsidR="00FA7689" w:rsidRPr="00E92704">
        <w:rPr>
          <w:rFonts w:cs="Arial"/>
          <w:b w:val="0"/>
          <w:i/>
          <w:sz w:val="23"/>
          <w:szCs w:val="23"/>
        </w:rPr>
        <w:t>ía;</w:t>
      </w:r>
      <w:r w:rsidRPr="00E92704">
        <w:rPr>
          <w:rFonts w:cs="Arial"/>
          <w:b w:val="0"/>
          <w:i/>
          <w:sz w:val="23"/>
          <w:szCs w:val="23"/>
        </w:rPr>
        <w:t xml:space="preserve"> la cual contiene los registros contables en materia de declaraciones y pagos; y en ejercicio de las facultades de revisión el cumplimiento de las decl</w:t>
      </w:r>
      <w:r w:rsidR="00FA7689" w:rsidRPr="00E92704">
        <w:rPr>
          <w:rFonts w:cs="Arial"/>
          <w:b w:val="0"/>
          <w:i/>
          <w:sz w:val="23"/>
          <w:szCs w:val="23"/>
        </w:rPr>
        <w:t>a</w:t>
      </w:r>
      <w:r w:rsidRPr="00E92704">
        <w:rPr>
          <w:rFonts w:cs="Arial"/>
          <w:b w:val="0"/>
          <w:i/>
          <w:sz w:val="23"/>
          <w:szCs w:val="23"/>
        </w:rPr>
        <w:t xml:space="preserve">raciones y pagos por los sujetos obligados en materia del impuesto Cedular a los </w:t>
      </w:r>
      <w:r w:rsidR="00FA7689" w:rsidRPr="00E92704">
        <w:rPr>
          <w:rFonts w:cs="Arial"/>
          <w:b w:val="0"/>
          <w:i/>
          <w:sz w:val="23"/>
          <w:szCs w:val="23"/>
        </w:rPr>
        <w:t>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27 de la Ley Estatal de Hacienda vigente para la presentación de la(s) declaración(es) bimestrales(es) definitiva(s) y enterar el Impuesto que nos ocupa, conforme a lo siguiente:</w:t>
      </w:r>
    </w:p>
    <w:p w:rsidR="00E15A76" w:rsidRPr="00E92704" w:rsidRDefault="00E15A76" w:rsidP="004B335E">
      <w:pPr>
        <w:pStyle w:val="corte3centro"/>
        <w:spacing w:line="276" w:lineRule="auto"/>
        <w:ind w:left="567" w:right="-518"/>
        <w:jc w:val="both"/>
        <w:rPr>
          <w:rFonts w:cs="Arial"/>
          <w:b w:val="0"/>
          <w:i/>
          <w:sz w:val="23"/>
          <w:szCs w:val="23"/>
        </w:rPr>
      </w:pPr>
    </w:p>
    <w:p w:rsidR="00F66C0C" w:rsidRPr="00E92704" w:rsidRDefault="00E15A76" w:rsidP="005B118C">
      <w:pPr>
        <w:pStyle w:val="corte3centro"/>
        <w:spacing w:line="276" w:lineRule="auto"/>
        <w:ind w:right="-518" w:firstLine="567"/>
        <w:jc w:val="both"/>
        <w:rPr>
          <w:rFonts w:cs="Arial"/>
          <w:b w:val="0"/>
          <w:i/>
          <w:sz w:val="23"/>
          <w:szCs w:val="23"/>
        </w:rPr>
      </w:pPr>
      <w:r w:rsidRPr="00E92704">
        <w:rPr>
          <w:rFonts w:cs="Arial"/>
          <w:b w:val="0"/>
          <w:i/>
          <w:sz w:val="23"/>
          <w:szCs w:val="23"/>
        </w:rPr>
        <w:t>…</w:t>
      </w:r>
    </w:p>
    <w:p w:rsidR="005B118C" w:rsidRPr="00E92704" w:rsidRDefault="005B118C" w:rsidP="00F15407">
      <w:pPr>
        <w:pStyle w:val="corte3centro"/>
        <w:ind w:right="-518" w:firstLine="567"/>
        <w:jc w:val="both"/>
        <w:rPr>
          <w:rFonts w:cs="Arial"/>
          <w:sz w:val="23"/>
          <w:szCs w:val="23"/>
        </w:rPr>
      </w:pPr>
    </w:p>
    <w:p w:rsidR="001C466D" w:rsidRPr="00E92704" w:rsidRDefault="00C57FB3" w:rsidP="004B335E">
      <w:pPr>
        <w:pStyle w:val="corte3centro"/>
        <w:ind w:left="567" w:right="-518"/>
        <w:jc w:val="both"/>
        <w:rPr>
          <w:rFonts w:cs="Arial"/>
          <w:b w:val="0"/>
          <w:i/>
          <w:sz w:val="23"/>
          <w:szCs w:val="23"/>
        </w:rPr>
      </w:pPr>
      <w:r w:rsidRPr="00E92704">
        <w:rPr>
          <w:rFonts w:cs="Arial"/>
          <w:b w:val="0"/>
          <w:i/>
          <w:sz w:val="23"/>
          <w:szCs w:val="23"/>
        </w:rPr>
        <w:t>Considerando que con fecha 19 de Diciembre</w:t>
      </w:r>
      <w:r w:rsidR="001031F9" w:rsidRPr="00E92704">
        <w:rPr>
          <w:rFonts w:cs="Arial"/>
          <w:b w:val="0"/>
          <w:i/>
          <w:sz w:val="23"/>
          <w:szCs w:val="23"/>
        </w:rPr>
        <w:t xml:space="preserve"> de 2014, usted presentó ante la Delegación o Subdelegación Fiscal correspondiente a su domicilio fiscal, formulario </w:t>
      </w:r>
      <w:r w:rsidR="001031F9" w:rsidRPr="00E92704">
        <w:rPr>
          <w:rFonts w:cs="Arial"/>
          <w:b w:val="0"/>
          <w:i/>
          <w:sz w:val="23"/>
          <w:szCs w:val="23"/>
        </w:rPr>
        <w:lastRenderedPageBreak/>
        <w:t>múltiple de Registro Estatal de Contribuyente, a fin de quedar inscrito(a), con la obligación del impuesto Cedular a los ingresos por el Otorgamiento del uso o Goce Temporal de Bienes Inmuebles;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4B335E" w:rsidP="004B335E">
            <w:pPr>
              <w:pStyle w:val="corte3centro"/>
              <w:tabs>
                <w:tab w:val="left" w:pos="4578"/>
              </w:tabs>
              <w:ind w:right="-518"/>
              <w:rPr>
                <w:rFonts w:cs="Arial"/>
                <w:b w:val="0"/>
                <w:i/>
                <w:sz w:val="16"/>
                <w:szCs w:val="16"/>
              </w:rPr>
            </w:pPr>
            <w:r w:rsidRPr="004B335E">
              <w:rPr>
                <w:rFonts w:cs="Arial"/>
                <w:b w:val="0"/>
                <w:i/>
                <w:sz w:val="16"/>
                <w:szCs w:val="16"/>
              </w:rPr>
              <w:t>$75.49</w:t>
            </w:r>
          </w:p>
        </w:tc>
        <w:tc>
          <w:tcPr>
            <w:tcW w:w="1716" w:type="dxa"/>
            <w:vAlign w:val="bottom"/>
          </w:tcPr>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$3,775.00</w:t>
            </w:r>
          </w:p>
        </w:tc>
      </w:tr>
    </w:tbl>
    <w:p w:rsidR="001C466D" w:rsidRPr="004B335E" w:rsidRDefault="001C466D" w:rsidP="00F15407">
      <w:pPr>
        <w:pStyle w:val="corte3centro"/>
        <w:ind w:right="-518" w:firstLine="567"/>
        <w:jc w:val="both"/>
        <w:rPr>
          <w:rFonts w:cs="Arial"/>
          <w:b w:val="0"/>
          <w:i/>
          <w:sz w:val="24"/>
          <w:szCs w:val="24"/>
        </w:rPr>
      </w:pPr>
    </w:p>
    <w:p w:rsidR="00DE1779" w:rsidRPr="00EA332C" w:rsidRDefault="00EA332C" w:rsidP="00EA332C">
      <w:pPr>
        <w:pStyle w:val="corte3centro"/>
        <w:tabs>
          <w:tab w:val="left" w:pos="4578"/>
        </w:tabs>
        <w:ind w:right="-518"/>
        <w:jc w:val="both"/>
        <w:rPr>
          <w:rFonts w:cs="Arial"/>
          <w:b w:val="0"/>
          <w:sz w:val="24"/>
          <w:szCs w:val="24"/>
        </w:rPr>
      </w:pPr>
      <w:r>
        <w:rPr>
          <w:rFonts w:cs="Arial"/>
          <w:b w:val="0"/>
          <w:sz w:val="24"/>
          <w:szCs w:val="24"/>
        </w:rPr>
        <w:t xml:space="preserve">         </w:t>
      </w:r>
      <w:r w:rsidR="00AE076A">
        <w:rPr>
          <w:rFonts w:cs="Arial"/>
          <w:b w:val="0"/>
          <w:sz w:val="24"/>
          <w:szCs w:val="24"/>
        </w:rPr>
        <w:t>De lo anterior se advierte, en primer lugar que l</w:t>
      </w:r>
      <w:r w:rsidR="00237F27">
        <w:rPr>
          <w:rFonts w:cs="Arial"/>
          <w:b w:val="0"/>
          <w:sz w:val="24"/>
          <w:szCs w:val="24"/>
        </w:rPr>
        <w:t>a autoridad demandada al emitir</w:t>
      </w:r>
      <w:r w:rsidR="00AE076A">
        <w:rPr>
          <w:rFonts w:cs="Arial"/>
          <w:b w:val="0"/>
          <w:sz w:val="24"/>
          <w:szCs w:val="24"/>
        </w:rPr>
        <w:t xml:space="preserve"> </w:t>
      </w:r>
      <w:r w:rsidR="00237F27">
        <w:rPr>
          <w:rFonts w:cs="Arial"/>
          <w:b w:val="0"/>
          <w:sz w:val="24"/>
          <w:szCs w:val="24"/>
        </w:rPr>
        <w:t xml:space="preserve">la multa por infracción establecida en el Código Fiscal para el Estado de Oaxaca, con número de control </w:t>
      </w:r>
      <w:r w:rsidR="00CB29D1">
        <w:rPr>
          <w:rFonts w:cs="Arial"/>
          <w:sz w:val="24"/>
          <w:szCs w:val="24"/>
        </w:rPr>
        <w:t>**********</w:t>
      </w:r>
      <w:r w:rsidR="00237F27">
        <w:rPr>
          <w:rFonts w:cs="Arial"/>
          <w:b w:val="0"/>
          <w:sz w:val="24"/>
          <w:szCs w:val="24"/>
        </w:rPr>
        <w:t xml:space="preserve"> de </w:t>
      </w:r>
      <w:r w:rsidR="004B335E">
        <w:rPr>
          <w:rFonts w:cs="Arial"/>
          <w:b w:val="0"/>
          <w:sz w:val="24"/>
          <w:szCs w:val="24"/>
        </w:rPr>
        <w:t>17 diecisiete</w:t>
      </w:r>
      <w:r w:rsidR="00237F27">
        <w:rPr>
          <w:rFonts w:cs="Arial"/>
          <w:b w:val="0"/>
          <w:sz w:val="24"/>
          <w:szCs w:val="24"/>
        </w:rPr>
        <w:t xml:space="preserve"> de agosto de 2017 dos mil diecisiete, </w:t>
      </w:r>
      <w:r w:rsidR="00B56376">
        <w:rPr>
          <w:rFonts w:cs="Arial"/>
          <w:b w:val="0"/>
          <w:sz w:val="24"/>
          <w:szCs w:val="24"/>
        </w:rPr>
        <w:t xml:space="preserve">señala como </w:t>
      </w:r>
      <w:r w:rsidR="00674216">
        <w:rPr>
          <w:rFonts w:cs="Arial"/>
          <w:b w:val="0"/>
          <w:sz w:val="24"/>
          <w:szCs w:val="24"/>
        </w:rPr>
        <w:t>fundamento</w:t>
      </w:r>
      <w:r w:rsidR="00B56376">
        <w:rPr>
          <w:rFonts w:cs="Arial"/>
          <w:b w:val="0"/>
          <w:sz w:val="24"/>
          <w:szCs w:val="24"/>
        </w:rPr>
        <w:t xml:space="preserve">: </w:t>
      </w:r>
      <w:r w:rsidR="00674216">
        <w:rPr>
          <w:rFonts w:cs="Arial"/>
          <w:b w:val="0"/>
          <w:sz w:val="24"/>
          <w:szCs w:val="24"/>
        </w:rPr>
        <w:t>“</w:t>
      </w:r>
      <w:r w:rsidR="00674216" w:rsidRPr="00EA332C">
        <w:rPr>
          <w:rFonts w:cs="Arial"/>
          <w:b w:val="0"/>
          <w:i/>
          <w:sz w:val="24"/>
          <w:szCs w:val="24"/>
        </w:rPr>
        <w:t>Artículo 269 fracción I del Código Fiscal para el Estado de Oaxaca vigente”</w:t>
      </w:r>
      <w:r w:rsidR="00674216">
        <w:rPr>
          <w:rFonts w:cs="Arial"/>
          <w:b w:val="0"/>
          <w:i/>
          <w:sz w:val="24"/>
          <w:szCs w:val="24"/>
        </w:rPr>
        <w:t xml:space="preserve">  </w:t>
      </w:r>
      <w:r w:rsidR="00DE1779">
        <w:rPr>
          <w:rFonts w:cs="Arial"/>
          <w:b w:val="0"/>
          <w:sz w:val="24"/>
          <w:szCs w:val="24"/>
        </w:rPr>
        <w:t>así también, le informa que “</w:t>
      </w:r>
      <w:r w:rsidR="00DE1779">
        <w:rPr>
          <w:rFonts w:cs="Arial"/>
          <w:b w:val="0"/>
          <w:i/>
          <w:sz w:val="24"/>
          <w:szCs w:val="24"/>
        </w:rPr>
        <w:t>se realizó una revisión minuciosa en el Registro Estatal de Contribuyentes con que cuenta esta Secretaría; la cual contiene los registros contables en materia de declaraciones y pagos. . .que se le ha identificado como sujeto obligado en materia del impuesto de referencia”;</w:t>
      </w:r>
    </w:p>
    <w:p w:rsidR="00B56376" w:rsidRDefault="00B56376" w:rsidP="00EA332C">
      <w:pPr>
        <w:pStyle w:val="corte3centro"/>
        <w:tabs>
          <w:tab w:val="left" w:pos="4578"/>
        </w:tabs>
        <w:ind w:right="-518"/>
        <w:jc w:val="both"/>
        <w:rPr>
          <w:rFonts w:cs="Arial"/>
          <w:b w:val="0"/>
          <w:sz w:val="24"/>
          <w:szCs w:val="24"/>
        </w:rPr>
      </w:pPr>
      <w:r>
        <w:rPr>
          <w:rFonts w:cs="Arial"/>
          <w:b w:val="0"/>
          <w:sz w:val="24"/>
          <w:szCs w:val="24"/>
        </w:rPr>
        <w:t xml:space="preserve">sin embargo, </w:t>
      </w:r>
      <w:r w:rsidR="00AE076A">
        <w:rPr>
          <w:rFonts w:cs="Arial"/>
          <w:b w:val="0"/>
          <w:sz w:val="24"/>
          <w:szCs w:val="24"/>
        </w:rPr>
        <w:t xml:space="preserve">no señala en qué consiste el </w:t>
      </w:r>
      <w:r w:rsidR="00B10437">
        <w:rPr>
          <w:rFonts w:cs="Arial"/>
          <w:b w:val="0"/>
          <w:sz w:val="24"/>
          <w:szCs w:val="24"/>
        </w:rPr>
        <w:t>I</w:t>
      </w:r>
      <w:r w:rsidR="00AE076A">
        <w:rPr>
          <w:rFonts w:cs="Arial"/>
          <w:b w:val="0"/>
          <w:sz w:val="24"/>
          <w:szCs w:val="24"/>
        </w:rPr>
        <w:t xml:space="preserve">mpuesto </w:t>
      </w:r>
      <w:r w:rsidR="00B10437">
        <w:rPr>
          <w:rFonts w:cs="Arial"/>
          <w:b w:val="0"/>
          <w:sz w:val="24"/>
          <w:szCs w:val="24"/>
        </w:rPr>
        <w:t>Cedular a los Ingresos por el Otorgamiento del Uso o goce Temporal de Bienes Inmuebles</w:t>
      </w:r>
      <w:r w:rsidR="00AE076A">
        <w:rPr>
          <w:rFonts w:cs="Arial"/>
          <w:b w:val="0"/>
          <w:sz w:val="24"/>
          <w:szCs w:val="24"/>
        </w:rPr>
        <w:t xml:space="preserve">. Tampoco señala </w:t>
      </w:r>
      <w:r w:rsidR="007C30DC">
        <w:rPr>
          <w:rFonts w:cs="Arial"/>
          <w:b w:val="0"/>
          <w:sz w:val="24"/>
          <w:szCs w:val="24"/>
        </w:rPr>
        <w:t>cu</w:t>
      </w:r>
      <w:r w:rsidR="00B10437">
        <w:rPr>
          <w:rFonts w:cs="Arial"/>
          <w:b w:val="0"/>
          <w:sz w:val="24"/>
          <w:szCs w:val="24"/>
        </w:rPr>
        <w:t>á</w:t>
      </w:r>
      <w:r w:rsidR="007C30DC">
        <w:rPr>
          <w:rFonts w:cs="Arial"/>
          <w:b w:val="0"/>
          <w:sz w:val="24"/>
          <w:szCs w:val="24"/>
        </w:rPr>
        <w:t>l</w:t>
      </w:r>
      <w:r w:rsidR="00B10437">
        <w:rPr>
          <w:rFonts w:cs="Arial"/>
          <w:b w:val="0"/>
          <w:sz w:val="24"/>
          <w:szCs w:val="24"/>
        </w:rPr>
        <w:t>es son las actividades que realiza la actora, para considerar</w:t>
      </w:r>
      <w:r w:rsidR="00E15A76">
        <w:rPr>
          <w:rFonts w:cs="Arial"/>
          <w:b w:val="0"/>
          <w:sz w:val="24"/>
          <w:szCs w:val="24"/>
        </w:rPr>
        <w:t>la</w:t>
      </w:r>
      <w:r w:rsidR="00B10437">
        <w:rPr>
          <w:rFonts w:cs="Arial"/>
          <w:b w:val="0"/>
          <w:sz w:val="24"/>
          <w:szCs w:val="24"/>
        </w:rPr>
        <w:t xml:space="preserve"> </w:t>
      </w:r>
      <w:r>
        <w:rPr>
          <w:rFonts w:cs="Arial"/>
          <w:b w:val="0"/>
          <w:sz w:val="24"/>
          <w:szCs w:val="24"/>
        </w:rPr>
        <w:t>como</w:t>
      </w:r>
      <w:r w:rsidR="00B10437">
        <w:rPr>
          <w:rFonts w:cs="Arial"/>
          <w:b w:val="0"/>
          <w:sz w:val="24"/>
          <w:szCs w:val="24"/>
        </w:rPr>
        <w:t xml:space="preserve"> sujeto obligado al pago del citado impuesto</w:t>
      </w:r>
      <w:r>
        <w:rPr>
          <w:rFonts w:cs="Arial"/>
          <w:b w:val="0"/>
          <w:sz w:val="24"/>
          <w:szCs w:val="24"/>
        </w:rPr>
        <w:t xml:space="preserve">, </w:t>
      </w:r>
      <w:r w:rsidR="00AE076A">
        <w:rPr>
          <w:rFonts w:cs="Arial"/>
          <w:b w:val="0"/>
          <w:sz w:val="24"/>
          <w:szCs w:val="24"/>
        </w:rPr>
        <w:t>ya que</w:t>
      </w:r>
      <w:r w:rsidR="002976EC">
        <w:rPr>
          <w:rFonts w:cs="Arial"/>
          <w:b w:val="0"/>
          <w:sz w:val="24"/>
          <w:szCs w:val="24"/>
        </w:rPr>
        <w:t xml:space="preserve"> si bien es cierto, que la autoridad demandada, </w:t>
      </w:r>
      <w:r>
        <w:rPr>
          <w:rFonts w:cs="Arial"/>
          <w:b w:val="0"/>
          <w:sz w:val="24"/>
          <w:szCs w:val="24"/>
        </w:rPr>
        <w:t>hace del conocimiento a la actora</w:t>
      </w:r>
      <w:r w:rsidR="002976EC">
        <w:rPr>
          <w:rFonts w:cs="Arial"/>
          <w:b w:val="0"/>
          <w:sz w:val="24"/>
          <w:szCs w:val="24"/>
        </w:rPr>
        <w:t xml:space="preserve"> que realizó una revisión minuciosa en el Registro Estatal de</w:t>
      </w:r>
      <w:r w:rsidR="00E15A76">
        <w:rPr>
          <w:rFonts w:cs="Arial"/>
          <w:b w:val="0"/>
          <w:sz w:val="24"/>
          <w:szCs w:val="24"/>
        </w:rPr>
        <w:t xml:space="preserve"> Contribuyentes con que cuenta </w:t>
      </w:r>
      <w:r w:rsidR="002976EC">
        <w:rPr>
          <w:rFonts w:cs="Arial"/>
          <w:b w:val="0"/>
          <w:sz w:val="24"/>
          <w:szCs w:val="24"/>
        </w:rPr>
        <w:t>l</w:t>
      </w:r>
      <w:r w:rsidR="00E15A76">
        <w:rPr>
          <w:rFonts w:cs="Arial"/>
          <w:b w:val="0"/>
          <w:sz w:val="24"/>
          <w:szCs w:val="24"/>
        </w:rPr>
        <w:t>a</w:t>
      </w:r>
      <w:r w:rsidR="002976EC">
        <w:rPr>
          <w:rFonts w:cs="Arial"/>
          <w:b w:val="0"/>
          <w:sz w:val="24"/>
          <w:szCs w:val="24"/>
        </w:rPr>
        <w:t xml:space="preserve"> Secretaría, que contiene los registros contables en materia de declaraciones y pagos, también, es</w:t>
      </w:r>
      <w:r>
        <w:rPr>
          <w:rFonts w:cs="Arial"/>
          <w:b w:val="0"/>
          <w:sz w:val="24"/>
          <w:szCs w:val="24"/>
        </w:rPr>
        <w:t xml:space="preserve"> cierto, que en ningún momento indica</w:t>
      </w:r>
      <w:r w:rsidR="002976EC">
        <w:rPr>
          <w:rFonts w:cs="Arial"/>
          <w:b w:val="0"/>
          <w:sz w:val="24"/>
          <w:szCs w:val="24"/>
        </w:rPr>
        <w:t>, cuales son las actividades que el actor realiza para adecuarlo como sujeto ob</w:t>
      </w:r>
      <w:r>
        <w:rPr>
          <w:rFonts w:cs="Arial"/>
          <w:b w:val="0"/>
          <w:sz w:val="24"/>
          <w:szCs w:val="24"/>
        </w:rPr>
        <w:t>ligado en materia de impuestos.</w:t>
      </w:r>
    </w:p>
    <w:p w:rsidR="00E92704" w:rsidRDefault="00E92704" w:rsidP="00EA332C">
      <w:pPr>
        <w:pStyle w:val="corte3centro"/>
        <w:tabs>
          <w:tab w:val="left" w:pos="4578"/>
        </w:tabs>
        <w:ind w:right="-518"/>
        <w:jc w:val="both"/>
        <w:rPr>
          <w:rFonts w:cs="Arial"/>
          <w:b w:val="0"/>
          <w:sz w:val="24"/>
          <w:szCs w:val="24"/>
        </w:rPr>
      </w:pPr>
    </w:p>
    <w:p w:rsidR="00F84D9E" w:rsidRPr="00E87363" w:rsidRDefault="00B56376" w:rsidP="00F84D9E">
      <w:pPr>
        <w:pStyle w:val="corte3centro"/>
        <w:ind w:right="-518" w:firstLine="567"/>
        <w:jc w:val="both"/>
        <w:rPr>
          <w:rFonts w:cs="Arial"/>
          <w:b w:val="0"/>
          <w:color w:val="FF0000"/>
          <w:sz w:val="24"/>
          <w:szCs w:val="24"/>
        </w:rPr>
      </w:pPr>
      <w:r>
        <w:rPr>
          <w:rFonts w:cs="Arial"/>
          <w:b w:val="0"/>
          <w:sz w:val="24"/>
          <w:szCs w:val="24"/>
        </w:rPr>
        <w:t>Lo anterior,</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al emitir todo acto administrativo</w:t>
      </w:r>
      <w:r w:rsidRPr="00676CA6">
        <w:rPr>
          <w:rFonts w:cs="Arial"/>
          <w:b w:val="0"/>
          <w:sz w:val="24"/>
          <w:szCs w:val="24"/>
        </w:rPr>
        <w:t xml:space="preserve">, </w:t>
      </w:r>
      <w:r w:rsidR="002976EC">
        <w:rPr>
          <w:rFonts w:cs="Arial"/>
          <w:b w:val="0"/>
          <w:sz w:val="24"/>
          <w:szCs w:val="24"/>
        </w:rPr>
        <w:t xml:space="preserve">ya que </w:t>
      </w:r>
      <w:r w:rsidR="00AE076A">
        <w:rPr>
          <w:rFonts w:cs="Arial"/>
          <w:b w:val="0"/>
          <w:sz w:val="24"/>
          <w:szCs w:val="24"/>
        </w:rPr>
        <w:t xml:space="preserve"> con la sola manifestación de que el actor fue identificado como sujeto </w:t>
      </w:r>
      <w:r w:rsidR="00AE076A" w:rsidRPr="00E15A76">
        <w:rPr>
          <w:rFonts w:cs="Arial"/>
          <w:b w:val="0"/>
          <w:sz w:val="24"/>
          <w:szCs w:val="24"/>
        </w:rPr>
        <w:t xml:space="preserve">obligado al pago del </w:t>
      </w:r>
      <w:r w:rsidR="00E15A76" w:rsidRPr="00E15A76">
        <w:rPr>
          <w:rFonts w:cs="Arial"/>
          <w:b w:val="0"/>
          <w:sz w:val="24"/>
          <w:szCs w:val="24"/>
        </w:rPr>
        <w:t>I</w:t>
      </w:r>
      <w:r w:rsidR="00AE076A" w:rsidRPr="00E15A76">
        <w:rPr>
          <w:rFonts w:cs="Arial"/>
          <w:b w:val="0"/>
          <w:sz w:val="24"/>
          <w:szCs w:val="24"/>
        </w:rPr>
        <w:t>mpuesto</w:t>
      </w:r>
      <w:r w:rsidR="00E15A76" w:rsidRPr="00E15A76">
        <w:rPr>
          <w:rFonts w:cs="Arial"/>
          <w:b w:val="0"/>
          <w:sz w:val="24"/>
          <w:szCs w:val="24"/>
        </w:rPr>
        <w:t xml:space="preserve"> Cedular a los Ingresos por el Otorgamiento del Uso o goce Temporal de Bienes Inmuebles</w:t>
      </w:r>
      <w:r w:rsidR="00AE076A" w:rsidRPr="00E15A76">
        <w:rPr>
          <w:rFonts w:cs="Arial"/>
          <w:b w:val="0"/>
          <w:sz w:val="24"/>
          <w:szCs w:val="24"/>
        </w:rPr>
        <w:t xml:space="preserve">, no hay argumento lógico-jurídico </w:t>
      </w:r>
      <w:r w:rsidR="002976EC" w:rsidRPr="00E15A76">
        <w:rPr>
          <w:rFonts w:cs="Arial"/>
          <w:b w:val="0"/>
          <w:sz w:val="24"/>
          <w:szCs w:val="24"/>
        </w:rPr>
        <w:t xml:space="preserve">que </w:t>
      </w:r>
      <w:r w:rsidR="00AE076A" w:rsidRPr="00E15A76">
        <w:rPr>
          <w:rFonts w:cs="Arial"/>
          <w:b w:val="0"/>
          <w:sz w:val="24"/>
          <w:szCs w:val="24"/>
        </w:rPr>
        <w:t>obliguen</w:t>
      </w:r>
      <w:r w:rsidR="002976EC" w:rsidRPr="00E15A76">
        <w:rPr>
          <w:rFonts w:cs="Arial"/>
          <w:b w:val="0"/>
          <w:sz w:val="24"/>
          <w:szCs w:val="24"/>
        </w:rPr>
        <w:t xml:space="preserve"> a la actora</w:t>
      </w:r>
      <w:r w:rsidR="00AE076A" w:rsidRPr="00E15A76">
        <w:rPr>
          <w:rFonts w:cs="Arial"/>
          <w:b w:val="0"/>
          <w:sz w:val="24"/>
          <w:szCs w:val="24"/>
        </w:rPr>
        <w:t xml:space="preserve"> a pagar el impuesto</w:t>
      </w:r>
      <w:r w:rsidR="002976EC" w:rsidRPr="00E15A76">
        <w:rPr>
          <w:rFonts w:cs="Arial"/>
          <w:b w:val="0"/>
          <w:sz w:val="24"/>
          <w:szCs w:val="24"/>
        </w:rPr>
        <w:t xml:space="preserve"> señalado</w:t>
      </w:r>
      <w:r w:rsidR="00AE076A" w:rsidRPr="00E15A76">
        <w:rPr>
          <w:rFonts w:cs="Arial"/>
          <w:b w:val="0"/>
          <w:sz w:val="24"/>
          <w:szCs w:val="24"/>
        </w:rPr>
        <w:t xml:space="preserve">, por lo que la </w:t>
      </w:r>
      <w:r w:rsidR="00AE076A" w:rsidRPr="00E15A76">
        <w:rPr>
          <w:rFonts w:cs="Arial"/>
          <w:b w:val="0"/>
          <w:sz w:val="24"/>
          <w:szCs w:val="24"/>
        </w:rPr>
        <w:lastRenderedPageBreak/>
        <w:t>deja en estado de indefensión</w:t>
      </w:r>
      <w:r w:rsidR="00F84D9E" w:rsidRPr="00E15A76">
        <w:rPr>
          <w:rFonts w:cs="Arial"/>
          <w:b w:val="0"/>
          <w:sz w:val="24"/>
          <w:szCs w:val="24"/>
        </w:rPr>
        <w:t>. Es decir, que la autoridad demandada, tiene la carga de la prueba para demostrar que las actividades comerciales que realiza la actora,</w:t>
      </w:r>
      <w:r w:rsidR="00DE1779">
        <w:rPr>
          <w:rFonts w:cs="Arial"/>
          <w:b w:val="0"/>
          <w:sz w:val="24"/>
          <w:szCs w:val="24"/>
        </w:rPr>
        <w:t xml:space="preserve"> están sujetas al pago del I</w:t>
      </w:r>
      <w:r w:rsidR="007815EA" w:rsidRPr="00E15A76">
        <w:rPr>
          <w:rFonts w:cs="Arial"/>
          <w:b w:val="0"/>
          <w:sz w:val="24"/>
          <w:szCs w:val="24"/>
        </w:rPr>
        <w:t>mpuesto</w:t>
      </w:r>
      <w:r w:rsidR="00E15A76" w:rsidRPr="00E15A76">
        <w:rPr>
          <w:rFonts w:cs="Arial"/>
          <w:b w:val="0"/>
          <w:sz w:val="24"/>
          <w:szCs w:val="24"/>
        </w:rPr>
        <w:t xml:space="preserve"> </w:t>
      </w:r>
      <w:r w:rsidR="00E15A76">
        <w:rPr>
          <w:rFonts w:cs="Arial"/>
          <w:b w:val="0"/>
          <w:sz w:val="24"/>
          <w:szCs w:val="24"/>
        </w:rPr>
        <w:t>Cedular a los Ingresos</w:t>
      </w:r>
      <w:r w:rsidR="00E92704">
        <w:rPr>
          <w:rFonts w:cs="Arial"/>
          <w:b w:val="0"/>
          <w:sz w:val="24"/>
          <w:szCs w:val="24"/>
        </w:rPr>
        <w:t xml:space="preserve"> por el Otorgamiento del Uso o G</w:t>
      </w:r>
      <w:r w:rsidR="00E15A76">
        <w:rPr>
          <w:rFonts w:cs="Arial"/>
          <w:b w:val="0"/>
          <w:sz w:val="24"/>
          <w:szCs w:val="24"/>
        </w:rPr>
        <w:t>oce Temporal de Bienes Inmuebles</w:t>
      </w:r>
      <w:r w:rsidR="00F84D9E" w:rsidRPr="00E87363">
        <w:rPr>
          <w:rFonts w:cs="Arial"/>
          <w:b w:val="0"/>
          <w:color w:val="FF0000"/>
          <w:sz w:val="24"/>
          <w:szCs w:val="24"/>
        </w:rPr>
        <w:t xml:space="preserve">. </w:t>
      </w:r>
    </w:p>
    <w:p w:rsidR="00F84D9E" w:rsidRPr="00E87363" w:rsidRDefault="00F84D9E" w:rsidP="00F84D9E">
      <w:pPr>
        <w:pStyle w:val="corte3centro"/>
        <w:ind w:right="-518" w:firstLine="567"/>
        <w:jc w:val="both"/>
        <w:rPr>
          <w:rFonts w:cs="Arial"/>
          <w:b w:val="0"/>
          <w:color w:val="FF000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la hoy actora, fue identificada como sujeto obligado al pago del Impuesto </w:t>
      </w:r>
      <w:r w:rsidR="00E15A76">
        <w:rPr>
          <w:rFonts w:cs="Arial"/>
          <w:b w:val="0"/>
          <w:sz w:val="24"/>
          <w:szCs w:val="24"/>
        </w:rPr>
        <w:t>Cedular a los Ingresos por el Otorgamiento del Uso o goce Temporal de Bienes Inmuebles</w:t>
      </w:r>
      <w:r w:rsidR="00E92704">
        <w:rPr>
          <w:rFonts w:cs="Arial"/>
          <w:b w:val="0"/>
          <w:sz w:val="24"/>
          <w:szCs w:val="24"/>
        </w:rPr>
        <w:t>, sin mencionar,  en qué consiste el citado impuesto, ni cuáles son las actividades que realiza la actora para que esté obligada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7 de la Ley de Justicia Administrativa; en consecuencia, con fundamento en el artículo 178, fracción VI, de la Ley de Justicia Administrativa para el Estado, procede 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CB29D1">
        <w:rPr>
          <w:rFonts w:cs="Arial"/>
          <w:sz w:val="24"/>
          <w:szCs w:val="24"/>
        </w:rPr>
        <w:t>**********</w:t>
      </w:r>
      <w:r w:rsidR="00562A61" w:rsidRPr="00237F27">
        <w:rPr>
          <w:sz w:val="24"/>
          <w:szCs w:val="24"/>
        </w:rPr>
        <w:t xml:space="preserve"> de </w:t>
      </w:r>
      <w:r w:rsidR="00E15A76">
        <w:rPr>
          <w:sz w:val="24"/>
          <w:szCs w:val="24"/>
        </w:rPr>
        <w:t xml:space="preserve">17 diecisiete </w:t>
      </w:r>
      <w:r w:rsidR="00562A61" w:rsidRPr="00237F27">
        <w:rPr>
          <w:sz w:val="24"/>
          <w:szCs w:val="24"/>
        </w:rPr>
        <w:t>de agosto de 2017 dos mil diecisiete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 del Poder Ejecutivo del Estado.</w:t>
      </w:r>
    </w:p>
    <w:p w:rsidR="00562A61" w:rsidRPr="00E1058C" w:rsidRDefault="00562A61" w:rsidP="00562A61">
      <w:pPr>
        <w:pStyle w:val="corte3centro"/>
        <w:ind w:right="-518" w:firstLine="567"/>
        <w:jc w:val="both"/>
        <w:rPr>
          <w:b w:val="0"/>
          <w:sz w:val="24"/>
          <w:szCs w:val="24"/>
        </w:rPr>
      </w:pPr>
    </w:p>
    <w:p w:rsidR="00562A61" w:rsidRDefault="000E406E" w:rsidP="00562A61">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7EE9629" wp14:editId="57036B0D">
                <wp:simplePos x="0" y="0"/>
                <wp:positionH relativeFrom="column">
                  <wp:posOffset>-1179830</wp:posOffset>
                </wp:positionH>
                <wp:positionV relativeFrom="paragraph">
                  <wp:posOffset>734060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E406E" w:rsidRDefault="000E406E" w:rsidP="000E406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2.9pt;margin-top:57.8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">
                <v:textbox>
                  <w:txbxContent>
                    <w:p w:rsidR="000E406E" w:rsidRDefault="000E406E" w:rsidP="000E406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00F66C0C"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Default="00562A61" w:rsidP="00562A61">
      <w:pPr>
        <w:pStyle w:val="corte3centro"/>
        <w:ind w:right="-518" w:firstLine="567"/>
        <w:jc w:val="both"/>
        <w:rPr>
          <w:rFonts w:cs="Arial"/>
          <w:b w:val="0"/>
          <w:sz w:val="24"/>
          <w:szCs w:val="24"/>
        </w:rPr>
      </w:pPr>
    </w:p>
    <w:p w:rsidR="00F66C0C" w:rsidRPr="00F5368D" w:rsidRDefault="00F66C0C" w:rsidP="00E92704">
      <w:pPr>
        <w:pStyle w:val="corte3centro"/>
        <w:spacing w:line="276" w:lineRule="auto"/>
        <w:ind w:right="-518" w:firstLine="567"/>
        <w:jc w:val="both"/>
        <w:rPr>
          <w:rFonts w:cs="Arial"/>
          <w:b w:val="0"/>
          <w:sz w:val="24"/>
          <w:szCs w:val="24"/>
        </w:rPr>
      </w:pPr>
      <w:r w:rsidRPr="0040050A">
        <w:rPr>
          <w:rFonts w:cs="Arial"/>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F5368D">
        <w:rPr>
          <w:rFonts w:cs="Arial"/>
          <w:b w:val="0"/>
          <w:sz w:val="24"/>
          <w:szCs w:val="24"/>
        </w:rPr>
        <w:t xml:space="preserve">En el artículo 237 del Código Fiscal de la Federación se encuentra contenido el principio </w:t>
      </w:r>
      <w:r w:rsidRPr="00F5368D">
        <w:rPr>
          <w:rFonts w:cs="Arial"/>
          <w:b w:val="0"/>
          <w:sz w:val="24"/>
          <w:szCs w:val="24"/>
        </w:rPr>
        <w:lastRenderedPageBreak/>
        <w:t>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0050A">
        <w:rPr>
          <w:rFonts w:cs="Arial"/>
          <w:sz w:val="24"/>
          <w:szCs w:val="24"/>
        </w:rPr>
        <w:t xml:space="preserve"> </w:t>
      </w:r>
      <w:r w:rsidRPr="00F5368D">
        <w:rPr>
          <w:rFonts w:cs="Arial"/>
          <w:b w:val="0"/>
          <w:sz w:val="24"/>
          <w:szCs w:val="24"/>
        </w:rPr>
        <w:t>actor, y sólo en el evento de estimarlos infundados, se</w:t>
      </w:r>
      <w:r w:rsidRPr="0040050A">
        <w:rPr>
          <w:rFonts w:cs="Arial"/>
          <w:sz w:val="24"/>
          <w:szCs w:val="24"/>
        </w:rPr>
        <w:t xml:space="preserve"> </w:t>
      </w:r>
      <w:r w:rsidRPr="00F5368D">
        <w:rPr>
          <w:rFonts w:cs="Arial"/>
          <w:b w:val="0"/>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Pr="00017A04" w:rsidRDefault="00E15A76" w:rsidP="00E15A76">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 fundamento en los artículos 177, 178 fracción VI y 179, de la Ley de Justicia Administrativa para el Estado, se</w:t>
      </w:r>
    </w:p>
    <w:p w:rsidR="00E15A76" w:rsidRDefault="00E15A76" w:rsidP="00E15A76">
      <w:pPr>
        <w:spacing w:line="360" w:lineRule="auto"/>
        <w:ind w:right="-518" w:firstLine="567"/>
        <w:jc w:val="both"/>
        <w:rPr>
          <w:rFonts w:ascii="Arial" w:hAnsi="Arial" w:cs="Arial"/>
          <w:bCs/>
          <w:color w:val="000000"/>
          <w:sz w:val="24"/>
          <w:szCs w:val="24"/>
        </w:rPr>
      </w:pP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E15A76" w:rsidRDefault="00E15A76"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establecida en el Código Fiscal para el Estado de Oaxaca, con número de control </w:t>
      </w:r>
      <w:r w:rsidR="00CB29D1">
        <w:rPr>
          <w:rFonts w:cs="Arial"/>
          <w:sz w:val="24"/>
          <w:szCs w:val="24"/>
        </w:rPr>
        <w:t>**********</w:t>
      </w:r>
      <w:r w:rsidRPr="00237F27">
        <w:rPr>
          <w:sz w:val="24"/>
          <w:szCs w:val="24"/>
        </w:rPr>
        <w:t xml:space="preserve"> de </w:t>
      </w:r>
      <w:r>
        <w:rPr>
          <w:sz w:val="24"/>
          <w:szCs w:val="24"/>
        </w:rPr>
        <w:t xml:space="preserve">17 diecisiete </w:t>
      </w:r>
      <w:r w:rsidRPr="00237F27">
        <w:rPr>
          <w:sz w:val="24"/>
          <w:szCs w:val="24"/>
        </w:rPr>
        <w:t>de agosto de 2017 dos mil diecisiete</w:t>
      </w:r>
      <w:r>
        <w:rPr>
          <w:sz w:val="24"/>
          <w:szCs w:val="24"/>
        </w:rPr>
        <w:t xml:space="preserve">, </w:t>
      </w:r>
      <w:r>
        <w:rPr>
          <w:b w:val="0"/>
          <w:sz w:val="24"/>
          <w:szCs w:val="24"/>
        </w:rPr>
        <w:t>emitida por la Directora de Ingresos y Recaudación de la Secretaría de Finanzas del Poder Ejecutivo del Estado.- - - - - - - - - - - - - - - - - - - - - - - - - - - - - - - - - - - - - - - - - - - - - - -</w:t>
      </w:r>
    </w:p>
    <w:p w:rsidR="00E15A76" w:rsidRDefault="00E15A76" w:rsidP="00E15A76">
      <w:pPr>
        <w:spacing w:line="360" w:lineRule="auto"/>
        <w:ind w:right="-518"/>
        <w:jc w:val="both"/>
        <w:rPr>
          <w:rFonts w:ascii="Arial" w:hAnsi="Arial" w:cs="Arial"/>
          <w:bCs/>
          <w:color w:val="000000"/>
          <w:sz w:val="24"/>
          <w:szCs w:val="24"/>
        </w:rPr>
      </w:pPr>
    </w:p>
    <w:p w:rsidR="00E15A76" w:rsidRPr="00E515F7" w:rsidRDefault="00E15A76" w:rsidP="00E15A76">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142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143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Justicia Administrativa para el Estado, </w:t>
      </w:r>
      <w:r>
        <w:rPr>
          <w:rFonts w:ascii="Arial" w:hAnsi="Arial" w:cs="Arial"/>
          <w:b/>
          <w:bCs/>
          <w:color w:val="000000"/>
          <w:sz w:val="24"/>
          <w:szCs w:val="24"/>
        </w:rPr>
        <w:t xml:space="preserve">NOTIFÍQUESE PERSONALMENTE </w:t>
      </w:r>
      <w:r w:rsidRPr="001A33B6">
        <w:rPr>
          <w:rFonts w:ascii="Arial" w:hAnsi="Arial" w:cs="Arial"/>
          <w:b/>
          <w:bCs/>
          <w:color w:val="000000"/>
          <w:sz w:val="24"/>
          <w:szCs w:val="24"/>
        </w:rPr>
        <w:t>A LA PARTE ACTORA,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 - - - - - </w:t>
      </w:r>
      <w:r>
        <w:rPr>
          <w:rFonts w:ascii="Arial" w:hAnsi="Arial" w:cs="Arial"/>
          <w:b/>
          <w:bCs/>
          <w:color w:val="000000"/>
          <w:sz w:val="24"/>
          <w:szCs w:val="24"/>
        </w:rPr>
        <w:t>- - - - - - - - - - - - -</w:t>
      </w:r>
    </w:p>
    <w:p w:rsidR="00CE5157" w:rsidRDefault="00CE5157" w:rsidP="00B8086C">
      <w:pPr>
        <w:spacing w:line="360" w:lineRule="auto"/>
        <w:ind w:right="-518" w:firstLine="708"/>
        <w:jc w:val="both"/>
        <w:rPr>
          <w:rFonts w:ascii="Arial" w:hAnsi="Arial" w:cs="Arial"/>
          <w:bCs/>
          <w:color w:val="000000"/>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xml:space="preserve">, quien actúa con el </w:t>
      </w:r>
      <w:bookmarkStart w:id="0" w:name="_GoBack"/>
      <w:r>
        <w:rPr>
          <w:rFonts w:ascii="Arial" w:hAnsi="Arial" w:cs="Arial"/>
          <w:sz w:val="24"/>
          <w:szCs w:val="24"/>
        </w:rPr>
        <w:t>licenciado</w:t>
      </w:r>
      <w:r w:rsidRPr="007B6083">
        <w:rPr>
          <w:rFonts w:ascii="Arial" w:hAnsi="Arial" w:cs="Arial"/>
          <w:sz w:val="24"/>
          <w:szCs w:val="24"/>
        </w:rPr>
        <w:t xml:space="preserve"> </w:t>
      </w:r>
      <w:bookmarkEnd w:id="0"/>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w:t>
      </w:r>
      <w:r w:rsidR="00E92704">
        <w:rPr>
          <w:rFonts w:ascii="Arial" w:hAnsi="Arial" w:cs="Arial"/>
          <w:sz w:val="24"/>
          <w:szCs w:val="24"/>
        </w:rPr>
        <w:t xml:space="preserve">- - - - - - - - - - - </w:t>
      </w:r>
    </w:p>
    <w:p w:rsidR="00E92704" w:rsidRPr="00E92704" w:rsidRDefault="00E92704" w:rsidP="00E92704">
      <w:pPr>
        <w:rPr>
          <w:rFonts w:ascii="Arial" w:hAnsi="Arial" w:cs="Arial"/>
          <w:sz w:val="16"/>
          <w:szCs w:val="16"/>
        </w:rPr>
      </w:pPr>
    </w:p>
    <w:p w:rsidR="00E92704" w:rsidRPr="00E92704" w:rsidRDefault="00E92704" w:rsidP="00E92704">
      <w:pPr>
        <w:rPr>
          <w:rFonts w:ascii="Arial" w:hAnsi="Arial" w:cs="Arial"/>
          <w:sz w:val="16"/>
          <w:szCs w:val="16"/>
        </w:rPr>
      </w:pPr>
    </w:p>
    <w:p w:rsidR="00E92704" w:rsidRDefault="00E92704" w:rsidP="00E92704">
      <w:pPr>
        <w:rPr>
          <w:rFonts w:ascii="Arial" w:hAnsi="Arial" w:cs="Arial"/>
          <w:sz w:val="16"/>
          <w:szCs w:val="16"/>
        </w:rPr>
      </w:pPr>
    </w:p>
    <w:p w:rsidR="00082F0F" w:rsidRPr="00E92704" w:rsidRDefault="00E92704" w:rsidP="00E92704">
      <w:pPr>
        <w:tabs>
          <w:tab w:val="left" w:pos="5625"/>
        </w:tabs>
        <w:rPr>
          <w:rFonts w:ascii="Arial" w:hAnsi="Arial" w:cs="Arial"/>
          <w:sz w:val="16"/>
          <w:szCs w:val="16"/>
        </w:rPr>
      </w:pPr>
      <w:r>
        <w:rPr>
          <w:rFonts w:ascii="Arial" w:hAnsi="Arial" w:cs="Arial"/>
          <w:sz w:val="16"/>
          <w:szCs w:val="16"/>
        </w:rPr>
        <w:tab/>
      </w:r>
    </w:p>
    <w:sectPr w:rsidR="00082F0F" w:rsidRP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843" w:rsidRDefault="000D5843" w:rsidP="00DD5D31">
      <w:r>
        <w:separator/>
      </w:r>
    </w:p>
  </w:endnote>
  <w:endnote w:type="continuationSeparator" w:id="0">
    <w:p w:rsidR="000D5843" w:rsidRDefault="000D584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843" w:rsidRDefault="000D5843" w:rsidP="00DD5D31">
      <w:r>
        <w:separator/>
      </w:r>
    </w:p>
  </w:footnote>
  <w:footnote w:type="continuationSeparator" w:id="0">
    <w:p w:rsidR="000D5843" w:rsidRDefault="000D584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0E406E" w:rsidRPr="000E406E">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10</w:t>
        </w:r>
        <w:r w:rsidR="007433FC">
          <w:rPr>
            <w:rFonts w:ascii="Arial" w:hAnsi="Arial" w:cs="Arial"/>
            <w:sz w:val="18"/>
            <w:szCs w:val="18"/>
          </w:rPr>
          <w:t>8</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514F"/>
    <w:rsid w:val="000A78E9"/>
    <w:rsid w:val="000C1378"/>
    <w:rsid w:val="000D5843"/>
    <w:rsid w:val="000D5CEE"/>
    <w:rsid w:val="000E334F"/>
    <w:rsid w:val="000E406E"/>
    <w:rsid w:val="000E55BC"/>
    <w:rsid w:val="000F14A5"/>
    <w:rsid w:val="000F2596"/>
    <w:rsid w:val="000F2A2C"/>
    <w:rsid w:val="001005A0"/>
    <w:rsid w:val="001031F9"/>
    <w:rsid w:val="00103661"/>
    <w:rsid w:val="00107B71"/>
    <w:rsid w:val="00111BF6"/>
    <w:rsid w:val="00115FBA"/>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604B"/>
    <w:rsid w:val="001C0AB4"/>
    <w:rsid w:val="001C0D48"/>
    <w:rsid w:val="001C466D"/>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3A7D"/>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758D1"/>
    <w:rsid w:val="00380F01"/>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E0C3B"/>
    <w:rsid w:val="004E4F17"/>
    <w:rsid w:val="004F793A"/>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3D4"/>
    <w:rsid w:val="005D7B7D"/>
    <w:rsid w:val="005E2BA2"/>
    <w:rsid w:val="005E5524"/>
    <w:rsid w:val="005F0D67"/>
    <w:rsid w:val="006067C6"/>
    <w:rsid w:val="00611E12"/>
    <w:rsid w:val="00611EB7"/>
    <w:rsid w:val="00614F21"/>
    <w:rsid w:val="006159CB"/>
    <w:rsid w:val="0062007F"/>
    <w:rsid w:val="00620734"/>
    <w:rsid w:val="00620D6C"/>
    <w:rsid w:val="00627597"/>
    <w:rsid w:val="0064087C"/>
    <w:rsid w:val="0064388E"/>
    <w:rsid w:val="006553E2"/>
    <w:rsid w:val="0066220A"/>
    <w:rsid w:val="006641AF"/>
    <w:rsid w:val="00670EE8"/>
    <w:rsid w:val="0067152F"/>
    <w:rsid w:val="00672455"/>
    <w:rsid w:val="00674216"/>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7247"/>
    <w:rsid w:val="006E2715"/>
    <w:rsid w:val="006E27AC"/>
    <w:rsid w:val="006E3701"/>
    <w:rsid w:val="006E70D9"/>
    <w:rsid w:val="006F10DE"/>
    <w:rsid w:val="006F1AA2"/>
    <w:rsid w:val="006F20E5"/>
    <w:rsid w:val="006F2B12"/>
    <w:rsid w:val="006F3F03"/>
    <w:rsid w:val="006F63D2"/>
    <w:rsid w:val="006F6DEB"/>
    <w:rsid w:val="007049C9"/>
    <w:rsid w:val="00707F8A"/>
    <w:rsid w:val="00713B4B"/>
    <w:rsid w:val="007212B7"/>
    <w:rsid w:val="0073143D"/>
    <w:rsid w:val="00732D7D"/>
    <w:rsid w:val="007367FD"/>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2A88"/>
    <w:rsid w:val="00805B55"/>
    <w:rsid w:val="00805BCC"/>
    <w:rsid w:val="00813B0D"/>
    <w:rsid w:val="00816487"/>
    <w:rsid w:val="00822AA0"/>
    <w:rsid w:val="00823229"/>
    <w:rsid w:val="008253C8"/>
    <w:rsid w:val="00825BF2"/>
    <w:rsid w:val="00825CAD"/>
    <w:rsid w:val="00826139"/>
    <w:rsid w:val="00827958"/>
    <w:rsid w:val="00832594"/>
    <w:rsid w:val="00832A5C"/>
    <w:rsid w:val="00834A24"/>
    <w:rsid w:val="0084693B"/>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2502"/>
    <w:rsid w:val="00984B42"/>
    <w:rsid w:val="00986636"/>
    <w:rsid w:val="00987DF4"/>
    <w:rsid w:val="009A20BC"/>
    <w:rsid w:val="009A3627"/>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60C23"/>
    <w:rsid w:val="00A633AC"/>
    <w:rsid w:val="00A80E93"/>
    <w:rsid w:val="00A85C72"/>
    <w:rsid w:val="00A95AC4"/>
    <w:rsid w:val="00A96A90"/>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44AC7"/>
    <w:rsid w:val="00B461D1"/>
    <w:rsid w:val="00B50795"/>
    <w:rsid w:val="00B56376"/>
    <w:rsid w:val="00B563D7"/>
    <w:rsid w:val="00B6595F"/>
    <w:rsid w:val="00B73C43"/>
    <w:rsid w:val="00B8086C"/>
    <w:rsid w:val="00B81216"/>
    <w:rsid w:val="00B84FA5"/>
    <w:rsid w:val="00B879F7"/>
    <w:rsid w:val="00B911F7"/>
    <w:rsid w:val="00B9449B"/>
    <w:rsid w:val="00B964FF"/>
    <w:rsid w:val="00BA0970"/>
    <w:rsid w:val="00BA0ADC"/>
    <w:rsid w:val="00BA6915"/>
    <w:rsid w:val="00BA7F97"/>
    <w:rsid w:val="00BC04F1"/>
    <w:rsid w:val="00BD0923"/>
    <w:rsid w:val="00BE522C"/>
    <w:rsid w:val="00BE7CC3"/>
    <w:rsid w:val="00BF03C8"/>
    <w:rsid w:val="00BF0ACD"/>
    <w:rsid w:val="00BF456B"/>
    <w:rsid w:val="00BF4F3D"/>
    <w:rsid w:val="00C00F42"/>
    <w:rsid w:val="00C01E8F"/>
    <w:rsid w:val="00C07F38"/>
    <w:rsid w:val="00C108C5"/>
    <w:rsid w:val="00C1103F"/>
    <w:rsid w:val="00C3280C"/>
    <w:rsid w:val="00C36DEF"/>
    <w:rsid w:val="00C4293B"/>
    <w:rsid w:val="00C57FB3"/>
    <w:rsid w:val="00C60804"/>
    <w:rsid w:val="00C62E9D"/>
    <w:rsid w:val="00C720AF"/>
    <w:rsid w:val="00C77C82"/>
    <w:rsid w:val="00C810F7"/>
    <w:rsid w:val="00C84D61"/>
    <w:rsid w:val="00C86460"/>
    <w:rsid w:val="00C86E35"/>
    <w:rsid w:val="00C86EEB"/>
    <w:rsid w:val="00C938F1"/>
    <w:rsid w:val="00CA2E71"/>
    <w:rsid w:val="00CA35A1"/>
    <w:rsid w:val="00CB29D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36CF"/>
    <w:rsid w:val="00F66607"/>
    <w:rsid w:val="00F66C0C"/>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B67DC-BD77-4076-A186-8958FD7A8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Pages>
  <Words>2680</Words>
  <Characters>14745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16</cp:revision>
  <cp:lastPrinted>2018-02-13T17:11:00Z</cp:lastPrinted>
  <dcterms:created xsi:type="dcterms:W3CDTF">2018-02-01T21:46:00Z</dcterms:created>
  <dcterms:modified xsi:type="dcterms:W3CDTF">2018-12-11T16:03:00Z</dcterms:modified>
</cp:coreProperties>
</file>