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D1DB2" w:rsidRPr="006D1DB2" w14:paraId="3E6A0440" w14:textId="77777777" w:rsidTr="00D23405">
        <w:tc>
          <w:tcPr>
            <w:tcW w:w="2356" w:type="dxa"/>
          </w:tcPr>
          <w:p w14:paraId="3BCA4E8B" w14:textId="77777777" w:rsidR="006D1DB2" w:rsidRPr="006D1DB2" w:rsidRDefault="006D1DB2" w:rsidP="006D1DB2">
            <w:pPr>
              <w:spacing w:after="0" w:line="240" w:lineRule="auto"/>
              <w:rPr>
                <w:rFonts w:ascii="Arial" w:eastAsiaTheme="minorHAnsi" w:hAnsi="Arial" w:cs="Arial"/>
                <w:b/>
                <w:sz w:val="26"/>
                <w:szCs w:val="26"/>
                <w:lang w:val="es-ES" w:eastAsia="en-US"/>
              </w:rPr>
            </w:pPr>
          </w:p>
        </w:tc>
        <w:tc>
          <w:tcPr>
            <w:tcW w:w="7426" w:type="dxa"/>
          </w:tcPr>
          <w:p w14:paraId="5B33FDAA" w14:textId="77777777" w:rsidR="006D1DB2" w:rsidRPr="006D1DB2" w:rsidRDefault="006D1DB2" w:rsidP="006D1DB2">
            <w:pPr>
              <w:tabs>
                <w:tab w:val="left" w:pos="3103"/>
              </w:tabs>
              <w:spacing w:after="0" w:line="240" w:lineRule="auto"/>
              <w:ind w:left="1119" w:right="709" w:hanging="1119"/>
              <w:jc w:val="both"/>
              <w:rPr>
                <w:rFonts w:ascii="Arial" w:eastAsiaTheme="minorHAnsi" w:hAnsi="Arial" w:cs="Arial"/>
                <w:b/>
                <w:iCs/>
                <w:caps/>
                <w:sz w:val="26"/>
                <w:szCs w:val="26"/>
                <w:lang w:eastAsia="en-US"/>
              </w:rPr>
            </w:pPr>
            <w:r w:rsidRPr="006D1DB2">
              <w:rPr>
                <w:rFonts w:ascii="Arial" w:eastAsiaTheme="minorHAnsi" w:hAnsi="Arial" w:cs="Arial"/>
                <w:b/>
                <w:i/>
                <w:iCs/>
                <w:caps/>
                <w:sz w:val="26"/>
                <w:szCs w:val="26"/>
                <w:lang w:val="es-ES" w:eastAsia="en-US"/>
              </w:rPr>
              <w:t xml:space="preserve">               </w:t>
            </w:r>
            <w:r w:rsidRPr="006D1DB2">
              <w:rPr>
                <w:rFonts w:ascii="Arial" w:eastAsiaTheme="minorHAnsi" w:hAnsi="Arial" w:cs="Arial"/>
                <w:b/>
                <w:iCs/>
                <w:caps/>
                <w:sz w:val="26"/>
                <w:szCs w:val="26"/>
                <w:lang w:val="es-ES" w:eastAsia="en-US"/>
              </w:rPr>
              <w:t>SALA SUPERIOR DEL TRIBUNAL DE justicia administrativa DEL ESTADO de oaxaca.</w:t>
            </w:r>
          </w:p>
          <w:p w14:paraId="7497546C" w14:textId="77777777" w:rsidR="006D1DB2" w:rsidRPr="006D1DB2" w:rsidRDefault="006D1DB2" w:rsidP="006D1DB2">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6D1DB2">
              <w:rPr>
                <w:rFonts w:ascii="Arial" w:eastAsia="PMingLiU" w:hAnsi="Arial" w:cs="Arial"/>
                <w:b/>
                <w:iCs/>
                <w:caps/>
                <w:sz w:val="26"/>
                <w:szCs w:val="26"/>
                <w:lang w:val="es-PE" w:eastAsia="zh-TW"/>
              </w:rPr>
              <w:t xml:space="preserve">               </w:t>
            </w:r>
          </w:p>
          <w:p w14:paraId="6C8EA220" w14:textId="61D69F89" w:rsidR="006D1DB2" w:rsidRPr="006D1DB2" w:rsidRDefault="006D1DB2" w:rsidP="006D1DB2">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6D1DB2">
              <w:rPr>
                <w:rFonts w:ascii="Arial" w:eastAsia="PMingLiU" w:hAnsi="Arial" w:cs="Arial"/>
                <w:b/>
                <w:iCs/>
                <w:caps/>
                <w:sz w:val="26"/>
                <w:szCs w:val="26"/>
                <w:lang w:val="es-PE" w:eastAsia="zh-TW"/>
              </w:rPr>
              <w:t xml:space="preserve">               RECURSO DE REVISIÓN: </w:t>
            </w:r>
            <w:r w:rsidR="00691229">
              <w:rPr>
                <w:rFonts w:ascii="Arial" w:eastAsia="PMingLiU" w:hAnsi="Arial" w:cs="Arial"/>
                <w:b/>
                <w:iCs/>
                <w:caps/>
                <w:sz w:val="26"/>
                <w:szCs w:val="26"/>
                <w:lang w:val="es-PE" w:eastAsia="zh-TW"/>
              </w:rPr>
              <w:t>108</w:t>
            </w:r>
            <w:r w:rsidRPr="006D1DB2">
              <w:rPr>
                <w:rFonts w:ascii="Arial" w:eastAsia="PMingLiU" w:hAnsi="Arial" w:cs="Arial"/>
                <w:b/>
                <w:iCs/>
                <w:caps/>
                <w:sz w:val="26"/>
                <w:szCs w:val="26"/>
                <w:lang w:val="es-PE" w:eastAsia="zh-TW"/>
              </w:rPr>
              <w:t>/2020.</w:t>
            </w:r>
          </w:p>
          <w:p w14:paraId="36EE9F3C" w14:textId="77777777" w:rsidR="006D1DB2" w:rsidRPr="006D1DB2" w:rsidRDefault="006D1DB2" w:rsidP="006D1DB2">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7B5F9324" w14:textId="50BA086D" w:rsidR="006D1DB2" w:rsidRPr="006D1DB2" w:rsidRDefault="006D1DB2" w:rsidP="006D1DB2">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sidRPr="006D1DB2">
              <w:rPr>
                <w:rFonts w:ascii="Arial" w:eastAsia="PMingLiU" w:hAnsi="Arial" w:cs="Arial"/>
                <w:b/>
                <w:iCs/>
                <w:caps/>
                <w:sz w:val="26"/>
                <w:szCs w:val="26"/>
                <w:lang w:val="es-PE" w:eastAsia="zh-TW"/>
              </w:rPr>
              <w:t xml:space="preserve">                EXPEDIENTE</w:t>
            </w:r>
            <w:r w:rsidRPr="006D1DB2">
              <w:rPr>
                <w:rFonts w:ascii="Arial" w:eastAsia="PMingLiU" w:hAnsi="Arial" w:cs="Arial"/>
                <w:b/>
                <w:iCs/>
                <w:caps/>
                <w:sz w:val="26"/>
                <w:szCs w:val="26"/>
                <w:lang w:val="es-ES" w:eastAsia="zh-TW"/>
              </w:rPr>
              <w:t>:</w:t>
            </w:r>
            <w:r w:rsidRPr="006D1DB2">
              <w:rPr>
                <w:rFonts w:ascii="Arial" w:eastAsia="PMingLiU" w:hAnsi="Arial" w:cs="Arial"/>
                <w:b/>
                <w:iCs/>
                <w:caps/>
                <w:sz w:val="26"/>
                <w:szCs w:val="26"/>
                <w:lang w:val="es-PE" w:eastAsia="zh-TW"/>
              </w:rPr>
              <w:t xml:space="preserve"> 00</w:t>
            </w:r>
            <w:r w:rsidR="00691229">
              <w:rPr>
                <w:rFonts w:ascii="Arial" w:eastAsia="PMingLiU" w:hAnsi="Arial" w:cs="Arial"/>
                <w:b/>
                <w:iCs/>
                <w:caps/>
                <w:sz w:val="26"/>
                <w:szCs w:val="26"/>
                <w:lang w:val="es-PE" w:eastAsia="zh-TW"/>
              </w:rPr>
              <w:t>8</w:t>
            </w:r>
            <w:r w:rsidRPr="006D1DB2">
              <w:rPr>
                <w:rFonts w:ascii="Arial" w:eastAsia="PMingLiU" w:hAnsi="Arial" w:cs="Arial"/>
                <w:b/>
                <w:iCs/>
                <w:caps/>
                <w:sz w:val="26"/>
                <w:szCs w:val="26"/>
                <w:lang w:val="es-PE" w:eastAsia="zh-TW"/>
              </w:rPr>
              <w:t xml:space="preserve">7/2019 de la </w:t>
            </w:r>
            <w:r w:rsidR="00691229">
              <w:rPr>
                <w:rFonts w:ascii="Arial" w:eastAsia="PMingLiU" w:hAnsi="Arial" w:cs="Arial"/>
                <w:b/>
                <w:iCs/>
                <w:caps/>
                <w:sz w:val="26"/>
                <w:szCs w:val="26"/>
                <w:lang w:val="es-PE" w:eastAsia="zh-TW"/>
              </w:rPr>
              <w:t xml:space="preserve">SEXTA </w:t>
            </w:r>
            <w:r w:rsidRPr="006D1DB2">
              <w:rPr>
                <w:rFonts w:ascii="Arial" w:eastAsia="PMingLiU" w:hAnsi="Arial" w:cs="Arial"/>
                <w:b/>
                <w:iCs/>
                <w:caps/>
                <w:sz w:val="26"/>
                <w:szCs w:val="26"/>
                <w:lang w:val="es-PE" w:eastAsia="zh-TW"/>
              </w:rPr>
              <w:t>sala unitaria DE PRIMERA INSTANCIA.</w:t>
            </w:r>
          </w:p>
          <w:p w14:paraId="1C9CBDD2" w14:textId="77777777" w:rsidR="006D1DB2" w:rsidRPr="006D1DB2" w:rsidRDefault="006D1DB2" w:rsidP="006D1DB2">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442AF0F0" w14:textId="16FBF840" w:rsidR="006D1DB2" w:rsidRPr="006D1DB2" w:rsidRDefault="006D1DB2" w:rsidP="006D1DB2">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bookmarkStart w:id="0" w:name="_GoBack"/>
            <w:r w:rsidRPr="006D1DB2">
              <w:rPr>
                <w:rFonts w:ascii="Arial" w:eastAsia="PMingLiU" w:hAnsi="Arial" w:cs="Arial"/>
                <w:b/>
                <w:iCs/>
                <w:caps/>
                <w:sz w:val="26"/>
                <w:szCs w:val="26"/>
                <w:lang w:val="es-PE" w:eastAsia="zh-TW"/>
              </w:rPr>
              <w:t xml:space="preserve"> </w:t>
            </w:r>
            <w:bookmarkEnd w:id="0"/>
            <w:r w:rsidRPr="006D1DB2">
              <w:rPr>
                <w:rFonts w:ascii="Arial" w:eastAsia="PMingLiU" w:hAnsi="Arial" w:cs="Arial"/>
                <w:b/>
                <w:iCs/>
                <w:caps/>
                <w:sz w:val="26"/>
                <w:szCs w:val="26"/>
                <w:lang w:val="es-PE" w:eastAsia="zh-TW"/>
              </w:rPr>
              <w:t xml:space="preserve">               ponente:</w:t>
            </w:r>
            <w:r>
              <w:rPr>
                <w:rFonts w:ascii="Arial" w:eastAsia="PMingLiU" w:hAnsi="Arial" w:cs="Arial"/>
                <w:b/>
                <w:iCs/>
                <w:caps/>
                <w:sz w:val="26"/>
                <w:szCs w:val="26"/>
                <w:lang w:val="es-PE" w:eastAsia="zh-TW"/>
              </w:rPr>
              <w:t xml:space="preserve"> MAGISTRADO ABRAHAM SANTIAGO SORIANO.</w:t>
            </w:r>
          </w:p>
        </w:tc>
      </w:tr>
      <w:tr w:rsidR="006D1DB2" w:rsidRPr="006D1DB2" w14:paraId="19A33175" w14:textId="77777777" w:rsidTr="00D23405">
        <w:tc>
          <w:tcPr>
            <w:tcW w:w="2356" w:type="dxa"/>
          </w:tcPr>
          <w:p w14:paraId="0431D5A8" w14:textId="77777777" w:rsidR="006D1DB2" w:rsidRPr="006D1DB2" w:rsidRDefault="006D1DB2" w:rsidP="006D1DB2">
            <w:pPr>
              <w:spacing w:after="0" w:line="240" w:lineRule="auto"/>
              <w:rPr>
                <w:rFonts w:ascii="Arial" w:eastAsiaTheme="minorHAnsi" w:hAnsi="Arial" w:cs="Arial"/>
                <w:b/>
                <w:sz w:val="26"/>
                <w:szCs w:val="26"/>
                <w:lang w:val="es-ES" w:eastAsia="en-US"/>
              </w:rPr>
            </w:pPr>
          </w:p>
        </w:tc>
        <w:tc>
          <w:tcPr>
            <w:tcW w:w="7426" w:type="dxa"/>
          </w:tcPr>
          <w:p w14:paraId="06DE4FAC" w14:textId="77777777" w:rsidR="006D1DB2" w:rsidRPr="006D1DB2" w:rsidRDefault="006D1DB2" w:rsidP="006D1DB2">
            <w:pPr>
              <w:tabs>
                <w:tab w:val="left" w:pos="3103"/>
              </w:tabs>
              <w:spacing w:after="0" w:line="240" w:lineRule="auto"/>
              <w:ind w:left="2961" w:hanging="2961"/>
              <w:jc w:val="both"/>
              <w:rPr>
                <w:rFonts w:ascii="Arial" w:eastAsiaTheme="minorHAnsi" w:hAnsi="Arial" w:cs="Arial"/>
                <w:b/>
                <w:iCs/>
                <w:caps/>
                <w:sz w:val="26"/>
                <w:szCs w:val="26"/>
                <w:lang w:val="es-ES" w:eastAsia="en-US"/>
              </w:rPr>
            </w:pPr>
            <w:r w:rsidRPr="006D1DB2">
              <w:rPr>
                <w:rFonts w:ascii="Arial" w:eastAsiaTheme="minorHAnsi" w:hAnsi="Arial" w:cs="Arial"/>
                <w:b/>
                <w:i/>
                <w:iCs/>
                <w:caps/>
                <w:sz w:val="26"/>
                <w:szCs w:val="26"/>
                <w:lang w:val="es-ES" w:eastAsia="en-US"/>
              </w:rPr>
              <w:t xml:space="preserve">                                   </w:t>
            </w:r>
          </w:p>
        </w:tc>
      </w:tr>
      <w:tr w:rsidR="006D1DB2" w:rsidRPr="006D1DB2" w14:paraId="2E221892" w14:textId="77777777" w:rsidTr="00D23405">
        <w:tc>
          <w:tcPr>
            <w:tcW w:w="2356" w:type="dxa"/>
          </w:tcPr>
          <w:p w14:paraId="24AD2348" w14:textId="77777777" w:rsidR="006D1DB2" w:rsidRPr="006D1DB2" w:rsidRDefault="006D1DB2" w:rsidP="006D1DB2">
            <w:pPr>
              <w:spacing w:after="0" w:line="240" w:lineRule="auto"/>
              <w:rPr>
                <w:rFonts w:ascii="Arial" w:eastAsiaTheme="minorHAnsi" w:hAnsi="Arial" w:cs="Arial"/>
                <w:b/>
                <w:sz w:val="26"/>
                <w:szCs w:val="26"/>
                <w:lang w:val="es-ES" w:eastAsia="en-US"/>
              </w:rPr>
            </w:pPr>
          </w:p>
        </w:tc>
        <w:tc>
          <w:tcPr>
            <w:tcW w:w="7426" w:type="dxa"/>
          </w:tcPr>
          <w:p w14:paraId="212F4977" w14:textId="77777777" w:rsidR="006D1DB2" w:rsidRPr="006D1DB2" w:rsidRDefault="006D1DB2" w:rsidP="006D1DB2">
            <w:pPr>
              <w:tabs>
                <w:tab w:val="left" w:pos="3103"/>
              </w:tabs>
              <w:spacing w:after="0" w:line="240" w:lineRule="auto"/>
              <w:ind w:left="2961" w:hanging="2961"/>
              <w:jc w:val="both"/>
              <w:rPr>
                <w:rFonts w:ascii="Arial" w:eastAsiaTheme="minorHAnsi" w:hAnsi="Arial" w:cs="Arial"/>
                <w:b/>
                <w:i/>
                <w:iCs/>
                <w:caps/>
                <w:sz w:val="26"/>
                <w:szCs w:val="26"/>
                <w:lang w:val="es-ES" w:eastAsia="en-US"/>
              </w:rPr>
            </w:pPr>
          </w:p>
        </w:tc>
      </w:tr>
    </w:tbl>
    <w:p w14:paraId="094826E2" w14:textId="300855FD" w:rsidR="00841E64" w:rsidRPr="006D1DB2" w:rsidRDefault="006D1DB2" w:rsidP="00841E64">
      <w:pPr>
        <w:spacing w:after="0" w:line="360" w:lineRule="auto"/>
        <w:ind w:firstLine="708"/>
        <w:jc w:val="both"/>
        <w:rPr>
          <w:rFonts w:ascii="Arial" w:eastAsiaTheme="minorHAnsi" w:hAnsi="Arial" w:cs="Arial"/>
          <w:b/>
          <w:sz w:val="26"/>
          <w:szCs w:val="26"/>
          <w:lang w:val="es-ES" w:eastAsia="en-US"/>
        </w:rPr>
      </w:pPr>
      <w:r w:rsidRPr="006D1DB2">
        <w:rPr>
          <w:rFonts w:ascii="Arial" w:eastAsiaTheme="minorHAnsi" w:hAnsi="Arial" w:cs="Arial"/>
          <w:b/>
          <w:sz w:val="26"/>
          <w:szCs w:val="26"/>
          <w:lang w:val="es-ES" w:eastAsia="en-US"/>
        </w:rPr>
        <w:t>OAXACA DE JUÁREZ, OAXACA</w:t>
      </w:r>
      <w:r w:rsidR="005C161B">
        <w:rPr>
          <w:rFonts w:ascii="Arial" w:eastAsiaTheme="minorHAnsi" w:hAnsi="Arial" w:cs="Arial"/>
          <w:b/>
          <w:sz w:val="26"/>
          <w:szCs w:val="26"/>
          <w:lang w:val="es-ES" w:eastAsia="en-US"/>
        </w:rPr>
        <w:t>, A VEINTICINCO DE FEBRERO</w:t>
      </w:r>
      <w:r>
        <w:rPr>
          <w:rFonts w:ascii="Arial" w:eastAsiaTheme="minorHAnsi" w:hAnsi="Arial" w:cs="Arial"/>
          <w:b/>
          <w:sz w:val="26"/>
          <w:szCs w:val="26"/>
          <w:lang w:val="es-ES" w:eastAsia="en-US"/>
        </w:rPr>
        <w:t xml:space="preserve"> DE DOS MIL VEINT</w:t>
      </w:r>
      <w:r w:rsidR="00712009">
        <w:rPr>
          <w:rFonts w:ascii="Arial" w:eastAsiaTheme="minorHAnsi" w:hAnsi="Arial" w:cs="Arial"/>
          <w:b/>
          <w:sz w:val="26"/>
          <w:szCs w:val="26"/>
          <w:lang w:val="es-ES" w:eastAsia="en-US"/>
        </w:rPr>
        <w:t>IUNO.</w:t>
      </w:r>
      <w:r w:rsidR="00691229">
        <w:rPr>
          <w:rFonts w:ascii="Arial" w:eastAsiaTheme="minorHAnsi" w:hAnsi="Arial" w:cs="Arial"/>
          <w:b/>
          <w:sz w:val="26"/>
          <w:szCs w:val="26"/>
          <w:lang w:val="es-ES" w:eastAsia="en-US"/>
        </w:rPr>
        <w:t xml:space="preserve"> - - - - - - - - - - - - - - - - - - - - - - - - </w:t>
      </w:r>
    </w:p>
    <w:p w14:paraId="6B9CEB22" w14:textId="6CBB63AA" w:rsidR="006D1DB2" w:rsidRDefault="006D1DB2" w:rsidP="00561E8A">
      <w:pPr>
        <w:spacing w:after="0" w:line="360" w:lineRule="auto"/>
        <w:ind w:firstLine="708"/>
        <w:jc w:val="both"/>
        <w:rPr>
          <w:rFonts w:ascii="Arial" w:eastAsiaTheme="minorHAnsi" w:hAnsi="Arial" w:cs="Arial"/>
          <w:sz w:val="26"/>
          <w:szCs w:val="26"/>
          <w:lang w:eastAsia="en-US"/>
        </w:rPr>
      </w:pPr>
      <w:r w:rsidRPr="006D1DB2">
        <w:rPr>
          <w:rFonts w:ascii="Arial" w:eastAsia="Calibri" w:hAnsi="Arial" w:cs="Arial"/>
          <w:sz w:val="26"/>
          <w:szCs w:val="26"/>
          <w:lang w:eastAsia="en-US"/>
        </w:rPr>
        <w:t xml:space="preserve">Por recibido el Cuaderno de Revisión </w:t>
      </w:r>
      <w:r w:rsidR="00691229">
        <w:rPr>
          <w:rFonts w:ascii="Arial" w:eastAsia="PMingLiU" w:hAnsi="Arial" w:cs="Arial"/>
          <w:b/>
          <w:iCs/>
          <w:caps/>
          <w:sz w:val="26"/>
          <w:szCs w:val="26"/>
          <w:lang w:val="es-PE" w:eastAsia="zh-TW"/>
        </w:rPr>
        <w:t>108</w:t>
      </w:r>
      <w:r w:rsidRPr="006D1DB2">
        <w:rPr>
          <w:rFonts w:ascii="Arial" w:eastAsia="PMingLiU" w:hAnsi="Arial" w:cs="Arial"/>
          <w:b/>
          <w:iCs/>
          <w:caps/>
          <w:sz w:val="26"/>
          <w:szCs w:val="26"/>
          <w:lang w:val="es-PE" w:eastAsia="zh-TW"/>
        </w:rPr>
        <w:t xml:space="preserve">/2020 </w:t>
      </w:r>
      <w:r w:rsidRPr="006D1DB2">
        <w:rPr>
          <w:rFonts w:ascii="Arial" w:eastAsia="Calibri" w:hAnsi="Arial" w:cs="Arial"/>
          <w:sz w:val="26"/>
          <w:szCs w:val="26"/>
          <w:lang w:eastAsia="en-US"/>
        </w:rPr>
        <w:t xml:space="preserve">que remite la Secretaría General de Acuerdos, con motivo del recurso de revisión interpuesto por </w:t>
      </w:r>
      <w:r w:rsidR="00EA22C8">
        <w:rPr>
          <w:rFonts w:ascii="Arial" w:hAnsi="Arial" w:cs="Arial"/>
          <w:b/>
          <w:sz w:val="26"/>
          <w:szCs w:val="26"/>
        </w:rPr>
        <w:t>***********</w:t>
      </w:r>
      <w:r w:rsidRPr="006D1DB2">
        <w:rPr>
          <w:rFonts w:ascii="Arial" w:eastAsiaTheme="minorHAnsi" w:hAnsi="Arial" w:cs="Arial"/>
          <w:b/>
          <w:bCs/>
          <w:color w:val="000000"/>
          <w:sz w:val="26"/>
          <w:szCs w:val="26"/>
          <w:lang w:eastAsia="en-US"/>
        </w:rPr>
        <w:t xml:space="preserve">, </w:t>
      </w:r>
      <w:r w:rsidRPr="006D1DB2">
        <w:rPr>
          <w:rFonts w:ascii="Arial" w:eastAsia="Calibri" w:hAnsi="Arial" w:cs="Arial"/>
          <w:sz w:val="26"/>
          <w:szCs w:val="26"/>
          <w:lang w:eastAsia="en-US"/>
        </w:rPr>
        <w:t xml:space="preserve">en contra de la sentencia de fecha </w:t>
      </w:r>
      <w:r w:rsidR="00691229">
        <w:rPr>
          <w:rFonts w:ascii="Arial" w:eastAsia="Calibri" w:hAnsi="Arial" w:cs="Arial"/>
          <w:sz w:val="26"/>
          <w:szCs w:val="26"/>
          <w:lang w:eastAsia="en-US"/>
        </w:rPr>
        <w:t>diecisiete de febrero de dos mil veinte</w:t>
      </w:r>
      <w:r w:rsidRPr="006D1DB2">
        <w:rPr>
          <w:rFonts w:ascii="Arial" w:eastAsia="Calibri" w:hAnsi="Arial" w:cs="Arial"/>
          <w:sz w:val="26"/>
          <w:szCs w:val="26"/>
          <w:lang w:eastAsia="en-US"/>
        </w:rPr>
        <w:t xml:space="preserve">, dictada por </w:t>
      </w:r>
      <w:r w:rsidR="00691229">
        <w:rPr>
          <w:rFonts w:ascii="Arial" w:eastAsia="Calibri" w:hAnsi="Arial" w:cs="Arial"/>
          <w:sz w:val="26"/>
          <w:szCs w:val="26"/>
          <w:lang w:eastAsia="en-US"/>
        </w:rPr>
        <w:t>el</w:t>
      </w:r>
      <w:r w:rsidRPr="006D1DB2">
        <w:rPr>
          <w:rFonts w:ascii="Arial" w:eastAsia="Calibri" w:hAnsi="Arial" w:cs="Arial"/>
          <w:sz w:val="26"/>
          <w:szCs w:val="26"/>
          <w:lang w:eastAsia="en-US"/>
        </w:rPr>
        <w:t xml:space="preserve"> Magistrad</w:t>
      </w:r>
      <w:r w:rsidR="00691229">
        <w:rPr>
          <w:rFonts w:ascii="Arial" w:eastAsia="Calibri" w:hAnsi="Arial" w:cs="Arial"/>
          <w:sz w:val="26"/>
          <w:szCs w:val="26"/>
          <w:lang w:eastAsia="en-US"/>
        </w:rPr>
        <w:t>o</w:t>
      </w:r>
      <w:r w:rsidRPr="006D1DB2">
        <w:rPr>
          <w:rFonts w:ascii="Arial" w:eastAsia="Calibri" w:hAnsi="Arial" w:cs="Arial"/>
          <w:sz w:val="26"/>
          <w:szCs w:val="26"/>
          <w:lang w:eastAsia="en-US"/>
        </w:rPr>
        <w:t xml:space="preserve"> de la </w:t>
      </w:r>
      <w:r w:rsidR="00691229">
        <w:rPr>
          <w:rFonts w:ascii="Arial" w:eastAsia="Calibri" w:hAnsi="Arial" w:cs="Arial"/>
          <w:sz w:val="26"/>
          <w:szCs w:val="26"/>
          <w:lang w:eastAsia="en-US"/>
        </w:rPr>
        <w:t>Sexta</w:t>
      </w:r>
      <w:r w:rsidRPr="006D1DB2">
        <w:rPr>
          <w:rFonts w:ascii="Arial" w:eastAsia="Calibri" w:hAnsi="Arial" w:cs="Arial"/>
          <w:sz w:val="26"/>
          <w:szCs w:val="26"/>
          <w:lang w:eastAsia="en-US"/>
        </w:rPr>
        <w:t xml:space="preserve"> Sala Unitaria de Primera Instancia de este Tribunal, en el juicio de nulidad </w:t>
      </w:r>
      <w:r w:rsidRPr="006D1DB2">
        <w:rPr>
          <w:rFonts w:ascii="Arial" w:eastAsia="Calibri" w:hAnsi="Arial" w:cs="Arial"/>
          <w:b/>
          <w:sz w:val="26"/>
          <w:szCs w:val="26"/>
          <w:lang w:eastAsia="en-US"/>
        </w:rPr>
        <w:t>00</w:t>
      </w:r>
      <w:r w:rsidR="00691229">
        <w:rPr>
          <w:rFonts w:ascii="Arial" w:eastAsia="Calibri" w:hAnsi="Arial" w:cs="Arial"/>
          <w:b/>
          <w:sz w:val="26"/>
          <w:szCs w:val="26"/>
          <w:lang w:eastAsia="en-US"/>
        </w:rPr>
        <w:t>8</w:t>
      </w:r>
      <w:r w:rsidRPr="006D1DB2">
        <w:rPr>
          <w:rFonts w:ascii="Arial" w:eastAsia="Calibri" w:hAnsi="Arial" w:cs="Arial"/>
          <w:b/>
          <w:sz w:val="26"/>
          <w:szCs w:val="26"/>
          <w:lang w:eastAsia="en-US"/>
        </w:rPr>
        <w:t xml:space="preserve">7/2019, </w:t>
      </w:r>
      <w:r w:rsidRPr="006D1DB2">
        <w:rPr>
          <w:rFonts w:ascii="Arial" w:eastAsia="Calibri" w:hAnsi="Arial" w:cs="Arial"/>
          <w:sz w:val="26"/>
          <w:szCs w:val="26"/>
          <w:lang w:eastAsia="en-US"/>
        </w:rPr>
        <w:t xml:space="preserve">relativo al juicio promovido por </w:t>
      </w:r>
      <w:r w:rsidR="00691229">
        <w:rPr>
          <w:rFonts w:ascii="Arial" w:eastAsia="Calibri" w:hAnsi="Arial" w:cs="Arial"/>
          <w:b/>
          <w:sz w:val="26"/>
          <w:szCs w:val="26"/>
          <w:lang w:eastAsia="en-US"/>
        </w:rPr>
        <w:t>LA RECURRENTE</w:t>
      </w:r>
      <w:r w:rsidRPr="006D1DB2">
        <w:rPr>
          <w:rFonts w:ascii="Arial" w:eastAsia="Calibri" w:hAnsi="Arial" w:cs="Arial"/>
          <w:b/>
          <w:sz w:val="26"/>
          <w:szCs w:val="26"/>
          <w:lang w:eastAsia="en-US"/>
        </w:rPr>
        <w:t xml:space="preserve">, </w:t>
      </w:r>
      <w:r w:rsidRPr="006D1DB2">
        <w:rPr>
          <w:rFonts w:ascii="Arial" w:eastAsia="Calibri" w:hAnsi="Arial" w:cs="Arial"/>
          <w:sz w:val="26"/>
          <w:szCs w:val="26"/>
          <w:lang w:eastAsia="en-US"/>
        </w:rPr>
        <w:t>en contra del</w:t>
      </w:r>
      <w:r w:rsidRPr="006D1DB2">
        <w:rPr>
          <w:rFonts w:ascii="Arial" w:eastAsia="Calibri" w:hAnsi="Arial" w:cs="Arial"/>
          <w:b/>
          <w:sz w:val="26"/>
          <w:szCs w:val="26"/>
          <w:lang w:eastAsia="en-US"/>
        </w:rPr>
        <w:t xml:space="preserve"> </w:t>
      </w:r>
      <w:r w:rsidR="00691229">
        <w:rPr>
          <w:rFonts w:ascii="Arial" w:eastAsia="Calibri" w:hAnsi="Arial" w:cs="Arial"/>
          <w:b/>
          <w:sz w:val="26"/>
          <w:szCs w:val="26"/>
          <w:lang w:eastAsia="en-US"/>
        </w:rPr>
        <w:t>DIRECTOR GENERAL DE LA OFICINA DE PENSIONES DEL ESTADO DE OAXACA</w:t>
      </w:r>
      <w:r w:rsidRPr="006D1DB2">
        <w:rPr>
          <w:rFonts w:ascii="Arial" w:eastAsia="Calibri" w:hAnsi="Arial" w:cs="Arial"/>
          <w:b/>
          <w:sz w:val="26"/>
          <w:szCs w:val="26"/>
          <w:lang w:eastAsia="en-US"/>
        </w:rPr>
        <w:t xml:space="preserve">, </w:t>
      </w:r>
      <w:r w:rsidRPr="006D1DB2">
        <w:rPr>
          <w:rFonts w:ascii="Arial" w:eastAsiaTheme="minorHAnsi" w:hAnsi="Arial" w:cs="Arial"/>
          <w:sz w:val="26"/>
          <w:szCs w:val="26"/>
          <w:lang w:eastAsia="en-US"/>
        </w:rPr>
        <w:t>por lo que con fundamento en los artículos 236 y 237 de la Ley de Procedimiento y Justicia Administrativa para el Estado de Oaxaca, se admite.  En consecuencia, se procede a dictar resolución en los siguientes términos:</w:t>
      </w:r>
    </w:p>
    <w:p w14:paraId="55E0BEE0" w14:textId="77777777" w:rsidR="00987268" w:rsidRPr="006D1DB2" w:rsidRDefault="00987268" w:rsidP="00561E8A">
      <w:pPr>
        <w:spacing w:after="0" w:line="360" w:lineRule="auto"/>
        <w:ind w:firstLine="708"/>
        <w:jc w:val="both"/>
        <w:rPr>
          <w:rFonts w:ascii="Arial" w:eastAsiaTheme="minorHAnsi" w:hAnsi="Arial" w:cs="Arial"/>
          <w:sz w:val="26"/>
          <w:szCs w:val="26"/>
          <w:lang w:eastAsia="en-US"/>
        </w:rPr>
      </w:pPr>
    </w:p>
    <w:p w14:paraId="47E50ECA" w14:textId="3E8A64B4" w:rsidR="006D1DB2" w:rsidRDefault="006D1DB2" w:rsidP="00987268">
      <w:pPr>
        <w:spacing w:after="0" w:line="360" w:lineRule="auto"/>
        <w:jc w:val="center"/>
        <w:rPr>
          <w:rFonts w:ascii="Arial" w:eastAsiaTheme="minorHAnsi" w:hAnsi="Arial" w:cs="Arial"/>
          <w:b/>
          <w:bCs/>
          <w:sz w:val="26"/>
          <w:szCs w:val="26"/>
          <w:lang w:val="es-ES" w:eastAsia="en-US"/>
        </w:rPr>
      </w:pPr>
      <w:r w:rsidRPr="00691229">
        <w:rPr>
          <w:rFonts w:ascii="Arial" w:eastAsiaTheme="minorHAnsi" w:hAnsi="Arial" w:cs="Arial"/>
          <w:b/>
          <w:bCs/>
          <w:sz w:val="26"/>
          <w:szCs w:val="26"/>
          <w:lang w:val="es-ES" w:eastAsia="en-US"/>
        </w:rPr>
        <w:t>R E S U L T A N D O</w:t>
      </w:r>
    </w:p>
    <w:p w14:paraId="5E46226F" w14:textId="77777777" w:rsidR="00987268" w:rsidRPr="00691229" w:rsidRDefault="00987268" w:rsidP="00987268">
      <w:pPr>
        <w:spacing w:after="0" w:line="360" w:lineRule="auto"/>
        <w:jc w:val="center"/>
        <w:rPr>
          <w:rFonts w:ascii="Arial" w:eastAsiaTheme="minorHAnsi" w:hAnsi="Arial" w:cs="Arial"/>
          <w:b/>
          <w:bCs/>
          <w:sz w:val="26"/>
          <w:szCs w:val="26"/>
          <w:lang w:val="es-ES" w:eastAsia="en-US"/>
        </w:rPr>
      </w:pPr>
    </w:p>
    <w:p w14:paraId="39752ABC" w14:textId="7C9937F4" w:rsidR="006D1DB2" w:rsidRDefault="006D1DB2" w:rsidP="00561E8A">
      <w:pPr>
        <w:spacing w:after="0" w:line="360" w:lineRule="auto"/>
        <w:ind w:firstLine="708"/>
        <w:jc w:val="both"/>
        <w:rPr>
          <w:rFonts w:ascii="Arial" w:eastAsiaTheme="minorHAnsi" w:hAnsi="Arial" w:cs="Arial"/>
          <w:sz w:val="26"/>
          <w:szCs w:val="26"/>
          <w:lang w:val="es-ES" w:eastAsia="en-US"/>
        </w:rPr>
      </w:pPr>
      <w:r w:rsidRPr="006D1DB2">
        <w:rPr>
          <w:rFonts w:ascii="Arial" w:eastAsiaTheme="minorHAnsi" w:hAnsi="Arial" w:cs="Arial"/>
          <w:b/>
          <w:bCs/>
          <w:sz w:val="26"/>
          <w:szCs w:val="26"/>
          <w:lang w:val="es-ES" w:eastAsia="en-US"/>
        </w:rPr>
        <w:t xml:space="preserve">PRIMERO. </w:t>
      </w:r>
      <w:r w:rsidRPr="006D1DB2">
        <w:rPr>
          <w:rFonts w:ascii="Arial" w:eastAsiaTheme="minorHAnsi" w:hAnsi="Arial" w:cs="Arial"/>
          <w:sz w:val="26"/>
          <w:szCs w:val="26"/>
          <w:lang w:val="es-ES" w:eastAsia="en-US"/>
        </w:rPr>
        <w:t xml:space="preserve">Inconforme con la sentencia de </w:t>
      </w:r>
      <w:r w:rsidR="00691229">
        <w:rPr>
          <w:rFonts w:ascii="Arial" w:eastAsia="Calibri" w:hAnsi="Arial" w:cs="Arial"/>
          <w:sz w:val="26"/>
          <w:szCs w:val="26"/>
          <w:lang w:eastAsia="en-US"/>
        </w:rPr>
        <w:t>diecisiete de febrero de dos mil veinte</w:t>
      </w:r>
      <w:r w:rsidRPr="006D1DB2">
        <w:rPr>
          <w:rFonts w:ascii="Arial" w:eastAsiaTheme="minorHAnsi" w:hAnsi="Arial" w:cs="Arial"/>
          <w:sz w:val="26"/>
          <w:szCs w:val="26"/>
          <w:lang w:val="es-ES" w:eastAsia="en-US"/>
        </w:rPr>
        <w:t xml:space="preserve">, dictada por </w:t>
      </w:r>
      <w:r w:rsidR="00691229">
        <w:rPr>
          <w:rFonts w:ascii="Arial" w:eastAsia="Calibri" w:hAnsi="Arial" w:cs="Arial"/>
          <w:sz w:val="26"/>
          <w:szCs w:val="26"/>
          <w:lang w:eastAsia="en-US"/>
        </w:rPr>
        <w:t>el</w:t>
      </w:r>
      <w:r w:rsidRPr="006D1DB2">
        <w:rPr>
          <w:rFonts w:ascii="Arial" w:eastAsia="Calibri" w:hAnsi="Arial" w:cs="Arial"/>
          <w:sz w:val="26"/>
          <w:szCs w:val="26"/>
          <w:lang w:eastAsia="en-US"/>
        </w:rPr>
        <w:t xml:space="preserve"> Magistrad</w:t>
      </w:r>
      <w:r w:rsidR="00691229">
        <w:rPr>
          <w:rFonts w:ascii="Arial" w:eastAsia="Calibri" w:hAnsi="Arial" w:cs="Arial"/>
          <w:sz w:val="26"/>
          <w:szCs w:val="26"/>
          <w:lang w:eastAsia="en-US"/>
        </w:rPr>
        <w:t>o</w:t>
      </w:r>
      <w:r w:rsidRPr="006D1DB2">
        <w:rPr>
          <w:rFonts w:ascii="Arial" w:eastAsia="Calibri" w:hAnsi="Arial" w:cs="Arial"/>
          <w:sz w:val="26"/>
          <w:szCs w:val="26"/>
          <w:lang w:eastAsia="en-US"/>
        </w:rPr>
        <w:t xml:space="preserve"> de la </w:t>
      </w:r>
      <w:r w:rsidR="00691229">
        <w:rPr>
          <w:rFonts w:ascii="Arial" w:eastAsia="Calibri" w:hAnsi="Arial" w:cs="Arial"/>
          <w:sz w:val="26"/>
          <w:szCs w:val="26"/>
          <w:lang w:eastAsia="en-US"/>
        </w:rPr>
        <w:t>Sexta</w:t>
      </w:r>
      <w:r w:rsidRPr="006D1DB2">
        <w:rPr>
          <w:rFonts w:ascii="Arial" w:eastAsia="Calibri" w:hAnsi="Arial" w:cs="Arial"/>
          <w:sz w:val="26"/>
          <w:szCs w:val="26"/>
          <w:lang w:eastAsia="en-US"/>
        </w:rPr>
        <w:t xml:space="preserve"> </w:t>
      </w:r>
      <w:r w:rsidRPr="006D1DB2">
        <w:rPr>
          <w:rFonts w:ascii="Arial" w:eastAsiaTheme="minorHAnsi" w:hAnsi="Arial" w:cs="Arial"/>
          <w:sz w:val="26"/>
          <w:szCs w:val="26"/>
          <w:lang w:val="es-ES" w:eastAsia="en-US"/>
        </w:rPr>
        <w:t xml:space="preserve">Sala Unitaria de Primera Instancia de este Tribunal, </w:t>
      </w:r>
      <w:r w:rsidR="00EA22C8">
        <w:rPr>
          <w:rFonts w:ascii="Arial" w:hAnsi="Arial" w:cs="Arial"/>
          <w:b/>
          <w:sz w:val="26"/>
          <w:szCs w:val="26"/>
        </w:rPr>
        <w:t>***********</w:t>
      </w:r>
      <w:r w:rsidRPr="006D1DB2">
        <w:rPr>
          <w:rFonts w:ascii="Arial" w:eastAsiaTheme="minorHAnsi" w:hAnsi="Arial" w:cs="Arial"/>
          <w:b/>
          <w:bCs/>
          <w:color w:val="000000"/>
          <w:sz w:val="26"/>
          <w:szCs w:val="26"/>
          <w:lang w:eastAsia="en-US"/>
        </w:rPr>
        <w:t xml:space="preserve">, </w:t>
      </w:r>
      <w:r w:rsidRPr="006D1DB2">
        <w:rPr>
          <w:rFonts w:ascii="Arial" w:eastAsiaTheme="minorHAnsi" w:hAnsi="Arial" w:cs="Arial"/>
          <w:sz w:val="26"/>
          <w:szCs w:val="26"/>
          <w:lang w:val="es-ES" w:eastAsia="en-US"/>
        </w:rPr>
        <w:t xml:space="preserve">interpuso en su contra recurso de </w:t>
      </w:r>
      <w:r w:rsidR="00616D3E" w:rsidRPr="006D1DB2">
        <w:rPr>
          <w:rFonts w:ascii="Arial" w:eastAsiaTheme="minorHAnsi" w:hAnsi="Arial" w:cs="Arial"/>
          <w:sz w:val="26"/>
          <w:szCs w:val="26"/>
          <w:lang w:val="es-ES" w:eastAsia="en-US"/>
        </w:rPr>
        <w:t>revisión.</w:t>
      </w:r>
      <w:r w:rsidR="00616D3E">
        <w:rPr>
          <w:rFonts w:ascii="Arial" w:eastAsiaTheme="minorHAnsi" w:hAnsi="Arial" w:cs="Arial"/>
          <w:sz w:val="26"/>
          <w:szCs w:val="26"/>
          <w:lang w:val="es-ES" w:eastAsia="en-US"/>
        </w:rPr>
        <w:t xml:space="preserve"> -</w:t>
      </w:r>
      <w:r w:rsidR="00691229">
        <w:rPr>
          <w:rFonts w:ascii="Arial" w:eastAsiaTheme="minorHAnsi" w:hAnsi="Arial" w:cs="Arial"/>
          <w:sz w:val="26"/>
          <w:szCs w:val="26"/>
          <w:lang w:val="es-ES" w:eastAsia="en-US"/>
        </w:rPr>
        <w:t xml:space="preserve"> - - - - - - - - - </w:t>
      </w:r>
      <w:r w:rsidR="00EA22C8">
        <w:rPr>
          <w:rFonts w:ascii="Arial" w:eastAsiaTheme="minorHAnsi" w:hAnsi="Arial" w:cs="Arial"/>
          <w:sz w:val="26"/>
          <w:szCs w:val="26"/>
          <w:lang w:val="es-ES" w:eastAsia="en-US"/>
        </w:rPr>
        <w:t xml:space="preserve">- - - - - - - - - - - - - - - - - - - - - - - - - - - - </w:t>
      </w:r>
    </w:p>
    <w:p w14:paraId="3B5BF296" w14:textId="77777777" w:rsidR="00987E4F" w:rsidRPr="006D1DB2" w:rsidRDefault="00987E4F" w:rsidP="00987E4F">
      <w:pPr>
        <w:pStyle w:val="Sinespaciado"/>
        <w:rPr>
          <w:rFonts w:eastAsiaTheme="minorHAnsi"/>
          <w:lang w:eastAsia="en-US"/>
        </w:rPr>
      </w:pPr>
    </w:p>
    <w:p w14:paraId="7F2B82EE" w14:textId="5BBCA339" w:rsidR="006D1DB2" w:rsidRDefault="006D1DB2" w:rsidP="00561E8A">
      <w:pPr>
        <w:spacing w:after="0" w:line="360" w:lineRule="auto"/>
        <w:ind w:firstLine="708"/>
        <w:jc w:val="both"/>
        <w:rPr>
          <w:rFonts w:ascii="Arial" w:eastAsiaTheme="minorHAnsi" w:hAnsi="Arial" w:cs="Arial"/>
          <w:sz w:val="26"/>
          <w:szCs w:val="26"/>
          <w:lang w:eastAsia="en-US"/>
        </w:rPr>
      </w:pPr>
      <w:r w:rsidRPr="006D1DB2">
        <w:rPr>
          <w:rFonts w:ascii="Arial" w:eastAsiaTheme="minorHAnsi" w:hAnsi="Arial" w:cs="Arial"/>
          <w:b/>
          <w:bCs/>
          <w:sz w:val="26"/>
          <w:szCs w:val="26"/>
          <w:lang w:eastAsia="en-US"/>
        </w:rPr>
        <w:t xml:space="preserve">SEGUNDO. </w:t>
      </w:r>
      <w:r w:rsidRPr="006D1DB2">
        <w:rPr>
          <w:rFonts w:ascii="Arial" w:eastAsiaTheme="minorHAnsi" w:hAnsi="Arial" w:cs="Arial"/>
          <w:sz w:val="26"/>
          <w:szCs w:val="26"/>
          <w:lang w:eastAsia="en-US"/>
        </w:rPr>
        <w:t xml:space="preserve">Los puntos resolutivos de la sentencia recurrida, son los </w:t>
      </w:r>
      <w:r w:rsidR="00987E4F" w:rsidRPr="006D1DB2">
        <w:rPr>
          <w:rFonts w:ascii="Arial" w:eastAsiaTheme="minorHAnsi" w:hAnsi="Arial" w:cs="Arial"/>
          <w:sz w:val="26"/>
          <w:szCs w:val="26"/>
          <w:lang w:eastAsia="en-US"/>
        </w:rPr>
        <w:t>siguientes:</w:t>
      </w:r>
      <w:r w:rsidR="00987E4F">
        <w:rPr>
          <w:rFonts w:ascii="Arial" w:eastAsiaTheme="minorHAnsi" w:hAnsi="Arial" w:cs="Arial"/>
          <w:sz w:val="26"/>
          <w:szCs w:val="26"/>
          <w:lang w:eastAsia="en-US"/>
        </w:rPr>
        <w:t xml:space="preserve"> -</w:t>
      </w:r>
      <w:r w:rsidR="00691229">
        <w:rPr>
          <w:rFonts w:ascii="Arial" w:eastAsiaTheme="minorHAnsi" w:hAnsi="Arial" w:cs="Arial"/>
          <w:sz w:val="26"/>
          <w:szCs w:val="26"/>
          <w:lang w:eastAsia="en-US"/>
        </w:rPr>
        <w:t xml:space="preserve"> - - - - - - - - - - - - - - - - - - - - - - - - - - - - - - - - - - - - - - - - - </w:t>
      </w:r>
    </w:p>
    <w:p w14:paraId="6ECEB685" w14:textId="77777777" w:rsidR="00987E4F" w:rsidRPr="006D1DB2" w:rsidRDefault="00987E4F" w:rsidP="00561E8A">
      <w:pPr>
        <w:spacing w:after="0" w:line="360" w:lineRule="auto"/>
        <w:ind w:firstLine="708"/>
        <w:jc w:val="both"/>
        <w:rPr>
          <w:rFonts w:ascii="Arial" w:eastAsiaTheme="minorHAnsi" w:hAnsi="Arial" w:cs="Arial"/>
          <w:sz w:val="26"/>
          <w:szCs w:val="26"/>
          <w:lang w:eastAsia="en-US"/>
        </w:rPr>
      </w:pPr>
    </w:p>
    <w:p w14:paraId="434AF154" w14:textId="5ACBC897" w:rsidR="006D1DB2" w:rsidRPr="008867A2" w:rsidRDefault="006D1DB2" w:rsidP="006D1DB2">
      <w:pPr>
        <w:spacing w:after="0" w:line="360" w:lineRule="auto"/>
        <w:ind w:left="1134" w:right="900"/>
        <w:jc w:val="both"/>
        <w:rPr>
          <w:rFonts w:ascii="Arial" w:eastAsia="Calibri" w:hAnsi="Arial" w:cs="Arial"/>
          <w:bCs/>
          <w:i/>
          <w:color w:val="000000" w:themeColor="text1"/>
          <w:lang w:eastAsia="en-US"/>
        </w:rPr>
      </w:pPr>
      <w:r w:rsidRPr="008867A2">
        <w:rPr>
          <w:rFonts w:ascii="Arial" w:eastAsia="Calibri" w:hAnsi="Arial" w:cs="Arial"/>
          <w:bCs/>
          <w:color w:val="000000" w:themeColor="text1"/>
          <w:lang w:eastAsia="en-US"/>
        </w:rPr>
        <w:t>“</w:t>
      </w:r>
      <w:r w:rsidR="00C91C2F" w:rsidRPr="008867A2">
        <w:rPr>
          <w:rFonts w:ascii="Arial" w:eastAsia="Calibri" w:hAnsi="Arial" w:cs="Arial"/>
          <w:b/>
          <w:bCs/>
          <w:i/>
          <w:color w:val="000000" w:themeColor="text1"/>
          <w:lang w:eastAsia="en-US"/>
        </w:rPr>
        <w:t>PRIMERO. -</w:t>
      </w:r>
      <w:r w:rsidRPr="008867A2">
        <w:rPr>
          <w:rFonts w:ascii="Arial" w:eastAsia="Calibri" w:hAnsi="Arial" w:cs="Arial"/>
          <w:b/>
          <w:bCs/>
          <w:i/>
          <w:color w:val="000000" w:themeColor="text1"/>
          <w:lang w:eastAsia="en-US"/>
        </w:rPr>
        <w:t xml:space="preserve"> </w:t>
      </w:r>
      <w:r w:rsidR="00691229" w:rsidRPr="008867A2">
        <w:rPr>
          <w:rFonts w:ascii="Arial" w:eastAsia="Calibri" w:hAnsi="Arial" w:cs="Arial"/>
          <w:bCs/>
          <w:i/>
          <w:color w:val="000000" w:themeColor="text1"/>
          <w:lang w:eastAsia="en-US"/>
        </w:rPr>
        <w:t>Esta Sexta Sala Unitaria fue com</w:t>
      </w:r>
      <w:r w:rsidR="00E65D32" w:rsidRPr="008867A2">
        <w:rPr>
          <w:rFonts w:ascii="Arial" w:eastAsia="Calibri" w:hAnsi="Arial" w:cs="Arial"/>
          <w:bCs/>
          <w:i/>
          <w:color w:val="000000" w:themeColor="text1"/>
          <w:lang w:eastAsia="en-US"/>
        </w:rPr>
        <w:t>pe</w:t>
      </w:r>
      <w:r w:rsidR="00691229" w:rsidRPr="008867A2">
        <w:rPr>
          <w:rFonts w:ascii="Arial" w:eastAsia="Calibri" w:hAnsi="Arial" w:cs="Arial"/>
          <w:bCs/>
          <w:i/>
          <w:color w:val="000000" w:themeColor="text1"/>
          <w:lang w:eastAsia="en-US"/>
        </w:rPr>
        <w:t>te</w:t>
      </w:r>
      <w:r w:rsidR="00E65D32" w:rsidRPr="008867A2">
        <w:rPr>
          <w:rFonts w:ascii="Arial" w:eastAsia="Calibri" w:hAnsi="Arial" w:cs="Arial"/>
          <w:bCs/>
          <w:i/>
          <w:color w:val="000000" w:themeColor="text1"/>
          <w:lang w:eastAsia="en-US"/>
        </w:rPr>
        <w:t>nte</w:t>
      </w:r>
      <w:r w:rsidR="00691229" w:rsidRPr="008867A2">
        <w:rPr>
          <w:rFonts w:ascii="Arial" w:eastAsia="Calibri" w:hAnsi="Arial" w:cs="Arial"/>
          <w:bCs/>
          <w:i/>
          <w:color w:val="000000" w:themeColor="text1"/>
          <w:lang w:eastAsia="en-US"/>
        </w:rPr>
        <w:t xml:space="preserve"> para conocer y resolver del </w:t>
      </w:r>
      <w:r w:rsidR="004A7479" w:rsidRPr="008867A2">
        <w:rPr>
          <w:rFonts w:ascii="Arial" w:eastAsia="Calibri" w:hAnsi="Arial" w:cs="Arial"/>
          <w:bCs/>
          <w:i/>
          <w:color w:val="000000" w:themeColor="text1"/>
          <w:lang w:eastAsia="en-US"/>
        </w:rPr>
        <w:t>presente. -</w:t>
      </w:r>
      <w:r w:rsidRPr="008867A2">
        <w:rPr>
          <w:rFonts w:ascii="Arial" w:eastAsia="Calibri" w:hAnsi="Arial" w:cs="Arial"/>
          <w:bCs/>
          <w:i/>
          <w:color w:val="000000" w:themeColor="text1"/>
          <w:lang w:eastAsia="en-US"/>
        </w:rPr>
        <w:t xml:space="preserve"> - - - - - - - - - - - - - - - - -</w:t>
      </w:r>
      <w:r w:rsidR="00691229" w:rsidRPr="008867A2">
        <w:rPr>
          <w:rFonts w:ascii="Arial" w:eastAsia="Calibri" w:hAnsi="Arial" w:cs="Arial"/>
          <w:bCs/>
          <w:i/>
          <w:color w:val="000000" w:themeColor="text1"/>
          <w:lang w:eastAsia="en-US"/>
        </w:rPr>
        <w:t xml:space="preserve"> - </w:t>
      </w:r>
      <w:r w:rsidR="004A7479" w:rsidRPr="008867A2">
        <w:rPr>
          <w:rFonts w:ascii="Arial" w:eastAsia="Calibri" w:hAnsi="Arial" w:cs="Arial"/>
          <w:b/>
          <w:bCs/>
          <w:i/>
          <w:color w:val="000000" w:themeColor="text1"/>
          <w:lang w:eastAsia="en-US"/>
        </w:rPr>
        <w:t>SEGUNDO.-</w:t>
      </w:r>
      <w:r w:rsidRPr="008867A2">
        <w:rPr>
          <w:rFonts w:ascii="Arial" w:eastAsia="Calibri" w:hAnsi="Arial" w:cs="Arial"/>
          <w:b/>
          <w:bCs/>
          <w:i/>
          <w:color w:val="000000" w:themeColor="text1"/>
          <w:lang w:eastAsia="en-US"/>
        </w:rPr>
        <w:t xml:space="preserve"> </w:t>
      </w:r>
      <w:r w:rsidR="001B7CDB" w:rsidRPr="008867A2">
        <w:rPr>
          <w:rFonts w:ascii="Arial" w:eastAsia="Calibri" w:hAnsi="Arial" w:cs="Arial"/>
          <w:bCs/>
          <w:i/>
          <w:color w:val="000000" w:themeColor="text1"/>
          <w:lang w:eastAsia="en-US"/>
        </w:rPr>
        <w:t>No se actualizaron causales de improcedencia por lo que no se sobresee el juicio</w:t>
      </w:r>
      <w:r w:rsidRPr="008867A2">
        <w:rPr>
          <w:rFonts w:ascii="Arial" w:eastAsia="Calibri" w:hAnsi="Arial" w:cs="Arial"/>
          <w:bCs/>
          <w:i/>
          <w:color w:val="000000" w:themeColor="text1"/>
          <w:lang w:eastAsia="en-US"/>
        </w:rPr>
        <w:t xml:space="preserve">.- - - - - - </w:t>
      </w:r>
      <w:r w:rsidR="00D1680F">
        <w:rPr>
          <w:rFonts w:ascii="Arial" w:eastAsia="Calibri" w:hAnsi="Arial" w:cs="Arial"/>
          <w:bCs/>
          <w:i/>
          <w:color w:val="000000" w:themeColor="text1"/>
          <w:lang w:eastAsia="en-US"/>
        </w:rPr>
        <w:t xml:space="preserve">- - - - - - - - - - - - - - - - - - </w:t>
      </w:r>
    </w:p>
    <w:p w14:paraId="2D18E993" w14:textId="5EDE6286" w:rsidR="006D1DB2" w:rsidRPr="008867A2" w:rsidRDefault="006D1DB2" w:rsidP="00561E8A">
      <w:pPr>
        <w:spacing w:after="0" w:line="360" w:lineRule="auto"/>
        <w:ind w:left="1134" w:right="900"/>
        <w:jc w:val="both"/>
        <w:rPr>
          <w:rFonts w:ascii="Arial" w:eastAsia="Calibri" w:hAnsi="Arial" w:cs="Arial"/>
          <w:bCs/>
          <w:i/>
          <w:color w:val="000000" w:themeColor="text1"/>
          <w:lang w:eastAsia="en-US"/>
        </w:rPr>
      </w:pPr>
      <w:r w:rsidRPr="008867A2">
        <w:rPr>
          <w:rFonts w:ascii="Arial" w:eastAsia="Calibri" w:hAnsi="Arial" w:cs="Arial"/>
          <w:b/>
          <w:bCs/>
          <w:i/>
          <w:color w:val="000000" w:themeColor="text1"/>
          <w:lang w:eastAsia="en-US"/>
        </w:rPr>
        <w:t>TERCERO.-</w:t>
      </w:r>
      <w:r w:rsidRPr="008867A2">
        <w:rPr>
          <w:rFonts w:ascii="Arial" w:eastAsia="Calibri" w:hAnsi="Arial" w:cs="Arial"/>
          <w:bCs/>
          <w:i/>
          <w:color w:val="000000" w:themeColor="text1"/>
          <w:lang w:eastAsia="en-US"/>
        </w:rPr>
        <w:t xml:space="preserve"> </w:t>
      </w:r>
      <w:r w:rsidR="002F1480" w:rsidRPr="008867A2">
        <w:rPr>
          <w:rFonts w:ascii="Arial" w:eastAsia="Calibri" w:hAnsi="Arial" w:cs="Arial"/>
          <w:bCs/>
          <w:i/>
          <w:color w:val="000000" w:themeColor="text1"/>
          <w:lang w:eastAsia="en-US"/>
        </w:rPr>
        <w:t xml:space="preserve">Se declara la </w:t>
      </w:r>
      <w:r w:rsidR="002F1480" w:rsidRPr="008867A2">
        <w:rPr>
          <w:rFonts w:ascii="Arial" w:eastAsia="Calibri" w:hAnsi="Arial" w:cs="Arial"/>
          <w:b/>
          <w:i/>
          <w:color w:val="000000" w:themeColor="text1"/>
          <w:lang w:eastAsia="en-US"/>
        </w:rPr>
        <w:t xml:space="preserve">NULIDAD </w:t>
      </w:r>
      <w:r w:rsidR="002F1480" w:rsidRPr="008867A2">
        <w:rPr>
          <w:rFonts w:ascii="Arial" w:eastAsia="Calibri" w:hAnsi="Arial" w:cs="Arial"/>
          <w:bCs/>
          <w:i/>
          <w:color w:val="000000" w:themeColor="text1"/>
          <w:lang w:eastAsia="en-US"/>
        </w:rPr>
        <w:t xml:space="preserve">del oficio </w:t>
      </w:r>
      <w:r w:rsidR="00D1680F">
        <w:rPr>
          <w:rFonts w:ascii="Arial" w:hAnsi="Arial" w:cs="Arial"/>
          <w:b/>
          <w:sz w:val="26"/>
          <w:szCs w:val="26"/>
        </w:rPr>
        <w:t>***********</w:t>
      </w:r>
      <w:r w:rsidR="002F1480" w:rsidRPr="008867A2">
        <w:rPr>
          <w:rFonts w:ascii="Arial" w:eastAsia="Calibri" w:hAnsi="Arial" w:cs="Arial"/>
          <w:b/>
          <w:i/>
          <w:color w:val="000000" w:themeColor="text1"/>
          <w:lang w:eastAsia="en-US"/>
        </w:rPr>
        <w:t xml:space="preserve">, </w:t>
      </w:r>
      <w:r w:rsidR="002F1480" w:rsidRPr="008867A2">
        <w:rPr>
          <w:rFonts w:ascii="Arial" w:eastAsia="Calibri" w:hAnsi="Arial" w:cs="Arial"/>
          <w:bCs/>
          <w:i/>
          <w:color w:val="000000" w:themeColor="text1"/>
          <w:lang w:eastAsia="en-US"/>
        </w:rPr>
        <w:t xml:space="preserve">de quince de agosto de dos mil diecinueve, signado por el Director </w:t>
      </w:r>
      <w:r w:rsidR="002F1480" w:rsidRPr="008867A2">
        <w:rPr>
          <w:rFonts w:ascii="Arial" w:eastAsia="Calibri" w:hAnsi="Arial" w:cs="Arial"/>
          <w:bCs/>
          <w:i/>
          <w:color w:val="000000" w:themeColor="text1"/>
          <w:lang w:eastAsia="en-US"/>
        </w:rPr>
        <w:lastRenderedPageBreak/>
        <w:t xml:space="preserve">General de la Oficina de Pensiones del Gobierno del Estado de Oaxaca, </w:t>
      </w:r>
      <w:r w:rsidR="002F1480" w:rsidRPr="008867A2">
        <w:rPr>
          <w:rFonts w:ascii="Arial" w:eastAsia="Calibri" w:hAnsi="Arial" w:cs="Arial"/>
          <w:b/>
          <w:i/>
          <w:color w:val="000000" w:themeColor="text1"/>
          <w:lang w:eastAsia="en-US"/>
        </w:rPr>
        <w:t xml:space="preserve">PARA EL EFECTO </w:t>
      </w:r>
      <w:r w:rsidR="002F1480" w:rsidRPr="008867A2">
        <w:rPr>
          <w:rFonts w:ascii="Arial" w:eastAsia="Calibri" w:hAnsi="Arial" w:cs="Arial"/>
          <w:bCs/>
          <w:i/>
          <w:color w:val="000000" w:themeColor="text1"/>
          <w:lang w:eastAsia="en-US"/>
        </w:rPr>
        <w:t xml:space="preserve"> de que dicha autoridad someta a acuerdo del Consejo Directivo de la Oficina de Pensiones del Estado de Oaxaca, la petición de </w:t>
      </w:r>
      <w:r w:rsidR="00D1680F">
        <w:rPr>
          <w:rFonts w:ascii="Arial" w:hAnsi="Arial" w:cs="Arial"/>
          <w:b/>
          <w:sz w:val="26"/>
          <w:szCs w:val="26"/>
        </w:rPr>
        <w:t>***********</w:t>
      </w:r>
      <w:r w:rsidR="002F1480" w:rsidRPr="008867A2">
        <w:rPr>
          <w:rFonts w:ascii="Arial" w:eastAsia="Calibri" w:hAnsi="Arial" w:cs="Arial"/>
          <w:bCs/>
          <w:i/>
          <w:color w:val="000000" w:themeColor="text1"/>
          <w:lang w:eastAsia="en-US"/>
        </w:rPr>
        <w:t xml:space="preserve">, de cinco de agosto de dos mil diecinueve, para que sea dicho órgano quien en base a sus facultades, resuelva respecto de la procedencia o no de la petición planteada; y hecho lo anterior, </w:t>
      </w:r>
      <w:r w:rsidR="002F1480" w:rsidRPr="008867A2">
        <w:rPr>
          <w:rFonts w:ascii="Arial" w:eastAsia="Calibri" w:hAnsi="Arial" w:cs="Arial"/>
          <w:b/>
          <w:i/>
          <w:color w:val="000000" w:themeColor="text1"/>
          <w:lang w:eastAsia="en-US"/>
        </w:rPr>
        <w:t xml:space="preserve">EMITA </w:t>
      </w:r>
      <w:r w:rsidR="002F1480" w:rsidRPr="008867A2">
        <w:rPr>
          <w:rFonts w:ascii="Arial" w:eastAsia="Calibri" w:hAnsi="Arial" w:cs="Arial"/>
          <w:bCs/>
          <w:i/>
          <w:color w:val="000000" w:themeColor="text1"/>
          <w:lang w:eastAsia="en-US"/>
        </w:rPr>
        <w:t>otro oficio en cumplimiento a lo que determine el Consejo Directivo</w:t>
      </w:r>
      <w:r w:rsidRPr="008867A2">
        <w:rPr>
          <w:rFonts w:ascii="Arial" w:eastAsia="Calibri" w:hAnsi="Arial" w:cs="Arial"/>
          <w:bCs/>
          <w:i/>
          <w:color w:val="000000" w:themeColor="text1"/>
          <w:lang w:eastAsia="en-US"/>
        </w:rPr>
        <w:t xml:space="preserve">.- - - - - - - - </w:t>
      </w:r>
      <w:r w:rsidRPr="008867A2">
        <w:rPr>
          <w:rFonts w:ascii="Arial" w:eastAsia="Calibri" w:hAnsi="Arial" w:cs="Arial"/>
          <w:b/>
          <w:bCs/>
          <w:i/>
          <w:color w:val="000000" w:themeColor="text1"/>
          <w:lang w:eastAsia="en-US"/>
        </w:rPr>
        <w:t>CUARTO.- NOTIFÍQUESE</w:t>
      </w:r>
      <w:r w:rsidR="00C91E15" w:rsidRPr="008867A2">
        <w:rPr>
          <w:rFonts w:ascii="Arial" w:eastAsia="Calibri" w:hAnsi="Arial" w:cs="Arial"/>
          <w:b/>
          <w:bCs/>
          <w:i/>
          <w:color w:val="000000" w:themeColor="text1"/>
          <w:lang w:eastAsia="en-US"/>
        </w:rPr>
        <w:t xml:space="preserve"> PERSONALMENTE AL ACTOR Y POR OFICIO A LA AUTORIDAD DEMANDADA, </w:t>
      </w:r>
      <w:r w:rsidR="00C91E15" w:rsidRPr="008867A2">
        <w:rPr>
          <w:rFonts w:ascii="Arial" w:eastAsia="Calibri" w:hAnsi="Arial" w:cs="Arial"/>
          <w:i/>
          <w:color w:val="000000" w:themeColor="text1"/>
          <w:lang w:eastAsia="en-US"/>
        </w:rPr>
        <w:t>con fundamento en los artículos 172 fracción I y 173 fracciones I y II, de la Ley de Procedimiento y Justicia Administrativa para el Estado de Oaxaca.-</w:t>
      </w:r>
      <w:r w:rsidRPr="008867A2">
        <w:rPr>
          <w:rFonts w:ascii="Arial" w:eastAsia="Calibri" w:hAnsi="Arial" w:cs="Arial"/>
          <w:b/>
          <w:bCs/>
          <w:i/>
          <w:color w:val="000000" w:themeColor="text1"/>
          <w:lang w:eastAsia="en-US"/>
        </w:rPr>
        <w:t xml:space="preserve"> CÚMPLASE</w:t>
      </w:r>
      <w:r w:rsidRPr="008867A2">
        <w:rPr>
          <w:rFonts w:ascii="Arial" w:eastAsia="Calibri" w:hAnsi="Arial" w:cs="Arial"/>
          <w:bCs/>
          <w:i/>
          <w:color w:val="000000" w:themeColor="text1"/>
          <w:lang w:eastAsia="en-US"/>
        </w:rPr>
        <w:t xml:space="preserve">.”.- - - - - - - - - - - - </w:t>
      </w:r>
      <w:r w:rsidR="008867A2">
        <w:rPr>
          <w:rFonts w:ascii="Arial" w:eastAsia="Calibri" w:hAnsi="Arial" w:cs="Arial"/>
          <w:bCs/>
          <w:i/>
          <w:color w:val="000000" w:themeColor="text1"/>
          <w:lang w:eastAsia="en-US"/>
        </w:rPr>
        <w:t>- - - - - - - - -</w:t>
      </w:r>
    </w:p>
    <w:p w14:paraId="03282AA8" w14:textId="77777777" w:rsidR="00C94869" w:rsidRPr="0089264C" w:rsidRDefault="00C94869" w:rsidP="00561E8A">
      <w:pPr>
        <w:spacing w:after="0" w:line="360" w:lineRule="auto"/>
        <w:ind w:left="1134" w:right="900"/>
        <w:jc w:val="both"/>
        <w:rPr>
          <w:rFonts w:ascii="Arial" w:eastAsia="Calibri" w:hAnsi="Arial" w:cs="Arial"/>
          <w:bCs/>
          <w:i/>
          <w:color w:val="000000" w:themeColor="text1"/>
          <w:sz w:val="24"/>
          <w:szCs w:val="24"/>
          <w:lang w:eastAsia="en-US"/>
        </w:rPr>
      </w:pPr>
    </w:p>
    <w:p w14:paraId="09D9EBE3" w14:textId="4E81B2DD" w:rsidR="00561E8A" w:rsidRDefault="006D1DB2" w:rsidP="00C94869">
      <w:pPr>
        <w:spacing w:after="0" w:line="360" w:lineRule="auto"/>
        <w:ind w:left="72"/>
        <w:jc w:val="center"/>
        <w:rPr>
          <w:rFonts w:ascii="Arial" w:eastAsia="Times New Roman" w:hAnsi="Arial" w:cs="Arial"/>
          <w:b/>
          <w:bCs/>
          <w:sz w:val="26"/>
          <w:szCs w:val="26"/>
          <w:lang w:val="es-ES" w:eastAsia="es-ES"/>
        </w:rPr>
      </w:pPr>
      <w:r w:rsidRPr="00C91E15">
        <w:rPr>
          <w:rFonts w:ascii="Arial" w:eastAsia="Times New Roman" w:hAnsi="Arial" w:cs="Arial"/>
          <w:b/>
          <w:bCs/>
          <w:sz w:val="26"/>
          <w:szCs w:val="26"/>
          <w:lang w:val="es-ES" w:eastAsia="es-ES"/>
        </w:rPr>
        <w:t>C O N S I D E R A N D O</w:t>
      </w:r>
    </w:p>
    <w:p w14:paraId="60B7ADD0" w14:textId="77777777" w:rsidR="00C94869" w:rsidRDefault="00C94869" w:rsidP="00C94869">
      <w:pPr>
        <w:spacing w:after="0" w:line="360" w:lineRule="auto"/>
        <w:ind w:left="72"/>
        <w:jc w:val="center"/>
        <w:rPr>
          <w:rFonts w:ascii="Arial" w:eastAsia="Times New Roman" w:hAnsi="Arial" w:cs="Arial"/>
          <w:b/>
          <w:bCs/>
          <w:sz w:val="26"/>
          <w:szCs w:val="26"/>
          <w:lang w:val="es-ES" w:eastAsia="es-ES"/>
        </w:rPr>
      </w:pPr>
    </w:p>
    <w:p w14:paraId="1917FC0C" w14:textId="21CDD353" w:rsidR="00561E8A" w:rsidRDefault="00E93272" w:rsidP="00561E8A">
      <w:pPr>
        <w:spacing w:after="0" w:line="360" w:lineRule="auto"/>
        <w:ind w:left="74"/>
        <w:jc w:val="both"/>
        <w:rPr>
          <w:rFonts w:ascii="Arial" w:eastAsiaTheme="minorHAnsi" w:hAnsi="Arial" w:cs="Arial"/>
          <w:bCs/>
          <w:iCs/>
          <w:sz w:val="26"/>
          <w:szCs w:val="26"/>
          <w:lang w:eastAsia="es-ES"/>
        </w:rPr>
      </w:pPr>
      <w:r>
        <w:rPr>
          <w:rFonts w:ascii="Arial" w:hAnsi="Arial" w:cs="Arial"/>
          <w:b/>
          <w:bCs/>
          <w:iCs/>
          <w:sz w:val="26"/>
          <w:szCs w:val="26"/>
        </w:rPr>
        <w:t xml:space="preserve">            </w:t>
      </w:r>
      <w:r w:rsidR="001B7FC2" w:rsidRPr="00D65424">
        <w:rPr>
          <w:rFonts w:ascii="Arial" w:hAnsi="Arial" w:cs="Arial"/>
          <w:b/>
          <w:bCs/>
          <w:iCs/>
          <w:sz w:val="26"/>
          <w:szCs w:val="26"/>
        </w:rPr>
        <w:t xml:space="preserve">PRIMERO. </w:t>
      </w:r>
      <w:r w:rsidR="001B7FC2" w:rsidRPr="00D65424">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1B7FC2">
        <w:rPr>
          <w:rFonts w:ascii="Arial" w:hAnsi="Arial" w:cs="Arial"/>
          <w:bCs/>
          <w:iCs/>
          <w:sz w:val="26"/>
          <w:szCs w:val="26"/>
        </w:rPr>
        <w:t xml:space="preserve">; 1 segundo párrafo, 2 primero y cuarto párrafo, 4, 23, 24, 25, 26 y 27 de la Ley Orgánica del Tribunal de Justicia Administrativa del Estado de Oaxaca; </w:t>
      </w:r>
      <w:r w:rsidR="001B7FC2" w:rsidRPr="00D65424">
        <w:rPr>
          <w:rFonts w:ascii="Arial" w:hAnsi="Arial" w:cs="Arial"/>
          <w:bCs/>
          <w:iCs/>
          <w:sz w:val="26"/>
          <w:szCs w:val="26"/>
        </w:rPr>
        <w:t>120, 125, 127, 129, 130 fracción I, 131, 231, 236 y 238 de la Ley de Procedimiento y Justicia Administrativa para el Estado de Oaxaca</w:t>
      </w:r>
      <w:r w:rsidR="001B7FC2">
        <w:rPr>
          <w:rFonts w:ascii="Arial" w:hAnsi="Arial" w:cs="Arial"/>
          <w:bCs/>
          <w:iCs/>
          <w:sz w:val="26"/>
          <w:szCs w:val="26"/>
        </w:rPr>
        <w:t xml:space="preserve">, </w:t>
      </w:r>
      <w:r w:rsidR="006D1DB2" w:rsidRPr="006D1DB2">
        <w:rPr>
          <w:rFonts w:ascii="Arial" w:eastAsiaTheme="minorHAnsi" w:hAnsi="Arial" w:cs="Arial"/>
          <w:bCs/>
          <w:iCs/>
          <w:sz w:val="26"/>
          <w:szCs w:val="26"/>
          <w:lang w:eastAsia="es-ES"/>
        </w:rPr>
        <w:t xml:space="preserve">dado que se trata de un Recurso de Revisión interpuesto en contra de la </w:t>
      </w:r>
      <w:r>
        <w:rPr>
          <w:rFonts w:ascii="Arial" w:eastAsiaTheme="minorHAnsi" w:hAnsi="Arial" w:cs="Arial"/>
          <w:bCs/>
          <w:iCs/>
          <w:sz w:val="26"/>
          <w:szCs w:val="26"/>
          <w:lang w:eastAsia="es-ES"/>
        </w:rPr>
        <w:t xml:space="preserve"> sentencia de </w:t>
      </w:r>
      <w:r w:rsidR="00C91E15">
        <w:rPr>
          <w:rFonts w:ascii="Arial" w:eastAsiaTheme="minorHAnsi" w:hAnsi="Arial" w:cs="Arial"/>
          <w:bCs/>
          <w:iCs/>
          <w:sz w:val="26"/>
          <w:szCs w:val="26"/>
          <w:lang w:eastAsia="es-ES"/>
        </w:rPr>
        <w:t>diecisiete de febrero de dos mil veinte</w:t>
      </w:r>
      <w:r w:rsidR="006D1DB2" w:rsidRPr="006D1DB2">
        <w:rPr>
          <w:rFonts w:ascii="Arial" w:eastAsiaTheme="minorHAnsi" w:hAnsi="Arial" w:cs="Arial"/>
          <w:bCs/>
          <w:iCs/>
          <w:sz w:val="26"/>
          <w:szCs w:val="26"/>
          <w:lang w:eastAsia="es-ES"/>
        </w:rPr>
        <w:t xml:space="preserve">, dictada por </w:t>
      </w:r>
      <w:r w:rsidR="00C91E15">
        <w:rPr>
          <w:rFonts w:ascii="Arial" w:eastAsiaTheme="minorHAnsi" w:hAnsi="Arial" w:cs="Arial"/>
          <w:bCs/>
          <w:iCs/>
          <w:sz w:val="26"/>
          <w:szCs w:val="26"/>
          <w:lang w:eastAsia="es-ES"/>
        </w:rPr>
        <w:t>el</w:t>
      </w:r>
      <w:r w:rsidR="006D1DB2" w:rsidRPr="006D1DB2">
        <w:rPr>
          <w:rFonts w:ascii="Arial" w:eastAsiaTheme="minorHAnsi" w:hAnsi="Arial" w:cs="Arial"/>
          <w:bCs/>
          <w:iCs/>
          <w:sz w:val="26"/>
          <w:szCs w:val="26"/>
          <w:lang w:eastAsia="es-ES"/>
        </w:rPr>
        <w:t xml:space="preserve"> Magistrad</w:t>
      </w:r>
      <w:r w:rsidR="00C91E15">
        <w:rPr>
          <w:rFonts w:ascii="Arial" w:eastAsiaTheme="minorHAnsi" w:hAnsi="Arial" w:cs="Arial"/>
          <w:bCs/>
          <w:iCs/>
          <w:sz w:val="26"/>
          <w:szCs w:val="26"/>
          <w:lang w:eastAsia="es-ES"/>
        </w:rPr>
        <w:t>o</w:t>
      </w:r>
      <w:r w:rsidR="006D1DB2" w:rsidRPr="006D1DB2">
        <w:rPr>
          <w:rFonts w:ascii="Arial" w:eastAsiaTheme="minorHAnsi" w:hAnsi="Arial" w:cs="Arial"/>
          <w:bCs/>
          <w:iCs/>
          <w:sz w:val="26"/>
          <w:szCs w:val="26"/>
          <w:lang w:eastAsia="es-ES"/>
        </w:rPr>
        <w:t xml:space="preserve"> de la </w:t>
      </w:r>
      <w:r w:rsidR="00C91E15">
        <w:rPr>
          <w:rFonts w:ascii="Arial" w:eastAsiaTheme="minorHAnsi" w:hAnsi="Arial" w:cs="Arial"/>
          <w:bCs/>
          <w:iCs/>
          <w:sz w:val="26"/>
          <w:szCs w:val="26"/>
          <w:lang w:eastAsia="es-ES"/>
        </w:rPr>
        <w:t>Sexta</w:t>
      </w:r>
      <w:r w:rsidR="006D1DB2" w:rsidRPr="006D1DB2">
        <w:rPr>
          <w:rFonts w:ascii="Arial" w:eastAsiaTheme="minorHAnsi" w:hAnsi="Arial" w:cs="Arial"/>
          <w:bCs/>
          <w:iCs/>
          <w:sz w:val="26"/>
          <w:szCs w:val="26"/>
          <w:lang w:eastAsia="es-ES"/>
        </w:rPr>
        <w:t xml:space="preserve"> Sala Unitaria de Primera Instancia en el juicio de nulidad </w:t>
      </w:r>
      <w:r w:rsidR="006D1DB2" w:rsidRPr="006D1DB2">
        <w:rPr>
          <w:rFonts w:ascii="Arial" w:eastAsiaTheme="minorHAnsi" w:hAnsi="Arial" w:cs="Arial"/>
          <w:b/>
          <w:bCs/>
          <w:iCs/>
          <w:sz w:val="26"/>
          <w:szCs w:val="26"/>
          <w:lang w:eastAsia="es-ES"/>
        </w:rPr>
        <w:t>00</w:t>
      </w:r>
      <w:r w:rsidR="00C91E15">
        <w:rPr>
          <w:rFonts w:ascii="Arial" w:eastAsiaTheme="minorHAnsi" w:hAnsi="Arial" w:cs="Arial"/>
          <w:b/>
          <w:bCs/>
          <w:iCs/>
          <w:sz w:val="26"/>
          <w:szCs w:val="26"/>
          <w:lang w:eastAsia="es-ES"/>
        </w:rPr>
        <w:t>8</w:t>
      </w:r>
      <w:r w:rsidR="006D1DB2" w:rsidRPr="006D1DB2">
        <w:rPr>
          <w:rFonts w:ascii="Arial" w:eastAsiaTheme="minorHAnsi" w:hAnsi="Arial" w:cs="Arial"/>
          <w:b/>
          <w:bCs/>
          <w:iCs/>
          <w:sz w:val="26"/>
          <w:szCs w:val="26"/>
          <w:lang w:eastAsia="es-ES"/>
        </w:rPr>
        <w:t>7/2019</w:t>
      </w:r>
      <w:r w:rsidR="006D1DB2" w:rsidRPr="006D1DB2">
        <w:rPr>
          <w:rFonts w:ascii="Arial" w:eastAsiaTheme="minorHAnsi" w:hAnsi="Arial" w:cs="Arial"/>
          <w:bCs/>
          <w:iCs/>
          <w:sz w:val="26"/>
          <w:szCs w:val="26"/>
          <w:lang w:eastAsia="es-ES"/>
        </w:rPr>
        <w:t>.</w:t>
      </w:r>
      <w:r w:rsidR="00C91E15">
        <w:rPr>
          <w:rFonts w:ascii="Arial" w:eastAsiaTheme="minorHAnsi" w:hAnsi="Arial" w:cs="Arial"/>
          <w:bCs/>
          <w:iCs/>
          <w:sz w:val="26"/>
          <w:szCs w:val="26"/>
          <w:lang w:eastAsia="es-ES"/>
        </w:rPr>
        <w:t xml:space="preserve">- - - - - - - - - - - - - </w:t>
      </w:r>
      <w:r w:rsidR="00FE5DA0">
        <w:rPr>
          <w:rFonts w:ascii="Arial" w:eastAsiaTheme="minorHAnsi" w:hAnsi="Arial" w:cs="Arial"/>
          <w:bCs/>
          <w:iCs/>
          <w:sz w:val="26"/>
          <w:szCs w:val="26"/>
          <w:lang w:eastAsia="es-ES"/>
        </w:rPr>
        <w:t xml:space="preserve">- - - - - - - - - - - - </w:t>
      </w:r>
    </w:p>
    <w:p w14:paraId="266B17BF" w14:textId="77777777" w:rsidR="00FE5DA0" w:rsidRDefault="00FE5DA0" w:rsidP="00FE5DA0">
      <w:pPr>
        <w:pStyle w:val="Sinespaciado"/>
        <w:rPr>
          <w:rFonts w:eastAsiaTheme="minorHAnsi"/>
          <w:lang w:eastAsia="es-ES"/>
        </w:rPr>
      </w:pPr>
    </w:p>
    <w:p w14:paraId="0AACA994" w14:textId="6F898611" w:rsidR="006D1DB2" w:rsidRDefault="006D1DB2" w:rsidP="006A55F1">
      <w:pPr>
        <w:spacing w:after="120" w:line="360" w:lineRule="auto"/>
        <w:ind w:left="74" w:firstLine="636"/>
        <w:jc w:val="both"/>
        <w:rPr>
          <w:rFonts w:ascii="Arial" w:eastAsiaTheme="minorHAnsi" w:hAnsi="Arial" w:cs="Arial"/>
          <w:bCs/>
          <w:color w:val="000000"/>
          <w:sz w:val="26"/>
          <w:szCs w:val="26"/>
          <w:lang w:eastAsia="en-US"/>
        </w:rPr>
      </w:pPr>
      <w:r w:rsidRPr="006D1DB2">
        <w:rPr>
          <w:rFonts w:ascii="Arial" w:eastAsiaTheme="minorHAnsi" w:hAnsi="Arial" w:cs="Arial"/>
          <w:b/>
          <w:bCs/>
          <w:sz w:val="26"/>
          <w:szCs w:val="26"/>
          <w:lang w:eastAsia="en-US"/>
        </w:rPr>
        <w:t>SEGUNDO.</w:t>
      </w:r>
      <w:r w:rsidRPr="006D1DB2">
        <w:rPr>
          <w:rFonts w:ascii="Arial" w:eastAsia="Calibri" w:hAnsi="Arial" w:cs="Arial"/>
          <w:bCs/>
          <w:sz w:val="26"/>
          <w:szCs w:val="26"/>
        </w:rPr>
        <w:t xml:space="preserve"> </w:t>
      </w:r>
      <w:r w:rsidR="00C91E15">
        <w:rPr>
          <w:rFonts w:ascii="Arial" w:eastAsiaTheme="minorHAnsi" w:hAnsi="Arial" w:cs="Arial"/>
          <w:bCs/>
          <w:sz w:val="26"/>
          <w:szCs w:val="26"/>
          <w:lang w:eastAsia="en-US"/>
        </w:rPr>
        <w:t xml:space="preserve">Los </w:t>
      </w:r>
      <w:r w:rsidRPr="006D1DB2">
        <w:rPr>
          <w:rFonts w:ascii="Arial" w:eastAsiaTheme="minorHAnsi" w:hAnsi="Arial" w:cs="Arial"/>
          <w:bCs/>
          <w:sz w:val="26"/>
          <w:szCs w:val="26"/>
          <w:lang w:eastAsia="en-US"/>
        </w:rPr>
        <w:t>agravio</w:t>
      </w:r>
      <w:r w:rsidR="00C91E15">
        <w:rPr>
          <w:rFonts w:ascii="Arial" w:eastAsiaTheme="minorHAnsi" w:hAnsi="Arial" w:cs="Arial"/>
          <w:bCs/>
          <w:sz w:val="26"/>
          <w:szCs w:val="26"/>
          <w:lang w:eastAsia="en-US"/>
        </w:rPr>
        <w:t>s</w:t>
      </w:r>
      <w:r w:rsidRPr="006D1DB2">
        <w:rPr>
          <w:rFonts w:ascii="Arial" w:eastAsiaTheme="minorHAnsi" w:hAnsi="Arial" w:cs="Arial"/>
          <w:bCs/>
          <w:sz w:val="26"/>
          <w:szCs w:val="26"/>
          <w:lang w:eastAsia="en-US"/>
        </w:rPr>
        <w:t xml:space="preserve"> hecho</w:t>
      </w:r>
      <w:r w:rsidR="00C91E15">
        <w:rPr>
          <w:rFonts w:ascii="Arial" w:eastAsiaTheme="minorHAnsi" w:hAnsi="Arial" w:cs="Arial"/>
          <w:bCs/>
          <w:sz w:val="26"/>
          <w:szCs w:val="26"/>
          <w:lang w:eastAsia="en-US"/>
        </w:rPr>
        <w:t>s</w:t>
      </w:r>
      <w:r w:rsidRPr="006D1DB2">
        <w:rPr>
          <w:rFonts w:ascii="Arial" w:eastAsiaTheme="minorHAnsi" w:hAnsi="Arial" w:cs="Arial"/>
          <w:bCs/>
          <w:sz w:val="26"/>
          <w:szCs w:val="26"/>
          <w:lang w:eastAsia="en-US"/>
        </w:rPr>
        <w:t xml:space="preserve"> valer se encuentra</w:t>
      </w:r>
      <w:r w:rsidR="00C91E15">
        <w:rPr>
          <w:rFonts w:ascii="Arial" w:eastAsiaTheme="minorHAnsi" w:hAnsi="Arial" w:cs="Arial"/>
          <w:bCs/>
          <w:sz w:val="26"/>
          <w:szCs w:val="26"/>
          <w:lang w:eastAsia="en-US"/>
        </w:rPr>
        <w:t>n</w:t>
      </w:r>
      <w:r w:rsidRPr="006D1DB2">
        <w:rPr>
          <w:rFonts w:ascii="Arial" w:eastAsiaTheme="minorHAnsi" w:hAnsi="Arial" w:cs="Arial"/>
          <w:bCs/>
          <w:sz w:val="26"/>
          <w:szCs w:val="26"/>
          <w:lang w:eastAsia="en-US"/>
        </w:rPr>
        <w:t xml:space="preserve"> expuesto</w:t>
      </w:r>
      <w:r w:rsidR="00C91E15">
        <w:rPr>
          <w:rFonts w:ascii="Arial" w:eastAsiaTheme="minorHAnsi" w:hAnsi="Arial" w:cs="Arial"/>
          <w:bCs/>
          <w:sz w:val="26"/>
          <w:szCs w:val="26"/>
          <w:lang w:eastAsia="en-US"/>
        </w:rPr>
        <w:t>s</w:t>
      </w:r>
      <w:r w:rsidRPr="006D1DB2">
        <w:rPr>
          <w:rFonts w:ascii="Arial" w:eastAsiaTheme="minorHAnsi" w:hAnsi="Arial" w:cs="Arial"/>
          <w:bCs/>
          <w:sz w:val="26"/>
          <w:szCs w:val="26"/>
          <w:lang w:eastAsia="en-US"/>
        </w:rPr>
        <w:t xml:space="preserve"> en el escrito de la recurrente, por lo que no existe necesidad de transcribirlo, al no transgredírsele derecho alguno, como tampoco se vulnera disposición expresa que imponga tal obligación</w:t>
      </w:r>
      <w:r w:rsidRPr="006D1DB2">
        <w:rPr>
          <w:rFonts w:ascii="Arial" w:eastAsiaTheme="minorHAnsi" w:hAnsi="Arial" w:cs="Arial"/>
          <w:sz w:val="26"/>
          <w:szCs w:val="26"/>
          <w:lang w:eastAsia="en-US"/>
        </w:rPr>
        <w:t xml:space="preserve">. </w:t>
      </w:r>
      <w:r w:rsidRPr="006D1DB2">
        <w:rPr>
          <w:rFonts w:ascii="Arial" w:eastAsiaTheme="minorHAnsi" w:hAnsi="Arial" w:cs="Arial"/>
          <w:bCs/>
          <w:color w:val="000000"/>
          <w:sz w:val="26"/>
          <w:szCs w:val="26"/>
          <w:lang w:eastAsia="en-US"/>
        </w:rPr>
        <w:t>Se invoca en apoyo, la Tesis, con número de registro 254280, publicada en la Gaceta del Semanario Judicial de la Federación, Volumen 81, Sexta Parte, Séptima  Época, pagina 23, bajo el rubro y texto siguiente:</w:t>
      </w:r>
      <w:r w:rsidR="00C91E15">
        <w:rPr>
          <w:rFonts w:ascii="Arial" w:eastAsiaTheme="minorHAnsi" w:hAnsi="Arial" w:cs="Arial"/>
          <w:bCs/>
          <w:color w:val="000000"/>
          <w:sz w:val="26"/>
          <w:szCs w:val="26"/>
          <w:lang w:eastAsia="en-US"/>
        </w:rPr>
        <w:t xml:space="preserve">- - - - - - - - - - </w:t>
      </w:r>
    </w:p>
    <w:p w14:paraId="09E91DFC" w14:textId="77777777" w:rsidR="003B669D" w:rsidRPr="00C91E15" w:rsidRDefault="003B669D" w:rsidP="003B669D">
      <w:pPr>
        <w:pStyle w:val="Sinespaciado"/>
        <w:rPr>
          <w:rFonts w:eastAsia="Times New Roman"/>
          <w:lang w:eastAsia="es-ES"/>
        </w:rPr>
      </w:pPr>
    </w:p>
    <w:p w14:paraId="1CF25707" w14:textId="0AD90777" w:rsidR="006D1DB2" w:rsidRDefault="006D1DB2" w:rsidP="006A55F1">
      <w:pPr>
        <w:spacing w:after="120" w:line="360" w:lineRule="auto"/>
        <w:ind w:left="992" w:right="902"/>
        <w:jc w:val="both"/>
        <w:rPr>
          <w:rFonts w:ascii="Arial" w:eastAsiaTheme="minorHAnsi" w:hAnsi="Arial" w:cs="Arial"/>
          <w:bCs/>
          <w:color w:val="000000"/>
          <w:lang w:eastAsia="en-US"/>
        </w:rPr>
      </w:pPr>
      <w:r w:rsidRPr="006D1DB2">
        <w:rPr>
          <w:rFonts w:ascii="Arial" w:eastAsiaTheme="minorHAnsi" w:hAnsi="Arial" w:cs="Arial"/>
          <w:b/>
          <w:bCs/>
          <w:i/>
          <w:color w:val="000000"/>
          <w:lang w:eastAsia="en-US"/>
        </w:rPr>
        <w:t>“CONCEPTOS DE VIOLACIÓN. NO ES OBLIGATORIO TRANSCRIBIRLOS EN LA SENTENCIA</w:t>
      </w:r>
      <w:r w:rsidRPr="006D1DB2">
        <w:rPr>
          <w:rFonts w:ascii="Arial" w:eastAsiaTheme="minorHAnsi" w:hAnsi="Arial" w:cs="Arial"/>
          <w:bCs/>
          <w:i/>
          <w:color w:val="000000"/>
          <w:lang w:eastAsia="en-US"/>
        </w:rPr>
        <w:t xml:space="preserve">. Aun cuando sea verdad que el juzgador no transcriba en su integridad los conceptos de violación externados por la quejosa en su demanda de garantías, a pesar de indicarlo así en su sentencia, también lo es que tal </w:t>
      </w:r>
      <w:r w:rsidRPr="006D1DB2">
        <w:rPr>
          <w:rFonts w:ascii="Arial" w:eastAsiaTheme="minorHAnsi" w:hAnsi="Arial" w:cs="Arial"/>
          <w:bCs/>
          <w:i/>
          <w:color w:val="000000"/>
          <w:lang w:eastAsia="en-US"/>
        </w:rPr>
        <w:lastRenderedPageBreak/>
        <w:t>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 -</w:t>
      </w:r>
      <w:r w:rsidRPr="006D1DB2">
        <w:rPr>
          <w:rFonts w:ascii="Arial" w:eastAsiaTheme="minorHAnsi" w:hAnsi="Arial" w:cs="Arial"/>
          <w:bCs/>
          <w:color w:val="000000"/>
          <w:lang w:eastAsia="en-US"/>
        </w:rPr>
        <w:t xml:space="preserve"> - - - - - - - - - - - - </w:t>
      </w:r>
    </w:p>
    <w:p w14:paraId="43000625" w14:textId="77777777" w:rsidR="00EA03BD" w:rsidRPr="006D1DB2" w:rsidRDefault="00EA03BD" w:rsidP="00EA03BD">
      <w:pPr>
        <w:pStyle w:val="Sinespaciado"/>
        <w:rPr>
          <w:rFonts w:eastAsiaTheme="minorHAnsi"/>
          <w:lang w:eastAsia="en-US"/>
        </w:rPr>
      </w:pPr>
    </w:p>
    <w:p w14:paraId="1F549EEE" w14:textId="03325764" w:rsidR="00561E8A" w:rsidRDefault="006D1DB2" w:rsidP="00561E8A">
      <w:pPr>
        <w:spacing w:after="0" w:line="360" w:lineRule="auto"/>
        <w:ind w:firstLine="709"/>
        <w:jc w:val="both"/>
        <w:rPr>
          <w:rFonts w:ascii="Arial" w:eastAsia="Calibri" w:hAnsi="Arial" w:cs="Arial"/>
          <w:bCs/>
          <w:sz w:val="26"/>
          <w:szCs w:val="26"/>
          <w:lang w:eastAsia="en-US"/>
        </w:rPr>
      </w:pPr>
      <w:r w:rsidRPr="006D1DB2">
        <w:rPr>
          <w:rFonts w:ascii="Arial" w:eastAsia="Calibri" w:hAnsi="Arial" w:cs="Arial"/>
          <w:b/>
          <w:bCs/>
          <w:sz w:val="26"/>
          <w:szCs w:val="26"/>
        </w:rPr>
        <w:t xml:space="preserve">TERCERO. </w:t>
      </w:r>
      <w:r w:rsidRPr="006D1DB2">
        <w:rPr>
          <w:rFonts w:ascii="Arial" w:eastAsia="Calibri" w:hAnsi="Arial" w:cs="Arial"/>
          <w:bCs/>
          <w:sz w:val="26"/>
          <w:szCs w:val="26"/>
          <w:lang w:eastAsia="en-US"/>
        </w:rPr>
        <w:t xml:space="preserve">Señala la recurrente </w:t>
      </w:r>
      <w:r w:rsidR="00D55F0A">
        <w:rPr>
          <w:rFonts w:ascii="Arial" w:eastAsia="Calibri" w:hAnsi="Arial" w:cs="Arial"/>
          <w:bCs/>
          <w:sz w:val="26"/>
          <w:szCs w:val="26"/>
          <w:lang w:eastAsia="en-US"/>
        </w:rPr>
        <w:t xml:space="preserve">en su </w:t>
      </w:r>
      <w:r w:rsidR="00D55F0A" w:rsidRPr="00005D78">
        <w:rPr>
          <w:rFonts w:ascii="Arial" w:eastAsia="Calibri" w:hAnsi="Arial" w:cs="Arial"/>
          <w:b/>
          <w:bCs/>
          <w:sz w:val="26"/>
          <w:szCs w:val="26"/>
          <w:lang w:eastAsia="en-US"/>
        </w:rPr>
        <w:t>primer agravio</w:t>
      </w:r>
      <w:r w:rsidR="00D55F0A">
        <w:rPr>
          <w:rFonts w:ascii="Arial" w:eastAsia="Calibri" w:hAnsi="Arial" w:cs="Arial"/>
          <w:bCs/>
          <w:sz w:val="26"/>
          <w:szCs w:val="26"/>
          <w:lang w:eastAsia="en-US"/>
        </w:rPr>
        <w:t xml:space="preserve">, </w:t>
      </w:r>
      <w:r w:rsidRPr="006D1DB2">
        <w:rPr>
          <w:rFonts w:ascii="Arial" w:eastAsia="Calibri" w:hAnsi="Arial" w:cs="Arial"/>
          <w:bCs/>
          <w:sz w:val="26"/>
          <w:szCs w:val="26"/>
          <w:lang w:eastAsia="en-US"/>
        </w:rPr>
        <w:t xml:space="preserve">que le causa </w:t>
      </w:r>
      <w:r w:rsidR="00D55F0A">
        <w:rPr>
          <w:rFonts w:ascii="Arial" w:eastAsia="Calibri" w:hAnsi="Arial" w:cs="Arial"/>
          <w:bCs/>
          <w:sz w:val="26"/>
          <w:szCs w:val="26"/>
          <w:lang w:eastAsia="en-US"/>
        </w:rPr>
        <w:t>perjuicio</w:t>
      </w:r>
      <w:r w:rsidRPr="006D1DB2">
        <w:rPr>
          <w:rFonts w:ascii="Arial" w:eastAsia="Calibri" w:hAnsi="Arial" w:cs="Arial"/>
          <w:bCs/>
          <w:sz w:val="26"/>
          <w:szCs w:val="26"/>
          <w:lang w:eastAsia="en-US"/>
        </w:rPr>
        <w:t xml:space="preserve"> </w:t>
      </w:r>
      <w:r w:rsidR="00DF4ABE">
        <w:rPr>
          <w:rFonts w:ascii="Arial" w:eastAsia="Calibri" w:hAnsi="Arial" w:cs="Arial"/>
          <w:bCs/>
          <w:sz w:val="26"/>
          <w:szCs w:val="26"/>
          <w:lang w:eastAsia="en-US"/>
        </w:rPr>
        <w:t>la resolución que combate, porque el Magistrado de Primera Instancia consider</w:t>
      </w:r>
      <w:r w:rsidR="007A6C65">
        <w:rPr>
          <w:rFonts w:ascii="Arial" w:eastAsia="Calibri" w:hAnsi="Arial" w:cs="Arial"/>
          <w:bCs/>
          <w:sz w:val="26"/>
          <w:szCs w:val="26"/>
          <w:lang w:eastAsia="en-US"/>
        </w:rPr>
        <w:t>a</w:t>
      </w:r>
      <w:r w:rsidR="00DF4ABE">
        <w:rPr>
          <w:rFonts w:ascii="Arial" w:eastAsia="Calibri" w:hAnsi="Arial" w:cs="Arial"/>
          <w:bCs/>
          <w:sz w:val="26"/>
          <w:szCs w:val="26"/>
          <w:lang w:eastAsia="en-US"/>
        </w:rPr>
        <w:t xml:space="preserve"> que sus conceptos de impugnación son ineficaces, sin embargo dice que dichos argumentos se tildan de ilegales e inconstitucionales</w:t>
      </w:r>
      <w:r w:rsidR="009865CA">
        <w:rPr>
          <w:rFonts w:ascii="Arial" w:eastAsia="Calibri" w:hAnsi="Arial" w:cs="Arial"/>
          <w:bCs/>
          <w:sz w:val="26"/>
          <w:szCs w:val="26"/>
          <w:lang w:eastAsia="en-US"/>
        </w:rPr>
        <w:t xml:space="preserve"> </w:t>
      </w:r>
      <w:r w:rsidR="002912EF">
        <w:rPr>
          <w:rFonts w:ascii="Arial" w:eastAsia="Calibri" w:hAnsi="Arial" w:cs="Arial"/>
          <w:bCs/>
          <w:sz w:val="26"/>
          <w:szCs w:val="26"/>
          <w:lang w:eastAsia="en-US"/>
        </w:rPr>
        <w:t xml:space="preserve">porque </w:t>
      </w:r>
      <w:r w:rsidR="009865CA">
        <w:rPr>
          <w:rFonts w:ascii="Arial" w:eastAsia="Calibri" w:hAnsi="Arial" w:cs="Arial"/>
          <w:bCs/>
          <w:sz w:val="26"/>
          <w:szCs w:val="26"/>
          <w:lang w:eastAsia="en-US"/>
        </w:rPr>
        <w:t>dej</w:t>
      </w:r>
      <w:r w:rsidR="00083849">
        <w:rPr>
          <w:rFonts w:ascii="Arial" w:eastAsia="Calibri" w:hAnsi="Arial" w:cs="Arial"/>
          <w:bCs/>
          <w:sz w:val="26"/>
          <w:szCs w:val="26"/>
          <w:lang w:eastAsia="en-US"/>
        </w:rPr>
        <w:t>a</w:t>
      </w:r>
      <w:r w:rsidR="009865CA">
        <w:rPr>
          <w:rFonts w:ascii="Arial" w:eastAsia="Calibri" w:hAnsi="Arial" w:cs="Arial"/>
          <w:bCs/>
          <w:sz w:val="26"/>
          <w:szCs w:val="26"/>
          <w:lang w:eastAsia="en-US"/>
        </w:rPr>
        <w:t xml:space="preserve"> de aplicar lo que establece el artículo 207 de la Ley de Procedimiento y Justicia Administrativa para el Estado de </w:t>
      </w:r>
      <w:r w:rsidR="007A6C65">
        <w:rPr>
          <w:rFonts w:ascii="Arial" w:eastAsia="Calibri" w:hAnsi="Arial" w:cs="Arial"/>
          <w:bCs/>
          <w:sz w:val="26"/>
          <w:szCs w:val="26"/>
          <w:lang w:eastAsia="en-US"/>
        </w:rPr>
        <w:t xml:space="preserve">Oaxaca, </w:t>
      </w:r>
      <w:r w:rsidR="00083849">
        <w:rPr>
          <w:rFonts w:ascii="Arial" w:eastAsia="Calibri" w:hAnsi="Arial" w:cs="Arial"/>
          <w:bCs/>
          <w:sz w:val="26"/>
          <w:szCs w:val="26"/>
          <w:lang w:eastAsia="en-US"/>
        </w:rPr>
        <w:t>porque</w:t>
      </w:r>
      <w:r w:rsidR="007A6C65">
        <w:rPr>
          <w:rFonts w:ascii="Arial" w:eastAsia="Calibri" w:hAnsi="Arial" w:cs="Arial"/>
          <w:bCs/>
          <w:sz w:val="26"/>
          <w:szCs w:val="26"/>
          <w:lang w:eastAsia="en-US"/>
        </w:rPr>
        <w:t xml:space="preserve"> que </w:t>
      </w:r>
      <w:r w:rsidR="00614E2D">
        <w:rPr>
          <w:rFonts w:ascii="Arial" w:eastAsia="Calibri" w:hAnsi="Arial" w:cs="Arial"/>
          <w:bCs/>
          <w:sz w:val="26"/>
          <w:szCs w:val="26"/>
          <w:lang w:eastAsia="en-US"/>
        </w:rPr>
        <w:t xml:space="preserve">el Magistrado </w:t>
      </w:r>
      <w:r w:rsidR="007A6C65">
        <w:rPr>
          <w:rFonts w:ascii="Arial" w:eastAsia="Calibri" w:hAnsi="Arial" w:cs="Arial"/>
          <w:bCs/>
          <w:sz w:val="26"/>
          <w:szCs w:val="26"/>
          <w:lang w:eastAsia="en-US"/>
        </w:rPr>
        <w:t xml:space="preserve">no hace una fijación clara y precisa de los puntos controvertidos ni hace un examen y valoración de las pruebas rendidas, </w:t>
      </w:r>
      <w:r w:rsidR="00950702">
        <w:rPr>
          <w:rFonts w:ascii="Arial" w:eastAsia="Calibri" w:hAnsi="Arial" w:cs="Arial"/>
          <w:bCs/>
          <w:sz w:val="26"/>
          <w:szCs w:val="26"/>
          <w:lang w:eastAsia="en-US"/>
        </w:rPr>
        <w:t>y</w:t>
      </w:r>
      <w:r w:rsidR="007A6C65">
        <w:rPr>
          <w:rFonts w:ascii="Arial" w:eastAsia="Calibri" w:hAnsi="Arial" w:cs="Arial"/>
          <w:bCs/>
          <w:sz w:val="26"/>
          <w:szCs w:val="26"/>
          <w:lang w:eastAsia="en-US"/>
        </w:rPr>
        <w:t xml:space="preserve"> tampoco hace una exposición debidamente fundada y motivada de las consideraciones en que basa su resolución, sino únicamente se limita a resolver que el oficio número </w:t>
      </w:r>
      <w:r w:rsidR="00D1680F">
        <w:rPr>
          <w:rFonts w:ascii="Arial" w:hAnsi="Arial" w:cs="Arial"/>
          <w:b/>
          <w:sz w:val="26"/>
          <w:szCs w:val="26"/>
        </w:rPr>
        <w:t>***********</w:t>
      </w:r>
      <w:r w:rsidR="00D1680F">
        <w:rPr>
          <w:rFonts w:ascii="Arial" w:hAnsi="Arial" w:cs="Arial"/>
          <w:b/>
          <w:sz w:val="26"/>
          <w:szCs w:val="26"/>
        </w:rPr>
        <w:t xml:space="preserve"> </w:t>
      </w:r>
      <w:r w:rsidR="007A6C65">
        <w:rPr>
          <w:rFonts w:ascii="Arial" w:eastAsia="Calibri" w:hAnsi="Arial" w:cs="Arial"/>
          <w:bCs/>
          <w:sz w:val="26"/>
          <w:szCs w:val="26"/>
          <w:lang w:eastAsia="en-US"/>
        </w:rPr>
        <w:t xml:space="preserve">no está debidamente fundado y motivado.- - </w:t>
      </w:r>
      <w:r w:rsidR="00C3089D">
        <w:rPr>
          <w:rFonts w:ascii="Arial" w:eastAsia="Calibri" w:hAnsi="Arial" w:cs="Arial"/>
          <w:bCs/>
          <w:sz w:val="26"/>
          <w:szCs w:val="26"/>
          <w:lang w:eastAsia="en-US"/>
        </w:rPr>
        <w:t xml:space="preserve">- - - - - - </w:t>
      </w:r>
      <w:r w:rsidR="006311E2">
        <w:rPr>
          <w:rFonts w:ascii="Arial" w:eastAsia="Calibri" w:hAnsi="Arial" w:cs="Arial"/>
          <w:bCs/>
          <w:sz w:val="26"/>
          <w:szCs w:val="26"/>
          <w:lang w:eastAsia="en-US"/>
        </w:rPr>
        <w:t xml:space="preserve">- - - - - - - - - - - - - - </w:t>
      </w:r>
      <w:r w:rsidR="00D1680F">
        <w:rPr>
          <w:rFonts w:ascii="Arial" w:eastAsia="Calibri" w:hAnsi="Arial" w:cs="Arial"/>
          <w:bCs/>
          <w:sz w:val="26"/>
          <w:szCs w:val="26"/>
          <w:lang w:eastAsia="en-US"/>
        </w:rPr>
        <w:t xml:space="preserve">- - - - - - </w:t>
      </w:r>
    </w:p>
    <w:p w14:paraId="15B1FAD8" w14:textId="77777777" w:rsidR="00FC1D0F" w:rsidRDefault="00FC1D0F" w:rsidP="00FC1D0F">
      <w:pPr>
        <w:pStyle w:val="Sinespaciado"/>
        <w:rPr>
          <w:rFonts w:eastAsia="Calibri"/>
          <w:lang w:eastAsia="en-US"/>
        </w:rPr>
      </w:pPr>
    </w:p>
    <w:p w14:paraId="54CF3118" w14:textId="682EFE95" w:rsidR="00561E8A" w:rsidRDefault="004733D2" w:rsidP="00561E8A">
      <w:pPr>
        <w:spacing w:after="0" w:line="360" w:lineRule="auto"/>
        <w:ind w:firstLine="709"/>
        <w:jc w:val="both"/>
        <w:rPr>
          <w:rFonts w:ascii="Arial" w:eastAsia="Calibri" w:hAnsi="Arial" w:cs="Arial"/>
          <w:bCs/>
          <w:sz w:val="26"/>
          <w:szCs w:val="26"/>
          <w:lang w:eastAsia="en-US"/>
        </w:rPr>
      </w:pPr>
      <w:r>
        <w:rPr>
          <w:rFonts w:ascii="Arial" w:eastAsia="Calibri" w:hAnsi="Arial" w:cs="Arial"/>
          <w:bCs/>
          <w:sz w:val="26"/>
          <w:szCs w:val="26"/>
          <w:lang w:eastAsia="en-US"/>
        </w:rPr>
        <w:t>Sigue diciendo que con la resolución, el Magistrado de Primera Instancia evita hacer un estudio adecuado de todo lo actuado en el asunto, transgrediendo así los principios de legalidad, exhaustividad, congruencia y progresividad</w:t>
      </w:r>
      <w:r w:rsidR="00315D94">
        <w:rPr>
          <w:rFonts w:ascii="Arial" w:eastAsia="Calibri" w:hAnsi="Arial" w:cs="Arial"/>
          <w:bCs/>
          <w:sz w:val="26"/>
          <w:szCs w:val="26"/>
          <w:lang w:eastAsia="en-US"/>
        </w:rPr>
        <w:t>, esto</w:t>
      </w:r>
      <w:r w:rsidR="004518AA">
        <w:rPr>
          <w:rFonts w:ascii="Arial" w:eastAsia="Calibri" w:hAnsi="Arial" w:cs="Arial"/>
          <w:bCs/>
          <w:sz w:val="26"/>
          <w:szCs w:val="26"/>
          <w:lang w:eastAsia="en-US"/>
        </w:rPr>
        <w:t>,</w:t>
      </w:r>
      <w:r w:rsidR="00315D94">
        <w:rPr>
          <w:rFonts w:ascii="Arial" w:eastAsia="Calibri" w:hAnsi="Arial" w:cs="Arial"/>
          <w:bCs/>
          <w:sz w:val="26"/>
          <w:szCs w:val="26"/>
          <w:lang w:eastAsia="en-US"/>
        </w:rPr>
        <w:t xml:space="preserve"> porque las autoridades solo pueden hacer lo que la ley les permite, </w:t>
      </w:r>
      <w:r w:rsidR="00B90606">
        <w:rPr>
          <w:rFonts w:ascii="Arial" w:eastAsia="Calibri" w:hAnsi="Arial" w:cs="Arial"/>
          <w:bCs/>
          <w:sz w:val="26"/>
          <w:szCs w:val="26"/>
          <w:lang w:eastAsia="en-US"/>
        </w:rPr>
        <w:t xml:space="preserve">y que dentro del sistema constitucional que nos rige, ninguna autoridad puede dictar disposición alguna que no encuentre apoyo en un precepto de la Ley, </w:t>
      </w:r>
      <w:r w:rsidR="004518AA">
        <w:rPr>
          <w:rFonts w:ascii="Arial" w:eastAsia="Calibri" w:hAnsi="Arial" w:cs="Arial"/>
          <w:bCs/>
          <w:sz w:val="26"/>
          <w:szCs w:val="26"/>
          <w:lang w:eastAsia="en-US"/>
        </w:rPr>
        <w:t>al ser</w:t>
      </w:r>
      <w:r w:rsidR="00B90606">
        <w:rPr>
          <w:rFonts w:ascii="Arial" w:eastAsia="Calibri" w:hAnsi="Arial" w:cs="Arial"/>
          <w:bCs/>
          <w:sz w:val="26"/>
          <w:szCs w:val="26"/>
          <w:lang w:eastAsia="en-US"/>
        </w:rPr>
        <w:t xml:space="preserve"> requisitos establecidos en el artículo 16 constitucional, lo que implica la obligación de las autoridades de actuar siempre con apego a la leyes y a la propia constitución, por ello</w:t>
      </w:r>
      <w:r w:rsidR="00561E8A">
        <w:rPr>
          <w:rFonts w:ascii="Arial" w:eastAsia="Calibri" w:hAnsi="Arial" w:cs="Arial"/>
          <w:bCs/>
          <w:sz w:val="26"/>
          <w:szCs w:val="26"/>
          <w:lang w:eastAsia="en-US"/>
        </w:rPr>
        <w:t>,</w:t>
      </w:r>
      <w:r w:rsidR="004518AA">
        <w:rPr>
          <w:rFonts w:ascii="Arial" w:eastAsia="Calibri" w:hAnsi="Arial" w:cs="Arial"/>
          <w:bCs/>
          <w:sz w:val="26"/>
          <w:szCs w:val="26"/>
          <w:lang w:eastAsia="en-US"/>
        </w:rPr>
        <w:t xml:space="preserve"> </w:t>
      </w:r>
      <w:r w:rsidR="00561E8A">
        <w:rPr>
          <w:rFonts w:ascii="Arial" w:eastAsia="Calibri" w:hAnsi="Arial" w:cs="Arial"/>
          <w:bCs/>
          <w:sz w:val="26"/>
          <w:szCs w:val="26"/>
          <w:lang w:eastAsia="en-US"/>
        </w:rPr>
        <w:t>indica</w:t>
      </w:r>
      <w:r w:rsidR="004518AA">
        <w:rPr>
          <w:rFonts w:ascii="Arial" w:eastAsia="Calibri" w:hAnsi="Arial" w:cs="Arial"/>
          <w:bCs/>
          <w:sz w:val="26"/>
          <w:szCs w:val="26"/>
          <w:lang w:eastAsia="en-US"/>
        </w:rPr>
        <w:t xml:space="preserve"> que</w:t>
      </w:r>
      <w:r w:rsidR="00B90606">
        <w:rPr>
          <w:rFonts w:ascii="Arial" w:eastAsia="Calibri" w:hAnsi="Arial" w:cs="Arial"/>
          <w:bCs/>
          <w:sz w:val="26"/>
          <w:szCs w:val="26"/>
          <w:lang w:eastAsia="en-US"/>
        </w:rPr>
        <w:t xml:space="preserve"> la autoridad que resolvió se encontraba obligada a decidir las controversias planteadas, así como </w:t>
      </w:r>
      <w:r w:rsidR="004518AA">
        <w:rPr>
          <w:rFonts w:ascii="Arial" w:eastAsia="Calibri" w:hAnsi="Arial" w:cs="Arial"/>
          <w:bCs/>
          <w:sz w:val="26"/>
          <w:szCs w:val="26"/>
          <w:lang w:eastAsia="en-US"/>
        </w:rPr>
        <w:t xml:space="preserve">de las </w:t>
      </w:r>
      <w:r w:rsidR="00B90606">
        <w:rPr>
          <w:rFonts w:ascii="Arial" w:eastAsia="Calibri" w:hAnsi="Arial" w:cs="Arial"/>
          <w:bCs/>
          <w:sz w:val="26"/>
          <w:szCs w:val="26"/>
          <w:lang w:eastAsia="en-US"/>
        </w:rPr>
        <w:t xml:space="preserve">pretensiones deducidas oportunamente en el juicio, de tal forma de que se condene o absuelva al demandado, resolviendo sobre todos y cada uno de los puntos litigiosos que hubiesen sido materia de debate.- - - - - </w:t>
      </w:r>
    </w:p>
    <w:p w14:paraId="76673530" w14:textId="77777777" w:rsidR="00561E8A" w:rsidRDefault="00B90606" w:rsidP="00561E8A">
      <w:pPr>
        <w:spacing w:after="0" w:line="360" w:lineRule="auto"/>
        <w:ind w:firstLine="709"/>
        <w:jc w:val="both"/>
        <w:rPr>
          <w:rFonts w:ascii="Arial" w:eastAsia="Calibri" w:hAnsi="Arial" w:cs="Arial"/>
          <w:bCs/>
          <w:sz w:val="26"/>
          <w:szCs w:val="26"/>
          <w:lang w:eastAsia="en-US"/>
        </w:rPr>
      </w:pPr>
      <w:r>
        <w:rPr>
          <w:rFonts w:ascii="Arial" w:eastAsia="Calibri" w:hAnsi="Arial" w:cs="Arial"/>
          <w:bCs/>
          <w:sz w:val="26"/>
          <w:szCs w:val="26"/>
          <w:lang w:eastAsia="en-US"/>
        </w:rPr>
        <w:t>Por lo que dice</w:t>
      </w:r>
      <w:r w:rsidR="004518AA">
        <w:rPr>
          <w:rFonts w:ascii="Arial" w:eastAsia="Calibri" w:hAnsi="Arial" w:cs="Arial"/>
          <w:bCs/>
          <w:sz w:val="26"/>
          <w:szCs w:val="26"/>
          <w:lang w:eastAsia="en-US"/>
        </w:rPr>
        <w:t>,</w:t>
      </w:r>
      <w:r>
        <w:rPr>
          <w:rFonts w:ascii="Arial" w:eastAsia="Calibri" w:hAnsi="Arial" w:cs="Arial"/>
          <w:bCs/>
          <w:sz w:val="26"/>
          <w:szCs w:val="26"/>
          <w:lang w:eastAsia="en-US"/>
        </w:rPr>
        <w:t xml:space="preserve"> que la responsable dictó resolución el diecisiete de febrero de dos mil veinte, tomando en cu</w:t>
      </w:r>
      <w:r w:rsidR="00D55F0A">
        <w:rPr>
          <w:rFonts w:ascii="Arial" w:eastAsia="Calibri" w:hAnsi="Arial" w:cs="Arial"/>
          <w:bCs/>
          <w:sz w:val="26"/>
          <w:szCs w:val="26"/>
          <w:lang w:eastAsia="en-US"/>
        </w:rPr>
        <w:t>e</w:t>
      </w:r>
      <w:r>
        <w:rPr>
          <w:rFonts w:ascii="Arial" w:eastAsia="Calibri" w:hAnsi="Arial" w:cs="Arial"/>
          <w:bCs/>
          <w:sz w:val="26"/>
          <w:szCs w:val="26"/>
          <w:lang w:eastAsia="en-US"/>
        </w:rPr>
        <w:t xml:space="preserve">nta sólo </w:t>
      </w:r>
      <w:r w:rsidR="00D55F0A">
        <w:rPr>
          <w:rFonts w:ascii="Arial" w:eastAsia="Calibri" w:hAnsi="Arial" w:cs="Arial"/>
          <w:bCs/>
          <w:sz w:val="26"/>
          <w:szCs w:val="26"/>
          <w:lang w:eastAsia="en-US"/>
        </w:rPr>
        <w:t xml:space="preserve">de manera parcial la demanda de nulidad, además de que resuelve en relación a cuestiones que no fueron planteadas en el juicio, por lo que la sentencia no es precisa ni congruente causándole agravios.- - - - - - - - - - - - - - - - </w:t>
      </w:r>
    </w:p>
    <w:p w14:paraId="00120A7D" w14:textId="187954FD" w:rsidR="002E2968" w:rsidRDefault="002E2968" w:rsidP="002E2968">
      <w:pPr>
        <w:pStyle w:val="Sinespaciado"/>
        <w:spacing w:line="360" w:lineRule="auto"/>
        <w:ind w:firstLine="709"/>
        <w:jc w:val="both"/>
        <w:rPr>
          <w:rFonts w:ascii="Arial" w:hAnsi="Arial" w:cs="Arial"/>
          <w:bCs/>
          <w:sz w:val="26"/>
          <w:szCs w:val="26"/>
        </w:rPr>
      </w:pPr>
      <w:r>
        <w:rPr>
          <w:rFonts w:ascii="Arial" w:hAnsi="Arial" w:cs="Arial"/>
          <w:bCs/>
          <w:color w:val="000000"/>
          <w:sz w:val="26"/>
          <w:szCs w:val="26"/>
          <w:lang w:val="es-MX"/>
        </w:rPr>
        <w:lastRenderedPageBreak/>
        <w:t xml:space="preserve">Dicho agravio </w:t>
      </w:r>
      <w:r w:rsidRPr="005D2DDC">
        <w:rPr>
          <w:rFonts w:ascii="Arial" w:hAnsi="Arial" w:cs="Arial"/>
          <w:b/>
          <w:bCs/>
          <w:color w:val="000000"/>
          <w:sz w:val="26"/>
          <w:szCs w:val="26"/>
          <w:lang w:val="es-MX"/>
        </w:rPr>
        <w:t>resulta inoperante</w:t>
      </w:r>
      <w:r>
        <w:rPr>
          <w:rFonts w:ascii="Arial" w:hAnsi="Arial" w:cs="Arial"/>
          <w:bCs/>
          <w:color w:val="000000"/>
          <w:sz w:val="26"/>
          <w:szCs w:val="26"/>
          <w:lang w:val="es-MX"/>
        </w:rPr>
        <w:t>, porque</w:t>
      </w:r>
      <w:r>
        <w:rPr>
          <w:rFonts w:ascii="Arial" w:hAnsi="Arial" w:cs="Arial"/>
          <w:bCs/>
          <w:color w:val="000000"/>
          <w:sz w:val="26"/>
          <w:szCs w:val="26"/>
        </w:rPr>
        <w:t xml:space="preserve"> no controvierte la declaración de nulidad de la primera instancia; es decir, para ser considerado como agravio, era necesario que expusiera cual es el precepto violado por la resolutora, así como debían indicar las razones que estima son suficientes para combatir la determinación de la juzgadora primigenia, y explicar en todo caso porque no procede la nulidad decretada, lo que no logran al tratarse de meras afirmaciones sin sustento legal alguno, </w:t>
      </w:r>
      <w:r>
        <w:rPr>
          <w:rFonts w:ascii="Arial" w:hAnsi="Arial" w:cs="Arial"/>
          <w:bCs/>
          <w:sz w:val="26"/>
          <w:szCs w:val="26"/>
        </w:rPr>
        <w:t>además se trata de argumentos genéricos, ambiguos y que en manera alguna explican la forma en que la sentencia le agravia. - - - - - - - - - - - - - - - - - - - - - - - - - - - - - - - - - - -  --  - - - - - - -</w:t>
      </w:r>
    </w:p>
    <w:p w14:paraId="01BE3F23" w14:textId="77777777" w:rsidR="00DD6A8B" w:rsidRPr="00DD6A8B" w:rsidRDefault="00DD6A8B" w:rsidP="00DD6A8B">
      <w:pPr>
        <w:pStyle w:val="Sinespaciado"/>
      </w:pPr>
    </w:p>
    <w:p w14:paraId="4F28FE74" w14:textId="7A88D14B" w:rsidR="002E2968" w:rsidRDefault="002E2968" w:rsidP="002E2968">
      <w:pPr>
        <w:spacing w:after="0" w:line="360" w:lineRule="auto"/>
        <w:ind w:firstLine="709"/>
        <w:jc w:val="both"/>
        <w:rPr>
          <w:rFonts w:ascii="Arial" w:hAnsi="Arial" w:cs="Arial"/>
          <w:bCs/>
          <w:sz w:val="26"/>
          <w:szCs w:val="26"/>
        </w:rPr>
      </w:pPr>
      <w:r>
        <w:rPr>
          <w:rFonts w:ascii="Arial" w:hAnsi="Arial" w:cs="Arial"/>
          <w:bCs/>
          <w:sz w:val="26"/>
          <w:szCs w:val="26"/>
        </w:rPr>
        <w:t>Debe tomarse en cuenta que un verdadero agravio, de acuerdo a la técnica procesal debe contener la expresión de la parte del acto que le agravia, pero además debe explicar en qué consiste la lesión sufrida con la actuación de la juzgadora, sin que sea posible establecer que de modo general que la resolución le agravia, es necesario cómo y por qué le agravia, para que sea atendido su argumento. - - - - - - - - - - - - - - - - -</w:t>
      </w:r>
    </w:p>
    <w:p w14:paraId="6DD21133" w14:textId="77777777" w:rsidR="00DD6A8B" w:rsidRDefault="00DD6A8B" w:rsidP="00DD6A8B">
      <w:pPr>
        <w:pStyle w:val="Sinespaciado"/>
      </w:pPr>
    </w:p>
    <w:p w14:paraId="72B685F3" w14:textId="2EEAB21C" w:rsidR="002E2968" w:rsidRDefault="002E2968" w:rsidP="002E2968">
      <w:pPr>
        <w:spacing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Se precisa que en materia recursiva, es imperativo que se exponga la lesión sufrida, y para ello es necesario que se diga cuál es la parte de la sentencia específica que le agravia, el precepto legal violado y que explique de qué manera la juzgadora le irroga el perjuicio, sin que sea válido que haga aportaciones genéricas e hipotéticas como acontece en el presente caso, pues así lo exige la técnica procesal tratándose de recursos, sin que en el caso sea posible la suplencia de la queja, ni aun tratándose del administrado porque sin bien tal figura jurídica existe normada por la Ley de Procedimiento y Justicia Administrativa para el Estado de Oaxaca, se constriñe a la primera instancia, por tanto era obligación de la recurrente explicar el daño sufrido.- - - - - - - - - - - - - - - - - - - - - - - - - - - - - - - - - - - - - - - - - - - - - - - </w:t>
      </w:r>
    </w:p>
    <w:p w14:paraId="7CBFBB41" w14:textId="77777777" w:rsidR="00DD6A8B" w:rsidRDefault="00DD6A8B" w:rsidP="00DD6A8B">
      <w:pPr>
        <w:pStyle w:val="Sinespaciado"/>
      </w:pPr>
    </w:p>
    <w:p w14:paraId="5F3DB2A3" w14:textId="627F99B5" w:rsidR="002E2968" w:rsidRDefault="002E2968" w:rsidP="002E2968">
      <w:pPr>
        <w:spacing w:after="0" w:line="360" w:lineRule="auto"/>
        <w:ind w:firstLine="709"/>
        <w:jc w:val="both"/>
        <w:rPr>
          <w:rFonts w:ascii="Arial" w:hAnsi="Arial" w:cs="Arial"/>
          <w:color w:val="222222"/>
          <w:sz w:val="26"/>
          <w:szCs w:val="26"/>
        </w:rPr>
      </w:pPr>
      <w:r>
        <w:rPr>
          <w:rFonts w:ascii="Arial" w:hAnsi="Arial" w:cs="Arial"/>
          <w:bCs/>
          <w:sz w:val="26"/>
          <w:szCs w:val="26"/>
        </w:rPr>
        <w:t xml:space="preserve">Estas consideraciones encuentran apoyo en la </w:t>
      </w:r>
      <w:r>
        <w:rPr>
          <w:rFonts w:ascii="Arial" w:hAnsi="Arial" w:cs="Arial"/>
          <w:color w:val="222222"/>
          <w:sz w:val="26"/>
          <w:szCs w:val="26"/>
        </w:rPr>
        <w:t xml:space="preserve">Jurisprudencia Registro: 173593, Tesis: I.4o.A. J/48, Novena Época, </w:t>
      </w:r>
      <w:r>
        <w:rPr>
          <w:rFonts w:ascii="Arial" w:hAnsi="Arial" w:cs="Arial"/>
          <w:color w:val="222222"/>
          <w:sz w:val="26"/>
          <w:szCs w:val="26"/>
        </w:rPr>
        <w:br/>
        <w:t>Semanario Judicial de la Federación y su Gaceta, Tomo XXV, Enero de 2007, visible en la página 212, cuyo rubro y texto son del tenor siguiente:</w:t>
      </w:r>
    </w:p>
    <w:p w14:paraId="5438A093" w14:textId="77777777" w:rsidR="00DD6A8B" w:rsidRDefault="00DD6A8B" w:rsidP="00DD6A8B">
      <w:pPr>
        <w:pStyle w:val="Sinespaciado"/>
      </w:pPr>
    </w:p>
    <w:p w14:paraId="6FAD67BB" w14:textId="1B750FDB" w:rsidR="005C161B" w:rsidRDefault="002E2968" w:rsidP="005C161B">
      <w:pPr>
        <w:pStyle w:val="NormalWeb"/>
        <w:shd w:val="clear" w:color="auto" w:fill="FFFFFF"/>
        <w:spacing w:before="0" w:beforeAutospacing="0" w:after="120" w:afterAutospacing="0" w:line="390" w:lineRule="atLeast"/>
        <w:ind w:left="851" w:right="900"/>
        <w:jc w:val="both"/>
        <w:rPr>
          <w:rFonts w:ascii="Arial" w:hAnsi="Arial" w:cs="Arial"/>
          <w:i/>
          <w:iCs/>
          <w:color w:val="222222"/>
          <w:sz w:val="22"/>
          <w:szCs w:val="22"/>
        </w:rPr>
      </w:pPr>
      <w:r>
        <w:rPr>
          <w:rFonts w:ascii="Arial" w:hAnsi="Arial" w:cs="Arial"/>
          <w:b/>
          <w:bCs/>
          <w:i/>
          <w:iCs/>
          <w:color w:val="222222"/>
          <w:sz w:val="22"/>
          <w:szCs w:val="22"/>
        </w:rPr>
        <w:t xml:space="preserve">“CONCEPTOS DE VIOLACIÓN O AGRAVIOS. SON INOPERANTES CUANDO LOS ARGUMENTOS EXPUESTOS POR EL QUEJOSO O EL RECURRENTE SON AMBIGUOS Y </w:t>
      </w:r>
      <w:r>
        <w:rPr>
          <w:rFonts w:ascii="Arial" w:hAnsi="Arial" w:cs="Arial"/>
          <w:b/>
          <w:bCs/>
          <w:i/>
          <w:iCs/>
          <w:color w:val="222222"/>
          <w:sz w:val="22"/>
          <w:szCs w:val="22"/>
        </w:rPr>
        <w:lastRenderedPageBreak/>
        <w:t>SUPERFICIALES</w:t>
      </w:r>
      <w:r>
        <w:rPr>
          <w:rFonts w:ascii="Arial" w:hAnsi="Arial" w:cs="Arial"/>
          <w:i/>
          <w:iCs/>
          <w:color w:val="222222"/>
          <w:sz w:val="22"/>
          <w:szCs w:val="22"/>
        </w:rPr>
        <w:t xml:space="preserve">. 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 ya que se está ante argumentos non </w:t>
      </w:r>
      <w:proofErr w:type="spellStart"/>
      <w:r>
        <w:rPr>
          <w:rFonts w:ascii="Arial" w:hAnsi="Arial" w:cs="Arial"/>
          <w:i/>
          <w:iCs/>
          <w:color w:val="222222"/>
          <w:sz w:val="22"/>
          <w:szCs w:val="22"/>
        </w:rPr>
        <w:t>sequitur</w:t>
      </w:r>
      <w:proofErr w:type="spellEnd"/>
      <w:r>
        <w:rPr>
          <w:rFonts w:ascii="Arial" w:hAnsi="Arial" w:cs="Arial"/>
          <w:i/>
          <w:iCs/>
          <w:color w:val="222222"/>
          <w:sz w:val="22"/>
          <w:szCs w:val="22"/>
        </w:rPr>
        <w:t xml:space="preserve"> para obtener una declaratoria de invalidez.”- - - - - - - - - - -</w:t>
      </w:r>
    </w:p>
    <w:p w14:paraId="74EDFFF9" w14:textId="77777777" w:rsidR="00DD6A8B" w:rsidRDefault="00DD6A8B" w:rsidP="00DD6A8B">
      <w:pPr>
        <w:pStyle w:val="Sinespaciado"/>
      </w:pPr>
    </w:p>
    <w:p w14:paraId="2409A039" w14:textId="6981F53B" w:rsidR="002E2968" w:rsidRDefault="002E2968" w:rsidP="006311E2">
      <w:pPr>
        <w:spacing w:after="120" w:line="360" w:lineRule="auto"/>
        <w:ind w:firstLine="709"/>
        <w:jc w:val="both"/>
        <w:rPr>
          <w:rFonts w:ascii="Arial" w:hAnsi="Arial" w:cs="Arial"/>
          <w:bCs/>
          <w:sz w:val="24"/>
          <w:szCs w:val="24"/>
        </w:rPr>
      </w:pPr>
      <w:r>
        <w:rPr>
          <w:rFonts w:ascii="Arial" w:hAnsi="Arial" w:cs="Arial"/>
          <w:bCs/>
          <w:sz w:val="24"/>
          <w:szCs w:val="24"/>
        </w:rPr>
        <w:t>Así como en la jurisprudencia IV.3o. J/12 del Tercer Tribunal Colegiado del Cuarto Circuito de la octava época la cual está publicada en la Gaceta del Semanario Judicial de la Federación número 57 de septiembre de 1992, visible a página 57 con el rubro y texto del tenor literal siguiente: - - - - - - - - - - - - - - -</w:t>
      </w:r>
    </w:p>
    <w:p w14:paraId="39A9C95A" w14:textId="77777777" w:rsidR="00DD6A8B" w:rsidRDefault="00DD6A8B" w:rsidP="00DD6A8B">
      <w:pPr>
        <w:pStyle w:val="Sinespaciado"/>
      </w:pPr>
    </w:p>
    <w:p w14:paraId="20546EF8" w14:textId="419E5145" w:rsidR="002E2968" w:rsidRDefault="002E2968" w:rsidP="002E2968">
      <w:pPr>
        <w:pStyle w:val="Sinespaciado"/>
        <w:spacing w:after="120" w:line="360" w:lineRule="auto"/>
        <w:ind w:left="851" w:right="778"/>
        <w:jc w:val="both"/>
        <w:rPr>
          <w:rFonts w:ascii="Arial" w:hAnsi="Arial" w:cs="Arial"/>
          <w:bCs/>
          <w:i/>
          <w:lang w:val="es-MX"/>
        </w:rPr>
      </w:pPr>
      <w:r>
        <w:rPr>
          <w:rFonts w:ascii="Arial" w:hAnsi="Arial" w:cs="Arial"/>
          <w:b/>
          <w:bCs/>
          <w:i/>
          <w:lang w:val="es-MX"/>
        </w:rPr>
        <w:t>“AGRAVIOS. DEBEN DE IMPUGNAR LA ILEGALIDAD DEL FALLO RECURRIDO</w:t>
      </w:r>
      <w:r>
        <w:rPr>
          <w:rFonts w:ascii="Arial" w:hAnsi="Arial" w:cs="Arial"/>
          <w:bCs/>
          <w:i/>
          <w:lang w:val="es-MX"/>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71A09A28" w14:textId="77777777" w:rsidR="00DD6A8B" w:rsidRPr="00DD6A8B" w:rsidRDefault="00DD6A8B" w:rsidP="00DD6A8B">
      <w:pPr>
        <w:pStyle w:val="Sinespaciado"/>
      </w:pPr>
    </w:p>
    <w:p w14:paraId="22B58853" w14:textId="04C16FDF" w:rsidR="00561E8A" w:rsidRDefault="009C562A" w:rsidP="00561E8A">
      <w:pPr>
        <w:spacing w:after="0" w:line="360" w:lineRule="auto"/>
        <w:ind w:firstLine="709"/>
        <w:jc w:val="both"/>
        <w:rPr>
          <w:rFonts w:ascii="Arial" w:eastAsia="Calibri" w:hAnsi="Arial" w:cs="Arial"/>
          <w:bCs/>
          <w:sz w:val="26"/>
          <w:szCs w:val="26"/>
          <w:lang w:eastAsia="en-US"/>
        </w:rPr>
      </w:pPr>
      <w:r>
        <w:rPr>
          <w:rFonts w:ascii="Arial" w:eastAsia="Calibri" w:hAnsi="Arial" w:cs="Arial"/>
          <w:bCs/>
          <w:sz w:val="26"/>
          <w:szCs w:val="26"/>
          <w:lang w:eastAsia="en-US"/>
        </w:rPr>
        <w:t>E</w:t>
      </w:r>
      <w:r w:rsidR="00450E5F">
        <w:rPr>
          <w:rFonts w:ascii="Arial" w:eastAsia="Calibri" w:hAnsi="Arial" w:cs="Arial"/>
          <w:bCs/>
          <w:sz w:val="26"/>
          <w:szCs w:val="26"/>
          <w:lang w:eastAsia="en-US"/>
        </w:rPr>
        <w:t xml:space="preserve">n su </w:t>
      </w:r>
      <w:r w:rsidR="00450E5F" w:rsidRPr="00005D78">
        <w:rPr>
          <w:rFonts w:ascii="Arial" w:eastAsia="Calibri" w:hAnsi="Arial" w:cs="Arial"/>
          <w:b/>
          <w:bCs/>
          <w:sz w:val="26"/>
          <w:szCs w:val="26"/>
          <w:lang w:eastAsia="en-US"/>
        </w:rPr>
        <w:t>segundo agravio</w:t>
      </w:r>
      <w:r w:rsidR="00450E5F">
        <w:rPr>
          <w:rFonts w:ascii="Arial" w:eastAsia="Calibri" w:hAnsi="Arial" w:cs="Arial"/>
          <w:bCs/>
          <w:sz w:val="26"/>
          <w:szCs w:val="26"/>
          <w:lang w:eastAsia="en-US"/>
        </w:rPr>
        <w:t>, manifiesta que le causa agravi</w:t>
      </w:r>
      <w:r w:rsidR="00DD6A8B">
        <w:rPr>
          <w:rFonts w:ascii="Arial" w:eastAsia="Calibri" w:hAnsi="Arial" w:cs="Arial"/>
          <w:bCs/>
          <w:sz w:val="26"/>
          <w:szCs w:val="26"/>
          <w:lang w:eastAsia="en-US"/>
        </w:rPr>
        <w:t>o</w:t>
      </w:r>
      <w:r w:rsidR="00450E5F">
        <w:rPr>
          <w:rFonts w:ascii="Arial" w:eastAsia="Calibri" w:hAnsi="Arial" w:cs="Arial"/>
          <w:bCs/>
          <w:sz w:val="26"/>
          <w:szCs w:val="26"/>
          <w:lang w:eastAsia="en-US"/>
        </w:rPr>
        <w:t xml:space="preserve"> la </w:t>
      </w:r>
      <w:r w:rsidR="00DD6A8B">
        <w:rPr>
          <w:rFonts w:ascii="Arial" w:eastAsia="Calibri" w:hAnsi="Arial" w:cs="Arial"/>
          <w:bCs/>
          <w:sz w:val="26"/>
          <w:szCs w:val="26"/>
          <w:lang w:eastAsia="en-US"/>
        </w:rPr>
        <w:t>sentencia</w:t>
      </w:r>
      <w:r w:rsidR="00450E5F">
        <w:rPr>
          <w:rFonts w:ascii="Arial" w:eastAsia="Calibri" w:hAnsi="Arial" w:cs="Arial"/>
          <w:bCs/>
          <w:sz w:val="26"/>
          <w:szCs w:val="26"/>
          <w:lang w:eastAsia="en-US"/>
        </w:rPr>
        <w:t xml:space="preserve"> de diecisiete de febrero de dos mil veinte, porque el Magistrado de Primera Instancia evita entrar al fondo del estudio del asunto</w:t>
      </w:r>
      <w:r w:rsidR="00005D78">
        <w:rPr>
          <w:rFonts w:ascii="Arial" w:eastAsia="Calibri" w:hAnsi="Arial" w:cs="Arial"/>
          <w:bCs/>
          <w:sz w:val="26"/>
          <w:szCs w:val="26"/>
          <w:lang w:eastAsia="en-US"/>
        </w:rPr>
        <w:t>,</w:t>
      </w:r>
      <w:r w:rsidR="00450E5F">
        <w:rPr>
          <w:rFonts w:ascii="Arial" w:eastAsia="Calibri" w:hAnsi="Arial" w:cs="Arial"/>
          <w:bCs/>
          <w:sz w:val="26"/>
          <w:szCs w:val="26"/>
          <w:lang w:eastAsia="en-US"/>
        </w:rPr>
        <w:t xml:space="preserve"> supliendo la deficiencia de la queja a la autoridad demandada, toda vez que el Director General de Oficina de Pensiones del Estado contesto fuera de t</w:t>
      </w:r>
      <w:r w:rsidR="004518AA">
        <w:rPr>
          <w:rFonts w:ascii="Arial" w:eastAsia="Calibri" w:hAnsi="Arial" w:cs="Arial"/>
          <w:bCs/>
          <w:sz w:val="26"/>
          <w:szCs w:val="26"/>
          <w:lang w:eastAsia="en-US"/>
        </w:rPr>
        <w:t>é</w:t>
      </w:r>
      <w:r w:rsidR="00450E5F">
        <w:rPr>
          <w:rFonts w:ascii="Arial" w:eastAsia="Calibri" w:hAnsi="Arial" w:cs="Arial"/>
          <w:bCs/>
          <w:sz w:val="26"/>
          <w:szCs w:val="26"/>
          <w:lang w:eastAsia="en-US"/>
        </w:rPr>
        <w:t xml:space="preserve">rmino la demanda de nulidad promovida en su </w:t>
      </w:r>
      <w:r w:rsidR="00450E5F">
        <w:rPr>
          <w:rFonts w:ascii="Arial" w:eastAsia="Calibri" w:hAnsi="Arial" w:cs="Arial"/>
          <w:bCs/>
          <w:sz w:val="26"/>
          <w:szCs w:val="26"/>
          <w:lang w:eastAsia="en-US"/>
        </w:rPr>
        <w:lastRenderedPageBreak/>
        <w:t>contra</w:t>
      </w:r>
      <w:r w:rsidR="004518AA">
        <w:rPr>
          <w:rFonts w:ascii="Arial" w:eastAsia="Calibri" w:hAnsi="Arial" w:cs="Arial"/>
          <w:bCs/>
          <w:sz w:val="26"/>
          <w:szCs w:val="26"/>
          <w:lang w:eastAsia="en-US"/>
        </w:rPr>
        <w:t>,</w:t>
      </w:r>
      <w:r w:rsidR="00450E5F">
        <w:rPr>
          <w:rFonts w:ascii="Arial" w:eastAsia="Calibri" w:hAnsi="Arial" w:cs="Arial"/>
          <w:bCs/>
          <w:sz w:val="26"/>
          <w:szCs w:val="26"/>
          <w:lang w:eastAsia="en-US"/>
        </w:rPr>
        <w:t xml:space="preserve"> tal como se advierte del acuerdo de once de diciembre de dos mil diecinueve</w:t>
      </w:r>
      <w:r w:rsidR="008A16B5">
        <w:rPr>
          <w:rFonts w:ascii="Arial" w:eastAsia="Calibri" w:hAnsi="Arial" w:cs="Arial"/>
          <w:bCs/>
          <w:sz w:val="26"/>
          <w:szCs w:val="26"/>
          <w:lang w:eastAsia="en-US"/>
        </w:rPr>
        <w:t xml:space="preserve">, </w:t>
      </w:r>
      <w:r w:rsidR="00450E5F">
        <w:rPr>
          <w:rFonts w:ascii="Arial" w:eastAsia="Calibri" w:hAnsi="Arial" w:cs="Arial"/>
          <w:bCs/>
          <w:sz w:val="26"/>
          <w:szCs w:val="26"/>
          <w:lang w:eastAsia="en-US"/>
        </w:rPr>
        <w:t xml:space="preserve"> en el que se le hace efectivo el apercibimiento decretado en autos y se le tiene contestando la demanda en sentido afirmativo, salvo prueba en contrario, ocasionando con ello que se actualicen</w:t>
      </w:r>
      <w:r w:rsidR="00B6034F">
        <w:rPr>
          <w:rFonts w:ascii="Arial" w:eastAsia="Calibri" w:hAnsi="Arial" w:cs="Arial"/>
          <w:bCs/>
          <w:sz w:val="26"/>
          <w:szCs w:val="26"/>
          <w:lang w:eastAsia="en-US"/>
        </w:rPr>
        <w:t xml:space="preserve"> a su favor una confesión ficta de los hechos aducidos en la demanda.- - - - - </w:t>
      </w:r>
    </w:p>
    <w:p w14:paraId="0BED82CD" w14:textId="77777777" w:rsidR="008A16B5" w:rsidRDefault="008A16B5" w:rsidP="008A16B5">
      <w:pPr>
        <w:pStyle w:val="Sinespaciado"/>
        <w:rPr>
          <w:rFonts w:eastAsia="Calibri"/>
          <w:lang w:eastAsia="en-US"/>
        </w:rPr>
      </w:pPr>
    </w:p>
    <w:p w14:paraId="6F39F0B2" w14:textId="31BF9C35" w:rsidR="00561E8A" w:rsidRDefault="004518AA" w:rsidP="00561E8A">
      <w:pPr>
        <w:spacing w:after="0" w:line="360" w:lineRule="auto"/>
        <w:ind w:firstLine="709"/>
        <w:jc w:val="both"/>
        <w:rPr>
          <w:rFonts w:ascii="Arial" w:eastAsia="Calibri" w:hAnsi="Arial" w:cs="Arial"/>
          <w:bCs/>
          <w:sz w:val="26"/>
          <w:szCs w:val="26"/>
          <w:lang w:eastAsia="en-US"/>
        </w:rPr>
      </w:pPr>
      <w:r>
        <w:rPr>
          <w:rFonts w:ascii="Arial" w:eastAsia="Calibri" w:hAnsi="Arial" w:cs="Arial"/>
          <w:bCs/>
          <w:sz w:val="26"/>
          <w:szCs w:val="26"/>
          <w:lang w:eastAsia="en-US"/>
        </w:rPr>
        <w:t>Más adelante dice</w:t>
      </w:r>
      <w:r w:rsidR="00005D78">
        <w:rPr>
          <w:rFonts w:ascii="Arial" w:eastAsia="Calibri" w:hAnsi="Arial" w:cs="Arial"/>
          <w:bCs/>
          <w:sz w:val="26"/>
          <w:szCs w:val="26"/>
          <w:lang w:eastAsia="en-US"/>
        </w:rPr>
        <w:t>,</w:t>
      </w:r>
      <w:r>
        <w:rPr>
          <w:rFonts w:ascii="Arial" w:eastAsia="Calibri" w:hAnsi="Arial" w:cs="Arial"/>
          <w:bCs/>
          <w:sz w:val="26"/>
          <w:szCs w:val="26"/>
          <w:lang w:eastAsia="en-US"/>
        </w:rPr>
        <w:t xml:space="preserve"> que </w:t>
      </w:r>
      <w:r w:rsidR="00B6034F">
        <w:rPr>
          <w:rFonts w:ascii="Arial" w:eastAsia="Calibri" w:hAnsi="Arial" w:cs="Arial"/>
          <w:bCs/>
          <w:sz w:val="26"/>
          <w:szCs w:val="26"/>
          <w:lang w:eastAsia="en-US"/>
        </w:rPr>
        <w:t>con dicho</w:t>
      </w:r>
      <w:r w:rsidR="00253155">
        <w:rPr>
          <w:rFonts w:ascii="Arial" w:eastAsia="Calibri" w:hAnsi="Arial" w:cs="Arial"/>
          <w:bCs/>
          <w:sz w:val="26"/>
          <w:szCs w:val="26"/>
          <w:lang w:eastAsia="en-US"/>
        </w:rPr>
        <w:t xml:space="preserve"> </w:t>
      </w:r>
      <w:r w:rsidR="00B6034F">
        <w:rPr>
          <w:rFonts w:ascii="Arial" w:eastAsia="Calibri" w:hAnsi="Arial" w:cs="Arial"/>
          <w:bCs/>
          <w:sz w:val="26"/>
          <w:szCs w:val="26"/>
          <w:lang w:eastAsia="en-US"/>
        </w:rPr>
        <w:t xml:space="preserve">proceder </w:t>
      </w:r>
      <w:r>
        <w:rPr>
          <w:rFonts w:ascii="Arial" w:eastAsia="Calibri" w:hAnsi="Arial" w:cs="Arial"/>
          <w:bCs/>
          <w:sz w:val="26"/>
          <w:szCs w:val="26"/>
          <w:lang w:eastAsia="en-US"/>
        </w:rPr>
        <w:t xml:space="preserve">el Magistrado de Primera Instancia transgrede </w:t>
      </w:r>
      <w:r w:rsidR="00B6034F">
        <w:rPr>
          <w:rFonts w:ascii="Arial" w:eastAsia="Calibri" w:hAnsi="Arial" w:cs="Arial"/>
          <w:bCs/>
          <w:sz w:val="26"/>
          <w:szCs w:val="26"/>
          <w:lang w:eastAsia="en-US"/>
        </w:rPr>
        <w:t>los artículos 149 y 206 de la Ley de Procedimientos y Justicia Administrativa para el Estado, los cuales prevén que se suplirá la deficiencia de la queja siempre y cuando se trate del administrado</w:t>
      </w:r>
      <w:r w:rsidR="00253155">
        <w:rPr>
          <w:rFonts w:ascii="Arial" w:eastAsia="Calibri" w:hAnsi="Arial" w:cs="Arial"/>
          <w:bCs/>
          <w:sz w:val="26"/>
          <w:szCs w:val="26"/>
          <w:lang w:eastAsia="en-US"/>
        </w:rPr>
        <w:t xml:space="preserve">, </w:t>
      </w:r>
      <w:r w:rsidR="00817BE6">
        <w:rPr>
          <w:rFonts w:ascii="Arial" w:eastAsia="Calibri" w:hAnsi="Arial" w:cs="Arial"/>
          <w:bCs/>
          <w:sz w:val="26"/>
          <w:szCs w:val="26"/>
          <w:lang w:eastAsia="en-US"/>
        </w:rPr>
        <w:t>sin embargo,</w:t>
      </w:r>
      <w:r w:rsidR="002F20C1">
        <w:rPr>
          <w:rFonts w:ascii="Arial" w:eastAsia="Calibri" w:hAnsi="Arial" w:cs="Arial"/>
          <w:bCs/>
          <w:sz w:val="26"/>
          <w:szCs w:val="26"/>
          <w:lang w:eastAsia="en-US"/>
        </w:rPr>
        <w:t xml:space="preserve"> </w:t>
      </w:r>
      <w:r w:rsidR="00005D78">
        <w:rPr>
          <w:rFonts w:ascii="Arial" w:eastAsia="Calibri" w:hAnsi="Arial" w:cs="Arial"/>
          <w:bCs/>
          <w:sz w:val="26"/>
          <w:szCs w:val="26"/>
          <w:lang w:eastAsia="en-US"/>
        </w:rPr>
        <w:t>señala</w:t>
      </w:r>
      <w:r w:rsidR="002F20C1">
        <w:rPr>
          <w:rFonts w:ascii="Arial" w:eastAsia="Calibri" w:hAnsi="Arial" w:cs="Arial"/>
          <w:bCs/>
          <w:sz w:val="26"/>
          <w:szCs w:val="26"/>
          <w:lang w:eastAsia="en-US"/>
        </w:rPr>
        <w:t xml:space="preserve"> que</w:t>
      </w:r>
      <w:r w:rsidR="00817BE6">
        <w:rPr>
          <w:rFonts w:ascii="Arial" w:eastAsia="Calibri" w:hAnsi="Arial" w:cs="Arial"/>
          <w:bCs/>
          <w:sz w:val="26"/>
          <w:szCs w:val="26"/>
          <w:lang w:eastAsia="en-US"/>
        </w:rPr>
        <w:t xml:space="preserve"> </w:t>
      </w:r>
      <w:r w:rsidR="00253155">
        <w:rPr>
          <w:rFonts w:ascii="Arial" w:eastAsia="Calibri" w:hAnsi="Arial" w:cs="Arial"/>
          <w:bCs/>
          <w:sz w:val="26"/>
          <w:szCs w:val="26"/>
          <w:lang w:eastAsia="en-US"/>
        </w:rPr>
        <w:t xml:space="preserve">el Magistrado </w:t>
      </w:r>
      <w:r w:rsidR="00817BE6">
        <w:rPr>
          <w:rFonts w:ascii="Arial" w:eastAsia="Calibri" w:hAnsi="Arial" w:cs="Arial"/>
          <w:bCs/>
          <w:sz w:val="26"/>
          <w:szCs w:val="26"/>
          <w:lang w:eastAsia="en-US"/>
        </w:rPr>
        <w:t xml:space="preserve">los </w:t>
      </w:r>
      <w:r w:rsidR="00253155">
        <w:rPr>
          <w:rFonts w:ascii="Arial" w:eastAsia="Calibri" w:hAnsi="Arial" w:cs="Arial"/>
          <w:bCs/>
          <w:sz w:val="26"/>
          <w:szCs w:val="26"/>
          <w:lang w:eastAsia="en-US"/>
        </w:rPr>
        <w:t xml:space="preserve">aplica </w:t>
      </w:r>
      <w:r w:rsidR="00B6034F">
        <w:rPr>
          <w:rFonts w:ascii="Arial" w:eastAsia="Calibri" w:hAnsi="Arial" w:cs="Arial"/>
          <w:bCs/>
          <w:sz w:val="26"/>
          <w:szCs w:val="26"/>
          <w:lang w:eastAsia="en-US"/>
        </w:rPr>
        <w:t xml:space="preserve">a la autoridad demandada </w:t>
      </w:r>
      <w:r w:rsidR="00253155">
        <w:rPr>
          <w:rFonts w:ascii="Arial" w:eastAsia="Calibri" w:hAnsi="Arial" w:cs="Arial"/>
          <w:bCs/>
          <w:sz w:val="26"/>
          <w:szCs w:val="26"/>
          <w:lang w:eastAsia="en-US"/>
        </w:rPr>
        <w:t xml:space="preserve">tal como se aprecia de la sentencia recurrida y de la </w:t>
      </w:r>
      <w:r w:rsidR="00136AF0">
        <w:rPr>
          <w:rFonts w:ascii="Arial" w:eastAsia="Calibri" w:hAnsi="Arial" w:cs="Arial"/>
          <w:bCs/>
          <w:sz w:val="26"/>
          <w:szCs w:val="26"/>
          <w:lang w:eastAsia="en-US"/>
        </w:rPr>
        <w:t>cual</w:t>
      </w:r>
      <w:r w:rsidR="00253155">
        <w:rPr>
          <w:rFonts w:ascii="Arial" w:eastAsia="Calibri" w:hAnsi="Arial" w:cs="Arial"/>
          <w:bCs/>
          <w:sz w:val="26"/>
          <w:szCs w:val="26"/>
          <w:lang w:eastAsia="en-US"/>
        </w:rPr>
        <w:t xml:space="preserve"> pide su revocación</w:t>
      </w:r>
      <w:r w:rsidR="00817BE6">
        <w:rPr>
          <w:rFonts w:ascii="Arial" w:eastAsia="Calibri" w:hAnsi="Arial" w:cs="Arial"/>
          <w:bCs/>
          <w:sz w:val="26"/>
          <w:szCs w:val="26"/>
          <w:lang w:eastAsia="en-US"/>
        </w:rPr>
        <w:t>,</w:t>
      </w:r>
      <w:r w:rsidR="00253155">
        <w:rPr>
          <w:rFonts w:ascii="Arial" w:eastAsia="Calibri" w:hAnsi="Arial" w:cs="Arial"/>
          <w:bCs/>
          <w:sz w:val="26"/>
          <w:szCs w:val="26"/>
          <w:lang w:eastAsia="en-US"/>
        </w:rPr>
        <w:t xml:space="preserve"> para que la Sala primigenia estudie el fondo del asunto, haga un análisis de las pruebas ofrecidas y dicte otra sentencia</w:t>
      </w:r>
      <w:r w:rsidR="00005D78">
        <w:rPr>
          <w:rFonts w:ascii="Arial" w:eastAsia="Calibri" w:hAnsi="Arial" w:cs="Arial"/>
          <w:bCs/>
          <w:sz w:val="26"/>
          <w:szCs w:val="26"/>
          <w:lang w:eastAsia="en-US"/>
        </w:rPr>
        <w:t>,</w:t>
      </w:r>
      <w:r w:rsidR="00253155">
        <w:rPr>
          <w:rFonts w:ascii="Arial" w:eastAsia="Calibri" w:hAnsi="Arial" w:cs="Arial"/>
          <w:bCs/>
          <w:sz w:val="26"/>
          <w:szCs w:val="26"/>
          <w:lang w:eastAsia="en-US"/>
        </w:rPr>
        <w:t xml:space="preserve"> en la que declare la nulidad lisa y llana del acto impugnado y ordene al Director General de la Oficina de Pensiones </w:t>
      </w:r>
      <w:r w:rsidR="00817BE6">
        <w:rPr>
          <w:rFonts w:ascii="Arial" w:eastAsia="Calibri" w:hAnsi="Arial" w:cs="Arial"/>
          <w:bCs/>
          <w:sz w:val="26"/>
          <w:szCs w:val="26"/>
          <w:lang w:eastAsia="en-US"/>
        </w:rPr>
        <w:t xml:space="preserve">para que </w:t>
      </w:r>
      <w:r w:rsidR="00253155">
        <w:rPr>
          <w:rFonts w:ascii="Arial" w:eastAsia="Calibri" w:hAnsi="Arial" w:cs="Arial"/>
          <w:bCs/>
          <w:sz w:val="26"/>
          <w:szCs w:val="26"/>
          <w:lang w:eastAsia="en-US"/>
        </w:rPr>
        <w:t>haga la devolución de los descuentos hechos por concepto de “seguro de vida”</w:t>
      </w:r>
      <w:r w:rsidR="00005D78">
        <w:rPr>
          <w:rFonts w:ascii="Arial" w:eastAsia="Calibri" w:hAnsi="Arial" w:cs="Arial"/>
          <w:bCs/>
          <w:sz w:val="26"/>
          <w:szCs w:val="26"/>
          <w:lang w:eastAsia="en-US"/>
        </w:rPr>
        <w:t>,</w:t>
      </w:r>
      <w:r w:rsidR="00253155">
        <w:rPr>
          <w:rFonts w:ascii="Arial" w:eastAsia="Calibri" w:hAnsi="Arial" w:cs="Arial"/>
          <w:bCs/>
          <w:sz w:val="26"/>
          <w:szCs w:val="26"/>
          <w:lang w:eastAsia="en-US"/>
        </w:rPr>
        <w:t xml:space="preserve"> además de abstenerse a realizar descuentos por ese concepto en lo subsecuente.-</w:t>
      </w:r>
      <w:r w:rsidR="00561E8A">
        <w:rPr>
          <w:rFonts w:ascii="Arial" w:eastAsia="Calibri" w:hAnsi="Arial" w:cs="Arial"/>
          <w:bCs/>
          <w:sz w:val="26"/>
          <w:szCs w:val="26"/>
          <w:lang w:eastAsia="en-US"/>
        </w:rPr>
        <w:t>- - - - - - - -  - - - - - - - - - - - - - -  - - - - - - -  - - - - - -  - - - - -</w:t>
      </w:r>
    </w:p>
    <w:p w14:paraId="1ED87DC4" w14:textId="77777777" w:rsidR="008A16B5" w:rsidRDefault="008A16B5" w:rsidP="008A16B5">
      <w:pPr>
        <w:pStyle w:val="Sinespaciado"/>
        <w:rPr>
          <w:rFonts w:eastAsia="Calibri"/>
          <w:lang w:eastAsia="en-US"/>
        </w:rPr>
      </w:pPr>
    </w:p>
    <w:p w14:paraId="071996FE" w14:textId="77777777" w:rsidR="008A16B5" w:rsidRDefault="009C562A" w:rsidP="00561E8A">
      <w:pPr>
        <w:spacing w:after="0" w:line="360" w:lineRule="auto"/>
        <w:ind w:firstLine="709"/>
        <w:jc w:val="both"/>
        <w:rPr>
          <w:rFonts w:ascii="Arial" w:eastAsia="Calibri" w:hAnsi="Arial" w:cs="Arial"/>
          <w:bCs/>
          <w:sz w:val="26"/>
          <w:szCs w:val="26"/>
          <w:lang w:eastAsia="en-US"/>
        </w:rPr>
      </w:pPr>
      <w:r>
        <w:rPr>
          <w:rFonts w:ascii="Arial" w:eastAsia="Calibri" w:hAnsi="Arial" w:cs="Arial"/>
          <w:bCs/>
          <w:sz w:val="26"/>
          <w:szCs w:val="26"/>
          <w:lang w:eastAsia="en-US"/>
        </w:rPr>
        <w:t xml:space="preserve">En su </w:t>
      </w:r>
      <w:r w:rsidRPr="00005D78">
        <w:rPr>
          <w:rFonts w:ascii="Arial" w:eastAsia="Calibri" w:hAnsi="Arial" w:cs="Arial"/>
          <w:b/>
          <w:bCs/>
          <w:sz w:val="26"/>
          <w:szCs w:val="26"/>
          <w:lang w:eastAsia="en-US"/>
        </w:rPr>
        <w:t>agravio tercero</w:t>
      </w:r>
      <w:r>
        <w:rPr>
          <w:rFonts w:ascii="Arial" w:eastAsia="Calibri" w:hAnsi="Arial" w:cs="Arial"/>
          <w:bCs/>
          <w:sz w:val="26"/>
          <w:szCs w:val="26"/>
          <w:lang w:eastAsia="en-US"/>
        </w:rPr>
        <w:t xml:space="preserve">, refiere que el juicio de nulidad es un derecho establecido a favor del gobernador para atacar toda aquella resolución o acto administrativo que le afecte y este se hace valer cuando </w:t>
      </w:r>
      <w:r w:rsidR="00817BE6">
        <w:rPr>
          <w:rFonts w:ascii="Arial" w:eastAsia="Calibri" w:hAnsi="Arial" w:cs="Arial"/>
          <w:bCs/>
          <w:sz w:val="26"/>
          <w:szCs w:val="26"/>
          <w:lang w:eastAsia="en-US"/>
        </w:rPr>
        <w:t xml:space="preserve">se </w:t>
      </w:r>
      <w:r>
        <w:rPr>
          <w:rFonts w:ascii="Arial" w:eastAsia="Calibri" w:hAnsi="Arial" w:cs="Arial"/>
          <w:bCs/>
          <w:sz w:val="26"/>
          <w:szCs w:val="26"/>
          <w:lang w:eastAsia="en-US"/>
        </w:rPr>
        <w:t>considera que la misma no se ajustó a derecho, ya sea que no se aplicó correctamente el derecho o bien cuando se violentaron las garantías del procedimiento en su perjuicio</w:t>
      </w:r>
      <w:r w:rsidR="00817BE6">
        <w:rPr>
          <w:rFonts w:ascii="Arial" w:eastAsia="Calibri" w:hAnsi="Arial" w:cs="Arial"/>
          <w:bCs/>
          <w:sz w:val="26"/>
          <w:szCs w:val="26"/>
          <w:lang w:eastAsia="en-US"/>
        </w:rPr>
        <w:t>,</w:t>
      </w:r>
      <w:r>
        <w:rPr>
          <w:rFonts w:ascii="Arial" w:eastAsia="Calibri" w:hAnsi="Arial" w:cs="Arial"/>
          <w:bCs/>
          <w:sz w:val="26"/>
          <w:szCs w:val="26"/>
          <w:lang w:eastAsia="en-US"/>
        </w:rPr>
        <w:t xml:space="preserve"> y esa violación transcendió en el resultado del juicio dictándose en consecuencia una resolución condenatoria en su perjuicio, lo que en la especie no sucedió, porque el Magistrado de Primera Instancia al momento de resolver el juicio de nulidad 087/2019</w:t>
      </w:r>
      <w:r w:rsidR="00561E8A">
        <w:rPr>
          <w:rFonts w:ascii="Arial" w:eastAsia="Calibri" w:hAnsi="Arial" w:cs="Arial"/>
          <w:bCs/>
          <w:sz w:val="26"/>
          <w:szCs w:val="26"/>
          <w:lang w:eastAsia="en-US"/>
        </w:rPr>
        <w:t>,</w:t>
      </w:r>
      <w:r>
        <w:rPr>
          <w:rFonts w:ascii="Arial" w:eastAsia="Calibri" w:hAnsi="Arial" w:cs="Arial"/>
          <w:bCs/>
          <w:sz w:val="26"/>
          <w:szCs w:val="26"/>
          <w:lang w:eastAsia="en-US"/>
        </w:rPr>
        <w:t xml:space="preserve"> lo hace omitiendo realizar una exposición metodológica clara y congruente de los conceptos de impugnación y pretensiones vertidas en la demanda.- - - - - - - - - - - - - - - - - - - - - - - - -</w:t>
      </w:r>
    </w:p>
    <w:p w14:paraId="1B723DC2" w14:textId="725D79E1" w:rsidR="00561E8A" w:rsidRDefault="009C562A" w:rsidP="008A16B5">
      <w:pPr>
        <w:pStyle w:val="Sinespaciado"/>
        <w:rPr>
          <w:rFonts w:eastAsia="Calibri"/>
          <w:lang w:eastAsia="en-US"/>
        </w:rPr>
      </w:pPr>
      <w:r>
        <w:rPr>
          <w:rFonts w:eastAsia="Calibri"/>
          <w:lang w:eastAsia="en-US"/>
        </w:rPr>
        <w:t xml:space="preserve"> </w:t>
      </w:r>
    </w:p>
    <w:p w14:paraId="63E8D0DF" w14:textId="14B3FB34" w:rsidR="008A16B5" w:rsidRDefault="006D1DB2" w:rsidP="008A16B5">
      <w:pPr>
        <w:spacing w:after="0" w:line="360" w:lineRule="auto"/>
        <w:ind w:firstLine="709"/>
        <w:jc w:val="both"/>
        <w:rPr>
          <w:rFonts w:ascii="Arial" w:eastAsia="Calibri" w:hAnsi="Arial" w:cs="Arial"/>
          <w:bCs/>
          <w:sz w:val="26"/>
          <w:szCs w:val="26"/>
          <w:lang w:eastAsia="en-US"/>
        </w:rPr>
      </w:pPr>
      <w:r w:rsidRPr="006D1DB2">
        <w:rPr>
          <w:rFonts w:ascii="Arial" w:eastAsia="Calibri" w:hAnsi="Arial" w:cs="Arial"/>
          <w:bCs/>
          <w:sz w:val="26"/>
          <w:szCs w:val="26"/>
          <w:lang w:eastAsia="en-US"/>
        </w:rPr>
        <w:t xml:space="preserve">Asimismo, </w:t>
      </w:r>
      <w:bookmarkStart w:id="1" w:name="_Hlk39776426"/>
      <w:r w:rsidR="00817BE6">
        <w:rPr>
          <w:rFonts w:ascii="Arial" w:eastAsia="Calibri" w:hAnsi="Arial" w:cs="Arial"/>
          <w:bCs/>
          <w:sz w:val="26"/>
          <w:szCs w:val="26"/>
          <w:lang w:eastAsia="en-US"/>
        </w:rPr>
        <w:t>refiere</w:t>
      </w:r>
      <w:r w:rsidR="00EC2DB4">
        <w:rPr>
          <w:rFonts w:ascii="Arial" w:eastAsia="Calibri" w:hAnsi="Arial" w:cs="Arial"/>
          <w:bCs/>
          <w:sz w:val="26"/>
          <w:szCs w:val="26"/>
          <w:lang w:eastAsia="en-US"/>
        </w:rPr>
        <w:t xml:space="preserve"> que no toma en cuenta la reforma hecha al artículo 1° Constitucional sobre los Derechos Humanos, además de violar el principio </w:t>
      </w:r>
      <w:proofErr w:type="spellStart"/>
      <w:r w:rsidR="00EC2DB4">
        <w:rPr>
          <w:rFonts w:ascii="Arial" w:eastAsia="Calibri" w:hAnsi="Arial" w:cs="Arial"/>
          <w:bCs/>
          <w:sz w:val="26"/>
          <w:szCs w:val="26"/>
          <w:lang w:eastAsia="en-US"/>
        </w:rPr>
        <w:t>pro</w:t>
      </w:r>
      <w:proofErr w:type="spellEnd"/>
      <w:r w:rsidR="00EC2DB4">
        <w:rPr>
          <w:rFonts w:ascii="Arial" w:eastAsia="Calibri" w:hAnsi="Arial" w:cs="Arial"/>
          <w:bCs/>
          <w:sz w:val="26"/>
          <w:szCs w:val="26"/>
          <w:lang w:eastAsia="en-US"/>
        </w:rPr>
        <w:t xml:space="preserve"> persona y el principio de </w:t>
      </w:r>
      <w:r w:rsidR="008A16B5">
        <w:rPr>
          <w:rFonts w:ascii="Arial" w:eastAsia="Calibri" w:hAnsi="Arial" w:cs="Arial"/>
          <w:bCs/>
          <w:sz w:val="26"/>
          <w:szCs w:val="26"/>
          <w:lang w:eastAsia="en-US"/>
        </w:rPr>
        <w:t>interdependencia. -</w:t>
      </w:r>
      <w:r w:rsidR="00EC2DB4">
        <w:rPr>
          <w:rFonts w:ascii="Arial" w:eastAsia="Calibri" w:hAnsi="Arial" w:cs="Arial"/>
          <w:bCs/>
          <w:sz w:val="26"/>
          <w:szCs w:val="26"/>
          <w:lang w:eastAsia="en-US"/>
        </w:rPr>
        <w:t xml:space="preserve"> - - - - </w:t>
      </w:r>
    </w:p>
    <w:p w14:paraId="4DC7DC50" w14:textId="63F0D488" w:rsidR="00561E8A" w:rsidRDefault="00561E8A" w:rsidP="008A16B5">
      <w:pPr>
        <w:pStyle w:val="Sinespaciado"/>
        <w:rPr>
          <w:rFonts w:eastAsia="Calibri"/>
          <w:lang w:eastAsia="en-US"/>
        </w:rPr>
      </w:pPr>
    </w:p>
    <w:p w14:paraId="5DA9383B" w14:textId="7041A519" w:rsidR="006D1DB2" w:rsidRDefault="00EC2DB4" w:rsidP="00561E8A">
      <w:pPr>
        <w:spacing w:after="0" w:line="360" w:lineRule="auto"/>
        <w:ind w:firstLine="709"/>
        <w:jc w:val="both"/>
        <w:rPr>
          <w:rFonts w:ascii="Arial" w:eastAsia="Calibri" w:hAnsi="Arial" w:cs="Arial"/>
          <w:bCs/>
          <w:sz w:val="26"/>
          <w:szCs w:val="26"/>
          <w:lang w:eastAsia="en-US"/>
        </w:rPr>
      </w:pPr>
      <w:r>
        <w:rPr>
          <w:rFonts w:ascii="Arial" w:eastAsia="Calibri" w:hAnsi="Arial" w:cs="Arial"/>
          <w:bCs/>
          <w:sz w:val="26"/>
          <w:szCs w:val="26"/>
          <w:lang w:eastAsia="en-US"/>
        </w:rPr>
        <w:t xml:space="preserve">Finalmente solicita la suplencia de la queja en cuanto a los agravios que formula en el presente escrito, en términos del artículo 149 </w:t>
      </w:r>
      <w:r>
        <w:rPr>
          <w:rFonts w:ascii="Arial" w:eastAsia="Calibri" w:hAnsi="Arial" w:cs="Arial"/>
          <w:bCs/>
          <w:sz w:val="26"/>
          <w:szCs w:val="26"/>
          <w:lang w:eastAsia="en-US"/>
        </w:rPr>
        <w:lastRenderedPageBreak/>
        <w:t xml:space="preserve">de la Ley de Procedimiento y Justicia Administrativa para el Estado de </w:t>
      </w:r>
      <w:r w:rsidR="008A16B5">
        <w:rPr>
          <w:rFonts w:ascii="Arial" w:eastAsia="Calibri" w:hAnsi="Arial" w:cs="Arial"/>
          <w:bCs/>
          <w:sz w:val="26"/>
          <w:szCs w:val="26"/>
          <w:lang w:eastAsia="en-US"/>
        </w:rPr>
        <w:t>Oaxaca. -</w:t>
      </w:r>
      <w:r>
        <w:rPr>
          <w:rFonts w:ascii="Arial" w:eastAsia="Calibri" w:hAnsi="Arial" w:cs="Arial"/>
          <w:bCs/>
          <w:sz w:val="26"/>
          <w:szCs w:val="26"/>
          <w:lang w:eastAsia="en-US"/>
        </w:rPr>
        <w:t xml:space="preserve"> - - - </w:t>
      </w:r>
      <w:r w:rsidR="00561E8A">
        <w:rPr>
          <w:rFonts w:ascii="Arial" w:eastAsia="Calibri" w:hAnsi="Arial" w:cs="Arial"/>
          <w:bCs/>
          <w:sz w:val="26"/>
          <w:szCs w:val="26"/>
          <w:lang w:eastAsia="en-US"/>
        </w:rPr>
        <w:t xml:space="preserve"> - - - - - - - - - - - - - - - - - - - - - - - - - - - - - - - - - - - - - - - - - </w:t>
      </w:r>
    </w:p>
    <w:p w14:paraId="216793D0" w14:textId="77777777" w:rsidR="008A16B5" w:rsidRPr="006D1DB2" w:rsidRDefault="008A16B5" w:rsidP="008A16B5">
      <w:pPr>
        <w:pStyle w:val="Sinespaciado"/>
        <w:rPr>
          <w:rFonts w:eastAsia="Calibri"/>
          <w:lang w:eastAsia="en-US"/>
        </w:rPr>
      </w:pPr>
    </w:p>
    <w:p w14:paraId="3FDF0BF8" w14:textId="08E70379" w:rsidR="006D1DB2" w:rsidRDefault="006311E2" w:rsidP="006A55F1">
      <w:pPr>
        <w:spacing w:after="120" w:line="360" w:lineRule="auto"/>
        <w:ind w:firstLine="709"/>
        <w:jc w:val="both"/>
        <w:rPr>
          <w:rFonts w:ascii="Arial" w:eastAsiaTheme="minorHAnsi" w:hAnsi="Arial" w:cs="Arial"/>
          <w:bCs/>
          <w:iCs/>
          <w:sz w:val="26"/>
          <w:szCs w:val="26"/>
          <w:lang w:eastAsia="es-ES"/>
        </w:rPr>
      </w:pPr>
      <w:r w:rsidRPr="006311E2">
        <w:rPr>
          <w:rFonts w:ascii="Arial" w:eastAsia="Calibri" w:hAnsi="Arial" w:cs="Arial"/>
          <w:b/>
          <w:bCs/>
          <w:sz w:val="26"/>
          <w:szCs w:val="26"/>
        </w:rPr>
        <w:t>D</w:t>
      </w:r>
      <w:r w:rsidR="0052112A" w:rsidRPr="006311E2">
        <w:rPr>
          <w:rFonts w:ascii="Arial" w:eastAsia="Calibri" w:hAnsi="Arial" w:cs="Arial"/>
          <w:b/>
          <w:bCs/>
          <w:sz w:val="26"/>
          <w:szCs w:val="26"/>
        </w:rPr>
        <w:t>el</w:t>
      </w:r>
      <w:r w:rsidR="006D1DB2" w:rsidRPr="006D1DB2">
        <w:rPr>
          <w:rFonts w:ascii="Arial" w:eastAsia="Calibri" w:hAnsi="Arial" w:cs="Arial"/>
          <w:bCs/>
          <w:sz w:val="26"/>
          <w:szCs w:val="26"/>
          <w:lang w:eastAsia="en-US"/>
        </w:rPr>
        <w:t xml:space="preserve"> análisis de las constancias </w:t>
      </w:r>
      <w:r w:rsidR="006D1DB2" w:rsidRPr="006D1DB2">
        <w:rPr>
          <w:rFonts w:ascii="Arial" w:eastAsiaTheme="minorHAnsi" w:hAnsi="Arial" w:cs="Arial"/>
          <w:color w:val="000000"/>
          <w:sz w:val="26"/>
          <w:szCs w:val="26"/>
          <w:lang w:eastAsia="en-US"/>
        </w:rPr>
        <w:t xml:space="preserve">que integran el expediente de Primera Instancia remitido para la substanciación del presente recurso, a las que se les otorga pleno valor probatorio por tratarse de actuaciones procesales, conforme a lo dispuesto por el artículo 203 fracción I de la Ley de Procedimiento Justicia Administrativa para el Estado de Oaxaca, se tiene la sentencia de </w:t>
      </w:r>
      <w:r w:rsidR="00E02D9E">
        <w:rPr>
          <w:rFonts w:ascii="Arial" w:eastAsiaTheme="minorHAnsi" w:hAnsi="Arial" w:cs="Arial"/>
          <w:bCs/>
          <w:iCs/>
          <w:sz w:val="26"/>
          <w:szCs w:val="26"/>
          <w:lang w:eastAsia="es-ES"/>
        </w:rPr>
        <w:t>diecisiete de febrero de dos mil veinte</w:t>
      </w:r>
      <w:r w:rsidR="006D1DB2" w:rsidRPr="006D1DB2">
        <w:rPr>
          <w:rFonts w:ascii="Arial" w:eastAsiaTheme="minorHAnsi" w:hAnsi="Arial" w:cs="Arial"/>
          <w:bCs/>
          <w:iCs/>
          <w:sz w:val="26"/>
          <w:szCs w:val="26"/>
          <w:lang w:eastAsia="es-ES"/>
        </w:rPr>
        <w:t xml:space="preserve">, en la que </w:t>
      </w:r>
      <w:r w:rsidR="00013B5F">
        <w:rPr>
          <w:rFonts w:ascii="Arial" w:eastAsiaTheme="minorHAnsi" w:hAnsi="Arial" w:cs="Arial"/>
          <w:bCs/>
          <w:iCs/>
          <w:sz w:val="26"/>
          <w:szCs w:val="26"/>
          <w:lang w:eastAsia="es-ES"/>
        </w:rPr>
        <w:t xml:space="preserve">en su considerando QUINTO </w:t>
      </w:r>
      <w:r w:rsidR="006D1DB2" w:rsidRPr="006D1DB2">
        <w:rPr>
          <w:rFonts w:ascii="Arial" w:eastAsiaTheme="minorHAnsi" w:hAnsi="Arial" w:cs="Arial"/>
          <w:bCs/>
          <w:iCs/>
          <w:sz w:val="26"/>
          <w:szCs w:val="26"/>
          <w:lang w:eastAsia="es-ES"/>
        </w:rPr>
        <w:t xml:space="preserve">se </w:t>
      </w:r>
      <w:r w:rsidR="00184D29">
        <w:rPr>
          <w:rFonts w:ascii="Arial" w:eastAsiaTheme="minorHAnsi" w:hAnsi="Arial" w:cs="Arial"/>
          <w:bCs/>
          <w:iCs/>
          <w:sz w:val="26"/>
          <w:szCs w:val="26"/>
          <w:lang w:eastAsia="es-ES"/>
        </w:rPr>
        <w:t>indicó lo siguiente:</w:t>
      </w:r>
      <w:r w:rsidR="00561E8A">
        <w:rPr>
          <w:rFonts w:ascii="Arial" w:eastAsiaTheme="minorHAnsi" w:hAnsi="Arial" w:cs="Arial"/>
          <w:bCs/>
          <w:iCs/>
          <w:sz w:val="26"/>
          <w:szCs w:val="26"/>
          <w:lang w:eastAsia="es-ES"/>
        </w:rPr>
        <w:t xml:space="preserve">- </w:t>
      </w:r>
      <w:r>
        <w:rPr>
          <w:rFonts w:ascii="Arial" w:eastAsiaTheme="minorHAnsi" w:hAnsi="Arial" w:cs="Arial"/>
          <w:bCs/>
          <w:iCs/>
          <w:sz w:val="26"/>
          <w:szCs w:val="26"/>
          <w:lang w:eastAsia="es-ES"/>
        </w:rPr>
        <w:t xml:space="preserve">- - - - - - - - - - - - - - </w:t>
      </w:r>
    </w:p>
    <w:p w14:paraId="217CEE3C" w14:textId="77777777" w:rsidR="00190604" w:rsidRPr="006D1DB2" w:rsidRDefault="00190604" w:rsidP="00190604">
      <w:pPr>
        <w:pStyle w:val="Sinespaciado"/>
        <w:rPr>
          <w:rFonts w:eastAsia="Calibri"/>
          <w:lang w:eastAsia="en-US"/>
        </w:rPr>
      </w:pPr>
    </w:p>
    <w:bookmarkEnd w:id="1"/>
    <w:p w14:paraId="70E85F40" w14:textId="676B652B" w:rsidR="00561E8A" w:rsidRDefault="00194D1F" w:rsidP="006A55F1">
      <w:pPr>
        <w:spacing w:after="120" w:line="360" w:lineRule="auto"/>
        <w:ind w:left="1134" w:right="900" w:firstLine="282"/>
        <w:jc w:val="both"/>
        <w:rPr>
          <w:rFonts w:ascii="Arial" w:eastAsia="Calibri" w:hAnsi="Arial" w:cs="Arial"/>
          <w:bCs/>
          <w:i/>
          <w:lang w:eastAsia="en-US"/>
        </w:rPr>
      </w:pPr>
      <w:r>
        <w:rPr>
          <w:rFonts w:ascii="Arial" w:eastAsia="Calibri" w:hAnsi="Arial" w:cs="Arial"/>
          <w:bCs/>
          <w:i/>
          <w:lang w:eastAsia="en-US"/>
        </w:rPr>
        <w:t xml:space="preserve">   </w:t>
      </w:r>
      <w:r w:rsidR="00013B5F" w:rsidRPr="006D78DA">
        <w:rPr>
          <w:rFonts w:ascii="Arial" w:eastAsia="Calibri" w:hAnsi="Arial" w:cs="Arial"/>
          <w:bCs/>
          <w:i/>
          <w:lang w:eastAsia="en-US"/>
        </w:rPr>
        <w:t>“</w:t>
      </w:r>
      <w:r w:rsidR="006D78DA" w:rsidRPr="006D78DA">
        <w:rPr>
          <w:rFonts w:ascii="Arial" w:eastAsia="Calibri" w:hAnsi="Arial" w:cs="Arial"/>
          <w:b/>
          <w:bCs/>
          <w:i/>
          <w:lang w:eastAsia="en-US"/>
        </w:rPr>
        <w:t>QUINTO.-</w:t>
      </w:r>
      <w:r w:rsidR="006D78DA">
        <w:rPr>
          <w:rFonts w:ascii="Arial" w:eastAsia="Calibri" w:hAnsi="Arial" w:cs="Arial"/>
          <w:b/>
          <w:bCs/>
          <w:i/>
          <w:lang w:eastAsia="en-US"/>
        </w:rPr>
        <w:t xml:space="preserve"> </w:t>
      </w:r>
      <w:r w:rsidR="006D78DA">
        <w:rPr>
          <w:rFonts w:ascii="Arial" w:eastAsia="Calibri" w:hAnsi="Arial" w:cs="Arial"/>
          <w:bCs/>
          <w:i/>
          <w:lang w:eastAsia="en-US"/>
        </w:rPr>
        <w:t>Previo al estudio de la Litis del presente juicio, resulta importante resaltar, que a la autoridad demandada Director General de la Oficina de Pensiones del Estado de Oaxaca, por auto de once de diciembre de dos mil diecinueve, se le tuvo</w:t>
      </w:r>
      <w:r w:rsidR="007544FC">
        <w:rPr>
          <w:rFonts w:ascii="Arial" w:eastAsia="Calibri" w:hAnsi="Arial" w:cs="Arial"/>
          <w:bCs/>
          <w:i/>
          <w:lang w:eastAsia="en-US"/>
        </w:rPr>
        <w:t xml:space="preserve"> contestando la demanda en sentido afirmativo, por haber presentado tal contestación </w:t>
      </w:r>
      <w:r>
        <w:rPr>
          <w:rFonts w:ascii="Arial" w:eastAsia="Calibri" w:hAnsi="Arial" w:cs="Arial"/>
          <w:bCs/>
          <w:i/>
          <w:lang w:eastAsia="en-US"/>
        </w:rPr>
        <w:t>fuera del plazo legal correspondiente, por lo que al no existir en el sumario prueba alguna que desvirtúes tal situación, y ante la pérdida del derecho que tenía de la demandada para hacer valer en su defensa las argumentaciones correspondientes, se analizaran únicamente los planteamientos de las parte actora.</w:t>
      </w:r>
    </w:p>
    <w:p w14:paraId="1E15047B" w14:textId="777DBB50" w:rsidR="00194D1F" w:rsidRDefault="00194D1F" w:rsidP="00194D1F">
      <w:pPr>
        <w:spacing w:before="240" w:line="360" w:lineRule="auto"/>
        <w:ind w:left="1134" w:right="900" w:firstLine="282"/>
        <w:jc w:val="both"/>
        <w:rPr>
          <w:rFonts w:ascii="Arial" w:eastAsia="Calibri" w:hAnsi="Arial" w:cs="Arial"/>
          <w:bCs/>
          <w:i/>
          <w:lang w:eastAsia="en-US"/>
        </w:rPr>
      </w:pPr>
      <w:r>
        <w:rPr>
          <w:rFonts w:ascii="Arial" w:eastAsia="Calibri" w:hAnsi="Arial" w:cs="Arial"/>
          <w:bCs/>
          <w:i/>
          <w:lang w:eastAsia="en-US"/>
        </w:rPr>
        <w:t xml:space="preserve">   La actora </w:t>
      </w:r>
      <w:r w:rsidR="00D1680F">
        <w:rPr>
          <w:rFonts w:ascii="Arial" w:hAnsi="Arial" w:cs="Arial"/>
          <w:b/>
          <w:sz w:val="26"/>
          <w:szCs w:val="26"/>
        </w:rPr>
        <w:t>***********</w:t>
      </w:r>
      <w:r>
        <w:rPr>
          <w:rFonts w:ascii="Arial" w:eastAsia="Calibri" w:hAnsi="Arial" w:cs="Arial"/>
          <w:bCs/>
          <w:i/>
          <w:lang w:eastAsia="en-US"/>
        </w:rPr>
        <w:t xml:space="preserve">, demandó la nulidad del oficio </w:t>
      </w:r>
      <w:r w:rsidR="00D1680F">
        <w:rPr>
          <w:rFonts w:ascii="Arial" w:hAnsi="Arial" w:cs="Arial"/>
          <w:b/>
          <w:sz w:val="26"/>
          <w:szCs w:val="26"/>
        </w:rPr>
        <w:t>***********</w:t>
      </w:r>
      <w:r>
        <w:rPr>
          <w:rFonts w:ascii="Arial" w:eastAsia="Calibri" w:hAnsi="Arial" w:cs="Arial"/>
          <w:bCs/>
          <w:i/>
          <w:lang w:eastAsia="en-US"/>
        </w:rPr>
        <w:t>de quince de agosto de dos mil diecinueve, emitido por el Director General de la Oficina de Pensiones del Estado.</w:t>
      </w:r>
    </w:p>
    <w:p w14:paraId="38C21943" w14:textId="081E8FC1" w:rsidR="00194D1F" w:rsidRDefault="00194D1F" w:rsidP="00194D1F">
      <w:pPr>
        <w:spacing w:before="240" w:line="360" w:lineRule="auto"/>
        <w:ind w:left="1134" w:right="900" w:firstLine="282"/>
        <w:jc w:val="both"/>
        <w:rPr>
          <w:rFonts w:ascii="Arial" w:eastAsia="Calibri" w:hAnsi="Arial" w:cs="Arial"/>
          <w:bCs/>
          <w:i/>
          <w:lang w:eastAsia="en-US"/>
        </w:rPr>
      </w:pPr>
      <w:r>
        <w:rPr>
          <w:rFonts w:ascii="Arial" w:eastAsia="Calibri" w:hAnsi="Arial" w:cs="Arial"/>
          <w:bCs/>
          <w:i/>
          <w:lang w:eastAsia="en-US"/>
        </w:rPr>
        <w:t xml:space="preserve">  Del análisis al oficio impugnado </w:t>
      </w:r>
      <w:r w:rsidR="00D1680F">
        <w:rPr>
          <w:rFonts w:ascii="Arial" w:hAnsi="Arial" w:cs="Arial"/>
          <w:b/>
          <w:sz w:val="26"/>
          <w:szCs w:val="26"/>
        </w:rPr>
        <w:t>***********</w:t>
      </w:r>
      <w:r>
        <w:rPr>
          <w:rFonts w:ascii="Arial" w:eastAsia="Calibri" w:hAnsi="Arial" w:cs="Arial"/>
          <w:bCs/>
          <w:i/>
          <w:lang w:eastAsia="en-US"/>
        </w:rPr>
        <w:t xml:space="preserve">de quince de agosto de dos mil diecinueve, al que se le otorga pleno valor probatorio conforme lo previsto por el artículo 203 fracción I de la Ley de Procedimiento y Justicia Administrativa para el Estado de Oaxaca, al tratarse de un documento público, </w:t>
      </w:r>
      <w:r w:rsidR="0065474F">
        <w:rPr>
          <w:rFonts w:ascii="Arial" w:eastAsia="Calibri" w:hAnsi="Arial" w:cs="Arial"/>
          <w:bCs/>
          <w:i/>
          <w:lang w:eastAsia="en-US"/>
        </w:rPr>
        <w:t>emitido por autoridad en ejercicio de sus facultades, se advierte que la autoridad demandada, en lo que interesa determinó:</w:t>
      </w:r>
    </w:p>
    <w:p w14:paraId="4F656606" w14:textId="47937773" w:rsidR="0065474F" w:rsidRDefault="005818C6" w:rsidP="00194D1F">
      <w:pPr>
        <w:spacing w:before="240" w:line="360" w:lineRule="auto"/>
        <w:ind w:left="1134" w:right="900" w:firstLine="282"/>
        <w:jc w:val="both"/>
        <w:rPr>
          <w:rFonts w:ascii="Arial" w:eastAsia="Calibri" w:hAnsi="Arial" w:cs="Arial"/>
          <w:bCs/>
          <w:i/>
          <w:lang w:eastAsia="en-US"/>
        </w:rPr>
      </w:pPr>
      <w:r>
        <w:rPr>
          <w:rFonts w:ascii="Arial" w:eastAsia="Calibri" w:hAnsi="Arial" w:cs="Arial"/>
          <w:bCs/>
          <w:i/>
          <w:lang w:eastAsia="en-US"/>
        </w:rPr>
        <w:t>[…]</w:t>
      </w:r>
    </w:p>
    <w:p w14:paraId="7F5A3FE7" w14:textId="6DEA47AF" w:rsidR="005818C6" w:rsidRDefault="00314F14" w:rsidP="00194D1F">
      <w:pPr>
        <w:spacing w:before="240" w:line="360" w:lineRule="auto"/>
        <w:ind w:left="1134" w:right="900" w:firstLine="282"/>
        <w:jc w:val="both"/>
        <w:rPr>
          <w:rFonts w:ascii="Arial" w:eastAsia="Calibri" w:hAnsi="Arial" w:cs="Arial"/>
          <w:bCs/>
          <w:i/>
          <w:lang w:eastAsia="en-US"/>
        </w:rPr>
      </w:pPr>
      <w:r>
        <w:rPr>
          <w:rFonts w:ascii="Arial" w:eastAsia="Calibri" w:hAnsi="Arial" w:cs="Arial"/>
          <w:bCs/>
          <w:i/>
          <w:lang w:eastAsia="en-US"/>
        </w:rPr>
        <w:t xml:space="preserve">  </w:t>
      </w:r>
      <w:r w:rsidR="005818C6">
        <w:rPr>
          <w:rFonts w:ascii="Arial" w:eastAsia="Calibri" w:hAnsi="Arial" w:cs="Arial"/>
          <w:bCs/>
          <w:i/>
          <w:lang w:eastAsia="en-US"/>
        </w:rPr>
        <w:t xml:space="preserve">Al respecto de dicho acto, la actora en primer lugar alega, que los preceptos legales citados en dicho acto, únicamente establecen las facultades, obligaciones y atribuciones otorgadas al Director </w:t>
      </w:r>
      <w:r>
        <w:rPr>
          <w:rFonts w:ascii="Arial" w:eastAsia="Calibri" w:hAnsi="Arial" w:cs="Arial"/>
          <w:bCs/>
          <w:i/>
          <w:lang w:eastAsia="en-US"/>
        </w:rPr>
        <w:t xml:space="preserve">General de la Oficina de Pensiones y que el acuerdo emitido por el Consejo Directivo de la Oficina de Pensiones, tomando en sesión de doce de marzo de dos mil diecinueve, no </w:t>
      </w:r>
      <w:r>
        <w:rPr>
          <w:rFonts w:ascii="Arial" w:eastAsia="Calibri" w:hAnsi="Arial" w:cs="Arial"/>
          <w:bCs/>
          <w:i/>
          <w:lang w:eastAsia="en-US"/>
        </w:rPr>
        <w:lastRenderedPageBreak/>
        <w:t>es fundamento legal para realizarle el descuento del que se duele.</w:t>
      </w:r>
    </w:p>
    <w:p w14:paraId="61EDABA2" w14:textId="0AAE4C0D" w:rsidR="00314F14" w:rsidRDefault="00314F14" w:rsidP="00194D1F">
      <w:pPr>
        <w:spacing w:before="240" w:line="360" w:lineRule="auto"/>
        <w:ind w:left="1134" w:right="900" w:firstLine="282"/>
        <w:jc w:val="both"/>
        <w:rPr>
          <w:rFonts w:ascii="Arial" w:eastAsia="Calibri" w:hAnsi="Arial" w:cs="Arial"/>
          <w:bCs/>
          <w:i/>
          <w:lang w:eastAsia="en-US"/>
        </w:rPr>
      </w:pPr>
      <w:r>
        <w:rPr>
          <w:rFonts w:ascii="Arial" w:eastAsia="Calibri" w:hAnsi="Arial" w:cs="Arial"/>
          <w:bCs/>
          <w:i/>
          <w:lang w:eastAsia="en-US"/>
        </w:rPr>
        <w:t xml:space="preserve">   Esta primera parte de sus conceptos de impugnación, resultan </w:t>
      </w:r>
      <w:r>
        <w:rPr>
          <w:rFonts w:ascii="Arial" w:eastAsia="Calibri" w:hAnsi="Arial" w:cs="Arial"/>
          <w:b/>
          <w:bCs/>
          <w:i/>
          <w:lang w:eastAsia="en-US"/>
        </w:rPr>
        <w:t xml:space="preserve">ineficaces, </w:t>
      </w:r>
      <w:r>
        <w:rPr>
          <w:rFonts w:ascii="Arial" w:eastAsia="Calibri" w:hAnsi="Arial" w:cs="Arial"/>
          <w:bCs/>
          <w:i/>
          <w:lang w:eastAsia="en-US"/>
        </w:rPr>
        <w:t xml:space="preserve">al no emitir con ellos, razonamiento alguno encaminado a combatir la validez del acto administrativo oficio </w:t>
      </w:r>
      <w:r w:rsidR="00D1680F">
        <w:rPr>
          <w:rFonts w:ascii="Arial" w:hAnsi="Arial" w:cs="Arial"/>
          <w:b/>
          <w:sz w:val="26"/>
          <w:szCs w:val="26"/>
        </w:rPr>
        <w:t>***********</w:t>
      </w:r>
      <w:r>
        <w:rPr>
          <w:rFonts w:ascii="Arial" w:eastAsia="Calibri" w:hAnsi="Arial" w:cs="Arial"/>
          <w:bCs/>
          <w:i/>
          <w:lang w:eastAsia="en-US"/>
        </w:rPr>
        <w:t xml:space="preserve"> de quince de agosto de dos mil diecinueve, emitido por el Director General de la Oficina de Pensiones del Estado de Oaxaca, al dar respuesta a la petición que realizó ante ella, mediante escrito de cinco de agosto de dos mil diecinueve; pues sólo se concreta a decir, que los preceptos legales citados, únicamente establecen las facultades, obligaciones y atribuciones otorgadas al Director General de la Oficina de Pensiones; lo cual es verdad, porque de la lectura al oficio impugnado, se advierte que en los artículos 84 y 89 fracción I de la Ley de Pensiones para los Trabajadores del Gobierno del Estado de Oaxaca, en efecto se establecen las facultades y obligaciones del Director General de la Oficina de Pensiones, entre las que se encuentran las de ejecutar, cumplir y hacer cumplir los acuerdos del Consejo Directivo.</w:t>
      </w:r>
    </w:p>
    <w:p w14:paraId="7DE8DA99" w14:textId="162F26CD" w:rsidR="00314F14" w:rsidRDefault="00314F14" w:rsidP="00194D1F">
      <w:pPr>
        <w:spacing w:before="240" w:line="360" w:lineRule="auto"/>
        <w:ind w:left="1134" w:right="900" w:firstLine="282"/>
        <w:jc w:val="both"/>
        <w:rPr>
          <w:rFonts w:ascii="Arial" w:eastAsia="Calibri" w:hAnsi="Arial" w:cs="Arial"/>
          <w:bCs/>
          <w:i/>
          <w:lang w:eastAsia="en-US"/>
        </w:rPr>
      </w:pPr>
      <w:r>
        <w:rPr>
          <w:rFonts w:ascii="Arial" w:eastAsia="Calibri" w:hAnsi="Arial" w:cs="Arial"/>
          <w:bCs/>
          <w:i/>
          <w:lang w:eastAsia="en-US"/>
        </w:rPr>
        <w:t xml:space="preserve">  En otra parte de sus conceptos de impugnación, refiere, que la demandada hace una indebida fundamentación y motivación, porque contrariamente a lo manifestado, conforme lo previsto por el artículo 63 de la Ley de Pensiones para los Trabajadores del Gobierno del Estado de Oaxaca, la devolución del concepto de “seguro de vida” procede siempre que se haya reclamado dentro de los tres años siguientes a la fecha en que hubieren sido exigibles, siendo procedente su petición, porque está la realizó por escrito de dos de agosto de dos mil diecinueve.</w:t>
      </w:r>
    </w:p>
    <w:p w14:paraId="050A93AB" w14:textId="6035EEAB" w:rsidR="00314F14" w:rsidRDefault="00314F14" w:rsidP="00194D1F">
      <w:pPr>
        <w:spacing w:before="240" w:line="360" w:lineRule="auto"/>
        <w:ind w:left="1134" w:right="900" w:firstLine="282"/>
        <w:jc w:val="both"/>
        <w:rPr>
          <w:rFonts w:ascii="Arial" w:eastAsia="Calibri" w:hAnsi="Arial" w:cs="Arial"/>
          <w:bCs/>
          <w:i/>
          <w:lang w:eastAsia="en-US"/>
        </w:rPr>
      </w:pPr>
      <w:r>
        <w:rPr>
          <w:rFonts w:ascii="Arial" w:eastAsia="Calibri" w:hAnsi="Arial" w:cs="Arial"/>
          <w:bCs/>
          <w:i/>
          <w:lang w:eastAsia="en-US"/>
        </w:rPr>
        <w:t xml:space="preserve">  Esta alegación, del mismo modo resulta ineficaz, porque del oficio impugnado que ha quedado reseñado con antelación, se advierte que la emisora, aquí autoridad demandada, no estableció la improcedencia de la devolución del concepto de “seguro de vida”, </w:t>
      </w:r>
      <w:r w:rsidR="00A73E3E">
        <w:rPr>
          <w:rFonts w:ascii="Arial" w:eastAsia="Calibri" w:hAnsi="Arial" w:cs="Arial"/>
          <w:bCs/>
          <w:i/>
          <w:lang w:eastAsia="en-US"/>
        </w:rPr>
        <w:t>por considerar que el derecho a ejercerla hubiese prescrito como lo dispone el artículo 63 que indica el doliente, sino por las razones que ya se han apuntado, por considerarse incompetente para realizar el reintegro y ordenar la suspensión del descuento.</w:t>
      </w:r>
    </w:p>
    <w:p w14:paraId="1DBC69DC" w14:textId="3EAD8171" w:rsidR="00A73E3E" w:rsidRPr="00190604" w:rsidRDefault="00A73E3E" w:rsidP="00194D1F">
      <w:pPr>
        <w:spacing w:before="240" w:line="360" w:lineRule="auto"/>
        <w:ind w:left="1134" w:right="900" w:firstLine="282"/>
        <w:jc w:val="both"/>
        <w:rPr>
          <w:rFonts w:ascii="Arial" w:eastAsia="Calibri" w:hAnsi="Arial" w:cs="Arial"/>
          <w:bCs/>
          <w:i/>
          <w:lang w:eastAsia="en-US"/>
        </w:rPr>
      </w:pPr>
      <w:r>
        <w:rPr>
          <w:rFonts w:ascii="Arial" w:eastAsia="Calibri" w:hAnsi="Arial" w:cs="Arial"/>
          <w:bCs/>
          <w:i/>
          <w:lang w:eastAsia="en-US"/>
        </w:rPr>
        <w:t xml:space="preserve">  </w:t>
      </w:r>
      <w:r w:rsidRPr="00190604">
        <w:rPr>
          <w:rFonts w:ascii="Arial" w:eastAsia="Calibri" w:hAnsi="Arial" w:cs="Arial"/>
          <w:bCs/>
          <w:i/>
          <w:lang w:eastAsia="en-US"/>
        </w:rPr>
        <w:t xml:space="preserve">Ahora, si bien se han calificado con(sic) ineficaces los conceptos de impugnación hechos valer por la demandante, resulta importe(sic) precisar que dentro de sus alegaciones aduce también, que el Consejo Directivo de la Oficina de Pensiones “debió exponer las razones para emitir dicho acuerdo </w:t>
      </w:r>
      <w:r w:rsidRPr="00190604">
        <w:rPr>
          <w:rFonts w:ascii="Arial" w:eastAsia="Calibri" w:hAnsi="Arial" w:cs="Arial"/>
          <w:bCs/>
          <w:i/>
          <w:lang w:eastAsia="en-US"/>
        </w:rPr>
        <w:lastRenderedPageBreak/>
        <w:t>y analizar el perjuicio que podría causar a los derechos de cada uno de los jubilados”; y que es procedente se aplique en su favor la protección más amplia.</w:t>
      </w:r>
    </w:p>
    <w:p w14:paraId="5FBBB221" w14:textId="189FD058" w:rsidR="00A73E3E" w:rsidRDefault="00A73E3E" w:rsidP="00194D1F">
      <w:pPr>
        <w:spacing w:before="240" w:line="360" w:lineRule="auto"/>
        <w:ind w:left="1134" w:right="900" w:firstLine="282"/>
        <w:jc w:val="both"/>
        <w:rPr>
          <w:rFonts w:ascii="Arial" w:eastAsia="Calibri" w:hAnsi="Arial" w:cs="Arial"/>
          <w:bCs/>
          <w:i/>
          <w:lang w:eastAsia="en-US"/>
        </w:rPr>
      </w:pPr>
      <w:r>
        <w:rPr>
          <w:rFonts w:ascii="Arial" w:eastAsia="Calibri" w:hAnsi="Arial" w:cs="Arial"/>
          <w:bCs/>
          <w:i/>
          <w:lang w:eastAsia="en-US"/>
        </w:rPr>
        <w:t xml:space="preserve">  Siendo así que en el caso, que si bien, la demandada determinó negar la devolución del concepto de seguro de vida, basándose principalmente en que es incompetente para realizar el reintegro y la suspensión del descuento solicitado, por así establecerlo los artículos 84 y 89 fracción (sic) de la Ley de Pensiones para los Trabajadores del Gobierno del Estado de Oaxaca; así como los diversos 5 fracción XIII y 6 del Reglamento Interno de la Oficina de Pensiones.</w:t>
      </w:r>
    </w:p>
    <w:p w14:paraId="216F02CC" w14:textId="77777777" w:rsidR="00397ABF" w:rsidRDefault="00A73E3E" w:rsidP="00194D1F">
      <w:pPr>
        <w:spacing w:before="240" w:line="360" w:lineRule="auto"/>
        <w:ind w:left="1134" w:right="900" w:firstLine="282"/>
        <w:jc w:val="both"/>
        <w:rPr>
          <w:rFonts w:ascii="Arial" w:eastAsia="Calibri" w:hAnsi="Arial" w:cs="Arial"/>
          <w:bCs/>
          <w:i/>
          <w:lang w:eastAsia="en-US"/>
        </w:rPr>
      </w:pPr>
      <w:r>
        <w:rPr>
          <w:rFonts w:ascii="Arial" w:eastAsia="Calibri" w:hAnsi="Arial" w:cs="Arial"/>
          <w:bCs/>
          <w:i/>
          <w:lang w:eastAsia="en-US"/>
        </w:rPr>
        <w:t>Estas consideraciones, transgrede en perjuicio de la administrada su derecho a recibir una respuesta a su petición de manera fundada y motivada, porque si bien como lo aludió la demandada, dichos preceptos legales únicamente</w:t>
      </w:r>
      <w:r w:rsidR="00397ABF">
        <w:rPr>
          <w:rFonts w:ascii="Arial" w:eastAsia="Calibri" w:hAnsi="Arial" w:cs="Arial"/>
          <w:bCs/>
          <w:i/>
          <w:lang w:eastAsia="en-US"/>
        </w:rPr>
        <w:t xml:space="preserve"> lo facultan para ejecutar, cumplir y hacer cumplir los acuerdos del Consejo Directivo de la Oficina de Pensiones del Estado de Oaxaca, </w:t>
      </w:r>
      <w:r w:rsidR="00397ABF">
        <w:rPr>
          <w:rFonts w:ascii="Arial" w:eastAsia="Calibri" w:hAnsi="Arial" w:cs="Arial"/>
          <w:b/>
          <w:bCs/>
          <w:i/>
          <w:lang w:eastAsia="en-US"/>
        </w:rPr>
        <w:t>también es verdad</w:t>
      </w:r>
      <w:r w:rsidR="00397ABF">
        <w:rPr>
          <w:rFonts w:ascii="Arial" w:eastAsia="Calibri" w:hAnsi="Arial" w:cs="Arial"/>
          <w:bCs/>
          <w:i/>
          <w:lang w:eastAsia="en-US"/>
        </w:rPr>
        <w:t>, que la fracción IX del artículo 89 de la Ley de Pensiones, establece que el Director General de la Oficina de Pensiones tiene la obligación de someter al acuerdo del Consejo Directivo los asuntos de su competencia; obligación que no acató el Director General de la Oficina de Pensiones,  pues tomando en consideración que el descuento realizado a la aquí actora, se debió a un acuerdo emitido y ordenado por el Consejo Directivo de la referida Oficina de Pensiones, debió entonces someter a consideración de ese órgano, la solicitud de la actora,  para que acordaran lo procedente respecto a la devolución del concepto de seguro de vida que le fue realizado a su pago de pensión por jubilación, así como lo correspondiente a la petición de la suspensión de tal descuento en o(sic) subsecuente.</w:t>
      </w:r>
    </w:p>
    <w:p w14:paraId="0DF8B0B5" w14:textId="3683E40C" w:rsidR="00A73E3E" w:rsidRDefault="00397ABF" w:rsidP="00194D1F">
      <w:pPr>
        <w:spacing w:before="240" w:line="360" w:lineRule="auto"/>
        <w:ind w:left="1134" w:right="900" w:firstLine="282"/>
        <w:jc w:val="both"/>
        <w:rPr>
          <w:rFonts w:ascii="Arial" w:eastAsia="Calibri" w:hAnsi="Arial" w:cs="Arial"/>
          <w:bCs/>
          <w:i/>
          <w:lang w:eastAsia="en-US"/>
        </w:rPr>
      </w:pPr>
      <w:r>
        <w:rPr>
          <w:rFonts w:ascii="Arial" w:eastAsia="Calibri" w:hAnsi="Arial" w:cs="Arial"/>
          <w:bCs/>
          <w:i/>
          <w:lang w:eastAsia="en-US"/>
        </w:rPr>
        <w:t xml:space="preserve">  Actuación de la demandada, que llevó a la administrada a un estado de indefensión, al dejarla sin una respuesta debidamente fundada y motivada de las razones por las que no es procedente realizarle la devolución del concepto de seguro de vida que le fue descontado a su pago por jubilación del mes de agosto de dos mil diecinueve, así como la suspensión d dicho descuentos en los(sic) subsecuente. </w:t>
      </w:r>
    </w:p>
    <w:p w14:paraId="7CD06631" w14:textId="3BB8B15A" w:rsidR="00397ABF" w:rsidRDefault="00397ABF" w:rsidP="00194D1F">
      <w:pPr>
        <w:spacing w:before="240" w:line="360" w:lineRule="auto"/>
        <w:ind w:left="1134" w:right="900" w:firstLine="282"/>
        <w:jc w:val="both"/>
        <w:rPr>
          <w:rFonts w:ascii="Arial" w:eastAsia="Calibri" w:hAnsi="Arial" w:cs="Arial"/>
          <w:bCs/>
          <w:i/>
          <w:lang w:eastAsia="en-US"/>
        </w:rPr>
      </w:pPr>
      <w:r>
        <w:rPr>
          <w:rFonts w:ascii="Arial" w:eastAsia="Calibri" w:hAnsi="Arial" w:cs="Arial"/>
          <w:bCs/>
          <w:i/>
          <w:lang w:eastAsia="en-US"/>
        </w:rPr>
        <w:t xml:space="preserve">   De acuerdo a lo anteriormente puntualizado, conforme lo estatuido por el artículo 17 fracción V de la Ley de Procedimiento y Justicia Administrativa para el Estado de Oaxaca, que establece como uno de los requisitos de validez del acto administrativo, que debe estar fundado y motivado; se patentiza </w:t>
      </w:r>
      <w:r>
        <w:rPr>
          <w:rFonts w:ascii="Arial" w:eastAsia="Calibri" w:hAnsi="Arial" w:cs="Arial"/>
          <w:bCs/>
          <w:i/>
          <w:lang w:eastAsia="en-US"/>
        </w:rPr>
        <w:lastRenderedPageBreak/>
        <w:t xml:space="preserve">que en el caso no acontece. Sirve de apoyo la Jurisprudencia, emitida por el Pleno de la Suprema Corte de Justicia de </w:t>
      </w:r>
      <w:r w:rsidR="008B7067">
        <w:rPr>
          <w:rFonts w:ascii="Arial" w:eastAsia="Calibri" w:hAnsi="Arial" w:cs="Arial"/>
          <w:bCs/>
          <w:i/>
          <w:lang w:eastAsia="en-US"/>
        </w:rPr>
        <w:t>la Nación, publicada en el Semanario Judicial de la Federación y su Gaceta, Octava Época, número 64, abril de 1993, página 43, de rubro y texto siguientes:</w:t>
      </w:r>
    </w:p>
    <w:p w14:paraId="3778A57C" w14:textId="05F58C55" w:rsidR="008B7067" w:rsidRDefault="008B7067" w:rsidP="00194D1F">
      <w:pPr>
        <w:spacing w:before="240" w:line="360" w:lineRule="auto"/>
        <w:ind w:left="1134" w:right="900" w:firstLine="282"/>
        <w:jc w:val="both"/>
        <w:rPr>
          <w:rFonts w:ascii="Arial" w:eastAsia="Calibri" w:hAnsi="Arial" w:cs="Arial"/>
          <w:bCs/>
          <w:i/>
          <w:lang w:eastAsia="en-US"/>
        </w:rPr>
      </w:pPr>
      <w:r>
        <w:rPr>
          <w:rFonts w:ascii="Arial" w:eastAsia="Calibri" w:hAnsi="Arial" w:cs="Arial"/>
          <w:bCs/>
          <w:i/>
          <w:lang w:eastAsia="en-US"/>
        </w:rPr>
        <w:t xml:space="preserve">                         […]</w:t>
      </w:r>
    </w:p>
    <w:p w14:paraId="06EDB9A3" w14:textId="3EB786DB" w:rsidR="00561E8A" w:rsidRDefault="008B7067" w:rsidP="006A55F1">
      <w:pPr>
        <w:spacing w:after="0" w:line="360" w:lineRule="auto"/>
        <w:ind w:left="1134" w:right="900" w:firstLine="282"/>
        <w:jc w:val="both"/>
        <w:rPr>
          <w:rFonts w:ascii="Arial" w:eastAsia="Calibri" w:hAnsi="Arial" w:cs="Arial"/>
          <w:bCs/>
          <w:i/>
          <w:lang w:eastAsia="en-US"/>
        </w:rPr>
      </w:pPr>
      <w:r>
        <w:rPr>
          <w:rFonts w:ascii="Arial" w:eastAsia="Calibri" w:hAnsi="Arial" w:cs="Arial"/>
          <w:bCs/>
          <w:i/>
          <w:lang w:eastAsia="en-US"/>
        </w:rPr>
        <w:t xml:space="preserve">     Por todo lo anteriormente relatado, es procedente declarar la </w:t>
      </w:r>
      <w:r>
        <w:rPr>
          <w:rFonts w:ascii="Arial" w:eastAsia="Calibri" w:hAnsi="Arial" w:cs="Arial"/>
          <w:b/>
          <w:bCs/>
          <w:i/>
          <w:lang w:eastAsia="en-US"/>
        </w:rPr>
        <w:t xml:space="preserve">NULIDAD  </w:t>
      </w:r>
      <w:r>
        <w:rPr>
          <w:rFonts w:ascii="Arial" w:eastAsia="Calibri" w:hAnsi="Arial" w:cs="Arial"/>
          <w:bCs/>
          <w:i/>
          <w:lang w:eastAsia="en-US"/>
        </w:rPr>
        <w:t xml:space="preserve">del oficio </w:t>
      </w:r>
      <w:r w:rsidR="00D1680F">
        <w:rPr>
          <w:rFonts w:ascii="Arial" w:hAnsi="Arial" w:cs="Arial"/>
          <w:b/>
          <w:sz w:val="26"/>
          <w:szCs w:val="26"/>
        </w:rPr>
        <w:t>***********</w:t>
      </w:r>
      <w:r>
        <w:rPr>
          <w:rFonts w:ascii="Arial" w:eastAsia="Calibri" w:hAnsi="Arial" w:cs="Arial"/>
          <w:b/>
          <w:bCs/>
          <w:i/>
          <w:lang w:eastAsia="en-US"/>
        </w:rPr>
        <w:t xml:space="preserve">, </w:t>
      </w:r>
      <w:r>
        <w:rPr>
          <w:rFonts w:ascii="Arial" w:eastAsia="Calibri" w:hAnsi="Arial" w:cs="Arial"/>
          <w:bCs/>
          <w:i/>
          <w:lang w:eastAsia="en-US"/>
        </w:rPr>
        <w:t xml:space="preserve">de quince de agosto de dos mil diecinueve, signado por el Director General de la Oficina de Pensiones del Gobierno del Estado de Oaxaca, </w:t>
      </w:r>
      <w:r>
        <w:rPr>
          <w:rFonts w:ascii="Arial" w:eastAsia="Calibri" w:hAnsi="Arial" w:cs="Arial"/>
          <w:b/>
          <w:bCs/>
          <w:i/>
          <w:lang w:eastAsia="en-US"/>
        </w:rPr>
        <w:t xml:space="preserve">PARA EL EFECTO </w:t>
      </w:r>
      <w:r>
        <w:rPr>
          <w:rFonts w:ascii="Arial" w:eastAsia="Calibri" w:hAnsi="Arial" w:cs="Arial"/>
          <w:bCs/>
          <w:i/>
          <w:lang w:eastAsia="en-US"/>
        </w:rPr>
        <w:t xml:space="preserve">de que dicha autoridad someta al acuerdo del Consejo Directivo de la Oficina de Pensiones del Estado de Oaxaca, la petición de </w:t>
      </w:r>
      <w:r w:rsidR="00D1680F">
        <w:rPr>
          <w:rFonts w:ascii="Arial" w:hAnsi="Arial" w:cs="Arial"/>
          <w:b/>
          <w:sz w:val="26"/>
          <w:szCs w:val="26"/>
        </w:rPr>
        <w:t>***********</w:t>
      </w:r>
      <w:r>
        <w:rPr>
          <w:rFonts w:ascii="Arial" w:eastAsia="Calibri" w:hAnsi="Arial" w:cs="Arial"/>
          <w:bCs/>
          <w:i/>
          <w:lang w:eastAsia="en-US"/>
        </w:rPr>
        <w:t xml:space="preserve">, de cinco de agosto de dos mil diecinueve, para que sea dicho órgano quien en base a sus facultades, resuelva respecto de la procedencia o no de la petición planteada; y hecho lo anterior, </w:t>
      </w:r>
      <w:r>
        <w:rPr>
          <w:rFonts w:ascii="Arial" w:eastAsia="Calibri" w:hAnsi="Arial" w:cs="Arial"/>
          <w:b/>
          <w:bCs/>
          <w:i/>
          <w:lang w:eastAsia="en-US"/>
        </w:rPr>
        <w:t xml:space="preserve">EMITA </w:t>
      </w:r>
      <w:r>
        <w:rPr>
          <w:rFonts w:ascii="Arial" w:eastAsia="Calibri" w:hAnsi="Arial" w:cs="Arial"/>
          <w:bCs/>
          <w:i/>
          <w:lang w:eastAsia="en-US"/>
        </w:rPr>
        <w:t xml:space="preserve">otro oficio en cumplimiento a lo que determine el Consejo Directivo.”- - - - - - -  </w:t>
      </w:r>
    </w:p>
    <w:p w14:paraId="494E8B74" w14:textId="77777777" w:rsidR="000975E0" w:rsidRDefault="000975E0" w:rsidP="000975E0">
      <w:pPr>
        <w:pStyle w:val="Sinespaciado"/>
        <w:rPr>
          <w:rFonts w:eastAsia="Calibri"/>
          <w:lang w:eastAsia="en-US"/>
        </w:rPr>
      </w:pPr>
    </w:p>
    <w:p w14:paraId="390D7DD0" w14:textId="4AE51586" w:rsidR="0079747B" w:rsidRDefault="006311E2" w:rsidP="006A55F1">
      <w:pPr>
        <w:spacing w:after="0" w:line="360" w:lineRule="auto"/>
        <w:ind w:firstLine="709"/>
        <w:jc w:val="both"/>
        <w:rPr>
          <w:rFonts w:ascii="Arial" w:eastAsia="Calibri" w:hAnsi="Arial" w:cs="Arial"/>
          <w:bCs/>
          <w:color w:val="000000"/>
          <w:sz w:val="26"/>
          <w:szCs w:val="26"/>
        </w:rPr>
      </w:pPr>
      <w:r w:rsidRPr="006311E2">
        <w:rPr>
          <w:rFonts w:ascii="Arial" w:eastAsia="Calibri" w:hAnsi="Arial" w:cs="Arial"/>
          <w:bCs/>
          <w:color w:val="000000" w:themeColor="text1"/>
          <w:sz w:val="26"/>
          <w:szCs w:val="26"/>
          <w:lang w:eastAsia="en-US"/>
        </w:rPr>
        <w:t>Así se tiene que</w:t>
      </w:r>
      <w:r w:rsidR="006D1DB2" w:rsidRPr="006D1DB2">
        <w:rPr>
          <w:rFonts w:ascii="Arial" w:eastAsia="Calibri" w:hAnsi="Arial" w:cs="Arial"/>
          <w:bCs/>
          <w:sz w:val="26"/>
          <w:szCs w:val="26"/>
          <w:lang w:eastAsia="en-US"/>
        </w:rPr>
        <w:t xml:space="preserve"> </w:t>
      </w:r>
      <w:r w:rsidR="00055950" w:rsidRPr="00055950">
        <w:rPr>
          <w:rFonts w:ascii="Arial" w:eastAsia="Calibri" w:hAnsi="Arial" w:cs="Arial"/>
          <w:b/>
          <w:bCs/>
          <w:sz w:val="26"/>
          <w:szCs w:val="26"/>
          <w:lang w:eastAsia="en-US"/>
        </w:rPr>
        <w:t>resultan infundado</w:t>
      </w:r>
      <w:r w:rsidR="002E3127">
        <w:rPr>
          <w:rFonts w:ascii="Arial" w:eastAsia="Calibri" w:hAnsi="Arial" w:cs="Arial"/>
          <w:b/>
          <w:bCs/>
          <w:sz w:val="26"/>
          <w:szCs w:val="26"/>
          <w:lang w:eastAsia="en-US"/>
        </w:rPr>
        <w:t>s</w:t>
      </w:r>
      <w:r w:rsidR="00055950" w:rsidRPr="00055950">
        <w:rPr>
          <w:rFonts w:ascii="Arial" w:eastAsia="Calibri" w:hAnsi="Arial" w:cs="Arial"/>
          <w:b/>
          <w:bCs/>
          <w:sz w:val="26"/>
          <w:szCs w:val="26"/>
          <w:lang w:eastAsia="en-US"/>
        </w:rPr>
        <w:t xml:space="preserve"> los agravios segundo y tercero</w:t>
      </w:r>
      <w:r w:rsidR="00055950">
        <w:rPr>
          <w:rFonts w:ascii="Arial" w:eastAsia="Calibri" w:hAnsi="Arial" w:cs="Arial"/>
          <w:bCs/>
          <w:sz w:val="26"/>
          <w:szCs w:val="26"/>
          <w:lang w:eastAsia="en-US"/>
        </w:rPr>
        <w:t xml:space="preserve">, toda vez que </w:t>
      </w:r>
      <w:r w:rsidR="0079747B">
        <w:rPr>
          <w:rFonts w:ascii="Arial" w:eastAsia="Calibri" w:hAnsi="Arial" w:cs="Arial"/>
          <w:bCs/>
          <w:sz w:val="26"/>
          <w:szCs w:val="26"/>
          <w:lang w:eastAsia="en-US"/>
        </w:rPr>
        <w:t>l</w:t>
      </w:r>
      <w:r w:rsidR="0079747B">
        <w:rPr>
          <w:rFonts w:ascii="Arial" w:hAnsi="Arial" w:cs="Arial"/>
          <w:bCs/>
          <w:color w:val="000000"/>
          <w:sz w:val="26"/>
          <w:szCs w:val="26"/>
        </w:rPr>
        <w:t xml:space="preserve">a sentencia de diecisiete de febrero de dos mil </w:t>
      </w:r>
      <w:r w:rsidR="000975E0">
        <w:rPr>
          <w:rFonts w:ascii="Arial" w:hAnsi="Arial" w:cs="Arial"/>
          <w:bCs/>
          <w:color w:val="000000"/>
          <w:sz w:val="26"/>
          <w:szCs w:val="26"/>
        </w:rPr>
        <w:t>veinte</w:t>
      </w:r>
      <w:r w:rsidR="0079747B">
        <w:rPr>
          <w:rFonts w:ascii="Arial" w:hAnsi="Arial" w:cs="Arial"/>
          <w:bCs/>
          <w:color w:val="000000"/>
          <w:sz w:val="26"/>
          <w:szCs w:val="26"/>
        </w:rPr>
        <w:t xml:space="preserve">, se encuentra emitida conforme lo disponen </w:t>
      </w:r>
      <w:r w:rsidR="0079747B" w:rsidRPr="00D16DCF">
        <w:rPr>
          <w:rFonts w:ascii="Arial" w:eastAsia="Arial Unicode MS" w:hAnsi="Arial" w:cs="Arial"/>
          <w:bCs/>
          <w:sz w:val="26"/>
          <w:szCs w:val="26"/>
        </w:rPr>
        <w:t xml:space="preserve">los artículos </w:t>
      </w:r>
      <w:r w:rsidR="0079747B">
        <w:rPr>
          <w:rFonts w:ascii="Arial" w:eastAsia="Arial Unicode MS" w:hAnsi="Arial" w:cs="Arial"/>
          <w:bCs/>
          <w:sz w:val="26"/>
          <w:szCs w:val="26"/>
        </w:rPr>
        <w:t>206</w:t>
      </w:r>
      <w:r w:rsidR="0079747B" w:rsidRPr="00D16DCF">
        <w:rPr>
          <w:rFonts w:ascii="Arial" w:eastAsia="Arial Unicode MS" w:hAnsi="Arial" w:cs="Arial"/>
          <w:bCs/>
          <w:sz w:val="26"/>
          <w:szCs w:val="26"/>
        </w:rPr>
        <w:t xml:space="preserve"> y </w:t>
      </w:r>
      <w:r w:rsidR="0079747B">
        <w:rPr>
          <w:rFonts w:ascii="Arial" w:eastAsia="Arial Unicode MS" w:hAnsi="Arial" w:cs="Arial"/>
          <w:bCs/>
          <w:sz w:val="26"/>
          <w:szCs w:val="26"/>
        </w:rPr>
        <w:t>207</w:t>
      </w:r>
      <w:r w:rsidR="0079747B" w:rsidRPr="00D16DCF">
        <w:rPr>
          <w:rFonts w:ascii="Arial" w:eastAsia="Arial Unicode MS" w:hAnsi="Arial" w:cs="Arial"/>
          <w:bCs/>
          <w:sz w:val="26"/>
          <w:szCs w:val="26"/>
        </w:rPr>
        <w:t xml:space="preserve"> fracción I de la Ley de </w:t>
      </w:r>
      <w:r w:rsidR="0079747B">
        <w:rPr>
          <w:rFonts w:ascii="Arial" w:eastAsia="Arial Unicode MS" w:hAnsi="Arial" w:cs="Arial"/>
          <w:bCs/>
          <w:sz w:val="26"/>
          <w:szCs w:val="26"/>
        </w:rPr>
        <w:t xml:space="preserve">Procedimiento y </w:t>
      </w:r>
      <w:r w:rsidR="0079747B" w:rsidRPr="00D16DCF">
        <w:rPr>
          <w:rFonts w:ascii="Arial" w:eastAsia="Arial Unicode MS" w:hAnsi="Arial" w:cs="Arial"/>
          <w:bCs/>
          <w:sz w:val="26"/>
          <w:szCs w:val="26"/>
        </w:rPr>
        <w:t xml:space="preserve">Justicia Administrativa para el Estado de Oaxaca, </w:t>
      </w:r>
      <w:r w:rsidR="0079747B">
        <w:rPr>
          <w:rFonts w:ascii="Arial" w:eastAsia="Arial Unicode MS" w:hAnsi="Arial" w:cs="Arial"/>
          <w:bCs/>
          <w:sz w:val="26"/>
          <w:szCs w:val="26"/>
        </w:rPr>
        <w:t xml:space="preserve">los cuales </w:t>
      </w:r>
      <w:r w:rsidR="0079747B" w:rsidRPr="003827BC">
        <w:rPr>
          <w:rFonts w:ascii="Arial" w:eastAsia="Calibri" w:hAnsi="Arial" w:cs="Arial"/>
          <w:bCs/>
          <w:color w:val="000000"/>
          <w:sz w:val="26"/>
          <w:szCs w:val="26"/>
        </w:rPr>
        <w:t xml:space="preserve">exigen a los juzgadores que al emitir sus determinaciones lo hagan de acuerdo a los puntos litigiosos, ello atendiendo a los principios de seguridad jurídica y congruencia que deben imperar en las sentencias. </w:t>
      </w:r>
      <w:r w:rsidR="0079747B">
        <w:rPr>
          <w:rFonts w:ascii="Arial" w:eastAsia="Calibri" w:hAnsi="Arial" w:cs="Arial"/>
          <w:bCs/>
          <w:color w:val="000000"/>
          <w:sz w:val="26"/>
          <w:szCs w:val="26"/>
        </w:rPr>
        <w:t xml:space="preserve">- - - - - - - - - - - - - - - - - - - - - - - - - - - - </w:t>
      </w:r>
    </w:p>
    <w:p w14:paraId="5177A001" w14:textId="77777777" w:rsidR="0079582C" w:rsidRDefault="0079582C" w:rsidP="0079582C">
      <w:pPr>
        <w:pStyle w:val="Sinespaciado"/>
        <w:rPr>
          <w:rFonts w:eastAsia="Calibri"/>
        </w:rPr>
      </w:pPr>
    </w:p>
    <w:p w14:paraId="75F2C834" w14:textId="6971D937" w:rsidR="007252A6" w:rsidRDefault="0079747B" w:rsidP="007252A6">
      <w:pPr>
        <w:spacing w:after="0" w:line="360" w:lineRule="auto"/>
        <w:ind w:firstLine="709"/>
        <w:jc w:val="both"/>
        <w:rPr>
          <w:rFonts w:ascii="Arial" w:eastAsia="Calibri" w:hAnsi="Arial" w:cs="Arial"/>
          <w:bCs/>
          <w:sz w:val="26"/>
          <w:szCs w:val="26"/>
          <w:lang w:eastAsia="en-US"/>
        </w:rPr>
      </w:pPr>
      <w:r>
        <w:rPr>
          <w:rFonts w:ascii="Arial" w:eastAsia="Calibri" w:hAnsi="Arial" w:cs="Arial"/>
          <w:bCs/>
          <w:color w:val="000000"/>
          <w:sz w:val="26"/>
          <w:szCs w:val="26"/>
        </w:rPr>
        <w:t xml:space="preserve">Se dice lo anterior, </w:t>
      </w:r>
      <w:r w:rsidRPr="00147CA5">
        <w:rPr>
          <w:rFonts w:ascii="Arial" w:hAnsi="Arial" w:cs="Arial"/>
          <w:bCs/>
          <w:color w:val="000000"/>
          <w:sz w:val="26"/>
          <w:szCs w:val="26"/>
        </w:rPr>
        <w:t xml:space="preserve">pues en </w:t>
      </w:r>
      <w:r>
        <w:rPr>
          <w:rFonts w:ascii="Arial" w:hAnsi="Arial" w:cs="Arial"/>
          <w:bCs/>
          <w:color w:val="000000"/>
          <w:sz w:val="26"/>
          <w:szCs w:val="26"/>
        </w:rPr>
        <w:t xml:space="preserve">la sentencia recurrida </w:t>
      </w:r>
      <w:r w:rsidR="00C623D8">
        <w:rPr>
          <w:rFonts w:ascii="Arial" w:eastAsia="Calibri" w:hAnsi="Arial" w:cs="Arial"/>
          <w:bCs/>
          <w:sz w:val="26"/>
          <w:szCs w:val="26"/>
          <w:lang w:eastAsia="en-US"/>
        </w:rPr>
        <w:t xml:space="preserve">la Primera Instancia </w:t>
      </w:r>
      <w:r w:rsidR="008C030C">
        <w:rPr>
          <w:rFonts w:ascii="Arial" w:eastAsia="Calibri" w:hAnsi="Arial" w:cs="Arial"/>
          <w:bCs/>
          <w:sz w:val="26"/>
          <w:szCs w:val="26"/>
          <w:lang w:eastAsia="en-US"/>
        </w:rPr>
        <w:t xml:space="preserve">indicó que analizaría únicamente los planteamientos de la parte actora, al haberse tenido al Director General de la Oficina de Pensiones del Gobierno del Estado de Oaxaca, </w:t>
      </w:r>
      <w:r w:rsidR="00C623D8">
        <w:rPr>
          <w:rFonts w:ascii="Arial" w:eastAsia="Calibri" w:hAnsi="Arial" w:cs="Arial"/>
          <w:bCs/>
          <w:sz w:val="26"/>
          <w:szCs w:val="26"/>
          <w:lang w:eastAsia="en-US"/>
        </w:rPr>
        <w:t xml:space="preserve">por no contestada la demanda </w:t>
      </w:r>
      <w:r w:rsidR="008C030C">
        <w:rPr>
          <w:rFonts w:ascii="Arial" w:eastAsia="Calibri" w:hAnsi="Arial" w:cs="Arial"/>
          <w:bCs/>
          <w:sz w:val="26"/>
          <w:szCs w:val="26"/>
          <w:lang w:eastAsia="en-US"/>
        </w:rPr>
        <w:t xml:space="preserve">y perdido su derecho para hacer valer en su defensa las argumentaciones correspondientes; en consecuencia, procedió a entrar al </w:t>
      </w:r>
      <w:r w:rsidR="000245D7">
        <w:rPr>
          <w:rFonts w:ascii="Arial" w:eastAsia="Calibri" w:hAnsi="Arial" w:cs="Arial"/>
          <w:bCs/>
          <w:sz w:val="26"/>
          <w:szCs w:val="26"/>
          <w:lang w:eastAsia="en-US"/>
        </w:rPr>
        <w:t>estudió de los conce</w:t>
      </w:r>
      <w:r w:rsidR="002E3127">
        <w:rPr>
          <w:rFonts w:ascii="Arial" w:eastAsia="Calibri" w:hAnsi="Arial" w:cs="Arial"/>
          <w:bCs/>
          <w:sz w:val="26"/>
          <w:szCs w:val="26"/>
          <w:lang w:eastAsia="en-US"/>
        </w:rPr>
        <w:t>ptos de impugnación hechos valer</w:t>
      </w:r>
      <w:r w:rsidR="000245D7">
        <w:rPr>
          <w:rFonts w:ascii="Arial" w:eastAsia="Calibri" w:hAnsi="Arial" w:cs="Arial"/>
          <w:bCs/>
          <w:sz w:val="26"/>
          <w:szCs w:val="26"/>
          <w:lang w:eastAsia="en-US"/>
        </w:rPr>
        <w:t xml:space="preserve"> por la aquí recurrente, los cuales los tuvo como ineficaces </w:t>
      </w:r>
      <w:r w:rsidR="000245D7" w:rsidRPr="000245D7">
        <w:rPr>
          <w:rFonts w:ascii="Arial" w:eastAsia="Calibri" w:hAnsi="Arial" w:cs="Arial"/>
          <w:bCs/>
          <w:sz w:val="26"/>
          <w:szCs w:val="26"/>
          <w:lang w:eastAsia="en-US"/>
        </w:rPr>
        <w:t xml:space="preserve">al no emitir razonamiento alguno encaminado a combatir la validez del acto administrativo oficio </w:t>
      </w:r>
      <w:r w:rsidR="00D1680F">
        <w:rPr>
          <w:rFonts w:ascii="Arial" w:hAnsi="Arial" w:cs="Arial"/>
          <w:b/>
          <w:sz w:val="26"/>
          <w:szCs w:val="26"/>
        </w:rPr>
        <w:t>***********</w:t>
      </w:r>
      <w:r w:rsidR="00D1680F">
        <w:rPr>
          <w:rFonts w:ascii="Arial" w:hAnsi="Arial" w:cs="Arial"/>
          <w:b/>
          <w:sz w:val="26"/>
          <w:szCs w:val="26"/>
        </w:rPr>
        <w:t xml:space="preserve"> </w:t>
      </w:r>
      <w:r w:rsidR="000245D7" w:rsidRPr="000245D7">
        <w:rPr>
          <w:rFonts w:ascii="Arial" w:eastAsia="Calibri" w:hAnsi="Arial" w:cs="Arial"/>
          <w:bCs/>
          <w:sz w:val="26"/>
          <w:szCs w:val="26"/>
          <w:lang w:eastAsia="en-US"/>
        </w:rPr>
        <w:t>de quince de agosto de dos mil diecinueve, emitido por el Director General de la Oficina de Pensiones del Estado de O</w:t>
      </w:r>
      <w:r w:rsidR="00055950">
        <w:rPr>
          <w:rFonts w:ascii="Arial" w:eastAsia="Calibri" w:hAnsi="Arial" w:cs="Arial"/>
          <w:bCs/>
          <w:sz w:val="26"/>
          <w:szCs w:val="26"/>
          <w:lang w:eastAsia="en-US"/>
        </w:rPr>
        <w:t>axaca</w:t>
      </w:r>
      <w:r w:rsidR="007252A6">
        <w:rPr>
          <w:rFonts w:ascii="Arial" w:eastAsia="Calibri" w:hAnsi="Arial" w:cs="Arial"/>
          <w:bCs/>
          <w:sz w:val="26"/>
          <w:szCs w:val="26"/>
          <w:lang w:eastAsia="en-US"/>
        </w:rPr>
        <w:t xml:space="preserve">.- - - </w:t>
      </w:r>
    </w:p>
    <w:p w14:paraId="348E7E6C" w14:textId="372D1CE3" w:rsidR="00055950" w:rsidRDefault="007252A6" w:rsidP="007252A6">
      <w:pPr>
        <w:spacing w:after="0" w:line="360" w:lineRule="auto"/>
        <w:ind w:firstLine="709"/>
        <w:jc w:val="both"/>
        <w:rPr>
          <w:rFonts w:ascii="Arial" w:eastAsia="Calibri" w:hAnsi="Arial" w:cs="Arial"/>
          <w:bCs/>
          <w:sz w:val="26"/>
          <w:szCs w:val="26"/>
          <w:lang w:eastAsia="en-US"/>
        </w:rPr>
      </w:pPr>
      <w:r>
        <w:rPr>
          <w:rFonts w:ascii="Arial" w:eastAsia="Calibri" w:hAnsi="Arial" w:cs="Arial"/>
          <w:bCs/>
          <w:sz w:val="26"/>
          <w:szCs w:val="26"/>
          <w:lang w:eastAsia="en-US"/>
        </w:rPr>
        <w:t>A</w:t>
      </w:r>
      <w:r w:rsidR="00055950">
        <w:rPr>
          <w:rFonts w:ascii="Arial" w:eastAsia="Calibri" w:hAnsi="Arial" w:cs="Arial"/>
          <w:bCs/>
          <w:sz w:val="26"/>
          <w:szCs w:val="26"/>
          <w:lang w:eastAsia="en-US"/>
        </w:rPr>
        <w:t xml:space="preserve">simismo, </w:t>
      </w:r>
      <w:r>
        <w:rPr>
          <w:rFonts w:ascii="Arial" w:eastAsia="Calibri" w:hAnsi="Arial" w:cs="Arial"/>
          <w:bCs/>
          <w:sz w:val="26"/>
          <w:szCs w:val="26"/>
          <w:lang w:eastAsia="en-US"/>
        </w:rPr>
        <w:t>el Magistrado de la Sexta Sala Unitaria de Primera I</w:t>
      </w:r>
      <w:r w:rsidR="005034CB">
        <w:rPr>
          <w:rFonts w:ascii="Arial" w:eastAsia="Calibri" w:hAnsi="Arial" w:cs="Arial"/>
          <w:bCs/>
          <w:sz w:val="26"/>
          <w:szCs w:val="26"/>
          <w:lang w:eastAsia="en-US"/>
        </w:rPr>
        <w:t>nstancia</w:t>
      </w:r>
      <w:r>
        <w:rPr>
          <w:rFonts w:ascii="Arial" w:eastAsia="Calibri" w:hAnsi="Arial" w:cs="Arial"/>
          <w:bCs/>
          <w:sz w:val="26"/>
          <w:szCs w:val="26"/>
          <w:lang w:eastAsia="en-US"/>
        </w:rPr>
        <w:t xml:space="preserve"> </w:t>
      </w:r>
      <w:r w:rsidR="006D1DB2" w:rsidRPr="006D1DB2">
        <w:rPr>
          <w:rFonts w:ascii="Arial" w:eastAsia="Calibri" w:hAnsi="Arial" w:cs="Arial"/>
          <w:bCs/>
          <w:sz w:val="26"/>
          <w:szCs w:val="26"/>
          <w:lang w:eastAsia="en-US"/>
        </w:rPr>
        <w:t>fundó y motivó su determinación</w:t>
      </w:r>
      <w:r w:rsidR="005034CB">
        <w:rPr>
          <w:rFonts w:ascii="Arial" w:eastAsia="Calibri" w:hAnsi="Arial" w:cs="Arial"/>
          <w:bCs/>
          <w:sz w:val="26"/>
          <w:szCs w:val="26"/>
          <w:lang w:eastAsia="en-US"/>
        </w:rPr>
        <w:t>,</w:t>
      </w:r>
      <w:r w:rsidR="006D1DB2" w:rsidRPr="006D1DB2">
        <w:rPr>
          <w:rFonts w:ascii="Arial" w:eastAsia="Calibri" w:hAnsi="Arial" w:cs="Arial"/>
          <w:bCs/>
          <w:sz w:val="26"/>
          <w:szCs w:val="26"/>
          <w:lang w:eastAsia="en-US"/>
        </w:rPr>
        <w:t xml:space="preserve"> cuando señaló las razones </w:t>
      </w:r>
      <w:r w:rsidR="006D1DB2" w:rsidRPr="006D1DB2">
        <w:rPr>
          <w:rFonts w:ascii="Arial" w:eastAsia="Calibri" w:hAnsi="Arial" w:cs="Arial"/>
          <w:bCs/>
          <w:sz w:val="26"/>
          <w:szCs w:val="26"/>
          <w:lang w:eastAsia="en-US"/>
        </w:rPr>
        <w:lastRenderedPageBreak/>
        <w:t xml:space="preserve">por las que consideró </w:t>
      </w:r>
      <w:r>
        <w:rPr>
          <w:rFonts w:ascii="Arial" w:eastAsia="Calibri" w:hAnsi="Arial" w:cs="Arial"/>
          <w:bCs/>
          <w:sz w:val="26"/>
          <w:szCs w:val="26"/>
          <w:lang w:eastAsia="en-US"/>
        </w:rPr>
        <w:t xml:space="preserve">procedente que el </w:t>
      </w:r>
      <w:r w:rsidR="00055950">
        <w:rPr>
          <w:rFonts w:ascii="Arial" w:eastAsia="Calibri" w:hAnsi="Arial" w:cs="Arial"/>
          <w:bCs/>
          <w:sz w:val="26"/>
          <w:szCs w:val="26"/>
          <w:lang w:eastAsia="en-US"/>
        </w:rPr>
        <w:t xml:space="preserve">Director General de la Oficina de Pensiones del Gobierno del Estado de Oaxaca, someta a acuerdo del Consejo Directivo de la Oficina de Pensiones del Estado de Oaxaca, la petición </w:t>
      </w:r>
      <w:r>
        <w:rPr>
          <w:rFonts w:ascii="Arial" w:eastAsia="Calibri" w:hAnsi="Arial" w:cs="Arial"/>
          <w:bCs/>
          <w:sz w:val="26"/>
          <w:szCs w:val="26"/>
          <w:lang w:eastAsia="en-US"/>
        </w:rPr>
        <w:t>que presentó el cinco de agosto de dos mil diecinueve, para que dicho órgano sea quien en base a sus facultades</w:t>
      </w:r>
      <w:r w:rsidR="00ED7234">
        <w:rPr>
          <w:rFonts w:ascii="Arial" w:eastAsia="Calibri" w:hAnsi="Arial" w:cs="Arial"/>
          <w:bCs/>
          <w:sz w:val="26"/>
          <w:szCs w:val="26"/>
          <w:lang w:eastAsia="en-US"/>
        </w:rPr>
        <w:t>,</w:t>
      </w:r>
      <w:r>
        <w:rPr>
          <w:rFonts w:ascii="Arial" w:eastAsia="Calibri" w:hAnsi="Arial" w:cs="Arial"/>
          <w:bCs/>
          <w:sz w:val="26"/>
          <w:szCs w:val="26"/>
          <w:lang w:eastAsia="en-US"/>
        </w:rPr>
        <w:t xml:space="preserve"> resuelva sobre la procedencia o no de la petición</w:t>
      </w:r>
      <w:r w:rsidR="002E3127">
        <w:rPr>
          <w:rFonts w:ascii="Arial" w:eastAsia="Calibri" w:hAnsi="Arial" w:cs="Arial"/>
          <w:bCs/>
          <w:sz w:val="26"/>
          <w:szCs w:val="26"/>
          <w:lang w:eastAsia="en-US"/>
        </w:rPr>
        <w:t>,</w:t>
      </w:r>
      <w:r>
        <w:rPr>
          <w:rFonts w:ascii="Arial" w:eastAsia="Calibri" w:hAnsi="Arial" w:cs="Arial"/>
          <w:bCs/>
          <w:sz w:val="26"/>
          <w:szCs w:val="26"/>
          <w:lang w:eastAsia="en-US"/>
        </w:rPr>
        <w:t xml:space="preserve"> y con posterioridad el citado Director emita otro oficio en cumplimiento a lo que</w:t>
      </w:r>
      <w:r w:rsidR="002E3127">
        <w:rPr>
          <w:rFonts w:ascii="Arial" w:eastAsia="Calibri" w:hAnsi="Arial" w:cs="Arial"/>
          <w:bCs/>
          <w:sz w:val="26"/>
          <w:szCs w:val="26"/>
          <w:lang w:eastAsia="en-US"/>
        </w:rPr>
        <w:t xml:space="preserve"> determine el C</w:t>
      </w:r>
      <w:r w:rsidR="005034CB">
        <w:rPr>
          <w:rFonts w:ascii="Arial" w:eastAsia="Calibri" w:hAnsi="Arial" w:cs="Arial"/>
          <w:bCs/>
          <w:sz w:val="26"/>
          <w:szCs w:val="26"/>
          <w:lang w:eastAsia="en-US"/>
        </w:rPr>
        <w:t>onsejo;</w:t>
      </w:r>
      <w:r w:rsidR="00430504">
        <w:rPr>
          <w:rFonts w:ascii="Arial" w:eastAsia="Calibri" w:hAnsi="Arial" w:cs="Arial"/>
          <w:bCs/>
          <w:sz w:val="26"/>
          <w:szCs w:val="26"/>
          <w:lang w:eastAsia="en-US"/>
        </w:rPr>
        <w:t xml:space="preserve"> pues para llegar a dicha conclusión</w:t>
      </w:r>
      <w:r w:rsidR="005034CB">
        <w:rPr>
          <w:rFonts w:ascii="Arial" w:eastAsia="Calibri" w:hAnsi="Arial" w:cs="Arial"/>
          <w:bCs/>
          <w:sz w:val="26"/>
          <w:szCs w:val="26"/>
          <w:lang w:eastAsia="en-US"/>
        </w:rPr>
        <w:t>,</w:t>
      </w:r>
      <w:r w:rsidR="00430504">
        <w:rPr>
          <w:rFonts w:ascii="Arial" w:eastAsia="Calibri" w:hAnsi="Arial" w:cs="Arial"/>
          <w:bCs/>
          <w:sz w:val="26"/>
          <w:szCs w:val="26"/>
          <w:lang w:eastAsia="en-US"/>
        </w:rPr>
        <w:t xml:space="preserve"> entró al estudio del acto impugnado consistente en el oficio </w:t>
      </w:r>
      <w:r w:rsidR="001D1215">
        <w:rPr>
          <w:rFonts w:ascii="Arial" w:hAnsi="Arial" w:cs="Arial"/>
          <w:b/>
          <w:sz w:val="26"/>
          <w:szCs w:val="26"/>
        </w:rPr>
        <w:t>***********</w:t>
      </w:r>
      <w:r w:rsidR="00430504" w:rsidRPr="000245D7">
        <w:rPr>
          <w:rFonts w:ascii="Arial" w:eastAsia="Calibri" w:hAnsi="Arial" w:cs="Arial"/>
          <w:bCs/>
          <w:sz w:val="26"/>
          <w:szCs w:val="26"/>
          <w:lang w:eastAsia="en-US"/>
        </w:rPr>
        <w:t xml:space="preserve"> de quince de agosto de dos mil diecinueve,</w:t>
      </w:r>
      <w:r w:rsidR="006E5EBC">
        <w:rPr>
          <w:rFonts w:ascii="Arial" w:eastAsia="Calibri" w:hAnsi="Arial" w:cs="Arial"/>
          <w:bCs/>
          <w:sz w:val="26"/>
          <w:szCs w:val="26"/>
          <w:lang w:eastAsia="en-US"/>
        </w:rPr>
        <w:t xml:space="preserve"> en el cual se señaló medularmente </w:t>
      </w:r>
      <w:r w:rsidR="006E5EBC" w:rsidRPr="00ED7234">
        <w:rPr>
          <w:rFonts w:ascii="Arial" w:eastAsia="Calibri" w:hAnsi="Arial" w:cs="Arial"/>
          <w:bCs/>
          <w:sz w:val="26"/>
          <w:szCs w:val="26"/>
          <w:lang w:eastAsia="en-US"/>
        </w:rPr>
        <w:t>lo siguiente:- - - - - -</w:t>
      </w:r>
      <w:r w:rsidR="00ED7234">
        <w:rPr>
          <w:rFonts w:ascii="Arial" w:eastAsia="Calibri" w:hAnsi="Arial" w:cs="Arial"/>
          <w:bCs/>
          <w:sz w:val="26"/>
          <w:szCs w:val="26"/>
          <w:lang w:eastAsia="en-US"/>
        </w:rPr>
        <w:t xml:space="preserve"> </w:t>
      </w:r>
      <w:r w:rsidR="006E5EBC" w:rsidRPr="00ED7234">
        <w:rPr>
          <w:rFonts w:ascii="Arial" w:eastAsia="Calibri" w:hAnsi="Arial" w:cs="Arial"/>
          <w:bCs/>
          <w:sz w:val="26"/>
          <w:szCs w:val="26"/>
          <w:lang w:eastAsia="en-US"/>
        </w:rPr>
        <w:t>-</w:t>
      </w:r>
    </w:p>
    <w:p w14:paraId="3A5ABA49" w14:textId="7D6F5411" w:rsidR="00055950" w:rsidRDefault="002A2E60" w:rsidP="006A55F1">
      <w:pPr>
        <w:spacing w:after="0" w:line="360" w:lineRule="auto"/>
        <w:ind w:left="1134" w:right="902"/>
        <w:jc w:val="both"/>
        <w:rPr>
          <w:rFonts w:ascii="Arial" w:eastAsia="Calibri" w:hAnsi="Arial" w:cs="Arial"/>
          <w:bCs/>
          <w:i/>
          <w:lang w:eastAsia="en-US"/>
        </w:rPr>
      </w:pPr>
      <w:r>
        <w:rPr>
          <w:rFonts w:ascii="Arial" w:eastAsia="Calibri" w:hAnsi="Arial" w:cs="Arial"/>
          <w:bCs/>
          <w:i/>
          <w:lang w:eastAsia="en-US"/>
        </w:rPr>
        <w:t>“[…]</w:t>
      </w:r>
    </w:p>
    <w:p w14:paraId="32F910D4" w14:textId="4B5B65B7" w:rsidR="002A2E60" w:rsidRDefault="002A2E60" w:rsidP="006A55F1">
      <w:pPr>
        <w:spacing w:after="0" w:line="360" w:lineRule="auto"/>
        <w:ind w:left="1134" w:right="902"/>
        <w:jc w:val="both"/>
        <w:rPr>
          <w:rFonts w:ascii="Arial" w:eastAsia="Calibri" w:hAnsi="Arial" w:cs="Arial"/>
          <w:bCs/>
          <w:i/>
          <w:lang w:eastAsia="en-US"/>
        </w:rPr>
      </w:pPr>
      <w:r>
        <w:rPr>
          <w:rFonts w:ascii="Arial" w:eastAsia="Calibri" w:hAnsi="Arial" w:cs="Arial"/>
          <w:bCs/>
          <w:i/>
          <w:lang w:eastAsia="en-US"/>
        </w:rPr>
        <w:t>Después de proceder al análisis integral y hermenéutico de su petición y del escrito que la contiene, esta Dirección General, haciendo una interpretación lógico-jurídica de su solicitud de referencia, determina que no es procedente concederle la citada entrega o devolución del descuento que se le realizó ni tampoco la cesación del mismo, puesta esta autoridad carece de facultades y atribuciones para hacerlo, ya que como lo disponen los artículos 84 y 89 fracción I de la Ley de Pensiones para los Trabajadores del Gobierno del Estado de Oaxaca y 5 fracción XIII y 6 del Reglamento Interno de la Oficina de Pensiones del Estado de Oaxaca, que a continuación se transcriben respectivamente, en este caso en particular únicamente se limita a ejecutar, cumplir y hacer cumplir los acuerdos del Consejo Directivo de la Oficina de Pensiones del Estado de Oaxaca, máximo órgano de gobierno de esta dependencia.</w:t>
      </w:r>
    </w:p>
    <w:p w14:paraId="645FD42B" w14:textId="002BEC50" w:rsidR="002A2E60" w:rsidRDefault="002A2E60" w:rsidP="006A55F1">
      <w:pPr>
        <w:spacing w:after="0" w:line="360" w:lineRule="auto"/>
        <w:ind w:left="1134" w:right="900" w:firstLine="708"/>
        <w:jc w:val="both"/>
        <w:rPr>
          <w:rFonts w:ascii="Arial" w:eastAsia="Calibri" w:hAnsi="Arial" w:cs="Arial"/>
          <w:bCs/>
          <w:i/>
          <w:lang w:eastAsia="en-US"/>
        </w:rPr>
      </w:pPr>
      <w:r>
        <w:rPr>
          <w:rFonts w:ascii="Arial" w:eastAsia="Calibri" w:hAnsi="Arial" w:cs="Arial"/>
          <w:bCs/>
          <w:i/>
          <w:lang w:eastAsia="en-US"/>
        </w:rPr>
        <w:t>[…]</w:t>
      </w:r>
    </w:p>
    <w:p w14:paraId="0C38723F" w14:textId="47B1383F" w:rsidR="007B6ED0" w:rsidRDefault="007B6ED0" w:rsidP="006A55F1">
      <w:pPr>
        <w:spacing w:after="0" w:line="360" w:lineRule="auto"/>
        <w:ind w:left="1134" w:right="902"/>
        <w:jc w:val="both"/>
        <w:rPr>
          <w:rFonts w:ascii="Arial" w:eastAsia="Calibri" w:hAnsi="Arial" w:cs="Arial"/>
          <w:bCs/>
          <w:i/>
          <w:lang w:eastAsia="en-US"/>
        </w:rPr>
      </w:pPr>
      <w:r>
        <w:rPr>
          <w:rFonts w:ascii="Arial" w:eastAsia="Calibri" w:hAnsi="Arial" w:cs="Arial"/>
          <w:bCs/>
          <w:i/>
          <w:lang w:eastAsia="en-US"/>
        </w:rPr>
        <w:t>En razón de lo anterior, la Dirección General de la Oficina de Pensiones del Estado de Oaxaca, es incompetente para hacerle el reintegro en cuestión y ordenar la suspensión de dicho descuento, toda vez que la mencionada deducción hecha al monto de su pensión por jubilación no fue ordenada por ésta autoridad sino por el Consejo Directivo de la Oficina de Pensiones del Estado de Oaxaca, quien, con fundamento en lo previsto por los artículos 79, 82 y 88 fracción I de la Ley de Pensiones para los Trabajadores del Gobierno del Estado de Oaxaca que a la letra dicen:</w:t>
      </w:r>
    </w:p>
    <w:p w14:paraId="74C7A712" w14:textId="29B0524C" w:rsidR="007B6ED0" w:rsidRDefault="007B6ED0" w:rsidP="006A55F1">
      <w:pPr>
        <w:spacing w:after="0" w:line="360" w:lineRule="auto"/>
        <w:ind w:left="1134" w:right="902"/>
        <w:jc w:val="both"/>
        <w:rPr>
          <w:rFonts w:ascii="Arial" w:eastAsia="Calibri" w:hAnsi="Arial" w:cs="Arial"/>
          <w:bCs/>
          <w:i/>
          <w:lang w:eastAsia="en-US"/>
        </w:rPr>
      </w:pPr>
      <w:r>
        <w:rPr>
          <w:rFonts w:ascii="Arial" w:eastAsia="Calibri" w:hAnsi="Arial" w:cs="Arial"/>
          <w:bCs/>
          <w:i/>
          <w:lang w:eastAsia="en-US"/>
        </w:rPr>
        <w:tab/>
      </w:r>
      <w:r>
        <w:rPr>
          <w:rFonts w:ascii="Arial" w:eastAsia="Calibri" w:hAnsi="Arial" w:cs="Arial"/>
          <w:bCs/>
          <w:i/>
          <w:lang w:eastAsia="en-US"/>
        </w:rPr>
        <w:tab/>
        <w:t>[…]</w:t>
      </w:r>
    </w:p>
    <w:p w14:paraId="3EDC64B6" w14:textId="77777777" w:rsidR="00784FD7" w:rsidRDefault="00953F56" w:rsidP="006A55F1">
      <w:pPr>
        <w:spacing w:after="0" w:line="360" w:lineRule="auto"/>
        <w:ind w:left="1134" w:right="902"/>
        <w:jc w:val="both"/>
        <w:rPr>
          <w:rFonts w:ascii="Arial" w:eastAsia="Calibri" w:hAnsi="Arial" w:cs="Arial"/>
          <w:bCs/>
          <w:i/>
          <w:lang w:eastAsia="en-US"/>
        </w:rPr>
      </w:pPr>
      <w:r>
        <w:rPr>
          <w:rFonts w:ascii="Arial" w:eastAsia="Calibri" w:hAnsi="Arial" w:cs="Arial"/>
          <w:bCs/>
          <w:i/>
          <w:lang w:eastAsia="en-US"/>
        </w:rPr>
        <w:t xml:space="preserve">Luego entonces, ante tal condición y ser una obligación ineludible de esta autoridad cumplir con el interés público, actuando estrictamente en base a lo que se encuentra regulado en las normas, la Dirección General de la Oficina de Pensiones del Estado de Oaxaca está impedida legalmente, al no tener </w:t>
      </w:r>
      <w:r>
        <w:rPr>
          <w:rFonts w:ascii="Arial" w:eastAsia="Calibri" w:hAnsi="Arial" w:cs="Arial"/>
          <w:bCs/>
          <w:i/>
          <w:lang w:eastAsia="en-US"/>
        </w:rPr>
        <w:lastRenderedPageBreak/>
        <w:t xml:space="preserve">facultades y atribuciones, para obsequiar su petición como procedente, sin que esto se traduzca en un acto privativo, pues no produce una disminución, menoscabo o supresión definitiva de un derecho del gobernado. Pues, contrario a lo que usted pudiera pensar, esta resolución no le impide gozar con </w:t>
      </w:r>
      <w:r w:rsidR="002C59AF">
        <w:rPr>
          <w:rFonts w:ascii="Arial" w:eastAsia="Calibri" w:hAnsi="Arial" w:cs="Arial"/>
          <w:bCs/>
          <w:i/>
          <w:lang w:eastAsia="en-US"/>
        </w:rPr>
        <w:t>plenitud</w:t>
      </w:r>
      <w:r>
        <w:rPr>
          <w:rFonts w:ascii="Arial" w:eastAsia="Calibri" w:hAnsi="Arial" w:cs="Arial"/>
          <w:bCs/>
          <w:i/>
          <w:lang w:eastAsia="en-US"/>
        </w:rPr>
        <w:t xml:space="preserve"> de sus derechos, ya que éstos no se afectan de manera alguna, pues esta autoridad tiene la obligación de observar y acatar toda la normatividad que establece y regula  </w:t>
      </w:r>
      <w:r w:rsidR="00A605AE">
        <w:rPr>
          <w:rFonts w:ascii="Arial" w:eastAsia="Calibri" w:hAnsi="Arial" w:cs="Arial"/>
          <w:bCs/>
          <w:i/>
          <w:lang w:eastAsia="en-US"/>
        </w:rPr>
        <w:t>la actuación dela Oficina de Pensiones del Estado de Oaxaca, porque en caso de no hacerlo se generaría, también, una trasgresión a la garantía de Seguridad Jurídica de todos los administrados, principio básico y fundamental en todo Estado de derecho, constitucional y democrático.</w:t>
      </w:r>
    </w:p>
    <w:p w14:paraId="30155E4E" w14:textId="4B6EC227" w:rsidR="002A2E60" w:rsidRDefault="00784FD7" w:rsidP="00A219F6">
      <w:pPr>
        <w:spacing w:after="0" w:line="360" w:lineRule="auto"/>
        <w:ind w:left="1134" w:right="900"/>
        <w:jc w:val="both"/>
        <w:rPr>
          <w:rFonts w:ascii="Arial" w:eastAsia="Calibri" w:hAnsi="Arial" w:cs="Arial"/>
          <w:bCs/>
          <w:i/>
          <w:lang w:eastAsia="en-US"/>
        </w:rPr>
      </w:pPr>
      <w:r>
        <w:rPr>
          <w:rFonts w:ascii="Arial" w:eastAsia="Calibri" w:hAnsi="Arial" w:cs="Arial"/>
          <w:bCs/>
          <w:i/>
          <w:lang w:eastAsia="en-US"/>
        </w:rPr>
        <w:t>[…]”</w:t>
      </w:r>
      <w:r w:rsidR="00953F56">
        <w:rPr>
          <w:rFonts w:ascii="Arial" w:eastAsia="Calibri" w:hAnsi="Arial" w:cs="Arial"/>
          <w:bCs/>
          <w:i/>
          <w:lang w:eastAsia="en-US"/>
        </w:rPr>
        <w:t xml:space="preserve"> </w:t>
      </w:r>
    </w:p>
    <w:p w14:paraId="731B2D34" w14:textId="77777777" w:rsidR="000579E0" w:rsidRPr="002A2E60" w:rsidRDefault="000579E0" w:rsidP="00A219F6">
      <w:pPr>
        <w:spacing w:after="0" w:line="360" w:lineRule="auto"/>
        <w:ind w:left="1134" w:right="900"/>
        <w:jc w:val="both"/>
        <w:rPr>
          <w:rFonts w:ascii="Arial" w:eastAsia="Calibri" w:hAnsi="Arial" w:cs="Arial"/>
          <w:bCs/>
          <w:i/>
          <w:lang w:eastAsia="en-US"/>
        </w:rPr>
      </w:pPr>
    </w:p>
    <w:p w14:paraId="72F5D2A3" w14:textId="1095564C" w:rsidR="00784FD7" w:rsidRDefault="002E3127" w:rsidP="00A219F6">
      <w:pPr>
        <w:spacing w:after="0" w:line="360" w:lineRule="auto"/>
        <w:ind w:firstLine="708"/>
        <w:jc w:val="both"/>
        <w:rPr>
          <w:rFonts w:ascii="Arial" w:eastAsia="Calibri" w:hAnsi="Arial" w:cs="Arial"/>
          <w:bCs/>
          <w:sz w:val="26"/>
          <w:szCs w:val="26"/>
          <w:lang w:eastAsia="en-US"/>
        </w:rPr>
      </w:pPr>
      <w:r>
        <w:rPr>
          <w:rFonts w:ascii="Arial" w:eastAsia="Calibri" w:hAnsi="Arial" w:cs="Arial"/>
          <w:bCs/>
          <w:sz w:val="26"/>
          <w:szCs w:val="26"/>
          <w:lang w:eastAsia="en-US"/>
        </w:rPr>
        <w:t xml:space="preserve">Como se desprende de lo asentado por el Director General de la Oficina de Pensiones del Gobierno del Estado de Oaxaca, en el acto impugnado, esa autoridad </w:t>
      </w:r>
      <w:r w:rsidR="00DC459F">
        <w:rPr>
          <w:rFonts w:ascii="Arial" w:eastAsia="Calibri" w:hAnsi="Arial" w:cs="Arial"/>
          <w:bCs/>
          <w:sz w:val="26"/>
          <w:szCs w:val="26"/>
          <w:lang w:eastAsia="en-US"/>
        </w:rPr>
        <w:t xml:space="preserve">señala que </w:t>
      </w:r>
      <w:r>
        <w:rPr>
          <w:rFonts w:ascii="Arial" w:eastAsia="Calibri" w:hAnsi="Arial" w:cs="Arial"/>
          <w:bCs/>
          <w:sz w:val="26"/>
          <w:szCs w:val="26"/>
          <w:lang w:eastAsia="en-US"/>
        </w:rPr>
        <w:t xml:space="preserve">carece de facultades y atribuciones para resolver favorablemente la petición de </w:t>
      </w:r>
      <w:r w:rsidR="001E0DB0">
        <w:rPr>
          <w:rFonts w:ascii="Arial" w:hAnsi="Arial" w:cs="Arial"/>
          <w:b/>
          <w:sz w:val="26"/>
          <w:szCs w:val="26"/>
        </w:rPr>
        <w:t>***********</w:t>
      </w:r>
      <w:r>
        <w:rPr>
          <w:rFonts w:ascii="Arial" w:eastAsia="Calibri" w:hAnsi="Arial" w:cs="Arial"/>
          <w:bCs/>
          <w:sz w:val="26"/>
          <w:szCs w:val="26"/>
          <w:lang w:eastAsia="en-US"/>
        </w:rPr>
        <w:t>, en donde solicita la devolución del descuento realizado a su pensión jubilatoria correspondiente al mes de agosto de dos mil diecinueve, por la cantidad de cincuenta pesos por concepto de seguro de vida, y que se deje de hacer dichos descuentos en lo subsecuente; lo anterior, toda vez que dicha deducción fue ordenada por el Consejo Directivo de la Oficina de Pensiones del Estado de Oaxaca, puesto que el Director solo se encarga  de ejecutar, cumplir y hacer cumplir los acuerdos emitidos por el citado Consejo</w:t>
      </w:r>
      <w:r w:rsidR="00311DCF">
        <w:rPr>
          <w:rFonts w:ascii="Arial" w:eastAsia="Calibri" w:hAnsi="Arial" w:cs="Arial"/>
          <w:bCs/>
          <w:sz w:val="26"/>
          <w:szCs w:val="26"/>
          <w:lang w:eastAsia="en-US"/>
        </w:rPr>
        <w:t>, señalando los fundamentos en los cuales sustentó su determinación para determinar que no es procedente lo solicitado por la</w:t>
      </w:r>
      <w:r w:rsidR="001E0DB0">
        <w:rPr>
          <w:rFonts w:ascii="Arial" w:eastAsia="Calibri" w:hAnsi="Arial" w:cs="Arial"/>
          <w:bCs/>
          <w:sz w:val="26"/>
          <w:szCs w:val="26"/>
          <w:lang w:eastAsia="en-US"/>
        </w:rPr>
        <w:t xml:space="preserve"> aquí recurrente.- - - - - - - </w:t>
      </w:r>
      <w:r w:rsidR="00311DCF">
        <w:rPr>
          <w:rFonts w:ascii="Arial" w:eastAsia="Calibri" w:hAnsi="Arial" w:cs="Arial"/>
          <w:bCs/>
          <w:sz w:val="26"/>
          <w:szCs w:val="26"/>
          <w:lang w:eastAsia="en-US"/>
        </w:rPr>
        <w:t>- - - -</w:t>
      </w:r>
      <w:r w:rsidR="001E0DB0">
        <w:rPr>
          <w:rFonts w:ascii="Arial" w:eastAsia="Calibri" w:hAnsi="Arial" w:cs="Arial"/>
          <w:bCs/>
          <w:sz w:val="26"/>
          <w:szCs w:val="26"/>
          <w:lang w:eastAsia="en-US"/>
        </w:rPr>
        <w:t xml:space="preserve"> - - - - - - - - - - - - - - - - - - - - - - - - - - - - </w:t>
      </w:r>
      <w:r w:rsidR="00311DCF">
        <w:rPr>
          <w:rFonts w:ascii="Arial" w:eastAsia="Calibri" w:hAnsi="Arial" w:cs="Arial"/>
          <w:bCs/>
          <w:sz w:val="26"/>
          <w:szCs w:val="26"/>
          <w:lang w:eastAsia="en-US"/>
        </w:rPr>
        <w:t xml:space="preserve"> </w:t>
      </w:r>
    </w:p>
    <w:p w14:paraId="098C32D9" w14:textId="77777777" w:rsidR="000579E0" w:rsidRDefault="000579E0" w:rsidP="000579E0">
      <w:pPr>
        <w:pStyle w:val="Sinespaciado"/>
        <w:rPr>
          <w:rFonts w:eastAsia="Calibri"/>
          <w:lang w:eastAsia="en-US"/>
        </w:rPr>
      </w:pPr>
    </w:p>
    <w:p w14:paraId="306F13A7" w14:textId="5B5E7DFC" w:rsidR="005C161B" w:rsidRDefault="006F2087" w:rsidP="005C161B">
      <w:pPr>
        <w:spacing w:after="0" w:line="360" w:lineRule="auto"/>
        <w:ind w:firstLine="709"/>
        <w:jc w:val="both"/>
        <w:rPr>
          <w:rFonts w:ascii="Arial" w:eastAsia="Calibri" w:hAnsi="Arial" w:cs="Arial"/>
          <w:bCs/>
          <w:sz w:val="26"/>
          <w:szCs w:val="26"/>
          <w:lang w:eastAsia="en-US"/>
        </w:rPr>
      </w:pPr>
      <w:r>
        <w:rPr>
          <w:rFonts w:ascii="Arial" w:eastAsia="Calibri" w:hAnsi="Arial" w:cs="Arial"/>
          <w:bCs/>
          <w:sz w:val="26"/>
          <w:szCs w:val="26"/>
          <w:lang w:eastAsia="en-US"/>
        </w:rPr>
        <w:t xml:space="preserve">Luego, al considerar el Magistrado de Primera Instancia que dicha determinación trasgrede en perjuicio de la administrada su derecho a recibir una respuesta a su petición de manera fundada y motivada, procedió a declarar la nulidad del oficio </w:t>
      </w:r>
      <w:r w:rsidR="001E0DB0">
        <w:rPr>
          <w:rFonts w:ascii="Arial" w:hAnsi="Arial" w:cs="Arial"/>
          <w:b/>
          <w:sz w:val="26"/>
          <w:szCs w:val="26"/>
        </w:rPr>
        <w:t>***********</w:t>
      </w:r>
      <w:r w:rsidR="001E0DB0">
        <w:rPr>
          <w:rFonts w:ascii="Arial" w:hAnsi="Arial" w:cs="Arial"/>
          <w:b/>
          <w:sz w:val="26"/>
          <w:szCs w:val="26"/>
        </w:rPr>
        <w:t xml:space="preserve"> </w:t>
      </w:r>
      <w:r>
        <w:rPr>
          <w:rFonts w:ascii="Arial" w:eastAsia="Calibri" w:hAnsi="Arial" w:cs="Arial"/>
          <w:bCs/>
          <w:sz w:val="26"/>
          <w:szCs w:val="26"/>
          <w:lang w:eastAsia="en-US"/>
        </w:rPr>
        <w:t>de quince de agosto de dos mil diecinueve, signado por el Director General de la Oficina de Pensiones del Gobierno del Estado de Oaxaca, para el efecto de que dicha autoridad someta ante el Consejo Directivo de la Oficina de Pensiones del Estado de Oaxaca,</w:t>
      </w:r>
      <w:r w:rsidR="000A067C">
        <w:rPr>
          <w:rFonts w:ascii="Arial" w:eastAsia="Calibri" w:hAnsi="Arial" w:cs="Arial"/>
          <w:bCs/>
          <w:sz w:val="26"/>
          <w:szCs w:val="26"/>
          <w:lang w:eastAsia="en-US"/>
        </w:rPr>
        <w:t xml:space="preserve"> la solicitud de </w:t>
      </w:r>
      <w:r w:rsidR="001E0DB0">
        <w:rPr>
          <w:rFonts w:ascii="Arial" w:hAnsi="Arial" w:cs="Arial"/>
          <w:b/>
          <w:sz w:val="26"/>
          <w:szCs w:val="26"/>
        </w:rPr>
        <w:t>***********</w:t>
      </w:r>
      <w:r w:rsidR="001E0DB0">
        <w:rPr>
          <w:rFonts w:ascii="Arial" w:hAnsi="Arial" w:cs="Arial"/>
          <w:b/>
          <w:sz w:val="26"/>
          <w:szCs w:val="26"/>
        </w:rPr>
        <w:t xml:space="preserve"> </w:t>
      </w:r>
      <w:r w:rsidR="000A067C">
        <w:rPr>
          <w:rFonts w:ascii="Arial" w:eastAsia="Calibri" w:hAnsi="Arial" w:cs="Arial"/>
          <w:bCs/>
          <w:sz w:val="26"/>
          <w:szCs w:val="26"/>
          <w:lang w:eastAsia="en-US"/>
        </w:rPr>
        <w:t xml:space="preserve">de cinco de agosto de dos mil diecinueve, </w:t>
      </w:r>
      <w:r>
        <w:rPr>
          <w:rFonts w:ascii="Arial" w:eastAsia="Calibri" w:hAnsi="Arial" w:cs="Arial"/>
          <w:bCs/>
          <w:sz w:val="26"/>
          <w:szCs w:val="26"/>
          <w:lang w:eastAsia="en-US"/>
        </w:rPr>
        <w:t>y sea dicho órgano quien en base a sus facultades, resuelva respecto a la procedencia o no de dicha petición</w:t>
      </w:r>
      <w:r w:rsidR="000A067C">
        <w:rPr>
          <w:rFonts w:ascii="Arial" w:eastAsia="Calibri" w:hAnsi="Arial" w:cs="Arial"/>
          <w:bCs/>
          <w:sz w:val="26"/>
          <w:szCs w:val="26"/>
          <w:lang w:eastAsia="en-US"/>
        </w:rPr>
        <w:t xml:space="preserve">; lo </w:t>
      </w:r>
      <w:r w:rsidR="000A067C">
        <w:rPr>
          <w:rFonts w:ascii="Arial" w:eastAsia="Calibri" w:hAnsi="Arial" w:cs="Arial"/>
          <w:bCs/>
          <w:sz w:val="26"/>
          <w:szCs w:val="26"/>
          <w:lang w:eastAsia="en-US"/>
        </w:rPr>
        <w:lastRenderedPageBreak/>
        <w:t xml:space="preserve">anterior, con fundamento en el artículo 89 fracción X de la Ley de Pensiones para los Trabajadores del Gobierno del Estado de Oaxaca, </w:t>
      </w:r>
      <w:r w:rsidR="006170B8">
        <w:rPr>
          <w:rFonts w:ascii="Arial" w:eastAsia="Calibri" w:hAnsi="Arial" w:cs="Arial"/>
          <w:bCs/>
          <w:sz w:val="26"/>
          <w:szCs w:val="26"/>
          <w:lang w:eastAsia="en-US"/>
        </w:rPr>
        <w:t xml:space="preserve"> </w:t>
      </w:r>
      <w:r w:rsidR="000A067C">
        <w:rPr>
          <w:rFonts w:ascii="Arial" w:eastAsia="Calibri" w:hAnsi="Arial" w:cs="Arial"/>
          <w:bCs/>
          <w:sz w:val="26"/>
          <w:szCs w:val="26"/>
          <w:lang w:eastAsia="en-US"/>
        </w:rPr>
        <w:t>y con posterioridad el referido Director emita otro oficio en cumplimiento a lo que determine el Consejo Directivo</w:t>
      </w:r>
      <w:r w:rsidR="00CA0C7B">
        <w:rPr>
          <w:rFonts w:ascii="Arial" w:eastAsia="Calibri" w:hAnsi="Arial" w:cs="Arial"/>
          <w:bCs/>
          <w:sz w:val="26"/>
          <w:szCs w:val="26"/>
          <w:lang w:eastAsia="en-US"/>
        </w:rPr>
        <w:t>. Dicho precepto señala lo siguiente</w:t>
      </w:r>
      <w:r w:rsidR="00CA0C7B" w:rsidRPr="00F15507">
        <w:rPr>
          <w:rFonts w:ascii="Arial" w:eastAsia="Calibri" w:hAnsi="Arial" w:cs="Arial"/>
          <w:bCs/>
          <w:sz w:val="26"/>
          <w:szCs w:val="26"/>
          <w:lang w:eastAsia="en-US"/>
        </w:rPr>
        <w:t xml:space="preserve">: </w:t>
      </w:r>
      <w:r w:rsidR="00CA0C7B" w:rsidRPr="00F15507">
        <w:rPr>
          <w:rFonts w:ascii="Arial" w:eastAsia="Calibri" w:hAnsi="Arial" w:cs="Arial"/>
          <w:bCs/>
          <w:i/>
          <w:sz w:val="26"/>
          <w:szCs w:val="26"/>
          <w:lang w:eastAsia="en-US"/>
        </w:rPr>
        <w:t xml:space="preserve">“ARTÍCULO 89.- El Director General de la Oficina de Pensiones tendrá las facultades y obligaciones siguientes: IX. Someter al acuerdo del Consejo Directivo los demás asuntos que sean de su competencia.” </w:t>
      </w:r>
      <w:r w:rsidR="00CA0C7B" w:rsidRPr="00F15507">
        <w:rPr>
          <w:rFonts w:ascii="Arial" w:eastAsia="Calibri" w:hAnsi="Arial" w:cs="Arial"/>
          <w:bCs/>
          <w:sz w:val="26"/>
          <w:szCs w:val="26"/>
          <w:lang w:eastAsia="en-US"/>
        </w:rPr>
        <w:t>- - - - - - - - - -</w:t>
      </w:r>
      <w:r w:rsidR="00CA0C7B">
        <w:rPr>
          <w:rFonts w:ascii="Arial" w:eastAsia="Calibri" w:hAnsi="Arial" w:cs="Arial"/>
          <w:bCs/>
          <w:sz w:val="26"/>
          <w:szCs w:val="26"/>
          <w:lang w:eastAsia="en-US"/>
        </w:rPr>
        <w:t xml:space="preserve">  </w:t>
      </w:r>
      <w:r w:rsidR="00F15507">
        <w:rPr>
          <w:rFonts w:ascii="Arial" w:eastAsia="Calibri" w:hAnsi="Arial" w:cs="Arial"/>
          <w:bCs/>
          <w:sz w:val="26"/>
          <w:szCs w:val="26"/>
          <w:lang w:eastAsia="en-US"/>
        </w:rPr>
        <w:t>- - - - - - - - - - - - - - - - - - - - - - - - - - - - - - -</w:t>
      </w:r>
    </w:p>
    <w:p w14:paraId="77150528" w14:textId="77777777" w:rsidR="00F15507" w:rsidRDefault="00F15507" w:rsidP="00F15507">
      <w:pPr>
        <w:pStyle w:val="Sinespaciado"/>
        <w:rPr>
          <w:rFonts w:eastAsia="Calibri"/>
          <w:lang w:eastAsia="en-US"/>
        </w:rPr>
      </w:pPr>
    </w:p>
    <w:p w14:paraId="2E5C467D" w14:textId="4ED725CD" w:rsidR="00793502" w:rsidRDefault="008E3D86" w:rsidP="008E3D86">
      <w:pPr>
        <w:spacing w:after="0" w:line="360" w:lineRule="auto"/>
        <w:ind w:firstLine="708"/>
        <w:jc w:val="both"/>
        <w:rPr>
          <w:rFonts w:ascii="Arial" w:eastAsia="Calibri" w:hAnsi="Arial" w:cs="Arial"/>
          <w:bCs/>
          <w:sz w:val="26"/>
          <w:szCs w:val="26"/>
          <w:lang w:eastAsia="en-US"/>
        </w:rPr>
      </w:pPr>
      <w:r>
        <w:rPr>
          <w:rFonts w:ascii="Arial" w:eastAsia="Calibri" w:hAnsi="Arial" w:cs="Arial"/>
          <w:bCs/>
          <w:sz w:val="26"/>
          <w:szCs w:val="26"/>
          <w:lang w:eastAsia="en-US"/>
        </w:rPr>
        <w:t>Por tanto, el Magistrado de Primera Instancia</w:t>
      </w:r>
      <w:r w:rsidR="006D1DB2" w:rsidRPr="006D1DB2">
        <w:rPr>
          <w:rFonts w:ascii="Arial" w:eastAsia="Calibri" w:hAnsi="Arial" w:cs="Arial"/>
          <w:bCs/>
          <w:sz w:val="26"/>
          <w:szCs w:val="26"/>
          <w:lang w:eastAsia="en-US"/>
        </w:rPr>
        <w:t xml:space="preserve"> no efectuó suplencia de la queja alguna</w:t>
      </w:r>
      <w:r w:rsidR="0084471E">
        <w:rPr>
          <w:rFonts w:ascii="Arial" w:eastAsia="Calibri" w:hAnsi="Arial" w:cs="Arial"/>
          <w:bCs/>
          <w:sz w:val="26"/>
          <w:szCs w:val="26"/>
          <w:lang w:eastAsia="en-US"/>
        </w:rPr>
        <w:t>,</w:t>
      </w:r>
      <w:r w:rsidR="006D1DB2" w:rsidRPr="006D1DB2">
        <w:rPr>
          <w:rFonts w:ascii="Arial" w:eastAsia="Calibri" w:hAnsi="Arial" w:cs="Arial"/>
          <w:bCs/>
          <w:sz w:val="26"/>
          <w:szCs w:val="26"/>
          <w:lang w:eastAsia="en-US"/>
        </w:rPr>
        <w:t xml:space="preserve"> ni resolvió de manera distinta a lo permitido por la Ley, sino por el contrario su determinación fue realizada conforme a lo planteado por la</w:t>
      </w:r>
      <w:r w:rsidR="0084471E">
        <w:rPr>
          <w:rFonts w:ascii="Arial" w:eastAsia="Calibri" w:hAnsi="Arial" w:cs="Arial"/>
          <w:bCs/>
          <w:sz w:val="26"/>
          <w:szCs w:val="26"/>
          <w:lang w:eastAsia="en-US"/>
        </w:rPr>
        <w:t xml:space="preserve"> parte actora,</w:t>
      </w:r>
      <w:r w:rsidR="00793502">
        <w:rPr>
          <w:rFonts w:ascii="Arial" w:eastAsia="Calibri" w:hAnsi="Arial" w:cs="Arial"/>
          <w:bCs/>
          <w:sz w:val="26"/>
          <w:szCs w:val="26"/>
          <w:lang w:eastAsia="en-US"/>
        </w:rPr>
        <w:t xml:space="preserve"> </w:t>
      </w:r>
      <w:r w:rsidR="00793502" w:rsidRPr="008E3D86">
        <w:rPr>
          <w:rFonts w:ascii="Arial" w:eastAsia="Calibri" w:hAnsi="Arial" w:cs="Arial"/>
          <w:bCs/>
          <w:sz w:val="26"/>
          <w:szCs w:val="26"/>
          <w:lang w:eastAsia="en-US"/>
        </w:rPr>
        <w:t>determinando que</w:t>
      </w:r>
      <w:r>
        <w:rPr>
          <w:rFonts w:ascii="Arial" w:eastAsia="Calibri" w:hAnsi="Arial" w:cs="Arial"/>
          <w:bCs/>
          <w:sz w:val="26"/>
          <w:szCs w:val="26"/>
          <w:lang w:eastAsia="en-US"/>
        </w:rPr>
        <w:t xml:space="preserve"> para no </w:t>
      </w:r>
      <w:r w:rsidR="007F289D">
        <w:rPr>
          <w:rFonts w:ascii="Arial" w:eastAsia="Calibri" w:hAnsi="Arial" w:cs="Arial"/>
          <w:bCs/>
          <w:sz w:val="26"/>
          <w:szCs w:val="26"/>
          <w:lang w:eastAsia="en-US"/>
        </w:rPr>
        <w:t xml:space="preserve">trasgredir su derecho a recibir una respuesta a su petición de manera fundada y motivada, </w:t>
      </w:r>
      <w:r>
        <w:rPr>
          <w:rFonts w:ascii="Arial" w:eastAsia="Calibri" w:hAnsi="Arial" w:cs="Arial"/>
          <w:bCs/>
          <w:sz w:val="26"/>
          <w:szCs w:val="26"/>
          <w:lang w:eastAsia="en-US"/>
        </w:rPr>
        <w:t>se someta a acuerdo del Consejo Directivo de la Oficina de Pensiones del Estado de Oaxaca, su petición respecto a la devolución de la cantidad de cincuenta pesos por concepto de seguro de vida del mes de agosto de 2019, que le fue descontado de su pensión por jubilación, así como la suspensión de dicho descuento, por ser dicha autoridad la competente p</w:t>
      </w:r>
      <w:r w:rsidR="00974667">
        <w:rPr>
          <w:rFonts w:ascii="Arial" w:eastAsia="Calibri" w:hAnsi="Arial" w:cs="Arial"/>
          <w:bCs/>
          <w:sz w:val="26"/>
          <w:szCs w:val="26"/>
          <w:lang w:eastAsia="en-US"/>
        </w:rPr>
        <w:t xml:space="preserve">ara conocer de dicha solicitud.- -  - - - - - - - - - </w:t>
      </w:r>
    </w:p>
    <w:p w14:paraId="2ED217B2" w14:textId="77777777" w:rsidR="00530ECF" w:rsidRDefault="00530ECF" w:rsidP="00530ECF">
      <w:pPr>
        <w:pStyle w:val="Sinespaciado"/>
        <w:rPr>
          <w:rFonts w:eastAsia="Calibri"/>
          <w:lang w:eastAsia="en-US"/>
        </w:rPr>
      </w:pPr>
    </w:p>
    <w:p w14:paraId="1EA7A731" w14:textId="77777777" w:rsidR="00CB41A7" w:rsidRDefault="00EB2E1A" w:rsidP="00D07985">
      <w:pPr>
        <w:spacing w:after="0" w:line="360" w:lineRule="auto"/>
        <w:ind w:firstLine="709"/>
        <w:jc w:val="both"/>
        <w:rPr>
          <w:rFonts w:ascii="Arial" w:hAnsi="Arial" w:cs="Arial"/>
          <w:bCs/>
          <w:color w:val="000000"/>
          <w:sz w:val="26"/>
          <w:szCs w:val="26"/>
        </w:rPr>
      </w:pPr>
      <w:r>
        <w:rPr>
          <w:rFonts w:ascii="Arial" w:eastAsia="Calibri" w:hAnsi="Arial" w:cs="Arial"/>
          <w:bCs/>
          <w:sz w:val="26"/>
          <w:szCs w:val="26"/>
          <w:lang w:eastAsia="en-US"/>
        </w:rPr>
        <w:t xml:space="preserve">Por consiguiente, </w:t>
      </w:r>
      <w:r w:rsidR="00D07985">
        <w:rPr>
          <w:rFonts w:ascii="Arial" w:hAnsi="Arial" w:cs="Arial"/>
          <w:bCs/>
          <w:color w:val="000000"/>
          <w:sz w:val="26"/>
          <w:szCs w:val="26"/>
        </w:rPr>
        <w:t>en ningún momento la determinación es contradictoria y violatoria de derechos humanos como lo argumenta la recurrente, pues se le está ordenando a la autoridad demandada realice el trámite correspondiente, para que se le dé una respuesta fundada y motivada a su petición. - - - - - - - - - - -  - - - - - - - - - - - - - - - - - - - - - - - -</w:t>
      </w:r>
    </w:p>
    <w:p w14:paraId="2E79E24B" w14:textId="74DEB3E1" w:rsidR="00793502" w:rsidRDefault="00D07985" w:rsidP="00CB41A7">
      <w:pPr>
        <w:pStyle w:val="Sinespaciado"/>
        <w:rPr>
          <w:rFonts w:eastAsia="Calibri"/>
          <w:lang w:eastAsia="en-US"/>
        </w:rPr>
      </w:pPr>
      <w:r>
        <w:t xml:space="preserve"> </w:t>
      </w:r>
    </w:p>
    <w:p w14:paraId="585C6121" w14:textId="05606D56" w:rsidR="006311E2" w:rsidRDefault="006311E2" w:rsidP="006311E2">
      <w:pPr>
        <w:spacing w:after="0" w:line="360" w:lineRule="auto"/>
        <w:ind w:firstLine="709"/>
        <w:jc w:val="both"/>
        <w:rPr>
          <w:rFonts w:ascii="Arial" w:eastAsia="Calibri" w:hAnsi="Arial" w:cs="Arial"/>
          <w:bCs/>
          <w:sz w:val="26"/>
          <w:szCs w:val="26"/>
        </w:rPr>
      </w:pPr>
      <w:r w:rsidRPr="008C030C">
        <w:rPr>
          <w:rFonts w:ascii="Arial" w:eastAsia="Calibri" w:hAnsi="Arial" w:cs="Arial"/>
          <w:b/>
          <w:bCs/>
          <w:sz w:val="26"/>
          <w:szCs w:val="26"/>
        </w:rPr>
        <w:t>En</w:t>
      </w:r>
      <w:r>
        <w:rPr>
          <w:rFonts w:ascii="Arial" w:eastAsia="Calibri" w:hAnsi="Arial" w:cs="Arial"/>
          <w:bCs/>
          <w:sz w:val="26"/>
          <w:szCs w:val="26"/>
        </w:rPr>
        <w:t xml:space="preserve"> cuanto a la suplencia de la queja respecto a sus agravios, es de señalar </w:t>
      </w:r>
      <w:r w:rsidR="00587BBA">
        <w:rPr>
          <w:rFonts w:ascii="Arial" w:eastAsia="Calibri" w:hAnsi="Arial" w:cs="Arial"/>
          <w:bCs/>
          <w:sz w:val="26"/>
          <w:szCs w:val="26"/>
        </w:rPr>
        <w:t>que,</w:t>
      </w:r>
      <w:r>
        <w:rPr>
          <w:rFonts w:ascii="Arial" w:eastAsia="Calibri" w:hAnsi="Arial" w:cs="Arial"/>
          <w:bCs/>
          <w:sz w:val="26"/>
          <w:szCs w:val="26"/>
        </w:rPr>
        <w:t xml:space="preserve"> tratándose de recursos, no es posible dicha suplencia, ni aun tratándose del administrado porque sin bien tal figura jurídica existe normada por la Ley de Procedimiento y Justicia Administrativa para el Estado de Oaxaca, se constriñe a la primera </w:t>
      </w:r>
      <w:r w:rsidR="00587BBA">
        <w:rPr>
          <w:rFonts w:ascii="Arial" w:eastAsia="Calibri" w:hAnsi="Arial" w:cs="Arial"/>
          <w:bCs/>
          <w:sz w:val="26"/>
          <w:szCs w:val="26"/>
        </w:rPr>
        <w:t>instancia. -</w:t>
      </w:r>
      <w:r>
        <w:rPr>
          <w:rFonts w:ascii="Arial" w:eastAsia="Calibri" w:hAnsi="Arial" w:cs="Arial"/>
          <w:bCs/>
          <w:sz w:val="26"/>
          <w:szCs w:val="26"/>
        </w:rPr>
        <w:t xml:space="preserve"> - - - - - - </w:t>
      </w:r>
    </w:p>
    <w:p w14:paraId="5D25057F" w14:textId="77777777" w:rsidR="00CB41A7" w:rsidRDefault="00CB41A7" w:rsidP="00CB41A7">
      <w:pPr>
        <w:pStyle w:val="Sinespaciado"/>
        <w:rPr>
          <w:rFonts w:eastAsia="Calibri"/>
        </w:rPr>
      </w:pPr>
    </w:p>
    <w:p w14:paraId="6625854B" w14:textId="48CFF125" w:rsidR="006D1DB2" w:rsidRPr="006D1DB2" w:rsidRDefault="006D1DB2" w:rsidP="00793502">
      <w:pPr>
        <w:spacing w:after="0" w:line="360" w:lineRule="auto"/>
        <w:ind w:right="51" w:firstLine="708"/>
        <w:jc w:val="both"/>
        <w:rPr>
          <w:rFonts w:ascii="Arial" w:eastAsiaTheme="minorHAnsi" w:hAnsi="Arial" w:cs="Arial"/>
          <w:b/>
          <w:sz w:val="24"/>
          <w:szCs w:val="24"/>
          <w:lang w:eastAsia="en-US"/>
        </w:rPr>
      </w:pPr>
      <w:r w:rsidRPr="006D1DB2">
        <w:rPr>
          <w:rFonts w:ascii="Arial" w:eastAsia="Calibri" w:hAnsi="Arial" w:cs="Arial"/>
          <w:bCs/>
          <w:sz w:val="26"/>
          <w:szCs w:val="26"/>
          <w:lang w:eastAsia="en-US"/>
        </w:rPr>
        <w:t xml:space="preserve">En consecuencia, ante lo </w:t>
      </w:r>
      <w:r w:rsidRPr="007A7BDA">
        <w:rPr>
          <w:rFonts w:ascii="Arial" w:eastAsia="Calibri" w:hAnsi="Arial" w:cs="Arial"/>
          <w:b/>
          <w:bCs/>
          <w:sz w:val="26"/>
          <w:szCs w:val="26"/>
          <w:lang w:eastAsia="en-US"/>
        </w:rPr>
        <w:t xml:space="preserve">inoperante e </w:t>
      </w:r>
      <w:r w:rsidR="00D07985" w:rsidRPr="007A7BDA">
        <w:rPr>
          <w:rFonts w:ascii="Arial" w:eastAsia="Calibri" w:hAnsi="Arial" w:cs="Arial"/>
          <w:b/>
          <w:bCs/>
          <w:sz w:val="26"/>
          <w:szCs w:val="26"/>
          <w:lang w:eastAsia="en-US"/>
        </w:rPr>
        <w:t>infundado</w:t>
      </w:r>
      <w:r w:rsidR="00D07985" w:rsidRPr="006D1DB2">
        <w:rPr>
          <w:rFonts w:ascii="Arial" w:eastAsia="Calibri" w:hAnsi="Arial" w:cs="Arial"/>
          <w:bCs/>
          <w:sz w:val="26"/>
          <w:szCs w:val="26"/>
          <w:lang w:eastAsia="en-US"/>
        </w:rPr>
        <w:t xml:space="preserve"> </w:t>
      </w:r>
      <w:r w:rsidR="00D07985">
        <w:rPr>
          <w:rFonts w:ascii="Arial" w:eastAsia="Calibri" w:hAnsi="Arial" w:cs="Arial"/>
          <w:bCs/>
          <w:sz w:val="26"/>
          <w:szCs w:val="26"/>
          <w:lang w:eastAsia="en-US"/>
        </w:rPr>
        <w:t xml:space="preserve">de </w:t>
      </w:r>
      <w:r w:rsidRPr="006D1DB2">
        <w:rPr>
          <w:rFonts w:ascii="Arial" w:eastAsia="Calibri" w:hAnsi="Arial" w:cs="Arial"/>
          <w:bCs/>
          <w:sz w:val="26"/>
          <w:szCs w:val="26"/>
          <w:lang w:eastAsia="en-US"/>
        </w:rPr>
        <w:t xml:space="preserve">los agravios planteados, lo procedente es </w:t>
      </w:r>
      <w:r w:rsidRPr="006D1DB2">
        <w:rPr>
          <w:rFonts w:ascii="Arial" w:eastAsia="Calibri" w:hAnsi="Arial" w:cs="Arial"/>
          <w:b/>
          <w:bCs/>
          <w:sz w:val="26"/>
          <w:szCs w:val="26"/>
          <w:lang w:eastAsia="en-US"/>
        </w:rPr>
        <w:t xml:space="preserve">CONFIRMAR </w:t>
      </w:r>
      <w:r w:rsidRPr="006D1DB2">
        <w:rPr>
          <w:rFonts w:ascii="Arial" w:eastAsia="Calibri" w:hAnsi="Arial" w:cs="Arial"/>
          <w:bCs/>
          <w:sz w:val="26"/>
          <w:szCs w:val="26"/>
          <w:lang w:eastAsia="en-US"/>
        </w:rPr>
        <w:t xml:space="preserve">la sentencia </w:t>
      </w:r>
      <w:r w:rsidR="00793502">
        <w:rPr>
          <w:rFonts w:ascii="Arial" w:eastAsia="Calibri" w:hAnsi="Arial" w:cs="Arial"/>
          <w:bCs/>
          <w:sz w:val="26"/>
          <w:szCs w:val="26"/>
          <w:lang w:eastAsia="en-US"/>
        </w:rPr>
        <w:t xml:space="preserve">de </w:t>
      </w:r>
      <w:r w:rsidRPr="006D1DB2">
        <w:rPr>
          <w:rFonts w:ascii="Arial" w:eastAsia="Calibri" w:hAnsi="Arial" w:cs="Arial"/>
          <w:bCs/>
          <w:sz w:val="26"/>
          <w:szCs w:val="26"/>
          <w:lang w:eastAsia="en-US"/>
        </w:rPr>
        <w:t xml:space="preserve">alzada; y </w:t>
      </w:r>
      <w:r w:rsidRPr="006D1DB2">
        <w:rPr>
          <w:rFonts w:ascii="Arial" w:eastAsiaTheme="minorHAnsi" w:hAnsi="Arial" w:cs="Arial"/>
          <w:sz w:val="26"/>
          <w:szCs w:val="26"/>
          <w:lang w:eastAsia="en-US"/>
        </w:rPr>
        <w:t>con fundamento en los en los artículos 237 y 238 de la Ley de Procedimiento y Justicia Administrativa para el Estado de Oaxaca, se:</w:t>
      </w:r>
      <w:r w:rsidR="001249F6">
        <w:rPr>
          <w:rFonts w:ascii="Arial" w:eastAsiaTheme="minorHAnsi" w:hAnsi="Arial" w:cs="Arial"/>
          <w:b/>
          <w:sz w:val="24"/>
          <w:szCs w:val="24"/>
          <w:lang w:eastAsia="en-US"/>
        </w:rPr>
        <w:t xml:space="preserve">- </w:t>
      </w:r>
    </w:p>
    <w:p w14:paraId="6A59A2B6" w14:textId="2BFF8C2F" w:rsidR="00793502" w:rsidRDefault="006D1DB2" w:rsidP="001249F6">
      <w:pPr>
        <w:spacing w:after="0" w:line="360" w:lineRule="auto"/>
        <w:ind w:right="51"/>
        <w:jc w:val="center"/>
        <w:rPr>
          <w:rFonts w:ascii="Arial" w:eastAsiaTheme="minorHAnsi" w:hAnsi="Arial" w:cs="Arial"/>
          <w:b/>
          <w:sz w:val="26"/>
          <w:szCs w:val="26"/>
          <w:lang w:eastAsia="en-US"/>
        </w:rPr>
      </w:pPr>
      <w:r w:rsidRPr="00A16498">
        <w:rPr>
          <w:rFonts w:ascii="Arial" w:eastAsiaTheme="minorHAnsi" w:hAnsi="Arial" w:cs="Arial"/>
          <w:b/>
          <w:sz w:val="26"/>
          <w:szCs w:val="26"/>
          <w:lang w:eastAsia="en-US"/>
        </w:rPr>
        <w:t>R E S U E L V E</w:t>
      </w:r>
    </w:p>
    <w:p w14:paraId="05B1C484" w14:textId="77777777" w:rsidR="001249F6" w:rsidRDefault="001249F6" w:rsidP="001249F6">
      <w:pPr>
        <w:pStyle w:val="Sinespaciado"/>
        <w:rPr>
          <w:rFonts w:eastAsiaTheme="minorHAnsi"/>
          <w:lang w:eastAsia="en-US"/>
        </w:rPr>
      </w:pPr>
    </w:p>
    <w:p w14:paraId="6CD903C9" w14:textId="2D64FFFB" w:rsidR="00793502" w:rsidRDefault="00793502" w:rsidP="00793502">
      <w:pPr>
        <w:spacing w:after="0" w:line="360" w:lineRule="auto"/>
        <w:ind w:right="51"/>
        <w:jc w:val="both"/>
        <w:rPr>
          <w:rFonts w:ascii="Arial" w:eastAsiaTheme="minorHAnsi" w:hAnsi="Arial" w:cs="Arial"/>
          <w:sz w:val="26"/>
          <w:szCs w:val="26"/>
          <w:lang w:eastAsia="en-US"/>
        </w:rPr>
      </w:pPr>
      <w:r>
        <w:rPr>
          <w:rFonts w:ascii="Arial" w:eastAsiaTheme="minorHAnsi" w:hAnsi="Arial" w:cs="Arial"/>
          <w:b/>
          <w:sz w:val="26"/>
          <w:szCs w:val="26"/>
          <w:lang w:eastAsia="en-US"/>
        </w:rPr>
        <w:lastRenderedPageBreak/>
        <w:tab/>
      </w:r>
      <w:r w:rsidR="006D1DB2" w:rsidRPr="006D1DB2">
        <w:rPr>
          <w:rFonts w:ascii="Arial" w:eastAsiaTheme="minorHAnsi" w:hAnsi="Arial" w:cs="Arial"/>
          <w:b/>
          <w:sz w:val="26"/>
          <w:szCs w:val="26"/>
          <w:lang w:eastAsia="en-US"/>
        </w:rPr>
        <w:t>PRIMERO.</w:t>
      </w:r>
      <w:r w:rsidR="006D1DB2" w:rsidRPr="006D1DB2">
        <w:rPr>
          <w:rFonts w:ascii="Arial" w:eastAsiaTheme="minorHAnsi" w:hAnsi="Arial" w:cs="Arial"/>
          <w:sz w:val="26"/>
          <w:szCs w:val="26"/>
          <w:lang w:eastAsia="en-US"/>
        </w:rPr>
        <w:t xml:space="preserve"> Se </w:t>
      </w:r>
      <w:r w:rsidR="006D1DB2" w:rsidRPr="006D1DB2">
        <w:rPr>
          <w:rFonts w:ascii="Arial" w:eastAsiaTheme="minorHAnsi" w:hAnsi="Arial" w:cs="Arial"/>
          <w:b/>
          <w:sz w:val="26"/>
          <w:szCs w:val="26"/>
          <w:lang w:eastAsia="en-US"/>
        </w:rPr>
        <w:t xml:space="preserve">CONFIRMA </w:t>
      </w:r>
      <w:r w:rsidR="006D1DB2" w:rsidRPr="006D1DB2">
        <w:rPr>
          <w:rFonts w:ascii="Arial" w:eastAsiaTheme="minorHAnsi" w:hAnsi="Arial" w:cs="Arial"/>
          <w:sz w:val="26"/>
          <w:szCs w:val="26"/>
          <w:lang w:eastAsia="en-US"/>
        </w:rPr>
        <w:t xml:space="preserve">la sentencia de fecha </w:t>
      </w:r>
      <w:r w:rsidR="00A16498">
        <w:rPr>
          <w:rFonts w:ascii="Arial" w:eastAsiaTheme="minorHAnsi" w:hAnsi="Arial" w:cs="Arial"/>
          <w:bCs/>
          <w:iCs/>
          <w:sz w:val="26"/>
          <w:szCs w:val="26"/>
          <w:lang w:eastAsia="es-ES"/>
        </w:rPr>
        <w:t>diecisiete de febrero de dos mil veinte</w:t>
      </w:r>
      <w:r w:rsidR="006D1DB2" w:rsidRPr="006D1DB2">
        <w:rPr>
          <w:rFonts w:ascii="Arial" w:eastAsiaTheme="minorHAnsi" w:hAnsi="Arial" w:cs="Arial"/>
          <w:bCs/>
          <w:iCs/>
          <w:sz w:val="26"/>
          <w:szCs w:val="26"/>
          <w:lang w:eastAsia="es-ES"/>
        </w:rPr>
        <w:t>,</w:t>
      </w:r>
      <w:r w:rsidR="006D1DB2" w:rsidRPr="006D1DB2">
        <w:rPr>
          <w:rFonts w:ascii="Arial" w:eastAsiaTheme="minorHAnsi" w:hAnsi="Arial" w:cs="Arial"/>
          <w:sz w:val="26"/>
          <w:szCs w:val="26"/>
          <w:lang w:eastAsia="en-US"/>
        </w:rPr>
        <w:t xml:space="preserve"> por las razones otorgadas en el considerando tercero de esta </w:t>
      </w:r>
      <w:r w:rsidR="002A56E9" w:rsidRPr="006D1DB2">
        <w:rPr>
          <w:rFonts w:ascii="Arial" w:eastAsiaTheme="minorHAnsi" w:hAnsi="Arial" w:cs="Arial"/>
          <w:sz w:val="26"/>
          <w:szCs w:val="26"/>
          <w:lang w:eastAsia="en-US"/>
        </w:rPr>
        <w:t>resolución.</w:t>
      </w:r>
      <w:r w:rsidR="002A56E9">
        <w:rPr>
          <w:rFonts w:ascii="Arial" w:eastAsiaTheme="minorHAnsi" w:hAnsi="Arial" w:cs="Arial"/>
          <w:sz w:val="26"/>
          <w:szCs w:val="26"/>
          <w:lang w:eastAsia="en-US"/>
        </w:rPr>
        <w:t xml:space="preserve"> -</w:t>
      </w:r>
      <w:r w:rsidR="00A16498">
        <w:rPr>
          <w:rFonts w:ascii="Arial" w:eastAsiaTheme="minorHAnsi" w:hAnsi="Arial" w:cs="Arial"/>
          <w:sz w:val="26"/>
          <w:szCs w:val="26"/>
          <w:lang w:eastAsia="en-US"/>
        </w:rPr>
        <w:t xml:space="preserve"> - - - - - - - - - - - - - - - - - - - - - - - - - - - - - - - </w:t>
      </w:r>
    </w:p>
    <w:p w14:paraId="3E600BF9" w14:textId="77777777" w:rsidR="002A56E9" w:rsidRDefault="002A56E9" w:rsidP="002A56E9">
      <w:pPr>
        <w:pStyle w:val="Sinespaciado"/>
        <w:rPr>
          <w:rFonts w:eastAsiaTheme="minorHAnsi"/>
          <w:lang w:eastAsia="en-US"/>
        </w:rPr>
      </w:pPr>
    </w:p>
    <w:p w14:paraId="36D466E6" w14:textId="07DF8AEC" w:rsidR="00793502" w:rsidRDefault="00793502" w:rsidP="00793502">
      <w:pPr>
        <w:spacing w:after="0" w:line="360" w:lineRule="auto"/>
        <w:ind w:right="51"/>
        <w:jc w:val="both"/>
        <w:rPr>
          <w:rFonts w:ascii="Arial" w:eastAsiaTheme="minorHAnsi" w:hAnsi="Arial" w:cs="Arial"/>
          <w:sz w:val="26"/>
          <w:szCs w:val="26"/>
          <w:lang w:eastAsia="en-US"/>
        </w:rPr>
      </w:pPr>
      <w:r>
        <w:rPr>
          <w:rFonts w:ascii="Arial" w:eastAsiaTheme="minorHAnsi" w:hAnsi="Arial" w:cs="Arial"/>
          <w:sz w:val="26"/>
          <w:szCs w:val="26"/>
          <w:lang w:eastAsia="en-US"/>
        </w:rPr>
        <w:tab/>
      </w:r>
      <w:r w:rsidR="006D1DB2" w:rsidRPr="006D1DB2">
        <w:rPr>
          <w:rFonts w:ascii="Arial" w:eastAsia="Calibri" w:hAnsi="Arial" w:cs="Arial"/>
          <w:b/>
          <w:sz w:val="26"/>
          <w:szCs w:val="26"/>
          <w:lang w:eastAsia="en-US"/>
        </w:rPr>
        <w:t xml:space="preserve">SEGUNDO. </w:t>
      </w:r>
      <w:r w:rsidR="006D1DB2" w:rsidRPr="006D1DB2">
        <w:rPr>
          <w:rFonts w:ascii="Arial" w:eastAsiaTheme="minorHAnsi" w:hAnsi="Arial" w:cs="Arial"/>
          <w:b/>
          <w:sz w:val="26"/>
          <w:szCs w:val="26"/>
          <w:lang w:eastAsia="en-US"/>
        </w:rPr>
        <w:t xml:space="preserve">NOTIFÍQUESE Y CÚMPLASE, </w:t>
      </w:r>
      <w:r w:rsidR="006D1DB2" w:rsidRPr="006D1DB2">
        <w:rPr>
          <w:rFonts w:ascii="Arial" w:eastAsiaTheme="minorHAnsi" w:hAnsi="Arial" w:cs="Arial"/>
          <w:sz w:val="26"/>
          <w:szCs w:val="26"/>
          <w:lang w:eastAsia="en-US"/>
        </w:rPr>
        <w:t xml:space="preserve">remítase copia certificada de la presente resolución a la </w:t>
      </w:r>
      <w:r w:rsidR="00A16498">
        <w:rPr>
          <w:rFonts w:ascii="Arial" w:eastAsiaTheme="minorHAnsi" w:hAnsi="Arial" w:cs="Arial"/>
          <w:sz w:val="26"/>
          <w:szCs w:val="26"/>
          <w:lang w:eastAsia="en-US"/>
        </w:rPr>
        <w:t>Sexta</w:t>
      </w:r>
      <w:r w:rsidR="006D1DB2" w:rsidRPr="006D1DB2">
        <w:rPr>
          <w:rFonts w:ascii="Arial" w:eastAsiaTheme="minorHAnsi" w:hAnsi="Arial" w:cs="Arial"/>
          <w:sz w:val="26"/>
          <w:szCs w:val="26"/>
          <w:lang w:eastAsia="en-US"/>
        </w:rPr>
        <w:t xml:space="preserve"> Sala Unitaria de Primera Instancia de este Tribunal y en su oportunidad archívese el presente cuaderno de revisión como asunto </w:t>
      </w:r>
      <w:r w:rsidR="002A56E9" w:rsidRPr="006D1DB2">
        <w:rPr>
          <w:rFonts w:ascii="Arial" w:eastAsiaTheme="minorHAnsi" w:hAnsi="Arial" w:cs="Arial"/>
          <w:sz w:val="26"/>
          <w:szCs w:val="26"/>
          <w:lang w:eastAsia="en-US"/>
        </w:rPr>
        <w:t>concluido.</w:t>
      </w:r>
      <w:r w:rsidR="002A56E9">
        <w:rPr>
          <w:rFonts w:ascii="Arial" w:eastAsiaTheme="minorHAnsi" w:hAnsi="Arial" w:cs="Arial"/>
          <w:sz w:val="26"/>
          <w:szCs w:val="26"/>
          <w:lang w:eastAsia="en-US"/>
        </w:rPr>
        <w:t xml:space="preserve"> -</w:t>
      </w:r>
      <w:r w:rsidR="00A16498">
        <w:rPr>
          <w:rFonts w:ascii="Arial" w:eastAsiaTheme="minorHAnsi" w:hAnsi="Arial" w:cs="Arial"/>
          <w:sz w:val="26"/>
          <w:szCs w:val="26"/>
          <w:lang w:eastAsia="en-US"/>
        </w:rPr>
        <w:t xml:space="preserve"> - - - - - - - - - - - - - - - - - - </w:t>
      </w:r>
    </w:p>
    <w:p w14:paraId="7A232BD1" w14:textId="77777777" w:rsidR="001249F6" w:rsidRDefault="00793502" w:rsidP="001249F6">
      <w:pPr>
        <w:pStyle w:val="Sinespaciado"/>
      </w:pPr>
      <w:r>
        <w:rPr>
          <w:rFonts w:ascii="Arial" w:eastAsiaTheme="minorHAnsi" w:hAnsi="Arial" w:cs="Arial"/>
          <w:sz w:val="26"/>
          <w:szCs w:val="26"/>
          <w:lang w:eastAsia="en-US"/>
        </w:rPr>
        <w:tab/>
      </w:r>
    </w:p>
    <w:p w14:paraId="3254EB82" w14:textId="77777777" w:rsidR="001249F6" w:rsidRDefault="001249F6" w:rsidP="001249F6">
      <w:pPr>
        <w:widowControl w:val="0"/>
        <w:tabs>
          <w:tab w:val="left" w:pos="7938"/>
          <w:tab w:val="left" w:pos="8222"/>
        </w:tabs>
        <w:spacing w:after="120" w:line="360" w:lineRule="auto"/>
        <w:ind w:right="49" w:firstLine="426"/>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 - - - - - - - - - - - - - - - - - - - </w:t>
      </w:r>
    </w:p>
    <w:p w14:paraId="7EDBBA5B" w14:textId="25E12400" w:rsidR="001249F6" w:rsidRDefault="001249F6" w:rsidP="001249F6">
      <w:pPr>
        <w:pStyle w:val="Sinespaciado"/>
        <w:jc w:val="center"/>
        <w:rPr>
          <w:rFonts w:ascii="Arial" w:hAnsi="Arial" w:cs="Arial"/>
          <w:sz w:val="26"/>
          <w:szCs w:val="26"/>
        </w:rPr>
      </w:pPr>
    </w:p>
    <w:p w14:paraId="492EEA8B" w14:textId="27E8A878" w:rsidR="002A56E9" w:rsidRDefault="002A56E9" w:rsidP="001249F6">
      <w:pPr>
        <w:pStyle w:val="Sinespaciado"/>
        <w:jc w:val="center"/>
        <w:rPr>
          <w:rFonts w:ascii="Arial" w:hAnsi="Arial" w:cs="Arial"/>
          <w:sz w:val="26"/>
          <w:szCs w:val="26"/>
        </w:rPr>
      </w:pPr>
    </w:p>
    <w:p w14:paraId="2393D27F" w14:textId="77777777" w:rsidR="002A56E9" w:rsidRDefault="002A56E9" w:rsidP="001249F6">
      <w:pPr>
        <w:pStyle w:val="Sinespaciado"/>
        <w:jc w:val="center"/>
        <w:rPr>
          <w:rFonts w:ascii="Arial" w:hAnsi="Arial" w:cs="Arial"/>
          <w:sz w:val="26"/>
          <w:szCs w:val="26"/>
        </w:rPr>
      </w:pPr>
    </w:p>
    <w:p w14:paraId="4E8936FC" w14:textId="77777777" w:rsidR="001249F6" w:rsidRDefault="001249F6" w:rsidP="001249F6">
      <w:pPr>
        <w:pStyle w:val="Sinespaciado"/>
        <w:jc w:val="center"/>
        <w:rPr>
          <w:rFonts w:ascii="Arial" w:hAnsi="Arial" w:cs="Arial"/>
          <w:sz w:val="26"/>
          <w:szCs w:val="26"/>
        </w:rPr>
      </w:pPr>
    </w:p>
    <w:p w14:paraId="010F3A31" w14:textId="77777777" w:rsidR="001249F6" w:rsidRPr="00447148" w:rsidRDefault="001249F6" w:rsidP="001249F6">
      <w:pPr>
        <w:pStyle w:val="Sinespaciado"/>
        <w:jc w:val="center"/>
        <w:rPr>
          <w:rFonts w:ascii="Arial" w:hAnsi="Arial" w:cs="Arial"/>
          <w:sz w:val="26"/>
          <w:szCs w:val="26"/>
        </w:rPr>
      </w:pPr>
      <w:r w:rsidRPr="00447148">
        <w:rPr>
          <w:rFonts w:ascii="Arial" w:hAnsi="Arial" w:cs="Arial"/>
          <w:sz w:val="26"/>
          <w:szCs w:val="26"/>
        </w:rPr>
        <w:t>MAGISTRADO MANUEL VELASCO ALCÁNTARA</w:t>
      </w:r>
    </w:p>
    <w:p w14:paraId="403818B5" w14:textId="77777777" w:rsidR="001249F6" w:rsidRPr="00447148" w:rsidRDefault="001249F6" w:rsidP="001249F6">
      <w:pPr>
        <w:pStyle w:val="Sinespaciado"/>
        <w:jc w:val="center"/>
        <w:rPr>
          <w:rFonts w:ascii="Arial" w:hAnsi="Arial" w:cs="Arial"/>
          <w:sz w:val="26"/>
          <w:szCs w:val="26"/>
        </w:rPr>
      </w:pPr>
      <w:r w:rsidRPr="00447148">
        <w:rPr>
          <w:rFonts w:ascii="Arial" w:hAnsi="Arial" w:cs="Arial"/>
          <w:sz w:val="26"/>
          <w:szCs w:val="26"/>
        </w:rPr>
        <w:t>PRESIDENTE</w:t>
      </w:r>
    </w:p>
    <w:p w14:paraId="1C32F5D5" w14:textId="77777777" w:rsidR="001249F6" w:rsidRDefault="001249F6" w:rsidP="001249F6">
      <w:pPr>
        <w:rPr>
          <w:rFonts w:ascii="Arial" w:hAnsi="Arial" w:cs="Arial"/>
          <w:b/>
          <w:bCs/>
          <w:sz w:val="14"/>
          <w:szCs w:val="14"/>
        </w:rPr>
      </w:pPr>
    </w:p>
    <w:p w14:paraId="6A0DBE6C" w14:textId="77777777" w:rsidR="001249F6" w:rsidRDefault="001249F6" w:rsidP="001249F6">
      <w:pPr>
        <w:rPr>
          <w:rFonts w:ascii="Arial" w:hAnsi="Arial" w:cs="Arial"/>
          <w:b/>
          <w:bCs/>
          <w:sz w:val="14"/>
          <w:szCs w:val="14"/>
        </w:rPr>
      </w:pPr>
    </w:p>
    <w:p w14:paraId="2C4F3178" w14:textId="77777777" w:rsidR="001249F6" w:rsidRDefault="001249F6" w:rsidP="001249F6">
      <w:pPr>
        <w:jc w:val="center"/>
        <w:rPr>
          <w:rFonts w:ascii="Arial" w:hAnsi="Arial" w:cs="Arial"/>
          <w:b/>
          <w:bCs/>
          <w:sz w:val="14"/>
          <w:szCs w:val="14"/>
        </w:rPr>
      </w:pPr>
    </w:p>
    <w:p w14:paraId="75298236" w14:textId="77777777" w:rsidR="001249F6" w:rsidRDefault="001249F6" w:rsidP="001249F6">
      <w:pPr>
        <w:jc w:val="center"/>
        <w:rPr>
          <w:rFonts w:ascii="Arial" w:hAnsi="Arial" w:cs="Arial"/>
          <w:b/>
          <w:bCs/>
          <w:sz w:val="14"/>
          <w:szCs w:val="14"/>
        </w:rPr>
      </w:pPr>
    </w:p>
    <w:p w14:paraId="5475459B" w14:textId="77777777" w:rsidR="001249F6" w:rsidRDefault="001249F6" w:rsidP="001249F6">
      <w:pPr>
        <w:rPr>
          <w:rFonts w:ascii="Arial" w:hAnsi="Arial" w:cs="Arial"/>
          <w:b/>
          <w:bCs/>
          <w:sz w:val="14"/>
          <w:szCs w:val="14"/>
        </w:rPr>
      </w:pPr>
    </w:p>
    <w:p w14:paraId="31FC2C0B" w14:textId="77777777" w:rsidR="001249F6" w:rsidRDefault="001249F6" w:rsidP="001249F6">
      <w:pPr>
        <w:rPr>
          <w:rFonts w:ascii="Arial" w:hAnsi="Arial" w:cs="Arial"/>
          <w:sz w:val="26"/>
          <w:szCs w:val="26"/>
        </w:rPr>
      </w:pPr>
    </w:p>
    <w:p w14:paraId="32326894" w14:textId="77777777" w:rsidR="001249F6" w:rsidRDefault="001249F6" w:rsidP="001249F6">
      <w:pPr>
        <w:tabs>
          <w:tab w:val="center" w:pos="4135"/>
          <w:tab w:val="left" w:pos="7515"/>
        </w:tabs>
        <w:jc w:val="center"/>
        <w:rPr>
          <w:rFonts w:ascii="Arial" w:hAnsi="Arial" w:cs="Arial"/>
          <w:sz w:val="26"/>
          <w:szCs w:val="26"/>
        </w:rPr>
      </w:pPr>
      <w:r>
        <w:rPr>
          <w:rFonts w:ascii="Arial" w:hAnsi="Arial" w:cs="Arial"/>
          <w:sz w:val="26"/>
          <w:szCs w:val="26"/>
        </w:rPr>
        <w:t>MAGISTRADO RAÚL PALOMARES PALOMINO</w:t>
      </w:r>
    </w:p>
    <w:p w14:paraId="52E2D3A6" w14:textId="77777777" w:rsidR="001249F6" w:rsidRDefault="001249F6" w:rsidP="001249F6">
      <w:pPr>
        <w:tabs>
          <w:tab w:val="center" w:pos="4135"/>
          <w:tab w:val="left" w:pos="7515"/>
        </w:tabs>
        <w:jc w:val="center"/>
        <w:rPr>
          <w:rFonts w:ascii="Arial" w:hAnsi="Arial" w:cs="Arial"/>
          <w:sz w:val="26"/>
          <w:szCs w:val="26"/>
        </w:rPr>
      </w:pPr>
    </w:p>
    <w:p w14:paraId="62DE77FF" w14:textId="77777777" w:rsidR="001249F6" w:rsidRDefault="001249F6" w:rsidP="001249F6">
      <w:pPr>
        <w:tabs>
          <w:tab w:val="center" w:pos="4135"/>
          <w:tab w:val="left" w:pos="7515"/>
        </w:tabs>
        <w:jc w:val="center"/>
        <w:rPr>
          <w:rFonts w:ascii="Arial" w:hAnsi="Arial" w:cs="Arial"/>
          <w:sz w:val="20"/>
          <w:szCs w:val="20"/>
        </w:rPr>
      </w:pPr>
    </w:p>
    <w:p w14:paraId="0BAE52AC" w14:textId="77777777" w:rsidR="001249F6" w:rsidRDefault="001249F6" w:rsidP="001249F6">
      <w:pPr>
        <w:tabs>
          <w:tab w:val="center" w:pos="4135"/>
          <w:tab w:val="left" w:pos="7515"/>
        </w:tabs>
        <w:jc w:val="center"/>
        <w:rPr>
          <w:rFonts w:ascii="Arial" w:hAnsi="Arial" w:cs="Arial"/>
          <w:b/>
          <w:bCs/>
          <w:sz w:val="14"/>
          <w:szCs w:val="14"/>
        </w:rPr>
      </w:pPr>
    </w:p>
    <w:p w14:paraId="39A64C94" w14:textId="77777777" w:rsidR="001249F6" w:rsidRDefault="001249F6" w:rsidP="001249F6">
      <w:pPr>
        <w:tabs>
          <w:tab w:val="center" w:pos="4135"/>
          <w:tab w:val="left" w:pos="7515"/>
        </w:tabs>
        <w:rPr>
          <w:rFonts w:ascii="Arial" w:hAnsi="Arial" w:cs="Arial"/>
          <w:sz w:val="26"/>
          <w:szCs w:val="26"/>
        </w:rPr>
      </w:pPr>
    </w:p>
    <w:p w14:paraId="3BD4972B" w14:textId="77777777" w:rsidR="001249F6" w:rsidRDefault="001249F6" w:rsidP="001249F6">
      <w:pPr>
        <w:tabs>
          <w:tab w:val="center" w:pos="4135"/>
          <w:tab w:val="left" w:pos="7515"/>
        </w:tabs>
        <w:rPr>
          <w:rFonts w:ascii="Arial" w:hAnsi="Arial" w:cs="Arial"/>
          <w:sz w:val="26"/>
          <w:szCs w:val="26"/>
        </w:rPr>
      </w:pPr>
    </w:p>
    <w:p w14:paraId="65B81872" w14:textId="77777777" w:rsidR="001249F6" w:rsidRDefault="001249F6" w:rsidP="001249F6">
      <w:pPr>
        <w:tabs>
          <w:tab w:val="center" w:pos="4135"/>
          <w:tab w:val="left" w:pos="7515"/>
        </w:tabs>
        <w:jc w:val="center"/>
        <w:rPr>
          <w:rFonts w:ascii="Arial" w:hAnsi="Arial" w:cs="Arial"/>
          <w:sz w:val="26"/>
          <w:szCs w:val="26"/>
        </w:rPr>
      </w:pPr>
      <w:r>
        <w:rPr>
          <w:rFonts w:ascii="Arial" w:hAnsi="Arial" w:cs="Arial"/>
          <w:sz w:val="26"/>
          <w:szCs w:val="26"/>
        </w:rPr>
        <w:t>MAGISTRADO ABRAHAM SANTIAGO SORIANO</w:t>
      </w:r>
    </w:p>
    <w:p w14:paraId="628EC6B9" w14:textId="77777777" w:rsidR="001249F6" w:rsidRDefault="001249F6" w:rsidP="001249F6">
      <w:pPr>
        <w:tabs>
          <w:tab w:val="center" w:pos="4135"/>
          <w:tab w:val="left" w:pos="7515"/>
        </w:tabs>
        <w:jc w:val="center"/>
        <w:rPr>
          <w:rFonts w:ascii="Arial" w:hAnsi="Arial" w:cs="Arial"/>
          <w:sz w:val="26"/>
          <w:szCs w:val="26"/>
        </w:rPr>
      </w:pPr>
    </w:p>
    <w:p w14:paraId="1A6A83F9" w14:textId="77777777" w:rsidR="001249F6" w:rsidRDefault="001249F6" w:rsidP="001249F6">
      <w:pPr>
        <w:tabs>
          <w:tab w:val="center" w:pos="4135"/>
          <w:tab w:val="left" w:pos="7515"/>
        </w:tabs>
        <w:jc w:val="center"/>
        <w:rPr>
          <w:rFonts w:ascii="Arial" w:hAnsi="Arial" w:cs="Arial"/>
          <w:sz w:val="26"/>
          <w:szCs w:val="26"/>
        </w:rPr>
      </w:pPr>
    </w:p>
    <w:p w14:paraId="035595FE" w14:textId="77777777" w:rsidR="001249F6" w:rsidRDefault="001249F6" w:rsidP="001249F6">
      <w:pPr>
        <w:tabs>
          <w:tab w:val="center" w:pos="4135"/>
          <w:tab w:val="left" w:pos="7515"/>
        </w:tabs>
        <w:jc w:val="center"/>
        <w:rPr>
          <w:rFonts w:ascii="Arial" w:hAnsi="Arial" w:cs="Arial"/>
          <w:sz w:val="26"/>
          <w:szCs w:val="26"/>
        </w:rPr>
      </w:pPr>
    </w:p>
    <w:p w14:paraId="0567DD09" w14:textId="77777777" w:rsidR="001249F6" w:rsidRDefault="001249F6" w:rsidP="001249F6">
      <w:pPr>
        <w:tabs>
          <w:tab w:val="center" w:pos="4135"/>
          <w:tab w:val="left" w:pos="7515"/>
        </w:tabs>
        <w:jc w:val="center"/>
        <w:rPr>
          <w:rFonts w:ascii="Arial" w:hAnsi="Arial" w:cs="Arial"/>
          <w:sz w:val="26"/>
          <w:szCs w:val="26"/>
        </w:rPr>
      </w:pPr>
    </w:p>
    <w:p w14:paraId="7C9758BD" w14:textId="77777777" w:rsidR="001249F6" w:rsidRPr="00447148" w:rsidRDefault="001249F6" w:rsidP="001249F6">
      <w:pPr>
        <w:pStyle w:val="Sinespaciado"/>
        <w:jc w:val="center"/>
        <w:rPr>
          <w:rFonts w:ascii="Arial" w:hAnsi="Arial" w:cs="Arial"/>
          <w:sz w:val="26"/>
          <w:szCs w:val="26"/>
        </w:rPr>
      </w:pPr>
      <w:r w:rsidRPr="00447148">
        <w:rPr>
          <w:rFonts w:ascii="Arial" w:hAnsi="Arial" w:cs="Arial"/>
          <w:sz w:val="26"/>
          <w:szCs w:val="26"/>
        </w:rPr>
        <w:t>LICENCIADO JUAN EDY GARCÍA CORONADO</w:t>
      </w:r>
    </w:p>
    <w:p w14:paraId="55344CE2" w14:textId="77777777" w:rsidR="001249F6" w:rsidRPr="00447148" w:rsidRDefault="001249F6" w:rsidP="001249F6">
      <w:pPr>
        <w:pStyle w:val="Sinespaciado"/>
        <w:jc w:val="center"/>
        <w:rPr>
          <w:rFonts w:ascii="Arial" w:hAnsi="Arial" w:cs="Arial"/>
          <w:sz w:val="26"/>
          <w:szCs w:val="26"/>
        </w:rPr>
      </w:pPr>
      <w:r w:rsidRPr="00447148">
        <w:rPr>
          <w:rFonts w:ascii="Arial" w:hAnsi="Arial" w:cs="Arial"/>
          <w:sz w:val="26"/>
          <w:szCs w:val="26"/>
        </w:rPr>
        <w:t>SECRETARIO GENERAL DE ACUERDOS</w:t>
      </w:r>
    </w:p>
    <w:p w14:paraId="50453FE0" w14:textId="52766E9D" w:rsidR="00BA258A" w:rsidRPr="006D1DB2" w:rsidRDefault="00BA258A" w:rsidP="001249F6">
      <w:pPr>
        <w:spacing w:after="0" w:line="360" w:lineRule="auto"/>
        <w:ind w:right="51"/>
        <w:jc w:val="both"/>
      </w:pPr>
    </w:p>
    <w:sectPr w:rsidR="00BA258A" w:rsidRPr="006D1DB2"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2EF52B" w14:textId="77777777" w:rsidR="007165CD" w:rsidRDefault="007165CD">
      <w:pPr>
        <w:spacing w:after="0" w:line="240" w:lineRule="auto"/>
      </w:pPr>
      <w:r>
        <w:separator/>
      </w:r>
    </w:p>
  </w:endnote>
  <w:endnote w:type="continuationSeparator" w:id="0">
    <w:p w14:paraId="3A9843DB" w14:textId="77777777" w:rsidR="007165CD" w:rsidRDefault="00716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3C9D7DF2" w:rsidR="00A80DC8" w:rsidRDefault="00626391">
    <w:pPr>
      <w:pStyle w:val="Piedepgina"/>
      <w:jc w:val="center"/>
    </w:pPr>
    <w:r>
      <w:rPr>
        <w:noProof/>
      </w:rPr>
      <mc:AlternateContent>
        <mc:Choice Requires="wps">
          <w:drawing>
            <wp:anchor distT="45720" distB="45720" distL="114300" distR="114300" simplePos="0" relativeHeight="251667456" behindDoc="0" locked="0" layoutInCell="1" allowOverlap="1" wp14:anchorId="30824010" wp14:editId="62F1EE79">
              <wp:simplePos x="0" y="0"/>
              <wp:positionH relativeFrom="column">
                <wp:posOffset>-1309599</wp:posOffset>
              </wp:positionH>
              <wp:positionV relativeFrom="paragraph">
                <wp:posOffset>-4922291</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1FC49532" w14:textId="77777777" w:rsidR="00626391" w:rsidRPr="00BB7E37" w:rsidRDefault="00626391" w:rsidP="00626391">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824010" id="_x0000_t202" coordsize="21600,21600" o:spt="202" path="m,l,21600r21600,l21600,xe">
              <v:stroke joinstyle="miter"/>
              <v:path gradientshapeok="t" o:connecttype="rect"/>
            </v:shapetype>
            <v:shape id="Cuadro de texto 2" o:spid="_x0000_s1026" type="#_x0000_t202" style="position:absolute;left:0;text-align:left;margin-left:-103.1pt;margin-top:-387.6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">
              <v:textbox>
                <w:txbxContent>
                  <w:p w14:paraId="1FC49532" w14:textId="77777777" w:rsidR="00626391" w:rsidRPr="00BB7E37" w:rsidRDefault="00626391" w:rsidP="00626391">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308C48" w14:textId="77777777" w:rsidR="007165CD" w:rsidRDefault="007165CD">
      <w:pPr>
        <w:spacing w:after="0" w:line="240" w:lineRule="auto"/>
      </w:pPr>
      <w:r>
        <w:separator/>
      </w:r>
    </w:p>
  </w:footnote>
  <w:footnote w:type="continuationSeparator" w:id="0">
    <w:p w14:paraId="23C5FEB6" w14:textId="77777777" w:rsidR="007165CD" w:rsidRDefault="007165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7165CD">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626391" w:rsidRPr="00626391">
          <w:rPr>
            <w:noProof/>
            <w:lang w:val="es-ES"/>
          </w:rPr>
          <w:t>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0F5C41" w:rsidRDefault="007165CD">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626391" w:rsidRPr="00626391">
          <w:rPr>
            <w:noProof/>
            <w:lang w:val="es-ES"/>
          </w:rPr>
          <w:t>3</w:t>
        </w:r>
        <w:r w:rsidR="000F5C41">
          <w:fldChar w:fldCharType="end"/>
        </w:r>
      </w:sdtContent>
    </w:sdt>
  </w:p>
  <w:p w14:paraId="51E22156" w14:textId="2AD15B04"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33770EAB">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27E61FE"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7165CD">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A22D0"/>
    <w:multiLevelType w:val="hybridMultilevel"/>
    <w:tmpl w:val="6B6A62A4"/>
    <w:lvl w:ilvl="0" w:tplc="A3AC69A6">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149081B"/>
    <w:multiLevelType w:val="hybridMultilevel"/>
    <w:tmpl w:val="02106CCA"/>
    <w:lvl w:ilvl="0" w:tplc="DC960F44">
      <w:numFmt w:val="bullet"/>
      <w:lvlText w:val="-"/>
      <w:lvlJc w:val="left"/>
      <w:pPr>
        <w:ind w:left="720" w:hanging="360"/>
      </w:pPr>
      <w:rPr>
        <w:rFonts w:ascii="Arial" w:eastAsia="Times New Roman"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61501783"/>
    <w:multiLevelType w:val="hybridMultilevel"/>
    <w:tmpl w:val="A2229EB2"/>
    <w:lvl w:ilvl="0" w:tplc="231EBC76">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3"/>
  </w:num>
  <w:num w:numId="3">
    <w:abstractNumId w:val="1"/>
  </w:num>
  <w:num w:numId="4">
    <w:abstractNumId w:val="8"/>
  </w:num>
  <w:num w:numId="5">
    <w:abstractNumId w:val="12"/>
  </w:num>
  <w:num w:numId="6">
    <w:abstractNumId w:val="6"/>
  </w:num>
  <w:num w:numId="7">
    <w:abstractNumId w:val="5"/>
  </w:num>
  <w:num w:numId="8">
    <w:abstractNumId w:val="2"/>
  </w:num>
  <w:num w:numId="9">
    <w:abstractNumId w:val="4"/>
  </w:num>
  <w:num w:numId="10">
    <w:abstractNumId w:val="7"/>
  </w:num>
  <w:num w:numId="11">
    <w:abstractNumId w:val="9"/>
  </w:num>
  <w:num w:numId="12">
    <w:abstractNumId w:val="0"/>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2D8A"/>
    <w:rsid w:val="0000398F"/>
    <w:rsid w:val="00003CC3"/>
    <w:rsid w:val="00004038"/>
    <w:rsid w:val="0000488B"/>
    <w:rsid w:val="00005B69"/>
    <w:rsid w:val="00005BCB"/>
    <w:rsid w:val="00005D78"/>
    <w:rsid w:val="00005EA0"/>
    <w:rsid w:val="00007105"/>
    <w:rsid w:val="00007296"/>
    <w:rsid w:val="00007E09"/>
    <w:rsid w:val="00007EFD"/>
    <w:rsid w:val="00007FD5"/>
    <w:rsid w:val="000106FE"/>
    <w:rsid w:val="000121A9"/>
    <w:rsid w:val="000126F6"/>
    <w:rsid w:val="00012918"/>
    <w:rsid w:val="00012DC1"/>
    <w:rsid w:val="000130C8"/>
    <w:rsid w:val="000135AF"/>
    <w:rsid w:val="00013B5F"/>
    <w:rsid w:val="00014F98"/>
    <w:rsid w:val="0001695E"/>
    <w:rsid w:val="00016C0B"/>
    <w:rsid w:val="00016E88"/>
    <w:rsid w:val="000174F5"/>
    <w:rsid w:val="00020680"/>
    <w:rsid w:val="00020D86"/>
    <w:rsid w:val="00021989"/>
    <w:rsid w:val="00021B04"/>
    <w:rsid w:val="00021C5F"/>
    <w:rsid w:val="00022BBC"/>
    <w:rsid w:val="00023F33"/>
    <w:rsid w:val="00024545"/>
    <w:rsid w:val="000245D7"/>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950"/>
    <w:rsid w:val="00055F66"/>
    <w:rsid w:val="000562FB"/>
    <w:rsid w:val="000565B2"/>
    <w:rsid w:val="000579E0"/>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3849"/>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5E0"/>
    <w:rsid w:val="000A067C"/>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958"/>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49F6"/>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AF0"/>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4D29"/>
    <w:rsid w:val="001854BD"/>
    <w:rsid w:val="00185DC5"/>
    <w:rsid w:val="00186701"/>
    <w:rsid w:val="00186FB3"/>
    <w:rsid w:val="0018765B"/>
    <w:rsid w:val="00190604"/>
    <w:rsid w:val="00192287"/>
    <w:rsid w:val="001923AE"/>
    <w:rsid w:val="001924B2"/>
    <w:rsid w:val="00193379"/>
    <w:rsid w:val="00194B7B"/>
    <w:rsid w:val="00194D1F"/>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CDB"/>
    <w:rsid w:val="001B7EF3"/>
    <w:rsid w:val="001B7FC2"/>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1215"/>
    <w:rsid w:val="001D31A6"/>
    <w:rsid w:val="001D3B81"/>
    <w:rsid w:val="001D40CC"/>
    <w:rsid w:val="001D4D61"/>
    <w:rsid w:val="001D4D8C"/>
    <w:rsid w:val="001D5282"/>
    <w:rsid w:val="001D529D"/>
    <w:rsid w:val="001D577C"/>
    <w:rsid w:val="001D694C"/>
    <w:rsid w:val="001D754A"/>
    <w:rsid w:val="001E0DB0"/>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3C05"/>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155"/>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60B"/>
    <w:rsid w:val="00283B3F"/>
    <w:rsid w:val="002841EE"/>
    <w:rsid w:val="002844AF"/>
    <w:rsid w:val="00284891"/>
    <w:rsid w:val="00285B3A"/>
    <w:rsid w:val="00285C95"/>
    <w:rsid w:val="00286C13"/>
    <w:rsid w:val="00286D80"/>
    <w:rsid w:val="00287888"/>
    <w:rsid w:val="002912EF"/>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2E60"/>
    <w:rsid w:val="002A4088"/>
    <w:rsid w:val="002A4403"/>
    <w:rsid w:val="002A4AD1"/>
    <w:rsid w:val="002A4AE9"/>
    <w:rsid w:val="002A4B47"/>
    <w:rsid w:val="002A56E9"/>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59AF"/>
    <w:rsid w:val="002C62F6"/>
    <w:rsid w:val="002C6CED"/>
    <w:rsid w:val="002C6F55"/>
    <w:rsid w:val="002D0290"/>
    <w:rsid w:val="002D0C9B"/>
    <w:rsid w:val="002D1979"/>
    <w:rsid w:val="002D268B"/>
    <w:rsid w:val="002D276A"/>
    <w:rsid w:val="002D2CEE"/>
    <w:rsid w:val="002D3701"/>
    <w:rsid w:val="002D3CF1"/>
    <w:rsid w:val="002D3F79"/>
    <w:rsid w:val="002D413F"/>
    <w:rsid w:val="002D4B99"/>
    <w:rsid w:val="002D6E4D"/>
    <w:rsid w:val="002D724E"/>
    <w:rsid w:val="002D7BA0"/>
    <w:rsid w:val="002E1666"/>
    <w:rsid w:val="002E2968"/>
    <w:rsid w:val="002E3127"/>
    <w:rsid w:val="002E3358"/>
    <w:rsid w:val="002E3511"/>
    <w:rsid w:val="002E3777"/>
    <w:rsid w:val="002E3B43"/>
    <w:rsid w:val="002E3D1C"/>
    <w:rsid w:val="002E5953"/>
    <w:rsid w:val="002E5971"/>
    <w:rsid w:val="002E5EAB"/>
    <w:rsid w:val="002E6032"/>
    <w:rsid w:val="002E60D4"/>
    <w:rsid w:val="002E773F"/>
    <w:rsid w:val="002E791E"/>
    <w:rsid w:val="002F02E0"/>
    <w:rsid w:val="002F1480"/>
    <w:rsid w:val="002F19AF"/>
    <w:rsid w:val="002F1B7B"/>
    <w:rsid w:val="002F1C6A"/>
    <w:rsid w:val="002F1FCB"/>
    <w:rsid w:val="002F20C1"/>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1DCF"/>
    <w:rsid w:val="00312470"/>
    <w:rsid w:val="0031285C"/>
    <w:rsid w:val="00313A44"/>
    <w:rsid w:val="00314F14"/>
    <w:rsid w:val="003150CD"/>
    <w:rsid w:val="003154AB"/>
    <w:rsid w:val="003155CF"/>
    <w:rsid w:val="00315BA3"/>
    <w:rsid w:val="00315D94"/>
    <w:rsid w:val="00316707"/>
    <w:rsid w:val="00317B07"/>
    <w:rsid w:val="00317BDE"/>
    <w:rsid w:val="00317DC3"/>
    <w:rsid w:val="0032088F"/>
    <w:rsid w:val="00321643"/>
    <w:rsid w:val="00321A91"/>
    <w:rsid w:val="00321E0C"/>
    <w:rsid w:val="00321E63"/>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97AB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69D"/>
    <w:rsid w:val="003B6C7E"/>
    <w:rsid w:val="003B79F9"/>
    <w:rsid w:val="003C0293"/>
    <w:rsid w:val="003C0DF1"/>
    <w:rsid w:val="003C1936"/>
    <w:rsid w:val="003C268F"/>
    <w:rsid w:val="003C32DC"/>
    <w:rsid w:val="003C32FC"/>
    <w:rsid w:val="003C42AD"/>
    <w:rsid w:val="003C4C9F"/>
    <w:rsid w:val="003C5D9D"/>
    <w:rsid w:val="003C61DE"/>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6EC"/>
    <w:rsid w:val="003E6A41"/>
    <w:rsid w:val="003E7801"/>
    <w:rsid w:val="003F0AF5"/>
    <w:rsid w:val="003F14E4"/>
    <w:rsid w:val="003F1FC5"/>
    <w:rsid w:val="003F369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4DC8"/>
    <w:rsid w:val="004256FF"/>
    <w:rsid w:val="004258D6"/>
    <w:rsid w:val="004264F9"/>
    <w:rsid w:val="00426777"/>
    <w:rsid w:val="00427031"/>
    <w:rsid w:val="00427142"/>
    <w:rsid w:val="00427899"/>
    <w:rsid w:val="00427DBB"/>
    <w:rsid w:val="00427FBB"/>
    <w:rsid w:val="00430399"/>
    <w:rsid w:val="00430504"/>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0E5F"/>
    <w:rsid w:val="004515BE"/>
    <w:rsid w:val="004518AA"/>
    <w:rsid w:val="00452B43"/>
    <w:rsid w:val="00454957"/>
    <w:rsid w:val="004557F7"/>
    <w:rsid w:val="00455A62"/>
    <w:rsid w:val="00456294"/>
    <w:rsid w:val="004572E7"/>
    <w:rsid w:val="00457778"/>
    <w:rsid w:val="00457FE0"/>
    <w:rsid w:val="00460795"/>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3D2"/>
    <w:rsid w:val="00473EB5"/>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479"/>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4C7"/>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34C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12A"/>
    <w:rsid w:val="005212AE"/>
    <w:rsid w:val="005229B8"/>
    <w:rsid w:val="00522C1A"/>
    <w:rsid w:val="00523091"/>
    <w:rsid w:val="005242CB"/>
    <w:rsid w:val="00524D42"/>
    <w:rsid w:val="00526DC4"/>
    <w:rsid w:val="005274E0"/>
    <w:rsid w:val="00527F7B"/>
    <w:rsid w:val="005300DF"/>
    <w:rsid w:val="00530EC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B15"/>
    <w:rsid w:val="00556D72"/>
    <w:rsid w:val="00557727"/>
    <w:rsid w:val="00557C7D"/>
    <w:rsid w:val="00557EEB"/>
    <w:rsid w:val="00560145"/>
    <w:rsid w:val="0056061C"/>
    <w:rsid w:val="005609AA"/>
    <w:rsid w:val="00561AFE"/>
    <w:rsid w:val="00561B8F"/>
    <w:rsid w:val="00561E8A"/>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564D"/>
    <w:rsid w:val="00577656"/>
    <w:rsid w:val="0057772B"/>
    <w:rsid w:val="00580176"/>
    <w:rsid w:val="005802AF"/>
    <w:rsid w:val="00581327"/>
    <w:rsid w:val="005817AB"/>
    <w:rsid w:val="005818C6"/>
    <w:rsid w:val="00582C57"/>
    <w:rsid w:val="00584BAB"/>
    <w:rsid w:val="00584EFB"/>
    <w:rsid w:val="0058621D"/>
    <w:rsid w:val="00586D72"/>
    <w:rsid w:val="00586E4F"/>
    <w:rsid w:val="00587330"/>
    <w:rsid w:val="00587984"/>
    <w:rsid w:val="00587A84"/>
    <w:rsid w:val="00587BBA"/>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438"/>
    <w:rsid w:val="005B7761"/>
    <w:rsid w:val="005C08BA"/>
    <w:rsid w:val="005C0DC0"/>
    <w:rsid w:val="005C161B"/>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4E2D"/>
    <w:rsid w:val="00615362"/>
    <w:rsid w:val="006157B6"/>
    <w:rsid w:val="00615A62"/>
    <w:rsid w:val="00615EBC"/>
    <w:rsid w:val="00616D3E"/>
    <w:rsid w:val="00616F1D"/>
    <w:rsid w:val="00616FA1"/>
    <w:rsid w:val="006170B8"/>
    <w:rsid w:val="00617C77"/>
    <w:rsid w:val="0062006E"/>
    <w:rsid w:val="00620357"/>
    <w:rsid w:val="00620FB8"/>
    <w:rsid w:val="006214D7"/>
    <w:rsid w:val="00621B71"/>
    <w:rsid w:val="00622BEF"/>
    <w:rsid w:val="0062386E"/>
    <w:rsid w:val="00624802"/>
    <w:rsid w:val="00624F20"/>
    <w:rsid w:val="00625F4E"/>
    <w:rsid w:val="00626391"/>
    <w:rsid w:val="006279BE"/>
    <w:rsid w:val="006304BB"/>
    <w:rsid w:val="0063071F"/>
    <w:rsid w:val="00630C62"/>
    <w:rsid w:val="006311E2"/>
    <w:rsid w:val="00631207"/>
    <w:rsid w:val="00631DC1"/>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4F"/>
    <w:rsid w:val="006547BB"/>
    <w:rsid w:val="006555CA"/>
    <w:rsid w:val="00655BA3"/>
    <w:rsid w:val="006560E3"/>
    <w:rsid w:val="006564ED"/>
    <w:rsid w:val="00656C6E"/>
    <w:rsid w:val="0066116D"/>
    <w:rsid w:val="00661960"/>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229"/>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5F1"/>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B99"/>
    <w:rsid w:val="006D1DB2"/>
    <w:rsid w:val="006D3FF8"/>
    <w:rsid w:val="006D428F"/>
    <w:rsid w:val="006D54E1"/>
    <w:rsid w:val="006D5A11"/>
    <w:rsid w:val="006D668F"/>
    <w:rsid w:val="006D78DA"/>
    <w:rsid w:val="006E0406"/>
    <w:rsid w:val="006E09D6"/>
    <w:rsid w:val="006E1695"/>
    <w:rsid w:val="006E197B"/>
    <w:rsid w:val="006E1AC8"/>
    <w:rsid w:val="006E22C9"/>
    <w:rsid w:val="006E2B27"/>
    <w:rsid w:val="006E58AF"/>
    <w:rsid w:val="006E5EBC"/>
    <w:rsid w:val="006E698C"/>
    <w:rsid w:val="006E6A36"/>
    <w:rsid w:val="006E7F21"/>
    <w:rsid w:val="006F0329"/>
    <w:rsid w:val="006F0771"/>
    <w:rsid w:val="006F0913"/>
    <w:rsid w:val="006F2087"/>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009"/>
    <w:rsid w:val="0071287D"/>
    <w:rsid w:val="00712D50"/>
    <w:rsid w:val="00713419"/>
    <w:rsid w:val="007135A0"/>
    <w:rsid w:val="00713957"/>
    <w:rsid w:val="00714402"/>
    <w:rsid w:val="00714488"/>
    <w:rsid w:val="00715319"/>
    <w:rsid w:val="00715EBB"/>
    <w:rsid w:val="007165CD"/>
    <w:rsid w:val="00717898"/>
    <w:rsid w:val="0072215B"/>
    <w:rsid w:val="00722B88"/>
    <w:rsid w:val="0072304C"/>
    <w:rsid w:val="0072368F"/>
    <w:rsid w:val="00723EC1"/>
    <w:rsid w:val="00724552"/>
    <w:rsid w:val="00724C1C"/>
    <w:rsid w:val="007252A6"/>
    <w:rsid w:val="00727C09"/>
    <w:rsid w:val="00727D9C"/>
    <w:rsid w:val="00730089"/>
    <w:rsid w:val="00730250"/>
    <w:rsid w:val="00730453"/>
    <w:rsid w:val="0073182F"/>
    <w:rsid w:val="0073212F"/>
    <w:rsid w:val="007324A9"/>
    <w:rsid w:val="00732E5C"/>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44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68"/>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4FD7"/>
    <w:rsid w:val="00786A0E"/>
    <w:rsid w:val="00787328"/>
    <w:rsid w:val="00787ABD"/>
    <w:rsid w:val="00787FF8"/>
    <w:rsid w:val="007904C9"/>
    <w:rsid w:val="00790CF4"/>
    <w:rsid w:val="00790DA7"/>
    <w:rsid w:val="00791F5C"/>
    <w:rsid w:val="007927EC"/>
    <w:rsid w:val="00792E46"/>
    <w:rsid w:val="00792E5F"/>
    <w:rsid w:val="00793502"/>
    <w:rsid w:val="00793C07"/>
    <w:rsid w:val="0079582C"/>
    <w:rsid w:val="00795A12"/>
    <w:rsid w:val="00796315"/>
    <w:rsid w:val="00796538"/>
    <w:rsid w:val="00796AB8"/>
    <w:rsid w:val="00796CE5"/>
    <w:rsid w:val="0079747B"/>
    <w:rsid w:val="007A0C87"/>
    <w:rsid w:val="007A0DD5"/>
    <w:rsid w:val="007A1877"/>
    <w:rsid w:val="007A1A79"/>
    <w:rsid w:val="007A367E"/>
    <w:rsid w:val="007A3AF8"/>
    <w:rsid w:val="007A43A0"/>
    <w:rsid w:val="007A47F2"/>
    <w:rsid w:val="007A490A"/>
    <w:rsid w:val="007A530A"/>
    <w:rsid w:val="007A65AF"/>
    <w:rsid w:val="007A6C65"/>
    <w:rsid w:val="007A719C"/>
    <w:rsid w:val="007A726F"/>
    <w:rsid w:val="007A757A"/>
    <w:rsid w:val="007A7BDA"/>
    <w:rsid w:val="007B08F4"/>
    <w:rsid w:val="007B0A40"/>
    <w:rsid w:val="007B14D2"/>
    <w:rsid w:val="007B34BC"/>
    <w:rsid w:val="007B452B"/>
    <w:rsid w:val="007B4EEE"/>
    <w:rsid w:val="007B5EBB"/>
    <w:rsid w:val="007B65D2"/>
    <w:rsid w:val="007B6AD5"/>
    <w:rsid w:val="007B6ED0"/>
    <w:rsid w:val="007C04A2"/>
    <w:rsid w:val="007C1271"/>
    <w:rsid w:val="007C23C0"/>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8EB"/>
    <w:rsid w:val="007D6461"/>
    <w:rsid w:val="007E3210"/>
    <w:rsid w:val="007E32FC"/>
    <w:rsid w:val="007E4266"/>
    <w:rsid w:val="007E4EA5"/>
    <w:rsid w:val="007E5A5C"/>
    <w:rsid w:val="007E6F31"/>
    <w:rsid w:val="007E7A9C"/>
    <w:rsid w:val="007F0BA9"/>
    <w:rsid w:val="007F14CC"/>
    <w:rsid w:val="007F17A3"/>
    <w:rsid w:val="007F1A1A"/>
    <w:rsid w:val="007F1ECE"/>
    <w:rsid w:val="007F289D"/>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17BE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1E64"/>
    <w:rsid w:val="00842756"/>
    <w:rsid w:val="008430AD"/>
    <w:rsid w:val="008433AE"/>
    <w:rsid w:val="0084355F"/>
    <w:rsid w:val="00843D17"/>
    <w:rsid w:val="0084471E"/>
    <w:rsid w:val="008460D0"/>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86D"/>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67A2"/>
    <w:rsid w:val="00887311"/>
    <w:rsid w:val="00887B04"/>
    <w:rsid w:val="00890833"/>
    <w:rsid w:val="00890BC5"/>
    <w:rsid w:val="00890E9C"/>
    <w:rsid w:val="00891864"/>
    <w:rsid w:val="0089264C"/>
    <w:rsid w:val="008927FE"/>
    <w:rsid w:val="00893B24"/>
    <w:rsid w:val="00894002"/>
    <w:rsid w:val="008946EA"/>
    <w:rsid w:val="00894A6C"/>
    <w:rsid w:val="00894D4A"/>
    <w:rsid w:val="0089545F"/>
    <w:rsid w:val="0089557F"/>
    <w:rsid w:val="008959BA"/>
    <w:rsid w:val="00896821"/>
    <w:rsid w:val="00896F48"/>
    <w:rsid w:val="008A0BA3"/>
    <w:rsid w:val="008A12C7"/>
    <w:rsid w:val="008A16B5"/>
    <w:rsid w:val="008A23DD"/>
    <w:rsid w:val="008A249E"/>
    <w:rsid w:val="008A2CE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B7067"/>
    <w:rsid w:val="008C02B6"/>
    <w:rsid w:val="008C030C"/>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3D86"/>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0702"/>
    <w:rsid w:val="009513AF"/>
    <w:rsid w:val="009514A7"/>
    <w:rsid w:val="00952111"/>
    <w:rsid w:val="009524CE"/>
    <w:rsid w:val="009525E5"/>
    <w:rsid w:val="00952E94"/>
    <w:rsid w:val="00953386"/>
    <w:rsid w:val="00953F5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667"/>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5CA"/>
    <w:rsid w:val="009868FC"/>
    <w:rsid w:val="00986D6A"/>
    <w:rsid w:val="00987268"/>
    <w:rsid w:val="00987E4F"/>
    <w:rsid w:val="00990013"/>
    <w:rsid w:val="00990D44"/>
    <w:rsid w:val="00991E94"/>
    <w:rsid w:val="00992712"/>
    <w:rsid w:val="00993E7E"/>
    <w:rsid w:val="0099690A"/>
    <w:rsid w:val="00997136"/>
    <w:rsid w:val="009971A7"/>
    <w:rsid w:val="009A2180"/>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562A"/>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98"/>
    <w:rsid w:val="00A164A6"/>
    <w:rsid w:val="00A165FE"/>
    <w:rsid w:val="00A16EFC"/>
    <w:rsid w:val="00A17A7F"/>
    <w:rsid w:val="00A20FD0"/>
    <w:rsid w:val="00A21357"/>
    <w:rsid w:val="00A215C1"/>
    <w:rsid w:val="00A219F6"/>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5AE"/>
    <w:rsid w:val="00A608CD"/>
    <w:rsid w:val="00A64280"/>
    <w:rsid w:val="00A64C7D"/>
    <w:rsid w:val="00A64E0F"/>
    <w:rsid w:val="00A654A2"/>
    <w:rsid w:val="00A654DF"/>
    <w:rsid w:val="00A655E9"/>
    <w:rsid w:val="00A66CB2"/>
    <w:rsid w:val="00A703F5"/>
    <w:rsid w:val="00A71119"/>
    <w:rsid w:val="00A72E3D"/>
    <w:rsid w:val="00A72EE1"/>
    <w:rsid w:val="00A73B00"/>
    <w:rsid w:val="00A73E3E"/>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826"/>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4AF3"/>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34F"/>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606"/>
    <w:rsid w:val="00B90ED9"/>
    <w:rsid w:val="00B91714"/>
    <w:rsid w:val="00B923B6"/>
    <w:rsid w:val="00B9293A"/>
    <w:rsid w:val="00B93021"/>
    <w:rsid w:val="00B9304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00F6"/>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089D"/>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3D8"/>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1C2F"/>
    <w:rsid w:val="00C91E15"/>
    <w:rsid w:val="00C92681"/>
    <w:rsid w:val="00C94869"/>
    <w:rsid w:val="00C94994"/>
    <w:rsid w:val="00C94C04"/>
    <w:rsid w:val="00C951C1"/>
    <w:rsid w:val="00C95FEF"/>
    <w:rsid w:val="00C9600B"/>
    <w:rsid w:val="00C962CF"/>
    <w:rsid w:val="00C96BE2"/>
    <w:rsid w:val="00C96F6C"/>
    <w:rsid w:val="00C97806"/>
    <w:rsid w:val="00C978B4"/>
    <w:rsid w:val="00CA069E"/>
    <w:rsid w:val="00CA0C7B"/>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41A7"/>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985"/>
    <w:rsid w:val="00D07A9C"/>
    <w:rsid w:val="00D10A14"/>
    <w:rsid w:val="00D113FF"/>
    <w:rsid w:val="00D11E7B"/>
    <w:rsid w:val="00D12C52"/>
    <w:rsid w:val="00D12D84"/>
    <w:rsid w:val="00D14E13"/>
    <w:rsid w:val="00D16547"/>
    <w:rsid w:val="00D1680F"/>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5F0A"/>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F26"/>
    <w:rsid w:val="00DB6A81"/>
    <w:rsid w:val="00DB77AF"/>
    <w:rsid w:val="00DB7F38"/>
    <w:rsid w:val="00DC09F8"/>
    <w:rsid w:val="00DC0D1A"/>
    <w:rsid w:val="00DC1C5C"/>
    <w:rsid w:val="00DC2465"/>
    <w:rsid w:val="00DC252B"/>
    <w:rsid w:val="00DC2811"/>
    <w:rsid w:val="00DC458D"/>
    <w:rsid w:val="00DC459F"/>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6A8B"/>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4ABE"/>
    <w:rsid w:val="00DF5862"/>
    <w:rsid w:val="00DF5E93"/>
    <w:rsid w:val="00DF66BB"/>
    <w:rsid w:val="00DF7D55"/>
    <w:rsid w:val="00E00E3A"/>
    <w:rsid w:val="00E013E9"/>
    <w:rsid w:val="00E013EF"/>
    <w:rsid w:val="00E017F2"/>
    <w:rsid w:val="00E01B2C"/>
    <w:rsid w:val="00E0267C"/>
    <w:rsid w:val="00E02932"/>
    <w:rsid w:val="00E02CE1"/>
    <w:rsid w:val="00E02D9E"/>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76"/>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D32"/>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272"/>
    <w:rsid w:val="00E93342"/>
    <w:rsid w:val="00E94929"/>
    <w:rsid w:val="00E9535A"/>
    <w:rsid w:val="00E9569C"/>
    <w:rsid w:val="00E968B6"/>
    <w:rsid w:val="00E96D3C"/>
    <w:rsid w:val="00E97839"/>
    <w:rsid w:val="00E97BE5"/>
    <w:rsid w:val="00EA03BD"/>
    <w:rsid w:val="00EA2148"/>
    <w:rsid w:val="00EA22C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E1A"/>
    <w:rsid w:val="00EB2F4D"/>
    <w:rsid w:val="00EB3C52"/>
    <w:rsid w:val="00EB51C7"/>
    <w:rsid w:val="00EB5858"/>
    <w:rsid w:val="00EB5DEF"/>
    <w:rsid w:val="00EB61E5"/>
    <w:rsid w:val="00EB67AA"/>
    <w:rsid w:val="00EB70B5"/>
    <w:rsid w:val="00EB780C"/>
    <w:rsid w:val="00EC2DB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23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07"/>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5708A"/>
    <w:rsid w:val="00F574ED"/>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1D0F"/>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5DA0"/>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2E296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0522A9-1E3A-4600-91BD-F6E194721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14</Pages>
  <Words>4977</Words>
  <Characters>27378</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32291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46</cp:revision>
  <cp:lastPrinted>2020-12-04T20:16:00Z</cp:lastPrinted>
  <dcterms:created xsi:type="dcterms:W3CDTF">2021-02-15T22:41:00Z</dcterms:created>
  <dcterms:modified xsi:type="dcterms:W3CDTF">2021-05-05T20:59:00Z</dcterms:modified>
</cp:coreProperties>
</file>