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69B" w:rsidRPr="007B0581" w:rsidRDefault="00FD669B" w:rsidP="00FD669B">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FD669B" w:rsidRPr="007B0581" w:rsidRDefault="00FD669B" w:rsidP="00FD669B">
      <w:pPr>
        <w:pStyle w:val="corte4fondo"/>
        <w:spacing w:line="276" w:lineRule="auto"/>
        <w:ind w:left="3544" w:right="-521" w:firstLine="0"/>
        <w:rPr>
          <w:rFonts w:cs="Arial"/>
          <w:b/>
          <w:sz w:val="24"/>
          <w:szCs w:val="24"/>
        </w:rPr>
      </w:pPr>
    </w:p>
    <w:p w:rsidR="00FD669B" w:rsidRPr="007B0581" w:rsidRDefault="00FD669B" w:rsidP="00FD669B">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BC1CA9">
        <w:rPr>
          <w:rFonts w:cs="Arial"/>
          <w:b/>
          <w:bCs/>
          <w:sz w:val="24"/>
          <w:szCs w:val="24"/>
        </w:rPr>
        <w:t>00</w:t>
      </w:r>
      <w:r>
        <w:rPr>
          <w:rFonts w:cs="Arial"/>
          <w:b/>
          <w:bCs/>
          <w:sz w:val="24"/>
          <w:szCs w:val="24"/>
        </w:rPr>
        <w:t>11</w:t>
      </w:r>
      <w:r w:rsidRPr="007B0581">
        <w:rPr>
          <w:rFonts w:cs="Arial"/>
          <w:b/>
          <w:bCs/>
          <w:sz w:val="24"/>
          <w:szCs w:val="24"/>
        </w:rPr>
        <w:t>/20</w:t>
      </w:r>
      <w:r>
        <w:rPr>
          <w:rFonts w:cs="Arial"/>
          <w:b/>
          <w:bCs/>
          <w:sz w:val="24"/>
          <w:szCs w:val="24"/>
        </w:rPr>
        <w:t>20</w:t>
      </w:r>
      <w:r w:rsidRPr="007B0581">
        <w:rPr>
          <w:rFonts w:cs="Arial"/>
          <w:sz w:val="24"/>
          <w:szCs w:val="24"/>
        </w:rPr>
        <w:t xml:space="preserve">. </w:t>
      </w:r>
    </w:p>
    <w:p w:rsidR="00FD669B" w:rsidRPr="007B0581" w:rsidRDefault="00FD669B" w:rsidP="00FD669B">
      <w:pPr>
        <w:pStyle w:val="corte4fondo"/>
        <w:spacing w:line="276" w:lineRule="auto"/>
        <w:ind w:left="3544" w:right="-521" w:firstLine="0"/>
        <w:rPr>
          <w:rFonts w:cs="Arial"/>
          <w:sz w:val="24"/>
          <w:szCs w:val="24"/>
        </w:rPr>
      </w:pPr>
    </w:p>
    <w:p w:rsidR="00FD669B" w:rsidRPr="007B0581" w:rsidRDefault="00FD669B" w:rsidP="00FD669B">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FD669B" w:rsidRPr="007B0581" w:rsidRDefault="00FD669B" w:rsidP="00FD669B">
      <w:pPr>
        <w:pStyle w:val="corte4fondo"/>
        <w:spacing w:line="276" w:lineRule="auto"/>
        <w:ind w:left="3544" w:right="-521" w:firstLine="0"/>
        <w:rPr>
          <w:rFonts w:cs="Arial"/>
          <w:b/>
          <w:i/>
          <w:sz w:val="24"/>
          <w:szCs w:val="24"/>
        </w:rPr>
      </w:pPr>
      <w:r w:rsidRPr="007B0581">
        <w:rPr>
          <w:rFonts w:cs="Arial"/>
          <w:b/>
          <w:i/>
          <w:sz w:val="24"/>
          <w:szCs w:val="24"/>
        </w:rPr>
        <w:t xml:space="preserve"> </w:t>
      </w:r>
    </w:p>
    <w:p w:rsidR="00FD669B" w:rsidRPr="007B0581" w:rsidRDefault="00FD669B" w:rsidP="00FD669B">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p>
    <w:p w:rsidR="00FD669B" w:rsidRPr="007B0581" w:rsidRDefault="00FD669B" w:rsidP="00FD669B">
      <w:pPr>
        <w:pStyle w:val="corte4fondo"/>
        <w:spacing w:line="276" w:lineRule="auto"/>
        <w:ind w:left="3544" w:right="51" w:firstLine="0"/>
        <w:rPr>
          <w:rFonts w:cs="Arial"/>
          <w:bCs/>
          <w:sz w:val="24"/>
          <w:szCs w:val="24"/>
        </w:rPr>
      </w:pPr>
    </w:p>
    <w:p w:rsidR="00FD669B" w:rsidRPr="007B0581" w:rsidRDefault="00FD669B" w:rsidP="00FD669B">
      <w:pPr>
        <w:pStyle w:val="corte4fondo"/>
        <w:spacing w:line="276" w:lineRule="auto"/>
        <w:ind w:left="3544" w:right="51" w:firstLine="0"/>
        <w:rPr>
          <w:rFonts w:cs="Arial"/>
          <w:bCs/>
          <w:sz w:val="24"/>
          <w:szCs w:val="24"/>
        </w:rPr>
      </w:pPr>
    </w:p>
    <w:p w:rsidR="00FD669B" w:rsidRDefault="00FD669B" w:rsidP="00FD669B">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VEINTISEIS DE OCTUBRE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FD669B" w:rsidRDefault="00FD669B" w:rsidP="00FD669B">
      <w:pPr>
        <w:spacing w:line="360" w:lineRule="auto"/>
        <w:jc w:val="both"/>
        <w:rPr>
          <w:rFonts w:ascii="Arial" w:hAnsi="Arial" w:cs="Arial"/>
          <w:b/>
          <w:sz w:val="24"/>
          <w:szCs w:val="24"/>
        </w:rPr>
      </w:pPr>
      <w:r w:rsidRPr="007B0581">
        <w:rPr>
          <w:rFonts w:ascii="Arial" w:hAnsi="Arial" w:cs="Arial"/>
          <w:b/>
          <w:sz w:val="24"/>
          <w:szCs w:val="24"/>
        </w:rPr>
        <w:t xml:space="preserve"> </w:t>
      </w:r>
    </w:p>
    <w:p w:rsidR="00FD669B" w:rsidRDefault="00FD669B" w:rsidP="00FD669B">
      <w:pPr>
        <w:spacing w:line="360" w:lineRule="auto"/>
        <w:jc w:val="both"/>
        <w:rPr>
          <w:rFonts w:ascii="Arial" w:hAnsi="Arial" w:cs="Arial"/>
          <w:b/>
          <w:sz w:val="24"/>
          <w:szCs w:val="24"/>
        </w:rPr>
      </w:pPr>
    </w:p>
    <w:p w:rsidR="00FD669B" w:rsidRPr="007B0581" w:rsidRDefault="00FD669B" w:rsidP="00FD669B">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0011</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Pr>
          <w:rFonts w:cs="Arial"/>
          <w:b/>
          <w:sz w:val="24"/>
          <w:szCs w:val="24"/>
        </w:rPr>
        <w:t xml:space="preserve"> </w:t>
      </w:r>
      <w:r w:rsidRPr="00506556">
        <w:rPr>
          <w:rFonts w:ascii="Arial" w:hAnsi="Arial" w:cs="Arial"/>
          <w:b/>
          <w:sz w:val="24"/>
          <w:szCs w:val="24"/>
        </w:rPr>
        <w:t xml:space="preserve">, </w:t>
      </w:r>
      <w:r w:rsidRPr="00506556">
        <w:rPr>
          <w:rFonts w:ascii="Arial" w:hAnsi="Arial" w:cs="Arial"/>
          <w:bCs/>
          <w:sz w:val="24"/>
          <w:szCs w:val="24"/>
        </w:rPr>
        <w:t>por conducto de su Apoderad</w:t>
      </w:r>
      <w:r>
        <w:rPr>
          <w:rFonts w:ascii="Arial" w:hAnsi="Arial" w:cs="Arial"/>
          <w:bCs/>
          <w:sz w:val="24"/>
          <w:szCs w:val="24"/>
        </w:rPr>
        <w:t>a</w:t>
      </w:r>
      <w:r w:rsidRPr="00506556">
        <w:rPr>
          <w:rFonts w:ascii="Arial" w:hAnsi="Arial" w:cs="Arial"/>
          <w:bCs/>
          <w:sz w:val="24"/>
          <w:szCs w:val="24"/>
        </w:rPr>
        <w:t xml:space="preserve"> Legal,</w:t>
      </w:r>
      <w:r w:rsidRPr="00506556">
        <w:rPr>
          <w:rFonts w:ascii="Arial" w:hAnsi="Arial" w:cs="Arial"/>
          <w:b/>
          <w:sz w:val="24"/>
          <w:szCs w:val="24"/>
        </w:rPr>
        <w:t xml:space="preserve">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0"/>
    <w:p w:rsidR="00FD669B" w:rsidRDefault="00FD669B" w:rsidP="00FD669B">
      <w:pPr>
        <w:contextualSpacing/>
        <w:jc w:val="both"/>
        <w:rPr>
          <w:rFonts w:ascii="Arial" w:hAnsi="Arial" w:cs="Arial"/>
          <w:sz w:val="24"/>
          <w:szCs w:val="24"/>
        </w:rPr>
      </w:pPr>
    </w:p>
    <w:p w:rsidR="00FD669B" w:rsidRPr="007B0581" w:rsidRDefault="00FD669B" w:rsidP="00FD669B">
      <w:pPr>
        <w:contextualSpacing/>
        <w:jc w:val="both"/>
        <w:rPr>
          <w:rFonts w:ascii="Arial" w:hAnsi="Arial" w:cs="Arial"/>
          <w:sz w:val="24"/>
          <w:szCs w:val="24"/>
        </w:rPr>
      </w:pPr>
    </w:p>
    <w:p w:rsidR="00FD669B" w:rsidRDefault="00FD669B" w:rsidP="00FD669B">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FD669B" w:rsidRPr="007B0581" w:rsidRDefault="00FD669B" w:rsidP="00FD669B">
      <w:pPr>
        <w:spacing w:line="360" w:lineRule="auto"/>
        <w:ind w:firstLine="708"/>
        <w:jc w:val="center"/>
        <w:rPr>
          <w:rFonts w:ascii="Arial" w:hAnsi="Arial" w:cs="Arial"/>
          <w:b/>
          <w:spacing w:val="-3"/>
          <w:sz w:val="24"/>
          <w:szCs w:val="24"/>
          <w:lang w:val="es-ES_tradnl"/>
        </w:rPr>
      </w:pPr>
    </w:p>
    <w:p w:rsidR="00FD669B" w:rsidRPr="007B0581" w:rsidRDefault="00FD669B" w:rsidP="00FD669B">
      <w:pPr>
        <w:contextualSpacing/>
        <w:jc w:val="both"/>
        <w:rPr>
          <w:rFonts w:ascii="Arial" w:hAnsi="Arial" w:cs="Arial"/>
          <w:b/>
          <w:spacing w:val="-3"/>
          <w:sz w:val="24"/>
          <w:szCs w:val="24"/>
          <w:lang w:val="es-ES_tradnl"/>
        </w:rPr>
      </w:pPr>
    </w:p>
    <w:p w:rsidR="00FD669B" w:rsidRPr="007B0581" w:rsidRDefault="00FD669B" w:rsidP="00FD669B">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veinte de enero de dos mil veinte</w:t>
      </w:r>
      <w:r w:rsidRPr="007B0581">
        <w:rPr>
          <w:rFonts w:ascii="Arial" w:hAnsi="Arial" w:cs="Arial"/>
          <w:sz w:val="24"/>
          <w:szCs w:val="24"/>
        </w:rPr>
        <w:t xml:space="preserve">, </w:t>
      </w:r>
      <w:r>
        <w:rPr>
          <w:rFonts w:cs="Arial"/>
          <w:b/>
          <w:sz w:val="24"/>
          <w:szCs w:val="24"/>
        </w:rPr>
        <w:t>**********</w:t>
      </w:r>
      <w:r w:rsidRPr="00506556">
        <w:rPr>
          <w:rFonts w:ascii="Arial" w:hAnsi="Arial" w:cs="Arial"/>
          <w:b/>
          <w:sz w:val="24"/>
          <w:szCs w:val="24"/>
        </w:rPr>
        <w:t xml:space="preserve">, </w:t>
      </w:r>
      <w:r w:rsidRPr="00506556">
        <w:rPr>
          <w:rFonts w:ascii="Arial" w:hAnsi="Arial" w:cs="Arial"/>
          <w:bCs/>
          <w:sz w:val="24"/>
          <w:szCs w:val="24"/>
        </w:rPr>
        <w:t>por conducto de su Apoderad</w:t>
      </w:r>
      <w:r>
        <w:rPr>
          <w:rFonts w:ascii="Arial" w:hAnsi="Arial" w:cs="Arial"/>
          <w:bCs/>
          <w:sz w:val="24"/>
          <w:szCs w:val="24"/>
        </w:rPr>
        <w:t>a</w:t>
      </w:r>
      <w:r w:rsidRPr="00506556">
        <w:rPr>
          <w:rFonts w:ascii="Arial" w:hAnsi="Arial" w:cs="Arial"/>
          <w:bCs/>
          <w:sz w:val="24"/>
          <w:szCs w:val="24"/>
        </w:rPr>
        <w:t xml:space="preserve"> Legal,</w:t>
      </w:r>
      <w:r w:rsidRPr="00506556">
        <w:rPr>
          <w:rFonts w:ascii="Arial" w:hAnsi="Arial" w:cs="Arial"/>
          <w:b/>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w:t>
      </w:r>
      <w:r>
        <w:rPr>
          <w:rFonts w:ascii="Arial" w:hAnsi="Arial" w:cs="Arial"/>
          <w:sz w:val="24"/>
          <w:szCs w:val="24"/>
        </w:rPr>
        <w:t>juicio de</w:t>
      </w:r>
      <w:r w:rsidRPr="007B0581">
        <w:rPr>
          <w:rFonts w:ascii="Arial" w:hAnsi="Arial" w:cs="Arial"/>
          <w:sz w:val="24"/>
          <w:szCs w:val="24"/>
        </w:rPr>
        <w:t xml:space="preserve">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7B0581">
        <w:rPr>
          <w:rFonts w:ascii="Arial" w:hAnsi="Arial" w:cs="Arial"/>
          <w:sz w:val="24"/>
          <w:szCs w:val="24"/>
        </w:rPr>
        <w:t xml:space="preserve">. </w:t>
      </w:r>
    </w:p>
    <w:bookmarkEnd w:id="1"/>
    <w:p w:rsidR="00FD669B" w:rsidRPr="007B0581" w:rsidRDefault="00FD669B" w:rsidP="00FD669B">
      <w:pPr>
        <w:contextualSpacing/>
        <w:jc w:val="both"/>
        <w:rPr>
          <w:rFonts w:ascii="Arial" w:hAnsi="Arial" w:cs="Arial"/>
          <w:sz w:val="24"/>
          <w:szCs w:val="24"/>
        </w:rPr>
      </w:pPr>
    </w:p>
    <w:p w:rsidR="00FD669B" w:rsidRDefault="00FD669B" w:rsidP="00FD669B">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 xml:space="preserve">- </w:t>
      </w:r>
      <w:r w:rsidRPr="00B56612">
        <w:rPr>
          <w:rFonts w:ascii="Arial" w:hAnsi="Arial" w:cs="Arial"/>
          <w:bCs/>
          <w:sz w:val="24"/>
          <w:szCs w:val="24"/>
        </w:rPr>
        <w:t xml:space="preserve">Por acuerdo de </w:t>
      </w:r>
      <w:r>
        <w:rPr>
          <w:rFonts w:ascii="Arial" w:hAnsi="Arial" w:cs="Arial"/>
          <w:bCs/>
          <w:sz w:val="24"/>
          <w:szCs w:val="24"/>
        </w:rPr>
        <w:t>veintiocho de enero de dos mil veinte</w:t>
      </w:r>
      <w:r w:rsidRPr="00B56612">
        <w:rPr>
          <w:rFonts w:ascii="Arial" w:hAnsi="Arial" w:cs="Arial"/>
          <w:bCs/>
          <w:sz w:val="24"/>
          <w:szCs w:val="24"/>
        </w:rPr>
        <w:t xml:space="preserve">, </w:t>
      </w:r>
      <w:r w:rsidRPr="00B56612">
        <w:rPr>
          <w:rFonts w:ascii="Arial" w:hAnsi="Arial" w:cs="Arial"/>
          <w:sz w:val="24"/>
          <w:szCs w:val="24"/>
        </w:rPr>
        <w:t>se admitió a trámite la demanda, ordenándose notificar, emplazar y correr traslado a la autoridad demandada, para que produjera su contestación en los términos de ley.</w:t>
      </w:r>
    </w:p>
    <w:p w:rsidR="00FD669B" w:rsidRDefault="00FD669B" w:rsidP="00FD669B">
      <w:pPr>
        <w:spacing w:line="360" w:lineRule="auto"/>
        <w:ind w:firstLine="567"/>
        <w:jc w:val="both"/>
        <w:rPr>
          <w:rFonts w:ascii="Arial" w:hAnsi="Arial" w:cs="Arial"/>
          <w:sz w:val="24"/>
          <w:szCs w:val="24"/>
        </w:rPr>
      </w:pPr>
    </w:p>
    <w:p w:rsidR="00FD669B" w:rsidRDefault="00FD669B" w:rsidP="00FD669B">
      <w:pPr>
        <w:pStyle w:val="corte4fondo"/>
        <w:ind w:right="51" w:firstLine="567"/>
        <w:contextualSpacing/>
        <w:rPr>
          <w:rFonts w:cs="Arial"/>
          <w:sz w:val="24"/>
          <w:szCs w:val="24"/>
        </w:rPr>
      </w:pPr>
      <w:r w:rsidRPr="007B0581">
        <w:rPr>
          <w:rFonts w:cs="Arial"/>
          <w:bCs/>
          <w:sz w:val="24"/>
          <w:szCs w:val="24"/>
        </w:rPr>
        <w:lastRenderedPageBreak/>
        <w:tab/>
      </w: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w:t>
      </w:r>
      <w:r w:rsidRPr="007B0581">
        <w:rPr>
          <w:rFonts w:cs="Arial"/>
          <w:sz w:val="24"/>
          <w:szCs w:val="24"/>
        </w:rPr>
        <w:t xml:space="preserve">Por acuerdo de </w:t>
      </w:r>
      <w:r>
        <w:rPr>
          <w:rFonts w:cs="Arial"/>
          <w:sz w:val="24"/>
          <w:szCs w:val="24"/>
        </w:rPr>
        <w:t>diecisiete de marzo de dos mil veinte</w:t>
      </w:r>
      <w:r w:rsidRPr="007B0581">
        <w:rPr>
          <w:rFonts w:cs="Arial"/>
          <w:sz w:val="24"/>
          <w:szCs w:val="24"/>
        </w:rPr>
        <w:t>,</w:t>
      </w:r>
      <w:r>
        <w:rPr>
          <w:rFonts w:cs="Arial"/>
          <w:sz w:val="24"/>
          <w:szCs w:val="24"/>
        </w:rPr>
        <w:t xml:space="preserve"> </w:t>
      </w:r>
      <w:r w:rsidRPr="00AD192C">
        <w:rPr>
          <w:rFonts w:cs="Arial"/>
          <w:bCs/>
          <w:sz w:val="24"/>
          <w:szCs w:val="24"/>
        </w:rPr>
        <w:t>se tuvo a</w:t>
      </w:r>
      <w:r>
        <w:rPr>
          <w:rFonts w:cs="Arial"/>
          <w:bCs/>
          <w:sz w:val="24"/>
          <w:szCs w:val="24"/>
        </w:rPr>
        <w:t xml:space="preserve">l Director de lo Contencioso de la Procuraduría Fiscal dependiente de la Subsecretaría de Ingresos de la Secretaría de Finanzas del Poder Ejecutivo del Estado,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w:t>
      </w:r>
      <w:r>
        <w:rPr>
          <w:rFonts w:cs="Arial"/>
          <w:sz w:val="24"/>
          <w:szCs w:val="24"/>
        </w:rPr>
        <w:t>,</w:t>
      </w:r>
      <w:r w:rsidRPr="00AD192C">
        <w:rPr>
          <w:rFonts w:cs="Arial"/>
          <w:sz w:val="24"/>
          <w:szCs w:val="24"/>
        </w:rPr>
        <w:t xml:space="preserve"> para</w:t>
      </w:r>
      <w:r>
        <w:rPr>
          <w:rFonts w:cs="Arial"/>
          <w:sz w:val="24"/>
          <w:szCs w:val="24"/>
        </w:rPr>
        <w:t xml:space="preserve"> que dentro del plazo de cinco días hábiles ampliara su demanda, apercibido que de no hacerlo se tendría por precluído su derecho.</w:t>
      </w:r>
      <w:r w:rsidRPr="00AD192C">
        <w:rPr>
          <w:rFonts w:cs="Arial"/>
          <w:sz w:val="24"/>
          <w:szCs w:val="24"/>
        </w:rPr>
        <w:t xml:space="preserve"> </w:t>
      </w:r>
    </w:p>
    <w:p w:rsidR="00FD669B" w:rsidRDefault="00FD669B" w:rsidP="00FD669B">
      <w:pPr>
        <w:pStyle w:val="corte4fondo"/>
        <w:ind w:right="51" w:firstLine="567"/>
        <w:rPr>
          <w:rFonts w:cs="Arial"/>
          <w:bCs/>
          <w:sz w:val="24"/>
          <w:szCs w:val="24"/>
        </w:rPr>
      </w:pPr>
    </w:p>
    <w:p w:rsidR="00FD669B" w:rsidRDefault="00FD669B" w:rsidP="00FD669B">
      <w:pPr>
        <w:pStyle w:val="corte4fondo"/>
        <w:ind w:right="51" w:firstLine="567"/>
        <w:rPr>
          <w:rFonts w:cs="Arial"/>
          <w:bCs/>
          <w:sz w:val="24"/>
          <w:szCs w:val="24"/>
        </w:rPr>
      </w:pPr>
      <w:r w:rsidRPr="007B0581">
        <w:rPr>
          <w:rFonts w:cs="Arial"/>
          <w:b/>
          <w:bCs/>
          <w:sz w:val="24"/>
          <w:szCs w:val="24"/>
        </w:rPr>
        <w:t xml:space="preserve">CUARTO. </w:t>
      </w:r>
      <w:r>
        <w:rPr>
          <w:rFonts w:cs="Arial"/>
          <w:b/>
          <w:bCs/>
          <w:sz w:val="24"/>
          <w:szCs w:val="24"/>
        </w:rPr>
        <w:t xml:space="preserve">– </w:t>
      </w:r>
      <w:r w:rsidRPr="00AD192C">
        <w:rPr>
          <w:rFonts w:cs="Arial"/>
          <w:bCs/>
          <w:sz w:val="24"/>
          <w:szCs w:val="24"/>
        </w:rPr>
        <w:t xml:space="preserve">Por acuerdo de </w:t>
      </w:r>
      <w:r>
        <w:rPr>
          <w:rFonts w:cs="Arial"/>
          <w:bCs/>
          <w:sz w:val="24"/>
          <w:szCs w:val="24"/>
        </w:rPr>
        <w:t>uno de marzo de dos mil veintidós</w:t>
      </w:r>
      <w:r w:rsidRPr="00AD192C">
        <w:rPr>
          <w:rFonts w:cs="Arial"/>
          <w:bCs/>
          <w:sz w:val="24"/>
          <w:szCs w:val="24"/>
        </w:rPr>
        <w:t>, se</w:t>
      </w:r>
      <w:r>
        <w:rPr>
          <w:rFonts w:cs="Arial"/>
          <w:bCs/>
          <w:sz w:val="24"/>
          <w:szCs w:val="24"/>
        </w:rPr>
        <w:t xml:space="preserve"> le tuvo a la parte actora por </w:t>
      </w:r>
      <w:r>
        <w:rPr>
          <w:rFonts w:cs="Arial"/>
          <w:bCs/>
          <w:sz w:val="24"/>
          <w:szCs w:val="24"/>
        </w:rPr>
        <w:t>precluído</w:t>
      </w:r>
      <w:r>
        <w:rPr>
          <w:rFonts w:cs="Arial"/>
          <w:bCs/>
          <w:sz w:val="24"/>
          <w:szCs w:val="24"/>
        </w:rPr>
        <w:t xml:space="preserve"> su derecho a ampliar su demanda en virtud que no lo realizó en el plazo concedido mediante proveído de diecisiete de marzo de dos mil veinte. Asimismo se señalaron las ONCE HORAS del día NUEVE DE MAYO DE DOS MIL VEINTIDÓS, para la celebración de la audiencia final. Así también, se hizo del conocimiento de las partes la incorporación y adscripción de la Magistrada VIRGINIA HERNÁNDEZ HERNÁNDEZ, como titular de esta Quinta Sala Unitaria de Primera Instancia de este órgano jurisdiccional, para que en el plazo de tres días hábiles manifestaran lo que a su derecho conviniera. </w:t>
      </w:r>
    </w:p>
    <w:p w:rsidR="00FD669B" w:rsidRDefault="00FD669B" w:rsidP="00FD669B">
      <w:pPr>
        <w:pStyle w:val="corte4fondo"/>
        <w:ind w:right="51" w:firstLine="567"/>
        <w:rPr>
          <w:rFonts w:cs="Arial"/>
          <w:bCs/>
          <w:sz w:val="24"/>
          <w:szCs w:val="24"/>
        </w:rPr>
      </w:pPr>
      <w:r>
        <w:rPr>
          <w:rFonts w:cs="Arial"/>
          <w:bCs/>
          <w:sz w:val="24"/>
          <w:szCs w:val="24"/>
        </w:rPr>
        <w:t xml:space="preserve"> </w:t>
      </w:r>
    </w:p>
    <w:p w:rsidR="00FD669B" w:rsidRDefault="00FD669B" w:rsidP="00FD669B">
      <w:pPr>
        <w:pStyle w:val="corte4fondo"/>
        <w:ind w:right="51" w:firstLine="567"/>
        <w:rPr>
          <w:rFonts w:cs="Arial"/>
          <w:b/>
          <w:bCs/>
          <w:sz w:val="24"/>
          <w:szCs w:val="24"/>
        </w:rPr>
      </w:pPr>
      <w:r>
        <w:rPr>
          <w:rFonts w:cs="Arial"/>
          <w:b/>
          <w:bCs/>
          <w:sz w:val="24"/>
          <w:szCs w:val="24"/>
        </w:rPr>
        <w:t>QUINTO</w:t>
      </w:r>
      <w:r w:rsidRPr="007B0581">
        <w:rPr>
          <w:rFonts w:cs="Arial"/>
          <w:b/>
          <w:bCs/>
          <w:sz w:val="24"/>
          <w:szCs w:val="24"/>
        </w:rPr>
        <w:t xml:space="preserve">. </w:t>
      </w:r>
      <w:r>
        <w:rPr>
          <w:rFonts w:cs="Arial"/>
          <w:sz w:val="24"/>
          <w:szCs w:val="24"/>
        </w:rPr>
        <w:t xml:space="preserve"> - E</w:t>
      </w:r>
      <w:r w:rsidRPr="007B0581">
        <w:rPr>
          <w:rFonts w:cs="Arial"/>
          <w:sz w:val="24"/>
          <w:szCs w:val="24"/>
          <w:lang w:val="es-ES"/>
        </w:rPr>
        <w:t xml:space="preserve">l </w:t>
      </w:r>
      <w:r>
        <w:rPr>
          <w:rFonts w:cs="Arial"/>
          <w:sz w:val="24"/>
          <w:szCs w:val="24"/>
          <w:lang w:val="es-ES"/>
        </w:rPr>
        <w:t>nueve de mayo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las partes no formularon</w:t>
      </w:r>
      <w:r w:rsidRPr="00402863">
        <w:rPr>
          <w:rFonts w:cs="Arial"/>
          <w:sz w:val="24"/>
          <w:szCs w:val="24"/>
        </w:rPr>
        <w:t xml:space="preserve"> alegatos</w:t>
      </w:r>
      <w:r>
        <w:rPr>
          <w:rFonts w:cs="Arial"/>
          <w:sz w:val="24"/>
          <w:szCs w:val="24"/>
        </w:rPr>
        <w:t xml:space="preserve"> por escrito;</w:t>
      </w:r>
      <w:r w:rsidRPr="00402863">
        <w:rPr>
          <w:rFonts w:cs="Arial"/>
          <w:sz w:val="24"/>
          <w:szCs w:val="24"/>
        </w:rPr>
        <w:t xml:space="preserve"> por lo que se ordenó citar a las partes a oír sentencia dentro del término de ley</w:t>
      </w:r>
      <w:r>
        <w:rPr>
          <w:rFonts w:cs="Arial"/>
          <w:sz w:val="24"/>
          <w:szCs w:val="24"/>
        </w:rPr>
        <w:t>, misma que ahora se pronuncia, y;</w:t>
      </w:r>
    </w:p>
    <w:p w:rsidR="00FD669B" w:rsidRDefault="00FD669B" w:rsidP="00FD669B">
      <w:pPr>
        <w:pStyle w:val="corte4fondo"/>
        <w:ind w:right="51" w:firstLine="567"/>
        <w:rPr>
          <w:rFonts w:cs="Arial"/>
          <w:b/>
          <w:bCs/>
          <w:sz w:val="24"/>
          <w:szCs w:val="24"/>
        </w:rPr>
      </w:pPr>
    </w:p>
    <w:p w:rsidR="00FD669B" w:rsidRPr="007B0581" w:rsidRDefault="00FD669B" w:rsidP="00FD669B">
      <w:pPr>
        <w:pStyle w:val="corte4fondo"/>
        <w:ind w:right="51" w:firstLine="567"/>
        <w:rPr>
          <w:rFonts w:cs="Arial"/>
          <w:b/>
          <w:spacing w:val="-3"/>
          <w:sz w:val="24"/>
          <w:szCs w:val="24"/>
        </w:rPr>
      </w:pPr>
    </w:p>
    <w:p w:rsidR="00FD669B" w:rsidRPr="007B0581" w:rsidRDefault="00FD669B" w:rsidP="00FD669B">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FD669B" w:rsidRPr="007B0581" w:rsidRDefault="00FD669B" w:rsidP="00FD669B">
      <w:pPr>
        <w:pStyle w:val="corte4fondo"/>
        <w:spacing w:line="240" w:lineRule="auto"/>
        <w:ind w:right="51" w:firstLine="567"/>
        <w:contextualSpacing/>
        <w:rPr>
          <w:rFonts w:cs="Arial"/>
          <w:bCs/>
          <w:sz w:val="24"/>
          <w:szCs w:val="24"/>
        </w:rPr>
      </w:pPr>
    </w:p>
    <w:p w:rsidR="00FD669B" w:rsidRPr="007B0581" w:rsidRDefault="00FD669B" w:rsidP="00FD669B">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w:t>
      </w:r>
      <w:r w:rsidRPr="00F977FA">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w:t>
      </w:r>
      <w:r w:rsidRPr="00AD2533">
        <w:rPr>
          <w:rFonts w:ascii="Arial" w:hAnsi="Arial" w:cs="Arial"/>
          <w:sz w:val="24"/>
          <w:szCs w:val="24"/>
        </w:rPr>
        <w:t>fracción II</w:t>
      </w:r>
      <w:r w:rsidRPr="00D82BB8">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FD669B" w:rsidRPr="007B0581" w:rsidRDefault="00FD669B" w:rsidP="00FD669B">
      <w:pPr>
        <w:spacing w:line="360" w:lineRule="auto"/>
        <w:jc w:val="both"/>
        <w:rPr>
          <w:rFonts w:ascii="Arial" w:hAnsi="Arial" w:cs="Arial"/>
          <w:sz w:val="24"/>
          <w:szCs w:val="24"/>
        </w:rPr>
      </w:pPr>
      <w:r w:rsidRPr="007B0581">
        <w:rPr>
          <w:rFonts w:ascii="Arial" w:hAnsi="Arial" w:cs="Arial"/>
          <w:sz w:val="24"/>
          <w:szCs w:val="24"/>
        </w:rPr>
        <w:t xml:space="preserve"> </w:t>
      </w:r>
    </w:p>
    <w:p w:rsidR="00FD669B" w:rsidRPr="007B0581" w:rsidRDefault="00FD669B" w:rsidP="00FD669B">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el</w:t>
      </w:r>
      <w:r w:rsidRPr="007B0581">
        <w:rPr>
          <w:rFonts w:ascii="Arial" w:hAnsi="Arial" w:cs="Arial"/>
          <w:sz w:val="24"/>
          <w:szCs w:val="24"/>
        </w:rPr>
        <w:t xml:space="preserve"> </w:t>
      </w:r>
      <w:r>
        <w:rPr>
          <w:rFonts w:ascii="Arial" w:hAnsi="Arial" w:cs="Arial"/>
          <w:sz w:val="24"/>
          <w:szCs w:val="24"/>
        </w:rPr>
        <w:t xml:space="preserve">Apoderado Legal de la parte actora promueve de conformidad con el instrumento notarial número </w:t>
      </w:r>
      <w:r>
        <w:rPr>
          <w:rFonts w:cs="Arial"/>
          <w:b/>
          <w:sz w:val="24"/>
          <w:szCs w:val="24"/>
        </w:rPr>
        <w:t>**********</w:t>
      </w:r>
      <w:r>
        <w:rPr>
          <w:rFonts w:ascii="Arial" w:hAnsi="Arial" w:cs="Arial"/>
          <w:sz w:val="24"/>
          <w:szCs w:val="24"/>
        </w:rPr>
        <w:t xml:space="preserve">, volumen setecientos treinta, pasado ante la fe del Notario Público número </w:t>
      </w:r>
      <w:r>
        <w:rPr>
          <w:rFonts w:cs="Arial"/>
          <w:b/>
          <w:sz w:val="24"/>
          <w:szCs w:val="24"/>
        </w:rPr>
        <w:lastRenderedPageBreak/>
        <w:t>**********</w:t>
      </w:r>
      <w:r w:rsidRPr="007B0581">
        <w:rPr>
          <w:rFonts w:ascii="Arial" w:hAnsi="Arial" w:cs="Arial"/>
          <w:sz w:val="24"/>
          <w:szCs w:val="24"/>
        </w:rPr>
        <w:t xml:space="preserve"> 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FD669B" w:rsidRPr="007B0581" w:rsidRDefault="00FD669B" w:rsidP="00FD669B">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FD669B" w:rsidRDefault="00FD669B" w:rsidP="00FD669B">
      <w:pPr>
        <w:spacing w:line="360" w:lineRule="auto"/>
        <w:ind w:right="51"/>
        <w:jc w:val="both"/>
        <w:rPr>
          <w:rFonts w:ascii="Arial" w:hAnsi="Arial" w:cs="Arial"/>
          <w:sz w:val="24"/>
          <w:szCs w:val="24"/>
        </w:rPr>
      </w:pPr>
      <w:r w:rsidRPr="007B0581">
        <w:rPr>
          <w:rFonts w:cs="Arial"/>
          <w:sz w:val="24"/>
          <w:szCs w:val="24"/>
        </w:rPr>
        <w:tab/>
      </w:r>
      <w:r w:rsidRPr="007F1584">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w:t>
      </w:r>
      <w:r>
        <w:rPr>
          <w:rFonts w:ascii="Arial" w:hAnsi="Arial" w:cs="Arial"/>
          <w:sz w:val="24"/>
          <w:szCs w:val="24"/>
        </w:rPr>
        <w:t xml:space="preserve">. </w:t>
      </w:r>
    </w:p>
    <w:p w:rsidR="00FD669B" w:rsidRDefault="00FD669B" w:rsidP="00FD669B">
      <w:pPr>
        <w:spacing w:line="360" w:lineRule="auto"/>
        <w:ind w:right="51"/>
        <w:jc w:val="both"/>
        <w:rPr>
          <w:rFonts w:ascii="Arial" w:hAnsi="Arial" w:cs="Arial"/>
          <w:sz w:val="24"/>
          <w:szCs w:val="24"/>
        </w:rPr>
      </w:pPr>
    </w:p>
    <w:p w:rsidR="00FD669B" w:rsidRDefault="00FD669B" w:rsidP="00FD669B">
      <w:pPr>
        <w:pStyle w:val="corte4fondo"/>
        <w:ind w:right="51" w:firstLine="567"/>
        <w:rPr>
          <w:rFonts w:cs="Arial"/>
          <w:sz w:val="24"/>
          <w:szCs w:val="24"/>
          <w:lang w:val="es-MX"/>
        </w:rPr>
      </w:pPr>
      <w:r w:rsidRPr="004A1017">
        <w:rPr>
          <w:rFonts w:cs="Arial"/>
          <w:sz w:val="24"/>
          <w:szCs w:val="24"/>
          <w:lang w:val="es-MX"/>
        </w:rPr>
        <w:t>En e</w:t>
      </w:r>
      <w:r w:rsidRPr="008C715C">
        <w:rPr>
          <w:rFonts w:cs="Arial"/>
          <w:sz w:val="24"/>
          <w:szCs w:val="24"/>
          <w:lang w:val="es-MX"/>
        </w:rPr>
        <w:t xml:space="preserve">se sentido, </w:t>
      </w:r>
      <w:r>
        <w:rPr>
          <w:rFonts w:cs="Arial"/>
          <w:sz w:val="24"/>
          <w:szCs w:val="24"/>
          <w:lang w:val="es-MX"/>
        </w:rPr>
        <w:t xml:space="preserve">los </w:t>
      </w:r>
      <w:r w:rsidRPr="008C715C">
        <w:rPr>
          <w:rFonts w:cs="Arial"/>
          <w:sz w:val="24"/>
          <w:szCs w:val="24"/>
          <w:lang w:val="es-MX"/>
        </w:rPr>
        <w:t>artículo</w:t>
      </w:r>
      <w:r>
        <w:rPr>
          <w:rFonts w:cs="Arial"/>
          <w:sz w:val="24"/>
          <w:szCs w:val="24"/>
          <w:lang w:val="es-MX"/>
        </w:rPr>
        <w:t>s</w:t>
      </w:r>
      <w:r w:rsidRPr="008C715C">
        <w:rPr>
          <w:rFonts w:cs="Arial"/>
          <w:sz w:val="24"/>
          <w:szCs w:val="24"/>
          <w:lang w:val="es-MX"/>
        </w:rPr>
        <w:t xml:space="preserve"> 1</w:t>
      </w:r>
      <w:r>
        <w:rPr>
          <w:rFonts w:cs="Arial"/>
          <w:sz w:val="24"/>
          <w:szCs w:val="24"/>
          <w:lang w:val="es-MX"/>
        </w:rPr>
        <w:t>6</w:t>
      </w:r>
      <w:r w:rsidRPr="008C715C">
        <w:rPr>
          <w:rFonts w:cs="Arial"/>
          <w:sz w:val="24"/>
          <w:szCs w:val="24"/>
          <w:lang w:val="es-MX"/>
        </w:rPr>
        <w:t xml:space="preserve">1 </w:t>
      </w:r>
      <w:r>
        <w:rPr>
          <w:rFonts w:cs="Arial"/>
          <w:sz w:val="24"/>
          <w:szCs w:val="24"/>
          <w:lang w:val="es-MX"/>
        </w:rPr>
        <w:t xml:space="preserve">fracción VI y </w:t>
      </w:r>
      <w:r w:rsidRPr="008C715C">
        <w:rPr>
          <w:rFonts w:cs="Arial"/>
          <w:sz w:val="24"/>
          <w:szCs w:val="24"/>
          <w:lang w:val="es-MX"/>
        </w:rPr>
        <w:t>1</w:t>
      </w:r>
      <w:r>
        <w:rPr>
          <w:rFonts w:cs="Arial"/>
          <w:sz w:val="24"/>
          <w:szCs w:val="24"/>
          <w:lang w:val="es-MX"/>
        </w:rPr>
        <w:t xml:space="preserve">62 fracción VI </w:t>
      </w:r>
      <w:r w:rsidRPr="008C715C">
        <w:rPr>
          <w:rFonts w:cs="Arial"/>
          <w:sz w:val="24"/>
          <w:szCs w:val="24"/>
          <w:lang w:val="es-MX"/>
        </w:rPr>
        <w:t xml:space="preserve">de la Ley de </w:t>
      </w:r>
      <w:r>
        <w:rPr>
          <w:rFonts w:cs="Arial"/>
          <w:sz w:val="24"/>
          <w:szCs w:val="24"/>
          <w:lang w:val="es-MX"/>
        </w:rPr>
        <w:t xml:space="preserve">procedimiento y </w:t>
      </w:r>
      <w:r w:rsidRPr="008C715C">
        <w:rPr>
          <w:rFonts w:cs="Arial"/>
          <w:sz w:val="24"/>
          <w:szCs w:val="24"/>
          <w:lang w:val="es-MX"/>
        </w:rPr>
        <w:t>Justicia Administrativa para el Estado de Oaxaca, establece</w:t>
      </w:r>
      <w:r>
        <w:rPr>
          <w:rFonts w:cs="Arial"/>
          <w:sz w:val="24"/>
          <w:szCs w:val="24"/>
          <w:lang w:val="es-MX"/>
        </w:rPr>
        <w:t>n</w:t>
      </w:r>
      <w:r w:rsidRPr="008C715C">
        <w:rPr>
          <w:rFonts w:cs="Arial"/>
          <w:sz w:val="24"/>
          <w:szCs w:val="24"/>
          <w:lang w:val="es-MX"/>
        </w:rPr>
        <w:t>:</w:t>
      </w:r>
    </w:p>
    <w:p w:rsidR="00FD669B" w:rsidRDefault="00FD669B" w:rsidP="00FD669B">
      <w:pPr>
        <w:pStyle w:val="corte4fondo"/>
        <w:ind w:right="51" w:firstLine="567"/>
        <w:rPr>
          <w:rFonts w:cs="Arial"/>
          <w:sz w:val="24"/>
          <w:szCs w:val="24"/>
          <w:lang w:val="es-MX"/>
        </w:rPr>
      </w:pPr>
    </w:p>
    <w:p w:rsidR="00FD669B" w:rsidRDefault="00FD669B" w:rsidP="00FD669B">
      <w:pPr>
        <w:spacing w:line="360" w:lineRule="auto"/>
        <w:ind w:right="51"/>
        <w:jc w:val="both"/>
        <w:rPr>
          <w:rFonts w:ascii="Arial" w:hAnsi="Arial" w:cs="Arial"/>
          <w:bCs/>
          <w:i/>
          <w:iCs/>
          <w:sz w:val="24"/>
          <w:szCs w:val="24"/>
          <w:lang w:val="es-MX"/>
        </w:rPr>
      </w:pPr>
      <w:r w:rsidRPr="005C0452">
        <w:rPr>
          <w:rFonts w:ascii="Arial" w:hAnsi="Arial" w:cs="Arial"/>
          <w:i/>
          <w:iCs/>
          <w:sz w:val="24"/>
          <w:szCs w:val="24"/>
          <w:lang w:val="es-MX"/>
        </w:rPr>
        <w:t>“</w:t>
      </w:r>
      <w:r w:rsidRPr="005C0452">
        <w:rPr>
          <w:rFonts w:ascii="Arial" w:hAnsi="Arial" w:cs="Arial"/>
          <w:b/>
          <w:bCs/>
          <w:i/>
          <w:iCs/>
          <w:sz w:val="24"/>
          <w:szCs w:val="24"/>
          <w:lang w:val="es-MX"/>
        </w:rPr>
        <w:t xml:space="preserve">ARTÍCULO 161.- </w:t>
      </w:r>
      <w:r w:rsidRPr="005C0452">
        <w:rPr>
          <w:rFonts w:ascii="Arial" w:hAnsi="Arial" w:cs="Arial"/>
          <w:bCs/>
          <w:i/>
          <w:iCs/>
          <w:sz w:val="24"/>
          <w:szCs w:val="24"/>
          <w:lang w:val="es-MX"/>
        </w:rPr>
        <w:t>Es improcedente el juicio ante el Tribunal contra actos:</w:t>
      </w:r>
    </w:p>
    <w:p w:rsidR="00FD669B" w:rsidRPr="005C0452" w:rsidRDefault="00FD669B" w:rsidP="00FD669B">
      <w:pPr>
        <w:spacing w:line="360" w:lineRule="auto"/>
        <w:ind w:right="51"/>
        <w:jc w:val="both"/>
        <w:rPr>
          <w:rFonts w:ascii="Arial" w:hAnsi="Arial" w:cs="Arial"/>
          <w:bCs/>
          <w:i/>
          <w:iCs/>
          <w:sz w:val="24"/>
          <w:szCs w:val="24"/>
          <w:lang w:val="es-MX"/>
        </w:rPr>
      </w:pPr>
    </w:p>
    <w:p w:rsidR="00FD669B" w:rsidRPr="005C0452" w:rsidRDefault="00FD669B" w:rsidP="00FD669B">
      <w:pPr>
        <w:spacing w:line="360" w:lineRule="auto"/>
        <w:ind w:right="51"/>
        <w:jc w:val="both"/>
        <w:rPr>
          <w:rFonts w:ascii="Arial" w:hAnsi="Arial" w:cs="Arial"/>
          <w:bCs/>
          <w:i/>
          <w:iCs/>
          <w:sz w:val="24"/>
          <w:szCs w:val="24"/>
          <w:lang w:val="es-MX"/>
        </w:rPr>
      </w:pPr>
      <w:r w:rsidRPr="005C0452">
        <w:rPr>
          <w:rFonts w:ascii="Arial" w:hAnsi="Arial" w:cs="Arial"/>
          <w:bCs/>
          <w:i/>
          <w:iCs/>
          <w:sz w:val="24"/>
          <w:szCs w:val="24"/>
          <w:lang w:val="es-MX"/>
        </w:rPr>
        <w:t>VI. Contra actos consentidos expresamente o por manifestaciones de voluntad que</w:t>
      </w:r>
    </w:p>
    <w:p w:rsidR="00FD669B" w:rsidRPr="005C0452" w:rsidRDefault="00FD669B" w:rsidP="00FD669B">
      <w:pPr>
        <w:spacing w:line="360" w:lineRule="auto"/>
        <w:ind w:right="51"/>
        <w:jc w:val="both"/>
        <w:rPr>
          <w:rFonts w:ascii="Arial" w:hAnsi="Arial" w:cs="Arial"/>
          <w:bCs/>
          <w:i/>
          <w:iCs/>
          <w:sz w:val="24"/>
          <w:szCs w:val="24"/>
          <w:lang w:val="es-MX"/>
        </w:rPr>
      </w:pPr>
      <w:r w:rsidRPr="005C0452">
        <w:rPr>
          <w:rFonts w:ascii="Arial" w:hAnsi="Arial" w:cs="Arial"/>
          <w:bCs/>
          <w:i/>
          <w:iCs/>
          <w:sz w:val="24"/>
          <w:szCs w:val="24"/>
          <w:lang w:val="es-MX"/>
        </w:rPr>
        <w:t>entrañen ese consentimiento, entendiéndose por éstos últimos, en contra de los</w:t>
      </w:r>
    </w:p>
    <w:p w:rsidR="00FD669B" w:rsidRPr="005C0452" w:rsidRDefault="00FD669B" w:rsidP="00FD669B">
      <w:pPr>
        <w:spacing w:line="360" w:lineRule="auto"/>
        <w:ind w:right="51"/>
        <w:jc w:val="both"/>
        <w:rPr>
          <w:rFonts w:ascii="Arial" w:hAnsi="Arial" w:cs="Arial"/>
          <w:bCs/>
          <w:i/>
          <w:iCs/>
          <w:sz w:val="24"/>
          <w:szCs w:val="24"/>
          <w:lang w:val="es-MX"/>
        </w:rPr>
      </w:pPr>
      <w:r w:rsidRPr="005C0452">
        <w:rPr>
          <w:rFonts w:ascii="Arial" w:hAnsi="Arial" w:cs="Arial"/>
          <w:bCs/>
          <w:i/>
          <w:iCs/>
          <w:sz w:val="24"/>
          <w:szCs w:val="24"/>
          <w:lang w:val="es-MX"/>
        </w:rPr>
        <w:t>cuales no se promueva el juicio dentro del término que para tal efecto señale esta Ley;</w:t>
      </w:r>
    </w:p>
    <w:p w:rsidR="00FD669B" w:rsidRPr="005C0452" w:rsidRDefault="00FD669B" w:rsidP="00FD669B">
      <w:pPr>
        <w:spacing w:line="360" w:lineRule="auto"/>
        <w:ind w:right="51"/>
        <w:jc w:val="both"/>
        <w:rPr>
          <w:rFonts w:ascii="Arial" w:hAnsi="Arial" w:cs="Arial"/>
          <w:bCs/>
          <w:i/>
          <w:iCs/>
          <w:sz w:val="24"/>
          <w:szCs w:val="24"/>
          <w:lang w:val="es-MX"/>
        </w:rPr>
      </w:pPr>
    </w:p>
    <w:p w:rsidR="00FD669B" w:rsidRDefault="00FD669B" w:rsidP="00FD669B">
      <w:pPr>
        <w:spacing w:line="360" w:lineRule="auto"/>
        <w:ind w:right="51"/>
        <w:jc w:val="both"/>
        <w:rPr>
          <w:rFonts w:ascii="Arial" w:hAnsi="Arial" w:cs="Arial"/>
          <w:bCs/>
          <w:i/>
          <w:iCs/>
          <w:sz w:val="24"/>
          <w:szCs w:val="24"/>
          <w:lang w:val="es-MX"/>
        </w:rPr>
      </w:pPr>
      <w:r w:rsidRPr="005C0452">
        <w:rPr>
          <w:rFonts w:ascii="Arial" w:hAnsi="Arial" w:cs="Arial"/>
          <w:b/>
          <w:bCs/>
          <w:i/>
          <w:iCs/>
          <w:sz w:val="24"/>
          <w:szCs w:val="24"/>
          <w:lang w:val="es-MX"/>
        </w:rPr>
        <w:t xml:space="preserve">ARTÍCULO 162.- </w:t>
      </w:r>
      <w:r w:rsidRPr="005C0452">
        <w:rPr>
          <w:rFonts w:ascii="Arial" w:hAnsi="Arial" w:cs="Arial"/>
          <w:bCs/>
          <w:i/>
          <w:iCs/>
          <w:sz w:val="24"/>
          <w:szCs w:val="24"/>
          <w:lang w:val="es-MX"/>
        </w:rPr>
        <w:t>Procede el sobreseimiento del juicio:</w:t>
      </w:r>
    </w:p>
    <w:p w:rsidR="00FD669B" w:rsidRPr="005C0452" w:rsidRDefault="00FD669B" w:rsidP="00FD669B">
      <w:pPr>
        <w:spacing w:line="360" w:lineRule="auto"/>
        <w:ind w:right="51"/>
        <w:jc w:val="both"/>
        <w:rPr>
          <w:rFonts w:ascii="Arial" w:hAnsi="Arial" w:cs="Arial"/>
          <w:bCs/>
          <w:i/>
          <w:iCs/>
          <w:sz w:val="24"/>
          <w:szCs w:val="24"/>
          <w:lang w:val="es-MX"/>
        </w:rPr>
      </w:pPr>
    </w:p>
    <w:p w:rsidR="00FD669B" w:rsidRDefault="00FD669B" w:rsidP="00FD669B">
      <w:pPr>
        <w:pStyle w:val="corte4fondo"/>
        <w:ind w:right="51" w:firstLine="567"/>
        <w:rPr>
          <w:rFonts w:cs="Arial"/>
          <w:bCs/>
          <w:sz w:val="24"/>
          <w:szCs w:val="24"/>
          <w:lang w:val="es-MX"/>
        </w:rPr>
      </w:pPr>
      <w:r w:rsidRPr="005C0452">
        <w:rPr>
          <w:rFonts w:cs="Arial"/>
          <w:bCs/>
          <w:i/>
          <w:iCs/>
          <w:sz w:val="24"/>
          <w:szCs w:val="24"/>
          <w:lang w:val="es-MX"/>
        </w:rPr>
        <w:t>VI. En los demás casos en los que por disposición legal exista impedimento para emitir resoluciones en cuanto al fondo; y</w:t>
      </w:r>
      <w:r>
        <w:rPr>
          <w:rFonts w:cs="Arial"/>
          <w:bCs/>
          <w:i/>
          <w:iCs/>
          <w:sz w:val="24"/>
          <w:szCs w:val="24"/>
          <w:lang w:val="es-MX"/>
        </w:rPr>
        <w:t>”</w:t>
      </w:r>
    </w:p>
    <w:p w:rsidR="00FD669B" w:rsidRDefault="00FD669B" w:rsidP="00FD669B">
      <w:pPr>
        <w:spacing w:line="360" w:lineRule="auto"/>
        <w:ind w:right="51"/>
        <w:jc w:val="both"/>
        <w:rPr>
          <w:rFonts w:ascii="Arial" w:hAnsi="Arial" w:cs="Arial"/>
          <w:sz w:val="24"/>
          <w:szCs w:val="24"/>
        </w:rPr>
      </w:pPr>
    </w:p>
    <w:p w:rsidR="00FD669B" w:rsidRDefault="00FD669B" w:rsidP="00FD669B">
      <w:pPr>
        <w:spacing w:line="360" w:lineRule="auto"/>
        <w:ind w:right="51" w:firstLine="567"/>
        <w:jc w:val="both"/>
        <w:rPr>
          <w:rFonts w:ascii="Arial" w:hAnsi="Arial" w:cs="Arial"/>
          <w:sz w:val="24"/>
          <w:szCs w:val="24"/>
        </w:rPr>
      </w:pPr>
      <w:r>
        <w:rPr>
          <w:rFonts w:ascii="Arial" w:hAnsi="Arial" w:cs="Arial"/>
          <w:sz w:val="24"/>
          <w:szCs w:val="24"/>
        </w:rPr>
        <w:t>Es de señalar que, la parte actora refirió tener conocimiento del acto impugnado el veintisiete de diciembre de dos mil diecinueve, por su parte la autoridad demandada en su contestación de demanda refirió que la parte actora tuvo conocimiento del acto impugnado el ocho de noviembre de dos mil diecinueve.</w:t>
      </w:r>
    </w:p>
    <w:p w:rsidR="00FD669B" w:rsidRDefault="00FD669B" w:rsidP="00FD669B">
      <w:pPr>
        <w:spacing w:line="360" w:lineRule="auto"/>
        <w:ind w:right="51"/>
        <w:jc w:val="both"/>
        <w:rPr>
          <w:rFonts w:ascii="Arial" w:hAnsi="Arial" w:cs="Arial"/>
          <w:sz w:val="24"/>
          <w:szCs w:val="24"/>
        </w:rPr>
      </w:pPr>
    </w:p>
    <w:p w:rsidR="00FD669B" w:rsidRDefault="00FD669B" w:rsidP="00FD669B">
      <w:pPr>
        <w:spacing w:line="360" w:lineRule="auto"/>
        <w:ind w:right="51" w:firstLine="708"/>
        <w:jc w:val="both"/>
        <w:rPr>
          <w:rFonts w:ascii="Arial" w:hAnsi="Arial" w:cs="Arial"/>
          <w:sz w:val="24"/>
          <w:szCs w:val="24"/>
        </w:rPr>
      </w:pPr>
      <w:r w:rsidRPr="00EA0378">
        <w:rPr>
          <w:rFonts w:ascii="Arial" w:hAnsi="Arial" w:cs="Arial"/>
          <w:sz w:val="24"/>
          <w:szCs w:val="24"/>
        </w:rPr>
        <w:t>E</w:t>
      </w:r>
      <w:r>
        <w:rPr>
          <w:rFonts w:ascii="Arial" w:hAnsi="Arial" w:cs="Arial"/>
          <w:sz w:val="24"/>
          <w:szCs w:val="24"/>
        </w:rPr>
        <w:t xml:space="preserve">n atención a lo anterior, de autos se advierte que la notificadora o ejecutora de la Secretaría de Finanzas del Poder Ejecutivo del Estado de Oaxaca con fecha </w:t>
      </w:r>
      <w:r>
        <w:rPr>
          <w:rFonts w:ascii="Arial" w:hAnsi="Arial" w:cs="Arial"/>
          <w:bCs/>
          <w:sz w:val="24"/>
          <w:szCs w:val="24"/>
        </w:rPr>
        <w:t xml:space="preserve">siete de noviembre de dos mil diecinueve, </w:t>
      </w:r>
      <w:r>
        <w:rPr>
          <w:rFonts w:ascii="Arial" w:hAnsi="Arial" w:cs="Arial"/>
          <w:sz w:val="24"/>
          <w:szCs w:val="24"/>
        </w:rPr>
        <w:t xml:space="preserve">se constituyó en el domicilio fiscal de la persona moral </w:t>
      </w:r>
      <w:r w:rsidRPr="00184212">
        <w:rPr>
          <w:rFonts w:ascii="Arial" w:hAnsi="Arial" w:cs="Arial"/>
          <w:bCs/>
          <w:sz w:val="24"/>
          <w:szCs w:val="24"/>
        </w:rPr>
        <w:t>ENSAMBLE AGAVERO S.P.R DE R.L.,</w:t>
      </w:r>
      <w:r w:rsidRPr="00506556">
        <w:rPr>
          <w:rFonts w:ascii="Arial" w:hAnsi="Arial" w:cs="Arial"/>
          <w:b/>
          <w:sz w:val="24"/>
          <w:szCs w:val="24"/>
        </w:rPr>
        <w:t xml:space="preserve"> </w:t>
      </w:r>
      <w:r>
        <w:rPr>
          <w:rFonts w:ascii="Arial" w:hAnsi="Arial" w:cs="Arial"/>
          <w:sz w:val="24"/>
          <w:szCs w:val="24"/>
        </w:rPr>
        <w:t xml:space="preserve">con el objeto de notificarle personalmente o por conducto de su apoderada legal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w:t>
      </w:r>
      <w:r>
        <w:rPr>
          <w:rFonts w:ascii="Arial" w:hAnsi="Arial" w:cs="Arial"/>
          <w:sz w:val="24"/>
          <w:szCs w:val="24"/>
        </w:rPr>
        <w:lastRenderedPageBreak/>
        <w:t xml:space="preserve">Ejecutivo del Estado de Oaxaca, al no encontrarla procedió a dejar citatorio a </w:t>
      </w:r>
      <w:r>
        <w:rPr>
          <w:rFonts w:cs="Arial"/>
          <w:b/>
          <w:sz w:val="24"/>
          <w:szCs w:val="24"/>
        </w:rPr>
        <w:t>**********</w:t>
      </w:r>
      <w:r>
        <w:rPr>
          <w:rFonts w:ascii="Arial" w:hAnsi="Arial" w:cs="Arial"/>
          <w:sz w:val="24"/>
          <w:szCs w:val="24"/>
        </w:rPr>
        <w:t xml:space="preserve"> persona con quien atendió la diligencia, para que la persona moral </w:t>
      </w:r>
      <w:r>
        <w:rPr>
          <w:rFonts w:cs="Arial"/>
          <w:b/>
          <w:sz w:val="24"/>
          <w:szCs w:val="24"/>
        </w:rPr>
        <w:t>**********</w:t>
      </w:r>
      <w:r>
        <w:rPr>
          <w:rFonts w:ascii="Arial" w:hAnsi="Arial" w:cs="Arial"/>
          <w:bCs/>
          <w:sz w:val="24"/>
          <w:szCs w:val="24"/>
        </w:rPr>
        <w:t>, o su apoderada legal</w:t>
      </w:r>
      <w:r w:rsidRPr="00184212">
        <w:rPr>
          <w:rFonts w:ascii="Arial" w:hAnsi="Arial" w:cs="Arial"/>
          <w:bCs/>
          <w:sz w:val="24"/>
          <w:szCs w:val="24"/>
        </w:rPr>
        <w:t>,</w:t>
      </w:r>
      <w:r>
        <w:rPr>
          <w:rFonts w:ascii="Arial" w:hAnsi="Arial" w:cs="Arial"/>
          <w:sz w:val="24"/>
          <w:szCs w:val="24"/>
        </w:rPr>
        <w:t xml:space="preserve"> la esperara el ocho siguiente a las nueve horas para realizar la notificación de la multa antes citada, se dice lo anterior en razón que a fojas 89 a 91 de los presentes autos abra agregada dicha documental, a la cual se le otorga valor probatorio pleno de conformidad con el artículo 203, fracción I, de la Ley de Procedimiento y Justicia Administrativa para el Estado de Oaxaca, como lo establece el artículo 140 Párrafos Primero y Segundo, del Código Fiscal para el Estado de Oaxaca, que para mayor ilustración se transcribe.</w:t>
      </w:r>
    </w:p>
    <w:p w:rsidR="00FD669B" w:rsidRDefault="00FD669B" w:rsidP="00FD669B">
      <w:pPr>
        <w:spacing w:line="360" w:lineRule="auto"/>
        <w:ind w:right="51" w:firstLine="708"/>
        <w:jc w:val="both"/>
        <w:rPr>
          <w:rFonts w:ascii="Arial" w:hAnsi="Arial" w:cs="Arial"/>
          <w:sz w:val="24"/>
          <w:szCs w:val="24"/>
        </w:rPr>
      </w:pPr>
    </w:p>
    <w:p w:rsidR="00FD669B" w:rsidRDefault="00FD669B" w:rsidP="00FD669B">
      <w:pPr>
        <w:spacing w:line="360" w:lineRule="auto"/>
        <w:ind w:right="51" w:firstLine="708"/>
        <w:jc w:val="both"/>
        <w:rPr>
          <w:rFonts w:ascii="Arial" w:hAnsi="Arial" w:cs="Arial"/>
          <w:i/>
          <w:iCs/>
          <w:sz w:val="24"/>
          <w:szCs w:val="24"/>
        </w:rPr>
      </w:pPr>
      <w:r w:rsidRPr="000723B9">
        <w:rPr>
          <w:rFonts w:ascii="Arial" w:hAnsi="Arial" w:cs="Arial"/>
          <w:i/>
          <w:iCs/>
          <w:sz w:val="24"/>
          <w:szCs w:val="24"/>
        </w:rPr>
        <w:t>“</w:t>
      </w:r>
      <w:r w:rsidRPr="000723B9">
        <w:rPr>
          <w:rFonts w:ascii="Arial" w:hAnsi="Arial" w:cs="Arial"/>
          <w:b/>
          <w:bCs/>
          <w:i/>
          <w:iCs/>
          <w:sz w:val="24"/>
          <w:szCs w:val="24"/>
        </w:rPr>
        <w:t>ARTÍCULO 140.</w:t>
      </w:r>
      <w:r w:rsidRPr="000723B9">
        <w:rPr>
          <w:rFonts w:ascii="Arial" w:hAnsi="Arial" w:cs="Arial"/>
          <w:i/>
          <w:iCs/>
          <w:sz w:val="24"/>
          <w:szCs w:val="24"/>
        </w:rPr>
        <w:t xml:space="preserve"> Cuando la notificación se efectúe personalmente y el notificador no encuentre a quien deba notificar, le dejará citatorio en el domicilio, para que espere a una hora fija del día hábil posterior que se señale en el mismo.</w:t>
      </w:r>
    </w:p>
    <w:p w:rsidR="00FD669B" w:rsidRDefault="00FD669B" w:rsidP="00FD669B">
      <w:pPr>
        <w:spacing w:line="360" w:lineRule="auto"/>
        <w:ind w:right="51" w:firstLine="708"/>
        <w:jc w:val="both"/>
        <w:rPr>
          <w:rFonts w:ascii="Arial" w:hAnsi="Arial" w:cs="Arial"/>
          <w:i/>
          <w:iCs/>
          <w:sz w:val="24"/>
          <w:szCs w:val="24"/>
        </w:rPr>
      </w:pPr>
    </w:p>
    <w:p w:rsidR="00FD669B" w:rsidRDefault="00FD669B" w:rsidP="00FD669B">
      <w:pPr>
        <w:spacing w:line="360" w:lineRule="auto"/>
        <w:ind w:right="51" w:firstLine="708"/>
        <w:jc w:val="both"/>
        <w:rPr>
          <w:rFonts w:ascii="Arial" w:hAnsi="Arial" w:cs="Arial"/>
          <w:i/>
          <w:iCs/>
          <w:sz w:val="24"/>
          <w:szCs w:val="24"/>
        </w:rPr>
      </w:pPr>
      <w:r w:rsidRPr="000723B9">
        <w:rPr>
          <w:rFonts w:ascii="Arial" w:hAnsi="Arial" w:cs="Arial"/>
          <w:i/>
          <w:iCs/>
          <w:sz w:val="24"/>
          <w:szCs w:val="24"/>
        </w:rPr>
        <w:t>Si la persona citada o su representante legal no lo esperaren, practicará la diligencia con quien se encuentre en el domicilio o en su defecto con un vecino”</w:t>
      </w:r>
      <w:r>
        <w:rPr>
          <w:rFonts w:ascii="Arial" w:hAnsi="Arial" w:cs="Arial"/>
          <w:i/>
          <w:iCs/>
          <w:sz w:val="24"/>
          <w:szCs w:val="24"/>
        </w:rPr>
        <w:t>.</w:t>
      </w:r>
    </w:p>
    <w:p w:rsidR="00FD669B" w:rsidRDefault="00FD669B" w:rsidP="00FD669B">
      <w:pPr>
        <w:spacing w:line="360" w:lineRule="auto"/>
        <w:ind w:right="51" w:firstLine="708"/>
        <w:jc w:val="both"/>
        <w:rPr>
          <w:rFonts w:ascii="Arial" w:hAnsi="Arial" w:cs="Arial"/>
          <w:sz w:val="24"/>
          <w:szCs w:val="24"/>
        </w:rPr>
      </w:pPr>
    </w:p>
    <w:p w:rsidR="00FD669B" w:rsidRDefault="00FD669B" w:rsidP="00FD669B">
      <w:pPr>
        <w:spacing w:line="360" w:lineRule="auto"/>
        <w:ind w:right="51" w:firstLine="708"/>
        <w:jc w:val="both"/>
        <w:rPr>
          <w:rFonts w:ascii="Arial" w:hAnsi="Arial" w:cs="Arial"/>
          <w:bCs/>
          <w:sz w:val="24"/>
          <w:szCs w:val="24"/>
        </w:rPr>
      </w:pPr>
      <w:r>
        <w:rPr>
          <w:rFonts w:ascii="Arial" w:hAnsi="Arial" w:cs="Arial"/>
          <w:sz w:val="24"/>
          <w:szCs w:val="24"/>
        </w:rPr>
        <w:t xml:space="preserve">Ahora bien, con fecha ocho de noviembre de dos mil diecinueve, la notificadora o ejecutora de la Secretaría de Finanzas del Poder Ejecutivo del Estado de Oaxaca, realizó la notificación de la Multa por Infracción Establecida en el Código Fiscal para el Estado de Oaxaca, con número de control </w:t>
      </w:r>
      <w:r w:rsidR="00692C40">
        <w:rPr>
          <w:rFonts w:cs="Arial"/>
          <w:b/>
          <w:sz w:val="24"/>
          <w:szCs w:val="24"/>
        </w:rPr>
        <w:t>**********</w:t>
      </w:r>
      <w:r>
        <w:rPr>
          <w:rFonts w:ascii="Arial" w:hAnsi="Arial" w:cs="Arial"/>
          <w:sz w:val="24"/>
          <w:szCs w:val="24"/>
        </w:rPr>
        <w:t xml:space="preserve"> de diecinueve de agosto de dos mil diecinueve, emitida por la Directora de Ingresos y Recaudación de la citada Secretaría, se dice lo anterior en virtud que a fojas 92 a 95 de los presentes autos obra agregada copia certificada del acta de notificación realizada por la notificadora o ejecutora de la multicitada Secretaría, documental a la que se le otorga valor probatorio pleno de conformidad con el artículo 203, fracción I, de la Ley de Procedimiento y Justicia Administrativa para el Estado de Oaxaca, que si bien es cierto que la diligencia de notificación no se realizó personalmente a la  persona moral </w:t>
      </w:r>
      <w:r w:rsidR="00692C40">
        <w:rPr>
          <w:rFonts w:cs="Arial"/>
          <w:b/>
          <w:sz w:val="24"/>
          <w:szCs w:val="24"/>
        </w:rPr>
        <w:t>**********</w:t>
      </w:r>
      <w:r>
        <w:rPr>
          <w:rFonts w:ascii="Arial" w:hAnsi="Arial" w:cs="Arial"/>
          <w:bCs/>
          <w:sz w:val="24"/>
          <w:szCs w:val="24"/>
        </w:rPr>
        <w:t xml:space="preserve">, o a su </w:t>
      </w:r>
      <w:r>
        <w:rPr>
          <w:rFonts w:ascii="Arial" w:hAnsi="Arial" w:cs="Arial"/>
          <w:sz w:val="24"/>
          <w:szCs w:val="24"/>
        </w:rPr>
        <w:t>apoderada legal,</w:t>
      </w:r>
      <w:r>
        <w:rPr>
          <w:rFonts w:ascii="Arial" w:hAnsi="Arial" w:cs="Arial"/>
          <w:bCs/>
          <w:sz w:val="24"/>
          <w:szCs w:val="24"/>
        </w:rPr>
        <w:t xml:space="preserve"> también lo es que el artículo 140, del Código Fiscal para el Estado de Oaxaca establece que si la persona citada no esperare a la notificadora el día señalado en el citatorio, practicará la diligencia con quien se encuentre en el domicilio, como sucedió en el presente asunto. </w:t>
      </w:r>
    </w:p>
    <w:p w:rsidR="00FD669B" w:rsidRDefault="00FD669B" w:rsidP="00FD669B">
      <w:pPr>
        <w:spacing w:line="360" w:lineRule="auto"/>
        <w:ind w:right="51" w:firstLine="708"/>
        <w:jc w:val="both"/>
        <w:rPr>
          <w:rFonts w:ascii="Arial" w:hAnsi="Arial" w:cs="Arial"/>
          <w:bCs/>
          <w:sz w:val="24"/>
          <w:szCs w:val="24"/>
        </w:rPr>
      </w:pPr>
    </w:p>
    <w:p w:rsidR="00FD669B" w:rsidRDefault="00FD669B" w:rsidP="00FD669B">
      <w:pPr>
        <w:spacing w:line="360" w:lineRule="auto"/>
        <w:ind w:right="51" w:firstLine="708"/>
        <w:jc w:val="both"/>
        <w:rPr>
          <w:rFonts w:ascii="Arial" w:hAnsi="Arial" w:cs="Arial"/>
          <w:sz w:val="24"/>
          <w:szCs w:val="24"/>
        </w:rPr>
      </w:pPr>
      <w:r>
        <w:rPr>
          <w:rFonts w:ascii="Arial" w:hAnsi="Arial" w:cs="Arial"/>
          <w:bCs/>
          <w:sz w:val="24"/>
          <w:szCs w:val="24"/>
        </w:rPr>
        <w:t xml:space="preserve">Por cuanto hace a que el acta de notificación no tiene plasmada la firma de la persona con la que se entendió la diligencia, la notificadora levantó la razón </w:t>
      </w:r>
      <w:r w:rsidRPr="00663278">
        <w:rPr>
          <w:rFonts w:ascii="Arial" w:hAnsi="Arial" w:cs="Arial"/>
          <w:i/>
          <w:iCs/>
          <w:sz w:val="24"/>
          <w:szCs w:val="24"/>
        </w:rPr>
        <w:t>“La suscrita notificadora ejecutora: Ana Laura Hernandez (sic) Diaz hace constar que la persona se niega a firmar”</w:t>
      </w:r>
      <w:r>
        <w:rPr>
          <w:rFonts w:ascii="Arial" w:hAnsi="Arial" w:cs="Arial"/>
          <w:i/>
          <w:iCs/>
          <w:sz w:val="24"/>
          <w:szCs w:val="24"/>
        </w:rPr>
        <w:t>,</w:t>
      </w:r>
      <w:r>
        <w:rPr>
          <w:rFonts w:ascii="Arial" w:hAnsi="Arial" w:cs="Arial"/>
          <w:sz w:val="24"/>
          <w:szCs w:val="24"/>
        </w:rPr>
        <w:t xml:space="preserve"> facultad que le otorga el artículo 141, Segundo </w:t>
      </w:r>
      <w:r>
        <w:rPr>
          <w:rFonts w:ascii="Arial" w:hAnsi="Arial" w:cs="Arial"/>
          <w:sz w:val="24"/>
          <w:szCs w:val="24"/>
        </w:rPr>
        <w:lastRenderedPageBreak/>
        <w:t>Párrafo, del Código Fiscal para el Estado de Oaxaca al establecer que si la persona se niega a dar su nombre, identificarse o a firmar el acta para la debida constancia, se hará constar en el acta o documento que se formule, sin que ello afecte la validez de la diligencia.</w:t>
      </w:r>
      <w:r>
        <w:rPr>
          <w:rFonts w:ascii="Arial" w:hAnsi="Arial" w:cs="Arial"/>
          <w:bCs/>
          <w:sz w:val="24"/>
          <w:szCs w:val="24"/>
        </w:rPr>
        <w:t xml:space="preserve"> </w:t>
      </w:r>
      <w:r>
        <w:rPr>
          <w:rFonts w:ascii="Arial" w:hAnsi="Arial" w:cs="Arial"/>
          <w:sz w:val="24"/>
          <w:szCs w:val="24"/>
        </w:rPr>
        <w:t xml:space="preserve">Aunado a lo anterior, a foja 88 de los presentes autos obra agregada constancia de recibido de fecha ocho de noviembre de dos mil diecinueve, por el que se notificó la Multa por Infracción Establecida en el Código Fiscal para el Estado de Oaxaca, además el nombre de quien recibió y su firma, documental que la parte actora no controvirtió y a la cual se le otorga valor probatorio pleno de conformidad con el artículo 203, fracción I, de la Ley de la Materia, por lo que la notificación se realizó conforme a derecho.        </w:t>
      </w:r>
    </w:p>
    <w:p w:rsidR="00FD669B" w:rsidRDefault="00FD669B" w:rsidP="00FD669B">
      <w:pPr>
        <w:spacing w:line="360" w:lineRule="auto"/>
        <w:ind w:right="51" w:firstLine="708"/>
        <w:jc w:val="both"/>
        <w:rPr>
          <w:rFonts w:ascii="Arial" w:hAnsi="Arial" w:cs="Arial"/>
          <w:sz w:val="24"/>
          <w:szCs w:val="24"/>
        </w:rPr>
      </w:pPr>
    </w:p>
    <w:p w:rsidR="00FD669B" w:rsidRDefault="00FD669B" w:rsidP="00FD669B">
      <w:pPr>
        <w:pStyle w:val="corte4fondo"/>
        <w:ind w:right="51" w:firstLine="567"/>
        <w:rPr>
          <w:rFonts w:cs="Arial"/>
          <w:sz w:val="24"/>
          <w:szCs w:val="24"/>
        </w:rPr>
      </w:pPr>
      <w:r>
        <w:rPr>
          <w:rFonts w:cs="Arial"/>
          <w:sz w:val="24"/>
          <w:szCs w:val="24"/>
        </w:rPr>
        <w:t xml:space="preserve">En atención a lo anterior, se tiene como fecha de conocimiento del acto impugnado el ocho de noviembre de dos mil diecinueve, por tanto el plazo de treinta días que tuvo para interponer el juicio de nulidad de conformidad con el artículo 166 de la Ley de Procedimiento y Justicia Administrativa para el Estado de Oaxaca, transcurrió a partir del doce de noviembre de dos mil diecinueve y feneció </w:t>
      </w:r>
      <w:r w:rsidRPr="00A32A6D">
        <w:rPr>
          <w:rFonts w:cs="Arial"/>
          <w:sz w:val="24"/>
          <w:szCs w:val="24"/>
        </w:rPr>
        <w:t>el catorce</w:t>
      </w:r>
      <w:r>
        <w:rPr>
          <w:rFonts w:cs="Arial"/>
          <w:sz w:val="24"/>
          <w:szCs w:val="24"/>
        </w:rPr>
        <w:t xml:space="preserve"> de enero de dos mil veinte, descontándose los días sábados y domingos, </w:t>
      </w:r>
      <w:r w:rsidRPr="00A32A6D">
        <w:rPr>
          <w:rFonts w:cs="Arial"/>
          <w:sz w:val="24"/>
          <w:szCs w:val="24"/>
        </w:rPr>
        <w:t>dieciocho de noviembre y del dieciséis de diciembre de dos mil diecinueve al tres de enero de dos mil veinte,</w:t>
      </w:r>
      <w:r>
        <w:rPr>
          <w:rFonts w:cs="Arial"/>
          <w:sz w:val="24"/>
          <w:szCs w:val="24"/>
        </w:rPr>
        <w:t xml:space="preserve"> por ser inhábiles de conformidad con lo establecido en los artículos </w:t>
      </w:r>
      <w:r w:rsidRPr="00656FC0">
        <w:rPr>
          <w:rFonts w:cs="Arial"/>
          <w:sz w:val="24"/>
          <w:szCs w:val="24"/>
        </w:rPr>
        <w:t>165, 166</w:t>
      </w:r>
      <w:r>
        <w:rPr>
          <w:rFonts w:cs="Arial"/>
          <w:sz w:val="24"/>
          <w:szCs w:val="24"/>
        </w:rPr>
        <w:t xml:space="preserve"> y 168 de la Ley de la Materia y </w:t>
      </w:r>
      <w:r w:rsidRPr="00A224A2">
        <w:rPr>
          <w:rFonts w:cs="Arial"/>
          <w:sz w:val="24"/>
          <w:szCs w:val="24"/>
        </w:rPr>
        <w:t>el Calendario Oficial correspondiente al ejercicio dos mil diecinueve, aprobado mediante Acuerdo General AG/TJAO/01/2019 por los integrantes de la Sala Superior de este órgano jurisdiccional</w:t>
      </w:r>
      <w:r>
        <w:rPr>
          <w:rFonts w:cs="Arial"/>
          <w:sz w:val="24"/>
          <w:szCs w:val="24"/>
        </w:rPr>
        <w:t xml:space="preserve"> y la parte actora presentó su demanda el veinte de enero de dos mil veinte, como se advierte del sello de recepción de la Oficialía de Partes Común de este Tribunal, impreso al reverso de la primera foja del escrito de demanda, por lo que no se presentó en el plazo que tuvo para hacerlo</w:t>
      </w:r>
      <w:r w:rsidRPr="00C664F9">
        <w:rPr>
          <w:rFonts w:cs="Arial"/>
          <w:sz w:val="24"/>
          <w:szCs w:val="24"/>
        </w:rPr>
        <w:t xml:space="preserve">. </w:t>
      </w:r>
    </w:p>
    <w:p w:rsidR="00FD669B" w:rsidRDefault="00FD669B" w:rsidP="00FD669B">
      <w:pPr>
        <w:pStyle w:val="corte4fondo"/>
        <w:ind w:right="51" w:firstLine="567"/>
        <w:rPr>
          <w:rFonts w:cs="Arial"/>
          <w:sz w:val="24"/>
          <w:szCs w:val="24"/>
        </w:rPr>
      </w:pPr>
    </w:p>
    <w:p w:rsidR="00FD669B" w:rsidRDefault="00FD669B" w:rsidP="00FD669B">
      <w:pPr>
        <w:pStyle w:val="corte4fondo"/>
        <w:ind w:right="51" w:firstLine="567"/>
        <w:rPr>
          <w:rFonts w:cs="Arial"/>
          <w:sz w:val="24"/>
          <w:szCs w:val="24"/>
        </w:rPr>
      </w:pPr>
      <w:r>
        <w:rPr>
          <w:rFonts w:cs="Arial"/>
          <w:sz w:val="24"/>
          <w:szCs w:val="24"/>
        </w:rPr>
        <w:t xml:space="preserve">Por tanto, toda vez que la apoderada legal de la persona moral </w:t>
      </w:r>
      <w:r w:rsidR="00692C40">
        <w:rPr>
          <w:rFonts w:cs="Arial"/>
          <w:b/>
          <w:sz w:val="24"/>
          <w:szCs w:val="24"/>
        </w:rPr>
        <w:t>**********</w:t>
      </w:r>
      <w:bookmarkStart w:id="2" w:name="_GoBack"/>
      <w:bookmarkEnd w:id="2"/>
      <w:r>
        <w:rPr>
          <w:rFonts w:cs="Arial"/>
          <w:b/>
          <w:sz w:val="24"/>
          <w:szCs w:val="24"/>
        </w:rPr>
        <w:t xml:space="preserve">. </w:t>
      </w:r>
      <w:r w:rsidRPr="00EE2351">
        <w:rPr>
          <w:rFonts w:cs="Arial"/>
          <w:bCs/>
          <w:sz w:val="24"/>
          <w:szCs w:val="24"/>
        </w:rPr>
        <w:t>no</w:t>
      </w:r>
      <w:r>
        <w:rPr>
          <w:rFonts w:cs="Arial"/>
          <w:sz w:val="24"/>
          <w:szCs w:val="24"/>
        </w:rPr>
        <w:t xml:space="preserve"> promovió juicio de nulidad en el plazo que tuvo para ello consintiendo el acto de autoridad</w:t>
      </w:r>
      <w:r w:rsidRPr="00282C96">
        <w:rPr>
          <w:rFonts w:cs="Arial"/>
          <w:bCs/>
          <w:sz w:val="24"/>
          <w:szCs w:val="24"/>
          <w:lang w:val="es-MX"/>
        </w:rPr>
        <w:t>,</w:t>
      </w:r>
      <w:r>
        <w:rPr>
          <w:rFonts w:cs="Arial"/>
          <w:bCs/>
          <w:sz w:val="24"/>
          <w:szCs w:val="24"/>
          <w:lang w:val="es-MX"/>
        </w:rPr>
        <w:t xml:space="preserve"> </w:t>
      </w:r>
      <w:r>
        <w:rPr>
          <w:rFonts w:cs="Arial"/>
          <w:sz w:val="24"/>
          <w:szCs w:val="24"/>
        </w:rPr>
        <w:t xml:space="preserve">en consecuencia, </w:t>
      </w:r>
      <w:r w:rsidRPr="00A11DDE">
        <w:rPr>
          <w:rFonts w:cs="Arial"/>
          <w:b/>
          <w:bCs/>
          <w:sz w:val="24"/>
          <w:szCs w:val="24"/>
        </w:rPr>
        <w:t>SE</w:t>
      </w:r>
      <w:r w:rsidRPr="007B0581">
        <w:rPr>
          <w:rFonts w:cs="Arial"/>
          <w:sz w:val="24"/>
          <w:szCs w:val="24"/>
        </w:rPr>
        <w:t xml:space="preserve"> </w:t>
      </w:r>
      <w:r>
        <w:rPr>
          <w:rFonts w:cs="Arial"/>
          <w:b/>
          <w:bCs/>
          <w:sz w:val="24"/>
          <w:szCs w:val="24"/>
        </w:rPr>
        <w:t>SOBRESEE EL JUICIO,</w:t>
      </w:r>
      <w:r w:rsidRPr="007B0581">
        <w:rPr>
          <w:rFonts w:cs="Arial"/>
          <w:b/>
          <w:bCs/>
          <w:sz w:val="24"/>
          <w:szCs w:val="24"/>
        </w:rPr>
        <w:t xml:space="preserve"> </w:t>
      </w:r>
      <w:r>
        <w:rPr>
          <w:rFonts w:cs="Arial"/>
          <w:sz w:val="24"/>
          <w:szCs w:val="24"/>
        </w:rPr>
        <w:t>con fundamento en los artículos 161, fracción VI y 162, fracción VI, de la Ley de Procedimiento y Justicia Administrativa para el Estado de Oaxaca.</w:t>
      </w:r>
      <w:r w:rsidRPr="00282C96">
        <w:rPr>
          <w:rFonts w:cs="Arial"/>
          <w:bCs/>
          <w:sz w:val="24"/>
          <w:szCs w:val="24"/>
          <w:lang w:val="es-MX"/>
        </w:rPr>
        <w:t xml:space="preserve"> </w:t>
      </w:r>
    </w:p>
    <w:p w:rsidR="00FD669B" w:rsidRDefault="00FD669B" w:rsidP="00FD669B">
      <w:pPr>
        <w:spacing w:line="360" w:lineRule="auto"/>
        <w:ind w:right="51"/>
        <w:jc w:val="both"/>
        <w:rPr>
          <w:rFonts w:ascii="Arial" w:hAnsi="Arial" w:cs="Arial"/>
          <w:sz w:val="24"/>
          <w:szCs w:val="24"/>
        </w:rPr>
      </w:pPr>
    </w:p>
    <w:p w:rsidR="00FD669B" w:rsidRPr="007B0581" w:rsidRDefault="00FD669B" w:rsidP="00FD669B">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w:t>
      </w:r>
      <w:r w:rsidRPr="007B0581">
        <w:rPr>
          <w:rFonts w:ascii="Arial" w:hAnsi="Arial" w:cs="Arial"/>
          <w:b/>
          <w:sz w:val="24"/>
          <w:szCs w:val="24"/>
        </w:rPr>
        <w:lastRenderedPageBreak/>
        <w:t xml:space="preserve">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FD669B" w:rsidRDefault="00FD669B" w:rsidP="00FD669B">
      <w:pPr>
        <w:spacing w:line="360" w:lineRule="auto"/>
        <w:ind w:firstLine="708"/>
        <w:jc w:val="both"/>
        <w:rPr>
          <w:rFonts w:ascii="Arial" w:eastAsia="Calibri" w:hAnsi="Arial" w:cs="Arial"/>
          <w:color w:val="000000"/>
          <w:sz w:val="24"/>
          <w:szCs w:val="24"/>
          <w:lang w:val="es-MX" w:eastAsia="en-US"/>
        </w:rPr>
      </w:pPr>
    </w:p>
    <w:p w:rsidR="00FD669B" w:rsidRDefault="00FD669B" w:rsidP="00FD669B">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8C715C">
        <w:rPr>
          <w:rFonts w:ascii="Arial" w:hAnsi="Arial" w:cs="Arial"/>
          <w:bCs/>
          <w:sz w:val="24"/>
          <w:szCs w:val="24"/>
        </w:rPr>
        <w:t>1</w:t>
      </w:r>
      <w:r>
        <w:rPr>
          <w:rFonts w:ascii="Arial" w:hAnsi="Arial" w:cs="Arial"/>
          <w:bCs/>
          <w:sz w:val="24"/>
          <w:szCs w:val="24"/>
        </w:rPr>
        <w:t xml:space="preserve">61 fracción VI, y </w:t>
      </w:r>
      <w:r w:rsidRPr="008C715C">
        <w:rPr>
          <w:rFonts w:ascii="Arial" w:hAnsi="Arial" w:cs="Arial"/>
          <w:bCs/>
          <w:sz w:val="24"/>
          <w:szCs w:val="24"/>
        </w:rPr>
        <w:t>1</w:t>
      </w:r>
      <w:r>
        <w:rPr>
          <w:rFonts w:ascii="Arial" w:hAnsi="Arial" w:cs="Arial"/>
          <w:bCs/>
          <w:sz w:val="24"/>
          <w:szCs w:val="24"/>
        </w:rPr>
        <w:t>6</w:t>
      </w:r>
      <w:r w:rsidRPr="008C715C">
        <w:rPr>
          <w:rFonts w:ascii="Arial" w:hAnsi="Arial" w:cs="Arial"/>
          <w:bCs/>
          <w:sz w:val="24"/>
          <w:szCs w:val="24"/>
        </w:rPr>
        <w:t>2, fr</w:t>
      </w:r>
      <w:r>
        <w:rPr>
          <w:rFonts w:ascii="Arial" w:hAnsi="Arial" w:cs="Arial"/>
          <w:bCs/>
          <w:sz w:val="24"/>
          <w:szCs w:val="24"/>
        </w:rPr>
        <w:t>acciones VI</w:t>
      </w:r>
      <w:r w:rsidRPr="005811FF">
        <w:rPr>
          <w:rFonts w:ascii="Arial" w:eastAsia="Calibri" w:hAnsi="Arial" w:cs="Arial"/>
          <w:color w:val="000000"/>
          <w:sz w:val="24"/>
          <w:szCs w:val="24"/>
          <w:lang w:val="es-MX" w:eastAsia="en-US"/>
        </w:rPr>
        <w:t>, de la Ley de Procedimiento y Justicia Administrativa para el Estado</w:t>
      </w:r>
      <w:r w:rsidRPr="007B0581">
        <w:rPr>
          <w:rFonts w:ascii="Arial" w:eastAsia="Calibri" w:hAnsi="Arial" w:cs="Arial"/>
          <w:color w:val="000000"/>
          <w:sz w:val="24"/>
          <w:szCs w:val="24"/>
          <w:lang w:val="es-MX" w:eastAsia="en-US"/>
        </w:rPr>
        <w:t xml:space="preserve"> de Oaxaca, se; </w:t>
      </w:r>
    </w:p>
    <w:p w:rsidR="00FD669B" w:rsidRPr="007B0581" w:rsidRDefault="00FD669B" w:rsidP="00FD669B">
      <w:pPr>
        <w:spacing w:line="360" w:lineRule="auto"/>
        <w:ind w:firstLine="708"/>
        <w:jc w:val="both"/>
        <w:rPr>
          <w:rFonts w:ascii="Arial" w:eastAsia="Calibri" w:hAnsi="Arial" w:cs="Arial"/>
          <w:color w:val="000000"/>
          <w:sz w:val="24"/>
          <w:szCs w:val="24"/>
          <w:lang w:val="es-MX" w:eastAsia="en-US"/>
        </w:rPr>
      </w:pPr>
    </w:p>
    <w:p w:rsidR="00FD669B" w:rsidRDefault="00FD669B" w:rsidP="00FD669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FD669B" w:rsidRDefault="00FD669B" w:rsidP="00FD669B">
      <w:pPr>
        <w:tabs>
          <w:tab w:val="left" w:pos="3786"/>
        </w:tabs>
        <w:spacing w:line="360" w:lineRule="auto"/>
        <w:ind w:firstLine="708"/>
        <w:jc w:val="both"/>
        <w:rPr>
          <w:rFonts w:ascii="Arial" w:hAnsi="Arial" w:cs="Arial"/>
          <w:b/>
          <w:sz w:val="24"/>
          <w:szCs w:val="24"/>
        </w:rPr>
      </w:pPr>
    </w:p>
    <w:p w:rsidR="00FD669B" w:rsidRPr="007B0581" w:rsidRDefault="00FD669B" w:rsidP="00FD669B">
      <w:pPr>
        <w:tabs>
          <w:tab w:val="left" w:pos="3932"/>
        </w:tabs>
        <w:jc w:val="both"/>
        <w:rPr>
          <w:rFonts w:ascii="Arial" w:hAnsi="Arial" w:cs="Arial"/>
          <w:b/>
          <w:sz w:val="24"/>
          <w:szCs w:val="24"/>
        </w:rPr>
      </w:pPr>
      <w:r w:rsidRPr="007B0581">
        <w:rPr>
          <w:rFonts w:ascii="Arial" w:hAnsi="Arial" w:cs="Arial"/>
          <w:b/>
          <w:sz w:val="24"/>
          <w:szCs w:val="24"/>
        </w:rPr>
        <w:tab/>
      </w:r>
    </w:p>
    <w:p w:rsidR="00FD669B" w:rsidRPr="007B0581" w:rsidRDefault="00FD669B" w:rsidP="00FD669B">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FD669B" w:rsidRPr="007B0581" w:rsidRDefault="00FD669B" w:rsidP="00FD669B">
      <w:pPr>
        <w:pStyle w:val="Textoindependiente"/>
        <w:ind w:firstLine="709"/>
        <w:contextualSpacing/>
        <w:jc w:val="both"/>
        <w:rPr>
          <w:rFonts w:ascii="Arial" w:hAnsi="Arial" w:cs="Arial"/>
          <w:b/>
          <w:sz w:val="24"/>
          <w:szCs w:val="24"/>
        </w:rPr>
      </w:pPr>
    </w:p>
    <w:p w:rsidR="00FD669B" w:rsidRPr="007B0581" w:rsidRDefault="00FD669B" w:rsidP="00FD669B">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FD669B" w:rsidRPr="007B0581" w:rsidRDefault="00FD669B" w:rsidP="00FD669B">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FD669B" w:rsidRDefault="00FD669B" w:rsidP="00FD669B">
      <w:pPr>
        <w:spacing w:line="360" w:lineRule="auto"/>
        <w:ind w:right="51" w:firstLine="567"/>
        <w:contextualSpacing/>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EL PRESENTE JUICIO</w:t>
      </w:r>
      <w:r>
        <w:rPr>
          <w:rFonts w:ascii="Arial" w:eastAsia="Calibri" w:hAnsi="Arial" w:cs="Arial"/>
          <w:color w:val="000000"/>
          <w:sz w:val="24"/>
          <w:szCs w:val="24"/>
          <w:lang w:val="es-MX" w:eastAsia="en-US"/>
        </w:rPr>
        <w:t xml:space="preserve">, por los motivos y consideraciones indicados en el considerando </w:t>
      </w:r>
      <w:r w:rsidRPr="00CC4680">
        <w:rPr>
          <w:rFonts w:ascii="Arial" w:eastAsia="Calibri" w:hAnsi="Arial" w:cs="Arial"/>
          <w:b/>
          <w:bCs/>
          <w:color w:val="000000"/>
          <w:sz w:val="24"/>
          <w:szCs w:val="24"/>
          <w:lang w:val="es-MX" w:eastAsia="en-US"/>
        </w:rPr>
        <w:t>TERCERO</w:t>
      </w:r>
      <w:r>
        <w:rPr>
          <w:rFonts w:ascii="Arial" w:eastAsia="Calibri" w:hAnsi="Arial" w:cs="Arial"/>
          <w:color w:val="000000"/>
          <w:sz w:val="24"/>
          <w:szCs w:val="24"/>
          <w:lang w:val="es-MX" w:eastAsia="en-US"/>
        </w:rPr>
        <w:t xml:space="preserve"> de la presente sentencia.</w:t>
      </w:r>
    </w:p>
    <w:p w:rsidR="00FD669B" w:rsidRDefault="00FD669B" w:rsidP="00FD669B">
      <w:pPr>
        <w:spacing w:line="360" w:lineRule="auto"/>
        <w:ind w:right="51" w:firstLine="567"/>
        <w:jc w:val="both"/>
        <w:rPr>
          <w:rFonts w:ascii="Arial" w:hAnsi="Arial" w:cs="Arial"/>
          <w:b/>
          <w:bCs/>
          <w:sz w:val="24"/>
          <w:szCs w:val="24"/>
        </w:rPr>
      </w:pPr>
    </w:p>
    <w:p w:rsidR="00FD669B" w:rsidRDefault="00FD669B" w:rsidP="00FD669B">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FD669B" w:rsidRPr="007B0581" w:rsidRDefault="00FD669B" w:rsidP="00FD669B">
      <w:pPr>
        <w:spacing w:line="360" w:lineRule="auto"/>
        <w:ind w:right="51" w:firstLine="567"/>
        <w:jc w:val="both"/>
        <w:rPr>
          <w:rFonts w:ascii="Arial" w:eastAsia="Calibri" w:hAnsi="Arial" w:cs="Arial"/>
          <w:b/>
          <w:color w:val="000000"/>
          <w:sz w:val="24"/>
          <w:szCs w:val="24"/>
          <w:lang w:val="es-MX" w:eastAsia="en-US"/>
        </w:rPr>
      </w:pPr>
    </w:p>
    <w:p w:rsidR="00FD669B" w:rsidRPr="007B0581" w:rsidRDefault="00FD669B" w:rsidP="00FD669B">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69B" w:rsidRDefault="00FD669B" w:rsidP="00FD669B">
      <w:r>
        <w:separator/>
      </w:r>
    </w:p>
  </w:endnote>
  <w:endnote w:type="continuationSeparator" w:id="0">
    <w:p w:rsidR="00FD669B" w:rsidRDefault="00FD669B" w:rsidP="00FD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692C40">
        <w:pPr>
          <w:pStyle w:val="Piedepgina"/>
          <w:jc w:val="center"/>
        </w:pPr>
        <w:r>
          <w:fldChar w:fldCharType="begin"/>
        </w:r>
        <w:r>
          <w:instrText>PAGE   \* MERGEFORMAT</w:instrText>
        </w:r>
        <w:r>
          <w:fldChar w:fldCharType="separate"/>
        </w:r>
        <w:r>
          <w:rPr>
            <w:noProof/>
          </w:rPr>
          <w:t>6</w:t>
        </w:r>
        <w:r>
          <w:fldChar w:fldCharType="end"/>
        </w:r>
      </w:p>
    </w:sdtContent>
  </w:sdt>
  <w:p w:rsidR="009525A3" w:rsidRDefault="00692C4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69B" w:rsidRDefault="00FD669B">
    <w:pPr>
      <w:pStyle w:val="Piedepgina"/>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6B7A5E4E" wp14:editId="5080B8F1">
              <wp:simplePos x="0" y="0"/>
              <wp:positionH relativeFrom="leftMargin">
                <wp:posOffset>282507</wp:posOffset>
              </wp:positionH>
              <wp:positionV relativeFrom="paragraph">
                <wp:posOffset>-4801235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D669B" w:rsidRDefault="00FD669B" w:rsidP="00FD669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7A5E4E" id="_x0000_t202" coordsize="21600,21600" o:spt="202" path="m,l,21600r21600,l21600,xe">
              <v:stroke joinstyle="miter"/>
              <v:path gradientshapeok="t" o:connecttype="rect"/>
            </v:shapetype>
            <v:shape id="Cuadro de texto 4" o:spid="_x0000_s1027" type="#_x0000_t202" style="position:absolute;margin-left:22.25pt;margin-top:-378.0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">
              <v:textbox>
                <w:txbxContent>
                  <w:p w:rsidR="00FD669B" w:rsidRDefault="00FD669B" w:rsidP="00FD669B">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69B" w:rsidRDefault="00FD669B" w:rsidP="00FD669B">
      <w:r>
        <w:separator/>
      </w:r>
    </w:p>
  </w:footnote>
  <w:footnote w:type="continuationSeparator" w:id="0">
    <w:p w:rsidR="00FD669B" w:rsidRDefault="00FD669B" w:rsidP="00FD66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FD669B"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6A6E5547" wp14:editId="25CA6321">
              <wp:simplePos x="0" y="0"/>
              <wp:positionH relativeFrom="leftMargin">
                <wp:posOffset>253406</wp:posOffset>
              </wp:positionH>
              <wp:positionV relativeFrom="paragraph">
                <wp:posOffset>4451714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D669B" w:rsidRDefault="00FD669B" w:rsidP="00FD669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6E5547" id="_x0000_t202" coordsize="21600,21600" o:spt="202" path="m,l,21600r21600,l21600,xe">
              <v:stroke joinstyle="miter"/>
              <v:path gradientshapeok="t" o:connecttype="rect"/>
            </v:shapetype>
            <v:shape id="Cuadro de texto 5" o:spid="_x0000_s1026" type="#_x0000_t202" style="position:absolute;left:0;text-align:left;margin-left:19.95pt;margin-top:350.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">
              <v:textbox>
                <w:txbxContent>
                  <w:p w:rsidR="00FD669B" w:rsidRDefault="00FD669B" w:rsidP="00FD669B">
                    <w:pPr>
                      <w:jc w:val="center"/>
                    </w:pPr>
                    <w:r>
                      <w:t>DATOS PERSONALES PROTEGIDOS POR EL ART.- 116 DE LA LGTAIP Y EL ART.- 61 DE LA LTAIPEO</w:t>
                    </w:r>
                  </w:p>
                </w:txbxContent>
              </v:textbox>
              <w10:wrap anchorx="margin"/>
            </v:shape>
          </w:pict>
        </mc:Fallback>
      </mc:AlternateContent>
    </w:r>
    <w:r w:rsidR="00692C40" w:rsidRPr="00A73AD7">
      <w:rPr>
        <w:rFonts w:ascii="Arial" w:hAnsi="Arial" w:cs="Arial"/>
        <w:noProof/>
        <w:sz w:val="18"/>
        <w:szCs w:val="18"/>
        <w:lang w:val="es-MX"/>
      </w:rPr>
      <w:drawing>
        <wp:anchor distT="0" distB="0" distL="114300" distR="114300" simplePos="0" relativeHeight="251659264" behindDoc="1" locked="0" layoutInCell="1" allowOverlap="1" wp14:anchorId="31C7F025" wp14:editId="5E54798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2C40">
      <w:rPr>
        <w:rFonts w:ascii="Arial" w:hAnsi="Arial" w:cs="Arial"/>
      </w:rPr>
      <w:t>00</w:t>
    </w:r>
    <w:r w:rsidR="00692C40">
      <w:rPr>
        <w:rFonts w:ascii="Arial" w:hAnsi="Arial" w:cs="Arial"/>
      </w:rPr>
      <w:t>1</w:t>
    </w:r>
    <w:r w:rsidR="00692C40">
      <w:rPr>
        <w:rFonts w:ascii="Arial" w:hAnsi="Arial" w:cs="Arial"/>
      </w:rPr>
      <w:t>1</w:t>
    </w:r>
    <w:r w:rsidR="00692C40" w:rsidRPr="00A73AD7">
      <w:rPr>
        <w:rFonts w:ascii="Arial" w:hAnsi="Arial" w:cs="Arial"/>
      </w:rPr>
      <w:t>/20</w:t>
    </w:r>
    <w:r w:rsidR="00692C40">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692C40">
    <w:pPr>
      <w:pStyle w:val="Encabezado"/>
    </w:pPr>
    <w:r>
      <w:rPr>
        <w:noProof/>
        <w:lang w:val="es-MX"/>
      </w:rPr>
      <w:drawing>
        <wp:anchor distT="0" distB="0" distL="114300" distR="114300" simplePos="0" relativeHeight="251661312" behindDoc="1" locked="0" layoutInCell="1" allowOverlap="1" wp14:anchorId="5BEB9F40" wp14:editId="794948C4">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B798456" wp14:editId="4FD697E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69B"/>
    <w:rsid w:val="00294EC6"/>
    <w:rsid w:val="004B1DB0"/>
    <w:rsid w:val="005223BF"/>
    <w:rsid w:val="00685BC3"/>
    <w:rsid w:val="00692C40"/>
    <w:rsid w:val="00AC77AC"/>
    <w:rsid w:val="00FD66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D79BD6-791A-4DBA-9876-915E232FB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69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FD669B"/>
    <w:pPr>
      <w:spacing w:after="120"/>
    </w:pPr>
    <w:rPr>
      <w:lang w:val="x-none"/>
    </w:rPr>
  </w:style>
  <w:style w:type="character" w:customStyle="1" w:styleId="TextoindependienteCar">
    <w:name w:val="Texto independiente Car"/>
    <w:basedOn w:val="Fuentedeprrafopredeter"/>
    <w:link w:val="Textoindependiente"/>
    <w:uiPriority w:val="99"/>
    <w:rsid w:val="00FD669B"/>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FD669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FD669B"/>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FD669B"/>
    <w:pPr>
      <w:tabs>
        <w:tab w:val="center" w:pos="4419"/>
        <w:tab w:val="right" w:pos="8838"/>
      </w:tabs>
    </w:pPr>
  </w:style>
  <w:style w:type="character" w:customStyle="1" w:styleId="EncabezadoCar">
    <w:name w:val="Encabezado Car"/>
    <w:basedOn w:val="Fuentedeprrafopredeter"/>
    <w:link w:val="Encabezado"/>
    <w:uiPriority w:val="99"/>
    <w:rsid w:val="00FD669B"/>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FD669B"/>
    <w:pPr>
      <w:tabs>
        <w:tab w:val="center" w:pos="4419"/>
        <w:tab w:val="right" w:pos="8838"/>
      </w:tabs>
    </w:pPr>
  </w:style>
  <w:style w:type="character" w:customStyle="1" w:styleId="PiedepginaCar">
    <w:name w:val="Pie de página Car"/>
    <w:basedOn w:val="Fuentedeprrafopredeter"/>
    <w:link w:val="Piedepgina"/>
    <w:uiPriority w:val="99"/>
    <w:rsid w:val="00FD669B"/>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A7"/>
    <w:rsid w:val="001669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97D8734ACC147129F59602AB3AB0928">
    <w:name w:val="697D8734ACC147129F59602AB3AB0928"/>
    <w:rsid w:val="001669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2005</Words>
  <Characters>11029</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2023-04-12T20:57:00Z</dcterms:created>
  <dcterms:modified xsi:type="dcterms:W3CDTF">2023-04-12T21:10:00Z</dcterms:modified>
</cp:coreProperties>
</file>