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EF9878" w14:textId="77777777" w:rsidR="003373AA" w:rsidRDefault="003373AA" w:rsidP="003F1307">
      <w:pPr>
        <w:numPr>
          <w:ilvl w:val="1"/>
          <w:numId w:val="0"/>
        </w:numPr>
        <w:spacing w:after="160" w:line="259" w:lineRule="auto"/>
        <w:rPr>
          <w:rFonts w:ascii="Arial" w:eastAsia="Times New Roman" w:hAnsi="Arial" w:cs="Arial"/>
          <w:b/>
          <w:bCs/>
          <w:color w:val="000000"/>
          <w:spacing w:val="15"/>
          <w:sz w:val="24"/>
          <w:szCs w:val="24"/>
          <w:lang w:eastAsia="en-US"/>
        </w:rPr>
      </w:pPr>
    </w:p>
    <w:p w14:paraId="2E3F1253" w14:textId="77777777" w:rsidR="0057264A" w:rsidRDefault="0057264A" w:rsidP="0051494B">
      <w:pPr>
        <w:numPr>
          <w:ilvl w:val="1"/>
          <w:numId w:val="0"/>
        </w:numPr>
        <w:spacing w:after="160" w:line="259" w:lineRule="auto"/>
        <w:jc w:val="center"/>
        <w:rPr>
          <w:rFonts w:ascii="Arial" w:eastAsia="Times New Roman" w:hAnsi="Arial" w:cs="Arial"/>
          <w:b/>
          <w:bCs/>
          <w:color w:val="000000"/>
          <w:spacing w:val="15"/>
          <w:sz w:val="24"/>
          <w:szCs w:val="24"/>
          <w:lang w:eastAsia="en-US"/>
        </w:rPr>
      </w:pPr>
    </w:p>
    <w:p w14:paraId="3FCEF483" w14:textId="77777777" w:rsidR="0051494B" w:rsidRPr="0051494B" w:rsidRDefault="0051494B" w:rsidP="0051494B">
      <w:pPr>
        <w:numPr>
          <w:ilvl w:val="1"/>
          <w:numId w:val="0"/>
        </w:numPr>
        <w:spacing w:after="160" w:line="259" w:lineRule="auto"/>
        <w:jc w:val="center"/>
        <w:rPr>
          <w:rFonts w:ascii="Arial" w:eastAsia="Times New Roman" w:hAnsi="Arial" w:cs="Arial"/>
          <w:b/>
          <w:bCs/>
          <w:color w:val="000000"/>
          <w:spacing w:val="15"/>
          <w:sz w:val="24"/>
          <w:szCs w:val="24"/>
          <w:lang w:eastAsia="en-US"/>
        </w:rPr>
      </w:pPr>
      <w:r w:rsidRPr="0051494B">
        <w:rPr>
          <w:rFonts w:ascii="Arial" w:eastAsia="Times New Roman" w:hAnsi="Arial" w:cs="Arial"/>
          <w:b/>
          <w:bCs/>
          <w:color w:val="000000"/>
          <w:spacing w:val="15"/>
          <w:sz w:val="24"/>
          <w:szCs w:val="24"/>
          <w:lang w:eastAsia="en-US"/>
        </w:rPr>
        <w:t>PRIMERA SALA UNITARIA DE PRIMERA INSTANCIA DEL TRIBUNAL DE JUSTICIA ADMINISTRATIVA DEL ESTADO DE OAXACA.</w:t>
      </w:r>
    </w:p>
    <w:p w14:paraId="01872CC5" w14:textId="77777777" w:rsidR="0051494B" w:rsidRPr="0051494B" w:rsidRDefault="0051494B" w:rsidP="0051494B">
      <w:pPr>
        <w:tabs>
          <w:tab w:val="left" w:pos="6480"/>
        </w:tabs>
        <w:spacing w:after="160" w:line="259" w:lineRule="auto"/>
        <w:jc w:val="right"/>
        <w:rPr>
          <w:rFonts w:ascii="Calibri" w:eastAsia="Calibri" w:hAnsi="Calibri" w:cs="Times New Roman"/>
          <w:lang w:eastAsia="en-US"/>
        </w:rPr>
      </w:pPr>
    </w:p>
    <w:p w14:paraId="39CD399D" w14:textId="0178697A" w:rsidR="0051494B" w:rsidRPr="0051494B" w:rsidRDefault="0051494B" w:rsidP="0051494B">
      <w:pPr>
        <w:spacing w:after="160" w:line="259" w:lineRule="auto"/>
        <w:rPr>
          <w:rFonts w:ascii="Arial" w:eastAsia="Calibri" w:hAnsi="Arial" w:cs="Arial"/>
          <w:b/>
          <w:bCs/>
          <w:sz w:val="24"/>
          <w:szCs w:val="24"/>
          <w:lang w:eastAsia="en-US"/>
        </w:rPr>
      </w:pPr>
      <w:r w:rsidRPr="0051494B">
        <w:rPr>
          <w:rFonts w:ascii="Arial" w:eastAsia="Calibri" w:hAnsi="Arial" w:cs="Arial"/>
          <w:b/>
          <w:bCs/>
          <w:sz w:val="24"/>
          <w:szCs w:val="24"/>
          <w:lang w:eastAsia="en-US"/>
        </w:rPr>
        <w:t xml:space="preserve">Oaxaca de Juárez, Oaxaca, </w:t>
      </w:r>
      <w:r w:rsidR="001470FA">
        <w:rPr>
          <w:rFonts w:ascii="Arial" w:eastAsia="Calibri" w:hAnsi="Arial" w:cs="Arial"/>
          <w:b/>
          <w:bCs/>
          <w:sz w:val="24"/>
          <w:szCs w:val="24"/>
          <w:lang w:eastAsia="en-US"/>
        </w:rPr>
        <w:t>19</w:t>
      </w:r>
      <w:r w:rsidRPr="0051494B">
        <w:rPr>
          <w:rFonts w:ascii="Arial" w:eastAsia="Calibri" w:hAnsi="Arial" w:cs="Arial"/>
          <w:b/>
          <w:bCs/>
          <w:sz w:val="24"/>
          <w:szCs w:val="24"/>
          <w:lang w:eastAsia="en-US"/>
        </w:rPr>
        <w:t xml:space="preserve"> de </w:t>
      </w:r>
      <w:r w:rsidR="001470FA">
        <w:rPr>
          <w:rFonts w:ascii="Arial" w:eastAsia="Calibri" w:hAnsi="Arial" w:cs="Arial"/>
          <w:b/>
          <w:bCs/>
          <w:sz w:val="24"/>
          <w:szCs w:val="24"/>
          <w:lang w:eastAsia="en-US"/>
        </w:rPr>
        <w:t>agosto</w:t>
      </w:r>
      <w:r w:rsidRPr="0051494B">
        <w:rPr>
          <w:rFonts w:ascii="Arial" w:eastAsia="Calibri" w:hAnsi="Arial" w:cs="Arial"/>
          <w:b/>
          <w:bCs/>
          <w:sz w:val="24"/>
          <w:szCs w:val="24"/>
          <w:lang w:eastAsia="en-US"/>
        </w:rPr>
        <w:t xml:space="preserve"> 2022.</w:t>
      </w:r>
    </w:p>
    <w:p w14:paraId="112810C9" w14:textId="77777777" w:rsidR="0051494B" w:rsidRPr="0051494B" w:rsidRDefault="0051494B" w:rsidP="0051494B">
      <w:pPr>
        <w:tabs>
          <w:tab w:val="left" w:pos="6480"/>
        </w:tabs>
        <w:spacing w:after="160" w:line="259" w:lineRule="auto"/>
        <w:rPr>
          <w:rFonts w:ascii="Calibri" w:eastAsia="Calibri" w:hAnsi="Calibri" w:cs="Times New Roman"/>
          <w:lang w:eastAsia="en-US"/>
        </w:rPr>
      </w:pPr>
    </w:p>
    <w:p w14:paraId="4918984E" w14:textId="77777777" w:rsidR="0051494B" w:rsidRPr="0051494B" w:rsidRDefault="0051494B" w:rsidP="0051494B">
      <w:pPr>
        <w:tabs>
          <w:tab w:val="left" w:pos="6480"/>
        </w:tabs>
        <w:spacing w:after="160" w:line="259" w:lineRule="auto"/>
        <w:jc w:val="center"/>
        <w:rPr>
          <w:rFonts w:ascii="Arial" w:eastAsia="Calibri" w:hAnsi="Arial" w:cs="Arial"/>
          <w:b/>
          <w:bCs/>
          <w:sz w:val="24"/>
          <w:szCs w:val="24"/>
          <w:lang w:eastAsia="en-US"/>
        </w:rPr>
      </w:pPr>
      <w:r w:rsidRPr="0051494B">
        <w:rPr>
          <w:rFonts w:ascii="Arial" w:eastAsia="Calibri" w:hAnsi="Arial" w:cs="Arial"/>
          <w:b/>
          <w:bCs/>
          <w:sz w:val="24"/>
          <w:szCs w:val="24"/>
          <w:lang w:eastAsia="en-US"/>
        </w:rPr>
        <w:t>A S U N T O</w:t>
      </w:r>
    </w:p>
    <w:p w14:paraId="4F97C565" w14:textId="77777777" w:rsidR="0051494B" w:rsidRPr="0051494B" w:rsidRDefault="0051494B" w:rsidP="0051494B">
      <w:pPr>
        <w:tabs>
          <w:tab w:val="left" w:pos="6480"/>
        </w:tabs>
        <w:spacing w:after="160" w:line="259" w:lineRule="auto"/>
        <w:jc w:val="center"/>
        <w:rPr>
          <w:rFonts w:ascii="Arial" w:eastAsia="Calibri" w:hAnsi="Arial" w:cs="Arial"/>
          <w:b/>
          <w:bCs/>
          <w:sz w:val="24"/>
          <w:szCs w:val="24"/>
          <w:lang w:eastAsia="en-US"/>
        </w:rPr>
      </w:pPr>
    </w:p>
    <w:p w14:paraId="0C7CA476" w14:textId="1FD06F52" w:rsidR="0051494B" w:rsidRPr="0051494B" w:rsidRDefault="0051494B" w:rsidP="0051494B">
      <w:pPr>
        <w:tabs>
          <w:tab w:val="left" w:pos="6480"/>
        </w:tabs>
        <w:spacing w:after="16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 xml:space="preserve">Se emite sentencia en el juicio </w:t>
      </w:r>
      <w:r w:rsidRPr="0051494B">
        <w:rPr>
          <w:rFonts w:ascii="Arial" w:eastAsia="Calibri" w:hAnsi="Arial" w:cs="Arial"/>
          <w:b/>
          <w:bCs/>
          <w:sz w:val="24"/>
          <w:szCs w:val="24"/>
          <w:lang w:eastAsia="en-US"/>
        </w:rPr>
        <w:t>0</w:t>
      </w:r>
      <w:r w:rsidR="001470FA">
        <w:rPr>
          <w:rFonts w:ascii="Arial" w:eastAsia="Calibri" w:hAnsi="Arial" w:cs="Arial"/>
          <w:b/>
          <w:bCs/>
          <w:sz w:val="24"/>
          <w:szCs w:val="24"/>
          <w:lang w:eastAsia="en-US"/>
        </w:rPr>
        <w:t>110/2020</w:t>
      </w:r>
      <w:r w:rsidRPr="0051494B">
        <w:rPr>
          <w:rFonts w:ascii="Arial" w:eastAsia="Calibri" w:hAnsi="Arial" w:cs="Arial"/>
          <w:sz w:val="24"/>
          <w:szCs w:val="24"/>
          <w:lang w:eastAsia="en-US"/>
        </w:rPr>
        <w:t xml:space="preserve">, con motivo de la demanda interpuesta por </w:t>
      </w:r>
      <w:r w:rsidR="00FF021A">
        <w:rPr>
          <w:rFonts w:ascii="Arial" w:eastAsia="Calibri" w:hAnsi="Arial" w:cs="Arial"/>
          <w:b/>
          <w:bCs/>
          <w:sz w:val="24"/>
          <w:szCs w:val="24"/>
          <w:lang w:eastAsia="en-US"/>
        </w:rPr>
        <w:t>**********</w:t>
      </w:r>
      <w:r w:rsidRPr="0051494B">
        <w:rPr>
          <w:rFonts w:ascii="Arial" w:eastAsia="Calibri" w:hAnsi="Arial" w:cs="Arial"/>
          <w:b/>
          <w:bCs/>
          <w:sz w:val="24"/>
          <w:szCs w:val="24"/>
          <w:lang w:eastAsia="en-US"/>
        </w:rPr>
        <w:t xml:space="preserve"> </w:t>
      </w:r>
      <w:r w:rsidRPr="0051494B">
        <w:rPr>
          <w:rFonts w:ascii="Arial" w:eastAsia="Calibri" w:hAnsi="Arial" w:cs="Arial"/>
          <w:sz w:val="24"/>
          <w:szCs w:val="24"/>
          <w:lang w:eastAsia="en-US"/>
        </w:rPr>
        <w:t xml:space="preserve">en contra del </w:t>
      </w:r>
      <w:r w:rsidR="001470FA">
        <w:rPr>
          <w:rFonts w:ascii="Arial" w:eastAsia="Calibri" w:hAnsi="Arial" w:cs="Arial"/>
          <w:b/>
          <w:bCs/>
          <w:sz w:val="24"/>
          <w:szCs w:val="24"/>
          <w:lang w:eastAsia="en-US"/>
        </w:rPr>
        <w:t>Director General de la Oficina de Pensiones del E</w:t>
      </w:r>
      <w:r w:rsidR="007E6F74">
        <w:rPr>
          <w:rFonts w:ascii="Arial" w:eastAsia="Calibri" w:hAnsi="Arial" w:cs="Arial"/>
          <w:b/>
          <w:bCs/>
          <w:sz w:val="24"/>
          <w:szCs w:val="24"/>
          <w:lang w:eastAsia="en-US"/>
        </w:rPr>
        <w:t>stado de Oaxaca</w:t>
      </w:r>
      <w:r w:rsidRPr="0051494B">
        <w:rPr>
          <w:rFonts w:ascii="Arial" w:eastAsia="Calibri" w:hAnsi="Arial" w:cs="Arial"/>
          <w:b/>
          <w:bCs/>
          <w:sz w:val="24"/>
          <w:szCs w:val="24"/>
          <w:lang w:eastAsia="en-US"/>
        </w:rPr>
        <w:t>.</w:t>
      </w:r>
    </w:p>
    <w:p w14:paraId="24BE0482" w14:textId="77777777" w:rsidR="0051494B" w:rsidRPr="0051494B" w:rsidRDefault="0051494B" w:rsidP="0051494B">
      <w:pPr>
        <w:spacing w:after="160" w:line="360" w:lineRule="auto"/>
        <w:rPr>
          <w:rFonts w:ascii="Calibri" w:eastAsia="Calibri" w:hAnsi="Calibri" w:cs="Times New Roman"/>
          <w:lang w:eastAsia="en-US"/>
        </w:rPr>
      </w:pPr>
    </w:p>
    <w:p w14:paraId="28BFA733" w14:textId="77777777" w:rsidR="0051494B" w:rsidRPr="0051494B" w:rsidRDefault="0051494B" w:rsidP="0051494B">
      <w:pPr>
        <w:spacing w:after="160" w:line="259" w:lineRule="auto"/>
        <w:jc w:val="center"/>
        <w:rPr>
          <w:rFonts w:ascii="Arial" w:eastAsia="Calibri" w:hAnsi="Arial" w:cs="Arial"/>
          <w:b/>
          <w:bCs/>
          <w:sz w:val="24"/>
          <w:szCs w:val="24"/>
          <w:lang w:eastAsia="en-US"/>
        </w:rPr>
      </w:pPr>
      <w:r w:rsidRPr="0051494B">
        <w:rPr>
          <w:rFonts w:ascii="Arial" w:eastAsia="Calibri" w:hAnsi="Arial" w:cs="Arial"/>
          <w:b/>
          <w:bCs/>
          <w:sz w:val="24"/>
          <w:szCs w:val="24"/>
          <w:lang w:eastAsia="en-US"/>
        </w:rPr>
        <w:t xml:space="preserve">R E S U L T A N D O </w:t>
      </w:r>
    </w:p>
    <w:p w14:paraId="5B7E1D4D" w14:textId="77777777" w:rsidR="0051494B" w:rsidRPr="0051494B" w:rsidRDefault="0051494B" w:rsidP="0051494B">
      <w:pPr>
        <w:spacing w:after="160" w:line="259" w:lineRule="auto"/>
        <w:jc w:val="center"/>
        <w:rPr>
          <w:rFonts w:ascii="Arial" w:eastAsia="Calibri" w:hAnsi="Arial" w:cs="Arial"/>
          <w:b/>
          <w:bCs/>
          <w:sz w:val="24"/>
          <w:szCs w:val="24"/>
          <w:lang w:eastAsia="en-US"/>
        </w:rPr>
      </w:pPr>
    </w:p>
    <w:p w14:paraId="103701A5" w14:textId="2272FD3A" w:rsidR="0051494B" w:rsidRPr="0051494B" w:rsidRDefault="0051494B" w:rsidP="0051494B">
      <w:pPr>
        <w:spacing w:after="160" w:line="360" w:lineRule="auto"/>
        <w:ind w:firstLine="567"/>
        <w:jc w:val="both"/>
        <w:rPr>
          <w:rFonts w:ascii="Arial" w:eastAsia="Calibri" w:hAnsi="Arial" w:cs="Arial"/>
          <w:sz w:val="24"/>
          <w:szCs w:val="24"/>
          <w:lang w:eastAsia="en-US"/>
        </w:rPr>
      </w:pPr>
      <w:r w:rsidRPr="0051494B">
        <w:rPr>
          <w:rFonts w:ascii="Arial" w:eastAsia="Calibri" w:hAnsi="Arial" w:cs="Arial"/>
          <w:b/>
          <w:bCs/>
          <w:sz w:val="24"/>
          <w:szCs w:val="24"/>
          <w:lang w:eastAsia="en-US"/>
        </w:rPr>
        <w:t>1°.</w:t>
      </w:r>
      <w:r w:rsidRPr="0051494B">
        <w:rPr>
          <w:rFonts w:ascii="Arial" w:eastAsia="Calibri" w:hAnsi="Arial" w:cs="Arial"/>
          <w:sz w:val="24"/>
          <w:szCs w:val="24"/>
          <w:lang w:eastAsia="en-US"/>
        </w:rPr>
        <w:t xml:space="preserve"> Mediante escrito presentado el </w:t>
      </w:r>
      <w:r w:rsidR="007E6F74">
        <w:rPr>
          <w:rFonts w:ascii="Arial" w:eastAsia="Calibri" w:hAnsi="Arial" w:cs="Arial"/>
          <w:sz w:val="24"/>
          <w:szCs w:val="24"/>
          <w:lang w:eastAsia="en-US"/>
        </w:rPr>
        <w:t>veintinueve de agosto de dos mil diecinueve</w:t>
      </w:r>
      <w:r w:rsidRPr="0051494B">
        <w:rPr>
          <w:rFonts w:ascii="Arial" w:eastAsia="Calibri" w:hAnsi="Arial" w:cs="Arial"/>
          <w:sz w:val="24"/>
          <w:szCs w:val="24"/>
          <w:lang w:eastAsia="en-US"/>
        </w:rPr>
        <w:t xml:space="preserve">, ante la oficialía de partes común de este Tribunal, </w:t>
      </w:r>
      <w:r w:rsidR="00FF021A">
        <w:rPr>
          <w:rFonts w:ascii="Arial" w:eastAsia="Calibri" w:hAnsi="Arial" w:cs="Arial"/>
          <w:sz w:val="24"/>
          <w:szCs w:val="24"/>
          <w:lang w:eastAsia="en-US"/>
        </w:rPr>
        <w:t>**********</w:t>
      </w:r>
      <w:r w:rsidRPr="0051494B">
        <w:rPr>
          <w:rFonts w:ascii="Arial" w:eastAsia="Calibri" w:hAnsi="Arial" w:cs="Arial"/>
          <w:sz w:val="24"/>
          <w:szCs w:val="24"/>
          <w:lang w:eastAsia="en-US"/>
        </w:rPr>
        <w:t xml:space="preserve">, demandó del </w:t>
      </w:r>
      <w:r w:rsidR="003B6865">
        <w:rPr>
          <w:rFonts w:ascii="Arial" w:eastAsia="Calibri" w:hAnsi="Arial" w:cs="Arial"/>
          <w:sz w:val="24"/>
          <w:szCs w:val="24"/>
          <w:lang w:eastAsia="en-US"/>
        </w:rPr>
        <w:t>Director General de la Oficina de Pensiones del Estado de Oaxaca</w:t>
      </w:r>
      <w:r w:rsidRPr="0051494B">
        <w:rPr>
          <w:rFonts w:ascii="Arial" w:eastAsia="Calibri" w:hAnsi="Arial" w:cs="Arial"/>
          <w:sz w:val="24"/>
          <w:szCs w:val="24"/>
          <w:lang w:eastAsia="en-US"/>
        </w:rPr>
        <w:t>, la nulidad de</w:t>
      </w:r>
      <w:r w:rsidR="003B6865">
        <w:rPr>
          <w:rFonts w:ascii="Arial" w:eastAsia="Calibri" w:hAnsi="Arial" w:cs="Arial"/>
          <w:sz w:val="24"/>
          <w:szCs w:val="24"/>
          <w:lang w:eastAsia="en-US"/>
        </w:rPr>
        <w:t>l</w:t>
      </w:r>
      <w:r w:rsidRPr="0051494B">
        <w:rPr>
          <w:rFonts w:ascii="Arial" w:eastAsia="Calibri" w:hAnsi="Arial" w:cs="Arial"/>
          <w:sz w:val="24"/>
          <w:szCs w:val="24"/>
          <w:lang w:eastAsia="en-US"/>
        </w:rPr>
        <w:t xml:space="preserve"> </w:t>
      </w:r>
      <w:r w:rsidR="003B6865">
        <w:rPr>
          <w:rFonts w:ascii="Arial" w:eastAsia="Calibri" w:hAnsi="Arial" w:cs="Arial"/>
          <w:sz w:val="24"/>
          <w:szCs w:val="24"/>
          <w:lang w:eastAsia="en-US"/>
        </w:rPr>
        <w:t xml:space="preserve">oficio </w:t>
      </w:r>
      <w:r w:rsidR="00FF021A">
        <w:rPr>
          <w:rFonts w:ascii="Arial" w:eastAsia="Calibri" w:hAnsi="Arial" w:cs="Arial"/>
          <w:sz w:val="24"/>
          <w:szCs w:val="24"/>
          <w:lang w:eastAsia="en-US"/>
        </w:rPr>
        <w:t>**********</w:t>
      </w:r>
      <w:r w:rsidRPr="0051494B">
        <w:rPr>
          <w:rFonts w:ascii="Arial" w:eastAsia="Calibri" w:hAnsi="Arial" w:cs="Arial"/>
          <w:sz w:val="24"/>
          <w:szCs w:val="24"/>
          <w:lang w:eastAsia="en-US"/>
        </w:rPr>
        <w:t xml:space="preserve">, de fecha </w:t>
      </w:r>
      <w:r w:rsidR="003B6865">
        <w:rPr>
          <w:rFonts w:ascii="Arial" w:eastAsia="Calibri" w:hAnsi="Arial" w:cs="Arial"/>
          <w:sz w:val="24"/>
          <w:szCs w:val="24"/>
          <w:lang w:eastAsia="en-US"/>
        </w:rPr>
        <w:t>diecinueve de agosto del dos mil diecinueve</w:t>
      </w:r>
      <w:r w:rsidRPr="0051494B">
        <w:rPr>
          <w:rFonts w:ascii="Arial" w:eastAsia="Calibri" w:hAnsi="Arial" w:cs="Arial"/>
          <w:sz w:val="24"/>
          <w:szCs w:val="24"/>
          <w:lang w:eastAsia="en-US"/>
        </w:rPr>
        <w:t>; demanda que por razón de turno tocó conocer a esta Primera Sala Unitaria de Primera Instancia del Tribunal de Justicia Administrativa del Estado.</w:t>
      </w:r>
    </w:p>
    <w:p w14:paraId="2946D549" w14:textId="01FBB46A" w:rsidR="0051494B" w:rsidRPr="0051494B" w:rsidRDefault="0051494B" w:rsidP="0051494B">
      <w:pPr>
        <w:spacing w:after="160" w:line="360" w:lineRule="auto"/>
        <w:ind w:firstLine="567"/>
        <w:jc w:val="both"/>
        <w:rPr>
          <w:rFonts w:ascii="Arial" w:eastAsia="Calibri" w:hAnsi="Arial" w:cs="Arial"/>
          <w:sz w:val="24"/>
          <w:szCs w:val="24"/>
          <w:lang w:eastAsia="en-US"/>
        </w:rPr>
      </w:pPr>
      <w:r w:rsidRPr="0051494B">
        <w:rPr>
          <w:rFonts w:ascii="Arial" w:eastAsia="Calibri" w:hAnsi="Arial" w:cs="Arial"/>
          <w:b/>
          <w:bCs/>
          <w:sz w:val="24"/>
          <w:szCs w:val="24"/>
          <w:lang w:eastAsia="en-US"/>
        </w:rPr>
        <w:t>2°.</w:t>
      </w:r>
      <w:r w:rsidRPr="0051494B">
        <w:rPr>
          <w:rFonts w:ascii="Arial" w:eastAsia="Calibri" w:hAnsi="Arial" w:cs="Arial"/>
          <w:sz w:val="24"/>
          <w:szCs w:val="24"/>
          <w:lang w:eastAsia="en-US"/>
        </w:rPr>
        <w:t xml:space="preserve"> Por acuerdo del </w:t>
      </w:r>
      <w:r w:rsidR="003B6865">
        <w:rPr>
          <w:rFonts w:ascii="Arial" w:eastAsia="Calibri" w:hAnsi="Arial" w:cs="Arial"/>
          <w:sz w:val="24"/>
          <w:szCs w:val="24"/>
          <w:lang w:eastAsia="en-US"/>
        </w:rPr>
        <w:t xml:space="preserve">seis de </w:t>
      </w:r>
      <w:r w:rsidRPr="0051494B">
        <w:rPr>
          <w:rFonts w:ascii="Arial" w:eastAsia="Calibri" w:hAnsi="Arial" w:cs="Arial"/>
          <w:sz w:val="24"/>
          <w:szCs w:val="24"/>
          <w:lang w:eastAsia="en-US"/>
        </w:rPr>
        <w:t xml:space="preserve"> </w:t>
      </w:r>
      <w:r w:rsidR="003B6865">
        <w:rPr>
          <w:rFonts w:ascii="Arial" w:eastAsia="Calibri" w:hAnsi="Arial" w:cs="Arial"/>
          <w:sz w:val="24"/>
          <w:szCs w:val="24"/>
          <w:lang w:eastAsia="en-US"/>
        </w:rPr>
        <w:t>septiembre de dos mil diecinueve</w:t>
      </w:r>
      <w:r w:rsidRPr="0051494B">
        <w:rPr>
          <w:rFonts w:ascii="Arial" w:eastAsia="Calibri" w:hAnsi="Arial" w:cs="Arial"/>
          <w:sz w:val="24"/>
          <w:szCs w:val="24"/>
          <w:lang w:eastAsia="en-US"/>
        </w:rPr>
        <w:t>, se admitió a trámite  la demanda de referencia, y ordenó correrle traslado a la autoridad enjuiciada para que diera contestación  a la misma dentro del término de nueve días hábiles siguientes a aquel en que surtiera efectos la notificación correspondiente, con el apercibimiento de que en caso de no hacerlo este Tribunal lo tendría por contestando en sentido afirmativo  y también que en  caso de no referirse a todos los hechos planteados en la demanda se le tendría por ciertos, salvo prueba en contrario; en otro aspecto y de las pruebas ofrecidas se  tuvieron por admitidas las señaladas en el acuerdo mencionado.</w:t>
      </w:r>
    </w:p>
    <w:p w14:paraId="1D7109CB" w14:textId="615F4869" w:rsidR="0051494B" w:rsidRPr="0051494B" w:rsidRDefault="0051494B" w:rsidP="0051494B">
      <w:pPr>
        <w:spacing w:after="160" w:line="360" w:lineRule="auto"/>
        <w:ind w:firstLine="567"/>
        <w:jc w:val="both"/>
        <w:rPr>
          <w:rFonts w:ascii="Arial" w:eastAsia="Calibri" w:hAnsi="Arial" w:cs="Arial"/>
          <w:sz w:val="24"/>
          <w:szCs w:val="24"/>
          <w:lang w:eastAsia="en-US"/>
        </w:rPr>
      </w:pPr>
      <w:r w:rsidRPr="0051494B">
        <w:rPr>
          <w:rFonts w:ascii="Arial" w:eastAsia="Calibri" w:hAnsi="Arial" w:cs="Arial"/>
          <w:b/>
          <w:bCs/>
          <w:sz w:val="24"/>
          <w:szCs w:val="24"/>
          <w:lang w:eastAsia="en-US"/>
        </w:rPr>
        <w:t>3°.</w:t>
      </w:r>
      <w:r w:rsidRPr="0051494B">
        <w:rPr>
          <w:rFonts w:ascii="Arial" w:eastAsia="Calibri" w:hAnsi="Arial" w:cs="Arial"/>
          <w:sz w:val="24"/>
          <w:szCs w:val="24"/>
          <w:lang w:eastAsia="en-US"/>
        </w:rPr>
        <w:t xml:space="preserve"> Por acuerdo de </w:t>
      </w:r>
      <w:r w:rsidR="003B6865">
        <w:rPr>
          <w:rFonts w:ascii="Arial" w:eastAsia="Calibri" w:hAnsi="Arial" w:cs="Arial"/>
          <w:sz w:val="24"/>
          <w:szCs w:val="24"/>
          <w:lang w:eastAsia="en-US"/>
        </w:rPr>
        <w:t>cinco de noviembre de dos mil diecinueve</w:t>
      </w:r>
      <w:r w:rsidRPr="0051494B">
        <w:rPr>
          <w:rFonts w:ascii="Arial" w:eastAsia="Calibri" w:hAnsi="Arial" w:cs="Arial"/>
          <w:sz w:val="24"/>
          <w:szCs w:val="24"/>
          <w:lang w:eastAsia="en-US"/>
        </w:rPr>
        <w:t xml:space="preserve"> se tuvo a la autoridad demandada contestando en tiempo y forma la demanda entablada en su contra, por opuestas sus excepciones y defensas, así como por ofrecidas y admitidas sus pruebas, ordenándose correr traslado a la parte </w:t>
      </w:r>
      <w:r w:rsidRPr="0051494B">
        <w:rPr>
          <w:rFonts w:ascii="Arial" w:eastAsia="Calibri" w:hAnsi="Arial" w:cs="Arial"/>
          <w:sz w:val="24"/>
          <w:szCs w:val="24"/>
          <w:lang w:eastAsia="en-US"/>
        </w:rPr>
        <w:lastRenderedPageBreak/>
        <w:t>actora para los efectos precisados en el artículo 185 de la Ley de Procedimiento y Justicia Administrativa para el Estado de Oaxaca.</w:t>
      </w:r>
    </w:p>
    <w:p w14:paraId="14917409" w14:textId="41BB2454" w:rsidR="0051494B" w:rsidRPr="0051494B" w:rsidRDefault="0051494B" w:rsidP="0051494B">
      <w:pPr>
        <w:spacing w:after="160" w:line="360" w:lineRule="auto"/>
        <w:ind w:firstLine="567"/>
        <w:jc w:val="both"/>
        <w:rPr>
          <w:rFonts w:ascii="Arial" w:eastAsia="Calibri" w:hAnsi="Arial" w:cs="Arial"/>
          <w:sz w:val="24"/>
          <w:szCs w:val="24"/>
          <w:lang w:eastAsia="en-US"/>
        </w:rPr>
      </w:pPr>
      <w:r w:rsidRPr="0051494B">
        <w:rPr>
          <w:rFonts w:ascii="Arial" w:eastAsia="Calibri" w:hAnsi="Arial" w:cs="Arial"/>
          <w:b/>
          <w:bCs/>
          <w:sz w:val="24"/>
          <w:szCs w:val="24"/>
          <w:lang w:eastAsia="en-US"/>
        </w:rPr>
        <w:t>4°.</w:t>
      </w:r>
      <w:r w:rsidRPr="0051494B">
        <w:rPr>
          <w:rFonts w:ascii="Arial" w:eastAsia="Calibri" w:hAnsi="Arial" w:cs="Arial"/>
          <w:sz w:val="24"/>
          <w:szCs w:val="24"/>
          <w:lang w:eastAsia="en-US"/>
        </w:rPr>
        <w:t xml:space="preserve"> Con fecha </w:t>
      </w:r>
      <w:r w:rsidR="00025790">
        <w:rPr>
          <w:rFonts w:ascii="Arial" w:eastAsia="Calibri" w:hAnsi="Arial" w:cs="Arial"/>
          <w:sz w:val="24"/>
          <w:szCs w:val="24"/>
          <w:lang w:eastAsia="en-US"/>
        </w:rPr>
        <w:t>cuatro</w:t>
      </w:r>
      <w:r w:rsidRPr="0051494B">
        <w:rPr>
          <w:rFonts w:ascii="Arial" w:eastAsia="Calibri" w:hAnsi="Arial" w:cs="Arial"/>
          <w:sz w:val="24"/>
          <w:szCs w:val="24"/>
          <w:lang w:eastAsia="en-US"/>
        </w:rPr>
        <w:t xml:space="preserve"> de </w:t>
      </w:r>
      <w:r w:rsidR="00025790">
        <w:rPr>
          <w:rFonts w:ascii="Arial" w:eastAsia="Calibri" w:hAnsi="Arial" w:cs="Arial"/>
          <w:sz w:val="24"/>
          <w:szCs w:val="24"/>
          <w:lang w:eastAsia="en-US"/>
        </w:rPr>
        <w:t>mayo</w:t>
      </w:r>
      <w:r w:rsidRPr="0051494B">
        <w:rPr>
          <w:rFonts w:ascii="Arial" w:eastAsia="Calibri" w:hAnsi="Arial" w:cs="Arial"/>
          <w:sz w:val="24"/>
          <w:szCs w:val="24"/>
          <w:lang w:eastAsia="en-US"/>
        </w:rPr>
        <w:t xml:space="preserve"> de dos mil veintidós, con fundamento en el artículo 204 de la Ley  antes citada, sin la asistencia de las partes  se celebró la audiencia final; en el periodo de pruebas se tuvieron por  desahogadas por su propia y especial naturaleza las pruebas ofrecidas por las partes; en el periodo de alegatos  se hizo constar que las partes no presentaron escrito alguno, por lo que se tuvo por cerrado dicho periodo quedando el asunto integrado y en estado de resolución, finalmente se emite sentencia en los siguientes términos:</w:t>
      </w:r>
    </w:p>
    <w:p w14:paraId="2B1D3518" w14:textId="77777777" w:rsidR="0051494B" w:rsidRPr="0051494B" w:rsidRDefault="0051494B" w:rsidP="0051494B">
      <w:pPr>
        <w:spacing w:after="160" w:line="360" w:lineRule="auto"/>
        <w:ind w:firstLine="567"/>
        <w:jc w:val="both"/>
        <w:rPr>
          <w:rFonts w:ascii="Arial" w:eastAsia="Calibri" w:hAnsi="Arial" w:cs="Arial"/>
          <w:sz w:val="24"/>
          <w:szCs w:val="24"/>
          <w:lang w:eastAsia="en-US"/>
        </w:rPr>
      </w:pPr>
    </w:p>
    <w:p w14:paraId="1A8A998F" w14:textId="77777777" w:rsidR="0051494B" w:rsidRPr="0051494B" w:rsidRDefault="0051494B" w:rsidP="0051494B">
      <w:pPr>
        <w:spacing w:after="160" w:line="259" w:lineRule="auto"/>
        <w:jc w:val="center"/>
        <w:rPr>
          <w:rFonts w:ascii="Arial" w:eastAsia="Calibri" w:hAnsi="Arial" w:cs="Arial"/>
          <w:b/>
          <w:bCs/>
          <w:sz w:val="24"/>
          <w:szCs w:val="24"/>
          <w:lang w:eastAsia="en-US"/>
        </w:rPr>
      </w:pPr>
      <w:r w:rsidRPr="0051494B">
        <w:rPr>
          <w:rFonts w:ascii="Arial" w:eastAsia="Calibri" w:hAnsi="Arial" w:cs="Arial"/>
          <w:b/>
          <w:bCs/>
          <w:sz w:val="24"/>
          <w:szCs w:val="24"/>
          <w:lang w:eastAsia="en-US"/>
        </w:rPr>
        <w:t xml:space="preserve">C O N S I D E R A N D O </w:t>
      </w:r>
    </w:p>
    <w:p w14:paraId="5231D37F" w14:textId="77777777" w:rsidR="0051494B" w:rsidRPr="0051494B" w:rsidRDefault="0051494B" w:rsidP="0051494B">
      <w:pPr>
        <w:spacing w:after="160" w:line="259" w:lineRule="auto"/>
        <w:jc w:val="center"/>
        <w:rPr>
          <w:rFonts w:ascii="Arial" w:eastAsia="Calibri" w:hAnsi="Arial" w:cs="Arial"/>
          <w:sz w:val="24"/>
          <w:szCs w:val="24"/>
          <w:lang w:eastAsia="en-US"/>
        </w:rPr>
      </w:pPr>
    </w:p>
    <w:p w14:paraId="5C8B9317" w14:textId="5C16A1BF" w:rsidR="0051494B" w:rsidRPr="0051494B" w:rsidRDefault="0051494B" w:rsidP="0051494B">
      <w:pPr>
        <w:spacing w:after="160" w:line="360" w:lineRule="auto"/>
        <w:ind w:firstLine="709"/>
        <w:jc w:val="both"/>
        <w:rPr>
          <w:rFonts w:ascii="Arial" w:eastAsia="Calibri" w:hAnsi="Arial" w:cs="Arial"/>
          <w:sz w:val="24"/>
          <w:szCs w:val="24"/>
          <w:lang w:eastAsia="en-US"/>
        </w:rPr>
      </w:pPr>
      <w:r w:rsidRPr="0051494B">
        <w:rPr>
          <w:rFonts w:ascii="Arial" w:eastAsia="Calibri" w:hAnsi="Arial" w:cs="Arial"/>
          <w:b/>
          <w:bCs/>
          <w:sz w:val="24"/>
          <w:szCs w:val="24"/>
          <w:lang w:eastAsia="en-US"/>
        </w:rPr>
        <w:t>PRIMERO.</w:t>
      </w:r>
      <w:r w:rsidRPr="0051494B">
        <w:rPr>
          <w:rFonts w:ascii="Arial" w:eastAsia="Calibri" w:hAnsi="Arial" w:cs="Arial"/>
          <w:sz w:val="24"/>
          <w:szCs w:val="24"/>
          <w:lang w:eastAsia="en-US"/>
        </w:rPr>
        <w:t xml:space="preserve">  Esta Primera Sala Unitaria de Primera Instancia del Tribunal de Justicia Administrativa del Estado de Oaxaca, es </w:t>
      </w:r>
      <w:r w:rsidRPr="0051494B">
        <w:rPr>
          <w:rFonts w:ascii="Arial" w:eastAsia="Calibri" w:hAnsi="Arial" w:cs="Arial"/>
          <w:b/>
          <w:bCs/>
          <w:sz w:val="24"/>
          <w:szCs w:val="24"/>
          <w:lang w:eastAsia="en-US"/>
        </w:rPr>
        <w:t>competente</w:t>
      </w:r>
      <w:r w:rsidRPr="0051494B">
        <w:rPr>
          <w:rFonts w:ascii="Arial" w:eastAsia="Calibri" w:hAnsi="Arial" w:cs="Arial"/>
          <w:sz w:val="24"/>
          <w:szCs w:val="24"/>
          <w:lang w:eastAsia="en-US"/>
        </w:rPr>
        <w:t xml:space="preserve"> para conocer y resolver del presente juicio de nulidad, de conformidad a lo establecido en el artículo 114 </w:t>
      </w:r>
      <w:proofErr w:type="spellStart"/>
      <w:r w:rsidRPr="0051494B">
        <w:rPr>
          <w:rFonts w:ascii="Arial" w:eastAsia="Calibri" w:hAnsi="Arial" w:cs="Arial"/>
          <w:sz w:val="24"/>
          <w:szCs w:val="24"/>
          <w:lang w:eastAsia="en-US"/>
        </w:rPr>
        <w:t>Quáter</w:t>
      </w:r>
      <w:proofErr w:type="spellEnd"/>
      <w:r w:rsidRPr="0051494B">
        <w:rPr>
          <w:rFonts w:ascii="Arial" w:eastAsia="Calibri" w:hAnsi="Arial" w:cs="Arial"/>
          <w:sz w:val="24"/>
          <w:szCs w:val="24"/>
          <w:lang w:eastAsia="en-US"/>
        </w:rPr>
        <w:t xml:space="preserve">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51494B">
        <w:rPr>
          <w:rFonts w:ascii="Arial" w:eastAsia="Calibri" w:hAnsi="Arial" w:cs="Arial"/>
          <w:b/>
          <w:sz w:val="24"/>
          <w:szCs w:val="24"/>
          <w:lang w:eastAsia="en-US"/>
        </w:rPr>
        <w:t xml:space="preserve">carácter </w:t>
      </w:r>
      <w:r w:rsidR="00025790">
        <w:rPr>
          <w:rFonts w:ascii="Arial" w:eastAsia="Calibri" w:hAnsi="Arial" w:cs="Arial"/>
          <w:b/>
          <w:sz w:val="24"/>
          <w:szCs w:val="24"/>
          <w:lang w:eastAsia="en-US"/>
        </w:rPr>
        <w:t>estatal</w:t>
      </w:r>
      <w:r w:rsidRPr="0051494B">
        <w:rPr>
          <w:rFonts w:ascii="Arial" w:eastAsia="Calibri" w:hAnsi="Arial" w:cs="Arial"/>
          <w:sz w:val="24"/>
          <w:szCs w:val="24"/>
          <w:lang w:eastAsia="en-US"/>
        </w:rPr>
        <w:t xml:space="preserve">. </w:t>
      </w:r>
    </w:p>
    <w:p w14:paraId="7196BF08" w14:textId="77777777" w:rsidR="0051494B" w:rsidRPr="0051494B" w:rsidRDefault="0051494B" w:rsidP="0051494B">
      <w:pPr>
        <w:spacing w:after="160" w:line="360" w:lineRule="auto"/>
        <w:ind w:firstLine="567"/>
        <w:jc w:val="both"/>
        <w:rPr>
          <w:rFonts w:ascii="Arial" w:eastAsia="Calibri" w:hAnsi="Arial" w:cs="Arial"/>
          <w:sz w:val="24"/>
          <w:szCs w:val="24"/>
          <w:lang w:eastAsia="en-US"/>
        </w:rPr>
      </w:pPr>
      <w:r w:rsidRPr="0051494B">
        <w:rPr>
          <w:rFonts w:ascii="Arial" w:eastAsia="Calibri" w:hAnsi="Arial" w:cs="Arial"/>
          <w:b/>
          <w:bCs/>
          <w:sz w:val="24"/>
          <w:szCs w:val="24"/>
          <w:lang w:eastAsia="en-US"/>
        </w:rPr>
        <w:t>SEGUNDO.</w:t>
      </w:r>
      <w:r w:rsidRPr="0051494B">
        <w:rPr>
          <w:rFonts w:ascii="Arial" w:eastAsia="Calibri" w:hAnsi="Arial" w:cs="Arial"/>
          <w:sz w:val="24"/>
          <w:szCs w:val="24"/>
          <w:lang w:eastAsia="en-US"/>
        </w:rPr>
        <w:t xml:space="preserve"> </w:t>
      </w:r>
      <w:r w:rsidRPr="0051494B">
        <w:rPr>
          <w:rFonts w:ascii="Arial" w:eastAsia="Calibri" w:hAnsi="Arial" w:cs="Arial"/>
          <w:b/>
          <w:bCs/>
          <w:sz w:val="24"/>
          <w:szCs w:val="24"/>
          <w:lang w:eastAsia="en-US"/>
        </w:rPr>
        <w:t xml:space="preserve">Personalidad. </w:t>
      </w:r>
      <w:r w:rsidRPr="0051494B">
        <w:rPr>
          <w:rFonts w:ascii="Arial" w:eastAsia="Calibri" w:hAnsi="Arial" w:cs="Arial"/>
          <w:sz w:val="24"/>
          <w:szCs w:val="24"/>
          <w:lang w:eastAsia="en-US"/>
        </w:rPr>
        <w:t xml:space="preserve"> La personalidad de las partes se tuvo acreditada de conformidad con los artículos 150</w:t>
      </w:r>
      <w:r w:rsidRPr="0051494B">
        <w:rPr>
          <w:rFonts w:ascii="Arial" w:eastAsia="Calibri" w:hAnsi="Arial" w:cs="Arial"/>
          <w:sz w:val="24"/>
          <w:szCs w:val="24"/>
          <w:vertAlign w:val="superscript"/>
          <w:lang w:eastAsia="en-US"/>
        </w:rPr>
        <w:footnoteReference w:id="1"/>
      </w:r>
      <w:r w:rsidRPr="0051494B">
        <w:rPr>
          <w:rFonts w:ascii="Arial" w:eastAsia="Calibri" w:hAnsi="Arial" w:cs="Arial"/>
          <w:sz w:val="24"/>
          <w:szCs w:val="24"/>
          <w:lang w:eastAsia="en-US"/>
        </w:rPr>
        <w:t xml:space="preserve"> y 151</w:t>
      </w:r>
      <w:r w:rsidRPr="0051494B">
        <w:rPr>
          <w:rFonts w:ascii="Arial" w:eastAsia="Calibri" w:hAnsi="Arial" w:cs="Arial"/>
          <w:sz w:val="24"/>
          <w:szCs w:val="24"/>
          <w:vertAlign w:val="superscript"/>
          <w:lang w:eastAsia="en-US"/>
        </w:rPr>
        <w:footnoteReference w:id="2"/>
      </w:r>
      <w:r w:rsidRPr="0051494B">
        <w:rPr>
          <w:rFonts w:ascii="Arial" w:eastAsia="Calibri" w:hAnsi="Arial" w:cs="Arial"/>
          <w:sz w:val="24"/>
          <w:szCs w:val="24"/>
          <w:lang w:eastAsia="en-US"/>
        </w:rPr>
        <w:t xml:space="preserve"> de la Ley de Procedimiento y Justicia Administrativa.</w:t>
      </w:r>
    </w:p>
    <w:p w14:paraId="3F2B8267" w14:textId="546EB2E8" w:rsidR="0051494B" w:rsidRPr="0051494B" w:rsidRDefault="0051494B" w:rsidP="0051494B">
      <w:pPr>
        <w:spacing w:after="160" w:line="360" w:lineRule="auto"/>
        <w:ind w:firstLine="567"/>
        <w:jc w:val="both"/>
        <w:rPr>
          <w:rFonts w:ascii="Arial" w:eastAsia="Calibri" w:hAnsi="Arial" w:cs="Arial"/>
          <w:sz w:val="24"/>
          <w:szCs w:val="24"/>
          <w:lang w:eastAsia="en-US"/>
        </w:rPr>
      </w:pPr>
      <w:r w:rsidRPr="007708A0">
        <w:rPr>
          <w:rFonts w:ascii="Arial" w:eastAsia="Calibri" w:hAnsi="Arial" w:cs="Arial"/>
          <w:b/>
          <w:bCs/>
          <w:sz w:val="24"/>
          <w:szCs w:val="24"/>
          <w:lang w:eastAsia="en-US"/>
        </w:rPr>
        <w:t>TERCERO.</w:t>
      </w:r>
      <w:r w:rsidRPr="007708A0">
        <w:rPr>
          <w:rFonts w:ascii="Arial" w:eastAsia="Calibri" w:hAnsi="Arial" w:cs="Arial"/>
          <w:sz w:val="24"/>
          <w:szCs w:val="24"/>
          <w:lang w:eastAsia="en-US"/>
        </w:rPr>
        <w:t xml:space="preserve">  </w:t>
      </w:r>
      <w:r w:rsidRPr="007708A0">
        <w:rPr>
          <w:rFonts w:ascii="Arial" w:eastAsia="Calibri" w:hAnsi="Arial" w:cs="Arial"/>
          <w:b/>
          <w:bCs/>
          <w:sz w:val="24"/>
          <w:szCs w:val="24"/>
          <w:lang w:eastAsia="en-US"/>
        </w:rPr>
        <w:t>Acreditación del acto impugnado.</w:t>
      </w:r>
      <w:r w:rsidRPr="007708A0">
        <w:rPr>
          <w:rFonts w:ascii="Arial" w:eastAsia="Calibri" w:hAnsi="Arial" w:cs="Arial"/>
          <w:sz w:val="24"/>
          <w:szCs w:val="24"/>
          <w:lang w:eastAsia="en-US"/>
        </w:rPr>
        <w:t xml:space="preserve"> Lo es el </w:t>
      </w:r>
      <w:r w:rsidR="00025790" w:rsidRPr="007708A0">
        <w:rPr>
          <w:rFonts w:ascii="Arial" w:eastAsia="Calibri" w:hAnsi="Arial" w:cs="Arial"/>
          <w:sz w:val="24"/>
          <w:szCs w:val="24"/>
          <w:lang w:eastAsia="en-US"/>
        </w:rPr>
        <w:t>oficio</w:t>
      </w:r>
      <w:r w:rsidR="007708A0" w:rsidRPr="007708A0">
        <w:rPr>
          <w:rFonts w:ascii="Arial" w:eastAsia="Calibri" w:hAnsi="Arial" w:cs="Arial"/>
          <w:sz w:val="24"/>
          <w:szCs w:val="24"/>
          <w:lang w:eastAsia="en-US"/>
        </w:rPr>
        <w:t xml:space="preserve"> </w:t>
      </w:r>
      <w:r w:rsidR="00FF021A">
        <w:rPr>
          <w:rFonts w:ascii="Arial" w:eastAsia="Calibri" w:hAnsi="Arial" w:cs="Arial"/>
          <w:sz w:val="24"/>
          <w:szCs w:val="24"/>
          <w:lang w:eastAsia="en-US"/>
        </w:rPr>
        <w:t>**********</w:t>
      </w:r>
      <w:r w:rsidRPr="007708A0">
        <w:rPr>
          <w:rFonts w:ascii="Arial" w:eastAsia="Calibri" w:hAnsi="Arial" w:cs="Arial"/>
          <w:sz w:val="24"/>
          <w:szCs w:val="24"/>
          <w:lang w:eastAsia="en-US"/>
        </w:rPr>
        <w:t xml:space="preserve"> de fecha </w:t>
      </w:r>
      <w:r w:rsidR="00025790" w:rsidRPr="007708A0">
        <w:rPr>
          <w:rFonts w:ascii="Arial" w:eastAsia="Calibri" w:hAnsi="Arial" w:cs="Arial"/>
          <w:sz w:val="24"/>
          <w:szCs w:val="24"/>
          <w:lang w:eastAsia="en-US"/>
        </w:rPr>
        <w:t>diecinueve de agosto</w:t>
      </w:r>
      <w:r w:rsidR="00C548BC" w:rsidRPr="007708A0">
        <w:rPr>
          <w:rFonts w:ascii="Arial" w:eastAsia="Calibri" w:hAnsi="Arial" w:cs="Arial"/>
          <w:sz w:val="24"/>
          <w:szCs w:val="24"/>
          <w:lang w:eastAsia="en-US"/>
        </w:rPr>
        <w:t xml:space="preserve"> del dos mil diecinueve</w:t>
      </w:r>
      <w:r w:rsidR="00025790" w:rsidRPr="007708A0">
        <w:rPr>
          <w:rFonts w:ascii="Arial" w:eastAsia="Calibri" w:hAnsi="Arial" w:cs="Arial"/>
          <w:sz w:val="24"/>
          <w:szCs w:val="24"/>
          <w:lang w:eastAsia="en-US"/>
        </w:rPr>
        <w:t xml:space="preserve"> </w:t>
      </w:r>
      <w:r w:rsidRPr="007708A0">
        <w:rPr>
          <w:rFonts w:ascii="Arial" w:eastAsia="Calibri" w:hAnsi="Arial" w:cs="Arial"/>
          <w:sz w:val="24"/>
          <w:szCs w:val="24"/>
          <w:lang w:eastAsia="en-US"/>
        </w:rPr>
        <w:t xml:space="preserve"> emitido por el </w:t>
      </w:r>
      <w:r w:rsidR="00C548BC" w:rsidRPr="007708A0">
        <w:rPr>
          <w:rFonts w:ascii="Arial" w:eastAsia="Calibri" w:hAnsi="Arial" w:cs="Arial"/>
          <w:sz w:val="24"/>
          <w:szCs w:val="24"/>
          <w:lang w:eastAsia="en-US"/>
        </w:rPr>
        <w:t>Director General de la Oficina de Pensiones del Estado de Oaxaca</w:t>
      </w:r>
      <w:r w:rsidRPr="007708A0">
        <w:rPr>
          <w:rFonts w:ascii="Arial" w:eastAsia="Calibri" w:hAnsi="Arial" w:cs="Arial"/>
          <w:sz w:val="24"/>
          <w:szCs w:val="24"/>
          <w:lang w:eastAsia="en-US"/>
        </w:rPr>
        <w:t xml:space="preserve">, cuyo original obra </w:t>
      </w:r>
      <w:r w:rsidR="00C548BC" w:rsidRPr="007708A0">
        <w:rPr>
          <w:rFonts w:ascii="Arial" w:eastAsia="Calibri" w:hAnsi="Arial" w:cs="Arial"/>
          <w:sz w:val="24"/>
          <w:szCs w:val="24"/>
          <w:lang w:eastAsia="en-US"/>
        </w:rPr>
        <w:t>de</w:t>
      </w:r>
      <w:r w:rsidRPr="007708A0">
        <w:rPr>
          <w:rFonts w:ascii="Arial" w:eastAsia="Calibri" w:hAnsi="Arial" w:cs="Arial"/>
          <w:sz w:val="24"/>
          <w:szCs w:val="24"/>
          <w:lang w:eastAsia="en-US"/>
        </w:rPr>
        <w:t xml:space="preserve"> foja</w:t>
      </w:r>
      <w:r w:rsidR="00C548BC" w:rsidRPr="007708A0">
        <w:rPr>
          <w:rFonts w:ascii="Arial" w:eastAsia="Calibri" w:hAnsi="Arial" w:cs="Arial"/>
          <w:sz w:val="24"/>
          <w:szCs w:val="24"/>
          <w:lang w:eastAsia="en-US"/>
        </w:rPr>
        <w:t xml:space="preserve"> </w:t>
      </w:r>
      <w:r w:rsidRPr="007708A0">
        <w:rPr>
          <w:rFonts w:ascii="Arial" w:eastAsia="Calibri" w:hAnsi="Arial" w:cs="Arial"/>
          <w:sz w:val="24"/>
          <w:szCs w:val="24"/>
          <w:lang w:eastAsia="en-US"/>
        </w:rPr>
        <w:t>9</w:t>
      </w:r>
      <w:r w:rsidR="00C548BC" w:rsidRPr="007708A0">
        <w:rPr>
          <w:rFonts w:ascii="Arial" w:eastAsia="Calibri" w:hAnsi="Arial" w:cs="Arial"/>
          <w:sz w:val="24"/>
          <w:szCs w:val="24"/>
          <w:lang w:eastAsia="en-US"/>
        </w:rPr>
        <w:t xml:space="preserve"> a 10</w:t>
      </w:r>
      <w:r w:rsidRPr="007708A0">
        <w:rPr>
          <w:rFonts w:ascii="Arial" w:eastAsia="Calibri" w:hAnsi="Arial" w:cs="Arial"/>
          <w:sz w:val="24"/>
          <w:szCs w:val="24"/>
          <w:lang w:eastAsia="en-US"/>
        </w:rPr>
        <w:t xml:space="preserve"> del expediente al rubro indicado, con valor probatorio pleno en términos de lo dispuesto por el artículo 203 fracción I</w:t>
      </w:r>
      <w:r w:rsidRPr="007708A0">
        <w:rPr>
          <w:rFonts w:ascii="Arial" w:eastAsia="Calibri" w:hAnsi="Arial" w:cs="Arial"/>
          <w:sz w:val="24"/>
          <w:szCs w:val="24"/>
          <w:vertAlign w:val="superscript"/>
          <w:lang w:eastAsia="en-US"/>
        </w:rPr>
        <w:footnoteReference w:id="3"/>
      </w:r>
      <w:r w:rsidRPr="007708A0">
        <w:rPr>
          <w:rFonts w:ascii="Arial" w:eastAsia="Calibri" w:hAnsi="Arial" w:cs="Arial"/>
          <w:sz w:val="24"/>
          <w:szCs w:val="24"/>
          <w:lang w:eastAsia="en-US"/>
        </w:rPr>
        <w:t xml:space="preserve"> de la Ley de Procedimiento arriba señalada; también reconocida por la autoridad </w:t>
      </w:r>
      <w:r w:rsidRPr="007708A0">
        <w:rPr>
          <w:rFonts w:ascii="Arial" w:eastAsia="Calibri" w:hAnsi="Arial" w:cs="Arial"/>
          <w:sz w:val="24"/>
          <w:szCs w:val="24"/>
          <w:lang w:eastAsia="en-US"/>
        </w:rPr>
        <w:lastRenderedPageBreak/>
        <w:t xml:space="preserve">demandada de forma expresa en su contestación a foja </w:t>
      </w:r>
      <w:r w:rsidR="007708A0" w:rsidRPr="007708A0">
        <w:rPr>
          <w:rFonts w:ascii="Arial" w:eastAsia="Calibri" w:hAnsi="Arial" w:cs="Arial"/>
          <w:sz w:val="24"/>
          <w:szCs w:val="24"/>
          <w:lang w:eastAsia="en-US"/>
        </w:rPr>
        <w:t>30</w:t>
      </w:r>
      <w:r w:rsidRPr="007708A0">
        <w:rPr>
          <w:rFonts w:ascii="Arial" w:eastAsia="Calibri" w:hAnsi="Arial" w:cs="Arial"/>
          <w:sz w:val="24"/>
          <w:szCs w:val="24"/>
          <w:lang w:eastAsia="en-US"/>
        </w:rPr>
        <w:t>, por lo que esta Sala tiene por acreditado el acto impugnado.</w:t>
      </w:r>
    </w:p>
    <w:p w14:paraId="0C483B5C" w14:textId="44AEB858" w:rsidR="00AF66F5" w:rsidRPr="00144D56" w:rsidRDefault="0051494B" w:rsidP="00AF66F5">
      <w:pPr>
        <w:spacing w:after="0" w:line="360" w:lineRule="auto"/>
        <w:ind w:firstLine="708"/>
        <w:jc w:val="both"/>
        <w:rPr>
          <w:rFonts w:ascii="Arial" w:hAnsi="Arial" w:cs="Arial"/>
          <w:sz w:val="24"/>
          <w:szCs w:val="24"/>
        </w:rPr>
      </w:pPr>
      <w:r w:rsidRPr="00CD4922">
        <w:rPr>
          <w:rFonts w:ascii="Arial" w:eastAsia="Calibri" w:hAnsi="Arial" w:cs="Arial"/>
          <w:b/>
          <w:bCs/>
          <w:sz w:val="24"/>
          <w:szCs w:val="24"/>
          <w:lang w:eastAsia="en-US"/>
        </w:rPr>
        <w:t>CUARTO.</w:t>
      </w:r>
      <w:r w:rsidRPr="00CD4922">
        <w:rPr>
          <w:rFonts w:ascii="Arial" w:eastAsia="Calibri" w:hAnsi="Arial" w:cs="Arial"/>
          <w:sz w:val="24"/>
          <w:szCs w:val="24"/>
          <w:lang w:eastAsia="en-US"/>
        </w:rPr>
        <w:t xml:space="preserve"> </w:t>
      </w:r>
      <w:r w:rsidRPr="00CD4922">
        <w:rPr>
          <w:rFonts w:ascii="Arial" w:eastAsia="Calibri" w:hAnsi="Arial" w:cs="Arial"/>
          <w:b/>
          <w:bCs/>
          <w:sz w:val="24"/>
          <w:szCs w:val="24"/>
          <w:lang w:eastAsia="en-US"/>
        </w:rPr>
        <w:t>Causales de improcedencia y sobreseimiento.</w:t>
      </w:r>
      <w:r w:rsidRPr="00CD4922">
        <w:rPr>
          <w:rFonts w:ascii="Arial" w:eastAsia="Calibri" w:hAnsi="Arial" w:cs="Arial"/>
          <w:sz w:val="24"/>
          <w:szCs w:val="24"/>
          <w:lang w:eastAsia="en-US"/>
        </w:rPr>
        <w:t xml:space="preserve"> </w:t>
      </w:r>
      <w:r w:rsidR="00AF66F5" w:rsidRPr="00CD4922">
        <w:rPr>
          <w:rFonts w:ascii="Arial" w:hAnsi="Arial" w:cs="Arial"/>
          <w:sz w:val="24"/>
          <w:szCs w:val="24"/>
        </w:rPr>
        <w:t>Son de orden público y de estudio preferente a cualquier otra cuestión; se advierte</w:t>
      </w:r>
      <w:r w:rsidR="00AF66F5" w:rsidRPr="00144D56">
        <w:rPr>
          <w:rFonts w:ascii="Arial" w:hAnsi="Arial" w:cs="Arial"/>
          <w:sz w:val="24"/>
          <w:szCs w:val="24"/>
        </w:rPr>
        <w:t xml:space="preserve"> que la autoridad demanda</w:t>
      </w:r>
      <w:r w:rsidR="0057264A">
        <w:rPr>
          <w:rFonts w:ascii="Arial" w:hAnsi="Arial" w:cs="Arial"/>
          <w:sz w:val="24"/>
          <w:szCs w:val="24"/>
        </w:rPr>
        <w:t>da</w:t>
      </w:r>
      <w:r w:rsidR="00AF66F5" w:rsidRPr="00144D56">
        <w:rPr>
          <w:rFonts w:ascii="Arial" w:hAnsi="Arial" w:cs="Arial"/>
          <w:sz w:val="24"/>
          <w:szCs w:val="24"/>
        </w:rPr>
        <w:t xml:space="preserve"> </w:t>
      </w:r>
      <w:r w:rsidR="00AF66F5">
        <w:rPr>
          <w:rFonts w:ascii="Arial" w:hAnsi="Arial" w:cs="Arial"/>
          <w:sz w:val="24"/>
          <w:szCs w:val="24"/>
        </w:rPr>
        <w:t>Director General de la Oficina de Pensiones del Estado de Oaxaca</w:t>
      </w:r>
      <w:r w:rsidR="00AF66F5" w:rsidRPr="00144D56">
        <w:rPr>
          <w:rFonts w:ascii="Arial" w:hAnsi="Arial" w:cs="Arial"/>
          <w:sz w:val="24"/>
          <w:szCs w:val="24"/>
        </w:rPr>
        <w:t xml:space="preserve">, </w:t>
      </w:r>
      <w:r w:rsidR="00AF66F5">
        <w:rPr>
          <w:rFonts w:ascii="Arial" w:hAnsi="Arial" w:cs="Arial"/>
          <w:sz w:val="24"/>
          <w:szCs w:val="24"/>
        </w:rPr>
        <w:t xml:space="preserve"> hizo valer las causales previstas en las </w:t>
      </w:r>
      <w:r w:rsidR="00AF66F5" w:rsidRPr="00144D56">
        <w:rPr>
          <w:rFonts w:ascii="Arial" w:hAnsi="Arial" w:cs="Arial"/>
          <w:sz w:val="24"/>
          <w:szCs w:val="24"/>
        </w:rPr>
        <w:t xml:space="preserve">fracciones V, VI y </w:t>
      </w:r>
      <w:r w:rsidR="00AF66F5">
        <w:rPr>
          <w:rFonts w:ascii="Arial" w:hAnsi="Arial" w:cs="Arial"/>
          <w:sz w:val="24"/>
          <w:szCs w:val="24"/>
        </w:rPr>
        <w:t>I</w:t>
      </w:r>
      <w:r w:rsidR="00AF66F5" w:rsidRPr="00144D56">
        <w:rPr>
          <w:rFonts w:ascii="Arial" w:hAnsi="Arial" w:cs="Arial"/>
          <w:sz w:val="24"/>
          <w:szCs w:val="24"/>
        </w:rPr>
        <w:t>X del artículo 1</w:t>
      </w:r>
      <w:r w:rsidR="00AF66F5">
        <w:rPr>
          <w:rFonts w:ascii="Arial" w:hAnsi="Arial" w:cs="Arial"/>
          <w:sz w:val="24"/>
          <w:szCs w:val="24"/>
        </w:rPr>
        <w:t>6</w:t>
      </w:r>
      <w:r w:rsidR="00AF66F5" w:rsidRPr="00144D56">
        <w:rPr>
          <w:rFonts w:ascii="Arial" w:hAnsi="Arial" w:cs="Arial"/>
          <w:sz w:val="24"/>
          <w:szCs w:val="24"/>
        </w:rPr>
        <w:t>1</w:t>
      </w:r>
      <w:r w:rsidR="00AF66F5" w:rsidRPr="00144D56">
        <w:rPr>
          <w:rStyle w:val="Refdenotaalpie"/>
          <w:rFonts w:ascii="Arial" w:hAnsi="Arial" w:cs="Arial"/>
          <w:sz w:val="24"/>
          <w:szCs w:val="24"/>
        </w:rPr>
        <w:footnoteReference w:id="4"/>
      </w:r>
      <w:r w:rsidR="00AF66F5" w:rsidRPr="00144D56">
        <w:rPr>
          <w:rFonts w:ascii="Arial" w:hAnsi="Arial" w:cs="Arial"/>
          <w:sz w:val="24"/>
          <w:szCs w:val="24"/>
        </w:rPr>
        <w:t xml:space="preserve"> de la materia; ref</w:t>
      </w:r>
      <w:r w:rsidR="00AF66F5">
        <w:rPr>
          <w:rFonts w:ascii="Arial" w:hAnsi="Arial" w:cs="Arial"/>
          <w:sz w:val="24"/>
          <w:szCs w:val="24"/>
        </w:rPr>
        <w:t>erentes a</w:t>
      </w:r>
      <w:r w:rsidR="00AF66F5" w:rsidRPr="00144D56">
        <w:rPr>
          <w:rFonts w:ascii="Arial" w:hAnsi="Arial" w:cs="Arial"/>
          <w:sz w:val="24"/>
          <w:szCs w:val="24"/>
        </w:rPr>
        <w:t xml:space="preserve"> que es improcedente el presente juicio toda vez que se trata  de actos consumados de un modo irreparable</w:t>
      </w:r>
      <w:r w:rsidR="00AF66F5">
        <w:rPr>
          <w:rFonts w:ascii="Arial" w:hAnsi="Arial" w:cs="Arial"/>
          <w:sz w:val="24"/>
          <w:szCs w:val="24"/>
        </w:rPr>
        <w:t xml:space="preserve">, de </w:t>
      </w:r>
      <w:r w:rsidR="00AF66F5" w:rsidRPr="00144D56">
        <w:rPr>
          <w:rFonts w:ascii="Arial" w:hAnsi="Arial" w:cs="Arial"/>
          <w:sz w:val="24"/>
          <w:szCs w:val="24"/>
        </w:rPr>
        <w:t xml:space="preserve">actos consentidos y </w:t>
      </w:r>
      <w:r w:rsidR="00AF66F5">
        <w:rPr>
          <w:rFonts w:ascii="Arial" w:hAnsi="Arial" w:cs="Arial"/>
          <w:sz w:val="24"/>
          <w:szCs w:val="24"/>
        </w:rPr>
        <w:t xml:space="preserve">cuando de las constancias en autos apareciere claramente que no existe el acto reclamado o no probare su existencia; </w:t>
      </w:r>
      <w:r w:rsidR="00AF66F5" w:rsidRPr="00144D56">
        <w:rPr>
          <w:rFonts w:ascii="Arial" w:hAnsi="Arial" w:cs="Arial"/>
          <w:sz w:val="24"/>
          <w:szCs w:val="24"/>
        </w:rPr>
        <w:t>sin embargo, no motiva la forma en que estas disposiciones se actualizan al caso concreto, limitándose a solamente enunciarlas de ahí que resultan improcedentes, pues el juicio tramitado en este Tribunal es de estricto derecho, como lo señala el artículo 1</w:t>
      </w:r>
      <w:r w:rsidR="00AF66F5">
        <w:rPr>
          <w:rFonts w:ascii="Arial" w:hAnsi="Arial" w:cs="Arial"/>
          <w:sz w:val="24"/>
          <w:szCs w:val="24"/>
        </w:rPr>
        <w:t>49</w:t>
      </w:r>
      <w:r w:rsidR="00AF66F5" w:rsidRPr="00144D56">
        <w:rPr>
          <w:rFonts w:ascii="Arial" w:hAnsi="Arial" w:cs="Arial"/>
          <w:sz w:val="24"/>
          <w:szCs w:val="24"/>
        </w:rPr>
        <w:t xml:space="preserve"> de la Ley de la materia. </w:t>
      </w:r>
    </w:p>
    <w:p w14:paraId="4A19F809" w14:textId="77777777" w:rsidR="00AF66F5" w:rsidRDefault="00AF66F5" w:rsidP="00AF66F5">
      <w:pPr>
        <w:spacing w:after="160" w:line="360" w:lineRule="auto"/>
        <w:jc w:val="both"/>
        <w:rPr>
          <w:rFonts w:ascii="Arial" w:eastAsia="Calibri" w:hAnsi="Arial" w:cs="Arial"/>
          <w:sz w:val="24"/>
          <w:szCs w:val="24"/>
          <w:lang w:eastAsia="en-US"/>
        </w:rPr>
      </w:pPr>
    </w:p>
    <w:p w14:paraId="614D5346" w14:textId="62223C88" w:rsidR="00AF66F5" w:rsidRPr="00494600" w:rsidRDefault="00AF66F5" w:rsidP="00AF66F5">
      <w:pPr>
        <w:spacing w:after="160"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 xml:space="preserve">Por otro lado, también en </w:t>
      </w:r>
      <w:r w:rsidRPr="00494600">
        <w:rPr>
          <w:rFonts w:ascii="Arial" w:eastAsia="Calibri" w:hAnsi="Arial" w:cs="Arial"/>
          <w:sz w:val="24"/>
          <w:szCs w:val="24"/>
          <w:lang w:eastAsia="en-US"/>
        </w:rPr>
        <w:t>su escrito de contestación la autoridad demandada presentó excepciones y defensas la falta de acción y derecho,</w:t>
      </w:r>
      <w:r>
        <w:rPr>
          <w:rFonts w:ascii="Arial" w:eastAsia="Calibri" w:hAnsi="Arial" w:cs="Arial"/>
          <w:sz w:val="24"/>
          <w:szCs w:val="24"/>
          <w:lang w:eastAsia="en-US"/>
        </w:rPr>
        <w:t xml:space="preserve"> de legitimación  y de falsedad de los hechos</w:t>
      </w:r>
      <w:r w:rsidRPr="00494600">
        <w:rPr>
          <w:rFonts w:ascii="Arial" w:eastAsia="Calibri" w:hAnsi="Arial" w:cs="Arial"/>
          <w:sz w:val="24"/>
          <w:szCs w:val="24"/>
          <w:lang w:eastAsia="en-US"/>
        </w:rPr>
        <w:t xml:space="preserve"> las cuales no proceden en virtud de que como ya</w:t>
      </w:r>
      <w:r w:rsidR="0057264A">
        <w:rPr>
          <w:rFonts w:ascii="Arial" w:eastAsia="Calibri" w:hAnsi="Arial" w:cs="Arial"/>
          <w:sz w:val="24"/>
          <w:szCs w:val="24"/>
          <w:lang w:eastAsia="en-US"/>
        </w:rPr>
        <w:t xml:space="preserve"> se</w:t>
      </w:r>
      <w:r w:rsidRPr="00494600">
        <w:rPr>
          <w:rFonts w:ascii="Arial" w:eastAsia="Calibri" w:hAnsi="Arial" w:cs="Arial"/>
          <w:sz w:val="24"/>
          <w:szCs w:val="24"/>
          <w:lang w:eastAsia="en-US"/>
        </w:rPr>
        <w:t xml:space="preserve"> </w:t>
      </w:r>
      <w:r>
        <w:rPr>
          <w:rFonts w:ascii="Arial" w:eastAsia="Calibri" w:hAnsi="Arial" w:cs="Arial"/>
          <w:sz w:val="24"/>
          <w:szCs w:val="24"/>
          <w:lang w:eastAsia="en-US"/>
        </w:rPr>
        <w:t>expresó</w:t>
      </w:r>
      <w:r w:rsidRPr="00494600">
        <w:rPr>
          <w:rFonts w:ascii="Arial" w:eastAsia="Calibri" w:hAnsi="Arial" w:cs="Arial"/>
          <w:sz w:val="24"/>
          <w:szCs w:val="24"/>
          <w:lang w:eastAsia="en-US"/>
        </w:rPr>
        <w:t xml:space="preserve"> la parte actora acreditó su interés legítimo y jurídico para comparecer a juicio derivado del </w:t>
      </w:r>
      <w:r>
        <w:rPr>
          <w:rFonts w:ascii="Arial" w:eastAsia="Calibri" w:hAnsi="Arial" w:cs="Arial"/>
          <w:sz w:val="24"/>
          <w:szCs w:val="24"/>
          <w:lang w:eastAsia="en-US"/>
        </w:rPr>
        <w:t xml:space="preserve">acto impugnado consistente en el oficio </w:t>
      </w:r>
      <w:r w:rsidRPr="00494600">
        <w:rPr>
          <w:rFonts w:ascii="Arial" w:eastAsia="Calibri" w:hAnsi="Arial" w:cs="Arial"/>
          <w:sz w:val="24"/>
          <w:szCs w:val="24"/>
          <w:lang w:eastAsia="en-US"/>
        </w:rPr>
        <w:t xml:space="preserve"> </w:t>
      </w:r>
      <w:r w:rsidR="00FF021A">
        <w:rPr>
          <w:rFonts w:ascii="Arial" w:eastAsia="Calibri" w:hAnsi="Arial" w:cs="Arial"/>
          <w:sz w:val="24"/>
          <w:szCs w:val="24"/>
          <w:lang w:eastAsia="en-US"/>
        </w:rPr>
        <w:t>**********</w:t>
      </w:r>
      <w:r w:rsidRPr="007708A0">
        <w:rPr>
          <w:rFonts w:ascii="Arial" w:eastAsia="Calibri" w:hAnsi="Arial" w:cs="Arial"/>
          <w:sz w:val="24"/>
          <w:szCs w:val="24"/>
          <w:lang w:eastAsia="en-US"/>
        </w:rPr>
        <w:t xml:space="preserve"> de fecha diecinueve de agosto del dos mil diecinueve  </w:t>
      </w:r>
      <w:r>
        <w:rPr>
          <w:rFonts w:ascii="Arial" w:eastAsia="Calibri" w:hAnsi="Arial" w:cs="Arial"/>
          <w:sz w:val="24"/>
          <w:szCs w:val="24"/>
          <w:lang w:eastAsia="en-US"/>
        </w:rPr>
        <w:t>arriba mencionado</w:t>
      </w:r>
      <w:r w:rsidRPr="00494600">
        <w:rPr>
          <w:rFonts w:ascii="Arial" w:eastAsia="Calibri" w:hAnsi="Arial" w:cs="Arial"/>
          <w:sz w:val="24"/>
          <w:szCs w:val="24"/>
          <w:lang w:eastAsia="en-US"/>
        </w:rPr>
        <w:t>. En consecuencia, al ser improcedentes dichas causales y al advertirse que no existe otra causal, se procede al estudio del fondo.</w:t>
      </w:r>
    </w:p>
    <w:p w14:paraId="5D6D4B9D" w14:textId="5B6D544F" w:rsidR="0051494B" w:rsidRPr="0051494B" w:rsidRDefault="0051494B" w:rsidP="00AF66F5">
      <w:pPr>
        <w:spacing w:after="160" w:line="360" w:lineRule="auto"/>
        <w:ind w:firstLine="567"/>
        <w:jc w:val="both"/>
        <w:rPr>
          <w:rFonts w:ascii="Arial" w:eastAsia="Calibri" w:hAnsi="Arial" w:cs="Arial"/>
          <w:sz w:val="24"/>
          <w:szCs w:val="24"/>
          <w:lang w:eastAsia="en-US"/>
        </w:rPr>
      </w:pPr>
    </w:p>
    <w:p w14:paraId="44FAA4D2" w14:textId="7E793223" w:rsidR="0051494B" w:rsidRPr="0051494B" w:rsidRDefault="0051494B" w:rsidP="0051494B">
      <w:pPr>
        <w:spacing w:after="160" w:line="360" w:lineRule="auto"/>
        <w:ind w:firstLine="567"/>
        <w:jc w:val="both"/>
        <w:rPr>
          <w:rFonts w:ascii="Arial" w:eastAsia="Calibri" w:hAnsi="Arial" w:cs="Arial"/>
          <w:sz w:val="24"/>
          <w:szCs w:val="24"/>
          <w:lang w:eastAsia="en-US"/>
        </w:rPr>
      </w:pPr>
      <w:r w:rsidRPr="006F4C7B">
        <w:rPr>
          <w:rFonts w:ascii="Arial" w:eastAsia="Calibri" w:hAnsi="Arial" w:cs="Arial"/>
          <w:b/>
          <w:bCs/>
          <w:sz w:val="24"/>
          <w:szCs w:val="24"/>
          <w:lang w:eastAsia="en-US"/>
        </w:rPr>
        <w:t>QUINTO. Fijación de la Litis.</w:t>
      </w:r>
      <w:r w:rsidRPr="006F4C7B">
        <w:rPr>
          <w:rFonts w:ascii="Arial" w:eastAsia="Calibri" w:hAnsi="Arial" w:cs="Arial"/>
          <w:sz w:val="24"/>
          <w:szCs w:val="24"/>
          <w:lang w:eastAsia="en-US"/>
        </w:rPr>
        <w:t xml:space="preserve"> La parte actora demandó la nulidad del </w:t>
      </w:r>
      <w:r w:rsidR="00FF021A">
        <w:rPr>
          <w:rFonts w:ascii="Arial" w:eastAsia="Calibri" w:hAnsi="Arial" w:cs="Arial"/>
          <w:sz w:val="24"/>
          <w:szCs w:val="24"/>
          <w:lang w:eastAsia="en-US"/>
        </w:rPr>
        <w:t>**********</w:t>
      </w:r>
      <w:r w:rsidR="00DA0919" w:rsidRPr="006F4C7B">
        <w:rPr>
          <w:rFonts w:ascii="Arial" w:eastAsia="Calibri" w:hAnsi="Arial" w:cs="Arial"/>
          <w:sz w:val="24"/>
          <w:szCs w:val="24"/>
          <w:lang w:eastAsia="en-US"/>
        </w:rPr>
        <w:t xml:space="preserve"> de fecha diecinueve</w:t>
      </w:r>
      <w:r w:rsidR="00DA0919" w:rsidRPr="007708A0">
        <w:rPr>
          <w:rFonts w:ascii="Arial" w:eastAsia="Calibri" w:hAnsi="Arial" w:cs="Arial"/>
          <w:sz w:val="24"/>
          <w:szCs w:val="24"/>
          <w:lang w:eastAsia="en-US"/>
        </w:rPr>
        <w:t xml:space="preserve"> de agosto del dos mil diecinueve</w:t>
      </w:r>
      <w:r w:rsidR="00DA0919">
        <w:rPr>
          <w:rFonts w:ascii="Arial" w:eastAsia="Calibri" w:hAnsi="Arial" w:cs="Arial"/>
          <w:sz w:val="24"/>
          <w:szCs w:val="24"/>
          <w:lang w:eastAsia="en-US"/>
        </w:rPr>
        <w:t xml:space="preserve"> que contiene la negativa de la devolución por concepto de “seguro de vida” y de dejar de hacer dichos descuentos en un futuro,</w:t>
      </w:r>
      <w:r w:rsidR="00DA0919" w:rsidRPr="0051494B">
        <w:rPr>
          <w:rFonts w:ascii="Arial" w:eastAsia="Calibri" w:hAnsi="Arial" w:cs="Arial"/>
          <w:sz w:val="24"/>
          <w:szCs w:val="24"/>
          <w:lang w:eastAsia="en-US"/>
        </w:rPr>
        <w:t xml:space="preserve"> </w:t>
      </w:r>
      <w:r w:rsidR="00DA0919" w:rsidRPr="007708A0">
        <w:rPr>
          <w:rFonts w:ascii="Arial" w:eastAsia="Calibri" w:hAnsi="Arial" w:cs="Arial"/>
          <w:sz w:val="24"/>
          <w:szCs w:val="24"/>
          <w:lang w:eastAsia="en-US"/>
        </w:rPr>
        <w:t>emitido por el Director General de la Oficina de Pensiones del Estado de Oaxaca</w:t>
      </w:r>
      <w:r w:rsidR="00DA0919">
        <w:rPr>
          <w:rFonts w:ascii="Arial" w:eastAsia="Calibri" w:hAnsi="Arial" w:cs="Arial"/>
          <w:sz w:val="24"/>
          <w:szCs w:val="24"/>
          <w:lang w:eastAsia="en-US"/>
        </w:rPr>
        <w:t xml:space="preserve">, </w:t>
      </w:r>
      <w:r w:rsidRPr="0051494B">
        <w:rPr>
          <w:rFonts w:ascii="Arial" w:eastAsia="Calibri" w:hAnsi="Arial" w:cs="Arial"/>
          <w:sz w:val="24"/>
          <w:szCs w:val="24"/>
          <w:lang w:eastAsia="en-US"/>
        </w:rPr>
        <w:t>por ser ilegal</w:t>
      </w:r>
      <w:r w:rsidR="00DA0919">
        <w:rPr>
          <w:rFonts w:ascii="Arial" w:eastAsia="Calibri" w:hAnsi="Arial" w:cs="Arial"/>
          <w:sz w:val="24"/>
          <w:szCs w:val="24"/>
          <w:lang w:eastAsia="en-US"/>
        </w:rPr>
        <w:t>, al estar indebidamente fundado y motivado, dejándola</w:t>
      </w:r>
      <w:r w:rsidRPr="0051494B">
        <w:rPr>
          <w:rFonts w:ascii="Arial" w:eastAsia="Calibri" w:hAnsi="Arial" w:cs="Arial"/>
          <w:sz w:val="24"/>
          <w:szCs w:val="24"/>
          <w:lang w:eastAsia="en-US"/>
        </w:rPr>
        <w:t xml:space="preserve"> así en estado de indefensión violentando</w:t>
      </w:r>
      <w:r w:rsidR="00DA0919">
        <w:rPr>
          <w:rFonts w:ascii="Arial" w:eastAsia="Calibri" w:hAnsi="Arial" w:cs="Arial"/>
          <w:sz w:val="24"/>
          <w:szCs w:val="24"/>
          <w:lang w:eastAsia="en-US"/>
        </w:rPr>
        <w:t xml:space="preserve"> la fracción V, del artículo 17 de la Ley de Procedimiento y Justicia Administrativa del Estado de Oaxaca;</w:t>
      </w:r>
      <w:r w:rsidRPr="0051494B">
        <w:rPr>
          <w:rFonts w:ascii="Arial" w:eastAsia="Calibri" w:hAnsi="Arial" w:cs="Arial"/>
          <w:sz w:val="24"/>
          <w:szCs w:val="24"/>
          <w:lang w:eastAsia="en-US"/>
        </w:rPr>
        <w:t xml:space="preserve"> </w:t>
      </w:r>
      <w:r w:rsidR="00DA0919">
        <w:rPr>
          <w:rFonts w:ascii="Arial" w:eastAsia="Calibri" w:hAnsi="Arial" w:cs="Arial"/>
          <w:sz w:val="24"/>
          <w:szCs w:val="24"/>
          <w:lang w:eastAsia="en-US"/>
        </w:rPr>
        <w:t xml:space="preserve">así como sus </w:t>
      </w:r>
      <w:r w:rsidRPr="0051494B">
        <w:rPr>
          <w:rFonts w:ascii="Arial" w:eastAsia="Calibri" w:hAnsi="Arial" w:cs="Arial"/>
          <w:sz w:val="24"/>
          <w:szCs w:val="24"/>
          <w:lang w:eastAsia="en-US"/>
        </w:rPr>
        <w:t>derecho</w:t>
      </w:r>
      <w:r w:rsidR="00DA0919">
        <w:rPr>
          <w:rFonts w:ascii="Arial" w:eastAsia="Calibri" w:hAnsi="Arial" w:cs="Arial"/>
          <w:sz w:val="24"/>
          <w:szCs w:val="24"/>
          <w:lang w:eastAsia="en-US"/>
        </w:rPr>
        <w:t>s</w:t>
      </w:r>
      <w:r w:rsidRPr="0051494B">
        <w:rPr>
          <w:rFonts w:ascii="Arial" w:eastAsia="Calibri" w:hAnsi="Arial" w:cs="Arial"/>
          <w:sz w:val="24"/>
          <w:szCs w:val="24"/>
          <w:lang w:eastAsia="en-US"/>
        </w:rPr>
        <w:t xml:space="preserve"> humano</w:t>
      </w:r>
      <w:r w:rsidR="00DA0919">
        <w:rPr>
          <w:rFonts w:ascii="Arial" w:eastAsia="Calibri" w:hAnsi="Arial" w:cs="Arial"/>
          <w:sz w:val="24"/>
          <w:szCs w:val="24"/>
          <w:lang w:eastAsia="en-US"/>
        </w:rPr>
        <w:t xml:space="preserve">s y </w:t>
      </w:r>
      <w:r w:rsidR="00DA0919">
        <w:rPr>
          <w:rFonts w:ascii="Arial" w:eastAsia="Calibri" w:hAnsi="Arial" w:cs="Arial"/>
          <w:sz w:val="24"/>
          <w:szCs w:val="24"/>
          <w:lang w:eastAsia="en-US"/>
        </w:rPr>
        <w:lastRenderedPageBreak/>
        <w:t>fundamentales</w:t>
      </w:r>
      <w:r w:rsidRPr="0051494B">
        <w:rPr>
          <w:rFonts w:ascii="Arial" w:eastAsia="Calibri" w:hAnsi="Arial" w:cs="Arial"/>
          <w:sz w:val="24"/>
          <w:szCs w:val="24"/>
          <w:lang w:eastAsia="en-US"/>
        </w:rPr>
        <w:t xml:space="preserve"> </w:t>
      </w:r>
      <w:r w:rsidR="00DA0919">
        <w:rPr>
          <w:rFonts w:ascii="Arial" w:eastAsia="Calibri" w:hAnsi="Arial" w:cs="Arial"/>
          <w:sz w:val="24"/>
          <w:szCs w:val="24"/>
          <w:lang w:eastAsia="en-US"/>
        </w:rPr>
        <w:t>consagrados en los artículo</w:t>
      </w:r>
      <w:r w:rsidR="006F4C7B">
        <w:rPr>
          <w:rFonts w:ascii="Arial" w:eastAsia="Calibri" w:hAnsi="Arial" w:cs="Arial"/>
          <w:sz w:val="24"/>
          <w:szCs w:val="24"/>
          <w:lang w:eastAsia="en-US"/>
        </w:rPr>
        <w:t xml:space="preserve"> </w:t>
      </w:r>
      <w:r w:rsidR="00DA0919">
        <w:rPr>
          <w:rFonts w:ascii="Arial" w:eastAsia="Calibri" w:hAnsi="Arial" w:cs="Arial"/>
          <w:sz w:val="24"/>
          <w:szCs w:val="24"/>
          <w:lang w:eastAsia="en-US"/>
        </w:rPr>
        <w:t xml:space="preserve"> 16 y 14 de la Constitución Política de los estado</w:t>
      </w:r>
      <w:r w:rsidRPr="0051494B">
        <w:rPr>
          <w:rFonts w:ascii="Arial" w:eastAsia="Calibri" w:hAnsi="Arial" w:cs="Arial"/>
          <w:sz w:val="24"/>
          <w:szCs w:val="24"/>
          <w:lang w:eastAsia="en-US"/>
        </w:rPr>
        <w:t>.</w:t>
      </w:r>
    </w:p>
    <w:p w14:paraId="5E91F483" w14:textId="3C5302E4" w:rsidR="0051494B" w:rsidRPr="0051494B" w:rsidRDefault="0051494B" w:rsidP="0051494B">
      <w:pPr>
        <w:spacing w:after="16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 xml:space="preserve">La autoridad demandada al contestar la demanda, señaló que la parte actora no le asiste la razón para reclamar la nulidad del acto aquí impugnado, porque cumple a cabalidad con los requisitos de legalidad conforme al artículo 17 de la Ley de Procedimiento y Justicia Administrativa del Estado de Oaxaca, </w:t>
      </w:r>
      <w:r w:rsidR="006F4C7B">
        <w:rPr>
          <w:rFonts w:ascii="Arial" w:eastAsia="Calibri" w:hAnsi="Arial" w:cs="Arial"/>
          <w:sz w:val="24"/>
          <w:szCs w:val="24"/>
          <w:lang w:eastAsia="en-US"/>
        </w:rPr>
        <w:t xml:space="preserve">al estar debidamente fundado y motivado el oficio </w:t>
      </w:r>
      <w:r w:rsidR="00FF021A">
        <w:rPr>
          <w:rFonts w:ascii="Arial" w:eastAsia="Calibri" w:hAnsi="Arial" w:cs="Arial"/>
          <w:sz w:val="24"/>
          <w:szCs w:val="24"/>
          <w:lang w:eastAsia="en-US"/>
        </w:rPr>
        <w:t>**********</w:t>
      </w:r>
      <w:r w:rsidR="006F4C7B" w:rsidRPr="007708A0">
        <w:rPr>
          <w:rFonts w:ascii="Arial" w:eastAsia="Calibri" w:hAnsi="Arial" w:cs="Arial"/>
          <w:sz w:val="24"/>
          <w:szCs w:val="24"/>
          <w:lang w:eastAsia="en-US"/>
        </w:rPr>
        <w:t xml:space="preserve"> de fecha diecinueve de agosto del dos mil diecinueve</w:t>
      </w:r>
      <w:r w:rsidR="006F4C7B">
        <w:rPr>
          <w:rFonts w:ascii="Arial" w:eastAsia="Calibri" w:hAnsi="Arial" w:cs="Arial"/>
          <w:sz w:val="24"/>
          <w:szCs w:val="24"/>
          <w:lang w:eastAsia="en-US"/>
        </w:rPr>
        <w:t>.</w:t>
      </w:r>
    </w:p>
    <w:p w14:paraId="0B9FDDF2" w14:textId="313641A4" w:rsidR="006F4C7B" w:rsidRPr="00B12CA8" w:rsidRDefault="0051494B" w:rsidP="00CD4922">
      <w:pPr>
        <w:spacing w:before="240" w:after="0" w:line="360" w:lineRule="auto"/>
        <w:ind w:firstLine="567"/>
        <w:jc w:val="both"/>
        <w:rPr>
          <w:rFonts w:ascii="Arial" w:hAnsi="Arial" w:cs="Arial"/>
          <w:sz w:val="24"/>
          <w:szCs w:val="24"/>
        </w:rPr>
      </w:pPr>
      <w:r w:rsidRPr="00CD4922">
        <w:rPr>
          <w:rFonts w:ascii="Arial" w:eastAsia="Calibri" w:hAnsi="Arial" w:cs="Arial"/>
          <w:b/>
          <w:bCs/>
          <w:sz w:val="24"/>
          <w:szCs w:val="24"/>
          <w:lang w:eastAsia="en-US"/>
        </w:rPr>
        <w:t>SEXTO. Estudio del Fondo del Asunto.</w:t>
      </w:r>
      <w:r w:rsidRPr="00CD4922">
        <w:rPr>
          <w:rFonts w:ascii="Arial" w:eastAsia="Calibri" w:hAnsi="Arial" w:cs="Arial"/>
          <w:sz w:val="24"/>
          <w:szCs w:val="24"/>
          <w:lang w:eastAsia="en-US"/>
        </w:rPr>
        <w:t xml:space="preserve"> </w:t>
      </w:r>
      <w:r w:rsidR="006F4C7B" w:rsidRPr="00CD4922">
        <w:rPr>
          <w:rFonts w:ascii="Arial" w:hAnsi="Arial" w:cs="Arial"/>
          <w:sz w:val="24"/>
          <w:szCs w:val="24"/>
        </w:rPr>
        <w:t xml:space="preserve">La actora </w:t>
      </w:r>
      <w:r w:rsidR="00FF021A">
        <w:rPr>
          <w:rFonts w:ascii="Arial" w:hAnsi="Arial" w:cs="Arial"/>
          <w:sz w:val="24"/>
          <w:szCs w:val="24"/>
        </w:rPr>
        <w:t>**********</w:t>
      </w:r>
      <w:r w:rsidR="006F4C7B" w:rsidRPr="00CD4922">
        <w:rPr>
          <w:rFonts w:ascii="Arial" w:hAnsi="Arial" w:cs="Arial"/>
          <w:sz w:val="24"/>
          <w:szCs w:val="24"/>
        </w:rPr>
        <w:t xml:space="preserve">, demandó la nulidad del oficio </w:t>
      </w:r>
      <w:r w:rsidR="00FF021A">
        <w:rPr>
          <w:rFonts w:ascii="Arial" w:hAnsi="Arial" w:cs="Arial"/>
          <w:sz w:val="24"/>
          <w:szCs w:val="24"/>
        </w:rPr>
        <w:t>**********</w:t>
      </w:r>
      <w:r w:rsidR="006F4C7B" w:rsidRPr="00CD4922">
        <w:rPr>
          <w:rFonts w:ascii="Arial" w:hAnsi="Arial" w:cs="Arial"/>
          <w:sz w:val="24"/>
          <w:szCs w:val="24"/>
        </w:rPr>
        <w:t xml:space="preserve"> de </w:t>
      </w:r>
      <w:r w:rsidR="00393BB4" w:rsidRPr="00CD4922">
        <w:rPr>
          <w:rFonts w:ascii="Arial" w:hAnsi="Arial" w:cs="Arial"/>
          <w:sz w:val="24"/>
          <w:szCs w:val="24"/>
        </w:rPr>
        <w:t>diecinueve</w:t>
      </w:r>
      <w:r w:rsidR="006F4C7B" w:rsidRPr="00CD4922">
        <w:rPr>
          <w:rFonts w:ascii="Arial" w:hAnsi="Arial" w:cs="Arial"/>
          <w:sz w:val="24"/>
          <w:szCs w:val="24"/>
        </w:rPr>
        <w:t xml:space="preserve"> de agosto de dos mil diecinueve, emitido por el Director General de la Oficina de Pensiones del Estado</w:t>
      </w:r>
      <w:r w:rsidR="00393BB4" w:rsidRPr="00CD4922">
        <w:rPr>
          <w:rFonts w:ascii="Arial" w:hAnsi="Arial" w:cs="Arial"/>
          <w:sz w:val="24"/>
          <w:szCs w:val="24"/>
        </w:rPr>
        <w:t xml:space="preserve"> de Oaxaca</w:t>
      </w:r>
      <w:r w:rsidR="006F4C7B" w:rsidRPr="00CD4922">
        <w:rPr>
          <w:rFonts w:ascii="Arial" w:hAnsi="Arial" w:cs="Arial"/>
          <w:sz w:val="24"/>
          <w:szCs w:val="24"/>
        </w:rPr>
        <w:t>.</w:t>
      </w:r>
      <w:r w:rsidR="006F4C7B" w:rsidRPr="00B12CA8">
        <w:rPr>
          <w:rFonts w:ascii="Arial" w:hAnsi="Arial" w:cs="Arial"/>
          <w:sz w:val="24"/>
          <w:szCs w:val="24"/>
        </w:rPr>
        <w:t xml:space="preserve"> </w:t>
      </w:r>
    </w:p>
    <w:p w14:paraId="0F12426B" w14:textId="36935B61" w:rsidR="006F4C7B" w:rsidRPr="00B12CA8" w:rsidRDefault="006F4C7B" w:rsidP="006F4C7B">
      <w:pPr>
        <w:spacing w:before="240" w:after="0" w:line="360" w:lineRule="auto"/>
        <w:ind w:firstLine="567"/>
        <w:jc w:val="both"/>
        <w:rPr>
          <w:rFonts w:ascii="Arial" w:hAnsi="Arial" w:cs="Arial"/>
          <w:sz w:val="24"/>
          <w:szCs w:val="24"/>
        </w:rPr>
      </w:pPr>
      <w:r w:rsidRPr="00B12CA8">
        <w:rPr>
          <w:rFonts w:ascii="Arial" w:hAnsi="Arial" w:cs="Arial"/>
          <w:sz w:val="24"/>
          <w:szCs w:val="24"/>
        </w:rPr>
        <w:t xml:space="preserve">Al respecto la autoridad demandada únicamente se concretó a reiterar que el acto impugnado cumple cabalmente con los elementos y requisitos que la ley prevé, de conformidad con lo dispuesto por el artículo 17 de la Ley de Procedimiento y Justicia Administrativa para el Estado de Oaxaca; y que por ello a la actora no le asiste razón y carece de interés legítimo para reclamar la nulidad del oficio </w:t>
      </w:r>
      <w:r w:rsidR="00FF021A">
        <w:rPr>
          <w:rFonts w:ascii="Arial" w:hAnsi="Arial" w:cs="Arial"/>
          <w:sz w:val="24"/>
          <w:szCs w:val="24"/>
        </w:rPr>
        <w:t>**********</w:t>
      </w:r>
      <w:r w:rsidRPr="00B12CA8">
        <w:rPr>
          <w:rFonts w:ascii="Arial" w:hAnsi="Arial" w:cs="Arial"/>
          <w:sz w:val="24"/>
          <w:szCs w:val="24"/>
        </w:rPr>
        <w:t xml:space="preserve">. </w:t>
      </w:r>
    </w:p>
    <w:p w14:paraId="4A8AAA82" w14:textId="0DB5D985" w:rsidR="006F4C7B" w:rsidRPr="00B12CA8" w:rsidRDefault="006F4C7B" w:rsidP="006F4C7B">
      <w:pPr>
        <w:spacing w:before="240" w:after="0" w:line="360" w:lineRule="auto"/>
        <w:ind w:firstLine="567"/>
        <w:jc w:val="both"/>
        <w:rPr>
          <w:rFonts w:ascii="Arial" w:hAnsi="Arial" w:cs="Arial"/>
          <w:sz w:val="24"/>
          <w:szCs w:val="24"/>
        </w:rPr>
      </w:pPr>
      <w:r w:rsidRPr="00B12CA8">
        <w:rPr>
          <w:rFonts w:ascii="Arial" w:hAnsi="Arial" w:cs="Arial"/>
          <w:sz w:val="24"/>
          <w:szCs w:val="24"/>
        </w:rPr>
        <w:t xml:space="preserve">Del análisis al oficio impugnado </w:t>
      </w:r>
      <w:r w:rsidR="00FF021A">
        <w:rPr>
          <w:rFonts w:ascii="Arial" w:hAnsi="Arial" w:cs="Arial"/>
          <w:sz w:val="24"/>
          <w:szCs w:val="24"/>
        </w:rPr>
        <w:t>**********</w:t>
      </w:r>
      <w:r w:rsidRPr="00B12CA8">
        <w:rPr>
          <w:rFonts w:ascii="Arial" w:hAnsi="Arial" w:cs="Arial"/>
          <w:sz w:val="24"/>
          <w:szCs w:val="24"/>
        </w:rPr>
        <w:t xml:space="preserve"> de </w:t>
      </w:r>
      <w:r w:rsidR="00393BB4" w:rsidRPr="00B12CA8">
        <w:rPr>
          <w:rFonts w:ascii="Arial" w:hAnsi="Arial" w:cs="Arial"/>
          <w:sz w:val="24"/>
          <w:szCs w:val="24"/>
        </w:rPr>
        <w:t>diecinueve</w:t>
      </w:r>
      <w:r w:rsidRPr="00B12CA8">
        <w:rPr>
          <w:rFonts w:ascii="Arial" w:hAnsi="Arial" w:cs="Arial"/>
          <w:sz w:val="24"/>
          <w:szCs w:val="24"/>
        </w:rPr>
        <w:t xml:space="preserve"> de agosto de dos mil diecinueve, al que se le otorga pleno valor probatorio conforme lo previsto por el artículo 203 fracción I</w:t>
      </w:r>
      <w:r w:rsidRPr="00B12CA8">
        <w:rPr>
          <w:rStyle w:val="Refdenotaalpie"/>
          <w:rFonts w:ascii="Arial" w:hAnsi="Arial" w:cs="Arial"/>
          <w:sz w:val="24"/>
          <w:szCs w:val="24"/>
        </w:rPr>
        <w:footnoteReference w:id="5"/>
      </w:r>
      <w:r w:rsidRPr="00B12CA8">
        <w:rPr>
          <w:rFonts w:ascii="Arial" w:hAnsi="Arial" w:cs="Arial"/>
          <w:sz w:val="24"/>
          <w:szCs w:val="24"/>
        </w:rPr>
        <w:t xml:space="preserve"> de la Ley de Procedimiento y Justicia Administrativa para el Estado de Oaxaca, al tratarse de un documento público, emitido por autoridad en ejercicio de sus facultades, se advierte que la autoridad demandada, en lo que interesa determinó</w:t>
      </w:r>
      <w:r w:rsidR="00393BB4" w:rsidRPr="00B12CA8">
        <w:rPr>
          <w:rFonts w:ascii="Arial" w:hAnsi="Arial" w:cs="Arial"/>
          <w:sz w:val="24"/>
          <w:szCs w:val="24"/>
        </w:rPr>
        <w:t>:</w:t>
      </w:r>
    </w:p>
    <w:p w14:paraId="44BC1A70" w14:textId="7F9704F3" w:rsidR="006F4C7B" w:rsidRPr="00B12CA8" w:rsidRDefault="006F4C7B" w:rsidP="006F4C7B">
      <w:pPr>
        <w:spacing w:before="240" w:after="0" w:line="360" w:lineRule="auto"/>
        <w:ind w:left="1134" w:right="616"/>
        <w:jc w:val="both"/>
        <w:rPr>
          <w:rFonts w:ascii="Arial" w:hAnsi="Arial" w:cs="Arial"/>
          <w:i/>
        </w:rPr>
      </w:pPr>
      <w:r w:rsidRPr="00B12CA8">
        <w:rPr>
          <w:rFonts w:ascii="Arial" w:hAnsi="Arial" w:cs="Arial"/>
        </w:rPr>
        <w:t>“</w:t>
      </w:r>
      <w:r w:rsidR="00393BB4" w:rsidRPr="00B12CA8">
        <w:rPr>
          <w:rFonts w:ascii="Arial" w:hAnsi="Arial" w:cs="Arial"/>
        </w:rPr>
        <w:t xml:space="preserve">(…) </w:t>
      </w:r>
      <w:r w:rsidRPr="00B12CA8">
        <w:rPr>
          <w:rFonts w:ascii="Arial" w:hAnsi="Arial" w:cs="Arial"/>
          <w:i/>
        </w:rPr>
        <w:t xml:space="preserve">Después de proceder al análisis integral y hermenéutico de su petición y del escrito que la contiene, esta Dirección General, haciendo una interpretación lógico-jurídica de su solicitud de referencia, determina que no es procedente concederle la citada entrega o devolución del descuento que se le realizó ni tampoco la cesación del mismo, pues esta autoridad carece de facultades y atribuciones para hacerlo, ya que como lo disponen los artículos 84 y 89 fracción I de la Ley de Pensiones para los Trabajadores del Gobierno del Estado de Oaxaca y 5 fracción XIII y 6 del Reglamento Interno de la Oficina de Pensiones del Estado de Oaxaca, que a continuación se transcriben respectivamente, en este caso en particular únicamente se limita a ejecutar, cumplir y hacer cumplir </w:t>
      </w:r>
      <w:r w:rsidRPr="00B12CA8">
        <w:rPr>
          <w:rFonts w:ascii="Arial" w:hAnsi="Arial" w:cs="Arial"/>
          <w:i/>
        </w:rPr>
        <w:lastRenderedPageBreak/>
        <w:t>los acuerdo del Consejo Directivo de la Oficina de Pensiones del Estado de Oaxaca, máximo órgano de gobierno de esta dependencia.</w:t>
      </w:r>
    </w:p>
    <w:p w14:paraId="7F4F1306" w14:textId="76D10365" w:rsidR="006F4C7B" w:rsidRPr="00B12CA8" w:rsidRDefault="00393BB4" w:rsidP="006F4C7B">
      <w:pPr>
        <w:spacing w:before="240" w:after="0" w:line="360" w:lineRule="auto"/>
        <w:ind w:left="1134" w:right="616"/>
        <w:jc w:val="both"/>
        <w:rPr>
          <w:rFonts w:ascii="Arial" w:hAnsi="Arial" w:cs="Arial"/>
          <w:i/>
        </w:rPr>
      </w:pPr>
      <w:r w:rsidRPr="00B12CA8">
        <w:rPr>
          <w:rFonts w:ascii="Arial" w:hAnsi="Arial" w:cs="Arial"/>
          <w:i/>
        </w:rPr>
        <w:t>(</w:t>
      </w:r>
      <w:r w:rsidR="006F4C7B" w:rsidRPr="00B12CA8">
        <w:rPr>
          <w:rFonts w:ascii="Arial" w:hAnsi="Arial" w:cs="Arial"/>
          <w:i/>
        </w:rPr>
        <w:t>…</w:t>
      </w:r>
      <w:r w:rsidRPr="00B12CA8">
        <w:rPr>
          <w:rFonts w:ascii="Arial" w:hAnsi="Arial" w:cs="Arial"/>
          <w:i/>
        </w:rPr>
        <w:t>)</w:t>
      </w:r>
    </w:p>
    <w:p w14:paraId="1799D34E" w14:textId="77777777" w:rsidR="006F4C7B" w:rsidRPr="00B12CA8" w:rsidRDefault="006F4C7B" w:rsidP="006F4C7B">
      <w:pPr>
        <w:spacing w:before="240" w:after="0" w:line="360" w:lineRule="auto"/>
        <w:ind w:left="1134" w:right="616"/>
        <w:jc w:val="both"/>
        <w:rPr>
          <w:rFonts w:ascii="Arial" w:hAnsi="Arial" w:cs="Arial"/>
          <w:i/>
        </w:rPr>
      </w:pPr>
      <w:r w:rsidRPr="00B12CA8">
        <w:rPr>
          <w:rFonts w:ascii="Arial" w:hAnsi="Arial" w:cs="Arial"/>
          <w:i/>
        </w:rPr>
        <w:t>En razón de lo anterior, la Dirección General de la Oficina de Pensiones del Estado de Oaxaca, es incompetente para hacerle el reintegro en cuestión y ordenar la suspensión de dicho descuento, toda vez que la mencionada deducción hecha al monto de su pensión por jubilación no fue ordenada por ésta autoridad sino por el Consejo Directivo de la Oficina de Pensiones del Estado de Oaxaca, quien, con fundamento en lo previsto por los artículos 79, 82 y 88 fracción I de la Ley de Pensiones para los Trabajadores del Gobierno del Estado de Oaxaca que a la letra dicen:</w:t>
      </w:r>
    </w:p>
    <w:p w14:paraId="034C1036" w14:textId="791BE89F" w:rsidR="006F4C7B" w:rsidRPr="00B12CA8" w:rsidRDefault="00393BB4" w:rsidP="006F4C7B">
      <w:pPr>
        <w:spacing w:before="240" w:after="0" w:line="360" w:lineRule="auto"/>
        <w:ind w:left="1134" w:right="616"/>
        <w:jc w:val="both"/>
        <w:rPr>
          <w:rFonts w:ascii="Arial" w:hAnsi="Arial" w:cs="Arial"/>
          <w:i/>
        </w:rPr>
      </w:pPr>
      <w:r w:rsidRPr="00B12CA8">
        <w:rPr>
          <w:rFonts w:ascii="Arial" w:hAnsi="Arial" w:cs="Arial"/>
          <w:i/>
        </w:rPr>
        <w:t>(</w:t>
      </w:r>
      <w:r w:rsidR="006F4C7B" w:rsidRPr="00B12CA8">
        <w:rPr>
          <w:rFonts w:ascii="Arial" w:hAnsi="Arial" w:cs="Arial"/>
          <w:i/>
        </w:rPr>
        <w:t>…</w:t>
      </w:r>
      <w:r w:rsidRPr="00B12CA8">
        <w:rPr>
          <w:rFonts w:ascii="Arial" w:hAnsi="Arial" w:cs="Arial"/>
          <w:i/>
        </w:rPr>
        <w:t>)</w:t>
      </w:r>
    </w:p>
    <w:p w14:paraId="181695ED" w14:textId="0907E88B" w:rsidR="006F4C7B" w:rsidRPr="00B12CA8" w:rsidRDefault="006F4C7B" w:rsidP="006F4C7B">
      <w:pPr>
        <w:spacing w:before="240" w:after="0" w:line="360" w:lineRule="auto"/>
        <w:ind w:left="1134" w:right="616"/>
        <w:jc w:val="both"/>
        <w:rPr>
          <w:rFonts w:ascii="Arial" w:hAnsi="Arial" w:cs="Arial"/>
          <w:i/>
        </w:rPr>
      </w:pPr>
      <w:r w:rsidRPr="00B12CA8">
        <w:rPr>
          <w:rFonts w:ascii="Arial" w:hAnsi="Arial" w:cs="Arial"/>
          <w:i/>
        </w:rPr>
        <w:t xml:space="preserve">Por ser jurídicamente aplicable, resolvió por unanimidad de votos, en el acuerdo segundo del punto OCHO del orden del día, derivado de la sesión ordinaria de trabajo llevada a cabo el día doce de marzo del año dos mil diecinueve, que para el pago </w:t>
      </w:r>
      <w:r w:rsidR="00393BB4" w:rsidRPr="00B12CA8">
        <w:rPr>
          <w:rFonts w:ascii="Arial" w:hAnsi="Arial" w:cs="Arial"/>
          <w:i/>
        </w:rPr>
        <w:t>del “SEGURO DE VIDA”</w:t>
      </w:r>
      <w:r w:rsidRPr="00B12CA8">
        <w:rPr>
          <w:rFonts w:ascii="Arial" w:hAnsi="Arial" w:cs="Arial"/>
          <w:i/>
        </w:rPr>
        <w:t xml:space="preserve"> cada jubilado o jubilada aporte $10.00 (Diez pesos 00/100 M.N.) por cada jubilado o jubilada fallecido (a), los cuales serán descontados de la siguiente nómina que se procede con posterioridad a la aprobación del pago de seguro de vida respectivo.</w:t>
      </w:r>
    </w:p>
    <w:p w14:paraId="35826251" w14:textId="77777777" w:rsidR="006F4C7B" w:rsidRPr="00B12CA8" w:rsidRDefault="006F4C7B" w:rsidP="006F4C7B">
      <w:pPr>
        <w:spacing w:before="240" w:after="0" w:line="360" w:lineRule="auto"/>
        <w:ind w:left="1134" w:right="616"/>
        <w:jc w:val="both"/>
        <w:rPr>
          <w:rFonts w:ascii="Arial" w:hAnsi="Arial" w:cs="Arial"/>
          <w:i/>
        </w:rPr>
      </w:pPr>
      <w:r w:rsidRPr="00B12CA8">
        <w:rPr>
          <w:rFonts w:ascii="Arial" w:hAnsi="Arial" w:cs="Arial"/>
          <w:i/>
        </w:rPr>
        <w:t xml:space="preserve">Luego entonces, ante tal condición y ser una obligación ineludible de esta autoridad cumplir con el interés público, actuando estrictamente en base a lo que se encuentra regulado en las normas, la Dirección General de la Oficina de Pensiones del Estado de Oaxaca está impedida legalmente, al no tener facultades y atribuciones, para obsequiar su petición como procedente, sin que esto se traduzca en un acto privativo, pues no produce una disminución, menoscabo o supresión definitiva de un derecho del gobernado. Pues, contrario a lo que usted pudiera pensar, esta resolución no le impide gozar con plenitud de sus derechos, ya que éstos no se afectan de manera alguna, pues esta autoridad tiene la obligación de observar y acatar toda la normatividad que establece y regula la actuación de la Oficina de Pensiones del Estado de Oaxaca, porque en caso de no hacerlo se generaría, también, una transgresión a la garantía de Seguridad Jurídica de todos los </w:t>
      </w:r>
      <w:r w:rsidRPr="00B12CA8">
        <w:rPr>
          <w:rFonts w:ascii="Arial" w:hAnsi="Arial" w:cs="Arial"/>
          <w:i/>
        </w:rPr>
        <w:lastRenderedPageBreak/>
        <w:t>administrados, principio básico y fundamental en todo Estado de derecho, constitucional y democrático…”</w:t>
      </w:r>
    </w:p>
    <w:p w14:paraId="66029743" w14:textId="64C61AB3" w:rsidR="006F4C7B" w:rsidRPr="00B12CA8" w:rsidRDefault="006F4C7B" w:rsidP="006F4C7B">
      <w:pPr>
        <w:spacing w:before="240" w:after="0" w:line="360" w:lineRule="auto"/>
        <w:ind w:firstLine="567"/>
        <w:jc w:val="both"/>
        <w:rPr>
          <w:rFonts w:ascii="Arial" w:hAnsi="Arial" w:cs="Arial"/>
          <w:sz w:val="24"/>
          <w:szCs w:val="24"/>
        </w:rPr>
      </w:pPr>
      <w:r w:rsidRPr="00B12CA8">
        <w:rPr>
          <w:rFonts w:ascii="Arial" w:hAnsi="Arial" w:cs="Arial"/>
          <w:sz w:val="24"/>
          <w:szCs w:val="24"/>
        </w:rPr>
        <w:t>La actora en primer lugar esencialmente alega, que conforme a lo dispuesto por los artículos 6, 18, 19, 20 y 21 del Reglamento del Fondo de Protección Mutua de los Trabajadores de Base al Servicio de los Poderes del Estado y Entidades Paraestatales; así como los diversos 1, 3 y 5 de la Reglas de los Seguros de Vida y Servicios Médicos de la Oficina de Pensiones del Estado de Oaxaca; no establecen que los trabajadores del Estado de Oaxaca, al jubilarse o posteriormente deban realizar aportación alguna periódicamente para que se le realice el pago de seguro de vida a sus beneficiarios al momento de su fallecimi</w:t>
      </w:r>
      <w:r w:rsidR="00D754B9">
        <w:rPr>
          <w:rFonts w:ascii="Arial" w:hAnsi="Arial" w:cs="Arial"/>
          <w:sz w:val="24"/>
          <w:szCs w:val="24"/>
        </w:rPr>
        <w:t>ento; ni establece que se negará o condicionará</w:t>
      </w:r>
      <w:r w:rsidRPr="00B12CA8">
        <w:rPr>
          <w:rFonts w:ascii="Arial" w:hAnsi="Arial" w:cs="Arial"/>
          <w:sz w:val="24"/>
          <w:szCs w:val="24"/>
        </w:rPr>
        <w:t xml:space="preserve"> el pago de seguro de vida a los beneficiarios, cuando los trabajadores jubilados no realicen estas aportaciones. </w:t>
      </w:r>
    </w:p>
    <w:p w14:paraId="0C71DD61" w14:textId="4F48A2A1" w:rsidR="006F4C7B" w:rsidRPr="00B12CA8" w:rsidRDefault="006F4C7B" w:rsidP="006F4C7B">
      <w:pPr>
        <w:spacing w:before="240" w:after="0" w:line="360" w:lineRule="auto"/>
        <w:ind w:firstLine="567"/>
        <w:jc w:val="both"/>
        <w:rPr>
          <w:rFonts w:ascii="Arial" w:hAnsi="Arial" w:cs="Arial"/>
          <w:sz w:val="24"/>
          <w:szCs w:val="24"/>
        </w:rPr>
      </w:pPr>
      <w:r w:rsidRPr="00B12CA8">
        <w:rPr>
          <w:rFonts w:ascii="Arial" w:hAnsi="Arial" w:cs="Arial"/>
          <w:sz w:val="24"/>
          <w:szCs w:val="24"/>
        </w:rPr>
        <w:t xml:space="preserve">Estas alegaciones, resultan </w:t>
      </w:r>
      <w:r w:rsidRPr="00B12CA8">
        <w:rPr>
          <w:rFonts w:ascii="Arial" w:hAnsi="Arial" w:cs="Arial"/>
          <w:b/>
          <w:sz w:val="24"/>
          <w:szCs w:val="24"/>
        </w:rPr>
        <w:t>ineficaces</w:t>
      </w:r>
      <w:r w:rsidRPr="00B12CA8">
        <w:rPr>
          <w:rFonts w:ascii="Arial" w:hAnsi="Arial" w:cs="Arial"/>
          <w:sz w:val="24"/>
          <w:szCs w:val="24"/>
        </w:rPr>
        <w:t>, porque del oficio impugnado que ha quedado reseñado con antelación, se advierte que la emisora, aquí autoridad demandada, no estableció la improcedencia de la devolución del concepto de “seguro de vida”, por las consideraciones señaladas por la demandante, sino por las razones que ya se han apuntado; es decir, por considerarse incompetente para realizar el reintegro y ordenar la suspensión del descuento</w:t>
      </w:r>
      <w:r w:rsidR="00C53E6C" w:rsidRPr="00B12CA8">
        <w:rPr>
          <w:rFonts w:ascii="Arial" w:hAnsi="Arial" w:cs="Arial"/>
          <w:sz w:val="24"/>
          <w:szCs w:val="24"/>
        </w:rPr>
        <w:t>.</w:t>
      </w:r>
      <w:r w:rsidRPr="00B12CA8">
        <w:rPr>
          <w:rFonts w:ascii="Arial" w:hAnsi="Arial" w:cs="Arial"/>
          <w:sz w:val="24"/>
          <w:szCs w:val="24"/>
        </w:rPr>
        <w:t xml:space="preserve"> </w:t>
      </w:r>
    </w:p>
    <w:p w14:paraId="07468545" w14:textId="338D1D72" w:rsidR="006F4C7B" w:rsidRPr="00B12CA8" w:rsidRDefault="006F4C7B" w:rsidP="006F4C7B">
      <w:pPr>
        <w:spacing w:before="240" w:after="0" w:line="360" w:lineRule="auto"/>
        <w:ind w:firstLine="567"/>
        <w:jc w:val="both"/>
        <w:rPr>
          <w:rFonts w:ascii="Arial" w:hAnsi="Arial" w:cs="Arial"/>
          <w:sz w:val="24"/>
          <w:szCs w:val="24"/>
        </w:rPr>
      </w:pPr>
      <w:r w:rsidRPr="00B12CA8">
        <w:rPr>
          <w:rFonts w:ascii="Arial" w:hAnsi="Arial" w:cs="Arial"/>
          <w:sz w:val="24"/>
          <w:szCs w:val="24"/>
        </w:rPr>
        <w:t>También refiere, que los preceptos legales citados en dicho acto, únicamente establecen las facultades, obligaciones y atribuciones otorgadas al Director General de la Oficina de Pensiones y que el acuerdo emitido por el Consejo Directivo de la Oficina de Pensiones, tomado en sesión de doce de marzo de dos mil diecinueve, no es fundamento legal para realizarle el descuento del que se duele</w:t>
      </w:r>
      <w:r w:rsidR="00C53E6C" w:rsidRPr="00B12CA8">
        <w:rPr>
          <w:rFonts w:ascii="Arial" w:hAnsi="Arial" w:cs="Arial"/>
          <w:sz w:val="24"/>
          <w:szCs w:val="24"/>
        </w:rPr>
        <w:t>.</w:t>
      </w:r>
    </w:p>
    <w:p w14:paraId="37734FEE" w14:textId="38CB8839" w:rsidR="006F4C7B" w:rsidRPr="00B12CA8" w:rsidRDefault="006F4C7B" w:rsidP="006F4C7B">
      <w:pPr>
        <w:spacing w:before="240" w:after="0" w:line="360" w:lineRule="auto"/>
        <w:ind w:firstLine="567"/>
        <w:jc w:val="both"/>
        <w:rPr>
          <w:rFonts w:ascii="Arial" w:hAnsi="Arial" w:cs="Arial"/>
          <w:sz w:val="24"/>
          <w:szCs w:val="24"/>
        </w:rPr>
      </w:pPr>
      <w:r w:rsidRPr="00B12CA8">
        <w:rPr>
          <w:rFonts w:ascii="Arial" w:hAnsi="Arial" w:cs="Arial"/>
          <w:sz w:val="24"/>
          <w:szCs w:val="24"/>
        </w:rPr>
        <w:t xml:space="preserve">Estas alegaciones, también son </w:t>
      </w:r>
      <w:r w:rsidRPr="00B12CA8">
        <w:rPr>
          <w:rFonts w:ascii="Arial" w:hAnsi="Arial" w:cs="Arial"/>
          <w:b/>
          <w:sz w:val="24"/>
          <w:szCs w:val="24"/>
        </w:rPr>
        <w:t>ineficaces</w:t>
      </w:r>
      <w:r w:rsidRPr="00B12CA8">
        <w:rPr>
          <w:rFonts w:ascii="Arial" w:hAnsi="Arial" w:cs="Arial"/>
          <w:sz w:val="24"/>
          <w:szCs w:val="24"/>
        </w:rPr>
        <w:t xml:space="preserve">, al no emitir con ellos, razonamiento alguno encaminado a combatir la validez del acto administrativo oficio </w:t>
      </w:r>
      <w:r w:rsidR="00FF021A">
        <w:rPr>
          <w:rFonts w:ascii="Arial" w:hAnsi="Arial" w:cs="Arial"/>
          <w:sz w:val="24"/>
          <w:szCs w:val="24"/>
        </w:rPr>
        <w:t>**********</w:t>
      </w:r>
      <w:r w:rsidRPr="00B12CA8">
        <w:rPr>
          <w:rFonts w:ascii="Arial" w:hAnsi="Arial" w:cs="Arial"/>
          <w:sz w:val="24"/>
          <w:szCs w:val="24"/>
        </w:rPr>
        <w:t xml:space="preserve"> de </w:t>
      </w:r>
      <w:r w:rsidR="00C53E6C" w:rsidRPr="00B12CA8">
        <w:rPr>
          <w:rFonts w:ascii="Arial" w:hAnsi="Arial" w:cs="Arial"/>
          <w:sz w:val="24"/>
          <w:szCs w:val="24"/>
        </w:rPr>
        <w:t>diecinueve</w:t>
      </w:r>
      <w:r w:rsidRPr="00B12CA8">
        <w:rPr>
          <w:rFonts w:ascii="Arial" w:hAnsi="Arial" w:cs="Arial"/>
          <w:sz w:val="24"/>
          <w:szCs w:val="24"/>
        </w:rPr>
        <w:t xml:space="preserve"> de agosto de dos mil diecinueve, emitido por el Director General de la Oficina de Pensiones del Estado de Oaxaca, al dar respuesta a la petición que realizó ante ella, mediante escrito de </w:t>
      </w:r>
      <w:r w:rsidR="00C53E6C" w:rsidRPr="00B12CA8">
        <w:rPr>
          <w:rFonts w:ascii="Arial" w:hAnsi="Arial" w:cs="Arial"/>
          <w:sz w:val="24"/>
          <w:szCs w:val="24"/>
        </w:rPr>
        <w:t>seis</w:t>
      </w:r>
      <w:r w:rsidRPr="00B12CA8">
        <w:rPr>
          <w:rFonts w:ascii="Arial" w:hAnsi="Arial" w:cs="Arial"/>
          <w:sz w:val="24"/>
          <w:szCs w:val="24"/>
        </w:rPr>
        <w:t xml:space="preserve"> de agosto de dos mil diecinueve; pues sólo se concreta a decir, que los preceptos legales citados, únicamente establecen las facultades, obligaciones y atribuciones otorgadas al Director General de la Oficina de Pensiones; lo cual es verdad, porque de la lectura al oficio impugnado, se advierte que en los artículos 84 y 89 fracción I de la Ley de Pensiones para los Trabajadores del Gobierno del Estado de Oaxaca, en efecto se establecen las facultades y obligaciones del Director General de la Oficina de Pensiones, entre las que se encuentran las de ejecutar, cumplir y hacer cumplir los acuerdos del Consejo Directivo</w:t>
      </w:r>
      <w:r w:rsidR="00C53E6C" w:rsidRPr="00B12CA8">
        <w:rPr>
          <w:rFonts w:ascii="Arial" w:hAnsi="Arial" w:cs="Arial"/>
          <w:sz w:val="24"/>
          <w:szCs w:val="24"/>
        </w:rPr>
        <w:t>.</w:t>
      </w:r>
      <w:r w:rsidRPr="00B12CA8">
        <w:rPr>
          <w:rFonts w:ascii="Arial" w:hAnsi="Arial" w:cs="Arial"/>
          <w:sz w:val="24"/>
          <w:szCs w:val="24"/>
        </w:rPr>
        <w:t xml:space="preserve"> </w:t>
      </w:r>
    </w:p>
    <w:p w14:paraId="5DCE2936" w14:textId="087498B0" w:rsidR="006F4C7B" w:rsidRPr="00B12CA8" w:rsidRDefault="006F4C7B" w:rsidP="006F4C7B">
      <w:pPr>
        <w:spacing w:before="240" w:after="0" w:line="360" w:lineRule="auto"/>
        <w:ind w:firstLine="567"/>
        <w:jc w:val="both"/>
        <w:rPr>
          <w:rFonts w:ascii="Arial" w:hAnsi="Arial" w:cs="Arial"/>
          <w:sz w:val="24"/>
          <w:szCs w:val="24"/>
        </w:rPr>
      </w:pPr>
      <w:r w:rsidRPr="00B12CA8">
        <w:rPr>
          <w:rFonts w:ascii="Arial" w:hAnsi="Arial" w:cs="Arial"/>
          <w:sz w:val="24"/>
          <w:szCs w:val="24"/>
        </w:rPr>
        <w:lastRenderedPageBreak/>
        <w:t>En otra parte de sus conceptos de impugnación,</w:t>
      </w:r>
      <w:r w:rsidR="00C53E6C" w:rsidRPr="00B12CA8">
        <w:rPr>
          <w:rFonts w:ascii="Arial" w:hAnsi="Arial" w:cs="Arial"/>
          <w:sz w:val="24"/>
          <w:szCs w:val="24"/>
        </w:rPr>
        <w:t xml:space="preserve"> visto a foja 4 reverso del presente expediente,</w:t>
      </w:r>
      <w:r w:rsidRPr="00B12CA8">
        <w:rPr>
          <w:rFonts w:ascii="Arial" w:hAnsi="Arial" w:cs="Arial"/>
          <w:sz w:val="24"/>
          <w:szCs w:val="24"/>
        </w:rPr>
        <w:t xml:space="preserve"> aduce también, que el Consejo Directivo de la Oficina de Pensiones</w:t>
      </w:r>
      <w:r>
        <w:rPr>
          <w:rFonts w:ascii="Arial" w:hAnsi="Arial" w:cs="Arial"/>
          <w:sz w:val="26"/>
          <w:szCs w:val="26"/>
        </w:rPr>
        <w:t xml:space="preserve"> “</w:t>
      </w:r>
      <w:r w:rsidRPr="00342997">
        <w:rPr>
          <w:rFonts w:ascii="Arial" w:hAnsi="Arial" w:cs="Arial"/>
          <w:i/>
          <w:sz w:val="24"/>
          <w:szCs w:val="24"/>
        </w:rPr>
        <w:t>debió exponer las razones para emitir dicho acuerd</w:t>
      </w:r>
      <w:r>
        <w:rPr>
          <w:rFonts w:ascii="Arial" w:hAnsi="Arial" w:cs="Arial"/>
          <w:i/>
          <w:sz w:val="24"/>
          <w:szCs w:val="24"/>
        </w:rPr>
        <w:t>o y analizar el perjuicio que podría causar a los derechos de cada uno de los jubilados</w:t>
      </w:r>
      <w:r>
        <w:rPr>
          <w:rFonts w:ascii="Arial" w:hAnsi="Arial" w:cs="Arial"/>
          <w:sz w:val="26"/>
          <w:szCs w:val="26"/>
        </w:rPr>
        <w:t xml:space="preserve">”; </w:t>
      </w:r>
      <w:r w:rsidRPr="00B12CA8">
        <w:rPr>
          <w:rFonts w:ascii="Arial" w:hAnsi="Arial" w:cs="Arial"/>
          <w:sz w:val="24"/>
          <w:szCs w:val="24"/>
        </w:rPr>
        <w:t>y que es procedente se aplique en su favor la protección más amplia como persona de los derechos humanos reconocidos en la Constitución Política de los Estados Unidos Mexicanos y en los Tratados Internacionales de los que el Estado Mexicano es parte</w:t>
      </w:r>
      <w:r w:rsidR="00C53E6C" w:rsidRPr="00B12CA8">
        <w:rPr>
          <w:rFonts w:ascii="Arial" w:hAnsi="Arial" w:cs="Arial"/>
          <w:sz w:val="24"/>
          <w:szCs w:val="24"/>
        </w:rPr>
        <w:t>.</w:t>
      </w:r>
      <w:r w:rsidRPr="00B12CA8">
        <w:rPr>
          <w:rFonts w:ascii="Arial" w:hAnsi="Arial" w:cs="Arial"/>
          <w:sz w:val="24"/>
          <w:szCs w:val="24"/>
        </w:rPr>
        <w:t xml:space="preserve"> </w:t>
      </w:r>
    </w:p>
    <w:p w14:paraId="490FEEF5" w14:textId="6290EDF3" w:rsidR="006F4C7B" w:rsidRPr="00B12CA8" w:rsidRDefault="006F4C7B" w:rsidP="006F4C7B">
      <w:pPr>
        <w:spacing w:before="240" w:after="0" w:line="360" w:lineRule="auto"/>
        <w:ind w:firstLine="567"/>
        <w:jc w:val="both"/>
        <w:rPr>
          <w:rFonts w:ascii="Arial" w:hAnsi="Arial" w:cs="Arial"/>
          <w:sz w:val="24"/>
          <w:szCs w:val="24"/>
        </w:rPr>
      </w:pPr>
      <w:r w:rsidRPr="00B12CA8">
        <w:rPr>
          <w:rFonts w:ascii="Arial" w:hAnsi="Arial" w:cs="Arial"/>
          <w:sz w:val="24"/>
          <w:szCs w:val="24"/>
        </w:rPr>
        <w:t>Por lo que si bien, la demandada determinó negar la devolución del concepto de seguro de vida, basándose principalmente en que es incompetente para realizar el reintegró y la suspensión del descuento solicitado, por así establecerlo los artículos 84 y 89 fracción de la Ley de Pensiones para los Trabajadores del Gobierno del Estado de Oaxaca; así como los diversos 5 fracción XIII y 6 del Reglamento Interno de la Oficina de Pensiones</w:t>
      </w:r>
      <w:r w:rsidR="00C53E6C" w:rsidRPr="00B12CA8">
        <w:rPr>
          <w:rFonts w:ascii="Arial" w:hAnsi="Arial" w:cs="Arial"/>
          <w:sz w:val="24"/>
          <w:szCs w:val="24"/>
        </w:rPr>
        <w:t>.</w:t>
      </w:r>
      <w:r w:rsidRPr="00B12CA8">
        <w:rPr>
          <w:rFonts w:ascii="Arial" w:hAnsi="Arial" w:cs="Arial"/>
          <w:sz w:val="24"/>
          <w:szCs w:val="24"/>
        </w:rPr>
        <w:t xml:space="preserve"> </w:t>
      </w:r>
    </w:p>
    <w:p w14:paraId="034F0DE4" w14:textId="73541103" w:rsidR="006F4C7B" w:rsidRDefault="006F4C7B" w:rsidP="006F4C7B">
      <w:pPr>
        <w:spacing w:before="240" w:after="0" w:line="360" w:lineRule="auto"/>
        <w:ind w:firstLine="567"/>
        <w:jc w:val="both"/>
        <w:rPr>
          <w:rFonts w:ascii="Arial" w:hAnsi="Arial" w:cs="Arial"/>
          <w:sz w:val="24"/>
          <w:szCs w:val="24"/>
        </w:rPr>
      </w:pPr>
      <w:r w:rsidRPr="00B12CA8">
        <w:rPr>
          <w:rFonts w:ascii="Arial" w:hAnsi="Arial" w:cs="Arial"/>
          <w:sz w:val="24"/>
          <w:szCs w:val="24"/>
        </w:rPr>
        <w:t xml:space="preserve">Esta consideración, transgrede en perjuicio de la administrada su derecho a recibir una respuesta a su petición de manera fundada y motivada; esto es así, porque si bien como lo aludió la demandada, dichos preceptos legales únicamente lo facultan para ejecutar, cumplir y hacer cumplir los acuerdos del Consejo Directivo de la Oficina de Pensiones del Estado de Oaxaca; </w:t>
      </w:r>
      <w:r w:rsidRPr="00B12CA8">
        <w:rPr>
          <w:rFonts w:ascii="Arial" w:hAnsi="Arial" w:cs="Arial"/>
          <w:b/>
          <w:sz w:val="24"/>
          <w:szCs w:val="24"/>
        </w:rPr>
        <w:t>también es verdad</w:t>
      </w:r>
      <w:r w:rsidRPr="00B12CA8">
        <w:rPr>
          <w:rFonts w:ascii="Arial" w:hAnsi="Arial" w:cs="Arial"/>
          <w:sz w:val="24"/>
          <w:szCs w:val="24"/>
        </w:rPr>
        <w:t>, que la fracción IX del artículo 89</w:t>
      </w:r>
      <w:r w:rsidRPr="00B12CA8">
        <w:rPr>
          <w:rStyle w:val="Refdenotaalpie"/>
          <w:rFonts w:ascii="Arial" w:hAnsi="Arial" w:cs="Arial"/>
          <w:sz w:val="24"/>
          <w:szCs w:val="24"/>
        </w:rPr>
        <w:footnoteReference w:id="6"/>
      </w:r>
      <w:r w:rsidRPr="00B12CA8">
        <w:rPr>
          <w:rFonts w:ascii="Arial" w:hAnsi="Arial" w:cs="Arial"/>
          <w:sz w:val="24"/>
          <w:szCs w:val="24"/>
        </w:rPr>
        <w:t xml:space="preserve"> de la Ley de Pensiones, establece que el Director General de la Oficina de Pensiones tiene la obligación de someter al acuerdo del Consejo Directivo los asuntos de su competencia; obligación que no acató el Director General de la Oficina de Pensiones, pues tomando</w:t>
      </w:r>
      <w:r w:rsidR="00DE2509">
        <w:rPr>
          <w:rFonts w:ascii="Arial" w:hAnsi="Arial" w:cs="Arial"/>
          <w:sz w:val="24"/>
          <w:szCs w:val="24"/>
        </w:rPr>
        <w:t xml:space="preserve"> en consideración que el descuen</w:t>
      </w:r>
      <w:r w:rsidRPr="00B12CA8">
        <w:rPr>
          <w:rFonts w:ascii="Arial" w:hAnsi="Arial" w:cs="Arial"/>
          <w:sz w:val="24"/>
          <w:szCs w:val="24"/>
        </w:rPr>
        <w:t xml:space="preserve">to realizado a la aquí actora, </w:t>
      </w:r>
      <w:r w:rsidR="00DE2509">
        <w:rPr>
          <w:rFonts w:ascii="Arial" w:hAnsi="Arial" w:cs="Arial"/>
          <w:sz w:val="24"/>
          <w:szCs w:val="24"/>
        </w:rPr>
        <w:t>fue en atención</w:t>
      </w:r>
      <w:r w:rsidRPr="00B12CA8">
        <w:rPr>
          <w:rFonts w:ascii="Arial" w:hAnsi="Arial" w:cs="Arial"/>
          <w:sz w:val="24"/>
          <w:szCs w:val="24"/>
        </w:rPr>
        <w:t xml:space="preserve"> a un acuerdo emitido y ordenado por el Consejo Directivo de la referida Oficina de Pensiones, </w:t>
      </w:r>
      <w:r w:rsidR="00DE2509">
        <w:rPr>
          <w:rFonts w:ascii="Arial" w:hAnsi="Arial" w:cs="Arial"/>
          <w:sz w:val="24"/>
          <w:szCs w:val="24"/>
        </w:rPr>
        <w:t xml:space="preserve"> es que </w:t>
      </w:r>
      <w:r w:rsidRPr="00B12CA8">
        <w:rPr>
          <w:rFonts w:ascii="Arial" w:hAnsi="Arial" w:cs="Arial"/>
          <w:b/>
          <w:bCs/>
          <w:sz w:val="24"/>
          <w:szCs w:val="24"/>
        </w:rPr>
        <w:t>debió</w:t>
      </w:r>
      <w:r w:rsidRPr="00B12CA8">
        <w:rPr>
          <w:rFonts w:ascii="Arial" w:hAnsi="Arial" w:cs="Arial"/>
          <w:sz w:val="24"/>
          <w:szCs w:val="24"/>
        </w:rPr>
        <w:t xml:space="preserve"> entonces someter a consideración de ese órgano, la solicitud de la actora, para que acordaran lo procedente respecto a la devolución del concepto de seguro de vida que le fue realizado a su pago de pensión por jubilación a partir del mes de agosto de dos mil diecinueve, así como lo correspondiente a la petición de la suspensión de tal descuesto en lo subsecuente</w:t>
      </w:r>
      <w:r w:rsidR="004A098D" w:rsidRPr="00B12CA8">
        <w:rPr>
          <w:rFonts w:ascii="Arial" w:hAnsi="Arial" w:cs="Arial"/>
          <w:sz w:val="24"/>
          <w:szCs w:val="24"/>
        </w:rPr>
        <w:t>.</w:t>
      </w:r>
    </w:p>
    <w:p w14:paraId="5FB59338" w14:textId="77777777" w:rsidR="00B12CA8" w:rsidRPr="00B12CA8" w:rsidRDefault="00B12CA8" w:rsidP="006F4C7B">
      <w:pPr>
        <w:spacing w:before="240" w:after="0" w:line="360" w:lineRule="auto"/>
        <w:ind w:firstLine="567"/>
        <w:jc w:val="both"/>
        <w:rPr>
          <w:rFonts w:ascii="Arial" w:hAnsi="Arial" w:cs="Arial"/>
          <w:sz w:val="24"/>
          <w:szCs w:val="24"/>
        </w:rPr>
      </w:pPr>
    </w:p>
    <w:p w14:paraId="75DAF224" w14:textId="65CF607D" w:rsidR="00B12CA8" w:rsidRPr="00B12CA8" w:rsidRDefault="006F4C7B" w:rsidP="00B12CA8">
      <w:pPr>
        <w:tabs>
          <w:tab w:val="right" w:pos="8789"/>
        </w:tabs>
        <w:spacing w:after="0" w:line="360" w:lineRule="auto"/>
        <w:ind w:firstLine="567"/>
        <w:jc w:val="both"/>
        <w:rPr>
          <w:rFonts w:ascii="Arial" w:eastAsia="Calibri" w:hAnsi="Arial" w:cs="Arial"/>
          <w:sz w:val="24"/>
          <w:szCs w:val="24"/>
          <w:lang w:eastAsia="en-US"/>
        </w:rPr>
      </w:pPr>
      <w:r w:rsidRPr="00B12CA8">
        <w:rPr>
          <w:rFonts w:ascii="Arial" w:hAnsi="Arial" w:cs="Arial"/>
          <w:sz w:val="24"/>
          <w:szCs w:val="24"/>
        </w:rPr>
        <w:lastRenderedPageBreak/>
        <w:t xml:space="preserve">Actuación de la demandada, que llevó a la administrada a un estado de indefensión, al dejarla sin una respuesta debidamente fundada y motivada de las razones por las que no </w:t>
      </w:r>
      <w:r w:rsidR="004A098D" w:rsidRPr="00B12CA8">
        <w:rPr>
          <w:rFonts w:ascii="Arial" w:hAnsi="Arial" w:cs="Arial"/>
          <w:sz w:val="24"/>
          <w:szCs w:val="24"/>
        </w:rPr>
        <w:t>fue procedente su solicitud, violando con esto lo establecido en el párrafo primero del artículo 16 de la Carta Magna</w:t>
      </w:r>
      <w:r w:rsidR="00B12CA8" w:rsidRPr="00B12CA8">
        <w:rPr>
          <w:rFonts w:ascii="Arial" w:eastAsia="Calibri" w:hAnsi="Arial" w:cs="Arial"/>
          <w:sz w:val="24"/>
          <w:szCs w:val="24"/>
          <w:lang w:eastAsia="en-US"/>
        </w:rPr>
        <w:t xml:space="preserve">, nadie </w:t>
      </w:r>
      <w:r w:rsidR="00B12CA8" w:rsidRPr="00B12CA8">
        <w:rPr>
          <w:rFonts w:ascii="Arial" w:eastAsia="Calibri" w:hAnsi="Arial" w:cs="Arial"/>
          <w:i/>
          <w:sz w:val="24"/>
          <w:szCs w:val="24"/>
          <w:lang w:eastAsia="en-US"/>
        </w:rPr>
        <w:t>“puede ser molestado en su persona, familia, domicilio, papeles o posesiones sino en virtud de mandamiento escrito de la autoridad competente, que funde y motive la causa legal del procedimiento.</w:t>
      </w:r>
      <w:r w:rsidR="00B12CA8" w:rsidRPr="00B12CA8">
        <w:rPr>
          <w:rFonts w:ascii="Arial" w:eastAsia="Calibri" w:hAnsi="Arial" w:cs="Arial"/>
          <w:i/>
          <w:sz w:val="24"/>
          <w:szCs w:val="24"/>
          <w:vertAlign w:val="superscript"/>
          <w:lang w:eastAsia="en-US"/>
        </w:rPr>
        <w:footnoteReference w:id="7"/>
      </w:r>
      <w:r w:rsidR="00B12CA8" w:rsidRPr="00B12CA8">
        <w:rPr>
          <w:rFonts w:ascii="Arial" w:eastAsia="Calibri" w:hAnsi="Arial" w:cs="Arial"/>
          <w:i/>
          <w:sz w:val="24"/>
          <w:szCs w:val="24"/>
          <w:lang w:eastAsia="en-US"/>
        </w:rPr>
        <w:t>”</w:t>
      </w:r>
    </w:p>
    <w:p w14:paraId="0AD491FD" w14:textId="53DDB631" w:rsidR="006F4C7B" w:rsidRPr="00B12CA8" w:rsidRDefault="006F4C7B" w:rsidP="006F4C7B">
      <w:pPr>
        <w:spacing w:before="240" w:after="0" w:line="360" w:lineRule="auto"/>
        <w:ind w:firstLine="567"/>
        <w:jc w:val="both"/>
        <w:rPr>
          <w:rFonts w:ascii="Arial" w:hAnsi="Arial" w:cs="Arial"/>
          <w:sz w:val="24"/>
          <w:szCs w:val="24"/>
        </w:rPr>
      </w:pPr>
    </w:p>
    <w:p w14:paraId="17F14632" w14:textId="137D5193" w:rsidR="006F4C7B" w:rsidRDefault="006F4C7B" w:rsidP="006F4C7B">
      <w:pPr>
        <w:spacing w:before="240" w:line="360" w:lineRule="auto"/>
        <w:ind w:firstLine="567"/>
        <w:jc w:val="both"/>
        <w:rPr>
          <w:rFonts w:ascii="Arial" w:hAnsi="Arial" w:cs="Arial"/>
          <w:sz w:val="26"/>
          <w:szCs w:val="26"/>
        </w:rPr>
      </w:pPr>
      <w:r>
        <w:rPr>
          <w:rFonts w:ascii="Arial" w:hAnsi="Arial" w:cs="Arial"/>
          <w:sz w:val="26"/>
          <w:szCs w:val="26"/>
        </w:rPr>
        <w:t xml:space="preserve">De acuerdo a lo anteriormente puntualizado, conforme lo estatuido por el </w:t>
      </w:r>
      <w:r w:rsidRPr="004B23F2">
        <w:rPr>
          <w:rFonts w:ascii="Arial" w:hAnsi="Arial" w:cs="Arial"/>
          <w:sz w:val="26"/>
          <w:szCs w:val="26"/>
        </w:rPr>
        <w:t>artículo 17 fracción V</w:t>
      </w:r>
      <w:r w:rsidRPr="004B23F2">
        <w:rPr>
          <w:rStyle w:val="Refdenotaalpie"/>
          <w:rFonts w:ascii="Arial" w:hAnsi="Arial" w:cs="Arial"/>
          <w:sz w:val="26"/>
          <w:szCs w:val="26"/>
        </w:rPr>
        <w:footnoteReference w:id="8"/>
      </w:r>
      <w:r>
        <w:rPr>
          <w:rFonts w:ascii="Arial" w:hAnsi="Arial" w:cs="Arial"/>
          <w:sz w:val="26"/>
          <w:szCs w:val="26"/>
        </w:rPr>
        <w:t xml:space="preserve"> </w:t>
      </w:r>
      <w:r w:rsidRPr="004B23F2">
        <w:rPr>
          <w:rFonts w:ascii="Arial" w:hAnsi="Arial" w:cs="Arial"/>
          <w:sz w:val="26"/>
          <w:szCs w:val="26"/>
        </w:rPr>
        <w:t xml:space="preserve">de la Ley de Procedimiento y Justicia Administrativa para el Estado de Oaxaca, </w:t>
      </w:r>
      <w:r>
        <w:rPr>
          <w:rFonts w:ascii="Arial" w:hAnsi="Arial" w:cs="Arial"/>
          <w:sz w:val="26"/>
          <w:szCs w:val="26"/>
        </w:rPr>
        <w:t xml:space="preserve">que establece </w:t>
      </w:r>
      <w:r w:rsidRPr="004B23F2">
        <w:rPr>
          <w:rFonts w:ascii="Arial" w:hAnsi="Arial" w:cs="Arial"/>
          <w:sz w:val="26"/>
          <w:szCs w:val="26"/>
        </w:rPr>
        <w:t xml:space="preserve">como </w:t>
      </w:r>
      <w:r>
        <w:rPr>
          <w:rFonts w:ascii="Arial" w:hAnsi="Arial" w:cs="Arial"/>
          <w:sz w:val="26"/>
          <w:szCs w:val="26"/>
        </w:rPr>
        <w:t xml:space="preserve">uno de los </w:t>
      </w:r>
      <w:r w:rsidRPr="004B23F2">
        <w:rPr>
          <w:rFonts w:ascii="Arial" w:hAnsi="Arial" w:cs="Arial"/>
          <w:sz w:val="26"/>
          <w:szCs w:val="26"/>
        </w:rPr>
        <w:t>requisit</w:t>
      </w:r>
      <w:r>
        <w:rPr>
          <w:rFonts w:ascii="Arial" w:hAnsi="Arial" w:cs="Arial"/>
          <w:sz w:val="26"/>
          <w:szCs w:val="26"/>
        </w:rPr>
        <w:t xml:space="preserve">os de validez del </w:t>
      </w:r>
      <w:r w:rsidRPr="004B23F2">
        <w:rPr>
          <w:rFonts w:ascii="Arial" w:hAnsi="Arial" w:cs="Arial"/>
          <w:sz w:val="26"/>
          <w:szCs w:val="26"/>
        </w:rPr>
        <w:t xml:space="preserve">acto administrativo, que </w:t>
      </w:r>
      <w:r>
        <w:rPr>
          <w:rFonts w:ascii="Arial" w:hAnsi="Arial" w:cs="Arial"/>
          <w:sz w:val="26"/>
          <w:szCs w:val="26"/>
        </w:rPr>
        <w:t xml:space="preserve">este </w:t>
      </w:r>
      <w:r w:rsidRPr="004B23F2">
        <w:rPr>
          <w:rFonts w:ascii="Arial" w:hAnsi="Arial" w:cs="Arial"/>
          <w:sz w:val="26"/>
          <w:szCs w:val="26"/>
        </w:rPr>
        <w:t xml:space="preserve">debe estar fundado y motivado; </w:t>
      </w:r>
      <w:r>
        <w:rPr>
          <w:rFonts w:ascii="Arial" w:hAnsi="Arial" w:cs="Arial"/>
          <w:sz w:val="26"/>
          <w:szCs w:val="26"/>
        </w:rPr>
        <w:t>se revela que en el caso no acontece tal condición de validez</w:t>
      </w:r>
      <w:r w:rsidR="004A098D">
        <w:rPr>
          <w:rFonts w:ascii="Arial" w:hAnsi="Arial" w:cs="Arial"/>
          <w:sz w:val="26"/>
          <w:szCs w:val="26"/>
        </w:rPr>
        <w:t>.</w:t>
      </w:r>
    </w:p>
    <w:p w14:paraId="1E1EA7E0" w14:textId="77777777" w:rsidR="006F4C7B" w:rsidRPr="004B23F2" w:rsidRDefault="006F4C7B" w:rsidP="006F4C7B">
      <w:pPr>
        <w:spacing w:before="240" w:line="360" w:lineRule="auto"/>
        <w:ind w:firstLine="567"/>
        <w:jc w:val="both"/>
        <w:rPr>
          <w:rFonts w:ascii="Arial" w:eastAsia="Times New Roman" w:hAnsi="Arial" w:cs="Arial"/>
          <w:noProof/>
          <w:sz w:val="26"/>
          <w:szCs w:val="26"/>
        </w:rPr>
      </w:pPr>
      <w:r>
        <w:rPr>
          <w:rFonts w:ascii="Arial" w:eastAsia="Times New Roman" w:hAnsi="Arial" w:cs="Arial"/>
          <w:sz w:val="26"/>
          <w:szCs w:val="26"/>
        </w:rPr>
        <w:t>S</w:t>
      </w:r>
      <w:r w:rsidRPr="004B23F2">
        <w:rPr>
          <w:rFonts w:ascii="Arial" w:eastAsia="Times New Roman" w:hAnsi="Arial" w:cs="Arial"/>
          <w:sz w:val="26"/>
          <w:szCs w:val="26"/>
        </w:rPr>
        <w:t>irve de apoyo la Jurisprudencia, emitida por el Pleno de la Suprema Corte de Justicia de la Nación, publicada en el Semanario Judicial de la Federación y su Gaceta, Octava Época, número 64, abril de 1993, página 43</w:t>
      </w:r>
      <w:r>
        <w:rPr>
          <w:rFonts w:ascii="Arial" w:eastAsia="Times New Roman" w:hAnsi="Arial" w:cs="Arial"/>
          <w:sz w:val="26"/>
          <w:szCs w:val="26"/>
        </w:rPr>
        <w:t>, de rubro y texto siguientes</w:t>
      </w:r>
      <w:r w:rsidRPr="004B23F2">
        <w:rPr>
          <w:rFonts w:ascii="Arial" w:eastAsia="Times New Roman" w:hAnsi="Arial" w:cs="Arial"/>
          <w:sz w:val="26"/>
          <w:szCs w:val="26"/>
        </w:rPr>
        <w:t>:</w:t>
      </w:r>
    </w:p>
    <w:p w14:paraId="191AFE0D" w14:textId="77777777" w:rsidR="006F4C7B" w:rsidRDefault="006F4C7B" w:rsidP="006F4C7B">
      <w:pPr>
        <w:spacing w:after="0" w:line="360" w:lineRule="auto"/>
        <w:ind w:left="1134" w:right="616"/>
        <w:jc w:val="both"/>
        <w:rPr>
          <w:rFonts w:ascii="Arial" w:eastAsia="Times New Roman" w:hAnsi="Arial" w:cs="Arial"/>
          <w:i/>
          <w:noProof/>
          <w:sz w:val="26"/>
          <w:szCs w:val="26"/>
        </w:rPr>
      </w:pPr>
      <w:r w:rsidRPr="004B23F2">
        <w:rPr>
          <w:rFonts w:ascii="Arial" w:eastAsia="Times New Roman" w:hAnsi="Arial" w:cs="Arial"/>
          <w:i/>
          <w:noProof/>
          <w:sz w:val="26"/>
          <w:szCs w:val="26"/>
        </w:rPr>
        <w:t>“</w:t>
      </w:r>
      <w:r w:rsidRPr="007731DD">
        <w:rPr>
          <w:rFonts w:ascii="Arial" w:eastAsia="Times New Roman" w:hAnsi="Arial" w:cs="Arial"/>
          <w:b/>
          <w:i/>
          <w:noProof/>
          <w:sz w:val="24"/>
          <w:szCs w:val="24"/>
        </w:rPr>
        <w:t xml:space="preserve">FUNDAMENTACION Y MOTIVACION DE LOS ACTOS ADMINISTRATIVOS. </w:t>
      </w:r>
      <w:r w:rsidRPr="007731DD">
        <w:rPr>
          <w:rFonts w:ascii="Arial" w:eastAsia="Times New Roman" w:hAnsi="Arial" w:cs="Arial"/>
          <w:i/>
          <w:noProof/>
          <w:sz w:val="24"/>
          <w:szCs w:val="24"/>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w:t>
      </w:r>
      <w:r w:rsidRPr="007731DD">
        <w:rPr>
          <w:rFonts w:ascii="Arial" w:eastAsia="Times New Roman" w:hAnsi="Arial" w:cs="Arial"/>
          <w:i/>
          <w:noProof/>
          <w:sz w:val="24"/>
          <w:szCs w:val="24"/>
        </w:rPr>
        <w:lastRenderedPageBreak/>
        <w:t>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sidRPr="004B23F2">
        <w:rPr>
          <w:rFonts w:ascii="Arial" w:eastAsia="Times New Roman" w:hAnsi="Arial" w:cs="Arial"/>
          <w:i/>
          <w:noProof/>
          <w:sz w:val="26"/>
          <w:szCs w:val="26"/>
        </w:rPr>
        <w:t>”.</w:t>
      </w:r>
    </w:p>
    <w:p w14:paraId="67CE9F87" w14:textId="77777777" w:rsidR="004A098D" w:rsidRDefault="004A098D" w:rsidP="0056580C">
      <w:pPr>
        <w:spacing w:after="0" w:line="360" w:lineRule="auto"/>
        <w:ind w:left="1134" w:right="49"/>
        <w:jc w:val="both"/>
        <w:rPr>
          <w:rFonts w:ascii="Arial" w:eastAsia="Times New Roman" w:hAnsi="Arial" w:cs="Arial"/>
          <w:i/>
          <w:noProof/>
          <w:sz w:val="26"/>
          <w:szCs w:val="26"/>
        </w:rPr>
      </w:pPr>
    </w:p>
    <w:p w14:paraId="6DD9E655" w14:textId="23FCD9A0" w:rsidR="007E0964" w:rsidRPr="00391474" w:rsidRDefault="004A098D" w:rsidP="00391474">
      <w:pPr>
        <w:spacing w:after="0" w:line="360" w:lineRule="auto"/>
        <w:ind w:right="49"/>
        <w:jc w:val="both"/>
        <w:rPr>
          <w:rFonts w:ascii="Arial" w:eastAsia="Times New Roman" w:hAnsi="Arial" w:cs="Arial"/>
          <w:noProof/>
          <w:sz w:val="24"/>
          <w:szCs w:val="24"/>
          <w:shd w:val="clear" w:color="auto" w:fill="FFFF00"/>
        </w:rPr>
      </w:pPr>
      <w:r w:rsidRPr="00391474">
        <w:rPr>
          <w:rFonts w:ascii="Arial" w:eastAsia="Times New Roman" w:hAnsi="Arial" w:cs="Arial"/>
          <w:noProof/>
          <w:sz w:val="24"/>
          <w:szCs w:val="24"/>
        </w:rPr>
        <w:t xml:space="preserve">       </w:t>
      </w:r>
      <w:r w:rsidR="007E0964" w:rsidRPr="00391474">
        <w:rPr>
          <w:rFonts w:ascii="Arial" w:eastAsia="Times New Roman" w:hAnsi="Arial" w:cs="Arial"/>
          <w:noProof/>
          <w:sz w:val="24"/>
          <w:szCs w:val="24"/>
        </w:rPr>
        <w:t>Aunado a lo anterior</w:t>
      </w:r>
      <w:r w:rsidRPr="00391474">
        <w:rPr>
          <w:rFonts w:ascii="Arial" w:eastAsia="Times New Roman" w:hAnsi="Arial" w:cs="Arial"/>
          <w:noProof/>
          <w:sz w:val="24"/>
          <w:szCs w:val="24"/>
        </w:rPr>
        <w:t>,</w:t>
      </w:r>
      <w:r w:rsidR="007E0964" w:rsidRPr="00391474">
        <w:rPr>
          <w:rFonts w:ascii="Arial" w:eastAsia="Times New Roman" w:hAnsi="Arial" w:cs="Arial"/>
          <w:noProof/>
          <w:sz w:val="24"/>
          <w:szCs w:val="24"/>
        </w:rPr>
        <w:t xml:space="preserve"> </w:t>
      </w:r>
      <w:r w:rsidR="0056580C" w:rsidRPr="00391474">
        <w:rPr>
          <w:rFonts w:ascii="Arial" w:eastAsia="Times New Roman" w:hAnsi="Arial" w:cs="Arial"/>
          <w:noProof/>
          <w:sz w:val="24"/>
          <w:szCs w:val="24"/>
        </w:rPr>
        <w:t xml:space="preserve">es importante mencionar </w:t>
      </w:r>
      <w:r w:rsidR="00900072">
        <w:rPr>
          <w:rFonts w:ascii="Arial" w:eastAsia="Times New Roman" w:hAnsi="Arial" w:cs="Arial"/>
          <w:noProof/>
          <w:sz w:val="24"/>
          <w:szCs w:val="24"/>
        </w:rPr>
        <w:t xml:space="preserve">que </w:t>
      </w:r>
      <w:r w:rsidR="00900072" w:rsidRPr="00391474">
        <w:rPr>
          <w:rFonts w:ascii="Arial" w:eastAsia="Times New Roman" w:hAnsi="Arial" w:cs="Arial"/>
          <w:noProof/>
          <w:sz w:val="24"/>
          <w:szCs w:val="24"/>
        </w:rPr>
        <w:t xml:space="preserve">al ser un hecho notorio </w:t>
      </w:r>
      <w:r w:rsidR="0056580C" w:rsidRPr="00391474">
        <w:rPr>
          <w:rFonts w:ascii="Arial" w:eastAsia="Times New Roman" w:hAnsi="Arial" w:cs="Arial"/>
          <w:noProof/>
          <w:sz w:val="24"/>
          <w:szCs w:val="24"/>
        </w:rPr>
        <w:t>que el Consejo Directivo de la Oficina de Pensiones del Estado de Oaxaca</w:t>
      </w:r>
      <w:r w:rsidR="004F2387" w:rsidRPr="00391474">
        <w:rPr>
          <w:rFonts w:ascii="Arial" w:eastAsia="Times New Roman" w:hAnsi="Arial" w:cs="Arial"/>
          <w:noProof/>
          <w:sz w:val="24"/>
          <w:szCs w:val="24"/>
        </w:rPr>
        <w:t xml:space="preserve">, con fecha tres de marzo de dos mil veinte, celebró </w:t>
      </w:r>
      <w:r w:rsidR="001A1103" w:rsidRPr="00391474">
        <w:rPr>
          <w:rFonts w:ascii="Arial" w:eastAsia="Times New Roman" w:hAnsi="Arial" w:cs="Arial"/>
          <w:noProof/>
          <w:sz w:val="24"/>
          <w:szCs w:val="24"/>
        </w:rPr>
        <w:t>s</w:t>
      </w:r>
      <w:r w:rsidR="0056580C" w:rsidRPr="00391474">
        <w:rPr>
          <w:rFonts w:ascii="Arial" w:eastAsia="Times New Roman" w:hAnsi="Arial" w:cs="Arial"/>
          <w:noProof/>
          <w:sz w:val="24"/>
          <w:szCs w:val="24"/>
        </w:rPr>
        <w:t>esi</w:t>
      </w:r>
      <w:r w:rsidR="001A1103" w:rsidRPr="00391474">
        <w:rPr>
          <w:rFonts w:ascii="Arial" w:eastAsia="Times New Roman" w:hAnsi="Arial" w:cs="Arial"/>
          <w:noProof/>
          <w:sz w:val="24"/>
          <w:szCs w:val="24"/>
        </w:rPr>
        <w:t>ón e</w:t>
      </w:r>
      <w:r w:rsidR="0056580C" w:rsidRPr="00391474">
        <w:rPr>
          <w:rFonts w:ascii="Arial" w:eastAsia="Times New Roman" w:hAnsi="Arial" w:cs="Arial"/>
          <w:noProof/>
          <w:sz w:val="24"/>
          <w:szCs w:val="24"/>
        </w:rPr>
        <w:t xml:space="preserve">xtraordinaria, </w:t>
      </w:r>
      <w:r w:rsidR="004F2387" w:rsidRPr="00391474">
        <w:rPr>
          <w:rFonts w:ascii="Arial" w:eastAsia="Times New Roman" w:hAnsi="Arial" w:cs="Arial"/>
          <w:noProof/>
          <w:sz w:val="24"/>
          <w:szCs w:val="24"/>
        </w:rPr>
        <w:t xml:space="preserve">en la cual, emitió un acuerdo en el que determinó: </w:t>
      </w:r>
      <w:r w:rsidR="004F2387" w:rsidRPr="00391474">
        <w:rPr>
          <w:rFonts w:ascii="Arial" w:eastAsia="Times New Roman" w:hAnsi="Arial" w:cs="Arial"/>
          <w:i/>
          <w:noProof/>
          <w:sz w:val="24"/>
          <w:szCs w:val="24"/>
        </w:rPr>
        <w:t xml:space="preserve">“(…)Primero: Se deja sin efecto el </w:t>
      </w:r>
      <w:r w:rsidR="000C32B9" w:rsidRPr="00391474">
        <w:rPr>
          <w:rFonts w:ascii="Arial" w:eastAsia="Times New Roman" w:hAnsi="Arial" w:cs="Arial"/>
          <w:i/>
          <w:noProof/>
          <w:sz w:val="24"/>
          <w:szCs w:val="24"/>
        </w:rPr>
        <w:t>‘</w:t>
      </w:r>
      <w:r w:rsidR="004F2387" w:rsidRPr="00391474">
        <w:rPr>
          <w:rFonts w:ascii="Arial" w:eastAsia="Times New Roman" w:hAnsi="Arial" w:cs="Arial"/>
          <w:i/>
          <w:noProof/>
          <w:sz w:val="24"/>
          <w:szCs w:val="24"/>
        </w:rPr>
        <w:t>acuerdo para dar cumplimiento a lo dispuesto por el artículo décimo sexto transitorio de la Ley de Pensiones para los Trabajadores del Gobierno del Estado de Oaxaca</w:t>
      </w:r>
      <w:r w:rsidR="000C32B9" w:rsidRPr="00391474">
        <w:rPr>
          <w:rFonts w:ascii="Arial" w:eastAsia="Times New Roman" w:hAnsi="Arial" w:cs="Arial"/>
          <w:i/>
          <w:noProof/>
          <w:sz w:val="24"/>
          <w:szCs w:val="24"/>
        </w:rPr>
        <w:t>’, aprobado por este Consejo</w:t>
      </w:r>
      <w:r w:rsidR="00391474">
        <w:rPr>
          <w:rFonts w:ascii="Arial" w:eastAsia="Times New Roman" w:hAnsi="Arial" w:cs="Arial"/>
          <w:i/>
          <w:noProof/>
          <w:sz w:val="24"/>
          <w:szCs w:val="24"/>
        </w:rPr>
        <w:t xml:space="preserve"> </w:t>
      </w:r>
      <w:r w:rsidR="000C32B9" w:rsidRPr="00391474">
        <w:rPr>
          <w:rFonts w:ascii="Arial" w:eastAsia="Times New Roman" w:hAnsi="Arial" w:cs="Arial"/>
          <w:i/>
          <w:noProof/>
          <w:sz w:val="24"/>
          <w:szCs w:val="24"/>
        </w:rPr>
        <w:t>Directivo en el punto número ocho de la sesión el doce de marzo de dos mil diecinueve, y publicado en el Periód</w:t>
      </w:r>
      <w:r w:rsidR="007E0964" w:rsidRPr="00391474">
        <w:rPr>
          <w:rFonts w:ascii="Arial" w:eastAsia="Times New Roman" w:hAnsi="Arial" w:cs="Arial"/>
          <w:i/>
          <w:noProof/>
          <w:sz w:val="24"/>
          <w:szCs w:val="24"/>
        </w:rPr>
        <w:t>ico Oficial del Estado el trece de abril del mismo año…”</w:t>
      </w:r>
      <w:r w:rsidR="004F2387" w:rsidRPr="00391474">
        <w:rPr>
          <w:rFonts w:ascii="Arial" w:eastAsia="Times New Roman" w:hAnsi="Arial" w:cs="Arial"/>
          <w:i/>
          <w:noProof/>
          <w:sz w:val="24"/>
          <w:szCs w:val="24"/>
          <w:shd w:val="clear" w:color="auto" w:fill="FFFF00"/>
        </w:rPr>
        <w:t xml:space="preserve"> </w:t>
      </w:r>
    </w:p>
    <w:p w14:paraId="7B057CDB" w14:textId="77777777" w:rsidR="007E0964" w:rsidRPr="00391474" w:rsidRDefault="007E0964" w:rsidP="00391474">
      <w:pPr>
        <w:spacing w:after="0" w:line="360" w:lineRule="auto"/>
        <w:ind w:right="49" w:firstLine="567"/>
        <w:jc w:val="both"/>
        <w:rPr>
          <w:rFonts w:ascii="Arial" w:eastAsia="Times New Roman" w:hAnsi="Arial" w:cs="Arial"/>
          <w:noProof/>
          <w:sz w:val="24"/>
          <w:szCs w:val="24"/>
          <w:shd w:val="clear" w:color="auto" w:fill="FFFF00"/>
        </w:rPr>
      </w:pPr>
    </w:p>
    <w:p w14:paraId="645E79AF" w14:textId="240F7BFA" w:rsidR="00D711FD" w:rsidRDefault="007E0964" w:rsidP="007F7AEA">
      <w:pPr>
        <w:spacing w:after="0" w:line="360" w:lineRule="auto"/>
        <w:ind w:right="49" w:firstLine="567"/>
        <w:jc w:val="both"/>
        <w:rPr>
          <w:rFonts w:ascii="Arial" w:eastAsia="Times New Roman" w:hAnsi="Arial" w:cs="Arial"/>
          <w:noProof/>
          <w:sz w:val="24"/>
          <w:szCs w:val="24"/>
        </w:rPr>
      </w:pPr>
      <w:r w:rsidRPr="00391474">
        <w:rPr>
          <w:rFonts w:ascii="Arial" w:eastAsia="Times New Roman" w:hAnsi="Arial" w:cs="Arial"/>
          <w:noProof/>
          <w:sz w:val="24"/>
          <w:szCs w:val="24"/>
        </w:rPr>
        <w:t>En ese sentido, queda claro que el mismo Cons</w:t>
      </w:r>
      <w:r w:rsidR="00900072">
        <w:rPr>
          <w:rFonts w:ascii="Arial" w:eastAsia="Times New Roman" w:hAnsi="Arial" w:cs="Arial"/>
          <w:noProof/>
          <w:sz w:val="24"/>
          <w:szCs w:val="24"/>
        </w:rPr>
        <w:t>ejo Directivo de Pensiones, dejó</w:t>
      </w:r>
      <w:r w:rsidRPr="00391474">
        <w:rPr>
          <w:rFonts w:ascii="Arial" w:eastAsia="Times New Roman" w:hAnsi="Arial" w:cs="Arial"/>
          <w:noProof/>
          <w:sz w:val="24"/>
          <w:szCs w:val="24"/>
        </w:rPr>
        <w:t xml:space="preserve"> sin efectos su </w:t>
      </w:r>
      <w:r w:rsidR="00980E1D" w:rsidRPr="00391474">
        <w:rPr>
          <w:rFonts w:ascii="Arial" w:eastAsia="Times New Roman" w:hAnsi="Arial" w:cs="Arial"/>
          <w:noProof/>
          <w:sz w:val="24"/>
          <w:szCs w:val="24"/>
        </w:rPr>
        <w:t xml:space="preserve"> propia </w:t>
      </w:r>
      <w:r w:rsidRPr="00391474">
        <w:rPr>
          <w:rFonts w:ascii="Arial" w:eastAsia="Times New Roman" w:hAnsi="Arial" w:cs="Arial"/>
          <w:noProof/>
          <w:sz w:val="24"/>
          <w:szCs w:val="24"/>
        </w:rPr>
        <w:t>determinación  para dar cumplimiento al artículo décimo sexto transitorio</w:t>
      </w:r>
      <w:r w:rsidR="00980E1D" w:rsidRPr="00391474">
        <w:rPr>
          <w:rFonts w:ascii="Arial" w:eastAsia="Times New Roman" w:hAnsi="Arial" w:cs="Arial"/>
          <w:noProof/>
          <w:sz w:val="24"/>
          <w:szCs w:val="24"/>
        </w:rPr>
        <w:t xml:space="preserve"> de la Ley de Pensiones para los Trabajadores del Gobierno del Estado de Oaxaca, que</w:t>
      </w:r>
      <w:r w:rsidR="001A1103" w:rsidRPr="00391474">
        <w:rPr>
          <w:rFonts w:ascii="Arial" w:eastAsia="Times New Roman" w:hAnsi="Arial" w:cs="Arial"/>
          <w:noProof/>
          <w:sz w:val="24"/>
          <w:szCs w:val="24"/>
        </w:rPr>
        <w:t xml:space="preserve"> establecía</w:t>
      </w:r>
      <w:r w:rsidR="00980E1D" w:rsidRPr="00391474">
        <w:rPr>
          <w:rFonts w:ascii="Arial" w:eastAsia="Times New Roman" w:hAnsi="Arial" w:cs="Arial"/>
          <w:noProof/>
          <w:sz w:val="24"/>
          <w:szCs w:val="24"/>
        </w:rPr>
        <w:t xml:space="preserve">  que para el pago del “seguro de vida” cada jubilado o jubilada deberia aportar la cantidad de $ 10.00 (00/100 M.N), por cada</w:t>
      </w:r>
      <w:r w:rsidR="00391474" w:rsidRPr="00391474">
        <w:rPr>
          <w:rFonts w:ascii="Arial" w:eastAsia="Times New Roman" w:hAnsi="Arial" w:cs="Arial"/>
          <w:noProof/>
          <w:sz w:val="24"/>
          <w:szCs w:val="24"/>
        </w:rPr>
        <w:t xml:space="preserve"> </w:t>
      </w:r>
      <w:r w:rsidR="00980E1D" w:rsidRPr="00391474">
        <w:rPr>
          <w:rFonts w:ascii="Arial" w:eastAsia="Times New Roman" w:hAnsi="Arial" w:cs="Arial"/>
          <w:noProof/>
          <w:sz w:val="24"/>
          <w:szCs w:val="24"/>
        </w:rPr>
        <w:t>jubilado o jubilada  fallecido (a), los cuales serian descontados de la siguiente nómina que se procesara con posterioridad a la aprobación del seguro de vida respectivo.</w:t>
      </w:r>
      <w:r w:rsidR="00391474">
        <w:rPr>
          <w:rFonts w:ascii="Arial" w:eastAsia="Times New Roman" w:hAnsi="Arial" w:cs="Arial"/>
          <w:noProof/>
          <w:sz w:val="24"/>
          <w:szCs w:val="24"/>
        </w:rPr>
        <w:t xml:space="preserve"> </w:t>
      </w:r>
      <w:r w:rsidR="00980E1D" w:rsidRPr="00391474">
        <w:rPr>
          <w:rFonts w:ascii="Arial" w:eastAsia="Times New Roman" w:hAnsi="Arial" w:cs="Arial"/>
          <w:noProof/>
          <w:sz w:val="24"/>
          <w:szCs w:val="24"/>
        </w:rPr>
        <w:t>Por lo tanto</w:t>
      </w:r>
      <w:r w:rsidR="00376ABD" w:rsidRPr="00391474">
        <w:rPr>
          <w:rFonts w:ascii="Arial" w:eastAsia="Times New Roman" w:hAnsi="Arial" w:cs="Arial"/>
          <w:noProof/>
          <w:sz w:val="24"/>
          <w:szCs w:val="24"/>
        </w:rPr>
        <w:t>,</w:t>
      </w:r>
      <w:r w:rsidR="00980E1D" w:rsidRPr="00391474">
        <w:rPr>
          <w:rFonts w:ascii="Arial" w:eastAsia="Times New Roman" w:hAnsi="Arial" w:cs="Arial"/>
          <w:noProof/>
          <w:sz w:val="24"/>
          <w:szCs w:val="24"/>
        </w:rPr>
        <w:t xml:space="preserve"> si mediante sesión extraoridaria de tres de marzo de dos mil veinte, </w:t>
      </w:r>
      <w:r w:rsidR="001A1103" w:rsidRPr="00391474">
        <w:rPr>
          <w:rFonts w:ascii="Arial" w:eastAsia="Times New Roman" w:hAnsi="Arial" w:cs="Arial"/>
          <w:noProof/>
          <w:sz w:val="24"/>
          <w:szCs w:val="24"/>
        </w:rPr>
        <w:t xml:space="preserve"> </w:t>
      </w:r>
      <w:r w:rsidR="00980E1D" w:rsidRPr="00391474">
        <w:rPr>
          <w:rFonts w:ascii="Arial" w:eastAsia="Times New Roman" w:hAnsi="Arial" w:cs="Arial"/>
          <w:noProof/>
          <w:sz w:val="24"/>
          <w:szCs w:val="24"/>
        </w:rPr>
        <w:t>dej</w:t>
      </w:r>
      <w:r w:rsidR="001A1103" w:rsidRPr="00391474">
        <w:rPr>
          <w:rFonts w:ascii="Arial" w:eastAsia="Times New Roman" w:hAnsi="Arial" w:cs="Arial"/>
          <w:noProof/>
          <w:sz w:val="24"/>
          <w:szCs w:val="24"/>
        </w:rPr>
        <w:t>ó sin efectos dicho acuerdo</w:t>
      </w:r>
      <w:r w:rsidR="00B16DAF">
        <w:rPr>
          <w:rFonts w:ascii="Arial" w:eastAsia="Times New Roman" w:hAnsi="Arial" w:cs="Arial"/>
          <w:noProof/>
          <w:sz w:val="24"/>
          <w:szCs w:val="24"/>
        </w:rPr>
        <w:t xml:space="preserve"> y en atención </w:t>
      </w:r>
      <w:r w:rsidR="004F677B">
        <w:rPr>
          <w:rFonts w:ascii="Arial" w:eastAsia="Times New Roman" w:hAnsi="Arial" w:cs="Arial"/>
          <w:noProof/>
          <w:sz w:val="24"/>
          <w:szCs w:val="24"/>
        </w:rPr>
        <w:t xml:space="preserve">a que en este caso en particular dicha determinación </w:t>
      </w:r>
      <w:r w:rsidR="007F7AEA">
        <w:rPr>
          <w:rFonts w:ascii="Arial" w:eastAsia="Times New Roman" w:hAnsi="Arial" w:cs="Arial"/>
          <w:noProof/>
          <w:sz w:val="24"/>
          <w:szCs w:val="24"/>
        </w:rPr>
        <w:t>resulta benefica para la actora</w:t>
      </w:r>
      <w:r w:rsidR="004F677B">
        <w:rPr>
          <w:rFonts w:ascii="Arial" w:eastAsia="Times New Roman" w:hAnsi="Arial" w:cs="Arial"/>
          <w:noProof/>
          <w:sz w:val="24"/>
          <w:szCs w:val="24"/>
        </w:rPr>
        <w:t>,</w:t>
      </w:r>
      <w:r w:rsidR="007F7AEA">
        <w:rPr>
          <w:rFonts w:ascii="Arial" w:eastAsia="Times New Roman" w:hAnsi="Arial" w:cs="Arial"/>
          <w:noProof/>
          <w:sz w:val="24"/>
          <w:szCs w:val="24"/>
        </w:rPr>
        <w:t xml:space="preserve"> aún cuando el descuento fue efectuado con antelación, debe aplicarse el principio de retroactividad que descansa en el artículo 14 de la Constitución Federal </w:t>
      </w:r>
      <w:r w:rsidR="001A1103" w:rsidRPr="00391474">
        <w:rPr>
          <w:rFonts w:ascii="Arial" w:eastAsia="Times New Roman" w:hAnsi="Arial" w:cs="Arial"/>
          <w:noProof/>
          <w:sz w:val="24"/>
          <w:szCs w:val="24"/>
        </w:rPr>
        <w:t xml:space="preserve">y </w:t>
      </w:r>
      <w:r w:rsidR="008E5D25">
        <w:rPr>
          <w:rFonts w:ascii="Arial" w:eastAsia="Times New Roman" w:hAnsi="Arial" w:cs="Arial"/>
          <w:noProof/>
          <w:sz w:val="24"/>
          <w:szCs w:val="24"/>
        </w:rPr>
        <w:t xml:space="preserve"> se debe </w:t>
      </w:r>
      <w:r w:rsidR="001A1103" w:rsidRPr="00391474">
        <w:rPr>
          <w:rFonts w:ascii="Arial" w:eastAsia="Times New Roman" w:hAnsi="Arial" w:cs="Arial"/>
          <w:noProof/>
          <w:sz w:val="24"/>
          <w:szCs w:val="24"/>
        </w:rPr>
        <w:t xml:space="preserve">suplir la </w:t>
      </w:r>
      <w:r w:rsidR="001A1103" w:rsidRPr="00391474">
        <w:rPr>
          <w:rFonts w:ascii="Arial" w:eastAsia="Times New Roman" w:hAnsi="Arial" w:cs="Arial"/>
          <w:noProof/>
          <w:sz w:val="24"/>
          <w:szCs w:val="24"/>
        </w:rPr>
        <w:lastRenderedPageBreak/>
        <w:t>deficiencia de l</w:t>
      </w:r>
      <w:r w:rsidR="003F1307">
        <w:rPr>
          <w:rFonts w:ascii="Arial" w:eastAsia="Times New Roman" w:hAnsi="Arial" w:cs="Arial"/>
          <w:noProof/>
          <w:sz w:val="24"/>
          <w:szCs w:val="24"/>
        </w:rPr>
        <w:t>a queja en favor del administrad</w:t>
      </w:r>
      <w:r w:rsidR="001A1103" w:rsidRPr="00391474">
        <w:rPr>
          <w:rFonts w:ascii="Arial" w:eastAsia="Times New Roman" w:hAnsi="Arial" w:cs="Arial"/>
          <w:noProof/>
          <w:sz w:val="24"/>
          <w:szCs w:val="24"/>
        </w:rPr>
        <w:t>o, conforme al artículo 149</w:t>
      </w:r>
      <w:r w:rsidR="00376ABD" w:rsidRPr="00391474">
        <w:rPr>
          <w:rStyle w:val="Refdenotaalpie"/>
          <w:rFonts w:ascii="Arial" w:eastAsia="Times New Roman" w:hAnsi="Arial" w:cs="Arial"/>
          <w:noProof/>
          <w:sz w:val="24"/>
          <w:szCs w:val="24"/>
        </w:rPr>
        <w:footnoteReference w:id="9"/>
      </w:r>
      <w:r w:rsidR="001A1103" w:rsidRPr="00391474">
        <w:rPr>
          <w:rFonts w:ascii="Arial" w:eastAsia="Times New Roman" w:hAnsi="Arial" w:cs="Arial"/>
          <w:noProof/>
          <w:sz w:val="24"/>
          <w:szCs w:val="24"/>
        </w:rPr>
        <w:t xml:space="preserve"> de la Ley de Procedimiento y Justicia Admi</w:t>
      </w:r>
      <w:r w:rsidR="007F7AEA">
        <w:rPr>
          <w:rFonts w:ascii="Arial" w:eastAsia="Times New Roman" w:hAnsi="Arial" w:cs="Arial"/>
          <w:noProof/>
          <w:sz w:val="24"/>
          <w:szCs w:val="24"/>
        </w:rPr>
        <w:t xml:space="preserve">nistrativa del Estado de Oaxaca. </w:t>
      </w:r>
    </w:p>
    <w:p w14:paraId="1D2EF351" w14:textId="77777777" w:rsidR="00D711FD" w:rsidRDefault="00D711FD" w:rsidP="007F7AEA">
      <w:pPr>
        <w:spacing w:after="0" w:line="360" w:lineRule="auto"/>
        <w:ind w:right="49" w:firstLine="567"/>
        <w:jc w:val="both"/>
        <w:rPr>
          <w:rFonts w:ascii="Arial" w:eastAsia="Times New Roman" w:hAnsi="Arial" w:cs="Arial"/>
          <w:noProof/>
          <w:sz w:val="24"/>
          <w:szCs w:val="24"/>
        </w:rPr>
      </w:pPr>
    </w:p>
    <w:p w14:paraId="4134A546" w14:textId="037C35C0" w:rsidR="007F7AEA" w:rsidRDefault="008E5D25" w:rsidP="007F7AEA">
      <w:pPr>
        <w:spacing w:after="0" w:line="360" w:lineRule="auto"/>
        <w:ind w:right="49" w:firstLine="567"/>
        <w:jc w:val="both"/>
        <w:rPr>
          <w:rFonts w:ascii="Arial" w:eastAsia="Times New Roman" w:hAnsi="Arial" w:cs="Arial"/>
          <w:noProof/>
          <w:sz w:val="24"/>
          <w:szCs w:val="24"/>
        </w:rPr>
      </w:pPr>
      <w:r>
        <w:rPr>
          <w:rFonts w:ascii="Arial" w:eastAsia="Times New Roman" w:hAnsi="Arial" w:cs="Arial"/>
          <w:noProof/>
          <w:sz w:val="24"/>
          <w:szCs w:val="24"/>
        </w:rPr>
        <w:t xml:space="preserve">Para lo antes expuesto, sirve de orientación el criterio emitido </w:t>
      </w:r>
      <w:r w:rsidR="00D711FD">
        <w:rPr>
          <w:rFonts w:ascii="Arial" w:eastAsia="Times New Roman" w:hAnsi="Arial" w:cs="Arial"/>
          <w:noProof/>
          <w:sz w:val="24"/>
          <w:szCs w:val="24"/>
        </w:rPr>
        <w:t>por el Pleno de la Suprema Corte de Justicia de la Nación, y publicada en el Semanario Judicial de la Federación, Volumen CXXXVI, Primera Parte, página 80, con registro digital 257483, de rubro y texto siguiente:</w:t>
      </w:r>
    </w:p>
    <w:p w14:paraId="24B32722" w14:textId="310DC934" w:rsidR="00D711FD" w:rsidRPr="00D711FD" w:rsidRDefault="003F1307" w:rsidP="003F1307">
      <w:pPr>
        <w:shd w:val="clear" w:color="auto" w:fill="FFFFFF"/>
        <w:spacing w:before="100" w:beforeAutospacing="1" w:after="100" w:afterAutospacing="1"/>
        <w:ind w:left="567" w:right="758"/>
        <w:jc w:val="both"/>
        <w:rPr>
          <w:rFonts w:ascii="Arial" w:eastAsia="Times New Roman" w:hAnsi="Arial" w:cs="Arial"/>
          <w:b/>
          <w:bCs/>
          <w:i/>
          <w:color w:val="212529"/>
          <w:sz w:val="24"/>
          <w:szCs w:val="24"/>
        </w:rPr>
      </w:pPr>
      <w:r>
        <w:rPr>
          <w:rFonts w:ascii="Arial" w:eastAsia="Times New Roman" w:hAnsi="Arial" w:cs="Arial"/>
          <w:b/>
          <w:bCs/>
          <w:i/>
          <w:color w:val="212529"/>
          <w:sz w:val="24"/>
          <w:szCs w:val="24"/>
        </w:rPr>
        <w:t>“</w:t>
      </w:r>
      <w:r w:rsidR="00D711FD" w:rsidRPr="00D711FD">
        <w:rPr>
          <w:rFonts w:ascii="Arial" w:eastAsia="Times New Roman" w:hAnsi="Arial" w:cs="Arial"/>
          <w:b/>
          <w:bCs/>
          <w:i/>
          <w:color w:val="212529"/>
          <w:sz w:val="24"/>
          <w:szCs w:val="24"/>
        </w:rPr>
        <w:t xml:space="preserve">RETROACTIVIDAD, TEORIAS DE LA. </w:t>
      </w:r>
      <w:r w:rsidR="00D711FD" w:rsidRPr="00D711FD">
        <w:rPr>
          <w:rFonts w:ascii="Arial" w:eastAsia="Times New Roman" w:hAnsi="Arial" w:cs="Arial"/>
          <w:i/>
          <w:color w:val="212529"/>
          <w:sz w:val="24"/>
          <w:szCs w:val="24"/>
        </w:rPr>
        <w:t>Sobre la materia de irretroactividad, existen diversidad de teorías, siendo las más frecuentes, la de los derechos adquiridos y de las expectativas de derecho y la de las situaciones generales de derecho y situaciones concretas o situaciones abstractas y situaciones concretas, siendo la primera, el mandamiento de la ley, sin aplicación concreta de la misma. El derecho adquirido es definible, cuando el acto realizado introduce un bien, una facultad o un provecho al patrimonio de una persona, y el hecho efectuado no puede afectarse ni por la voluntad de quienes intervinieron en el acto, ni por disposición legal en contrario; y la expectativa de derecho es una esperanza o una pretensión de que se realice una situación jurídica concreta, de acuerdo con la legislación vigente en un momento dado. En el primer caso, se realiza el derecho y entra al patrimonio; en el segundo, el derecho está en potencia, sin realizar una situación jurídica concreta, no formando parte integrante del patrimonio; estos conceptos han sido acogidos por la Suprema Corte, como puede verse en las páginas 226 y 227 del Apéndice al Tomo L del Semanario Judicial de la Federación, al establecer: "Que para que una ley sea retroactiva, se requiere que obre sobre el pasado y que lesione derechos adquiridos bajo el amparo de leyes anteriores, y esta última circunstancia es esencial". "La ley es retroactiva cuando vuelve al pasado, para cambiar, modificar o suprimir los derechos individuales adquiridos". "Al celebrarse un contrato, se crea una situación jurídica concreta, que no puede destruirse por la nueva ley, si no es incurriendo en el vicio de retroactividad. Si una obligación ha nacido bajo el imperio de la ley antigua, subsistirá con los caracteres y las consecuencias que la misma ley le atribuye".</w:t>
      </w:r>
    </w:p>
    <w:p w14:paraId="5B2A2575" w14:textId="77777777" w:rsidR="00D711FD" w:rsidRPr="00D711FD" w:rsidRDefault="00D711FD" w:rsidP="00D711FD">
      <w:pPr>
        <w:spacing w:after="0"/>
        <w:ind w:right="49" w:firstLine="567"/>
        <w:jc w:val="both"/>
        <w:rPr>
          <w:rFonts w:ascii="Arial" w:eastAsia="Times New Roman" w:hAnsi="Arial" w:cs="Arial"/>
          <w:i/>
          <w:noProof/>
          <w:sz w:val="24"/>
          <w:szCs w:val="24"/>
        </w:rPr>
      </w:pPr>
    </w:p>
    <w:p w14:paraId="127A6992" w14:textId="77777777" w:rsidR="007F7AEA" w:rsidRDefault="007F7AEA" w:rsidP="007F7AEA">
      <w:pPr>
        <w:spacing w:after="0" w:line="360" w:lineRule="auto"/>
        <w:ind w:right="49" w:firstLine="567"/>
        <w:jc w:val="both"/>
        <w:rPr>
          <w:rFonts w:ascii="Arial" w:eastAsia="Times New Roman" w:hAnsi="Arial" w:cs="Arial"/>
          <w:noProof/>
          <w:sz w:val="24"/>
          <w:szCs w:val="24"/>
        </w:rPr>
      </w:pPr>
    </w:p>
    <w:p w14:paraId="02D48DED" w14:textId="4DF88FE9" w:rsidR="007E0964" w:rsidRPr="007F7AEA" w:rsidRDefault="007F7AEA" w:rsidP="007F7AEA">
      <w:pPr>
        <w:spacing w:after="0" w:line="360" w:lineRule="auto"/>
        <w:ind w:right="49" w:firstLine="567"/>
        <w:jc w:val="both"/>
        <w:rPr>
          <w:rFonts w:ascii="Arial" w:eastAsia="Times New Roman" w:hAnsi="Arial" w:cs="Arial"/>
          <w:noProof/>
          <w:sz w:val="24"/>
          <w:szCs w:val="24"/>
        </w:rPr>
      </w:pPr>
      <w:r>
        <w:rPr>
          <w:rFonts w:ascii="Arial" w:eastAsia="Times New Roman" w:hAnsi="Arial" w:cs="Arial"/>
          <w:noProof/>
          <w:sz w:val="24"/>
          <w:szCs w:val="24"/>
        </w:rPr>
        <w:t xml:space="preserve"> </w:t>
      </w:r>
    </w:p>
    <w:p w14:paraId="2E316E29" w14:textId="77777777" w:rsidR="001A1103" w:rsidRPr="00391474" w:rsidRDefault="001A1103" w:rsidP="00391474">
      <w:pPr>
        <w:shd w:val="clear" w:color="auto" w:fill="FFFFFF" w:themeFill="background1"/>
        <w:spacing w:after="0" w:line="360" w:lineRule="auto"/>
        <w:ind w:right="49" w:firstLine="567"/>
        <w:jc w:val="both"/>
        <w:rPr>
          <w:rFonts w:ascii="Arial" w:eastAsia="Times New Roman" w:hAnsi="Arial" w:cs="Arial"/>
          <w:noProof/>
          <w:sz w:val="24"/>
          <w:szCs w:val="24"/>
          <w:shd w:val="clear" w:color="auto" w:fill="FFFF00"/>
        </w:rPr>
      </w:pPr>
    </w:p>
    <w:p w14:paraId="43D73195" w14:textId="62FA12F6" w:rsidR="00376ABD" w:rsidRPr="003F1307" w:rsidRDefault="003F1307" w:rsidP="003F1307">
      <w:pPr>
        <w:spacing w:after="0" w:line="360" w:lineRule="auto"/>
        <w:ind w:right="49" w:firstLine="567"/>
        <w:jc w:val="both"/>
        <w:rPr>
          <w:rFonts w:ascii="Arial" w:eastAsia="Times New Roman" w:hAnsi="Arial" w:cs="Arial"/>
          <w:noProof/>
          <w:sz w:val="24"/>
          <w:szCs w:val="24"/>
        </w:rPr>
      </w:pPr>
      <w:r>
        <w:rPr>
          <w:rFonts w:ascii="Arial" w:eastAsia="Times New Roman" w:hAnsi="Arial" w:cs="Arial"/>
          <w:noProof/>
          <w:sz w:val="24"/>
          <w:szCs w:val="24"/>
        </w:rPr>
        <w:t>Esto es así, pues resulta</w:t>
      </w:r>
      <w:r w:rsidRPr="00391474">
        <w:rPr>
          <w:rFonts w:ascii="Arial" w:eastAsia="Times New Roman" w:hAnsi="Arial" w:cs="Arial"/>
          <w:noProof/>
          <w:sz w:val="24"/>
          <w:szCs w:val="24"/>
        </w:rPr>
        <w:t xml:space="preserve"> evidente que todos los actos posteriores </w:t>
      </w:r>
      <w:r>
        <w:rPr>
          <w:rFonts w:ascii="Arial" w:eastAsia="Times New Roman" w:hAnsi="Arial" w:cs="Arial"/>
          <w:noProof/>
          <w:sz w:val="24"/>
          <w:szCs w:val="24"/>
        </w:rPr>
        <w:t xml:space="preserve">y anteriores </w:t>
      </w:r>
      <w:r w:rsidRPr="00391474">
        <w:rPr>
          <w:rFonts w:ascii="Arial" w:eastAsia="Times New Roman" w:hAnsi="Arial" w:cs="Arial"/>
          <w:noProof/>
          <w:sz w:val="24"/>
          <w:szCs w:val="24"/>
        </w:rPr>
        <w:t>a ello, tambien deben dejarse sin efectos</w:t>
      </w:r>
      <w:r>
        <w:rPr>
          <w:rFonts w:ascii="Arial" w:eastAsia="Times New Roman" w:hAnsi="Arial" w:cs="Arial"/>
          <w:noProof/>
          <w:sz w:val="24"/>
          <w:szCs w:val="24"/>
        </w:rPr>
        <w:t>, r</w:t>
      </w:r>
      <w:r w:rsidR="001A1103" w:rsidRPr="00391474">
        <w:rPr>
          <w:rFonts w:ascii="Arial" w:eastAsia="Times New Roman" w:hAnsi="Arial" w:cs="Arial"/>
          <w:noProof/>
          <w:sz w:val="24"/>
          <w:szCs w:val="24"/>
        </w:rPr>
        <w:t>esulta aplicable la jurisprudencia de la</w:t>
      </w:r>
      <w:r w:rsidR="00376ABD" w:rsidRPr="00391474">
        <w:rPr>
          <w:rFonts w:ascii="Arial" w:eastAsia="Times New Roman" w:hAnsi="Arial" w:cs="Arial"/>
          <w:noProof/>
          <w:sz w:val="24"/>
          <w:szCs w:val="24"/>
        </w:rPr>
        <w:t xml:space="preserve"> séptima época, con número de registro 252103, emitida por los Tribunales Colegiados de Circuito, </w:t>
      </w:r>
      <w:r w:rsidR="00376ABD" w:rsidRPr="00391474">
        <w:rPr>
          <w:rFonts w:ascii="Arial" w:eastAsia="Times New Roman" w:hAnsi="Arial" w:cs="Arial"/>
          <w:noProof/>
          <w:sz w:val="24"/>
          <w:szCs w:val="24"/>
          <w:shd w:val="clear" w:color="auto" w:fill="FFFFFF" w:themeFill="background1"/>
        </w:rPr>
        <w:t xml:space="preserve">publicado en el Semanario Judicial </w:t>
      </w:r>
      <w:r w:rsidR="00376ABD" w:rsidRPr="00391474">
        <w:rPr>
          <w:rFonts w:ascii="Arial" w:eastAsia="Times New Roman" w:hAnsi="Arial" w:cs="Arial"/>
          <w:noProof/>
          <w:sz w:val="24"/>
          <w:szCs w:val="24"/>
          <w:shd w:val="clear" w:color="auto" w:fill="FFFFFF" w:themeFill="background1"/>
        </w:rPr>
        <w:lastRenderedPageBreak/>
        <w:t>de la Federación, 121-126 sexta parte, materia</w:t>
      </w:r>
      <w:r w:rsidRPr="003F1307">
        <w:rPr>
          <w:rFonts w:ascii="Arial" w:eastAsia="Times New Roman" w:hAnsi="Arial" w:cs="Arial"/>
          <w:noProof/>
          <w:sz w:val="24"/>
          <w:szCs w:val="24"/>
        </w:rPr>
        <w:t xml:space="preserve"> </w:t>
      </w:r>
      <w:r w:rsidR="00376ABD" w:rsidRPr="00391474">
        <w:rPr>
          <w:rFonts w:ascii="Arial" w:eastAsia="Times New Roman" w:hAnsi="Arial" w:cs="Arial"/>
          <w:noProof/>
          <w:sz w:val="24"/>
          <w:szCs w:val="24"/>
        </w:rPr>
        <w:t>común, página 280, de rubro y texto siguiente:</w:t>
      </w:r>
    </w:p>
    <w:p w14:paraId="2BD6BB12" w14:textId="77777777" w:rsidR="00391474" w:rsidRDefault="00391474" w:rsidP="00391474">
      <w:pPr>
        <w:spacing w:after="0" w:line="360" w:lineRule="auto"/>
        <w:ind w:left="709" w:right="616"/>
        <w:jc w:val="both"/>
        <w:rPr>
          <w:rFonts w:ascii="Arial" w:eastAsia="Times New Roman" w:hAnsi="Arial" w:cs="Arial"/>
          <w:noProof/>
          <w:sz w:val="24"/>
          <w:szCs w:val="24"/>
          <w:shd w:val="clear" w:color="auto" w:fill="FFFF00"/>
        </w:rPr>
      </w:pPr>
    </w:p>
    <w:p w14:paraId="1C6354F8" w14:textId="6D0D21CE" w:rsidR="001A1103" w:rsidRPr="00391474" w:rsidRDefault="00391474" w:rsidP="00391474">
      <w:pPr>
        <w:shd w:val="clear" w:color="auto" w:fill="FFFFFF" w:themeFill="background1"/>
        <w:spacing w:after="0" w:line="360" w:lineRule="auto"/>
        <w:ind w:left="709" w:right="616"/>
        <w:jc w:val="both"/>
        <w:rPr>
          <w:rFonts w:ascii="Arial" w:eastAsia="Times New Roman" w:hAnsi="Arial" w:cs="Arial"/>
          <w:i/>
          <w:noProof/>
          <w:sz w:val="24"/>
          <w:szCs w:val="24"/>
          <w:shd w:val="clear" w:color="auto" w:fill="FFFF00"/>
        </w:rPr>
      </w:pPr>
      <w:r w:rsidRPr="00391474">
        <w:rPr>
          <w:rFonts w:ascii="Arial" w:eastAsia="Times New Roman" w:hAnsi="Arial" w:cs="Arial"/>
          <w:i/>
          <w:noProof/>
          <w:sz w:val="24"/>
          <w:szCs w:val="24"/>
        </w:rPr>
        <w:t xml:space="preserve"> </w:t>
      </w:r>
      <w:r w:rsidR="00376ABD" w:rsidRPr="00391474">
        <w:rPr>
          <w:rFonts w:ascii="Arial" w:eastAsia="Times New Roman" w:hAnsi="Arial" w:cs="Arial"/>
          <w:i/>
          <w:noProof/>
          <w:sz w:val="24"/>
          <w:szCs w:val="24"/>
        </w:rPr>
        <w:t>“</w:t>
      </w:r>
      <w:r w:rsidR="00376ABD" w:rsidRPr="00391474">
        <w:rPr>
          <w:rFonts w:ascii="Arial" w:eastAsia="Times New Roman" w:hAnsi="Arial" w:cs="Arial"/>
          <w:b/>
          <w:i/>
          <w:noProof/>
          <w:sz w:val="24"/>
          <w:szCs w:val="24"/>
        </w:rPr>
        <w:t>ACTOS VICIADOS, FRUTOS DE</w:t>
      </w:r>
      <w:r w:rsidR="00376ABD" w:rsidRPr="00391474">
        <w:rPr>
          <w:rFonts w:ascii="Arial" w:eastAsia="Times New Roman" w:hAnsi="Arial" w:cs="Arial"/>
          <w:i/>
          <w:noProof/>
          <w:sz w:val="24"/>
          <w:szCs w:val="24"/>
        </w:rPr>
        <w:t>. Si un acto o diligencia de la autoridad está viciado y resulta inconstitucional, todos los actos derivados de él, o que se apoyen en él, o que en alguna forma estén condicionados por él, resultan también inconstitucinales por</w:t>
      </w:r>
      <w:r w:rsidR="00376ABD" w:rsidRPr="00391474">
        <w:rPr>
          <w:rFonts w:ascii="Arial" w:eastAsia="Times New Roman" w:hAnsi="Arial" w:cs="Arial"/>
          <w:i/>
          <w:noProof/>
          <w:sz w:val="24"/>
          <w:szCs w:val="24"/>
          <w:shd w:val="clear" w:color="auto" w:fill="FFFF00"/>
        </w:rPr>
        <w:t xml:space="preserve"> </w:t>
      </w:r>
      <w:r w:rsidR="00376ABD" w:rsidRPr="00391474">
        <w:rPr>
          <w:rFonts w:ascii="Arial" w:eastAsia="Times New Roman" w:hAnsi="Arial" w:cs="Arial"/>
          <w:i/>
          <w:noProof/>
          <w:sz w:val="24"/>
          <w:szCs w:val="24"/>
          <w:shd w:val="clear" w:color="auto" w:fill="FFFFFF" w:themeFill="background1"/>
        </w:rPr>
        <w:t>su origen, y los tribunales no deben darles valor</w:t>
      </w:r>
      <w:r w:rsidR="001A1103" w:rsidRPr="00391474">
        <w:rPr>
          <w:rFonts w:ascii="Arial" w:eastAsia="Times New Roman" w:hAnsi="Arial" w:cs="Arial"/>
          <w:i/>
          <w:noProof/>
          <w:sz w:val="24"/>
          <w:szCs w:val="24"/>
          <w:shd w:val="clear" w:color="auto" w:fill="FFFFFF" w:themeFill="background1"/>
        </w:rPr>
        <w:t xml:space="preserve"> </w:t>
      </w:r>
      <w:r w:rsidR="00310BD3" w:rsidRPr="00391474">
        <w:rPr>
          <w:rFonts w:ascii="Arial" w:eastAsia="Times New Roman" w:hAnsi="Arial" w:cs="Arial"/>
          <w:i/>
          <w:noProof/>
          <w:sz w:val="24"/>
          <w:szCs w:val="24"/>
          <w:shd w:val="clear" w:color="auto" w:fill="FFFFFF" w:themeFill="background1"/>
        </w:rPr>
        <w:t>legal, ya que de hacerlo, por una parte alentarían prácticas viciosas, cuyos frutos serían aprovechables por quienes las realizan y, por otra parte, los tribunales se harían en alguna forma partícipes de tal conducta irregular, al otorgar a tales actos de valor legal.”</w:t>
      </w:r>
    </w:p>
    <w:p w14:paraId="10EFE56A" w14:textId="785EF6D0" w:rsidR="007E0964" w:rsidRPr="00391474" w:rsidRDefault="007E0964" w:rsidP="00391474">
      <w:pPr>
        <w:spacing w:after="0" w:line="360" w:lineRule="auto"/>
        <w:ind w:right="49"/>
        <w:jc w:val="both"/>
        <w:rPr>
          <w:rFonts w:ascii="Arial" w:eastAsia="Times New Roman" w:hAnsi="Arial" w:cs="Arial"/>
          <w:noProof/>
          <w:sz w:val="24"/>
          <w:szCs w:val="24"/>
          <w:shd w:val="clear" w:color="auto" w:fill="FFFF00"/>
        </w:rPr>
      </w:pPr>
      <w:r w:rsidRPr="00391474">
        <w:rPr>
          <w:rFonts w:ascii="Arial" w:eastAsia="Times New Roman" w:hAnsi="Arial" w:cs="Arial"/>
          <w:noProof/>
          <w:sz w:val="24"/>
          <w:szCs w:val="24"/>
          <w:shd w:val="clear" w:color="auto" w:fill="FFFF00"/>
        </w:rPr>
        <w:t xml:space="preserve"> </w:t>
      </w:r>
    </w:p>
    <w:p w14:paraId="0A15163F" w14:textId="6FCA217D" w:rsidR="0051494B" w:rsidRPr="00391474" w:rsidRDefault="006F4C7B" w:rsidP="00391474">
      <w:pPr>
        <w:spacing w:before="240" w:after="0" w:line="360" w:lineRule="auto"/>
        <w:ind w:firstLine="567"/>
        <w:jc w:val="both"/>
        <w:rPr>
          <w:rFonts w:ascii="Arial" w:hAnsi="Arial" w:cs="Arial"/>
          <w:sz w:val="24"/>
          <w:szCs w:val="24"/>
        </w:rPr>
      </w:pPr>
      <w:r w:rsidRPr="00391474">
        <w:rPr>
          <w:rFonts w:ascii="Arial" w:hAnsi="Arial" w:cs="Arial"/>
          <w:noProof/>
          <w:sz w:val="24"/>
          <w:szCs w:val="24"/>
          <w:shd w:val="clear" w:color="auto" w:fill="FFFFFF" w:themeFill="background1"/>
        </w:rPr>
        <w:t xml:space="preserve">Por todo lo anteriormente relatado, es procedente declarar la </w:t>
      </w:r>
      <w:r w:rsidRPr="00391474">
        <w:rPr>
          <w:rFonts w:ascii="Arial" w:hAnsi="Arial" w:cs="Arial"/>
          <w:b/>
          <w:noProof/>
          <w:sz w:val="24"/>
          <w:szCs w:val="24"/>
          <w:shd w:val="clear" w:color="auto" w:fill="FFFFFF" w:themeFill="background1"/>
        </w:rPr>
        <w:t xml:space="preserve">NULIDAD </w:t>
      </w:r>
      <w:r w:rsidRPr="00391474">
        <w:rPr>
          <w:rFonts w:ascii="Arial" w:hAnsi="Arial" w:cs="Arial"/>
          <w:noProof/>
          <w:sz w:val="24"/>
          <w:szCs w:val="24"/>
          <w:shd w:val="clear" w:color="auto" w:fill="FFFFFF" w:themeFill="background1"/>
        </w:rPr>
        <w:t xml:space="preserve">del oficio </w:t>
      </w:r>
      <w:r w:rsidR="00FF021A">
        <w:rPr>
          <w:rFonts w:ascii="Arial" w:hAnsi="Arial" w:cs="Arial"/>
          <w:b/>
          <w:sz w:val="24"/>
          <w:szCs w:val="24"/>
          <w:shd w:val="clear" w:color="auto" w:fill="FFFFFF" w:themeFill="background1"/>
        </w:rPr>
        <w:t>**********</w:t>
      </w:r>
      <w:r w:rsidRPr="00391474">
        <w:rPr>
          <w:rFonts w:ascii="Arial" w:hAnsi="Arial" w:cs="Arial"/>
          <w:b/>
          <w:sz w:val="24"/>
          <w:szCs w:val="24"/>
          <w:shd w:val="clear" w:color="auto" w:fill="FFFFFF" w:themeFill="background1"/>
        </w:rPr>
        <w:t xml:space="preserve">, </w:t>
      </w:r>
      <w:r w:rsidRPr="00391474">
        <w:rPr>
          <w:rFonts w:ascii="Arial" w:hAnsi="Arial" w:cs="Arial"/>
          <w:sz w:val="24"/>
          <w:szCs w:val="24"/>
          <w:shd w:val="clear" w:color="auto" w:fill="FFFFFF" w:themeFill="background1"/>
        </w:rPr>
        <w:t xml:space="preserve">de </w:t>
      </w:r>
      <w:r w:rsidR="00310BD3" w:rsidRPr="00391474">
        <w:rPr>
          <w:rFonts w:ascii="Arial" w:hAnsi="Arial" w:cs="Arial"/>
          <w:sz w:val="24"/>
          <w:szCs w:val="24"/>
          <w:shd w:val="clear" w:color="auto" w:fill="FFFFFF" w:themeFill="background1"/>
        </w:rPr>
        <w:t>diecinueve</w:t>
      </w:r>
      <w:r w:rsidRPr="00391474">
        <w:rPr>
          <w:rFonts w:ascii="Arial" w:hAnsi="Arial" w:cs="Arial"/>
          <w:sz w:val="24"/>
          <w:szCs w:val="24"/>
          <w:shd w:val="clear" w:color="auto" w:fill="FFFFFF" w:themeFill="background1"/>
        </w:rPr>
        <w:t xml:space="preserve"> de agosto de dos mil diecinueve, signado por el</w:t>
      </w:r>
      <w:r w:rsidRPr="00391474">
        <w:rPr>
          <w:rFonts w:ascii="Arial" w:hAnsi="Arial" w:cs="Arial"/>
          <w:b/>
          <w:sz w:val="24"/>
          <w:szCs w:val="24"/>
          <w:shd w:val="clear" w:color="auto" w:fill="FFFFFF" w:themeFill="background1"/>
        </w:rPr>
        <w:t xml:space="preserve"> </w:t>
      </w:r>
      <w:r w:rsidRPr="00391474">
        <w:rPr>
          <w:rFonts w:ascii="Arial" w:hAnsi="Arial" w:cs="Arial"/>
          <w:sz w:val="24"/>
          <w:szCs w:val="24"/>
          <w:shd w:val="clear" w:color="auto" w:fill="FFFFFF" w:themeFill="background1"/>
        </w:rPr>
        <w:t>Director General de la Oficina de Pensiones del Gobierno del Estado de Oaxaca,</w:t>
      </w:r>
      <w:r w:rsidRPr="00391474">
        <w:rPr>
          <w:rFonts w:ascii="Arial" w:hAnsi="Arial" w:cs="Arial"/>
          <w:b/>
          <w:sz w:val="24"/>
          <w:szCs w:val="24"/>
          <w:shd w:val="clear" w:color="auto" w:fill="FFFFFF" w:themeFill="background1"/>
        </w:rPr>
        <w:t xml:space="preserve"> PARA EL EFECTO </w:t>
      </w:r>
      <w:r w:rsidRPr="00391474">
        <w:rPr>
          <w:rFonts w:ascii="Arial" w:hAnsi="Arial" w:cs="Arial"/>
          <w:sz w:val="24"/>
          <w:szCs w:val="24"/>
          <w:shd w:val="clear" w:color="auto" w:fill="FFFFFF" w:themeFill="background1"/>
        </w:rPr>
        <w:t xml:space="preserve">de que dicha autoridad </w:t>
      </w:r>
      <w:r w:rsidR="00E16CBC" w:rsidRPr="00391474">
        <w:rPr>
          <w:rFonts w:ascii="Arial" w:hAnsi="Arial" w:cs="Arial"/>
          <w:sz w:val="24"/>
          <w:szCs w:val="24"/>
          <w:shd w:val="clear" w:color="auto" w:fill="FFFFFF" w:themeFill="background1"/>
        </w:rPr>
        <w:t xml:space="preserve">o la que resulte competente en este caso el </w:t>
      </w:r>
      <w:r w:rsidRPr="00391474">
        <w:rPr>
          <w:rFonts w:ascii="Arial" w:hAnsi="Arial" w:cs="Arial"/>
          <w:sz w:val="24"/>
          <w:szCs w:val="24"/>
          <w:shd w:val="clear" w:color="auto" w:fill="FFFFFF" w:themeFill="background1"/>
        </w:rPr>
        <w:t xml:space="preserve">Consejo Directivo de la Oficina de Pensiones del Estado de Oaxaca, </w:t>
      </w:r>
      <w:r w:rsidR="00E16CBC" w:rsidRPr="00391474">
        <w:rPr>
          <w:rFonts w:ascii="Arial" w:hAnsi="Arial" w:cs="Arial"/>
          <w:sz w:val="24"/>
          <w:szCs w:val="24"/>
          <w:shd w:val="clear" w:color="auto" w:fill="FFFFFF" w:themeFill="background1"/>
        </w:rPr>
        <w:t xml:space="preserve"> </w:t>
      </w:r>
      <w:r w:rsidR="00E16CBC" w:rsidRPr="00391474">
        <w:rPr>
          <w:rFonts w:ascii="Arial" w:hAnsi="Arial" w:cs="Arial"/>
          <w:b/>
          <w:sz w:val="24"/>
          <w:szCs w:val="24"/>
          <w:shd w:val="clear" w:color="auto" w:fill="FFFFFF" w:themeFill="background1"/>
        </w:rPr>
        <w:t xml:space="preserve">deje </w:t>
      </w:r>
      <w:r w:rsidR="00C67FDD">
        <w:rPr>
          <w:rFonts w:ascii="Arial" w:hAnsi="Arial" w:cs="Arial"/>
          <w:b/>
          <w:sz w:val="24"/>
          <w:szCs w:val="24"/>
          <w:shd w:val="clear" w:color="auto" w:fill="FFFFFF" w:themeFill="background1"/>
        </w:rPr>
        <w:t>insubsistente</w:t>
      </w:r>
      <w:r w:rsidR="00E16CBC" w:rsidRPr="00391474">
        <w:rPr>
          <w:rFonts w:ascii="Arial" w:hAnsi="Arial" w:cs="Arial"/>
          <w:b/>
          <w:sz w:val="24"/>
          <w:szCs w:val="24"/>
          <w:shd w:val="clear" w:color="auto" w:fill="FFFFFF" w:themeFill="background1"/>
        </w:rPr>
        <w:t xml:space="preserve"> el mismo</w:t>
      </w:r>
      <w:r w:rsidR="00CE7F6C" w:rsidRPr="00391474">
        <w:rPr>
          <w:rFonts w:ascii="Arial" w:hAnsi="Arial" w:cs="Arial"/>
          <w:sz w:val="24"/>
          <w:szCs w:val="24"/>
          <w:shd w:val="clear" w:color="auto" w:fill="FFFFFF" w:themeFill="background1"/>
        </w:rPr>
        <w:t>;</w:t>
      </w:r>
      <w:r w:rsidR="00E16CBC" w:rsidRPr="00391474">
        <w:rPr>
          <w:rFonts w:ascii="Arial" w:hAnsi="Arial" w:cs="Arial"/>
          <w:sz w:val="24"/>
          <w:szCs w:val="24"/>
          <w:shd w:val="clear" w:color="auto" w:fill="FFFFFF" w:themeFill="background1"/>
        </w:rPr>
        <w:t xml:space="preserve"> y</w:t>
      </w:r>
      <w:r w:rsidR="00CE7F6C" w:rsidRPr="00391474">
        <w:rPr>
          <w:rFonts w:ascii="Arial" w:hAnsi="Arial" w:cs="Arial"/>
          <w:sz w:val="24"/>
          <w:szCs w:val="24"/>
          <w:shd w:val="clear" w:color="auto" w:fill="FFFFFF" w:themeFill="background1"/>
        </w:rPr>
        <w:t xml:space="preserve"> </w:t>
      </w:r>
      <w:r w:rsidRPr="00391474">
        <w:rPr>
          <w:rFonts w:ascii="Arial" w:hAnsi="Arial" w:cs="Arial"/>
          <w:b/>
          <w:sz w:val="24"/>
          <w:szCs w:val="24"/>
          <w:shd w:val="clear" w:color="auto" w:fill="FFFFFF" w:themeFill="background1"/>
        </w:rPr>
        <w:t>EMITA</w:t>
      </w:r>
      <w:r w:rsidRPr="00391474">
        <w:rPr>
          <w:rFonts w:ascii="Arial" w:hAnsi="Arial" w:cs="Arial"/>
          <w:sz w:val="24"/>
          <w:szCs w:val="24"/>
          <w:shd w:val="clear" w:color="auto" w:fill="FFFFFF" w:themeFill="background1"/>
        </w:rPr>
        <w:t xml:space="preserve"> otro </w:t>
      </w:r>
      <w:r w:rsidR="00E16CBC" w:rsidRPr="00391474">
        <w:rPr>
          <w:rFonts w:ascii="Arial" w:hAnsi="Arial" w:cs="Arial"/>
          <w:sz w:val="24"/>
          <w:szCs w:val="24"/>
          <w:shd w:val="clear" w:color="auto" w:fill="FFFFFF" w:themeFill="background1"/>
        </w:rPr>
        <w:t>debidamente fundado y motivado en el que:</w:t>
      </w:r>
      <w:r w:rsidR="00CE7F6C" w:rsidRPr="00391474">
        <w:rPr>
          <w:rFonts w:ascii="Arial" w:hAnsi="Arial" w:cs="Arial"/>
          <w:sz w:val="24"/>
          <w:szCs w:val="24"/>
          <w:shd w:val="clear" w:color="auto" w:fill="FFFFFF" w:themeFill="background1"/>
        </w:rPr>
        <w:t xml:space="preserve"> </w:t>
      </w:r>
      <w:r w:rsidR="00CE7F6C" w:rsidRPr="00391474">
        <w:rPr>
          <w:rFonts w:ascii="Arial" w:hAnsi="Arial" w:cs="Arial"/>
          <w:b/>
          <w:sz w:val="24"/>
          <w:szCs w:val="24"/>
          <w:shd w:val="clear" w:color="auto" w:fill="FFFFFF" w:themeFill="background1"/>
        </w:rPr>
        <w:t>a)</w:t>
      </w:r>
      <w:r w:rsidR="00CE7F6C" w:rsidRPr="00391474">
        <w:rPr>
          <w:rFonts w:ascii="Arial" w:hAnsi="Arial" w:cs="Arial"/>
          <w:sz w:val="24"/>
          <w:szCs w:val="24"/>
          <w:shd w:val="clear" w:color="auto" w:fill="FFFFFF" w:themeFill="background1"/>
        </w:rPr>
        <w:t xml:space="preserve"> ordene la devolución</w:t>
      </w:r>
      <w:r w:rsidR="00CE7F6C" w:rsidRPr="00391474">
        <w:rPr>
          <w:rFonts w:ascii="Arial" w:hAnsi="Arial" w:cs="Arial"/>
          <w:sz w:val="24"/>
          <w:szCs w:val="24"/>
        </w:rPr>
        <w:t xml:space="preserve"> a l</w:t>
      </w:r>
      <w:r w:rsidR="00EA0BF6" w:rsidRPr="00391474">
        <w:rPr>
          <w:rFonts w:ascii="Arial" w:hAnsi="Arial" w:cs="Arial"/>
          <w:sz w:val="24"/>
          <w:szCs w:val="24"/>
        </w:rPr>
        <w:t>a parte actora Aurea Virginia Cortes</w:t>
      </w:r>
      <w:r w:rsidR="003B3D69">
        <w:rPr>
          <w:rFonts w:ascii="Arial" w:hAnsi="Arial" w:cs="Arial"/>
          <w:sz w:val="24"/>
          <w:szCs w:val="24"/>
        </w:rPr>
        <w:t xml:space="preserve"> Reyes, del</w:t>
      </w:r>
      <w:r w:rsidR="00CE7F6C" w:rsidRPr="00391474">
        <w:rPr>
          <w:rFonts w:ascii="Arial" w:hAnsi="Arial" w:cs="Arial"/>
          <w:sz w:val="24"/>
          <w:szCs w:val="24"/>
        </w:rPr>
        <w:t xml:space="preserve"> descuento realizado a su pensión jubilatoria, correspondiente al mes de agosto de dos mil diecinueve por la cantidad de $ 50.00 (cincuenta pesos 00/100 M.N), por concepto de seguro de vida; </w:t>
      </w:r>
      <w:r w:rsidR="00CE7F6C" w:rsidRPr="00391474">
        <w:rPr>
          <w:rFonts w:ascii="Arial" w:hAnsi="Arial" w:cs="Arial"/>
          <w:b/>
          <w:sz w:val="24"/>
          <w:szCs w:val="24"/>
        </w:rPr>
        <w:t>b)</w:t>
      </w:r>
      <w:r w:rsidR="00CE7F6C" w:rsidRPr="00391474">
        <w:rPr>
          <w:rFonts w:ascii="Arial" w:hAnsi="Arial" w:cs="Arial"/>
          <w:sz w:val="24"/>
          <w:szCs w:val="24"/>
        </w:rPr>
        <w:t xml:space="preserve"> que en caso de </w:t>
      </w:r>
      <w:r w:rsidR="00E05CD4" w:rsidRPr="00391474">
        <w:rPr>
          <w:rFonts w:ascii="Arial" w:hAnsi="Arial" w:cs="Arial"/>
          <w:sz w:val="24"/>
          <w:szCs w:val="24"/>
        </w:rPr>
        <w:t xml:space="preserve">que </w:t>
      </w:r>
      <w:r w:rsidR="009F5F74" w:rsidRPr="00391474">
        <w:rPr>
          <w:rFonts w:ascii="Arial" w:hAnsi="Arial" w:cs="Arial"/>
          <w:sz w:val="24"/>
          <w:szCs w:val="24"/>
        </w:rPr>
        <w:t xml:space="preserve"> se </w:t>
      </w:r>
      <w:r w:rsidR="00E05CD4" w:rsidRPr="00391474">
        <w:rPr>
          <w:rFonts w:ascii="Arial" w:hAnsi="Arial" w:cs="Arial"/>
          <w:sz w:val="24"/>
          <w:szCs w:val="24"/>
        </w:rPr>
        <w:t>le hayan</w:t>
      </w:r>
      <w:r w:rsidR="00CE7F6C" w:rsidRPr="00391474">
        <w:rPr>
          <w:rFonts w:ascii="Arial" w:hAnsi="Arial" w:cs="Arial"/>
          <w:sz w:val="24"/>
          <w:szCs w:val="24"/>
        </w:rPr>
        <w:t xml:space="preserve"> efectuado descuentos posteriores a la fecha de presentación </w:t>
      </w:r>
      <w:r w:rsidR="0001268A" w:rsidRPr="00391474">
        <w:rPr>
          <w:rFonts w:ascii="Arial" w:hAnsi="Arial" w:cs="Arial"/>
          <w:sz w:val="24"/>
          <w:szCs w:val="24"/>
        </w:rPr>
        <w:t xml:space="preserve">del presente asunto, por </w:t>
      </w:r>
      <w:r w:rsidR="00E05CD4" w:rsidRPr="00391474">
        <w:rPr>
          <w:rFonts w:ascii="Arial" w:hAnsi="Arial" w:cs="Arial"/>
          <w:sz w:val="24"/>
          <w:szCs w:val="24"/>
        </w:rPr>
        <w:t xml:space="preserve">ese mismo concepto, le sean devueltos; y </w:t>
      </w:r>
      <w:r w:rsidR="00E05CD4" w:rsidRPr="00391474">
        <w:rPr>
          <w:rFonts w:ascii="Arial" w:hAnsi="Arial" w:cs="Arial"/>
          <w:b/>
          <w:sz w:val="24"/>
          <w:szCs w:val="24"/>
        </w:rPr>
        <w:t>c)</w:t>
      </w:r>
      <w:r w:rsidR="00E05CD4" w:rsidRPr="00391474">
        <w:rPr>
          <w:rFonts w:ascii="Arial" w:hAnsi="Arial" w:cs="Arial"/>
          <w:sz w:val="24"/>
          <w:szCs w:val="24"/>
        </w:rPr>
        <w:t xml:space="preserve"> que en lo subsecuente </w:t>
      </w:r>
      <w:r w:rsidR="004A5E10" w:rsidRPr="00391474">
        <w:rPr>
          <w:rFonts w:ascii="Arial" w:hAnsi="Arial" w:cs="Arial"/>
          <w:sz w:val="24"/>
          <w:szCs w:val="24"/>
        </w:rPr>
        <w:t>se deje</w:t>
      </w:r>
      <w:r w:rsidR="00EA0BF6" w:rsidRPr="00391474">
        <w:rPr>
          <w:rFonts w:ascii="Arial" w:hAnsi="Arial" w:cs="Arial"/>
          <w:sz w:val="24"/>
          <w:szCs w:val="24"/>
        </w:rPr>
        <w:t>n</w:t>
      </w:r>
      <w:r w:rsidR="004A5E10" w:rsidRPr="00391474">
        <w:rPr>
          <w:rFonts w:ascii="Arial" w:hAnsi="Arial" w:cs="Arial"/>
          <w:sz w:val="24"/>
          <w:szCs w:val="24"/>
        </w:rPr>
        <w:t xml:space="preserve"> de aplicar</w:t>
      </w:r>
      <w:r w:rsidR="00EA0BF6" w:rsidRPr="00391474">
        <w:rPr>
          <w:rFonts w:ascii="Arial" w:hAnsi="Arial" w:cs="Arial"/>
          <w:sz w:val="24"/>
          <w:szCs w:val="24"/>
        </w:rPr>
        <w:t xml:space="preserve"> dichos descuentos</w:t>
      </w:r>
      <w:r w:rsidR="004A5E10" w:rsidRPr="00391474">
        <w:rPr>
          <w:rFonts w:ascii="Arial" w:hAnsi="Arial" w:cs="Arial"/>
          <w:sz w:val="24"/>
          <w:szCs w:val="24"/>
        </w:rPr>
        <w:t xml:space="preserve"> a </w:t>
      </w:r>
      <w:r w:rsidR="009F5F74" w:rsidRPr="00391474">
        <w:rPr>
          <w:rFonts w:ascii="Arial" w:hAnsi="Arial" w:cs="Arial"/>
          <w:sz w:val="24"/>
          <w:szCs w:val="24"/>
        </w:rPr>
        <w:t>la</w:t>
      </w:r>
      <w:r w:rsidR="004A5E10" w:rsidRPr="00391474">
        <w:rPr>
          <w:rFonts w:ascii="Arial" w:hAnsi="Arial" w:cs="Arial"/>
          <w:sz w:val="24"/>
          <w:szCs w:val="24"/>
        </w:rPr>
        <w:t xml:space="preserve"> pensión por jubilación</w:t>
      </w:r>
      <w:r w:rsidR="009F5F74" w:rsidRPr="00391474">
        <w:rPr>
          <w:rFonts w:ascii="Arial" w:hAnsi="Arial" w:cs="Arial"/>
          <w:sz w:val="24"/>
          <w:szCs w:val="24"/>
        </w:rPr>
        <w:t xml:space="preserve"> de la actora</w:t>
      </w:r>
      <w:r w:rsidR="00EA0BF6" w:rsidRPr="00391474">
        <w:rPr>
          <w:rFonts w:ascii="Arial" w:hAnsi="Arial" w:cs="Arial"/>
          <w:sz w:val="24"/>
          <w:szCs w:val="24"/>
        </w:rPr>
        <w:t>.</w:t>
      </w:r>
    </w:p>
    <w:p w14:paraId="506FE6A0" w14:textId="058613AB" w:rsidR="009A04D8" w:rsidRDefault="00EA0BF6" w:rsidP="00391474">
      <w:pPr>
        <w:spacing w:before="240" w:after="0" w:line="360" w:lineRule="auto"/>
        <w:ind w:firstLine="567"/>
        <w:jc w:val="both"/>
        <w:rPr>
          <w:rFonts w:ascii="Arial" w:hAnsi="Arial" w:cs="Arial"/>
          <w:sz w:val="24"/>
          <w:szCs w:val="24"/>
        </w:rPr>
      </w:pPr>
      <w:r w:rsidRPr="00391474">
        <w:rPr>
          <w:rFonts w:ascii="Arial" w:hAnsi="Arial" w:cs="Arial"/>
          <w:sz w:val="24"/>
          <w:szCs w:val="24"/>
        </w:rPr>
        <w:t xml:space="preserve">Por </w:t>
      </w:r>
      <w:r w:rsidR="00391474" w:rsidRPr="00391474">
        <w:rPr>
          <w:rFonts w:ascii="Arial" w:hAnsi="Arial" w:cs="Arial"/>
          <w:sz w:val="24"/>
          <w:szCs w:val="24"/>
        </w:rPr>
        <w:t>último</w:t>
      </w:r>
      <w:r w:rsidRPr="00391474">
        <w:rPr>
          <w:rFonts w:ascii="Arial" w:hAnsi="Arial" w:cs="Arial"/>
          <w:sz w:val="24"/>
          <w:szCs w:val="24"/>
        </w:rPr>
        <w:t>, res</w:t>
      </w:r>
      <w:r w:rsidR="009A04D8" w:rsidRPr="00391474">
        <w:rPr>
          <w:rFonts w:ascii="Arial" w:hAnsi="Arial" w:cs="Arial"/>
          <w:sz w:val="24"/>
          <w:szCs w:val="24"/>
        </w:rPr>
        <w:t>pecto a la pretensión de la parte actora, de que se le haga el pago de interés</w:t>
      </w:r>
      <w:r w:rsidR="00391474" w:rsidRPr="00391474">
        <w:rPr>
          <w:rFonts w:ascii="Arial" w:hAnsi="Arial" w:cs="Arial"/>
          <w:sz w:val="24"/>
          <w:szCs w:val="24"/>
        </w:rPr>
        <w:t xml:space="preserve"> </w:t>
      </w:r>
      <w:r w:rsidR="009A04D8" w:rsidRPr="00391474">
        <w:rPr>
          <w:rFonts w:ascii="Arial" w:hAnsi="Arial" w:cs="Arial"/>
          <w:sz w:val="24"/>
          <w:szCs w:val="24"/>
        </w:rPr>
        <w:t xml:space="preserve">que se hayan generado por las cantidades que le fueron descontadas por concepto de “seguro de vida” mensual, se le dice que </w:t>
      </w:r>
      <w:r w:rsidR="009A04D8" w:rsidRPr="00391474">
        <w:rPr>
          <w:rFonts w:ascii="Arial" w:hAnsi="Arial" w:cs="Arial"/>
          <w:b/>
          <w:sz w:val="24"/>
          <w:szCs w:val="24"/>
        </w:rPr>
        <w:t>NO HA LUGAR</w:t>
      </w:r>
      <w:r w:rsidR="009A04D8" w:rsidRPr="00391474">
        <w:rPr>
          <w:rFonts w:ascii="Arial" w:hAnsi="Arial" w:cs="Arial"/>
          <w:sz w:val="24"/>
          <w:szCs w:val="24"/>
        </w:rPr>
        <w:t xml:space="preserve">, en virtud que lo que solicita procede únicamente tratándose de la figura jurídica del pago de lo indebido, la cual se actualiza cuando el contribuyente entrega al fisco una cantidad mayor a la que le es legalmente exigible o </w:t>
      </w:r>
      <w:r w:rsidR="00315C3A" w:rsidRPr="00391474">
        <w:rPr>
          <w:rFonts w:ascii="Arial" w:hAnsi="Arial" w:cs="Arial"/>
          <w:sz w:val="24"/>
          <w:szCs w:val="24"/>
        </w:rPr>
        <w:t xml:space="preserve">que no sea legalmente adeudada y toda vez que el pago impugnado por la parte actora, dimanaba de un acuerdo emitido por el Consejo Directivo de Pensiones, el cual era una norma que se encontraba vigente en ese momento; aun cuando este Tribunal haya determinado ilegal dicho acto del </w:t>
      </w:r>
      <w:r w:rsidR="00315C3A" w:rsidRPr="00391474">
        <w:rPr>
          <w:rFonts w:ascii="Arial" w:hAnsi="Arial" w:cs="Arial"/>
          <w:sz w:val="24"/>
          <w:szCs w:val="24"/>
        </w:rPr>
        <w:lastRenderedPageBreak/>
        <w:t xml:space="preserve">cual es fruto, ello no implica que el aprovechamiento no haya sido enterado, en cumplimiento de las disposiciones aplicables; de donde se colige que no procede dicho pago de lo indebido en los términos solicitados por la parte actora, </w:t>
      </w:r>
      <w:r w:rsidR="009A04D8" w:rsidRPr="00391474">
        <w:rPr>
          <w:rFonts w:ascii="Arial" w:hAnsi="Arial" w:cs="Arial"/>
          <w:sz w:val="24"/>
          <w:szCs w:val="24"/>
        </w:rPr>
        <w:t xml:space="preserve">esto es así de acuerdo al criterio jurisprudencial emitido por el Séptimo Tribunal Colegiado en Materia Administrativa del Primer Circuito, </w:t>
      </w:r>
      <w:r w:rsidR="00CD4922">
        <w:rPr>
          <w:rFonts w:ascii="Arial" w:hAnsi="Arial" w:cs="Arial"/>
          <w:sz w:val="24"/>
          <w:szCs w:val="24"/>
        </w:rPr>
        <w:t>que señala</w:t>
      </w:r>
      <w:r w:rsidR="00391474" w:rsidRPr="00391474">
        <w:rPr>
          <w:rFonts w:ascii="Arial" w:hAnsi="Arial" w:cs="Arial"/>
          <w:sz w:val="24"/>
          <w:szCs w:val="24"/>
        </w:rPr>
        <w:t xml:space="preserve"> que </w:t>
      </w:r>
      <w:r w:rsidR="009A04D8" w:rsidRPr="00391474">
        <w:rPr>
          <w:rFonts w:ascii="Arial" w:hAnsi="Arial" w:cs="Arial"/>
          <w:sz w:val="24"/>
          <w:szCs w:val="24"/>
        </w:rPr>
        <w:t xml:space="preserve">no procede el pago de </w:t>
      </w:r>
      <w:r w:rsidR="00391474" w:rsidRPr="00391474">
        <w:rPr>
          <w:rFonts w:ascii="Arial" w:hAnsi="Arial" w:cs="Arial"/>
          <w:sz w:val="24"/>
          <w:szCs w:val="24"/>
        </w:rPr>
        <w:t>intereses</w:t>
      </w:r>
      <w:r w:rsidR="009A04D8" w:rsidRPr="00391474">
        <w:rPr>
          <w:rFonts w:ascii="Arial" w:hAnsi="Arial" w:cs="Arial"/>
          <w:sz w:val="24"/>
          <w:szCs w:val="24"/>
        </w:rPr>
        <w:t>, cuando el pago se realizó en cumplimiento a una disposición legal vigente con independencia de que el administrado haya impugnado la inconstitucionalidad del tributo enterado. Para mayor sustento a lo anterior se transcribe la tesis I.7o.A. J/34, del Semanario Judicial de la Federación y su Gaceta, Tomo XXV, Enero de 2007, Novena Época de rubro y texto siguientes:</w:t>
      </w:r>
    </w:p>
    <w:p w14:paraId="0113DE18" w14:textId="77777777" w:rsidR="003F1307" w:rsidRPr="00391474" w:rsidRDefault="003F1307" w:rsidP="00391474">
      <w:pPr>
        <w:spacing w:before="240" w:after="0" w:line="360" w:lineRule="auto"/>
        <w:ind w:firstLine="567"/>
        <w:jc w:val="both"/>
        <w:rPr>
          <w:rFonts w:ascii="Arial" w:hAnsi="Arial" w:cs="Arial"/>
        </w:rPr>
      </w:pPr>
    </w:p>
    <w:p w14:paraId="6FEF6901" w14:textId="77777777" w:rsidR="009A04D8" w:rsidRPr="00CD4922" w:rsidRDefault="009A04D8" w:rsidP="00CD4922">
      <w:pPr>
        <w:spacing w:after="0"/>
        <w:ind w:right="49" w:firstLine="567"/>
        <w:jc w:val="both"/>
        <w:rPr>
          <w:rFonts w:ascii="Arial" w:hAnsi="Arial" w:cs="Arial"/>
          <w:i/>
        </w:rPr>
      </w:pPr>
    </w:p>
    <w:p w14:paraId="4E9C463F" w14:textId="57462773" w:rsidR="009A04D8" w:rsidRPr="00CD4922" w:rsidRDefault="00CD4922" w:rsidP="00CD4922">
      <w:pPr>
        <w:spacing w:after="0"/>
        <w:ind w:left="567" w:right="616"/>
        <w:jc w:val="both"/>
        <w:rPr>
          <w:rFonts w:ascii="Arial" w:hAnsi="Arial" w:cs="Arial"/>
          <w:b/>
          <w:i/>
          <w:sz w:val="24"/>
          <w:szCs w:val="24"/>
        </w:rPr>
      </w:pPr>
      <w:r w:rsidRPr="00CD4922">
        <w:rPr>
          <w:rFonts w:ascii="Arial" w:hAnsi="Arial" w:cs="Arial"/>
          <w:b/>
          <w:i/>
          <w:sz w:val="24"/>
          <w:szCs w:val="24"/>
        </w:rPr>
        <w:t>“</w:t>
      </w:r>
      <w:r w:rsidR="009A04D8" w:rsidRPr="00CD4922">
        <w:rPr>
          <w:rFonts w:ascii="Arial" w:hAnsi="Arial" w:cs="Arial"/>
          <w:b/>
          <w:i/>
          <w:sz w:val="24"/>
          <w:szCs w:val="24"/>
        </w:rPr>
        <w:t>PAGO DE LO INDEBIDO. NO SE ACTUALIZA TRATÁNDOSE DE CONTRIBUCIONES PAGADAS CON BASE EN UNA LEY QUE CON POSTERIORIDAD FUE DECLARADA INCONSTITUCIONAL.</w:t>
      </w:r>
    </w:p>
    <w:p w14:paraId="5C3FB487" w14:textId="77777777" w:rsidR="009A04D8" w:rsidRPr="00CD4922" w:rsidRDefault="009A04D8" w:rsidP="00CD4922">
      <w:pPr>
        <w:spacing w:after="0"/>
        <w:ind w:left="567" w:right="616"/>
        <w:jc w:val="both"/>
        <w:rPr>
          <w:rFonts w:ascii="Arial" w:hAnsi="Arial" w:cs="Arial"/>
          <w:i/>
          <w:sz w:val="24"/>
          <w:szCs w:val="24"/>
        </w:rPr>
      </w:pPr>
    </w:p>
    <w:p w14:paraId="12FD907D" w14:textId="7E2D65A4" w:rsidR="009A04D8" w:rsidRPr="00CD4922" w:rsidRDefault="009A04D8" w:rsidP="00CD4922">
      <w:pPr>
        <w:spacing w:after="0"/>
        <w:ind w:left="567" w:right="616"/>
        <w:jc w:val="both"/>
        <w:rPr>
          <w:rFonts w:ascii="Arial" w:hAnsi="Arial" w:cs="Arial"/>
          <w:i/>
          <w:sz w:val="24"/>
          <w:szCs w:val="24"/>
        </w:rPr>
      </w:pPr>
      <w:r w:rsidRPr="00CD4922">
        <w:rPr>
          <w:rFonts w:ascii="Arial" w:hAnsi="Arial" w:cs="Arial"/>
          <w:i/>
          <w:sz w:val="24"/>
          <w:szCs w:val="24"/>
        </w:rPr>
        <w:t>El pago de una contribución se torna indebido cuando la cantidad monetaria entregada al fisco es mayor a la exigible o no se adeuda legalmente, es decir, cuando la autoridad exactora no tenía derecho a recibirla conforme a la ley al momento de su cobro, de ahí que en tal supuesto, deba reintegrarla con su actualización e intereses respectivos. Por ello, no existe pago de lo indebido ni procede pago de interés alguno, cuando el monto se determinó y cubrió en acatamiento de una disposición legal vigente, con absoluta independencia de que el contribuyente hubiera impugnado posteriormente la constitucionalidad del tributo en cuestión y obtenido la protección federal instada, pues queda claro que aquel numerario se ingresó al erario, no por error o exigencia indebida de la exactora, sino en cumplimiento de un mandato general de observancia obligatoria para el afectado al momento de realizarlo.</w:t>
      </w:r>
      <w:r w:rsidR="00CD4922" w:rsidRPr="00CD4922">
        <w:rPr>
          <w:rFonts w:ascii="Arial" w:hAnsi="Arial" w:cs="Arial"/>
          <w:i/>
          <w:sz w:val="24"/>
          <w:szCs w:val="24"/>
        </w:rPr>
        <w:t>”</w:t>
      </w:r>
    </w:p>
    <w:p w14:paraId="7BC8070B" w14:textId="77777777" w:rsidR="004A5E10" w:rsidRPr="0051494B" w:rsidRDefault="004A5E10" w:rsidP="00391474">
      <w:pPr>
        <w:spacing w:before="240" w:after="0" w:line="360" w:lineRule="auto"/>
        <w:jc w:val="both"/>
        <w:rPr>
          <w:rFonts w:ascii="Arial" w:eastAsia="Calibri" w:hAnsi="Arial" w:cs="Arial"/>
          <w:sz w:val="24"/>
          <w:szCs w:val="24"/>
          <w:lang w:eastAsia="en-US"/>
        </w:rPr>
      </w:pPr>
    </w:p>
    <w:p w14:paraId="66031F37" w14:textId="77777777" w:rsidR="0051494B" w:rsidRPr="0051494B" w:rsidRDefault="0051494B" w:rsidP="0051494B">
      <w:pPr>
        <w:spacing w:after="16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Por lo antes expuesto y con fundamento en los artículos 207, 208 y 209 de la Ley de Procedimiento y Justicia Administrativa para el Estado de Oaxaca, se;</w:t>
      </w:r>
    </w:p>
    <w:p w14:paraId="20D160E4" w14:textId="77777777" w:rsidR="0051494B" w:rsidRPr="0051494B" w:rsidRDefault="0051494B" w:rsidP="0051494B">
      <w:pPr>
        <w:spacing w:after="160" w:line="259" w:lineRule="auto"/>
        <w:rPr>
          <w:rFonts w:ascii="Arial" w:eastAsia="Calibri" w:hAnsi="Arial" w:cs="Arial"/>
          <w:sz w:val="24"/>
          <w:szCs w:val="24"/>
          <w:lang w:eastAsia="en-US"/>
        </w:rPr>
      </w:pPr>
    </w:p>
    <w:p w14:paraId="1B7ED17D" w14:textId="77777777" w:rsidR="0051494B" w:rsidRPr="0051494B" w:rsidRDefault="0051494B" w:rsidP="0051494B">
      <w:pPr>
        <w:spacing w:after="160" w:line="259" w:lineRule="auto"/>
        <w:jc w:val="center"/>
        <w:rPr>
          <w:rFonts w:ascii="Arial" w:eastAsia="Calibri" w:hAnsi="Arial" w:cs="Arial"/>
          <w:b/>
          <w:bCs/>
          <w:sz w:val="24"/>
          <w:szCs w:val="24"/>
          <w:lang w:eastAsia="en-US"/>
        </w:rPr>
      </w:pPr>
      <w:r w:rsidRPr="0051494B">
        <w:rPr>
          <w:rFonts w:ascii="Arial" w:eastAsia="Calibri" w:hAnsi="Arial" w:cs="Arial"/>
          <w:b/>
          <w:bCs/>
          <w:sz w:val="24"/>
          <w:szCs w:val="24"/>
          <w:lang w:eastAsia="en-US"/>
        </w:rPr>
        <w:t>R E S U E L V E</w:t>
      </w:r>
    </w:p>
    <w:p w14:paraId="6B3766E6" w14:textId="77777777" w:rsidR="0051494B" w:rsidRPr="0051494B" w:rsidRDefault="0051494B" w:rsidP="0051494B">
      <w:pPr>
        <w:spacing w:after="160" w:line="259" w:lineRule="auto"/>
        <w:jc w:val="center"/>
        <w:rPr>
          <w:rFonts w:ascii="Arial" w:eastAsia="Calibri" w:hAnsi="Arial" w:cs="Arial"/>
          <w:b/>
          <w:bCs/>
          <w:sz w:val="24"/>
          <w:szCs w:val="24"/>
          <w:lang w:eastAsia="en-US"/>
        </w:rPr>
      </w:pPr>
    </w:p>
    <w:p w14:paraId="47737220" w14:textId="77777777" w:rsidR="0051494B" w:rsidRPr="0051494B" w:rsidRDefault="0051494B" w:rsidP="0051494B">
      <w:pPr>
        <w:spacing w:after="0" w:line="360" w:lineRule="auto"/>
        <w:ind w:right="49" w:firstLine="567"/>
        <w:jc w:val="both"/>
        <w:rPr>
          <w:rFonts w:ascii="Arial" w:eastAsia="Times New Roman" w:hAnsi="Arial" w:cs="Arial"/>
          <w:sz w:val="24"/>
          <w:szCs w:val="24"/>
        </w:rPr>
      </w:pPr>
      <w:r w:rsidRPr="0051494B">
        <w:rPr>
          <w:rFonts w:ascii="Arial" w:eastAsia="Times New Roman" w:hAnsi="Arial" w:cs="Arial"/>
          <w:b/>
          <w:sz w:val="24"/>
          <w:szCs w:val="24"/>
        </w:rPr>
        <w:t>Primero.</w:t>
      </w:r>
      <w:r w:rsidRPr="0051494B">
        <w:rPr>
          <w:rFonts w:ascii="Arial" w:eastAsia="Times New Roman" w:hAnsi="Arial" w:cs="Arial"/>
          <w:sz w:val="24"/>
          <w:szCs w:val="24"/>
        </w:rPr>
        <w:t xml:space="preserve"> Esta Primera Sala Unitaria fue competente para conocer y resolver del presente asunto.</w:t>
      </w:r>
    </w:p>
    <w:p w14:paraId="32EE171C" w14:textId="77777777" w:rsidR="0051494B" w:rsidRPr="0051494B" w:rsidRDefault="0051494B" w:rsidP="0051494B">
      <w:pPr>
        <w:spacing w:after="0" w:line="360" w:lineRule="auto"/>
        <w:ind w:right="49" w:firstLine="567"/>
        <w:jc w:val="both"/>
        <w:rPr>
          <w:rFonts w:ascii="Arial" w:eastAsia="Times New Roman" w:hAnsi="Arial" w:cs="Arial"/>
        </w:rPr>
      </w:pPr>
    </w:p>
    <w:p w14:paraId="72F94CB5" w14:textId="77777777" w:rsidR="0051494B" w:rsidRPr="0051494B" w:rsidRDefault="0051494B" w:rsidP="0051494B">
      <w:pPr>
        <w:spacing w:after="0" w:line="360" w:lineRule="auto"/>
        <w:ind w:right="49" w:firstLine="567"/>
        <w:jc w:val="both"/>
        <w:rPr>
          <w:rFonts w:ascii="Arial" w:eastAsia="Times New Roman" w:hAnsi="Arial" w:cs="Arial"/>
          <w:sz w:val="24"/>
          <w:szCs w:val="24"/>
        </w:rPr>
      </w:pPr>
      <w:r w:rsidRPr="0051494B">
        <w:rPr>
          <w:rFonts w:ascii="Arial" w:eastAsia="Times New Roman" w:hAnsi="Arial" w:cs="Arial"/>
          <w:b/>
          <w:sz w:val="24"/>
          <w:szCs w:val="24"/>
        </w:rPr>
        <w:lastRenderedPageBreak/>
        <w:t>Segundo.</w:t>
      </w:r>
      <w:r w:rsidRPr="0051494B">
        <w:rPr>
          <w:rFonts w:ascii="Arial" w:eastAsia="Times New Roman" w:hAnsi="Arial" w:cs="Arial"/>
          <w:sz w:val="24"/>
          <w:szCs w:val="24"/>
        </w:rPr>
        <w:t xml:space="preserve"> No se actualizaron causales de improcedencia y sobreseimiento hechas valer por la autoridad demandada por lo que no se sobresee el juicio. </w:t>
      </w:r>
    </w:p>
    <w:p w14:paraId="6100BD27" w14:textId="77777777" w:rsidR="0051494B" w:rsidRPr="0051494B" w:rsidRDefault="0051494B" w:rsidP="0051494B">
      <w:pPr>
        <w:spacing w:after="160" w:line="259" w:lineRule="auto"/>
        <w:rPr>
          <w:rFonts w:ascii="Arial" w:eastAsia="Calibri" w:hAnsi="Arial" w:cs="Arial"/>
          <w:b/>
          <w:bCs/>
          <w:sz w:val="24"/>
          <w:szCs w:val="24"/>
          <w:lang w:eastAsia="en-US"/>
        </w:rPr>
      </w:pPr>
    </w:p>
    <w:p w14:paraId="746575AE" w14:textId="48E60325" w:rsidR="0051494B" w:rsidRPr="0051494B" w:rsidRDefault="0051494B" w:rsidP="0051494B">
      <w:pPr>
        <w:spacing w:after="0" w:line="360" w:lineRule="auto"/>
        <w:ind w:right="49" w:firstLine="567"/>
        <w:jc w:val="both"/>
        <w:rPr>
          <w:rFonts w:ascii="Arial" w:eastAsia="Calibri" w:hAnsi="Arial" w:cs="Arial"/>
          <w:sz w:val="24"/>
          <w:szCs w:val="24"/>
          <w:lang w:eastAsia="en-US"/>
        </w:rPr>
      </w:pPr>
      <w:r w:rsidRPr="0051494B">
        <w:rPr>
          <w:rFonts w:ascii="Arial" w:eastAsia="Calibri" w:hAnsi="Arial" w:cs="Arial"/>
          <w:b/>
          <w:bCs/>
          <w:sz w:val="24"/>
          <w:szCs w:val="24"/>
          <w:lang w:eastAsia="en-US"/>
        </w:rPr>
        <w:t>Tercero.</w:t>
      </w:r>
      <w:r w:rsidRPr="0051494B">
        <w:rPr>
          <w:rFonts w:ascii="Arial" w:eastAsia="Calibri" w:hAnsi="Arial" w:cs="Arial"/>
          <w:sz w:val="24"/>
          <w:szCs w:val="24"/>
          <w:lang w:eastAsia="en-US"/>
        </w:rPr>
        <w:t xml:space="preserve"> Se declara la </w:t>
      </w:r>
      <w:r w:rsidRPr="0051494B">
        <w:rPr>
          <w:rFonts w:ascii="Arial" w:eastAsia="Calibri" w:hAnsi="Arial" w:cs="Arial"/>
          <w:b/>
          <w:bCs/>
          <w:sz w:val="24"/>
          <w:szCs w:val="24"/>
          <w:lang w:eastAsia="en-US"/>
        </w:rPr>
        <w:t>nulidad</w:t>
      </w:r>
      <w:r w:rsidRPr="0051494B">
        <w:rPr>
          <w:rFonts w:ascii="Arial" w:eastAsia="Calibri" w:hAnsi="Arial" w:cs="Arial"/>
          <w:sz w:val="24"/>
          <w:szCs w:val="24"/>
          <w:lang w:eastAsia="en-US"/>
        </w:rPr>
        <w:t xml:space="preserve">, </w:t>
      </w:r>
      <w:r w:rsidR="00391474">
        <w:rPr>
          <w:rFonts w:ascii="Arial" w:eastAsia="Calibri" w:hAnsi="Arial" w:cs="Arial"/>
          <w:sz w:val="24"/>
          <w:szCs w:val="24"/>
          <w:lang w:eastAsia="en-US"/>
        </w:rPr>
        <w:t>del oficio</w:t>
      </w:r>
      <w:r w:rsidR="00CD4922">
        <w:rPr>
          <w:rFonts w:ascii="Arial" w:eastAsia="Calibri" w:hAnsi="Arial" w:cs="Arial"/>
          <w:sz w:val="24"/>
          <w:szCs w:val="24"/>
          <w:lang w:eastAsia="en-US"/>
        </w:rPr>
        <w:t xml:space="preserve"> número </w:t>
      </w:r>
      <w:r w:rsidR="00FF021A">
        <w:rPr>
          <w:rFonts w:ascii="Arial" w:eastAsia="Calibri" w:hAnsi="Arial" w:cs="Arial"/>
          <w:sz w:val="24"/>
          <w:szCs w:val="24"/>
          <w:lang w:eastAsia="en-US"/>
        </w:rPr>
        <w:t>**********</w:t>
      </w:r>
      <w:bookmarkStart w:id="0" w:name="_GoBack"/>
      <w:bookmarkEnd w:id="0"/>
      <w:r w:rsidR="00CD4922">
        <w:rPr>
          <w:rFonts w:ascii="Arial" w:eastAsia="Calibri" w:hAnsi="Arial" w:cs="Arial"/>
          <w:sz w:val="24"/>
          <w:szCs w:val="24"/>
          <w:lang w:eastAsia="en-US"/>
        </w:rPr>
        <w:t xml:space="preserve">, de diecinueve de agosto de dos mil diecinueve, emitido por el Director General de la Oficina de Pensiones del Estado de Oaxaca, para el </w:t>
      </w:r>
      <w:r w:rsidR="00CD4922" w:rsidRPr="00CD4922">
        <w:rPr>
          <w:rFonts w:ascii="Arial" w:eastAsia="Calibri" w:hAnsi="Arial" w:cs="Arial"/>
          <w:b/>
          <w:sz w:val="24"/>
          <w:szCs w:val="24"/>
          <w:lang w:eastAsia="en-US"/>
        </w:rPr>
        <w:t>efecto</w:t>
      </w:r>
      <w:r w:rsidR="00CD4922">
        <w:rPr>
          <w:rFonts w:ascii="Arial" w:eastAsia="Calibri" w:hAnsi="Arial" w:cs="Arial"/>
          <w:sz w:val="24"/>
          <w:szCs w:val="24"/>
          <w:lang w:eastAsia="en-US"/>
        </w:rPr>
        <w:t xml:space="preserve"> precisado</w:t>
      </w:r>
      <w:r w:rsidR="00391474">
        <w:rPr>
          <w:rFonts w:ascii="Arial" w:eastAsia="Calibri" w:hAnsi="Arial" w:cs="Arial"/>
          <w:sz w:val="24"/>
          <w:szCs w:val="24"/>
          <w:lang w:eastAsia="en-US"/>
        </w:rPr>
        <w:t xml:space="preserve"> </w:t>
      </w:r>
      <w:r w:rsidR="00CD4922">
        <w:rPr>
          <w:rFonts w:ascii="Arial" w:eastAsia="Calibri" w:hAnsi="Arial" w:cs="Arial"/>
          <w:sz w:val="24"/>
          <w:szCs w:val="24"/>
          <w:lang w:eastAsia="en-US"/>
        </w:rPr>
        <w:t xml:space="preserve">en el </w:t>
      </w:r>
      <w:r w:rsidRPr="0051494B">
        <w:rPr>
          <w:rFonts w:ascii="Arial" w:eastAsia="Calibri" w:hAnsi="Arial" w:cs="Arial"/>
          <w:sz w:val="24"/>
          <w:szCs w:val="24"/>
          <w:lang w:eastAsia="en-US"/>
        </w:rPr>
        <w:t xml:space="preserve">considerando </w:t>
      </w:r>
      <w:r w:rsidR="00CD4922">
        <w:rPr>
          <w:rFonts w:ascii="Arial" w:eastAsia="Calibri" w:hAnsi="Arial" w:cs="Arial"/>
          <w:sz w:val="24"/>
          <w:szCs w:val="24"/>
          <w:lang w:eastAsia="en-US"/>
        </w:rPr>
        <w:t>sexto de la presente sentencia</w:t>
      </w:r>
      <w:r w:rsidRPr="0051494B">
        <w:rPr>
          <w:rFonts w:ascii="Arial" w:eastAsia="Calibri" w:hAnsi="Arial" w:cs="Arial"/>
          <w:sz w:val="24"/>
          <w:szCs w:val="24"/>
          <w:lang w:eastAsia="en-US"/>
        </w:rPr>
        <w:t xml:space="preserve">. </w:t>
      </w:r>
    </w:p>
    <w:p w14:paraId="73607F5B" w14:textId="77777777" w:rsidR="0051494B" w:rsidRPr="0051494B" w:rsidRDefault="0051494B" w:rsidP="0051494B">
      <w:pPr>
        <w:spacing w:after="0" w:line="360" w:lineRule="auto"/>
        <w:ind w:right="49"/>
        <w:jc w:val="both"/>
        <w:rPr>
          <w:rFonts w:ascii="Arial" w:eastAsia="Calibri" w:hAnsi="Arial" w:cs="Arial"/>
          <w:sz w:val="24"/>
          <w:szCs w:val="24"/>
          <w:lang w:eastAsia="en-US"/>
        </w:rPr>
      </w:pPr>
    </w:p>
    <w:p w14:paraId="5802BCAB" w14:textId="77777777" w:rsidR="0051494B" w:rsidRPr="0051494B" w:rsidRDefault="0051494B" w:rsidP="0051494B">
      <w:pPr>
        <w:spacing w:after="0" w:line="360" w:lineRule="auto"/>
        <w:ind w:right="49" w:firstLine="567"/>
        <w:jc w:val="both"/>
        <w:rPr>
          <w:rFonts w:ascii="Arial" w:eastAsia="Times New Roman" w:hAnsi="Arial" w:cs="Arial"/>
          <w:sz w:val="24"/>
          <w:szCs w:val="24"/>
        </w:rPr>
      </w:pPr>
      <w:r w:rsidRPr="0051494B">
        <w:rPr>
          <w:rFonts w:ascii="Arial" w:eastAsia="Times New Roman" w:hAnsi="Arial" w:cs="Arial"/>
          <w:b/>
          <w:sz w:val="24"/>
          <w:szCs w:val="24"/>
        </w:rPr>
        <w:t>Cuarto. Notifíquese personalmente a la parte actora y por oficio a la autoridad demandada</w:t>
      </w:r>
      <w:r w:rsidRPr="0051494B">
        <w:rPr>
          <w:rFonts w:ascii="Arial" w:eastAsia="Times New Roman" w:hAnsi="Arial" w:cs="Arial"/>
          <w:sz w:val="24"/>
          <w:szCs w:val="24"/>
        </w:rPr>
        <w:t xml:space="preserve">, con fundamento en los artículos 172 </w:t>
      </w:r>
      <w:proofErr w:type="gramStart"/>
      <w:r w:rsidRPr="0051494B">
        <w:rPr>
          <w:rFonts w:ascii="Arial" w:eastAsia="Times New Roman" w:hAnsi="Arial" w:cs="Arial"/>
          <w:sz w:val="24"/>
          <w:szCs w:val="24"/>
        </w:rPr>
        <w:t>fracción</w:t>
      </w:r>
      <w:proofErr w:type="gramEnd"/>
      <w:r w:rsidRPr="0051494B">
        <w:rPr>
          <w:rFonts w:ascii="Arial" w:eastAsia="Times New Roman" w:hAnsi="Arial" w:cs="Arial"/>
          <w:sz w:val="24"/>
          <w:szCs w:val="24"/>
        </w:rPr>
        <w:t xml:space="preserve"> I y 173 fracciones I y II, de la Ley de Procedimiento y Justicia Administrativa para el Estado de Oaxaca,</w:t>
      </w:r>
      <w:r w:rsidRPr="0051494B">
        <w:rPr>
          <w:rFonts w:ascii="Arial" w:eastAsia="Times New Roman" w:hAnsi="Arial" w:cs="Arial"/>
          <w:b/>
          <w:iCs/>
          <w:sz w:val="24"/>
          <w:szCs w:val="24"/>
        </w:rPr>
        <w:t xml:space="preserve"> - CÚMPLASE</w:t>
      </w:r>
      <w:r w:rsidRPr="0051494B">
        <w:rPr>
          <w:rFonts w:ascii="Arial" w:eastAsia="Times New Roman" w:hAnsi="Arial" w:cs="Arial"/>
          <w:sz w:val="24"/>
          <w:szCs w:val="24"/>
        </w:rPr>
        <w:t xml:space="preserve">. </w:t>
      </w:r>
    </w:p>
    <w:p w14:paraId="7C0CDAA3" w14:textId="77777777" w:rsidR="0051494B" w:rsidRPr="0051494B" w:rsidRDefault="0051494B" w:rsidP="0051494B">
      <w:pPr>
        <w:spacing w:after="0" w:line="360" w:lineRule="auto"/>
        <w:ind w:right="49" w:firstLine="567"/>
        <w:jc w:val="both"/>
        <w:rPr>
          <w:rFonts w:ascii="Arial" w:eastAsia="Times New Roman" w:hAnsi="Arial" w:cs="Arial"/>
          <w:b/>
          <w:sz w:val="24"/>
          <w:szCs w:val="24"/>
        </w:rPr>
      </w:pPr>
    </w:p>
    <w:p w14:paraId="142C9C59" w14:textId="77777777" w:rsidR="0051494B" w:rsidRPr="0051494B" w:rsidRDefault="0051494B" w:rsidP="0051494B">
      <w:pPr>
        <w:spacing w:after="0" w:line="360" w:lineRule="auto"/>
        <w:ind w:right="49" w:firstLine="567"/>
        <w:jc w:val="both"/>
        <w:rPr>
          <w:rFonts w:ascii="Arial" w:eastAsia="Times New Roman" w:hAnsi="Arial" w:cs="Arial"/>
          <w:b/>
          <w:sz w:val="24"/>
          <w:szCs w:val="24"/>
          <w:lang w:val="es-ES"/>
        </w:rPr>
      </w:pPr>
      <w:r w:rsidRPr="0051494B">
        <w:rPr>
          <w:rFonts w:ascii="Arial" w:eastAsia="Times New Roman" w:hAnsi="Arial" w:cs="Arial"/>
          <w:sz w:val="24"/>
          <w:szCs w:val="24"/>
        </w:rPr>
        <w:t xml:space="preserve">Así lo resolvió y firmó el Titular de la Primera Sala Unitaria de Primera Instancia del Tribunal de Justicia Administrativa del Estado de Oaxaca, Magistrado Abraham Santiago Soriano, quien actúa con el Licenciado Christian Mauricio Morales </w:t>
      </w:r>
      <w:proofErr w:type="spellStart"/>
      <w:r w:rsidRPr="0051494B">
        <w:rPr>
          <w:rFonts w:ascii="Arial" w:eastAsia="Times New Roman" w:hAnsi="Arial" w:cs="Arial"/>
          <w:sz w:val="24"/>
          <w:szCs w:val="24"/>
        </w:rPr>
        <w:t>Morales</w:t>
      </w:r>
      <w:proofErr w:type="spellEnd"/>
      <w:r w:rsidRPr="0051494B">
        <w:rPr>
          <w:rFonts w:ascii="Arial" w:eastAsia="Times New Roman" w:hAnsi="Arial" w:cs="Arial"/>
          <w:sz w:val="24"/>
          <w:szCs w:val="24"/>
        </w:rPr>
        <w:t>, Secretario de Acuerdos, que autoriza y da fe.</w:t>
      </w:r>
    </w:p>
    <w:p w14:paraId="0E76C300" w14:textId="77777777" w:rsidR="0051494B" w:rsidRPr="0051494B" w:rsidRDefault="0051494B" w:rsidP="0051494B">
      <w:pPr>
        <w:tabs>
          <w:tab w:val="right" w:pos="8789"/>
        </w:tabs>
        <w:spacing w:after="0" w:line="259" w:lineRule="auto"/>
        <w:jc w:val="both"/>
        <w:rPr>
          <w:rFonts w:ascii="Arial" w:eastAsia="Calibri" w:hAnsi="Arial" w:cs="Arial"/>
          <w:lang w:val="es-ES" w:eastAsia="en-US"/>
        </w:rPr>
      </w:pPr>
    </w:p>
    <w:p w14:paraId="7D23811B" w14:textId="77777777" w:rsidR="0051494B" w:rsidRPr="0051494B" w:rsidRDefault="0051494B" w:rsidP="0051494B">
      <w:pPr>
        <w:spacing w:after="160" w:line="259" w:lineRule="auto"/>
        <w:rPr>
          <w:rFonts w:ascii="Calibri" w:eastAsia="Calibri" w:hAnsi="Calibri" w:cs="Times New Roman"/>
          <w:lang w:eastAsia="en-US"/>
        </w:rPr>
      </w:pPr>
    </w:p>
    <w:p w14:paraId="50453FE0" w14:textId="197A691C" w:rsidR="00BA258A" w:rsidRPr="00BC59CF" w:rsidRDefault="00BA258A" w:rsidP="00BC59CF"/>
    <w:sectPr w:rsidR="00BA258A" w:rsidRPr="00BC59CF" w:rsidSect="0051494B">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FF688C" w14:textId="77777777" w:rsidR="009959D5" w:rsidRDefault="009959D5">
      <w:pPr>
        <w:spacing w:after="0" w:line="240" w:lineRule="auto"/>
      </w:pPr>
      <w:r>
        <w:separator/>
      </w:r>
    </w:p>
  </w:endnote>
  <w:endnote w:type="continuationSeparator" w:id="0">
    <w:p w14:paraId="1D00D34A" w14:textId="77777777" w:rsidR="009959D5" w:rsidRDefault="009959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entury Schoolbook">
    <w:altName w:val="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360DF" w:rsidRDefault="00A360DF">
    <w:pPr>
      <w:pStyle w:val="Piedepgina"/>
      <w:jc w:val="center"/>
    </w:pPr>
  </w:p>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4C2D34" w14:textId="77777777" w:rsidR="009959D5" w:rsidRDefault="009959D5">
      <w:pPr>
        <w:spacing w:after="0" w:line="240" w:lineRule="auto"/>
      </w:pPr>
      <w:r>
        <w:separator/>
      </w:r>
    </w:p>
  </w:footnote>
  <w:footnote w:type="continuationSeparator" w:id="0">
    <w:p w14:paraId="2ABBFDA6" w14:textId="77777777" w:rsidR="009959D5" w:rsidRDefault="009959D5">
      <w:pPr>
        <w:spacing w:after="0" w:line="240" w:lineRule="auto"/>
      </w:pPr>
      <w:r>
        <w:continuationSeparator/>
      </w:r>
    </w:p>
  </w:footnote>
  <w:footnote w:id="1">
    <w:p w14:paraId="561CEC28" w14:textId="77777777" w:rsidR="0051494B" w:rsidRDefault="0051494B" w:rsidP="0051494B">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2E9CA468" w14:textId="77777777" w:rsidR="0051494B" w:rsidRPr="005B4F51" w:rsidRDefault="0051494B" w:rsidP="0051494B">
      <w:pPr>
        <w:autoSpaceDE w:val="0"/>
        <w:autoSpaceDN w:val="0"/>
        <w:adjustRightInd w:val="0"/>
        <w:spacing w:after="0" w:line="240" w:lineRule="auto"/>
        <w:jc w:val="both"/>
        <w:rPr>
          <w:rFonts w:ascii="Arial" w:hAnsi="Arial" w:cs="Arial"/>
          <w:color w:val="000000"/>
        </w:rPr>
      </w:pPr>
    </w:p>
  </w:footnote>
  <w:footnote w:id="2">
    <w:p w14:paraId="4A5BF682" w14:textId="77777777" w:rsidR="0051494B" w:rsidRDefault="0051494B" w:rsidP="0051494B">
      <w:pPr>
        <w:autoSpaceDE w:val="0"/>
        <w:autoSpaceDN w:val="0"/>
        <w:adjustRightInd w:val="0"/>
        <w:spacing w:after="0" w:line="240" w:lineRule="auto"/>
        <w:jc w:val="both"/>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450CB311" w14:textId="77777777" w:rsidR="0051494B" w:rsidRPr="005B4F51" w:rsidRDefault="0051494B" w:rsidP="0051494B">
      <w:pPr>
        <w:autoSpaceDE w:val="0"/>
        <w:autoSpaceDN w:val="0"/>
        <w:adjustRightInd w:val="0"/>
        <w:spacing w:after="0" w:line="240" w:lineRule="auto"/>
        <w:rPr>
          <w:rFonts w:ascii="Arial" w:hAnsi="Arial" w:cs="Arial"/>
          <w:color w:val="000000"/>
          <w:sz w:val="16"/>
          <w:szCs w:val="16"/>
        </w:rPr>
      </w:pPr>
    </w:p>
  </w:footnote>
  <w:footnote w:id="3">
    <w:p w14:paraId="133E64DA" w14:textId="77777777" w:rsidR="0051494B" w:rsidRPr="009F02A1" w:rsidRDefault="0051494B" w:rsidP="0051494B">
      <w:pPr>
        <w:autoSpaceDE w:val="0"/>
        <w:autoSpaceDN w:val="0"/>
        <w:adjustRightInd w:val="0"/>
        <w:spacing w:after="0" w:line="240" w:lineRule="auto"/>
        <w:rPr>
          <w:rFonts w:ascii="Arial" w:hAnsi="Arial" w:cs="Arial"/>
          <w:color w:val="000000"/>
          <w:sz w:val="16"/>
          <w:szCs w:val="16"/>
        </w:rPr>
      </w:pPr>
      <w:r>
        <w:rPr>
          <w:rStyle w:val="Refdenotaalpie"/>
        </w:rPr>
        <w:footnoteRef/>
      </w:r>
      <w:r>
        <w:t xml:space="preserve"> </w:t>
      </w:r>
      <w:r w:rsidRPr="00B66772">
        <w:rPr>
          <w:sz w:val="16"/>
          <w:szCs w:val="16"/>
        </w:rPr>
        <w:t>“</w:t>
      </w:r>
      <w:r w:rsidRPr="009F02A1">
        <w:rPr>
          <w:rFonts w:ascii="Arial" w:hAnsi="Arial" w:cs="Arial"/>
          <w:b/>
          <w:bCs/>
          <w:color w:val="000000"/>
          <w:sz w:val="16"/>
          <w:szCs w:val="16"/>
        </w:rPr>
        <w:t xml:space="preserve">ARTÍCULO 203.- </w:t>
      </w:r>
      <w:r w:rsidRPr="009F02A1">
        <w:rPr>
          <w:rFonts w:ascii="Arial" w:hAnsi="Arial" w:cs="Arial"/>
          <w:color w:val="000000"/>
          <w:sz w:val="16"/>
          <w:szCs w:val="16"/>
        </w:rPr>
        <w:t>La valoración de las pruebas se hará de acuerdo con las siguientes reglas:</w:t>
      </w:r>
    </w:p>
    <w:p w14:paraId="5BAFB238" w14:textId="77777777" w:rsidR="0051494B" w:rsidRPr="009F02A1" w:rsidRDefault="0051494B" w:rsidP="0051494B">
      <w:pPr>
        <w:autoSpaceDE w:val="0"/>
        <w:autoSpaceDN w:val="0"/>
        <w:adjustRightInd w:val="0"/>
        <w:spacing w:after="0" w:line="240" w:lineRule="auto"/>
        <w:rPr>
          <w:rFonts w:ascii="Arial" w:hAnsi="Arial" w:cs="Arial"/>
          <w:color w:val="000000"/>
          <w:sz w:val="16"/>
          <w:szCs w:val="16"/>
        </w:rPr>
      </w:pPr>
    </w:p>
    <w:p w14:paraId="7E5502EE" w14:textId="77777777" w:rsidR="0051494B" w:rsidRPr="009F02A1" w:rsidRDefault="0051494B" w:rsidP="0051494B">
      <w:pPr>
        <w:autoSpaceDE w:val="0"/>
        <w:autoSpaceDN w:val="0"/>
        <w:adjustRightInd w:val="0"/>
        <w:spacing w:after="0" w:line="240" w:lineRule="auto"/>
        <w:rPr>
          <w:rFonts w:ascii="Arial" w:hAnsi="Arial" w:cs="Arial"/>
          <w:color w:val="000000"/>
          <w:sz w:val="16"/>
          <w:szCs w:val="16"/>
        </w:rPr>
      </w:pPr>
      <w:r w:rsidRPr="009F02A1">
        <w:rPr>
          <w:rFonts w:ascii="Arial" w:hAnsi="Arial" w:cs="Arial"/>
          <w:color w:val="000000"/>
          <w:sz w:val="16"/>
          <w:szCs w:val="16"/>
        </w:rPr>
        <w:t>I. Harán prueba plena la confesión expresa de las partes y los actos contenidos en</w:t>
      </w:r>
      <w:r>
        <w:rPr>
          <w:rFonts w:ascii="Arial" w:hAnsi="Arial" w:cs="Arial"/>
          <w:color w:val="000000"/>
          <w:sz w:val="16"/>
          <w:szCs w:val="16"/>
        </w:rPr>
        <w:t xml:space="preserve"> </w:t>
      </w:r>
      <w:r w:rsidRPr="009F02A1">
        <w:rPr>
          <w:rFonts w:ascii="Arial" w:hAnsi="Arial" w:cs="Arial"/>
          <w:color w:val="000000"/>
          <w:sz w:val="16"/>
          <w:szCs w:val="16"/>
        </w:rPr>
        <w:t>documentos públicos, si en éstos últimos se contienen declaraciones de verdad o</w:t>
      </w:r>
      <w:r>
        <w:rPr>
          <w:rFonts w:ascii="Arial" w:hAnsi="Arial" w:cs="Arial"/>
          <w:color w:val="000000"/>
          <w:sz w:val="16"/>
          <w:szCs w:val="16"/>
        </w:rPr>
        <w:t xml:space="preserve"> </w:t>
      </w:r>
      <w:r w:rsidRPr="009F02A1">
        <w:rPr>
          <w:rFonts w:ascii="Arial" w:hAnsi="Arial" w:cs="Arial"/>
          <w:color w:val="000000"/>
          <w:sz w:val="16"/>
          <w:szCs w:val="16"/>
        </w:rPr>
        <w:t>manifestaciones de hechos de particulares; y</w:t>
      </w:r>
      <w:r>
        <w:rPr>
          <w:rFonts w:ascii="Arial" w:hAnsi="Arial" w:cs="Arial"/>
          <w:color w:val="000000"/>
          <w:sz w:val="16"/>
          <w:szCs w:val="16"/>
        </w:rPr>
        <w:t xml:space="preserve"> (…)”</w:t>
      </w:r>
    </w:p>
  </w:footnote>
  <w:footnote w:id="4">
    <w:p w14:paraId="6E8094BF" w14:textId="77777777" w:rsidR="00AF66F5" w:rsidRPr="005A5750" w:rsidRDefault="00AF66F5" w:rsidP="00AF66F5">
      <w:pPr>
        <w:pStyle w:val="Textonotapie"/>
        <w:jc w:val="both"/>
        <w:rPr>
          <w:sz w:val="16"/>
          <w:szCs w:val="16"/>
        </w:rPr>
      </w:pPr>
      <w:r w:rsidRPr="005A5750">
        <w:rPr>
          <w:rStyle w:val="Refdenotaalpie"/>
          <w:sz w:val="16"/>
          <w:szCs w:val="16"/>
        </w:rPr>
        <w:footnoteRef/>
      </w:r>
      <w:r w:rsidRPr="005A5750">
        <w:rPr>
          <w:sz w:val="16"/>
          <w:szCs w:val="16"/>
        </w:rPr>
        <w:t xml:space="preserve"> ARTÍCULO 161.- Es improcedente el juicio ante el Tribunal contra actos: …  V.- Contra actos consumados de un modo irreparable; VI.- Contra actos consentidos expresamente o por manifestaciones de voluntad que entrañen ese consentimiento, entendiéndose por éstos últimos, en contra de los cuales no se promueva el juicio dentro del término que para tal efecto señale esta Ley</w:t>
      </w:r>
      <w:proofErr w:type="gramStart"/>
      <w:r w:rsidRPr="005A5750">
        <w:rPr>
          <w:sz w:val="16"/>
          <w:szCs w:val="16"/>
        </w:rPr>
        <w:t>;  …</w:t>
      </w:r>
      <w:proofErr w:type="gramEnd"/>
      <w:r w:rsidRPr="005A5750">
        <w:rPr>
          <w:sz w:val="16"/>
          <w:szCs w:val="16"/>
        </w:rPr>
        <w:t xml:space="preserve">  X.- en los demás casos en que la improcedencia resulte de alguna disposición de esta Ley o de cualquiera otra de naturaleza fiscal o administrativa.</w:t>
      </w:r>
    </w:p>
  </w:footnote>
  <w:footnote w:id="5">
    <w:p w14:paraId="45D43352" w14:textId="77777777" w:rsidR="006F4C7B" w:rsidRPr="0057264A" w:rsidRDefault="006F4C7B" w:rsidP="0057264A">
      <w:pPr>
        <w:pStyle w:val="Textonotapie"/>
        <w:jc w:val="both"/>
        <w:rPr>
          <w:rFonts w:ascii="Arial" w:hAnsi="Arial" w:cs="Arial"/>
          <w:sz w:val="16"/>
          <w:szCs w:val="16"/>
        </w:rPr>
      </w:pPr>
      <w:r w:rsidRPr="0057264A">
        <w:rPr>
          <w:rStyle w:val="Refdenotaalpie"/>
          <w:rFonts w:ascii="Arial" w:hAnsi="Arial" w:cs="Arial"/>
          <w:sz w:val="16"/>
          <w:szCs w:val="16"/>
        </w:rPr>
        <w:footnoteRef/>
      </w:r>
      <w:r w:rsidRPr="0057264A">
        <w:rPr>
          <w:rFonts w:ascii="Arial" w:hAnsi="Arial" w:cs="Arial"/>
          <w:sz w:val="16"/>
          <w:szCs w:val="16"/>
        </w:rPr>
        <w:t xml:space="preserve"> “</w:t>
      </w:r>
      <w:r w:rsidRPr="0057264A">
        <w:rPr>
          <w:rFonts w:ascii="Arial" w:hAnsi="Arial" w:cs="Arial"/>
          <w:b/>
          <w:sz w:val="16"/>
          <w:szCs w:val="16"/>
        </w:rPr>
        <w:t xml:space="preserve">ARTÍCULO 203.- </w:t>
      </w:r>
      <w:r w:rsidRPr="0057264A">
        <w:rPr>
          <w:rFonts w:ascii="Arial" w:hAnsi="Arial" w:cs="Arial"/>
          <w:sz w:val="16"/>
          <w:szCs w:val="16"/>
        </w:rPr>
        <w:t>La valoración de las pruebas se hará de acuerdo con las siguientes reglas:</w:t>
      </w:r>
    </w:p>
    <w:p w14:paraId="78C19951" w14:textId="77777777" w:rsidR="006F4C7B" w:rsidRPr="0057264A" w:rsidRDefault="006F4C7B" w:rsidP="0057264A">
      <w:pPr>
        <w:pStyle w:val="Textonotapie"/>
        <w:jc w:val="both"/>
        <w:rPr>
          <w:rFonts w:ascii="Arial" w:hAnsi="Arial" w:cs="Arial"/>
          <w:sz w:val="16"/>
          <w:szCs w:val="16"/>
        </w:rPr>
      </w:pPr>
      <w:r w:rsidRPr="0057264A">
        <w:rPr>
          <w:rFonts w:ascii="Arial" w:hAnsi="Arial" w:cs="Arial"/>
          <w:sz w:val="16"/>
          <w:szCs w:val="16"/>
        </w:rPr>
        <w:t xml:space="preserve">   I Harán prueba plena la confesión expresa de las partes y los actos contenidos en documentos público, si en éstos últimos se contienen declaraciones de verdad o manifestaciones de hechos de particulares; y</w:t>
      </w:r>
    </w:p>
    <w:p w14:paraId="3623B209" w14:textId="77777777" w:rsidR="006F4C7B" w:rsidRPr="00D2485E" w:rsidRDefault="006F4C7B" w:rsidP="0057264A">
      <w:pPr>
        <w:pStyle w:val="Textonotapie"/>
        <w:jc w:val="both"/>
      </w:pPr>
      <w:r w:rsidRPr="0057264A">
        <w:rPr>
          <w:rFonts w:ascii="Arial" w:hAnsi="Arial" w:cs="Arial"/>
          <w:sz w:val="16"/>
          <w:szCs w:val="16"/>
        </w:rPr>
        <w:t xml:space="preserve">   …”</w:t>
      </w:r>
    </w:p>
  </w:footnote>
  <w:footnote w:id="6">
    <w:p w14:paraId="1271D59E" w14:textId="77777777" w:rsidR="006F4C7B" w:rsidRPr="00C53E6C" w:rsidRDefault="006F4C7B" w:rsidP="006F4C7B">
      <w:pPr>
        <w:pStyle w:val="Textonotapie"/>
        <w:jc w:val="both"/>
        <w:rPr>
          <w:rFonts w:ascii="Arial" w:hAnsi="Arial" w:cs="Arial"/>
          <w:sz w:val="16"/>
          <w:szCs w:val="16"/>
        </w:rPr>
      </w:pPr>
      <w:r w:rsidRPr="00C53E6C">
        <w:rPr>
          <w:rStyle w:val="Refdenotaalpie"/>
          <w:rFonts w:ascii="Arial" w:hAnsi="Arial" w:cs="Arial"/>
          <w:sz w:val="16"/>
          <w:szCs w:val="16"/>
        </w:rPr>
        <w:footnoteRef/>
      </w:r>
      <w:r w:rsidRPr="00C53E6C">
        <w:rPr>
          <w:rFonts w:ascii="Arial" w:hAnsi="Arial" w:cs="Arial"/>
          <w:sz w:val="16"/>
          <w:szCs w:val="16"/>
        </w:rPr>
        <w:t xml:space="preserve"> “</w:t>
      </w:r>
      <w:r w:rsidRPr="00C53E6C">
        <w:rPr>
          <w:rFonts w:ascii="Arial" w:hAnsi="Arial" w:cs="Arial"/>
          <w:b/>
          <w:sz w:val="16"/>
          <w:szCs w:val="16"/>
        </w:rPr>
        <w:t xml:space="preserve">ARTÍCULO 89.- </w:t>
      </w:r>
      <w:r w:rsidRPr="00C53E6C">
        <w:rPr>
          <w:rFonts w:ascii="Arial" w:hAnsi="Arial" w:cs="Arial"/>
          <w:sz w:val="16"/>
          <w:szCs w:val="16"/>
        </w:rPr>
        <w:t>El Director General de la Oficina de Pensiones tendrá las facultades y obligaciones siguientes:</w:t>
      </w:r>
    </w:p>
    <w:p w14:paraId="341CD9C7" w14:textId="77777777" w:rsidR="006F4C7B" w:rsidRPr="00C53E6C" w:rsidRDefault="006F4C7B" w:rsidP="006F4C7B">
      <w:pPr>
        <w:pStyle w:val="Textonotapie"/>
        <w:jc w:val="both"/>
        <w:rPr>
          <w:rFonts w:ascii="Arial" w:hAnsi="Arial" w:cs="Arial"/>
          <w:sz w:val="16"/>
          <w:szCs w:val="16"/>
        </w:rPr>
      </w:pPr>
      <w:r w:rsidRPr="00C53E6C">
        <w:rPr>
          <w:rFonts w:ascii="Arial" w:hAnsi="Arial" w:cs="Arial"/>
          <w:sz w:val="16"/>
          <w:szCs w:val="16"/>
        </w:rPr>
        <w:t xml:space="preserve">   …</w:t>
      </w:r>
    </w:p>
    <w:p w14:paraId="51DB76CB" w14:textId="77777777" w:rsidR="006F4C7B" w:rsidRDefault="006F4C7B" w:rsidP="006F4C7B">
      <w:pPr>
        <w:pStyle w:val="Textonotapie"/>
        <w:jc w:val="both"/>
        <w:rPr>
          <w:rFonts w:ascii="Arial" w:hAnsi="Arial" w:cs="Arial"/>
          <w:sz w:val="16"/>
          <w:szCs w:val="16"/>
        </w:rPr>
      </w:pPr>
      <w:r w:rsidRPr="00C53E6C">
        <w:rPr>
          <w:rFonts w:ascii="Arial" w:hAnsi="Arial" w:cs="Arial"/>
          <w:sz w:val="16"/>
          <w:szCs w:val="16"/>
        </w:rPr>
        <w:t xml:space="preserve">   IX. Someter al acuerdo del Consejo Directivo los demás asuntos que sean de su competencia.”</w:t>
      </w:r>
    </w:p>
    <w:p w14:paraId="74F7A727" w14:textId="77777777" w:rsidR="00C53E6C" w:rsidRPr="00C53E6C" w:rsidRDefault="00C53E6C" w:rsidP="006F4C7B">
      <w:pPr>
        <w:pStyle w:val="Textonotapie"/>
        <w:jc w:val="both"/>
        <w:rPr>
          <w:rFonts w:ascii="Arial" w:hAnsi="Arial" w:cs="Arial"/>
          <w:sz w:val="16"/>
          <w:szCs w:val="16"/>
        </w:rPr>
      </w:pPr>
    </w:p>
  </w:footnote>
  <w:footnote w:id="7">
    <w:p w14:paraId="6B884516" w14:textId="77777777" w:rsidR="00B12CA8" w:rsidRPr="00B61A4A" w:rsidRDefault="00B12CA8" w:rsidP="00B12CA8">
      <w:pPr>
        <w:pStyle w:val="Textonotapie"/>
        <w:jc w:val="both"/>
        <w:rPr>
          <w:sz w:val="16"/>
          <w:szCs w:val="16"/>
        </w:rPr>
      </w:pPr>
      <w:r w:rsidRPr="00B61A4A">
        <w:rPr>
          <w:rStyle w:val="Refdenotaalpie"/>
          <w:sz w:val="16"/>
          <w:szCs w:val="16"/>
        </w:rPr>
        <w:footnoteRef/>
      </w:r>
      <w:r w:rsidRPr="00B61A4A">
        <w:rPr>
          <w:sz w:val="16"/>
          <w:szCs w:val="16"/>
        </w:rPr>
        <w:t xml:space="preserve"> </w:t>
      </w:r>
      <w:r w:rsidRPr="00D23FEF">
        <w:rPr>
          <w:rFonts w:ascii="Arial" w:hAnsi="Arial" w:cs="Arial"/>
          <w:sz w:val="16"/>
          <w:szCs w:val="16"/>
        </w:rPr>
        <w:t>Constitución Política de los Estados Unidos Mexicanos, publicada en el Diario Oficial de la Federación el 5 de febrero de 1917.</w:t>
      </w:r>
    </w:p>
  </w:footnote>
  <w:footnote w:id="8">
    <w:p w14:paraId="6B6918DE" w14:textId="49AF29E7" w:rsidR="006F4C7B" w:rsidRPr="00C53E6C" w:rsidRDefault="006F4C7B" w:rsidP="006F4C7B">
      <w:pPr>
        <w:pStyle w:val="Textonotapie"/>
        <w:rPr>
          <w:rFonts w:ascii="Arial" w:hAnsi="Arial" w:cs="Arial"/>
          <w:sz w:val="16"/>
          <w:szCs w:val="16"/>
        </w:rPr>
      </w:pPr>
      <w:r w:rsidRPr="00C53E6C">
        <w:rPr>
          <w:rStyle w:val="Refdenotaalpie"/>
          <w:rFonts w:ascii="Arial" w:hAnsi="Arial" w:cs="Arial"/>
          <w:sz w:val="16"/>
          <w:szCs w:val="16"/>
        </w:rPr>
        <w:footnoteRef/>
      </w:r>
      <w:r w:rsidRPr="00C53E6C">
        <w:rPr>
          <w:rFonts w:ascii="Arial" w:hAnsi="Arial" w:cs="Arial"/>
          <w:sz w:val="16"/>
          <w:szCs w:val="16"/>
        </w:rPr>
        <w:t xml:space="preserve"> </w:t>
      </w:r>
      <w:r w:rsidRPr="00C53E6C">
        <w:rPr>
          <w:rFonts w:ascii="Arial" w:hAnsi="Arial" w:cs="Arial"/>
          <w:b/>
          <w:bCs/>
          <w:sz w:val="16"/>
          <w:szCs w:val="16"/>
        </w:rPr>
        <w:t xml:space="preserve">ARTICULO </w:t>
      </w:r>
      <w:r w:rsidR="004A098D">
        <w:rPr>
          <w:rFonts w:ascii="Arial" w:hAnsi="Arial" w:cs="Arial"/>
          <w:b/>
          <w:bCs/>
          <w:sz w:val="16"/>
          <w:szCs w:val="16"/>
        </w:rPr>
        <w:t>1</w:t>
      </w:r>
      <w:r w:rsidRPr="00C53E6C">
        <w:rPr>
          <w:rFonts w:ascii="Arial" w:hAnsi="Arial" w:cs="Arial"/>
          <w:b/>
          <w:bCs/>
          <w:sz w:val="16"/>
          <w:szCs w:val="16"/>
        </w:rPr>
        <w:t xml:space="preserve">7.- </w:t>
      </w:r>
      <w:r w:rsidRPr="00C53E6C">
        <w:rPr>
          <w:rFonts w:ascii="Arial" w:hAnsi="Arial" w:cs="Arial"/>
          <w:sz w:val="16"/>
          <w:szCs w:val="16"/>
        </w:rPr>
        <w:t>Son elementos y requisitos de validez del acto administrativo:</w:t>
      </w:r>
    </w:p>
    <w:p w14:paraId="39EBF5A9" w14:textId="77777777" w:rsidR="006F4C7B" w:rsidRPr="00C53E6C" w:rsidRDefault="006F4C7B" w:rsidP="006F4C7B">
      <w:pPr>
        <w:pStyle w:val="Textonotapie"/>
        <w:rPr>
          <w:rFonts w:ascii="Arial" w:hAnsi="Arial" w:cs="Arial"/>
          <w:sz w:val="16"/>
          <w:szCs w:val="16"/>
        </w:rPr>
      </w:pPr>
      <w:r w:rsidRPr="00C53E6C">
        <w:rPr>
          <w:rFonts w:ascii="Arial" w:hAnsi="Arial" w:cs="Arial"/>
          <w:sz w:val="16"/>
          <w:szCs w:val="16"/>
        </w:rPr>
        <w:t>….</w:t>
      </w:r>
    </w:p>
    <w:p w14:paraId="2C3C155C" w14:textId="77777777" w:rsidR="006F4C7B" w:rsidRPr="00194992" w:rsidRDefault="006F4C7B" w:rsidP="006F4C7B">
      <w:pPr>
        <w:pStyle w:val="Textonotapie"/>
        <w:rPr>
          <w:rFonts w:ascii="Arial" w:hAnsi="Arial" w:cs="Arial"/>
          <w:sz w:val="16"/>
          <w:szCs w:val="16"/>
        </w:rPr>
      </w:pPr>
      <w:r w:rsidRPr="00C53E6C">
        <w:rPr>
          <w:rFonts w:ascii="Arial" w:hAnsi="Arial" w:cs="Arial"/>
          <w:sz w:val="16"/>
          <w:szCs w:val="16"/>
        </w:rPr>
        <w:t>V. Estar fundado y motivado</w:t>
      </w:r>
      <w:r w:rsidRPr="008F4D26">
        <w:rPr>
          <w:rFonts w:ascii="Arial" w:hAnsi="Arial" w:cs="Arial"/>
          <w:sz w:val="16"/>
          <w:szCs w:val="16"/>
        </w:rPr>
        <w:t>;</w:t>
      </w:r>
    </w:p>
  </w:footnote>
  <w:footnote w:id="9">
    <w:p w14:paraId="0AFE8833" w14:textId="05090639" w:rsidR="00376ABD" w:rsidRDefault="00376ABD">
      <w:pPr>
        <w:pStyle w:val="Textonotapie"/>
      </w:pPr>
      <w:r>
        <w:rPr>
          <w:rStyle w:val="Refdenotaalpie"/>
        </w:rPr>
        <w:footnoteRef/>
      </w:r>
      <w:r>
        <w:t xml:space="preserve"> “</w:t>
      </w:r>
      <w:r w:rsidRPr="00376ABD">
        <w:rPr>
          <w:b/>
        </w:rPr>
        <w:t>Artículo 149.-</w:t>
      </w:r>
      <w:r>
        <w:t xml:space="preserve"> El juicio ante el Tribunal será de estricto derecho, pero se deberá suplir la deficiencia de la queja siempre que se trate del administrado.”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9959D5">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FF021A" w:rsidRPr="00FF021A">
          <w:rPr>
            <w:noProof/>
            <w:lang w:val="es-ES"/>
          </w:rPr>
          <w:t>12</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B17BF2" w14:textId="43517195" w:rsidR="0051494B" w:rsidRPr="00B61D83" w:rsidRDefault="0051494B" w:rsidP="0051494B">
    <w:pPr>
      <w:pStyle w:val="Encabezado"/>
      <w:jc w:val="right"/>
      <w:rPr>
        <w:rFonts w:ascii="Century Schoolbook" w:hAnsi="Century Schoolbook" w:cs="Arial"/>
        <w:b/>
        <w:bCs/>
      </w:rPr>
    </w:pPr>
    <w:r w:rsidRPr="00B61D83">
      <w:rPr>
        <w:rFonts w:ascii="Century Schoolbook" w:hAnsi="Century Schoolbook" w:cs="Arial"/>
      </w:rPr>
      <w:t>JUICIO DE NULIDAD</w:t>
    </w:r>
    <w:r w:rsidRPr="00B61D83">
      <w:rPr>
        <w:rFonts w:ascii="Century Schoolbook" w:hAnsi="Century Schoolbook" w:cs="Arial"/>
        <w:b/>
        <w:bCs/>
      </w:rPr>
      <w:t xml:space="preserve"> 0</w:t>
    </w:r>
    <w:r w:rsidR="0089787E">
      <w:rPr>
        <w:rFonts w:ascii="Century Schoolbook" w:hAnsi="Century Schoolbook" w:cs="Arial"/>
        <w:b/>
        <w:bCs/>
      </w:rPr>
      <w:t>110/2020</w:t>
    </w:r>
  </w:p>
  <w:p w14:paraId="50C691F8" w14:textId="77777777" w:rsidR="00FF021A" w:rsidRDefault="00FF021A" w:rsidP="00FF021A">
    <w:pPr>
      <w:pStyle w:val="Encabezado"/>
      <w:jc w:val="center"/>
      <w:rPr>
        <w:rFonts w:ascii="Arial" w:hAnsi="Arial" w:cs="Arial"/>
        <w:b/>
        <w:color w:val="0070C0"/>
      </w:rPr>
    </w:pPr>
  </w:p>
  <w:p w14:paraId="78F45750" w14:textId="77777777" w:rsidR="00FF021A" w:rsidRDefault="00FF021A" w:rsidP="00FF021A">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6DEC9321" w14:textId="77777777" w:rsidR="0051494B" w:rsidRDefault="0051494B" w:rsidP="0051494B">
    <w:pPr>
      <w:pStyle w:val="Encabezado"/>
    </w:pPr>
  </w:p>
  <w:p w14:paraId="51E22156" w14:textId="4770DA10" w:rsidR="00A360DF" w:rsidRDefault="009959D5" w:rsidP="0051494B">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r w:rsidR="00A360DF"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sdtdh="http://schemas.microsoft.com/office/word/2020/wordml/sdtdatahash" xmlns:w16="http://schemas.microsoft.com/office/word/2018/wordml" xmlns:w16cex="http://schemas.microsoft.com/office/word/2018/wordml/c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9959D5">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5"/>
  </w:num>
  <w:num w:numId="2">
    <w:abstractNumId w:val="5"/>
  </w:num>
  <w:num w:numId="3">
    <w:abstractNumId w:val="2"/>
  </w:num>
  <w:num w:numId="4">
    <w:abstractNumId w:val="11"/>
  </w:num>
  <w:num w:numId="5">
    <w:abstractNumId w:val="14"/>
  </w:num>
  <w:num w:numId="6">
    <w:abstractNumId w:val="9"/>
  </w:num>
  <w:num w:numId="7">
    <w:abstractNumId w:val="8"/>
  </w:num>
  <w:num w:numId="8">
    <w:abstractNumId w:val="4"/>
  </w:num>
  <w:num w:numId="9">
    <w:abstractNumId w:val="7"/>
  </w:num>
  <w:num w:numId="10">
    <w:abstractNumId w:val="10"/>
  </w:num>
  <w:num w:numId="11">
    <w:abstractNumId w:val="12"/>
  </w:num>
  <w:num w:numId="12">
    <w:abstractNumId w:val="3"/>
  </w:num>
  <w:num w:numId="13">
    <w:abstractNumId w:val="6"/>
  </w:num>
  <w:num w:numId="14">
    <w:abstractNumId w:val="0"/>
  </w:num>
  <w:num w:numId="15">
    <w:abstractNumId w:val="1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8A"/>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5D9"/>
    <w:rsid w:val="00025790"/>
    <w:rsid w:val="00025BEB"/>
    <w:rsid w:val="000262A2"/>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77C"/>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97A65"/>
    <w:rsid w:val="000A084D"/>
    <w:rsid w:val="000A0E5E"/>
    <w:rsid w:val="000A12C0"/>
    <w:rsid w:val="000A1491"/>
    <w:rsid w:val="000A17DF"/>
    <w:rsid w:val="000A200A"/>
    <w:rsid w:val="000A2550"/>
    <w:rsid w:val="000A27AC"/>
    <w:rsid w:val="000A335C"/>
    <w:rsid w:val="000A33D9"/>
    <w:rsid w:val="000A33F5"/>
    <w:rsid w:val="000A5266"/>
    <w:rsid w:val="000A5540"/>
    <w:rsid w:val="000A578F"/>
    <w:rsid w:val="000A58B5"/>
    <w:rsid w:val="000A5D36"/>
    <w:rsid w:val="000A5FA8"/>
    <w:rsid w:val="000A6C87"/>
    <w:rsid w:val="000B0351"/>
    <w:rsid w:val="000B03B9"/>
    <w:rsid w:val="000B0431"/>
    <w:rsid w:val="000B1A06"/>
    <w:rsid w:val="000B1F22"/>
    <w:rsid w:val="000B23E0"/>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2B9"/>
    <w:rsid w:val="000C3DC9"/>
    <w:rsid w:val="000C4139"/>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50E2"/>
    <w:rsid w:val="001460CF"/>
    <w:rsid w:val="00146509"/>
    <w:rsid w:val="0014671A"/>
    <w:rsid w:val="00146991"/>
    <w:rsid w:val="00146DCF"/>
    <w:rsid w:val="001470FA"/>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6F4D"/>
    <w:rsid w:val="0016700D"/>
    <w:rsid w:val="00167ADD"/>
    <w:rsid w:val="001702C6"/>
    <w:rsid w:val="001711A1"/>
    <w:rsid w:val="00172205"/>
    <w:rsid w:val="0017260E"/>
    <w:rsid w:val="001729D0"/>
    <w:rsid w:val="00172B51"/>
    <w:rsid w:val="00172C89"/>
    <w:rsid w:val="00172E9A"/>
    <w:rsid w:val="0017568D"/>
    <w:rsid w:val="00175C14"/>
    <w:rsid w:val="001761CB"/>
    <w:rsid w:val="0017651E"/>
    <w:rsid w:val="001778B4"/>
    <w:rsid w:val="001779CB"/>
    <w:rsid w:val="00177B53"/>
    <w:rsid w:val="00181DB0"/>
    <w:rsid w:val="001826D0"/>
    <w:rsid w:val="0018345B"/>
    <w:rsid w:val="0018356C"/>
    <w:rsid w:val="0018358B"/>
    <w:rsid w:val="0018454F"/>
    <w:rsid w:val="001846BB"/>
    <w:rsid w:val="001854BD"/>
    <w:rsid w:val="00185DC5"/>
    <w:rsid w:val="00186701"/>
    <w:rsid w:val="00186FB3"/>
    <w:rsid w:val="00186FE8"/>
    <w:rsid w:val="0018765B"/>
    <w:rsid w:val="00192287"/>
    <w:rsid w:val="001923AE"/>
    <w:rsid w:val="001924B2"/>
    <w:rsid w:val="00193379"/>
    <w:rsid w:val="00194B7B"/>
    <w:rsid w:val="001951A3"/>
    <w:rsid w:val="00195583"/>
    <w:rsid w:val="001A0745"/>
    <w:rsid w:val="001A1103"/>
    <w:rsid w:val="001A1302"/>
    <w:rsid w:val="001A16CC"/>
    <w:rsid w:val="001A18E1"/>
    <w:rsid w:val="001A2144"/>
    <w:rsid w:val="001A2E1D"/>
    <w:rsid w:val="001A2FDB"/>
    <w:rsid w:val="001A3755"/>
    <w:rsid w:val="001A4127"/>
    <w:rsid w:val="001A4E1C"/>
    <w:rsid w:val="001A554E"/>
    <w:rsid w:val="001A6EBE"/>
    <w:rsid w:val="001A6F68"/>
    <w:rsid w:val="001A77FB"/>
    <w:rsid w:val="001B009D"/>
    <w:rsid w:val="001B035C"/>
    <w:rsid w:val="001B046F"/>
    <w:rsid w:val="001B13DB"/>
    <w:rsid w:val="001B17F6"/>
    <w:rsid w:val="001B341D"/>
    <w:rsid w:val="001B3A10"/>
    <w:rsid w:val="001B3B5C"/>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7445"/>
    <w:rsid w:val="00227471"/>
    <w:rsid w:val="00230D10"/>
    <w:rsid w:val="00231036"/>
    <w:rsid w:val="00232D7F"/>
    <w:rsid w:val="00233C62"/>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2A6C"/>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3A3"/>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706"/>
    <w:rsid w:val="002B3BA3"/>
    <w:rsid w:val="002B4040"/>
    <w:rsid w:val="002B5C09"/>
    <w:rsid w:val="002B5C82"/>
    <w:rsid w:val="002B6893"/>
    <w:rsid w:val="002B6B9D"/>
    <w:rsid w:val="002B6C19"/>
    <w:rsid w:val="002B6D0D"/>
    <w:rsid w:val="002B76FB"/>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0BD3"/>
    <w:rsid w:val="00311560"/>
    <w:rsid w:val="00311708"/>
    <w:rsid w:val="00311BB1"/>
    <w:rsid w:val="00312470"/>
    <w:rsid w:val="0031285C"/>
    <w:rsid w:val="00313A44"/>
    <w:rsid w:val="003150CD"/>
    <w:rsid w:val="003154AB"/>
    <w:rsid w:val="003155CF"/>
    <w:rsid w:val="00315BA3"/>
    <w:rsid w:val="00315C3A"/>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6AF6"/>
    <w:rsid w:val="00326D5E"/>
    <w:rsid w:val="00327A8E"/>
    <w:rsid w:val="00327BDD"/>
    <w:rsid w:val="00331836"/>
    <w:rsid w:val="0033190E"/>
    <w:rsid w:val="00333962"/>
    <w:rsid w:val="00333B62"/>
    <w:rsid w:val="00333E45"/>
    <w:rsid w:val="0033404E"/>
    <w:rsid w:val="00334A65"/>
    <w:rsid w:val="003364DB"/>
    <w:rsid w:val="00336A8D"/>
    <w:rsid w:val="003373AA"/>
    <w:rsid w:val="00337583"/>
    <w:rsid w:val="003379FB"/>
    <w:rsid w:val="00337DF6"/>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0C80"/>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6ABD"/>
    <w:rsid w:val="003804A7"/>
    <w:rsid w:val="00381DC3"/>
    <w:rsid w:val="00381F89"/>
    <w:rsid w:val="0038228C"/>
    <w:rsid w:val="00382BDE"/>
    <w:rsid w:val="003859C4"/>
    <w:rsid w:val="00385EA5"/>
    <w:rsid w:val="00386F92"/>
    <w:rsid w:val="003874C3"/>
    <w:rsid w:val="00387725"/>
    <w:rsid w:val="00387C65"/>
    <w:rsid w:val="0039022E"/>
    <w:rsid w:val="00390CDE"/>
    <w:rsid w:val="00391474"/>
    <w:rsid w:val="00392B20"/>
    <w:rsid w:val="00392BA3"/>
    <w:rsid w:val="00393BB4"/>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3D69"/>
    <w:rsid w:val="003B4BAF"/>
    <w:rsid w:val="003B5111"/>
    <w:rsid w:val="003B57C3"/>
    <w:rsid w:val="003B609E"/>
    <w:rsid w:val="003B6581"/>
    <w:rsid w:val="003B6865"/>
    <w:rsid w:val="003B6C7E"/>
    <w:rsid w:val="003B79F9"/>
    <w:rsid w:val="003C0293"/>
    <w:rsid w:val="003C0DF1"/>
    <w:rsid w:val="003C1936"/>
    <w:rsid w:val="003C268F"/>
    <w:rsid w:val="003C2E68"/>
    <w:rsid w:val="003C32DC"/>
    <w:rsid w:val="003C32FC"/>
    <w:rsid w:val="003C42AD"/>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307"/>
    <w:rsid w:val="003F14E4"/>
    <w:rsid w:val="003F1FC5"/>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EB5"/>
    <w:rsid w:val="0047647A"/>
    <w:rsid w:val="004771E5"/>
    <w:rsid w:val="00477357"/>
    <w:rsid w:val="00477E07"/>
    <w:rsid w:val="004804CF"/>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54C"/>
    <w:rsid w:val="004A0617"/>
    <w:rsid w:val="004A098D"/>
    <w:rsid w:val="004A1A63"/>
    <w:rsid w:val="004A2326"/>
    <w:rsid w:val="004A2A39"/>
    <w:rsid w:val="004A319F"/>
    <w:rsid w:val="004A32F1"/>
    <w:rsid w:val="004A363B"/>
    <w:rsid w:val="004A36A8"/>
    <w:rsid w:val="004A5E10"/>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F026D"/>
    <w:rsid w:val="004F0402"/>
    <w:rsid w:val="004F07B7"/>
    <w:rsid w:val="004F12C9"/>
    <w:rsid w:val="004F1B13"/>
    <w:rsid w:val="004F2387"/>
    <w:rsid w:val="004F28AC"/>
    <w:rsid w:val="004F2A92"/>
    <w:rsid w:val="004F2E5D"/>
    <w:rsid w:val="004F2E7C"/>
    <w:rsid w:val="004F421C"/>
    <w:rsid w:val="004F4289"/>
    <w:rsid w:val="004F48BF"/>
    <w:rsid w:val="004F5821"/>
    <w:rsid w:val="004F5F16"/>
    <w:rsid w:val="004F674E"/>
    <w:rsid w:val="004F677B"/>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494B"/>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580C"/>
    <w:rsid w:val="00567CCF"/>
    <w:rsid w:val="00570608"/>
    <w:rsid w:val="005707BD"/>
    <w:rsid w:val="00570A3B"/>
    <w:rsid w:val="0057187A"/>
    <w:rsid w:val="005720EB"/>
    <w:rsid w:val="0057264A"/>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4691"/>
    <w:rsid w:val="00615362"/>
    <w:rsid w:val="006157B6"/>
    <w:rsid w:val="00615A62"/>
    <w:rsid w:val="00615EBC"/>
    <w:rsid w:val="0061635A"/>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1D6E"/>
    <w:rsid w:val="00672CE0"/>
    <w:rsid w:val="00672F8D"/>
    <w:rsid w:val="006730DE"/>
    <w:rsid w:val="006730F3"/>
    <w:rsid w:val="00673B33"/>
    <w:rsid w:val="006747AB"/>
    <w:rsid w:val="00675466"/>
    <w:rsid w:val="00676465"/>
    <w:rsid w:val="006775C4"/>
    <w:rsid w:val="0068056E"/>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0D09"/>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54E"/>
    <w:rsid w:val="006B462B"/>
    <w:rsid w:val="006B46C9"/>
    <w:rsid w:val="006B4FD6"/>
    <w:rsid w:val="006B511B"/>
    <w:rsid w:val="006B5508"/>
    <w:rsid w:val="006B5F34"/>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C7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293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56A2"/>
    <w:rsid w:val="00766389"/>
    <w:rsid w:val="007677CD"/>
    <w:rsid w:val="00767FE0"/>
    <w:rsid w:val="00770340"/>
    <w:rsid w:val="00770536"/>
    <w:rsid w:val="007708A0"/>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B2E"/>
    <w:rsid w:val="007C405D"/>
    <w:rsid w:val="007C4D7C"/>
    <w:rsid w:val="007C5545"/>
    <w:rsid w:val="007C587A"/>
    <w:rsid w:val="007C5FD2"/>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0964"/>
    <w:rsid w:val="007E3210"/>
    <w:rsid w:val="007E32FC"/>
    <w:rsid w:val="007E4266"/>
    <w:rsid w:val="007E4EA5"/>
    <w:rsid w:val="007E5A5C"/>
    <w:rsid w:val="007E6F74"/>
    <w:rsid w:val="007E7A9C"/>
    <w:rsid w:val="007F0BA9"/>
    <w:rsid w:val="007F14CC"/>
    <w:rsid w:val="007F17A3"/>
    <w:rsid w:val="007F1A1A"/>
    <w:rsid w:val="007F1ECE"/>
    <w:rsid w:val="007F2DD4"/>
    <w:rsid w:val="007F35C6"/>
    <w:rsid w:val="007F3BF0"/>
    <w:rsid w:val="007F4049"/>
    <w:rsid w:val="007F4946"/>
    <w:rsid w:val="007F4B42"/>
    <w:rsid w:val="007F5B11"/>
    <w:rsid w:val="007F7AEA"/>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668"/>
    <w:rsid w:val="008357D2"/>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1C16"/>
    <w:rsid w:val="008625C0"/>
    <w:rsid w:val="00863418"/>
    <w:rsid w:val="008634C5"/>
    <w:rsid w:val="00863FB1"/>
    <w:rsid w:val="00864F72"/>
    <w:rsid w:val="00865B42"/>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1B8F"/>
    <w:rsid w:val="008927FE"/>
    <w:rsid w:val="00893B24"/>
    <w:rsid w:val="00894002"/>
    <w:rsid w:val="008946EA"/>
    <w:rsid w:val="00894A6C"/>
    <w:rsid w:val="00894D4A"/>
    <w:rsid w:val="0089545F"/>
    <w:rsid w:val="0089557F"/>
    <w:rsid w:val="008959BA"/>
    <w:rsid w:val="00896821"/>
    <w:rsid w:val="00896F48"/>
    <w:rsid w:val="0089787E"/>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B42"/>
    <w:rsid w:val="008E350D"/>
    <w:rsid w:val="008E3B36"/>
    <w:rsid w:val="008E3CEC"/>
    <w:rsid w:val="008E480F"/>
    <w:rsid w:val="008E4A67"/>
    <w:rsid w:val="008E5D25"/>
    <w:rsid w:val="008F0205"/>
    <w:rsid w:val="008F0DCC"/>
    <w:rsid w:val="008F188C"/>
    <w:rsid w:val="008F1EB2"/>
    <w:rsid w:val="008F284E"/>
    <w:rsid w:val="008F2BAD"/>
    <w:rsid w:val="008F2CAE"/>
    <w:rsid w:val="008F39F2"/>
    <w:rsid w:val="008F45EB"/>
    <w:rsid w:val="008F4E1B"/>
    <w:rsid w:val="008F52F4"/>
    <w:rsid w:val="008F743B"/>
    <w:rsid w:val="00900072"/>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0E1D"/>
    <w:rsid w:val="009818A2"/>
    <w:rsid w:val="00982231"/>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3E7E"/>
    <w:rsid w:val="009959D5"/>
    <w:rsid w:val="0099690A"/>
    <w:rsid w:val="00997136"/>
    <w:rsid w:val="009971A7"/>
    <w:rsid w:val="00997965"/>
    <w:rsid w:val="00997BBE"/>
    <w:rsid w:val="009A04D8"/>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646B"/>
    <w:rsid w:val="009E733D"/>
    <w:rsid w:val="009E7B07"/>
    <w:rsid w:val="009F050C"/>
    <w:rsid w:val="009F1587"/>
    <w:rsid w:val="009F344F"/>
    <w:rsid w:val="009F3537"/>
    <w:rsid w:val="009F3962"/>
    <w:rsid w:val="009F3A8E"/>
    <w:rsid w:val="009F3B12"/>
    <w:rsid w:val="009F4300"/>
    <w:rsid w:val="009F46F3"/>
    <w:rsid w:val="009F4CDD"/>
    <w:rsid w:val="009F52DB"/>
    <w:rsid w:val="009F5F74"/>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2E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DF"/>
    <w:rsid w:val="00A36936"/>
    <w:rsid w:val="00A37129"/>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2CC"/>
    <w:rsid w:val="00A537AD"/>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6CB2"/>
    <w:rsid w:val="00A67461"/>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548"/>
    <w:rsid w:val="00AC3C32"/>
    <w:rsid w:val="00AC3DB8"/>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42"/>
    <w:rsid w:val="00AF2172"/>
    <w:rsid w:val="00AF3B8C"/>
    <w:rsid w:val="00AF3E80"/>
    <w:rsid w:val="00AF4CB2"/>
    <w:rsid w:val="00AF4E0C"/>
    <w:rsid w:val="00AF4E17"/>
    <w:rsid w:val="00AF5B71"/>
    <w:rsid w:val="00AF66F5"/>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2CA8"/>
    <w:rsid w:val="00B13177"/>
    <w:rsid w:val="00B13E8D"/>
    <w:rsid w:val="00B15165"/>
    <w:rsid w:val="00B15852"/>
    <w:rsid w:val="00B161B4"/>
    <w:rsid w:val="00B16887"/>
    <w:rsid w:val="00B16DAF"/>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C9"/>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677"/>
    <w:rsid w:val="00BA3742"/>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59CF"/>
    <w:rsid w:val="00BC64CE"/>
    <w:rsid w:val="00BC68AD"/>
    <w:rsid w:val="00BC7112"/>
    <w:rsid w:val="00BD0C00"/>
    <w:rsid w:val="00BD0DA0"/>
    <w:rsid w:val="00BD0DD3"/>
    <w:rsid w:val="00BD3693"/>
    <w:rsid w:val="00BD438C"/>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B6B"/>
    <w:rsid w:val="00C25A02"/>
    <w:rsid w:val="00C26147"/>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C2F"/>
    <w:rsid w:val="00C4375E"/>
    <w:rsid w:val="00C43B8F"/>
    <w:rsid w:val="00C44980"/>
    <w:rsid w:val="00C45268"/>
    <w:rsid w:val="00C455CD"/>
    <w:rsid w:val="00C45BBF"/>
    <w:rsid w:val="00C46708"/>
    <w:rsid w:val="00C474EF"/>
    <w:rsid w:val="00C500D2"/>
    <w:rsid w:val="00C50922"/>
    <w:rsid w:val="00C51440"/>
    <w:rsid w:val="00C52089"/>
    <w:rsid w:val="00C53E6C"/>
    <w:rsid w:val="00C53E87"/>
    <w:rsid w:val="00C548BC"/>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F8"/>
    <w:rsid w:val="00C65B9B"/>
    <w:rsid w:val="00C67249"/>
    <w:rsid w:val="00C67698"/>
    <w:rsid w:val="00C67FDD"/>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922"/>
    <w:rsid w:val="00CD4B83"/>
    <w:rsid w:val="00CD5020"/>
    <w:rsid w:val="00CD58BA"/>
    <w:rsid w:val="00CD6145"/>
    <w:rsid w:val="00CD64DE"/>
    <w:rsid w:val="00CD6D50"/>
    <w:rsid w:val="00CD6ED4"/>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E7F6C"/>
    <w:rsid w:val="00CF01EA"/>
    <w:rsid w:val="00CF021C"/>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0D"/>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DBA"/>
    <w:rsid w:val="00D30EC7"/>
    <w:rsid w:val="00D33362"/>
    <w:rsid w:val="00D33C0D"/>
    <w:rsid w:val="00D34C41"/>
    <w:rsid w:val="00D35BC6"/>
    <w:rsid w:val="00D3635F"/>
    <w:rsid w:val="00D36532"/>
    <w:rsid w:val="00D367F9"/>
    <w:rsid w:val="00D3760F"/>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1FD"/>
    <w:rsid w:val="00D718E2"/>
    <w:rsid w:val="00D719E5"/>
    <w:rsid w:val="00D72097"/>
    <w:rsid w:val="00D72510"/>
    <w:rsid w:val="00D73167"/>
    <w:rsid w:val="00D7322F"/>
    <w:rsid w:val="00D73481"/>
    <w:rsid w:val="00D73C07"/>
    <w:rsid w:val="00D743AB"/>
    <w:rsid w:val="00D74799"/>
    <w:rsid w:val="00D74FDC"/>
    <w:rsid w:val="00D7536B"/>
    <w:rsid w:val="00D754B9"/>
    <w:rsid w:val="00D75AD5"/>
    <w:rsid w:val="00D81033"/>
    <w:rsid w:val="00D81136"/>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919"/>
    <w:rsid w:val="00DA0CA2"/>
    <w:rsid w:val="00DA158D"/>
    <w:rsid w:val="00DA1D14"/>
    <w:rsid w:val="00DA3B52"/>
    <w:rsid w:val="00DA4151"/>
    <w:rsid w:val="00DA4B58"/>
    <w:rsid w:val="00DA4B87"/>
    <w:rsid w:val="00DA5129"/>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509"/>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CD4"/>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6CBC"/>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51B8"/>
    <w:rsid w:val="00E35EC1"/>
    <w:rsid w:val="00E35F95"/>
    <w:rsid w:val="00E3623E"/>
    <w:rsid w:val="00E36893"/>
    <w:rsid w:val="00E369E0"/>
    <w:rsid w:val="00E36F87"/>
    <w:rsid w:val="00E36FAF"/>
    <w:rsid w:val="00E37775"/>
    <w:rsid w:val="00E37879"/>
    <w:rsid w:val="00E4029A"/>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BE5"/>
    <w:rsid w:val="00EA0BF6"/>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1DF7"/>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520C"/>
    <w:rsid w:val="00FE65C5"/>
    <w:rsid w:val="00FE6DA0"/>
    <w:rsid w:val="00FF021A"/>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963576783">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774475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BC63CF-3817-491D-B594-C2E9522C3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924</TotalTime>
  <Pages>1</Pages>
  <Words>4314</Words>
  <Characters>23733</Characters>
  <Application>Microsoft Office Word</Application>
  <DocSecurity>0</DocSecurity>
  <Lines>197</Lines>
  <Paragraphs>55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28</cp:revision>
  <cp:lastPrinted>2023-01-10T17:01:00Z</cp:lastPrinted>
  <dcterms:created xsi:type="dcterms:W3CDTF">2021-04-18T01:37:00Z</dcterms:created>
  <dcterms:modified xsi:type="dcterms:W3CDTF">2023-01-10T17:03:00Z</dcterms:modified>
</cp:coreProperties>
</file>